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F3BF" w14:textId="77777777" w:rsidR="008D5872" w:rsidRPr="006E2081" w:rsidRDefault="008D5872" w:rsidP="008D5872">
      <w:pPr>
        <w:jc w:val="center"/>
        <w:rPr>
          <w:b/>
        </w:rPr>
      </w:pPr>
      <w:bookmarkStart w:id="0" w:name="_GoBack"/>
      <w:bookmarkEnd w:id="0"/>
      <w:r w:rsidRPr="006E2081">
        <w:rPr>
          <w:b/>
        </w:rPr>
        <w:t>REPUBLIC OF SOUTH AFRICA</w:t>
      </w:r>
    </w:p>
    <w:p w14:paraId="5E1EA8B2" w14:textId="77777777" w:rsidR="008D5872" w:rsidRPr="00F3610A" w:rsidRDefault="008D5872" w:rsidP="008D5872">
      <w:pPr>
        <w:jc w:val="center"/>
        <w:rPr>
          <w:b/>
        </w:rPr>
      </w:pPr>
      <w:r>
        <w:rPr>
          <w:lang w:val="en-US"/>
        </w:rPr>
        <w:t xml:space="preserve">          </w:t>
      </w:r>
      <w:r w:rsidRPr="006E2081">
        <w:rPr>
          <w:lang w:val="en-US"/>
        </w:rPr>
        <w:fldChar w:fldCharType="begin"/>
      </w:r>
      <w:r w:rsidRPr="006E2081">
        <w:rPr>
          <w:lang w:val="en-US"/>
        </w:rPr>
        <w:instrText xml:space="preserve"> INCLUDEPICTURE  "cid:image001.png@01D102A3.6AE54470" \* MERGEFORMATINET </w:instrText>
      </w:r>
      <w:r w:rsidRPr="006E2081">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sidR="004F0CCF">
        <w:rPr>
          <w:lang w:val="en-US"/>
        </w:rPr>
        <w:fldChar w:fldCharType="begin"/>
      </w:r>
      <w:r w:rsidR="004F0CCF">
        <w:rPr>
          <w:lang w:val="en-US"/>
        </w:rPr>
        <w:instrText xml:space="preserve"> INCLUDEPICTURE  "cid:image001.png@01D102A3.6AE54470" \* MERGEFORMATINET </w:instrText>
      </w:r>
      <w:r w:rsidR="004F0CCF">
        <w:rPr>
          <w:lang w:val="en-US"/>
        </w:rPr>
        <w:fldChar w:fldCharType="separate"/>
      </w:r>
      <w:r w:rsidR="000D3585">
        <w:rPr>
          <w:lang w:val="en-US"/>
        </w:rPr>
        <w:fldChar w:fldCharType="begin"/>
      </w:r>
      <w:r w:rsidR="000D3585">
        <w:rPr>
          <w:lang w:val="en-US"/>
        </w:rPr>
        <w:instrText xml:space="preserve"> </w:instrText>
      </w:r>
      <w:r w:rsidR="000D3585">
        <w:rPr>
          <w:lang w:val="en-US"/>
        </w:rPr>
        <w:instrText>INCLUDEPICTURE  "cid:image001.png@01D102A3.6AE54470" \* MERGEFORMATINET</w:instrText>
      </w:r>
      <w:r w:rsidR="000D3585">
        <w:rPr>
          <w:lang w:val="en-US"/>
        </w:rPr>
        <w:instrText xml:space="preserve"> </w:instrText>
      </w:r>
      <w:r w:rsidR="000D3585">
        <w:rPr>
          <w:lang w:val="en-US"/>
        </w:rPr>
        <w:fldChar w:fldCharType="separate"/>
      </w:r>
      <w:r w:rsidR="000D3585">
        <w:rPr>
          <w:lang w:val="en-US"/>
        </w:rPr>
        <w:pict w14:anchorId="76773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13.25pt;height:113.25pt">
            <v:imagedata r:id="rId8" r:href="rId9"/>
          </v:shape>
        </w:pict>
      </w:r>
      <w:r w:rsidR="000D3585">
        <w:rPr>
          <w:lang w:val="en-US"/>
        </w:rPr>
        <w:fldChar w:fldCharType="end"/>
      </w:r>
      <w:r w:rsidR="004F0CCF">
        <w:rPr>
          <w:lang w:val="en-US"/>
        </w:rPr>
        <w:fldChar w:fldCharType="end"/>
      </w:r>
      <w:r>
        <w:rPr>
          <w:lang w:val="en-US"/>
        </w:rPr>
        <w:fldChar w:fldCharType="end"/>
      </w:r>
      <w:r>
        <w:rPr>
          <w:lang w:val="en-US"/>
        </w:rPr>
        <w:fldChar w:fldCharType="end"/>
      </w:r>
      <w:r>
        <w:rPr>
          <w:lang w:val="en-US"/>
        </w:rPr>
        <w:fldChar w:fldCharType="end"/>
      </w:r>
      <w:r>
        <w:rPr>
          <w:lang w:val="en-US"/>
        </w:rPr>
        <w:fldChar w:fldCharType="end"/>
      </w:r>
      <w:r>
        <w:rPr>
          <w:lang w:val="en-US"/>
        </w:rPr>
        <w:fldChar w:fldCharType="end"/>
      </w:r>
      <w:r w:rsidRPr="006E2081">
        <w:rPr>
          <w:lang w:val="en-US"/>
        </w:rPr>
        <w:fldChar w:fldCharType="end"/>
      </w:r>
      <w:r w:rsidRPr="006E2081">
        <w:rPr>
          <w:b/>
          <w:noProof/>
          <w:lang w:eastAsia="en-ZA"/>
        </w:rPr>
        <mc:AlternateContent>
          <mc:Choice Requires="wpc">
            <w:drawing>
              <wp:inline distT="0" distB="0" distL="0" distR="0" wp14:anchorId="4BA91ECE" wp14:editId="320FB0A9">
                <wp:extent cx="673100" cy="863600"/>
                <wp:effectExtent l="635" t="3175" r="254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0528C34F" id="Canvas 2"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 id="_x0000_s1027" type="#_x0000_t75" style="position:absolute;width:6731;height:8636;visibility:visible;mso-wrap-style:square">
                  <v:fill o:detectmouseclick="t"/>
                  <v:path o:connecttype="none"/>
                </v:shape>
                <w10:anchorlock/>
              </v:group>
            </w:pict>
          </mc:Fallback>
        </mc:AlternateContent>
      </w:r>
    </w:p>
    <w:p w14:paraId="593AAB59" w14:textId="77777777" w:rsidR="008D5872" w:rsidRPr="006E2081" w:rsidRDefault="008D5872" w:rsidP="008D5872">
      <w:pPr>
        <w:jc w:val="center"/>
        <w:rPr>
          <w:b/>
        </w:rPr>
      </w:pPr>
      <w:r>
        <w:rPr>
          <w:b/>
        </w:rPr>
        <w:t>IN THE HIGH COURT</w:t>
      </w:r>
      <w:r w:rsidRPr="006E2081">
        <w:rPr>
          <w:b/>
        </w:rPr>
        <w:t xml:space="preserve"> OF SOUTH AFRICA</w:t>
      </w:r>
    </w:p>
    <w:p w14:paraId="3ACC6ABF" w14:textId="77777777" w:rsidR="008D5872" w:rsidRPr="006E2081" w:rsidRDefault="008D5872" w:rsidP="008D5872">
      <w:pPr>
        <w:jc w:val="center"/>
        <w:rPr>
          <w:b/>
        </w:rPr>
      </w:pPr>
      <w:r>
        <w:rPr>
          <w:b/>
        </w:rPr>
        <w:t>GAUTENG LOCAL DIVISION, JOHANNESBURG</w:t>
      </w:r>
    </w:p>
    <w:p w14:paraId="4F27ED10" w14:textId="77777777" w:rsidR="008D5872" w:rsidRDefault="008D5872" w:rsidP="008D5872">
      <w:pPr>
        <w:jc w:val="center"/>
        <w:rPr>
          <w:b/>
        </w:rPr>
      </w:pPr>
    </w:p>
    <w:p w14:paraId="49BE6A2F" w14:textId="77777777" w:rsidR="008D5872" w:rsidRPr="006E2081" w:rsidRDefault="008D5872" w:rsidP="008D5872">
      <w:pPr>
        <w:jc w:val="center"/>
        <w:rPr>
          <w:b/>
        </w:rPr>
      </w:pPr>
    </w:p>
    <w:p w14:paraId="1D6D5FD7" w14:textId="77777777" w:rsidR="00C9702F" w:rsidRPr="001F4DF1" w:rsidRDefault="00C9702F" w:rsidP="00C9702F">
      <w:pPr>
        <w:rPr>
          <w:b/>
          <w:bCs/>
        </w:rPr>
      </w:pPr>
      <w:r w:rsidRPr="006E2081">
        <w:rPr>
          <w:noProof/>
          <w:lang w:eastAsia="en-ZA"/>
        </w:rPr>
        <mc:AlternateContent>
          <mc:Choice Requires="wps">
            <w:drawing>
              <wp:anchor distT="0" distB="0" distL="114300" distR="114300" simplePos="0" relativeHeight="251659264" behindDoc="0" locked="0" layoutInCell="1" allowOverlap="1" wp14:anchorId="1EF9057C" wp14:editId="7EBEAC42">
                <wp:simplePos x="0" y="0"/>
                <wp:positionH relativeFrom="column">
                  <wp:posOffset>0</wp:posOffset>
                </wp:positionH>
                <wp:positionV relativeFrom="paragraph">
                  <wp:posOffset>345440</wp:posOffset>
                </wp:positionV>
                <wp:extent cx="3314700" cy="13716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789E278" w14:textId="77777777" w:rsidR="008D5872" w:rsidRPr="00913F95" w:rsidRDefault="008D5872" w:rsidP="008D5872">
                            <w:pPr>
                              <w:jc w:val="center"/>
                              <w:rPr>
                                <w:rFonts w:ascii="Century Gothic" w:hAnsi="Century Gothic"/>
                                <w:b/>
                                <w:sz w:val="20"/>
                                <w:szCs w:val="20"/>
                              </w:rPr>
                            </w:pPr>
                          </w:p>
                          <w:p w14:paraId="5FC1F414" w14:textId="77777777" w:rsidR="008D5872"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2EBD7EFB" w14:textId="77777777" w:rsidR="008D5872" w:rsidRPr="00913F95"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36BD2340" w14:textId="77777777" w:rsidR="008D5872" w:rsidRPr="00913F95"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10FE0D58" w14:textId="77777777" w:rsidR="008D5872" w:rsidRDefault="008D5872" w:rsidP="008D5872">
                            <w:pPr>
                              <w:rPr>
                                <w:rFonts w:ascii="Century Gothic" w:hAnsi="Century Gothic"/>
                                <w:b/>
                                <w:sz w:val="18"/>
                                <w:szCs w:val="18"/>
                              </w:rPr>
                            </w:pPr>
                          </w:p>
                          <w:p w14:paraId="7D529A31" w14:textId="77777777" w:rsidR="008D5872" w:rsidRPr="00084341" w:rsidRDefault="008D5872" w:rsidP="008D587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4F256F7" w14:textId="77777777" w:rsidR="008D5872" w:rsidRPr="00084341" w:rsidRDefault="008D5872" w:rsidP="008D587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F9057C" id="_x0000_t202" coordsize="21600,21600" o:spt="202" path="m,l,21600r21600,l21600,xe">
                <v:stroke joinstyle="miter"/>
                <v:path gradientshapeok="t" o:connecttype="rect"/>
              </v:shapetype>
              <v:shape id="Text Box 1" o:spid="_x0000_s1026" type="#_x0000_t202" style="position:absolute;margin-left:0;margin-top:27.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">
                <v:textbox>
                  <w:txbxContent>
                    <w:p w14:paraId="5789E278" w14:textId="77777777" w:rsidR="008D5872" w:rsidRPr="00913F95" w:rsidRDefault="008D5872" w:rsidP="008D5872">
                      <w:pPr>
                        <w:jc w:val="center"/>
                        <w:rPr>
                          <w:rFonts w:ascii="Century Gothic" w:hAnsi="Century Gothic"/>
                          <w:b/>
                          <w:sz w:val="20"/>
                          <w:szCs w:val="20"/>
                        </w:rPr>
                      </w:pPr>
                    </w:p>
                    <w:p w14:paraId="5FC1F414" w14:textId="77777777" w:rsidR="008D5872"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2EBD7EFB" w14:textId="77777777" w:rsidR="008D5872" w:rsidRPr="00913F95"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36BD2340" w14:textId="77777777" w:rsidR="008D5872" w:rsidRPr="00913F95" w:rsidRDefault="008D5872" w:rsidP="008D5872">
                      <w:pPr>
                        <w:numPr>
                          <w:ilvl w:val="0"/>
                          <w:numId w:val="15"/>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10FE0D58" w14:textId="77777777" w:rsidR="008D5872" w:rsidRDefault="008D5872" w:rsidP="008D5872">
                      <w:pPr>
                        <w:rPr>
                          <w:rFonts w:ascii="Century Gothic" w:hAnsi="Century Gothic"/>
                          <w:b/>
                          <w:sz w:val="18"/>
                          <w:szCs w:val="18"/>
                        </w:rPr>
                      </w:pPr>
                    </w:p>
                    <w:p w14:paraId="7D529A31" w14:textId="77777777" w:rsidR="008D5872" w:rsidRPr="00084341" w:rsidRDefault="008D5872" w:rsidP="008D587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4F256F7" w14:textId="77777777" w:rsidR="008D5872" w:rsidRPr="00084341" w:rsidRDefault="008D5872" w:rsidP="008D587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8D5872">
        <w:rPr>
          <w:b/>
        </w:rPr>
        <w:tab/>
      </w:r>
      <w:r w:rsidR="008D5872">
        <w:rPr>
          <w:b/>
        </w:rPr>
        <w:tab/>
      </w:r>
      <w:r w:rsidR="008D5872">
        <w:rPr>
          <w:b/>
        </w:rPr>
        <w:tab/>
      </w:r>
      <w:r w:rsidR="008D5872">
        <w:rPr>
          <w:b/>
        </w:rPr>
        <w:tab/>
      </w:r>
      <w:r w:rsidR="008D5872">
        <w:rPr>
          <w:b/>
        </w:rPr>
        <w:tab/>
      </w:r>
      <w:r w:rsidR="008D5872">
        <w:rPr>
          <w:b/>
        </w:rPr>
        <w:tab/>
      </w:r>
      <w:r w:rsidR="008D5872">
        <w:rPr>
          <w:b/>
        </w:rPr>
        <w:tab/>
        <w:t xml:space="preserve">         </w:t>
      </w:r>
      <w:r w:rsidRPr="001F4DF1">
        <w:rPr>
          <w:b/>
          <w:bCs/>
        </w:rPr>
        <w:t>CASE NUMBER: 18849/18</w:t>
      </w:r>
    </w:p>
    <w:p w14:paraId="28FC7214" w14:textId="0C4CBB21" w:rsidR="008D5872" w:rsidRPr="00F3610A" w:rsidRDefault="008D5872" w:rsidP="008D5872">
      <w:pPr>
        <w:rPr>
          <w:b/>
        </w:rPr>
      </w:pPr>
      <w:r>
        <w:rPr>
          <w:b/>
        </w:rPr>
        <w:tab/>
      </w:r>
      <w:r>
        <w:rPr>
          <w:b/>
        </w:rPr>
        <w:tab/>
      </w:r>
      <w:r>
        <w:rPr>
          <w:b/>
        </w:rPr>
        <w:tab/>
      </w:r>
      <w:r>
        <w:rPr>
          <w:b/>
        </w:rPr>
        <w:tab/>
      </w:r>
      <w:r>
        <w:rPr>
          <w:b/>
        </w:rPr>
        <w:tab/>
      </w:r>
      <w:r>
        <w:rPr>
          <w:b/>
        </w:rPr>
        <w:tab/>
      </w:r>
      <w:r>
        <w:rPr>
          <w:b/>
        </w:rPr>
        <w:tab/>
        <w:t xml:space="preserve">                                                                                </w:t>
      </w:r>
    </w:p>
    <w:p w14:paraId="77B13D68" w14:textId="77777777" w:rsidR="008D5872" w:rsidRPr="006E2081" w:rsidRDefault="008D5872" w:rsidP="008D5872">
      <w:pPr>
        <w:jc w:val="both"/>
      </w:pPr>
    </w:p>
    <w:p w14:paraId="658DBE4F" w14:textId="77777777" w:rsidR="008D5872" w:rsidRPr="006E2081" w:rsidRDefault="008D5872" w:rsidP="008D5872">
      <w:pPr>
        <w:jc w:val="both"/>
      </w:pPr>
    </w:p>
    <w:p w14:paraId="09CABC89" w14:textId="77777777" w:rsidR="008D5872" w:rsidRPr="006E2081" w:rsidRDefault="008D5872" w:rsidP="008D5872">
      <w:pPr>
        <w:jc w:val="both"/>
      </w:pPr>
    </w:p>
    <w:p w14:paraId="41AF9375" w14:textId="77777777" w:rsidR="008D5872" w:rsidRPr="006E2081" w:rsidRDefault="008D5872" w:rsidP="008D5872">
      <w:pPr>
        <w:jc w:val="both"/>
      </w:pPr>
    </w:p>
    <w:p w14:paraId="46C828E2" w14:textId="77777777" w:rsidR="008D5872" w:rsidRPr="006E2081" w:rsidRDefault="008D5872" w:rsidP="008D5872"/>
    <w:p w14:paraId="07D53348" w14:textId="77777777" w:rsidR="008D5872" w:rsidRDefault="008D5872" w:rsidP="008D5872">
      <w:r w:rsidRPr="006E2081">
        <w:t>In the matter between:</w:t>
      </w:r>
    </w:p>
    <w:p w14:paraId="09CBC694" w14:textId="77777777" w:rsidR="008D5872" w:rsidRDefault="008D5872" w:rsidP="008D5872"/>
    <w:p w14:paraId="224F8B2F" w14:textId="389AABA5" w:rsidR="00C9702F" w:rsidRPr="001F4DF1" w:rsidRDefault="00C9702F" w:rsidP="00C9702F">
      <w:pPr>
        <w:rPr>
          <w:b/>
          <w:bCs/>
        </w:rPr>
      </w:pPr>
      <w:r w:rsidRPr="001F4DF1">
        <w:rPr>
          <w:b/>
          <w:bCs/>
        </w:rPr>
        <w:t>AUDREY DORIS PRINCE</w:t>
      </w:r>
      <w:r w:rsidRPr="001F4DF1">
        <w:rPr>
          <w:b/>
          <w:bCs/>
        </w:rPr>
        <w:tab/>
      </w:r>
      <w:r w:rsidRPr="001F4DF1">
        <w:rPr>
          <w:b/>
          <w:bCs/>
        </w:rPr>
        <w:tab/>
      </w:r>
      <w:r w:rsidRPr="001F4DF1">
        <w:rPr>
          <w:b/>
          <w:bCs/>
        </w:rPr>
        <w:tab/>
      </w:r>
      <w:r w:rsidRPr="001F4DF1">
        <w:rPr>
          <w:b/>
          <w:bCs/>
        </w:rPr>
        <w:tab/>
      </w:r>
      <w:r w:rsidRPr="001F4DF1">
        <w:rPr>
          <w:b/>
          <w:bCs/>
        </w:rPr>
        <w:tab/>
      </w:r>
      <w:r>
        <w:rPr>
          <w:b/>
          <w:bCs/>
        </w:rPr>
        <w:tab/>
      </w:r>
      <w:r>
        <w:rPr>
          <w:b/>
          <w:bCs/>
        </w:rPr>
        <w:tab/>
        <w:t xml:space="preserve">    </w:t>
      </w:r>
      <w:r w:rsidRPr="00C9702F">
        <w:rPr>
          <w:bCs/>
        </w:rPr>
        <w:t>First Applicant</w:t>
      </w:r>
    </w:p>
    <w:p w14:paraId="609B4BB6" w14:textId="63C8440C" w:rsidR="00C9702F" w:rsidRPr="00C9702F" w:rsidRDefault="00C9702F" w:rsidP="00C9702F">
      <w:pPr>
        <w:rPr>
          <w:bCs/>
        </w:rPr>
      </w:pPr>
      <w:r w:rsidRPr="001F4DF1">
        <w:rPr>
          <w:b/>
          <w:bCs/>
        </w:rPr>
        <w:t>STUART ROBERT ANTHONY PRINCE</w:t>
      </w:r>
      <w:r w:rsidRPr="001F4DF1">
        <w:rPr>
          <w:b/>
          <w:bCs/>
        </w:rPr>
        <w:tab/>
      </w:r>
      <w:r w:rsidRPr="001F4DF1">
        <w:rPr>
          <w:b/>
          <w:bCs/>
        </w:rPr>
        <w:tab/>
      </w:r>
      <w:r w:rsidRPr="001F4DF1">
        <w:rPr>
          <w:b/>
          <w:bCs/>
        </w:rPr>
        <w:tab/>
      </w:r>
      <w:r>
        <w:rPr>
          <w:b/>
          <w:bCs/>
        </w:rPr>
        <w:tab/>
        <w:t xml:space="preserve">          </w:t>
      </w:r>
      <w:r w:rsidRPr="00C9702F">
        <w:rPr>
          <w:bCs/>
        </w:rPr>
        <w:t>Second Applicant</w:t>
      </w:r>
    </w:p>
    <w:p w14:paraId="40B46374" w14:textId="77777777" w:rsidR="00C9702F" w:rsidRPr="001F4DF1" w:rsidRDefault="00C9702F" w:rsidP="00C9702F">
      <w:pPr>
        <w:rPr>
          <w:b/>
          <w:bCs/>
        </w:rPr>
      </w:pPr>
    </w:p>
    <w:p w14:paraId="635826EA" w14:textId="77777777" w:rsidR="00C9702F" w:rsidRPr="001F4DF1" w:rsidRDefault="00C9702F" w:rsidP="00C9702F">
      <w:pPr>
        <w:rPr>
          <w:b/>
          <w:bCs/>
        </w:rPr>
      </w:pPr>
      <w:r w:rsidRPr="001F4DF1">
        <w:rPr>
          <w:b/>
          <w:bCs/>
        </w:rPr>
        <w:t>and</w:t>
      </w:r>
    </w:p>
    <w:p w14:paraId="47D9CDAD" w14:textId="77777777" w:rsidR="00C9702F" w:rsidRPr="001F4DF1" w:rsidRDefault="00C9702F" w:rsidP="00C9702F">
      <w:pPr>
        <w:rPr>
          <w:b/>
          <w:bCs/>
        </w:rPr>
      </w:pPr>
    </w:p>
    <w:p w14:paraId="09B44A8E" w14:textId="4F34E90E" w:rsidR="00C9702F" w:rsidRPr="001F4DF1" w:rsidRDefault="00C9702F" w:rsidP="00C9702F">
      <w:pPr>
        <w:rPr>
          <w:b/>
          <w:bCs/>
        </w:rPr>
      </w:pPr>
      <w:r w:rsidRPr="001F4DF1">
        <w:rPr>
          <w:b/>
          <w:bCs/>
        </w:rPr>
        <w:t>THE NATIONAL DIRECTOR OF PUBLIC PROSECUTIONS</w:t>
      </w:r>
      <w:r>
        <w:rPr>
          <w:b/>
          <w:bCs/>
        </w:rPr>
        <w:t xml:space="preserve">         </w:t>
      </w:r>
      <w:r w:rsidRPr="001F4DF1">
        <w:rPr>
          <w:b/>
          <w:bCs/>
        </w:rPr>
        <w:t xml:space="preserve"> </w:t>
      </w:r>
      <w:r>
        <w:rPr>
          <w:b/>
          <w:bCs/>
        </w:rPr>
        <w:t xml:space="preserve"> </w:t>
      </w:r>
      <w:r w:rsidRPr="00C9702F">
        <w:rPr>
          <w:bCs/>
        </w:rPr>
        <w:t>First Respondent</w:t>
      </w:r>
    </w:p>
    <w:p w14:paraId="649CE1DB" w14:textId="3C208FD8" w:rsidR="00C9702F" w:rsidRPr="001F4DF1" w:rsidRDefault="00C9702F" w:rsidP="00C9702F">
      <w:pPr>
        <w:rPr>
          <w:b/>
          <w:bCs/>
        </w:rPr>
      </w:pPr>
      <w:r w:rsidRPr="001F4DF1">
        <w:rPr>
          <w:b/>
          <w:bCs/>
        </w:rPr>
        <w:t>THE DIRECTOR OF PUBLIC PROSECUTIONS</w:t>
      </w:r>
      <w:r w:rsidRPr="001F4DF1">
        <w:rPr>
          <w:b/>
          <w:bCs/>
        </w:rPr>
        <w:tab/>
      </w:r>
      <w:r w:rsidRPr="001F4DF1">
        <w:rPr>
          <w:b/>
          <w:bCs/>
        </w:rPr>
        <w:tab/>
      </w:r>
      <w:r>
        <w:rPr>
          <w:b/>
          <w:bCs/>
        </w:rPr>
        <w:t xml:space="preserve">     </w:t>
      </w:r>
    </w:p>
    <w:p w14:paraId="71917834" w14:textId="6E72371F" w:rsidR="00C9702F" w:rsidRPr="001F4DF1" w:rsidRDefault="00C9702F" w:rsidP="00C9702F">
      <w:pPr>
        <w:rPr>
          <w:b/>
          <w:bCs/>
        </w:rPr>
      </w:pPr>
      <w:r w:rsidRPr="001F4DF1">
        <w:rPr>
          <w:b/>
          <w:bCs/>
        </w:rPr>
        <w:t>GAUTENG LOCAL DIVISION</w:t>
      </w:r>
      <w:r>
        <w:rPr>
          <w:b/>
          <w:bCs/>
        </w:rPr>
        <w:tab/>
      </w:r>
      <w:r>
        <w:rPr>
          <w:b/>
          <w:bCs/>
        </w:rPr>
        <w:tab/>
      </w:r>
      <w:r>
        <w:rPr>
          <w:b/>
          <w:bCs/>
        </w:rPr>
        <w:tab/>
      </w:r>
      <w:r>
        <w:rPr>
          <w:b/>
          <w:bCs/>
        </w:rPr>
        <w:tab/>
      </w:r>
      <w:r>
        <w:rPr>
          <w:b/>
          <w:bCs/>
        </w:rPr>
        <w:tab/>
        <w:t xml:space="preserve">     </w:t>
      </w:r>
      <w:r w:rsidRPr="00C9702F">
        <w:rPr>
          <w:bCs/>
        </w:rPr>
        <w:t>Second Respondent</w:t>
      </w:r>
    </w:p>
    <w:p w14:paraId="74BD6770" w14:textId="634BAED8" w:rsidR="00C9702F" w:rsidRPr="001F4DF1" w:rsidRDefault="00C9702F" w:rsidP="00C9702F">
      <w:pPr>
        <w:rPr>
          <w:b/>
          <w:bCs/>
        </w:rPr>
      </w:pPr>
      <w:r w:rsidRPr="001F4DF1">
        <w:rPr>
          <w:b/>
          <w:bCs/>
        </w:rPr>
        <w:t>THE SENIOR PUBLIC PROSECUTOR SPECIALIZED</w:t>
      </w:r>
      <w:r w:rsidRPr="001F4DF1">
        <w:rPr>
          <w:b/>
          <w:bCs/>
        </w:rPr>
        <w:tab/>
      </w:r>
    </w:p>
    <w:p w14:paraId="213619F8" w14:textId="732610A3" w:rsidR="00C9702F" w:rsidRPr="001F4DF1" w:rsidRDefault="00C9702F" w:rsidP="00C9702F">
      <w:pPr>
        <w:rPr>
          <w:b/>
          <w:bCs/>
        </w:rPr>
      </w:pPr>
      <w:r w:rsidRPr="001F4DF1">
        <w:rPr>
          <w:b/>
          <w:bCs/>
        </w:rPr>
        <w:t>COMMERCIAL CRIMES COURT JOHANNESBURG</w:t>
      </w:r>
      <w:r>
        <w:rPr>
          <w:b/>
          <w:bCs/>
        </w:rPr>
        <w:t xml:space="preserve">                     </w:t>
      </w:r>
      <w:r w:rsidRPr="00C9702F">
        <w:rPr>
          <w:bCs/>
        </w:rPr>
        <w:t>Third Respondent</w:t>
      </w:r>
      <w:r>
        <w:rPr>
          <w:b/>
          <w:bCs/>
        </w:rPr>
        <w:t xml:space="preserve"> </w:t>
      </w:r>
    </w:p>
    <w:p w14:paraId="338EF053" w14:textId="77777777" w:rsidR="00C9702F" w:rsidRPr="001F4DF1" w:rsidRDefault="00C9702F" w:rsidP="00C9702F">
      <w:pPr>
        <w:rPr>
          <w:b/>
          <w:bCs/>
        </w:rPr>
      </w:pPr>
    </w:p>
    <w:p w14:paraId="4DBCA110" w14:textId="77777777" w:rsidR="008D5872" w:rsidRPr="001C4D64" w:rsidRDefault="008D5872" w:rsidP="008D5872">
      <w:pPr>
        <w:pBdr>
          <w:bottom w:val="single" w:sz="12" w:space="1" w:color="auto"/>
        </w:pBdr>
      </w:pPr>
    </w:p>
    <w:p w14:paraId="587BBB27" w14:textId="77777777" w:rsidR="008D5872" w:rsidRPr="004C0082" w:rsidRDefault="008D5872" w:rsidP="008D5872">
      <w:pPr>
        <w:tabs>
          <w:tab w:val="right" w:pos="8280"/>
        </w:tabs>
        <w:jc w:val="both"/>
        <w:rPr>
          <w:b/>
        </w:rPr>
      </w:pPr>
    </w:p>
    <w:p w14:paraId="1DC7A6EE" w14:textId="2CEE94CC" w:rsidR="008D5872" w:rsidRDefault="00C9702F" w:rsidP="008D5872">
      <w:pPr>
        <w:pBdr>
          <w:bottom w:val="single" w:sz="12" w:space="1" w:color="auto"/>
        </w:pBdr>
        <w:tabs>
          <w:tab w:val="right" w:pos="8280"/>
        </w:tabs>
        <w:jc w:val="center"/>
        <w:rPr>
          <w:b/>
        </w:rPr>
      </w:pPr>
      <w:r>
        <w:rPr>
          <w:b/>
        </w:rPr>
        <w:t>JUDGEMENT</w:t>
      </w:r>
    </w:p>
    <w:p w14:paraId="0F5BB12F" w14:textId="77777777" w:rsidR="008D5872" w:rsidRPr="006E2081" w:rsidRDefault="008D5872" w:rsidP="008D5872">
      <w:pPr>
        <w:pBdr>
          <w:bottom w:val="single" w:sz="12" w:space="1" w:color="auto"/>
        </w:pBdr>
        <w:tabs>
          <w:tab w:val="right" w:pos="8280"/>
        </w:tabs>
        <w:jc w:val="center"/>
        <w:rPr>
          <w:b/>
        </w:rPr>
      </w:pPr>
    </w:p>
    <w:p w14:paraId="6308D7DD" w14:textId="57CF21B6" w:rsidR="008D5872" w:rsidRDefault="008D5872" w:rsidP="008D5872">
      <w:pPr>
        <w:jc w:val="center"/>
        <w:rPr>
          <w:b/>
          <w:bCs/>
        </w:rPr>
      </w:pPr>
    </w:p>
    <w:p w14:paraId="46222911" w14:textId="6B438120" w:rsidR="009B34E8" w:rsidRPr="001F4DF1" w:rsidRDefault="00C9702F" w:rsidP="005171A7">
      <w:pPr>
        <w:spacing w:line="360" w:lineRule="auto"/>
        <w:jc w:val="both"/>
        <w:rPr>
          <w:b/>
          <w:bCs/>
        </w:rPr>
      </w:pPr>
      <w:r w:rsidRPr="00C9702F">
        <w:rPr>
          <w:b/>
          <w:bCs/>
          <w:u w:val="single"/>
        </w:rPr>
        <w:t>DANIELS AJ:</w:t>
      </w:r>
    </w:p>
    <w:p w14:paraId="6158A7F7" w14:textId="213087D3" w:rsidR="00EC2C22" w:rsidRPr="001F4DF1" w:rsidRDefault="00EC2C22" w:rsidP="005171A7">
      <w:pPr>
        <w:jc w:val="both"/>
      </w:pPr>
    </w:p>
    <w:p w14:paraId="3856D3E7" w14:textId="1DC27FA0" w:rsidR="003509E0" w:rsidRDefault="009B6EE7" w:rsidP="005171A7">
      <w:pPr>
        <w:spacing w:line="360" w:lineRule="auto"/>
        <w:jc w:val="both"/>
      </w:pPr>
      <w:r w:rsidRPr="00C9702F">
        <w:t>[1]</w:t>
      </w:r>
      <w:r w:rsidRPr="00C9702F">
        <w:tab/>
      </w:r>
      <w:r w:rsidR="00EC2C22" w:rsidRPr="00C9702F">
        <w:t>The applicants</w:t>
      </w:r>
      <w:r w:rsidR="0083561B" w:rsidRPr="00C9702F">
        <w:t>, who are married to each other</w:t>
      </w:r>
      <w:r w:rsidR="00116F58" w:rsidRPr="00C9702F">
        <w:t>,</w:t>
      </w:r>
      <w:r w:rsidR="00EC2C22" w:rsidRPr="00C9702F">
        <w:t xml:space="preserve"> seek a</w:t>
      </w:r>
      <w:r w:rsidR="003509E0" w:rsidRPr="00C9702F">
        <w:t>n order</w:t>
      </w:r>
      <w:r w:rsidR="00B45FAE" w:rsidRPr="00C9702F">
        <w:t xml:space="preserve">, as set out in the notice of motion, </w:t>
      </w:r>
      <w:r w:rsidR="009326AE" w:rsidRPr="00C9702F">
        <w:t>as follows</w:t>
      </w:r>
      <w:r w:rsidR="003509E0" w:rsidRPr="00C9702F">
        <w:t>:</w:t>
      </w:r>
    </w:p>
    <w:p w14:paraId="49A6E847" w14:textId="77777777" w:rsidR="005171A7" w:rsidRPr="00C9702F" w:rsidRDefault="005171A7" w:rsidP="005171A7">
      <w:pPr>
        <w:spacing w:line="360" w:lineRule="auto"/>
        <w:jc w:val="both"/>
      </w:pPr>
    </w:p>
    <w:p w14:paraId="6FE4B0D1" w14:textId="52889EAE" w:rsidR="00EC2C22" w:rsidRDefault="003509E0" w:rsidP="005171A7">
      <w:pPr>
        <w:pStyle w:val="ListParagraph"/>
        <w:numPr>
          <w:ilvl w:val="0"/>
          <w:numId w:val="1"/>
        </w:numPr>
        <w:spacing w:line="360" w:lineRule="auto"/>
        <w:jc w:val="both"/>
      </w:pPr>
      <w:r w:rsidRPr="00C9702F">
        <w:t>The</w:t>
      </w:r>
      <w:r w:rsidR="00DA1724" w:rsidRPr="00C9702F">
        <w:t xml:space="preserve"> </w:t>
      </w:r>
      <w:r w:rsidRPr="00C9702F">
        <w:t xml:space="preserve">prosecution against the Applicants </w:t>
      </w:r>
      <w:r w:rsidR="00EC2C22" w:rsidRPr="00C9702F">
        <w:t>currently before the Specialized Commercial Crimes Court, in Johannesburg under case no: SCCC 58/2012</w:t>
      </w:r>
      <w:r w:rsidR="00261C4C" w:rsidRPr="00C9702F">
        <w:t xml:space="preserve"> be permanently stayed;</w:t>
      </w:r>
    </w:p>
    <w:p w14:paraId="5E3C6B07" w14:textId="77777777" w:rsidR="005171A7" w:rsidRPr="00C9702F" w:rsidRDefault="005171A7" w:rsidP="005171A7">
      <w:pPr>
        <w:pStyle w:val="ListParagraph"/>
        <w:spacing w:line="360" w:lineRule="auto"/>
        <w:jc w:val="both"/>
      </w:pPr>
    </w:p>
    <w:p w14:paraId="62797178" w14:textId="2329CCC1" w:rsidR="00EC2C22" w:rsidRDefault="00261C4C" w:rsidP="005171A7">
      <w:pPr>
        <w:pStyle w:val="ListParagraph"/>
        <w:numPr>
          <w:ilvl w:val="0"/>
          <w:numId w:val="1"/>
        </w:numPr>
        <w:spacing w:line="360" w:lineRule="auto"/>
        <w:jc w:val="both"/>
      </w:pPr>
      <w:r w:rsidRPr="00C9702F">
        <w:t xml:space="preserve">That the Respondents, </w:t>
      </w:r>
      <w:r w:rsidR="003C2106" w:rsidRPr="00C9702F">
        <w:t>in the event of opposing this application, be ordered to pay the costs of</w:t>
      </w:r>
      <w:r w:rsidR="0041032D" w:rsidRPr="00C9702F">
        <w:t xml:space="preserve"> </w:t>
      </w:r>
      <w:r w:rsidR="003C2106" w:rsidRPr="00C9702F">
        <w:t>this application, jointly and severally, the one paying the other t</w:t>
      </w:r>
      <w:r w:rsidR="007C3AB4" w:rsidRPr="00C9702F">
        <w:t xml:space="preserve">o </w:t>
      </w:r>
      <w:r w:rsidR="009C08DF" w:rsidRPr="00C9702F">
        <w:t>be</w:t>
      </w:r>
      <w:r w:rsidR="007C3AB4" w:rsidRPr="00C9702F">
        <w:t xml:space="preserve"> absolved.</w:t>
      </w:r>
    </w:p>
    <w:p w14:paraId="15A0BD3E" w14:textId="77777777" w:rsidR="005171A7" w:rsidRPr="00C9702F" w:rsidRDefault="005171A7" w:rsidP="005171A7">
      <w:pPr>
        <w:pStyle w:val="ListParagraph"/>
        <w:spacing w:line="360" w:lineRule="auto"/>
        <w:jc w:val="both"/>
      </w:pPr>
    </w:p>
    <w:p w14:paraId="04D89408" w14:textId="4EE2C202" w:rsidR="003024AE" w:rsidRDefault="009B6EE7" w:rsidP="005171A7">
      <w:pPr>
        <w:spacing w:line="360" w:lineRule="auto"/>
        <w:jc w:val="both"/>
      </w:pPr>
      <w:r w:rsidRPr="00C9702F">
        <w:t>[2]</w:t>
      </w:r>
      <w:r w:rsidRPr="00C9702F">
        <w:tab/>
      </w:r>
      <w:r w:rsidR="003024AE" w:rsidRPr="00C9702F">
        <w:t xml:space="preserve">The applicants allege that the long delay in </w:t>
      </w:r>
      <w:r w:rsidR="0098279E" w:rsidRPr="00C9702F">
        <w:t>prosecuting their case and the loss of documents by the state impact on their rights to a fair trial.</w:t>
      </w:r>
    </w:p>
    <w:p w14:paraId="6C39B817" w14:textId="77777777" w:rsidR="005171A7" w:rsidRPr="00C9702F" w:rsidRDefault="005171A7" w:rsidP="005171A7">
      <w:pPr>
        <w:spacing w:line="360" w:lineRule="auto"/>
        <w:jc w:val="both"/>
      </w:pPr>
    </w:p>
    <w:p w14:paraId="3D8AB816" w14:textId="7D5843BC" w:rsidR="00E905F9" w:rsidRDefault="00CF071C" w:rsidP="005171A7">
      <w:pPr>
        <w:spacing w:line="360" w:lineRule="auto"/>
        <w:jc w:val="both"/>
      </w:pPr>
      <w:r w:rsidRPr="00C9702F">
        <w:t>[3]</w:t>
      </w:r>
      <w:r w:rsidRPr="00C9702F">
        <w:tab/>
      </w:r>
      <w:r w:rsidR="00E905F9" w:rsidRPr="00C9702F">
        <w:t xml:space="preserve">Their application </w:t>
      </w:r>
      <w:r w:rsidR="009D199F" w:rsidRPr="00C9702F">
        <w:t xml:space="preserve">for </w:t>
      </w:r>
      <w:r w:rsidR="00AB5D20" w:rsidRPr="00C9702F">
        <w:t>a permanent stay of the prosecution against them is based on th</w:t>
      </w:r>
      <w:r w:rsidR="00720384" w:rsidRPr="00C9702F">
        <w:t xml:space="preserve">ose </w:t>
      </w:r>
      <w:r w:rsidR="007C7046" w:rsidRPr="00C9702F">
        <w:t>two factors</w:t>
      </w:r>
      <w:r w:rsidR="004672D1" w:rsidRPr="00C9702F">
        <w:t>.</w:t>
      </w:r>
      <w:r w:rsidR="004672D1" w:rsidRPr="00C9702F">
        <w:rPr>
          <w:rStyle w:val="FootnoteReference"/>
        </w:rPr>
        <w:footnoteReference w:id="1"/>
      </w:r>
    </w:p>
    <w:p w14:paraId="3E2B8D64" w14:textId="77777777" w:rsidR="005171A7" w:rsidRPr="00C9702F" w:rsidRDefault="005171A7" w:rsidP="005171A7">
      <w:pPr>
        <w:spacing w:line="360" w:lineRule="auto"/>
        <w:jc w:val="both"/>
      </w:pPr>
    </w:p>
    <w:p w14:paraId="69E2F736" w14:textId="6884F3F9" w:rsidR="002958AD" w:rsidRPr="00C9702F" w:rsidRDefault="00CF071C" w:rsidP="005171A7">
      <w:pPr>
        <w:spacing w:line="360" w:lineRule="auto"/>
        <w:jc w:val="both"/>
      </w:pPr>
      <w:r w:rsidRPr="00C9702F">
        <w:t>[4]</w:t>
      </w:r>
      <w:r w:rsidR="002958AD" w:rsidRPr="00C9702F">
        <w:tab/>
        <w:t xml:space="preserve">The respondents </w:t>
      </w:r>
      <w:r w:rsidR="00707294" w:rsidRPr="00C9702F">
        <w:t xml:space="preserve">state that the issue to </w:t>
      </w:r>
      <w:r w:rsidR="000B1112" w:rsidRPr="00C9702F">
        <w:t>be</w:t>
      </w:r>
      <w:r w:rsidR="00707294" w:rsidRPr="00C9702F">
        <w:t xml:space="preserve"> decided is whether the applicants’ right to a fair tr</w:t>
      </w:r>
      <w:r w:rsidR="00021175" w:rsidRPr="00C9702F">
        <w:t>ial has been infringed by the respondents</w:t>
      </w:r>
      <w:r w:rsidR="000B1112" w:rsidRPr="00C9702F">
        <w:t>’ failure to provide certain documents.</w:t>
      </w:r>
      <w:r w:rsidR="000B1112" w:rsidRPr="00C9702F">
        <w:rPr>
          <w:rStyle w:val="FootnoteReference"/>
        </w:rPr>
        <w:footnoteReference w:id="2"/>
      </w:r>
      <w:r w:rsidRPr="00C9702F">
        <w:tab/>
      </w:r>
    </w:p>
    <w:p w14:paraId="03E978E8" w14:textId="27DC062D" w:rsidR="004A6DDA" w:rsidRDefault="007A63CC" w:rsidP="005171A7">
      <w:pPr>
        <w:spacing w:line="360" w:lineRule="auto"/>
        <w:jc w:val="both"/>
      </w:pPr>
      <w:r w:rsidRPr="00C9702F">
        <w:lastRenderedPageBreak/>
        <w:t>[5]</w:t>
      </w:r>
      <w:r w:rsidRPr="00C9702F">
        <w:tab/>
      </w:r>
      <w:r w:rsidR="004A6DDA" w:rsidRPr="00C9702F">
        <w:t>The first applicant was a manager at the Strydom Park and Randburg branches of Nedbank and is alleged to have fraudulently transferred R8 764 095. 78 from various suspense accounts which she had access to and control over to accounts held in her and the second applicant’s names.</w:t>
      </w:r>
    </w:p>
    <w:p w14:paraId="3EE5C5D0" w14:textId="77777777" w:rsidR="005171A7" w:rsidRPr="00C9702F" w:rsidRDefault="005171A7" w:rsidP="005171A7">
      <w:pPr>
        <w:spacing w:line="360" w:lineRule="auto"/>
        <w:jc w:val="both"/>
      </w:pPr>
    </w:p>
    <w:p w14:paraId="49E24EC5" w14:textId="0FE291C2" w:rsidR="00D50EB9" w:rsidRDefault="00D5691A" w:rsidP="005171A7">
      <w:pPr>
        <w:spacing w:line="360" w:lineRule="auto"/>
        <w:jc w:val="both"/>
      </w:pPr>
      <w:r w:rsidRPr="00C9702F">
        <w:t>[</w:t>
      </w:r>
      <w:r w:rsidR="007A63CC" w:rsidRPr="00C9702F">
        <w:t>6</w:t>
      </w:r>
      <w:r w:rsidRPr="00C9702F">
        <w:t>]</w:t>
      </w:r>
      <w:r w:rsidRPr="00C9702F">
        <w:tab/>
      </w:r>
      <w:r w:rsidR="00E30EF3" w:rsidRPr="00C9702F">
        <w:t xml:space="preserve">Both </w:t>
      </w:r>
      <w:r w:rsidR="00B7281A" w:rsidRPr="00C9702F">
        <w:t>applicants</w:t>
      </w:r>
      <w:r w:rsidR="00DD6E87" w:rsidRPr="00C9702F">
        <w:t xml:space="preserve"> are charged with 238 counts of fraud, alternatively theft. They are also charged with 238 counts of contravening section 4 (a) of the Prevention of Organised Crime Act, Act 121 of 1998.</w:t>
      </w:r>
    </w:p>
    <w:p w14:paraId="01FE871D" w14:textId="77777777" w:rsidR="005171A7" w:rsidRPr="00C9702F" w:rsidRDefault="005171A7" w:rsidP="005171A7">
      <w:pPr>
        <w:spacing w:line="360" w:lineRule="auto"/>
        <w:jc w:val="both"/>
      </w:pPr>
    </w:p>
    <w:p w14:paraId="1BDF82C2" w14:textId="1C920987" w:rsidR="00DC5086" w:rsidRDefault="00CF071C" w:rsidP="005171A7">
      <w:pPr>
        <w:spacing w:line="360" w:lineRule="auto"/>
        <w:jc w:val="both"/>
      </w:pPr>
      <w:r w:rsidRPr="00C9702F">
        <w:t>[</w:t>
      </w:r>
      <w:r w:rsidR="007A63CC" w:rsidRPr="00C9702F">
        <w:t>7</w:t>
      </w:r>
      <w:r w:rsidRPr="00C9702F">
        <w:t>]</w:t>
      </w:r>
      <w:r w:rsidRPr="00C9702F">
        <w:tab/>
      </w:r>
      <w:r w:rsidR="00DD6E87" w:rsidRPr="00C9702F">
        <w:t xml:space="preserve">The respondents </w:t>
      </w:r>
      <w:r w:rsidR="00496A43" w:rsidRPr="00C9702F">
        <w:t xml:space="preserve">are </w:t>
      </w:r>
      <w:r w:rsidR="00D96791" w:rsidRPr="00C9702F">
        <w:t xml:space="preserve">part of the national prosecuting authority </w:t>
      </w:r>
      <w:r w:rsidR="00FD5138" w:rsidRPr="00C9702F">
        <w:t xml:space="preserve">responsible </w:t>
      </w:r>
      <w:r w:rsidR="00874576" w:rsidRPr="00C9702F">
        <w:t xml:space="preserve">for instituting </w:t>
      </w:r>
      <w:r w:rsidR="00083218" w:rsidRPr="00C9702F">
        <w:t>criminal proceedings on behalf of the state, and for carrying ou</w:t>
      </w:r>
      <w:r w:rsidR="002A2C9B" w:rsidRPr="00C9702F">
        <w:t>t any necessary fu</w:t>
      </w:r>
      <w:r w:rsidR="008F25FE" w:rsidRPr="00C9702F">
        <w:t>nct</w:t>
      </w:r>
      <w:r w:rsidR="002A2C9B" w:rsidRPr="00C9702F">
        <w:t xml:space="preserve">ions </w:t>
      </w:r>
      <w:r w:rsidR="005553D6" w:rsidRPr="00C9702F">
        <w:t>incidental to instituting criminal proceedings</w:t>
      </w:r>
      <w:r w:rsidR="00670299" w:rsidRPr="00C9702F">
        <w:t xml:space="preserve"> in terms of the constitution</w:t>
      </w:r>
      <w:r w:rsidR="00A40C89" w:rsidRPr="00C9702F">
        <w:t xml:space="preserve"> an</w:t>
      </w:r>
      <w:r w:rsidR="00582928" w:rsidRPr="00C9702F">
        <w:t>d the</w:t>
      </w:r>
      <w:r w:rsidR="00D96791" w:rsidRPr="00C9702F">
        <w:t xml:space="preserve"> </w:t>
      </w:r>
      <w:r w:rsidR="005F0234" w:rsidRPr="00C9702F">
        <w:t>National Prosecuting Authority Act No 32 of 1998</w:t>
      </w:r>
      <w:r w:rsidR="00D50EB9" w:rsidRPr="00C9702F">
        <w:t xml:space="preserve"> and oppose the relief sought by the applicants.</w:t>
      </w:r>
    </w:p>
    <w:p w14:paraId="2984370B" w14:textId="77777777" w:rsidR="005171A7" w:rsidRPr="00C9702F" w:rsidRDefault="005171A7" w:rsidP="005171A7">
      <w:pPr>
        <w:spacing w:line="360" w:lineRule="auto"/>
        <w:jc w:val="both"/>
      </w:pPr>
    </w:p>
    <w:p w14:paraId="54451A75" w14:textId="77777777" w:rsidR="005171A7" w:rsidRDefault="00CF071C" w:rsidP="005171A7">
      <w:pPr>
        <w:spacing w:line="360" w:lineRule="auto"/>
        <w:jc w:val="both"/>
      </w:pPr>
      <w:r w:rsidRPr="00C9702F">
        <w:t>[</w:t>
      </w:r>
      <w:r w:rsidR="007A63CC" w:rsidRPr="00C9702F">
        <w:t>8</w:t>
      </w:r>
      <w:r w:rsidRPr="00C9702F">
        <w:t>]</w:t>
      </w:r>
      <w:r w:rsidRPr="00C9702F">
        <w:tab/>
      </w:r>
      <w:r w:rsidR="007F043E" w:rsidRPr="00C9702F">
        <w:t>The first a</w:t>
      </w:r>
      <w:r w:rsidR="009326AE" w:rsidRPr="00C9702F">
        <w:t>pplicant</w:t>
      </w:r>
      <w:r w:rsidR="007F043E" w:rsidRPr="00C9702F">
        <w:t xml:space="preserve"> has deposed to </w:t>
      </w:r>
      <w:r w:rsidR="005E69A6" w:rsidRPr="00C9702F">
        <w:t>a short</w:t>
      </w:r>
      <w:r w:rsidR="007F043E" w:rsidRPr="00C9702F">
        <w:t xml:space="preserve"> founding affidavit on behalf of herself and the second applicant</w:t>
      </w:r>
      <w:r w:rsidR="00821C38" w:rsidRPr="00C9702F">
        <w:t>,</w:t>
      </w:r>
      <w:r w:rsidR="007F043E" w:rsidRPr="00C9702F">
        <w:t xml:space="preserve"> who has deposed </w:t>
      </w:r>
      <w:r w:rsidR="00821C38" w:rsidRPr="00C9702F">
        <w:t xml:space="preserve">only </w:t>
      </w:r>
      <w:r w:rsidR="007F043E" w:rsidRPr="00C9702F">
        <w:t>to a confirmatory affidavit.</w:t>
      </w:r>
      <w:r w:rsidR="00773445" w:rsidRPr="00C9702F">
        <w:t xml:space="preserve"> In th</w:t>
      </w:r>
      <w:r w:rsidR="00322166" w:rsidRPr="00C9702F">
        <w:t xml:space="preserve">e founding </w:t>
      </w:r>
      <w:r w:rsidR="00773445" w:rsidRPr="00C9702F">
        <w:t xml:space="preserve">affidavit, </w:t>
      </w:r>
      <w:r w:rsidR="007B2332" w:rsidRPr="00C9702F">
        <w:t>the first applicant</w:t>
      </w:r>
      <w:r w:rsidR="00773445" w:rsidRPr="00C9702F">
        <w:t xml:space="preserve"> elected not to disclose the basis of </w:t>
      </w:r>
      <w:r w:rsidR="007B2332" w:rsidRPr="00C9702F">
        <w:t>th</w:t>
      </w:r>
      <w:r w:rsidR="00EC4C1D" w:rsidRPr="00C9702F">
        <w:t>e applicants’</w:t>
      </w:r>
      <w:r w:rsidR="00773445" w:rsidRPr="00C9702F">
        <w:t xml:space="preserve"> defence</w:t>
      </w:r>
      <w:r w:rsidR="00EC4C1D" w:rsidRPr="00C9702F">
        <w:t>s</w:t>
      </w:r>
      <w:r w:rsidR="002C5958" w:rsidRPr="00C9702F">
        <w:t xml:space="preserve"> and </w:t>
      </w:r>
      <w:r w:rsidR="00EC4C1D" w:rsidRPr="00C9702F">
        <w:t xml:space="preserve">did not explain </w:t>
      </w:r>
      <w:r w:rsidR="002C5958" w:rsidRPr="00C9702F">
        <w:t>why documents which she</w:t>
      </w:r>
      <w:r w:rsidR="00791EDE" w:rsidRPr="00C9702F">
        <w:t xml:space="preserve"> says </w:t>
      </w:r>
      <w:r w:rsidR="009320D3" w:rsidRPr="00C9702F">
        <w:t xml:space="preserve">the applicants </w:t>
      </w:r>
      <w:r w:rsidR="00791EDE" w:rsidRPr="00C9702F">
        <w:t>require are necessary for her defence</w:t>
      </w:r>
      <w:r w:rsidR="009B21DD" w:rsidRPr="00C9702F">
        <w:t>, although in her replying affidavit, she hints at a defence</w:t>
      </w:r>
      <w:r w:rsidR="00791EDE" w:rsidRPr="00C9702F">
        <w:t>.</w:t>
      </w:r>
    </w:p>
    <w:p w14:paraId="78E258B1" w14:textId="504077EA" w:rsidR="007F043E" w:rsidRPr="00C9702F" w:rsidRDefault="00791EDE" w:rsidP="005171A7">
      <w:pPr>
        <w:spacing w:line="360" w:lineRule="auto"/>
        <w:jc w:val="both"/>
      </w:pPr>
      <w:r w:rsidRPr="00C9702F">
        <w:t xml:space="preserve"> </w:t>
      </w:r>
    </w:p>
    <w:p w14:paraId="1FC07011" w14:textId="7A14DB28" w:rsidR="007F043E" w:rsidRDefault="00D5691A" w:rsidP="005171A7">
      <w:pPr>
        <w:spacing w:line="360" w:lineRule="auto"/>
        <w:jc w:val="both"/>
      </w:pPr>
      <w:r w:rsidRPr="00C9702F">
        <w:t>[</w:t>
      </w:r>
      <w:r w:rsidR="007A63CC" w:rsidRPr="00C9702F">
        <w:t>9</w:t>
      </w:r>
      <w:r w:rsidRPr="00C9702F">
        <w:t>]</w:t>
      </w:r>
      <w:r w:rsidRPr="00C9702F">
        <w:tab/>
      </w:r>
      <w:r w:rsidR="007F043E" w:rsidRPr="00C9702F">
        <w:t xml:space="preserve">Mr </w:t>
      </w:r>
      <w:r w:rsidR="00A648EB" w:rsidRPr="00C9702F">
        <w:t>Roderick Vincent Montano</w:t>
      </w:r>
      <w:r w:rsidR="007A4561" w:rsidRPr="00C9702F">
        <w:t xml:space="preserve"> </w:t>
      </w:r>
      <w:r w:rsidR="007C4B7F" w:rsidRPr="00C9702F">
        <w:t>(</w:t>
      </w:r>
      <w:r w:rsidR="007A4561" w:rsidRPr="00C9702F">
        <w:t>“Montano”)</w:t>
      </w:r>
      <w:r w:rsidR="00A648EB" w:rsidRPr="00C9702F">
        <w:t>, the applicants’ former attorney of record has also deposed to an affidavit on behalf of the applicants.</w:t>
      </w:r>
    </w:p>
    <w:p w14:paraId="0D2899E0" w14:textId="77777777" w:rsidR="005171A7" w:rsidRPr="00C9702F" w:rsidRDefault="005171A7" w:rsidP="005171A7">
      <w:pPr>
        <w:spacing w:line="360" w:lineRule="auto"/>
        <w:jc w:val="both"/>
      </w:pPr>
    </w:p>
    <w:p w14:paraId="129454F1" w14:textId="0E2A26E6" w:rsidR="000514EE" w:rsidRPr="00C9702F" w:rsidRDefault="00D5691A" w:rsidP="005171A7">
      <w:pPr>
        <w:spacing w:line="360" w:lineRule="auto"/>
        <w:jc w:val="both"/>
      </w:pPr>
      <w:r w:rsidRPr="00C9702F">
        <w:t>[</w:t>
      </w:r>
      <w:r w:rsidR="007A63CC" w:rsidRPr="00C9702F">
        <w:t>10</w:t>
      </w:r>
      <w:r w:rsidRPr="00C9702F">
        <w:t>]</w:t>
      </w:r>
      <w:r w:rsidRPr="00C9702F">
        <w:tab/>
      </w:r>
      <w:r w:rsidR="00A648EB" w:rsidRPr="00C9702F">
        <w:t>Mr Gideon Nwekeshane Nkoana</w:t>
      </w:r>
      <w:r w:rsidR="007A4561" w:rsidRPr="00C9702F">
        <w:t xml:space="preserve"> (“Nkoana”)</w:t>
      </w:r>
      <w:r w:rsidR="00182D0A" w:rsidRPr="00C9702F">
        <w:t>, a deputy director of public prosecutions</w:t>
      </w:r>
      <w:r w:rsidR="00FB5661" w:rsidRPr="00C9702F">
        <w:t xml:space="preserve"> who is employed by the National Prosecuting Authority </w:t>
      </w:r>
      <w:r w:rsidR="00E30EF3" w:rsidRPr="00C9702F">
        <w:t>an</w:t>
      </w:r>
      <w:r w:rsidR="00FB5661" w:rsidRPr="00C9702F">
        <w:t>d is the</w:t>
      </w:r>
      <w:r w:rsidR="000514EE" w:rsidRPr="00C9702F">
        <w:t xml:space="preserve"> Regional</w:t>
      </w:r>
      <w:r w:rsidR="00FB5661" w:rsidRPr="00C9702F">
        <w:t xml:space="preserve"> Head of the</w:t>
      </w:r>
      <w:r w:rsidR="000514EE" w:rsidRPr="00C9702F">
        <w:t xml:space="preserve"> </w:t>
      </w:r>
      <w:r w:rsidR="002D565F" w:rsidRPr="00C9702F">
        <w:t>Specialised</w:t>
      </w:r>
      <w:r w:rsidR="000514EE" w:rsidRPr="00C9702F">
        <w:t xml:space="preserve"> Commercial Crimes Unit in Johannesburg deposed to an</w:t>
      </w:r>
      <w:r w:rsidR="001D52AC" w:rsidRPr="00C9702F">
        <w:t xml:space="preserve"> answering </w:t>
      </w:r>
      <w:r w:rsidR="000514EE" w:rsidRPr="00C9702F">
        <w:t>affidavit on behalf of the respondents.</w:t>
      </w:r>
    </w:p>
    <w:p w14:paraId="3A61F4EB" w14:textId="69A3E217" w:rsidR="006E212C" w:rsidRDefault="00D5691A" w:rsidP="005171A7">
      <w:pPr>
        <w:spacing w:line="360" w:lineRule="auto"/>
        <w:jc w:val="both"/>
      </w:pPr>
      <w:r w:rsidRPr="00C9702F">
        <w:lastRenderedPageBreak/>
        <w:t>[1</w:t>
      </w:r>
      <w:r w:rsidR="007A63CC" w:rsidRPr="00C9702F">
        <w:t>1</w:t>
      </w:r>
      <w:r w:rsidRPr="00C9702F">
        <w:t>]</w:t>
      </w:r>
      <w:r w:rsidRPr="00C9702F">
        <w:tab/>
      </w:r>
      <w:r w:rsidR="006E212C" w:rsidRPr="00C9702F">
        <w:t>Ms Sophia Jacomina Bothma</w:t>
      </w:r>
      <w:r w:rsidR="003D3B79" w:rsidRPr="00C9702F">
        <w:t xml:space="preserve"> (“Ms Bothma”)</w:t>
      </w:r>
      <w:r w:rsidR="0027212B" w:rsidRPr="00C9702F">
        <w:t xml:space="preserve"> a forensic accou</w:t>
      </w:r>
      <w:r w:rsidR="00A46207" w:rsidRPr="00C9702F">
        <w:t>n</w:t>
      </w:r>
      <w:r w:rsidR="0027212B" w:rsidRPr="00C9702F">
        <w:t xml:space="preserve">ting consultant at Nedbank Group </w:t>
      </w:r>
      <w:r w:rsidR="00D54F56" w:rsidRPr="00C9702F">
        <w:t>Fi</w:t>
      </w:r>
      <w:r w:rsidR="002D6934" w:rsidRPr="00C9702F">
        <w:t>nancial Crime and Foren</w:t>
      </w:r>
      <w:r w:rsidR="00A46207" w:rsidRPr="00C9702F">
        <w:t>s</w:t>
      </w:r>
      <w:r w:rsidR="002D6934" w:rsidRPr="00C9702F">
        <w:t>ic Services deposed to a supplementary affidavit on behalf of the respondents.</w:t>
      </w:r>
    </w:p>
    <w:p w14:paraId="4F2583A4" w14:textId="77777777" w:rsidR="005171A7" w:rsidRPr="00C9702F" w:rsidRDefault="005171A7" w:rsidP="005171A7">
      <w:pPr>
        <w:spacing w:line="360" w:lineRule="auto"/>
        <w:jc w:val="both"/>
      </w:pPr>
    </w:p>
    <w:p w14:paraId="67A22637" w14:textId="6D380B02" w:rsidR="003B309D" w:rsidRDefault="00D5691A" w:rsidP="005171A7">
      <w:pPr>
        <w:spacing w:line="360" w:lineRule="auto"/>
        <w:jc w:val="both"/>
      </w:pPr>
      <w:r w:rsidRPr="00C9702F">
        <w:t>[1</w:t>
      </w:r>
      <w:r w:rsidR="007A63CC" w:rsidRPr="00C9702F">
        <w:t>2</w:t>
      </w:r>
      <w:r w:rsidRPr="00C9702F">
        <w:t>]</w:t>
      </w:r>
      <w:r w:rsidRPr="00C9702F">
        <w:tab/>
      </w:r>
      <w:r w:rsidR="00702F9A" w:rsidRPr="00C9702F">
        <w:t>The relevant history</w:t>
      </w:r>
      <w:r w:rsidR="009D66B8" w:rsidRPr="00C9702F">
        <w:t>, which</w:t>
      </w:r>
      <w:r w:rsidR="00702F9A" w:rsidRPr="00C9702F">
        <w:t xml:space="preserve"> is set out in the </w:t>
      </w:r>
      <w:r w:rsidR="003B5534" w:rsidRPr="00C9702F">
        <w:t xml:space="preserve">brief </w:t>
      </w:r>
      <w:r w:rsidR="00702F9A" w:rsidRPr="00C9702F">
        <w:t>founding affidavit</w:t>
      </w:r>
      <w:r w:rsidR="003B5534" w:rsidRPr="00C9702F">
        <w:t>,</w:t>
      </w:r>
      <w:r w:rsidR="00E60D92" w:rsidRPr="00C9702F">
        <w:t xml:space="preserve"> is confirmed by Nkoana in his answering affidavit</w:t>
      </w:r>
      <w:r w:rsidR="003B5534" w:rsidRPr="00C9702F">
        <w:t xml:space="preserve"> and </w:t>
      </w:r>
      <w:r w:rsidR="00065922" w:rsidRPr="00C9702F">
        <w:t>is not in dispute.</w:t>
      </w:r>
      <w:r w:rsidR="009D66B8" w:rsidRPr="00C9702F">
        <w:t xml:space="preserve"> </w:t>
      </w:r>
    </w:p>
    <w:p w14:paraId="1A0B432A" w14:textId="77777777" w:rsidR="005171A7" w:rsidRPr="00C9702F" w:rsidRDefault="005171A7" w:rsidP="005171A7">
      <w:pPr>
        <w:spacing w:line="360" w:lineRule="auto"/>
        <w:jc w:val="both"/>
      </w:pPr>
    </w:p>
    <w:p w14:paraId="21B84EAE" w14:textId="3D1C6A6A" w:rsidR="0091127B" w:rsidRDefault="00814181" w:rsidP="005171A7">
      <w:pPr>
        <w:spacing w:line="360" w:lineRule="auto"/>
        <w:jc w:val="both"/>
      </w:pPr>
      <w:r w:rsidRPr="00C9702F">
        <w:t>[1</w:t>
      </w:r>
      <w:r w:rsidR="007A63CC" w:rsidRPr="00C9702F">
        <w:t>3</w:t>
      </w:r>
      <w:r w:rsidRPr="00C9702F">
        <w:t xml:space="preserve">] </w:t>
      </w:r>
      <w:r w:rsidRPr="00C9702F">
        <w:tab/>
      </w:r>
      <w:r w:rsidR="00D534FF" w:rsidRPr="00C9702F">
        <w:t>T</w:t>
      </w:r>
      <w:r w:rsidR="00FF6CF9" w:rsidRPr="00C9702F">
        <w:t xml:space="preserve">he </w:t>
      </w:r>
      <w:r w:rsidR="0091127B" w:rsidRPr="00C9702F">
        <w:t>applicants seek an extreme remedy which needs careful consideration.</w:t>
      </w:r>
    </w:p>
    <w:p w14:paraId="062B3B47" w14:textId="77777777" w:rsidR="005171A7" w:rsidRPr="00C9702F" w:rsidRDefault="005171A7" w:rsidP="005171A7">
      <w:pPr>
        <w:spacing w:line="360" w:lineRule="auto"/>
        <w:jc w:val="both"/>
      </w:pPr>
    </w:p>
    <w:p w14:paraId="0FD87E79" w14:textId="1BB70FDD" w:rsidR="00565AE7" w:rsidRPr="00C9702F" w:rsidRDefault="0091127B" w:rsidP="005171A7">
      <w:pPr>
        <w:spacing w:line="360" w:lineRule="auto"/>
        <w:jc w:val="both"/>
      </w:pPr>
      <w:r w:rsidRPr="00C9702F">
        <w:t>[1</w:t>
      </w:r>
      <w:r w:rsidR="007A63CC" w:rsidRPr="00C9702F">
        <w:t>4</w:t>
      </w:r>
      <w:r w:rsidRPr="00C9702F">
        <w:t>] I</w:t>
      </w:r>
      <w:r w:rsidR="00AF7AF6" w:rsidRPr="00C9702F">
        <w:t>n</w:t>
      </w:r>
      <w:r w:rsidRPr="00C9702F">
        <w:t xml:space="preserve"> this regard it </w:t>
      </w:r>
      <w:r w:rsidR="006B4E16" w:rsidRPr="00C9702F">
        <w:t>was said i</w:t>
      </w:r>
      <w:r w:rsidR="003B309D" w:rsidRPr="00C9702F">
        <w:t>n Sanderson v Attorney-General Eastern Cape</w:t>
      </w:r>
      <w:r w:rsidR="003B309D" w:rsidRPr="00C9702F">
        <w:rPr>
          <w:rStyle w:val="FootnoteReference"/>
        </w:rPr>
        <w:footnoteReference w:id="3"/>
      </w:r>
      <w:r w:rsidR="005171A7">
        <w:t xml:space="preserve">, at para </w:t>
      </w:r>
      <w:r w:rsidR="006F12F1" w:rsidRPr="00C9702F">
        <w:tab/>
      </w:r>
    </w:p>
    <w:p w14:paraId="59623DC7" w14:textId="77777777" w:rsidR="005171A7" w:rsidRDefault="006F12F1" w:rsidP="005171A7">
      <w:pPr>
        <w:spacing w:line="360" w:lineRule="auto"/>
        <w:ind w:left="720"/>
        <w:jc w:val="both"/>
        <w:rPr>
          <w:color w:val="242121"/>
          <w:shd w:val="clear" w:color="auto" w:fill="FFFFFF"/>
        </w:rPr>
      </w:pPr>
      <w:r w:rsidRPr="005171A7">
        <w:rPr>
          <w:i/>
        </w:rPr>
        <w:t>“</w:t>
      </w:r>
      <w:r w:rsidR="003B309D" w:rsidRPr="005171A7">
        <w:rPr>
          <w:i/>
          <w:color w:val="242121"/>
          <w:shd w:val="clear" w:color="auto" w:fill="FFFFFF"/>
        </w:rPr>
        <w:t>It is appropriate at this juncture to make some brief observations about the remedy sought by the appellant. Even if the evidence he had placed before the Court had been more damning, the relief the appellant seeks is radical, both philosophically and socio-politically. Barring the prosecution before the trial begins – and consequently without any opportunity to ascertain the real effect of the delay on the outcome of the case – is far-reaching. Indeed it prevents the prosecution from presenting society’s complaint against an alleged transgressor of society’s rules of conduct. That will seldom be warranted in the absence of significant prejudice to the accused</w:t>
      </w:r>
      <w:r w:rsidR="003B309D" w:rsidRPr="00C9702F">
        <w:rPr>
          <w:color w:val="242121"/>
          <w:shd w:val="clear" w:color="auto" w:fill="FFFFFF"/>
        </w:rPr>
        <w:t>.</w:t>
      </w:r>
      <w:r w:rsidR="005171A7">
        <w:rPr>
          <w:color w:val="242121"/>
          <w:shd w:val="clear" w:color="auto" w:fill="FFFFFF"/>
        </w:rPr>
        <w:t>”</w:t>
      </w:r>
    </w:p>
    <w:p w14:paraId="5A31D169" w14:textId="144C97A4" w:rsidR="00A337AD" w:rsidRPr="00C9702F" w:rsidRDefault="003B309D" w:rsidP="005171A7">
      <w:pPr>
        <w:spacing w:line="360" w:lineRule="auto"/>
        <w:ind w:left="720"/>
        <w:jc w:val="both"/>
      </w:pPr>
      <w:r w:rsidRPr="00C9702F">
        <w:rPr>
          <w:color w:val="242121"/>
          <w:shd w:val="clear" w:color="auto" w:fill="FFFFFF"/>
        </w:rPr>
        <w:t> </w:t>
      </w:r>
    </w:p>
    <w:p w14:paraId="7C7ABAFD" w14:textId="28E8D4E9" w:rsidR="00232CAC" w:rsidRDefault="00A31704" w:rsidP="005171A7">
      <w:pPr>
        <w:spacing w:line="360" w:lineRule="auto"/>
        <w:jc w:val="both"/>
      </w:pPr>
      <w:r w:rsidRPr="00C9702F">
        <w:t>[1</w:t>
      </w:r>
      <w:r w:rsidR="007A63CC" w:rsidRPr="00C9702F">
        <w:t>5</w:t>
      </w:r>
      <w:r w:rsidRPr="00C9702F">
        <w:t>]</w:t>
      </w:r>
      <w:r w:rsidRPr="00C9702F">
        <w:tab/>
      </w:r>
      <w:r w:rsidR="00F16D47" w:rsidRPr="00C9702F">
        <w:t>O</w:t>
      </w:r>
      <w:r w:rsidR="00143AFC" w:rsidRPr="00C9702F">
        <w:t xml:space="preserve">ne of the </w:t>
      </w:r>
      <w:r w:rsidR="001B760A" w:rsidRPr="00C9702F">
        <w:t xml:space="preserve">grounds </w:t>
      </w:r>
      <w:r w:rsidR="0048668D" w:rsidRPr="00C9702F">
        <w:t>on which</w:t>
      </w:r>
      <w:r w:rsidR="00143AFC" w:rsidRPr="00C9702F">
        <w:t xml:space="preserve"> the application is based </w:t>
      </w:r>
      <w:r w:rsidR="0048668D" w:rsidRPr="00C9702F">
        <w:t>is</w:t>
      </w:r>
      <w:r w:rsidR="00143AFC" w:rsidRPr="00C9702F">
        <w:t xml:space="preserve"> the long delay in finalising the prosecution</w:t>
      </w:r>
      <w:r w:rsidR="00DA37E5" w:rsidRPr="00C9702F">
        <w:t xml:space="preserve"> as mentioned above.</w:t>
      </w:r>
    </w:p>
    <w:p w14:paraId="073CAB6A" w14:textId="77777777" w:rsidR="005171A7" w:rsidRPr="00C9702F" w:rsidRDefault="005171A7" w:rsidP="005171A7">
      <w:pPr>
        <w:spacing w:line="360" w:lineRule="auto"/>
        <w:jc w:val="both"/>
      </w:pPr>
    </w:p>
    <w:p w14:paraId="34C55AA6" w14:textId="26532A19" w:rsidR="00D834FE" w:rsidRPr="00C9702F" w:rsidRDefault="00E00701" w:rsidP="005171A7">
      <w:pPr>
        <w:spacing w:line="360" w:lineRule="auto"/>
        <w:jc w:val="both"/>
      </w:pPr>
      <w:r w:rsidRPr="00C9702F">
        <w:t>[1</w:t>
      </w:r>
      <w:r w:rsidR="007A63CC" w:rsidRPr="00C9702F">
        <w:t>6</w:t>
      </w:r>
      <w:r w:rsidRPr="00C9702F">
        <w:t>]</w:t>
      </w:r>
      <w:r w:rsidRPr="00C9702F">
        <w:tab/>
      </w:r>
      <w:r w:rsidR="00D834FE" w:rsidRPr="00C9702F">
        <w:t>In Sanderson vs Attorney-General Eastern Cape [1997] ZACC 18 at para [25], Kriegler J noted that the critical question was how to determine whether a particular lapse of time was reasonable.</w:t>
      </w:r>
      <w:r w:rsidR="00462049" w:rsidRPr="00C9702F">
        <w:rPr>
          <w:rStyle w:val="FootnoteReference"/>
        </w:rPr>
        <w:footnoteReference w:id="4"/>
      </w:r>
      <w:r w:rsidR="00D834FE" w:rsidRPr="00C9702F">
        <w:t xml:space="preserve"> </w:t>
      </w:r>
    </w:p>
    <w:p w14:paraId="12335C56" w14:textId="3D88C0E6" w:rsidR="00D834FE" w:rsidRDefault="00900BFF" w:rsidP="005171A7">
      <w:pPr>
        <w:spacing w:line="360" w:lineRule="auto"/>
        <w:jc w:val="both"/>
        <w:rPr>
          <w:color w:val="242121"/>
          <w:shd w:val="clear" w:color="auto" w:fill="FFFFFF"/>
        </w:rPr>
      </w:pPr>
      <w:r w:rsidRPr="00C9702F">
        <w:lastRenderedPageBreak/>
        <w:t>[1</w:t>
      </w:r>
      <w:r w:rsidR="007A63CC" w:rsidRPr="00C9702F">
        <w:t>7</w:t>
      </w:r>
      <w:r w:rsidRPr="00C9702F">
        <w:t>]</w:t>
      </w:r>
      <w:r w:rsidRPr="00C9702F">
        <w:tab/>
      </w:r>
      <w:r w:rsidR="00D834FE" w:rsidRPr="00C9702F">
        <w:t xml:space="preserve">With reference to Barker vs Wingo </w:t>
      </w:r>
      <w:r w:rsidR="00D834FE" w:rsidRPr="00C9702F">
        <w:rPr>
          <w:i/>
          <w:iCs/>
          <w:color w:val="242121"/>
          <w:shd w:val="clear" w:color="auto" w:fill="FFFFFF"/>
        </w:rPr>
        <w:t>Barker v Wingo, Warden</w:t>
      </w:r>
      <w:r w:rsidR="00D834FE" w:rsidRPr="00C9702F">
        <w:rPr>
          <w:color w:val="242121"/>
          <w:shd w:val="clear" w:color="auto" w:fill="FFFFFF"/>
        </w:rPr>
        <w:t> </w:t>
      </w:r>
      <w:hyperlink r:id="rId10" w:tooltip="View Case" w:history="1">
        <w:r w:rsidR="00D834FE" w:rsidRPr="00C9702F">
          <w:rPr>
            <w:rStyle w:val="Hyperlink"/>
            <w:color w:val="000000" w:themeColor="text1"/>
            <w:shd w:val="clear" w:color="auto" w:fill="FFFFFF"/>
          </w:rPr>
          <w:t>[1972] USSC 144</w:t>
        </w:r>
      </w:hyperlink>
      <w:r w:rsidR="00D834FE" w:rsidRPr="00C9702F">
        <w:rPr>
          <w:color w:val="000000" w:themeColor="text1"/>
          <w:shd w:val="clear" w:color="auto" w:fill="FFFFFF"/>
        </w:rPr>
        <w:t>; </w:t>
      </w:r>
      <w:hyperlink r:id="rId11" w:tooltip="View LawCiteRecord" w:history="1">
        <w:r w:rsidR="00D834FE" w:rsidRPr="00C9702F">
          <w:rPr>
            <w:rStyle w:val="Hyperlink"/>
            <w:color w:val="000000" w:themeColor="text1"/>
            <w:shd w:val="clear" w:color="auto" w:fill="FFFFFF"/>
          </w:rPr>
          <w:t>407 US 514</w:t>
        </w:r>
      </w:hyperlink>
      <w:r w:rsidR="00D834FE" w:rsidRPr="00C9702F">
        <w:rPr>
          <w:color w:val="000000" w:themeColor="text1"/>
          <w:shd w:val="clear" w:color="auto" w:fill="FFFFFF"/>
        </w:rPr>
        <w:t>,</w:t>
      </w:r>
      <w:r w:rsidR="00D834FE" w:rsidRPr="00C9702F">
        <w:rPr>
          <w:color w:val="242121"/>
          <w:shd w:val="clear" w:color="auto" w:fill="FFFFFF"/>
        </w:rPr>
        <w:t xml:space="preserve"> 532 (1972), </w:t>
      </w:r>
      <w:r w:rsidR="00C91E52" w:rsidRPr="00C9702F">
        <w:rPr>
          <w:color w:val="242121"/>
          <w:shd w:val="clear" w:color="auto" w:fill="FFFFFF"/>
        </w:rPr>
        <w:t xml:space="preserve">Kriegler J </w:t>
      </w:r>
      <w:r w:rsidR="00D834FE" w:rsidRPr="00C9702F">
        <w:rPr>
          <w:color w:val="242121"/>
          <w:shd w:val="clear" w:color="auto" w:fill="FFFFFF"/>
        </w:rPr>
        <w:t>stated that the seminal answer is that there is a “balancing test” in which the conduct of both the prosecution and the accused are weighed and the following considerations examined:</w:t>
      </w:r>
    </w:p>
    <w:p w14:paraId="425D04A8" w14:textId="77777777" w:rsidR="005171A7" w:rsidRPr="00C9702F" w:rsidRDefault="005171A7" w:rsidP="005171A7">
      <w:pPr>
        <w:spacing w:line="360" w:lineRule="auto"/>
        <w:jc w:val="both"/>
        <w:rPr>
          <w:color w:val="242121"/>
          <w:shd w:val="clear" w:color="auto" w:fill="FFFFFF"/>
        </w:rPr>
      </w:pPr>
    </w:p>
    <w:p w14:paraId="576A1466" w14:textId="77777777" w:rsidR="00D834FE" w:rsidRPr="00C9702F" w:rsidRDefault="00D834FE" w:rsidP="005171A7">
      <w:pPr>
        <w:pStyle w:val="ListParagraph"/>
        <w:numPr>
          <w:ilvl w:val="0"/>
          <w:numId w:val="6"/>
        </w:numPr>
        <w:spacing w:line="360" w:lineRule="auto"/>
        <w:jc w:val="both"/>
      </w:pPr>
      <w:r w:rsidRPr="00C9702F">
        <w:t>The length of the delay;</w:t>
      </w:r>
    </w:p>
    <w:p w14:paraId="1B9D7FFF" w14:textId="77777777" w:rsidR="00D834FE" w:rsidRPr="00C9702F" w:rsidRDefault="00D834FE" w:rsidP="005171A7">
      <w:pPr>
        <w:pStyle w:val="ListParagraph"/>
        <w:numPr>
          <w:ilvl w:val="0"/>
          <w:numId w:val="6"/>
        </w:numPr>
        <w:spacing w:line="360" w:lineRule="auto"/>
        <w:jc w:val="both"/>
      </w:pPr>
      <w:r w:rsidRPr="00C9702F">
        <w:t xml:space="preserve">The reason the government assigns to justify the delay; </w:t>
      </w:r>
    </w:p>
    <w:p w14:paraId="0444258B" w14:textId="77777777" w:rsidR="00D834FE" w:rsidRPr="00C9702F" w:rsidRDefault="00D834FE" w:rsidP="005171A7">
      <w:pPr>
        <w:pStyle w:val="ListParagraph"/>
        <w:numPr>
          <w:ilvl w:val="0"/>
          <w:numId w:val="6"/>
        </w:numPr>
        <w:spacing w:line="360" w:lineRule="auto"/>
        <w:jc w:val="both"/>
      </w:pPr>
      <w:r w:rsidRPr="00C9702F">
        <w:t xml:space="preserve">The accused’s assertions of his right to a speedy trial and </w:t>
      </w:r>
    </w:p>
    <w:p w14:paraId="4560F90C" w14:textId="0588775A" w:rsidR="00D834FE" w:rsidRDefault="00D834FE" w:rsidP="005171A7">
      <w:pPr>
        <w:pStyle w:val="ListParagraph"/>
        <w:numPr>
          <w:ilvl w:val="0"/>
          <w:numId w:val="6"/>
        </w:numPr>
        <w:spacing w:line="360" w:lineRule="auto"/>
        <w:jc w:val="both"/>
      </w:pPr>
      <w:r w:rsidRPr="00C9702F">
        <w:t xml:space="preserve">Prejudice to the accused. </w:t>
      </w:r>
    </w:p>
    <w:p w14:paraId="5F5774C3" w14:textId="77777777" w:rsidR="005171A7" w:rsidRPr="00C9702F" w:rsidRDefault="005171A7" w:rsidP="005171A7">
      <w:pPr>
        <w:pStyle w:val="ListParagraph"/>
        <w:spacing w:line="360" w:lineRule="auto"/>
        <w:jc w:val="both"/>
      </w:pPr>
    </w:p>
    <w:p w14:paraId="4D218802" w14:textId="1526B1B3" w:rsidR="0080024D" w:rsidRDefault="007335BC" w:rsidP="005171A7">
      <w:pPr>
        <w:spacing w:line="360" w:lineRule="auto"/>
        <w:jc w:val="both"/>
      </w:pPr>
      <w:r w:rsidRPr="00C9702F">
        <w:t>[1</w:t>
      </w:r>
      <w:r w:rsidR="007A63CC" w:rsidRPr="00C9702F">
        <w:t>8</w:t>
      </w:r>
      <w:r w:rsidRPr="00C9702F">
        <w:t>]</w:t>
      </w:r>
      <w:r w:rsidRPr="00C9702F">
        <w:tab/>
      </w:r>
      <w:r w:rsidR="00B03548" w:rsidRPr="00C9702F">
        <w:t xml:space="preserve">This approach </w:t>
      </w:r>
      <w:r w:rsidR="004851B0" w:rsidRPr="00C9702F">
        <w:t>was referred to with a</w:t>
      </w:r>
      <w:r w:rsidR="004B4E69" w:rsidRPr="00C9702F">
        <w:t>ppro</w:t>
      </w:r>
      <w:r w:rsidR="004851B0" w:rsidRPr="00C9702F">
        <w:t xml:space="preserve">val in </w:t>
      </w:r>
      <w:r w:rsidR="004851B0" w:rsidRPr="00C9702F">
        <w:rPr>
          <w:i/>
          <w:iCs/>
        </w:rPr>
        <w:t>Both</w:t>
      </w:r>
      <w:r w:rsidR="00A57F8F" w:rsidRPr="00C9702F">
        <w:rPr>
          <w:i/>
          <w:iCs/>
        </w:rPr>
        <w:t>m</w:t>
      </w:r>
      <w:r w:rsidR="004851B0" w:rsidRPr="00C9702F">
        <w:rPr>
          <w:i/>
          <w:iCs/>
        </w:rPr>
        <w:t xml:space="preserve">a vs Els </w:t>
      </w:r>
      <w:r w:rsidR="00B1582B" w:rsidRPr="00C9702F">
        <w:t>2010 (2) SA 622 (CC)</w:t>
      </w:r>
      <w:r w:rsidR="00967E35" w:rsidRPr="00C9702F">
        <w:t>.</w:t>
      </w:r>
      <w:r w:rsidR="00B6795B" w:rsidRPr="00C9702F">
        <w:rPr>
          <w:rStyle w:val="FootnoteReference"/>
        </w:rPr>
        <w:footnoteReference w:id="5"/>
      </w:r>
    </w:p>
    <w:p w14:paraId="087BD0E2" w14:textId="77777777" w:rsidR="00980CAE" w:rsidRPr="00C9702F" w:rsidRDefault="00980CAE" w:rsidP="005171A7">
      <w:pPr>
        <w:spacing w:line="360" w:lineRule="auto"/>
        <w:jc w:val="both"/>
      </w:pPr>
    </w:p>
    <w:p w14:paraId="6B9E273B" w14:textId="11093211" w:rsidR="0080024D" w:rsidRDefault="00AD7DE8" w:rsidP="005171A7">
      <w:pPr>
        <w:tabs>
          <w:tab w:val="left" w:pos="2260"/>
        </w:tabs>
        <w:spacing w:line="360" w:lineRule="auto"/>
        <w:jc w:val="both"/>
      </w:pPr>
      <w:r w:rsidRPr="00C9702F">
        <w:t>[19]</w:t>
      </w:r>
      <w:r w:rsidR="009B3C7A" w:rsidRPr="00C9702F">
        <w:t xml:space="preserve">      </w:t>
      </w:r>
      <w:r w:rsidR="0080024D" w:rsidRPr="00C9702F">
        <w:t xml:space="preserve">In </w:t>
      </w:r>
      <w:r w:rsidR="0080024D" w:rsidRPr="00C9702F">
        <w:rPr>
          <w:i/>
          <w:iCs/>
        </w:rPr>
        <w:t>Zanner v Director of Public Prosecutions</w:t>
      </w:r>
      <w:r w:rsidR="0080024D" w:rsidRPr="00C9702F">
        <w:t>, [2006] ZASCA 56, Maya AJA (as she then was), stated that a permanent stay of prosecution is “a drastic remedy which is granted only sparingly and for very compelling reasons”</w:t>
      </w:r>
      <w:r w:rsidR="0080024D" w:rsidRPr="00C9702F">
        <w:rPr>
          <w:rStyle w:val="FootnoteReference"/>
        </w:rPr>
        <w:footnoteReference w:id="6"/>
      </w:r>
      <w:r w:rsidR="0080024D" w:rsidRPr="00C9702F">
        <w:t xml:space="preserve">  and “Nevertheless, the fact of a long delay cannot per se be regarded as an infringement of the right to a fair tri</w:t>
      </w:r>
      <w:r w:rsidR="009B3C7A" w:rsidRPr="00C9702F">
        <w:t>a</w:t>
      </w:r>
      <w:r w:rsidR="0080024D" w:rsidRPr="00C9702F">
        <w:t xml:space="preserve">l. Whether there was an ‘unreasonable delay’ must be determined in the particular circumstances of each case, taking into </w:t>
      </w:r>
      <w:r w:rsidR="00B40F33" w:rsidRPr="00C9702F">
        <w:t xml:space="preserve">account </w:t>
      </w:r>
      <w:r w:rsidR="0080024D" w:rsidRPr="00C9702F">
        <w:t>factors such as the length of the delay, the reason for the delay, whether the accused has suffered or is likely to suffer prejudice by reason thereof and the accused’s assertion to the right to a speedy trial.”</w:t>
      </w:r>
      <w:r w:rsidR="0080024D" w:rsidRPr="00C9702F">
        <w:rPr>
          <w:rStyle w:val="FootnoteReference"/>
        </w:rPr>
        <w:footnoteReference w:id="7"/>
      </w:r>
    </w:p>
    <w:p w14:paraId="28D25FFD" w14:textId="77777777" w:rsidR="00980CAE" w:rsidRPr="00C9702F" w:rsidRDefault="00980CAE" w:rsidP="005171A7">
      <w:pPr>
        <w:tabs>
          <w:tab w:val="left" w:pos="2260"/>
        </w:tabs>
        <w:spacing w:line="360" w:lineRule="auto"/>
        <w:jc w:val="both"/>
      </w:pPr>
    </w:p>
    <w:p w14:paraId="343F1A00" w14:textId="663AFB59" w:rsidR="00D834FE" w:rsidRPr="00C9702F" w:rsidRDefault="007335BC" w:rsidP="005171A7">
      <w:pPr>
        <w:spacing w:line="360" w:lineRule="auto"/>
        <w:jc w:val="both"/>
      </w:pPr>
      <w:r w:rsidRPr="00C9702F">
        <w:t>[</w:t>
      </w:r>
      <w:r w:rsidR="00E84D35" w:rsidRPr="00C9702F">
        <w:t>20</w:t>
      </w:r>
      <w:r w:rsidRPr="00C9702F">
        <w:t>]</w:t>
      </w:r>
      <w:r w:rsidRPr="00C9702F">
        <w:tab/>
      </w:r>
      <w:r w:rsidR="00D834FE" w:rsidRPr="00C9702F">
        <w:t xml:space="preserve">In </w:t>
      </w:r>
      <w:r w:rsidR="00D834FE" w:rsidRPr="00C9702F">
        <w:rPr>
          <w:i/>
          <w:iCs/>
        </w:rPr>
        <w:t>Rodrigues</w:t>
      </w:r>
      <w:r w:rsidR="0072089E" w:rsidRPr="00C9702F">
        <w:rPr>
          <w:i/>
          <w:iCs/>
        </w:rPr>
        <w:t xml:space="preserve"> vs National Director of Public Prosecutions </w:t>
      </w:r>
      <w:r w:rsidR="008C46AB" w:rsidRPr="00C9702F">
        <w:rPr>
          <w:i/>
          <w:iCs/>
        </w:rPr>
        <w:t>and others</w:t>
      </w:r>
      <w:r w:rsidR="008C46AB" w:rsidRPr="00C9702F">
        <w:t xml:space="preserve"> [2019] 3 ALL SA 962 (GJ)</w:t>
      </w:r>
      <w:r w:rsidR="00D834FE" w:rsidRPr="00C9702F">
        <w:t xml:space="preserve">, Kollapen J noted that the Constitutional Court in </w:t>
      </w:r>
      <w:r w:rsidR="00D834FE" w:rsidRPr="00C9702F">
        <w:rPr>
          <w:i/>
          <w:iCs/>
        </w:rPr>
        <w:t>Bothma</w:t>
      </w:r>
      <w:r w:rsidR="00F658B2" w:rsidRPr="00C9702F">
        <w:rPr>
          <w:i/>
          <w:iCs/>
        </w:rPr>
        <w:t xml:space="preserve"> v Els </w:t>
      </w:r>
      <w:r w:rsidR="00F658B2" w:rsidRPr="00C9702F">
        <w:t>2010 (2) SA 671 (CC</w:t>
      </w:r>
      <w:r w:rsidR="00BD3597" w:rsidRPr="00C9702F">
        <w:t>)</w:t>
      </w:r>
      <w:r w:rsidR="00CD1D63" w:rsidRPr="00C9702F">
        <w:t xml:space="preserve"> at para </w:t>
      </w:r>
      <w:r w:rsidR="00DC18B4" w:rsidRPr="00C9702F">
        <w:t xml:space="preserve">[37] </w:t>
      </w:r>
      <w:r w:rsidR="00BD3597" w:rsidRPr="00C9702F">
        <w:rPr>
          <w:i/>
          <w:iCs/>
        </w:rPr>
        <w:t xml:space="preserve"> </w:t>
      </w:r>
      <w:r w:rsidR="00BD3597" w:rsidRPr="00C9702F">
        <w:t>had</w:t>
      </w:r>
      <w:r w:rsidR="00D834FE" w:rsidRPr="00C9702F">
        <w:t xml:space="preserve"> added a fifth factor, namely the nature of the offence and the public policy considerations which may be attached to it and concluded, with reference to the offence of murder that the fifth factor was relevant. </w:t>
      </w:r>
      <w:r w:rsidR="00D834FE" w:rsidRPr="00C9702F">
        <w:rPr>
          <w:rStyle w:val="FootnoteReference"/>
        </w:rPr>
        <w:footnoteReference w:id="8"/>
      </w:r>
    </w:p>
    <w:p w14:paraId="402895D6" w14:textId="29B92E06" w:rsidR="00C126F6" w:rsidRDefault="007335BC" w:rsidP="005171A7">
      <w:pPr>
        <w:spacing w:line="360" w:lineRule="auto"/>
        <w:jc w:val="both"/>
      </w:pPr>
      <w:r w:rsidRPr="00C9702F">
        <w:lastRenderedPageBreak/>
        <w:t>[</w:t>
      </w:r>
      <w:r w:rsidR="00E84D35" w:rsidRPr="00C9702F">
        <w:t>21</w:t>
      </w:r>
      <w:r w:rsidRPr="00C9702F">
        <w:t>]</w:t>
      </w:r>
      <w:r w:rsidRPr="00C9702F">
        <w:tab/>
      </w:r>
      <w:r w:rsidR="00D834FE" w:rsidRPr="00C9702F">
        <w:t>Kollapen J, also suggested that a sixth factor may also be important and that relates to the interests of the family and/or the victims of crime.</w:t>
      </w:r>
      <w:r w:rsidR="00D834FE" w:rsidRPr="00C9702F">
        <w:rPr>
          <w:rStyle w:val="FootnoteReference"/>
        </w:rPr>
        <w:footnoteReference w:id="9"/>
      </w:r>
      <w:r w:rsidR="00D834FE" w:rsidRPr="00C9702F">
        <w:t xml:space="preserve"> </w:t>
      </w:r>
    </w:p>
    <w:p w14:paraId="4027701A" w14:textId="77777777" w:rsidR="00980CAE" w:rsidRPr="00C9702F" w:rsidRDefault="00980CAE" w:rsidP="005171A7">
      <w:pPr>
        <w:spacing w:line="360" w:lineRule="auto"/>
        <w:jc w:val="both"/>
        <w:rPr>
          <w:b/>
          <w:bCs/>
        </w:rPr>
      </w:pPr>
    </w:p>
    <w:p w14:paraId="0E858C79" w14:textId="440459B4" w:rsidR="00A44D64" w:rsidRDefault="003F4E6D" w:rsidP="005171A7">
      <w:pPr>
        <w:spacing w:line="360" w:lineRule="auto"/>
        <w:jc w:val="both"/>
      </w:pPr>
      <w:r w:rsidRPr="00C9702F">
        <w:t>[2</w:t>
      </w:r>
      <w:r w:rsidR="00E84D35" w:rsidRPr="00C9702F">
        <w:t>2</w:t>
      </w:r>
      <w:r w:rsidRPr="00C9702F">
        <w:t>]</w:t>
      </w:r>
      <w:r w:rsidRPr="00C9702F">
        <w:tab/>
      </w:r>
      <w:r w:rsidR="0079739C" w:rsidRPr="00C9702F">
        <w:t xml:space="preserve">The legal basis for the application is based on the </w:t>
      </w:r>
      <w:r w:rsidR="007B6347" w:rsidRPr="00C9702F">
        <w:t>right contained in section 35(3)(d) which provides as follows:</w:t>
      </w:r>
    </w:p>
    <w:p w14:paraId="75F23A6F" w14:textId="77777777" w:rsidR="00980CAE" w:rsidRPr="00C9702F" w:rsidRDefault="00980CAE" w:rsidP="005171A7">
      <w:pPr>
        <w:spacing w:line="360" w:lineRule="auto"/>
        <w:jc w:val="both"/>
      </w:pPr>
    </w:p>
    <w:p w14:paraId="7487F714" w14:textId="63F5F4E7" w:rsidR="00D03374" w:rsidRPr="00980CAE" w:rsidRDefault="00D03374" w:rsidP="005171A7">
      <w:pPr>
        <w:spacing w:line="360" w:lineRule="auto"/>
        <w:ind w:firstLine="720"/>
        <w:jc w:val="both"/>
        <w:rPr>
          <w:i/>
        </w:rPr>
      </w:pPr>
      <w:r w:rsidRPr="00C9702F">
        <w:t>“</w:t>
      </w:r>
      <w:r w:rsidRPr="00980CAE">
        <w:rPr>
          <w:i/>
        </w:rPr>
        <w:t>Every accused person has a right to a fair trial, which includes the right to-</w:t>
      </w:r>
    </w:p>
    <w:p w14:paraId="5354BA87" w14:textId="3FA731E1" w:rsidR="008972AE" w:rsidRPr="00980CAE" w:rsidRDefault="00D03374" w:rsidP="005171A7">
      <w:pPr>
        <w:spacing w:line="360" w:lineRule="auto"/>
        <w:ind w:firstLine="720"/>
        <w:jc w:val="both"/>
        <w:rPr>
          <w:i/>
        </w:rPr>
      </w:pPr>
      <w:r w:rsidRPr="00980CAE">
        <w:rPr>
          <w:i/>
        </w:rPr>
        <w:t>(d) to have their trial begin and conclude without unreasonable delay.”</w:t>
      </w:r>
    </w:p>
    <w:p w14:paraId="108535B5" w14:textId="77777777" w:rsidR="00980CAE" w:rsidRDefault="00980CAE" w:rsidP="005171A7">
      <w:pPr>
        <w:spacing w:line="360" w:lineRule="auto"/>
        <w:jc w:val="both"/>
      </w:pPr>
    </w:p>
    <w:p w14:paraId="69653BEE" w14:textId="616A1DE5" w:rsidR="009805BA" w:rsidRDefault="006D2F9B" w:rsidP="005171A7">
      <w:pPr>
        <w:spacing w:line="360" w:lineRule="auto"/>
        <w:jc w:val="both"/>
      </w:pPr>
      <w:r w:rsidRPr="00C9702F">
        <w:t>[2</w:t>
      </w:r>
      <w:r w:rsidR="00E84D35" w:rsidRPr="00C9702F">
        <w:t>3</w:t>
      </w:r>
      <w:r w:rsidRPr="00C9702F">
        <w:t>]</w:t>
      </w:r>
      <w:r w:rsidRPr="00C9702F">
        <w:tab/>
      </w:r>
      <w:r w:rsidR="00A45447" w:rsidRPr="00C9702F">
        <w:t xml:space="preserve">The first applicant was arrested on 12 August 2003 and on that date appeared in the specialised commercial crimes court under case number SCCC 2001/2003 where she was granted bail of R75000,00. </w:t>
      </w:r>
    </w:p>
    <w:p w14:paraId="3F09BC6C" w14:textId="77777777" w:rsidR="00980CAE" w:rsidRPr="00C9702F" w:rsidRDefault="00980CAE" w:rsidP="005171A7">
      <w:pPr>
        <w:spacing w:line="360" w:lineRule="auto"/>
        <w:jc w:val="both"/>
      </w:pPr>
    </w:p>
    <w:p w14:paraId="1E757C0C" w14:textId="738E5A17" w:rsidR="00CF63B0" w:rsidRDefault="006D2F9B" w:rsidP="005171A7">
      <w:pPr>
        <w:spacing w:line="360" w:lineRule="auto"/>
        <w:jc w:val="both"/>
      </w:pPr>
      <w:r w:rsidRPr="00C9702F">
        <w:t>[2</w:t>
      </w:r>
      <w:r w:rsidR="00AC1FDA" w:rsidRPr="00C9702F">
        <w:t>4</w:t>
      </w:r>
      <w:r w:rsidRPr="00C9702F">
        <w:t>]</w:t>
      </w:r>
      <w:r w:rsidRPr="00C9702F">
        <w:tab/>
      </w:r>
      <w:r w:rsidR="008101F3" w:rsidRPr="00C9702F">
        <w:t>The case was apparently po</w:t>
      </w:r>
      <w:r w:rsidR="00F00D5A" w:rsidRPr="00C9702F">
        <w:t xml:space="preserve">stponed </w:t>
      </w:r>
      <w:r w:rsidR="00735CE8" w:rsidRPr="00C9702F">
        <w:t>o</w:t>
      </w:r>
      <w:r w:rsidR="00F00D5A" w:rsidRPr="00C9702F">
        <w:t>n numerous occasions and commenced on 1 September 2009</w:t>
      </w:r>
      <w:r w:rsidR="00455411" w:rsidRPr="00C9702F">
        <w:t xml:space="preserve"> </w:t>
      </w:r>
      <w:r w:rsidR="00AC1FDA" w:rsidRPr="00C9702F">
        <w:t>when</w:t>
      </w:r>
      <w:r w:rsidR="00E325BD" w:rsidRPr="00C9702F">
        <w:t xml:space="preserve"> evidence was led</w:t>
      </w:r>
      <w:r w:rsidR="00E6352E" w:rsidRPr="00C9702F">
        <w:t>.</w:t>
      </w:r>
      <w:r w:rsidR="00E325BD" w:rsidRPr="00C9702F">
        <w:t xml:space="preserve"> </w:t>
      </w:r>
    </w:p>
    <w:p w14:paraId="372322E9" w14:textId="77777777" w:rsidR="00980CAE" w:rsidRPr="00C9702F" w:rsidRDefault="00980CAE" w:rsidP="005171A7">
      <w:pPr>
        <w:spacing w:line="360" w:lineRule="auto"/>
        <w:jc w:val="both"/>
      </w:pPr>
    </w:p>
    <w:p w14:paraId="26D5CB0D" w14:textId="59FF168A" w:rsidR="00E6352E" w:rsidRDefault="00CF63B0" w:rsidP="005171A7">
      <w:pPr>
        <w:spacing w:line="360" w:lineRule="auto"/>
        <w:jc w:val="both"/>
      </w:pPr>
      <w:r w:rsidRPr="00C9702F">
        <w:t>[25]</w:t>
      </w:r>
      <w:r w:rsidRPr="00C9702F">
        <w:tab/>
      </w:r>
      <w:r w:rsidR="00E6352E" w:rsidRPr="00C9702F">
        <w:t>On 30 November 2011, the presiding officer, Mrs Ramlaal, recused herself from the case because she was retiring and the matter was postponed to 20 February 2012 on which date the first applicant’s matter was enrolled under case number SCCC 58/2012 and had to commence de novo.</w:t>
      </w:r>
    </w:p>
    <w:p w14:paraId="2A109A6E" w14:textId="77777777" w:rsidR="00980CAE" w:rsidRPr="00C9702F" w:rsidRDefault="00980CAE" w:rsidP="005171A7">
      <w:pPr>
        <w:spacing w:line="360" w:lineRule="auto"/>
        <w:jc w:val="both"/>
      </w:pPr>
    </w:p>
    <w:p w14:paraId="59794DE8" w14:textId="368AE731" w:rsidR="002600A2" w:rsidRPr="00C9702F" w:rsidRDefault="006D2F9B" w:rsidP="005171A7">
      <w:pPr>
        <w:spacing w:line="360" w:lineRule="auto"/>
        <w:jc w:val="both"/>
      </w:pPr>
      <w:r w:rsidRPr="00C9702F">
        <w:t>[2</w:t>
      </w:r>
      <w:r w:rsidR="00CF63B0" w:rsidRPr="00C9702F">
        <w:t>6</w:t>
      </w:r>
      <w:r w:rsidRPr="00C9702F">
        <w:t>]</w:t>
      </w:r>
      <w:r w:rsidRPr="00C9702F">
        <w:tab/>
      </w:r>
      <w:r w:rsidR="002600A2" w:rsidRPr="00C9702F">
        <w:t>Mr Nkoana, who deposed to the answering affidavit on behalf of the respondents</w:t>
      </w:r>
      <w:r w:rsidR="003B69A2" w:rsidRPr="00C9702F">
        <w:t>,</w:t>
      </w:r>
      <w:r w:rsidR="00FB0488" w:rsidRPr="00C9702F">
        <w:t xml:space="preserve"> s</w:t>
      </w:r>
      <w:r w:rsidR="00E12711" w:rsidRPr="00C9702F">
        <w:t>t</w:t>
      </w:r>
      <w:r w:rsidR="002E4BE3" w:rsidRPr="00C9702F">
        <w:t xml:space="preserve">ates that the following facts are significant </w:t>
      </w:r>
      <w:r w:rsidR="00D268CD" w:rsidRPr="00C9702F">
        <w:t xml:space="preserve">and </w:t>
      </w:r>
      <w:r w:rsidR="002E4BE3" w:rsidRPr="00C9702F">
        <w:t>should also be taken into account:</w:t>
      </w:r>
    </w:p>
    <w:p w14:paraId="39CE9CDC" w14:textId="2C9C7B73" w:rsidR="007A2F3D" w:rsidRPr="00C9702F" w:rsidRDefault="006C4693" w:rsidP="005171A7">
      <w:pPr>
        <w:pStyle w:val="ListParagraph"/>
        <w:numPr>
          <w:ilvl w:val="0"/>
          <w:numId w:val="9"/>
        </w:numPr>
        <w:spacing w:line="360" w:lineRule="auto"/>
        <w:jc w:val="both"/>
      </w:pPr>
      <w:r w:rsidRPr="00C9702F">
        <w:lastRenderedPageBreak/>
        <w:t>Throughout all the criminal proceedings the applicants were legally represented.</w:t>
      </w:r>
    </w:p>
    <w:p w14:paraId="7EAD3FB4" w14:textId="76085C6C" w:rsidR="002E4BE3" w:rsidRPr="00C9702F" w:rsidRDefault="0010166A" w:rsidP="005171A7">
      <w:pPr>
        <w:pStyle w:val="ListParagraph"/>
        <w:numPr>
          <w:ilvl w:val="0"/>
          <w:numId w:val="9"/>
        </w:numPr>
        <w:spacing w:line="360" w:lineRule="auto"/>
        <w:jc w:val="both"/>
      </w:pPr>
      <w:r w:rsidRPr="00C9702F">
        <w:t>In case number SCCC</w:t>
      </w:r>
      <w:r w:rsidR="005134F7" w:rsidRPr="00C9702F">
        <w:t xml:space="preserve"> 201/2003, the original case involving the first applicant only, on 4</w:t>
      </w:r>
      <w:r w:rsidR="005134F7" w:rsidRPr="00C9702F">
        <w:rPr>
          <w:vertAlign w:val="superscript"/>
        </w:rPr>
        <w:t>th</w:t>
      </w:r>
      <w:r w:rsidR="005134F7" w:rsidRPr="00C9702F">
        <w:t xml:space="preserve"> June </w:t>
      </w:r>
      <w:r w:rsidR="00DD55DE" w:rsidRPr="00C9702F">
        <w:t>2004 the state and the defence were ad idem that the matter was tri</w:t>
      </w:r>
      <w:r w:rsidR="00EA3AD2" w:rsidRPr="00C9702F">
        <w:t>a</w:t>
      </w:r>
      <w:r w:rsidR="00DD55DE" w:rsidRPr="00C9702F">
        <w:t>l ready and the cas</w:t>
      </w:r>
      <w:r w:rsidR="004759CB" w:rsidRPr="00C9702F">
        <w:t>e</w:t>
      </w:r>
      <w:r w:rsidR="00DD55DE" w:rsidRPr="00C9702F">
        <w:t xml:space="preserve"> was remanded to 6 Oc</w:t>
      </w:r>
      <w:r w:rsidR="004759CB" w:rsidRPr="00C9702F">
        <w:t>t</w:t>
      </w:r>
      <w:r w:rsidR="00DD55DE" w:rsidRPr="00C9702F">
        <w:t>ober 2004 for that purpose.</w:t>
      </w:r>
    </w:p>
    <w:p w14:paraId="2730A42D" w14:textId="3926CC40" w:rsidR="00DD55DE" w:rsidRPr="00C9702F" w:rsidRDefault="008E1CD8" w:rsidP="005171A7">
      <w:pPr>
        <w:pStyle w:val="ListParagraph"/>
        <w:numPr>
          <w:ilvl w:val="0"/>
          <w:numId w:val="9"/>
        </w:numPr>
        <w:spacing w:line="360" w:lineRule="auto"/>
        <w:jc w:val="both"/>
      </w:pPr>
      <w:r w:rsidRPr="00C9702F">
        <w:t>On 2 Ju</w:t>
      </w:r>
      <w:r w:rsidR="004759CB" w:rsidRPr="00C9702F">
        <w:t>l</w:t>
      </w:r>
      <w:r w:rsidRPr="00C9702F">
        <w:t xml:space="preserve">y 2009 the same case was </w:t>
      </w:r>
      <w:r w:rsidR="003051E1" w:rsidRPr="00C9702F">
        <w:t>s</w:t>
      </w:r>
      <w:r w:rsidRPr="00C9702F">
        <w:t>till trial ready and was remanded to 2 September 200</w:t>
      </w:r>
      <w:r w:rsidR="00480A87" w:rsidRPr="00C9702F">
        <w:t>9</w:t>
      </w:r>
      <w:r w:rsidR="00C13F8A" w:rsidRPr="00C9702F">
        <w:t xml:space="preserve"> when it proceeded until the magistrate recused herself on 10 November 2011.</w:t>
      </w:r>
    </w:p>
    <w:p w14:paraId="69A30217" w14:textId="5BD99AE7" w:rsidR="003E08F1" w:rsidRPr="00C9702F" w:rsidRDefault="003E08F1" w:rsidP="005171A7">
      <w:pPr>
        <w:pStyle w:val="ListParagraph"/>
        <w:numPr>
          <w:ilvl w:val="0"/>
          <w:numId w:val="9"/>
        </w:numPr>
        <w:spacing w:line="360" w:lineRule="auto"/>
        <w:jc w:val="both"/>
      </w:pPr>
      <w:r w:rsidRPr="00C9702F">
        <w:t xml:space="preserve">In case number SCCC 267/2009, the original case involving </w:t>
      </w:r>
      <w:r w:rsidR="002552C0" w:rsidRPr="00C9702F">
        <w:t>th</w:t>
      </w:r>
      <w:r w:rsidR="00E01B3A" w:rsidRPr="00C9702F">
        <w:t>e</w:t>
      </w:r>
      <w:r w:rsidR="002552C0" w:rsidRPr="00C9702F">
        <w:t xml:space="preserve"> second applicant only, on 15 October 2009 the state and the defence were ad idem that the case was tr</w:t>
      </w:r>
      <w:r w:rsidR="00A126CE" w:rsidRPr="00C9702F">
        <w:t>ia</w:t>
      </w:r>
      <w:r w:rsidR="002552C0" w:rsidRPr="00C9702F">
        <w:t>l ready and the case was rem</w:t>
      </w:r>
      <w:r w:rsidR="008E0835" w:rsidRPr="00C9702F">
        <w:t>an</w:t>
      </w:r>
      <w:r w:rsidR="002552C0" w:rsidRPr="00C9702F">
        <w:t>ded to 19 November 2009 for that purpose.</w:t>
      </w:r>
    </w:p>
    <w:p w14:paraId="71E30605" w14:textId="5718BB34" w:rsidR="00D664C5" w:rsidRPr="00C9702F" w:rsidRDefault="00D664C5" w:rsidP="005171A7">
      <w:pPr>
        <w:pStyle w:val="ListParagraph"/>
        <w:numPr>
          <w:ilvl w:val="0"/>
          <w:numId w:val="9"/>
        </w:numPr>
        <w:spacing w:line="360" w:lineRule="auto"/>
        <w:jc w:val="both"/>
      </w:pPr>
      <w:r w:rsidRPr="00C9702F">
        <w:t xml:space="preserve">In case number SCCC 58/2012, </w:t>
      </w:r>
      <w:r w:rsidR="003014D8" w:rsidRPr="00C9702F">
        <w:t xml:space="preserve">the case involving the first applicant initially, on 28 </w:t>
      </w:r>
      <w:r w:rsidR="000A617D" w:rsidRPr="00C9702F">
        <w:t>August</w:t>
      </w:r>
      <w:r w:rsidR="003014D8" w:rsidRPr="00C9702F">
        <w:t xml:space="preserve"> 2012 the state and the defence were ad idem that the matter was tri</w:t>
      </w:r>
      <w:r w:rsidR="00516A83" w:rsidRPr="00C9702F">
        <w:t>a</w:t>
      </w:r>
      <w:r w:rsidR="003014D8" w:rsidRPr="00C9702F">
        <w:t>l ready and the case was remanded to 1 October 2012 for that purpose.</w:t>
      </w:r>
    </w:p>
    <w:p w14:paraId="074CF61B" w14:textId="06B211FA" w:rsidR="003014D8" w:rsidRPr="00C9702F" w:rsidRDefault="00A05378" w:rsidP="005171A7">
      <w:pPr>
        <w:pStyle w:val="ListParagraph"/>
        <w:numPr>
          <w:ilvl w:val="0"/>
          <w:numId w:val="9"/>
        </w:numPr>
        <w:spacing w:line="360" w:lineRule="auto"/>
        <w:jc w:val="both"/>
      </w:pPr>
      <w:r w:rsidRPr="00C9702F">
        <w:t>On 10 March 2012, the second applicant was joined as accused 2 in case number 58/2012</w:t>
      </w:r>
      <w:r w:rsidR="002244F4" w:rsidRPr="00C9702F">
        <w:t xml:space="preserve"> following the withdrawal of the charges ag</w:t>
      </w:r>
      <w:r w:rsidR="004759CB" w:rsidRPr="00C9702F">
        <w:t>ains</w:t>
      </w:r>
      <w:r w:rsidR="002244F4" w:rsidRPr="00C9702F">
        <w:t>t him in case number 267/2009.</w:t>
      </w:r>
    </w:p>
    <w:p w14:paraId="0DBE3D3C" w14:textId="45E60607" w:rsidR="002244F4" w:rsidRPr="00C9702F" w:rsidRDefault="00FB625C" w:rsidP="005171A7">
      <w:pPr>
        <w:pStyle w:val="ListParagraph"/>
        <w:numPr>
          <w:ilvl w:val="0"/>
          <w:numId w:val="9"/>
        </w:numPr>
        <w:spacing w:line="360" w:lineRule="auto"/>
        <w:jc w:val="both"/>
      </w:pPr>
      <w:r w:rsidRPr="00C9702F">
        <w:t xml:space="preserve">On 28 October 2015 the state and the </w:t>
      </w:r>
      <w:r w:rsidR="003235AE" w:rsidRPr="00C9702F">
        <w:t xml:space="preserve">applicants’ </w:t>
      </w:r>
      <w:r w:rsidR="007A2B67" w:rsidRPr="00C9702F">
        <w:t xml:space="preserve">then </w:t>
      </w:r>
      <w:r w:rsidR="003235AE" w:rsidRPr="00C9702F">
        <w:t>legal representative</w:t>
      </w:r>
      <w:r w:rsidR="00BD27D5" w:rsidRPr="00C9702F">
        <w:t>,</w:t>
      </w:r>
      <w:r w:rsidR="007A2B67" w:rsidRPr="00C9702F">
        <w:t xml:space="preserve"> presumably Mr Victor Montano</w:t>
      </w:r>
      <w:r w:rsidR="00593EA6" w:rsidRPr="00C9702F">
        <w:t>, a</w:t>
      </w:r>
      <w:r w:rsidR="006418A7" w:rsidRPr="00C9702F">
        <w:t xml:space="preserve"> partner at</w:t>
      </w:r>
      <w:r w:rsidR="00BC2074" w:rsidRPr="00C9702F">
        <w:t xml:space="preserve"> </w:t>
      </w:r>
      <w:r w:rsidR="006418A7" w:rsidRPr="00C9702F">
        <w:t xml:space="preserve">Alexander Montano </w:t>
      </w:r>
      <w:r w:rsidR="001B4670" w:rsidRPr="00C9702F">
        <w:t xml:space="preserve">Attorneys </w:t>
      </w:r>
      <w:r w:rsidR="00BC2074" w:rsidRPr="00C9702F">
        <w:t>who withdrew as the applicants’</w:t>
      </w:r>
      <w:r w:rsidR="0081680E" w:rsidRPr="00C9702F">
        <w:t xml:space="preserve"> </w:t>
      </w:r>
      <w:r w:rsidR="00BC2074" w:rsidRPr="00C9702F">
        <w:t xml:space="preserve">attorney of record on </w:t>
      </w:r>
      <w:r w:rsidR="0081680E" w:rsidRPr="00C9702F">
        <w:t>27 November 2019,</w:t>
      </w:r>
      <w:r w:rsidR="00BD27D5" w:rsidRPr="00C9702F">
        <w:t xml:space="preserve"> </w:t>
      </w:r>
      <w:r w:rsidR="004759CB" w:rsidRPr="00C9702F">
        <w:t>w</w:t>
      </w:r>
      <w:r w:rsidR="003235AE" w:rsidRPr="00C9702F">
        <w:t>e</w:t>
      </w:r>
      <w:r w:rsidRPr="00C9702F">
        <w:t xml:space="preserve">re ad idem </w:t>
      </w:r>
      <w:r w:rsidR="003235AE" w:rsidRPr="00C9702F">
        <w:t>that the case was ready for trial and th</w:t>
      </w:r>
      <w:r w:rsidR="006D18CD" w:rsidRPr="00C9702F">
        <w:t>e matter was remanded to 15 February 2016 for that purpose.</w:t>
      </w:r>
    </w:p>
    <w:p w14:paraId="19384710" w14:textId="5A012FD2" w:rsidR="006D18CD" w:rsidRDefault="009D2D1C" w:rsidP="005171A7">
      <w:pPr>
        <w:pStyle w:val="ListParagraph"/>
        <w:numPr>
          <w:ilvl w:val="0"/>
          <w:numId w:val="9"/>
        </w:numPr>
        <w:spacing w:line="360" w:lineRule="auto"/>
        <w:jc w:val="both"/>
      </w:pPr>
      <w:r w:rsidRPr="00C9702F">
        <w:t xml:space="preserve">On 15 February 2016, the defence indicated that there were documents </w:t>
      </w:r>
      <w:r w:rsidR="00690814" w:rsidRPr="00C9702F">
        <w:t xml:space="preserve">which were required to prepare for trial and the current disclosure process was initiated. </w:t>
      </w:r>
    </w:p>
    <w:p w14:paraId="7A947E87" w14:textId="77777777" w:rsidR="00980CAE" w:rsidRPr="00C9702F" w:rsidRDefault="00980CAE" w:rsidP="00980CAE">
      <w:pPr>
        <w:pStyle w:val="ListParagraph"/>
        <w:spacing w:line="360" w:lineRule="auto"/>
        <w:jc w:val="both"/>
      </w:pPr>
    </w:p>
    <w:p w14:paraId="1F70E45B" w14:textId="2DC6E8D2" w:rsidR="00AC6842" w:rsidRDefault="006D2F9B" w:rsidP="005171A7">
      <w:pPr>
        <w:spacing w:line="360" w:lineRule="auto"/>
        <w:jc w:val="both"/>
      </w:pPr>
      <w:r w:rsidRPr="00C9702F">
        <w:t>[2</w:t>
      </w:r>
      <w:r w:rsidR="003B69A2" w:rsidRPr="00C9702F">
        <w:t>7</w:t>
      </w:r>
      <w:r w:rsidRPr="00C9702F">
        <w:t>]</w:t>
      </w:r>
      <w:r w:rsidRPr="00C9702F">
        <w:tab/>
      </w:r>
      <w:r w:rsidR="004759CB" w:rsidRPr="00C9702F">
        <w:t>The respondents do not dispute these facts</w:t>
      </w:r>
      <w:r w:rsidR="00AC6842" w:rsidRPr="00C9702F">
        <w:t xml:space="preserve"> and they are common cause.</w:t>
      </w:r>
    </w:p>
    <w:p w14:paraId="42DE89CB" w14:textId="77777777" w:rsidR="00980CAE" w:rsidRPr="00C9702F" w:rsidRDefault="00980CAE" w:rsidP="005171A7">
      <w:pPr>
        <w:spacing w:line="360" w:lineRule="auto"/>
        <w:jc w:val="both"/>
      </w:pPr>
    </w:p>
    <w:p w14:paraId="68BDA2E6" w14:textId="2BAF2C61" w:rsidR="00B93993" w:rsidRDefault="002738A5" w:rsidP="005171A7">
      <w:pPr>
        <w:spacing w:line="360" w:lineRule="auto"/>
        <w:jc w:val="both"/>
      </w:pPr>
      <w:r w:rsidRPr="00C9702F">
        <w:t>[28]</w:t>
      </w:r>
      <w:r w:rsidRPr="00C9702F">
        <w:tab/>
      </w:r>
      <w:r w:rsidR="00C22B50" w:rsidRPr="00C9702F">
        <w:t>Although n</w:t>
      </w:r>
      <w:r w:rsidR="00EA3AD2" w:rsidRPr="00C9702F">
        <w:t xml:space="preserve">either the </w:t>
      </w:r>
      <w:r w:rsidR="0083204E" w:rsidRPr="00C9702F">
        <w:t>applicants nor the respondents have explained why there have been so many delays</w:t>
      </w:r>
      <w:r w:rsidR="00EC2B1B" w:rsidRPr="00C9702F">
        <w:t xml:space="preserve"> over the years</w:t>
      </w:r>
      <w:r w:rsidR="00C22B50" w:rsidRPr="00C9702F">
        <w:t>, t</w:t>
      </w:r>
      <w:r w:rsidR="00B168F3" w:rsidRPr="00C9702F">
        <w:t>here w</w:t>
      </w:r>
      <w:r w:rsidR="004D74AF" w:rsidRPr="00C9702F">
        <w:t>ere</w:t>
      </w:r>
      <w:r w:rsidR="00B168F3" w:rsidRPr="00C9702F">
        <w:t xml:space="preserve"> clearly regular communication</w:t>
      </w:r>
      <w:r w:rsidR="004D74AF" w:rsidRPr="00C9702F">
        <w:t>s</w:t>
      </w:r>
      <w:r w:rsidR="00B168F3" w:rsidRPr="00C9702F">
        <w:t xml:space="preserve"> </w:t>
      </w:r>
      <w:r w:rsidR="00B168F3" w:rsidRPr="00C9702F">
        <w:lastRenderedPageBreak/>
        <w:t xml:space="preserve">between the parties </w:t>
      </w:r>
      <w:r w:rsidR="009D7463" w:rsidRPr="00C9702F">
        <w:t xml:space="preserve">over the years </w:t>
      </w:r>
      <w:r w:rsidR="00B168F3" w:rsidRPr="00C9702F">
        <w:t>because Mr Nkoana s</w:t>
      </w:r>
      <w:r w:rsidR="00DE1249" w:rsidRPr="00C9702F">
        <w:t xml:space="preserve">ays that the state and the defence were </w:t>
      </w:r>
      <w:r w:rsidR="00F4020F" w:rsidRPr="00C9702F">
        <w:t>ad idem</w:t>
      </w:r>
      <w:r w:rsidR="0064750B" w:rsidRPr="00C9702F">
        <w:t>, from time to time, that the matter was tri</w:t>
      </w:r>
      <w:r w:rsidR="00DE1249" w:rsidRPr="00C9702F">
        <w:t>a</w:t>
      </w:r>
      <w:r w:rsidR="0064750B" w:rsidRPr="00C9702F">
        <w:t>l ready.</w:t>
      </w:r>
    </w:p>
    <w:p w14:paraId="7A4649B8" w14:textId="77777777" w:rsidR="005171A7" w:rsidRPr="00C9702F" w:rsidRDefault="005171A7" w:rsidP="005171A7">
      <w:pPr>
        <w:spacing w:line="360" w:lineRule="auto"/>
        <w:jc w:val="both"/>
      </w:pPr>
    </w:p>
    <w:p w14:paraId="5FFF3B78" w14:textId="7098980F" w:rsidR="00A4649D" w:rsidRDefault="00EF22FD" w:rsidP="005171A7">
      <w:pPr>
        <w:spacing w:line="360" w:lineRule="auto"/>
        <w:jc w:val="both"/>
      </w:pPr>
      <w:r w:rsidRPr="00C9702F">
        <w:t>[</w:t>
      </w:r>
      <w:r w:rsidR="00B53576" w:rsidRPr="00C9702F">
        <w:t>29</w:t>
      </w:r>
      <w:r w:rsidRPr="00C9702F">
        <w:t>]</w:t>
      </w:r>
      <w:r w:rsidRPr="00C9702F">
        <w:tab/>
      </w:r>
      <w:r w:rsidR="00F70AA3" w:rsidRPr="00C9702F">
        <w:t>The applicants do not suggest that they at any time either objected to the delays or sought to expedite the case against them</w:t>
      </w:r>
      <w:r w:rsidR="001F480D" w:rsidRPr="00C9702F">
        <w:t xml:space="preserve"> as they were entitled to do</w:t>
      </w:r>
      <w:r w:rsidR="00F70AA3" w:rsidRPr="00C9702F">
        <w:t>.</w:t>
      </w:r>
    </w:p>
    <w:p w14:paraId="290E7BC6" w14:textId="77777777" w:rsidR="005171A7" w:rsidRPr="00C9702F" w:rsidRDefault="005171A7" w:rsidP="005171A7">
      <w:pPr>
        <w:spacing w:line="360" w:lineRule="auto"/>
        <w:jc w:val="both"/>
      </w:pPr>
    </w:p>
    <w:p w14:paraId="77A8E162" w14:textId="558394AD" w:rsidR="004928E4" w:rsidRDefault="00EF22FD" w:rsidP="005171A7">
      <w:pPr>
        <w:spacing w:line="360" w:lineRule="auto"/>
        <w:jc w:val="both"/>
      </w:pPr>
      <w:r w:rsidRPr="00C9702F">
        <w:t>[</w:t>
      </w:r>
      <w:r w:rsidR="003B69A2" w:rsidRPr="00C9702F">
        <w:t>3</w:t>
      </w:r>
      <w:r w:rsidR="00B53576" w:rsidRPr="00C9702F">
        <w:t>0</w:t>
      </w:r>
      <w:r w:rsidRPr="00C9702F">
        <w:t>]</w:t>
      </w:r>
      <w:r w:rsidRPr="00C9702F">
        <w:tab/>
      </w:r>
      <w:r w:rsidR="00A820D3" w:rsidRPr="00C9702F">
        <w:t xml:space="preserve">It is also common cause that the trial </w:t>
      </w:r>
      <w:r w:rsidR="00B4267C" w:rsidRPr="00C9702F">
        <w:t xml:space="preserve">of the first applicant </w:t>
      </w:r>
      <w:r w:rsidR="00A820D3" w:rsidRPr="00C9702F">
        <w:t xml:space="preserve">proceeded </w:t>
      </w:r>
      <w:r w:rsidR="00EA194F" w:rsidRPr="00C9702F">
        <w:t>right up to the time that the presiding officer recused herself and that the matter was again set down for tri</w:t>
      </w:r>
      <w:r w:rsidR="00AA42BE" w:rsidRPr="00C9702F">
        <w:t>a</w:t>
      </w:r>
      <w:r w:rsidR="00EA194F" w:rsidRPr="00C9702F">
        <w:t xml:space="preserve">l on </w:t>
      </w:r>
      <w:r w:rsidR="00814657" w:rsidRPr="00C9702F">
        <w:t>15 February 2016 but</w:t>
      </w:r>
      <w:r w:rsidR="00EA194F" w:rsidRPr="00C9702F">
        <w:t xml:space="preserve"> did not proceed </w:t>
      </w:r>
      <w:r w:rsidR="00A14E1A" w:rsidRPr="00C9702F">
        <w:t xml:space="preserve">on that date </w:t>
      </w:r>
      <w:r w:rsidR="00EA194F" w:rsidRPr="00C9702F">
        <w:t xml:space="preserve">because </w:t>
      </w:r>
      <w:r w:rsidR="00106944" w:rsidRPr="00C9702F">
        <w:t xml:space="preserve">the applicants sought various documents. </w:t>
      </w:r>
    </w:p>
    <w:p w14:paraId="33EB9AA6" w14:textId="77777777" w:rsidR="005171A7" w:rsidRPr="00C9702F" w:rsidRDefault="005171A7" w:rsidP="005171A7">
      <w:pPr>
        <w:spacing w:line="360" w:lineRule="auto"/>
        <w:jc w:val="both"/>
      </w:pPr>
    </w:p>
    <w:p w14:paraId="378DB26C" w14:textId="76102D67" w:rsidR="006711C8" w:rsidRPr="00C9702F" w:rsidRDefault="00EF22FD" w:rsidP="005171A7">
      <w:pPr>
        <w:spacing w:line="360" w:lineRule="auto"/>
        <w:jc w:val="both"/>
      </w:pPr>
      <w:r w:rsidRPr="00C9702F">
        <w:t>[</w:t>
      </w:r>
      <w:r w:rsidR="00904D48" w:rsidRPr="00C9702F">
        <w:t>3</w:t>
      </w:r>
      <w:r w:rsidR="00B53576" w:rsidRPr="00C9702F">
        <w:t>1</w:t>
      </w:r>
      <w:r w:rsidRPr="00C9702F">
        <w:t>]</w:t>
      </w:r>
      <w:r w:rsidRPr="00C9702F">
        <w:tab/>
      </w:r>
      <w:r w:rsidR="00097022" w:rsidRPr="00C9702F">
        <w:t>I</w:t>
      </w:r>
      <w:r w:rsidR="00542B9B" w:rsidRPr="00C9702F">
        <w:t>n</w:t>
      </w:r>
      <w:r w:rsidR="00542B9B" w:rsidRPr="00C9702F">
        <w:rPr>
          <w:i/>
          <w:iCs/>
        </w:rPr>
        <w:t xml:space="preserve"> Sanderson</w:t>
      </w:r>
      <w:r w:rsidR="00542B9B" w:rsidRPr="00C9702F">
        <w:t xml:space="preserve">, Kriegler noted </w:t>
      </w:r>
      <w:r w:rsidR="00810262" w:rsidRPr="00C9702F">
        <w:t xml:space="preserve">with reference to </w:t>
      </w:r>
      <w:r w:rsidR="002B75FD" w:rsidRPr="00C9702F">
        <w:t xml:space="preserve">delays </w:t>
      </w:r>
      <w:r w:rsidR="00542B9B" w:rsidRPr="00C9702F">
        <w:t>that:</w:t>
      </w:r>
    </w:p>
    <w:p w14:paraId="4E0F80E4" w14:textId="468FB70A" w:rsidR="006711C8" w:rsidRPr="005171A7" w:rsidRDefault="006711C8" w:rsidP="005171A7">
      <w:pPr>
        <w:spacing w:line="360" w:lineRule="auto"/>
        <w:ind w:left="720"/>
        <w:jc w:val="both"/>
        <w:rPr>
          <w:i/>
          <w:color w:val="242121"/>
          <w:shd w:val="clear" w:color="auto" w:fill="FFFFFF"/>
        </w:rPr>
      </w:pPr>
      <w:r w:rsidRPr="00C9702F">
        <w:rPr>
          <w:color w:val="242121"/>
          <w:shd w:val="clear" w:color="auto" w:fill="FFFFFF"/>
        </w:rPr>
        <w:t xml:space="preserve"> </w:t>
      </w:r>
      <w:r w:rsidR="00124487" w:rsidRPr="005171A7">
        <w:rPr>
          <w:i/>
          <w:color w:val="242121"/>
          <w:shd w:val="clear" w:color="auto" w:fill="FFFFFF"/>
        </w:rPr>
        <w:t>“</w:t>
      </w:r>
      <w:r w:rsidRPr="005171A7">
        <w:rPr>
          <w:i/>
          <w:color w:val="242121"/>
          <w:shd w:val="clear" w:color="auto" w:fill="FFFFFF"/>
        </w:rPr>
        <w:t>An important issue related to prejudice should be clarified. It is the relevance of the accused’s desire that the trial be expedited. In some American cases, such as </w:t>
      </w:r>
      <w:r w:rsidRPr="005171A7">
        <w:rPr>
          <w:i/>
          <w:iCs/>
          <w:color w:val="242121"/>
          <w:shd w:val="clear" w:color="auto" w:fill="FFFFFF"/>
        </w:rPr>
        <w:t>Barker</w:t>
      </w:r>
      <w:r w:rsidRPr="005171A7">
        <w:rPr>
          <w:i/>
          <w:color w:val="242121"/>
          <w:shd w:val="clear" w:color="auto" w:fill="FFFFFF"/>
        </w:rPr>
        <w:t>, the extent to which the accused actually wants to go to trial looms very large. I respectfully disagree. Even if accused would rather avoid their contest with the state, they remain capable of suffering prejudice related to incarceration or the stringency of bail conditions or the exposure to a public charge. An accused should not have to demonstrate a genuine desire to go to trial in order to benefit from the right, provided that he can establish any of the three kinds of prejudice protected by the right.</w:t>
      </w:r>
      <w:r w:rsidR="00904D48" w:rsidRPr="005171A7">
        <w:rPr>
          <w:i/>
          <w:color w:val="242121"/>
          <w:shd w:val="clear" w:color="auto" w:fill="FFFFFF"/>
        </w:rPr>
        <w:t xml:space="preserve"> </w:t>
      </w:r>
    </w:p>
    <w:p w14:paraId="4F163415" w14:textId="69D905DB" w:rsidR="00542B9B" w:rsidRPr="005171A7" w:rsidRDefault="005F50BF" w:rsidP="005171A7">
      <w:pPr>
        <w:spacing w:line="360" w:lineRule="auto"/>
        <w:ind w:left="720"/>
        <w:jc w:val="both"/>
        <w:rPr>
          <w:i/>
          <w:color w:val="242121"/>
          <w:shd w:val="clear" w:color="auto" w:fill="FFFFFF"/>
          <w:vertAlign w:val="superscript"/>
        </w:rPr>
      </w:pPr>
      <w:r w:rsidRPr="005171A7">
        <w:rPr>
          <w:i/>
          <w:color w:val="242121"/>
          <w:shd w:val="clear" w:color="auto" w:fill="FFFFFF"/>
        </w:rPr>
        <w:t>Of course, an accused that has constantly consented to postponements could find it difficult to establish that he has suffered actionable social prejudice from resulting delays. But the question is not whether he </w:t>
      </w:r>
      <w:r w:rsidRPr="005171A7">
        <w:rPr>
          <w:i/>
          <w:iCs/>
          <w:color w:val="242121"/>
          <w:shd w:val="clear" w:color="auto" w:fill="FFFFFF"/>
        </w:rPr>
        <w:t>wants</w:t>
      </w:r>
      <w:r w:rsidRPr="005171A7">
        <w:rPr>
          <w:i/>
          <w:color w:val="242121"/>
          <w:shd w:val="clear" w:color="auto" w:fill="FFFFFF"/>
        </w:rPr>
        <w:t> to go to trial, but whether he has actually suffered prejudice as a result of the lapse of time.</w:t>
      </w:r>
      <w:r w:rsidRPr="005171A7">
        <w:rPr>
          <w:i/>
          <w:color w:val="242121"/>
        </w:rPr>
        <w:br/>
      </w:r>
      <w:r w:rsidRPr="005171A7">
        <w:rPr>
          <w:i/>
          <w:color w:val="242121"/>
        </w:rPr>
        <w:br/>
      </w:r>
      <w:r w:rsidRPr="005171A7">
        <w:rPr>
          <w:i/>
          <w:color w:val="242121"/>
          <w:shd w:val="clear" w:color="auto" w:fill="FFFFFF"/>
        </w:rPr>
        <w:t xml:space="preserve">On a related issue, I would suggest that if an accused has been the primary agent of delay, he should not be able to rely on it in vindicating his rights under section 25(3)(a). The accused should not be allowed to complain about periods of time for which he has sought a postponement or delayed the prosecution in </w:t>
      </w:r>
      <w:r w:rsidRPr="005171A7">
        <w:rPr>
          <w:i/>
          <w:color w:val="242121"/>
          <w:shd w:val="clear" w:color="auto" w:fill="FFFFFF"/>
        </w:rPr>
        <w:lastRenderedPageBreak/>
        <w:t>ways that are less formal. There is, however, no need for the accused to assert his right or actively compel the state to accelerate the preparation of its case. Provided that he has genuinely suffered prejudice as a result of the state’s delay, he cannot be responsible for the state’s tardiness.</w:t>
      </w:r>
      <w:r w:rsidR="003B7DB0" w:rsidRPr="005171A7">
        <w:rPr>
          <w:i/>
          <w:color w:val="242121"/>
          <w:shd w:val="clear" w:color="auto" w:fill="FFFFFF"/>
        </w:rPr>
        <w:t>”</w:t>
      </w:r>
      <w:r w:rsidR="003C268E" w:rsidRPr="005171A7">
        <w:rPr>
          <w:rStyle w:val="FootnoteReference"/>
          <w:i/>
          <w:color w:val="242121"/>
          <w:shd w:val="clear" w:color="auto" w:fill="FFFFFF"/>
        </w:rPr>
        <w:footnoteReference w:id="10"/>
      </w:r>
      <w:r w:rsidR="00C52D2B" w:rsidRPr="005171A7">
        <w:rPr>
          <w:i/>
          <w:color w:val="242121"/>
          <w:shd w:val="clear" w:color="auto" w:fill="FFFFFF"/>
          <w:vertAlign w:val="superscript"/>
        </w:rPr>
        <w:t xml:space="preserve"> </w:t>
      </w:r>
    </w:p>
    <w:p w14:paraId="45C29965" w14:textId="77777777" w:rsidR="005171A7" w:rsidRPr="00C9702F" w:rsidRDefault="005171A7" w:rsidP="005171A7">
      <w:pPr>
        <w:spacing w:line="360" w:lineRule="auto"/>
        <w:ind w:left="720"/>
        <w:jc w:val="both"/>
        <w:rPr>
          <w:color w:val="242121"/>
          <w:shd w:val="clear" w:color="auto" w:fill="FFFFFF"/>
          <w:vertAlign w:val="superscript"/>
        </w:rPr>
      </w:pPr>
    </w:p>
    <w:p w14:paraId="373792FE" w14:textId="6E5911DA" w:rsidR="00172FA8" w:rsidRDefault="003E4DD2" w:rsidP="005171A7">
      <w:pPr>
        <w:spacing w:line="360" w:lineRule="auto"/>
        <w:jc w:val="both"/>
      </w:pPr>
      <w:r w:rsidRPr="00C9702F">
        <w:t>[</w:t>
      </w:r>
      <w:r w:rsidR="00B53576" w:rsidRPr="00C9702F">
        <w:t>32</w:t>
      </w:r>
      <w:r w:rsidRPr="00C9702F">
        <w:t>]</w:t>
      </w:r>
      <w:r w:rsidRPr="00C9702F">
        <w:tab/>
      </w:r>
      <w:r w:rsidR="00AB3D0E" w:rsidRPr="00C9702F">
        <w:t>That an accused cannot complain</w:t>
      </w:r>
      <w:r w:rsidR="00111287" w:rsidRPr="00C9702F">
        <w:t xml:space="preserve"> </w:t>
      </w:r>
      <w:r w:rsidR="00A360F4" w:rsidRPr="00C9702F">
        <w:t xml:space="preserve">about </w:t>
      </w:r>
      <w:r w:rsidR="00111287" w:rsidRPr="00C9702F">
        <w:t xml:space="preserve">delays </w:t>
      </w:r>
      <w:r w:rsidR="006A36A8" w:rsidRPr="00C9702F">
        <w:t>when th</w:t>
      </w:r>
      <w:r w:rsidRPr="00C9702F">
        <w:t>ose</w:t>
      </w:r>
      <w:r w:rsidR="006A36A8" w:rsidRPr="00C9702F">
        <w:t xml:space="preserve"> </w:t>
      </w:r>
      <w:r w:rsidR="00111287" w:rsidRPr="00C9702F">
        <w:t xml:space="preserve">may have been due to some </w:t>
      </w:r>
      <w:r w:rsidR="001E7B78" w:rsidRPr="00C9702F">
        <w:t xml:space="preserve">fault on the part of the accused was reaffirmed in </w:t>
      </w:r>
      <w:r w:rsidR="001E7B78" w:rsidRPr="00C9702F">
        <w:rPr>
          <w:i/>
          <w:iCs/>
        </w:rPr>
        <w:t xml:space="preserve">Wild and another v Hoffert </w:t>
      </w:r>
      <w:r w:rsidR="004A40CF" w:rsidRPr="00C9702F">
        <w:rPr>
          <w:i/>
          <w:iCs/>
        </w:rPr>
        <w:t xml:space="preserve">NO and Others </w:t>
      </w:r>
      <w:r w:rsidR="004A40CF" w:rsidRPr="00C9702F">
        <w:t xml:space="preserve">[1998] ZACC 5 at para </w:t>
      </w:r>
      <w:r w:rsidR="0040723D" w:rsidRPr="00C9702F">
        <w:t>[8] by Kreigler J, in the following terms:</w:t>
      </w:r>
    </w:p>
    <w:p w14:paraId="6A0EC19E" w14:textId="77777777" w:rsidR="00980CAE" w:rsidRPr="00C9702F" w:rsidRDefault="00980CAE" w:rsidP="005171A7">
      <w:pPr>
        <w:spacing w:line="360" w:lineRule="auto"/>
        <w:jc w:val="both"/>
      </w:pPr>
    </w:p>
    <w:p w14:paraId="1E656859" w14:textId="1EE812F7" w:rsidR="0040723D" w:rsidRPr="005171A7" w:rsidRDefault="0040723D" w:rsidP="005171A7">
      <w:pPr>
        <w:spacing w:line="360" w:lineRule="auto"/>
        <w:ind w:left="720"/>
        <w:jc w:val="both"/>
        <w:rPr>
          <w:i/>
          <w:color w:val="242121"/>
          <w:shd w:val="clear" w:color="auto" w:fill="FFFFFF"/>
        </w:rPr>
      </w:pPr>
      <w:r w:rsidRPr="005171A7">
        <w:rPr>
          <w:i/>
        </w:rPr>
        <w:t>“</w:t>
      </w:r>
      <w:r w:rsidR="009B435F" w:rsidRPr="005171A7">
        <w:rPr>
          <w:i/>
          <w:color w:val="242121"/>
          <w:shd w:val="clear" w:color="auto" w:fill="FFFFFF"/>
        </w:rPr>
        <w:t>A further feature mentioned in </w:t>
      </w:r>
      <w:r w:rsidR="009B435F" w:rsidRPr="005171A7">
        <w:rPr>
          <w:i/>
          <w:iCs/>
          <w:color w:val="242121"/>
          <w:shd w:val="clear" w:color="auto" w:fill="FFFFFF"/>
        </w:rPr>
        <w:t>Sanderson</w:t>
      </w:r>
      <w:r w:rsidR="009B435F" w:rsidRPr="005171A7">
        <w:rPr>
          <w:i/>
          <w:color w:val="242121"/>
          <w:shd w:val="clear" w:color="auto" w:fill="FFFFFF"/>
        </w:rPr>
        <w:t>’s case is the attitude of the accused towards delays and his or her role in prolonging the pre-trial period.  Although the conclusion was that there need not be any assertion of the right to a speedy trial on the part of an accused, it was nevertheless emphasised that an accused who had been a party to or the primary cause of delay could not be heard to complain of such delay.”</w:t>
      </w:r>
    </w:p>
    <w:p w14:paraId="482C62D9" w14:textId="77777777" w:rsidR="005171A7" w:rsidRPr="00C9702F" w:rsidRDefault="005171A7" w:rsidP="005171A7">
      <w:pPr>
        <w:spacing w:line="360" w:lineRule="auto"/>
        <w:ind w:left="720"/>
        <w:jc w:val="both"/>
        <w:rPr>
          <w:color w:val="242121"/>
          <w:shd w:val="clear" w:color="auto" w:fill="FFFFFF"/>
        </w:rPr>
      </w:pPr>
    </w:p>
    <w:p w14:paraId="6C5E8724" w14:textId="5326BA1E" w:rsidR="00E07C14" w:rsidRDefault="00CF0B49" w:rsidP="005171A7">
      <w:pPr>
        <w:spacing w:line="360" w:lineRule="auto"/>
        <w:jc w:val="both"/>
        <w:rPr>
          <w:color w:val="242121"/>
          <w:shd w:val="clear" w:color="auto" w:fill="FFFFFF"/>
        </w:rPr>
      </w:pPr>
      <w:r w:rsidRPr="00C9702F">
        <w:rPr>
          <w:color w:val="242121"/>
          <w:shd w:val="clear" w:color="auto" w:fill="FFFFFF"/>
        </w:rPr>
        <w:t>[3</w:t>
      </w:r>
      <w:r w:rsidR="00B53576" w:rsidRPr="00C9702F">
        <w:rPr>
          <w:color w:val="242121"/>
          <w:shd w:val="clear" w:color="auto" w:fill="FFFFFF"/>
        </w:rPr>
        <w:t>3</w:t>
      </w:r>
      <w:r w:rsidRPr="00C9702F">
        <w:rPr>
          <w:color w:val="242121"/>
          <w:shd w:val="clear" w:color="auto" w:fill="FFFFFF"/>
        </w:rPr>
        <w:t>]</w:t>
      </w:r>
      <w:r w:rsidRPr="00C9702F">
        <w:rPr>
          <w:color w:val="242121"/>
          <w:shd w:val="clear" w:color="auto" w:fill="FFFFFF"/>
        </w:rPr>
        <w:tab/>
      </w:r>
      <w:r w:rsidR="00E07C14" w:rsidRPr="00C9702F">
        <w:rPr>
          <w:color w:val="242121"/>
          <w:shd w:val="clear" w:color="auto" w:fill="FFFFFF"/>
        </w:rPr>
        <w:t>Kriegler went further though and also noted that:</w:t>
      </w:r>
    </w:p>
    <w:p w14:paraId="0FBEE412" w14:textId="77777777" w:rsidR="00980CAE" w:rsidRPr="00C9702F" w:rsidRDefault="00980CAE" w:rsidP="005171A7">
      <w:pPr>
        <w:spacing w:line="360" w:lineRule="auto"/>
        <w:jc w:val="both"/>
        <w:rPr>
          <w:color w:val="242121"/>
          <w:shd w:val="clear" w:color="auto" w:fill="FFFFFF"/>
        </w:rPr>
      </w:pPr>
    </w:p>
    <w:p w14:paraId="0E441034" w14:textId="4CF46B5C" w:rsidR="00144332" w:rsidRDefault="0060335A" w:rsidP="005171A7">
      <w:pPr>
        <w:pStyle w:val="level1"/>
        <w:shd w:val="clear" w:color="auto" w:fill="FFFFFF"/>
        <w:spacing w:before="144" w:beforeAutospacing="0" w:after="288" w:afterAutospacing="0" w:line="360" w:lineRule="auto"/>
        <w:ind w:left="851"/>
        <w:jc w:val="both"/>
        <w:rPr>
          <w:rFonts w:ascii="Arial" w:hAnsi="Arial" w:cs="Arial"/>
          <w:color w:val="242121"/>
          <w:lang w:val="en-GB"/>
        </w:rPr>
      </w:pPr>
      <w:r w:rsidRPr="00C9702F">
        <w:rPr>
          <w:rFonts w:ascii="Arial" w:hAnsi="Arial" w:cs="Arial"/>
          <w:color w:val="242121"/>
          <w:lang w:val="en-GB"/>
        </w:rPr>
        <w:t>“</w:t>
      </w:r>
      <w:r w:rsidR="00E07C14" w:rsidRPr="005171A7">
        <w:rPr>
          <w:rFonts w:ascii="Arial" w:hAnsi="Arial" w:cs="Arial"/>
          <w:i/>
          <w:color w:val="242121"/>
          <w:lang w:val="en-GB"/>
        </w:rPr>
        <w:t>In the same context the judgment makes plain that fault on the part of the prosecution which results in delay is an important</w:t>
      </w:r>
      <w:r w:rsidR="004714B5" w:rsidRPr="005171A7">
        <w:rPr>
          <w:rFonts w:ascii="Arial" w:hAnsi="Arial" w:cs="Arial"/>
          <w:i/>
          <w:color w:val="242121"/>
          <w:lang w:val="en-GB"/>
        </w:rPr>
        <w:t xml:space="preserve"> </w:t>
      </w:r>
      <w:r w:rsidR="00E07C14" w:rsidRPr="005171A7">
        <w:rPr>
          <w:rFonts w:ascii="Arial" w:hAnsi="Arial" w:cs="Arial"/>
          <w:i/>
          <w:color w:val="242121"/>
          <w:lang w:val="en-GB"/>
        </w:rPr>
        <w:t>circumstance.  Although the ultimate enquiry is whether the time between the charge and the trial is unreasonable, it is obviously relevant that the one or the other party is to blame, in whole or in part, for the delay.</w:t>
      </w:r>
      <w:r w:rsidRPr="005171A7">
        <w:rPr>
          <w:rFonts w:ascii="Arial" w:hAnsi="Arial" w:cs="Arial"/>
          <w:i/>
          <w:color w:val="242121"/>
          <w:lang w:val="en-GB"/>
        </w:rPr>
        <w:t>”</w:t>
      </w:r>
      <w:r w:rsidRPr="005171A7">
        <w:rPr>
          <w:rStyle w:val="FootnoteReference"/>
          <w:rFonts w:ascii="Arial" w:hAnsi="Arial" w:cs="Arial"/>
          <w:i/>
          <w:color w:val="242121"/>
          <w:lang w:val="en-GB"/>
        </w:rPr>
        <w:footnoteReference w:id="11"/>
      </w:r>
    </w:p>
    <w:p w14:paraId="57C79691" w14:textId="77777777" w:rsidR="005171A7" w:rsidRPr="00C9702F" w:rsidRDefault="005171A7" w:rsidP="005171A7">
      <w:pPr>
        <w:pStyle w:val="level1"/>
        <w:shd w:val="clear" w:color="auto" w:fill="FFFFFF"/>
        <w:spacing w:before="144" w:beforeAutospacing="0" w:after="288" w:afterAutospacing="0" w:line="360" w:lineRule="auto"/>
        <w:ind w:left="851"/>
        <w:jc w:val="both"/>
        <w:rPr>
          <w:rFonts w:ascii="Arial" w:hAnsi="Arial" w:cs="Arial"/>
          <w:color w:val="242121"/>
          <w:lang w:val="en-GB"/>
        </w:rPr>
      </w:pPr>
    </w:p>
    <w:p w14:paraId="7546B3A8" w14:textId="02093A93" w:rsidR="003F6BCE" w:rsidRDefault="00D61134" w:rsidP="005171A7">
      <w:pPr>
        <w:pStyle w:val="level1"/>
        <w:shd w:val="clear" w:color="auto" w:fill="FFFFFF"/>
        <w:spacing w:before="144" w:beforeAutospacing="0" w:after="288" w:afterAutospacing="0" w:line="360" w:lineRule="auto"/>
        <w:jc w:val="both"/>
        <w:rPr>
          <w:rFonts w:ascii="Arial" w:hAnsi="Arial" w:cs="Arial"/>
          <w:color w:val="242121"/>
          <w:lang w:val="en-GB"/>
        </w:rPr>
      </w:pPr>
      <w:r w:rsidRPr="00C9702F">
        <w:rPr>
          <w:rFonts w:ascii="Arial" w:hAnsi="Arial" w:cs="Arial"/>
          <w:color w:val="242121"/>
          <w:lang w:val="en-GB"/>
        </w:rPr>
        <w:t>[3</w:t>
      </w:r>
      <w:r w:rsidR="00B53576" w:rsidRPr="00C9702F">
        <w:rPr>
          <w:rFonts w:ascii="Arial" w:hAnsi="Arial" w:cs="Arial"/>
          <w:color w:val="242121"/>
          <w:lang w:val="en-GB"/>
        </w:rPr>
        <w:t>4</w:t>
      </w:r>
      <w:r w:rsidRPr="00C9702F">
        <w:rPr>
          <w:rFonts w:ascii="Arial" w:hAnsi="Arial" w:cs="Arial"/>
          <w:color w:val="242121"/>
          <w:lang w:val="en-GB"/>
        </w:rPr>
        <w:t>]</w:t>
      </w:r>
      <w:r w:rsidRPr="00C9702F">
        <w:rPr>
          <w:rFonts w:ascii="Arial" w:hAnsi="Arial" w:cs="Arial"/>
          <w:color w:val="242121"/>
          <w:lang w:val="en-GB"/>
        </w:rPr>
        <w:tab/>
      </w:r>
      <w:r w:rsidR="00340393" w:rsidRPr="00C9702F">
        <w:rPr>
          <w:rFonts w:ascii="Arial" w:hAnsi="Arial" w:cs="Arial"/>
          <w:color w:val="242121"/>
          <w:lang w:val="en-GB"/>
        </w:rPr>
        <w:t xml:space="preserve">With reference to a delay </w:t>
      </w:r>
      <w:r w:rsidR="00ED2B97" w:rsidRPr="00C9702F">
        <w:rPr>
          <w:rFonts w:ascii="Arial" w:hAnsi="Arial" w:cs="Arial"/>
          <w:color w:val="242121"/>
          <w:lang w:val="en-GB"/>
        </w:rPr>
        <w:t xml:space="preserve">in the </w:t>
      </w:r>
      <w:r w:rsidR="000101AE" w:rsidRPr="00C9702F">
        <w:rPr>
          <w:rFonts w:ascii="Arial" w:hAnsi="Arial" w:cs="Arial"/>
          <w:color w:val="242121"/>
          <w:lang w:val="en-GB"/>
        </w:rPr>
        <w:t xml:space="preserve">reinstitution a trial against an accused, </w:t>
      </w:r>
      <w:r w:rsidR="00677962" w:rsidRPr="00C9702F">
        <w:rPr>
          <w:rFonts w:ascii="Arial" w:hAnsi="Arial" w:cs="Arial"/>
          <w:color w:val="242121"/>
          <w:lang w:val="en-GB"/>
        </w:rPr>
        <w:t>Kriegler J said that unless tri</w:t>
      </w:r>
      <w:r w:rsidR="00ED2B97" w:rsidRPr="00C9702F">
        <w:rPr>
          <w:rFonts w:ascii="Arial" w:hAnsi="Arial" w:cs="Arial"/>
          <w:color w:val="242121"/>
          <w:lang w:val="en-GB"/>
        </w:rPr>
        <w:t>a</w:t>
      </w:r>
      <w:r w:rsidR="00677962" w:rsidRPr="00C9702F">
        <w:rPr>
          <w:rFonts w:ascii="Arial" w:hAnsi="Arial" w:cs="Arial"/>
          <w:color w:val="242121"/>
          <w:lang w:val="en-GB"/>
        </w:rPr>
        <w:t>l prejudice is alleged,</w:t>
      </w:r>
      <w:r w:rsidR="00340393" w:rsidRPr="00C9702F">
        <w:rPr>
          <w:rFonts w:ascii="Arial" w:hAnsi="Arial" w:cs="Arial"/>
          <w:color w:val="242121"/>
          <w:lang w:val="en-GB"/>
        </w:rPr>
        <w:t xml:space="preserve"> </w:t>
      </w:r>
      <w:r w:rsidR="00677962" w:rsidRPr="00C9702F">
        <w:rPr>
          <w:rFonts w:ascii="Arial" w:hAnsi="Arial" w:cs="Arial"/>
        </w:rPr>
        <w:t>a</w:t>
      </w:r>
      <w:r w:rsidR="003F6BCE" w:rsidRPr="00C9702F">
        <w:rPr>
          <w:rFonts w:ascii="Arial" w:hAnsi="Arial" w:cs="Arial"/>
          <w:color w:val="242121"/>
          <w:lang w:val="en-GB"/>
        </w:rPr>
        <w:t xml:space="preserve"> claim for a stay of prosecution must fail </w:t>
      </w:r>
      <w:r w:rsidR="003F6BCE" w:rsidRPr="00C9702F">
        <w:rPr>
          <w:rFonts w:ascii="Arial" w:hAnsi="Arial" w:cs="Arial"/>
          <w:color w:val="242121"/>
          <w:lang w:val="en-GB"/>
        </w:rPr>
        <w:lastRenderedPageBreak/>
        <w:t xml:space="preserve">unless there are circumstances rendering the case so extraordinary as to make the otherwise inappropriate remedy of a stay nevertheless appropriate.  </w:t>
      </w:r>
      <w:r w:rsidR="00005D6D" w:rsidRPr="00C9702F">
        <w:rPr>
          <w:rStyle w:val="FootnoteReference"/>
          <w:rFonts w:ascii="Arial" w:hAnsi="Arial" w:cs="Arial"/>
          <w:color w:val="242121"/>
          <w:lang w:val="en-GB"/>
        </w:rPr>
        <w:footnoteReference w:id="12"/>
      </w:r>
    </w:p>
    <w:p w14:paraId="3718C96F" w14:textId="77777777" w:rsidR="005171A7" w:rsidRPr="00C9702F" w:rsidRDefault="005171A7" w:rsidP="005171A7">
      <w:pPr>
        <w:pStyle w:val="level1"/>
        <w:shd w:val="clear" w:color="auto" w:fill="FFFFFF"/>
        <w:spacing w:before="144" w:beforeAutospacing="0" w:after="288" w:afterAutospacing="0" w:line="360" w:lineRule="auto"/>
        <w:jc w:val="both"/>
        <w:rPr>
          <w:rFonts w:ascii="Arial" w:hAnsi="Arial" w:cs="Arial"/>
        </w:rPr>
      </w:pPr>
    </w:p>
    <w:p w14:paraId="02B3EE79" w14:textId="597D6C79" w:rsidR="00BF2292" w:rsidRDefault="00CF0B49" w:rsidP="005171A7">
      <w:pPr>
        <w:spacing w:line="360" w:lineRule="auto"/>
        <w:jc w:val="both"/>
      </w:pPr>
      <w:r w:rsidRPr="00C9702F">
        <w:t>[3</w:t>
      </w:r>
      <w:r w:rsidR="00B53576" w:rsidRPr="00C9702F">
        <w:t>5</w:t>
      </w:r>
      <w:r w:rsidRPr="00C9702F">
        <w:t>]</w:t>
      </w:r>
      <w:r w:rsidRPr="00C9702F">
        <w:tab/>
      </w:r>
      <w:r w:rsidR="00BF2292" w:rsidRPr="00C9702F">
        <w:t>Whil</w:t>
      </w:r>
      <w:r w:rsidR="009B1844" w:rsidRPr="00C9702F">
        <w:t>st</w:t>
      </w:r>
      <w:r w:rsidR="00BF2292" w:rsidRPr="00C9702F">
        <w:t xml:space="preserve"> it is true that the applicants, as pointed out by Kriegler J above, do not actively have to compel the state to accelerate its case, the applicants could have done so, but chose not to.</w:t>
      </w:r>
    </w:p>
    <w:p w14:paraId="3BB74CC7" w14:textId="77777777" w:rsidR="005171A7" w:rsidRPr="00C9702F" w:rsidRDefault="005171A7" w:rsidP="005171A7">
      <w:pPr>
        <w:spacing w:line="360" w:lineRule="auto"/>
        <w:jc w:val="both"/>
      </w:pPr>
    </w:p>
    <w:p w14:paraId="6A5F7113" w14:textId="4DDF004D" w:rsidR="00340506" w:rsidRDefault="00882314" w:rsidP="005171A7">
      <w:pPr>
        <w:spacing w:line="360" w:lineRule="auto"/>
        <w:jc w:val="both"/>
      </w:pPr>
      <w:r w:rsidRPr="00C9702F">
        <w:t>[3</w:t>
      </w:r>
      <w:r w:rsidR="00B53576" w:rsidRPr="00C9702F">
        <w:t>6</w:t>
      </w:r>
      <w:r w:rsidRPr="00C9702F">
        <w:t>]</w:t>
      </w:r>
      <w:r w:rsidRPr="00C9702F">
        <w:tab/>
      </w:r>
      <w:r w:rsidR="00C80D99" w:rsidRPr="00C9702F">
        <w:t xml:space="preserve">The applicants have not challenged Mr Nkoana’s assertions that the state and the defence were ad idem that the </w:t>
      </w:r>
      <w:r w:rsidR="001E2B8D" w:rsidRPr="00C9702F">
        <w:t>matter was tri</w:t>
      </w:r>
      <w:r w:rsidR="00C4100B" w:rsidRPr="00C9702F">
        <w:t>a</w:t>
      </w:r>
      <w:r w:rsidR="001E2B8D" w:rsidRPr="00C9702F">
        <w:t>l ready. In other words</w:t>
      </w:r>
      <w:r w:rsidR="00C4100B" w:rsidRPr="00C9702F">
        <w:t>, a</w:t>
      </w:r>
      <w:r w:rsidR="001E2B8D" w:rsidRPr="00C9702F">
        <w:t xml:space="preserve"> reasonable inference to draw from that is that the applicants consented to the postponements and that they had consented to the </w:t>
      </w:r>
      <w:r w:rsidR="00746383" w:rsidRPr="00C9702F">
        <w:t>matter being set down for trial on 15 February 2016.</w:t>
      </w:r>
      <w:r w:rsidR="001E2B8D" w:rsidRPr="00C9702F">
        <w:t xml:space="preserve"> </w:t>
      </w:r>
      <w:r w:rsidR="00721CB4" w:rsidRPr="00C9702F">
        <w:t xml:space="preserve">It can hardly be </w:t>
      </w:r>
      <w:r w:rsidR="001E24ED" w:rsidRPr="00C9702F">
        <w:t xml:space="preserve">open to the applicants to now suggest that </w:t>
      </w:r>
      <w:r w:rsidR="00D469A3" w:rsidRPr="00C9702F">
        <w:t>there were delays when they were participating fully in the proceedings.</w:t>
      </w:r>
    </w:p>
    <w:p w14:paraId="7F1B684E" w14:textId="77777777" w:rsidR="005171A7" w:rsidRPr="00C9702F" w:rsidRDefault="005171A7" w:rsidP="005171A7">
      <w:pPr>
        <w:spacing w:line="360" w:lineRule="auto"/>
        <w:jc w:val="both"/>
      </w:pPr>
    </w:p>
    <w:p w14:paraId="5B834D9D" w14:textId="4F06D8D1" w:rsidR="00CE77DB" w:rsidRDefault="00CE77DB" w:rsidP="005171A7">
      <w:pPr>
        <w:spacing w:line="360" w:lineRule="auto"/>
        <w:jc w:val="both"/>
      </w:pPr>
      <w:r w:rsidRPr="00C9702F">
        <w:t>[3</w:t>
      </w:r>
      <w:r w:rsidR="00B53576" w:rsidRPr="00C9702F">
        <w:t>7</w:t>
      </w:r>
      <w:r w:rsidRPr="00C9702F">
        <w:t>]</w:t>
      </w:r>
      <w:r w:rsidRPr="00C9702F">
        <w:tab/>
        <w:t>Under these circumstances, no serious criticism can be levelled at the prosecution in respect of the delays, especially as the postponements and the trial dates were consensual.</w:t>
      </w:r>
      <w:r w:rsidRPr="00C9702F">
        <w:rPr>
          <w:rStyle w:val="FootnoteReference"/>
        </w:rPr>
        <w:footnoteReference w:id="13"/>
      </w:r>
      <w:r w:rsidRPr="00C9702F">
        <w:t xml:space="preserve">   </w:t>
      </w:r>
    </w:p>
    <w:p w14:paraId="54B8BAB1" w14:textId="77777777" w:rsidR="005171A7" w:rsidRPr="00C9702F" w:rsidRDefault="005171A7" w:rsidP="005171A7">
      <w:pPr>
        <w:spacing w:line="360" w:lineRule="auto"/>
        <w:jc w:val="both"/>
      </w:pPr>
    </w:p>
    <w:p w14:paraId="06B4EF9E" w14:textId="1F87CED4" w:rsidR="00522A0D" w:rsidRDefault="00882314" w:rsidP="005171A7">
      <w:pPr>
        <w:spacing w:line="360" w:lineRule="auto"/>
        <w:jc w:val="both"/>
      </w:pPr>
      <w:r w:rsidRPr="00C9702F">
        <w:t>[3</w:t>
      </w:r>
      <w:r w:rsidR="00B53576" w:rsidRPr="00C9702F">
        <w:t>8</w:t>
      </w:r>
      <w:r w:rsidRPr="00C9702F">
        <w:t>]</w:t>
      </w:r>
      <w:r w:rsidRPr="00C9702F">
        <w:tab/>
      </w:r>
      <w:r w:rsidR="0035790F" w:rsidRPr="00C9702F">
        <w:t>The applicants undoubtedly have the right to a speedy trial, that is a trial which begins and conclude</w:t>
      </w:r>
      <w:r w:rsidR="00DA74E6" w:rsidRPr="00C9702F">
        <w:t>s</w:t>
      </w:r>
      <w:r w:rsidR="0035790F" w:rsidRPr="00C9702F">
        <w:t xml:space="preserve"> without unreasonable delay</w:t>
      </w:r>
      <w:r w:rsidR="00775A42" w:rsidRPr="00C9702F">
        <w:t xml:space="preserve"> but</w:t>
      </w:r>
      <w:r w:rsidR="00F46427" w:rsidRPr="00C9702F">
        <w:t xml:space="preserve"> t</w:t>
      </w:r>
      <w:r w:rsidR="0035790F" w:rsidRPr="00C9702F">
        <w:t>he question which remains is whether the delay would inevitably and irremediably taint the overall substantive fairness of the trial if it were to commence.</w:t>
      </w:r>
      <w:r w:rsidR="007F0EAD" w:rsidRPr="00C9702F">
        <w:rPr>
          <w:rStyle w:val="FootnoteReference"/>
        </w:rPr>
        <w:footnoteReference w:id="14"/>
      </w:r>
    </w:p>
    <w:p w14:paraId="38166AAA" w14:textId="77777777" w:rsidR="005171A7" w:rsidRPr="00C9702F" w:rsidRDefault="005171A7" w:rsidP="005171A7">
      <w:pPr>
        <w:spacing w:line="360" w:lineRule="auto"/>
        <w:jc w:val="both"/>
      </w:pPr>
    </w:p>
    <w:p w14:paraId="1F4D3057" w14:textId="2C4F0EA4" w:rsidR="00CB68DB" w:rsidRDefault="00CE1BC9" w:rsidP="005171A7">
      <w:pPr>
        <w:spacing w:line="360" w:lineRule="auto"/>
        <w:jc w:val="both"/>
      </w:pPr>
      <w:r w:rsidRPr="00C9702F">
        <w:t>[3</w:t>
      </w:r>
      <w:r w:rsidR="00B53576" w:rsidRPr="00C9702F">
        <w:t>9</w:t>
      </w:r>
      <w:r w:rsidRPr="00C9702F">
        <w:t>]</w:t>
      </w:r>
      <w:r w:rsidRPr="00C9702F">
        <w:tab/>
      </w:r>
      <w:r w:rsidR="00E23A50" w:rsidRPr="00C9702F">
        <w:t>T</w:t>
      </w:r>
      <w:r w:rsidR="00110F0B" w:rsidRPr="00C9702F">
        <w:t xml:space="preserve">here was </w:t>
      </w:r>
      <w:r w:rsidR="00883A7A" w:rsidRPr="00C9702F">
        <w:t xml:space="preserve">a </w:t>
      </w:r>
      <w:r w:rsidR="00110F0B" w:rsidRPr="00C9702F">
        <w:t>pre-tri</w:t>
      </w:r>
      <w:r w:rsidR="000E15AC" w:rsidRPr="00C9702F">
        <w:t>a</w:t>
      </w:r>
      <w:r w:rsidR="00110F0B" w:rsidRPr="00C9702F">
        <w:t xml:space="preserve">l delay </w:t>
      </w:r>
      <w:r w:rsidR="00883A7A" w:rsidRPr="00C9702F">
        <w:t xml:space="preserve">of </w:t>
      </w:r>
      <w:r w:rsidR="001B2A10" w:rsidRPr="00C9702F">
        <w:t xml:space="preserve">four </w:t>
      </w:r>
      <w:r w:rsidR="00883A7A" w:rsidRPr="00C9702F">
        <w:t xml:space="preserve">years </w:t>
      </w:r>
      <w:r w:rsidR="00A53502" w:rsidRPr="00C9702F">
        <w:t>between</w:t>
      </w:r>
      <w:r w:rsidR="003A0591" w:rsidRPr="00C9702F">
        <w:t xml:space="preserve"> </w:t>
      </w:r>
      <w:r w:rsidR="00CB68DB" w:rsidRPr="00C9702F">
        <w:t>20 February 2012</w:t>
      </w:r>
      <w:r w:rsidR="003A0591" w:rsidRPr="00C9702F">
        <w:t xml:space="preserve">, the </w:t>
      </w:r>
      <w:r w:rsidR="00CB68DB" w:rsidRPr="00C9702F">
        <w:t xml:space="preserve">date </w:t>
      </w:r>
      <w:r w:rsidR="003A0591" w:rsidRPr="00C9702F">
        <w:t xml:space="preserve">on which </w:t>
      </w:r>
      <w:r w:rsidR="00CB68DB" w:rsidRPr="00C9702F">
        <w:t xml:space="preserve">the first applicant’s matter was enrolled under case number SCCC 58/2012 and </w:t>
      </w:r>
      <w:r w:rsidR="00702F77" w:rsidRPr="00C9702F">
        <w:t>15 February 2016</w:t>
      </w:r>
      <w:r w:rsidR="001B2A10" w:rsidRPr="00C9702F">
        <w:t xml:space="preserve"> when the matter was due to commence</w:t>
      </w:r>
      <w:r w:rsidR="00CB68DB" w:rsidRPr="00C9702F">
        <w:t>.</w:t>
      </w:r>
      <w:r w:rsidR="001B2A10" w:rsidRPr="00C9702F">
        <w:t xml:space="preserve"> Apart from the fact </w:t>
      </w:r>
      <w:r w:rsidR="001B2A10" w:rsidRPr="00C9702F">
        <w:lastRenderedPageBreak/>
        <w:t xml:space="preserve">that the second applicant was joined as an accused </w:t>
      </w:r>
      <w:r w:rsidR="001E0C1B" w:rsidRPr="00C9702F">
        <w:t xml:space="preserve">very early in 2012, </w:t>
      </w:r>
      <w:r w:rsidR="007B022B" w:rsidRPr="00C9702F">
        <w:t>neither the applicants no</w:t>
      </w:r>
      <w:r w:rsidR="00B8023C" w:rsidRPr="00C9702F">
        <w:t>r</w:t>
      </w:r>
      <w:r w:rsidR="007B022B" w:rsidRPr="00C9702F">
        <w:t xml:space="preserve"> the respondents have explained why it took so long to set the matter down for hearing. The applicants simply state that various </w:t>
      </w:r>
      <w:r w:rsidR="00C30B37" w:rsidRPr="00C9702F">
        <w:t xml:space="preserve">persons within the prosecuting authority dealt with the matter and the respondents do not even attempt to explain the </w:t>
      </w:r>
      <w:r w:rsidR="00AF2261" w:rsidRPr="00C9702F">
        <w:t>delay</w:t>
      </w:r>
      <w:r w:rsidR="00C30B37" w:rsidRPr="00C9702F">
        <w:t>.</w:t>
      </w:r>
    </w:p>
    <w:p w14:paraId="6FF184FD" w14:textId="77777777" w:rsidR="005171A7" w:rsidRPr="00C9702F" w:rsidRDefault="005171A7" w:rsidP="005171A7">
      <w:pPr>
        <w:spacing w:line="360" w:lineRule="auto"/>
        <w:jc w:val="both"/>
      </w:pPr>
    </w:p>
    <w:p w14:paraId="388AFA36" w14:textId="1DE146EE" w:rsidR="00D01924" w:rsidRDefault="00D01924" w:rsidP="005171A7">
      <w:pPr>
        <w:spacing w:line="360" w:lineRule="auto"/>
        <w:jc w:val="both"/>
      </w:pPr>
      <w:r w:rsidRPr="00C9702F">
        <w:t>[</w:t>
      </w:r>
      <w:r w:rsidR="00B53576" w:rsidRPr="00C9702F">
        <w:t>40</w:t>
      </w:r>
      <w:r w:rsidRPr="00C9702F">
        <w:t>]</w:t>
      </w:r>
      <w:r w:rsidRPr="00C9702F">
        <w:tab/>
        <w:t>For that reason, the applicants’ relief based on a delay in the pre-trial proceedings cannot succeed.</w:t>
      </w:r>
    </w:p>
    <w:p w14:paraId="666ADA8C" w14:textId="77777777" w:rsidR="005171A7" w:rsidRPr="00C9702F" w:rsidRDefault="005171A7" w:rsidP="005171A7">
      <w:pPr>
        <w:spacing w:line="360" w:lineRule="auto"/>
        <w:jc w:val="both"/>
      </w:pPr>
    </w:p>
    <w:p w14:paraId="7BE5F87D" w14:textId="7ECB62DC" w:rsidR="00C078E1" w:rsidRDefault="00D01924" w:rsidP="005171A7">
      <w:pPr>
        <w:spacing w:line="360" w:lineRule="auto"/>
        <w:jc w:val="both"/>
      </w:pPr>
      <w:r w:rsidRPr="00C9702F">
        <w:t>[</w:t>
      </w:r>
      <w:r w:rsidR="00B53576" w:rsidRPr="00C9702F">
        <w:t>41</w:t>
      </w:r>
      <w:r w:rsidRPr="00C9702F">
        <w:t>]</w:t>
      </w:r>
      <w:r w:rsidRPr="00C9702F">
        <w:tab/>
      </w:r>
      <w:r w:rsidR="00DF64D5" w:rsidRPr="00C9702F">
        <w:t xml:space="preserve">What </w:t>
      </w:r>
      <w:r w:rsidR="00A52E5F" w:rsidRPr="00C9702F">
        <w:t xml:space="preserve">needs to be considered is whether the applicants have </w:t>
      </w:r>
      <w:r w:rsidR="00FC2CDC" w:rsidRPr="00C9702F">
        <w:t xml:space="preserve">suffered trial related </w:t>
      </w:r>
      <w:r w:rsidR="00A52E5F" w:rsidRPr="00C9702F">
        <w:t>prejudice</w:t>
      </w:r>
      <w:r w:rsidR="00FC2CDC" w:rsidRPr="00C9702F">
        <w:t xml:space="preserve"> and whether </w:t>
      </w:r>
      <w:r w:rsidR="003F49F2" w:rsidRPr="00C9702F">
        <w:t>exceptional circumstances justify a permanent stay of prosecution.</w:t>
      </w:r>
      <w:r w:rsidR="003E7A80" w:rsidRPr="00C9702F">
        <w:t xml:space="preserve"> </w:t>
      </w:r>
    </w:p>
    <w:p w14:paraId="5B9C7FD7" w14:textId="77777777" w:rsidR="005171A7" w:rsidRPr="00C9702F" w:rsidRDefault="005171A7" w:rsidP="005171A7">
      <w:pPr>
        <w:spacing w:line="360" w:lineRule="auto"/>
        <w:jc w:val="both"/>
      </w:pPr>
    </w:p>
    <w:p w14:paraId="25B5F5B5" w14:textId="56063279" w:rsidR="003F49F2" w:rsidRDefault="00FA1FF8" w:rsidP="005171A7">
      <w:pPr>
        <w:spacing w:line="360" w:lineRule="auto"/>
        <w:jc w:val="both"/>
      </w:pPr>
      <w:r w:rsidRPr="00C9702F">
        <w:t>[</w:t>
      </w:r>
      <w:r w:rsidR="00B53576" w:rsidRPr="00C9702F">
        <w:t>42</w:t>
      </w:r>
      <w:r w:rsidRPr="00C9702F">
        <w:t>]</w:t>
      </w:r>
      <w:r w:rsidRPr="00C9702F">
        <w:tab/>
      </w:r>
      <w:r w:rsidR="00545405" w:rsidRPr="00C9702F">
        <w:t>The applicants argue that the delay will cause prejudice to them and that documents which have been lost will impact on their rights to a fair trial.</w:t>
      </w:r>
    </w:p>
    <w:p w14:paraId="46CB42B8" w14:textId="77777777" w:rsidR="005171A7" w:rsidRPr="00C9702F" w:rsidRDefault="005171A7" w:rsidP="005171A7">
      <w:pPr>
        <w:spacing w:line="360" w:lineRule="auto"/>
        <w:jc w:val="both"/>
      </w:pPr>
    </w:p>
    <w:p w14:paraId="166E1C75" w14:textId="0EA8B6B9" w:rsidR="00110B5B" w:rsidRDefault="00FA1FF8" w:rsidP="005171A7">
      <w:pPr>
        <w:spacing w:line="360" w:lineRule="auto"/>
        <w:jc w:val="both"/>
      </w:pPr>
      <w:r w:rsidRPr="00C9702F">
        <w:t>[</w:t>
      </w:r>
      <w:r w:rsidR="00B53576" w:rsidRPr="00C9702F">
        <w:t>43</w:t>
      </w:r>
      <w:r w:rsidRPr="00C9702F">
        <w:t>]</w:t>
      </w:r>
      <w:r w:rsidRPr="00C9702F">
        <w:tab/>
      </w:r>
      <w:r w:rsidR="00110B5B" w:rsidRPr="00C9702F">
        <w:t>Prejudice is an important factor</w:t>
      </w:r>
      <w:r w:rsidR="00555233" w:rsidRPr="00C9702F">
        <w:t>.</w:t>
      </w:r>
      <w:r w:rsidR="00110B5B" w:rsidRPr="00C9702F">
        <w:t xml:space="preserve"> </w:t>
      </w:r>
    </w:p>
    <w:p w14:paraId="79769A31" w14:textId="77777777" w:rsidR="005171A7" w:rsidRPr="00C9702F" w:rsidRDefault="005171A7" w:rsidP="005171A7">
      <w:pPr>
        <w:spacing w:line="360" w:lineRule="auto"/>
        <w:jc w:val="both"/>
      </w:pPr>
    </w:p>
    <w:p w14:paraId="6AA08D87" w14:textId="7466FF5A" w:rsidR="006627CF" w:rsidRDefault="00B53576" w:rsidP="005171A7">
      <w:pPr>
        <w:pStyle w:val="NormalWeb"/>
        <w:shd w:val="clear" w:color="auto" w:fill="FFFFFF"/>
        <w:spacing w:before="144" w:beforeAutospacing="0" w:after="288" w:afterAutospacing="0" w:line="360" w:lineRule="auto"/>
        <w:jc w:val="both"/>
        <w:rPr>
          <w:rFonts w:ascii="Arial" w:hAnsi="Arial" w:cs="Arial"/>
          <w:color w:val="242121"/>
        </w:rPr>
      </w:pPr>
      <w:r w:rsidRPr="00C9702F">
        <w:rPr>
          <w:rFonts w:ascii="Arial" w:hAnsi="Arial" w:cs="Arial"/>
          <w:color w:val="242121"/>
        </w:rPr>
        <w:t>[44]</w:t>
      </w:r>
      <w:r w:rsidRPr="00C9702F">
        <w:rPr>
          <w:rFonts w:ascii="Arial" w:hAnsi="Arial" w:cs="Arial"/>
          <w:color w:val="242121"/>
        </w:rPr>
        <w:tab/>
      </w:r>
      <w:r w:rsidR="001D73DF" w:rsidRPr="00C9702F">
        <w:rPr>
          <w:rFonts w:ascii="Arial" w:hAnsi="Arial" w:cs="Arial"/>
          <w:color w:val="242121"/>
        </w:rPr>
        <w:t>Before dealing with this issue it is necessary to comment on the pleading</w:t>
      </w:r>
      <w:r w:rsidR="00F71B8C" w:rsidRPr="00C9702F">
        <w:rPr>
          <w:rFonts w:ascii="Arial" w:hAnsi="Arial" w:cs="Arial"/>
          <w:color w:val="242121"/>
        </w:rPr>
        <w:t>s</w:t>
      </w:r>
      <w:r w:rsidR="001D73DF" w:rsidRPr="00C9702F">
        <w:rPr>
          <w:rFonts w:ascii="Arial" w:hAnsi="Arial" w:cs="Arial"/>
          <w:color w:val="242121"/>
        </w:rPr>
        <w:t>.</w:t>
      </w:r>
    </w:p>
    <w:p w14:paraId="1FE889BD" w14:textId="05CBBEE5" w:rsidR="005171A7" w:rsidRDefault="00320A6D" w:rsidP="005171A7">
      <w:pPr>
        <w:spacing w:line="360" w:lineRule="auto"/>
        <w:jc w:val="both"/>
      </w:pPr>
      <w:r w:rsidRPr="00C9702F">
        <w:t>[45]</w:t>
      </w:r>
      <w:r w:rsidRPr="00C9702F">
        <w:tab/>
      </w:r>
      <w:r w:rsidR="0035790F" w:rsidRPr="00C9702F">
        <w:t>The</w:t>
      </w:r>
      <w:r w:rsidR="004B1022" w:rsidRPr="00C9702F">
        <w:t xml:space="preserve"> first applicant must have a substantial amount of relevant information relating to </w:t>
      </w:r>
      <w:r w:rsidR="00F3413B" w:rsidRPr="00C9702F">
        <w:t xml:space="preserve">the postponements and her </w:t>
      </w:r>
      <w:r w:rsidR="00245A9C" w:rsidRPr="00C9702F">
        <w:t xml:space="preserve">original </w:t>
      </w:r>
      <w:r w:rsidR="00F3413B" w:rsidRPr="00C9702F">
        <w:t>tri</w:t>
      </w:r>
      <w:r w:rsidR="002D5A24" w:rsidRPr="00C9702F">
        <w:t>a</w:t>
      </w:r>
      <w:r w:rsidR="00F3413B" w:rsidRPr="00C9702F">
        <w:t xml:space="preserve">l. However, the first applicant has deposed to </w:t>
      </w:r>
      <w:r w:rsidR="0035790F" w:rsidRPr="00C9702F">
        <w:t>a founding affidavit w</w:t>
      </w:r>
      <w:r w:rsidR="00EC4D62" w:rsidRPr="00C9702F">
        <w:t>hich contains</w:t>
      </w:r>
      <w:r w:rsidR="0035790F" w:rsidRPr="00C9702F">
        <w:t xml:space="preserve"> the barest of details and ha</w:t>
      </w:r>
      <w:r w:rsidR="00EC4D62" w:rsidRPr="00C9702F">
        <w:t>s</w:t>
      </w:r>
      <w:r w:rsidR="0035790F" w:rsidRPr="00C9702F">
        <w:t xml:space="preserve"> attached </w:t>
      </w:r>
      <w:r w:rsidR="00EC4D62" w:rsidRPr="00C9702F">
        <w:t xml:space="preserve">numerous </w:t>
      </w:r>
      <w:r w:rsidR="0035790F" w:rsidRPr="00C9702F">
        <w:t>annexures</w:t>
      </w:r>
      <w:r w:rsidR="00804AE2" w:rsidRPr="00C9702F">
        <w:t xml:space="preserve"> </w:t>
      </w:r>
      <w:r w:rsidRPr="00C9702F">
        <w:t xml:space="preserve">to that affidavit </w:t>
      </w:r>
      <w:r w:rsidR="00804AE2" w:rsidRPr="00C9702F">
        <w:t>and simply asks that “same be incorporated as if specifically incorporated herein</w:t>
      </w:r>
      <w:r w:rsidR="005171A7">
        <w:t>.</w:t>
      </w:r>
    </w:p>
    <w:p w14:paraId="6937CF63" w14:textId="1FA88AFB" w:rsidR="00BC34B9" w:rsidRPr="00C9702F" w:rsidRDefault="00105D72" w:rsidP="005171A7">
      <w:pPr>
        <w:spacing w:line="360" w:lineRule="auto"/>
        <w:jc w:val="both"/>
      </w:pPr>
      <w:r w:rsidRPr="00C9702F">
        <w:t xml:space="preserve"> </w:t>
      </w:r>
    </w:p>
    <w:p w14:paraId="7248E4F3" w14:textId="5BC05DAB" w:rsidR="0058210C" w:rsidRDefault="00320A6D" w:rsidP="005171A7">
      <w:pPr>
        <w:spacing w:line="360" w:lineRule="auto"/>
        <w:jc w:val="both"/>
      </w:pPr>
      <w:r w:rsidRPr="00C9702F">
        <w:t>[46]</w:t>
      </w:r>
      <w:r w:rsidRPr="00C9702F">
        <w:tab/>
      </w:r>
      <w:r w:rsidR="007F35E3" w:rsidRPr="00C9702F">
        <w:t>Mr Mo</w:t>
      </w:r>
      <w:r w:rsidR="00FE09EF" w:rsidRPr="00C9702F">
        <w:t>n</w:t>
      </w:r>
      <w:r w:rsidR="007F35E3" w:rsidRPr="00C9702F">
        <w:t xml:space="preserve">tano has done the same. In his supporting affidavit, he has simply attached annexures, for example, a request for further particulars, lists of documents </w:t>
      </w:r>
      <w:r w:rsidR="007F35E3" w:rsidRPr="00C9702F">
        <w:lastRenderedPageBreak/>
        <w:t>seized from the applicants, the heads of argument used in the application in the</w:t>
      </w:r>
      <w:r w:rsidR="00C75CF0" w:rsidRPr="00C9702F">
        <w:t xml:space="preserve"> </w:t>
      </w:r>
      <w:r w:rsidR="007F35E3" w:rsidRPr="00C9702F">
        <w:t>magistrate’s court</w:t>
      </w:r>
      <w:r w:rsidR="005A0DD7" w:rsidRPr="00C9702F">
        <w:t xml:space="preserve"> and</w:t>
      </w:r>
      <w:r w:rsidR="007F35E3" w:rsidRPr="00C9702F">
        <w:t xml:space="preserve"> the transcript of the judgement in the stay application</w:t>
      </w:r>
      <w:r w:rsidR="00896CB5" w:rsidRPr="00C9702F">
        <w:t xml:space="preserve">. </w:t>
      </w:r>
    </w:p>
    <w:p w14:paraId="7DD641D5" w14:textId="77777777" w:rsidR="005171A7" w:rsidRPr="00C9702F" w:rsidRDefault="005171A7" w:rsidP="005171A7">
      <w:pPr>
        <w:spacing w:line="360" w:lineRule="auto"/>
        <w:jc w:val="both"/>
      </w:pPr>
    </w:p>
    <w:p w14:paraId="229F3966" w14:textId="0900309D" w:rsidR="00F80134" w:rsidRDefault="00F80134" w:rsidP="005171A7">
      <w:pPr>
        <w:spacing w:line="360" w:lineRule="auto"/>
        <w:jc w:val="both"/>
      </w:pPr>
      <w:r w:rsidRPr="00C9702F">
        <w:t>[47]</w:t>
      </w:r>
      <w:r w:rsidRPr="00C9702F">
        <w:tab/>
      </w:r>
      <w:r w:rsidR="00004769" w:rsidRPr="00C9702F">
        <w:t xml:space="preserve">In </w:t>
      </w:r>
      <w:r w:rsidR="0035790F" w:rsidRPr="00C9702F">
        <w:rPr>
          <w:i/>
          <w:iCs/>
        </w:rPr>
        <w:t>Swissbor</w:t>
      </w:r>
      <w:r w:rsidR="00B76967" w:rsidRPr="00C9702F">
        <w:rPr>
          <w:i/>
          <w:iCs/>
        </w:rPr>
        <w:t>ou</w:t>
      </w:r>
      <w:r w:rsidR="0035790F" w:rsidRPr="00C9702F">
        <w:rPr>
          <w:i/>
          <w:iCs/>
        </w:rPr>
        <w:t xml:space="preserve">gh Diamond Mines (Pty) Ltd v Government of the RSA </w:t>
      </w:r>
      <w:r w:rsidR="0035790F" w:rsidRPr="00C9702F">
        <w:t>1999 (2) SA 279 (T) Joffe J said, with reference to the contents of affidavits generally that</w:t>
      </w:r>
      <w:r w:rsidRPr="00C9702F">
        <w:t>:</w:t>
      </w:r>
      <w:r w:rsidR="0035790F" w:rsidRPr="00C9702F">
        <w:t xml:space="preserve"> </w:t>
      </w:r>
    </w:p>
    <w:p w14:paraId="6755A5A3" w14:textId="77777777" w:rsidR="005171A7" w:rsidRPr="00C9702F" w:rsidRDefault="005171A7" w:rsidP="005171A7">
      <w:pPr>
        <w:spacing w:line="360" w:lineRule="auto"/>
        <w:jc w:val="both"/>
      </w:pPr>
    </w:p>
    <w:p w14:paraId="78FBB3E3" w14:textId="0346CAA4" w:rsidR="0035790F" w:rsidRPr="005171A7" w:rsidRDefault="0035790F" w:rsidP="005171A7">
      <w:pPr>
        <w:spacing w:line="360" w:lineRule="auto"/>
        <w:ind w:left="720"/>
        <w:jc w:val="both"/>
        <w:rPr>
          <w:i/>
        </w:rPr>
      </w:pPr>
      <w:r w:rsidRPr="005171A7">
        <w:rPr>
          <w:i/>
        </w:rPr>
        <w:t>“It is trite law that in motion proceedings the affidavits serve not only to place evidence before the court but also to define the issues for the benefit of the court and the parties who must know the case they are to meet in order to adduce evidence in the affidavits … An applicant must accordingly raise the issues upon which it would seek to rely in the founding affidavit. It must do so by defining the relevant issues and by setting out the evidence upon which it relies to discharge the onus of proof resting upon it in respect thereof.”</w:t>
      </w:r>
    </w:p>
    <w:p w14:paraId="4DD89606" w14:textId="77777777" w:rsidR="005171A7" w:rsidRPr="00C9702F" w:rsidRDefault="005171A7" w:rsidP="005171A7">
      <w:pPr>
        <w:spacing w:line="360" w:lineRule="auto"/>
        <w:ind w:left="720"/>
        <w:jc w:val="both"/>
      </w:pPr>
    </w:p>
    <w:p w14:paraId="4BD98D33" w14:textId="645F13F3" w:rsidR="007D709E" w:rsidRDefault="00F80134" w:rsidP="005171A7">
      <w:pPr>
        <w:spacing w:line="360" w:lineRule="auto"/>
        <w:jc w:val="both"/>
      </w:pPr>
      <w:r w:rsidRPr="00C9702F">
        <w:t>[48]</w:t>
      </w:r>
      <w:r w:rsidRPr="00C9702F">
        <w:tab/>
      </w:r>
      <w:r w:rsidR="007D709E" w:rsidRPr="00C9702F">
        <w:t xml:space="preserve">In </w:t>
      </w:r>
      <w:r w:rsidR="007D709E" w:rsidRPr="00C9702F">
        <w:rPr>
          <w:i/>
          <w:iCs/>
        </w:rPr>
        <w:t xml:space="preserve">Van Zyl v Government of RSA and others </w:t>
      </w:r>
      <w:r w:rsidR="007D709E" w:rsidRPr="00C9702F">
        <w:t>[2008] 1 ALL SA 102 (SCA) at paragraph 40, Harms ADJ said,</w:t>
      </w:r>
    </w:p>
    <w:p w14:paraId="7DB426F0" w14:textId="77777777" w:rsidR="005171A7" w:rsidRDefault="005171A7" w:rsidP="005171A7">
      <w:pPr>
        <w:spacing w:line="360" w:lineRule="auto"/>
        <w:ind w:left="720"/>
        <w:jc w:val="both"/>
        <w:rPr>
          <w:i/>
        </w:rPr>
      </w:pPr>
    </w:p>
    <w:p w14:paraId="6806117B" w14:textId="7CAFC20B" w:rsidR="007D709E" w:rsidRDefault="007D709E" w:rsidP="005171A7">
      <w:pPr>
        <w:spacing w:line="360" w:lineRule="auto"/>
        <w:ind w:left="720"/>
        <w:jc w:val="both"/>
      </w:pPr>
      <w:r w:rsidRPr="005171A7">
        <w:rPr>
          <w:i/>
        </w:rPr>
        <w:t>“… it is not open to a party merely to annex documentation to an affidavit and during argument use its contents to establish a new case. A party is obliged to identify those parts on which it intends to rely and must give an indication of the case it seeks to make out on the strength thereof</w:t>
      </w:r>
      <w:r w:rsidR="005171A7">
        <w:t>”</w:t>
      </w:r>
      <w:r w:rsidRPr="00C9702F">
        <w:t>.</w:t>
      </w:r>
    </w:p>
    <w:p w14:paraId="54775498" w14:textId="77777777" w:rsidR="005171A7" w:rsidRPr="00C9702F" w:rsidRDefault="005171A7" w:rsidP="005171A7">
      <w:pPr>
        <w:spacing w:line="360" w:lineRule="auto"/>
        <w:ind w:left="720"/>
        <w:jc w:val="both"/>
      </w:pPr>
    </w:p>
    <w:p w14:paraId="6B310958" w14:textId="158A0B53" w:rsidR="0035790F" w:rsidRDefault="00314588" w:rsidP="005171A7">
      <w:pPr>
        <w:spacing w:line="360" w:lineRule="auto"/>
        <w:jc w:val="both"/>
      </w:pPr>
      <w:r w:rsidRPr="00C9702F">
        <w:t>[49]</w:t>
      </w:r>
      <w:r w:rsidRPr="00C9702F">
        <w:tab/>
      </w:r>
      <w:r w:rsidR="0035790F" w:rsidRPr="00C9702F">
        <w:t xml:space="preserve">The annexures attached to the applicants’ affidavits </w:t>
      </w:r>
      <w:r w:rsidR="00337C07" w:rsidRPr="00C9702F">
        <w:t>contain</w:t>
      </w:r>
      <w:r w:rsidR="008108C7" w:rsidRPr="00C9702F">
        <w:t xml:space="preserve"> a great deal </w:t>
      </w:r>
      <w:r w:rsidR="00B8023C" w:rsidRPr="00C9702F">
        <w:t xml:space="preserve">of </w:t>
      </w:r>
      <w:r w:rsidR="00337C07" w:rsidRPr="00C9702F">
        <w:t xml:space="preserve">information </w:t>
      </w:r>
      <w:r w:rsidR="00084ED4" w:rsidRPr="00C9702F">
        <w:t>bu</w:t>
      </w:r>
      <w:r w:rsidR="00A561D4" w:rsidRPr="00C9702F">
        <w:t>t</w:t>
      </w:r>
      <w:r w:rsidR="00084ED4" w:rsidRPr="00C9702F">
        <w:t xml:space="preserve"> </w:t>
      </w:r>
      <w:r w:rsidR="0035790F" w:rsidRPr="00C9702F">
        <w:t>do not deal with the actual prejudice which the applicants have suffered as a result of the alleged delays</w:t>
      </w:r>
      <w:r w:rsidR="002F40AA" w:rsidRPr="00C9702F">
        <w:t xml:space="preserve"> and the loss o</w:t>
      </w:r>
      <w:r w:rsidR="00420DAA" w:rsidRPr="00C9702F">
        <w:t>f</w:t>
      </w:r>
      <w:r w:rsidR="002F40AA" w:rsidRPr="00C9702F">
        <w:t xml:space="preserve"> documents</w:t>
      </w:r>
      <w:r w:rsidR="002929CD" w:rsidRPr="00C9702F">
        <w:t xml:space="preserve">, except that the issue of prejudice is canvassed in the </w:t>
      </w:r>
      <w:r w:rsidR="001D2DCD" w:rsidRPr="00C9702F">
        <w:t xml:space="preserve">annexure containing the </w:t>
      </w:r>
      <w:r w:rsidR="002929CD" w:rsidRPr="00C9702F">
        <w:t>heads of argument files in the magistrate’s court.</w:t>
      </w:r>
    </w:p>
    <w:p w14:paraId="6BE13C53" w14:textId="77777777" w:rsidR="005171A7" w:rsidRPr="00C9702F" w:rsidRDefault="005171A7" w:rsidP="005171A7">
      <w:pPr>
        <w:spacing w:line="360" w:lineRule="auto"/>
        <w:jc w:val="both"/>
      </w:pPr>
    </w:p>
    <w:p w14:paraId="57F4DE18" w14:textId="54970BE3" w:rsidR="00AC5846" w:rsidRDefault="00314588" w:rsidP="005171A7">
      <w:pPr>
        <w:spacing w:line="360" w:lineRule="auto"/>
        <w:jc w:val="both"/>
      </w:pPr>
      <w:r w:rsidRPr="00C9702F">
        <w:lastRenderedPageBreak/>
        <w:t>[50]</w:t>
      </w:r>
      <w:r w:rsidRPr="00C9702F">
        <w:tab/>
      </w:r>
      <w:r w:rsidR="00AC5846" w:rsidRPr="00C9702F">
        <w:t>The applicants</w:t>
      </w:r>
      <w:r w:rsidR="00713177" w:rsidRPr="00C9702F">
        <w:t xml:space="preserve"> must, at the very least, explain how the delay and the loss of documents have affected the preparation of their defence</w:t>
      </w:r>
      <w:r w:rsidR="004A464F" w:rsidRPr="00C9702F">
        <w:t>. In respect of the loss of documents, the applicants are required to explain what document</w:t>
      </w:r>
      <w:r w:rsidR="009862B6" w:rsidRPr="00C9702F">
        <w:t>s</w:t>
      </w:r>
      <w:r w:rsidR="004A464F" w:rsidRPr="00C9702F">
        <w:t xml:space="preserve"> have been lost and how they intend to use those document</w:t>
      </w:r>
      <w:r w:rsidR="009862B6" w:rsidRPr="00C9702F">
        <w:t>s</w:t>
      </w:r>
      <w:r w:rsidR="004A464F" w:rsidRPr="00C9702F">
        <w:t xml:space="preserve">. </w:t>
      </w:r>
    </w:p>
    <w:p w14:paraId="41AFEFA9" w14:textId="77777777" w:rsidR="005171A7" w:rsidRPr="00C9702F" w:rsidRDefault="005171A7" w:rsidP="005171A7">
      <w:pPr>
        <w:spacing w:line="360" w:lineRule="auto"/>
        <w:jc w:val="both"/>
      </w:pPr>
    </w:p>
    <w:p w14:paraId="534054CD" w14:textId="0DDFD52A" w:rsidR="0035790F" w:rsidRDefault="00A2565E" w:rsidP="005171A7">
      <w:pPr>
        <w:spacing w:line="360" w:lineRule="auto"/>
        <w:jc w:val="both"/>
      </w:pPr>
      <w:r w:rsidRPr="00C9702F">
        <w:t>[51]</w:t>
      </w:r>
      <w:r w:rsidRPr="00C9702F">
        <w:tab/>
      </w:r>
      <w:r w:rsidR="0035790F" w:rsidRPr="00C9702F">
        <w:t xml:space="preserve">The respondents have also not been helpful and have not attempted at all to explain why the matter has taken so long to commence </w:t>
      </w:r>
      <w:r w:rsidR="0035790F" w:rsidRPr="00C9702F">
        <w:rPr>
          <w:i/>
          <w:iCs/>
        </w:rPr>
        <w:t>de novo</w:t>
      </w:r>
      <w:r w:rsidR="00A55336" w:rsidRPr="00C9702F">
        <w:t>, what steps were taken by them to locate the documents which were lost and whether the documents can in fact be retrieved or reconstructed.</w:t>
      </w:r>
      <w:r w:rsidR="0035790F" w:rsidRPr="00C9702F">
        <w:t xml:space="preserve"> In fact</w:t>
      </w:r>
      <w:r w:rsidRPr="00C9702F">
        <w:t>,</w:t>
      </w:r>
      <w:r w:rsidR="0035790F" w:rsidRPr="00C9702F">
        <w:t xml:space="preserve"> they studiously avoid the issue, when the</w:t>
      </w:r>
      <w:r w:rsidRPr="00C9702F">
        <w:t>ir</w:t>
      </w:r>
      <w:r w:rsidR="0035790F" w:rsidRPr="00C9702F">
        <w:t xml:space="preserve"> duty is to assist this court.</w:t>
      </w:r>
    </w:p>
    <w:p w14:paraId="5F016BF2" w14:textId="77777777" w:rsidR="005171A7" w:rsidRPr="00C9702F" w:rsidRDefault="005171A7" w:rsidP="005171A7">
      <w:pPr>
        <w:spacing w:line="360" w:lineRule="auto"/>
        <w:jc w:val="both"/>
      </w:pPr>
    </w:p>
    <w:p w14:paraId="66022299" w14:textId="7FB84D81" w:rsidR="0035790F" w:rsidRDefault="00A2565E" w:rsidP="005171A7">
      <w:pPr>
        <w:spacing w:line="360" w:lineRule="auto"/>
        <w:jc w:val="both"/>
      </w:pPr>
      <w:r w:rsidRPr="00C9702F">
        <w:t>[52]</w:t>
      </w:r>
      <w:r w:rsidRPr="00C9702F">
        <w:tab/>
      </w:r>
      <w:r w:rsidR="0035790F" w:rsidRPr="00C9702F">
        <w:t xml:space="preserve">In this regard, in </w:t>
      </w:r>
      <w:r w:rsidR="0035790F" w:rsidRPr="00C9702F">
        <w:rPr>
          <w:i/>
          <w:iCs/>
        </w:rPr>
        <w:t>Rodrigues</w:t>
      </w:r>
      <w:r w:rsidR="0035790F" w:rsidRPr="00C9702F">
        <w:t xml:space="preserve">, Kollapen J, at paragraph [70] said as follows with reference to </w:t>
      </w:r>
      <w:r w:rsidR="0035790F" w:rsidRPr="00C9702F">
        <w:rPr>
          <w:i/>
          <w:iCs/>
        </w:rPr>
        <w:t xml:space="preserve">Grootboom v NPA </w:t>
      </w:r>
      <w:r w:rsidR="0035790F" w:rsidRPr="00C9702F">
        <w:t>2014 (2) SA 68 (CC):</w:t>
      </w:r>
    </w:p>
    <w:p w14:paraId="5C824D64" w14:textId="77777777" w:rsidR="005171A7" w:rsidRPr="00C9702F" w:rsidRDefault="005171A7" w:rsidP="005171A7">
      <w:pPr>
        <w:spacing w:line="360" w:lineRule="auto"/>
        <w:jc w:val="both"/>
      </w:pPr>
    </w:p>
    <w:p w14:paraId="7AF63786" w14:textId="3AD43FCD" w:rsidR="0035790F" w:rsidRDefault="0035790F" w:rsidP="005171A7">
      <w:pPr>
        <w:pStyle w:val="para-10"/>
        <w:shd w:val="clear" w:color="auto" w:fill="FFFFFF"/>
        <w:spacing w:before="0" w:beforeAutospacing="0" w:after="0" w:afterAutospacing="0" w:line="360" w:lineRule="auto"/>
        <w:ind w:left="717"/>
        <w:jc w:val="both"/>
        <w:rPr>
          <w:rFonts w:ascii="Arial" w:hAnsi="Arial" w:cs="Arial"/>
          <w:color w:val="000000"/>
        </w:rPr>
      </w:pPr>
      <w:r w:rsidRPr="00C9702F">
        <w:rPr>
          <w:rFonts w:ascii="Arial" w:hAnsi="Arial" w:cs="Arial"/>
        </w:rPr>
        <w:t>“</w:t>
      </w:r>
      <w:r w:rsidRPr="00C9702F">
        <w:rPr>
          <w:rFonts w:ascii="Arial" w:hAnsi="Arial" w:cs="Arial"/>
          <w:color w:val="000000"/>
        </w:rPr>
        <w:t>In </w:t>
      </w:r>
      <w:r w:rsidRPr="00C9702F">
        <w:rPr>
          <w:rFonts w:ascii="Arial" w:hAnsi="Arial" w:cs="Arial"/>
          <w:i/>
          <w:iCs/>
          <w:color w:val="000000"/>
        </w:rPr>
        <w:t>Grootboom v NPA</w:t>
      </w:r>
      <w:r w:rsidRPr="00C9702F">
        <w:rPr>
          <w:rFonts w:ascii="Arial" w:hAnsi="Arial" w:cs="Arial"/>
          <w:color w:val="000000"/>
        </w:rPr>
        <w:t xml:space="preserve"> the Constitutional Court, in dealing with the manner in which State organs are expected to litigate and be of assistance to Courts, remarked as follows:</w:t>
      </w:r>
    </w:p>
    <w:p w14:paraId="7BA07ADA" w14:textId="77777777" w:rsidR="005171A7" w:rsidRPr="00C9702F" w:rsidRDefault="005171A7" w:rsidP="005171A7">
      <w:pPr>
        <w:pStyle w:val="para-10"/>
        <w:shd w:val="clear" w:color="auto" w:fill="FFFFFF"/>
        <w:spacing w:before="0" w:beforeAutospacing="0" w:after="0" w:afterAutospacing="0" w:line="360" w:lineRule="auto"/>
        <w:ind w:left="717"/>
        <w:jc w:val="both"/>
        <w:rPr>
          <w:rFonts w:ascii="Arial" w:hAnsi="Arial" w:cs="Arial"/>
          <w:color w:val="000000"/>
        </w:rPr>
      </w:pPr>
    </w:p>
    <w:p w14:paraId="52BCF7C1" w14:textId="539D7192" w:rsidR="0035790F" w:rsidRPr="00C9702F" w:rsidRDefault="0035790F" w:rsidP="005171A7">
      <w:pPr>
        <w:shd w:val="clear" w:color="auto" w:fill="FFFFFF"/>
        <w:spacing w:before="120" w:after="0" w:line="360" w:lineRule="auto"/>
        <w:ind w:left="851"/>
        <w:jc w:val="both"/>
        <w:rPr>
          <w:rFonts w:eastAsia="Times New Roman"/>
          <w:color w:val="000000"/>
          <w:lang w:eastAsia="en-ZA"/>
        </w:rPr>
      </w:pPr>
      <w:r w:rsidRPr="00C9702F">
        <w:rPr>
          <w:rFonts w:eastAsia="Times New Roman"/>
          <w:color w:val="000000"/>
          <w:lang w:eastAsia="en-ZA"/>
        </w:rPr>
        <w:t>“</w:t>
      </w:r>
      <w:r w:rsidRPr="005171A7">
        <w:rPr>
          <w:rFonts w:eastAsia="Times New Roman"/>
          <w:i/>
          <w:color w:val="000000"/>
          <w:lang w:eastAsia="en-ZA"/>
        </w:rPr>
        <w:t>There is another important dimension to be considered. The respondents are not ordinary litigants. They constitute an essential part of government. In fact, together with the office of the State Attorney, the respondents sit at the heart of the administration of justice. As organs of State, the Constitution obliges them to “‘assist and protect the courts to ensure the independence, impartiality, dignity, accessibility and effectiveness of the courts.</w:t>
      </w:r>
      <w:r w:rsidRPr="00C9702F">
        <w:rPr>
          <w:rFonts w:eastAsia="Times New Roman"/>
          <w:color w:val="000000"/>
          <w:lang w:eastAsia="en-ZA"/>
        </w:rPr>
        <w:t>’”</w:t>
      </w:r>
    </w:p>
    <w:p w14:paraId="3CA65122" w14:textId="0CF42BD5" w:rsidR="008C3475" w:rsidRPr="00C9702F" w:rsidRDefault="008C3475" w:rsidP="005171A7">
      <w:pPr>
        <w:spacing w:line="360" w:lineRule="auto"/>
        <w:jc w:val="both"/>
      </w:pPr>
    </w:p>
    <w:p w14:paraId="4EAFFEDD" w14:textId="29761201" w:rsidR="00E80471" w:rsidRDefault="00FE724D" w:rsidP="005171A7">
      <w:pPr>
        <w:spacing w:line="360" w:lineRule="auto"/>
        <w:jc w:val="both"/>
      </w:pPr>
      <w:r w:rsidRPr="00C9702F">
        <w:t>[</w:t>
      </w:r>
      <w:r w:rsidR="0060606B" w:rsidRPr="00C9702F">
        <w:t>5</w:t>
      </w:r>
      <w:r w:rsidRPr="00C9702F">
        <w:t>3]</w:t>
      </w:r>
      <w:r w:rsidRPr="00C9702F">
        <w:tab/>
      </w:r>
      <w:r w:rsidR="001A2466" w:rsidRPr="00C9702F">
        <w:t>Mr Montano clearly received documentation relating to the trial</w:t>
      </w:r>
      <w:r w:rsidR="00E433A5" w:rsidRPr="00C9702F">
        <w:t>, when he was</w:t>
      </w:r>
      <w:r w:rsidR="00E80471" w:rsidRPr="00C9702F">
        <w:t xml:space="preserve"> </w:t>
      </w:r>
      <w:r w:rsidR="00E433A5" w:rsidRPr="00C9702F">
        <w:t xml:space="preserve">appointed to </w:t>
      </w:r>
      <w:r w:rsidR="008C10A2" w:rsidRPr="00C9702F">
        <w:t>represent the applicants</w:t>
      </w:r>
      <w:r w:rsidR="001A2466" w:rsidRPr="00C9702F">
        <w:t xml:space="preserve"> because the first applicant states that</w:t>
      </w:r>
      <w:r w:rsidR="008C10A2" w:rsidRPr="00C9702F">
        <w:t>:</w:t>
      </w:r>
    </w:p>
    <w:p w14:paraId="319D6F01" w14:textId="77777777" w:rsidR="005171A7" w:rsidRPr="00C9702F" w:rsidRDefault="005171A7" w:rsidP="005171A7">
      <w:pPr>
        <w:spacing w:line="360" w:lineRule="auto"/>
        <w:jc w:val="both"/>
      </w:pPr>
    </w:p>
    <w:p w14:paraId="2C20BBF7" w14:textId="377BF516" w:rsidR="00954BDD" w:rsidRDefault="00EC0A93" w:rsidP="005171A7">
      <w:pPr>
        <w:spacing w:line="360" w:lineRule="auto"/>
        <w:ind w:left="720"/>
        <w:jc w:val="both"/>
      </w:pPr>
      <w:r w:rsidRPr="005171A7">
        <w:rPr>
          <w:i/>
        </w:rPr>
        <w:lastRenderedPageBreak/>
        <w:t xml:space="preserve">“Pursuant from the perusal of documentation placed to the disposal of my </w:t>
      </w:r>
      <w:r w:rsidR="00DC23A9" w:rsidRPr="005171A7">
        <w:rPr>
          <w:i/>
        </w:rPr>
        <w:t xml:space="preserve">  </w:t>
      </w:r>
      <w:r w:rsidRPr="005171A7">
        <w:rPr>
          <w:i/>
        </w:rPr>
        <w:t xml:space="preserve">current legal </w:t>
      </w:r>
      <w:r w:rsidR="00247E4E" w:rsidRPr="005171A7">
        <w:rPr>
          <w:i/>
        </w:rPr>
        <w:t xml:space="preserve">representative R Montano; my legal representative then requested </w:t>
      </w:r>
      <w:r w:rsidR="009739F8" w:rsidRPr="005171A7">
        <w:rPr>
          <w:i/>
        </w:rPr>
        <w:t>further particulars</w:t>
      </w:r>
      <w:r w:rsidR="005171A7">
        <w:t>”</w:t>
      </w:r>
      <w:r w:rsidR="009739F8" w:rsidRPr="00C9702F">
        <w:t>.</w:t>
      </w:r>
      <w:r w:rsidR="009739F8" w:rsidRPr="00C9702F">
        <w:rPr>
          <w:rStyle w:val="FootnoteReference"/>
        </w:rPr>
        <w:footnoteReference w:id="15"/>
      </w:r>
    </w:p>
    <w:p w14:paraId="514B4F23" w14:textId="77777777" w:rsidR="00C9702F" w:rsidRPr="00C9702F" w:rsidRDefault="00C9702F" w:rsidP="005171A7">
      <w:pPr>
        <w:spacing w:line="360" w:lineRule="auto"/>
        <w:ind w:left="720"/>
        <w:jc w:val="both"/>
      </w:pPr>
    </w:p>
    <w:p w14:paraId="5166A99E" w14:textId="69368E1F" w:rsidR="00A6715A" w:rsidRDefault="008C3475" w:rsidP="005171A7">
      <w:pPr>
        <w:spacing w:line="360" w:lineRule="auto"/>
        <w:jc w:val="both"/>
      </w:pPr>
      <w:r w:rsidRPr="00C9702F">
        <w:t>[</w:t>
      </w:r>
      <w:r w:rsidR="00E043AF" w:rsidRPr="00C9702F">
        <w:t>54</w:t>
      </w:r>
      <w:r w:rsidRPr="00C9702F">
        <w:t>]</w:t>
      </w:r>
      <w:r w:rsidRPr="00C9702F">
        <w:tab/>
        <w:t>Montano</w:t>
      </w:r>
      <w:r w:rsidR="005633BA" w:rsidRPr="00C9702F">
        <w:t xml:space="preserve"> </w:t>
      </w:r>
      <w:r w:rsidR="008A1970" w:rsidRPr="00C9702F">
        <w:t xml:space="preserve">confirms that </w:t>
      </w:r>
      <w:r w:rsidRPr="00C9702F">
        <w:t>he perused documents which were made available to him and thereafter requested further particulars. He does not indicate who made the documents available to him.</w:t>
      </w:r>
    </w:p>
    <w:p w14:paraId="6CF727C1" w14:textId="77777777" w:rsidR="00C9702F" w:rsidRPr="00C9702F" w:rsidRDefault="00C9702F" w:rsidP="005171A7">
      <w:pPr>
        <w:spacing w:line="360" w:lineRule="auto"/>
        <w:jc w:val="both"/>
      </w:pPr>
    </w:p>
    <w:p w14:paraId="5383566C" w14:textId="467A9F1A" w:rsidR="008C3475" w:rsidRDefault="00A6715A" w:rsidP="005171A7">
      <w:pPr>
        <w:spacing w:line="360" w:lineRule="auto"/>
        <w:jc w:val="both"/>
      </w:pPr>
      <w:r w:rsidRPr="00C9702F">
        <w:t>[</w:t>
      </w:r>
      <w:r w:rsidR="00E043AF" w:rsidRPr="00C9702F">
        <w:t>55</w:t>
      </w:r>
      <w:r w:rsidRPr="00C9702F">
        <w:t xml:space="preserve">] </w:t>
      </w:r>
      <w:r w:rsidRPr="00C9702F">
        <w:tab/>
        <w:t>On 15 February 2016, the date on which the tri</w:t>
      </w:r>
      <w:r w:rsidR="00355861" w:rsidRPr="00C9702F">
        <w:t>a</w:t>
      </w:r>
      <w:r w:rsidRPr="00C9702F">
        <w:t xml:space="preserve">l was due to begin, he advised the court that he required additional documentation. </w:t>
      </w:r>
      <w:r w:rsidR="00C9702F">
        <w:t xml:space="preserve"> </w:t>
      </w:r>
      <w:r w:rsidRPr="00C9702F">
        <w:t>His reques</w:t>
      </w:r>
      <w:r w:rsidR="00F05C23" w:rsidRPr="00C9702F">
        <w:t>t</w:t>
      </w:r>
      <w:r w:rsidRPr="00C9702F">
        <w:t xml:space="preserve"> </w:t>
      </w:r>
      <w:r w:rsidR="00485FAB" w:rsidRPr="00C9702F">
        <w:t xml:space="preserve">for </w:t>
      </w:r>
      <w:r w:rsidRPr="00C9702F">
        <w:t xml:space="preserve">further </w:t>
      </w:r>
      <w:r w:rsidR="00F05C23" w:rsidRPr="00C9702F">
        <w:t xml:space="preserve">and better </w:t>
      </w:r>
      <w:r w:rsidRPr="00C9702F">
        <w:t xml:space="preserve">particulars was dated 19 February 2016 and was served on </w:t>
      </w:r>
      <w:r w:rsidR="00355861" w:rsidRPr="00C9702F">
        <w:t>1 March 2016.</w:t>
      </w:r>
    </w:p>
    <w:p w14:paraId="257F1F7F" w14:textId="77777777" w:rsidR="00C9702F" w:rsidRPr="00C9702F" w:rsidRDefault="00C9702F" w:rsidP="005171A7">
      <w:pPr>
        <w:spacing w:line="360" w:lineRule="auto"/>
        <w:jc w:val="both"/>
      </w:pPr>
    </w:p>
    <w:p w14:paraId="70975B9A" w14:textId="6DBFE75D" w:rsidR="008C3475" w:rsidRDefault="008C3475" w:rsidP="005171A7">
      <w:pPr>
        <w:spacing w:line="360" w:lineRule="auto"/>
        <w:jc w:val="both"/>
      </w:pPr>
      <w:r w:rsidRPr="00C9702F">
        <w:t>[</w:t>
      </w:r>
      <w:r w:rsidR="00E043AF" w:rsidRPr="00C9702F">
        <w:t>56</w:t>
      </w:r>
      <w:r w:rsidRPr="00C9702F">
        <w:t>]</w:t>
      </w:r>
      <w:r w:rsidRPr="00C9702F">
        <w:tab/>
        <w:t xml:space="preserve">The state could not respond to the request for further </w:t>
      </w:r>
      <w:r w:rsidR="00F05C23" w:rsidRPr="00C9702F">
        <w:t xml:space="preserve">and better </w:t>
      </w:r>
      <w:r w:rsidRPr="00C9702F">
        <w:t>particulars because the documents which Mr Montano requested, including documents seized at the home of the applicants, for the purposes of preparing for trial had been either misplaced, or lost or destroyed.</w:t>
      </w:r>
    </w:p>
    <w:p w14:paraId="761BD78A" w14:textId="77777777" w:rsidR="00C9702F" w:rsidRPr="00C9702F" w:rsidRDefault="00C9702F" w:rsidP="005171A7">
      <w:pPr>
        <w:spacing w:line="360" w:lineRule="auto"/>
        <w:jc w:val="both"/>
      </w:pPr>
    </w:p>
    <w:p w14:paraId="79A21223" w14:textId="002F1039" w:rsidR="008C3475" w:rsidRDefault="008C3475" w:rsidP="005171A7">
      <w:pPr>
        <w:spacing w:line="360" w:lineRule="auto"/>
        <w:jc w:val="both"/>
      </w:pPr>
      <w:r w:rsidRPr="00C9702F">
        <w:t>[</w:t>
      </w:r>
      <w:r w:rsidR="00E043AF" w:rsidRPr="00C9702F">
        <w:t>57</w:t>
      </w:r>
      <w:r w:rsidRPr="00C9702F">
        <w:t>]</w:t>
      </w:r>
      <w:r w:rsidRPr="00C9702F">
        <w:tab/>
        <w:t>There is also some confusion as to who initially had possession of the documents.</w:t>
      </w:r>
    </w:p>
    <w:p w14:paraId="288E14C7" w14:textId="77777777" w:rsidR="00C9702F" w:rsidRPr="00C9702F" w:rsidRDefault="00C9702F" w:rsidP="005171A7">
      <w:pPr>
        <w:spacing w:line="360" w:lineRule="auto"/>
        <w:jc w:val="both"/>
      </w:pPr>
    </w:p>
    <w:p w14:paraId="599EB7D5" w14:textId="42E8EE5D" w:rsidR="008C3475" w:rsidRDefault="008C3475" w:rsidP="005171A7">
      <w:pPr>
        <w:spacing w:line="360" w:lineRule="auto"/>
        <w:jc w:val="both"/>
      </w:pPr>
      <w:r w:rsidRPr="00C9702F">
        <w:t>[</w:t>
      </w:r>
      <w:r w:rsidR="00E043AF" w:rsidRPr="00C9702F">
        <w:t>58</w:t>
      </w:r>
      <w:r w:rsidRPr="00C9702F">
        <w:t>]</w:t>
      </w:r>
      <w:r w:rsidRPr="00C9702F">
        <w:tab/>
        <w:t>Despite the directions given by the presiding officer, the state was unable to provide the documents requested.</w:t>
      </w:r>
    </w:p>
    <w:p w14:paraId="7D0D3ECC" w14:textId="77777777" w:rsidR="00C9702F" w:rsidRPr="00C9702F" w:rsidRDefault="00C9702F" w:rsidP="005171A7">
      <w:pPr>
        <w:spacing w:line="360" w:lineRule="auto"/>
        <w:jc w:val="both"/>
      </w:pPr>
    </w:p>
    <w:p w14:paraId="06BEA3EE" w14:textId="2232E297" w:rsidR="009A59FC" w:rsidRDefault="008C3475" w:rsidP="005171A7">
      <w:pPr>
        <w:spacing w:line="360" w:lineRule="auto"/>
        <w:jc w:val="both"/>
      </w:pPr>
      <w:r w:rsidRPr="00C9702F">
        <w:t>[</w:t>
      </w:r>
      <w:r w:rsidR="00E043AF" w:rsidRPr="00C9702F">
        <w:t>59</w:t>
      </w:r>
      <w:r w:rsidRPr="00C9702F">
        <w:t>]</w:t>
      </w:r>
      <w:r w:rsidRPr="00C9702F">
        <w:tab/>
        <w:t xml:space="preserve">That prompted the applicants to make an application in the specialised commercial crimes court under case number SCCC 58/ 2012, for a permanent stay of the prosecution in and during 2016. This application was heard on 1 September 2017 and then postponed to 13 October 2017 for judgement. On that day, the magistrate </w:t>
      </w:r>
      <w:r w:rsidRPr="00C9702F">
        <w:lastRenderedPageBreak/>
        <w:t xml:space="preserve">did not deliver a judgement but explained that he did not have jurisdiction to entertain an application for a permanent stay of the prosecution. </w:t>
      </w:r>
      <w:r w:rsidR="000D782E" w:rsidRPr="00C9702F">
        <w:t xml:space="preserve"> By that time, a</w:t>
      </w:r>
      <w:r w:rsidR="00910E99" w:rsidRPr="00C9702F">
        <w:t xml:space="preserve"> </w:t>
      </w:r>
      <w:r w:rsidR="00F7151B" w:rsidRPr="00C9702F">
        <w:t>period of a</w:t>
      </w:r>
      <w:r w:rsidR="002501AF" w:rsidRPr="00C9702F">
        <w:t xml:space="preserve">bout 21 months lapsed since the date on which the trial was due to start. </w:t>
      </w:r>
    </w:p>
    <w:p w14:paraId="152B8DBB" w14:textId="77777777" w:rsidR="00C9702F" w:rsidRPr="00C9702F" w:rsidRDefault="00C9702F" w:rsidP="005171A7">
      <w:pPr>
        <w:spacing w:line="360" w:lineRule="auto"/>
        <w:jc w:val="both"/>
      </w:pPr>
    </w:p>
    <w:p w14:paraId="11EEC01E" w14:textId="6D4D7A21" w:rsidR="00AF233E" w:rsidRDefault="00376889" w:rsidP="005171A7">
      <w:pPr>
        <w:spacing w:line="360" w:lineRule="auto"/>
        <w:jc w:val="both"/>
      </w:pPr>
      <w:r w:rsidRPr="00C9702F">
        <w:t>[60]</w:t>
      </w:r>
      <w:r w:rsidRPr="00C9702F">
        <w:tab/>
      </w:r>
      <w:r w:rsidR="009A59FC" w:rsidRPr="00C9702F">
        <w:t xml:space="preserve">Mr Montano </w:t>
      </w:r>
      <w:r w:rsidR="00942124" w:rsidRPr="00C9702F">
        <w:t xml:space="preserve">does not </w:t>
      </w:r>
      <w:r w:rsidR="00507646" w:rsidRPr="00C9702F">
        <w:t xml:space="preserve">explain </w:t>
      </w:r>
      <w:r w:rsidR="00F00756" w:rsidRPr="00C9702F">
        <w:t xml:space="preserve">whether the documents which the state could not provide </w:t>
      </w:r>
      <w:r w:rsidR="00D46F5F" w:rsidRPr="00C9702F">
        <w:t xml:space="preserve">had </w:t>
      </w:r>
      <w:r w:rsidR="003E4F7F" w:rsidRPr="00C9702F">
        <w:t xml:space="preserve">hindered </w:t>
      </w:r>
      <w:r w:rsidR="00D61E9D" w:rsidRPr="00C9702F">
        <w:t xml:space="preserve">the applicants’ </w:t>
      </w:r>
      <w:r w:rsidR="003E4F7F" w:rsidRPr="00C9702F">
        <w:t xml:space="preserve">preparation </w:t>
      </w:r>
      <w:r w:rsidR="00D46F5F" w:rsidRPr="00C9702F">
        <w:t xml:space="preserve">for the trial </w:t>
      </w:r>
      <w:r w:rsidR="003E4F7F" w:rsidRPr="00C9702F">
        <w:t xml:space="preserve">and why it </w:t>
      </w:r>
      <w:r w:rsidR="00573B72" w:rsidRPr="00C9702F">
        <w:t xml:space="preserve">had </w:t>
      </w:r>
      <w:r w:rsidR="003E4F7F" w:rsidRPr="00C9702F">
        <w:t>so hindered</w:t>
      </w:r>
      <w:r w:rsidR="00D61E9D" w:rsidRPr="00C9702F">
        <w:t xml:space="preserve"> the </w:t>
      </w:r>
      <w:r w:rsidR="003E4F7F" w:rsidRPr="00C9702F">
        <w:t>trial preparation.</w:t>
      </w:r>
      <w:r w:rsidR="00AF233E" w:rsidRPr="00C9702F">
        <w:t xml:space="preserve"> </w:t>
      </w:r>
      <w:r w:rsidR="00573B72" w:rsidRPr="00C9702F">
        <w:t xml:space="preserve">He </w:t>
      </w:r>
      <w:r w:rsidR="0068226B" w:rsidRPr="00C9702F">
        <w:t xml:space="preserve">has also not explained why the delay and the loss </w:t>
      </w:r>
      <w:r w:rsidR="00BC1E54" w:rsidRPr="00C9702F">
        <w:t xml:space="preserve">of documents </w:t>
      </w:r>
      <w:r w:rsidR="00B90D6E" w:rsidRPr="00C9702F">
        <w:t>had made it impossible for the trial to commence</w:t>
      </w:r>
      <w:r w:rsidR="00B4240F" w:rsidRPr="00C9702F">
        <w:t xml:space="preserve"> </w:t>
      </w:r>
      <w:r w:rsidR="00BC1E54" w:rsidRPr="00C9702F">
        <w:t xml:space="preserve">and </w:t>
      </w:r>
      <w:r w:rsidR="00B4240F" w:rsidRPr="00C9702F">
        <w:t xml:space="preserve">whether the delay </w:t>
      </w:r>
      <w:r w:rsidR="00BC1E54" w:rsidRPr="00C9702F">
        <w:t xml:space="preserve">and loss of documents </w:t>
      </w:r>
      <w:r w:rsidR="00B4240F" w:rsidRPr="00C9702F">
        <w:t>would inevitably and irremediably taint the overall substantive fairness of the trial if it were to commence.</w:t>
      </w:r>
      <w:r w:rsidR="00B4240F" w:rsidRPr="00C9702F">
        <w:rPr>
          <w:rStyle w:val="FootnoteReference"/>
        </w:rPr>
        <w:footnoteReference w:id="16"/>
      </w:r>
    </w:p>
    <w:p w14:paraId="50532EAF" w14:textId="77777777" w:rsidR="00C9702F" w:rsidRPr="00C9702F" w:rsidRDefault="00C9702F" w:rsidP="005171A7">
      <w:pPr>
        <w:spacing w:line="360" w:lineRule="auto"/>
        <w:jc w:val="both"/>
      </w:pPr>
    </w:p>
    <w:p w14:paraId="700F8E65" w14:textId="66400B3A" w:rsidR="0035790F" w:rsidRDefault="008C3475" w:rsidP="005171A7">
      <w:pPr>
        <w:spacing w:line="360" w:lineRule="auto"/>
        <w:jc w:val="both"/>
      </w:pPr>
      <w:r w:rsidRPr="00C9702F">
        <w:t>[</w:t>
      </w:r>
      <w:r w:rsidR="00376889" w:rsidRPr="00C9702F">
        <w:t>61</w:t>
      </w:r>
      <w:r w:rsidRPr="00C9702F">
        <w:t>]</w:t>
      </w:r>
      <w:r w:rsidRPr="00C9702F">
        <w:tab/>
        <w:t>Following that aborted application</w:t>
      </w:r>
      <w:r w:rsidR="00C21879" w:rsidRPr="00C9702F">
        <w:t xml:space="preserve"> for a permanent stay of the prosecution in the magistrate’s court</w:t>
      </w:r>
      <w:r w:rsidRPr="00C9702F">
        <w:t xml:space="preserve">, the applicants instituted this application on or about 16 May 2018. </w:t>
      </w:r>
    </w:p>
    <w:p w14:paraId="41FBA09D" w14:textId="77777777" w:rsidR="00C9702F" w:rsidRPr="00C9702F" w:rsidRDefault="00C9702F" w:rsidP="005171A7">
      <w:pPr>
        <w:spacing w:line="360" w:lineRule="auto"/>
        <w:jc w:val="both"/>
      </w:pPr>
    </w:p>
    <w:p w14:paraId="1FD6A39E" w14:textId="48D23624" w:rsidR="0035790F" w:rsidRPr="00C9702F" w:rsidRDefault="00376889" w:rsidP="005171A7">
      <w:pPr>
        <w:spacing w:line="360" w:lineRule="auto"/>
        <w:jc w:val="both"/>
      </w:pPr>
      <w:r w:rsidRPr="00C9702F">
        <w:t>[62]</w:t>
      </w:r>
      <w:r w:rsidRPr="00C9702F">
        <w:tab/>
      </w:r>
      <w:r w:rsidR="0035790F" w:rsidRPr="00C9702F">
        <w:t>The applicants</w:t>
      </w:r>
      <w:r w:rsidR="0093051F" w:rsidRPr="00C9702F">
        <w:t xml:space="preserve"> </w:t>
      </w:r>
      <w:r w:rsidR="0035790F" w:rsidRPr="00C9702F">
        <w:t xml:space="preserve">seek relief which is “radical” and should have dealt with the prejudice which they have suffered by the delay </w:t>
      </w:r>
      <w:r w:rsidR="0093051F" w:rsidRPr="00C9702F">
        <w:t xml:space="preserve">and the loss of documents </w:t>
      </w:r>
      <w:r w:rsidR="0035790F" w:rsidRPr="00C9702F">
        <w:t>in greater detail</w:t>
      </w:r>
      <w:r w:rsidR="00262DDA" w:rsidRPr="00C9702F">
        <w:t>, but failed to do so.</w:t>
      </w:r>
      <w:r w:rsidR="0035790F" w:rsidRPr="00C9702F">
        <w:t xml:space="preserve"> </w:t>
      </w:r>
    </w:p>
    <w:p w14:paraId="107961D0" w14:textId="4888C612" w:rsidR="00E36BA4" w:rsidRDefault="001926B4" w:rsidP="005171A7">
      <w:pPr>
        <w:spacing w:line="360" w:lineRule="auto"/>
        <w:jc w:val="both"/>
      </w:pPr>
      <w:r w:rsidRPr="00C9702F">
        <w:t>[63]</w:t>
      </w:r>
      <w:r w:rsidRPr="00C9702F">
        <w:tab/>
      </w:r>
      <w:r w:rsidR="00E36BA4" w:rsidRPr="00C9702F">
        <w:t>It is common cause that documents which the applicants claim they need to prepare for their defence and which were either directly or indirectly in the respondents’ possession have been either misplaced or destroyed or thrown away.</w:t>
      </w:r>
    </w:p>
    <w:p w14:paraId="42237B5A" w14:textId="77777777" w:rsidR="00C9702F" w:rsidRPr="00C9702F" w:rsidRDefault="00C9702F" w:rsidP="005171A7">
      <w:pPr>
        <w:spacing w:line="360" w:lineRule="auto"/>
        <w:jc w:val="both"/>
      </w:pPr>
    </w:p>
    <w:p w14:paraId="1BAA1B11" w14:textId="0A51F63A" w:rsidR="00E36BA4" w:rsidRDefault="001926B4" w:rsidP="005171A7">
      <w:pPr>
        <w:spacing w:line="360" w:lineRule="auto"/>
        <w:jc w:val="both"/>
      </w:pPr>
      <w:r w:rsidRPr="00C9702F">
        <w:t>[64]</w:t>
      </w:r>
      <w:r w:rsidRPr="00C9702F">
        <w:tab/>
      </w:r>
      <w:r w:rsidR="00E36BA4" w:rsidRPr="00C9702F">
        <w:t>In paragraph 21 of their founding affidavit, the applicants claim that without those documents which the state had a duty to properly preserve, they will not be “</w:t>
      </w:r>
      <w:r w:rsidR="00E36BA4" w:rsidRPr="00980CAE">
        <w:rPr>
          <w:i/>
        </w:rPr>
        <w:t>afforded an opportunity to place our (their) defence properly before Court and as such our (their) right to a constitutionally fair trial has been violated by the State</w:t>
      </w:r>
      <w:r w:rsidR="00E36BA4" w:rsidRPr="00C9702F">
        <w:t>.”</w:t>
      </w:r>
    </w:p>
    <w:p w14:paraId="055FD55B" w14:textId="77777777" w:rsidR="00C9702F" w:rsidRPr="00C9702F" w:rsidRDefault="00C9702F" w:rsidP="005171A7">
      <w:pPr>
        <w:spacing w:line="360" w:lineRule="auto"/>
        <w:jc w:val="both"/>
      </w:pPr>
    </w:p>
    <w:p w14:paraId="21724F28" w14:textId="7C513094" w:rsidR="002D2E5E" w:rsidRDefault="00304A84" w:rsidP="005171A7">
      <w:pPr>
        <w:spacing w:line="360" w:lineRule="auto"/>
        <w:jc w:val="both"/>
      </w:pPr>
      <w:r w:rsidRPr="00C9702F">
        <w:lastRenderedPageBreak/>
        <w:t>[65]</w:t>
      </w:r>
      <w:r w:rsidRPr="00C9702F">
        <w:tab/>
      </w:r>
      <w:r w:rsidR="00170A1A" w:rsidRPr="00C9702F">
        <w:t xml:space="preserve">The issue is not </w:t>
      </w:r>
      <w:r w:rsidR="00420181" w:rsidRPr="00C9702F">
        <w:t>simply whether the applicants will not be able to place their defence properly before the court, but whether they will suffer irreparable</w:t>
      </w:r>
      <w:r w:rsidR="00CD6292" w:rsidRPr="00C9702F">
        <w:t xml:space="preserve"> trial prejudice.</w:t>
      </w:r>
    </w:p>
    <w:p w14:paraId="51C193DA" w14:textId="77777777" w:rsidR="00C9702F" w:rsidRPr="00C9702F" w:rsidRDefault="00C9702F" w:rsidP="005171A7">
      <w:pPr>
        <w:spacing w:line="360" w:lineRule="auto"/>
        <w:jc w:val="both"/>
      </w:pPr>
    </w:p>
    <w:p w14:paraId="6F190A2B" w14:textId="0BD32351" w:rsidR="00180160" w:rsidRPr="00C9702F" w:rsidRDefault="00304A84" w:rsidP="005171A7">
      <w:pPr>
        <w:spacing w:line="360" w:lineRule="auto"/>
        <w:jc w:val="both"/>
      </w:pPr>
      <w:r w:rsidRPr="00C9702F">
        <w:t>[66]</w:t>
      </w:r>
      <w:r w:rsidRPr="00C9702F">
        <w:tab/>
      </w:r>
      <w:r w:rsidR="00180160" w:rsidRPr="00C9702F">
        <w:t xml:space="preserve">In </w:t>
      </w:r>
      <w:r w:rsidR="00180160" w:rsidRPr="00C9702F">
        <w:rPr>
          <w:i/>
          <w:iCs/>
        </w:rPr>
        <w:t>Bothma</w:t>
      </w:r>
      <w:r w:rsidR="00180160" w:rsidRPr="00C9702F">
        <w:t xml:space="preserve">, the </w:t>
      </w:r>
      <w:r w:rsidR="00DC244A" w:rsidRPr="00C9702F">
        <w:t xml:space="preserve">Court said the following with reference to </w:t>
      </w:r>
      <w:r w:rsidR="00170A1A" w:rsidRPr="00C9702F">
        <w:t>irreparable trial prejudice.</w:t>
      </w:r>
    </w:p>
    <w:p w14:paraId="16B96DCB" w14:textId="52FD49C9" w:rsidR="003A0FDF" w:rsidRPr="00980CAE" w:rsidRDefault="00CD6292" w:rsidP="005171A7">
      <w:pPr>
        <w:pStyle w:val="NormalWeb"/>
        <w:shd w:val="clear" w:color="auto" w:fill="FFFFFF"/>
        <w:spacing w:before="144" w:beforeAutospacing="0" w:after="288" w:afterAutospacing="0" w:line="360" w:lineRule="auto"/>
        <w:ind w:left="720"/>
        <w:jc w:val="both"/>
        <w:rPr>
          <w:rFonts w:ascii="Arial" w:hAnsi="Arial" w:cs="Arial"/>
          <w:i/>
          <w:color w:val="242121"/>
        </w:rPr>
      </w:pPr>
      <w:r w:rsidRPr="00C9702F">
        <w:rPr>
          <w:rFonts w:ascii="Arial" w:hAnsi="Arial" w:cs="Arial"/>
          <w:color w:val="242121"/>
        </w:rPr>
        <w:t>“</w:t>
      </w:r>
      <w:r w:rsidR="003A0FDF" w:rsidRPr="00980CAE">
        <w:rPr>
          <w:rFonts w:ascii="Arial" w:hAnsi="Arial" w:cs="Arial"/>
          <w:i/>
          <w:color w:val="242121"/>
        </w:rPr>
        <w:t>These findings call for interrogation of what is meant by irreparable or insurmountable trial prejudice. Irreparable prejudice must refer to something more than the disadvantage caused by the loss of evidence that can happen in any trial. Thus, irretrievable loss of some evidence, even if associated with delay, is not determinative of irreparable trial prejudice. Irreparability should not be equated with irretrievability. Clearly, potential witnesses who have died cannot be revived. Documents that have gone permanently astray may not be capable of recreation. Irreparability in this context must therefore relate to insurmountable damage caused not to sources of testimony as such, but to the fairness and integrity of a possible trial. Put another way, to say that the trial has been irreparably prejudiced is to accept that there is no way in which the fairness of the trial could be sustained.</w:t>
      </w:r>
      <w:r w:rsidRPr="00980CAE">
        <w:rPr>
          <w:rFonts w:ascii="Arial" w:hAnsi="Arial" w:cs="Arial"/>
          <w:i/>
          <w:color w:val="242121"/>
        </w:rPr>
        <w:t>”</w:t>
      </w:r>
    </w:p>
    <w:p w14:paraId="5A049190" w14:textId="77777777" w:rsidR="00C9702F" w:rsidRPr="00C9702F" w:rsidRDefault="00C9702F" w:rsidP="005171A7">
      <w:pPr>
        <w:pStyle w:val="NormalWeb"/>
        <w:shd w:val="clear" w:color="auto" w:fill="FFFFFF"/>
        <w:spacing w:before="144" w:beforeAutospacing="0" w:after="288" w:afterAutospacing="0" w:line="360" w:lineRule="auto"/>
        <w:ind w:left="720"/>
        <w:jc w:val="both"/>
        <w:rPr>
          <w:rFonts w:ascii="Arial" w:hAnsi="Arial" w:cs="Arial"/>
          <w:color w:val="242121"/>
        </w:rPr>
      </w:pPr>
    </w:p>
    <w:p w14:paraId="74A2AAE1" w14:textId="579F112F" w:rsidR="005A7C81" w:rsidRDefault="00F82233" w:rsidP="005171A7">
      <w:pPr>
        <w:spacing w:line="360" w:lineRule="auto"/>
        <w:jc w:val="both"/>
      </w:pPr>
      <w:r w:rsidRPr="00C9702F">
        <w:t>[67]</w:t>
      </w:r>
      <w:r w:rsidRPr="00C9702F">
        <w:tab/>
      </w:r>
      <w:r w:rsidR="00E36BA4" w:rsidRPr="00C9702F">
        <w:t xml:space="preserve">The </w:t>
      </w:r>
      <w:r w:rsidR="00EB0900" w:rsidRPr="00C9702F">
        <w:t xml:space="preserve">magistrate’ </w:t>
      </w:r>
      <w:r w:rsidR="00E36BA4" w:rsidRPr="00C9702F">
        <w:t>court had directed that a meeting be arranged between the parties and Nedbank, the complainant</w:t>
      </w:r>
      <w:r w:rsidR="00EB0900" w:rsidRPr="00C9702F">
        <w:t>,</w:t>
      </w:r>
      <w:r w:rsidR="00E36BA4" w:rsidRPr="00C9702F">
        <w:t xml:space="preserve"> to discuss the request for further particulars. </w:t>
      </w:r>
    </w:p>
    <w:p w14:paraId="0C6327DF" w14:textId="77777777" w:rsidR="00C9702F" w:rsidRPr="00C9702F" w:rsidRDefault="00C9702F" w:rsidP="005171A7">
      <w:pPr>
        <w:spacing w:line="360" w:lineRule="auto"/>
        <w:jc w:val="both"/>
      </w:pPr>
    </w:p>
    <w:p w14:paraId="7C608399" w14:textId="1D7E5F01" w:rsidR="00E36BA4" w:rsidRPr="00C9702F" w:rsidRDefault="005A7C81" w:rsidP="005171A7">
      <w:pPr>
        <w:spacing w:line="360" w:lineRule="auto"/>
        <w:jc w:val="both"/>
      </w:pPr>
      <w:r w:rsidRPr="00C9702F">
        <w:t>[68]</w:t>
      </w:r>
      <w:r w:rsidRPr="00C9702F">
        <w:tab/>
      </w:r>
      <w:r w:rsidR="00E36BA4" w:rsidRPr="00C9702F">
        <w:t>Evidently the Nedbank audit reports were not available and had been destroyed. However, a report dated 23 October 2002 was supplied but, according to Mr Mo</w:t>
      </w:r>
      <w:r w:rsidR="00052868" w:rsidRPr="00C9702F">
        <w:t>n</w:t>
      </w:r>
      <w:r w:rsidR="00E36BA4" w:rsidRPr="00C9702F">
        <w:t xml:space="preserve">tano, it is incomplete and does not provide the applicants with information which would have been in the official audit report, although he does not state what that information contains. </w:t>
      </w:r>
    </w:p>
    <w:p w14:paraId="1DA57175" w14:textId="1B517C2A" w:rsidR="00E36BA4" w:rsidRPr="00C9702F" w:rsidRDefault="0073344F" w:rsidP="005171A7">
      <w:pPr>
        <w:pStyle w:val="Heading1"/>
        <w:spacing w:line="360" w:lineRule="auto"/>
        <w:jc w:val="both"/>
        <w:rPr>
          <w:rFonts w:ascii="Arial" w:hAnsi="Arial" w:cs="Arial"/>
          <w:color w:val="000000" w:themeColor="text1"/>
          <w:sz w:val="24"/>
          <w:szCs w:val="24"/>
        </w:rPr>
      </w:pPr>
      <w:r w:rsidRPr="00C9702F">
        <w:rPr>
          <w:rFonts w:ascii="Arial" w:hAnsi="Arial" w:cs="Arial"/>
          <w:color w:val="000000" w:themeColor="text1"/>
          <w:sz w:val="24"/>
          <w:szCs w:val="24"/>
        </w:rPr>
        <w:t>[69]</w:t>
      </w:r>
      <w:r w:rsidRPr="00C9702F">
        <w:rPr>
          <w:rFonts w:ascii="Arial" w:hAnsi="Arial" w:cs="Arial"/>
          <w:color w:val="000000" w:themeColor="text1"/>
          <w:sz w:val="24"/>
          <w:szCs w:val="24"/>
        </w:rPr>
        <w:tab/>
      </w:r>
      <w:r w:rsidR="00E36BA4" w:rsidRPr="00C9702F">
        <w:rPr>
          <w:rFonts w:ascii="Arial" w:hAnsi="Arial" w:cs="Arial"/>
          <w:color w:val="000000" w:themeColor="text1"/>
          <w:sz w:val="24"/>
          <w:szCs w:val="24"/>
        </w:rPr>
        <w:t xml:space="preserve">Nedbank </w:t>
      </w:r>
      <w:r w:rsidRPr="00C9702F">
        <w:rPr>
          <w:rFonts w:ascii="Arial" w:hAnsi="Arial" w:cs="Arial"/>
          <w:color w:val="000000" w:themeColor="text1"/>
          <w:sz w:val="24"/>
          <w:szCs w:val="24"/>
        </w:rPr>
        <w:t>has</w:t>
      </w:r>
      <w:r w:rsidR="00E36BA4" w:rsidRPr="00C9702F">
        <w:rPr>
          <w:rFonts w:ascii="Arial" w:hAnsi="Arial" w:cs="Arial"/>
          <w:color w:val="000000" w:themeColor="text1"/>
          <w:sz w:val="24"/>
          <w:szCs w:val="24"/>
        </w:rPr>
        <w:t xml:space="preserve"> a document </w:t>
      </w:r>
      <w:r w:rsidR="008D2FB1" w:rsidRPr="00C9702F">
        <w:rPr>
          <w:rFonts w:ascii="Arial" w:hAnsi="Arial" w:cs="Arial"/>
          <w:color w:val="000000" w:themeColor="text1"/>
          <w:sz w:val="24"/>
          <w:szCs w:val="24"/>
        </w:rPr>
        <w:t>relating</w:t>
      </w:r>
      <w:r w:rsidR="00E36BA4" w:rsidRPr="00C9702F">
        <w:rPr>
          <w:rFonts w:ascii="Arial" w:hAnsi="Arial" w:cs="Arial"/>
          <w:color w:val="000000" w:themeColor="text1"/>
          <w:sz w:val="24"/>
          <w:szCs w:val="24"/>
        </w:rPr>
        <w:t xml:space="preserve"> to the matter in its possession but won’t disclose it to the applicants’ due to client confidentiality.</w:t>
      </w:r>
    </w:p>
    <w:p w14:paraId="3DA573A2" w14:textId="77777777" w:rsidR="004F3130" w:rsidRPr="00C9702F" w:rsidRDefault="004F3130" w:rsidP="005171A7">
      <w:pPr>
        <w:spacing w:line="360" w:lineRule="auto"/>
        <w:jc w:val="both"/>
      </w:pPr>
    </w:p>
    <w:p w14:paraId="6EFE4621" w14:textId="11EEEC41" w:rsidR="00E36BA4" w:rsidRDefault="004F3130" w:rsidP="005171A7">
      <w:pPr>
        <w:spacing w:line="360" w:lineRule="auto"/>
        <w:jc w:val="both"/>
      </w:pPr>
      <w:r w:rsidRPr="00C9702F">
        <w:lastRenderedPageBreak/>
        <w:t>[70]</w:t>
      </w:r>
      <w:r w:rsidRPr="00C9702F">
        <w:tab/>
      </w:r>
      <w:r w:rsidR="00E36BA4" w:rsidRPr="00C9702F">
        <w:t xml:space="preserve">In her </w:t>
      </w:r>
      <w:r w:rsidR="00044971" w:rsidRPr="00C9702F">
        <w:t xml:space="preserve">supporting </w:t>
      </w:r>
      <w:r w:rsidR="00E36BA4" w:rsidRPr="00C9702F">
        <w:t xml:space="preserve">affidavit, </w:t>
      </w:r>
      <w:r w:rsidRPr="00C9702F">
        <w:t xml:space="preserve">Ms </w:t>
      </w:r>
      <w:r w:rsidR="00E36BA4" w:rsidRPr="00C9702F">
        <w:t xml:space="preserve">Bothma states that </w:t>
      </w:r>
      <w:r w:rsidR="00AB79DE" w:rsidRPr="00C9702F">
        <w:t>a report</w:t>
      </w:r>
      <w:r w:rsidR="00973D96" w:rsidRPr="00C9702F">
        <w:t xml:space="preserve">, </w:t>
      </w:r>
      <w:r w:rsidR="004F1301" w:rsidRPr="00C9702F">
        <w:t xml:space="preserve">marked </w:t>
      </w:r>
      <w:r w:rsidR="00E36BA4" w:rsidRPr="00C9702F">
        <w:t>DCP060</w:t>
      </w:r>
      <w:r w:rsidR="00973D96" w:rsidRPr="00C9702F">
        <w:t>,</w:t>
      </w:r>
      <w:r w:rsidR="00E36BA4" w:rsidRPr="00C9702F">
        <w:t xml:space="preserve"> is an automated transaction report prepared daily and reflects all the transactions processed by a teller for that day and is used to reconcile the bank notes and coin suspense account. The transaction report is used to deal with queries relating to teller transactions, if the teller audit roll is not available due to either the teller audit roll being unavailable or because the teller printing machine malfunctioned. The transaction report contains the same information as the teller audit roll but in less detail. </w:t>
      </w:r>
    </w:p>
    <w:p w14:paraId="15EA467E" w14:textId="77777777" w:rsidR="00C9702F" w:rsidRPr="00C9702F" w:rsidRDefault="00C9702F" w:rsidP="005171A7">
      <w:pPr>
        <w:spacing w:line="360" w:lineRule="auto"/>
        <w:jc w:val="both"/>
      </w:pPr>
    </w:p>
    <w:p w14:paraId="2BD55BC5" w14:textId="4F689094" w:rsidR="00E36BA4" w:rsidRPr="00C9702F" w:rsidRDefault="00E45652" w:rsidP="005171A7">
      <w:pPr>
        <w:spacing w:line="360" w:lineRule="auto"/>
        <w:jc w:val="both"/>
      </w:pPr>
      <w:r w:rsidRPr="00C9702F">
        <w:t>[71]</w:t>
      </w:r>
      <w:r w:rsidRPr="00C9702F">
        <w:tab/>
      </w:r>
      <w:r w:rsidR="00E36BA4" w:rsidRPr="00C9702F">
        <w:t>The transaction report contains the following information:</w:t>
      </w:r>
    </w:p>
    <w:p w14:paraId="332E711B" w14:textId="77777777" w:rsidR="00E36BA4" w:rsidRPr="00C9702F" w:rsidRDefault="00E36BA4" w:rsidP="005171A7">
      <w:pPr>
        <w:pStyle w:val="ListParagraph"/>
        <w:numPr>
          <w:ilvl w:val="0"/>
          <w:numId w:val="2"/>
        </w:numPr>
        <w:spacing w:line="360" w:lineRule="auto"/>
        <w:jc w:val="both"/>
      </w:pPr>
      <w:r w:rsidRPr="00C9702F">
        <w:t>the staff number of the teller who logged onto the teller terminal;</w:t>
      </w:r>
    </w:p>
    <w:p w14:paraId="17B5D8CD" w14:textId="77777777" w:rsidR="00E36BA4" w:rsidRPr="00C9702F" w:rsidRDefault="00E36BA4" w:rsidP="005171A7">
      <w:pPr>
        <w:pStyle w:val="ListParagraph"/>
        <w:numPr>
          <w:ilvl w:val="0"/>
          <w:numId w:val="2"/>
        </w:numPr>
        <w:spacing w:line="360" w:lineRule="auto"/>
        <w:jc w:val="both"/>
      </w:pPr>
      <w:r w:rsidRPr="00C9702F">
        <w:t>the date and time of the transactions;</w:t>
      </w:r>
    </w:p>
    <w:p w14:paraId="364AE898" w14:textId="77777777" w:rsidR="00E36BA4" w:rsidRPr="00C9702F" w:rsidRDefault="00E36BA4" w:rsidP="005171A7">
      <w:pPr>
        <w:pStyle w:val="ListParagraph"/>
        <w:numPr>
          <w:ilvl w:val="0"/>
          <w:numId w:val="2"/>
        </w:numPr>
        <w:spacing w:line="360" w:lineRule="auto"/>
        <w:jc w:val="both"/>
      </w:pPr>
      <w:r w:rsidRPr="00C9702F">
        <w:t>the account numbers of the client or the bank suspense account involved;</w:t>
      </w:r>
    </w:p>
    <w:p w14:paraId="72C9EAEE" w14:textId="75149D99" w:rsidR="00E36BA4" w:rsidRDefault="00E36BA4" w:rsidP="005171A7">
      <w:pPr>
        <w:pStyle w:val="ListParagraph"/>
        <w:numPr>
          <w:ilvl w:val="0"/>
          <w:numId w:val="2"/>
        </w:numPr>
        <w:spacing w:line="360" w:lineRule="auto"/>
        <w:jc w:val="both"/>
      </w:pPr>
      <w:r w:rsidRPr="00C9702F">
        <w:t>the amount involved and the type of transaction.</w:t>
      </w:r>
    </w:p>
    <w:p w14:paraId="32EEE5B4" w14:textId="77777777" w:rsidR="00C9702F" w:rsidRPr="00C9702F" w:rsidRDefault="00C9702F" w:rsidP="005171A7">
      <w:pPr>
        <w:pStyle w:val="ListParagraph"/>
        <w:spacing w:line="360" w:lineRule="auto"/>
        <w:jc w:val="both"/>
      </w:pPr>
    </w:p>
    <w:p w14:paraId="54DE7D75" w14:textId="29340933" w:rsidR="00764347" w:rsidRDefault="00E45652" w:rsidP="005171A7">
      <w:pPr>
        <w:spacing w:line="360" w:lineRule="auto"/>
        <w:jc w:val="both"/>
      </w:pPr>
      <w:r w:rsidRPr="00C9702F">
        <w:t>[72]</w:t>
      </w:r>
      <w:r w:rsidRPr="00C9702F">
        <w:tab/>
      </w:r>
      <w:r w:rsidR="00E36BA4" w:rsidRPr="00C9702F">
        <w:t xml:space="preserve">According to </w:t>
      </w:r>
      <w:r w:rsidR="00722D28" w:rsidRPr="00C9702F">
        <w:t xml:space="preserve">Ms </w:t>
      </w:r>
      <w:r w:rsidR="00E36BA4" w:rsidRPr="00C9702F">
        <w:t>Bothma, only the relevant parts of the transaction report were provided to the “defence” because the transaction report contains the account numbers of all the bank’s clients.</w:t>
      </w:r>
      <w:r w:rsidR="006C5E30" w:rsidRPr="00C9702F">
        <w:t xml:space="preserve"> She avers that there is ample evidence which indicates the illegal movement of funds from the bank’s suspense accounts</w:t>
      </w:r>
      <w:r w:rsidR="00A422A6" w:rsidRPr="00C9702F">
        <w:t>.</w:t>
      </w:r>
    </w:p>
    <w:p w14:paraId="4C51B188" w14:textId="77777777" w:rsidR="00C9702F" w:rsidRPr="00C9702F" w:rsidRDefault="00C9702F" w:rsidP="005171A7">
      <w:pPr>
        <w:spacing w:line="360" w:lineRule="auto"/>
        <w:jc w:val="both"/>
      </w:pPr>
    </w:p>
    <w:p w14:paraId="77F265B0" w14:textId="77777777" w:rsidR="00C9702F" w:rsidRDefault="00E45652" w:rsidP="005171A7">
      <w:pPr>
        <w:spacing w:line="360" w:lineRule="auto"/>
        <w:jc w:val="both"/>
      </w:pPr>
      <w:r w:rsidRPr="00C9702F">
        <w:t>[73]</w:t>
      </w:r>
      <w:r w:rsidRPr="00C9702F">
        <w:tab/>
      </w:r>
      <w:r w:rsidR="00E36BA4" w:rsidRPr="00C9702F">
        <w:t>The “defence” was also provided with documentary proof of how the first applicant concealed the illegal transfers</w:t>
      </w:r>
      <w:r w:rsidR="008B3064" w:rsidRPr="00C9702F">
        <w:t xml:space="preserve"> and</w:t>
      </w:r>
      <w:r w:rsidR="00E36BA4" w:rsidRPr="00C9702F">
        <w:t xml:space="preserve"> </w:t>
      </w:r>
      <w:r w:rsidR="00C5573F" w:rsidRPr="00C9702F">
        <w:t>copies</w:t>
      </w:r>
      <w:r w:rsidR="00A730A3" w:rsidRPr="00C9702F">
        <w:t xml:space="preserve"> </w:t>
      </w:r>
      <w:r w:rsidR="00E36BA4" w:rsidRPr="00C9702F">
        <w:t>of the bank accounts</w:t>
      </w:r>
      <w:r w:rsidR="00A730A3" w:rsidRPr="00C9702F">
        <w:t xml:space="preserve"> held in the names of or</w:t>
      </w:r>
      <w:r w:rsidR="00E36BA4" w:rsidRPr="00C9702F">
        <w:t xml:space="preserve"> under the control of both applicant</w:t>
      </w:r>
      <w:r w:rsidR="009332B0" w:rsidRPr="00C9702F">
        <w:t>s</w:t>
      </w:r>
      <w:r w:rsidR="00E36BA4" w:rsidRPr="00C9702F">
        <w:t xml:space="preserve"> which indicate that those accounts received the funds transferred by the first applicant </w:t>
      </w:r>
      <w:r w:rsidR="007C2B5C" w:rsidRPr="00C9702F">
        <w:t xml:space="preserve">from </w:t>
      </w:r>
      <w:r w:rsidR="00E36BA4" w:rsidRPr="00C9702F">
        <w:t>the bank’s accounts into those accounts.</w:t>
      </w:r>
    </w:p>
    <w:p w14:paraId="797DF3FD" w14:textId="7057EB7F" w:rsidR="00E36BA4" w:rsidRPr="00C9702F" w:rsidRDefault="00E36BA4" w:rsidP="005171A7">
      <w:pPr>
        <w:spacing w:line="360" w:lineRule="auto"/>
        <w:jc w:val="both"/>
      </w:pPr>
      <w:r w:rsidRPr="00C9702F">
        <w:t xml:space="preserve"> </w:t>
      </w:r>
    </w:p>
    <w:p w14:paraId="35F05493" w14:textId="4B4BB80D" w:rsidR="00E36BA4" w:rsidRDefault="00E45652" w:rsidP="005171A7">
      <w:pPr>
        <w:spacing w:line="360" w:lineRule="auto"/>
        <w:jc w:val="both"/>
      </w:pPr>
      <w:r w:rsidRPr="00C9702F">
        <w:t>[74]</w:t>
      </w:r>
      <w:r w:rsidRPr="00C9702F">
        <w:tab/>
      </w:r>
      <w:r w:rsidR="00E36BA4" w:rsidRPr="00C9702F">
        <w:t>Mr Montan</w:t>
      </w:r>
      <w:r w:rsidR="00FE7831" w:rsidRPr="00C9702F">
        <w:t xml:space="preserve">o also </w:t>
      </w:r>
      <w:r w:rsidR="00E36BA4" w:rsidRPr="00C9702F">
        <w:t>receive</w:t>
      </w:r>
      <w:r w:rsidR="00FE7831" w:rsidRPr="00C9702F">
        <w:t>d</w:t>
      </w:r>
      <w:r w:rsidR="00E36BA4" w:rsidRPr="00C9702F">
        <w:t xml:space="preserve"> a comprehensive inventory of what had been seized in 2004 already. </w:t>
      </w:r>
    </w:p>
    <w:p w14:paraId="32E0ACF4" w14:textId="77777777" w:rsidR="00C9702F" w:rsidRPr="00C9702F" w:rsidRDefault="00C9702F" w:rsidP="005171A7">
      <w:pPr>
        <w:spacing w:line="360" w:lineRule="auto"/>
        <w:jc w:val="both"/>
      </w:pPr>
    </w:p>
    <w:p w14:paraId="13B91CEB" w14:textId="13BA6EC6" w:rsidR="00E36BA4" w:rsidRPr="00C9702F" w:rsidRDefault="00E45652" w:rsidP="005171A7">
      <w:pPr>
        <w:spacing w:line="360" w:lineRule="auto"/>
        <w:jc w:val="both"/>
      </w:pPr>
      <w:r w:rsidRPr="00C9702F">
        <w:t>[75]</w:t>
      </w:r>
      <w:r w:rsidRPr="00C9702F">
        <w:tab/>
      </w:r>
      <w:r w:rsidR="00E36BA4" w:rsidRPr="00C9702F">
        <w:t>According to the first applicant, both she and the second applicant require those documents for their defence</w:t>
      </w:r>
      <w:r w:rsidR="00E07A81" w:rsidRPr="00C9702F">
        <w:t xml:space="preserve">. </w:t>
      </w:r>
    </w:p>
    <w:p w14:paraId="3F972EE6" w14:textId="72F9F030" w:rsidR="00E36BA4" w:rsidRDefault="00BA1EB5" w:rsidP="005171A7">
      <w:pPr>
        <w:spacing w:line="360" w:lineRule="auto"/>
        <w:jc w:val="both"/>
      </w:pPr>
      <w:r w:rsidRPr="00C9702F">
        <w:lastRenderedPageBreak/>
        <w:t>[76]</w:t>
      </w:r>
      <w:r w:rsidRPr="00C9702F">
        <w:tab/>
      </w:r>
      <w:r w:rsidR="00E36BA4" w:rsidRPr="00C9702F">
        <w:t xml:space="preserve"> </w:t>
      </w:r>
      <w:r w:rsidR="005B742C" w:rsidRPr="00C9702F">
        <w:t>She avers that she and the second applicant cannot properly prepare their defence and will be prejudiced as their right to a constitutionally fair trial has been violated by the state and has been compromised and made impossible.</w:t>
      </w:r>
    </w:p>
    <w:p w14:paraId="7980550C" w14:textId="77777777" w:rsidR="00C9702F" w:rsidRPr="00C9702F" w:rsidRDefault="00C9702F" w:rsidP="005171A7">
      <w:pPr>
        <w:spacing w:line="360" w:lineRule="auto"/>
        <w:jc w:val="both"/>
      </w:pPr>
    </w:p>
    <w:p w14:paraId="25EF0AFE" w14:textId="0E666E49" w:rsidR="00E36BA4" w:rsidRDefault="00415C09" w:rsidP="005171A7">
      <w:pPr>
        <w:spacing w:line="360" w:lineRule="auto"/>
        <w:jc w:val="both"/>
      </w:pPr>
      <w:r w:rsidRPr="00C9702F">
        <w:t>[77]</w:t>
      </w:r>
      <w:r w:rsidRPr="00C9702F">
        <w:tab/>
      </w:r>
      <w:r w:rsidR="00E36BA4" w:rsidRPr="00C9702F">
        <w:t xml:space="preserve">With reference to the documents which she says the applicants need for the purposes of preparing their defences, the first applicant simply refers to annexure </w:t>
      </w:r>
      <w:r w:rsidR="007C28F3" w:rsidRPr="00C9702F">
        <w:t>“</w:t>
      </w:r>
      <w:r w:rsidR="00E36BA4" w:rsidRPr="00C9702F">
        <w:t>RM</w:t>
      </w:r>
      <w:r w:rsidR="007C28F3" w:rsidRPr="00C9702F">
        <w:t>2”</w:t>
      </w:r>
      <w:r w:rsidR="00E36BA4" w:rsidRPr="00C9702F">
        <w:t xml:space="preserve"> attached to Montano’s affidavit. RM 2 consists of 3 pages, although the three pages are marked as being “page 1 of 4,” “page 2 of 4” and “page 4 of 4” respectively. They are receipts issued by PricewaterhouseCoopers for items apparently seized fr</w:t>
      </w:r>
      <w:r w:rsidR="008E7609" w:rsidRPr="00C9702F">
        <w:t>o</w:t>
      </w:r>
      <w:r w:rsidR="00E36BA4" w:rsidRPr="00C9702F">
        <w:t>m the applicants.</w:t>
      </w:r>
      <w:r w:rsidR="004A1D59" w:rsidRPr="00C9702F">
        <w:t xml:space="preserve"> Two of those pages contain details of </w:t>
      </w:r>
      <w:r w:rsidR="000A2547" w:rsidRPr="00C9702F">
        <w:t xml:space="preserve">household </w:t>
      </w:r>
      <w:r w:rsidR="00FD3417" w:rsidRPr="00C9702F">
        <w:t xml:space="preserve">furniture and appliances </w:t>
      </w:r>
      <w:r w:rsidR="00852EDB" w:rsidRPr="00C9702F">
        <w:t>which were taken from the applicants.</w:t>
      </w:r>
    </w:p>
    <w:p w14:paraId="0AA18F0F" w14:textId="77777777" w:rsidR="00C9702F" w:rsidRPr="00C9702F" w:rsidRDefault="00C9702F" w:rsidP="005171A7">
      <w:pPr>
        <w:spacing w:line="360" w:lineRule="auto"/>
        <w:jc w:val="both"/>
      </w:pPr>
    </w:p>
    <w:p w14:paraId="404AE28F" w14:textId="50CF6350" w:rsidR="00E36BA4" w:rsidRDefault="00A462B5" w:rsidP="005171A7">
      <w:pPr>
        <w:spacing w:line="360" w:lineRule="auto"/>
        <w:jc w:val="both"/>
      </w:pPr>
      <w:r w:rsidRPr="00C9702F">
        <w:t xml:space="preserve">[78] </w:t>
      </w:r>
      <w:r w:rsidRPr="00C9702F">
        <w:tab/>
      </w:r>
      <w:r w:rsidR="00E36BA4" w:rsidRPr="00C9702F">
        <w:t xml:space="preserve">Page 4 </w:t>
      </w:r>
      <w:r w:rsidRPr="00C9702F">
        <w:t xml:space="preserve">contains cryptic notes, namely, </w:t>
      </w:r>
      <w:r w:rsidR="00F50876" w:rsidRPr="00C9702F">
        <w:t>“</w:t>
      </w:r>
      <w:r w:rsidR="00E36BA4" w:rsidRPr="00C9702F">
        <w:t>1 x Nedbank cheque book, 4 x lever arch files re: docs relating to Stuart’s liquor store and 1 x lever arch file re: personal/invoices of Stuart Prince were taken.</w:t>
      </w:r>
      <w:r w:rsidR="00F50876" w:rsidRPr="00C9702F">
        <w:t>”</w:t>
      </w:r>
      <w:r w:rsidR="00E36BA4" w:rsidRPr="00C9702F">
        <w:t xml:space="preserve">   </w:t>
      </w:r>
    </w:p>
    <w:p w14:paraId="3F21CA9B" w14:textId="77777777" w:rsidR="00C9702F" w:rsidRPr="00C9702F" w:rsidRDefault="00C9702F" w:rsidP="005171A7">
      <w:pPr>
        <w:spacing w:line="360" w:lineRule="auto"/>
        <w:jc w:val="both"/>
      </w:pPr>
    </w:p>
    <w:p w14:paraId="5BB56F65" w14:textId="48C8F134" w:rsidR="0013332A" w:rsidRDefault="00F50876" w:rsidP="005171A7">
      <w:pPr>
        <w:spacing w:line="360" w:lineRule="auto"/>
        <w:jc w:val="both"/>
      </w:pPr>
      <w:r w:rsidRPr="00C9702F">
        <w:t>[79]</w:t>
      </w:r>
      <w:r w:rsidRPr="00C9702F">
        <w:tab/>
      </w:r>
      <w:r w:rsidR="00A93D2A" w:rsidRPr="00C9702F">
        <w:t>The first applicant was legal</w:t>
      </w:r>
      <w:r w:rsidR="00D57DF0" w:rsidRPr="00C9702F">
        <w:t>ly</w:t>
      </w:r>
      <w:r w:rsidR="00A93D2A" w:rsidRPr="00C9702F">
        <w:t xml:space="preserve"> represented during the first tri</w:t>
      </w:r>
      <w:r w:rsidR="00F838A1" w:rsidRPr="00C9702F">
        <w:t>a</w:t>
      </w:r>
      <w:r w:rsidR="00A93D2A" w:rsidRPr="00C9702F">
        <w:t>l and must have received documents from the state for the purposes of that trial</w:t>
      </w:r>
      <w:r w:rsidR="00870C36" w:rsidRPr="00C9702F">
        <w:t xml:space="preserve">, </w:t>
      </w:r>
      <w:r w:rsidR="00DE5A32" w:rsidRPr="00C9702F">
        <w:t>but she makes no reference at all to any such documents. It is highly inconcei</w:t>
      </w:r>
      <w:r w:rsidR="00ED151D" w:rsidRPr="00C9702F">
        <w:t>v</w:t>
      </w:r>
      <w:r w:rsidR="00DE5A32" w:rsidRPr="00C9702F">
        <w:t>a</w:t>
      </w:r>
      <w:r w:rsidR="00ED151D" w:rsidRPr="00C9702F">
        <w:t>b</w:t>
      </w:r>
      <w:r w:rsidR="00DE5A32" w:rsidRPr="00C9702F">
        <w:t>le that</w:t>
      </w:r>
      <w:r w:rsidR="00ED151D" w:rsidRPr="00C9702F">
        <w:t xml:space="preserve"> the first </w:t>
      </w:r>
      <w:r w:rsidR="0013332A" w:rsidRPr="00C9702F">
        <w:t xml:space="preserve">trial would </w:t>
      </w:r>
      <w:r w:rsidR="00ED151D" w:rsidRPr="00C9702F">
        <w:t>have</w:t>
      </w:r>
      <w:r w:rsidR="0013332A" w:rsidRPr="00C9702F">
        <w:t xml:space="preserve"> commenced without the first applicant being provided with all relevant information and documents, especially in the light of the seriousness of the charges against her and the amount of money involved.</w:t>
      </w:r>
      <w:r w:rsidR="00266A38" w:rsidRPr="00C9702F">
        <w:t xml:space="preserve"> </w:t>
      </w:r>
      <w:r w:rsidR="0013332A" w:rsidRPr="00C9702F">
        <w:t xml:space="preserve">The first applicant has not explained what happened to those </w:t>
      </w:r>
      <w:r w:rsidR="00593195" w:rsidRPr="00C9702F">
        <w:t>documents</w:t>
      </w:r>
      <w:r w:rsidR="0013332A" w:rsidRPr="00C9702F">
        <w:t>.</w:t>
      </w:r>
      <w:r w:rsidR="00E3237F" w:rsidRPr="00C9702F">
        <w:t xml:space="preserve"> The respondents</w:t>
      </w:r>
      <w:r w:rsidR="00754103" w:rsidRPr="00C9702F">
        <w:t xml:space="preserve">, too, </w:t>
      </w:r>
      <w:r w:rsidR="0071242B" w:rsidRPr="00C9702F">
        <w:t>have not explained what happened to the documents perta</w:t>
      </w:r>
      <w:r w:rsidR="00277C17" w:rsidRPr="00C9702F">
        <w:t>in</w:t>
      </w:r>
      <w:r w:rsidR="0071242B" w:rsidRPr="00C9702F">
        <w:t>ing to the</w:t>
      </w:r>
      <w:r w:rsidR="00277C17" w:rsidRPr="00C9702F">
        <w:t xml:space="preserve"> first trial.</w:t>
      </w:r>
      <w:r w:rsidR="0071242B" w:rsidRPr="00C9702F">
        <w:t xml:space="preserve"> </w:t>
      </w:r>
    </w:p>
    <w:p w14:paraId="5FDA327A" w14:textId="77777777" w:rsidR="00C9702F" w:rsidRPr="00C9702F" w:rsidRDefault="00C9702F" w:rsidP="005171A7">
      <w:pPr>
        <w:spacing w:line="360" w:lineRule="auto"/>
        <w:jc w:val="both"/>
      </w:pPr>
    </w:p>
    <w:p w14:paraId="009D04D5" w14:textId="56B308E9" w:rsidR="006257DF" w:rsidRDefault="00870C36" w:rsidP="005171A7">
      <w:pPr>
        <w:spacing w:line="360" w:lineRule="auto"/>
        <w:jc w:val="both"/>
      </w:pPr>
      <w:r w:rsidRPr="00C9702F">
        <w:t>[80]</w:t>
      </w:r>
      <w:r w:rsidRPr="00C9702F">
        <w:tab/>
      </w:r>
      <w:r w:rsidR="00F46ECE" w:rsidRPr="00C9702F">
        <w:t>The fact that her original tr</w:t>
      </w:r>
      <w:r w:rsidRPr="00C9702F">
        <w:t>i</w:t>
      </w:r>
      <w:r w:rsidR="00F46ECE" w:rsidRPr="00C9702F">
        <w:t xml:space="preserve">al had commenced suggests that at least the first applicant </w:t>
      </w:r>
      <w:r w:rsidR="004C6351" w:rsidRPr="00C9702F">
        <w:t xml:space="preserve">must know exactly what case the state intends </w:t>
      </w:r>
      <w:r w:rsidR="002001F4" w:rsidRPr="00C9702F">
        <w:t>to put forward</w:t>
      </w:r>
      <w:r w:rsidR="00510CB0" w:rsidRPr="00C9702F">
        <w:t xml:space="preserve"> and </w:t>
      </w:r>
      <w:r w:rsidR="00F47D55" w:rsidRPr="00C9702F">
        <w:t xml:space="preserve">that </w:t>
      </w:r>
      <w:r w:rsidR="0027165E" w:rsidRPr="00C9702F">
        <w:t xml:space="preserve">she and the second applicant </w:t>
      </w:r>
      <w:r w:rsidR="003C5C25" w:rsidRPr="00C9702F">
        <w:t>will be able to adduce evidence and challenge the state’s evidence during the trial proceedings.</w:t>
      </w:r>
    </w:p>
    <w:p w14:paraId="2D69A418" w14:textId="77777777" w:rsidR="00C9702F" w:rsidRPr="00C9702F" w:rsidRDefault="00C9702F" w:rsidP="005171A7">
      <w:pPr>
        <w:spacing w:line="360" w:lineRule="auto"/>
        <w:jc w:val="both"/>
      </w:pPr>
    </w:p>
    <w:p w14:paraId="6A2D4195" w14:textId="3423AF1D" w:rsidR="002001F4" w:rsidRDefault="00063211" w:rsidP="005171A7">
      <w:pPr>
        <w:spacing w:line="360" w:lineRule="auto"/>
        <w:jc w:val="both"/>
        <w:rPr>
          <w:i/>
          <w:iCs/>
        </w:rPr>
      </w:pPr>
      <w:r w:rsidRPr="00C9702F">
        <w:lastRenderedPageBreak/>
        <w:t>[81]</w:t>
      </w:r>
      <w:r w:rsidRPr="00C9702F">
        <w:tab/>
      </w:r>
      <w:r w:rsidR="004058ED" w:rsidRPr="00C9702F">
        <w:t>S</w:t>
      </w:r>
      <w:r w:rsidR="002001F4" w:rsidRPr="00C9702F">
        <w:t>imilar point</w:t>
      </w:r>
      <w:r w:rsidR="003C5C25" w:rsidRPr="00C9702F">
        <w:t>s</w:t>
      </w:r>
      <w:r w:rsidR="002001F4" w:rsidRPr="00C9702F">
        <w:t xml:space="preserve"> w</w:t>
      </w:r>
      <w:r w:rsidR="003C5C25" w:rsidRPr="00C9702F">
        <w:t>ere</w:t>
      </w:r>
      <w:r w:rsidR="002001F4" w:rsidRPr="00C9702F">
        <w:t xml:space="preserve"> made by </w:t>
      </w:r>
      <w:r w:rsidR="005E2CEA" w:rsidRPr="00C9702F">
        <w:t xml:space="preserve">Ledwaba, AJ </w:t>
      </w:r>
      <w:r w:rsidR="00BB02B8" w:rsidRPr="00C9702F">
        <w:t xml:space="preserve">in </w:t>
      </w:r>
      <w:r w:rsidR="00BB02B8" w:rsidRPr="00C9702F">
        <w:rPr>
          <w:i/>
          <w:iCs/>
        </w:rPr>
        <w:t>R</w:t>
      </w:r>
      <w:r w:rsidR="003C5C25" w:rsidRPr="00C9702F">
        <w:rPr>
          <w:i/>
          <w:iCs/>
        </w:rPr>
        <w:t>o</w:t>
      </w:r>
      <w:r w:rsidR="00BB02B8" w:rsidRPr="00C9702F">
        <w:rPr>
          <w:i/>
          <w:iCs/>
        </w:rPr>
        <w:t xml:space="preserve">derigues v National Director of Public Prosecutions and others </w:t>
      </w:r>
      <w:r w:rsidR="00A24583" w:rsidRPr="00C9702F">
        <w:t xml:space="preserve">(1186)/2019) </w:t>
      </w:r>
      <w:r w:rsidR="00EA3E2D" w:rsidRPr="00C9702F">
        <w:t>[2021] ZASCA 87</w:t>
      </w:r>
      <w:r w:rsidR="006319F4" w:rsidRPr="00C9702F">
        <w:t xml:space="preserve"> </w:t>
      </w:r>
      <w:r w:rsidR="00EB6192" w:rsidRPr="00C9702F">
        <w:t>when he said with reference to an appeal in respect of</w:t>
      </w:r>
      <w:r w:rsidR="0001622A" w:rsidRPr="00C9702F">
        <w:rPr>
          <w:i/>
          <w:iCs/>
        </w:rPr>
        <w:t xml:space="preserve"> Rodrigues vs National Director of Public Prosecutions and others</w:t>
      </w:r>
      <w:r w:rsidR="0001622A" w:rsidRPr="00C9702F">
        <w:t xml:space="preserve"> [2019] 3 ALL SA 962 (GJ)</w:t>
      </w:r>
      <w:r w:rsidR="00EB6192" w:rsidRPr="00C9702F">
        <w:rPr>
          <w:i/>
          <w:iCs/>
        </w:rPr>
        <w:t>:</w:t>
      </w:r>
    </w:p>
    <w:p w14:paraId="5801C36D" w14:textId="77777777" w:rsidR="00C9702F" w:rsidRPr="00C9702F" w:rsidRDefault="00C9702F" w:rsidP="005171A7">
      <w:pPr>
        <w:spacing w:line="360" w:lineRule="auto"/>
        <w:jc w:val="both"/>
        <w:rPr>
          <w:i/>
          <w:iCs/>
        </w:rPr>
      </w:pPr>
    </w:p>
    <w:p w14:paraId="5ED624E4" w14:textId="3653B36A" w:rsidR="00EB6192" w:rsidRDefault="00B635FF" w:rsidP="005171A7">
      <w:pPr>
        <w:spacing w:line="360" w:lineRule="auto"/>
        <w:ind w:left="720"/>
        <w:jc w:val="both"/>
        <w:rPr>
          <w:color w:val="242121"/>
          <w:shd w:val="clear" w:color="auto" w:fill="FFFFFF"/>
        </w:rPr>
      </w:pPr>
      <w:r w:rsidRPr="00980CAE">
        <w:rPr>
          <w:i/>
          <w:color w:val="242121"/>
          <w:shd w:val="clear" w:color="auto" w:fill="FFFFFF"/>
        </w:rPr>
        <w:t>“</w:t>
      </w:r>
      <w:r w:rsidR="00E55D7B" w:rsidRPr="00980CAE">
        <w:rPr>
          <w:i/>
          <w:color w:val="242121"/>
          <w:shd w:val="clear" w:color="auto" w:fill="FFFFFF"/>
        </w:rPr>
        <w:t>The right to adduce evidence and challenge the State’s evidence can best be dealt with during the trial proceedings. The appellant testified at the second inquest proceedings and challenged the evidence led there. He knows exactly what case the State intends to put forward</w:t>
      </w:r>
      <w:r w:rsidR="00E55D7B" w:rsidRPr="00C9702F">
        <w:rPr>
          <w:color w:val="242121"/>
          <w:shd w:val="clear" w:color="auto" w:fill="FFFFFF"/>
        </w:rPr>
        <w:t>.</w:t>
      </w:r>
      <w:r w:rsidRPr="00C9702F">
        <w:rPr>
          <w:color w:val="242121"/>
          <w:shd w:val="clear" w:color="auto" w:fill="FFFFFF"/>
        </w:rPr>
        <w:t>”</w:t>
      </w:r>
    </w:p>
    <w:p w14:paraId="4416A779" w14:textId="77777777" w:rsidR="00C9702F" w:rsidRPr="00C9702F" w:rsidRDefault="00C9702F" w:rsidP="005171A7">
      <w:pPr>
        <w:spacing w:line="360" w:lineRule="auto"/>
        <w:ind w:left="720"/>
        <w:jc w:val="both"/>
      </w:pPr>
    </w:p>
    <w:p w14:paraId="448C3427" w14:textId="57418600" w:rsidR="002001F4" w:rsidRDefault="005F0EB8" w:rsidP="005171A7">
      <w:pPr>
        <w:spacing w:line="360" w:lineRule="auto"/>
        <w:jc w:val="both"/>
        <w:rPr>
          <w:i/>
          <w:iCs/>
        </w:rPr>
      </w:pPr>
      <w:r w:rsidRPr="00C9702F">
        <w:t>[82]</w:t>
      </w:r>
      <w:r w:rsidRPr="00C9702F">
        <w:tab/>
      </w:r>
      <w:r w:rsidR="002001F4" w:rsidRPr="00C9702F">
        <w:t>The pending case is not a new case</w:t>
      </w:r>
      <w:r w:rsidRPr="00C9702F">
        <w:t>. I</w:t>
      </w:r>
      <w:r w:rsidR="002001F4" w:rsidRPr="00C9702F">
        <w:t xml:space="preserve">t </w:t>
      </w:r>
      <w:r w:rsidR="00766EA5" w:rsidRPr="00C9702F">
        <w:t xml:space="preserve">is </w:t>
      </w:r>
      <w:r w:rsidR="002001F4" w:rsidRPr="00C9702F">
        <w:t xml:space="preserve">the </w:t>
      </w:r>
      <w:r w:rsidR="00766EA5" w:rsidRPr="00C9702F">
        <w:t>original</w:t>
      </w:r>
      <w:r w:rsidR="002001F4" w:rsidRPr="00C9702F">
        <w:t xml:space="preserve"> case which is going to start </w:t>
      </w:r>
      <w:r w:rsidR="002001F4" w:rsidRPr="00C9702F">
        <w:rPr>
          <w:i/>
          <w:iCs/>
        </w:rPr>
        <w:t>de novo.</w:t>
      </w:r>
    </w:p>
    <w:p w14:paraId="07BE9B2D" w14:textId="77777777" w:rsidR="00C9702F" w:rsidRPr="00C9702F" w:rsidRDefault="00C9702F" w:rsidP="005171A7">
      <w:pPr>
        <w:spacing w:line="360" w:lineRule="auto"/>
        <w:jc w:val="both"/>
      </w:pPr>
    </w:p>
    <w:p w14:paraId="13E2532E" w14:textId="0FA2EA6A" w:rsidR="00E36BA4" w:rsidRDefault="005F0EB8" w:rsidP="005171A7">
      <w:pPr>
        <w:spacing w:line="360" w:lineRule="auto"/>
        <w:jc w:val="both"/>
      </w:pPr>
      <w:r w:rsidRPr="00C9702F">
        <w:t>[83]</w:t>
      </w:r>
      <w:r w:rsidRPr="00C9702F">
        <w:tab/>
      </w:r>
      <w:r w:rsidR="0013332A" w:rsidRPr="00C9702F">
        <w:t xml:space="preserve">Neither she nor Montano have </w:t>
      </w:r>
      <w:r w:rsidR="00080B29" w:rsidRPr="00C9702F">
        <w:t>provided any details about the documents which Mr Mo</w:t>
      </w:r>
      <w:r w:rsidR="00A10888" w:rsidRPr="00C9702F">
        <w:t>n</w:t>
      </w:r>
      <w:r w:rsidR="00080B29" w:rsidRPr="00C9702F">
        <w:t>tano received, either from the applicants themselves or thei</w:t>
      </w:r>
      <w:r w:rsidR="00D13988" w:rsidRPr="00C9702F">
        <w:t>r</w:t>
      </w:r>
      <w:r w:rsidR="00080B29" w:rsidRPr="00C9702F">
        <w:t xml:space="preserve"> previous attorneys or the state </w:t>
      </w:r>
      <w:r w:rsidR="007B5BE3" w:rsidRPr="00C9702F">
        <w:t xml:space="preserve">which related to the </w:t>
      </w:r>
      <w:r w:rsidR="00F8498A" w:rsidRPr="00C9702F">
        <w:t>trial of the first applicant all of which would have been relevant to the second trial which is still pending as the second trial is based on the same facts as the first tr</w:t>
      </w:r>
      <w:r w:rsidR="00593195" w:rsidRPr="00C9702F">
        <w:t>ial.</w:t>
      </w:r>
    </w:p>
    <w:p w14:paraId="78079DE6" w14:textId="77777777" w:rsidR="00C9702F" w:rsidRPr="00C9702F" w:rsidRDefault="00C9702F" w:rsidP="005171A7">
      <w:pPr>
        <w:spacing w:line="360" w:lineRule="auto"/>
        <w:jc w:val="both"/>
      </w:pPr>
    </w:p>
    <w:p w14:paraId="590AD53A" w14:textId="77777777" w:rsidR="00C9702F" w:rsidRDefault="008E6F84" w:rsidP="005171A7">
      <w:pPr>
        <w:spacing w:line="360" w:lineRule="auto"/>
        <w:jc w:val="both"/>
      </w:pPr>
      <w:r w:rsidRPr="00C9702F">
        <w:t>[84]</w:t>
      </w:r>
      <w:r w:rsidRPr="00C9702F">
        <w:tab/>
      </w:r>
      <w:r w:rsidR="00DF510C" w:rsidRPr="00C9702F">
        <w:t>In re</w:t>
      </w:r>
      <w:r w:rsidR="00585A0E" w:rsidRPr="00C9702F">
        <w:t>ply</w:t>
      </w:r>
      <w:r w:rsidR="00DF510C" w:rsidRPr="00C9702F">
        <w:t xml:space="preserve"> to Mr Nkoana’s answering affidavit and Bothma’s supplementary affidavit, the first </w:t>
      </w:r>
      <w:r w:rsidR="00757B00" w:rsidRPr="00C9702F">
        <w:t>applicant says that she has read both affidavits</w:t>
      </w:r>
      <w:r w:rsidR="001B014E" w:rsidRPr="00C9702F">
        <w:t xml:space="preserve"> and then raises for the first time that she requires </w:t>
      </w:r>
      <w:r w:rsidR="00207098" w:rsidRPr="00C9702F">
        <w:t xml:space="preserve">documents seized by the asset forfeiture unit </w:t>
      </w:r>
      <w:r w:rsidR="000F7A3A" w:rsidRPr="00C9702F">
        <w:t>as th</w:t>
      </w:r>
      <w:r w:rsidR="00AE256E" w:rsidRPr="00C9702F">
        <w:t>ose will prove that the deposits into their accounts were from income generated from a bottle store run by the two of them.</w:t>
      </w:r>
    </w:p>
    <w:p w14:paraId="7CD8CDCB" w14:textId="5AADCFD4" w:rsidR="00E36BA4" w:rsidRPr="00C9702F" w:rsidRDefault="00FA1190" w:rsidP="005171A7">
      <w:pPr>
        <w:spacing w:line="360" w:lineRule="auto"/>
        <w:jc w:val="both"/>
      </w:pPr>
      <w:r w:rsidRPr="00C9702F">
        <w:t xml:space="preserve"> </w:t>
      </w:r>
    </w:p>
    <w:p w14:paraId="4B420A02" w14:textId="1AF819B4" w:rsidR="00ED1439" w:rsidRDefault="008E6F84" w:rsidP="005171A7">
      <w:pPr>
        <w:spacing w:line="360" w:lineRule="auto"/>
        <w:jc w:val="both"/>
      </w:pPr>
      <w:r w:rsidRPr="00C9702F">
        <w:t>[85]</w:t>
      </w:r>
      <w:r w:rsidRPr="00C9702F">
        <w:tab/>
      </w:r>
      <w:r w:rsidR="00ED1439" w:rsidRPr="00C9702F">
        <w:t xml:space="preserve">She also then says that the documents include </w:t>
      </w:r>
      <w:r w:rsidR="00F527A7" w:rsidRPr="00C9702F">
        <w:t xml:space="preserve">the invoices, </w:t>
      </w:r>
      <w:r w:rsidR="00E86F14" w:rsidRPr="00C9702F">
        <w:t>deposit</w:t>
      </w:r>
      <w:r w:rsidR="00F527A7" w:rsidRPr="00C9702F">
        <w:t xml:space="preserve"> slips, bank statements, p</w:t>
      </w:r>
      <w:r w:rsidR="00637B10" w:rsidRPr="00C9702F">
        <w:t>urcha</w:t>
      </w:r>
      <w:r w:rsidR="00F527A7" w:rsidRPr="00C9702F">
        <w:t>se orders, copies of cheques and sales invoices</w:t>
      </w:r>
      <w:r w:rsidR="00637B10" w:rsidRPr="00C9702F">
        <w:t xml:space="preserve"> all of which were apparently in five lever arch files</w:t>
      </w:r>
      <w:r w:rsidR="009B11AC" w:rsidRPr="00C9702F">
        <w:t xml:space="preserve"> and points out that the respondents have not </w:t>
      </w:r>
      <w:r w:rsidR="00E86F14" w:rsidRPr="00C9702F">
        <w:t>complied with their request for further particulars.</w:t>
      </w:r>
    </w:p>
    <w:p w14:paraId="3AFEC3E4" w14:textId="77777777" w:rsidR="00C9702F" w:rsidRPr="00C9702F" w:rsidRDefault="00C9702F" w:rsidP="005171A7">
      <w:pPr>
        <w:spacing w:line="360" w:lineRule="auto"/>
        <w:jc w:val="both"/>
      </w:pPr>
    </w:p>
    <w:p w14:paraId="1F94BDB7" w14:textId="1CD4A5CA" w:rsidR="00FA1190" w:rsidRDefault="00BC73EF" w:rsidP="005171A7">
      <w:pPr>
        <w:spacing w:line="360" w:lineRule="auto"/>
        <w:jc w:val="both"/>
      </w:pPr>
      <w:r w:rsidRPr="00C9702F">
        <w:t>[86]</w:t>
      </w:r>
      <w:r w:rsidRPr="00C9702F">
        <w:tab/>
      </w:r>
      <w:r w:rsidR="00FA1190" w:rsidRPr="00C9702F">
        <w:t xml:space="preserve">The first applicant does not reply </w:t>
      </w:r>
      <w:r w:rsidR="000F41CF" w:rsidRPr="00C9702F">
        <w:t xml:space="preserve">in any detail </w:t>
      </w:r>
      <w:r w:rsidR="00752635" w:rsidRPr="00C9702F">
        <w:t>to Ms Bothma’s affidavit</w:t>
      </w:r>
      <w:r w:rsidR="000F41CF" w:rsidRPr="00C9702F">
        <w:t xml:space="preserve">, except to say that </w:t>
      </w:r>
      <w:r w:rsidR="00077C7F" w:rsidRPr="00C9702F">
        <w:t>the D</w:t>
      </w:r>
      <w:r w:rsidR="00EC0E86" w:rsidRPr="00C9702F">
        <w:t>CP060 report will be tilted in the state’s favour if the deposit sl</w:t>
      </w:r>
      <w:r w:rsidR="005656F1" w:rsidRPr="00C9702F">
        <w:t>ips taken from them</w:t>
      </w:r>
      <w:r w:rsidR="00EC0E86" w:rsidRPr="00C9702F">
        <w:t xml:space="preserve"> are not produced</w:t>
      </w:r>
      <w:r w:rsidR="005656F1" w:rsidRPr="00C9702F">
        <w:t xml:space="preserve"> as they will not be able to disprove the state</w:t>
      </w:r>
      <w:r w:rsidR="00E806F6" w:rsidRPr="00C9702F">
        <w:t>’s case</w:t>
      </w:r>
      <w:r w:rsidR="00C727D1" w:rsidRPr="00C9702F">
        <w:t xml:space="preserve"> and the DC</w:t>
      </w:r>
      <w:r w:rsidR="002572CD" w:rsidRPr="00C9702F">
        <w:t>P060 report is not a summary of the documents taken fr</w:t>
      </w:r>
      <w:r w:rsidR="001521B7" w:rsidRPr="00C9702F">
        <w:t>o</w:t>
      </w:r>
      <w:r w:rsidR="002572CD" w:rsidRPr="00C9702F">
        <w:t>m them.</w:t>
      </w:r>
    </w:p>
    <w:p w14:paraId="24E90882" w14:textId="77777777" w:rsidR="00C9702F" w:rsidRPr="00C9702F" w:rsidRDefault="00C9702F" w:rsidP="005171A7">
      <w:pPr>
        <w:spacing w:line="360" w:lineRule="auto"/>
        <w:jc w:val="both"/>
      </w:pPr>
    </w:p>
    <w:p w14:paraId="479BCD29" w14:textId="08003A9F" w:rsidR="00E36BA4" w:rsidRDefault="00BC73EF" w:rsidP="005171A7">
      <w:pPr>
        <w:spacing w:line="360" w:lineRule="auto"/>
        <w:jc w:val="both"/>
      </w:pPr>
      <w:r w:rsidRPr="00C9702F">
        <w:t>[87]</w:t>
      </w:r>
      <w:r w:rsidRPr="00C9702F">
        <w:tab/>
      </w:r>
      <w:r w:rsidR="00B71BC3" w:rsidRPr="00C9702F">
        <w:t xml:space="preserve">The allegation against the applicants is that the first applicant </w:t>
      </w:r>
      <w:r w:rsidR="00044086" w:rsidRPr="00C9702F">
        <w:t xml:space="preserve">unlawfully transferred various sums of moneys from suspense accounts </w:t>
      </w:r>
      <w:r w:rsidR="005B1F12" w:rsidRPr="00C9702F">
        <w:t>under the control of Nedbank to bank accounts held or controlled by her and the second applicant.</w:t>
      </w:r>
      <w:r w:rsidR="006D2353" w:rsidRPr="00C9702F">
        <w:t xml:space="preserve"> These details appear from the charge sheet annexed as </w:t>
      </w:r>
      <w:r w:rsidR="009E6764" w:rsidRPr="00C9702F">
        <w:t xml:space="preserve">AP3 to the founding affidavit </w:t>
      </w:r>
    </w:p>
    <w:p w14:paraId="0BD59C2A" w14:textId="77777777" w:rsidR="00C9702F" w:rsidRPr="00C9702F" w:rsidRDefault="00C9702F" w:rsidP="005171A7">
      <w:pPr>
        <w:spacing w:line="360" w:lineRule="auto"/>
        <w:jc w:val="both"/>
      </w:pPr>
    </w:p>
    <w:p w14:paraId="572211AD" w14:textId="4D8D7A68" w:rsidR="005B1F12" w:rsidRDefault="00722D28" w:rsidP="005171A7">
      <w:pPr>
        <w:spacing w:line="360" w:lineRule="auto"/>
        <w:jc w:val="both"/>
      </w:pPr>
      <w:r w:rsidRPr="00C9702F">
        <w:t>[88]</w:t>
      </w:r>
      <w:r w:rsidRPr="00C9702F">
        <w:tab/>
        <w:t xml:space="preserve">Ms </w:t>
      </w:r>
      <w:r w:rsidR="005B1F12" w:rsidRPr="00C9702F">
        <w:t xml:space="preserve">Bothma says that they have been provided with all relevant documents in </w:t>
      </w:r>
      <w:r w:rsidR="00A254E5" w:rsidRPr="00C9702F">
        <w:t>regard to those transactions.</w:t>
      </w:r>
    </w:p>
    <w:p w14:paraId="479DB39C" w14:textId="77777777" w:rsidR="00C9702F" w:rsidRPr="00C9702F" w:rsidRDefault="00C9702F" w:rsidP="005171A7">
      <w:pPr>
        <w:spacing w:line="360" w:lineRule="auto"/>
        <w:jc w:val="both"/>
      </w:pPr>
    </w:p>
    <w:p w14:paraId="7671576E" w14:textId="5CBFF680" w:rsidR="00801979" w:rsidRDefault="009B2AC8" w:rsidP="005171A7">
      <w:pPr>
        <w:spacing w:line="360" w:lineRule="auto"/>
        <w:jc w:val="both"/>
      </w:pPr>
      <w:r w:rsidRPr="00C9702F">
        <w:t>[89]</w:t>
      </w:r>
      <w:r w:rsidRPr="00C9702F">
        <w:tab/>
      </w:r>
      <w:r w:rsidR="006D7A9F" w:rsidRPr="00C9702F">
        <w:t xml:space="preserve">The </w:t>
      </w:r>
      <w:r w:rsidRPr="00C9702F">
        <w:t>applicants’</w:t>
      </w:r>
      <w:r w:rsidR="006D7A9F" w:rsidRPr="00C9702F">
        <w:t xml:space="preserve"> defence appears to be that the deposits which were made into their accounts were generated from</w:t>
      </w:r>
      <w:r w:rsidR="0053722B" w:rsidRPr="00C9702F">
        <w:t xml:space="preserve"> income produced by their bottle store</w:t>
      </w:r>
      <w:r w:rsidR="00C45559" w:rsidRPr="00C9702F">
        <w:t xml:space="preserve"> but she does not explain why the amounts were transferred from suspense accounts under the control of Ned</w:t>
      </w:r>
      <w:r w:rsidR="00192F6D" w:rsidRPr="00C9702F">
        <w:t>ban</w:t>
      </w:r>
      <w:r w:rsidR="00C45559" w:rsidRPr="00C9702F">
        <w:t>k</w:t>
      </w:r>
      <w:r w:rsidR="00BA06ED" w:rsidRPr="00C9702F">
        <w:t xml:space="preserve"> int</w:t>
      </w:r>
      <w:r w:rsidR="006559A2" w:rsidRPr="00C9702F">
        <w:t>o her and the second applicant’s bank accounts.</w:t>
      </w:r>
    </w:p>
    <w:p w14:paraId="4B606EF5" w14:textId="77777777" w:rsidR="00C9702F" w:rsidRPr="00C9702F" w:rsidRDefault="00C9702F" w:rsidP="005171A7">
      <w:pPr>
        <w:spacing w:line="360" w:lineRule="auto"/>
        <w:jc w:val="both"/>
      </w:pPr>
    </w:p>
    <w:p w14:paraId="406423D8" w14:textId="77777777" w:rsidR="00C9702F" w:rsidRDefault="00FE4439" w:rsidP="005171A7">
      <w:pPr>
        <w:spacing w:line="360" w:lineRule="auto"/>
        <w:jc w:val="both"/>
      </w:pPr>
      <w:r w:rsidRPr="00C9702F">
        <w:t>[90]</w:t>
      </w:r>
      <w:r w:rsidRPr="00C9702F">
        <w:tab/>
      </w:r>
      <w:r w:rsidR="00C45559" w:rsidRPr="00C9702F">
        <w:t xml:space="preserve">It would be a great coincidence indeed if the amounts which the first applicant claims were deposits </w:t>
      </w:r>
      <w:r w:rsidR="00E661C3" w:rsidRPr="00C9702F">
        <w:t>made from income generated fr</w:t>
      </w:r>
      <w:r w:rsidRPr="00C9702F">
        <w:t>o</w:t>
      </w:r>
      <w:r w:rsidR="00E772F2" w:rsidRPr="00C9702F">
        <w:t>m</w:t>
      </w:r>
      <w:r w:rsidR="00E661C3" w:rsidRPr="00C9702F">
        <w:t xml:space="preserve"> their bottle store</w:t>
      </w:r>
      <w:r w:rsidR="0098365F" w:rsidRPr="00C9702F">
        <w:t>,</w:t>
      </w:r>
      <w:r w:rsidR="00E661C3" w:rsidRPr="00C9702F">
        <w:t xml:space="preserve"> </w:t>
      </w:r>
      <w:r w:rsidR="00E07318" w:rsidRPr="00C9702F">
        <w:t>corresponded exactly with the amounts which were transferred from the suspense accounts into the applicants’ bank accounts.</w:t>
      </w:r>
    </w:p>
    <w:p w14:paraId="1105927A" w14:textId="1DE39F54" w:rsidR="00A254E5" w:rsidRPr="00C9702F" w:rsidRDefault="00E07318" w:rsidP="005171A7">
      <w:pPr>
        <w:spacing w:line="360" w:lineRule="auto"/>
        <w:jc w:val="both"/>
      </w:pPr>
      <w:r w:rsidRPr="00C9702F">
        <w:t xml:space="preserve"> </w:t>
      </w:r>
    </w:p>
    <w:p w14:paraId="6DCC569B" w14:textId="0BB1ECD0" w:rsidR="00B839CB" w:rsidRDefault="00E772F2" w:rsidP="005171A7">
      <w:pPr>
        <w:spacing w:line="360" w:lineRule="auto"/>
        <w:jc w:val="both"/>
      </w:pPr>
      <w:r w:rsidRPr="00C9702F">
        <w:t>[91]</w:t>
      </w:r>
      <w:r w:rsidRPr="00C9702F">
        <w:tab/>
      </w:r>
      <w:r w:rsidR="00B839CB" w:rsidRPr="00C9702F">
        <w:t xml:space="preserve">It does not appear to me that any trial related prejudice arises from the fact that the state has not been able to provide some of the documents because they have been lost. </w:t>
      </w:r>
      <w:r w:rsidR="00A630AC" w:rsidRPr="00C9702F">
        <w:t xml:space="preserve">Bothma says enough information has been provided and the applicants have not mentioned what documents they actually have </w:t>
      </w:r>
      <w:r w:rsidR="004550B4" w:rsidRPr="00C9702F">
        <w:t>in their possession and what documents they gave to Mr Montano.</w:t>
      </w:r>
    </w:p>
    <w:p w14:paraId="43D6AE25" w14:textId="77777777" w:rsidR="00C9702F" w:rsidRPr="00C9702F" w:rsidRDefault="00C9702F" w:rsidP="005171A7">
      <w:pPr>
        <w:spacing w:line="360" w:lineRule="auto"/>
        <w:jc w:val="both"/>
      </w:pPr>
    </w:p>
    <w:p w14:paraId="2C1060D1" w14:textId="0BBA13AB" w:rsidR="00927280" w:rsidRDefault="00AA0F8B" w:rsidP="005171A7">
      <w:pPr>
        <w:spacing w:line="360" w:lineRule="auto"/>
        <w:jc w:val="both"/>
      </w:pPr>
      <w:r w:rsidRPr="00C9702F">
        <w:t>[92]</w:t>
      </w:r>
      <w:r w:rsidRPr="00C9702F">
        <w:tab/>
      </w:r>
      <w:r w:rsidR="004550B4" w:rsidRPr="00C9702F">
        <w:t xml:space="preserve">The </w:t>
      </w:r>
      <w:r w:rsidR="00D6431F" w:rsidRPr="00C9702F">
        <w:t xml:space="preserve">applicants appear </w:t>
      </w:r>
      <w:r w:rsidR="00B17812" w:rsidRPr="00C9702F">
        <w:t>o</w:t>
      </w:r>
      <w:r w:rsidR="00D6431F" w:rsidRPr="00C9702F">
        <w:t xml:space="preserve">pportunistically </w:t>
      </w:r>
      <w:r w:rsidR="00B17812" w:rsidRPr="00C9702F">
        <w:t xml:space="preserve">to have raised </w:t>
      </w:r>
      <w:r w:rsidR="004550B4" w:rsidRPr="00C9702F">
        <w:t>their right to a fair trial</w:t>
      </w:r>
      <w:r w:rsidR="00396AEE" w:rsidRPr="00C9702F">
        <w:t xml:space="preserve"> </w:t>
      </w:r>
      <w:r w:rsidR="00D6431F" w:rsidRPr="00C9702F">
        <w:t>because the state has not been able to provide documents</w:t>
      </w:r>
      <w:r w:rsidR="00396AEE" w:rsidRPr="00C9702F">
        <w:t>.</w:t>
      </w:r>
    </w:p>
    <w:p w14:paraId="7C9144DC" w14:textId="77777777" w:rsidR="00980CAE" w:rsidRPr="00C9702F" w:rsidRDefault="00980CAE" w:rsidP="005171A7">
      <w:pPr>
        <w:spacing w:line="360" w:lineRule="auto"/>
        <w:jc w:val="both"/>
      </w:pPr>
    </w:p>
    <w:p w14:paraId="5EDCEDC9" w14:textId="7D9F4A64" w:rsidR="000F2A1C" w:rsidRDefault="00AA0F8B" w:rsidP="005171A7">
      <w:pPr>
        <w:spacing w:line="360" w:lineRule="auto"/>
        <w:jc w:val="both"/>
      </w:pPr>
      <w:r w:rsidRPr="00C9702F">
        <w:t>[93]</w:t>
      </w:r>
      <w:r w:rsidRPr="00C9702F">
        <w:tab/>
      </w:r>
      <w:r w:rsidR="000F2A1C" w:rsidRPr="00C9702F">
        <w:t xml:space="preserve">As support for the relief based on the delay and also the loss of documents, the applicants rely on </w:t>
      </w:r>
      <w:r w:rsidR="00646F1E" w:rsidRPr="00C9702F">
        <w:rPr>
          <w:i/>
          <w:iCs/>
        </w:rPr>
        <w:t xml:space="preserve">Broome vs Director of Public Prosecutions Wiggins v </w:t>
      </w:r>
      <w:r w:rsidR="00807026" w:rsidRPr="00C9702F">
        <w:rPr>
          <w:i/>
          <w:iCs/>
        </w:rPr>
        <w:t>W</w:t>
      </w:r>
      <w:r w:rsidR="00646F1E" w:rsidRPr="00C9702F">
        <w:rPr>
          <w:i/>
          <w:iCs/>
        </w:rPr>
        <w:t xml:space="preserve">,nmde </w:t>
      </w:r>
      <w:r w:rsidR="00807026" w:rsidRPr="00C9702F">
        <w:rPr>
          <w:i/>
          <w:iCs/>
        </w:rPr>
        <w:t>S</w:t>
      </w:r>
      <w:r w:rsidR="00646F1E" w:rsidRPr="00C9702F">
        <w:rPr>
          <w:i/>
          <w:iCs/>
        </w:rPr>
        <w:t xml:space="preserve">treeklandros </w:t>
      </w:r>
      <w:r w:rsidR="00807026" w:rsidRPr="00C9702F">
        <w:rPr>
          <w:i/>
          <w:iCs/>
        </w:rPr>
        <w:t>C</w:t>
      </w:r>
      <w:r w:rsidR="00646F1E" w:rsidRPr="00C9702F">
        <w:rPr>
          <w:i/>
          <w:iCs/>
        </w:rPr>
        <w:t xml:space="preserve">ape </w:t>
      </w:r>
      <w:r w:rsidR="00807026" w:rsidRPr="00C9702F">
        <w:rPr>
          <w:i/>
          <w:iCs/>
        </w:rPr>
        <w:t>T</w:t>
      </w:r>
      <w:r w:rsidR="00646F1E" w:rsidRPr="00C9702F">
        <w:rPr>
          <w:i/>
          <w:iCs/>
        </w:rPr>
        <w:t xml:space="preserve">own and others </w:t>
      </w:r>
      <w:r w:rsidR="00646F1E" w:rsidRPr="00C9702F">
        <w:t xml:space="preserve">[2007] </w:t>
      </w:r>
      <w:r w:rsidR="00E965EE" w:rsidRPr="00C9702F">
        <w:t>ZAWCHC</w:t>
      </w:r>
      <w:r w:rsidR="00646F1E" w:rsidRPr="00C9702F">
        <w:t xml:space="preserve"> 61</w:t>
      </w:r>
    </w:p>
    <w:p w14:paraId="62F5D324" w14:textId="77777777" w:rsidR="00C9702F" w:rsidRPr="00C9702F" w:rsidRDefault="00C9702F" w:rsidP="005171A7">
      <w:pPr>
        <w:spacing w:line="360" w:lineRule="auto"/>
        <w:jc w:val="both"/>
      </w:pPr>
    </w:p>
    <w:p w14:paraId="5C9B2DBB" w14:textId="2136D840" w:rsidR="000F2A1C" w:rsidRDefault="00AA0F8B" w:rsidP="005171A7">
      <w:pPr>
        <w:spacing w:line="360" w:lineRule="auto"/>
        <w:jc w:val="both"/>
      </w:pPr>
      <w:r w:rsidRPr="00C9702F">
        <w:t>[94]</w:t>
      </w:r>
      <w:r w:rsidRPr="00C9702F">
        <w:tab/>
      </w:r>
      <w:r w:rsidR="000F2A1C" w:rsidRPr="00C9702F">
        <w:t xml:space="preserve">The charges against </w:t>
      </w:r>
      <w:r w:rsidR="00E965EE" w:rsidRPr="00C9702F">
        <w:t>B</w:t>
      </w:r>
      <w:r w:rsidR="000F2A1C" w:rsidRPr="00C9702F">
        <w:t xml:space="preserve">roome and the other accused were based mainly on the </w:t>
      </w:r>
      <w:r w:rsidR="00E965EE" w:rsidRPr="00C9702F">
        <w:t>m</w:t>
      </w:r>
      <w:r w:rsidR="000F2A1C" w:rsidRPr="00C9702F">
        <w:t xml:space="preserve">anner in which the annual audits of various entities, known as the OWT Group, were done and the information contained in the financial statements which resulted from those audits. </w:t>
      </w:r>
    </w:p>
    <w:p w14:paraId="5012D5C2" w14:textId="77777777" w:rsidR="00C9702F" w:rsidRPr="00C9702F" w:rsidRDefault="00C9702F" w:rsidP="005171A7">
      <w:pPr>
        <w:spacing w:line="360" w:lineRule="auto"/>
        <w:jc w:val="both"/>
      </w:pPr>
    </w:p>
    <w:p w14:paraId="4836467C" w14:textId="36A435CE" w:rsidR="000F2A1C" w:rsidRDefault="00E1203B" w:rsidP="005171A7">
      <w:pPr>
        <w:spacing w:line="360" w:lineRule="auto"/>
        <w:jc w:val="both"/>
      </w:pPr>
      <w:r w:rsidRPr="00C9702F">
        <w:t>[95]</w:t>
      </w:r>
      <w:r w:rsidRPr="00C9702F">
        <w:tab/>
      </w:r>
      <w:r w:rsidR="000F2A1C" w:rsidRPr="00C9702F">
        <w:t>A substantial part of the documen</w:t>
      </w:r>
      <w:r w:rsidR="00E965EE" w:rsidRPr="00C9702F">
        <w:t>ts</w:t>
      </w:r>
      <w:r w:rsidR="000F2A1C" w:rsidRPr="00C9702F">
        <w:t xml:space="preserve"> seized had been lost and what remained were the usual internal records relating to the running of the company, including ledgers, debenture lists, participation bonds, cheque books, deposit books and personnel files. </w:t>
      </w:r>
    </w:p>
    <w:p w14:paraId="54B0E465" w14:textId="77777777" w:rsidR="00C9702F" w:rsidRPr="00C9702F" w:rsidRDefault="00C9702F" w:rsidP="005171A7">
      <w:pPr>
        <w:spacing w:line="360" w:lineRule="auto"/>
        <w:jc w:val="both"/>
      </w:pPr>
    </w:p>
    <w:p w14:paraId="653ADDEF" w14:textId="11E3F7EA" w:rsidR="000F2A1C" w:rsidRDefault="00E1203B" w:rsidP="005171A7">
      <w:pPr>
        <w:spacing w:line="360" w:lineRule="auto"/>
        <w:jc w:val="both"/>
      </w:pPr>
      <w:r w:rsidRPr="00C9702F">
        <w:t>[96]</w:t>
      </w:r>
      <w:r w:rsidRPr="00C9702F">
        <w:tab/>
      </w:r>
      <w:r w:rsidR="000F2A1C" w:rsidRPr="00C9702F">
        <w:t xml:space="preserve">However, Broome needed access to information relating to the audit processes which record how the audit </w:t>
      </w:r>
      <w:r w:rsidR="00EC116D" w:rsidRPr="00C9702F">
        <w:t>t</w:t>
      </w:r>
      <w:r w:rsidR="000F2A1C" w:rsidRPr="00C9702F">
        <w:t>eam performed its functions as auditors to the OWT Group.</w:t>
      </w:r>
    </w:p>
    <w:p w14:paraId="71AA8B05" w14:textId="77777777" w:rsidR="00C9702F" w:rsidRPr="00C9702F" w:rsidRDefault="00C9702F" w:rsidP="005171A7">
      <w:pPr>
        <w:spacing w:line="360" w:lineRule="auto"/>
        <w:jc w:val="both"/>
      </w:pPr>
    </w:p>
    <w:p w14:paraId="1E610054" w14:textId="6C0B9F89" w:rsidR="000F2A1C" w:rsidRDefault="0015406D" w:rsidP="005171A7">
      <w:pPr>
        <w:spacing w:line="360" w:lineRule="auto"/>
        <w:jc w:val="both"/>
      </w:pPr>
      <w:r w:rsidRPr="00C9702F">
        <w:t>[97]</w:t>
      </w:r>
      <w:r w:rsidRPr="00C9702F">
        <w:tab/>
      </w:r>
      <w:r w:rsidR="000F2A1C" w:rsidRPr="00C9702F">
        <w:t>Br</w:t>
      </w:r>
      <w:r w:rsidR="00E1203B" w:rsidRPr="00C9702F">
        <w:t>o</w:t>
      </w:r>
      <w:r w:rsidR="000F2A1C" w:rsidRPr="00C9702F">
        <w:t xml:space="preserve">ome contended that he and others would not be able to justify the work of the auditors unless they had a complete set of records. Broome had also furnished the DPP with a detailed exposition of what was missing and what material was at hand and had provided a full explanation of the significance of the audit papers from his perspective. </w:t>
      </w:r>
    </w:p>
    <w:p w14:paraId="14F42F1A" w14:textId="77777777" w:rsidR="00980CAE" w:rsidRPr="00C9702F" w:rsidRDefault="00980CAE" w:rsidP="005171A7">
      <w:pPr>
        <w:spacing w:line="360" w:lineRule="auto"/>
        <w:jc w:val="both"/>
      </w:pPr>
    </w:p>
    <w:p w14:paraId="0A565C94" w14:textId="5D9C4ED7" w:rsidR="000F2A1C" w:rsidRPr="00C9702F" w:rsidRDefault="0015406D" w:rsidP="005171A7">
      <w:pPr>
        <w:spacing w:line="360" w:lineRule="auto"/>
        <w:jc w:val="both"/>
      </w:pPr>
      <w:r w:rsidRPr="00C9702F">
        <w:t>[98]</w:t>
      </w:r>
      <w:r w:rsidRPr="00C9702F">
        <w:tab/>
      </w:r>
      <w:r w:rsidR="000F2A1C" w:rsidRPr="00C9702F">
        <w:t>I am not certain that Broome assists the applicants.</w:t>
      </w:r>
    </w:p>
    <w:p w14:paraId="6EFE92ED" w14:textId="76BFB44F" w:rsidR="00934AD1" w:rsidRDefault="0015406D" w:rsidP="005171A7">
      <w:pPr>
        <w:spacing w:line="360" w:lineRule="auto"/>
        <w:jc w:val="both"/>
        <w:rPr>
          <w:i/>
          <w:iCs/>
        </w:rPr>
      </w:pPr>
      <w:r w:rsidRPr="00C9702F">
        <w:t>[98]</w:t>
      </w:r>
      <w:r w:rsidRPr="00C9702F">
        <w:tab/>
      </w:r>
      <w:r w:rsidR="00F81B87" w:rsidRPr="00C9702F">
        <w:t xml:space="preserve">In </w:t>
      </w:r>
      <w:r w:rsidR="00D632DD" w:rsidRPr="00C9702F">
        <w:rPr>
          <w:i/>
          <w:iCs/>
        </w:rPr>
        <w:t xml:space="preserve">Bothma, </w:t>
      </w:r>
      <w:r w:rsidR="00D632DD" w:rsidRPr="00C9702F">
        <w:t xml:space="preserve">Sachs J said the following </w:t>
      </w:r>
      <w:r w:rsidR="004D03D4" w:rsidRPr="00C9702F">
        <w:t xml:space="preserve">with reference to </w:t>
      </w:r>
      <w:r w:rsidR="004D03D4" w:rsidRPr="00C9702F">
        <w:rPr>
          <w:i/>
          <w:iCs/>
        </w:rPr>
        <w:t>Broome:</w:t>
      </w:r>
    </w:p>
    <w:p w14:paraId="33753FEC" w14:textId="77777777" w:rsidR="00980CAE" w:rsidRPr="00C9702F" w:rsidRDefault="00980CAE" w:rsidP="005171A7">
      <w:pPr>
        <w:spacing w:line="360" w:lineRule="auto"/>
        <w:jc w:val="both"/>
        <w:rPr>
          <w:i/>
          <w:iCs/>
        </w:rPr>
      </w:pPr>
    </w:p>
    <w:p w14:paraId="1ADA80D6" w14:textId="16519FBC" w:rsidR="00F81B87" w:rsidRPr="00980CAE" w:rsidRDefault="00934AD1" w:rsidP="005171A7">
      <w:pPr>
        <w:spacing w:line="360" w:lineRule="auto"/>
        <w:ind w:left="720"/>
        <w:jc w:val="both"/>
        <w:rPr>
          <w:i/>
          <w:color w:val="242121"/>
        </w:rPr>
      </w:pPr>
      <w:r w:rsidRPr="00C9702F">
        <w:rPr>
          <w:i/>
          <w:iCs/>
        </w:rPr>
        <w:t>“</w:t>
      </w:r>
      <w:r w:rsidR="00F81B87" w:rsidRPr="00980CAE">
        <w:rPr>
          <w:i/>
          <w:color w:val="242121"/>
        </w:rPr>
        <w:t>One recent South African case where a stay was granted is </w:t>
      </w:r>
      <w:r w:rsidR="00F81B87" w:rsidRPr="00980CAE">
        <w:rPr>
          <w:i/>
          <w:iCs/>
          <w:color w:val="242121"/>
        </w:rPr>
        <w:t>Broome v Director of Public Prosecutions, Western Cape.</w:t>
      </w:r>
      <w:bookmarkStart w:id="1" w:name="sdfootnote87anc"/>
      <w:r w:rsidR="00F81B87" w:rsidRPr="00980CAE">
        <w:rPr>
          <w:i/>
          <w:color w:val="242121"/>
          <w:vertAlign w:val="superscript"/>
        </w:rPr>
        <w:fldChar w:fldCharType="begin"/>
      </w:r>
      <w:r w:rsidR="00F81B87" w:rsidRPr="00980CAE">
        <w:rPr>
          <w:i/>
          <w:color w:val="242121"/>
          <w:vertAlign w:val="superscript"/>
        </w:rPr>
        <w:instrText xml:space="preserve"> HYPERLINK "http://www.saflii.org/za/cases/ZACC/2009/27.html" \l "sdfootnote87sym" </w:instrText>
      </w:r>
      <w:r w:rsidR="00F81B87" w:rsidRPr="00980CAE">
        <w:rPr>
          <w:i/>
          <w:color w:val="242121"/>
          <w:vertAlign w:val="superscript"/>
        </w:rPr>
        <w:fldChar w:fldCharType="separate"/>
      </w:r>
      <w:r w:rsidR="00F81B87" w:rsidRPr="00980CAE">
        <w:rPr>
          <w:rStyle w:val="Hyperlink"/>
          <w:b/>
          <w:bCs/>
          <w:i/>
          <w:color w:val="0B4B0B"/>
          <w:vertAlign w:val="superscript"/>
        </w:rPr>
        <w:t>87</w:t>
      </w:r>
      <w:r w:rsidR="00F81B87" w:rsidRPr="00980CAE">
        <w:rPr>
          <w:i/>
          <w:color w:val="242121"/>
          <w:vertAlign w:val="superscript"/>
        </w:rPr>
        <w:fldChar w:fldCharType="end"/>
      </w:r>
      <w:bookmarkEnd w:id="1"/>
      <w:r w:rsidR="00F81B87" w:rsidRPr="00980CAE">
        <w:rPr>
          <w:i/>
          <w:color w:val="242121"/>
        </w:rPr>
        <w:t> The applicants in that matter were accused of fraud allegedly committed between 1986 and 1994. In 1994, a governmental commission of enquiry seized audit files, documents, and records. There was a seven-year delay between the conclusion of the investigation and the formal charge in 2004, which the Court found inexplicable and inexcusable. Most importantly, the state had been responsible for the loss of documents instrumental to the defence (the applicants had provided a detailed exposition of the material that was missing and a full explanation of the significance of the working papers), in addition to denying the applicants access to the documents. Because the case concerned an audit that had been conducted by many people, the applicants and any witnesses they might call could not be expected to remember everything that had occurred in the course of the audit. One of the accused was old, and his memory was diminished. Witnesses had moved away or were untraceable, and those who remained could not remember the events clearly. In granting the permanent stay of prosecution, the Court concluded that—</w:t>
      </w:r>
    </w:p>
    <w:p w14:paraId="4B8D40B9" w14:textId="34221913" w:rsidR="00F81B87" w:rsidRDefault="00F81B87" w:rsidP="005171A7">
      <w:pPr>
        <w:pStyle w:val="NormalWeb"/>
        <w:shd w:val="clear" w:color="auto" w:fill="FFFFFF"/>
        <w:spacing w:before="144" w:beforeAutospacing="0" w:after="288" w:afterAutospacing="0" w:line="360" w:lineRule="auto"/>
        <w:ind w:left="1200"/>
        <w:jc w:val="both"/>
        <w:rPr>
          <w:rFonts w:ascii="Arial" w:hAnsi="Arial" w:cs="Arial"/>
          <w:i/>
          <w:color w:val="242121"/>
        </w:rPr>
      </w:pPr>
      <w:r w:rsidRPr="00980CAE">
        <w:rPr>
          <w:rFonts w:ascii="Arial" w:hAnsi="Arial" w:cs="Arial"/>
          <w:i/>
          <w:color w:val="242121"/>
        </w:rPr>
        <w:t>“[i]f, on the facts, it is shown that an accused has been deprived of his right to prepare his defence to criminal charges, the interest of justice can never require such a person to stand trial – more particularly, if the prosecution is solely to blame for this state of affairs.”</w:t>
      </w:r>
      <w:r w:rsidR="0000124E" w:rsidRPr="00980CAE">
        <w:rPr>
          <w:rFonts w:ascii="Arial" w:hAnsi="Arial" w:cs="Arial"/>
          <w:i/>
          <w:color w:val="242121"/>
        </w:rPr>
        <w:t xml:space="preserve"> </w:t>
      </w:r>
    </w:p>
    <w:p w14:paraId="1B28CDAA" w14:textId="77777777" w:rsidR="00980CAE" w:rsidRPr="00980CAE" w:rsidRDefault="00980CAE" w:rsidP="005171A7">
      <w:pPr>
        <w:pStyle w:val="NormalWeb"/>
        <w:shd w:val="clear" w:color="auto" w:fill="FFFFFF"/>
        <w:spacing w:before="144" w:beforeAutospacing="0" w:after="288" w:afterAutospacing="0" w:line="360" w:lineRule="auto"/>
        <w:ind w:left="1200"/>
        <w:jc w:val="both"/>
        <w:rPr>
          <w:rFonts w:ascii="Arial" w:hAnsi="Arial" w:cs="Arial"/>
          <w:i/>
          <w:color w:val="242121"/>
        </w:rPr>
      </w:pPr>
    </w:p>
    <w:p w14:paraId="04F8CEC7" w14:textId="0766AB7B" w:rsidR="00F81B87" w:rsidRDefault="00F81B87" w:rsidP="005171A7">
      <w:pPr>
        <w:pStyle w:val="NormalWeb"/>
        <w:shd w:val="clear" w:color="auto" w:fill="FFFFFF"/>
        <w:spacing w:before="144" w:beforeAutospacing="0" w:after="288" w:afterAutospacing="0" w:line="360" w:lineRule="auto"/>
        <w:ind w:left="720"/>
        <w:jc w:val="both"/>
        <w:rPr>
          <w:rFonts w:ascii="Arial" w:hAnsi="Arial" w:cs="Arial"/>
          <w:color w:val="242121"/>
        </w:rPr>
      </w:pPr>
      <w:r w:rsidRPr="00C9702F">
        <w:rPr>
          <w:rFonts w:ascii="Arial" w:hAnsi="Arial" w:cs="Arial"/>
          <w:color w:val="242121"/>
        </w:rPr>
        <w:t>It is notable that in the only case where a stay was granted, it was the state that had been responsible for the loss of crucial documents. This was the precipitating factor that introduced an element of unfairness that went not only to the untoward harm caused to the defence, but to the integrity of the criminal process. It is simply not fair for the state to prosecute someone and then deliberately or through an unacceptable degree of negligence deprive that person of the wherewithal to make a defence. This is qualitatively different from the irretrievable weakening of a defence that flows from loss of evidence of the kind that could happen even with short delays, but be intensified by long delays. Witnesses die, evidence disappears, memories fade. These factors, the natural products of delay, may not necessarily be sufficient to establish unfairness. If, as a result of the lack of evidence, the judicial officer dealing with the matter is unable to make a clear determination of guilt, then the presumption of innocence will ensure an acquittal.</w:t>
      </w:r>
      <w:r w:rsidR="00430832" w:rsidRPr="00C9702F">
        <w:rPr>
          <w:rStyle w:val="FootnoteReference"/>
          <w:rFonts w:ascii="Arial" w:hAnsi="Arial" w:cs="Arial"/>
          <w:color w:val="242121"/>
        </w:rPr>
        <w:footnoteReference w:id="17"/>
      </w:r>
    </w:p>
    <w:p w14:paraId="08CD546B" w14:textId="77777777" w:rsidR="00980CAE" w:rsidRPr="00C9702F" w:rsidRDefault="00980CAE" w:rsidP="005171A7">
      <w:pPr>
        <w:pStyle w:val="NormalWeb"/>
        <w:shd w:val="clear" w:color="auto" w:fill="FFFFFF"/>
        <w:spacing w:before="144" w:beforeAutospacing="0" w:after="288" w:afterAutospacing="0" w:line="360" w:lineRule="auto"/>
        <w:ind w:left="720"/>
        <w:jc w:val="both"/>
        <w:rPr>
          <w:rFonts w:ascii="Arial" w:hAnsi="Arial" w:cs="Arial"/>
          <w:color w:val="242121"/>
        </w:rPr>
      </w:pPr>
    </w:p>
    <w:p w14:paraId="7DA2EC89" w14:textId="482C5254" w:rsidR="000F2A1C" w:rsidRDefault="00C23051" w:rsidP="005171A7">
      <w:pPr>
        <w:spacing w:line="360" w:lineRule="auto"/>
        <w:jc w:val="both"/>
      </w:pPr>
      <w:r w:rsidRPr="00C9702F">
        <w:t>[99]</w:t>
      </w:r>
      <w:r w:rsidRPr="00C9702F">
        <w:tab/>
      </w:r>
      <w:r w:rsidR="00F51AB5" w:rsidRPr="00C9702F">
        <w:t>Superficially, the facts in Broom</w:t>
      </w:r>
      <w:r w:rsidR="00DB41A3" w:rsidRPr="00C9702F">
        <w:t>e</w:t>
      </w:r>
      <w:r w:rsidR="00F51AB5" w:rsidRPr="00C9702F">
        <w:t xml:space="preserve"> seem similar to the applicants’ case in respect of the loss of documents. </w:t>
      </w:r>
      <w:r w:rsidR="00BC58F7" w:rsidRPr="00C9702F">
        <w:t xml:space="preserve">But that is where the similarity ends. </w:t>
      </w:r>
    </w:p>
    <w:p w14:paraId="675F48F7" w14:textId="77777777" w:rsidR="00980CAE" w:rsidRPr="00C9702F" w:rsidRDefault="00980CAE" w:rsidP="005171A7">
      <w:pPr>
        <w:spacing w:line="360" w:lineRule="auto"/>
        <w:jc w:val="both"/>
      </w:pPr>
    </w:p>
    <w:p w14:paraId="72D3D9C0" w14:textId="4D7F0D83" w:rsidR="00BC58F7" w:rsidRDefault="0010727F" w:rsidP="005171A7">
      <w:pPr>
        <w:spacing w:line="360" w:lineRule="auto"/>
        <w:jc w:val="both"/>
      </w:pPr>
      <w:r w:rsidRPr="00C9702F">
        <w:t>[100]</w:t>
      </w:r>
      <w:r w:rsidRPr="00C9702F">
        <w:tab/>
      </w:r>
      <w:r w:rsidR="00BC58F7" w:rsidRPr="00C9702F">
        <w:t xml:space="preserve">In Broome, as pointed out by Sachs J, </w:t>
      </w:r>
      <w:r w:rsidR="00A94AB6" w:rsidRPr="00C9702F">
        <w:t xml:space="preserve">the </w:t>
      </w:r>
      <w:r w:rsidR="00BD0DB1" w:rsidRPr="00C9702F">
        <w:t xml:space="preserve">applicants had provided a detailed exposition </w:t>
      </w:r>
      <w:r w:rsidR="006975B8" w:rsidRPr="00C9702F">
        <w:t>o</w:t>
      </w:r>
      <w:r w:rsidR="003E195B" w:rsidRPr="00C9702F">
        <w:t xml:space="preserve">f the material which was missing and a </w:t>
      </w:r>
      <w:r w:rsidR="0048273E" w:rsidRPr="00C9702F">
        <w:t>f</w:t>
      </w:r>
      <w:r w:rsidR="003E195B" w:rsidRPr="00C9702F">
        <w:t xml:space="preserve">ull explanation of the significance of the working papers. </w:t>
      </w:r>
    </w:p>
    <w:p w14:paraId="1E363601" w14:textId="77777777" w:rsidR="00980CAE" w:rsidRPr="00C9702F" w:rsidRDefault="00980CAE" w:rsidP="005171A7">
      <w:pPr>
        <w:spacing w:line="360" w:lineRule="auto"/>
        <w:jc w:val="both"/>
      </w:pPr>
    </w:p>
    <w:p w14:paraId="4AAD7A23" w14:textId="20C28EEB" w:rsidR="00420FA1" w:rsidRDefault="0010727F" w:rsidP="005171A7">
      <w:pPr>
        <w:spacing w:line="360" w:lineRule="auto"/>
        <w:jc w:val="both"/>
      </w:pPr>
      <w:r w:rsidRPr="00C9702F">
        <w:t>[101]</w:t>
      </w:r>
      <w:r w:rsidRPr="00C9702F">
        <w:tab/>
      </w:r>
      <w:r w:rsidR="00420FA1" w:rsidRPr="00C9702F">
        <w:t>On the facts of that case, the applicant had been deprived of his right to prepa</w:t>
      </w:r>
      <w:r w:rsidR="00D50EEE" w:rsidRPr="00C9702F">
        <w:t>re his defence and cannot be required to stand tri</w:t>
      </w:r>
      <w:r w:rsidR="00786296" w:rsidRPr="00C9702F">
        <w:t>a</w:t>
      </w:r>
      <w:r w:rsidR="00D50EEE" w:rsidRPr="00C9702F">
        <w:t>l under those circumstances.</w:t>
      </w:r>
    </w:p>
    <w:p w14:paraId="62F19CF1" w14:textId="77777777" w:rsidR="00980CAE" w:rsidRPr="00C9702F" w:rsidRDefault="00980CAE" w:rsidP="005171A7">
      <w:pPr>
        <w:spacing w:line="360" w:lineRule="auto"/>
        <w:jc w:val="both"/>
      </w:pPr>
    </w:p>
    <w:p w14:paraId="336CE8AD" w14:textId="6A1EC601" w:rsidR="00D50EEE" w:rsidRDefault="0010727F" w:rsidP="005171A7">
      <w:pPr>
        <w:spacing w:line="360" w:lineRule="auto"/>
        <w:jc w:val="both"/>
      </w:pPr>
      <w:r w:rsidRPr="00C9702F">
        <w:t>[</w:t>
      </w:r>
      <w:r w:rsidR="00D14B5C" w:rsidRPr="00C9702F">
        <w:t>102]</w:t>
      </w:r>
      <w:r w:rsidR="00D14B5C" w:rsidRPr="00C9702F">
        <w:tab/>
      </w:r>
      <w:r w:rsidR="00DB4607" w:rsidRPr="00C9702F">
        <w:t>The first applicant’s first tri</w:t>
      </w:r>
      <w:r w:rsidR="006975B8" w:rsidRPr="00C9702F">
        <w:t>a</w:t>
      </w:r>
      <w:r w:rsidR="00DB4607" w:rsidRPr="00C9702F">
        <w:t>l had commenced. She and the second applicant were legally represented at all times and had c</w:t>
      </w:r>
      <w:r w:rsidR="00FF630E" w:rsidRPr="00C9702F">
        <w:t>onsented to the postponements.</w:t>
      </w:r>
      <w:r w:rsidR="00786296" w:rsidRPr="00C9702F">
        <w:t xml:space="preserve"> They also had documents in their possession and failed to </w:t>
      </w:r>
      <w:r w:rsidR="00D24D03" w:rsidRPr="00C9702F">
        <w:t xml:space="preserve">provide an </w:t>
      </w:r>
      <w:r w:rsidR="00D14B5C" w:rsidRPr="00C9702F">
        <w:t>“</w:t>
      </w:r>
      <w:r w:rsidR="00D24D03" w:rsidRPr="00C9702F">
        <w:t>exposition</w:t>
      </w:r>
      <w:r w:rsidR="00D14B5C" w:rsidRPr="00C9702F">
        <w:t>”</w:t>
      </w:r>
      <w:r w:rsidR="00D24D03" w:rsidRPr="00C9702F">
        <w:t xml:space="preserve"> of those</w:t>
      </w:r>
      <w:r w:rsidR="00FF630E" w:rsidRPr="00C9702F">
        <w:t xml:space="preserve"> </w:t>
      </w:r>
      <w:r w:rsidR="00431A3D" w:rsidRPr="00C9702F">
        <w:t xml:space="preserve">and why they were necessary for the preparation of their defence, especially as </w:t>
      </w:r>
      <w:r w:rsidR="00403D7E" w:rsidRPr="00C9702F">
        <w:t xml:space="preserve">Ms </w:t>
      </w:r>
      <w:r w:rsidR="00431A3D" w:rsidRPr="00C9702F">
        <w:t xml:space="preserve">Bothma </w:t>
      </w:r>
      <w:r w:rsidR="007323DF" w:rsidRPr="00C9702F">
        <w:t xml:space="preserve">in her supplementary affidavit </w:t>
      </w:r>
      <w:r w:rsidR="005540EF" w:rsidRPr="00C9702F">
        <w:t xml:space="preserve">says that they were provided with all relevant documents. </w:t>
      </w:r>
    </w:p>
    <w:p w14:paraId="399F0941" w14:textId="77777777" w:rsidR="00980CAE" w:rsidRPr="00C9702F" w:rsidRDefault="00980CAE" w:rsidP="005171A7">
      <w:pPr>
        <w:spacing w:line="360" w:lineRule="auto"/>
        <w:jc w:val="both"/>
      </w:pPr>
    </w:p>
    <w:p w14:paraId="2ACF2B83" w14:textId="51F9DBC0" w:rsidR="000F7D25" w:rsidRPr="00C9702F" w:rsidRDefault="00403D7E" w:rsidP="005171A7">
      <w:pPr>
        <w:spacing w:line="360" w:lineRule="auto"/>
        <w:jc w:val="both"/>
      </w:pPr>
      <w:r w:rsidRPr="00C9702F">
        <w:t>[103]</w:t>
      </w:r>
      <w:r w:rsidRPr="00C9702F">
        <w:tab/>
      </w:r>
      <w:r w:rsidR="000F7D25" w:rsidRPr="00C9702F">
        <w:t xml:space="preserve">That statement </w:t>
      </w:r>
      <w:r w:rsidRPr="00C9702F">
        <w:t xml:space="preserve">by Ms Bothma </w:t>
      </w:r>
      <w:r w:rsidR="000F7D25" w:rsidRPr="00C9702F">
        <w:t>has not been challenged by the applicants.</w:t>
      </w:r>
    </w:p>
    <w:p w14:paraId="73B0C0AF" w14:textId="2532C3E1" w:rsidR="000F2A1C" w:rsidRDefault="00403D7E" w:rsidP="005171A7">
      <w:pPr>
        <w:spacing w:line="360" w:lineRule="auto"/>
        <w:jc w:val="both"/>
      </w:pPr>
      <w:r w:rsidRPr="00C9702F">
        <w:t>[104]</w:t>
      </w:r>
      <w:r w:rsidRPr="00C9702F">
        <w:tab/>
      </w:r>
      <w:r w:rsidR="005540EF" w:rsidRPr="00C9702F">
        <w:t xml:space="preserve">The founding affidavit contains the barest of detail </w:t>
      </w:r>
      <w:r w:rsidR="00FA7543" w:rsidRPr="00C9702F">
        <w:t>and the applicants have not provided any substantial evidence to show that their ability to prepare for their trial has been affected by the delay and the loss of documents.</w:t>
      </w:r>
    </w:p>
    <w:p w14:paraId="27914A3C" w14:textId="77777777" w:rsidR="00980CAE" w:rsidRPr="00C9702F" w:rsidRDefault="00980CAE" w:rsidP="005171A7">
      <w:pPr>
        <w:spacing w:line="360" w:lineRule="auto"/>
        <w:jc w:val="both"/>
      </w:pPr>
    </w:p>
    <w:p w14:paraId="2A254D4F" w14:textId="0BD99BD1" w:rsidR="000F7D25" w:rsidRDefault="004747CD" w:rsidP="005171A7">
      <w:pPr>
        <w:spacing w:line="360" w:lineRule="auto"/>
        <w:jc w:val="both"/>
      </w:pPr>
      <w:r w:rsidRPr="00C9702F">
        <w:t>[105]</w:t>
      </w:r>
      <w:r w:rsidRPr="00C9702F">
        <w:tab/>
      </w:r>
      <w:r w:rsidR="00893822" w:rsidRPr="00C9702F">
        <w:t>The evidence presented by the applicants and Mr Montano</w:t>
      </w:r>
      <w:r w:rsidR="00500A4B" w:rsidRPr="00C9702F">
        <w:t xml:space="preserve"> does not suggest that irreparable </w:t>
      </w:r>
      <w:r w:rsidR="00082B76" w:rsidRPr="00C9702F">
        <w:t xml:space="preserve">or insurmountable </w:t>
      </w:r>
      <w:r w:rsidR="00500A4B" w:rsidRPr="00C9702F">
        <w:t>tri</w:t>
      </w:r>
      <w:r w:rsidR="00082B76" w:rsidRPr="00C9702F">
        <w:t>a</w:t>
      </w:r>
      <w:r w:rsidR="00500A4B" w:rsidRPr="00C9702F">
        <w:t xml:space="preserve">l prejudice will result if </w:t>
      </w:r>
      <w:r w:rsidR="007D454B" w:rsidRPr="00C9702F">
        <w:t>the tr</w:t>
      </w:r>
      <w:r w:rsidR="00FF04FA" w:rsidRPr="00C9702F">
        <w:t>ia</w:t>
      </w:r>
      <w:r w:rsidR="007D454B" w:rsidRPr="00C9702F">
        <w:t>l went ahead.</w:t>
      </w:r>
    </w:p>
    <w:p w14:paraId="363B675C" w14:textId="77777777" w:rsidR="00980CAE" w:rsidRPr="00C9702F" w:rsidRDefault="00980CAE" w:rsidP="005171A7">
      <w:pPr>
        <w:spacing w:line="360" w:lineRule="auto"/>
        <w:jc w:val="both"/>
      </w:pPr>
    </w:p>
    <w:p w14:paraId="04FAF7E7" w14:textId="1FF9045F" w:rsidR="005C78AC" w:rsidRDefault="004747CD" w:rsidP="005171A7">
      <w:pPr>
        <w:spacing w:line="360" w:lineRule="auto"/>
        <w:jc w:val="both"/>
      </w:pPr>
      <w:r w:rsidRPr="00C9702F">
        <w:t>[106]</w:t>
      </w:r>
      <w:r w:rsidRPr="00C9702F">
        <w:tab/>
      </w:r>
      <w:r w:rsidR="001746D6" w:rsidRPr="00C9702F">
        <w:t>There is absolute</w:t>
      </w:r>
      <w:r w:rsidRPr="00C9702F">
        <w:t>ly</w:t>
      </w:r>
      <w:r w:rsidR="001746D6" w:rsidRPr="00C9702F">
        <w:t xml:space="preserve"> no evidence to suggest that the </w:t>
      </w:r>
      <w:r w:rsidR="006D6592" w:rsidRPr="00C9702F">
        <w:t xml:space="preserve">documents which the applicants claim they need to prepare for their defence will </w:t>
      </w:r>
      <w:r w:rsidR="00733F03" w:rsidRPr="00C9702F">
        <w:t>taint the fairness of their trial</w:t>
      </w:r>
      <w:r w:rsidR="005C78AC" w:rsidRPr="00C9702F">
        <w:t>.</w:t>
      </w:r>
    </w:p>
    <w:p w14:paraId="2F298316" w14:textId="77777777" w:rsidR="00980CAE" w:rsidRPr="00C9702F" w:rsidRDefault="00980CAE" w:rsidP="005171A7">
      <w:pPr>
        <w:spacing w:line="360" w:lineRule="auto"/>
        <w:jc w:val="both"/>
      </w:pPr>
    </w:p>
    <w:p w14:paraId="212F5061" w14:textId="66969CE9" w:rsidR="00A601CA" w:rsidRDefault="006D2BF1" w:rsidP="005171A7">
      <w:pPr>
        <w:spacing w:line="360" w:lineRule="auto"/>
        <w:jc w:val="both"/>
      </w:pPr>
      <w:r w:rsidRPr="00C9702F">
        <w:t>[107]</w:t>
      </w:r>
      <w:r w:rsidRPr="00C9702F">
        <w:tab/>
      </w:r>
      <w:r w:rsidR="005C78AC" w:rsidRPr="00C9702F">
        <w:t>This is likely to be a neutral factor</w:t>
      </w:r>
      <w:r w:rsidR="002650D3" w:rsidRPr="00C9702F">
        <w:t>,</w:t>
      </w:r>
      <w:r w:rsidR="005C78AC" w:rsidRPr="00C9702F">
        <w:t xml:space="preserve"> in any</w:t>
      </w:r>
      <w:r w:rsidR="004A50C9" w:rsidRPr="00C9702F">
        <w:t>,</w:t>
      </w:r>
      <w:r w:rsidR="005C78AC" w:rsidRPr="00C9702F">
        <w:t xml:space="preserve"> event as it applies equally to the state</w:t>
      </w:r>
      <w:r w:rsidR="002650D3" w:rsidRPr="00C9702F">
        <w:t xml:space="preserve"> which carries the burden of proving an accused’s guilt beyond reasonable doubt</w:t>
      </w:r>
      <w:r w:rsidR="00550A5A" w:rsidRPr="00C9702F">
        <w:t>, as stated by Kollapen J in Roderiques.</w:t>
      </w:r>
      <w:r w:rsidR="00550A5A" w:rsidRPr="00C9702F">
        <w:rPr>
          <w:rStyle w:val="FootnoteReference"/>
        </w:rPr>
        <w:footnoteReference w:id="18"/>
      </w:r>
      <w:r w:rsidR="007D454B" w:rsidRPr="00C9702F">
        <w:t xml:space="preserve"> </w:t>
      </w:r>
    </w:p>
    <w:p w14:paraId="3B0E8025" w14:textId="77777777" w:rsidR="00980CAE" w:rsidRPr="00C9702F" w:rsidRDefault="00980CAE" w:rsidP="005171A7">
      <w:pPr>
        <w:spacing w:line="360" w:lineRule="auto"/>
        <w:jc w:val="both"/>
      </w:pPr>
    </w:p>
    <w:p w14:paraId="4A368FB8" w14:textId="3656DBB1" w:rsidR="00BC2EA8" w:rsidRDefault="00EF6A3F" w:rsidP="005171A7">
      <w:pPr>
        <w:spacing w:line="360" w:lineRule="auto"/>
        <w:jc w:val="both"/>
        <w:rPr>
          <w:i/>
          <w:iCs/>
        </w:rPr>
      </w:pPr>
      <w:r w:rsidRPr="00C9702F">
        <w:t>[108]</w:t>
      </w:r>
      <w:r w:rsidRPr="00C9702F">
        <w:tab/>
      </w:r>
      <w:r w:rsidR="00942988" w:rsidRPr="00C9702F">
        <w:t xml:space="preserve">Kollapen J also cited with approval the </w:t>
      </w:r>
      <w:r w:rsidR="00B91F94" w:rsidRPr="00C9702F">
        <w:t xml:space="preserve">following </w:t>
      </w:r>
      <w:r w:rsidR="00942988" w:rsidRPr="00C9702F">
        <w:t xml:space="preserve">remarks made </w:t>
      </w:r>
      <w:r w:rsidR="00B66398" w:rsidRPr="00C9702F">
        <w:t>in</w:t>
      </w:r>
      <w:r w:rsidR="00B66398" w:rsidRPr="00C9702F">
        <w:rPr>
          <w:i/>
          <w:iCs/>
        </w:rPr>
        <w:t xml:space="preserve"> Wild</w:t>
      </w:r>
      <w:r w:rsidR="00B91F94" w:rsidRPr="00C9702F">
        <w:rPr>
          <w:i/>
          <w:iCs/>
        </w:rPr>
        <w:t>:</w:t>
      </w:r>
    </w:p>
    <w:p w14:paraId="3D36DD62" w14:textId="77777777" w:rsidR="00980CAE" w:rsidRPr="00C9702F" w:rsidRDefault="00980CAE" w:rsidP="005171A7">
      <w:pPr>
        <w:spacing w:line="360" w:lineRule="auto"/>
        <w:jc w:val="both"/>
        <w:rPr>
          <w:i/>
          <w:iCs/>
        </w:rPr>
      </w:pPr>
    </w:p>
    <w:p w14:paraId="4F7804C1" w14:textId="3019C740" w:rsidR="00B91F94" w:rsidRPr="00980CAE" w:rsidRDefault="00980CAE" w:rsidP="005171A7">
      <w:pPr>
        <w:spacing w:line="360" w:lineRule="auto"/>
        <w:ind w:left="720"/>
        <w:jc w:val="both"/>
        <w:rPr>
          <w:i/>
          <w:color w:val="000000" w:themeColor="text1"/>
        </w:rPr>
      </w:pPr>
      <w:r>
        <w:rPr>
          <w:color w:val="000000" w:themeColor="text1"/>
          <w:shd w:val="clear" w:color="auto" w:fill="FFFFFF"/>
        </w:rPr>
        <w:t>“</w:t>
      </w:r>
      <w:r w:rsidR="008E42C4" w:rsidRPr="00980CAE">
        <w:rPr>
          <w:i/>
          <w:color w:val="000000" w:themeColor="text1"/>
          <w:shd w:val="clear" w:color="auto" w:fill="FFFFFF"/>
        </w:rPr>
        <w:t xml:space="preserve">The conclusion that a permanent stay </w:t>
      </w:r>
      <w:r w:rsidR="001F4DF1" w:rsidRPr="00980CAE">
        <w:rPr>
          <w:i/>
          <w:color w:val="000000" w:themeColor="text1"/>
          <w:shd w:val="clear" w:color="auto" w:fill="FFFFFF"/>
        </w:rPr>
        <w:t xml:space="preserve">of prosecution </w:t>
      </w:r>
      <w:r w:rsidR="008E42C4" w:rsidRPr="00980CAE">
        <w:rPr>
          <w:i/>
          <w:color w:val="000000" w:themeColor="text1"/>
          <w:shd w:val="clear" w:color="auto" w:fill="FFFFFF"/>
        </w:rPr>
        <w:t>is not appropriate relief to be granted to the appellants here, by no means puts paid to their rights under </w:t>
      </w:r>
      <w:r w:rsidR="008E42C4" w:rsidRPr="00980CAE">
        <w:rPr>
          <w:i/>
          <w:color w:val="000000" w:themeColor="text1"/>
        </w:rPr>
        <w:t>section 25(3)(a)</w:t>
      </w:r>
      <w:r w:rsidR="008E42C4" w:rsidRPr="00980CAE">
        <w:rPr>
          <w:i/>
          <w:color w:val="000000" w:themeColor="text1"/>
          <w:shd w:val="clear" w:color="auto" w:fill="FFFFFF"/>
        </w:rPr>
        <w:t>. Those rights and the duty to devise appropriate remedial relief for their infringement will continue throughout the trial. For example, it is trite that a judicial officer, when structuring sentence, is obliged to have regard to pre-trial detention and any other significant prejudice suffered as a result of the case hanging over the accused’s head for a protracted period. Similarly, should it transpire that there had indeed been trial-related prejudice, this judgment would constitute no impediment to appropriate relief then being granted.”</w:t>
      </w:r>
      <w:r w:rsidR="008F56A6" w:rsidRPr="00980CAE">
        <w:rPr>
          <w:rStyle w:val="FootnoteReference"/>
          <w:i/>
          <w:color w:val="000000" w:themeColor="text1"/>
          <w:shd w:val="clear" w:color="auto" w:fill="FFFFFF"/>
        </w:rPr>
        <w:footnoteReference w:id="19"/>
      </w:r>
    </w:p>
    <w:p w14:paraId="6F3C8944" w14:textId="67FDA4B6" w:rsidR="00961111" w:rsidRDefault="00EF6A3F" w:rsidP="005171A7">
      <w:pPr>
        <w:spacing w:line="360" w:lineRule="auto"/>
        <w:jc w:val="both"/>
      </w:pPr>
      <w:r w:rsidRPr="00C9702F">
        <w:t>[109]</w:t>
      </w:r>
      <w:r w:rsidRPr="00C9702F">
        <w:tab/>
      </w:r>
      <w:r w:rsidR="002541A1" w:rsidRPr="00C9702F">
        <w:t xml:space="preserve">The applicants </w:t>
      </w:r>
      <w:r w:rsidR="00B22ACE" w:rsidRPr="00C9702F">
        <w:t>application for a permanent stay of the prosecution based on the loss of documents cannot succeed.</w:t>
      </w:r>
    </w:p>
    <w:p w14:paraId="08A4B861" w14:textId="77777777" w:rsidR="00980CAE" w:rsidRPr="00C9702F" w:rsidRDefault="00980CAE" w:rsidP="005171A7">
      <w:pPr>
        <w:spacing w:line="360" w:lineRule="auto"/>
        <w:jc w:val="both"/>
      </w:pPr>
    </w:p>
    <w:p w14:paraId="22E15199" w14:textId="3242280C" w:rsidR="00961111" w:rsidRDefault="00EF6A3F" w:rsidP="005171A7">
      <w:pPr>
        <w:spacing w:line="360" w:lineRule="auto"/>
        <w:jc w:val="both"/>
      </w:pPr>
      <w:r w:rsidRPr="00C9702F">
        <w:t>[110]</w:t>
      </w:r>
      <w:r w:rsidRPr="00C9702F">
        <w:tab/>
      </w:r>
      <w:r w:rsidR="0045309F" w:rsidRPr="00C9702F">
        <w:t xml:space="preserve">Finally, it is necessary to consider briefly </w:t>
      </w:r>
      <w:r w:rsidR="00F57F78" w:rsidRPr="00C9702F">
        <w:t>the nature of the offence and the public policy considerations.</w:t>
      </w:r>
    </w:p>
    <w:p w14:paraId="2F0720CA" w14:textId="77777777" w:rsidR="00980CAE" w:rsidRPr="00C9702F" w:rsidRDefault="00980CAE" w:rsidP="005171A7">
      <w:pPr>
        <w:spacing w:line="360" w:lineRule="auto"/>
        <w:jc w:val="both"/>
      </w:pPr>
    </w:p>
    <w:p w14:paraId="765AA9FB" w14:textId="3F81A359" w:rsidR="0023549E" w:rsidRDefault="007E57C2" w:rsidP="005171A7">
      <w:pPr>
        <w:spacing w:line="360" w:lineRule="auto"/>
        <w:jc w:val="both"/>
      </w:pPr>
      <w:r w:rsidRPr="00C9702F">
        <w:t>[111]</w:t>
      </w:r>
      <w:r w:rsidRPr="00C9702F">
        <w:tab/>
      </w:r>
      <w:r w:rsidR="0023549E" w:rsidRPr="00C9702F">
        <w:t>The first applicant says that apart from being deprived of a speedy trial and access to evidentiary material, she and the second applicant have not been able to procure gainful employment as a result of the charges, have lost their assets, have been convicted in the court of public opinion, have had to make ends meet to pay for their legal costs for a long time and the long delay since their arrests, hers particularly, has caused severe prejudice to her and the second applicant.</w:t>
      </w:r>
    </w:p>
    <w:p w14:paraId="6B646F7C" w14:textId="77777777" w:rsidR="00980CAE" w:rsidRPr="00C9702F" w:rsidRDefault="00980CAE" w:rsidP="005171A7">
      <w:pPr>
        <w:spacing w:line="360" w:lineRule="auto"/>
        <w:jc w:val="both"/>
      </w:pPr>
    </w:p>
    <w:p w14:paraId="46A41548" w14:textId="0715E64E" w:rsidR="005F7957" w:rsidRDefault="007E57C2" w:rsidP="005171A7">
      <w:pPr>
        <w:spacing w:line="360" w:lineRule="auto"/>
        <w:jc w:val="both"/>
      </w:pPr>
      <w:r w:rsidRPr="00C9702F">
        <w:t>[112]</w:t>
      </w:r>
      <w:r w:rsidRPr="00C9702F">
        <w:tab/>
      </w:r>
      <w:r w:rsidR="00F57F78" w:rsidRPr="00C9702F">
        <w:t xml:space="preserve">The applicants face very serious charges. They are alleged to have defrauded Nedbank of </w:t>
      </w:r>
      <w:r w:rsidR="00A26F42" w:rsidRPr="00C9702F">
        <w:t>R8 764 095. 78</w:t>
      </w:r>
      <w:r w:rsidR="000F53BD" w:rsidRPr="00C9702F">
        <w:t xml:space="preserve">. Not only is this a substantial amount of money, but the first applicant was a manager at Nedbank and occupied a position of trust. She had access to the suspense accounts in question. </w:t>
      </w:r>
    </w:p>
    <w:p w14:paraId="6E30F45B" w14:textId="77777777" w:rsidR="00980CAE" w:rsidRPr="00C9702F" w:rsidRDefault="00980CAE" w:rsidP="005171A7">
      <w:pPr>
        <w:spacing w:line="360" w:lineRule="auto"/>
        <w:jc w:val="both"/>
      </w:pPr>
    </w:p>
    <w:p w14:paraId="1C530979" w14:textId="77777777" w:rsidR="00980CAE" w:rsidRDefault="007E57C2" w:rsidP="005171A7">
      <w:pPr>
        <w:spacing w:line="360" w:lineRule="auto"/>
        <w:jc w:val="both"/>
      </w:pPr>
      <w:r w:rsidRPr="00C9702F">
        <w:t>[113]</w:t>
      </w:r>
      <w:r w:rsidRPr="00C9702F">
        <w:tab/>
      </w:r>
      <w:r w:rsidR="00326A1E" w:rsidRPr="00C9702F">
        <w:t xml:space="preserve">In </w:t>
      </w:r>
      <w:r w:rsidR="00326A1E" w:rsidRPr="00C9702F">
        <w:rPr>
          <w:i/>
          <w:iCs/>
        </w:rPr>
        <w:t>Sanderson</w:t>
      </w:r>
      <w:r w:rsidR="00326A1E" w:rsidRPr="00C9702F">
        <w:t>, Kriegler J stated</w:t>
      </w:r>
      <w:r w:rsidR="00305EE7" w:rsidRPr="00C9702F">
        <w:t xml:space="preserve"> with reference to the reasonableness of a delay and its impact on the accused that:</w:t>
      </w:r>
      <w:r w:rsidR="00326A1E" w:rsidRPr="00C9702F">
        <w:t xml:space="preserve"> </w:t>
      </w:r>
    </w:p>
    <w:p w14:paraId="78DA52E9" w14:textId="671B45D6" w:rsidR="00661188" w:rsidRPr="00C9702F" w:rsidRDefault="00305EE7" w:rsidP="005171A7">
      <w:pPr>
        <w:spacing w:line="360" w:lineRule="auto"/>
        <w:jc w:val="both"/>
      </w:pPr>
      <w:r w:rsidRPr="00C9702F">
        <w:tab/>
      </w:r>
    </w:p>
    <w:p w14:paraId="006B997F" w14:textId="389F1B8F" w:rsidR="0038039D" w:rsidRDefault="00661188" w:rsidP="005171A7">
      <w:pPr>
        <w:spacing w:line="360" w:lineRule="auto"/>
        <w:ind w:left="720"/>
        <w:jc w:val="both"/>
        <w:rPr>
          <w:i/>
          <w:color w:val="242121"/>
          <w:shd w:val="clear" w:color="auto" w:fill="FFFFFF"/>
        </w:rPr>
      </w:pPr>
      <w:r w:rsidRPr="00980CAE">
        <w:rPr>
          <w:i/>
          <w:color w:val="242121"/>
          <w:shd w:val="clear" w:color="auto" w:fill="FFFFFF"/>
        </w:rPr>
        <w:t>“</w:t>
      </w:r>
      <w:r w:rsidR="0038039D" w:rsidRPr="00980CAE">
        <w:rPr>
          <w:i/>
          <w:color w:val="242121"/>
          <w:shd w:val="clear" w:color="auto" w:fill="FFFFFF"/>
        </w:rPr>
        <w:t>The qualifier “reasonableness” requires a value judgment. In making that judgment, courts must be constantly mindful of the profound social interest in bringing a person charged with a criminal offence to trial, and resolving the liability of the accused. Particularly when the applicant seeks a permanent stay of prosecution, this interest will loom very large. The entire enquiry must be conditioned by the recognition that we are not atomised individuals whose interests are divorced from those of society. We all benefit by our belonging to a society with a structured legal system; a system which requires the prosecution to prove its case in a public forum. We also have to be prepared to pay a price for our membership of such a society, and accept that a criminal justice system such as ours inevitably imposes burdens on the accused. But we have to acknowledge that these burdens are profoundly troubling and incidental. The question in each case is whether the burdens borne by the accused as a result of delay are unreasonable. Delay cannot be allowed to debase the presumption of innocence, and become in itself a form of extra-curial punishment. A person’s time has a profound value, and it should not become the play-thing of the state or of society.</w:t>
      </w:r>
      <w:r w:rsidR="008F7A45" w:rsidRPr="00980CAE">
        <w:rPr>
          <w:i/>
          <w:color w:val="242121"/>
          <w:shd w:val="clear" w:color="auto" w:fill="FFFFFF"/>
        </w:rPr>
        <w:t>”</w:t>
      </w:r>
      <w:r w:rsidR="009F3550" w:rsidRPr="00980CAE">
        <w:rPr>
          <w:rStyle w:val="FootnoteReference"/>
          <w:i/>
          <w:color w:val="242121"/>
          <w:shd w:val="clear" w:color="auto" w:fill="FFFFFF"/>
        </w:rPr>
        <w:footnoteReference w:id="20"/>
      </w:r>
    </w:p>
    <w:p w14:paraId="4AF1040E" w14:textId="77777777" w:rsidR="00980CAE" w:rsidRPr="00980CAE" w:rsidRDefault="00980CAE" w:rsidP="005171A7">
      <w:pPr>
        <w:spacing w:line="360" w:lineRule="auto"/>
        <w:ind w:left="720"/>
        <w:jc w:val="both"/>
        <w:rPr>
          <w:i/>
        </w:rPr>
      </w:pPr>
    </w:p>
    <w:p w14:paraId="7990895A" w14:textId="1B357564" w:rsidR="00F57F78" w:rsidRDefault="007E57C2" w:rsidP="005171A7">
      <w:pPr>
        <w:spacing w:line="360" w:lineRule="auto"/>
        <w:jc w:val="both"/>
      </w:pPr>
      <w:r w:rsidRPr="00C9702F">
        <w:t>[114]</w:t>
      </w:r>
      <w:r w:rsidRPr="00C9702F">
        <w:tab/>
      </w:r>
      <w:r w:rsidR="00A36BCF" w:rsidRPr="00C9702F">
        <w:t xml:space="preserve">I accept that a long time has elapsed since the first </w:t>
      </w:r>
      <w:r w:rsidR="002015CF" w:rsidRPr="00C9702F">
        <w:t xml:space="preserve">and then the second </w:t>
      </w:r>
      <w:r w:rsidR="00A36BCF" w:rsidRPr="00C9702F">
        <w:t>applicant w</w:t>
      </w:r>
      <w:r w:rsidR="00761A9B" w:rsidRPr="00C9702F">
        <w:t>ere</w:t>
      </w:r>
      <w:r w:rsidR="00A36BCF" w:rsidRPr="00C9702F">
        <w:t xml:space="preserve"> arrested</w:t>
      </w:r>
      <w:r w:rsidR="00761A9B" w:rsidRPr="00C9702F">
        <w:t xml:space="preserve">. </w:t>
      </w:r>
    </w:p>
    <w:p w14:paraId="6CE52ACF" w14:textId="77777777" w:rsidR="00980CAE" w:rsidRPr="00C9702F" w:rsidRDefault="00980CAE" w:rsidP="005171A7">
      <w:pPr>
        <w:spacing w:line="360" w:lineRule="auto"/>
        <w:jc w:val="both"/>
      </w:pPr>
    </w:p>
    <w:p w14:paraId="6F64E70A" w14:textId="2EA82ADB" w:rsidR="00961111" w:rsidRDefault="007E57C2" w:rsidP="005171A7">
      <w:pPr>
        <w:spacing w:line="360" w:lineRule="auto"/>
        <w:jc w:val="both"/>
      </w:pPr>
      <w:r w:rsidRPr="00C9702F">
        <w:t>[115]</w:t>
      </w:r>
      <w:r w:rsidRPr="00C9702F">
        <w:tab/>
      </w:r>
      <w:r w:rsidR="00C640B5" w:rsidRPr="00C9702F">
        <w:t>However</w:t>
      </w:r>
      <w:r w:rsidR="00093332" w:rsidRPr="00C9702F">
        <w:t>,</w:t>
      </w:r>
      <w:r w:rsidR="00C640B5" w:rsidRPr="00C9702F">
        <w:t xml:space="preserve"> society’s needs to curb fraud, theft and corr</w:t>
      </w:r>
      <w:r w:rsidR="00093332" w:rsidRPr="00C9702F">
        <w:t>upti</w:t>
      </w:r>
      <w:r w:rsidR="00C640B5" w:rsidRPr="00C9702F">
        <w:t>on must also</w:t>
      </w:r>
      <w:r w:rsidR="00093332" w:rsidRPr="00C9702F">
        <w:t xml:space="preserve"> be taken into.</w:t>
      </w:r>
    </w:p>
    <w:p w14:paraId="0480DD84" w14:textId="77777777" w:rsidR="00980CAE" w:rsidRPr="00C9702F" w:rsidRDefault="00980CAE" w:rsidP="005171A7">
      <w:pPr>
        <w:spacing w:line="360" w:lineRule="auto"/>
        <w:jc w:val="both"/>
      </w:pPr>
    </w:p>
    <w:p w14:paraId="252C2BE0" w14:textId="5EBECF24" w:rsidR="00DD288C" w:rsidRDefault="007E57C2" w:rsidP="005171A7">
      <w:pPr>
        <w:spacing w:line="360" w:lineRule="auto"/>
        <w:jc w:val="both"/>
        <w:rPr>
          <w:color w:val="242121"/>
          <w:shd w:val="clear" w:color="auto" w:fill="FFFFFF"/>
        </w:rPr>
      </w:pPr>
      <w:r w:rsidRPr="00C9702F">
        <w:t>[116]</w:t>
      </w:r>
      <w:r w:rsidRPr="00C9702F">
        <w:tab/>
      </w:r>
      <w:r w:rsidR="00DD288C" w:rsidRPr="00C9702F">
        <w:t xml:space="preserve">In a case like this in which the applicants are accused of serious offences, </w:t>
      </w:r>
      <w:r w:rsidR="00EF2071" w:rsidRPr="00C9702F">
        <w:t>there is a “</w:t>
      </w:r>
      <w:r w:rsidR="00EF2071" w:rsidRPr="00C9702F">
        <w:rPr>
          <w:color w:val="242121"/>
          <w:shd w:val="clear" w:color="auto" w:fill="FFFFFF"/>
        </w:rPr>
        <w:t>profound social interest in bringing a person charged with a criminal offence to trial, and resolving the liability of the accused.”</w:t>
      </w:r>
    </w:p>
    <w:p w14:paraId="591D8F23" w14:textId="77777777" w:rsidR="00980CAE" w:rsidRPr="00C9702F" w:rsidRDefault="00980CAE" w:rsidP="005171A7">
      <w:pPr>
        <w:spacing w:line="360" w:lineRule="auto"/>
        <w:jc w:val="both"/>
        <w:rPr>
          <w:color w:val="242121"/>
          <w:shd w:val="clear" w:color="auto" w:fill="FFFFFF"/>
        </w:rPr>
      </w:pPr>
    </w:p>
    <w:p w14:paraId="50C127B8" w14:textId="5E09239B" w:rsidR="00D87E4A" w:rsidRDefault="006B5A3D" w:rsidP="005171A7">
      <w:pPr>
        <w:spacing w:line="360" w:lineRule="auto"/>
        <w:jc w:val="both"/>
        <w:rPr>
          <w:color w:val="242121"/>
          <w:shd w:val="clear" w:color="auto" w:fill="FFFFFF"/>
        </w:rPr>
      </w:pPr>
      <w:r w:rsidRPr="00C9702F">
        <w:rPr>
          <w:color w:val="242121"/>
          <w:shd w:val="clear" w:color="auto" w:fill="FFFFFF"/>
        </w:rPr>
        <w:t>[117]</w:t>
      </w:r>
      <w:r w:rsidRPr="00C9702F">
        <w:rPr>
          <w:color w:val="242121"/>
          <w:shd w:val="clear" w:color="auto" w:fill="FFFFFF"/>
        </w:rPr>
        <w:tab/>
      </w:r>
      <w:r w:rsidR="00D87E4A" w:rsidRPr="00C9702F">
        <w:rPr>
          <w:color w:val="242121"/>
          <w:shd w:val="clear" w:color="auto" w:fill="FFFFFF"/>
        </w:rPr>
        <w:t xml:space="preserve">The </w:t>
      </w:r>
      <w:r w:rsidR="00BF3F74" w:rsidRPr="00C9702F">
        <w:rPr>
          <w:color w:val="242121"/>
          <w:shd w:val="clear" w:color="auto" w:fill="FFFFFF"/>
        </w:rPr>
        <w:t>applicants will have an opportunity of proving their innocence during a trial</w:t>
      </w:r>
      <w:r w:rsidR="00474AC1" w:rsidRPr="00C9702F">
        <w:rPr>
          <w:color w:val="242121"/>
          <w:shd w:val="clear" w:color="auto" w:fill="FFFFFF"/>
        </w:rPr>
        <w:t xml:space="preserve"> and, if they are unable to do so, </w:t>
      </w:r>
      <w:r w:rsidR="00A84D34" w:rsidRPr="00C9702F">
        <w:rPr>
          <w:color w:val="242121"/>
          <w:shd w:val="clear" w:color="auto" w:fill="FFFFFF"/>
        </w:rPr>
        <w:t xml:space="preserve">they will have to face the consequences. </w:t>
      </w:r>
    </w:p>
    <w:p w14:paraId="1FA7CEBF" w14:textId="77777777" w:rsidR="00980CAE" w:rsidRPr="00C9702F" w:rsidRDefault="00980CAE" w:rsidP="005171A7">
      <w:pPr>
        <w:spacing w:line="360" w:lineRule="auto"/>
        <w:jc w:val="both"/>
      </w:pPr>
    </w:p>
    <w:p w14:paraId="0D81D808" w14:textId="03B33C46" w:rsidR="00093332" w:rsidRDefault="006B5A3D" w:rsidP="005171A7">
      <w:pPr>
        <w:spacing w:line="360" w:lineRule="auto"/>
        <w:jc w:val="both"/>
      </w:pPr>
      <w:r w:rsidRPr="00C9702F">
        <w:t>[118]</w:t>
      </w:r>
      <w:r w:rsidRPr="00C9702F">
        <w:tab/>
      </w:r>
      <w:r w:rsidR="00243A70" w:rsidRPr="00C9702F">
        <w:t>It is not necessary to consider the sixth ground advanced by Kollapen J, namely, the interest of the victims and their families.</w:t>
      </w:r>
    </w:p>
    <w:p w14:paraId="0E1BF677" w14:textId="77777777" w:rsidR="00980CAE" w:rsidRPr="00C9702F" w:rsidRDefault="00980CAE" w:rsidP="005171A7">
      <w:pPr>
        <w:spacing w:line="360" w:lineRule="auto"/>
        <w:jc w:val="both"/>
      </w:pPr>
    </w:p>
    <w:p w14:paraId="7DF450E6" w14:textId="61CAED13" w:rsidR="006B5E2E" w:rsidRDefault="006B5A3D" w:rsidP="005171A7">
      <w:pPr>
        <w:spacing w:line="360" w:lineRule="auto"/>
        <w:jc w:val="both"/>
      </w:pPr>
      <w:r w:rsidRPr="00C9702F">
        <w:t>[119]</w:t>
      </w:r>
      <w:r w:rsidRPr="00C9702F">
        <w:tab/>
      </w:r>
      <w:r w:rsidR="00243A70" w:rsidRPr="00C9702F">
        <w:t>Kollapen J made th</w:t>
      </w:r>
      <w:r w:rsidR="00EC560E" w:rsidRPr="00C9702F">
        <w:t>e remarks about the sixth ground in a particular political and social context in which a prominent anti-apartheid hero had been murdered by the security police during the apartheid era</w:t>
      </w:r>
      <w:r w:rsidR="00224663" w:rsidRPr="00C9702F">
        <w:t>, 47 years ago</w:t>
      </w:r>
      <w:r w:rsidR="00EC560E" w:rsidRPr="00C9702F">
        <w:t>.</w:t>
      </w:r>
      <w:r w:rsidR="00C273E5" w:rsidRPr="00C9702F">
        <w:t xml:space="preserve"> With reference to those tragic circumstances, the victims, in that case the family of Ahmed</w:t>
      </w:r>
      <w:r w:rsidR="006973DB" w:rsidRPr="00C9702F">
        <w:t xml:space="preserve"> Timol and the South African people as a whole </w:t>
      </w:r>
      <w:r w:rsidR="00C71AC0" w:rsidRPr="00C9702F">
        <w:t xml:space="preserve">are entitled to justice and the decision to </w:t>
      </w:r>
      <w:r w:rsidR="00A91EA0" w:rsidRPr="00C9702F">
        <w:t xml:space="preserve">prosecute Roderiques will “ventilate the truth </w:t>
      </w:r>
      <w:r w:rsidR="006B5E2E" w:rsidRPr="00C9702F">
        <w:t>of what occurred</w:t>
      </w:r>
      <w:r w:rsidR="00937722" w:rsidRPr="00C9702F">
        <w:t xml:space="preserve"> and for the applicant’s guilt or innocence </w:t>
      </w:r>
      <w:r w:rsidR="00224663" w:rsidRPr="00C9702F">
        <w:t>to be determined by a court of law</w:t>
      </w:r>
      <w:r w:rsidR="00B9768E" w:rsidRPr="00C9702F">
        <w:t>.</w:t>
      </w:r>
      <w:r w:rsidR="009D6E1E" w:rsidRPr="00C9702F">
        <w:t>”</w:t>
      </w:r>
      <w:r w:rsidR="00C57B04" w:rsidRPr="00C9702F">
        <w:rPr>
          <w:rStyle w:val="FootnoteReference"/>
        </w:rPr>
        <w:footnoteReference w:id="21"/>
      </w:r>
    </w:p>
    <w:p w14:paraId="40F5D46F" w14:textId="77777777" w:rsidR="00980CAE" w:rsidRPr="00C9702F" w:rsidRDefault="00980CAE" w:rsidP="005171A7">
      <w:pPr>
        <w:spacing w:line="360" w:lineRule="auto"/>
        <w:jc w:val="both"/>
      </w:pPr>
    </w:p>
    <w:p w14:paraId="5F49BC87" w14:textId="31E37AB2" w:rsidR="00961111" w:rsidRDefault="006B5A3D" w:rsidP="005171A7">
      <w:pPr>
        <w:spacing w:line="360" w:lineRule="auto"/>
        <w:jc w:val="both"/>
      </w:pPr>
      <w:r w:rsidRPr="00C9702F">
        <w:t>[1</w:t>
      </w:r>
      <w:r w:rsidR="003F0B9C" w:rsidRPr="00C9702F">
        <w:t>2</w:t>
      </w:r>
      <w:r w:rsidRPr="00C9702F">
        <w:t>0]</w:t>
      </w:r>
      <w:r w:rsidRPr="00C9702F">
        <w:tab/>
      </w:r>
      <w:r w:rsidR="006B5E2E" w:rsidRPr="00C9702F">
        <w:t xml:space="preserve">That is not to say that </w:t>
      </w:r>
      <w:r w:rsidR="00350008" w:rsidRPr="00C9702F">
        <w:t>the interests of the victims and their families do not have to be considered in matters involving fraud. This is not, however, such a case.</w:t>
      </w:r>
      <w:r w:rsidR="00EC560E" w:rsidRPr="00C9702F">
        <w:t xml:space="preserve"> </w:t>
      </w:r>
    </w:p>
    <w:p w14:paraId="7EE6C65E" w14:textId="77777777" w:rsidR="00980CAE" w:rsidRPr="00C9702F" w:rsidRDefault="00980CAE" w:rsidP="005171A7">
      <w:pPr>
        <w:spacing w:line="360" w:lineRule="auto"/>
        <w:jc w:val="both"/>
      </w:pPr>
    </w:p>
    <w:p w14:paraId="3EB4B1A0" w14:textId="7654FDD4" w:rsidR="006C6EB5" w:rsidRDefault="006B5A3D" w:rsidP="005171A7">
      <w:pPr>
        <w:spacing w:line="360" w:lineRule="auto"/>
        <w:jc w:val="both"/>
      </w:pPr>
      <w:r w:rsidRPr="00C9702F">
        <w:t>[1</w:t>
      </w:r>
      <w:r w:rsidR="003F0B9C" w:rsidRPr="00C9702F">
        <w:t>21]</w:t>
      </w:r>
      <w:r w:rsidR="003F0B9C" w:rsidRPr="00C9702F">
        <w:tab/>
      </w:r>
      <w:r w:rsidR="006C6EB5" w:rsidRPr="00C9702F">
        <w:t>Despite the conclusions I have come to</w:t>
      </w:r>
      <w:r w:rsidR="00DC1D9E" w:rsidRPr="00C9702F">
        <w:t>, the applicants will not be remedy-less.</w:t>
      </w:r>
    </w:p>
    <w:p w14:paraId="359AAD9F" w14:textId="77777777" w:rsidR="00980CAE" w:rsidRPr="00C9702F" w:rsidRDefault="00980CAE" w:rsidP="005171A7">
      <w:pPr>
        <w:spacing w:line="360" w:lineRule="auto"/>
        <w:jc w:val="both"/>
      </w:pPr>
    </w:p>
    <w:p w14:paraId="419ADA0B" w14:textId="0A036D21" w:rsidR="00DC1D9E" w:rsidRDefault="003F0B9C" w:rsidP="005171A7">
      <w:pPr>
        <w:spacing w:line="360" w:lineRule="auto"/>
        <w:jc w:val="both"/>
      </w:pPr>
      <w:r w:rsidRPr="00C9702F">
        <w:t>[122]</w:t>
      </w:r>
      <w:r w:rsidRPr="00C9702F">
        <w:tab/>
      </w:r>
      <w:r w:rsidR="00DC1D9E" w:rsidRPr="00C9702F">
        <w:t xml:space="preserve">The respondents indicated during the hearing that the prosecution will commence without delay, if this application is </w:t>
      </w:r>
      <w:r w:rsidR="008516F9" w:rsidRPr="00C9702F">
        <w:t>dismissed.</w:t>
      </w:r>
    </w:p>
    <w:p w14:paraId="407E3F97" w14:textId="77777777" w:rsidR="00980CAE" w:rsidRPr="00C9702F" w:rsidRDefault="00980CAE" w:rsidP="005171A7">
      <w:pPr>
        <w:spacing w:line="360" w:lineRule="auto"/>
        <w:jc w:val="both"/>
      </w:pPr>
    </w:p>
    <w:p w14:paraId="20F64E4D" w14:textId="777387E3" w:rsidR="008516F9" w:rsidRPr="00C9702F" w:rsidRDefault="003F0B9C" w:rsidP="005171A7">
      <w:pPr>
        <w:spacing w:line="360" w:lineRule="auto"/>
        <w:jc w:val="both"/>
      </w:pPr>
      <w:r w:rsidRPr="00C9702F">
        <w:t>[123]</w:t>
      </w:r>
      <w:r w:rsidRPr="00C9702F">
        <w:tab/>
      </w:r>
      <w:r w:rsidR="008516F9" w:rsidRPr="00C9702F">
        <w:t xml:space="preserve">Should the </w:t>
      </w:r>
      <w:r w:rsidR="00C21166" w:rsidRPr="00C9702F">
        <w:t xml:space="preserve">prosecution authorities delay the prosecution for any reason the applicants will be able to utilise the provisions of section </w:t>
      </w:r>
      <w:r w:rsidR="0088781C" w:rsidRPr="00C9702F">
        <w:t>342A of the Criminal Procedure Act which provides as follows:</w:t>
      </w:r>
    </w:p>
    <w:p w14:paraId="1F888D9F" w14:textId="1459F4BA" w:rsidR="00E82274" w:rsidRDefault="00E82274" w:rsidP="005171A7">
      <w:pPr>
        <w:spacing w:before="300" w:after="0" w:line="360" w:lineRule="auto"/>
        <w:ind w:left="403"/>
        <w:jc w:val="both"/>
        <w:rPr>
          <w:rFonts w:eastAsia="Times New Roman"/>
          <w:color w:val="000000"/>
          <w:lang w:eastAsia="en-ZA"/>
        </w:rPr>
      </w:pPr>
      <w:r w:rsidRPr="00C9702F">
        <w:rPr>
          <w:rFonts w:eastAsia="Times New Roman"/>
          <w:b/>
          <w:bCs/>
          <w:color w:val="000000"/>
          <w:lang w:eastAsia="en-ZA"/>
        </w:rPr>
        <w:t>342A.   Unreasonable delays in trials.</w:t>
      </w:r>
      <w:r w:rsidRPr="00C9702F">
        <w:rPr>
          <w:rFonts w:eastAsia="Times New Roman"/>
          <w:color w:val="000000"/>
          <w:lang w:eastAsia="en-ZA"/>
        </w:rPr>
        <w:t>—(1)  A court before which criminal proceedings are pending shall investigate any delay in the completion of proceedings which appears to the court to be unreasonable and which could cause substantial prejudice to the prosecution, the accused or his or her legal adviser, the State or a witness.</w:t>
      </w:r>
    </w:p>
    <w:p w14:paraId="5A0E4A9A" w14:textId="77777777" w:rsidR="007F70DE" w:rsidRPr="00C9702F" w:rsidRDefault="007F70DE" w:rsidP="005171A7">
      <w:pPr>
        <w:spacing w:before="300" w:after="0" w:line="360" w:lineRule="auto"/>
        <w:ind w:left="403"/>
        <w:jc w:val="both"/>
        <w:rPr>
          <w:rFonts w:eastAsia="Times New Roman"/>
          <w:color w:val="000000"/>
          <w:lang w:eastAsia="en-ZA"/>
        </w:rPr>
      </w:pPr>
    </w:p>
    <w:p w14:paraId="54ADE207" w14:textId="77777777" w:rsidR="00E82274" w:rsidRPr="00C9702F" w:rsidRDefault="00E82274" w:rsidP="005171A7">
      <w:pPr>
        <w:spacing w:before="120" w:after="0" w:line="360" w:lineRule="auto"/>
        <w:ind w:left="601"/>
        <w:jc w:val="both"/>
        <w:rPr>
          <w:rFonts w:eastAsia="Times New Roman"/>
          <w:color w:val="000000"/>
          <w:lang w:eastAsia="en-ZA"/>
        </w:rPr>
      </w:pPr>
      <w:r w:rsidRPr="00C9702F">
        <w:rPr>
          <w:rFonts w:eastAsia="Times New Roman"/>
          <w:color w:val="000000"/>
          <w:lang w:eastAsia="en-ZA"/>
        </w:rPr>
        <w:t>(2)  In considering the question whether any delay is unreasonable, the court   shall consider the following factors:</w:t>
      </w:r>
    </w:p>
    <w:p w14:paraId="2DC51B82" w14:textId="77777777" w:rsidR="00E82274" w:rsidRPr="00C9702F" w:rsidRDefault="00E82274" w:rsidP="005171A7">
      <w:pPr>
        <w:spacing w:before="180" w:after="0" w:line="360" w:lineRule="auto"/>
        <w:ind w:left="1361" w:hanging="681"/>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a</w:t>
      </w:r>
      <w:r w:rsidRPr="00C9702F">
        <w:rPr>
          <w:rFonts w:eastAsia="Times New Roman"/>
          <w:color w:val="000000"/>
          <w:lang w:eastAsia="en-ZA"/>
        </w:rPr>
        <w:t>) The duration of the delay;</w:t>
      </w:r>
    </w:p>
    <w:p w14:paraId="7DBD1274" w14:textId="77777777" w:rsidR="00E82274" w:rsidRPr="00C9702F" w:rsidRDefault="00E82274" w:rsidP="005171A7">
      <w:pPr>
        <w:spacing w:before="180" w:after="0" w:line="360" w:lineRule="auto"/>
        <w:ind w:left="1361" w:hanging="681"/>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b</w:t>
      </w:r>
      <w:r w:rsidRPr="00C9702F">
        <w:rPr>
          <w:rFonts w:eastAsia="Times New Roman"/>
          <w:color w:val="000000"/>
          <w:lang w:eastAsia="en-ZA"/>
        </w:rPr>
        <w:t>) the reasons advanced for the delay;</w:t>
      </w:r>
    </w:p>
    <w:p w14:paraId="5979F03D" w14:textId="77777777" w:rsidR="00E82274" w:rsidRPr="00C9702F" w:rsidRDefault="00E82274" w:rsidP="005171A7">
      <w:pPr>
        <w:spacing w:before="180" w:after="0" w:line="360" w:lineRule="auto"/>
        <w:ind w:left="1361" w:hanging="681"/>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c</w:t>
      </w:r>
      <w:r w:rsidRPr="00C9702F">
        <w:rPr>
          <w:rFonts w:eastAsia="Times New Roman"/>
          <w:color w:val="000000"/>
          <w:lang w:eastAsia="en-ZA"/>
        </w:rPr>
        <w:t>) whether any person can be blamed for the delay;</w:t>
      </w:r>
    </w:p>
    <w:p w14:paraId="360236FE" w14:textId="77777777" w:rsidR="00E82274" w:rsidRPr="00C9702F" w:rsidRDefault="00E82274" w:rsidP="005171A7">
      <w:pPr>
        <w:spacing w:before="180" w:after="0" w:line="360" w:lineRule="auto"/>
        <w:ind w:left="709" w:hanging="29"/>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d</w:t>
      </w:r>
      <w:r w:rsidRPr="00C9702F">
        <w:rPr>
          <w:rFonts w:eastAsia="Times New Roman"/>
          <w:color w:val="000000"/>
          <w:lang w:eastAsia="en-ZA"/>
        </w:rPr>
        <w:t>) the effect of the delay on the personal circumstances of the accused and witnesses;</w:t>
      </w:r>
    </w:p>
    <w:p w14:paraId="0E047828" w14:textId="77777777" w:rsidR="00E82274" w:rsidRPr="00C9702F" w:rsidRDefault="00E82274" w:rsidP="005171A7">
      <w:pPr>
        <w:spacing w:before="180" w:after="0" w:line="360" w:lineRule="auto"/>
        <w:ind w:left="1361" w:hanging="681"/>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e</w:t>
      </w:r>
      <w:r w:rsidRPr="00C9702F">
        <w:rPr>
          <w:rFonts w:eastAsia="Times New Roman"/>
          <w:color w:val="000000"/>
          <w:lang w:eastAsia="en-ZA"/>
        </w:rPr>
        <w:t>) the seriousness, extent or complexity of the charge or charges;</w:t>
      </w:r>
    </w:p>
    <w:p w14:paraId="5C824DC1" w14:textId="77777777" w:rsidR="00E82274" w:rsidRPr="00C9702F" w:rsidRDefault="00E82274" w:rsidP="005171A7">
      <w:pPr>
        <w:spacing w:before="180" w:after="0" w:line="360" w:lineRule="auto"/>
        <w:ind w:left="709" w:hanging="29"/>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 f </w:t>
      </w:r>
      <w:r w:rsidRPr="00C9702F">
        <w:rPr>
          <w:rFonts w:eastAsia="Times New Roman"/>
          <w:color w:val="000000"/>
          <w:lang w:eastAsia="en-ZA"/>
        </w:rPr>
        <w:t>) actual or potential prejudice caused to the State or the defence by the delay, including a weakening of the quality of evidence, the possible death or disappearance or non-availability of witnesses, the loss of evidence, problems regarding the gathering of evidence and considerations of cost;</w:t>
      </w:r>
    </w:p>
    <w:p w14:paraId="0DEDB9EF" w14:textId="77777777" w:rsidR="00E82274" w:rsidRPr="00C9702F" w:rsidRDefault="00E82274" w:rsidP="005171A7">
      <w:pPr>
        <w:spacing w:before="180" w:after="0" w:line="360" w:lineRule="auto"/>
        <w:ind w:left="1361" w:hanging="681"/>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g</w:t>
      </w:r>
      <w:r w:rsidRPr="00C9702F">
        <w:rPr>
          <w:rFonts w:eastAsia="Times New Roman"/>
          <w:color w:val="000000"/>
          <w:lang w:eastAsia="en-ZA"/>
        </w:rPr>
        <w:t>) the effect of the delay on the administration of justice;</w:t>
      </w:r>
    </w:p>
    <w:p w14:paraId="7402D0F9" w14:textId="77777777" w:rsidR="00E82274" w:rsidRPr="00C9702F" w:rsidRDefault="00E82274" w:rsidP="005171A7">
      <w:pPr>
        <w:spacing w:before="180" w:after="0" w:line="360" w:lineRule="auto"/>
        <w:ind w:left="709" w:hanging="29"/>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h</w:t>
      </w:r>
      <w:r w:rsidRPr="00C9702F">
        <w:rPr>
          <w:rFonts w:eastAsia="Times New Roman"/>
          <w:color w:val="000000"/>
          <w:lang w:eastAsia="en-ZA"/>
        </w:rPr>
        <w:t>) the adverse effect on the interests of the public or the victims in the event of the prosecution being stopped or discontinued;</w:t>
      </w:r>
    </w:p>
    <w:p w14:paraId="2B17E7C7" w14:textId="77777777" w:rsidR="00E82274" w:rsidRPr="00C9702F" w:rsidRDefault="00E82274" w:rsidP="005171A7">
      <w:pPr>
        <w:spacing w:before="180" w:after="0" w:line="360" w:lineRule="auto"/>
        <w:ind w:left="709" w:hanging="29"/>
        <w:jc w:val="both"/>
        <w:rPr>
          <w:rFonts w:eastAsia="Times New Roman"/>
          <w:color w:val="000000"/>
          <w:lang w:eastAsia="en-ZA"/>
        </w:rPr>
      </w:pPr>
      <w:r w:rsidRPr="00C9702F">
        <w:rPr>
          <w:rFonts w:eastAsia="Times New Roman"/>
          <w:color w:val="000000"/>
          <w:lang w:eastAsia="en-ZA"/>
        </w:rPr>
        <w:t>(</w:t>
      </w:r>
      <w:r w:rsidRPr="00C9702F">
        <w:rPr>
          <w:rFonts w:eastAsia="Times New Roman"/>
          <w:i/>
          <w:iCs/>
          <w:color w:val="000000"/>
          <w:lang w:eastAsia="en-ZA"/>
        </w:rPr>
        <w:t>i</w:t>
      </w:r>
      <w:r w:rsidRPr="00C9702F">
        <w:rPr>
          <w:rFonts w:eastAsia="Times New Roman"/>
          <w:color w:val="000000"/>
          <w:lang w:eastAsia="en-ZA"/>
        </w:rPr>
        <w:t>) any other factor which in the opinion of the court ought to be taken into account.</w:t>
      </w:r>
    </w:p>
    <w:p w14:paraId="7B26E691" w14:textId="77777777" w:rsidR="00E82274" w:rsidRPr="00C9702F" w:rsidRDefault="00E82274" w:rsidP="005171A7">
      <w:pPr>
        <w:spacing w:line="360" w:lineRule="auto"/>
        <w:jc w:val="both"/>
        <w:rPr>
          <w:b/>
          <w:bCs/>
        </w:rPr>
      </w:pPr>
    </w:p>
    <w:p w14:paraId="1E6843C9" w14:textId="465A4AF6" w:rsidR="00E82274" w:rsidRDefault="003F0B9C" w:rsidP="005171A7">
      <w:pPr>
        <w:spacing w:line="360" w:lineRule="auto"/>
        <w:jc w:val="both"/>
      </w:pPr>
      <w:r w:rsidRPr="00C9702F">
        <w:t>[124]</w:t>
      </w:r>
      <w:r w:rsidRPr="00C9702F">
        <w:tab/>
      </w:r>
      <w:r w:rsidR="00E82274" w:rsidRPr="00C9702F">
        <w:rPr>
          <w:i/>
          <w:iCs/>
        </w:rPr>
        <w:t xml:space="preserve">In Raves v Director of </w:t>
      </w:r>
      <w:r w:rsidR="005C71A3" w:rsidRPr="00C9702F">
        <w:rPr>
          <w:i/>
          <w:iCs/>
        </w:rPr>
        <w:t>P</w:t>
      </w:r>
      <w:r w:rsidR="00E82274" w:rsidRPr="00C9702F">
        <w:rPr>
          <w:i/>
          <w:iCs/>
        </w:rPr>
        <w:t xml:space="preserve">ublic </w:t>
      </w:r>
      <w:r w:rsidR="005C71A3" w:rsidRPr="00C9702F">
        <w:rPr>
          <w:i/>
          <w:iCs/>
        </w:rPr>
        <w:t>P</w:t>
      </w:r>
      <w:r w:rsidR="00E82274" w:rsidRPr="00C9702F">
        <w:rPr>
          <w:i/>
          <w:iCs/>
        </w:rPr>
        <w:t>rosecutions, Western Cape and Another</w:t>
      </w:r>
      <w:r w:rsidR="00E82274" w:rsidRPr="00C9702F">
        <w:t xml:space="preserve"> (A150/2020) ZAWCHC 11, </w:t>
      </w:r>
      <w:r w:rsidR="005C71A3" w:rsidRPr="00C9702F">
        <w:t xml:space="preserve">the </w:t>
      </w:r>
      <w:r w:rsidR="00E82274" w:rsidRPr="00C9702F">
        <w:t>court had to consider an appeal against the refusal by the court a quo to grant a permanent stay of the prosecution pursuant to section 342A(3)(a) based on repeated postponements in the prosecution resulting in unreasonable delay.</w:t>
      </w:r>
    </w:p>
    <w:p w14:paraId="10FAA7AC" w14:textId="77777777" w:rsidR="00980CAE" w:rsidRPr="00C9702F" w:rsidRDefault="00980CAE" w:rsidP="005171A7">
      <w:pPr>
        <w:spacing w:line="360" w:lineRule="auto"/>
        <w:jc w:val="both"/>
      </w:pPr>
    </w:p>
    <w:p w14:paraId="0FAEF76B" w14:textId="2689FBCC" w:rsidR="00A362BB" w:rsidRPr="00C9702F" w:rsidRDefault="003F0B9C" w:rsidP="005171A7">
      <w:pPr>
        <w:spacing w:line="360" w:lineRule="auto"/>
        <w:jc w:val="both"/>
      </w:pPr>
      <w:r w:rsidRPr="00C9702F">
        <w:t>[125]</w:t>
      </w:r>
      <w:r w:rsidRPr="00C9702F">
        <w:tab/>
      </w:r>
      <w:r w:rsidR="00E82274" w:rsidRPr="00C9702F">
        <w:t>In the court a quo Slingers AJ had observed that such an order is granted sparingly and only for compelling reasons and that a bar is likely to be available in a narrow range of circumstances, for example where it is established that the accused has suffered irreparable trial prejud</w:t>
      </w:r>
      <w:r w:rsidR="002B0FB7" w:rsidRPr="00C9702F">
        <w:t>i</w:t>
      </w:r>
      <w:r w:rsidR="00E82274" w:rsidRPr="00C9702F">
        <w:t>ce as a result of the delay.</w:t>
      </w:r>
      <w:r w:rsidR="00E82274" w:rsidRPr="00C9702F">
        <w:rPr>
          <w:rStyle w:val="FootnoteReference"/>
        </w:rPr>
        <w:footnoteReference w:id="22"/>
      </w:r>
      <w:r w:rsidR="00E82274" w:rsidRPr="00C9702F">
        <w:t xml:space="preserve"> </w:t>
      </w:r>
      <w:r w:rsidR="00CA5324" w:rsidRPr="00C9702F">
        <w:t xml:space="preserve">I mention </w:t>
      </w:r>
      <w:r w:rsidR="00CA5324" w:rsidRPr="00C9702F">
        <w:rPr>
          <w:i/>
          <w:iCs/>
        </w:rPr>
        <w:t xml:space="preserve">Raves </w:t>
      </w:r>
      <w:r w:rsidR="00CA5324" w:rsidRPr="00C9702F">
        <w:t>merely to illustrate that the same factors as those which must be conside</w:t>
      </w:r>
      <w:r w:rsidR="00622ADF" w:rsidRPr="00C9702F">
        <w:t>red</w:t>
      </w:r>
      <w:r w:rsidR="00CA5324" w:rsidRPr="00C9702F">
        <w:t xml:space="preserve"> </w:t>
      </w:r>
      <w:r w:rsidR="00124F43" w:rsidRPr="00C9702F">
        <w:t xml:space="preserve">when </w:t>
      </w:r>
      <w:r w:rsidR="00622ADF" w:rsidRPr="00C9702F">
        <w:t xml:space="preserve">deciding </w:t>
      </w:r>
      <w:r w:rsidR="00124F43" w:rsidRPr="00C9702F">
        <w:t xml:space="preserve">whether to grant a permanent stay of prosecution </w:t>
      </w:r>
      <w:r w:rsidR="00622ADF" w:rsidRPr="00C9702F">
        <w:t xml:space="preserve">will apply to </w:t>
      </w:r>
      <w:r w:rsidR="00FC091C" w:rsidRPr="00C9702F">
        <w:t>a</w:t>
      </w:r>
      <w:r w:rsidR="00961111" w:rsidRPr="00C9702F">
        <w:t xml:space="preserve"> section 342A application.</w:t>
      </w:r>
    </w:p>
    <w:p w14:paraId="01A2C6AD" w14:textId="5CAC9930" w:rsidR="00A362BB" w:rsidRPr="00C9702F" w:rsidRDefault="00A362BB" w:rsidP="005171A7">
      <w:pPr>
        <w:spacing w:line="360" w:lineRule="auto"/>
        <w:jc w:val="both"/>
      </w:pPr>
    </w:p>
    <w:p w14:paraId="647DA512" w14:textId="35917255" w:rsidR="00A362BB" w:rsidRDefault="00980CAE" w:rsidP="005171A7">
      <w:pPr>
        <w:spacing w:line="360" w:lineRule="auto"/>
        <w:jc w:val="both"/>
        <w:rPr>
          <w:b/>
          <w:bCs/>
        </w:rPr>
      </w:pPr>
      <w:r>
        <w:rPr>
          <w:b/>
          <w:bCs/>
        </w:rPr>
        <w:t>Order:</w:t>
      </w:r>
    </w:p>
    <w:p w14:paraId="27DBF33C" w14:textId="77777777" w:rsidR="007F70DE" w:rsidRDefault="007F70DE" w:rsidP="005171A7">
      <w:pPr>
        <w:spacing w:line="360" w:lineRule="auto"/>
        <w:jc w:val="both"/>
        <w:rPr>
          <w:b/>
          <w:bCs/>
        </w:rPr>
      </w:pPr>
    </w:p>
    <w:p w14:paraId="148B39CA" w14:textId="1C0389E7" w:rsidR="00980CAE" w:rsidRDefault="00980CAE" w:rsidP="005171A7">
      <w:pPr>
        <w:spacing w:line="360" w:lineRule="auto"/>
        <w:jc w:val="both"/>
        <w:rPr>
          <w:bCs/>
        </w:rPr>
      </w:pPr>
      <w:r>
        <w:rPr>
          <w:bCs/>
        </w:rPr>
        <w:t>[126]   In the result</w:t>
      </w:r>
      <w:r w:rsidR="000B2A37">
        <w:rPr>
          <w:bCs/>
        </w:rPr>
        <w:t>,</w:t>
      </w:r>
      <w:r>
        <w:rPr>
          <w:bCs/>
        </w:rPr>
        <w:t xml:space="preserve"> the following</w:t>
      </w:r>
      <w:r w:rsidR="007F70DE">
        <w:rPr>
          <w:bCs/>
        </w:rPr>
        <w:t xml:space="preserve"> order</w:t>
      </w:r>
      <w:r>
        <w:rPr>
          <w:bCs/>
        </w:rPr>
        <w:t xml:space="preserve"> is made:</w:t>
      </w:r>
    </w:p>
    <w:p w14:paraId="45117ED3" w14:textId="355BB0F8" w:rsidR="00C276D8" w:rsidRPr="000B2A37" w:rsidRDefault="00532AA3" w:rsidP="000B2A37">
      <w:pPr>
        <w:pStyle w:val="ListParagraph"/>
        <w:numPr>
          <w:ilvl w:val="0"/>
          <w:numId w:val="16"/>
        </w:numPr>
        <w:spacing w:line="360" w:lineRule="auto"/>
        <w:jc w:val="both"/>
        <w:rPr>
          <w:bCs/>
        </w:rPr>
      </w:pPr>
      <w:r w:rsidRPr="000B2A37">
        <w:rPr>
          <w:bCs/>
        </w:rPr>
        <w:t>The application is dismissed</w:t>
      </w:r>
      <w:r w:rsidR="000B2A37">
        <w:rPr>
          <w:bCs/>
        </w:rPr>
        <w:t>.</w:t>
      </w:r>
    </w:p>
    <w:p w14:paraId="5994DADD" w14:textId="030D9E06" w:rsidR="000B2A37" w:rsidRDefault="00532AA3" w:rsidP="000B2A37">
      <w:pPr>
        <w:pStyle w:val="ListParagraph"/>
        <w:numPr>
          <w:ilvl w:val="0"/>
          <w:numId w:val="16"/>
        </w:numPr>
        <w:spacing w:line="360" w:lineRule="auto"/>
        <w:jc w:val="both"/>
        <w:rPr>
          <w:b/>
          <w:bCs/>
        </w:rPr>
      </w:pPr>
      <w:r w:rsidRPr="000B2A37">
        <w:rPr>
          <w:bCs/>
        </w:rPr>
        <w:t>No order is made as to costs</w:t>
      </w:r>
      <w:r w:rsidR="000B2A37">
        <w:rPr>
          <w:b/>
          <w:bCs/>
        </w:rPr>
        <w:t>.</w:t>
      </w:r>
    </w:p>
    <w:p w14:paraId="3C73EC53" w14:textId="433B9026" w:rsidR="000B2A37" w:rsidRDefault="000B2A37" w:rsidP="000B2A37">
      <w:pPr>
        <w:spacing w:line="360" w:lineRule="auto"/>
        <w:jc w:val="both"/>
        <w:rPr>
          <w:b/>
          <w:bCs/>
        </w:rPr>
      </w:pPr>
    </w:p>
    <w:p w14:paraId="5F15E396" w14:textId="6B5C707D" w:rsidR="000B2A37" w:rsidRDefault="000B2A37" w:rsidP="000B2A37">
      <w:pPr>
        <w:spacing w:line="360" w:lineRule="auto"/>
        <w:jc w:val="both"/>
        <w:rPr>
          <w:b/>
          <w:bCs/>
        </w:rPr>
      </w:pPr>
    </w:p>
    <w:p w14:paraId="54546817" w14:textId="79E74404" w:rsidR="000B2A37" w:rsidRDefault="000B2A37" w:rsidP="000B2A37">
      <w:pPr>
        <w:spacing w:line="360" w:lineRule="auto"/>
        <w:jc w:val="both"/>
        <w:rPr>
          <w:b/>
          <w:bCs/>
        </w:rPr>
      </w:pPr>
    </w:p>
    <w:p w14:paraId="38293DFF" w14:textId="0AED3CF7" w:rsidR="000B2A37" w:rsidRDefault="000B2A37" w:rsidP="000B2A37">
      <w:pPr>
        <w:spacing w:line="240" w:lineRule="auto"/>
        <w:ind w:left="3600"/>
        <w:jc w:val="both"/>
        <w:rPr>
          <w:b/>
          <w:bCs/>
        </w:rPr>
      </w:pPr>
      <w:r>
        <w:rPr>
          <w:b/>
          <w:bCs/>
        </w:rPr>
        <w:t>___________________________________</w:t>
      </w:r>
    </w:p>
    <w:p w14:paraId="7E941923" w14:textId="37713ED0" w:rsidR="000B2A37" w:rsidRDefault="000B2A37" w:rsidP="000B2A37">
      <w:pPr>
        <w:spacing w:line="240" w:lineRule="auto"/>
        <w:ind w:left="5040"/>
        <w:jc w:val="both"/>
        <w:rPr>
          <w:b/>
          <w:bCs/>
        </w:rPr>
      </w:pPr>
      <w:r>
        <w:rPr>
          <w:b/>
          <w:bCs/>
        </w:rPr>
        <w:t>E. DANIELS</w:t>
      </w:r>
    </w:p>
    <w:p w14:paraId="0E839153" w14:textId="4BFA3F21" w:rsidR="000B2A37" w:rsidRPr="000B2A37" w:rsidRDefault="000B2A37" w:rsidP="000B2A37">
      <w:pPr>
        <w:spacing w:line="240" w:lineRule="auto"/>
        <w:jc w:val="both"/>
        <w:rPr>
          <w:bCs/>
        </w:rPr>
      </w:pPr>
      <w:r>
        <w:rPr>
          <w:b/>
          <w:bCs/>
        </w:rPr>
        <w:tab/>
      </w:r>
      <w:r>
        <w:rPr>
          <w:b/>
          <w:bCs/>
        </w:rPr>
        <w:tab/>
      </w:r>
      <w:r>
        <w:rPr>
          <w:b/>
          <w:bCs/>
        </w:rPr>
        <w:tab/>
      </w:r>
      <w:r>
        <w:rPr>
          <w:b/>
          <w:bCs/>
        </w:rPr>
        <w:tab/>
      </w:r>
      <w:r>
        <w:rPr>
          <w:b/>
          <w:bCs/>
        </w:rPr>
        <w:tab/>
        <w:t>(</w:t>
      </w:r>
      <w:r>
        <w:rPr>
          <w:bCs/>
        </w:rPr>
        <w:t>Acting Judge of the Gauteng Local Division)</w:t>
      </w:r>
    </w:p>
    <w:p w14:paraId="5BE6028D" w14:textId="587DE47E" w:rsidR="007F70DE" w:rsidRDefault="007F70DE" w:rsidP="005171A7">
      <w:pPr>
        <w:spacing w:line="360" w:lineRule="auto"/>
        <w:jc w:val="both"/>
        <w:rPr>
          <w:b/>
          <w:bCs/>
        </w:rPr>
      </w:pPr>
    </w:p>
    <w:p w14:paraId="70B3887E" w14:textId="6C9CE6EF" w:rsidR="007F70DE" w:rsidRDefault="007F70DE" w:rsidP="007F70DE">
      <w:pPr>
        <w:spacing w:line="240" w:lineRule="auto"/>
        <w:jc w:val="both"/>
        <w:rPr>
          <w:bCs/>
        </w:rPr>
      </w:pPr>
      <w:r>
        <w:rPr>
          <w:bCs/>
        </w:rPr>
        <w:t xml:space="preserve">Date of hearing:   </w:t>
      </w:r>
      <w:r>
        <w:rPr>
          <w:bCs/>
        </w:rPr>
        <w:tab/>
      </w:r>
      <w:r>
        <w:rPr>
          <w:bCs/>
        </w:rPr>
        <w:tab/>
        <w:t>3 March 2022</w:t>
      </w:r>
    </w:p>
    <w:p w14:paraId="2970BA84" w14:textId="18B43CC8" w:rsidR="007F70DE" w:rsidRDefault="007F70DE" w:rsidP="007F70DE">
      <w:pPr>
        <w:spacing w:line="240" w:lineRule="auto"/>
        <w:jc w:val="both"/>
        <w:rPr>
          <w:bCs/>
        </w:rPr>
      </w:pPr>
      <w:r>
        <w:rPr>
          <w:bCs/>
        </w:rPr>
        <w:t>Date of Judgement:</w:t>
      </w:r>
      <w:r>
        <w:rPr>
          <w:bCs/>
        </w:rPr>
        <w:tab/>
      </w:r>
      <w:r>
        <w:rPr>
          <w:bCs/>
        </w:rPr>
        <w:tab/>
        <w:t xml:space="preserve">   June 2022</w:t>
      </w:r>
    </w:p>
    <w:p w14:paraId="558C944E" w14:textId="42D211A8" w:rsidR="007F70DE" w:rsidRDefault="007F70DE" w:rsidP="005171A7">
      <w:pPr>
        <w:spacing w:line="360" w:lineRule="auto"/>
        <w:jc w:val="both"/>
        <w:rPr>
          <w:bCs/>
        </w:rPr>
      </w:pPr>
    </w:p>
    <w:p w14:paraId="0FFC20B1" w14:textId="2CA1978B" w:rsidR="007F70DE" w:rsidRDefault="007F70DE" w:rsidP="005171A7">
      <w:pPr>
        <w:spacing w:line="360" w:lineRule="auto"/>
        <w:jc w:val="both"/>
        <w:rPr>
          <w:bCs/>
          <w:u w:val="single"/>
        </w:rPr>
      </w:pPr>
      <w:r>
        <w:rPr>
          <w:bCs/>
          <w:u w:val="single"/>
        </w:rPr>
        <w:t>APPEARANCES:</w:t>
      </w:r>
    </w:p>
    <w:p w14:paraId="12B40535" w14:textId="738F5EE3" w:rsidR="007F70DE" w:rsidRDefault="007F70DE" w:rsidP="007F70DE">
      <w:pPr>
        <w:tabs>
          <w:tab w:val="right" w:pos="0"/>
        </w:tabs>
        <w:jc w:val="both"/>
        <w:rPr>
          <w:color w:val="000000" w:themeColor="text1"/>
        </w:rPr>
      </w:pPr>
      <w:r>
        <w:rPr>
          <w:color w:val="000000" w:themeColor="text1"/>
        </w:rPr>
        <w:t>On b</w:t>
      </w:r>
      <w:r w:rsidR="001B5E46">
        <w:rPr>
          <w:color w:val="000000" w:themeColor="text1"/>
        </w:rPr>
        <w:t>ehalf of The Applicants</w:t>
      </w:r>
      <w:r w:rsidR="001B5E46">
        <w:rPr>
          <w:color w:val="000000" w:themeColor="text1"/>
        </w:rPr>
        <w:tab/>
        <w:t>: Mr Ditheko Lebethe</w:t>
      </w:r>
    </w:p>
    <w:p w14:paraId="1F3890B5" w14:textId="57C1D546" w:rsidR="007F70DE" w:rsidRDefault="007F70DE" w:rsidP="007F70DE">
      <w:pPr>
        <w:tabs>
          <w:tab w:val="right" w:pos="0"/>
        </w:tabs>
        <w:jc w:val="both"/>
        <w:rPr>
          <w:color w:val="000000" w:themeColor="text1"/>
        </w:rPr>
      </w:pPr>
      <w:r>
        <w:rPr>
          <w:color w:val="000000" w:themeColor="text1"/>
        </w:rPr>
        <w:t>Instructed by</w:t>
      </w:r>
      <w:r>
        <w:rPr>
          <w:color w:val="000000" w:themeColor="text1"/>
        </w:rPr>
        <w:tab/>
      </w:r>
      <w:r>
        <w:rPr>
          <w:color w:val="000000" w:themeColor="text1"/>
        </w:rPr>
        <w:tab/>
      </w:r>
      <w:r>
        <w:rPr>
          <w:color w:val="000000" w:themeColor="text1"/>
        </w:rPr>
        <w:tab/>
      </w:r>
      <w:r>
        <w:rPr>
          <w:color w:val="000000" w:themeColor="text1"/>
        </w:rPr>
        <w:tab/>
        <w:t>:</w:t>
      </w:r>
      <w:r w:rsidR="001B5E46">
        <w:rPr>
          <w:color w:val="000000" w:themeColor="text1"/>
        </w:rPr>
        <w:t xml:space="preserve"> Ditheko </w:t>
      </w:r>
      <w:r w:rsidR="000B2A37">
        <w:rPr>
          <w:color w:val="000000" w:themeColor="text1"/>
        </w:rPr>
        <w:t>Lethe Attorneys</w:t>
      </w:r>
    </w:p>
    <w:p w14:paraId="5814410D" w14:textId="77777777" w:rsidR="007F70DE" w:rsidRDefault="007F70DE" w:rsidP="007F70DE">
      <w:pPr>
        <w:tabs>
          <w:tab w:val="right" w:pos="0"/>
        </w:tabs>
        <w:jc w:val="both"/>
        <w:rPr>
          <w:color w:val="000000" w:themeColor="text1"/>
        </w:rPr>
      </w:pPr>
    </w:p>
    <w:p w14:paraId="1C106CA3" w14:textId="7DF0BC62" w:rsidR="007F70DE" w:rsidRDefault="007F70DE" w:rsidP="007F70DE">
      <w:pPr>
        <w:tabs>
          <w:tab w:val="right" w:pos="0"/>
        </w:tabs>
        <w:jc w:val="both"/>
        <w:rPr>
          <w:color w:val="000000" w:themeColor="text1"/>
        </w:rPr>
      </w:pPr>
      <w:r>
        <w:rPr>
          <w:color w:val="000000" w:themeColor="text1"/>
        </w:rPr>
        <w:t xml:space="preserve">On behalf </w:t>
      </w:r>
      <w:r w:rsidR="00994257">
        <w:rPr>
          <w:color w:val="000000" w:themeColor="text1"/>
        </w:rPr>
        <w:t>of</w:t>
      </w:r>
      <w:r w:rsidR="00994257">
        <w:rPr>
          <w:color w:val="000000" w:themeColor="text1"/>
        </w:rPr>
        <w:tab/>
        <w:t>The Respondents</w:t>
      </w:r>
      <w:r w:rsidR="00994257">
        <w:rPr>
          <w:color w:val="000000" w:themeColor="text1"/>
        </w:rPr>
        <w:tab/>
        <w:t>: Adv PJ TICNKER</w:t>
      </w:r>
    </w:p>
    <w:p w14:paraId="3D2465AF" w14:textId="627A4B15" w:rsidR="007F70DE" w:rsidRDefault="007F70DE" w:rsidP="007F70DE">
      <w:pPr>
        <w:tabs>
          <w:tab w:val="right" w:pos="0"/>
        </w:tabs>
        <w:jc w:val="both"/>
        <w:rPr>
          <w:color w:val="000000" w:themeColor="text1"/>
        </w:rPr>
      </w:pPr>
      <w:r>
        <w:rPr>
          <w:color w:val="000000" w:themeColor="text1"/>
        </w:rPr>
        <w:t>Instructed by</w:t>
      </w:r>
      <w:r>
        <w:rPr>
          <w:color w:val="000000" w:themeColor="text1"/>
        </w:rPr>
        <w:tab/>
      </w:r>
      <w:r>
        <w:rPr>
          <w:color w:val="000000" w:themeColor="text1"/>
        </w:rPr>
        <w:tab/>
      </w:r>
      <w:r>
        <w:rPr>
          <w:color w:val="000000" w:themeColor="text1"/>
        </w:rPr>
        <w:tab/>
      </w:r>
      <w:r>
        <w:rPr>
          <w:color w:val="000000" w:themeColor="text1"/>
        </w:rPr>
        <w:tab/>
        <w:t>:</w:t>
      </w:r>
      <w:r w:rsidR="000B2A37">
        <w:rPr>
          <w:color w:val="000000" w:themeColor="text1"/>
        </w:rPr>
        <w:t xml:space="preserve">Specialised Commercial Crime Unit </w:t>
      </w:r>
    </w:p>
    <w:p w14:paraId="4E3F696A" w14:textId="77777777" w:rsidR="007F70DE" w:rsidRPr="007F70DE" w:rsidRDefault="007F70DE" w:rsidP="005171A7">
      <w:pPr>
        <w:spacing w:line="360" w:lineRule="auto"/>
        <w:jc w:val="both"/>
        <w:rPr>
          <w:bCs/>
          <w:u w:val="single"/>
        </w:rPr>
      </w:pPr>
    </w:p>
    <w:p w14:paraId="5B50B84E" w14:textId="77777777" w:rsidR="007F70DE" w:rsidRPr="007F70DE" w:rsidRDefault="007F70DE" w:rsidP="005171A7">
      <w:pPr>
        <w:spacing w:line="360" w:lineRule="auto"/>
        <w:jc w:val="both"/>
        <w:rPr>
          <w:bCs/>
        </w:rPr>
      </w:pPr>
    </w:p>
    <w:p w14:paraId="6DC9AA40" w14:textId="77777777" w:rsidR="00C276D8" w:rsidRPr="00C9702F" w:rsidRDefault="00C276D8" w:rsidP="005171A7">
      <w:pPr>
        <w:spacing w:line="360" w:lineRule="auto"/>
        <w:jc w:val="both"/>
        <w:rPr>
          <w:b/>
          <w:bCs/>
        </w:rPr>
      </w:pPr>
    </w:p>
    <w:sectPr w:rsidR="00C276D8" w:rsidRPr="00C970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A674" w14:textId="77777777" w:rsidR="000D3585" w:rsidRDefault="000D3585" w:rsidP="00B91225">
      <w:pPr>
        <w:spacing w:after="0" w:line="240" w:lineRule="auto"/>
      </w:pPr>
      <w:r>
        <w:separator/>
      </w:r>
    </w:p>
  </w:endnote>
  <w:endnote w:type="continuationSeparator" w:id="0">
    <w:p w14:paraId="2DE4BA78" w14:textId="77777777" w:rsidR="000D3585" w:rsidRDefault="000D3585" w:rsidP="00B9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66555"/>
      <w:docPartObj>
        <w:docPartGallery w:val="Page Numbers (Bottom of Page)"/>
        <w:docPartUnique/>
      </w:docPartObj>
    </w:sdtPr>
    <w:sdtEndPr>
      <w:rPr>
        <w:noProof/>
      </w:rPr>
    </w:sdtEndPr>
    <w:sdtContent>
      <w:p w14:paraId="72B3E45E" w14:textId="51748D8F" w:rsidR="007F70DE" w:rsidRDefault="007F70DE">
        <w:pPr>
          <w:pStyle w:val="Footer"/>
          <w:jc w:val="center"/>
        </w:pPr>
        <w:r>
          <w:fldChar w:fldCharType="begin"/>
        </w:r>
        <w:r>
          <w:instrText xml:space="preserve"> PAGE   \* MERGEFORMAT </w:instrText>
        </w:r>
        <w:r>
          <w:fldChar w:fldCharType="separate"/>
        </w:r>
        <w:r w:rsidR="002B26E1">
          <w:rPr>
            <w:noProof/>
          </w:rPr>
          <w:t>1</w:t>
        </w:r>
        <w:r>
          <w:rPr>
            <w:noProof/>
          </w:rPr>
          <w:fldChar w:fldCharType="end"/>
        </w:r>
      </w:p>
    </w:sdtContent>
  </w:sdt>
  <w:p w14:paraId="0162D0BA" w14:textId="77777777" w:rsidR="007F70DE" w:rsidRDefault="007F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0631" w14:textId="77777777" w:rsidR="000D3585" w:rsidRDefault="000D3585" w:rsidP="00B91225">
      <w:pPr>
        <w:spacing w:after="0" w:line="240" w:lineRule="auto"/>
      </w:pPr>
      <w:r>
        <w:separator/>
      </w:r>
    </w:p>
  </w:footnote>
  <w:footnote w:type="continuationSeparator" w:id="0">
    <w:p w14:paraId="3F8D775D" w14:textId="77777777" w:rsidR="000D3585" w:rsidRDefault="000D3585" w:rsidP="00B91225">
      <w:pPr>
        <w:spacing w:after="0" w:line="240" w:lineRule="auto"/>
      </w:pPr>
      <w:r>
        <w:continuationSeparator/>
      </w:r>
    </w:p>
  </w:footnote>
  <w:footnote w:id="1">
    <w:p w14:paraId="50D776EF" w14:textId="25FADD67" w:rsidR="004672D1" w:rsidRDefault="004672D1">
      <w:pPr>
        <w:pStyle w:val="FootnoteText"/>
      </w:pPr>
      <w:r>
        <w:rPr>
          <w:rStyle w:val="FootnoteReference"/>
        </w:rPr>
        <w:footnoteRef/>
      </w:r>
      <w:r>
        <w:t xml:space="preserve"> This is set out in the applicants’</w:t>
      </w:r>
      <w:r w:rsidR="000B1112">
        <w:t xml:space="preserve"> </w:t>
      </w:r>
      <w:r>
        <w:t>practice note.</w:t>
      </w:r>
    </w:p>
  </w:footnote>
  <w:footnote w:id="2">
    <w:p w14:paraId="67FBF3FB" w14:textId="15096F2D" w:rsidR="000B1112" w:rsidRDefault="000B1112">
      <w:pPr>
        <w:pStyle w:val="FootnoteText"/>
      </w:pPr>
      <w:r>
        <w:rPr>
          <w:rStyle w:val="FootnoteReference"/>
        </w:rPr>
        <w:footnoteRef/>
      </w:r>
      <w:r>
        <w:t xml:space="preserve"> This is set out in the respondents’ practice note.</w:t>
      </w:r>
    </w:p>
  </w:footnote>
  <w:footnote w:id="3">
    <w:p w14:paraId="37CFDDAE" w14:textId="77777777" w:rsidR="003B309D" w:rsidRDefault="003B309D" w:rsidP="003B309D">
      <w:pPr>
        <w:pStyle w:val="FootnoteText"/>
      </w:pPr>
      <w:r>
        <w:rPr>
          <w:rStyle w:val="FootnoteReference"/>
        </w:rPr>
        <w:footnoteRef/>
      </w:r>
      <w:r>
        <w:t xml:space="preserve"> Sanderson v Attorney-General [1997] ZACC 18 </w:t>
      </w:r>
    </w:p>
  </w:footnote>
  <w:footnote w:id="4">
    <w:p w14:paraId="1D63FF62" w14:textId="6C3B1F83" w:rsidR="00462049" w:rsidRDefault="00462049">
      <w:pPr>
        <w:pStyle w:val="FootnoteText"/>
      </w:pPr>
      <w:r>
        <w:rPr>
          <w:rStyle w:val="FootnoteReference"/>
        </w:rPr>
        <w:footnoteRef/>
      </w:r>
      <w:r>
        <w:t xml:space="preserve"> Sanders</w:t>
      </w:r>
      <w:r w:rsidR="002D46B2">
        <w:t>on. Para [25]</w:t>
      </w:r>
    </w:p>
  </w:footnote>
  <w:footnote w:id="5">
    <w:p w14:paraId="0F140C08" w14:textId="4934089C" w:rsidR="00B6795B" w:rsidRPr="00C95F9A" w:rsidRDefault="00B6795B">
      <w:pPr>
        <w:pStyle w:val="FootnoteText"/>
      </w:pPr>
      <w:r>
        <w:rPr>
          <w:rStyle w:val="FootnoteReference"/>
        </w:rPr>
        <w:footnoteRef/>
      </w:r>
      <w:r>
        <w:t xml:space="preserve"> </w:t>
      </w:r>
      <w:r w:rsidR="00C95F9A" w:rsidRPr="00C95F9A">
        <w:rPr>
          <w:i/>
          <w:iCs/>
        </w:rPr>
        <w:t>Bothma</w:t>
      </w:r>
      <w:r w:rsidR="00C95F9A">
        <w:rPr>
          <w:i/>
          <w:iCs/>
        </w:rPr>
        <w:t xml:space="preserve">. </w:t>
      </w:r>
      <w:r w:rsidR="00C95F9A">
        <w:t>Paras [18],</w:t>
      </w:r>
      <w:r w:rsidR="00967E35">
        <w:t xml:space="preserve"> [35] and [36]</w:t>
      </w:r>
    </w:p>
  </w:footnote>
  <w:footnote w:id="6">
    <w:p w14:paraId="0B073830" w14:textId="77777777" w:rsidR="0080024D" w:rsidRPr="00163797" w:rsidRDefault="0080024D" w:rsidP="0080024D">
      <w:pPr>
        <w:pStyle w:val="FootnoteText"/>
      </w:pPr>
      <w:r>
        <w:rPr>
          <w:rStyle w:val="FootnoteReference"/>
        </w:rPr>
        <w:footnoteRef/>
      </w:r>
      <w:r>
        <w:t xml:space="preserve"> </w:t>
      </w:r>
      <w:r>
        <w:rPr>
          <w:i/>
          <w:iCs/>
        </w:rPr>
        <w:t xml:space="preserve">Zanner </w:t>
      </w:r>
      <w:r>
        <w:t xml:space="preserve">Para [10] </w:t>
      </w:r>
    </w:p>
  </w:footnote>
  <w:footnote w:id="7">
    <w:p w14:paraId="2F035112" w14:textId="77777777" w:rsidR="0080024D" w:rsidRPr="004D5E35" w:rsidRDefault="0080024D" w:rsidP="0080024D">
      <w:pPr>
        <w:pStyle w:val="FootnoteText"/>
        <w:rPr>
          <w:i/>
          <w:iCs/>
        </w:rPr>
      </w:pPr>
      <w:r>
        <w:rPr>
          <w:rStyle w:val="FootnoteReference"/>
        </w:rPr>
        <w:footnoteRef/>
      </w:r>
      <w:r>
        <w:t xml:space="preserve"> </w:t>
      </w:r>
      <w:r>
        <w:rPr>
          <w:i/>
          <w:iCs/>
        </w:rPr>
        <w:t xml:space="preserve">Zanner </w:t>
      </w:r>
      <w:r w:rsidRPr="00A7538C">
        <w:t>Para [14]</w:t>
      </w:r>
    </w:p>
  </w:footnote>
  <w:footnote w:id="8">
    <w:p w14:paraId="581BF0AA" w14:textId="77777777" w:rsidR="00D834FE" w:rsidRDefault="00D834FE" w:rsidP="00D834FE">
      <w:pPr>
        <w:pStyle w:val="FootnoteText"/>
      </w:pPr>
      <w:r>
        <w:rPr>
          <w:rStyle w:val="FootnoteReference"/>
        </w:rPr>
        <w:footnoteRef/>
      </w:r>
      <w:r>
        <w:t xml:space="preserve"> Rodrigues. Para [38]. </w:t>
      </w:r>
    </w:p>
  </w:footnote>
  <w:footnote w:id="9">
    <w:p w14:paraId="42EC986D" w14:textId="77777777" w:rsidR="00D834FE" w:rsidRDefault="00D834FE" w:rsidP="00D834FE">
      <w:pPr>
        <w:pStyle w:val="FootnoteText"/>
      </w:pPr>
      <w:r>
        <w:rPr>
          <w:rStyle w:val="FootnoteReference"/>
        </w:rPr>
        <w:footnoteRef/>
      </w:r>
      <w:r>
        <w:t xml:space="preserve"> Rodrigues. Para [39]. Rodrigues was charged with being an accessory to the murder of an anti apartheid activist, Ahmed Timol who was murdered by security policemen. It was in that context that KollapenJ suggested that a sixth factor may be important.  </w:t>
      </w:r>
    </w:p>
  </w:footnote>
  <w:footnote w:id="10">
    <w:p w14:paraId="0E778A05" w14:textId="2F1C4512" w:rsidR="003C268E" w:rsidRDefault="003C268E">
      <w:pPr>
        <w:pStyle w:val="FootnoteText"/>
      </w:pPr>
      <w:r>
        <w:rPr>
          <w:rStyle w:val="FootnoteReference"/>
        </w:rPr>
        <w:footnoteRef/>
      </w:r>
      <w:r>
        <w:t xml:space="preserve"> Paras [32] and [33]</w:t>
      </w:r>
    </w:p>
  </w:footnote>
  <w:footnote w:id="11">
    <w:p w14:paraId="43C21862" w14:textId="253A72F9" w:rsidR="0060335A" w:rsidRDefault="0060335A">
      <w:pPr>
        <w:pStyle w:val="FootnoteText"/>
      </w:pPr>
      <w:r>
        <w:rPr>
          <w:rStyle w:val="FootnoteReference"/>
        </w:rPr>
        <w:footnoteRef/>
      </w:r>
      <w:r>
        <w:t xml:space="preserve"> Wild. Para 8.</w:t>
      </w:r>
    </w:p>
  </w:footnote>
  <w:footnote w:id="12">
    <w:p w14:paraId="02C70F93" w14:textId="479F930E" w:rsidR="00005D6D" w:rsidRDefault="00005D6D">
      <w:pPr>
        <w:pStyle w:val="FootnoteText"/>
      </w:pPr>
      <w:r>
        <w:rPr>
          <w:rStyle w:val="FootnoteReference"/>
        </w:rPr>
        <w:footnoteRef/>
      </w:r>
      <w:r>
        <w:t xml:space="preserve"> Wild. Para [27]</w:t>
      </w:r>
    </w:p>
  </w:footnote>
  <w:footnote w:id="13">
    <w:p w14:paraId="1EF3E5BE" w14:textId="77777777" w:rsidR="00CE77DB" w:rsidRDefault="00CE77DB" w:rsidP="00CE77DB">
      <w:pPr>
        <w:pStyle w:val="FootnoteText"/>
      </w:pPr>
      <w:r>
        <w:rPr>
          <w:rStyle w:val="FootnoteReference"/>
        </w:rPr>
        <w:footnoteRef/>
      </w:r>
      <w:r>
        <w:t xml:space="preserve"> Wild. Para [23].</w:t>
      </w:r>
    </w:p>
  </w:footnote>
  <w:footnote w:id="14">
    <w:p w14:paraId="153E2689" w14:textId="01E4D099" w:rsidR="007F0EAD" w:rsidRDefault="007F0EAD">
      <w:pPr>
        <w:pStyle w:val="FootnoteText"/>
      </w:pPr>
      <w:r>
        <w:rPr>
          <w:rStyle w:val="FootnoteReference"/>
        </w:rPr>
        <w:footnoteRef/>
      </w:r>
      <w:r>
        <w:t xml:space="preserve"> Both</w:t>
      </w:r>
      <w:r w:rsidR="00A57F8F">
        <w:t>m</w:t>
      </w:r>
      <w:r>
        <w:t>a v Els</w:t>
      </w:r>
      <w:r w:rsidR="00A57F8F">
        <w:t xml:space="preserve">. Para </w:t>
      </w:r>
      <w:r w:rsidR="0033076A">
        <w:t>34.</w:t>
      </w:r>
    </w:p>
  </w:footnote>
  <w:footnote w:id="15">
    <w:p w14:paraId="66047369" w14:textId="79E308E0" w:rsidR="009739F8" w:rsidRDefault="009739F8">
      <w:pPr>
        <w:pStyle w:val="FootnoteText"/>
      </w:pPr>
      <w:r>
        <w:rPr>
          <w:rStyle w:val="FootnoteReference"/>
        </w:rPr>
        <w:footnoteRef/>
      </w:r>
      <w:r>
        <w:t xml:space="preserve"> “Para 17 </w:t>
      </w:r>
      <w:r w:rsidR="00BE668A">
        <w:t>of the founding affidavit.</w:t>
      </w:r>
    </w:p>
  </w:footnote>
  <w:footnote w:id="16">
    <w:p w14:paraId="4E4EC9CC" w14:textId="77777777" w:rsidR="00B4240F" w:rsidRDefault="00B4240F" w:rsidP="00B4240F">
      <w:pPr>
        <w:pStyle w:val="FootnoteText"/>
      </w:pPr>
      <w:r>
        <w:rPr>
          <w:rStyle w:val="FootnoteReference"/>
        </w:rPr>
        <w:footnoteRef/>
      </w:r>
      <w:r>
        <w:t xml:space="preserve"> Bothma v Els. Para 34.</w:t>
      </w:r>
    </w:p>
  </w:footnote>
  <w:footnote w:id="17">
    <w:p w14:paraId="0C098255" w14:textId="09F8AABA" w:rsidR="00430832" w:rsidRPr="00430832" w:rsidRDefault="00430832">
      <w:pPr>
        <w:pStyle w:val="FootnoteText"/>
      </w:pPr>
      <w:r>
        <w:rPr>
          <w:rStyle w:val="FootnoteReference"/>
        </w:rPr>
        <w:footnoteRef/>
      </w:r>
      <w:r>
        <w:t xml:space="preserve"> </w:t>
      </w:r>
      <w:r>
        <w:rPr>
          <w:i/>
          <w:iCs/>
        </w:rPr>
        <w:t xml:space="preserve">Bothma. </w:t>
      </w:r>
      <w:r w:rsidR="00F51AB5">
        <w:t xml:space="preserve">Paras 73 and 74. </w:t>
      </w:r>
    </w:p>
  </w:footnote>
  <w:footnote w:id="18">
    <w:p w14:paraId="563C5EB4" w14:textId="04F15003" w:rsidR="00550A5A" w:rsidRDefault="00550A5A">
      <w:pPr>
        <w:pStyle w:val="FootnoteText"/>
      </w:pPr>
      <w:r>
        <w:rPr>
          <w:rStyle w:val="FootnoteReference"/>
        </w:rPr>
        <w:footnoteRef/>
      </w:r>
      <w:r>
        <w:t xml:space="preserve"> </w:t>
      </w:r>
      <w:r w:rsidR="00E4717F">
        <w:t xml:space="preserve">Para [86]. </w:t>
      </w:r>
    </w:p>
  </w:footnote>
  <w:footnote w:id="19">
    <w:p w14:paraId="7754DD73" w14:textId="30A121A3" w:rsidR="008F56A6" w:rsidRDefault="008F56A6">
      <w:pPr>
        <w:pStyle w:val="FootnoteText"/>
      </w:pPr>
      <w:r>
        <w:rPr>
          <w:rStyle w:val="FootnoteReference"/>
        </w:rPr>
        <w:footnoteRef/>
      </w:r>
      <w:r>
        <w:t xml:space="preserve"> Roderiques. Para 87]</w:t>
      </w:r>
    </w:p>
  </w:footnote>
  <w:footnote w:id="20">
    <w:p w14:paraId="4FE01EC8" w14:textId="50F92C5D" w:rsidR="009F3550" w:rsidRDefault="009F3550">
      <w:pPr>
        <w:pStyle w:val="FootnoteText"/>
      </w:pPr>
      <w:r>
        <w:rPr>
          <w:rStyle w:val="FootnoteReference"/>
        </w:rPr>
        <w:footnoteRef/>
      </w:r>
      <w:r>
        <w:t xml:space="preserve"> Para</w:t>
      </w:r>
      <w:r w:rsidR="00E037C9">
        <w:t xml:space="preserve"> [36].</w:t>
      </w:r>
    </w:p>
  </w:footnote>
  <w:footnote w:id="21">
    <w:p w14:paraId="7BA71419" w14:textId="627825EB" w:rsidR="00C57B04" w:rsidRPr="00C57B04" w:rsidRDefault="00C57B04">
      <w:pPr>
        <w:pStyle w:val="FootnoteText"/>
      </w:pPr>
      <w:r>
        <w:rPr>
          <w:rStyle w:val="FootnoteReference"/>
        </w:rPr>
        <w:footnoteRef/>
      </w:r>
      <w:r>
        <w:t xml:space="preserve"> </w:t>
      </w:r>
      <w:r>
        <w:rPr>
          <w:i/>
          <w:iCs/>
        </w:rPr>
        <w:t xml:space="preserve">Roderiques. </w:t>
      </w:r>
      <w:r w:rsidR="00D974B9">
        <w:t>Para [96].</w:t>
      </w:r>
    </w:p>
  </w:footnote>
  <w:footnote w:id="22">
    <w:p w14:paraId="2DB1A1D7" w14:textId="77777777" w:rsidR="00E82274" w:rsidRDefault="00E82274" w:rsidP="00E82274">
      <w:pPr>
        <w:pStyle w:val="FootnoteText"/>
      </w:pPr>
      <w:r>
        <w:rPr>
          <w:rStyle w:val="FootnoteReference"/>
        </w:rPr>
        <w:footnoteRef/>
      </w:r>
      <w:r>
        <w:t xml:space="preserve"> Para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870"/>
    <w:multiLevelType w:val="hybridMultilevel"/>
    <w:tmpl w:val="127A5252"/>
    <w:lvl w:ilvl="0" w:tplc="EB687C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1B2A41"/>
    <w:multiLevelType w:val="hybridMultilevel"/>
    <w:tmpl w:val="5A303EEE"/>
    <w:lvl w:ilvl="0" w:tplc="A372E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703B32"/>
    <w:multiLevelType w:val="hybridMultilevel"/>
    <w:tmpl w:val="0B340BD4"/>
    <w:lvl w:ilvl="0" w:tplc="A760AF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0A6102"/>
    <w:multiLevelType w:val="hybridMultilevel"/>
    <w:tmpl w:val="FF3C58C8"/>
    <w:lvl w:ilvl="0" w:tplc="EC4486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481CD8"/>
    <w:multiLevelType w:val="hybridMultilevel"/>
    <w:tmpl w:val="52AAB584"/>
    <w:lvl w:ilvl="0" w:tplc="3DAA04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1EF765F"/>
    <w:multiLevelType w:val="multilevel"/>
    <w:tmpl w:val="C20E39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C6317CC"/>
    <w:multiLevelType w:val="multilevel"/>
    <w:tmpl w:val="68E6BA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E244C30"/>
    <w:multiLevelType w:val="hybridMultilevel"/>
    <w:tmpl w:val="368269D6"/>
    <w:lvl w:ilvl="0" w:tplc="BA18BB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D43509"/>
    <w:multiLevelType w:val="multilevel"/>
    <w:tmpl w:val="A71661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A4548A"/>
    <w:multiLevelType w:val="hybridMultilevel"/>
    <w:tmpl w:val="3642F12A"/>
    <w:lvl w:ilvl="0" w:tplc="752EEE6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717971"/>
    <w:multiLevelType w:val="hybridMultilevel"/>
    <w:tmpl w:val="363E46BC"/>
    <w:lvl w:ilvl="0" w:tplc="10CCBF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32C0F13"/>
    <w:multiLevelType w:val="multilevel"/>
    <w:tmpl w:val="EBB8A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F5D4623"/>
    <w:multiLevelType w:val="multilevel"/>
    <w:tmpl w:val="DDA0CC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2C74886"/>
    <w:multiLevelType w:val="hybridMultilevel"/>
    <w:tmpl w:val="BB683AAC"/>
    <w:lvl w:ilvl="0" w:tplc="8EB407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55229E1"/>
    <w:multiLevelType w:val="hybridMultilevel"/>
    <w:tmpl w:val="47ECA61C"/>
    <w:lvl w:ilvl="0" w:tplc="169479B2">
      <w:start w:val="1"/>
      <w:numFmt w:val="decimal"/>
      <w:lvlText w:val="%1."/>
      <w:lvlJc w:val="left"/>
      <w:pPr>
        <w:ind w:left="720" w:hanging="360"/>
      </w:pPr>
      <w:rPr>
        <w:rFonts w:ascii="Verdana" w:hAnsi="Verdana" w:hint="default"/>
        <w:color w:val="242121"/>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
  </w:num>
  <w:num w:numId="5">
    <w:abstractNumId w:val="9"/>
  </w:num>
  <w:num w:numId="6">
    <w:abstractNumId w:val="15"/>
  </w:num>
  <w:num w:numId="7">
    <w:abstractNumId w:val="11"/>
  </w:num>
  <w:num w:numId="8">
    <w:abstractNumId w:val="8"/>
  </w:num>
  <w:num w:numId="9">
    <w:abstractNumId w:val="4"/>
  </w:num>
  <w:num w:numId="10">
    <w:abstractNumId w:val="6"/>
  </w:num>
  <w:num w:numId="11">
    <w:abstractNumId w:val="12"/>
  </w:num>
  <w:num w:numId="12">
    <w:abstractNumId w:val="7"/>
  </w:num>
  <w:num w:numId="13">
    <w:abstractNumId w:val="5"/>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E8"/>
    <w:rsid w:val="0000124E"/>
    <w:rsid w:val="000022A3"/>
    <w:rsid w:val="00003920"/>
    <w:rsid w:val="00004769"/>
    <w:rsid w:val="00004CC7"/>
    <w:rsid w:val="00004F94"/>
    <w:rsid w:val="00005D6D"/>
    <w:rsid w:val="000078F9"/>
    <w:rsid w:val="00007A16"/>
    <w:rsid w:val="000101AE"/>
    <w:rsid w:val="00011227"/>
    <w:rsid w:val="00011851"/>
    <w:rsid w:val="0001187D"/>
    <w:rsid w:val="000130AD"/>
    <w:rsid w:val="0001622A"/>
    <w:rsid w:val="0001655B"/>
    <w:rsid w:val="0001732B"/>
    <w:rsid w:val="0001799B"/>
    <w:rsid w:val="00017CCF"/>
    <w:rsid w:val="000200CE"/>
    <w:rsid w:val="00021175"/>
    <w:rsid w:val="0002169A"/>
    <w:rsid w:val="00022F2D"/>
    <w:rsid w:val="00023461"/>
    <w:rsid w:val="00023C23"/>
    <w:rsid w:val="00027CCD"/>
    <w:rsid w:val="0003799B"/>
    <w:rsid w:val="00040478"/>
    <w:rsid w:val="00041A3E"/>
    <w:rsid w:val="00042FCC"/>
    <w:rsid w:val="00044086"/>
    <w:rsid w:val="00044971"/>
    <w:rsid w:val="00045263"/>
    <w:rsid w:val="00045321"/>
    <w:rsid w:val="000462CA"/>
    <w:rsid w:val="00046E7F"/>
    <w:rsid w:val="000514EE"/>
    <w:rsid w:val="000522A4"/>
    <w:rsid w:val="00052868"/>
    <w:rsid w:val="00053373"/>
    <w:rsid w:val="000548B5"/>
    <w:rsid w:val="000604AF"/>
    <w:rsid w:val="00061715"/>
    <w:rsid w:val="00063211"/>
    <w:rsid w:val="00065922"/>
    <w:rsid w:val="000665BC"/>
    <w:rsid w:val="0007485F"/>
    <w:rsid w:val="000760FE"/>
    <w:rsid w:val="00077212"/>
    <w:rsid w:val="00077C7F"/>
    <w:rsid w:val="00080B29"/>
    <w:rsid w:val="00082B76"/>
    <w:rsid w:val="00083218"/>
    <w:rsid w:val="0008368D"/>
    <w:rsid w:val="000841C9"/>
    <w:rsid w:val="0008482C"/>
    <w:rsid w:val="00084ED4"/>
    <w:rsid w:val="0009180E"/>
    <w:rsid w:val="00093143"/>
    <w:rsid w:val="00093332"/>
    <w:rsid w:val="00093685"/>
    <w:rsid w:val="000940DC"/>
    <w:rsid w:val="00097022"/>
    <w:rsid w:val="000973BD"/>
    <w:rsid w:val="000A0B48"/>
    <w:rsid w:val="000A2547"/>
    <w:rsid w:val="000A299D"/>
    <w:rsid w:val="000A34E3"/>
    <w:rsid w:val="000A4705"/>
    <w:rsid w:val="000A5567"/>
    <w:rsid w:val="000A617D"/>
    <w:rsid w:val="000A6A6B"/>
    <w:rsid w:val="000A726C"/>
    <w:rsid w:val="000A791C"/>
    <w:rsid w:val="000B1112"/>
    <w:rsid w:val="000B1A1B"/>
    <w:rsid w:val="000B2A37"/>
    <w:rsid w:val="000B583D"/>
    <w:rsid w:val="000B6547"/>
    <w:rsid w:val="000B673E"/>
    <w:rsid w:val="000B6905"/>
    <w:rsid w:val="000B74D4"/>
    <w:rsid w:val="000C16BF"/>
    <w:rsid w:val="000C1B56"/>
    <w:rsid w:val="000C4CEF"/>
    <w:rsid w:val="000C5B42"/>
    <w:rsid w:val="000C5B7D"/>
    <w:rsid w:val="000C6968"/>
    <w:rsid w:val="000C6BBE"/>
    <w:rsid w:val="000D3585"/>
    <w:rsid w:val="000D3D08"/>
    <w:rsid w:val="000D4C95"/>
    <w:rsid w:val="000D782E"/>
    <w:rsid w:val="000D7E9F"/>
    <w:rsid w:val="000E0D34"/>
    <w:rsid w:val="000E15AC"/>
    <w:rsid w:val="000E1E5C"/>
    <w:rsid w:val="000E306F"/>
    <w:rsid w:val="000E45FA"/>
    <w:rsid w:val="000E6382"/>
    <w:rsid w:val="000E6E7C"/>
    <w:rsid w:val="000F0044"/>
    <w:rsid w:val="000F2A1C"/>
    <w:rsid w:val="000F41CF"/>
    <w:rsid w:val="000F53BD"/>
    <w:rsid w:val="000F7030"/>
    <w:rsid w:val="000F7A3A"/>
    <w:rsid w:val="000F7D25"/>
    <w:rsid w:val="001004C1"/>
    <w:rsid w:val="00100B93"/>
    <w:rsid w:val="0010166A"/>
    <w:rsid w:val="00105D72"/>
    <w:rsid w:val="001065D1"/>
    <w:rsid w:val="00106944"/>
    <w:rsid w:val="0010727F"/>
    <w:rsid w:val="00107C64"/>
    <w:rsid w:val="0011095F"/>
    <w:rsid w:val="00110B5B"/>
    <w:rsid w:val="00110E40"/>
    <w:rsid w:val="00110F0B"/>
    <w:rsid w:val="00110FFA"/>
    <w:rsid w:val="00111260"/>
    <w:rsid w:val="00111287"/>
    <w:rsid w:val="00111B6A"/>
    <w:rsid w:val="00113FC8"/>
    <w:rsid w:val="00116F58"/>
    <w:rsid w:val="00120F13"/>
    <w:rsid w:val="0012113A"/>
    <w:rsid w:val="00121BC7"/>
    <w:rsid w:val="001221AB"/>
    <w:rsid w:val="00122817"/>
    <w:rsid w:val="001233B9"/>
    <w:rsid w:val="00123B91"/>
    <w:rsid w:val="00123C08"/>
    <w:rsid w:val="00124487"/>
    <w:rsid w:val="00124F43"/>
    <w:rsid w:val="00127474"/>
    <w:rsid w:val="0012784E"/>
    <w:rsid w:val="00132B2E"/>
    <w:rsid w:val="0013332A"/>
    <w:rsid w:val="00133B69"/>
    <w:rsid w:val="001341F9"/>
    <w:rsid w:val="001345AE"/>
    <w:rsid w:val="00137996"/>
    <w:rsid w:val="0014147B"/>
    <w:rsid w:val="001416DC"/>
    <w:rsid w:val="00143AFC"/>
    <w:rsid w:val="00143B62"/>
    <w:rsid w:val="00144332"/>
    <w:rsid w:val="00144E84"/>
    <w:rsid w:val="00146541"/>
    <w:rsid w:val="0015020F"/>
    <w:rsid w:val="001521B7"/>
    <w:rsid w:val="0015248B"/>
    <w:rsid w:val="0015406D"/>
    <w:rsid w:val="00157880"/>
    <w:rsid w:val="00161C42"/>
    <w:rsid w:val="00163797"/>
    <w:rsid w:val="00163F8A"/>
    <w:rsid w:val="00164FA0"/>
    <w:rsid w:val="001651D8"/>
    <w:rsid w:val="00165E1B"/>
    <w:rsid w:val="001675E3"/>
    <w:rsid w:val="00170A1A"/>
    <w:rsid w:val="00171F2A"/>
    <w:rsid w:val="00172922"/>
    <w:rsid w:val="00172FA8"/>
    <w:rsid w:val="001737E2"/>
    <w:rsid w:val="001746D6"/>
    <w:rsid w:val="0017614B"/>
    <w:rsid w:val="00180160"/>
    <w:rsid w:val="00180E3D"/>
    <w:rsid w:val="00182D0A"/>
    <w:rsid w:val="001857A2"/>
    <w:rsid w:val="00185B72"/>
    <w:rsid w:val="00185C53"/>
    <w:rsid w:val="0018729D"/>
    <w:rsid w:val="00190367"/>
    <w:rsid w:val="00191A63"/>
    <w:rsid w:val="001926B4"/>
    <w:rsid w:val="00192F6D"/>
    <w:rsid w:val="00194B21"/>
    <w:rsid w:val="00194F32"/>
    <w:rsid w:val="00194FEC"/>
    <w:rsid w:val="001967FE"/>
    <w:rsid w:val="0019680D"/>
    <w:rsid w:val="00196E0A"/>
    <w:rsid w:val="0019774C"/>
    <w:rsid w:val="001979D5"/>
    <w:rsid w:val="001A0654"/>
    <w:rsid w:val="001A0679"/>
    <w:rsid w:val="001A2466"/>
    <w:rsid w:val="001A42DB"/>
    <w:rsid w:val="001A435A"/>
    <w:rsid w:val="001A489D"/>
    <w:rsid w:val="001A700F"/>
    <w:rsid w:val="001B014E"/>
    <w:rsid w:val="001B23CF"/>
    <w:rsid w:val="001B2A10"/>
    <w:rsid w:val="001B2AF0"/>
    <w:rsid w:val="001B4670"/>
    <w:rsid w:val="001B5E46"/>
    <w:rsid w:val="001B6287"/>
    <w:rsid w:val="001B760A"/>
    <w:rsid w:val="001C0BC1"/>
    <w:rsid w:val="001C184C"/>
    <w:rsid w:val="001C26C8"/>
    <w:rsid w:val="001C3A06"/>
    <w:rsid w:val="001C6495"/>
    <w:rsid w:val="001C68AA"/>
    <w:rsid w:val="001C696D"/>
    <w:rsid w:val="001C74C3"/>
    <w:rsid w:val="001C7FB5"/>
    <w:rsid w:val="001C7FD6"/>
    <w:rsid w:val="001D1541"/>
    <w:rsid w:val="001D25DB"/>
    <w:rsid w:val="001D2DCD"/>
    <w:rsid w:val="001D30D8"/>
    <w:rsid w:val="001D3373"/>
    <w:rsid w:val="001D3C36"/>
    <w:rsid w:val="001D3F78"/>
    <w:rsid w:val="001D52AC"/>
    <w:rsid w:val="001D73DF"/>
    <w:rsid w:val="001E0C1B"/>
    <w:rsid w:val="001E1005"/>
    <w:rsid w:val="001E24ED"/>
    <w:rsid w:val="001E2B8D"/>
    <w:rsid w:val="001E5967"/>
    <w:rsid w:val="001E674E"/>
    <w:rsid w:val="001E71DA"/>
    <w:rsid w:val="001E7280"/>
    <w:rsid w:val="001E7B78"/>
    <w:rsid w:val="001E7FC0"/>
    <w:rsid w:val="001F0D08"/>
    <w:rsid w:val="001F39F3"/>
    <w:rsid w:val="001F480D"/>
    <w:rsid w:val="001F4DF1"/>
    <w:rsid w:val="001F565B"/>
    <w:rsid w:val="001F76FE"/>
    <w:rsid w:val="001F7DE2"/>
    <w:rsid w:val="002001F4"/>
    <w:rsid w:val="00200769"/>
    <w:rsid w:val="002015CF"/>
    <w:rsid w:val="002018F8"/>
    <w:rsid w:val="0020323D"/>
    <w:rsid w:val="00205964"/>
    <w:rsid w:val="00206063"/>
    <w:rsid w:val="00206E58"/>
    <w:rsid w:val="00207098"/>
    <w:rsid w:val="0021001C"/>
    <w:rsid w:val="00216B06"/>
    <w:rsid w:val="00217CA3"/>
    <w:rsid w:val="0022406F"/>
    <w:rsid w:val="002244F4"/>
    <w:rsid w:val="00224663"/>
    <w:rsid w:val="00226048"/>
    <w:rsid w:val="002266A1"/>
    <w:rsid w:val="00231DB8"/>
    <w:rsid w:val="00232CAC"/>
    <w:rsid w:val="00233EC6"/>
    <w:rsid w:val="0023549E"/>
    <w:rsid w:val="00236C98"/>
    <w:rsid w:val="00237F2B"/>
    <w:rsid w:val="00243A70"/>
    <w:rsid w:val="00244089"/>
    <w:rsid w:val="002445BD"/>
    <w:rsid w:val="00245A9C"/>
    <w:rsid w:val="00246DE5"/>
    <w:rsid w:val="00247E4E"/>
    <w:rsid w:val="002501AF"/>
    <w:rsid w:val="00250C33"/>
    <w:rsid w:val="002541A1"/>
    <w:rsid w:val="00254487"/>
    <w:rsid w:val="002552C0"/>
    <w:rsid w:val="0025530E"/>
    <w:rsid w:val="00256C4E"/>
    <w:rsid w:val="002572CD"/>
    <w:rsid w:val="00257CDE"/>
    <w:rsid w:val="002600A2"/>
    <w:rsid w:val="00261113"/>
    <w:rsid w:val="00261734"/>
    <w:rsid w:val="00261C4C"/>
    <w:rsid w:val="002624AB"/>
    <w:rsid w:val="00262DDA"/>
    <w:rsid w:val="00262F8A"/>
    <w:rsid w:val="00263CFD"/>
    <w:rsid w:val="002650D3"/>
    <w:rsid w:val="00265694"/>
    <w:rsid w:val="00266A38"/>
    <w:rsid w:val="0027165E"/>
    <w:rsid w:val="0027212B"/>
    <w:rsid w:val="00273041"/>
    <w:rsid w:val="002738A5"/>
    <w:rsid w:val="00277C17"/>
    <w:rsid w:val="00277E5E"/>
    <w:rsid w:val="002807C9"/>
    <w:rsid w:val="00282E88"/>
    <w:rsid w:val="0028655C"/>
    <w:rsid w:val="00286F65"/>
    <w:rsid w:val="002928FA"/>
    <w:rsid w:val="002929CD"/>
    <w:rsid w:val="00292E4C"/>
    <w:rsid w:val="00293DD0"/>
    <w:rsid w:val="00293E0C"/>
    <w:rsid w:val="00294321"/>
    <w:rsid w:val="002946D4"/>
    <w:rsid w:val="0029575D"/>
    <w:rsid w:val="002958AD"/>
    <w:rsid w:val="002963C2"/>
    <w:rsid w:val="002A015B"/>
    <w:rsid w:val="002A1790"/>
    <w:rsid w:val="002A18A7"/>
    <w:rsid w:val="002A2C9B"/>
    <w:rsid w:val="002A3B07"/>
    <w:rsid w:val="002A4535"/>
    <w:rsid w:val="002A4BBB"/>
    <w:rsid w:val="002A50F8"/>
    <w:rsid w:val="002A5C48"/>
    <w:rsid w:val="002B0FB7"/>
    <w:rsid w:val="002B26E1"/>
    <w:rsid w:val="002B3A42"/>
    <w:rsid w:val="002B75FD"/>
    <w:rsid w:val="002C011F"/>
    <w:rsid w:val="002C2F80"/>
    <w:rsid w:val="002C3343"/>
    <w:rsid w:val="002C5958"/>
    <w:rsid w:val="002C5BDC"/>
    <w:rsid w:val="002C6C21"/>
    <w:rsid w:val="002C734E"/>
    <w:rsid w:val="002C7398"/>
    <w:rsid w:val="002D2E5E"/>
    <w:rsid w:val="002D3F7E"/>
    <w:rsid w:val="002D41E2"/>
    <w:rsid w:val="002D46B2"/>
    <w:rsid w:val="002D48B5"/>
    <w:rsid w:val="002D4C4B"/>
    <w:rsid w:val="002D4F2F"/>
    <w:rsid w:val="002D565F"/>
    <w:rsid w:val="002D5A24"/>
    <w:rsid w:val="002D5E6B"/>
    <w:rsid w:val="002D6934"/>
    <w:rsid w:val="002D6CE9"/>
    <w:rsid w:val="002E1875"/>
    <w:rsid w:val="002E309B"/>
    <w:rsid w:val="002E4BE3"/>
    <w:rsid w:val="002E50EC"/>
    <w:rsid w:val="002E5677"/>
    <w:rsid w:val="002E5B8B"/>
    <w:rsid w:val="002E5C0C"/>
    <w:rsid w:val="002E5FDF"/>
    <w:rsid w:val="002E7258"/>
    <w:rsid w:val="002F2BE3"/>
    <w:rsid w:val="002F40AA"/>
    <w:rsid w:val="002F489C"/>
    <w:rsid w:val="002F6EAE"/>
    <w:rsid w:val="002F7FE4"/>
    <w:rsid w:val="00300C0C"/>
    <w:rsid w:val="003014D8"/>
    <w:rsid w:val="003016B8"/>
    <w:rsid w:val="003024AE"/>
    <w:rsid w:val="00303A96"/>
    <w:rsid w:val="00304A84"/>
    <w:rsid w:val="003051A4"/>
    <w:rsid w:val="003051E1"/>
    <w:rsid w:val="00305461"/>
    <w:rsid w:val="00305EE7"/>
    <w:rsid w:val="00313E21"/>
    <w:rsid w:val="00314096"/>
    <w:rsid w:val="00314588"/>
    <w:rsid w:val="00316A1A"/>
    <w:rsid w:val="003174DF"/>
    <w:rsid w:val="0032034D"/>
    <w:rsid w:val="00320A6D"/>
    <w:rsid w:val="00322166"/>
    <w:rsid w:val="003235AE"/>
    <w:rsid w:val="00325298"/>
    <w:rsid w:val="0032656A"/>
    <w:rsid w:val="00326A1E"/>
    <w:rsid w:val="0033076A"/>
    <w:rsid w:val="0033129E"/>
    <w:rsid w:val="003313BB"/>
    <w:rsid w:val="00331F2B"/>
    <w:rsid w:val="003323A4"/>
    <w:rsid w:val="003361C3"/>
    <w:rsid w:val="003363E5"/>
    <w:rsid w:val="0033731A"/>
    <w:rsid w:val="00337580"/>
    <w:rsid w:val="00337C07"/>
    <w:rsid w:val="00340393"/>
    <w:rsid w:val="00340506"/>
    <w:rsid w:val="00341E4E"/>
    <w:rsid w:val="00344DC7"/>
    <w:rsid w:val="003468B3"/>
    <w:rsid w:val="003473DC"/>
    <w:rsid w:val="00350008"/>
    <w:rsid w:val="003509E0"/>
    <w:rsid w:val="0035185F"/>
    <w:rsid w:val="00355861"/>
    <w:rsid w:val="00355E4B"/>
    <w:rsid w:val="0035790F"/>
    <w:rsid w:val="0036098E"/>
    <w:rsid w:val="00363691"/>
    <w:rsid w:val="003654A1"/>
    <w:rsid w:val="00373637"/>
    <w:rsid w:val="00373CCE"/>
    <w:rsid w:val="00374A60"/>
    <w:rsid w:val="0037629E"/>
    <w:rsid w:val="00376693"/>
    <w:rsid w:val="00376889"/>
    <w:rsid w:val="00376ACD"/>
    <w:rsid w:val="00377DAF"/>
    <w:rsid w:val="00377F3F"/>
    <w:rsid w:val="0038039D"/>
    <w:rsid w:val="0038098C"/>
    <w:rsid w:val="00382F6D"/>
    <w:rsid w:val="0038367F"/>
    <w:rsid w:val="00383E95"/>
    <w:rsid w:val="0038485D"/>
    <w:rsid w:val="00384B98"/>
    <w:rsid w:val="00385F1E"/>
    <w:rsid w:val="00390231"/>
    <w:rsid w:val="003903BF"/>
    <w:rsid w:val="003905B2"/>
    <w:rsid w:val="003942E9"/>
    <w:rsid w:val="0039679C"/>
    <w:rsid w:val="003969AA"/>
    <w:rsid w:val="00396AEE"/>
    <w:rsid w:val="00396BC5"/>
    <w:rsid w:val="003A0591"/>
    <w:rsid w:val="003A0FDF"/>
    <w:rsid w:val="003A1C01"/>
    <w:rsid w:val="003A62A6"/>
    <w:rsid w:val="003A65D4"/>
    <w:rsid w:val="003A7EE5"/>
    <w:rsid w:val="003B1DF9"/>
    <w:rsid w:val="003B309D"/>
    <w:rsid w:val="003B42EA"/>
    <w:rsid w:val="003B5534"/>
    <w:rsid w:val="003B5658"/>
    <w:rsid w:val="003B69A2"/>
    <w:rsid w:val="003B6D4B"/>
    <w:rsid w:val="003B7DB0"/>
    <w:rsid w:val="003C20B1"/>
    <w:rsid w:val="003C2106"/>
    <w:rsid w:val="003C23A7"/>
    <w:rsid w:val="003C268E"/>
    <w:rsid w:val="003C3865"/>
    <w:rsid w:val="003C5C25"/>
    <w:rsid w:val="003D059B"/>
    <w:rsid w:val="003D2B65"/>
    <w:rsid w:val="003D3B79"/>
    <w:rsid w:val="003D4F58"/>
    <w:rsid w:val="003D6661"/>
    <w:rsid w:val="003E04FE"/>
    <w:rsid w:val="003E08F1"/>
    <w:rsid w:val="003E195B"/>
    <w:rsid w:val="003E1D7F"/>
    <w:rsid w:val="003E3154"/>
    <w:rsid w:val="003E4DD2"/>
    <w:rsid w:val="003E4F7F"/>
    <w:rsid w:val="003E7331"/>
    <w:rsid w:val="003E7763"/>
    <w:rsid w:val="003E7A80"/>
    <w:rsid w:val="003F0B9C"/>
    <w:rsid w:val="003F2505"/>
    <w:rsid w:val="003F3A56"/>
    <w:rsid w:val="003F3C0E"/>
    <w:rsid w:val="003F49F2"/>
    <w:rsid w:val="003F4E6D"/>
    <w:rsid w:val="003F541C"/>
    <w:rsid w:val="003F6BCE"/>
    <w:rsid w:val="003F75E5"/>
    <w:rsid w:val="00403D7E"/>
    <w:rsid w:val="004048BD"/>
    <w:rsid w:val="004058ED"/>
    <w:rsid w:val="0040621C"/>
    <w:rsid w:val="00406477"/>
    <w:rsid w:val="0040723D"/>
    <w:rsid w:val="0041032D"/>
    <w:rsid w:val="004108F9"/>
    <w:rsid w:val="00410CD7"/>
    <w:rsid w:val="00411A50"/>
    <w:rsid w:val="00415C09"/>
    <w:rsid w:val="00417893"/>
    <w:rsid w:val="00420181"/>
    <w:rsid w:val="00420DAA"/>
    <w:rsid w:val="00420FA1"/>
    <w:rsid w:val="004223DD"/>
    <w:rsid w:val="00423141"/>
    <w:rsid w:val="00424579"/>
    <w:rsid w:val="00427C58"/>
    <w:rsid w:val="00430832"/>
    <w:rsid w:val="00431720"/>
    <w:rsid w:val="00431A3D"/>
    <w:rsid w:val="00431EB4"/>
    <w:rsid w:val="004355A8"/>
    <w:rsid w:val="00445F4B"/>
    <w:rsid w:val="004463B7"/>
    <w:rsid w:val="00446ED2"/>
    <w:rsid w:val="004478F2"/>
    <w:rsid w:val="00450366"/>
    <w:rsid w:val="00450943"/>
    <w:rsid w:val="00450974"/>
    <w:rsid w:val="00450D85"/>
    <w:rsid w:val="00450FE5"/>
    <w:rsid w:val="004515F8"/>
    <w:rsid w:val="00451ACE"/>
    <w:rsid w:val="004524FD"/>
    <w:rsid w:val="00452FEB"/>
    <w:rsid w:val="0045309F"/>
    <w:rsid w:val="004545FC"/>
    <w:rsid w:val="004550B4"/>
    <w:rsid w:val="00455411"/>
    <w:rsid w:val="004559E3"/>
    <w:rsid w:val="00455C34"/>
    <w:rsid w:val="00462049"/>
    <w:rsid w:val="00462411"/>
    <w:rsid w:val="004652B4"/>
    <w:rsid w:val="004672D1"/>
    <w:rsid w:val="004714B5"/>
    <w:rsid w:val="00471D1F"/>
    <w:rsid w:val="00473240"/>
    <w:rsid w:val="004747CD"/>
    <w:rsid w:val="00474AC1"/>
    <w:rsid w:val="00475466"/>
    <w:rsid w:val="004759CB"/>
    <w:rsid w:val="00480A87"/>
    <w:rsid w:val="00481875"/>
    <w:rsid w:val="0048273E"/>
    <w:rsid w:val="0048486F"/>
    <w:rsid w:val="004851B0"/>
    <w:rsid w:val="00485FAB"/>
    <w:rsid w:val="0048668D"/>
    <w:rsid w:val="00486C29"/>
    <w:rsid w:val="00487388"/>
    <w:rsid w:val="00487537"/>
    <w:rsid w:val="00487E5C"/>
    <w:rsid w:val="00490914"/>
    <w:rsid w:val="004928E4"/>
    <w:rsid w:val="0049316C"/>
    <w:rsid w:val="0049435D"/>
    <w:rsid w:val="00496707"/>
    <w:rsid w:val="00496A43"/>
    <w:rsid w:val="004A01EF"/>
    <w:rsid w:val="004A1D59"/>
    <w:rsid w:val="004A2D70"/>
    <w:rsid w:val="004A40CF"/>
    <w:rsid w:val="004A45F3"/>
    <w:rsid w:val="004A464F"/>
    <w:rsid w:val="004A49FC"/>
    <w:rsid w:val="004A50C9"/>
    <w:rsid w:val="004A6DDA"/>
    <w:rsid w:val="004B1022"/>
    <w:rsid w:val="004B4E69"/>
    <w:rsid w:val="004B6DC5"/>
    <w:rsid w:val="004B7535"/>
    <w:rsid w:val="004C1261"/>
    <w:rsid w:val="004C20A2"/>
    <w:rsid w:val="004C365D"/>
    <w:rsid w:val="004C3B7A"/>
    <w:rsid w:val="004C6351"/>
    <w:rsid w:val="004C7925"/>
    <w:rsid w:val="004C7B35"/>
    <w:rsid w:val="004D03D4"/>
    <w:rsid w:val="004D16C3"/>
    <w:rsid w:val="004D5E35"/>
    <w:rsid w:val="004D63AE"/>
    <w:rsid w:val="004D74AF"/>
    <w:rsid w:val="004E0DA9"/>
    <w:rsid w:val="004E1F7F"/>
    <w:rsid w:val="004E3C37"/>
    <w:rsid w:val="004E747D"/>
    <w:rsid w:val="004E7C56"/>
    <w:rsid w:val="004F00EA"/>
    <w:rsid w:val="004F021F"/>
    <w:rsid w:val="004F0CCF"/>
    <w:rsid w:val="004F1301"/>
    <w:rsid w:val="004F16B2"/>
    <w:rsid w:val="004F3130"/>
    <w:rsid w:val="004F5074"/>
    <w:rsid w:val="004F5FF9"/>
    <w:rsid w:val="0050050D"/>
    <w:rsid w:val="00500A4B"/>
    <w:rsid w:val="005010FF"/>
    <w:rsid w:val="005011B5"/>
    <w:rsid w:val="00501614"/>
    <w:rsid w:val="005016FB"/>
    <w:rsid w:val="00501958"/>
    <w:rsid w:val="00504009"/>
    <w:rsid w:val="00507646"/>
    <w:rsid w:val="00507D33"/>
    <w:rsid w:val="00510CB0"/>
    <w:rsid w:val="0051214F"/>
    <w:rsid w:val="00512A6A"/>
    <w:rsid w:val="00512DF9"/>
    <w:rsid w:val="005134F7"/>
    <w:rsid w:val="00516665"/>
    <w:rsid w:val="00516A83"/>
    <w:rsid w:val="005171A7"/>
    <w:rsid w:val="00520266"/>
    <w:rsid w:val="005221D6"/>
    <w:rsid w:val="00522A0D"/>
    <w:rsid w:val="005248B4"/>
    <w:rsid w:val="00527C56"/>
    <w:rsid w:val="00532AA3"/>
    <w:rsid w:val="0053396E"/>
    <w:rsid w:val="00535C85"/>
    <w:rsid w:val="0053722B"/>
    <w:rsid w:val="00537ECB"/>
    <w:rsid w:val="00540450"/>
    <w:rsid w:val="00540E94"/>
    <w:rsid w:val="00541363"/>
    <w:rsid w:val="00542B9B"/>
    <w:rsid w:val="00542C12"/>
    <w:rsid w:val="00543D49"/>
    <w:rsid w:val="0054498C"/>
    <w:rsid w:val="00545405"/>
    <w:rsid w:val="00546E74"/>
    <w:rsid w:val="00546FAE"/>
    <w:rsid w:val="00547462"/>
    <w:rsid w:val="005475D6"/>
    <w:rsid w:val="00547EE9"/>
    <w:rsid w:val="00550A5A"/>
    <w:rsid w:val="005540EF"/>
    <w:rsid w:val="005547DC"/>
    <w:rsid w:val="0055502A"/>
    <w:rsid w:val="005551BB"/>
    <w:rsid w:val="00555233"/>
    <w:rsid w:val="005553D6"/>
    <w:rsid w:val="00560A08"/>
    <w:rsid w:val="00562CAA"/>
    <w:rsid w:val="005633BA"/>
    <w:rsid w:val="00563906"/>
    <w:rsid w:val="005639B3"/>
    <w:rsid w:val="005656F1"/>
    <w:rsid w:val="0056590A"/>
    <w:rsid w:val="00565AE7"/>
    <w:rsid w:val="00566B56"/>
    <w:rsid w:val="00567511"/>
    <w:rsid w:val="00570A97"/>
    <w:rsid w:val="00570DED"/>
    <w:rsid w:val="00572255"/>
    <w:rsid w:val="00572C4B"/>
    <w:rsid w:val="00573B72"/>
    <w:rsid w:val="00573F9B"/>
    <w:rsid w:val="0058210C"/>
    <w:rsid w:val="00582928"/>
    <w:rsid w:val="00583D23"/>
    <w:rsid w:val="00585A0E"/>
    <w:rsid w:val="005862BD"/>
    <w:rsid w:val="00586681"/>
    <w:rsid w:val="00586B03"/>
    <w:rsid w:val="00592AE5"/>
    <w:rsid w:val="00593195"/>
    <w:rsid w:val="00593EA6"/>
    <w:rsid w:val="00594588"/>
    <w:rsid w:val="00594F9A"/>
    <w:rsid w:val="005A015F"/>
    <w:rsid w:val="005A02DD"/>
    <w:rsid w:val="005A0DD7"/>
    <w:rsid w:val="005A28F8"/>
    <w:rsid w:val="005A2E34"/>
    <w:rsid w:val="005A3C99"/>
    <w:rsid w:val="005A714A"/>
    <w:rsid w:val="005A7C81"/>
    <w:rsid w:val="005B1F12"/>
    <w:rsid w:val="005B22CA"/>
    <w:rsid w:val="005B37F8"/>
    <w:rsid w:val="005B6295"/>
    <w:rsid w:val="005B742C"/>
    <w:rsid w:val="005B7BC7"/>
    <w:rsid w:val="005C06A4"/>
    <w:rsid w:val="005C0862"/>
    <w:rsid w:val="005C183A"/>
    <w:rsid w:val="005C19E0"/>
    <w:rsid w:val="005C6A7A"/>
    <w:rsid w:val="005C71A3"/>
    <w:rsid w:val="005C78AC"/>
    <w:rsid w:val="005D0941"/>
    <w:rsid w:val="005D1F59"/>
    <w:rsid w:val="005D275D"/>
    <w:rsid w:val="005D6249"/>
    <w:rsid w:val="005D68B7"/>
    <w:rsid w:val="005D7B69"/>
    <w:rsid w:val="005E0B9C"/>
    <w:rsid w:val="005E2CEA"/>
    <w:rsid w:val="005E3A76"/>
    <w:rsid w:val="005E3E4A"/>
    <w:rsid w:val="005E58CA"/>
    <w:rsid w:val="005E5DD2"/>
    <w:rsid w:val="005E63A6"/>
    <w:rsid w:val="005E69A6"/>
    <w:rsid w:val="005F0234"/>
    <w:rsid w:val="005F0EB8"/>
    <w:rsid w:val="005F50BF"/>
    <w:rsid w:val="005F589C"/>
    <w:rsid w:val="005F5E08"/>
    <w:rsid w:val="005F60A6"/>
    <w:rsid w:val="005F7957"/>
    <w:rsid w:val="0060021F"/>
    <w:rsid w:val="00601383"/>
    <w:rsid w:val="00601555"/>
    <w:rsid w:val="00602078"/>
    <w:rsid w:val="0060314D"/>
    <w:rsid w:val="0060335A"/>
    <w:rsid w:val="006052DA"/>
    <w:rsid w:val="0060606B"/>
    <w:rsid w:val="0060635F"/>
    <w:rsid w:val="00606BEE"/>
    <w:rsid w:val="0061073B"/>
    <w:rsid w:val="0061077A"/>
    <w:rsid w:val="0061219F"/>
    <w:rsid w:val="00612B1A"/>
    <w:rsid w:val="00615BDD"/>
    <w:rsid w:val="00615C5E"/>
    <w:rsid w:val="006168DD"/>
    <w:rsid w:val="00620D4D"/>
    <w:rsid w:val="00622ADF"/>
    <w:rsid w:val="00622E38"/>
    <w:rsid w:val="00625579"/>
    <w:rsid w:val="006257DF"/>
    <w:rsid w:val="00626DB5"/>
    <w:rsid w:val="00627071"/>
    <w:rsid w:val="0062760A"/>
    <w:rsid w:val="0063119F"/>
    <w:rsid w:val="006319F4"/>
    <w:rsid w:val="006335C0"/>
    <w:rsid w:val="0063476E"/>
    <w:rsid w:val="006347DA"/>
    <w:rsid w:val="00637B10"/>
    <w:rsid w:val="00640382"/>
    <w:rsid w:val="006418A7"/>
    <w:rsid w:val="006428A9"/>
    <w:rsid w:val="0064346B"/>
    <w:rsid w:val="00643996"/>
    <w:rsid w:val="00644987"/>
    <w:rsid w:val="0064549A"/>
    <w:rsid w:val="00646C17"/>
    <w:rsid w:val="00646F1E"/>
    <w:rsid w:val="0064750B"/>
    <w:rsid w:val="00647F3C"/>
    <w:rsid w:val="006528BC"/>
    <w:rsid w:val="006559A2"/>
    <w:rsid w:val="0065609B"/>
    <w:rsid w:val="00656896"/>
    <w:rsid w:val="00656C63"/>
    <w:rsid w:val="0066033A"/>
    <w:rsid w:val="006608F3"/>
    <w:rsid w:val="00661182"/>
    <w:rsid w:val="00661188"/>
    <w:rsid w:val="006627CF"/>
    <w:rsid w:val="00662B64"/>
    <w:rsid w:val="006643E5"/>
    <w:rsid w:val="00664DE3"/>
    <w:rsid w:val="00666F33"/>
    <w:rsid w:val="00670299"/>
    <w:rsid w:val="006711C8"/>
    <w:rsid w:val="006735FE"/>
    <w:rsid w:val="00677962"/>
    <w:rsid w:val="006811A5"/>
    <w:rsid w:val="0068226B"/>
    <w:rsid w:val="006836BC"/>
    <w:rsid w:val="006847F5"/>
    <w:rsid w:val="00687DC1"/>
    <w:rsid w:val="00690814"/>
    <w:rsid w:val="00691158"/>
    <w:rsid w:val="00692049"/>
    <w:rsid w:val="006923A7"/>
    <w:rsid w:val="00693636"/>
    <w:rsid w:val="00694C3D"/>
    <w:rsid w:val="00695052"/>
    <w:rsid w:val="00695AC2"/>
    <w:rsid w:val="00695B2B"/>
    <w:rsid w:val="00695E1F"/>
    <w:rsid w:val="00696D74"/>
    <w:rsid w:val="006973DB"/>
    <w:rsid w:val="006975B8"/>
    <w:rsid w:val="006A286A"/>
    <w:rsid w:val="006A2CC8"/>
    <w:rsid w:val="006A36A8"/>
    <w:rsid w:val="006A4688"/>
    <w:rsid w:val="006A5168"/>
    <w:rsid w:val="006A6848"/>
    <w:rsid w:val="006A6FD3"/>
    <w:rsid w:val="006A72DA"/>
    <w:rsid w:val="006B1614"/>
    <w:rsid w:val="006B2F04"/>
    <w:rsid w:val="006B3D0A"/>
    <w:rsid w:val="006B4E16"/>
    <w:rsid w:val="006B5A3D"/>
    <w:rsid w:val="006B5D11"/>
    <w:rsid w:val="006B5E2E"/>
    <w:rsid w:val="006B60E8"/>
    <w:rsid w:val="006B7A3D"/>
    <w:rsid w:val="006C0B7A"/>
    <w:rsid w:val="006C0EF6"/>
    <w:rsid w:val="006C1B26"/>
    <w:rsid w:val="006C3B92"/>
    <w:rsid w:val="006C3BD4"/>
    <w:rsid w:val="006C465C"/>
    <w:rsid w:val="006C4693"/>
    <w:rsid w:val="006C5E30"/>
    <w:rsid w:val="006C6EB5"/>
    <w:rsid w:val="006D0536"/>
    <w:rsid w:val="006D053B"/>
    <w:rsid w:val="006D0C2A"/>
    <w:rsid w:val="006D0FEF"/>
    <w:rsid w:val="006D18CD"/>
    <w:rsid w:val="006D2353"/>
    <w:rsid w:val="006D2BF1"/>
    <w:rsid w:val="006D2F9B"/>
    <w:rsid w:val="006D3333"/>
    <w:rsid w:val="006D42C2"/>
    <w:rsid w:val="006D6592"/>
    <w:rsid w:val="006D7A9F"/>
    <w:rsid w:val="006E1C72"/>
    <w:rsid w:val="006E212C"/>
    <w:rsid w:val="006E3160"/>
    <w:rsid w:val="006E441B"/>
    <w:rsid w:val="006E57B7"/>
    <w:rsid w:val="006E6538"/>
    <w:rsid w:val="006E6B6F"/>
    <w:rsid w:val="006E6B74"/>
    <w:rsid w:val="006E7F94"/>
    <w:rsid w:val="006F0095"/>
    <w:rsid w:val="006F0C88"/>
    <w:rsid w:val="006F12F1"/>
    <w:rsid w:val="006F33A8"/>
    <w:rsid w:val="006F3434"/>
    <w:rsid w:val="006F3A91"/>
    <w:rsid w:val="006F41FD"/>
    <w:rsid w:val="006F687E"/>
    <w:rsid w:val="006F6C8D"/>
    <w:rsid w:val="006F7DCE"/>
    <w:rsid w:val="00701E82"/>
    <w:rsid w:val="00702F77"/>
    <w:rsid w:val="00702F9A"/>
    <w:rsid w:val="00706793"/>
    <w:rsid w:val="00706D3C"/>
    <w:rsid w:val="00707294"/>
    <w:rsid w:val="00707F5E"/>
    <w:rsid w:val="007121BC"/>
    <w:rsid w:val="0071242B"/>
    <w:rsid w:val="00713177"/>
    <w:rsid w:val="00713299"/>
    <w:rsid w:val="00715DB8"/>
    <w:rsid w:val="007162D1"/>
    <w:rsid w:val="0071659A"/>
    <w:rsid w:val="0071760E"/>
    <w:rsid w:val="00717FED"/>
    <w:rsid w:val="00720384"/>
    <w:rsid w:val="0072089E"/>
    <w:rsid w:val="00721CB4"/>
    <w:rsid w:val="00722802"/>
    <w:rsid w:val="00722D28"/>
    <w:rsid w:val="00724DBC"/>
    <w:rsid w:val="007260AF"/>
    <w:rsid w:val="007323DF"/>
    <w:rsid w:val="0073344F"/>
    <w:rsid w:val="007335BC"/>
    <w:rsid w:val="00733F03"/>
    <w:rsid w:val="00735CE8"/>
    <w:rsid w:val="00736C0F"/>
    <w:rsid w:val="0074188C"/>
    <w:rsid w:val="00741DA9"/>
    <w:rsid w:val="00742126"/>
    <w:rsid w:val="007438A0"/>
    <w:rsid w:val="00743F6E"/>
    <w:rsid w:val="00746383"/>
    <w:rsid w:val="007468F0"/>
    <w:rsid w:val="00746911"/>
    <w:rsid w:val="00746AB6"/>
    <w:rsid w:val="00751934"/>
    <w:rsid w:val="00751D2A"/>
    <w:rsid w:val="0075237C"/>
    <w:rsid w:val="00752635"/>
    <w:rsid w:val="00753905"/>
    <w:rsid w:val="00754103"/>
    <w:rsid w:val="00756581"/>
    <w:rsid w:val="00757B00"/>
    <w:rsid w:val="00757C20"/>
    <w:rsid w:val="00761A9B"/>
    <w:rsid w:val="0076260F"/>
    <w:rsid w:val="00764347"/>
    <w:rsid w:val="00764ABF"/>
    <w:rsid w:val="007650A1"/>
    <w:rsid w:val="00766EA5"/>
    <w:rsid w:val="00772AB3"/>
    <w:rsid w:val="00773445"/>
    <w:rsid w:val="00775546"/>
    <w:rsid w:val="00775A42"/>
    <w:rsid w:val="00776829"/>
    <w:rsid w:val="00777715"/>
    <w:rsid w:val="0078032B"/>
    <w:rsid w:val="00782A86"/>
    <w:rsid w:val="00786296"/>
    <w:rsid w:val="00786E5C"/>
    <w:rsid w:val="007875F8"/>
    <w:rsid w:val="00790520"/>
    <w:rsid w:val="00791EDE"/>
    <w:rsid w:val="00791F6E"/>
    <w:rsid w:val="007924F4"/>
    <w:rsid w:val="007927A4"/>
    <w:rsid w:val="0079404F"/>
    <w:rsid w:val="007949BA"/>
    <w:rsid w:val="0079683A"/>
    <w:rsid w:val="0079739C"/>
    <w:rsid w:val="007A2B67"/>
    <w:rsid w:val="007A2F3D"/>
    <w:rsid w:val="007A4561"/>
    <w:rsid w:val="007A4A84"/>
    <w:rsid w:val="007A63CC"/>
    <w:rsid w:val="007B022B"/>
    <w:rsid w:val="007B03B8"/>
    <w:rsid w:val="007B2332"/>
    <w:rsid w:val="007B5627"/>
    <w:rsid w:val="007B5BE3"/>
    <w:rsid w:val="007B6148"/>
    <w:rsid w:val="007B6347"/>
    <w:rsid w:val="007C087B"/>
    <w:rsid w:val="007C163E"/>
    <w:rsid w:val="007C268B"/>
    <w:rsid w:val="007C28F3"/>
    <w:rsid w:val="007C2AFF"/>
    <w:rsid w:val="007C2B5C"/>
    <w:rsid w:val="007C3AB4"/>
    <w:rsid w:val="007C4B7F"/>
    <w:rsid w:val="007C689F"/>
    <w:rsid w:val="007C6E82"/>
    <w:rsid w:val="007C7046"/>
    <w:rsid w:val="007D3112"/>
    <w:rsid w:val="007D454B"/>
    <w:rsid w:val="007D5FB3"/>
    <w:rsid w:val="007D709E"/>
    <w:rsid w:val="007E0AA7"/>
    <w:rsid w:val="007E0B09"/>
    <w:rsid w:val="007E57C2"/>
    <w:rsid w:val="007E6B1B"/>
    <w:rsid w:val="007E6C8F"/>
    <w:rsid w:val="007E75DB"/>
    <w:rsid w:val="007F03D7"/>
    <w:rsid w:val="007F043E"/>
    <w:rsid w:val="007F0EAD"/>
    <w:rsid w:val="007F2FCE"/>
    <w:rsid w:val="007F3071"/>
    <w:rsid w:val="007F35E3"/>
    <w:rsid w:val="007F4AF1"/>
    <w:rsid w:val="007F4E39"/>
    <w:rsid w:val="007F6054"/>
    <w:rsid w:val="007F70DE"/>
    <w:rsid w:val="007F755C"/>
    <w:rsid w:val="007F7EC5"/>
    <w:rsid w:val="0080024D"/>
    <w:rsid w:val="00801979"/>
    <w:rsid w:val="00801E0F"/>
    <w:rsid w:val="00804AE2"/>
    <w:rsid w:val="00804E40"/>
    <w:rsid w:val="00807026"/>
    <w:rsid w:val="00807E20"/>
    <w:rsid w:val="008101F3"/>
    <w:rsid w:val="00810262"/>
    <w:rsid w:val="008108C7"/>
    <w:rsid w:val="00814181"/>
    <w:rsid w:val="00814657"/>
    <w:rsid w:val="008155AC"/>
    <w:rsid w:val="008159FC"/>
    <w:rsid w:val="008165B7"/>
    <w:rsid w:val="0081680E"/>
    <w:rsid w:val="00816BF6"/>
    <w:rsid w:val="008170AF"/>
    <w:rsid w:val="008172FD"/>
    <w:rsid w:val="00820C04"/>
    <w:rsid w:val="00821C38"/>
    <w:rsid w:val="0082660D"/>
    <w:rsid w:val="00827729"/>
    <w:rsid w:val="008279CA"/>
    <w:rsid w:val="00830D2F"/>
    <w:rsid w:val="0083106C"/>
    <w:rsid w:val="0083139B"/>
    <w:rsid w:val="0083204E"/>
    <w:rsid w:val="008338E1"/>
    <w:rsid w:val="0083561B"/>
    <w:rsid w:val="008358F3"/>
    <w:rsid w:val="008361F0"/>
    <w:rsid w:val="00836A40"/>
    <w:rsid w:val="008374CA"/>
    <w:rsid w:val="00837A3F"/>
    <w:rsid w:val="00840356"/>
    <w:rsid w:val="00840730"/>
    <w:rsid w:val="008471B8"/>
    <w:rsid w:val="0085053B"/>
    <w:rsid w:val="008516F9"/>
    <w:rsid w:val="00852A26"/>
    <w:rsid w:val="00852EDB"/>
    <w:rsid w:val="008560BB"/>
    <w:rsid w:val="00857A58"/>
    <w:rsid w:val="00860A55"/>
    <w:rsid w:val="008624C9"/>
    <w:rsid w:val="00862A5C"/>
    <w:rsid w:val="00863FEF"/>
    <w:rsid w:val="0086492F"/>
    <w:rsid w:val="008649BA"/>
    <w:rsid w:val="00870C36"/>
    <w:rsid w:val="0087344A"/>
    <w:rsid w:val="00874576"/>
    <w:rsid w:val="008776F9"/>
    <w:rsid w:val="00880ED6"/>
    <w:rsid w:val="00881F35"/>
    <w:rsid w:val="0088213D"/>
    <w:rsid w:val="00882314"/>
    <w:rsid w:val="00883A7A"/>
    <w:rsid w:val="008841A1"/>
    <w:rsid w:val="008850CC"/>
    <w:rsid w:val="0088596A"/>
    <w:rsid w:val="008860E4"/>
    <w:rsid w:val="0088781C"/>
    <w:rsid w:val="00887D7F"/>
    <w:rsid w:val="00887F25"/>
    <w:rsid w:val="00890382"/>
    <w:rsid w:val="00891696"/>
    <w:rsid w:val="00893791"/>
    <w:rsid w:val="00893822"/>
    <w:rsid w:val="00895878"/>
    <w:rsid w:val="008968C3"/>
    <w:rsid w:val="00896CB5"/>
    <w:rsid w:val="00896E36"/>
    <w:rsid w:val="00897241"/>
    <w:rsid w:val="008972AE"/>
    <w:rsid w:val="008A0481"/>
    <w:rsid w:val="008A1970"/>
    <w:rsid w:val="008B3064"/>
    <w:rsid w:val="008B3134"/>
    <w:rsid w:val="008B4FF8"/>
    <w:rsid w:val="008B748D"/>
    <w:rsid w:val="008C0DD0"/>
    <w:rsid w:val="008C10A2"/>
    <w:rsid w:val="008C2215"/>
    <w:rsid w:val="008C28D6"/>
    <w:rsid w:val="008C3475"/>
    <w:rsid w:val="008C46AB"/>
    <w:rsid w:val="008C4CD4"/>
    <w:rsid w:val="008D081D"/>
    <w:rsid w:val="008D2FB1"/>
    <w:rsid w:val="008D32ED"/>
    <w:rsid w:val="008D4BC1"/>
    <w:rsid w:val="008D5872"/>
    <w:rsid w:val="008E0835"/>
    <w:rsid w:val="008E1CD8"/>
    <w:rsid w:val="008E1DEB"/>
    <w:rsid w:val="008E42C4"/>
    <w:rsid w:val="008E6F84"/>
    <w:rsid w:val="008E7609"/>
    <w:rsid w:val="008F0EDE"/>
    <w:rsid w:val="008F25FE"/>
    <w:rsid w:val="008F2B06"/>
    <w:rsid w:val="008F44E4"/>
    <w:rsid w:val="008F487B"/>
    <w:rsid w:val="008F56A6"/>
    <w:rsid w:val="008F6633"/>
    <w:rsid w:val="008F675C"/>
    <w:rsid w:val="008F6D92"/>
    <w:rsid w:val="008F7A45"/>
    <w:rsid w:val="008F7C35"/>
    <w:rsid w:val="009009E4"/>
    <w:rsid w:val="00900BFF"/>
    <w:rsid w:val="0090353D"/>
    <w:rsid w:val="00904A07"/>
    <w:rsid w:val="00904D48"/>
    <w:rsid w:val="00905CE7"/>
    <w:rsid w:val="00906BF7"/>
    <w:rsid w:val="00910E99"/>
    <w:rsid w:val="0091127B"/>
    <w:rsid w:val="00914DA2"/>
    <w:rsid w:val="00916061"/>
    <w:rsid w:val="0091658C"/>
    <w:rsid w:val="00920058"/>
    <w:rsid w:val="00923D72"/>
    <w:rsid w:val="0092488F"/>
    <w:rsid w:val="0092557D"/>
    <w:rsid w:val="00926258"/>
    <w:rsid w:val="00926F5B"/>
    <w:rsid w:val="00927280"/>
    <w:rsid w:val="00927462"/>
    <w:rsid w:val="009277E6"/>
    <w:rsid w:val="0093051F"/>
    <w:rsid w:val="0093101E"/>
    <w:rsid w:val="0093130C"/>
    <w:rsid w:val="00931B8A"/>
    <w:rsid w:val="00931F79"/>
    <w:rsid w:val="009320D3"/>
    <w:rsid w:val="0093259D"/>
    <w:rsid w:val="009326AE"/>
    <w:rsid w:val="009332B0"/>
    <w:rsid w:val="0093339A"/>
    <w:rsid w:val="00934944"/>
    <w:rsid w:val="00934AD1"/>
    <w:rsid w:val="0093634F"/>
    <w:rsid w:val="00937722"/>
    <w:rsid w:val="00940776"/>
    <w:rsid w:val="00942124"/>
    <w:rsid w:val="00942988"/>
    <w:rsid w:val="00942E05"/>
    <w:rsid w:val="00945196"/>
    <w:rsid w:val="00946107"/>
    <w:rsid w:val="00950ECB"/>
    <w:rsid w:val="009513BB"/>
    <w:rsid w:val="00951B1B"/>
    <w:rsid w:val="0095369E"/>
    <w:rsid w:val="00954BDD"/>
    <w:rsid w:val="00955445"/>
    <w:rsid w:val="009572BD"/>
    <w:rsid w:val="00961111"/>
    <w:rsid w:val="0096279A"/>
    <w:rsid w:val="009627FF"/>
    <w:rsid w:val="00963A00"/>
    <w:rsid w:val="00964F87"/>
    <w:rsid w:val="00965EF7"/>
    <w:rsid w:val="0096677D"/>
    <w:rsid w:val="0096732A"/>
    <w:rsid w:val="00967E35"/>
    <w:rsid w:val="00971840"/>
    <w:rsid w:val="00971C75"/>
    <w:rsid w:val="009739F8"/>
    <w:rsid w:val="00973D96"/>
    <w:rsid w:val="009805BA"/>
    <w:rsid w:val="00980CAE"/>
    <w:rsid w:val="00981DAE"/>
    <w:rsid w:val="0098279E"/>
    <w:rsid w:val="0098365F"/>
    <w:rsid w:val="00983A1E"/>
    <w:rsid w:val="00985DE8"/>
    <w:rsid w:val="009862B6"/>
    <w:rsid w:val="00987373"/>
    <w:rsid w:val="0099268B"/>
    <w:rsid w:val="009932A9"/>
    <w:rsid w:val="00993F9C"/>
    <w:rsid w:val="00994257"/>
    <w:rsid w:val="00994E23"/>
    <w:rsid w:val="00995074"/>
    <w:rsid w:val="0099579D"/>
    <w:rsid w:val="009963A5"/>
    <w:rsid w:val="009A0B7D"/>
    <w:rsid w:val="009A28B8"/>
    <w:rsid w:val="009A5748"/>
    <w:rsid w:val="009A59FC"/>
    <w:rsid w:val="009A74F2"/>
    <w:rsid w:val="009B0C4C"/>
    <w:rsid w:val="009B11AC"/>
    <w:rsid w:val="009B14A4"/>
    <w:rsid w:val="009B1844"/>
    <w:rsid w:val="009B212B"/>
    <w:rsid w:val="009B21DD"/>
    <w:rsid w:val="009B23E7"/>
    <w:rsid w:val="009B2AC8"/>
    <w:rsid w:val="009B2B6D"/>
    <w:rsid w:val="009B2C0C"/>
    <w:rsid w:val="009B34E8"/>
    <w:rsid w:val="009B3C7A"/>
    <w:rsid w:val="009B431F"/>
    <w:rsid w:val="009B435F"/>
    <w:rsid w:val="009B468B"/>
    <w:rsid w:val="009B5FCC"/>
    <w:rsid w:val="009B6E8E"/>
    <w:rsid w:val="009B6EE7"/>
    <w:rsid w:val="009C009D"/>
    <w:rsid w:val="009C08DF"/>
    <w:rsid w:val="009C5024"/>
    <w:rsid w:val="009C5A26"/>
    <w:rsid w:val="009D0BE0"/>
    <w:rsid w:val="009D16A1"/>
    <w:rsid w:val="009D177A"/>
    <w:rsid w:val="009D199F"/>
    <w:rsid w:val="009D2D1C"/>
    <w:rsid w:val="009D4457"/>
    <w:rsid w:val="009D66B8"/>
    <w:rsid w:val="009D6E1E"/>
    <w:rsid w:val="009D7463"/>
    <w:rsid w:val="009E049E"/>
    <w:rsid w:val="009E145B"/>
    <w:rsid w:val="009E1DCD"/>
    <w:rsid w:val="009E5838"/>
    <w:rsid w:val="009E6764"/>
    <w:rsid w:val="009E7EF0"/>
    <w:rsid w:val="009F2583"/>
    <w:rsid w:val="009F3550"/>
    <w:rsid w:val="009F4558"/>
    <w:rsid w:val="009F45E1"/>
    <w:rsid w:val="009F643E"/>
    <w:rsid w:val="009F66F6"/>
    <w:rsid w:val="009F7A32"/>
    <w:rsid w:val="009F7A40"/>
    <w:rsid w:val="00A03347"/>
    <w:rsid w:val="00A034F2"/>
    <w:rsid w:val="00A05378"/>
    <w:rsid w:val="00A10888"/>
    <w:rsid w:val="00A11F40"/>
    <w:rsid w:val="00A126CE"/>
    <w:rsid w:val="00A14738"/>
    <w:rsid w:val="00A14E1A"/>
    <w:rsid w:val="00A15193"/>
    <w:rsid w:val="00A15517"/>
    <w:rsid w:val="00A15EA4"/>
    <w:rsid w:val="00A21DA3"/>
    <w:rsid w:val="00A2414C"/>
    <w:rsid w:val="00A24583"/>
    <w:rsid w:val="00A2480E"/>
    <w:rsid w:val="00A2484B"/>
    <w:rsid w:val="00A254E5"/>
    <w:rsid w:val="00A2565E"/>
    <w:rsid w:val="00A26839"/>
    <w:rsid w:val="00A26F42"/>
    <w:rsid w:val="00A27E4B"/>
    <w:rsid w:val="00A27FD3"/>
    <w:rsid w:val="00A31704"/>
    <w:rsid w:val="00A32C4F"/>
    <w:rsid w:val="00A337AD"/>
    <w:rsid w:val="00A33B7E"/>
    <w:rsid w:val="00A360F4"/>
    <w:rsid w:val="00A362BB"/>
    <w:rsid w:val="00A36BCF"/>
    <w:rsid w:val="00A370C3"/>
    <w:rsid w:val="00A3798D"/>
    <w:rsid w:val="00A40C89"/>
    <w:rsid w:val="00A418E8"/>
    <w:rsid w:val="00A422A6"/>
    <w:rsid w:val="00A44D64"/>
    <w:rsid w:val="00A45447"/>
    <w:rsid w:val="00A45D1A"/>
    <w:rsid w:val="00A46207"/>
    <w:rsid w:val="00A462B5"/>
    <w:rsid w:val="00A4649D"/>
    <w:rsid w:val="00A47ACF"/>
    <w:rsid w:val="00A47F7D"/>
    <w:rsid w:val="00A503A6"/>
    <w:rsid w:val="00A50D37"/>
    <w:rsid w:val="00A521BE"/>
    <w:rsid w:val="00A52467"/>
    <w:rsid w:val="00A52E5F"/>
    <w:rsid w:val="00A52ED0"/>
    <w:rsid w:val="00A53502"/>
    <w:rsid w:val="00A55336"/>
    <w:rsid w:val="00A561D4"/>
    <w:rsid w:val="00A563FE"/>
    <w:rsid w:val="00A57F8F"/>
    <w:rsid w:val="00A601CA"/>
    <w:rsid w:val="00A630AC"/>
    <w:rsid w:val="00A648EB"/>
    <w:rsid w:val="00A6715A"/>
    <w:rsid w:val="00A67DA5"/>
    <w:rsid w:val="00A70C73"/>
    <w:rsid w:val="00A730A3"/>
    <w:rsid w:val="00A73C0B"/>
    <w:rsid w:val="00A7476D"/>
    <w:rsid w:val="00A7538C"/>
    <w:rsid w:val="00A75421"/>
    <w:rsid w:val="00A76347"/>
    <w:rsid w:val="00A76C0D"/>
    <w:rsid w:val="00A76D4C"/>
    <w:rsid w:val="00A77C27"/>
    <w:rsid w:val="00A820D3"/>
    <w:rsid w:val="00A82467"/>
    <w:rsid w:val="00A8465B"/>
    <w:rsid w:val="00A84D34"/>
    <w:rsid w:val="00A87367"/>
    <w:rsid w:val="00A91EA0"/>
    <w:rsid w:val="00A92A4E"/>
    <w:rsid w:val="00A92BB2"/>
    <w:rsid w:val="00A93C6B"/>
    <w:rsid w:val="00A93D2A"/>
    <w:rsid w:val="00A9450D"/>
    <w:rsid w:val="00A94AB6"/>
    <w:rsid w:val="00A953EB"/>
    <w:rsid w:val="00AA01A1"/>
    <w:rsid w:val="00AA04E3"/>
    <w:rsid w:val="00AA0F8B"/>
    <w:rsid w:val="00AA42BE"/>
    <w:rsid w:val="00AA5579"/>
    <w:rsid w:val="00AB207D"/>
    <w:rsid w:val="00AB24AF"/>
    <w:rsid w:val="00AB30F8"/>
    <w:rsid w:val="00AB3D0E"/>
    <w:rsid w:val="00AB5168"/>
    <w:rsid w:val="00AB5D20"/>
    <w:rsid w:val="00AB73D2"/>
    <w:rsid w:val="00AB79DE"/>
    <w:rsid w:val="00AC1891"/>
    <w:rsid w:val="00AC1FDA"/>
    <w:rsid w:val="00AC442F"/>
    <w:rsid w:val="00AC5161"/>
    <w:rsid w:val="00AC5846"/>
    <w:rsid w:val="00AC6842"/>
    <w:rsid w:val="00AD07A2"/>
    <w:rsid w:val="00AD0EE2"/>
    <w:rsid w:val="00AD0FA7"/>
    <w:rsid w:val="00AD51CD"/>
    <w:rsid w:val="00AD7DE8"/>
    <w:rsid w:val="00AE05C4"/>
    <w:rsid w:val="00AE1AD5"/>
    <w:rsid w:val="00AE256E"/>
    <w:rsid w:val="00AE2960"/>
    <w:rsid w:val="00AE2AC1"/>
    <w:rsid w:val="00AE2FA0"/>
    <w:rsid w:val="00AE378C"/>
    <w:rsid w:val="00AE7374"/>
    <w:rsid w:val="00AF2261"/>
    <w:rsid w:val="00AF233E"/>
    <w:rsid w:val="00AF348F"/>
    <w:rsid w:val="00AF3F98"/>
    <w:rsid w:val="00AF45DD"/>
    <w:rsid w:val="00AF581B"/>
    <w:rsid w:val="00AF7AF6"/>
    <w:rsid w:val="00B02295"/>
    <w:rsid w:val="00B03548"/>
    <w:rsid w:val="00B068BE"/>
    <w:rsid w:val="00B1084B"/>
    <w:rsid w:val="00B14A99"/>
    <w:rsid w:val="00B15825"/>
    <w:rsid w:val="00B1582B"/>
    <w:rsid w:val="00B16133"/>
    <w:rsid w:val="00B168F3"/>
    <w:rsid w:val="00B17812"/>
    <w:rsid w:val="00B20B7A"/>
    <w:rsid w:val="00B20E11"/>
    <w:rsid w:val="00B20ED6"/>
    <w:rsid w:val="00B22ACE"/>
    <w:rsid w:val="00B322BA"/>
    <w:rsid w:val="00B324C3"/>
    <w:rsid w:val="00B32666"/>
    <w:rsid w:val="00B32A45"/>
    <w:rsid w:val="00B34A87"/>
    <w:rsid w:val="00B35F41"/>
    <w:rsid w:val="00B35FF5"/>
    <w:rsid w:val="00B3744D"/>
    <w:rsid w:val="00B40681"/>
    <w:rsid w:val="00B40F33"/>
    <w:rsid w:val="00B4240F"/>
    <w:rsid w:val="00B42586"/>
    <w:rsid w:val="00B4267C"/>
    <w:rsid w:val="00B446AC"/>
    <w:rsid w:val="00B45F38"/>
    <w:rsid w:val="00B45FAE"/>
    <w:rsid w:val="00B471CA"/>
    <w:rsid w:val="00B47212"/>
    <w:rsid w:val="00B47475"/>
    <w:rsid w:val="00B53576"/>
    <w:rsid w:val="00B5392F"/>
    <w:rsid w:val="00B635FF"/>
    <w:rsid w:val="00B644A2"/>
    <w:rsid w:val="00B66398"/>
    <w:rsid w:val="00B6795B"/>
    <w:rsid w:val="00B70D81"/>
    <w:rsid w:val="00B71BC3"/>
    <w:rsid w:val="00B7281A"/>
    <w:rsid w:val="00B736FB"/>
    <w:rsid w:val="00B74C31"/>
    <w:rsid w:val="00B75AF9"/>
    <w:rsid w:val="00B76640"/>
    <w:rsid w:val="00B76967"/>
    <w:rsid w:val="00B76D35"/>
    <w:rsid w:val="00B8023C"/>
    <w:rsid w:val="00B82656"/>
    <w:rsid w:val="00B82693"/>
    <w:rsid w:val="00B839CB"/>
    <w:rsid w:val="00B867CC"/>
    <w:rsid w:val="00B90B7C"/>
    <w:rsid w:val="00B90D6E"/>
    <w:rsid w:val="00B91225"/>
    <w:rsid w:val="00B91F94"/>
    <w:rsid w:val="00B93993"/>
    <w:rsid w:val="00B95504"/>
    <w:rsid w:val="00B9768E"/>
    <w:rsid w:val="00BA06ED"/>
    <w:rsid w:val="00BA1EB5"/>
    <w:rsid w:val="00BA2222"/>
    <w:rsid w:val="00BA4B07"/>
    <w:rsid w:val="00BA5D90"/>
    <w:rsid w:val="00BB015B"/>
    <w:rsid w:val="00BB02B8"/>
    <w:rsid w:val="00BB24E5"/>
    <w:rsid w:val="00BB2729"/>
    <w:rsid w:val="00BB28CE"/>
    <w:rsid w:val="00BB621B"/>
    <w:rsid w:val="00BC1E54"/>
    <w:rsid w:val="00BC2074"/>
    <w:rsid w:val="00BC2EA8"/>
    <w:rsid w:val="00BC33E0"/>
    <w:rsid w:val="00BC34B9"/>
    <w:rsid w:val="00BC4B62"/>
    <w:rsid w:val="00BC58F7"/>
    <w:rsid w:val="00BC60D2"/>
    <w:rsid w:val="00BC6124"/>
    <w:rsid w:val="00BC633D"/>
    <w:rsid w:val="00BC6B68"/>
    <w:rsid w:val="00BC7382"/>
    <w:rsid w:val="00BC73EF"/>
    <w:rsid w:val="00BC77AB"/>
    <w:rsid w:val="00BC7BD1"/>
    <w:rsid w:val="00BC7C4B"/>
    <w:rsid w:val="00BD0DB1"/>
    <w:rsid w:val="00BD13AE"/>
    <w:rsid w:val="00BD2565"/>
    <w:rsid w:val="00BD27D5"/>
    <w:rsid w:val="00BD3597"/>
    <w:rsid w:val="00BD3CB8"/>
    <w:rsid w:val="00BD3D99"/>
    <w:rsid w:val="00BD51C2"/>
    <w:rsid w:val="00BE13BC"/>
    <w:rsid w:val="00BE5095"/>
    <w:rsid w:val="00BE668A"/>
    <w:rsid w:val="00BF1797"/>
    <w:rsid w:val="00BF1EC1"/>
    <w:rsid w:val="00BF2292"/>
    <w:rsid w:val="00BF3C03"/>
    <w:rsid w:val="00BF3F74"/>
    <w:rsid w:val="00BF5157"/>
    <w:rsid w:val="00BF57E0"/>
    <w:rsid w:val="00C02403"/>
    <w:rsid w:val="00C046F1"/>
    <w:rsid w:val="00C052CE"/>
    <w:rsid w:val="00C060C9"/>
    <w:rsid w:val="00C0714D"/>
    <w:rsid w:val="00C078E1"/>
    <w:rsid w:val="00C07B9F"/>
    <w:rsid w:val="00C07BD0"/>
    <w:rsid w:val="00C106EE"/>
    <w:rsid w:val="00C11A01"/>
    <w:rsid w:val="00C11AD4"/>
    <w:rsid w:val="00C12404"/>
    <w:rsid w:val="00C126F6"/>
    <w:rsid w:val="00C13F8A"/>
    <w:rsid w:val="00C14702"/>
    <w:rsid w:val="00C16406"/>
    <w:rsid w:val="00C16910"/>
    <w:rsid w:val="00C20703"/>
    <w:rsid w:val="00C21166"/>
    <w:rsid w:val="00C21879"/>
    <w:rsid w:val="00C21ED8"/>
    <w:rsid w:val="00C22B50"/>
    <w:rsid w:val="00C22D7E"/>
    <w:rsid w:val="00C23051"/>
    <w:rsid w:val="00C25150"/>
    <w:rsid w:val="00C273E5"/>
    <w:rsid w:val="00C276D8"/>
    <w:rsid w:val="00C30B37"/>
    <w:rsid w:val="00C30DAF"/>
    <w:rsid w:val="00C3232A"/>
    <w:rsid w:val="00C33F4F"/>
    <w:rsid w:val="00C357F0"/>
    <w:rsid w:val="00C3598E"/>
    <w:rsid w:val="00C360D5"/>
    <w:rsid w:val="00C367DA"/>
    <w:rsid w:val="00C4100B"/>
    <w:rsid w:val="00C4165E"/>
    <w:rsid w:val="00C45559"/>
    <w:rsid w:val="00C52D2B"/>
    <w:rsid w:val="00C52F56"/>
    <w:rsid w:val="00C5404C"/>
    <w:rsid w:val="00C5573F"/>
    <w:rsid w:val="00C57B04"/>
    <w:rsid w:val="00C60858"/>
    <w:rsid w:val="00C62490"/>
    <w:rsid w:val="00C63EE4"/>
    <w:rsid w:val="00C640B5"/>
    <w:rsid w:val="00C6633D"/>
    <w:rsid w:val="00C71137"/>
    <w:rsid w:val="00C71AC0"/>
    <w:rsid w:val="00C71BE2"/>
    <w:rsid w:val="00C72044"/>
    <w:rsid w:val="00C723D3"/>
    <w:rsid w:val="00C723E6"/>
    <w:rsid w:val="00C727D1"/>
    <w:rsid w:val="00C75CF0"/>
    <w:rsid w:val="00C7603F"/>
    <w:rsid w:val="00C76EA3"/>
    <w:rsid w:val="00C77D9D"/>
    <w:rsid w:val="00C77F49"/>
    <w:rsid w:val="00C80D69"/>
    <w:rsid w:val="00C80D99"/>
    <w:rsid w:val="00C8197C"/>
    <w:rsid w:val="00C819BA"/>
    <w:rsid w:val="00C836FF"/>
    <w:rsid w:val="00C85CD3"/>
    <w:rsid w:val="00C86AC3"/>
    <w:rsid w:val="00C87D0B"/>
    <w:rsid w:val="00C91B59"/>
    <w:rsid w:val="00C91E52"/>
    <w:rsid w:val="00C91EB4"/>
    <w:rsid w:val="00C93614"/>
    <w:rsid w:val="00C94A71"/>
    <w:rsid w:val="00C9554E"/>
    <w:rsid w:val="00C95736"/>
    <w:rsid w:val="00C95757"/>
    <w:rsid w:val="00C95F9A"/>
    <w:rsid w:val="00C9702F"/>
    <w:rsid w:val="00C97433"/>
    <w:rsid w:val="00C976C8"/>
    <w:rsid w:val="00CA19BF"/>
    <w:rsid w:val="00CA2280"/>
    <w:rsid w:val="00CA3EDE"/>
    <w:rsid w:val="00CA4208"/>
    <w:rsid w:val="00CA4837"/>
    <w:rsid w:val="00CA4975"/>
    <w:rsid w:val="00CA5324"/>
    <w:rsid w:val="00CA77E5"/>
    <w:rsid w:val="00CA781E"/>
    <w:rsid w:val="00CB120A"/>
    <w:rsid w:val="00CB18FD"/>
    <w:rsid w:val="00CB20A0"/>
    <w:rsid w:val="00CB39E2"/>
    <w:rsid w:val="00CB48DE"/>
    <w:rsid w:val="00CB4CAA"/>
    <w:rsid w:val="00CB68DB"/>
    <w:rsid w:val="00CB73D0"/>
    <w:rsid w:val="00CC0329"/>
    <w:rsid w:val="00CC03D0"/>
    <w:rsid w:val="00CC157E"/>
    <w:rsid w:val="00CC2AB0"/>
    <w:rsid w:val="00CC3232"/>
    <w:rsid w:val="00CC3719"/>
    <w:rsid w:val="00CC5200"/>
    <w:rsid w:val="00CC5867"/>
    <w:rsid w:val="00CC5957"/>
    <w:rsid w:val="00CC5970"/>
    <w:rsid w:val="00CC744D"/>
    <w:rsid w:val="00CD03FA"/>
    <w:rsid w:val="00CD1266"/>
    <w:rsid w:val="00CD1D63"/>
    <w:rsid w:val="00CD58A0"/>
    <w:rsid w:val="00CD5D2E"/>
    <w:rsid w:val="00CD6292"/>
    <w:rsid w:val="00CE1BC9"/>
    <w:rsid w:val="00CE2618"/>
    <w:rsid w:val="00CE6A0E"/>
    <w:rsid w:val="00CE711C"/>
    <w:rsid w:val="00CE754A"/>
    <w:rsid w:val="00CE77DB"/>
    <w:rsid w:val="00CE7B58"/>
    <w:rsid w:val="00CF071C"/>
    <w:rsid w:val="00CF0B49"/>
    <w:rsid w:val="00CF4CBE"/>
    <w:rsid w:val="00CF4E20"/>
    <w:rsid w:val="00CF63B0"/>
    <w:rsid w:val="00CF74A5"/>
    <w:rsid w:val="00CF7509"/>
    <w:rsid w:val="00CF7F36"/>
    <w:rsid w:val="00D01924"/>
    <w:rsid w:val="00D01D14"/>
    <w:rsid w:val="00D03374"/>
    <w:rsid w:val="00D050A3"/>
    <w:rsid w:val="00D1002A"/>
    <w:rsid w:val="00D101DA"/>
    <w:rsid w:val="00D11D26"/>
    <w:rsid w:val="00D128EE"/>
    <w:rsid w:val="00D13988"/>
    <w:rsid w:val="00D14B5C"/>
    <w:rsid w:val="00D177AB"/>
    <w:rsid w:val="00D20371"/>
    <w:rsid w:val="00D21D80"/>
    <w:rsid w:val="00D24682"/>
    <w:rsid w:val="00D24D03"/>
    <w:rsid w:val="00D268CD"/>
    <w:rsid w:val="00D2779B"/>
    <w:rsid w:val="00D27B5D"/>
    <w:rsid w:val="00D27EDC"/>
    <w:rsid w:val="00D32F4A"/>
    <w:rsid w:val="00D36A88"/>
    <w:rsid w:val="00D37CA5"/>
    <w:rsid w:val="00D419CD"/>
    <w:rsid w:val="00D430A3"/>
    <w:rsid w:val="00D43585"/>
    <w:rsid w:val="00D436FD"/>
    <w:rsid w:val="00D45DEA"/>
    <w:rsid w:val="00D45F09"/>
    <w:rsid w:val="00D469A3"/>
    <w:rsid w:val="00D46F5F"/>
    <w:rsid w:val="00D50EB9"/>
    <w:rsid w:val="00D50EEE"/>
    <w:rsid w:val="00D51AA8"/>
    <w:rsid w:val="00D51AB4"/>
    <w:rsid w:val="00D52EFB"/>
    <w:rsid w:val="00D534FF"/>
    <w:rsid w:val="00D54F56"/>
    <w:rsid w:val="00D550F0"/>
    <w:rsid w:val="00D55E68"/>
    <w:rsid w:val="00D562F9"/>
    <w:rsid w:val="00D5691A"/>
    <w:rsid w:val="00D57DF0"/>
    <w:rsid w:val="00D6028F"/>
    <w:rsid w:val="00D6078D"/>
    <w:rsid w:val="00D610DF"/>
    <w:rsid w:val="00D61134"/>
    <w:rsid w:val="00D61BD5"/>
    <w:rsid w:val="00D61D78"/>
    <w:rsid w:val="00D61E9D"/>
    <w:rsid w:val="00D632DD"/>
    <w:rsid w:val="00D6431F"/>
    <w:rsid w:val="00D6523A"/>
    <w:rsid w:val="00D664C5"/>
    <w:rsid w:val="00D7047B"/>
    <w:rsid w:val="00D70739"/>
    <w:rsid w:val="00D742B9"/>
    <w:rsid w:val="00D77E80"/>
    <w:rsid w:val="00D8166F"/>
    <w:rsid w:val="00D834FE"/>
    <w:rsid w:val="00D83FA2"/>
    <w:rsid w:val="00D86547"/>
    <w:rsid w:val="00D86762"/>
    <w:rsid w:val="00D87E4A"/>
    <w:rsid w:val="00D901F0"/>
    <w:rsid w:val="00D91479"/>
    <w:rsid w:val="00D919CB"/>
    <w:rsid w:val="00D92142"/>
    <w:rsid w:val="00D9350A"/>
    <w:rsid w:val="00D95094"/>
    <w:rsid w:val="00D95132"/>
    <w:rsid w:val="00D95DED"/>
    <w:rsid w:val="00D96456"/>
    <w:rsid w:val="00D96791"/>
    <w:rsid w:val="00D972C1"/>
    <w:rsid w:val="00D974B9"/>
    <w:rsid w:val="00DA0570"/>
    <w:rsid w:val="00DA1724"/>
    <w:rsid w:val="00DA37E5"/>
    <w:rsid w:val="00DA3B0E"/>
    <w:rsid w:val="00DA5B87"/>
    <w:rsid w:val="00DA6FEE"/>
    <w:rsid w:val="00DA73AD"/>
    <w:rsid w:val="00DA74E6"/>
    <w:rsid w:val="00DB10B8"/>
    <w:rsid w:val="00DB41A3"/>
    <w:rsid w:val="00DB4607"/>
    <w:rsid w:val="00DB6FF9"/>
    <w:rsid w:val="00DB7053"/>
    <w:rsid w:val="00DB7D8B"/>
    <w:rsid w:val="00DC012C"/>
    <w:rsid w:val="00DC18B4"/>
    <w:rsid w:val="00DC1D9E"/>
    <w:rsid w:val="00DC23A9"/>
    <w:rsid w:val="00DC244A"/>
    <w:rsid w:val="00DC2992"/>
    <w:rsid w:val="00DC2F74"/>
    <w:rsid w:val="00DC5086"/>
    <w:rsid w:val="00DD0363"/>
    <w:rsid w:val="00DD147D"/>
    <w:rsid w:val="00DD1CCF"/>
    <w:rsid w:val="00DD288C"/>
    <w:rsid w:val="00DD2AF1"/>
    <w:rsid w:val="00DD2FEC"/>
    <w:rsid w:val="00DD4E34"/>
    <w:rsid w:val="00DD55DE"/>
    <w:rsid w:val="00DD5C12"/>
    <w:rsid w:val="00DD5C52"/>
    <w:rsid w:val="00DD6E87"/>
    <w:rsid w:val="00DD7FCA"/>
    <w:rsid w:val="00DE08CA"/>
    <w:rsid w:val="00DE0EFA"/>
    <w:rsid w:val="00DE1249"/>
    <w:rsid w:val="00DE256A"/>
    <w:rsid w:val="00DE4AB9"/>
    <w:rsid w:val="00DE52A3"/>
    <w:rsid w:val="00DE5A32"/>
    <w:rsid w:val="00DE5B41"/>
    <w:rsid w:val="00DE6491"/>
    <w:rsid w:val="00DE6AF6"/>
    <w:rsid w:val="00DF0E2D"/>
    <w:rsid w:val="00DF2081"/>
    <w:rsid w:val="00DF273D"/>
    <w:rsid w:val="00DF510C"/>
    <w:rsid w:val="00DF64D5"/>
    <w:rsid w:val="00DF7D3D"/>
    <w:rsid w:val="00E00701"/>
    <w:rsid w:val="00E01B3A"/>
    <w:rsid w:val="00E037C9"/>
    <w:rsid w:val="00E043AF"/>
    <w:rsid w:val="00E0573A"/>
    <w:rsid w:val="00E07318"/>
    <w:rsid w:val="00E07A81"/>
    <w:rsid w:val="00E07C14"/>
    <w:rsid w:val="00E1155D"/>
    <w:rsid w:val="00E1203B"/>
    <w:rsid w:val="00E12711"/>
    <w:rsid w:val="00E13C30"/>
    <w:rsid w:val="00E161C7"/>
    <w:rsid w:val="00E17C74"/>
    <w:rsid w:val="00E23A50"/>
    <w:rsid w:val="00E248E4"/>
    <w:rsid w:val="00E25FAF"/>
    <w:rsid w:val="00E30E49"/>
    <w:rsid w:val="00E30EF3"/>
    <w:rsid w:val="00E31BFB"/>
    <w:rsid w:val="00E3237F"/>
    <w:rsid w:val="00E325BD"/>
    <w:rsid w:val="00E35F66"/>
    <w:rsid w:val="00E36BA4"/>
    <w:rsid w:val="00E36D9B"/>
    <w:rsid w:val="00E3735D"/>
    <w:rsid w:val="00E40D5E"/>
    <w:rsid w:val="00E40DC2"/>
    <w:rsid w:val="00E41D4E"/>
    <w:rsid w:val="00E41F34"/>
    <w:rsid w:val="00E433A5"/>
    <w:rsid w:val="00E434D3"/>
    <w:rsid w:val="00E43D83"/>
    <w:rsid w:val="00E43D89"/>
    <w:rsid w:val="00E44497"/>
    <w:rsid w:val="00E45652"/>
    <w:rsid w:val="00E465E0"/>
    <w:rsid w:val="00E4717F"/>
    <w:rsid w:val="00E47AE6"/>
    <w:rsid w:val="00E517AD"/>
    <w:rsid w:val="00E51F37"/>
    <w:rsid w:val="00E5253F"/>
    <w:rsid w:val="00E55D7B"/>
    <w:rsid w:val="00E564B0"/>
    <w:rsid w:val="00E57A1E"/>
    <w:rsid w:val="00E60D92"/>
    <w:rsid w:val="00E629DF"/>
    <w:rsid w:val="00E6352E"/>
    <w:rsid w:val="00E65D4B"/>
    <w:rsid w:val="00E661C3"/>
    <w:rsid w:val="00E67A71"/>
    <w:rsid w:val="00E7070A"/>
    <w:rsid w:val="00E73A48"/>
    <w:rsid w:val="00E76205"/>
    <w:rsid w:val="00E772F2"/>
    <w:rsid w:val="00E77D51"/>
    <w:rsid w:val="00E80471"/>
    <w:rsid w:val="00E806F6"/>
    <w:rsid w:val="00E82274"/>
    <w:rsid w:val="00E8425B"/>
    <w:rsid w:val="00E84669"/>
    <w:rsid w:val="00E84D35"/>
    <w:rsid w:val="00E86F14"/>
    <w:rsid w:val="00E87604"/>
    <w:rsid w:val="00E9000D"/>
    <w:rsid w:val="00E905F9"/>
    <w:rsid w:val="00E9379C"/>
    <w:rsid w:val="00E94B82"/>
    <w:rsid w:val="00E965EE"/>
    <w:rsid w:val="00EA08C2"/>
    <w:rsid w:val="00EA0F96"/>
    <w:rsid w:val="00EA194F"/>
    <w:rsid w:val="00EA29C4"/>
    <w:rsid w:val="00EA2CAB"/>
    <w:rsid w:val="00EA3AD2"/>
    <w:rsid w:val="00EA3E2D"/>
    <w:rsid w:val="00EA5DA4"/>
    <w:rsid w:val="00EA72F0"/>
    <w:rsid w:val="00EB0900"/>
    <w:rsid w:val="00EB0F38"/>
    <w:rsid w:val="00EB21D1"/>
    <w:rsid w:val="00EB40A0"/>
    <w:rsid w:val="00EB45E6"/>
    <w:rsid w:val="00EB484B"/>
    <w:rsid w:val="00EB4962"/>
    <w:rsid w:val="00EB6192"/>
    <w:rsid w:val="00EB79E2"/>
    <w:rsid w:val="00EC080F"/>
    <w:rsid w:val="00EC0A93"/>
    <w:rsid w:val="00EC0E86"/>
    <w:rsid w:val="00EC116D"/>
    <w:rsid w:val="00EC14A1"/>
    <w:rsid w:val="00EC191D"/>
    <w:rsid w:val="00EC2B1B"/>
    <w:rsid w:val="00EC2C22"/>
    <w:rsid w:val="00EC4C1D"/>
    <w:rsid w:val="00EC4D62"/>
    <w:rsid w:val="00EC560E"/>
    <w:rsid w:val="00EC6D7C"/>
    <w:rsid w:val="00EC743A"/>
    <w:rsid w:val="00ED1439"/>
    <w:rsid w:val="00ED151D"/>
    <w:rsid w:val="00ED2B97"/>
    <w:rsid w:val="00ED583C"/>
    <w:rsid w:val="00ED6D2F"/>
    <w:rsid w:val="00EE1305"/>
    <w:rsid w:val="00EE5858"/>
    <w:rsid w:val="00EE6D63"/>
    <w:rsid w:val="00EF06A5"/>
    <w:rsid w:val="00EF2071"/>
    <w:rsid w:val="00EF21F0"/>
    <w:rsid w:val="00EF22FD"/>
    <w:rsid w:val="00EF6A3F"/>
    <w:rsid w:val="00EF6E9B"/>
    <w:rsid w:val="00F00756"/>
    <w:rsid w:val="00F00D5A"/>
    <w:rsid w:val="00F028D5"/>
    <w:rsid w:val="00F03BE1"/>
    <w:rsid w:val="00F04B7E"/>
    <w:rsid w:val="00F05C23"/>
    <w:rsid w:val="00F068E5"/>
    <w:rsid w:val="00F06DEC"/>
    <w:rsid w:val="00F071B2"/>
    <w:rsid w:val="00F12F68"/>
    <w:rsid w:val="00F1699A"/>
    <w:rsid w:val="00F16D47"/>
    <w:rsid w:val="00F216A2"/>
    <w:rsid w:val="00F217B3"/>
    <w:rsid w:val="00F2264A"/>
    <w:rsid w:val="00F22904"/>
    <w:rsid w:val="00F22DB0"/>
    <w:rsid w:val="00F25DFB"/>
    <w:rsid w:val="00F306C6"/>
    <w:rsid w:val="00F308C2"/>
    <w:rsid w:val="00F31546"/>
    <w:rsid w:val="00F32426"/>
    <w:rsid w:val="00F3349D"/>
    <w:rsid w:val="00F335A1"/>
    <w:rsid w:val="00F3413B"/>
    <w:rsid w:val="00F37469"/>
    <w:rsid w:val="00F40150"/>
    <w:rsid w:val="00F4020F"/>
    <w:rsid w:val="00F415A5"/>
    <w:rsid w:val="00F42D93"/>
    <w:rsid w:val="00F43097"/>
    <w:rsid w:val="00F43561"/>
    <w:rsid w:val="00F43CBD"/>
    <w:rsid w:val="00F46425"/>
    <w:rsid w:val="00F46427"/>
    <w:rsid w:val="00F46ECE"/>
    <w:rsid w:val="00F47562"/>
    <w:rsid w:val="00F47D55"/>
    <w:rsid w:val="00F50876"/>
    <w:rsid w:val="00F51AB5"/>
    <w:rsid w:val="00F52590"/>
    <w:rsid w:val="00F527A7"/>
    <w:rsid w:val="00F53B54"/>
    <w:rsid w:val="00F545DC"/>
    <w:rsid w:val="00F55B9C"/>
    <w:rsid w:val="00F56268"/>
    <w:rsid w:val="00F57F78"/>
    <w:rsid w:val="00F636B2"/>
    <w:rsid w:val="00F658B2"/>
    <w:rsid w:val="00F66167"/>
    <w:rsid w:val="00F70AA3"/>
    <w:rsid w:val="00F7151B"/>
    <w:rsid w:val="00F71B8C"/>
    <w:rsid w:val="00F71DDA"/>
    <w:rsid w:val="00F738FD"/>
    <w:rsid w:val="00F75899"/>
    <w:rsid w:val="00F80134"/>
    <w:rsid w:val="00F81B87"/>
    <w:rsid w:val="00F82233"/>
    <w:rsid w:val="00F838A1"/>
    <w:rsid w:val="00F8498A"/>
    <w:rsid w:val="00F87D27"/>
    <w:rsid w:val="00F910F3"/>
    <w:rsid w:val="00F93320"/>
    <w:rsid w:val="00F9698B"/>
    <w:rsid w:val="00F96A2B"/>
    <w:rsid w:val="00FA07E1"/>
    <w:rsid w:val="00FA1190"/>
    <w:rsid w:val="00FA1E6E"/>
    <w:rsid w:val="00FA1FF8"/>
    <w:rsid w:val="00FA2C3F"/>
    <w:rsid w:val="00FA3D5D"/>
    <w:rsid w:val="00FA52D7"/>
    <w:rsid w:val="00FA6184"/>
    <w:rsid w:val="00FA7543"/>
    <w:rsid w:val="00FB0488"/>
    <w:rsid w:val="00FB1805"/>
    <w:rsid w:val="00FB2E8B"/>
    <w:rsid w:val="00FB498B"/>
    <w:rsid w:val="00FB5661"/>
    <w:rsid w:val="00FB5A0C"/>
    <w:rsid w:val="00FB625C"/>
    <w:rsid w:val="00FC091C"/>
    <w:rsid w:val="00FC0C26"/>
    <w:rsid w:val="00FC2070"/>
    <w:rsid w:val="00FC2CDC"/>
    <w:rsid w:val="00FC3116"/>
    <w:rsid w:val="00FC51E2"/>
    <w:rsid w:val="00FC6CCB"/>
    <w:rsid w:val="00FC70F3"/>
    <w:rsid w:val="00FD07BB"/>
    <w:rsid w:val="00FD15BD"/>
    <w:rsid w:val="00FD2BF9"/>
    <w:rsid w:val="00FD3417"/>
    <w:rsid w:val="00FD5138"/>
    <w:rsid w:val="00FD52F3"/>
    <w:rsid w:val="00FD793C"/>
    <w:rsid w:val="00FE09EF"/>
    <w:rsid w:val="00FE14CF"/>
    <w:rsid w:val="00FE26EC"/>
    <w:rsid w:val="00FE2DFD"/>
    <w:rsid w:val="00FE4439"/>
    <w:rsid w:val="00FE4F45"/>
    <w:rsid w:val="00FE724D"/>
    <w:rsid w:val="00FE7831"/>
    <w:rsid w:val="00FF03C3"/>
    <w:rsid w:val="00FF04FA"/>
    <w:rsid w:val="00FF1EB7"/>
    <w:rsid w:val="00FF630E"/>
    <w:rsid w:val="00FF6CF9"/>
    <w:rsid w:val="00FF71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BA7"/>
  <w15:chartTrackingRefBased/>
  <w15:docId w15:val="{329CF717-6A5D-4315-919D-3B351F72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
    <w:name w:val="boldhead"/>
    <w:basedOn w:val="Normal"/>
    <w:rsid w:val="009932A9"/>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para-10">
    <w:name w:val="para-10"/>
    <w:basedOn w:val="Normal"/>
    <w:rsid w:val="009932A9"/>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footnote-link">
    <w:name w:val="footnote-link"/>
    <w:basedOn w:val="DefaultParagraphFont"/>
    <w:rsid w:val="009932A9"/>
  </w:style>
  <w:style w:type="paragraph" w:customStyle="1" w:styleId="para-a-1-1">
    <w:name w:val="para-a-1-1"/>
    <w:basedOn w:val="Normal"/>
    <w:rsid w:val="009932A9"/>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q-normal-1-1">
    <w:name w:val="q-normal-1-1"/>
    <w:basedOn w:val="Normal"/>
    <w:rsid w:val="0060314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arunninghead">
    <w:name w:val="arunninghead"/>
    <w:basedOn w:val="Normal"/>
    <w:rsid w:val="0060314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q-1-1">
    <w:name w:val="q-1-1"/>
    <w:basedOn w:val="Normal"/>
    <w:rsid w:val="0060314D"/>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parafullout">
    <w:name w:val="parafullout"/>
    <w:basedOn w:val="Normal"/>
    <w:rsid w:val="00F93320"/>
    <w:pPr>
      <w:spacing w:before="100" w:beforeAutospacing="1" w:after="100" w:afterAutospacing="1" w:line="240" w:lineRule="auto"/>
    </w:pPr>
    <w:rPr>
      <w:rFonts w:ascii="Times New Roman" w:eastAsia="Times New Roman" w:hAnsi="Times New Roman" w:cs="Times New Roman"/>
      <w:lang w:eastAsia="en-ZA"/>
    </w:rPr>
  </w:style>
  <w:style w:type="paragraph" w:styleId="ListParagraph">
    <w:name w:val="List Paragraph"/>
    <w:basedOn w:val="Normal"/>
    <w:uiPriority w:val="34"/>
    <w:qFormat/>
    <w:rsid w:val="003509E0"/>
    <w:pPr>
      <w:ind w:left="720"/>
      <w:contextualSpacing/>
    </w:pPr>
  </w:style>
  <w:style w:type="character" w:styleId="Hyperlink">
    <w:name w:val="Hyperlink"/>
    <w:basedOn w:val="DefaultParagraphFont"/>
    <w:uiPriority w:val="99"/>
    <w:semiHidden/>
    <w:unhideWhenUsed/>
    <w:rsid w:val="001C3A06"/>
    <w:rPr>
      <w:color w:val="0000FF"/>
      <w:u w:val="single"/>
    </w:rPr>
  </w:style>
  <w:style w:type="paragraph" w:styleId="FootnoteText">
    <w:name w:val="footnote text"/>
    <w:basedOn w:val="Normal"/>
    <w:link w:val="FootnoteTextChar"/>
    <w:uiPriority w:val="99"/>
    <w:semiHidden/>
    <w:unhideWhenUsed/>
    <w:rsid w:val="00B91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225"/>
    <w:rPr>
      <w:sz w:val="20"/>
      <w:szCs w:val="20"/>
    </w:rPr>
  </w:style>
  <w:style w:type="character" w:styleId="FootnoteReference">
    <w:name w:val="footnote reference"/>
    <w:basedOn w:val="DefaultParagraphFont"/>
    <w:uiPriority w:val="99"/>
    <w:semiHidden/>
    <w:unhideWhenUsed/>
    <w:rsid w:val="00B91225"/>
    <w:rPr>
      <w:vertAlign w:val="superscript"/>
    </w:rPr>
  </w:style>
  <w:style w:type="paragraph" w:styleId="NormalWeb">
    <w:name w:val="Normal (Web)"/>
    <w:basedOn w:val="Normal"/>
    <w:uiPriority w:val="99"/>
    <w:unhideWhenUsed/>
    <w:rsid w:val="00971840"/>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evel1">
    <w:name w:val="level1"/>
    <w:basedOn w:val="Normal"/>
    <w:rsid w:val="00E07C14"/>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1Char">
    <w:name w:val="Heading 1 Char"/>
    <w:basedOn w:val="DefaultParagraphFont"/>
    <w:link w:val="Heading1"/>
    <w:uiPriority w:val="9"/>
    <w:rsid w:val="00286F65"/>
    <w:rPr>
      <w:rFonts w:asciiTheme="majorHAnsi" w:eastAsiaTheme="majorEastAsia" w:hAnsiTheme="majorHAnsi" w:cstheme="majorBidi"/>
      <w:color w:val="2F5496" w:themeColor="accent1" w:themeShade="BF"/>
      <w:sz w:val="32"/>
      <w:szCs w:val="32"/>
    </w:rPr>
  </w:style>
  <w:style w:type="character" w:customStyle="1" w:styleId="lphit">
    <w:name w:val="lphit"/>
    <w:basedOn w:val="DefaultParagraphFont"/>
    <w:rsid w:val="008E42C4"/>
  </w:style>
  <w:style w:type="paragraph" w:styleId="Header">
    <w:name w:val="header"/>
    <w:basedOn w:val="Normal"/>
    <w:link w:val="HeaderChar"/>
    <w:uiPriority w:val="99"/>
    <w:unhideWhenUsed/>
    <w:rsid w:val="007F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DE"/>
  </w:style>
  <w:style w:type="paragraph" w:styleId="Footer">
    <w:name w:val="footer"/>
    <w:basedOn w:val="Normal"/>
    <w:link w:val="FooterChar"/>
    <w:uiPriority w:val="99"/>
    <w:unhideWhenUsed/>
    <w:rsid w:val="007F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455">
      <w:bodyDiv w:val="1"/>
      <w:marLeft w:val="0"/>
      <w:marRight w:val="0"/>
      <w:marTop w:val="0"/>
      <w:marBottom w:val="0"/>
      <w:divBdr>
        <w:top w:val="none" w:sz="0" w:space="0" w:color="auto"/>
        <w:left w:val="none" w:sz="0" w:space="0" w:color="auto"/>
        <w:bottom w:val="none" w:sz="0" w:space="0" w:color="auto"/>
        <w:right w:val="none" w:sz="0" w:space="0" w:color="auto"/>
      </w:divBdr>
    </w:div>
    <w:div w:id="83259918">
      <w:bodyDiv w:val="1"/>
      <w:marLeft w:val="0"/>
      <w:marRight w:val="0"/>
      <w:marTop w:val="0"/>
      <w:marBottom w:val="0"/>
      <w:divBdr>
        <w:top w:val="none" w:sz="0" w:space="0" w:color="auto"/>
        <w:left w:val="none" w:sz="0" w:space="0" w:color="auto"/>
        <w:bottom w:val="none" w:sz="0" w:space="0" w:color="auto"/>
        <w:right w:val="none" w:sz="0" w:space="0" w:color="auto"/>
      </w:divBdr>
    </w:div>
    <w:div w:id="159777948">
      <w:bodyDiv w:val="1"/>
      <w:marLeft w:val="0"/>
      <w:marRight w:val="0"/>
      <w:marTop w:val="0"/>
      <w:marBottom w:val="0"/>
      <w:divBdr>
        <w:top w:val="none" w:sz="0" w:space="0" w:color="auto"/>
        <w:left w:val="none" w:sz="0" w:space="0" w:color="auto"/>
        <w:bottom w:val="none" w:sz="0" w:space="0" w:color="auto"/>
        <w:right w:val="none" w:sz="0" w:space="0" w:color="auto"/>
      </w:divBdr>
    </w:div>
    <w:div w:id="319313558">
      <w:bodyDiv w:val="1"/>
      <w:marLeft w:val="0"/>
      <w:marRight w:val="0"/>
      <w:marTop w:val="0"/>
      <w:marBottom w:val="0"/>
      <w:divBdr>
        <w:top w:val="none" w:sz="0" w:space="0" w:color="auto"/>
        <w:left w:val="none" w:sz="0" w:space="0" w:color="auto"/>
        <w:bottom w:val="none" w:sz="0" w:space="0" w:color="auto"/>
        <w:right w:val="none" w:sz="0" w:space="0" w:color="auto"/>
      </w:divBdr>
    </w:div>
    <w:div w:id="334576940">
      <w:bodyDiv w:val="1"/>
      <w:marLeft w:val="0"/>
      <w:marRight w:val="0"/>
      <w:marTop w:val="0"/>
      <w:marBottom w:val="0"/>
      <w:divBdr>
        <w:top w:val="none" w:sz="0" w:space="0" w:color="auto"/>
        <w:left w:val="none" w:sz="0" w:space="0" w:color="auto"/>
        <w:bottom w:val="none" w:sz="0" w:space="0" w:color="auto"/>
        <w:right w:val="none" w:sz="0" w:space="0" w:color="auto"/>
      </w:divBdr>
    </w:div>
    <w:div w:id="515845710">
      <w:bodyDiv w:val="1"/>
      <w:marLeft w:val="0"/>
      <w:marRight w:val="0"/>
      <w:marTop w:val="0"/>
      <w:marBottom w:val="0"/>
      <w:divBdr>
        <w:top w:val="none" w:sz="0" w:space="0" w:color="auto"/>
        <w:left w:val="none" w:sz="0" w:space="0" w:color="auto"/>
        <w:bottom w:val="none" w:sz="0" w:space="0" w:color="auto"/>
        <w:right w:val="none" w:sz="0" w:space="0" w:color="auto"/>
      </w:divBdr>
    </w:div>
    <w:div w:id="638147172">
      <w:bodyDiv w:val="1"/>
      <w:marLeft w:val="0"/>
      <w:marRight w:val="0"/>
      <w:marTop w:val="0"/>
      <w:marBottom w:val="0"/>
      <w:divBdr>
        <w:top w:val="none" w:sz="0" w:space="0" w:color="auto"/>
        <w:left w:val="none" w:sz="0" w:space="0" w:color="auto"/>
        <w:bottom w:val="none" w:sz="0" w:space="0" w:color="auto"/>
        <w:right w:val="none" w:sz="0" w:space="0" w:color="auto"/>
      </w:divBdr>
    </w:div>
    <w:div w:id="721097746">
      <w:bodyDiv w:val="1"/>
      <w:marLeft w:val="0"/>
      <w:marRight w:val="0"/>
      <w:marTop w:val="0"/>
      <w:marBottom w:val="0"/>
      <w:divBdr>
        <w:top w:val="none" w:sz="0" w:space="0" w:color="auto"/>
        <w:left w:val="none" w:sz="0" w:space="0" w:color="auto"/>
        <w:bottom w:val="none" w:sz="0" w:space="0" w:color="auto"/>
        <w:right w:val="none" w:sz="0" w:space="0" w:color="auto"/>
      </w:divBdr>
    </w:div>
    <w:div w:id="738482797">
      <w:bodyDiv w:val="1"/>
      <w:marLeft w:val="0"/>
      <w:marRight w:val="0"/>
      <w:marTop w:val="0"/>
      <w:marBottom w:val="0"/>
      <w:divBdr>
        <w:top w:val="none" w:sz="0" w:space="0" w:color="auto"/>
        <w:left w:val="none" w:sz="0" w:space="0" w:color="auto"/>
        <w:bottom w:val="none" w:sz="0" w:space="0" w:color="auto"/>
        <w:right w:val="none" w:sz="0" w:space="0" w:color="auto"/>
      </w:divBdr>
    </w:div>
    <w:div w:id="759567199">
      <w:bodyDiv w:val="1"/>
      <w:marLeft w:val="0"/>
      <w:marRight w:val="0"/>
      <w:marTop w:val="0"/>
      <w:marBottom w:val="0"/>
      <w:divBdr>
        <w:top w:val="none" w:sz="0" w:space="0" w:color="auto"/>
        <w:left w:val="none" w:sz="0" w:space="0" w:color="auto"/>
        <w:bottom w:val="none" w:sz="0" w:space="0" w:color="auto"/>
        <w:right w:val="none" w:sz="0" w:space="0" w:color="auto"/>
      </w:divBdr>
    </w:div>
    <w:div w:id="1293095621">
      <w:bodyDiv w:val="1"/>
      <w:marLeft w:val="0"/>
      <w:marRight w:val="0"/>
      <w:marTop w:val="0"/>
      <w:marBottom w:val="0"/>
      <w:divBdr>
        <w:top w:val="none" w:sz="0" w:space="0" w:color="auto"/>
        <w:left w:val="none" w:sz="0" w:space="0" w:color="auto"/>
        <w:bottom w:val="none" w:sz="0" w:space="0" w:color="auto"/>
        <w:right w:val="none" w:sz="0" w:space="0" w:color="auto"/>
      </w:divBdr>
    </w:div>
    <w:div w:id="1703244841">
      <w:bodyDiv w:val="1"/>
      <w:marLeft w:val="0"/>
      <w:marRight w:val="0"/>
      <w:marTop w:val="0"/>
      <w:marBottom w:val="0"/>
      <w:divBdr>
        <w:top w:val="none" w:sz="0" w:space="0" w:color="auto"/>
        <w:left w:val="none" w:sz="0" w:space="0" w:color="auto"/>
        <w:bottom w:val="none" w:sz="0" w:space="0" w:color="auto"/>
        <w:right w:val="none" w:sz="0" w:space="0" w:color="auto"/>
      </w:divBdr>
    </w:div>
    <w:div w:id="1834026288">
      <w:bodyDiv w:val="1"/>
      <w:marLeft w:val="0"/>
      <w:marRight w:val="0"/>
      <w:marTop w:val="0"/>
      <w:marBottom w:val="0"/>
      <w:divBdr>
        <w:top w:val="none" w:sz="0" w:space="0" w:color="auto"/>
        <w:left w:val="none" w:sz="0" w:space="0" w:color="auto"/>
        <w:bottom w:val="none" w:sz="0" w:space="0" w:color="auto"/>
        <w:right w:val="none" w:sz="0" w:space="0" w:color="auto"/>
      </w:divBdr>
    </w:div>
    <w:div w:id="19480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407%20US%20514" TargetMode="External"/><Relationship Id="rId5" Type="http://schemas.openxmlformats.org/officeDocument/2006/relationships/webSettings" Target="webSettings.xml"/><Relationship Id="rId10" Type="http://schemas.openxmlformats.org/officeDocument/2006/relationships/hyperlink" Target="http://www.worldlii.org/us/cases/federal/USSC/1972/144.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5127-1DD5-4867-BD6B-984BB149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Daniels</dc:creator>
  <cp:keywords/>
  <dc:description/>
  <cp:lastModifiedBy>HOME</cp:lastModifiedBy>
  <cp:revision>2</cp:revision>
  <dcterms:created xsi:type="dcterms:W3CDTF">2022-07-05T15:47:00Z</dcterms:created>
  <dcterms:modified xsi:type="dcterms:W3CDTF">2022-07-05T15:47:00Z</dcterms:modified>
</cp:coreProperties>
</file>