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EA2E5" w14:textId="77777777" w:rsidR="00BA1967" w:rsidRPr="00BA1967" w:rsidRDefault="00BA1967" w:rsidP="00BA1967">
      <w:pPr>
        <w:spacing w:after="0" w:line="360" w:lineRule="auto"/>
        <w:jc w:val="center"/>
        <w:rPr>
          <w:rFonts w:eastAsia="Times New Roman" w:cs="Arial"/>
          <w:b/>
          <w:sz w:val="24"/>
          <w:szCs w:val="20"/>
        </w:rPr>
      </w:pPr>
      <w:bookmarkStart w:id="0" w:name="_GoBack"/>
      <w:bookmarkEnd w:id="0"/>
      <w:r w:rsidRPr="00BA1967">
        <w:rPr>
          <w:rFonts w:eastAsia="Times New Roman" w:cs="Arial"/>
          <w:b/>
          <w:sz w:val="24"/>
          <w:szCs w:val="20"/>
        </w:rPr>
        <w:t>REPUBLIC OF SOUTH AFRICA</w:t>
      </w:r>
    </w:p>
    <w:p w14:paraId="042C1E0F" w14:textId="77777777" w:rsidR="00BA1967" w:rsidRPr="00BA1967" w:rsidRDefault="00BA1967" w:rsidP="00BA1967">
      <w:pPr>
        <w:spacing w:after="0" w:line="360" w:lineRule="auto"/>
        <w:ind w:left="566" w:hangingChars="236" w:hanging="566"/>
        <w:jc w:val="center"/>
        <w:rPr>
          <w:rFonts w:eastAsia="Times New Roman" w:cs="Arial"/>
          <w:b/>
          <w:sz w:val="24"/>
          <w:szCs w:val="20"/>
        </w:rPr>
      </w:pPr>
      <w:r w:rsidRPr="00BA1967">
        <w:rPr>
          <w:rFonts w:eastAsia="Times New Roman" w:cs="Arial"/>
          <w:noProof/>
          <w:sz w:val="24"/>
          <w:szCs w:val="20"/>
          <w:lang w:eastAsia="en-ZA"/>
        </w:rPr>
        <w:drawing>
          <wp:inline distT="0" distB="0" distL="0" distR="0" wp14:anchorId="2220387C" wp14:editId="49239F79">
            <wp:extent cx="908050" cy="908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2B89EA63" w14:textId="77777777" w:rsidR="00BA1967" w:rsidRPr="00BA1967" w:rsidRDefault="00BA1967" w:rsidP="00BA1967">
      <w:pPr>
        <w:spacing w:after="0" w:line="360" w:lineRule="auto"/>
        <w:ind w:left="569" w:hangingChars="236" w:hanging="569"/>
        <w:jc w:val="center"/>
        <w:rPr>
          <w:rFonts w:eastAsia="Times New Roman" w:cs="Arial"/>
          <w:b/>
          <w:sz w:val="24"/>
          <w:szCs w:val="20"/>
        </w:rPr>
      </w:pPr>
      <w:r w:rsidRPr="00BA1967">
        <w:rPr>
          <w:rFonts w:eastAsia="Times New Roman" w:cs="Arial"/>
          <w:b/>
          <w:sz w:val="24"/>
          <w:szCs w:val="20"/>
        </w:rPr>
        <w:t>IN THE HIGH COURT OF SOUTH AFRICA</w:t>
      </w:r>
    </w:p>
    <w:p w14:paraId="77874867" w14:textId="64F18FA2" w:rsidR="00CF7840" w:rsidRPr="00BA1967" w:rsidRDefault="00BA1967" w:rsidP="00BA1967">
      <w:pPr>
        <w:jc w:val="center"/>
        <w:rPr>
          <w:b/>
          <w:bCs/>
          <w:sz w:val="24"/>
          <w:szCs w:val="24"/>
        </w:rPr>
      </w:pPr>
      <w:r w:rsidRPr="00BA1967">
        <w:rPr>
          <w:rFonts w:eastAsia="Times New Roman" w:cs="Arial"/>
          <w:b/>
          <w:sz w:val="24"/>
          <w:szCs w:val="20"/>
        </w:rPr>
        <w:t>GAUTENG LOCAL DIVISION, JOHANNESBURG</w:t>
      </w:r>
    </w:p>
    <w:p w14:paraId="1BF17CB9" w14:textId="5802CBC9" w:rsidR="00CF7840" w:rsidRPr="00EB184B" w:rsidRDefault="00CF7840" w:rsidP="00CF7840">
      <w:pPr>
        <w:rPr>
          <w:sz w:val="24"/>
          <w:szCs w:val="24"/>
        </w:rPr>
      </w:pPr>
      <w:r w:rsidRPr="00EB184B">
        <w:rPr>
          <w:b/>
          <w:bCs/>
          <w:sz w:val="24"/>
          <w:szCs w:val="24"/>
        </w:rPr>
        <w:t xml:space="preserve">    </w:t>
      </w:r>
      <w:r w:rsidRPr="00FC2920">
        <w:rPr>
          <w:rFonts w:ascii="Times New Roman" w:eastAsia="Times New Roman" w:hAnsi="Times New Roman" w:cs="Times New Roman"/>
          <w:noProof/>
          <w:sz w:val="24"/>
          <w:szCs w:val="20"/>
          <w:lang w:eastAsia="en-ZA"/>
        </w:rPr>
        <mc:AlternateContent>
          <mc:Choice Requires="wps">
            <w:drawing>
              <wp:anchor distT="0" distB="0" distL="114300" distR="114300" simplePos="0" relativeHeight="251659264" behindDoc="0" locked="0" layoutInCell="1" allowOverlap="1" wp14:anchorId="25EA0600" wp14:editId="1DF506A4">
                <wp:simplePos x="0" y="0"/>
                <wp:positionH relativeFrom="column">
                  <wp:posOffset>-28575</wp:posOffset>
                </wp:positionH>
                <wp:positionV relativeFrom="paragraph">
                  <wp:posOffset>255270</wp:posOffset>
                </wp:positionV>
                <wp:extent cx="3314700" cy="13620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2075"/>
                        </a:xfrm>
                        <a:prstGeom prst="rect">
                          <a:avLst/>
                        </a:prstGeom>
                        <a:solidFill>
                          <a:srgbClr val="FFFFFF"/>
                        </a:solidFill>
                        <a:ln w="9525">
                          <a:solidFill>
                            <a:srgbClr val="000000"/>
                          </a:solidFill>
                          <a:miter lim="800000"/>
                          <a:headEnd/>
                          <a:tailEnd/>
                        </a:ln>
                      </wps:spPr>
                      <wps:txbx>
                        <w:txbxContent>
                          <w:p w14:paraId="3D727389" w14:textId="77777777" w:rsidR="00CF7840" w:rsidRPr="004120A8" w:rsidRDefault="00CF7840" w:rsidP="00CF7840">
                            <w:pPr>
                              <w:jc w:val="center"/>
                              <w:rPr>
                                <w:rFonts w:ascii="Century Gothic" w:hAnsi="Century Gothic"/>
                                <w:b/>
                                <w:sz w:val="2"/>
                                <w:szCs w:val="18"/>
                              </w:rPr>
                            </w:pPr>
                          </w:p>
                          <w:p w14:paraId="6AC72875" w14:textId="77777777" w:rsidR="00CF7840" w:rsidRPr="00AC13F9" w:rsidRDefault="00CF7840" w:rsidP="00CF7840">
                            <w:pPr>
                              <w:numPr>
                                <w:ilvl w:val="0"/>
                                <w:numId w:val="4"/>
                              </w:numPr>
                              <w:spacing w:after="0" w:line="240" w:lineRule="auto"/>
                              <w:rPr>
                                <w:rFonts w:cstheme="minorHAnsi"/>
                                <w:sz w:val="18"/>
                                <w:szCs w:val="18"/>
                              </w:rPr>
                            </w:pPr>
                            <w:r w:rsidRPr="00AC13F9">
                              <w:rPr>
                                <w:rFonts w:cstheme="minorHAnsi"/>
                                <w:sz w:val="18"/>
                                <w:szCs w:val="18"/>
                              </w:rPr>
                              <w:t>REPORTABLE: NO / YES</w:t>
                            </w:r>
                          </w:p>
                          <w:p w14:paraId="7567FA99" w14:textId="77777777" w:rsidR="00CF7840" w:rsidRPr="00AC13F9" w:rsidRDefault="00CF7840" w:rsidP="00CF7840">
                            <w:pPr>
                              <w:numPr>
                                <w:ilvl w:val="0"/>
                                <w:numId w:val="4"/>
                              </w:numPr>
                              <w:spacing w:after="0" w:line="240" w:lineRule="auto"/>
                              <w:rPr>
                                <w:rFonts w:cstheme="minorHAnsi"/>
                                <w:sz w:val="18"/>
                                <w:szCs w:val="18"/>
                              </w:rPr>
                            </w:pPr>
                            <w:r w:rsidRPr="00AC13F9">
                              <w:rPr>
                                <w:rFonts w:cstheme="minorHAnsi"/>
                                <w:sz w:val="18"/>
                                <w:szCs w:val="18"/>
                              </w:rPr>
                              <w:t>OF INTEREST TO OTHER JUDGES: NO / YES</w:t>
                            </w:r>
                          </w:p>
                          <w:p w14:paraId="3105C794" w14:textId="77777777" w:rsidR="00CF7840" w:rsidRPr="00AC13F9" w:rsidRDefault="00CF7840" w:rsidP="00CF7840">
                            <w:pPr>
                              <w:numPr>
                                <w:ilvl w:val="0"/>
                                <w:numId w:val="4"/>
                              </w:numPr>
                              <w:spacing w:after="0" w:line="240" w:lineRule="auto"/>
                              <w:rPr>
                                <w:rFonts w:cstheme="minorHAnsi"/>
                                <w:sz w:val="18"/>
                                <w:szCs w:val="18"/>
                              </w:rPr>
                            </w:pPr>
                            <w:r w:rsidRPr="00AC13F9">
                              <w:rPr>
                                <w:rFonts w:cstheme="minorHAnsi"/>
                                <w:sz w:val="18"/>
                                <w:szCs w:val="18"/>
                              </w:rPr>
                              <w:t xml:space="preserve">REVISED. </w:t>
                            </w:r>
                          </w:p>
                          <w:p w14:paraId="45C64651" w14:textId="77777777" w:rsidR="00CF7840" w:rsidRPr="00AC13F9" w:rsidRDefault="00CF7840" w:rsidP="00CF7840">
                            <w:pPr>
                              <w:rPr>
                                <w:rFonts w:cstheme="minorHAnsi"/>
                                <w:b/>
                                <w:sz w:val="18"/>
                                <w:szCs w:val="18"/>
                              </w:rPr>
                            </w:pPr>
                          </w:p>
                          <w:p w14:paraId="62846B30" w14:textId="77777777" w:rsidR="00CF7840" w:rsidRPr="00AC13F9" w:rsidRDefault="00CF7840" w:rsidP="00CF7840">
                            <w:pPr>
                              <w:rPr>
                                <w:rFonts w:cstheme="minorHAnsi"/>
                                <w:b/>
                                <w:sz w:val="18"/>
                                <w:szCs w:val="18"/>
                              </w:rPr>
                            </w:pPr>
                            <w:r w:rsidRPr="00AC13F9">
                              <w:rPr>
                                <w:rFonts w:cstheme="minorHAnsi"/>
                                <w:b/>
                                <w:sz w:val="18"/>
                                <w:szCs w:val="18"/>
                              </w:rPr>
                              <w:t xml:space="preserve"> …………..………….............</w:t>
                            </w:r>
                            <w:r w:rsidRPr="00AC13F9">
                              <w:rPr>
                                <w:rFonts w:cstheme="minorHAnsi"/>
                                <w:b/>
                                <w:sz w:val="18"/>
                                <w:szCs w:val="18"/>
                              </w:rPr>
                              <w:tab/>
                            </w:r>
                            <w:r>
                              <w:rPr>
                                <w:rFonts w:cstheme="minorHAnsi"/>
                                <w:b/>
                                <w:sz w:val="18"/>
                                <w:szCs w:val="18"/>
                              </w:rPr>
                              <w:tab/>
                            </w:r>
                            <w:r w:rsidRPr="00AC13F9">
                              <w:rPr>
                                <w:rFonts w:cstheme="minorHAnsi"/>
                                <w:b/>
                                <w:sz w:val="18"/>
                                <w:szCs w:val="18"/>
                              </w:rPr>
                              <w:t>……………………</w:t>
                            </w:r>
                          </w:p>
                          <w:p w14:paraId="0D110182" w14:textId="492DF268" w:rsidR="00CF7840" w:rsidRPr="00AC13F9" w:rsidRDefault="00CF7840" w:rsidP="00CF7840">
                            <w:pPr>
                              <w:rPr>
                                <w:rFonts w:cstheme="minorHAnsi"/>
                                <w:b/>
                                <w:sz w:val="18"/>
                                <w:szCs w:val="18"/>
                              </w:rPr>
                            </w:pPr>
                            <w:r w:rsidRPr="00AC13F9">
                              <w:rPr>
                                <w:rFonts w:cstheme="minorHAnsi"/>
                                <w:b/>
                                <w:sz w:val="18"/>
                                <w:szCs w:val="18"/>
                              </w:rPr>
                              <w:t>MOOSA T AJ</w:t>
                            </w:r>
                            <w:r w:rsidRPr="00AC13F9">
                              <w:rPr>
                                <w:rFonts w:cstheme="minorHAnsi"/>
                                <w:b/>
                                <w:sz w:val="18"/>
                                <w:szCs w:val="18"/>
                              </w:rPr>
                              <w:tab/>
                            </w:r>
                            <w:r w:rsidRPr="00AC13F9">
                              <w:rPr>
                                <w:rFonts w:cstheme="minorHAnsi"/>
                                <w:b/>
                                <w:sz w:val="18"/>
                                <w:szCs w:val="18"/>
                              </w:rPr>
                              <w:tab/>
                            </w:r>
                            <w:r w:rsidRPr="00AC13F9">
                              <w:rPr>
                                <w:rFonts w:cstheme="minorHAnsi"/>
                                <w:b/>
                                <w:sz w:val="18"/>
                                <w:szCs w:val="18"/>
                              </w:rPr>
                              <w:tab/>
                            </w:r>
                            <w:r w:rsidR="00AB719F">
                              <w:rPr>
                                <w:rFonts w:cstheme="minorHAnsi"/>
                                <w:b/>
                                <w:sz w:val="18"/>
                                <w:szCs w:val="18"/>
                              </w:rPr>
                              <w:t>20</w:t>
                            </w:r>
                            <w:r>
                              <w:rPr>
                                <w:rFonts w:cstheme="minorHAnsi"/>
                                <w:b/>
                                <w:sz w:val="18"/>
                                <w:szCs w:val="18"/>
                              </w:rPr>
                              <w:t>/0</w:t>
                            </w:r>
                            <w:r w:rsidR="006611A9">
                              <w:rPr>
                                <w:rFonts w:cstheme="minorHAnsi"/>
                                <w:b/>
                                <w:sz w:val="18"/>
                                <w:szCs w:val="18"/>
                              </w:rPr>
                              <w:t>6</w:t>
                            </w:r>
                            <w:r>
                              <w:rPr>
                                <w:rFonts w:cstheme="minorHAnsi"/>
                                <w:b/>
                                <w:sz w:val="18"/>
                                <w:szCs w:val="18"/>
                              </w:rPr>
                              <w:t>/2022</w:t>
                            </w:r>
                          </w:p>
                          <w:p w14:paraId="60738F5F" w14:textId="77777777" w:rsidR="00CF7840" w:rsidRPr="004120A8" w:rsidRDefault="00CF7840" w:rsidP="00CF7840">
                            <w:pPr>
                              <w:rPr>
                                <w:rFonts w:ascii="Century Gothic" w:hAnsi="Century Gothic"/>
                                <w:b/>
                                <w:sz w:val="18"/>
                                <w:szCs w:val="18"/>
                              </w:rPr>
                            </w:pPr>
                          </w:p>
                          <w:p w14:paraId="4C5023BA" w14:textId="77777777" w:rsidR="00CF7840" w:rsidRPr="004120A8" w:rsidRDefault="00CF7840" w:rsidP="00CF784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97765D8" w14:textId="77777777" w:rsidR="00CF7840" w:rsidRPr="004120A8" w:rsidRDefault="00CF7840" w:rsidP="00CF784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5EA0600" id="_x0000_t202" coordsize="21600,21600" o:spt="202" path="m,l,21600r21600,l21600,xe">
                <v:stroke joinstyle="miter"/>
                <v:path gradientshapeok="t" o:connecttype="rect"/>
              </v:shapetype>
              <v:shape id="Text Box 9" o:spid="_x0000_s1026" type="#_x0000_t202" style="position:absolute;margin-left:-2.25pt;margin-top:20.1pt;width:261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bsKg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">
                <v:textbox>
                  <w:txbxContent>
                    <w:p w14:paraId="3D727389" w14:textId="77777777" w:rsidR="00CF7840" w:rsidRPr="004120A8" w:rsidRDefault="00CF7840" w:rsidP="00CF7840">
                      <w:pPr>
                        <w:jc w:val="center"/>
                        <w:rPr>
                          <w:rFonts w:ascii="Century Gothic" w:hAnsi="Century Gothic"/>
                          <w:b/>
                          <w:sz w:val="2"/>
                          <w:szCs w:val="18"/>
                        </w:rPr>
                      </w:pPr>
                    </w:p>
                    <w:p w14:paraId="6AC72875" w14:textId="77777777" w:rsidR="00CF7840" w:rsidRPr="00AC13F9" w:rsidRDefault="00CF7840" w:rsidP="00CF7840">
                      <w:pPr>
                        <w:numPr>
                          <w:ilvl w:val="0"/>
                          <w:numId w:val="4"/>
                        </w:numPr>
                        <w:spacing w:after="0" w:line="240" w:lineRule="auto"/>
                        <w:rPr>
                          <w:rFonts w:cstheme="minorHAnsi"/>
                          <w:sz w:val="18"/>
                          <w:szCs w:val="18"/>
                        </w:rPr>
                      </w:pPr>
                      <w:r w:rsidRPr="00AC13F9">
                        <w:rPr>
                          <w:rFonts w:cstheme="minorHAnsi"/>
                          <w:sz w:val="18"/>
                          <w:szCs w:val="18"/>
                        </w:rPr>
                        <w:t>REPORTABLE: NO / YES</w:t>
                      </w:r>
                    </w:p>
                    <w:p w14:paraId="7567FA99" w14:textId="77777777" w:rsidR="00CF7840" w:rsidRPr="00AC13F9" w:rsidRDefault="00CF7840" w:rsidP="00CF7840">
                      <w:pPr>
                        <w:numPr>
                          <w:ilvl w:val="0"/>
                          <w:numId w:val="4"/>
                        </w:numPr>
                        <w:spacing w:after="0" w:line="240" w:lineRule="auto"/>
                        <w:rPr>
                          <w:rFonts w:cstheme="minorHAnsi"/>
                          <w:sz w:val="18"/>
                          <w:szCs w:val="18"/>
                        </w:rPr>
                      </w:pPr>
                      <w:r w:rsidRPr="00AC13F9">
                        <w:rPr>
                          <w:rFonts w:cstheme="minorHAnsi"/>
                          <w:sz w:val="18"/>
                          <w:szCs w:val="18"/>
                        </w:rPr>
                        <w:t>OF INTEREST TO OTHER JUDGES: NO / YES</w:t>
                      </w:r>
                    </w:p>
                    <w:p w14:paraId="3105C794" w14:textId="77777777" w:rsidR="00CF7840" w:rsidRPr="00AC13F9" w:rsidRDefault="00CF7840" w:rsidP="00CF7840">
                      <w:pPr>
                        <w:numPr>
                          <w:ilvl w:val="0"/>
                          <w:numId w:val="4"/>
                        </w:numPr>
                        <w:spacing w:after="0" w:line="240" w:lineRule="auto"/>
                        <w:rPr>
                          <w:rFonts w:cstheme="minorHAnsi"/>
                          <w:sz w:val="18"/>
                          <w:szCs w:val="18"/>
                        </w:rPr>
                      </w:pPr>
                      <w:r w:rsidRPr="00AC13F9">
                        <w:rPr>
                          <w:rFonts w:cstheme="minorHAnsi"/>
                          <w:sz w:val="18"/>
                          <w:szCs w:val="18"/>
                        </w:rPr>
                        <w:t xml:space="preserve">REVISED. </w:t>
                      </w:r>
                    </w:p>
                    <w:p w14:paraId="45C64651" w14:textId="77777777" w:rsidR="00CF7840" w:rsidRPr="00AC13F9" w:rsidRDefault="00CF7840" w:rsidP="00CF7840">
                      <w:pPr>
                        <w:rPr>
                          <w:rFonts w:cstheme="minorHAnsi"/>
                          <w:b/>
                          <w:sz w:val="18"/>
                          <w:szCs w:val="18"/>
                        </w:rPr>
                      </w:pPr>
                    </w:p>
                    <w:p w14:paraId="62846B30" w14:textId="77777777" w:rsidR="00CF7840" w:rsidRPr="00AC13F9" w:rsidRDefault="00CF7840" w:rsidP="00CF7840">
                      <w:pPr>
                        <w:rPr>
                          <w:rFonts w:cstheme="minorHAnsi"/>
                          <w:b/>
                          <w:sz w:val="18"/>
                          <w:szCs w:val="18"/>
                        </w:rPr>
                      </w:pPr>
                      <w:r w:rsidRPr="00AC13F9">
                        <w:rPr>
                          <w:rFonts w:cstheme="minorHAnsi"/>
                          <w:b/>
                          <w:sz w:val="18"/>
                          <w:szCs w:val="18"/>
                        </w:rPr>
                        <w:t xml:space="preserve"> …………..………….............</w:t>
                      </w:r>
                      <w:r w:rsidRPr="00AC13F9">
                        <w:rPr>
                          <w:rFonts w:cstheme="minorHAnsi"/>
                          <w:b/>
                          <w:sz w:val="18"/>
                          <w:szCs w:val="18"/>
                        </w:rPr>
                        <w:tab/>
                      </w:r>
                      <w:r>
                        <w:rPr>
                          <w:rFonts w:cstheme="minorHAnsi"/>
                          <w:b/>
                          <w:sz w:val="18"/>
                          <w:szCs w:val="18"/>
                        </w:rPr>
                        <w:tab/>
                      </w:r>
                      <w:r w:rsidRPr="00AC13F9">
                        <w:rPr>
                          <w:rFonts w:cstheme="minorHAnsi"/>
                          <w:b/>
                          <w:sz w:val="18"/>
                          <w:szCs w:val="18"/>
                        </w:rPr>
                        <w:t>……………………</w:t>
                      </w:r>
                    </w:p>
                    <w:p w14:paraId="0D110182" w14:textId="492DF268" w:rsidR="00CF7840" w:rsidRPr="00AC13F9" w:rsidRDefault="00CF7840" w:rsidP="00CF7840">
                      <w:pPr>
                        <w:rPr>
                          <w:rFonts w:cstheme="minorHAnsi"/>
                          <w:b/>
                          <w:sz w:val="18"/>
                          <w:szCs w:val="18"/>
                        </w:rPr>
                      </w:pPr>
                      <w:r w:rsidRPr="00AC13F9">
                        <w:rPr>
                          <w:rFonts w:cstheme="minorHAnsi"/>
                          <w:b/>
                          <w:sz w:val="18"/>
                          <w:szCs w:val="18"/>
                        </w:rPr>
                        <w:t>MOOSA T AJ</w:t>
                      </w:r>
                      <w:r w:rsidRPr="00AC13F9">
                        <w:rPr>
                          <w:rFonts w:cstheme="minorHAnsi"/>
                          <w:b/>
                          <w:sz w:val="18"/>
                          <w:szCs w:val="18"/>
                        </w:rPr>
                        <w:tab/>
                      </w:r>
                      <w:r w:rsidRPr="00AC13F9">
                        <w:rPr>
                          <w:rFonts w:cstheme="minorHAnsi"/>
                          <w:b/>
                          <w:sz w:val="18"/>
                          <w:szCs w:val="18"/>
                        </w:rPr>
                        <w:tab/>
                      </w:r>
                      <w:r w:rsidRPr="00AC13F9">
                        <w:rPr>
                          <w:rFonts w:cstheme="minorHAnsi"/>
                          <w:b/>
                          <w:sz w:val="18"/>
                          <w:szCs w:val="18"/>
                        </w:rPr>
                        <w:tab/>
                      </w:r>
                      <w:r w:rsidR="00AB719F">
                        <w:rPr>
                          <w:rFonts w:cstheme="minorHAnsi"/>
                          <w:b/>
                          <w:sz w:val="18"/>
                          <w:szCs w:val="18"/>
                        </w:rPr>
                        <w:t>20</w:t>
                      </w:r>
                      <w:bookmarkStart w:id="1" w:name="_GoBack"/>
                      <w:bookmarkEnd w:id="1"/>
                      <w:r>
                        <w:rPr>
                          <w:rFonts w:cstheme="minorHAnsi"/>
                          <w:b/>
                          <w:sz w:val="18"/>
                          <w:szCs w:val="18"/>
                        </w:rPr>
                        <w:t>/0</w:t>
                      </w:r>
                      <w:r w:rsidR="006611A9">
                        <w:rPr>
                          <w:rFonts w:cstheme="minorHAnsi"/>
                          <w:b/>
                          <w:sz w:val="18"/>
                          <w:szCs w:val="18"/>
                        </w:rPr>
                        <w:t>6</w:t>
                      </w:r>
                      <w:r>
                        <w:rPr>
                          <w:rFonts w:cstheme="minorHAnsi"/>
                          <w:b/>
                          <w:sz w:val="18"/>
                          <w:szCs w:val="18"/>
                        </w:rPr>
                        <w:t>/2022</w:t>
                      </w:r>
                    </w:p>
                    <w:p w14:paraId="60738F5F" w14:textId="77777777" w:rsidR="00CF7840" w:rsidRPr="004120A8" w:rsidRDefault="00CF7840" w:rsidP="00CF7840">
                      <w:pPr>
                        <w:rPr>
                          <w:rFonts w:ascii="Century Gothic" w:hAnsi="Century Gothic"/>
                          <w:b/>
                          <w:sz w:val="18"/>
                          <w:szCs w:val="18"/>
                        </w:rPr>
                      </w:pPr>
                    </w:p>
                    <w:p w14:paraId="4C5023BA" w14:textId="77777777" w:rsidR="00CF7840" w:rsidRPr="004120A8" w:rsidRDefault="00CF7840" w:rsidP="00CF784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97765D8" w14:textId="77777777" w:rsidR="00CF7840" w:rsidRPr="004120A8" w:rsidRDefault="00CF7840" w:rsidP="00CF7840">
                      <w:pPr>
                        <w:rPr>
                          <w:rFonts w:ascii="Century Gothic" w:hAnsi="Century Gothic"/>
                          <w:b/>
                          <w:sz w:val="2"/>
                          <w:szCs w:val="18"/>
                        </w:rPr>
                      </w:pPr>
                    </w:p>
                  </w:txbxContent>
                </v:textbox>
              </v:shape>
            </w:pict>
          </mc:Fallback>
        </mc:AlternateContent>
      </w:r>
      <w:r w:rsidRPr="00EB184B">
        <w:rPr>
          <w:b/>
          <w:bCs/>
          <w:sz w:val="24"/>
          <w:szCs w:val="24"/>
        </w:rPr>
        <w:t xml:space="preserve">                                                                                                                         CASE NO</w:t>
      </w:r>
      <w:r w:rsidRPr="00EB184B">
        <w:rPr>
          <w:sz w:val="24"/>
          <w:szCs w:val="24"/>
        </w:rPr>
        <w:t xml:space="preserve">: </w:t>
      </w:r>
      <w:r>
        <w:rPr>
          <w:b/>
          <w:bCs/>
          <w:sz w:val="24"/>
          <w:szCs w:val="24"/>
        </w:rPr>
        <w:t>37758/20</w:t>
      </w:r>
    </w:p>
    <w:p w14:paraId="1A4A8EDD" w14:textId="77777777" w:rsidR="00CF7840" w:rsidRDefault="00CF7840" w:rsidP="00CF7840">
      <w:pPr>
        <w:rPr>
          <w:sz w:val="24"/>
          <w:szCs w:val="24"/>
        </w:rPr>
      </w:pPr>
    </w:p>
    <w:p w14:paraId="39577CF7" w14:textId="77777777" w:rsidR="00CF7840" w:rsidRDefault="00CF7840" w:rsidP="00CF7840"/>
    <w:p w14:paraId="6C61F0E9" w14:textId="77777777" w:rsidR="00CF7840" w:rsidRDefault="00CF7840" w:rsidP="00CF7840">
      <w:r>
        <w:t xml:space="preserve">                                                                                                                                          </w:t>
      </w:r>
    </w:p>
    <w:p w14:paraId="04640B0A" w14:textId="77777777" w:rsidR="00CF7840" w:rsidRDefault="00CF7840" w:rsidP="00CF7840"/>
    <w:p w14:paraId="24D63D97" w14:textId="0D0843CC" w:rsidR="00CF7840" w:rsidRDefault="006E072E">
      <w:pPr>
        <w:rPr>
          <w:b/>
          <w:bCs/>
        </w:rPr>
      </w:pPr>
      <w:r w:rsidRPr="006E072E">
        <w:rPr>
          <w:b/>
          <w:bCs/>
        </w:rPr>
        <w:t xml:space="preserve">                             </w:t>
      </w:r>
    </w:p>
    <w:p w14:paraId="518BD015" w14:textId="77777777" w:rsidR="00CF7840" w:rsidRDefault="00CF7840">
      <w:pPr>
        <w:rPr>
          <w:b/>
          <w:bCs/>
        </w:rPr>
      </w:pPr>
    </w:p>
    <w:p w14:paraId="140FF936" w14:textId="43D84D48" w:rsidR="006E072E" w:rsidRDefault="006E072E"/>
    <w:p w14:paraId="5C1993A1" w14:textId="199B8803" w:rsidR="006E072E" w:rsidRDefault="006E072E">
      <w:r>
        <w:t>In the matter between:</w:t>
      </w:r>
    </w:p>
    <w:p w14:paraId="7EBDA3C4" w14:textId="4C409DBF" w:rsidR="006E072E" w:rsidRDefault="006E072E"/>
    <w:p w14:paraId="65F098DA" w14:textId="301CA845" w:rsidR="006E072E" w:rsidRDefault="006E072E">
      <w:r w:rsidRPr="006E072E">
        <w:rPr>
          <w:b/>
          <w:bCs/>
        </w:rPr>
        <w:t xml:space="preserve">AREATHER NWADINOBI                           </w:t>
      </w:r>
      <w:r>
        <w:t xml:space="preserve">                              </w:t>
      </w:r>
      <w:r w:rsidRPr="006E072E">
        <w:t xml:space="preserve">                                                      </w:t>
      </w:r>
      <w:r>
        <w:t>First Appellant</w:t>
      </w:r>
    </w:p>
    <w:p w14:paraId="6B671EF0" w14:textId="5CFA1F8E" w:rsidR="006E072E" w:rsidRDefault="006E32C7">
      <w:r w:rsidRPr="006E32C7">
        <w:rPr>
          <w:b/>
          <w:bCs/>
        </w:rPr>
        <w:t xml:space="preserve">AYANDA TYABASHE MAKHATHINI                                                                                       </w:t>
      </w:r>
      <w:r>
        <w:t>Second Appellant</w:t>
      </w:r>
    </w:p>
    <w:p w14:paraId="02996FAB" w14:textId="22264B76" w:rsidR="00411B88" w:rsidRDefault="00411B88">
      <w:r w:rsidRPr="00411B88">
        <w:rPr>
          <w:b/>
          <w:bCs/>
        </w:rPr>
        <w:t xml:space="preserve">THOZAMA LUTHULI                                                                                                               </w:t>
      </w:r>
      <w:r>
        <w:rPr>
          <w:b/>
          <w:bCs/>
        </w:rPr>
        <w:t xml:space="preserve">  </w:t>
      </w:r>
      <w:r w:rsidRPr="00411B88">
        <w:rPr>
          <w:b/>
          <w:bCs/>
        </w:rPr>
        <w:t xml:space="preserve">    </w:t>
      </w:r>
      <w:r>
        <w:t>Third Appellant</w:t>
      </w:r>
    </w:p>
    <w:p w14:paraId="3229C35D" w14:textId="38A7DC90" w:rsidR="00411B88" w:rsidRDefault="00411B88">
      <w:r w:rsidRPr="00411B88">
        <w:rPr>
          <w:b/>
          <w:bCs/>
        </w:rPr>
        <w:t xml:space="preserve">ZAMATHONGA MASINGA                                                                                                        </w:t>
      </w:r>
      <w:r>
        <w:t>Fourth Appellant</w:t>
      </w:r>
    </w:p>
    <w:p w14:paraId="1AC54ACB" w14:textId="1DD3165B" w:rsidR="00411B88" w:rsidRDefault="00411B88"/>
    <w:p w14:paraId="460D54E9" w14:textId="2A52966E" w:rsidR="00411B88" w:rsidRDefault="00411B88">
      <w:r>
        <w:t>and</w:t>
      </w:r>
    </w:p>
    <w:p w14:paraId="3D61BFA5" w14:textId="6A01F3EE" w:rsidR="00411B88" w:rsidRDefault="00411B88"/>
    <w:p w14:paraId="67F7ED3E" w14:textId="6DCD492D" w:rsidR="00411B88" w:rsidRDefault="00411B88">
      <w:r w:rsidRPr="00411B88">
        <w:rPr>
          <w:b/>
          <w:bCs/>
        </w:rPr>
        <w:t xml:space="preserve">CITIQ RESIDENTIAL (PTY) LTD                                                                                                          </w:t>
      </w:r>
      <w:r>
        <w:t>Respondent</w:t>
      </w:r>
    </w:p>
    <w:p w14:paraId="29E5225F" w14:textId="7493BE9F" w:rsidR="00411B88" w:rsidRDefault="00411B88">
      <w:r>
        <w:t>In re:</w:t>
      </w:r>
    </w:p>
    <w:p w14:paraId="6304DA56" w14:textId="4C3909C1" w:rsidR="00411B88" w:rsidRPr="00CF7840" w:rsidRDefault="00411B88">
      <w:pPr>
        <w:rPr>
          <w:b/>
          <w:bCs/>
        </w:rPr>
      </w:pPr>
    </w:p>
    <w:p w14:paraId="43381C43" w14:textId="7E50C066" w:rsidR="00411B88" w:rsidRDefault="00411B88">
      <w:r w:rsidRPr="00CF7840">
        <w:rPr>
          <w:b/>
          <w:bCs/>
        </w:rPr>
        <w:t xml:space="preserve">CITIQ RESIDENTIAL (PTY)LTD                                                                                                                </w:t>
      </w:r>
      <w:r>
        <w:t>Applicant</w:t>
      </w:r>
    </w:p>
    <w:p w14:paraId="3C234AC1" w14:textId="72155ED0" w:rsidR="00411B88" w:rsidRDefault="00411B88">
      <w:r>
        <w:t>and</w:t>
      </w:r>
    </w:p>
    <w:p w14:paraId="38E33AEA" w14:textId="562B01DC" w:rsidR="00411B88" w:rsidRDefault="00411B88">
      <w:r w:rsidRPr="00411B88">
        <w:rPr>
          <w:b/>
          <w:bCs/>
        </w:rPr>
        <w:t xml:space="preserve">AREATHER NWADINOBI                                                                                                           </w:t>
      </w:r>
      <w:r>
        <w:t>First Respondent</w:t>
      </w:r>
    </w:p>
    <w:p w14:paraId="4AF330EF" w14:textId="629C84BF" w:rsidR="00411B88" w:rsidRDefault="00D26ACB">
      <w:r w:rsidRPr="00D26ACB">
        <w:rPr>
          <w:b/>
          <w:bCs/>
        </w:rPr>
        <w:t>THE UNLAWFUL OCCUPIERS OF EDITH COURT</w:t>
      </w:r>
      <w:r>
        <w:t xml:space="preserve">                                           Second to Eighth Respondents</w:t>
      </w:r>
    </w:p>
    <w:p w14:paraId="299D7A6A" w14:textId="192A1BDF" w:rsidR="00D26ACB" w:rsidRDefault="00D26ACB">
      <w:r w:rsidRPr="00D26ACB">
        <w:rPr>
          <w:b/>
          <w:bCs/>
        </w:rPr>
        <w:lastRenderedPageBreak/>
        <w:t xml:space="preserve">CITY OF JOHANNESBURG                                                                                                    </w:t>
      </w:r>
      <w:r>
        <w:t>Nineth Respondent</w:t>
      </w:r>
    </w:p>
    <w:p w14:paraId="7F7BF56D" w14:textId="5183585F" w:rsidR="00D26ACB" w:rsidRDefault="00D26ACB">
      <w:pPr>
        <w:pBdr>
          <w:bottom w:val="single" w:sz="12" w:space="1" w:color="auto"/>
        </w:pBdr>
      </w:pPr>
    </w:p>
    <w:p w14:paraId="3A9A75B8" w14:textId="52A2E8A9" w:rsidR="00FF70BC" w:rsidRDefault="00D26ACB">
      <w:r>
        <w:t xml:space="preserve">      </w:t>
      </w:r>
    </w:p>
    <w:p w14:paraId="0661DA49" w14:textId="626D6C91" w:rsidR="00D26ACB" w:rsidRDefault="00D26ACB">
      <w:pPr>
        <w:pBdr>
          <w:bottom w:val="single" w:sz="12" w:space="1" w:color="auto"/>
        </w:pBdr>
        <w:rPr>
          <w:b/>
          <w:bCs/>
        </w:rPr>
      </w:pPr>
      <w:r>
        <w:t xml:space="preserve">                                                    </w:t>
      </w:r>
      <w:r w:rsidRPr="00D26ACB">
        <w:rPr>
          <w:b/>
          <w:bCs/>
        </w:rPr>
        <w:t>JUDGEMENT</w:t>
      </w:r>
      <w:r w:rsidR="000A5F8A">
        <w:rPr>
          <w:b/>
          <w:bCs/>
        </w:rPr>
        <w:t xml:space="preserve"> ON APPLICATION FOR</w:t>
      </w:r>
      <w:r w:rsidRPr="00D26ACB">
        <w:rPr>
          <w:b/>
          <w:bCs/>
        </w:rPr>
        <w:t xml:space="preserve"> LEAVE TO APPEAL</w:t>
      </w:r>
    </w:p>
    <w:p w14:paraId="655EA79A" w14:textId="77777777" w:rsidR="00FF70BC" w:rsidRDefault="00FF70BC">
      <w:pPr>
        <w:pBdr>
          <w:bottom w:val="single" w:sz="12" w:space="1" w:color="auto"/>
        </w:pBdr>
        <w:rPr>
          <w:b/>
          <w:bCs/>
        </w:rPr>
      </w:pPr>
    </w:p>
    <w:p w14:paraId="2F717C25" w14:textId="77777777" w:rsidR="00CF7840" w:rsidRDefault="00CF7840">
      <w:pPr>
        <w:rPr>
          <w:b/>
          <w:bCs/>
        </w:rPr>
      </w:pPr>
    </w:p>
    <w:p w14:paraId="045ACEBE" w14:textId="7AF1F5D9" w:rsidR="00FF70BC" w:rsidRDefault="000A5F8A">
      <w:pPr>
        <w:rPr>
          <w:b/>
          <w:bCs/>
        </w:rPr>
      </w:pPr>
      <w:r>
        <w:rPr>
          <w:b/>
          <w:bCs/>
        </w:rPr>
        <w:t>CORAM: T MOOSA AJ</w:t>
      </w:r>
    </w:p>
    <w:p w14:paraId="725BA37D" w14:textId="409BEBA5" w:rsidR="000A5F8A" w:rsidRDefault="000A5F8A">
      <w:pPr>
        <w:rPr>
          <w:b/>
          <w:bCs/>
        </w:rPr>
      </w:pPr>
    </w:p>
    <w:p w14:paraId="08A93D18" w14:textId="44E351B0" w:rsidR="008C37B7" w:rsidRDefault="008C37B7">
      <w:pPr>
        <w:rPr>
          <w:b/>
          <w:bCs/>
        </w:rPr>
      </w:pPr>
      <w:r>
        <w:rPr>
          <w:b/>
          <w:bCs/>
        </w:rPr>
        <w:t>Introduction:</w:t>
      </w:r>
    </w:p>
    <w:p w14:paraId="5FC19C49" w14:textId="21958413" w:rsidR="008C37B7" w:rsidRDefault="008C37B7">
      <w:pPr>
        <w:rPr>
          <w:b/>
          <w:bCs/>
        </w:rPr>
      </w:pPr>
    </w:p>
    <w:p w14:paraId="7FF8816C" w14:textId="01C5861C" w:rsidR="008C37B7" w:rsidRDefault="008C37B7" w:rsidP="008C37B7">
      <w:pPr>
        <w:pStyle w:val="ListParagraph"/>
        <w:numPr>
          <w:ilvl w:val="0"/>
          <w:numId w:val="1"/>
        </w:numPr>
      </w:pPr>
      <w:r>
        <w:t xml:space="preserve">On </w:t>
      </w:r>
      <w:r w:rsidR="009A6F05">
        <w:t>4 August 2021</w:t>
      </w:r>
      <w:r w:rsidR="00A367D5">
        <w:t>,</w:t>
      </w:r>
      <w:r w:rsidR="009A6F05">
        <w:t xml:space="preserve"> in terms of </w:t>
      </w:r>
      <w:r w:rsidR="00A15CB2">
        <w:t xml:space="preserve">an </w:t>
      </w:r>
      <w:r w:rsidR="009A6F05">
        <w:t xml:space="preserve">ex tempore judgement, I granted the Respondent/ </w:t>
      </w:r>
      <w:r w:rsidR="00A367D5">
        <w:t>A</w:t>
      </w:r>
      <w:r w:rsidR="009A6F05">
        <w:t>pplicants application</w:t>
      </w:r>
      <w:r w:rsidR="002A60EB">
        <w:t xml:space="preserve"> viz:</w:t>
      </w:r>
    </w:p>
    <w:p w14:paraId="67F70C7A" w14:textId="77777777" w:rsidR="00A367D5" w:rsidRDefault="00A367D5" w:rsidP="00A367D5">
      <w:pPr>
        <w:pStyle w:val="ListParagraph"/>
      </w:pPr>
    </w:p>
    <w:p w14:paraId="12E52A9A" w14:textId="0A2C1FFF" w:rsidR="00A367D5" w:rsidRDefault="002A60EB" w:rsidP="00A367D5">
      <w:pPr>
        <w:pStyle w:val="ListParagraph"/>
        <w:numPr>
          <w:ilvl w:val="1"/>
          <w:numId w:val="1"/>
        </w:numPr>
      </w:pPr>
      <w:r>
        <w:t>The First to Eighth Respondents, together with any and /or all members of their families</w:t>
      </w:r>
    </w:p>
    <w:p w14:paraId="6C842061" w14:textId="541609DB" w:rsidR="00A15CB2" w:rsidRDefault="00A367D5" w:rsidP="00A367D5">
      <w:pPr>
        <w:pStyle w:val="ListParagraph"/>
        <w:ind w:left="1100"/>
      </w:pPr>
      <w:r>
        <w:t xml:space="preserve">and </w:t>
      </w:r>
      <w:r w:rsidR="002A60EB">
        <w:t>any other persons who are in occupation of the property (“the unlawful occupiers’) are to vacate the property, known as EDITH COUR</w:t>
      </w:r>
      <w:r w:rsidR="0001087E">
        <w:t>T</w:t>
      </w:r>
      <w:r w:rsidR="002A60EB">
        <w:t>, being portion 0 of Erf 104, Bellevue East, City of Johannesburg</w:t>
      </w:r>
      <w:r w:rsidR="0001087E">
        <w:t>, Registration</w:t>
      </w:r>
      <w:r>
        <w:t xml:space="preserve"> Division I</w:t>
      </w:r>
      <w:r w:rsidR="00573F85">
        <w:t>.</w:t>
      </w:r>
      <w:r>
        <w:t xml:space="preserve"> R., Gauteng Province, situate at the 137 Muller street, Bellevue East (“the property”), within 30 days from the granting of </w:t>
      </w:r>
    </w:p>
    <w:p w14:paraId="1029BE0E" w14:textId="23DB17C2" w:rsidR="002A60EB" w:rsidRDefault="00A367D5" w:rsidP="00A367D5">
      <w:pPr>
        <w:pStyle w:val="ListParagraph"/>
        <w:ind w:left="1100"/>
      </w:pPr>
      <w:r>
        <w:t>this order.</w:t>
      </w:r>
    </w:p>
    <w:p w14:paraId="272B4452" w14:textId="77777777" w:rsidR="00A15CB2" w:rsidRDefault="00A15CB2" w:rsidP="00A367D5">
      <w:pPr>
        <w:pStyle w:val="ListParagraph"/>
        <w:ind w:left="1100"/>
      </w:pPr>
    </w:p>
    <w:p w14:paraId="2DB1F076" w14:textId="7D260221" w:rsidR="00A367D5" w:rsidRDefault="00A367D5" w:rsidP="00A15CB2">
      <w:pPr>
        <w:pStyle w:val="ListParagraph"/>
        <w:numPr>
          <w:ilvl w:val="1"/>
          <w:numId w:val="1"/>
        </w:numPr>
      </w:pPr>
      <w:r>
        <w:t xml:space="preserve">In the event that the Respondents and those holding occupation </w:t>
      </w:r>
      <w:r w:rsidR="00A15CB2">
        <w:t>through or under the occupiers, fail to vacate the property on the date specified in the above paragraph, the Sheriff is authorised and directed to evict the Respondents from the property.</w:t>
      </w:r>
    </w:p>
    <w:p w14:paraId="362CAF6A" w14:textId="77777777" w:rsidR="00CD66D6" w:rsidRDefault="00CD66D6" w:rsidP="00CD66D6">
      <w:pPr>
        <w:pStyle w:val="ListParagraph"/>
        <w:ind w:left="1100"/>
      </w:pPr>
    </w:p>
    <w:p w14:paraId="50D529D0" w14:textId="094D295A" w:rsidR="001E2594" w:rsidRDefault="00CD66D6" w:rsidP="001E2594">
      <w:pPr>
        <w:pStyle w:val="ListParagraph"/>
        <w:numPr>
          <w:ilvl w:val="0"/>
          <w:numId w:val="1"/>
        </w:numPr>
      </w:pPr>
      <w:r>
        <w:t>On 18 August 2021 the Appellants applied for leave to appeal against the whole of my judgement.</w:t>
      </w:r>
    </w:p>
    <w:p w14:paraId="70382428" w14:textId="77777777" w:rsidR="001E2594" w:rsidRDefault="001E2594" w:rsidP="001E2594">
      <w:pPr>
        <w:pStyle w:val="ListParagraph"/>
      </w:pPr>
    </w:p>
    <w:p w14:paraId="32B8B413" w14:textId="5896AF9E" w:rsidR="001E2594" w:rsidRDefault="001E2594" w:rsidP="001E2594">
      <w:pPr>
        <w:pStyle w:val="ListParagraph"/>
        <w:numPr>
          <w:ilvl w:val="0"/>
          <w:numId w:val="1"/>
        </w:numPr>
      </w:pPr>
      <w:r>
        <w:t xml:space="preserve">Save for the application for leave to appeal the </w:t>
      </w:r>
      <w:r w:rsidR="00E37A58">
        <w:t>A</w:t>
      </w:r>
      <w:r>
        <w:t xml:space="preserve">ppellants conduct in this matter has been </w:t>
      </w:r>
      <w:r w:rsidR="000243F5">
        <w:t>wholly opportunistic</w:t>
      </w:r>
      <w:r w:rsidR="00E37A58">
        <w:t>,</w:t>
      </w:r>
      <w:r>
        <w:t xml:space="preserve"> in that despite service of the main eviction application as well as the Section 4 (2) notice on the Appellants, the Appellants failed to deliver a notice of intention to defend</w:t>
      </w:r>
      <w:r w:rsidR="00E46F38">
        <w:t>. or any opposing affidavits. Counsel on behalf of the Appellants appeared at the 11</w:t>
      </w:r>
      <w:r w:rsidR="00E46F38" w:rsidRPr="00E46F38">
        <w:rPr>
          <w:vertAlign w:val="superscript"/>
        </w:rPr>
        <w:t>th</w:t>
      </w:r>
      <w:r w:rsidR="00E46F38">
        <w:t xml:space="preserve"> hour at the hearing still without any opposing affidavits and during the course of the hearing conceded to the order being granted.</w:t>
      </w:r>
      <w:r w:rsidR="00E46F38">
        <w:rPr>
          <w:rStyle w:val="FootnoteReference"/>
        </w:rPr>
        <w:footnoteReference w:id="1"/>
      </w:r>
    </w:p>
    <w:p w14:paraId="4662543B" w14:textId="77777777" w:rsidR="00851297" w:rsidRDefault="00851297" w:rsidP="00851297">
      <w:pPr>
        <w:pStyle w:val="ListParagraph"/>
      </w:pPr>
    </w:p>
    <w:p w14:paraId="27DC3823" w14:textId="7B21FC2C" w:rsidR="00851297" w:rsidRDefault="00851297" w:rsidP="001E2594">
      <w:pPr>
        <w:pStyle w:val="ListParagraph"/>
        <w:numPr>
          <w:ilvl w:val="0"/>
          <w:numId w:val="1"/>
        </w:numPr>
      </w:pPr>
      <w:r>
        <w:t xml:space="preserve">Save for the application for leave to appeal the Appellants have done absolutely nothing to further the matter. I addressed </w:t>
      </w:r>
      <w:r w:rsidR="00593B92">
        <w:t>correspondence</w:t>
      </w:r>
      <w:r>
        <w:t xml:space="preserve"> to</w:t>
      </w:r>
      <w:r w:rsidR="00593B92">
        <w:t xml:space="preserve"> all parties requiring them to file heads by the 31</w:t>
      </w:r>
      <w:r w:rsidR="00593B92" w:rsidRPr="00593B92">
        <w:rPr>
          <w:vertAlign w:val="superscript"/>
        </w:rPr>
        <w:t>st</w:t>
      </w:r>
      <w:r w:rsidR="00593B92">
        <w:t xml:space="preserve"> May 2022 and </w:t>
      </w:r>
      <w:r w:rsidR="00AF0A6F">
        <w:t>the Appellants have simply failed to respond.</w:t>
      </w:r>
    </w:p>
    <w:p w14:paraId="20FBE884" w14:textId="77777777" w:rsidR="000820E1" w:rsidRDefault="000820E1" w:rsidP="000820E1">
      <w:pPr>
        <w:pStyle w:val="ListParagraph"/>
      </w:pPr>
    </w:p>
    <w:p w14:paraId="61D41A25" w14:textId="6E248705" w:rsidR="000820E1" w:rsidRDefault="001D4C88" w:rsidP="001E2594">
      <w:pPr>
        <w:pStyle w:val="ListParagraph"/>
        <w:numPr>
          <w:ilvl w:val="0"/>
          <w:numId w:val="1"/>
        </w:numPr>
      </w:pPr>
      <w:r>
        <w:t>The grounds for leave to appeal having no merit, as discussed hereunder,</w:t>
      </w:r>
      <w:r w:rsidR="00E85E30">
        <w:t xml:space="preserve"> </w:t>
      </w:r>
      <w:r w:rsidR="000820E1">
        <w:t>ha</w:t>
      </w:r>
      <w:r>
        <w:t>d</w:t>
      </w:r>
      <w:r w:rsidR="000820E1">
        <w:t xml:space="preserve"> the effect of staying the order granted on 4 August 2022 </w:t>
      </w:r>
      <w:r>
        <w:t>an</w:t>
      </w:r>
      <w:r w:rsidR="00E85E30">
        <w:t>d</w:t>
      </w:r>
      <w:r>
        <w:t xml:space="preserve"> has</w:t>
      </w:r>
      <w:r w:rsidR="000820E1">
        <w:t xml:space="preserve"> afforded the Appellants </w:t>
      </w:r>
      <w:r>
        <w:t xml:space="preserve">an additional 9 </w:t>
      </w:r>
      <w:r>
        <w:lastRenderedPageBreak/>
        <w:t>months to illegally occupy the property</w:t>
      </w:r>
      <w:r w:rsidR="000B2E64">
        <w:t xml:space="preserve"> and unscrupulously exploit an already untenable situation.</w:t>
      </w:r>
    </w:p>
    <w:p w14:paraId="34DE2378" w14:textId="201437F1" w:rsidR="00E85E30" w:rsidRPr="00D76435" w:rsidRDefault="00D76435" w:rsidP="00E85E30">
      <w:pPr>
        <w:rPr>
          <w:b/>
          <w:bCs/>
        </w:rPr>
      </w:pPr>
      <w:r w:rsidRPr="00D76435">
        <w:rPr>
          <w:b/>
          <w:bCs/>
        </w:rPr>
        <w:t>Grounds of appeal</w:t>
      </w:r>
    </w:p>
    <w:p w14:paraId="325B3B31" w14:textId="108FFD52" w:rsidR="001D4C88" w:rsidRDefault="00CA5317" w:rsidP="001E2594">
      <w:pPr>
        <w:pStyle w:val="ListParagraph"/>
        <w:numPr>
          <w:ilvl w:val="0"/>
          <w:numId w:val="1"/>
        </w:numPr>
      </w:pPr>
      <w:r>
        <w:t>First ground of appeal:</w:t>
      </w:r>
    </w:p>
    <w:p w14:paraId="2403F3D7" w14:textId="77777777" w:rsidR="00AE0C5E" w:rsidRDefault="00AE0C5E" w:rsidP="00AE0C5E">
      <w:pPr>
        <w:pStyle w:val="ListParagraph"/>
      </w:pPr>
    </w:p>
    <w:p w14:paraId="3EF092B8" w14:textId="2E3963E1" w:rsidR="00AE0C5E" w:rsidRDefault="009E0B5C" w:rsidP="00AE0C5E">
      <w:pPr>
        <w:pStyle w:val="ListParagraph"/>
        <w:numPr>
          <w:ilvl w:val="1"/>
          <w:numId w:val="1"/>
        </w:numPr>
      </w:pPr>
      <w:r>
        <w:t>In granting the order, the Appellants had no lease agre</w:t>
      </w:r>
      <w:r w:rsidR="00AE0C5E">
        <w:t xml:space="preserve">ements with the Respondent, </w:t>
      </w:r>
    </w:p>
    <w:p w14:paraId="0627B99E" w14:textId="3B69C5D6" w:rsidR="009E0B5C" w:rsidRDefault="00AE0C5E" w:rsidP="00AE0C5E">
      <w:pPr>
        <w:pStyle w:val="ListParagraph"/>
        <w:ind w:left="1100"/>
      </w:pPr>
      <w:r>
        <w:t>whereas the Appellants have lease agreements with the Respondent, which lease agreements are in possession of the Respondent</w:t>
      </w:r>
      <w:r w:rsidR="00CA5317">
        <w:t xml:space="preserve"> and the Respondent having attached to his founding affidavit, the lease agreement of the 1</w:t>
      </w:r>
      <w:r w:rsidR="00CA5317" w:rsidRPr="00CA5317">
        <w:rPr>
          <w:vertAlign w:val="superscript"/>
        </w:rPr>
        <w:t>st</w:t>
      </w:r>
      <w:r w:rsidR="00CA5317">
        <w:t xml:space="preserve"> Appellant, marked as annexure 02-20 to 02-29, and a certified copy of the first Appellants identification marked as annexure 02-7</w:t>
      </w:r>
    </w:p>
    <w:p w14:paraId="0646C1D7" w14:textId="63870CC6" w:rsidR="00635B29" w:rsidRDefault="00635B29" w:rsidP="00AE0C5E">
      <w:pPr>
        <w:pStyle w:val="ListParagraph"/>
        <w:ind w:left="1100"/>
      </w:pPr>
    </w:p>
    <w:p w14:paraId="5B3D78D3" w14:textId="5B392C6A" w:rsidR="00635B29" w:rsidRDefault="00CA5317" w:rsidP="00635B29">
      <w:pPr>
        <w:pStyle w:val="ListParagraph"/>
        <w:numPr>
          <w:ilvl w:val="1"/>
          <w:numId w:val="1"/>
        </w:numPr>
      </w:pPr>
      <w:r>
        <w:t xml:space="preserve">In the Respondents founding affidavit in the main eviction proceedings </w:t>
      </w:r>
      <w:r w:rsidR="00635B29">
        <w:t xml:space="preserve">a lease </w:t>
      </w:r>
    </w:p>
    <w:p w14:paraId="61A92D20" w14:textId="314D6064" w:rsidR="0016581D" w:rsidRDefault="00635B29" w:rsidP="0016581D">
      <w:pPr>
        <w:pStyle w:val="ListParagraph"/>
        <w:ind w:left="1100"/>
      </w:pPr>
      <w:r>
        <w:t>agreement between the Respondent and the First Appellant is attached – annexure “TM2A”</w:t>
      </w:r>
      <w:r>
        <w:rPr>
          <w:rStyle w:val="FootnoteReference"/>
        </w:rPr>
        <w:footnoteReference w:id="2"/>
      </w:r>
      <w:r>
        <w:t>.  At the time of the hearing of the</w:t>
      </w:r>
      <w:r w:rsidR="0016581D">
        <w:t xml:space="preserve"> application, the first Appellant’s lease agreement had been cancelled and no valid lease agreement was in place.  A copy of the cancellation letter dated 14 July 2020 confirming the date upon which the First Appellant was to vacate was attached to the founding affidavit – annexure ‘TM2B”</w:t>
      </w:r>
      <w:r w:rsidR="0016581D">
        <w:rPr>
          <w:rStyle w:val="FootnoteReference"/>
        </w:rPr>
        <w:footnoteReference w:id="3"/>
      </w:r>
    </w:p>
    <w:p w14:paraId="0077A4A3" w14:textId="77777777" w:rsidR="0016581D" w:rsidRDefault="0016581D" w:rsidP="0016581D">
      <w:pPr>
        <w:pStyle w:val="ListParagraph"/>
        <w:ind w:left="1100"/>
      </w:pPr>
    </w:p>
    <w:p w14:paraId="6B6D046B" w14:textId="5AD67AAB" w:rsidR="0016581D" w:rsidRDefault="0016581D" w:rsidP="0016581D">
      <w:pPr>
        <w:pStyle w:val="ListParagraph"/>
        <w:numPr>
          <w:ilvl w:val="1"/>
          <w:numId w:val="1"/>
        </w:numPr>
      </w:pPr>
      <w:r>
        <w:t>There w</w:t>
      </w:r>
      <w:r w:rsidR="006B4AAF">
        <w:t>e</w:t>
      </w:r>
      <w:r>
        <w:t xml:space="preserve">re no lease agreements entered into between the Respondent and the </w:t>
      </w:r>
    </w:p>
    <w:p w14:paraId="1174B6DF" w14:textId="04FB8E2E" w:rsidR="001D4BC4" w:rsidRDefault="0016581D" w:rsidP="001D4BC4">
      <w:pPr>
        <w:pStyle w:val="ListParagraph"/>
        <w:ind w:left="1100"/>
      </w:pPr>
      <w:r>
        <w:t>Second, Third and Fourth Appellants as is evident from the founding affidavi</w:t>
      </w:r>
      <w:r w:rsidR="001842E5">
        <w:t>t. The Appellants placed no evidence before the court to legitimize their claim to occupation of the property. This was also never placed in dispute during the hearing of the main eviction proceedings.</w:t>
      </w:r>
    </w:p>
    <w:p w14:paraId="418A22F3" w14:textId="77777777" w:rsidR="001D4BC4" w:rsidRDefault="001D4BC4" w:rsidP="001D4BC4">
      <w:pPr>
        <w:pStyle w:val="ListParagraph"/>
        <w:ind w:left="1100"/>
      </w:pPr>
    </w:p>
    <w:p w14:paraId="1CE0961E" w14:textId="1B2F2D85" w:rsidR="001D4BC4" w:rsidRDefault="001D4BC4" w:rsidP="001D4BC4">
      <w:pPr>
        <w:pStyle w:val="ListParagraph"/>
        <w:numPr>
          <w:ilvl w:val="1"/>
          <w:numId w:val="1"/>
        </w:numPr>
      </w:pPr>
      <w:r>
        <w:t>This ground of appeal having no merit.</w:t>
      </w:r>
    </w:p>
    <w:p w14:paraId="7BF203B5" w14:textId="77777777" w:rsidR="001D4BC4" w:rsidRDefault="001D4BC4" w:rsidP="001D4BC4">
      <w:pPr>
        <w:pStyle w:val="ListParagraph"/>
        <w:ind w:left="1100"/>
      </w:pPr>
    </w:p>
    <w:p w14:paraId="367E0268" w14:textId="5A21267D" w:rsidR="001D4BC4" w:rsidRDefault="001D4BC4" w:rsidP="001D4BC4">
      <w:pPr>
        <w:pStyle w:val="ListParagraph"/>
        <w:numPr>
          <w:ilvl w:val="0"/>
          <w:numId w:val="1"/>
        </w:numPr>
      </w:pPr>
      <w:r>
        <w:t>Second ground of appeal:</w:t>
      </w:r>
    </w:p>
    <w:p w14:paraId="44CE7321" w14:textId="3F238B09" w:rsidR="001D4BC4" w:rsidRDefault="001D4BC4" w:rsidP="001D4BC4">
      <w:pPr>
        <w:pStyle w:val="ListParagraph"/>
      </w:pPr>
    </w:p>
    <w:p w14:paraId="65CEB90A" w14:textId="469DA939" w:rsidR="00B12058" w:rsidRDefault="001D4BC4" w:rsidP="00B12058">
      <w:pPr>
        <w:pStyle w:val="ListParagraph"/>
        <w:numPr>
          <w:ilvl w:val="1"/>
          <w:numId w:val="1"/>
        </w:numPr>
      </w:pPr>
      <w:r>
        <w:t xml:space="preserve">That no notice of intention to oppose the eviction application was submitted. That the </w:t>
      </w:r>
    </w:p>
    <w:p w14:paraId="5199AE23" w14:textId="468C6A34" w:rsidR="001D4BC4" w:rsidRDefault="001D4BC4" w:rsidP="00B12058">
      <w:pPr>
        <w:pStyle w:val="ListParagraph"/>
        <w:ind w:left="1100"/>
      </w:pPr>
      <w:r>
        <w:t>Appellants are not familiar with court processes and proceedings and having experienced severe financial constraints during Covid due to the Covid pandemic, therefore could not afford a legal representative</w:t>
      </w:r>
      <w:r w:rsidR="00B12058">
        <w:t xml:space="preserve"> did in fact email such notice and intention to oppose.</w:t>
      </w:r>
    </w:p>
    <w:p w14:paraId="13D328E8" w14:textId="77777777" w:rsidR="008739FC" w:rsidRDefault="008739FC" w:rsidP="00B12058">
      <w:pPr>
        <w:pStyle w:val="ListParagraph"/>
        <w:ind w:left="1100"/>
      </w:pPr>
    </w:p>
    <w:p w14:paraId="6FC41B06" w14:textId="514D9A42" w:rsidR="00B12058" w:rsidRDefault="00B12058" w:rsidP="00B12058">
      <w:pPr>
        <w:pStyle w:val="ListParagraph"/>
        <w:numPr>
          <w:ilvl w:val="1"/>
          <w:numId w:val="1"/>
        </w:numPr>
      </w:pPr>
      <w:r>
        <w:t xml:space="preserve">On 4 August 2022 during the hearing of the eviction application proceedings Adv Hashe </w:t>
      </w:r>
    </w:p>
    <w:p w14:paraId="708325A7" w14:textId="7C6C03F2" w:rsidR="008739FC" w:rsidRDefault="00B12058" w:rsidP="008739FC">
      <w:pPr>
        <w:pStyle w:val="ListParagraph"/>
        <w:ind w:left="1100"/>
      </w:pPr>
      <w:r>
        <w:t>came on record for</w:t>
      </w:r>
      <w:r w:rsidR="008739FC">
        <w:t xml:space="preserve"> the </w:t>
      </w:r>
      <w:r>
        <w:t xml:space="preserve">First, </w:t>
      </w:r>
      <w:r w:rsidR="008739FC">
        <w:t>S</w:t>
      </w:r>
      <w:r>
        <w:t xml:space="preserve">econd and Fourth Appellants </w:t>
      </w:r>
      <w:r w:rsidR="008739FC">
        <w:t>and it was not denied that no notice of intention to oppose or opposing affidavits were filed by the Appellants.</w:t>
      </w:r>
    </w:p>
    <w:p w14:paraId="56E04CBB" w14:textId="77777777" w:rsidR="00E77879" w:rsidRDefault="00E77879" w:rsidP="008739FC">
      <w:pPr>
        <w:pStyle w:val="ListParagraph"/>
        <w:ind w:left="1100"/>
      </w:pPr>
    </w:p>
    <w:p w14:paraId="1313725C" w14:textId="028CF922" w:rsidR="00E77879" w:rsidRDefault="00E77879" w:rsidP="00E77879">
      <w:pPr>
        <w:pStyle w:val="ListParagraph"/>
        <w:numPr>
          <w:ilvl w:val="1"/>
          <w:numId w:val="1"/>
        </w:numPr>
      </w:pPr>
      <w:r>
        <w:t xml:space="preserve">The Appellants were accordingly represented at the hearing, an appropriate course of </w:t>
      </w:r>
    </w:p>
    <w:p w14:paraId="52550B87" w14:textId="75EC7879" w:rsidR="008739FC" w:rsidRDefault="00E77879" w:rsidP="00E77879">
      <w:pPr>
        <w:pStyle w:val="ListParagraph"/>
        <w:ind w:left="1100"/>
      </w:pPr>
      <w:r>
        <w:t>redress for this ground would therefore be a rescission and not an application for leave to appeal.</w:t>
      </w:r>
    </w:p>
    <w:p w14:paraId="0BD6B24C" w14:textId="716F097F" w:rsidR="00E77879" w:rsidRDefault="00E77879" w:rsidP="00E77879">
      <w:r>
        <w:t xml:space="preserve">              7.4.  This ground of appeal having no merit.</w:t>
      </w:r>
    </w:p>
    <w:p w14:paraId="4BCC3F41" w14:textId="75A36CAA" w:rsidR="00E77879" w:rsidRDefault="00E77879" w:rsidP="00E77879"/>
    <w:p w14:paraId="198C9D9C" w14:textId="2AF60BB7" w:rsidR="00E77879" w:rsidRDefault="00E77879" w:rsidP="00E77879">
      <w:pPr>
        <w:pStyle w:val="ListParagraph"/>
        <w:numPr>
          <w:ilvl w:val="0"/>
          <w:numId w:val="1"/>
        </w:numPr>
      </w:pPr>
      <w:r>
        <w:t>Third ground of appeal:</w:t>
      </w:r>
    </w:p>
    <w:p w14:paraId="3C2C3C67" w14:textId="08161BDB" w:rsidR="00E77879" w:rsidRDefault="00E77879" w:rsidP="00E77879">
      <w:pPr>
        <w:pStyle w:val="ListParagraph"/>
      </w:pPr>
    </w:p>
    <w:p w14:paraId="13DBF28A" w14:textId="77F44C0E" w:rsidR="00C9706E" w:rsidRDefault="00E77879" w:rsidP="00C9706E">
      <w:pPr>
        <w:pStyle w:val="ListParagraph"/>
        <w:numPr>
          <w:ilvl w:val="1"/>
          <w:numId w:val="1"/>
        </w:numPr>
      </w:pPr>
      <w:r>
        <w:t xml:space="preserve">The Appellants aver that the Respondent relied on a Windeed report of ownership </w:t>
      </w:r>
    </w:p>
    <w:p w14:paraId="53374B44" w14:textId="0837FDA3" w:rsidR="00E77879" w:rsidRDefault="00E77879" w:rsidP="00C9706E">
      <w:pPr>
        <w:pStyle w:val="ListParagraph"/>
        <w:ind w:left="1100"/>
      </w:pPr>
      <w:r>
        <w:t xml:space="preserve">which </w:t>
      </w:r>
      <w:r w:rsidR="00C9706E">
        <w:t>W</w:t>
      </w:r>
      <w:r>
        <w:t>inded reports contains a disclaimer and amounts to hearsay.</w:t>
      </w:r>
    </w:p>
    <w:p w14:paraId="670A02F2" w14:textId="77777777" w:rsidR="00254134" w:rsidRDefault="00254134" w:rsidP="00C9706E">
      <w:pPr>
        <w:pStyle w:val="ListParagraph"/>
        <w:ind w:left="1100"/>
      </w:pPr>
    </w:p>
    <w:p w14:paraId="1EFBE9E4" w14:textId="41488660" w:rsidR="00254134" w:rsidRDefault="00C9706E" w:rsidP="00254134">
      <w:pPr>
        <w:pStyle w:val="ListParagraph"/>
        <w:numPr>
          <w:ilvl w:val="1"/>
          <w:numId w:val="1"/>
        </w:numPr>
      </w:pPr>
      <w:r>
        <w:t>The Appellants did not p</w:t>
      </w:r>
      <w:r w:rsidR="00254134">
        <w:t>l</w:t>
      </w:r>
      <w:r>
        <w:t xml:space="preserve">ace the ownership of the immovable property in dispute at the </w:t>
      </w:r>
    </w:p>
    <w:p w14:paraId="26FEFCE2" w14:textId="3393372E" w:rsidR="00254134" w:rsidRDefault="00C9706E" w:rsidP="00C46925">
      <w:pPr>
        <w:pStyle w:val="ListParagraph"/>
        <w:ind w:left="1100"/>
      </w:pPr>
      <w:r>
        <w:t xml:space="preserve">hearing of the matter and the Respondent in its heads correctly </w:t>
      </w:r>
      <w:r w:rsidR="00254134">
        <w:t>point out that the Windeed report being the best evidence</w:t>
      </w:r>
      <w:r w:rsidR="00C46925">
        <w:t xml:space="preserve"> as proof of ownership</w:t>
      </w:r>
      <w:r w:rsidR="00254134">
        <w:t xml:space="preserve"> in the absence of a title deed </w:t>
      </w:r>
      <w:r w:rsidR="00C46925">
        <w:t>,</w:t>
      </w:r>
      <w:r w:rsidR="00254134">
        <w:t>same being in the possession of the bank, the</w:t>
      </w:r>
      <w:r w:rsidR="00696401">
        <w:t>re</w:t>
      </w:r>
      <w:r w:rsidR="00254134">
        <w:t xml:space="preserve"> being an endorsement in favour of a third party as is evident from the Windeed report.</w:t>
      </w:r>
      <w:r w:rsidR="00C46925">
        <w:rPr>
          <w:rStyle w:val="FootnoteReference"/>
        </w:rPr>
        <w:footnoteReference w:id="4"/>
      </w:r>
    </w:p>
    <w:p w14:paraId="07782590" w14:textId="77777777" w:rsidR="00254134" w:rsidRDefault="00254134" w:rsidP="00254134">
      <w:r>
        <w:t xml:space="preserve">        </w:t>
      </w:r>
    </w:p>
    <w:p w14:paraId="3A382E0B" w14:textId="184B23B5" w:rsidR="0077572D" w:rsidRDefault="0077572D" w:rsidP="0077572D">
      <w:pPr>
        <w:pStyle w:val="ListParagraph"/>
        <w:numPr>
          <w:ilvl w:val="1"/>
          <w:numId w:val="1"/>
        </w:numPr>
      </w:pPr>
      <w:r>
        <w:t xml:space="preserve">In any event Section 4 (1) of the PIE Act provides that proceedings for the eviction of an </w:t>
      </w:r>
    </w:p>
    <w:p w14:paraId="64988948" w14:textId="6102F196" w:rsidR="00DD50D4" w:rsidRDefault="0077572D" w:rsidP="00DD50D4">
      <w:pPr>
        <w:pStyle w:val="ListParagraph"/>
        <w:ind w:left="1100"/>
      </w:pPr>
      <w:r>
        <w:t>unlawful occupier may be brought by an owner or person in charge of the land</w:t>
      </w:r>
      <w:r w:rsidR="00DD50D4">
        <w:t>.</w:t>
      </w:r>
    </w:p>
    <w:p w14:paraId="48FAE2E8" w14:textId="77777777" w:rsidR="00DD50D4" w:rsidRDefault="00DD50D4" w:rsidP="00DD50D4">
      <w:pPr>
        <w:pStyle w:val="ListParagraph"/>
        <w:ind w:left="1100"/>
      </w:pPr>
    </w:p>
    <w:p w14:paraId="7E2122D6" w14:textId="7CF3FBAA" w:rsidR="00DD50D4" w:rsidRDefault="0077572D" w:rsidP="00DD50D4">
      <w:pPr>
        <w:pStyle w:val="ListParagraph"/>
        <w:numPr>
          <w:ilvl w:val="1"/>
          <w:numId w:val="1"/>
        </w:numPr>
      </w:pPr>
      <w:r>
        <w:t>This ground of appeal having no</w:t>
      </w:r>
      <w:r w:rsidR="00DD50D4">
        <w:t xml:space="preserve"> merit.</w:t>
      </w:r>
    </w:p>
    <w:p w14:paraId="370AA8E3" w14:textId="77777777" w:rsidR="00DD50D4" w:rsidRDefault="00DD50D4" w:rsidP="00DD50D4">
      <w:pPr>
        <w:pStyle w:val="ListParagraph"/>
        <w:ind w:left="1100"/>
      </w:pPr>
    </w:p>
    <w:p w14:paraId="076D08B7" w14:textId="5971B542" w:rsidR="00DD50D4" w:rsidRDefault="00DD50D4" w:rsidP="00DD50D4">
      <w:pPr>
        <w:pStyle w:val="ListParagraph"/>
        <w:numPr>
          <w:ilvl w:val="0"/>
          <w:numId w:val="1"/>
        </w:numPr>
      </w:pPr>
      <w:r>
        <w:t>Fourth ground of appeal:</w:t>
      </w:r>
    </w:p>
    <w:p w14:paraId="7A438E3F" w14:textId="77777777" w:rsidR="002C3EE4" w:rsidRDefault="002C3EE4" w:rsidP="002C3EE4">
      <w:pPr>
        <w:pStyle w:val="ListParagraph"/>
      </w:pPr>
    </w:p>
    <w:p w14:paraId="3D06802F" w14:textId="3D706789" w:rsidR="002C3EE4" w:rsidRDefault="002C3EE4" w:rsidP="002C3EE4">
      <w:pPr>
        <w:pStyle w:val="ListParagraph"/>
        <w:numPr>
          <w:ilvl w:val="1"/>
          <w:numId w:val="1"/>
        </w:numPr>
      </w:pPr>
      <w:r>
        <w:t xml:space="preserve">The Appellants aver that this court erred in not taking into consideration that the City of </w:t>
      </w:r>
    </w:p>
    <w:p w14:paraId="4E5E822E" w14:textId="0E93E01E" w:rsidR="00C46925" w:rsidRDefault="002C3EE4" w:rsidP="002C3EE4">
      <w:pPr>
        <w:pStyle w:val="ListParagraph"/>
        <w:ind w:left="1100"/>
      </w:pPr>
      <w:r>
        <w:t>Johannesburg did not take part in the proceedings and providing the Appellants with alternative accommodation, and that such failure would render the Appellants and their children homeless.</w:t>
      </w:r>
    </w:p>
    <w:p w14:paraId="5A098C14" w14:textId="77777777" w:rsidR="001A7D94" w:rsidRDefault="001A7D94" w:rsidP="002C3EE4">
      <w:pPr>
        <w:pStyle w:val="ListParagraph"/>
        <w:ind w:left="1100"/>
      </w:pPr>
    </w:p>
    <w:p w14:paraId="0F872DA2" w14:textId="4FEE5FFD" w:rsidR="001A7D94" w:rsidRDefault="001A7D94" w:rsidP="001A7D94">
      <w:pPr>
        <w:pStyle w:val="ListParagraph"/>
        <w:numPr>
          <w:ilvl w:val="1"/>
          <w:numId w:val="1"/>
        </w:numPr>
      </w:pPr>
      <w:r>
        <w:t xml:space="preserve">This issue was not raised by the Appellants during the course of the hearing, there was </w:t>
      </w:r>
    </w:p>
    <w:p w14:paraId="2AFEEF51" w14:textId="04916D0C" w:rsidR="001A7D94" w:rsidRDefault="001A7D94" w:rsidP="001A7D94">
      <w:pPr>
        <w:pStyle w:val="ListParagraph"/>
        <w:ind w:left="1100"/>
      </w:pPr>
      <w:r>
        <w:t>no evidence that the Appellants are indigent and unable to pay for alternative accommodation</w:t>
      </w:r>
      <w:r w:rsidR="00430D9A">
        <w:t>.</w:t>
      </w:r>
    </w:p>
    <w:p w14:paraId="5A1123EC" w14:textId="77777777" w:rsidR="00430D9A" w:rsidRDefault="00430D9A" w:rsidP="001A7D94">
      <w:pPr>
        <w:pStyle w:val="ListParagraph"/>
        <w:ind w:left="1100"/>
      </w:pPr>
    </w:p>
    <w:p w14:paraId="42212E36" w14:textId="0DF6AE6E" w:rsidR="00430D9A" w:rsidRDefault="00430D9A" w:rsidP="00430D9A">
      <w:pPr>
        <w:pStyle w:val="ListParagraph"/>
        <w:numPr>
          <w:ilvl w:val="1"/>
          <w:numId w:val="1"/>
        </w:numPr>
      </w:pPr>
      <w:r>
        <w:t xml:space="preserve">The City of Johannesburg was cited as a party to the proceedings and the application for </w:t>
      </w:r>
    </w:p>
    <w:p w14:paraId="74F8C3F5" w14:textId="20F7BA87" w:rsidR="00430D9A" w:rsidRDefault="00430D9A" w:rsidP="00430D9A">
      <w:pPr>
        <w:pStyle w:val="ListParagraph"/>
        <w:ind w:left="1100"/>
      </w:pPr>
      <w:r>
        <w:t>eviction, as well as the Section 4(2) notice was duly served upon the City of Johannesburg.</w:t>
      </w:r>
    </w:p>
    <w:p w14:paraId="5ABBA190" w14:textId="77777777" w:rsidR="00FC23ED" w:rsidRDefault="00FC23ED" w:rsidP="00430D9A">
      <w:pPr>
        <w:pStyle w:val="ListParagraph"/>
        <w:ind w:left="1100"/>
      </w:pPr>
    </w:p>
    <w:p w14:paraId="45F98221" w14:textId="1001FA5E" w:rsidR="00FC23ED" w:rsidRDefault="00FC23ED" w:rsidP="00FC23ED">
      <w:pPr>
        <w:pStyle w:val="ListParagraph"/>
        <w:numPr>
          <w:ilvl w:val="1"/>
          <w:numId w:val="1"/>
        </w:numPr>
      </w:pPr>
      <w:r>
        <w:t xml:space="preserve">In this matter the application for eviction was at the instance of a private institution, </w:t>
      </w:r>
    </w:p>
    <w:p w14:paraId="1388B130" w14:textId="5A567FD2" w:rsidR="00430D9A" w:rsidRDefault="00FC23ED" w:rsidP="00FC23ED">
      <w:pPr>
        <w:pStyle w:val="ListParagraph"/>
        <w:ind w:left="1100"/>
      </w:pPr>
      <w:r>
        <w:t>with no obligation to provide alternative accommodation.</w:t>
      </w:r>
    </w:p>
    <w:p w14:paraId="1DBB16E8" w14:textId="77777777" w:rsidR="00430D9A" w:rsidRDefault="00430D9A" w:rsidP="00430D9A">
      <w:pPr>
        <w:pStyle w:val="ListParagraph"/>
        <w:ind w:left="1100"/>
      </w:pPr>
    </w:p>
    <w:p w14:paraId="053BAB8A" w14:textId="4875CAA7" w:rsidR="00FC23ED" w:rsidRDefault="00FC23ED" w:rsidP="00FC23ED">
      <w:pPr>
        <w:pStyle w:val="ListParagraph"/>
        <w:numPr>
          <w:ilvl w:val="1"/>
          <w:numId w:val="1"/>
        </w:numPr>
      </w:pPr>
      <w:r>
        <w:t>From the founding affidavit and the evidence of Mr Mzili it was corroborated that the</w:t>
      </w:r>
    </w:p>
    <w:p w14:paraId="36FBFA81" w14:textId="7CE3CA0D" w:rsidR="00DD50D4" w:rsidRDefault="00FC23ED" w:rsidP="00FC23ED">
      <w:pPr>
        <w:pStyle w:val="ListParagraph"/>
        <w:ind w:left="1100"/>
      </w:pPr>
      <w:r>
        <w:t xml:space="preserve"> property has been hijacked by multiple unlawful occupier</w:t>
      </w:r>
      <w:r w:rsidR="00611DC8">
        <w:t>s</w:t>
      </w:r>
      <w:r>
        <w:t xml:space="preserve"> with whom the Respondent has no contractual relationship.</w:t>
      </w:r>
    </w:p>
    <w:p w14:paraId="49CB6269" w14:textId="77777777" w:rsidR="009430E9" w:rsidRDefault="009430E9" w:rsidP="00FC23ED">
      <w:pPr>
        <w:pStyle w:val="ListParagraph"/>
        <w:ind w:left="1100"/>
      </w:pPr>
    </w:p>
    <w:p w14:paraId="3078A8D2" w14:textId="1FF14500" w:rsidR="009430E9" w:rsidRPr="004452E3" w:rsidRDefault="009430E9" w:rsidP="009430E9">
      <w:pPr>
        <w:pStyle w:val="ListParagraph"/>
        <w:numPr>
          <w:ilvl w:val="1"/>
          <w:numId w:val="1"/>
        </w:numPr>
        <w:rPr>
          <w:b/>
          <w:bCs/>
          <w:i/>
          <w:iCs/>
        </w:rPr>
      </w:pPr>
      <w:r>
        <w:t xml:space="preserve">The approach in dealing with eviction is summarized by Wallis JA in the matter of </w:t>
      </w:r>
      <w:r w:rsidRPr="004452E3">
        <w:rPr>
          <w:b/>
          <w:bCs/>
          <w:i/>
          <w:iCs/>
        </w:rPr>
        <w:t xml:space="preserve">City of </w:t>
      </w:r>
    </w:p>
    <w:p w14:paraId="5A48CC58" w14:textId="4D2402D0" w:rsidR="00611DC8" w:rsidRDefault="009430E9" w:rsidP="009430E9">
      <w:pPr>
        <w:pStyle w:val="ListParagraph"/>
        <w:ind w:left="1100"/>
        <w:rPr>
          <w:i/>
          <w:iCs/>
        </w:rPr>
      </w:pPr>
      <w:r w:rsidRPr="004452E3">
        <w:rPr>
          <w:b/>
          <w:bCs/>
          <w:i/>
          <w:iCs/>
        </w:rPr>
        <w:t>Johannesburg v Changing Tides</w:t>
      </w:r>
      <w:r>
        <w:rPr>
          <w:rStyle w:val="FootnoteReference"/>
          <w:i/>
          <w:iCs/>
        </w:rPr>
        <w:footnoteReference w:id="5"/>
      </w:r>
    </w:p>
    <w:p w14:paraId="798CCB63" w14:textId="29638F66" w:rsidR="005B69CB" w:rsidRDefault="005B69CB" w:rsidP="009430E9">
      <w:pPr>
        <w:pStyle w:val="ListParagraph"/>
        <w:ind w:left="1100"/>
        <w:rPr>
          <w:i/>
          <w:iCs/>
        </w:rPr>
      </w:pPr>
    </w:p>
    <w:p w14:paraId="6B810E66" w14:textId="63B75BA5" w:rsidR="005B69CB" w:rsidRDefault="005B69CB" w:rsidP="009430E9">
      <w:pPr>
        <w:pStyle w:val="ListParagraph"/>
        <w:ind w:left="1100"/>
        <w:rPr>
          <w:i/>
          <w:iCs/>
        </w:rPr>
      </w:pPr>
      <w:r>
        <w:rPr>
          <w:i/>
          <w:iCs/>
        </w:rPr>
        <w:lastRenderedPageBreak/>
        <w:t xml:space="preserve">“ A court hearing an application for eviction at the instance of a private person or body owing no obligation to provide housing or achieve a gradual realisation of the right of access to housing in terms of s 26(1) of the Constitution, is faced with two separate inquiries.  First, it must decide whether it is just and equitable to grant an eviction order having regard to all relevant factors. Under s </w:t>
      </w:r>
      <w:r w:rsidR="006C0BE9">
        <w:rPr>
          <w:i/>
          <w:iCs/>
        </w:rPr>
        <w:t>4</w:t>
      </w:r>
      <w:r>
        <w:rPr>
          <w:i/>
          <w:iCs/>
        </w:rPr>
        <w:t>(7) those factors include the availability of alter</w:t>
      </w:r>
      <w:r w:rsidR="006C0BE9">
        <w:rPr>
          <w:i/>
          <w:iCs/>
        </w:rPr>
        <w:t xml:space="preserve">native land or accommodation. The weight to be attached to that factor must be assessed in the light of the property owners protracted rights under s 25 of the Constitution, and on the footing that a limitation of those rights in favour of the occupiers will ordinarily be limited in duration. </w:t>
      </w:r>
      <w:r w:rsidR="00141FE3">
        <w:rPr>
          <w:i/>
          <w:iCs/>
        </w:rPr>
        <w:t>Once the court decides that there is no defence to the claim for eviction and that it would be just and equitable to grant an eviction order it is obliged to grant the order.</w:t>
      </w:r>
    </w:p>
    <w:p w14:paraId="0C43A5EE" w14:textId="1A415EE6" w:rsidR="00141FE3" w:rsidRDefault="00141FE3" w:rsidP="009430E9">
      <w:pPr>
        <w:pStyle w:val="ListParagraph"/>
        <w:ind w:left="1100"/>
        <w:rPr>
          <w:i/>
          <w:iCs/>
        </w:rPr>
      </w:pPr>
    </w:p>
    <w:p w14:paraId="58E26350" w14:textId="0E2FEEE9" w:rsidR="00141FE3" w:rsidRDefault="00141FE3" w:rsidP="009430E9">
      <w:pPr>
        <w:pStyle w:val="ListParagraph"/>
        <w:ind w:left="1100"/>
        <w:rPr>
          <w:i/>
          <w:iCs/>
        </w:rPr>
      </w:pPr>
      <w:r>
        <w:rPr>
          <w:i/>
          <w:iCs/>
        </w:rPr>
        <w:t>Before doing so, however , it must consider what justice and equity demand in relation to the date of implementation of that order and it must consider what conditions must be attached to that order . In that second enquiry</w:t>
      </w:r>
      <w:r w:rsidR="00515873">
        <w:rPr>
          <w:i/>
          <w:iCs/>
        </w:rPr>
        <w:t>, it must consider the impact of an eviction order and whether they may be rendered homeless thereby or need emergency assistance to relocate elsewhere. The order that he grants as a result of these two discreet enquiries is a single order. Accordingly</w:t>
      </w:r>
      <w:r w:rsidR="00F717F9">
        <w:rPr>
          <w:i/>
          <w:iCs/>
        </w:rPr>
        <w:t>,</w:t>
      </w:r>
      <w:r w:rsidR="00515873">
        <w:rPr>
          <w:i/>
          <w:iCs/>
        </w:rPr>
        <w:t xml:space="preserve"> it cannot be granted until both enquiries have been undertaken and the conclusion reached that the </w:t>
      </w:r>
      <w:r w:rsidR="00F717F9">
        <w:rPr>
          <w:i/>
          <w:iCs/>
        </w:rPr>
        <w:t>grant</w:t>
      </w:r>
      <w:r w:rsidR="00515873">
        <w:rPr>
          <w:i/>
          <w:iCs/>
        </w:rPr>
        <w:t xml:space="preserve"> of an eviction order, effective from a specified date, is just and equitable</w:t>
      </w:r>
      <w:r w:rsidR="00F717F9">
        <w:rPr>
          <w:i/>
          <w:iCs/>
        </w:rPr>
        <w:t>.</w:t>
      </w:r>
      <w:r w:rsidR="00515873">
        <w:rPr>
          <w:i/>
          <w:iCs/>
        </w:rPr>
        <w:t xml:space="preserve"> Nor can the enquiry be concluded until the court is satisfied that it is in a position of all the information necessary to make both findings based on justice and equity</w:t>
      </w:r>
      <w:r w:rsidR="00F717F9">
        <w:rPr>
          <w:i/>
          <w:iCs/>
        </w:rPr>
        <w:t>.”</w:t>
      </w:r>
    </w:p>
    <w:p w14:paraId="5FED1FE2" w14:textId="77777777" w:rsidR="00F717F9" w:rsidRDefault="00F717F9" w:rsidP="009430E9">
      <w:pPr>
        <w:pStyle w:val="ListParagraph"/>
        <w:ind w:left="1100"/>
        <w:rPr>
          <w:i/>
          <w:iCs/>
        </w:rPr>
      </w:pPr>
    </w:p>
    <w:p w14:paraId="315D0407" w14:textId="5870567C" w:rsidR="00F717F9" w:rsidRDefault="00F717F9" w:rsidP="00F717F9">
      <w:pPr>
        <w:pStyle w:val="ListParagraph"/>
        <w:numPr>
          <w:ilvl w:val="1"/>
          <w:numId w:val="1"/>
        </w:numPr>
      </w:pPr>
      <w:r>
        <w:t xml:space="preserve">In the premise, having regard to the evidence placed before this court the Appellants </w:t>
      </w:r>
    </w:p>
    <w:p w14:paraId="4C36F10C" w14:textId="15A3EEDF" w:rsidR="00F717F9" w:rsidRDefault="00F717F9" w:rsidP="00F717F9">
      <w:pPr>
        <w:pStyle w:val="ListParagraph"/>
        <w:ind w:left="1100"/>
      </w:pPr>
      <w:r>
        <w:t xml:space="preserve">raised no defence to the claim of eviction </w:t>
      </w:r>
      <w:r w:rsidR="001B0D40">
        <w:t>and made no claim to being indigent or being in need of alternative accommodation.</w:t>
      </w:r>
    </w:p>
    <w:p w14:paraId="4D0F9370" w14:textId="77777777" w:rsidR="001B0D40" w:rsidRDefault="001B0D40" w:rsidP="00F717F9">
      <w:pPr>
        <w:pStyle w:val="ListParagraph"/>
        <w:ind w:left="1100"/>
      </w:pPr>
    </w:p>
    <w:p w14:paraId="1A88AB24" w14:textId="081A43B2" w:rsidR="001B0D40" w:rsidRDefault="001B0D40" w:rsidP="001B0D40">
      <w:pPr>
        <w:pStyle w:val="ListParagraph"/>
        <w:numPr>
          <w:ilvl w:val="1"/>
          <w:numId w:val="1"/>
        </w:numPr>
      </w:pPr>
      <w:r>
        <w:t>In terms of my order the Appellants were granted thirty days within which to vacate the</w:t>
      </w:r>
    </w:p>
    <w:p w14:paraId="4E156BCF" w14:textId="72A77ACC" w:rsidR="00E3590D" w:rsidRDefault="001B0D40" w:rsidP="00E3590D">
      <w:pPr>
        <w:pStyle w:val="ListParagraph"/>
        <w:ind w:left="1100"/>
      </w:pPr>
      <w:r>
        <w:t>Property, the Appellants have continued to live illegally on the property for a further nine months as a result of the filing of the application for leave to appeal</w:t>
      </w:r>
      <w:r w:rsidR="00E3590D">
        <w:t>.</w:t>
      </w:r>
    </w:p>
    <w:p w14:paraId="1E1ED481" w14:textId="77777777" w:rsidR="00E3590D" w:rsidRDefault="00E3590D" w:rsidP="00E3590D">
      <w:pPr>
        <w:pStyle w:val="ListParagraph"/>
        <w:ind w:left="1100"/>
      </w:pPr>
    </w:p>
    <w:p w14:paraId="6EF677DC" w14:textId="1F4C276E" w:rsidR="00E3590D" w:rsidRDefault="00E3590D" w:rsidP="00E3590D">
      <w:pPr>
        <w:pStyle w:val="ListParagraph"/>
        <w:numPr>
          <w:ilvl w:val="1"/>
          <w:numId w:val="1"/>
        </w:numPr>
      </w:pPr>
      <w:r>
        <w:t>This ground of appeal having no merit.</w:t>
      </w:r>
    </w:p>
    <w:p w14:paraId="29D812A3" w14:textId="614FC0F1" w:rsidR="00E3590D" w:rsidRDefault="00E3590D" w:rsidP="00E3590D"/>
    <w:p w14:paraId="38A98EE0" w14:textId="6470CEC0" w:rsidR="00E3590D" w:rsidRDefault="00E3590D" w:rsidP="005C6FB8">
      <w:pPr>
        <w:pStyle w:val="ListParagraph"/>
        <w:numPr>
          <w:ilvl w:val="0"/>
          <w:numId w:val="1"/>
        </w:numPr>
      </w:pPr>
      <w:r>
        <w:t xml:space="preserve">The Appellants raised the issue of ownership and </w:t>
      </w:r>
      <w:r w:rsidR="005C6FB8">
        <w:t xml:space="preserve">alternative accommodation for the first time in their application for leave to appeal and this was not canvassed or placed in dispute at the time of the hearing. </w:t>
      </w:r>
    </w:p>
    <w:p w14:paraId="56B87A75" w14:textId="77777777" w:rsidR="005C6FB8" w:rsidRDefault="005C6FB8" w:rsidP="005C6FB8">
      <w:pPr>
        <w:pStyle w:val="ListParagraph"/>
      </w:pPr>
    </w:p>
    <w:p w14:paraId="39614A6B" w14:textId="51F64BDF" w:rsidR="005C6FB8" w:rsidRDefault="005C6FB8" w:rsidP="005C6FB8">
      <w:pPr>
        <w:pStyle w:val="ListParagraph"/>
        <w:numPr>
          <w:ilvl w:val="0"/>
          <w:numId w:val="1"/>
        </w:numPr>
      </w:pPr>
      <w:r>
        <w:t xml:space="preserve">The Appellants failed to deliver opposing affidavits and set forth any defence to the eviction </w:t>
      </w:r>
      <w:r w:rsidR="00353B08">
        <w:t>and in fact has used the application for leave to appeal in an attempt to get a “second bite at the cherry”.</w:t>
      </w:r>
    </w:p>
    <w:p w14:paraId="1A8B8D46" w14:textId="77777777" w:rsidR="00353B08" w:rsidRDefault="00353B08" w:rsidP="00353B08">
      <w:pPr>
        <w:pStyle w:val="ListParagraph"/>
      </w:pPr>
    </w:p>
    <w:p w14:paraId="2EAC1417" w14:textId="209EF152" w:rsidR="00353B08" w:rsidRDefault="00353B08" w:rsidP="005C6FB8">
      <w:pPr>
        <w:pStyle w:val="ListParagraph"/>
        <w:numPr>
          <w:ilvl w:val="0"/>
          <w:numId w:val="1"/>
        </w:numPr>
      </w:pPr>
      <w:r>
        <w:t>The Appellants have not set forth any defence which would allow another court to come to a different conclusion.</w:t>
      </w:r>
    </w:p>
    <w:p w14:paraId="6EBB89FD" w14:textId="77777777" w:rsidR="00353B08" w:rsidRDefault="00353B08" w:rsidP="00353B08">
      <w:pPr>
        <w:pStyle w:val="ListParagraph"/>
      </w:pPr>
    </w:p>
    <w:p w14:paraId="1345E339" w14:textId="4C39FC7A" w:rsidR="00353B08" w:rsidRDefault="00353B08" w:rsidP="005C6FB8">
      <w:pPr>
        <w:pStyle w:val="ListParagraph"/>
        <w:numPr>
          <w:ilvl w:val="0"/>
          <w:numId w:val="1"/>
        </w:numPr>
      </w:pPr>
      <w:r>
        <w:t>In view of the aforegoing the application for leave to appeal must fail.</w:t>
      </w:r>
    </w:p>
    <w:p w14:paraId="7B2AAF56" w14:textId="77777777" w:rsidR="00353B08" w:rsidRDefault="00353B08" w:rsidP="00353B08">
      <w:pPr>
        <w:pStyle w:val="ListParagraph"/>
      </w:pPr>
    </w:p>
    <w:p w14:paraId="0C9C998E" w14:textId="672EAF53" w:rsidR="00353B08" w:rsidRDefault="00353B08" w:rsidP="005C6FB8">
      <w:pPr>
        <w:pStyle w:val="ListParagraph"/>
        <w:numPr>
          <w:ilvl w:val="0"/>
          <w:numId w:val="1"/>
        </w:numPr>
      </w:pPr>
      <w:r>
        <w:lastRenderedPageBreak/>
        <w:t xml:space="preserve"> In respect of the costs of this application</w:t>
      </w:r>
      <w:r w:rsidR="00153E41">
        <w:t>,</w:t>
      </w:r>
      <w:r>
        <w:t xml:space="preserve"> the conduct of the Appellants </w:t>
      </w:r>
      <w:r w:rsidR="00D8561F">
        <w:t xml:space="preserve">in bringing this application </w:t>
      </w:r>
      <w:r>
        <w:t>has been blatantly opportunistic and</w:t>
      </w:r>
      <w:r w:rsidR="00D8561F">
        <w:t xml:space="preserve"> have been derelict in compliance with the rules of court.</w:t>
      </w:r>
    </w:p>
    <w:p w14:paraId="3582A2ED" w14:textId="77777777" w:rsidR="004452E3" w:rsidRDefault="004452E3" w:rsidP="004452E3">
      <w:pPr>
        <w:pStyle w:val="ListParagraph"/>
      </w:pPr>
    </w:p>
    <w:p w14:paraId="6DF04EE2" w14:textId="13013F38" w:rsidR="004452E3" w:rsidRPr="008D318C" w:rsidRDefault="004452E3" w:rsidP="004452E3">
      <w:pPr>
        <w:pStyle w:val="ListParagraph"/>
        <w:numPr>
          <w:ilvl w:val="0"/>
          <w:numId w:val="1"/>
        </w:numPr>
      </w:pPr>
      <w:r>
        <w:t xml:space="preserve">In the matter </w:t>
      </w:r>
      <w:r w:rsidRPr="004452E3">
        <w:rPr>
          <w:b/>
          <w:bCs/>
        </w:rPr>
        <w:t xml:space="preserve">of </w:t>
      </w:r>
      <w:hyperlink r:id="rId9" w:tgtFrame="_blank" w:history="1">
        <w:r w:rsidRPr="004452E3">
          <w:rPr>
            <w:rStyle w:val="Emphasis"/>
            <w:rFonts w:cstheme="minorHAnsi"/>
            <w:b/>
            <w:bCs/>
          </w:rPr>
          <w:t>Plastics Convertors Association of SA on behalf of Members v National Union of Metalworkers of SA and Others</w:t>
        </w:r>
      </w:hyperlink>
      <w:r w:rsidRPr="004452E3">
        <w:rPr>
          <w:rFonts w:cstheme="minorHAnsi"/>
        </w:rPr>
        <w:t xml:space="preserve"> </w:t>
      </w:r>
      <w:r>
        <w:rPr>
          <w:rStyle w:val="FootnoteReference"/>
          <w:rFonts w:cstheme="minorHAnsi"/>
          <w:color w:val="33383D"/>
        </w:rPr>
        <w:footnoteReference w:id="6"/>
      </w:r>
      <w:r>
        <w:rPr>
          <w:rFonts w:cstheme="minorHAnsi"/>
          <w:color w:val="33383D"/>
        </w:rPr>
        <w:t xml:space="preserve"> (I</w:t>
      </w:r>
      <w:r w:rsidRPr="004452E3">
        <w:rPr>
          <w:rFonts w:cstheme="minorHAnsi"/>
          <w:color w:val="33383D"/>
        </w:rPr>
        <w:t>n which the Labour Appeal Court stated: ‘The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opprobrium.’</w:t>
      </w:r>
    </w:p>
    <w:p w14:paraId="6A83E10F" w14:textId="77777777" w:rsidR="008D318C" w:rsidRDefault="008D318C" w:rsidP="008D318C">
      <w:pPr>
        <w:pStyle w:val="ListParagraph"/>
      </w:pPr>
    </w:p>
    <w:p w14:paraId="76D1608A" w14:textId="77777777" w:rsidR="008D318C" w:rsidRDefault="008D318C" w:rsidP="008D318C">
      <w:pPr>
        <w:pStyle w:val="ListParagraph"/>
      </w:pPr>
    </w:p>
    <w:p w14:paraId="620345E0" w14:textId="0A2156CC" w:rsidR="00D8561F" w:rsidRPr="00050A37" w:rsidRDefault="008D318C" w:rsidP="008D318C">
      <w:pPr>
        <w:pStyle w:val="ListParagraph"/>
        <w:numPr>
          <w:ilvl w:val="0"/>
          <w:numId w:val="1"/>
        </w:numPr>
      </w:pPr>
      <w:r>
        <w:rPr>
          <w:rFonts w:cstheme="minorHAnsi"/>
          <w:color w:val="33383D"/>
        </w:rPr>
        <w:t xml:space="preserve">The Appellants having litigated </w:t>
      </w:r>
      <w:r w:rsidR="004452E3" w:rsidRPr="008D318C">
        <w:rPr>
          <w:rFonts w:cstheme="minorHAnsi"/>
          <w:color w:val="33383D"/>
        </w:rPr>
        <w:t xml:space="preserve">frivolously and vexatiously at great expense to the </w:t>
      </w:r>
      <w:r>
        <w:rPr>
          <w:rFonts w:cstheme="minorHAnsi"/>
          <w:color w:val="33383D"/>
        </w:rPr>
        <w:t>Respondent.</w:t>
      </w:r>
      <w:r w:rsidR="004452E3" w:rsidRPr="008D318C">
        <w:rPr>
          <w:rFonts w:cstheme="minorHAnsi"/>
          <w:color w:val="33383D"/>
        </w:rPr>
        <w:t xml:space="preserve"> In so doing, without an iota of evidence in substantiation. </w:t>
      </w:r>
      <w:r>
        <w:rPr>
          <w:rFonts w:cstheme="minorHAnsi"/>
          <w:color w:val="33383D"/>
        </w:rPr>
        <w:t>T</w:t>
      </w:r>
      <w:r w:rsidR="004452E3" w:rsidRPr="008D318C">
        <w:rPr>
          <w:rFonts w:cstheme="minorHAnsi"/>
          <w:color w:val="33383D"/>
        </w:rPr>
        <w:t>he litigation, which was plainly vexatious, was an attempt by the applica</w:t>
      </w:r>
      <w:r>
        <w:rPr>
          <w:rFonts w:cstheme="minorHAnsi"/>
          <w:color w:val="33383D"/>
        </w:rPr>
        <w:t xml:space="preserve">tion </w:t>
      </w:r>
      <w:r w:rsidR="004452E3" w:rsidRPr="008D318C">
        <w:rPr>
          <w:rFonts w:cstheme="minorHAnsi"/>
          <w:color w:val="33383D"/>
        </w:rPr>
        <w:t xml:space="preserve">to hold onto what </w:t>
      </w:r>
      <w:r>
        <w:rPr>
          <w:rFonts w:cstheme="minorHAnsi"/>
          <w:color w:val="33383D"/>
        </w:rPr>
        <w:t>the Appellants</w:t>
      </w:r>
      <w:r w:rsidR="004452E3" w:rsidRPr="008D318C">
        <w:rPr>
          <w:rFonts w:cstheme="minorHAnsi"/>
          <w:color w:val="33383D"/>
        </w:rPr>
        <w:t xml:space="preserve"> misguidedly perceive</w:t>
      </w:r>
      <w:r>
        <w:rPr>
          <w:rFonts w:cstheme="minorHAnsi"/>
          <w:color w:val="33383D"/>
        </w:rPr>
        <w:t>d</w:t>
      </w:r>
      <w:r w:rsidR="004452E3" w:rsidRPr="008D318C">
        <w:rPr>
          <w:rFonts w:cstheme="minorHAnsi"/>
          <w:color w:val="33383D"/>
        </w:rPr>
        <w:t xml:space="preserve"> to be an advantage</w:t>
      </w:r>
      <w:r>
        <w:rPr>
          <w:rFonts w:cstheme="minorHAnsi"/>
          <w:color w:val="33383D"/>
        </w:rPr>
        <w:t>. This is frowned upon and must attract a punitive costs order.</w:t>
      </w:r>
    </w:p>
    <w:p w14:paraId="2F43C203" w14:textId="53A55438" w:rsidR="00050A37" w:rsidRPr="00050A37" w:rsidRDefault="00050A37" w:rsidP="00050A37">
      <w:pPr>
        <w:rPr>
          <w:b/>
          <w:bCs/>
        </w:rPr>
      </w:pPr>
      <w:r w:rsidRPr="00050A37">
        <w:rPr>
          <w:b/>
          <w:bCs/>
        </w:rPr>
        <w:t>Order</w:t>
      </w:r>
    </w:p>
    <w:p w14:paraId="54F4CACE" w14:textId="6EFE3B5B" w:rsidR="008D318C" w:rsidRDefault="00050A37" w:rsidP="008D318C">
      <w:pPr>
        <w:pStyle w:val="ListParagraph"/>
        <w:numPr>
          <w:ilvl w:val="0"/>
          <w:numId w:val="1"/>
        </w:numPr>
      </w:pPr>
      <w:r>
        <w:t>In the result I make the following order:</w:t>
      </w:r>
    </w:p>
    <w:p w14:paraId="2A380FA4" w14:textId="43BCCA8A" w:rsidR="00050A37" w:rsidRDefault="00050A37" w:rsidP="00050A37">
      <w:pPr>
        <w:pStyle w:val="ListParagraph"/>
      </w:pPr>
    </w:p>
    <w:p w14:paraId="3CB2E04E" w14:textId="7CBE967F" w:rsidR="00050A37" w:rsidRDefault="00050A37" w:rsidP="00050A37">
      <w:pPr>
        <w:pStyle w:val="ListParagraph"/>
        <w:numPr>
          <w:ilvl w:val="0"/>
          <w:numId w:val="3"/>
        </w:numPr>
      </w:pPr>
      <w:r>
        <w:t>The application for leave to appeal is dismissed.</w:t>
      </w:r>
    </w:p>
    <w:p w14:paraId="36A0819F" w14:textId="77777777" w:rsidR="006611A9" w:rsidRDefault="006611A9" w:rsidP="006611A9">
      <w:pPr>
        <w:pStyle w:val="ListParagraph"/>
        <w:ind w:left="1080"/>
      </w:pPr>
    </w:p>
    <w:p w14:paraId="31D90504" w14:textId="4699716D" w:rsidR="00050A37" w:rsidRDefault="00050A37" w:rsidP="00050A37">
      <w:pPr>
        <w:pStyle w:val="ListParagraph"/>
        <w:numPr>
          <w:ilvl w:val="0"/>
          <w:numId w:val="3"/>
        </w:numPr>
      </w:pPr>
      <w:r>
        <w:t>The costs of this application with be on the attorney and client scale.</w:t>
      </w:r>
    </w:p>
    <w:p w14:paraId="52533EC7" w14:textId="4A401FA7" w:rsidR="00E3590D" w:rsidRDefault="005C6FB8" w:rsidP="00CF7840">
      <w:r>
        <w:t xml:space="preserve">              </w:t>
      </w:r>
    </w:p>
    <w:p w14:paraId="5318CA19" w14:textId="77777777" w:rsidR="00CF7840" w:rsidRPr="00EB184B" w:rsidRDefault="00CF7840" w:rsidP="00CF7840">
      <w:pPr>
        <w:pStyle w:val="ListParagraph"/>
        <w:jc w:val="right"/>
      </w:pPr>
      <w:r w:rsidRPr="00EB184B">
        <w:t xml:space="preserve">________________ </w:t>
      </w:r>
    </w:p>
    <w:p w14:paraId="790DFFCA" w14:textId="77777777" w:rsidR="00CF7840" w:rsidRPr="00EB184B" w:rsidRDefault="00CF7840" w:rsidP="00CF7840">
      <w:pPr>
        <w:pStyle w:val="ListParagraph"/>
        <w:jc w:val="right"/>
      </w:pPr>
      <w:r w:rsidRPr="00EB184B">
        <w:rPr>
          <w:b/>
        </w:rPr>
        <w:t xml:space="preserve">T. MOOSA AJ </w:t>
      </w:r>
    </w:p>
    <w:p w14:paraId="291AD900" w14:textId="77777777" w:rsidR="00CF7840" w:rsidRPr="00EB184B" w:rsidRDefault="00CF7840" w:rsidP="00CF7840">
      <w:pPr>
        <w:pStyle w:val="ListParagraph"/>
        <w:jc w:val="right"/>
        <w:rPr>
          <w:b/>
        </w:rPr>
      </w:pPr>
      <w:r w:rsidRPr="00EB184B">
        <w:rPr>
          <w:b/>
        </w:rPr>
        <w:t>ACTING JUDGE OF THE HIGH COURT</w:t>
      </w:r>
    </w:p>
    <w:p w14:paraId="0603AF25" w14:textId="6C532DC4" w:rsidR="00CF7840" w:rsidRPr="00EB184B" w:rsidRDefault="00CF7840" w:rsidP="00CF7840">
      <w:pPr>
        <w:pStyle w:val="ListParagraph"/>
        <w:jc w:val="right"/>
        <w:rPr>
          <w:b/>
        </w:rPr>
      </w:pPr>
      <w:r w:rsidRPr="00EB184B">
        <w:rPr>
          <w:b/>
        </w:rPr>
        <w:t xml:space="preserve">GAUTENG </w:t>
      </w:r>
      <w:r w:rsidR="00BA1967">
        <w:rPr>
          <w:b/>
        </w:rPr>
        <w:t xml:space="preserve">LOCAL </w:t>
      </w:r>
      <w:r w:rsidRPr="00EB184B">
        <w:rPr>
          <w:b/>
        </w:rPr>
        <w:t xml:space="preserve">DIVISION, </w:t>
      </w:r>
      <w:r w:rsidR="00BA1967">
        <w:rPr>
          <w:b/>
        </w:rPr>
        <w:t>JOHANNESBURG</w:t>
      </w:r>
    </w:p>
    <w:p w14:paraId="5662BF42" w14:textId="77777777" w:rsidR="00CF7840" w:rsidRPr="00EB184B" w:rsidRDefault="00CF7840" w:rsidP="00CF7840">
      <w:pPr>
        <w:pStyle w:val="ListParagraph"/>
        <w:rPr>
          <w:b/>
        </w:rPr>
      </w:pPr>
    </w:p>
    <w:p w14:paraId="2550363F" w14:textId="77777777" w:rsidR="00CF7840" w:rsidRDefault="00CF7840" w:rsidP="00CF7840">
      <w:pPr>
        <w:pStyle w:val="ListParagraph"/>
        <w:rPr>
          <w:bCs/>
        </w:rPr>
      </w:pPr>
    </w:p>
    <w:p w14:paraId="113DDE9D" w14:textId="21182AB7" w:rsidR="00CF7840" w:rsidRPr="00EB184B" w:rsidRDefault="00CF7840" w:rsidP="00CF7840">
      <w:pPr>
        <w:pStyle w:val="ListParagraph"/>
        <w:rPr>
          <w:b/>
          <w:i/>
          <w:iCs/>
        </w:rPr>
      </w:pPr>
      <w:r w:rsidRPr="00EB184B">
        <w:rPr>
          <w:bCs/>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E81A83">
        <w:rPr>
          <w:bCs/>
        </w:rPr>
        <w:t>20</w:t>
      </w:r>
      <w:r w:rsidR="00677940">
        <w:rPr>
          <w:bCs/>
        </w:rPr>
        <w:t xml:space="preserve"> June </w:t>
      </w:r>
      <w:r>
        <w:rPr>
          <w:bCs/>
        </w:rPr>
        <w:t>2022</w:t>
      </w:r>
    </w:p>
    <w:p w14:paraId="0D91EAB4" w14:textId="77777777" w:rsidR="00CF7840" w:rsidRPr="00EB184B" w:rsidRDefault="00CF7840" w:rsidP="00CF7840">
      <w:pPr>
        <w:pStyle w:val="ListParagraph"/>
      </w:pPr>
    </w:p>
    <w:p w14:paraId="296A11F5" w14:textId="07A13313" w:rsidR="00E3590D" w:rsidRDefault="00E3590D" w:rsidP="00CF7840"/>
    <w:p w14:paraId="4E311686" w14:textId="77777777" w:rsidR="006611A9" w:rsidRDefault="006611A9" w:rsidP="00CF7840"/>
    <w:p w14:paraId="3D117274" w14:textId="77777777" w:rsidR="00CF7840" w:rsidRDefault="00CF7840" w:rsidP="00677940">
      <w:pPr>
        <w:spacing w:after="0"/>
        <w:ind w:firstLine="720"/>
        <w:rPr>
          <w:b/>
          <w:bCs/>
        </w:rPr>
      </w:pPr>
      <w:r w:rsidRPr="00CF7840">
        <w:rPr>
          <w:b/>
          <w:bCs/>
        </w:rPr>
        <w:t xml:space="preserve">For the </w:t>
      </w:r>
      <w:r>
        <w:rPr>
          <w:b/>
          <w:bCs/>
        </w:rPr>
        <w:t>Appellant</w:t>
      </w:r>
      <w:r w:rsidRPr="00CF7840">
        <w:rPr>
          <w:b/>
          <w:bCs/>
        </w:rPr>
        <w:t>:</w:t>
      </w:r>
      <w:r w:rsidRPr="00EB184B">
        <w:tab/>
      </w:r>
      <w:r w:rsidRPr="00EB184B">
        <w:tab/>
      </w:r>
      <w:r w:rsidRPr="00CF7840">
        <w:rPr>
          <w:b/>
          <w:bCs/>
        </w:rPr>
        <w:t>AREATHER NWADINOBI</w:t>
      </w:r>
    </w:p>
    <w:p w14:paraId="0D0EBD5D" w14:textId="33D63DE6" w:rsidR="00CF7840" w:rsidRPr="00CF7840" w:rsidRDefault="00CF7840" w:rsidP="00637BA5">
      <w:pPr>
        <w:spacing w:after="0"/>
        <w:ind w:left="2880" w:firstLine="720"/>
        <w:rPr>
          <w:b/>
          <w:bCs/>
        </w:rPr>
      </w:pPr>
      <w:r w:rsidRPr="00CF7840">
        <w:rPr>
          <w:rFonts w:cs="Arial"/>
          <w:sz w:val="21"/>
          <w:szCs w:val="21"/>
        </w:rPr>
        <w:t xml:space="preserve">Nicsa </w:t>
      </w:r>
      <w:r w:rsidRPr="00CF7840">
        <w:rPr>
          <w:rFonts w:cs="Arial"/>
        </w:rPr>
        <w:t>Chambers</w:t>
      </w:r>
    </w:p>
    <w:p w14:paraId="09834B4A" w14:textId="77777777" w:rsidR="00CF7840" w:rsidRPr="00CF7840" w:rsidRDefault="00CF7840" w:rsidP="00637BA5">
      <w:pPr>
        <w:autoSpaceDE w:val="0"/>
        <w:autoSpaceDN w:val="0"/>
        <w:adjustRightInd w:val="0"/>
        <w:spacing w:after="0" w:line="240" w:lineRule="auto"/>
        <w:ind w:left="2880" w:firstLine="720"/>
        <w:rPr>
          <w:rFonts w:cs="Arial"/>
          <w:sz w:val="23"/>
          <w:szCs w:val="23"/>
        </w:rPr>
      </w:pPr>
      <w:r w:rsidRPr="00CF7840">
        <w:rPr>
          <w:rFonts w:cs="Arial"/>
          <w:sz w:val="23"/>
          <w:szCs w:val="23"/>
        </w:rPr>
        <w:t>21st Floor</w:t>
      </w:r>
    </w:p>
    <w:p w14:paraId="0CEC19B2" w14:textId="77777777" w:rsidR="00CF7840" w:rsidRPr="00CF7840" w:rsidRDefault="00CF7840" w:rsidP="00637BA5">
      <w:pPr>
        <w:autoSpaceDE w:val="0"/>
        <w:autoSpaceDN w:val="0"/>
        <w:adjustRightInd w:val="0"/>
        <w:spacing w:after="0" w:line="240" w:lineRule="auto"/>
        <w:ind w:left="2880" w:firstLine="720"/>
        <w:rPr>
          <w:rFonts w:cs="Arial"/>
          <w:sz w:val="23"/>
          <w:szCs w:val="23"/>
        </w:rPr>
      </w:pPr>
      <w:r w:rsidRPr="00CF7840">
        <w:rPr>
          <w:rFonts w:cs="Arial"/>
        </w:rPr>
        <w:t xml:space="preserve">222 </w:t>
      </w:r>
      <w:r w:rsidRPr="00CF7840">
        <w:rPr>
          <w:rFonts w:cs="Arial"/>
          <w:sz w:val="23"/>
          <w:szCs w:val="23"/>
        </w:rPr>
        <w:t>Smith Street</w:t>
      </w:r>
    </w:p>
    <w:p w14:paraId="58A283E6" w14:textId="77777777" w:rsidR="00CF7840" w:rsidRPr="00CF7840" w:rsidRDefault="00CF7840" w:rsidP="00637BA5">
      <w:pPr>
        <w:autoSpaceDE w:val="0"/>
        <w:autoSpaceDN w:val="0"/>
        <w:adjustRightInd w:val="0"/>
        <w:spacing w:after="0" w:line="240" w:lineRule="auto"/>
        <w:ind w:left="2880" w:firstLine="720"/>
        <w:rPr>
          <w:rFonts w:cs="Arial"/>
          <w:sz w:val="23"/>
          <w:szCs w:val="23"/>
        </w:rPr>
      </w:pPr>
      <w:r w:rsidRPr="00CF7840">
        <w:rPr>
          <w:rFonts w:cs="Arial"/>
          <w:sz w:val="23"/>
          <w:szCs w:val="23"/>
        </w:rPr>
        <w:t>Braamfontein</w:t>
      </w:r>
    </w:p>
    <w:p w14:paraId="6DAAFE45" w14:textId="77777777" w:rsidR="00CF7840" w:rsidRPr="00CF7840" w:rsidRDefault="00CF7840" w:rsidP="00637BA5">
      <w:pPr>
        <w:autoSpaceDE w:val="0"/>
        <w:autoSpaceDN w:val="0"/>
        <w:adjustRightInd w:val="0"/>
        <w:spacing w:after="0" w:line="240" w:lineRule="auto"/>
        <w:ind w:left="2880" w:firstLine="720"/>
        <w:rPr>
          <w:rFonts w:cs="Arial"/>
          <w:sz w:val="23"/>
          <w:szCs w:val="23"/>
        </w:rPr>
      </w:pPr>
      <w:r w:rsidRPr="00CF7840">
        <w:rPr>
          <w:rFonts w:cs="Arial"/>
          <w:sz w:val="23"/>
          <w:szCs w:val="23"/>
        </w:rPr>
        <w:lastRenderedPageBreak/>
        <w:t>Johannesburg</w:t>
      </w:r>
    </w:p>
    <w:p w14:paraId="53E99699" w14:textId="77777777" w:rsidR="00CF7840" w:rsidRPr="00CF7840" w:rsidRDefault="00CF7840" w:rsidP="00637BA5">
      <w:pPr>
        <w:autoSpaceDE w:val="0"/>
        <w:autoSpaceDN w:val="0"/>
        <w:adjustRightInd w:val="0"/>
        <w:spacing w:after="0" w:line="240" w:lineRule="auto"/>
        <w:ind w:left="2880" w:firstLine="720"/>
        <w:rPr>
          <w:rFonts w:cs="Arial"/>
          <w:sz w:val="23"/>
          <w:szCs w:val="23"/>
        </w:rPr>
      </w:pPr>
      <w:r w:rsidRPr="00CF7840">
        <w:rPr>
          <w:rFonts w:cs="Arial"/>
        </w:rPr>
        <w:t xml:space="preserve">Email: </w:t>
      </w:r>
      <w:r w:rsidRPr="00CF7840">
        <w:rPr>
          <w:rFonts w:cs="Arial"/>
          <w:sz w:val="23"/>
          <w:szCs w:val="23"/>
        </w:rPr>
        <w:t>NlCSA.nicsa4u@outlook.com</w:t>
      </w:r>
    </w:p>
    <w:p w14:paraId="43435D66" w14:textId="77777777" w:rsidR="00CF7840" w:rsidRPr="00CF7840" w:rsidRDefault="00CF7840" w:rsidP="00637BA5">
      <w:pPr>
        <w:autoSpaceDE w:val="0"/>
        <w:autoSpaceDN w:val="0"/>
        <w:adjustRightInd w:val="0"/>
        <w:spacing w:after="0" w:line="240" w:lineRule="auto"/>
        <w:ind w:left="2880" w:firstLine="720"/>
        <w:rPr>
          <w:rFonts w:cs="Arial"/>
          <w:sz w:val="24"/>
          <w:szCs w:val="24"/>
        </w:rPr>
      </w:pPr>
      <w:r w:rsidRPr="00CF7840">
        <w:rPr>
          <w:rFonts w:cs="Arial"/>
        </w:rPr>
        <w:t xml:space="preserve">Cell </w:t>
      </w:r>
      <w:r w:rsidRPr="00CF7840">
        <w:rPr>
          <w:rFonts w:cs="Arial"/>
          <w:sz w:val="24"/>
          <w:szCs w:val="24"/>
        </w:rPr>
        <w:t>No.0570030812</w:t>
      </w:r>
    </w:p>
    <w:p w14:paraId="71A49492" w14:textId="16FCA69A" w:rsidR="00CF7840" w:rsidRPr="00EB184B" w:rsidRDefault="00CF7840" w:rsidP="00CF7840">
      <w:pPr>
        <w:pStyle w:val="ListParagraph"/>
        <w:rPr>
          <w:b/>
        </w:rPr>
      </w:pPr>
      <w:r w:rsidRPr="00EB184B">
        <w:tab/>
      </w:r>
      <w:r w:rsidRPr="00EB184B">
        <w:tab/>
      </w:r>
      <w:r w:rsidRPr="00EB184B">
        <w:tab/>
      </w:r>
      <w:r w:rsidRPr="00EB184B">
        <w:tab/>
      </w:r>
    </w:p>
    <w:p w14:paraId="4B1A137A" w14:textId="77777777" w:rsidR="00CF7840" w:rsidRPr="00EB184B" w:rsidRDefault="00CF7840" w:rsidP="00CF7840">
      <w:pPr>
        <w:pStyle w:val="ListParagraph"/>
      </w:pPr>
    </w:p>
    <w:p w14:paraId="166C07F5" w14:textId="77777777" w:rsidR="00CF7840" w:rsidRDefault="00CF7840" w:rsidP="00CF7840">
      <w:pPr>
        <w:pStyle w:val="ListParagraph"/>
        <w:rPr>
          <w:b/>
          <w:bCs/>
        </w:rPr>
      </w:pPr>
      <w:bookmarkStart w:id="1" w:name="_Hlk73957532"/>
      <w:r w:rsidRPr="00EB184B">
        <w:rPr>
          <w:b/>
          <w:bCs/>
        </w:rPr>
        <w:t xml:space="preserve">For the </w:t>
      </w:r>
      <w:r>
        <w:rPr>
          <w:b/>
          <w:bCs/>
        </w:rPr>
        <w:t>First Respondent</w:t>
      </w:r>
      <w:r w:rsidRPr="00EB184B">
        <w:rPr>
          <w:b/>
          <w:bCs/>
        </w:rPr>
        <w:t>:</w:t>
      </w:r>
      <w:r>
        <w:rPr>
          <w:b/>
          <w:bCs/>
        </w:rPr>
        <w:tab/>
        <w:t>ADV. M ROUKE</w:t>
      </w:r>
    </w:p>
    <w:p w14:paraId="6B2C4EEB" w14:textId="77777777" w:rsidR="00CF7840" w:rsidRDefault="00CF7840" w:rsidP="00CF7840">
      <w:pPr>
        <w:pStyle w:val="ListParagraph"/>
        <w:rPr>
          <w:b/>
          <w:bCs/>
        </w:rPr>
      </w:pPr>
    </w:p>
    <w:p w14:paraId="426A15AC" w14:textId="38E605A8" w:rsidR="00CF7840" w:rsidRPr="00EB184B" w:rsidRDefault="00CF7840" w:rsidP="00CF7840">
      <w:pPr>
        <w:pStyle w:val="ListParagraph"/>
        <w:rPr>
          <w:b/>
          <w:bCs/>
        </w:rPr>
      </w:pPr>
      <w:r>
        <w:rPr>
          <w:b/>
          <w:bCs/>
        </w:rPr>
        <w:t>Instructed by:</w:t>
      </w:r>
      <w:r>
        <w:rPr>
          <w:b/>
          <w:bCs/>
        </w:rPr>
        <w:tab/>
      </w:r>
      <w:r>
        <w:rPr>
          <w:b/>
          <w:bCs/>
        </w:rPr>
        <w:tab/>
      </w:r>
      <w:r>
        <w:rPr>
          <w:b/>
          <w:bCs/>
        </w:rPr>
        <w:tab/>
        <w:t>ANDREW GROENEWALD INCORPORATED</w:t>
      </w:r>
    </w:p>
    <w:p w14:paraId="6721C6CA" w14:textId="2C60EFC1" w:rsidR="00CF7840" w:rsidRDefault="00CF7840" w:rsidP="00CF7840">
      <w:pPr>
        <w:pStyle w:val="ListParagraph"/>
      </w:pPr>
      <w:r w:rsidRPr="00EB184B">
        <w:tab/>
      </w:r>
      <w:r w:rsidRPr="00EB184B">
        <w:tab/>
      </w:r>
      <w:r w:rsidRPr="00EB184B">
        <w:tab/>
      </w:r>
      <w:r>
        <w:rPr>
          <w:b/>
          <w:bCs/>
        </w:rPr>
        <w:tab/>
        <w:t>6 Mellis Road</w:t>
      </w:r>
    </w:p>
    <w:p w14:paraId="15D43157" w14:textId="489905B3" w:rsidR="00CF7840" w:rsidRDefault="00CF7840" w:rsidP="00CF7840">
      <w:pPr>
        <w:pStyle w:val="ListParagraph"/>
      </w:pPr>
      <w:r>
        <w:tab/>
      </w:r>
      <w:r>
        <w:tab/>
      </w:r>
      <w:r>
        <w:tab/>
      </w:r>
      <w:r>
        <w:tab/>
        <w:t>Birch House</w:t>
      </w:r>
    </w:p>
    <w:p w14:paraId="0875970C" w14:textId="2199DA6D" w:rsidR="00CF7840" w:rsidRDefault="00CF7840" w:rsidP="00CF7840">
      <w:pPr>
        <w:pStyle w:val="ListParagraph"/>
      </w:pPr>
      <w:r>
        <w:tab/>
      </w:r>
      <w:r>
        <w:tab/>
      </w:r>
      <w:r>
        <w:tab/>
      </w:r>
      <w:r>
        <w:tab/>
        <w:t>Rivonia</w:t>
      </w:r>
    </w:p>
    <w:p w14:paraId="223062EE" w14:textId="4DBB91AF" w:rsidR="00CF7840" w:rsidRDefault="00CF7840" w:rsidP="00CF7840">
      <w:pPr>
        <w:pStyle w:val="ListParagraph"/>
      </w:pPr>
      <w:r>
        <w:tab/>
      </w:r>
      <w:r>
        <w:tab/>
      </w:r>
      <w:r>
        <w:tab/>
      </w:r>
      <w:r>
        <w:tab/>
        <w:t>Tel: 011 712 0000</w:t>
      </w:r>
    </w:p>
    <w:p w14:paraId="35500773" w14:textId="50580F8A" w:rsidR="00CF7840" w:rsidRDefault="00CF7840" w:rsidP="00CF7840">
      <w:pPr>
        <w:pStyle w:val="ListParagraph"/>
      </w:pPr>
      <w:r>
        <w:tab/>
      </w:r>
      <w:r>
        <w:tab/>
      </w:r>
      <w:r>
        <w:tab/>
      </w:r>
      <w:r>
        <w:tab/>
        <w:t xml:space="preserve">Email: </w:t>
      </w:r>
      <w:hyperlink r:id="rId10" w:history="1">
        <w:r w:rsidRPr="009A33D5">
          <w:rPr>
            <w:rStyle w:val="Hyperlink"/>
          </w:rPr>
          <w:t>andrew@groenewaldinc.co.za</w:t>
        </w:r>
      </w:hyperlink>
      <w:r>
        <w:t xml:space="preserve">  </w:t>
      </w:r>
    </w:p>
    <w:p w14:paraId="5A3A8916" w14:textId="77777777" w:rsidR="00CF7840" w:rsidRPr="00EB184B" w:rsidRDefault="00CF7840" w:rsidP="00CF7840">
      <w:pPr>
        <w:pStyle w:val="ListParagraph"/>
      </w:pPr>
      <w:r>
        <w:tab/>
      </w:r>
      <w:r>
        <w:tab/>
      </w:r>
      <w:r>
        <w:tab/>
      </w:r>
      <w:r>
        <w:tab/>
        <w:t>REF: TNS/PUB1/0012</w:t>
      </w:r>
    </w:p>
    <w:p w14:paraId="12AA07AF" w14:textId="77777777" w:rsidR="00CF7840" w:rsidRPr="00EB184B" w:rsidRDefault="00CF7840" w:rsidP="00CF7840">
      <w:pPr>
        <w:pStyle w:val="ListParagraph"/>
        <w:rPr>
          <w:b/>
        </w:rPr>
      </w:pPr>
      <w:r w:rsidRPr="00EB184B">
        <w:tab/>
      </w:r>
      <w:r w:rsidRPr="00EB184B">
        <w:tab/>
      </w:r>
      <w:r w:rsidRPr="00EB184B">
        <w:tab/>
      </w:r>
      <w:r w:rsidRPr="00EB184B">
        <w:tab/>
      </w:r>
      <w:r w:rsidRPr="00EB184B">
        <w:tab/>
      </w:r>
    </w:p>
    <w:bookmarkEnd w:id="1"/>
    <w:p w14:paraId="1FF56D43" w14:textId="77777777" w:rsidR="00CF7840" w:rsidRPr="00EB184B" w:rsidRDefault="00CF7840" w:rsidP="00CF7840">
      <w:pPr>
        <w:pStyle w:val="ListParagraph"/>
      </w:pPr>
    </w:p>
    <w:p w14:paraId="256D6F05" w14:textId="77777777" w:rsidR="00CF7840" w:rsidRPr="00EB184B" w:rsidRDefault="00CF7840" w:rsidP="00CF7840">
      <w:pPr>
        <w:pStyle w:val="ListParagraph"/>
      </w:pPr>
    </w:p>
    <w:p w14:paraId="7248D7D3" w14:textId="1F664C9D" w:rsidR="00CF7840" w:rsidRDefault="00CF7840" w:rsidP="00CF7840">
      <w:pPr>
        <w:pStyle w:val="ListParagraph"/>
      </w:pPr>
      <w:r w:rsidRPr="00CF7840">
        <w:rPr>
          <w:b/>
          <w:bCs/>
        </w:rPr>
        <w:t>DATE OF JUDGMENT:</w:t>
      </w:r>
      <w:r w:rsidRPr="00EB184B">
        <w:t xml:space="preserve"> </w:t>
      </w:r>
      <w:r w:rsidRPr="00EB184B">
        <w:tab/>
      </w:r>
      <w:r w:rsidRPr="00EB184B">
        <w:tab/>
      </w:r>
      <w:r w:rsidR="00AB719F">
        <w:t>20</w:t>
      </w:r>
      <w:r>
        <w:t xml:space="preserve"> June 2022</w:t>
      </w:r>
      <w:r w:rsidRPr="00EB184B">
        <w:t xml:space="preserve"> </w:t>
      </w:r>
      <w:r w:rsidRPr="00EB184B">
        <w:tab/>
      </w:r>
    </w:p>
    <w:p w14:paraId="6F8C9EA7" w14:textId="77777777" w:rsidR="00CF7840" w:rsidRPr="00D61C2F" w:rsidRDefault="00CF7840" w:rsidP="00CF7840">
      <w:pPr>
        <w:ind w:left="720"/>
      </w:pPr>
    </w:p>
    <w:p w14:paraId="1D4CCB95" w14:textId="77777777" w:rsidR="001B0D40" w:rsidRDefault="001B0D40" w:rsidP="00CF7840"/>
    <w:p w14:paraId="682ACCCF" w14:textId="77777777" w:rsidR="001B0D40" w:rsidRPr="00F717F9" w:rsidRDefault="001B0D40" w:rsidP="00F717F9">
      <w:pPr>
        <w:pStyle w:val="ListParagraph"/>
        <w:ind w:left="1100"/>
      </w:pPr>
    </w:p>
    <w:p w14:paraId="630F7388" w14:textId="77777777" w:rsidR="0077572D" w:rsidRDefault="0077572D" w:rsidP="00DD50D4"/>
    <w:p w14:paraId="17FA34F7" w14:textId="77777777" w:rsidR="001D4BC4" w:rsidRDefault="001D4BC4" w:rsidP="001D4BC4">
      <w:pPr>
        <w:pStyle w:val="ListParagraph"/>
        <w:ind w:left="1100"/>
      </w:pPr>
    </w:p>
    <w:p w14:paraId="6D785996" w14:textId="77777777" w:rsidR="001D4BC4" w:rsidRDefault="001D4BC4" w:rsidP="001D4BC4">
      <w:pPr>
        <w:pStyle w:val="ListParagraph"/>
        <w:ind w:left="1100"/>
      </w:pPr>
    </w:p>
    <w:p w14:paraId="44CF001F" w14:textId="67959339" w:rsidR="000820E1" w:rsidRDefault="000820E1" w:rsidP="000820E1"/>
    <w:p w14:paraId="37DA642A" w14:textId="4908AFD8" w:rsidR="00AF0A6F" w:rsidRDefault="00AF0A6F" w:rsidP="000820E1"/>
    <w:p w14:paraId="1448EE96" w14:textId="77777777" w:rsidR="000243F5" w:rsidRDefault="000243F5" w:rsidP="000243F5">
      <w:pPr>
        <w:pStyle w:val="ListParagraph"/>
      </w:pPr>
    </w:p>
    <w:p w14:paraId="41708271" w14:textId="1B8D1162" w:rsidR="000243F5" w:rsidRDefault="000243F5" w:rsidP="00041602"/>
    <w:p w14:paraId="5964F8FE" w14:textId="77777777" w:rsidR="00CD66D6" w:rsidRDefault="00CD66D6" w:rsidP="00CD66D6">
      <w:pPr>
        <w:pStyle w:val="ListParagraph"/>
      </w:pPr>
    </w:p>
    <w:p w14:paraId="1687F3FC" w14:textId="53F3727B" w:rsidR="00CD66D6" w:rsidRDefault="00CD66D6" w:rsidP="001E2594">
      <w:pPr>
        <w:pStyle w:val="ListParagraph"/>
      </w:pPr>
    </w:p>
    <w:p w14:paraId="2B087F13" w14:textId="77777777" w:rsidR="00A15CB2" w:rsidRPr="008C37B7" w:rsidRDefault="00A15CB2" w:rsidP="00A15CB2">
      <w:pPr>
        <w:pStyle w:val="ListParagraph"/>
        <w:ind w:left="1100"/>
      </w:pPr>
    </w:p>
    <w:sectPr w:rsidR="00A15CB2" w:rsidRPr="008C37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2E4A" w14:textId="77777777" w:rsidR="00F143C7" w:rsidRDefault="00F143C7" w:rsidP="00A15CB2">
      <w:pPr>
        <w:spacing w:after="0" w:line="240" w:lineRule="auto"/>
      </w:pPr>
      <w:r>
        <w:separator/>
      </w:r>
    </w:p>
  </w:endnote>
  <w:endnote w:type="continuationSeparator" w:id="0">
    <w:p w14:paraId="3BF1B6AE" w14:textId="77777777" w:rsidR="00F143C7" w:rsidRDefault="00F143C7" w:rsidP="00A1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E1EE" w14:textId="77777777" w:rsidR="00F143C7" w:rsidRDefault="00F143C7" w:rsidP="00A15CB2">
      <w:pPr>
        <w:spacing w:after="0" w:line="240" w:lineRule="auto"/>
      </w:pPr>
      <w:r>
        <w:separator/>
      </w:r>
    </w:p>
  </w:footnote>
  <w:footnote w:type="continuationSeparator" w:id="0">
    <w:p w14:paraId="60800E8A" w14:textId="77777777" w:rsidR="00F143C7" w:rsidRDefault="00F143C7" w:rsidP="00A15CB2">
      <w:pPr>
        <w:spacing w:after="0" w:line="240" w:lineRule="auto"/>
      </w:pPr>
      <w:r>
        <w:continuationSeparator/>
      </w:r>
    </w:p>
  </w:footnote>
  <w:footnote w:id="1">
    <w:p w14:paraId="2712196A" w14:textId="45F0C00B" w:rsidR="00E46F38" w:rsidRDefault="00E46F38">
      <w:pPr>
        <w:pStyle w:val="FootnoteText"/>
      </w:pPr>
      <w:r>
        <w:rPr>
          <w:rStyle w:val="FootnoteReference"/>
        </w:rPr>
        <w:footnoteRef/>
      </w:r>
      <w:r>
        <w:t xml:space="preserve"> Record , page 14-7 , para 10 and page 14-9 , para 10</w:t>
      </w:r>
    </w:p>
  </w:footnote>
  <w:footnote w:id="2">
    <w:p w14:paraId="454F0164" w14:textId="4285B1B0" w:rsidR="00635B29" w:rsidRDefault="00635B29">
      <w:pPr>
        <w:pStyle w:val="FootnoteText"/>
      </w:pPr>
      <w:r>
        <w:rPr>
          <w:rStyle w:val="FootnoteReference"/>
        </w:rPr>
        <w:footnoteRef/>
      </w:r>
      <w:r>
        <w:t xml:space="preserve"> Caselines section 02-7 para 12 of the founding affidavit . See also Caselines section 02-20 to 29</w:t>
      </w:r>
    </w:p>
  </w:footnote>
  <w:footnote w:id="3">
    <w:p w14:paraId="7A79A5B7" w14:textId="57D50E2E" w:rsidR="0016581D" w:rsidRDefault="0016581D">
      <w:pPr>
        <w:pStyle w:val="FootnoteText"/>
      </w:pPr>
      <w:r>
        <w:rPr>
          <w:rStyle w:val="FootnoteReference"/>
        </w:rPr>
        <w:footnoteRef/>
      </w:r>
      <w:r>
        <w:t xml:space="preserve"> Caselines  section 02-8 para 15 ( Founding Affidavit), See also annexure TTM2B” section 02-45</w:t>
      </w:r>
    </w:p>
  </w:footnote>
  <w:footnote w:id="4">
    <w:p w14:paraId="31B89BA8" w14:textId="7A6246F8" w:rsidR="00C46925" w:rsidRDefault="00C46925">
      <w:pPr>
        <w:pStyle w:val="FootnoteText"/>
      </w:pPr>
      <w:r>
        <w:rPr>
          <w:rStyle w:val="FootnoteReference"/>
        </w:rPr>
        <w:footnoteRef/>
      </w:r>
      <w:r>
        <w:t xml:space="preserve"> Sibango and Sixteen Others v PPM Plumbing (Pty) and Another [2016] ZAPGPHC 24 (20 April 2016)</w:t>
      </w:r>
    </w:p>
  </w:footnote>
  <w:footnote w:id="5">
    <w:p w14:paraId="69030D5B" w14:textId="6487F748" w:rsidR="009430E9" w:rsidRDefault="009430E9">
      <w:pPr>
        <w:pStyle w:val="FootnoteText"/>
      </w:pPr>
      <w:r>
        <w:rPr>
          <w:rStyle w:val="FootnoteReference"/>
        </w:rPr>
        <w:footnoteRef/>
      </w:r>
      <w:r>
        <w:t xml:space="preserve"> </w:t>
      </w:r>
      <w:r w:rsidR="005B69CB">
        <w:t xml:space="preserve"> 2012 (6) SA 294 (SCA)</w:t>
      </w:r>
    </w:p>
  </w:footnote>
  <w:footnote w:id="6">
    <w:p w14:paraId="09CA1422" w14:textId="757D68E9" w:rsidR="004452E3" w:rsidRDefault="004452E3">
      <w:pPr>
        <w:pStyle w:val="FootnoteText"/>
      </w:pPr>
      <w:r>
        <w:rPr>
          <w:rStyle w:val="FootnoteReference"/>
        </w:rPr>
        <w:footnoteRef/>
      </w:r>
      <w:r>
        <w:t xml:space="preserve"> </w:t>
      </w:r>
      <w:r w:rsidRPr="004452E3">
        <w:rPr>
          <w:rFonts w:cstheme="minorHAnsi"/>
          <w:color w:val="33383D"/>
          <w:sz w:val="22"/>
          <w:szCs w:val="22"/>
        </w:rPr>
        <w:t>2016) 37 ILJ 2815 (LAC) at para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8433"/>
      <w:docPartObj>
        <w:docPartGallery w:val="Page Numbers (Top of Page)"/>
        <w:docPartUnique/>
      </w:docPartObj>
    </w:sdtPr>
    <w:sdtEndPr>
      <w:rPr>
        <w:noProof/>
      </w:rPr>
    </w:sdtEndPr>
    <w:sdtContent>
      <w:p w14:paraId="51FF014E" w14:textId="464CF279" w:rsidR="00A15CB2" w:rsidRDefault="00A15CB2">
        <w:pPr>
          <w:pStyle w:val="Header"/>
          <w:jc w:val="right"/>
        </w:pPr>
        <w:r>
          <w:fldChar w:fldCharType="begin"/>
        </w:r>
        <w:r>
          <w:instrText xml:space="preserve"> PAGE   \* MERGEFORMAT </w:instrText>
        </w:r>
        <w:r>
          <w:fldChar w:fldCharType="separate"/>
        </w:r>
        <w:r w:rsidR="007A7AC2">
          <w:rPr>
            <w:noProof/>
          </w:rPr>
          <w:t>1</w:t>
        </w:r>
        <w:r>
          <w:rPr>
            <w:noProof/>
          </w:rPr>
          <w:fldChar w:fldCharType="end"/>
        </w:r>
      </w:p>
    </w:sdtContent>
  </w:sdt>
  <w:p w14:paraId="54548064" w14:textId="77777777" w:rsidR="00A15CB2" w:rsidRDefault="00A15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4E6"/>
    <w:multiLevelType w:val="multilevel"/>
    <w:tmpl w:val="13340C4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3B29429F"/>
    <w:multiLevelType w:val="hybridMultilevel"/>
    <w:tmpl w:val="9D741C6C"/>
    <w:lvl w:ilvl="0" w:tplc="71FEA6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7381A79"/>
    <w:multiLevelType w:val="multilevel"/>
    <w:tmpl w:val="13340C4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A6"/>
    <w:rsid w:val="0001087E"/>
    <w:rsid w:val="00012779"/>
    <w:rsid w:val="00015BBB"/>
    <w:rsid w:val="000243F5"/>
    <w:rsid w:val="00041602"/>
    <w:rsid w:val="00050A37"/>
    <w:rsid w:val="000820E1"/>
    <w:rsid w:val="000A5F8A"/>
    <w:rsid w:val="000B2E64"/>
    <w:rsid w:val="00141FE3"/>
    <w:rsid w:val="00153E41"/>
    <w:rsid w:val="0016581D"/>
    <w:rsid w:val="001842E5"/>
    <w:rsid w:val="001A7D94"/>
    <w:rsid w:val="001B0D40"/>
    <w:rsid w:val="001D4BC4"/>
    <w:rsid w:val="001D4C88"/>
    <w:rsid w:val="001E2594"/>
    <w:rsid w:val="00254134"/>
    <w:rsid w:val="002546D8"/>
    <w:rsid w:val="002A60EB"/>
    <w:rsid w:val="002C3EE4"/>
    <w:rsid w:val="0032080B"/>
    <w:rsid w:val="00353B08"/>
    <w:rsid w:val="00411B88"/>
    <w:rsid w:val="00430D9A"/>
    <w:rsid w:val="004452E3"/>
    <w:rsid w:val="005027A6"/>
    <w:rsid w:val="00515873"/>
    <w:rsid w:val="00571ACB"/>
    <w:rsid w:val="00573F85"/>
    <w:rsid w:val="00593B92"/>
    <w:rsid w:val="005B69CB"/>
    <w:rsid w:val="005C6FB8"/>
    <w:rsid w:val="00611DC8"/>
    <w:rsid w:val="00635B29"/>
    <w:rsid w:val="00637BA5"/>
    <w:rsid w:val="006611A9"/>
    <w:rsid w:val="00677940"/>
    <w:rsid w:val="00696401"/>
    <w:rsid w:val="006B4AAF"/>
    <w:rsid w:val="006C0BE9"/>
    <w:rsid w:val="006E072E"/>
    <w:rsid w:val="006E32C7"/>
    <w:rsid w:val="0077572D"/>
    <w:rsid w:val="007A7AC2"/>
    <w:rsid w:val="007D5899"/>
    <w:rsid w:val="00851297"/>
    <w:rsid w:val="008739FC"/>
    <w:rsid w:val="008C37B7"/>
    <w:rsid w:val="008D318C"/>
    <w:rsid w:val="009430E9"/>
    <w:rsid w:val="009A6F05"/>
    <w:rsid w:val="009E0B5C"/>
    <w:rsid w:val="00A15CB2"/>
    <w:rsid w:val="00A367D5"/>
    <w:rsid w:val="00AB719F"/>
    <w:rsid w:val="00AE0C5E"/>
    <w:rsid w:val="00AF0A6F"/>
    <w:rsid w:val="00B12058"/>
    <w:rsid w:val="00BA1967"/>
    <w:rsid w:val="00C46925"/>
    <w:rsid w:val="00C9706E"/>
    <w:rsid w:val="00CA5317"/>
    <w:rsid w:val="00CD66D6"/>
    <w:rsid w:val="00CF7840"/>
    <w:rsid w:val="00D26ACB"/>
    <w:rsid w:val="00D440EA"/>
    <w:rsid w:val="00D53C7B"/>
    <w:rsid w:val="00D76435"/>
    <w:rsid w:val="00D8561F"/>
    <w:rsid w:val="00DD50D4"/>
    <w:rsid w:val="00E3590D"/>
    <w:rsid w:val="00E37A58"/>
    <w:rsid w:val="00E46F38"/>
    <w:rsid w:val="00E77879"/>
    <w:rsid w:val="00E81A83"/>
    <w:rsid w:val="00E85E30"/>
    <w:rsid w:val="00EC5856"/>
    <w:rsid w:val="00F143C7"/>
    <w:rsid w:val="00F717F9"/>
    <w:rsid w:val="00FC1361"/>
    <w:rsid w:val="00FC23ED"/>
    <w:rsid w:val="00FF70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0E5F"/>
  <w15:docId w15:val="{A2DE177F-2F55-45D5-A2BE-61666465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7B7"/>
    <w:pPr>
      <w:ind w:left="720"/>
      <w:contextualSpacing/>
    </w:pPr>
  </w:style>
  <w:style w:type="paragraph" w:styleId="Header">
    <w:name w:val="header"/>
    <w:basedOn w:val="Normal"/>
    <w:link w:val="HeaderChar"/>
    <w:uiPriority w:val="99"/>
    <w:unhideWhenUsed/>
    <w:rsid w:val="00A15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CB2"/>
  </w:style>
  <w:style w:type="paragraph" w:styleId="Footer">
    <w:name w:val="footer"/>
    <w:basedOn w:val="Normal"/>
    <w:link w:val="FooterChar"/>
    <w:uiPriority w:val="99"/>
    <w:unhideWhenUsed/>
    <w:rsid w:val="00A15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CB2"/>
  </w:style>
  <w:style w:type="paragraph" w:styleId="FootnoteText">
    <w:name w:val="footnote text"/>
    <w:basedOn w:val="Normal"/>
    <w:link w:val="FootnoteTextChar"/>
    <w:uiPriority w:val="99"/>
    <w:semiHidden/>
    <w:unhideWhenUsed/>
    <w:rsid w:val="00E46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F38"/>
    <w:rPr>
      <w:sz w:val="20"/>
      <w:szCs w:val="20"/>
    </w:rPr>
  </w:style>
  <w:style w:type="character" w:styleId="FootnoteReference">
    <w:name w:val="footnote reference"/>
    <w:basedOn w:val="DefaultParagraphFont"/>
    <w:uiPriority w:val="99"/>
    <w:semiHidden/>
    <w:unhideWhenUsed/>
    <w:rsid w:val="00E46F38"/>
    <w:rPr>
      <w:vertAlign w:val="superscript"/>
    </w:rPr>
  </w:style>
  <w:style w:type="paragraph" w:styleId="NormalWeb">
    <w:name w:val="Normal (Web)"/>
    <w:basedOn w:val="Normal"/>
    <w:uiPriority w:val="99"/>
    <w:semiHidden/>
    <w:unhideWhenUsed/>
    <w:rsid w:val="004452E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4452E3"/>
    <w:rPr>
      <w:i/>
      <w:iCs/>
    </w:rPr>
  </w:style>
  <w:style w:type="character" w:styleId="Hyperlink">
    <w:name w:val="Hyperlink"/>
    <w:basedOn w:val="DefaultParagraphFont"/>
    <w:uiPriority w:val="99"/>
    <w:unhideWhenUsed/>
    <w:rsid w:val="00CF7840"/>
    <w:rPr>
      <w:color w:val="0563C1" w:themeColor="hyperlink"/>
      <w:u w:val="single"/>
    </w:rPr>
  </w:style>
  <w:style w:type="character" w:customStyle="1" w:styleId="UnresolvedMention">
    <w:name w:val="Unresolved Mention"/>
    <w:basedOn w:val="DefaultParagraphFont"/>
    <w:uiPriority w:val="99"/>
    <w:semiHidden/>
    <w:unhideWhenUsed/>
    <w:rsid w:val="00CF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ew@groenewaldinc.co.za" TargetMode="External"/><Relationship Id="rId4" Type="http://schemas.openxmlformats.org/officeDocument/2006/relationships/settings" Target="settings.xml"/><Relationship Id="rId9" Type="http://schemas.openxmlformats.org/officeDocument/2006/relationships/hyperlink" Target="https://www.derebus.org.za/wp-content/uploads/2020/09/Plastics-Convertors-Association-of-SA-on-behalf-of-Members-v-National-Union-of-Metalworkers-of-SA-and-Others-2016-37-ILJ-2815-L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B78B-13C9-436F-87A1-474978DA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moosa</dc:creator>
  <cp:keywords/>
  <dc:description/>
  <cp:lastModifiedBy>HOME</cp:lastModifiedBy>
  <cp:revision>2</cp:revision>
  <cp:lastPrinted>2022-06-20T12:17:00Z</cp:lastPrinted>
  <dcterms:created xsi:type="dcterms:W3CDTF">2022-07-05T15:52:00Z</dcterms:created>
  <dcterms:modified xsi:type="dcterms:W3CDTF">2022-07-05T15:52:00Z</dcterms:modified>
</cp:coreProperties>
</file>