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395" w:rsidRDefault="00054395" w:rsidP="00054395">
      <w:pPr>
        <w:spacing w:line="360" w:lineRule="auto"/>
        <w:ind w:left="292" w:hangingChars="127" w:hanging="292"/>
        <w:jc w:val="center"/>
        <w:rPr>
          <w:rFonts w:cs="Arial"/>
          <w:bCs/>
          <w:color w:val="1D1C1D"/>
          <w:sz w:val="23"/>
          <w:szCs w:val="23"/>
          <w:shd w:val="clear" w:color="auto" w:fill="F8F8F8"/>
        </w:rPr>
      </w:pPr>
      <w:bookmarkStart w:id="0" w:name="_GoBack"/>
      <w:bookmarkEnd w:id="0"/>
      <w:r>
        <w:rPr>
          <w:rFonts w:cs="Arial"/>
          <w:bCs/>
          <w:color w:val="1D1C1D"/>
          <w:sz w:val="23"/>
          <w:szCs w:val="23"/>
          <w:shd w:val="clear" w:color="auto" w:fill="F8F8F8"/>
        </w:rPr>
        <w:t>Editorial note: Certain information has been redacted from this judgment in compliance with the law.</w:t>
      </w:r>
    </w:p>
    <w:p w:rsidR="00054395" w:rsidRDefault="00054395" w:rsidP="00300D09">
      <w:pPr>
        <w:jc w:val="center"/>
        <w:rPr>
          <w:rFonts w:cs="Arial"/>
          <w:b/>
          <w:bCs/>
          <w:lang w:eastAsia="en-GB"/>
        </w:rPr>
      </w:pPr>
    </w:p>
    <w:p w:rsidR="00300D09" w:rsidRPr="00E52518" w:rsidRDefault="00300D09" w:rsidP="00300D09">
      <w:pPr>
        <w:jc w:val="center"/>
        <w:rPr>
          <w:rFonts w:cs="Arial"/>
          <w:b/>
          <w:bCs/>
          <w:lang w:eastAsia="en-GB"/>
        </w:rPr>
      </w:pPr>
      <w:r w:rsidRPr="00E52518">
        <w:rPr>
          <w:rFonts w:cs="Arial"/>
          <w:b/>
          <w:bCs/>
          <w:lang w:eastAsia="en-GB"/>
        </w:rPr>
        <w:t>REPUBLIC OF SOUTH AFRICA</w:t>
      </w:r>
    </w:p>
    <w:p w:rsidR="006E45F7" w:rsidRPr="00E52518" w:rsidRDefault="006E45F7" w:rsidP="00300D09">
      <w:pPr>
        <w:jc w:val="center"/>
        <w:rPr>
          <w:rFonts w:cs="Arial"/>
          <w:lang w:eastAsia="en-GB"/>
        </w:rPr>
      </w:pPr>
    </w:p>
    <w:p w:rsidR="00300D09" w:rsidRPr="00E52518" w:rsidRDefault="00033914" w:rsidP="00300D09">
      <w:pPr>
        <w:jc w:val="center"/>
        <w:rPr>
          <w:rFonts w:cs="Arial"/>
          <w:lang w:eastAsia="en-GB"/>
        </w:rPr>
      </w:pPr>
      <w:r w:rsidRPr="00E52518">
        <w:rPr>
          <w:rFonts w:cs="Arial"/>
          <w:noProof/>
          <w:lang w:val="en-US"/>
        </w:rPr>
        <w:drawing>
          <wp:inline distT="0" distB="0" distL="0" distR="0" wp14:anchorId="204C6B5C" wp14:editId="2EBF61D1">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6E45F7" w:rsidRPr="00E52518" w:rsidRDefault="006E45F7" w:rsidP="00300D09">
      <w:pPr>
        <w:jc w:val="center"/>
        <w:rPr>
          <w:rFonts w:cs="Arial"/>
          <w:lang w:eastAsia="en-GB"/>
        </w:rPr>
      </w:pPr>
    </w:p>
    <w:p w:rsidR="00300D09" w:rsidRPr="00E52518" w:rsidRDefault="00300D09" w:rsidP="00300D09">
      <w:pPr>
        <w:jc w:val="center"/>
        <w:rPr>
          <w:rFonts w:cs="Arial"/>
          <w:b/>
          <w:bCs/>
          <w:lang w:eastAsia="en-GB"/>
        </w:rPr>
      </w:pPr>
      <w:r w:rsidRPr="00E52518">
        <w:rPr>
          <w:rFonts w:cs="Arial"/>
          <w:b/>
          <w:bCs/>
          <w:lang w:eastAsia="en-GB"/>
        </w:rPr>
        <w:t>IN THE HIGH COURT OF SOUTH AFRICA</w:t>
      </w:r>
    </w:p>
    <w:p w:rsidR="00300D09" w:rsidRPr="00E52518" w:rsidRDefault="00300D09" w:rsidP="00300D09">
      <w:pPr>
        <w:jc w:val="center"/>
        <w:rPr>
          <w:rFonts w:cs="Arial"/>
          <w:b/>
          <w:bCs/>
          <w:lang w:eastAsia="en-GB"/>
        </w:rPr>
      </w:pPr>
      <w:r w:rsidRPr="00E52518">
        <w:rPr>
          <w:rFonts w:cs="Arial"/>
          <w:b/>
          <w:bCs/>
          <w:lang w:eastAsia="en-GB"/>
        </w:rPr>
        <w:t xml:space="preserve">GAUTENG DIVISION, </w:t>
      </w:r>
      <w:r w:rsidR="00682D2A" w:rsidRPr="00E52518">
        <w:rPr>
          <w:rFonts w:cs="Arial"/>
          <w:b/>
          <w:bCs/>
          <w:lang w:eastAsia="en-GB"/>
        </w:rPr>
        <w:t xml:space="preserve">JOHANNESBURG </w:t>
      </w:r>
    </w:p>
    <w:p w:rsidR="00300D09" w:rsidRPr="008E306E" w:rsidRDefault="00300D09" w:rsidP="00300D09">
      <w:pPr>
        <w:tabs>
          <w:tab w:val="left" w:pos="4917"/>
        </w:tabs>
        <w:jc w:val="right"/>
        <w:rPr>
          <w:rFonts w:cs="Arial"/>
          <w:b/>
          <w:sz w:val="28"/>
          <w:szCs w:val="28"/>
          <w:u w:val="single"/>
        </w:rPr>
      </w:pPr>
    </w:p>
    <w:p w:rsidR="00300D09" w:rsidRPr="008E306E" w:rsidRDefault="00300D09" w:rsidP="00300D09">
      <w:pPr>
        <w:tabs>
          <w:tab w:val="left" w:pos="4917"/>
        </w:tabs>
        <w:jc w:val="right"/>
        <w:rPr>
          <w:rFonts w:cs="Arial"/>
          <w:b/>
          <w:sz w:val="28"/>
          <w:szCs w:val="28"/>
          <w:u w:val="single"/>
        </w:rPr>
      </w:pPr>
    </w:p>
    <w:p w:rsidR="00300D09" w:rsidRPr="004B6D43" w:rsidRDefault="00E52518" w:rsidP="00E52518">
      <w:pPr>
        <w:jc w:val="right"/>
        <w:rPr>
          <w:b/>
        </w:rPr>
      </w:pPr>
      <w:r w:rsidRPr="004B6D43">
        <w:rPr>
          <w:b/>
        </w:rPr>
        <w:t xml:space="preserve">Case </w:t>
      </w:r>
      <w:r w:rsidR="002941ED" w:rsidRPr="004B6D43">
        <w:rPr>
          <w:b/>
        </w:rPr>
        <w:t>N</w:t>
      </w:r>
      <w:r w:rsidRPr="004B6D43">
        <w:rPr>
          <w:b/>
        </w:rPr>
        <w:t>o:</w:t>
      </w:r>
      <w:r w:rsidR="00B11B4C" w:rsidRPr="004B6D43">
        <w:rPr>
          <w:b/>
        </w:rPr>
        <w:t xml:space="preserve"> </w:t>
      </w:r>
      <w:r w:rsidR="00AC7104" w:rsidRPr="004B6D43">
        <w:rPr>
          <w:b/>
        </w:rPr>
        <w:t>20/37279</w:t>
      </w:r>
    </w:p>
    <w:p w:rsidR="00E52518" w:rsidRDefault="00033914" w:rsidP="00E52518">
      <w:pPr>
        <w:jc w:val="right"/>
      </w:pPr>
      <w:r>
        <w:rPr>
          <w:noProof/>
          <w:lang w:val="en-US"/>
        </w:rPr>
        <mc:AlternateContent>
          <mc:Choice Requires="wps">
            <w:drawing>
              <wp:anchor distT="0" distB="0" distL="114300" distR="114300" simplePos="0" relativeHeight="251659264" behindDoc="0" locked="0" layoutInCell="1" allowOverlap="1" wp14:anchorId="7F186E02" wp14:editId="67412FD2">
                <wp:simplePos x="0" y="0"/>
                <wp:positionH relativeFrom="column">
                  <wp:posOffset>5080</wp:posOffset>
                </wp:positionH>
                <wp:positionV relativeFrom="paragraph">
                  <wp:posOffset>18415</wp:posOffset>
                </wp:positionV>
                <wp:extent cx="3314700" cy="1389380"/>
                <wp:effectExtent l="0" t="0" r="0" b="127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rsidR="0011705A" w:rsidRPr="004120A8" w:rsidRDefault="0011705A" w:rsidP="00E52518">
                            <w:pPr>
                              <w:jc w:val="center"/>
                              <w:rPr>
                                <w:rFonts w:ascii="Century Gothic" w:hAnsi="Century Gothic"/>
                                <w:b/>
                                <w:sz w:val="2"/>
                                <w:szCs w:val="18"/>
                              </w:rPr>
                            </w:pPr>
                          </w:p>
                          <w:p w:rsidR="0011705A" w:rsidRPr="00EE6CBE" w:rsidRDefault="00B878F6" w:rsidP="00B878F6">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11705A" w:rsidRPr="00EE6CBE">
                              <w:rPr>
                                <w:rFonts w:cs="Arial"/>
                                <w:sz w:val="18"/>
                                <w:szCs w:val="18"/>
                              </w:rPr>
                              <w:t>REPORTABLE: YES</w:t>
                            </w:r>
                            <w:r w:rsidR="0011705A">
                              <w:rPr>
                                <w:rFonts w:cs="Arial"/>
                                <w:sz w:val="18"/>
                                <w:szCs w:val="18"/>
                              </w:rPr>
                              <w:t>/NO</w:t>
                            </w:r>
                          </w:p>
                          <w:p w:rsidR="0011705A" w:rsidRPr="00EE6CBE" w:rsidRDefault="00B878F6" w:rsidP="00B878F6">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11705A" w:rsidRPr="00EE6CBE">
                              <w:rPr>
                                <w:rFonts w:cs="Arial"/>
                                <w:sz w:val="18"/>
                                <w:szCs w:val="18"/>
                              </w:rPr>
                              <w:t>OF INTEREST TO OTHER JUDGES: YES</w:t>
                            </w:r>
                            <w:r w:rsidR="0011705A">
                              <w:rPr>
                                <w:rFonts w:cs="Arial"/>
                                <w:sz w:val="18"/>
                                <w:szCs w:val="18"/>
                              </w:rPr>
                              <w:t>/NO</w:t>
                            </w:r>
                          </w:p>
                          <w:p w:rsidR="0011705A" w:rsidRPr="00EE6CBE" w:rsidRDefault="00B878F6" w:rsidP="00B878F6">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11705A" w:rsidRPr="00EE6CBE">
                              <w:rPr>
                                <w:rFonts w:cs="Arial"/>
                                <w:sz w:val="18"/>
                                <w:szCs w:val="18"/>
                              </w:rPr>
                              <w:t>REVISED</w:t>
                            </w:r>
                            <w:r w:rsidR="0011705A">
                              <w:rPr>
                                <w:rFonts w:cs="Arial"/>
                                <w:sz w:val="18"/>
                                <w:szCs w:val="18"/>
                              </w:rPr>
                              <w:t xml:space="preserve"> YES/NO</w:t>
                            </w:r>
                          </w:p>
                          <w:p w:rsidR="0011705A" w:rsidRPr="00EE6CBE" w:rsidRDefault="0011705A" w:rsidP="00E52518">
                            <w:pPr>
                              <w:rPr>
                                <w:rFonts w:cs="Arial"/>
                                <w:b/>
                                <w:sz w:val="18"/>
                                <w:szCs w:val="18"/>
                              </w:rPr>
                            </w:pPr>
                          </w:p>
                          <w:p w:rsidR="0011705A" w:rsidRDefault="0011705A" w:rsidP="00E52518">
                            <w:pPr>
                              <w:rPr>
                                <w:rFonts w:cs="Arial"/>
                                <w:b/>
                                <w:sz w:val="18"/>
                                <w:szCs w:val="18"/>
                              </w:rPr>
                            </w:pPr>
                            <w:r>
                              <w:rPr>
                                <w:rFonts w:cs="Arial"/>
                                <w:b/>
                                <w:sz w:val="18"/>
                                <w:szCs w:val="18"/>
                              </w:rPr>
                              <w:t>..........................................</w:t>
                            </w:r>
                            <w:r>
                              <w:rPr>
                                <w:rFonts w:cs="Arial"/>
                                <w:b/>
                                <w:sz w:val="18"/>
                                <w:szCs w:val="18"/>
                              </w:rPr>
                              <w:tab/>
                            </w:r>
                            <w:r>
                              <w:rPr>
                                <w:rFonts w:cs="Arial"/>
                                <w:b/>
                                <w:sz w:val="18"/>
                                <w:szCs w:val="18"/>
                              </w:rPr>
                              <w:tab/>
                              <w:t>..............................</w:t>
                            </w:r>
                          </w:p>
                          <w:p w:rsidR="0011705A" w:rsidRPr="00EE6CBE" w:rsidRDefault="0011705A"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rsidR="0011705A" w:rsidRPr="004120A8" w:rsidRDefault="0011705A" w:rsidP="00E52518">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86E02" id="_x0000_t202" coordsize="21600,21600" o:spt="202" path="m,l,21600r21600,l21600,xe">
                <v:stroke joinstyle="miter"/>
                <v:path gradientshapeok="t" o:connecttype="rect"/>
              </v:shapetype>
              <v:shape id="Text Box 2" o:spid="_x0000_s1026" type="#_x0000_t202" style="position:absolute;left:0;text-align:left;margin-left:.4pt;margin-top:1.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">
                <o:lock v:ext="edit" aspectratio="t" verticies="t" text="t" shapetype="t"/>
                <v:textbox>
                  <w:txbxContent>
                    <w:p w:rsidR="0011705A" w:rsidRPr="004120A8" w:rsidRDefault="0011705A" w:rsidP="00E52518">
                      <w:pPr>
                        <w:jc w:val="center"/>
                        <w:rPr>
                          <w:rFonts w:ascii="Century Gothic" w:hAnsi="Century Gothic"/>
                          <w:b/>
                          <w:sz w:val="2"/>
                          <w:szCs w:val="18"/>
                        </w:rPr>
                      </w:pPr>
                    </w:p>
                    <w:p w:rsidR="0011705A" w:rsidRPr="00EE6CBE" w:rsidRDefault="00B878F6" w:rsidP="00B878F6">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11705A" w:rsidRPr="00EE6CBE">
                        <w:rPr>
                          <w:rFonts w:cs="Arial"/>
                          <w:sz w:val="18"/>
                          <w:szCs w:val="18"/>
                        </w:rPr>
                        <w:t>REPORTABLE: YES</w:t>
                      </w:r>
                      <w:r w:rsidR="0011705A">
                        <w:rPr>
                          <w:rFonts w:cs="Arial"/>
                          <w:sz w:val="18"/>
                          <w:szCs w:val="18"/>
                        </w:rPr>
                        <w:t>/NO</w:t>
                      </w:r>
                    </w:p>
                    <w:p w:rsidR="0011705A" w:rsidRPr="00EE6CBE" w:rsidRDefault="00B878F6" w:rsidP="00B878F6">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11705A" w:rsidRPr="00EE6CBE">
                        <w:rPr>
                          <w:rFonts w:cs="Arial"/>
                          <w:sz w:val="18"/>
                          <w:szCs w:val="18"/>
                        </w:rPr>
                        <w:t>OF INTEREST TO OTHER JUDGES: YES</w:t>
                      </w:r>
                      <w:r w:rsidR="0011705A">
                        <w:rPr>
                          <w:rFonts w:cs="Arial"/>
                          <w:sz w:val="18"/>
                          <w:szCs w:val="18"/>
                        </w:rPr>
                        <w:t>/NO</w:t>
                      </w:r>
                    </w:p>
                    <w:p w:rsidR="0011705A" w:rsidRPr="00EE6CBE" w:rsidRDefault="00B878F6" w:rsidP="00B878F6">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11705A" w:rsidRPr="00EE6CBE">
                        <w:rPr>
                          <w:rFonts w:cs="Arial"/>
                          <w:sz w:val="18"/>
                          <w:szCs w:val="18"/>
                        </w:rPr>
                        <w:t>REVISED</w:t>
                      </w:r>
                      <w:r w:rsidR="0011705A">
                        <w:rPr>
                          <w:rFonts w:cs="Arial"/>
                          <w:sz w:val="18"/>
                          <w:szCs w:val="18"/>
                        </w:rPr>
                        <w:t xml:space="preserve"> YES/NO</w:t>
                      </w:r>
                    </w:p>
                    <w:p w:rsidR="0011705A" w:rsidRPr="00EE6CBE" w:rsidRDefault="0011705A" w:rsidP="00E52518">
                      <w:pPr>
                        <w:rPr>
                          <w:rFonts w:cs="Arial"/>
                          <w:b/>
                          <w:sz w:val="18"/>
                          <w:szCs w:val="18"/>
                        </w:rPr>
                      </w:pPr>
                    </w:p>
                    <w:p w:rsidR="0011705A" w:rsidRDefault="0011705A" w:rsidP="00E52518">
                      <w:pPr>
                        <w:rPr>
                          <w:rFonts w:cs="Arial"/>
                          <w:b/>
                          <w:sz w:val="18"/>
                          <w:szCs w:val="18"/>
                        </w:rPr>
                      </w:pPr>
                      <w:r>
                        <w:rPr>
                          <w:rFonts w:cs="Arial"/>
                          <w:b/>
                          <w:sz w:val="18"/>
                          <w:szCs w:val="18"/>
                        </w:rPr>
                        <w:t>..........................................</w:t>
                      </w:r>
                      <w:r>
                        <w:rPr>
                          <w:rFonts w:cs="Arial"/>
                          <w:b/>
                          <w:sz w:val="18"/>
                          <w:szCs w:val="18"/>
                        </w:rPr>
                        <w:tab/>
                      </w:r>
                      <w:r>
                        <w:rPr>
                          <w:rFonts w:cs="Arial"/>
                          <w:b/>
                          <w:sz w:val="18"/>
                          <w:szCs w:val="18"/>
                        </w:rPr>
                        <w:tab/>
                        <w:t>..............................</w:t>
                      </w:r>
                    </w:p>
                    <w:p w:rsidR="0011705A" w:rsidRPr="00EE6CBE" w:rsidRDefault="0011705A"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rsidR="0011705A" w:rsidRPr="004120A8" w:rsidRDefault="0011705A" w:rsidP="00E52518">
                      <w:pPr>
                        <w:rPr>
                          <w:rFonts w:ascii="Century Gothic" w:hAnsi="Century Gothic"/>
                          <w:b/>
                          <w:sz w:val="2"/>
                          <w:szCs w:val="18"/>
                        </w:rPr>
                      </w:pPr>
                    </w:p>
                  </w:txbxContent>
                </v:textbox>
              </v:shape>
            </w:pict>
          </mc:Fallback>
        </mc:AlternateContent>
      </w:r>
    </w:p>
    <w:p w:rsidR="00E52518" w:rsidRPr="00D036DB" w:rsidRDefault="00E52518" w:rsidP="00E52518">
      <w:pPr>
        <w:jc w:val="center"/>
        <w:rPr>
          <w:rFonts w:cs="Arial"/>
          <w:b/>
          <w:lang w:val="en-ZA"/>
        </w:rPr>
      </w:pPr>
    </w:p>
    <w:p w:rsidR="00E52518" w:rsidRPr="00D036DB" w:rsidRDefault="00E52518" w:rsidP="00E52518">
      <w:pPr>
        <w:jc w:val="right"/>
        <w:rPr>
          <w:rFonts w:cs="Arial"/>
          <w:b/>
        </w:rPr>
      </w:pPr>
      <w:bookmarkStart w:id="1" w:name="_Hlk88546104"/>
    </w:p>
    <w:p w:rsidR="00E52518" w:rsidRPr="00D036DB" w:rsidRDefault="00E52518" w:rsidP="00E52518">
      <w:pPr>
        <w:jc w:val="left"/>
        <w:rPr>
          <w:rFonts w:cs="Arial"/>
          <w:u w:val="single"/>
          <w:lang w:val="en-ZA"/>
        </w:rPr>
      </w:pPr>
    </w:p>
    <w:p w:rsidR="00E52518" w:rsidRPr="00D036DB" w:rsidRDefault="00E52518" w:rsidP="00E52518">
      <w:pPr>
        <w:jc w:val="left"/>
        <w:rPr>
          <w:rFonts w:cs="Arial"/>
          <w:u w:val="single"/>
          <w:lang w:val="en-ZA"/>
        </w:rPr>
      </w:pPr>
    </w:p>
    <w:p w:rsidR="00E52518" w:rsidRPr="00D036DB" w:rsidRDefault="00E52518" w:rsidP="00E52518">
      <w:pPr>
        <w:jc w:val="left"/>
        <w:rPr>
          <w:rFonts w:cs="Arial"/>
          <w:u w:val="single"/>
          <w:lang w:val="en-ZA"/>
        </w:rPr>
      </w:pPr>
    </w:p>
    <w:p w:rsidR="00E52518" w:rsidRDefault="00E52518" w:rsidP="00E52518">
      <w:pPr>
        <w:jc w:val="left"/>
        <w:rPr>
          <w:rFonts w:cs="Arial"/>
          <w:u w:val="single"/>
          <w:lang w:val="en-ZA"/>
        </w:rPr>
      </w:pPr>
    </w:p>
    <w:bookmarkEnd w:id="1"/>
    <w:p w:rsidR="00E52518" w:rsidRPr="008E306E" w:rsidRDefault="00E52518" w:rsidP="00E52518"/>
    <w:p w:rsidR="00300D09" w:rsidRPr="008E306E" w:rsidRDefault="00300D09" w:rsidP="00300D09">
      <w:pPr>
        <w:tabs>
          <w:tab w:val="left" w:pos="4917"/>
        </w:tabs>
        <w:jc w:val="right"/>
        <w:rPr>
          <w:rFonts w:cs="Arial"/>
          <w:b/>
          <w:sz w:val="28"/>
          <w:szCs w:val="28"/>
          <w:u w:val="single"/>
        </w:rPr>
      </w:pPr>
    </w:p>
    <w:p w:rsidR="00300D09" w:rsidRPr="008E306E" w:rsidRDefault="00300D09" w:rsidP="00300D09">
      <w:r w:rsidRPr="008E306E">
        <w:t xml:space="preserve">In the matter </w:t>
      </w:r>
      <w:r w:rsidR="004B6D43">
        <w:t>between:</w:t>
      </w:r>
    </w:p>
    <w:p w:rsidR="00300D09" w:rsidRDefault="00300D09" w:rsidP="00300D09">
      <w:pPr>
        <w:pStyle w:val="Parties"/>
      </w:pPr>
    </w:p>
    <w:p w:rsidR="00300D09" w:rsidRDefault="00300D09" w:rsidP="00300D09">
      <w:pPr>
        <w:pStyle w:val="Parties"/>
      </w:pPr>
    </w:p>
    <w:p w:rsidR="004B6D43" w:rsidRDefault="004B6D43" w:rsidP="00A524D1">
      <w:pPr>
        <w:pStyle w:val="Parties"/>
        <w:rPr>
          <w:bCs/>
        </w:rPr>
      </w:pPr>
      <w:r w:rsidRPr="004B6D43">
        <w:rPr>
          <w:b/>
          <w:bCs/>
        </w:rPr>
        <w:t>MNGOMEZULU BOITUMELO NO</w:t>
      </w:r>
      <w:r w:rsidRPr="004B6D43">
        <w:rPr>
          <w:bCs/>
        </w:rPr>
        <w:t>.</w:t>
      </w:r>
    </w:p>
    <w:p w:rsidR="00A524D1" w:rsidRDefault="00054395" w:rsidP="00A524D1">
      <w:pPr>
        <w:pStyle w:val="Parties"/>
        <w:rPr>
          <w:b/>
          <w:bCs/>
        </w:rPr>
      </w:pPr>
      <w:r>
        <w:rPr>
          <w:b/>
          <w:bCs/>
        </w:rPr>
        <w:t>ID NO […]</w:t>
      </w:r>
      <w:r w:rsidR="00A524D1">
        <w:rPr>
          <w:b/>
          <w:bCs/>
        </w:rPr>
        <w:tab/>
      </w:r>
      <w:r w:rsidR="00406AA4" w:rsidRPr="004B6D43">
        <w:rPr>
          <w:b/>
          <w:bCs/>
        </w:rPr>
        <w:t xml:space="preserve">First </w:t>
      </w:r>
      <w:r w:rsidR="00A524D1" w:rsidRPr="004B6D43">
        <w:rPr>
          <w:b/>
        </w:rPr>
        <w:t>Applicant</w:t>
      </w:r>
      <w:r w:rsidR="00A524D1">
        <w:rPr>
          <w:b/>
          <w:bCs/>
        </w:rPr>
        <w:t xml:space="preserve"> </w:t>
      </w:r>
    </w:p>
    <w:p w:rsidR="00406AA4" w:rsidRDefault="00406AA4" w:rsidP="00A524D1">
      <w:pPr>
        <w:pStyle w:val="Parties"/>
        <w:rPr>
          <w:b/>
          <w:bCs/>
        </w:rPr>
      </w:pPr>
    </w:p>
    <w:p w:rsidR="00406AA4" w:rsidRDefault="004B6D43" w:rsidP="00A524D1">
      <w:pPr>
        <w:pStyle w:val="Parties"/>
        <w:rPr>
          <w:b/>
          <w:bCs/>
        </w:rPr>
      </w:pPr>
      <w:r w:rsidRPr="004B6D43">
        <w:rPr>
          <w:b/>
          <w:bCs/>
        </w:rPr>
        <w:t>MNGOMEZULU PHINDILE</w:t>
      </w:r>
    </w:p>
    <w:p w:rsidR="00A524D1" w:rsidRDefault="00054395" w:rsidP="00A524D1">
      <w:pPr>
        <w:pStyle w:val="Parties"/>
        <w:rPr>
          <w:b/>
          <w:bCs/>
        </w:rPr>
      </w:pPr>
      <w:r>
        <w:rPr>
          <w:b/>
          <w:bCs/>
        </w:rPr>
        <w:t>ID NO: […]</w:t>
      </w:r>
      <w:r w:rsidR="004B6D43">
        <w:rPr>
          <w:b/>
          <w:bCs/>
        </w:rPr>
        <w:tab/>
        <w:t>Second Applicant</w:t>
      </w:r>
    </w:p>
    <w:p w:rsidR="00A524D1" w:rsidRDefault="00A524D1" w:rsidP="00A524D1">
      <w:pPr>
        <w:pStyle w:val="Parties"/>
      </w:pPr>
    </w:p>
    <w:p w:rsidR="004B6D43" w:rsidRDefault="004B6D43" w:rsidP="00A524D1">
      <w:pPr>
        <w:pStyle w:val="Parties"/>
      </w:pPr>
    </w:p>
    <w:p w:rsidR="00A524D1" w:rsidRPr="008E306E" w:rsidRDefault="00A524D1" w:rsidP="00A524D1">
      <w:pPr>
        <w:pStyle w:val="Parties"/>
      </w:pPr>
      <w:r w:rsidRPr="008E306E">
        <w:t>and</w:t>
      </w:r>
    </w:p>
    <w:p w:rsidR="00A524D1" w:rsidRDefault="00A524D1" w:rsidP="00A524D1">
      <w:pPr>
        <w:pStyle w:val="Parties"/>
      </w:pPr>
    </w:p>
    <w:p w:rsidR="00A524D1" w:rsidRDefault="00A524D1" w:rsidP="00A524D1">
      <w:pPr>
        <w:pStyle w:val="Parties"/>
      </w:pPr>
    </w:p>
    <w:p w:rsidR="004B6D43" w:rsidRDefault="004B6D43" w:rsidP="00A524D1">
      <w:pPr>
        <w:pStyle w:val="Parties"/>
        <w:rPr>
          <w:b/>
          <w:bCs/>
        </w:rPr>
      </w:pPr>
      <w:r w:rsidRPr="004B6D43">
        <w:rPr>
          <w:b/>
          <w:bCs/>
        </w:rPr>
        <w:t>MOKOENA TUMELO AUBREY</w:t>
      </w:r>
      <w:r w:rsidR="00A524D1">
        <w:rPr>
          <w:b/>
          <w:bCs/>
        </w:rPr>
        <w:tab/>
      </w:r>
    </w:p>
    <w:p w:rsidR="00A524D1" w:rsidRDefault="004B6D43" w:rsidP="00A524D1">
      <w:pPr>
        <w:pStyle w:val="Parties"/>
        <w:rPr>
          <w:b/>
        </w:rPr>
      </w:pPr>
      <w:r>
        <w:rPr>
          <w:b/>
          <w:bCs/>
        </w:rPr>
        <w:t xml:space="preserve"> </w:t>
      </w:r>
      <w:r w:rsidR="00054395">
        <w:rPr>
          <w:b/>
          <w:bCs/>
        </w:rPr>
        <w:t>ID: […]</w:t>
      </w:r>
      <w:r>
        <w:rPr>
          <w:b/>
          <w:bCs/>
        </w:rPr>
        <w:tab/>
        <w:t xml:space="preserve">First </w:t>
      </w:r>
      <w:r w:rsidR="00A524D1" w:rsidRPr="004B6D43">
        <w:rPr>
          <w:b/>
        </w:rPr>
        <w:t xml:space="preserve">Respondent </w:t>
      </w:r>
    </w:p>
    <w:p w:rsidR="004B6D43" w:rsidRDefault="004B6D43" w:rsidP="00A524D1">
      <w:pPr>
        <w:pStyle w:val="Parties"/>
        <w:rPr>
          <w:b/>
        </w:rPr>
      </w:pPr>
    </w:p>
    <w:p w:rsidR="004B6D43" w:rsidRPr="004B6D43" w:rsidRDefault="004B6D43" w:rsidP="00A524D1">
      <w:pPr>
        <w:pStyle w:val="Parties"/>
        <w:rPr>
          <w:b/>
        </w:rPr>
      </w:pPr>
      <w:r w:rsidRPr="004B6D43">
        <w:rPr>
          <w:b/>
        </w:rPr>
        <w:t>MOFOKENG NONTUTUZELO SYLVIA</w:t>
      </w:r>
    </w:p>
    <w:p w:rsidR="004B6D43" w:rsidRDefault="00054395" w:rsidP="00A524D1">
      <w:pPr>
        <w:pStyle w:val="Parties"/>
        <w:rPr>
          <w:b/>
        </w:rPr>
      </w:pPr>
      <w:r>
        <w:rPr>
          <w:b/>
        </w:rPr>
        <w:t>ID: […]</w:t>
      </w:r>
      <w:r w:rsidR="004B6D43" w:rsidRPr="004B6D43">
        <w:rPr>
          <w:b/>
        </w:rPr>
        <w:tab/>
        <w:t>S</w:t>
      </w:r>
      <w:r w:rsidR="004B6D43">
        <w:rPr>
          <w:b/>
        </w:rPr>
        <w:t>econd R</w:t>
      </w:r>
      <w:r w:rsidR="004B6D43" w:rsidRPr="004B6D43">
        <w:rPr>
          <w:b/>
        </w:rPr>
        <w:t>espondent</w:t>
      </w:r>
    </w:p>
    <w:p w:rsidR="004B6D43" w:rsidRDefault="004B6D43" w:rsidP="00A524D1">
      <w:pPr>
        <w:pStyle w:val="Parties"/>
        <w:rPr>
          <w:b/>
        </w:rPr>
      </w:pPr>
    </w:p>
    <w:p w:rsidR="004B6D43" w:rsidRDefault="004B6D43" w:rsidP="00A524D1">
      <w:pPr>
        <w:pStyle w:val="Parties"/>
        <w:rPr>
          <w:b/>
        </w:rPr>
      </w:pPr>
      <w:r w:rsidRPr="004B6D43">
        <w:rPr>
          <w:b/>
        </w:rPr>
        <w:t>KRUGER &amp; KRUGER ATTORNEYS</w:t>
      </w:r>
      <w:r>
        <w:rPr>
          <w:b/>
        </w:rPr>
        <w:t xml:space="preserve"> </w:t>
      </w:r>
      <w:r>
        <w:rPr>
          <w:b/>
        </w:rPr>
        <w:tab/>
        <w:t>Third Respondent</w:t>
      </w:r>
    </w:p>
    <w:p w:rsidR="004B6D43" w:rsidRDefault="004B6D43" w:rsidP="00A524D1">
      <w:pPr>
        <w:pStyle w:val="Parties"/>
        <w:rPr>
          <w:b/>
        </w:rPr>
      </w:pPr>
    </w:p>
    <w:p w:rsidR="004B6D43" w:rsidRDefault="004B6D43" w:rsidP="00A524D1">
      <w:pPr>
        <w:pStyle w:val="Parties"/>
        <w:rPr>
          <w:b/>
        </w:rPr>
      </w:pPr>
      <w:r w:rsidRPr="004B6D43">
        <w:rPr>
          <w:b/>
        </w:rPr>
        <w:t xml:space="preserve">REGISTAR OF DEEDS PRETORIA </w:t>
      </w:r>
      <w:r>
        <w:rPr>
          <w:b/>
        </w:rPr>
        <w:tab/>
        <w:t>Fourth Respondent</w:t>
      </w:r>
    </w:p>
    <w:p w:rsidR="004B6D43" w:rsidRDefault="004B6D43" w:rsidP="00A524D1">
      <w:pPr>
        <w:pStyle w:val="Parties"/>
        <w:rPr>
          <w:b/>
        </w:rPr>
      </w:pPr>
    </w:p>
    <w:p w:rsidR="00843037" w:rsidRDefault="004B6D43" w:rsidP="00300D09">
      <w:pPr>
        <w:pStyle w:val="Parties"/>
        <w:rPr>
          <w:b/>
        </w:rPr>
      </w:pPr>
      <w:r w:rsidRPr="004B6D43">
        <w:rPr>
          <w:b/>
        </w:rPr>
        <w:t xml:space="preserve">FIRST NATIONAL BANK </w:t>
      </w:r>
      <w:r>
        <w:rPr>
          <w:b/>
        </w:rPr>
        <w:tab/>
        <w:t>Fifth Respondent</w:t>
      </w:r>
    </w:p>
    <w:p w:rsidR="004B6D43" w:rsidRDefault="004B6D43" w:rsidP="00300D09">
      <w:pPr>
        <w:pStyle w:val="Parties"/>
        <w:rPr>
          <w:b/>
          <w:bCs/>
        </w:rPr>
      </w:pPr>
    </w:p>
    <w:p w:rsidR="00E52518" w:rsidRPr="00E52518" w:rsidRDefault="00E52518" w:rsidP="00E52518">
      <w:pPr>
        <w:rPr>
          <w:rFonts w:ascii="Times" w:hAnsi="Times"/>
          <w:color w:val="000000"/>
          <w:lang w:val="en-ZA"/>
        </w:rPr>
      </w:pPr>
      <w:r w:rsidRPr="00EE6CBE">
        <w:rPr>
          <w:shd w:val="clear" w:color="auto" w:fill="FFFFFF"/>
          <w:lang w:val="en-ZA"/>
        </w:rPr>
        <w:t>This judgment was handed down electronically by circulation to the parties’ legal representatives by email. The date and time for hand-down is deemed to be</w:t>
      </w:r>
      <w:r w:rsidR="004B6D43">
        <w:rPr>
          <w:shd w:val="clear" w:color="auto" w:fill="FFFFFF"/>
          <w:lang w:val="en-ZA"/>
        </w:rPr>
        <w:t xml:space="preserve"> 25 March </w:t>
      </w:r>
      <w:r>
        <w:rPr>
          <w:color w:val="000000"/>
          <w:shd w:val="clear" w:color="auto" w:fill="FFFFFF"/>
          <w:lang w:val="en-ZA"/>
        </w:rPr>
        <w:t>2022</w:t>
      </w:r>
    </w:p>
    <w:p w:rsidR="00820579" w:rsidRDefault="00820579" w:rsidP="00820579">
      <w:pPr>
        <w:pStyle w:val="Parties"/>
      </w:pPr>
    </w:p>
    <w:p w:rsidR="006D7F36" w:rsidRPr="00A92CAD" w:rsidRDefault="00CC22D8" w:rsidP="00573270">
      <w:pPr>
        <w:pStyle w:val="Parties"/>
        <w:tabs>
          <w:tab w:val="center" w:pos="4111"/>
        </w:tabs>
      </w:pPr>
      <w:r w:rsidRPr="00A92CAD">
        <w:tab/>
      </w:r>
    </w:p>
    <w:p w:rsidR="002A4D60" w:rsidRPr="00A92CAD" w:rsidRDefault="002A4D60" w:rsidP="002A4D60">
      <w:pPr>
        <w:pStyle w:val="TramLines"/>
      </w:pPr>
      <w:r w:rsidRPr="00A92CAD">
        <w:t>JUDGMENT</w:t>
      </w:r>
    </w:p>
    <w:p w:rsidR="00E52518" w:rsidRPr="00E52518" w:rsidRDefault="003A295B" w:rsidP="00E52518">
      <w:pPr>
        <w:rPr>
          <w:b/>
          <w:bCs/>
          <w:lang w:val="en-ZA"/>
        </w:rPr>
      </w:pPr>
      <w:r>
        <w:rPr>
          <w:b/>
          <w:bCs/>
          <w:lang w:val="en-ZA"/>
        </w:rPr>
        <w:t xml:space="preserve">STRYDOM J </w:t>
      </w:r>
    </w:p>
    <w:p w:rsidR="00C32BD1" w:rsidRDefault="00B878F6" w:rsidP="00B878F6">
      <w:pPr>
        <w:pStyle w:val="1"/>
        <w:numPr>
          <w:ilvl w:val="0"/>
          <w:numId w:val="0"/>
        </w:numPr>
        <w:tabs>
          <w:tab w:val="left" w:pos="567"/>
        </w:tabs>
        <w:ind w:left="567" w:hanging="567"/>
      </w:pPr>
      <w:r>
        <w:t>[1]</w:t>
      </w:r>
      <w:r>
        <w:tab/>
      </w:r>
      <w:r w:rsidR="00C32BD1">
        <w:t>This is an application in which the first applicant, in her capacity as the executrix in the estate of her late mother Merriam Mngomozulu (“the deceased”) and the second applicant, the daughter of deceased seek orders against respondents for the following relief</w:t>
      </w:r>
      <w:r w:rsidR="00C15E46">
        <w:t xml:space="preserve"> a</w:t>
      </w:r>
      <w:r w:rsidR="00C32BD1">
        <w:t>n order cancell</w:t>
      </w:r>
      <w:r w:rsidR="00054395">
        <w:t>ing the title deed of House […]</w:t>
      </w:r>
      <w:r w:rsidR="00C32BD1">
        <w:t>, Bophelong</w:t>
      </w:r>
      <w:r w:rsidR="00C15E46">
        <w:t xml:space="preserve"> (“</w:t>
      </w:r>
      <w:r w:rsidR="00B3557E">
        <w:t>the property</w:t>
      </w:r>
      <w:r w:rsidR="00C15E46">
        <w:t>”)</w:t>
      </w:r>
      <w:r w:rsidR="00C32BD1">
        <w:t xml:space="preserve"> presently</w:t>
      </w:r>
      <w:r w:rsidR="00C15E46">
        <w:t xml:space="preserve"> registered in the name of first respondent, as well as cancellation of the bond in favour of First National Bank, the fifth respondent.</w:t>
      </w:r>
      <w:r w:rsidR="00C32BD1">
        <w:t xml:space="preserve"> </w:t>
      </w:r>
      <w:r w:rsidR="00C15E46">
        <w:t xml:space="preserve">Ancillary relief is sought including a costs order. </w:t>
      </w:r>
    </w:p>
    <w:p w:rsidR="00C32BD1" w:rsidRDefault="00B878F6" w:rsidP="00B878F6">
      <w:pPr>
        <w:pStyle w:val="1"/>
        <w:numPr>
          <w:ilvl w:val="0"/>
          <w:numId w:val="0"/>
        </w:numPr>
        <w:tabs>
          <w:tab w:val="left" w:pos="567"/>
        </w:tabs>
        <w:ind w:left="567" w:hanging="567"/>
      </w:pPr>
      <w:r>
        <w:t>[2]</w:t>
      </w:r>
      <w:r>
        <w:tab/>
      </w:r>
      <w:r w:rsidR="00C15E46">
        <w:t>O</w:t>
      </w:r>
      <w:r w:rsidR="00063F88">
        <w:t>nly the first,</w:t>
      </w:r>
      <w:r w:rsidR="00C15E46">
        <w:t xml:space="preserve"> second</w:t>
      </w:r>
      <w:r w:rsidR="00063F88">
        <w:t xml:space="preserve"> and third</w:t>
      </w:r>
      <w:r w:rsidR="00C15E46">
        <w:t xml:space="preserve"> respondents opposed this application and asked for the dismissal thereof with costs.</w:t>
      </w:r>
      <w:r w:rsidR="00B3557E">
        <w:t xml:space="preserve"> </w:t>
      </w:r>
      <w:r w:rsidR="00063F88">
        <w:t>Subsequently, the case against the third respondent was withdrawn.</w:t>
      </w:r>
      <w:r w:rsidR="00B3557E">
        <w:t xml:space="preserve"> </w:t>
      </w:r>
    </w:p>
    <w:p w:rsidR="00C32BD1" w:rsidRDefault="00B878F6" w:rsidP="00B878F6">
      <w:pPr>
        <w:pStyle w:val="1"/>
        <w:numPr>
          <w:ilvl w:val="0"/>
          <w:numId w:val="0"/>
        </w:numPr>
        <w:tabs>
          <w:tab w:val="left" w:pos="567"/>
        </w:tabs>
        <w:ind w:left="567" w:hanging="567"/>
      </w:pPr>
      <w:r>
        <w:t>[3]</w:t>
      </w:r>
      <w:r>
        <w:tab/>
      </w:r>
      <w:r w:rsidR="00C15E46">
        <w:t xml:space="preserve">The applicant’s case is premised on the following factual matrix: </w:t>
      </w:r>
      <w:r w:rsidR="00B3557E">
        <w:t>The second applicant currently resides at the property and has done so since the death of her mother; on 14 March 2000 the second applicant’s mother</w:t>
      </w:r>
      <w:r w:rsidR="009F4073">
        <w:t xml:space="preserve"> bought the property for R2000 in terms of a written sale agreement; the full purchase price was paid by November 2000 but the property was not transferred to the deceased, primarily because of non-cooperation of the second respondent. Subsequently, an eviction application was brought by the first respondent who bought the property</w:t>
      </w:r>
      <w:r w:rsidR="00063F88">
        <w:t xml:space="preserve"> during about February 2020 from the second respondent for the amount of R198 000 in terms of a written agreement of sale. The property was duly transferred into the name of the first respondent. </w:t>
      </w:r>
      <w:r w:rsidR="009F4073">
        <w:t xml:space="preserve">   </w:t>
      </w:r>
      <w:r w:rsidR="00B3557E">
        <w:t xml:space="preserve">  </w:t>
      </w:r>
    </w:p>
    <w:p w:rsidR="00C32BD1" w:rsidRDefault="00B878F6" w:rsidP="00B878F6">
      <w:pPr>
        <w:pStyle w:val="1"/>
        <w:numPr>
          <w:ilvl w:val="0"/>
          <w:numId w:val="0"/>
        </w:numPr>
        <w:tabs>
          <w:tab w:val="left" w:pos="567"/>
        </w:tabs>
        <w:ind w:left="567" w:hanging="567"/>
      </w:pPr>
      <w:r>
        <w:t>[4]</w:t>
      </w:r>
      <w:r>
        <w:tab/>
      </w:r>
      <w:r w:rsidR="00063F88">
        <w:t>The second applicant relies on the conclusion of the sale agreement in the year 2000 to enforce transfer of the property to her.</w:t>
      </w:r>
    </w:p>
    <w:p w:rsidR="00FA43DA" w:rsidRDefault="00B878F6" w:rsidP="00B878F6">
      <w:pPr>
        <w:pStyle w:val="1"/>
        <w:numPr>
          <w:ilvl w:val="0"/>
          <w:numId w:val="0"/>
        </w:numPr>
        <w:tabs>
          <w:tab w:val="left" w:pos="567"/>
        </w:tabs>
        <w:ind w:left="567" w:hanging="567"/>
      </w:pPr>
      <w:r>
        <w:t>[5]</w:t>
      </w:r>
      <w:r>
        <w:tab/>
      </w:r>
      <w:r w:rsidR="00063F88">
        <w:t>The basis of the first applicant’s defence is that he bought the property form second respondent, who was the legal owner of the property, and it was transferred into his name. He obtained a bond for fifth respondent to finance his purchase.</w:t>
      </w:r>
      <w:r w:rsidR="00FA43DA">
        <w:t xml:space="preserve"> The first respondent stated that he had no knowledge of the previous sale of the same property to the deceased.</w:t>
      </w:r>
    </w:p>
    <w:p w:rsidR="00FA43DA" w:rsidRDefault="00B878F6" w:rsidP="00B878F6">
      <w:pPr>
        <w:pStyle w:val="1"/>
        <w:numPr>
          <w:ilvl w:val="0"/>
          <w:numId w:val="0"/>
        </w:numPr>
        <w:tabs>
          <w:tab w:val="left" w:pos="567"/>
        </w:tabs>
        <w:ind w:left="567" w:hanging="567"/>
      </w:pPr>
      <w:r>
        <w:t>[6]</w:t>
      </w:r>
      <w:r>
        <w:tab/>
      </w:r>
      <w:r w:rsidR="00FA43DA">
        <w:t xml:space="preserve">The second respondent denied that she entered into any written or other agreement with the deceased in terms of which she sold the property for R2000 to her. She denied that her signature appears of the handwritten agreement which purports to be a sale agreement. </w:t>
      </w:r>
    </w:p>
    <w:p w:rsidR="00323E04" w:rsidRDefault="00B878F6" w:rsidP="00B878F6">
      <w:pPr>
        <w:pStyle w:val="1"/>
        <w:numPr>
          <w:ilvl w:val="0"/>
          <w:numId w:val="0"/>
        </w:numPr>
        <w:tabs>
          <w:tab w:val="left" w:pos="567"/>
        </w:tabs>
        <w:ind w:left="567" w:hanging="567"/>
      </w:pPr>
      <w:r>
        <w:t>[7]</w:t>
      </w:r>
      <w:r>
        <w:tab/>
      </w:r>
      <w:r w:rsidR="00FA43DA">
        <w:t xml:space="preserve">What the court is now faced with is a clear dispute of fact which cannot be decided on the papers filed. In the applicants’ heads of argument and before court it was argued that the disputes of fact should be referred to hear oral evidence or to trial. On behalf of the respondents it was argued that this dispute of fact was foreseen and that the applicants should not have resorted to motion proceedings. </w:t>
      </w:r>
      <w:r w:rsidR="00323E04">
        <w:t>It was argued that on this ground alone the application should be dismissed with costs. It should be noted that the applicant, probably realising that the matter was not capable of decision on the papers unilaterally removed the matter from the opposed roll but the removal was defective as it was done without the consent of respondents. On behalf of the first and second applicants the court was requested to hear the matter and to dismiss the application with costs.</w:t>
      </w:r>
    </w:p>
    <w:p w:rsidR="00323E04" w:rsidRDefault="00B878F6" w:rsidP="00B878F6">
      <w:pPr>
        <w:pStyle w:val="1"/>
        <w:numPr>
          <w:ilvl w:val="0"/>
          <w:numId w:val="0"/>
        </w:numPr>
        <w:tabs>
          <w:tab w:val="left" w:pos="567"/>
        </w:tabs>
        <w:ind w:left="567" w:hanging="567"/>
      </w:pPr>
      <w:r>
        <w:t>[8]</w:t>
      </w:r>
      <w:r>
        <w:tab/>
      </w:r>
      <w:r w:rsidR="00323E04">
        <w:t xml:space="preserve">It was argued that despite the clear factual dispute the matter could in any event be dealt with on the common cause and undisputed facts as </w:t>
      </w:r>
      <w:r w:rsidR="00477804">
        <w:t>the second applicant</w:t>
      </w:r>
      <w:r w:rsidR="00B30ED9">
        <w:t xml:space="preserve"> </w:t>
      </w:r>
      <w:r w:rsidR="00E751E5">
        <w:t xml:space="preserve"> lacks </w:t>
      </w:r>
      <w:r w:rsidR="00323E04">
        <w:t xml:space="preserve"> </w:t>
      </w:r>
      <w:r w:rsidR="00323E04">
        <w:rPr>
          <w:i/>
        </w:rPr>
        <w:t xml:space="preserve">locus standi </w:t>
      </w:r>
      <w:r w:rsidR="00E751E5">
        <w:t>for the relief she is seeking</w:t>
      </w:r>
      <w:r w:rsidR="00482CBE">
        <w:t>. It was further argued that the applicants</w:t>
      </w:r>
      <w:r w:rsidR="00E751E5">
        <w:t xml:space="preserve"> applied the so called</w:t>
      </w:r>
      <w:r w:rsidR="00482CBE">
        <w:t xml:space="preserve"> doctrine of notice</w:t>
      </w:r>
      <w:r w:rsidR="00E751E5">
        <w:t xml:space="preserve"> wrongly. </w:t>
      </w:r>
      <w:r w:rsidR="00323E04">
        <w:t xml:space="preserve"> Moreover, the claim which the applicants might have had has prescribed a long time ago.</w:t>
      </w:r>
    </w:p>
    <w:p w:rsidR="00C32BD1" w:rsidRDefault="00B878F6" w:rsidP="00B878F6">
      <w:pPr>
        <w:pStyle w:val="1"/>
        <w:numPr>
          <w:ilvl w:val="0"/>
          <w:numId w:val="0"/>
        </w:numPr>
        <w:tabs>
          <w:tab w:val="left" w:pos="567"/>
        </w:tabs>
        <w:ind w:left="567" w:hanging="567"/>
      </w:pPr>
      <w:r>
        <w:t>[9]</w:t>
      </w:r>
      <w:r>
        <w:tab/>
      </w:r>
      <w:r w:rsidR="00323E04">
        <w:t xml:space="preserve">Dealing with the </w:t>
      </w:r>
      <w:r w:rsidR="00323E04">
        <w:rPr>
          <w:i/>
        </w:rPr>
        <w:t xml:space="preserve">locus standi </w:t>
      </w:r>
      <w:r w:rsidR="00323E04">
        <w:t>point first</w:t>
      </w:r>
      <w:r w:rsidR="00B30ED9">
        <w:t>. The second applicant, the daughter of the deceased, who allegedly bought the property, claims for the transfer of the property into her name.</w:t>
      </w:r>
      <w:r w:rsidR="00477804">
        <w:t xml:space="preserve"> She deposed to an affidavit in support of her claim that the property should be transferred to her. The first applicant only deposed to a confirmatory affidavit and does not state why the property should be transferred to the second applicant specifically.</w:t>
      </w:r>
      <w:r w:rsidR="00B30ED9">
        <w:t xml:space="preserve"> T</w:t>
      </w:r>
      <w:r w:rsidR="00477804">
        <w:t>he applicants has</w:t>
      </w:r>
      <w:r w:rsidR="00B30ED9">
        <w:t xml:space="preserve"> failed to </w:t>
      </w:r>
      <w:r w:rsidR="00477804">
        <w:t>establish a basis for this claim that the property should be transferred to second applicant</w:t>
      </w:r>
      <w:r w:rsidR="00B30ED9">
        <w:t>. Even if it is accepted</w:t>
      </w:r>
      <w:r w:rsidR="00477804">
        <w:t xml:space="preserve"> that there was a previous sale agreement then allegations should have been made pertaining</w:t>
      </w:r>
      <w:r w:rsidR="00E751E5">
        <w:t xml:space="preserve"> to</w:t>
      </w:r>
      <w:r w:rsidR="00477804">
        <w:t xml:space="preserve"> the status of the estate and whether the deceased died with a will or intestate. The court cannot assume that there are no other potential beneficiaries in the estate of the deceased</w:t>
      </w:r>
      <w:r w:rsidR="00E751E5">
        <w:t>, without such allegation,</w:t>
      </w:r>
      <w:r w:rsidR="00477804">
        <w:t xml:space="preserve"> and that the second applicant was entitled to inherit the house which was allegedly bought by the deceased. </w:t>
      </w:r>
      <w:r w:rsidR="00063F88">
        <w:t xml:space="preserve"> </w:t>
      </w:r>
    </w:p>
    <w:p w:rsidR="006E45F7" w:rsidRDefault="00B878F6" w:rsidP="00B878F6">
      <w:pPr>
        <w:pStyle w:val="1"/>
        <w:numPr>
          <w:ilvl w:val="0"/>
          <w:numId w:val="0"/>
        </w:numPr>
        <w:tabs>
          <w:tab w:val="left" w:pos="567"/>
        </w:tabs>
        <w:ind w:left="567" w:hanging="567"/>
      </w:pPr>
      <w:r>
        <w:t>[10]</w:t>
      </w:r>
      <w:r>
        <w:tab/>
      </w:r>
      <w:r w:rsidR="00592A55">
        <w:t>It was argued on behalf of the applicants that the first applicant, as executrix, supports the transfer of the property into the name of the second applicant. This in my view is however not sufficient. It was not indicated wh</w:t>
      </w:r>
      <w:r w:rsidR="00C32BD1">
        <w:t>ether the deceased died with</w:t>
      </w:r>
      <w:r w:rsidR="00E751E5">
        <w:t xml:space="preserve"> or without</w:t>
      </w:r>
      <w:r w:rsidR="00C32BD1">
        <w:t xml:space="preserve"> a w</w:t>
      </w:r>
      <w:r w:rsidR="00E751E5">
        <w:t>ill, thus</w:t>
      </w:r>
      <w:r w:rsidR="00592A55">
        <w:t xml:space="preserve"> intestate. No allegations were made indicating that the second applicant was</w:t>
      </w:r>
      <w:r w:rsidR="00E751E5">
        <w:t xml:space="preserve"> to only</w:t>
      </w:r>
      <w:r w:rsidR="00592A55">
        <w:t xml:space="preserve"> heir of the deceased and on what possible basis she can lay claim to the property. </w:t>
      </w:r>
      <w:r w:rsidR="00E751E5">
        <w:t xml:space="preserve">In my view the second applicant has failed to show on the papers that she has the necessary </w:t>
      </w:r>
      <w:r w:rsidR="00E751E5" w:rsidRPr="00E751E5">
        <w:rPr>
          <w:i/>
        </w:rPr>
        <w:t>locus standi</w:t>
      </w:r>
      <w:r w:rsidR="00E751E5">
        <w:rPr>
          <w:i/>
        </w:rPr>
        <w:t xml:space="preserve"> </w:t>
      </w:r>
      <w:r w:rsidR="00E751E5">
        <w:t>for the relief she is seeking.</w:t>
      </w:r>
    </w:p>
    <w:p w:rsidR="003A295B" w:rsidRDefault="00B878F6" w:rsidP="00B878F6">
      <w:pPr>
        <w:pStyle w:val="1"/>
        <w:numPr>
          <w:ilvl w:val="0"/>
          <w:numId w:val="0"/>
        </w:numPr>
        <w:tabs>
          <w:tab w:val="left" w:pos="567"/>
        </w:tabs>
        <w:ind w:left="567" w:hanging="567"/>
      </w:pPr>
      <w:r>
        <w:t>[11]</w:t>
      </w:r>
      <w:r>
        <w:tab/>
      </w:r>
      <w:r w:rsidR="00592A55">
        <w:t>The further obstacle for the applicants</w:t>
      </w:r>
      <w:r w:rsidR="00E751E5">
        <w:t>,</w:t>
      </w:r>
      <w:r w:rsidR="00592A55">
        <w:t xml:space="preserve"> even if it is accepted that the first sale agreement was entered into</w:t>
      </w:r>
      <w:r w:rsidR="00482CBE">
        <w:t>, followed by a second sale</w:t>
      </w:r>
      <w:r w:rsidR="00E751E5">
        <w:t>,</w:t>
      </w:r>
      <w:r w:rsidR="00592A55">
        <w:t xml:space="preserve"> lies in the wrong application of the legal doctrine of notice as alluded to on behalf of the applicants. In terms of this doctrine, a first buyer of property remains entitled to claim transfer of this property if a second buyer, with knowledge of a previous sale continued to buy the property and transfer same into his</w:t>
      </w:r>
      <w:r w:rsidR="00E751E5">
        <w:t xml:space="preserve"> or her</w:t>
      </w:r>
      <w:r w:rsidR="00592A55">
        <w:t xml:space="preserve"> name. See in this regard </w:t>
      </w:r>
      <w:r w:rsidR="003A295B" w:rsidRPr="00592A55">
        <w:rPr>
          <w:i/>
          <w:iCs w:val="0"/>
        </w:rPr>
        <w:t xml:space="preserve">Bowring NO v Vrededorp Properties CC and Another </w:t>
      </w:r>
      <w:r w:rsidR="003A295B">
        <w:t>2007 (5) SA 391 (SCA) where it was found as follows at p 395 F-H:</w:t>
      </w:r>
    </w:p>
    <w:p w:rsidR="003A295B" w:rsidRPr="00482CBE" w:rsidRDefault="003A295B" w:rsidP="003A295B">
      <w:pPr>
        <w:pStyle w:val="Quote"/>
        <w:rPr>
          <w:i/>
          <w:shd w:val="clear" w:color="auto" w:fill="FFFFFF"/>
        </w:rPr>
      </w:pPr>
      <w:r>
        <w:t>“</w:t>
      </w:r>
      <w:r w:rsidRPr="00482CBE">
        <w:rPr>
          <w:i/>
          <w:shd w:val="clear" w:color="auto" w:fill="FFFFFF"/>
        </w:rPr>
        <w:t>[11] The legal basis advanced by Vrededorp for its claim to the blue portion is again derived from the doctrine of notice. This time it relies on the application of the doctrine in the sphere of successive sales. The usual operation of the doctrine in this instance, as explained in our case law, is essentially as follows: if a seller, A, sells a thing – be it movable or immovable – to B and subsequently sells the same thing to C, ownership is acquired, not by the earlier purchaser, but by the purchaser who first obtains transfer of the thing sold. If the first purchaser, B, is also the first transferee, his or her right is unassailable. If the second purchaser, C, is the first transferee, his or her right of ownership is equally unassailable if he or she had purchased without knowledge of the prior sale to B. But, if C had purchased with such prior knowledge, B is entitled to claim that the transfer to C be set aside so that ownership of the thing sold can be transferred to B.”</w:t>
      </w:r>
    </w:p>
    <w:p w:rsidR="003A295B" w:rsidRDefault="00B878F6" w:rsidP="00B878F6">
      <w:pPr>
        <w:pStyle w:val="1"/>
        <w:numPr>
          <w:ilvl w:val="0"/>
          <w:numId w:val="0"/>
        </w:numPr>
        <w:tabs>
          <w:tab w:val="left" w:pos="567"/>
        </w:tabs>
        <w:ind w:left="567" w:hanging="567"/>
        <w:rPr>
          <w:shd w:val="clear" w:color="auto" w:fill="FFFFFF"/>
        </w:rPr>
      </w:pPr>
      <w:r>
        <w:t>[12]</w:t>
      </w:r>
      <w:r>
        <w:tab/>
      </w:r>
      <w:r w:rsidR="003A295B">
        <w:rPr>
          <w:shd w:val="clear" w:color="auto" w:fill="FFFFFF"/>
        </w:rPr>
        <w:t xml:space="preserve">In </w:t>
      </w:r>
      <w:r w:rsidR="003A295B">
        <w:rPr>
          <w:i/>
          <w:iCs w:val="0"/>
          <w:shd w:val="clear" w:color="auto" w:fill="FFFFFF"/>
        </w:rPr>
        <w:t>Meridian</w:t>
      </w:r>
      <w:r w:rsidR="00F73644">
        <w:rPr>
          <w:i/>
          <w:iCs w:val="0"/>
          <w:shd w:val="clear" w:color="auto" w:fill="FFFFFF"/>
        </w:rPr>
        <w:t xml:space="preserve"> Bay Restaurant v Mitchell NO </w:t>
      </w:r>
      <w:r w:rsidR="00F73644">
        <w:rPr>
          <w:shd w:val="clear" w:color="auto" w:fill="FFFFFF"/>
        </w:rPr>
        <w:t>2011 (4) SA 1 (SCA) it was found that the second purchaser does not need to have actual knowledge of the fir</w:t>
      </w:r>
      <w:r w:rsidR="00482CBE">
        <w:rPr>
          <w:shd w:val="clear" w:color="auto" w:fill="FFFFFF"/>
        </w:rPr>
        <w:t>st purchaser’s prior right. I</w:t>
      </w:r>
      <w:r w:rsidR="00F73644">
        <w:rPr>
          <w:shd w:val="clear" w:color="auto" w:fill="FFFFFF"/>
        </w:rPr>
        <w:t xml:space="preserve">t would suffice that the second purchaser subjectively foresaw the </w:t>
      </w:r>
      <w:r w:rsidR="00592A55">
        <w:rPr>
          <w:shd w:val="clear" w:color="auto" w:fill="FFFFFF"/>
        </w:rPr>
        <w:t>possibility</w:t>
      </w:r>
      <w:r w:rsidR="00F73644">
        <w:rPr>
          <w:shd w:val="clear" w:color="auto" w:fill="FFFFFF"/>
        </w:rPr>
        <w:t xml:space="preserve"> of the existence of the first purchaser’s personal right</w:t>
      </w:r>
      <w:r w:rsidR="00482CBE">
        <w:rPr>
          <w:shd w:val="clear" w:color="auto" w:fill="FFFFFF"/>
        </w:rPr>
        <w:t xml:space="preserve"> to enforce a valid sale agreement</w:t>
      </w:r>
      <w:r w:rsidR="00F73644">
        <w:rPr>
          <w:shd w:val="clear" w:color="auto" w:fill="FFFFFF"/>
        </w:rPr>
        <w:t xml:space="preserve"> but proceeded with the acquisition of his purchase regardless of the consequences it may have on the prior personal right of the first purchaser. The Court found as follows at paragraph 18:</w:t>
      </w:r>
    </w:p>
    <w:p w:rsidR="00F73644" w:rsidRPr="00482CBE" w:rsidRDefault="00F73644" w:rsidP="00F73644">
      <w:pPr>
        <w:pStyle w:val="Quote"/>
        <w:rPr>
          <w:i/>
          <w:shd w:val="clear" w:color="auto" w:fill="FFFFFF"/>
        </w:rPr>
      </w:pPr>
      <w:r w:rsidRPr="00482CBE">
        <w:rPr>
          <w:i/>
          <w:shd w:val="clear" w:color="auto" w:fill="FFFFFF"/>
        </w:rPr>
        <w:t>“Thus C, the acqui</w:t>
      </w:r>
      <w:r w:rsidR="00482CBE" w:rsidRPr="00482CBE">
        <w:rPr>
          <w:i/>
          <w:shd w:val="clear" w:color="auto" w:fill="FFFFFF"/>
        </w:rPr>
        <w:t>re</w:t>
      </w:r>
      <w:r w:rsidRPr="00482CBE">
        <w:rPr>
          <w:i/>
          <w:shd w:val="clear" w:color="auto" w:fill="FFFFFF"/>
        </w:rPr>
        <w:t xml:space="preserve">r of the real right, does not need to have actual knowledge of B’s prior right. It suffices that C subjectively foresaw the </w:t>
      </w:r>
      <w:r w:rsidR="00592A55" w:rsidRPr="00482CBE">
        <w:rPr>
          <w:i/>
          <w:shd w:val="clear" w:color="auto" w:fill="FFFFFF"/>
        </w:rPr>
        <w:t>possibility</w:t>
      </w:r>
      <w:r w:rsidRPr="00482CBE">
        <w:rPr>
          <w:i/>
          <w:shd w:val="clear" w:color="auto" w:fill="FFFFFF"/>
        </w:rPr>
        <w:t xml:space="preserve"> of the existence of B’s personal</w:t>
      </w:r>
      <w:r w:rsidR="00482CBE" w:rsidRPr="00482CBE">
        <w:rPr>
          <w:i/>
          <w:shd w:val="clear" w:color="auto" w:fill="FFFFFF"/>
        </w:rPr>
        <w:t xml:space="preserve"> right</w:t>
      </w:r>
      <w:r w:rsidRPr="00482CBE">
        <w:rPr>
          <w:i/>
          <w:shd w:val="clear" w:color="auto" w:fill="FFFFFF"/>
        </w:rPr>
        <w:t xml:space="preserve"> but proceeded with the acquisition of his real right regardless of the consequences to B’s prior personal right.”</w:t>
      </w:r>
    </w:p>
    <w:p w:rsidR="00576106" w:rsidRDefault="00B878F6" w:rsidP="00B878F6">
      <w:pPr>
        <w:pStyle w:val="1"/>
        <w:numPr>
          <w:ilvl w:val="0"/>
          <w:numId w:val="0"/>
        </w:numPr>
        <w:tabs>
          <w:tab w:val="left" w:pos="567"/>
        </w:tabs>
        <w:ind w:left="567" w:hanging="567"/>
        <w:rPr>
          <w:shd w:val="clear" w:color="auto" w:fill="FFFFFF"/>
        </w:rPr>
      </w:pPr>
      <w:r>
        <w:t>[13]</w:t>
      </w:r>
      <w:r>
        <w:tab/>
      </w:r>
      <w:r w:rsidR="00F73644">
        <w:rPr>
          <w:shd w:val="clear" w:color="auto" w:fill="FFFFFF"/>
        </w:rPr>
        <w:t>According to the applicants in this matter, the only knowledge which the first respondent obtained was that he became aware that the second applicant was in occupancy of the property. There is no allegation that he in fact knew that the property was previously sold to the deceased. In my view, the first respondent could not subjectively for</w:t>
      </w:r>
      <w:r w:rsidR="00B82876">
        <w:rPr>
          <w:shd w:val="clear" w:color="auto" w:fill="FFFFFF"/>
        </w:rPr>
        <w:t>e</w:t>
      </w:r>
      <w:r w:rsidR="00F73644">
        <w:rPr>
          <w:shd w:val="clear" w:color="auto" w:fill="FFFFFF"/>
        </w:rPr>
        <w:t xml:space="preserve">see the possibility of the existence of the deceased’s </w:t>
      </w:r>
      <w:r w:rsidR="00482CBE">
        <w:rPr>
          <w:shd w:val="clear" w:color="auto" w:fill="FFFFFF"/>
        </w:rPr>
        <w:t>personal right to enforce a</w:t>
      </w:r>
      <w:r w:rsidR="00B82876">
        <w:rPr>
          <w:shd w:val="clear" w:color="auto" w:fill="FFFFFF"/>
        </w:rPr>
        <w:t xml:space="preserve"> sale agreement against the second respondent.</w:t>
      </w:r>
      <w:r w:rsidR="00482CBE">
        <w:rPr>
          <w:shd w:val="clear" w:color="auto" w:fill="FFFFFF"/>
        </w:rPr>
        <w:t xml:space="preserve"> On the probabilities one cannot imagine that the second respondent would have told the first respondent that she previously sold the property to the deceased. It is more probable that she would have told the first respondent that the second applicant was in occupation of the property in her capacity as a tenant as is alleged by the second respondent. On this basis the applicants has failed to make out a case for the relief they sought.</w:t>
      </w:r>
    </w:p>
    <w:p w:rsidR="00B82876" w:rsidRPr="00576106" w:rsidRDefault="00B878F6" w:rsidP="00B878F6">
      <w:pPr>
        <w:pStyle w:val="1"/>
        <w:numPr>
          <w:ilvl w:val="0"/>
          <w:numId w:val="0"/>
        </w:numPr>
        <w:tabs>
          <w:tab w:val="left" w:pos="567"/>
        </w:tabs>
        <w:ind w:left="567" w:hanging="567"/>
        <w:rPr>
          <w:shd w:val="clear" w:color="auto" w:fill="FFFFFF"/>
        </w:rPr>
      </w:pPr>
      <w:r w:rsidRPr="00576106">
        <w:t>[14]</w:t>
      </w:r>
      <w:r w:rsidRPr="00576106">
        <w:tab/>
      </w:r>
      <w:r w:rsidR="00B82876" w:rsidRPr="00576106">
        <w:rPr>
          <w:shd w:val="clear" w:color="auto" w:fill="FFFFFF"/>
        </w:rPr>
        <w:t>It was argued on behalf of the applicants that the first respondent should have engaged in a “</w:t>
      </w:r>
      <w:r w:rsidR="00B82876" w:rsidRPr="00576106">
        <w:rPr>
          <w:i/>
          <w:shd w:val="clear" w:color="auto" w:fill="FFFFFF"/>
        </w:rPr>
        <w:t>due diligence</w:t>
      </w:r>
      <w:r w:rsidR="00B82876" w:rsidRPr="00576106">
        <w:rPr>
          <w:shd w:val="clear" w:color="auto" w:fill="FFFFFF"/>
        </w:rPr>
        <w:t>” exercise to ascertain what the position</w:t>
      </w:r>
      <w:r w:rsidR="00576106">
        <w:rPr>
          <w:shd w:val="clear" w:color="auto" w:fill="FFFFFF"/>
        </w:rPr>
        <w:t xml:space="preserve"> was pertaining to the occupancy</w:t>
      </w:r>
      <w:r w:rsidR="00B82876" w:rsidRPr="00576106">
        <w:rPr>
          <w:shd w:val="clear" w:color="auto" w:fill="FFFFFF"/>
        </w:rPr>
        <w:t xml:space="preserve"> of the property. This in my view is not </w:t>
      </w:r>
      <w:r w:rsidR="00592A55" w:rsidRPr="00576106">
        <w:rPr>
          <w:shd w:val="clear" w:color="auto" w:fill="FFFFFF"/>
        </w:rPr>
        <w:t>required</w:t>
      </w:r>
      <w:r w:rsidR="00B82876" w:rsidRPr="00576106">
        <w:rPr>
          <w:shd w:val="clear" w:color="auto" w:fill="FFFFFF"/>
        </w:rPr>
        <w:t xml:space="preserve"> from a potential buyer. </w:t>
      </w:r>
    </w:p>
    <w:p w:rsidR="00B82876" w:rsidRDefault="00B878F6" w:rsidP="00B878F6">
      <w:pPr>
        <w:pStyle w:val="1"/>
        <w:numPr>
          <w:ilvl w:val="0"/>
          <w:numId w:val="0"/>
        </w:numPr>
        <w:tabs>
          <w:tab w:val="left" w:pos="567"/>
        </w:tabs>
        <w:ind w:left="567" w:hanging="567"/>
        <w:rPr>
          <w:shd w:val="clear" w:color="auto" w:fill="FFFFFF"/>
        </w:rPr>
      </w:pPr>
      <w:r>
        <w:t>[15]</w:t>
      </w:r>
      <w:r>
        <w:tab/>
      </w:r>
      <w:r w:rsidR="00B82876">
        <w:rPr>
          <w:shd w:val="clear" w:color="auto" w:fill="FFFFFF"/>
        </w:rPr>
        <w:t>Apart from anything else it was argued on behalf of the first and second respondents that even if the first sale agreement was concluded (which was denied), then the claim of the applicants prescribed. This, according to the respondents, could</w:t>
      </w:r>
      <w:r w:rsidR="00576106">
        <w:rPr>
          <w:shd w:val="clear" w:color="auto" w:fill="FFFFFF"/>
        </w:rPr>
        <w:t xml:space="preserve"> also</w:t>
      </w:r>
      <w:r w:rsidR="00B82876">
        <w:rPr>
          <w:shd w:val="clear" w:color="auto" w:fill="FFFFFF"/>
        </w:rPr>
        <w:t xml:space="preserve"> been decided on the papers before Court. </w:t>
      </w:r>
    </w:p>
    <w:p w:rsidR="00B82876" w:rsidRDefault="00B878F6" w:rsidP="00B878F6">
      <w:pPr>
        <w:pStyle w:val="1"/>
        <w:numPr>
          <w:ilvl w:val="0"/>
          <w:numId w:val="0"/>
        </w:numPr>
        <w:tabs>
          <w:tab w:val="left" w:pos="567"/>
        </w:tabs>
        <w:ind w:left="567" w:hanging="567"/>
        <w:rPr>
          <w:shd w:val="clear" w:color="auto" w:fill="FFFFFF"/>
        </w:rPr>
      </w:pPr>
      <w:r>
        <w:t>[16]</w:t>
      </w:r>
      <w:r>
        <w:tab/>
      </w:r>
      <w:r w:rsidR="00B82876">
        <w:rPr>
          <w:shd w:val="clear" w:color="auto" w:fill="FFFFFF"/>
        </w:rPr>
        <w:t>As stated, the alleged first sale agreement was concluded on 14 March 2000 and the final instalment was paid during November 2000. From that date onwards, the deceased became entitled to claim for the transfer of the property into her name.</w:t>
      </w:r>
    </w:p>
    <w:p w:rsidR="00B82876" w:rsidRDefault="00B878F6" w:rsidP="00B878F6">
      <w:pPr>
        <w:pStyle w:val="1"/>
        <w:numPr>
          <w:ilvl w:val="0"/>
          <w:numId w:val="0"/>
        </w:numPr>
        <w:tabs>
          <w:tab w:val="left" w:pos="567"/>
        </w:tabs>
        <w:ind w:left="567" w:hanging="567"/>
        <w:rPr>
          <w:shd w:val="clear" w:color="auto" w:fill="FFFFFF"/>
        </w:rPr>
      </w:pPr>
      <w:r>
        <w:t>[17]</w:t>
      </w:r>
      <w:r>
        <w:tab/>
      </w:r>
      <w:r w:rsidR="00B82876">
        <w:rPr>
          <w:shd w:val="clear" w:color="auto" w:fill="FFFFFF"/>
        </w:rPr>
        <w:t xml:space="preserve">A claim to transfer an immovable property into the name of another is one for the delivery of goods and constitutes a “debt” for purposes of the </w:t>
      </w:r>
      <w:r w:rsidR="00592A55">
        <w:rPr>
          <w:shd w:val="clear" w:color="auto" w:fill="FFFFFF"/>
        </w:rPr>
        <w:t>Prescription</w:t>
      </w:r>
      <w:r w:rsidR="00B82876">
        <w:rPr>
          <w:shd w:val="clear" w:color="auto" w:fill="FFFFFF"/>
        </w:rPr>
        <w:t xml:space="preserve"> Act 68 of 1969 (“</w:t>
      </w:r>
      <w:r w:rsidR="00592A55">
        <w:rPr>
          <w:shd w:val="clear" w:color="auto" w:fill="FFFFFF"/>
        </w:rPr>
        <w:t>Prescription</w:t>
      </w:r>
      <w:r w:rsidR="00B82876">
        <w:rPr>
          <w:shd w:val="clear" w:color="auto" w:fill="FFFFFF"/>
        </w:rPr>
        <w:t xml:space="preserve"> Act”).</w:t>
      </w:r>
    </w:p>
    <w:p w:rsidR="00B82876" w:rsidRDefault="00B878F6" w:rsidP="00B878F6">
      <w:pPr>
        <w:pStyle w:val="1"/>
        <w:numPr>
          <w:ilvl w:val="0"/>
          <w:numId w:val="0"/>
        </w:numPr>
        <w:tabs>
          <w:tab w:val="left" w:pos="567"/>
        </w:tabs>
        <w:ind w:left="567" w:hanging="567"/>
        <w:rPr>
          <w:shd w:val="clear" w:color="auto" w:fill="FFFFFF"/>
        </w:rPr>
      </w:pPr>
      <w:r>
        <w:t>[18]</w:t>
      </w:r>
      <w:r>
        <w:tab/>
      </w:r>
      <w:r w:rsidR="00B82876">
        <w:rPr>
          <w:shd w:val="clear" w:color="auto" w:fill="FFFFFF"/>
        </w:rPr>
        <w:t xml:space="preserve">In terms of section 11 of the Prescription Act, any claim which the deceased may have had in the transfer of the property prescribed three years after the alleged last instalment which was paid during November 2000. </w:t>
      </w:r>
    </w:p>
    <w:p w:rsidR="00B82876" w:rsidRDefault="00B878F6" w:rsidP="00B878F6">
      <w:pPr>
        <w:pStyle w:val="1"/>
        <w:numPr>
          <w:ilvl w:val="0"/>
          <w:numId w:val="0"/>
        </w:numPr>
        <w:tabs>
          <w:tab w:val="left" w:pos="567"/>
        </w:tabs>
        <w:ind w:left="567" w:hanging="567"/>
        <w:rPr>
          <w:shd w:val="clear" w:color="auto" w:fill="FFFFFF"/>
        </w:rPr>
      </w:pPr>
      <w:r>
        <w:t>[19]</w:t>
      </w:r>
      <w:r>
        <w:tab/>
      </w:r>
      <w:r w:rsidR="00592A55">
        <w:rPr>
          <w:shd w:val="clear" w:color="auto" w:fill="FFFFFF"/>
        </w:rPr>
        <w:t>Axiomatically</w:t>
      </w:r>
      <w:r w:rsidR="00B82876">
        <w:rPr>
          <w:shd w:val="clear" w:color="auto" w:fill="FFFFFF"/>
        </w:rPr>
        <w:t xml:space="preserve">, the deceased’s claim to </w:t>
      </w:r>
      <w:r w:rsidR="00592A55">
        <w:rPr>
          <w:shd w:val="clear" w:color="auto" w:fill="FFFFFF"/>
        </w:rPr>
        <w:t>ownership</w:t>
      </w:r>
      <w:r w:rsidR="00B82876">
        <w:rPr>
          <w:shd w:val="clear" w:color="auto" w:fill="FFFFFF"/>
        </w:rPr>
        <w:t xml:space="preserve"> of the property prescribed in November 2003. </w:t>
      </w:r>
      <w:r w:rsidR="00AB3D82">
        <w:rPr>
          <w:shd w:val="clear" w:color="auto" w:fill="FFFFFF"/>
        </w:rPr>
        <w:t xml:space="preserve">In </w:t>
      </w:r>
      <w:r w:rsidR="00AB3D82">
        <w:rPr>
          <w:i/>
          <w:iCs w:val="0"/>
          <w:shd w:val="clear" w:color="auto" w:fill="FFFFFF"/>
        </w:rPr>
        <w:t xml:space="preserve">eThekwini Municipality v Mounthaven (Pty) Ltd </w:t>
      </w:r>
      <w:r w:rsidR="00AB3D82">
        <w:rPr>
          <w:shd w:val="clear" w:color="auto" w:fill="FFFFFF"/>
        </w:rPr>
        <w:t>2019 (4) SA 394 (CC), it was found as follows in the Constitutional Court:</w:t>
      </w:r>
    </w:p>
    <w:p w:rsidR="00AB3D82" w:rsidRPr="00576106" w:rsidRDefault="00AB3D82" w:rsidP="00AB3D82">
      <w:pPr>
        <w:pStyle w:val="Quote"/>
        <w:ind w:left="2160" w:hanging="459"/>
        <w:rPr>
          <w:i/>
          <w:shd w:val="clear" w:color="auto" w:fill="FFFFFF"/>
        </w:rPr>
      </w:pPr>
      <w:r w:rsidRPr="00576106">
        <w:rPr>
          <w:i/>
          <w:shd w:val="clear" w:color="auto" w:fill="FFFFFF"/>
        </w:rPr>
        <w:t>“8.</w:t>
      </w:r>
      <w:r w:rsidRPr="00576106">
        <w:rPr>
          <w:i/>
          <w:shd w:val="clear" w:color="auto" w:fill="FFFFFF"/>
        </w:rPr>
        <w:tab/>
        <w:t xml:space="preserve">In terms of the dictionary meaning of ‘debt’ accepted in </w:t>
      </w:r>
      <w:r w:rsidRPr="00576106">
        <w:rPr>
          <w:i/>
          <w:iCs w:val="0"/>
          <w:shd w:val="clear" w:color="auto" w:fill="FFFFFF"/>
        </w:rPr>
        <w:t>Makate</w:t>
      </w:r>
      <w:r w:rsidRPr="00576106">
        <w:rPr>
          <w:i/>
          <w:shd w:val="clear" w:color="auto" w:fill="FFFFFF"/>
        </w:rPr>
        <w:t xml:space="preserve">, an obligation to pay money, deliver goods or render services is included under the definition and would prescribe within three years under the Prescription Act. Material or corporeal goods consist of property, </w:t>
      </w:r>
      <w:r w:rsidR="00592A55" w:rsidRPr="00576106">
        <w:rPr>
          <w:i/>
          <w:shd w:val="clear" w:color="auto" w:fill="FFFFFF"/>
        </w:rPr>
        <w:t>movable</w:t>
      </w:r>
      <w:r w:rsidRPr="00576106">
        <w:rPr>
          <w:i/>
          <w:shd w:val="clear" w:color="auto" w:fill="FFFFFF"/>
        </w:rPr>
        <w:t xml:space="preserve"> or immovable. Ownership of immovable corporeal property is transferred to </w:t>
      </w:r>
      <w:r w:rsidR="00592A55" w:rsidRPr="00576106">
        <w:rPr>
          <w:i/>
          <w:shd w:val="clear" w:color="auto" w:fill="FFFFFF"/>
        </w:rPr>
        <w:t>another</w:t>
      </w:r>
      <w:r w:rsidRPr="00576106">
        <w:rPr>
          <w:i/>
          <w:shd w:val="clear" w:color="auto" w:fill="FFFFFF"/>
        </w:rPr>
        <w:t xml:space="preserve"> by delivery, actual or deemed, of the goods. That is practically impossible in the case of immovable property like land. Hence it is an accepted principle of venerable ancestry in our law that the </w:t>
      </w:r>
      <w:r w:rsidR="00592A55" w:rsidRPr="00576106">
        <w:rPr>
          <w:i/>
          <w:shd w:val="clear" w:color="auto" w:fill="FFFFFF"/>
        </w:rPr>
        <w:t>equivalent</w:t>
      </w:r>
      <w:r w:rsidRPr="00576106">
        <w:rPr>
          <w:i/>
          <w:shd w:val="clear" w:color="auto" w:fill="FFFFFF"/>
        </w:rPr>
        <w:t xml:space="preserve"> of the delivery of movables is in a case of immovable property, registration of transfer in the Deeds Office. A claim to transfer immovable property in the name of anther is thus a claim to perform an obligation to deliver goods in the form of immovable property. It is a ‘debt’ in the dictionary sense </w:t>
      </w:r>
      <w:r w:rsidR="00592A55" w:rsidRPr="00576106">
        <w:rPr>
          <w:i/>
          <w:shd w:val="clear" w:color="auto" w:fill="FFFFFF"/>
        </w:rPr>
        <w:t>accepted</w:t>
      </w:r>
      <w:r w:rsidRPr="00576106">
        <w:rPr>
          <w:i/>
          <w:shd w:val="clear" w:color="auto" w:fill="FFFFFF"/>
        </w:rPr>
        <w:t xml:space="preserve"> in </w:t>
      </w:r>
      <w:r w:rsidRPr="00576106">
        <w:rPr>
          <w:i/>
          <w:iCs w:val="0"/>
          <w:shd w:val="clear" w:color="auto" w:fill="FFFFFF"/>
        </w:rPr>
        <w:t>Makate</w:t>
      </w:r>
      <w:r w:rsidRPr="00576106">
        <w:rPr>
          <w:i/>
          <w:shd w:val="clear" w:color="auto" w:fill="FFFFFF"/>
        </w:rPr>
        <w:t>. It really is as simple and straight forward as that.”</w:t>
      </w:r>
    </w:p>
    <w:p w:rsidR="00AB3D82" w:rsidRDefault="00B878F6" w:rsidP="00B878F6">
      <w:pPr>
        <w:pStyle w:val="1"/>
        <w:numPr>
          <w:ilvl w:val="0"/>
          <w:numId w:val="0"/>
        </w:numPr>
        <w:tabs>
          <w:tab w:val="left" w:pos="567"/>
        </w:tabs>
        <w:ind w:left="567" w:hanging="567"/>
        <w:rPr>
          <w:shd w:val="clear" w:color="auto" w:fill="FFFFFF"/>
        </w:rPr>
      </w:pPr>
      <w:r>
        <w:t>[20]</w:t>
      </w:r>
      <w:r>
        <w:tab/>
      </w:r>
      <w:r w:rsidR="00AB3D82">
        <w:rPr>
          <w:shd w:val="clear" w:color="auto" w:fill="FFFFFF"/>
        </w:rPr>
        <w:t>Consequently, the deceased’s right to obtain transfer of the property has become prescribed.</w:t>
      </w:r>
    </w:p>
    <w:p w:rsidR="00AB3D82" w:rsidRDefault="00B878F6" w:rsidP="00B878F6">
      <w:pPr>
        <w:pStyle w:val="1"/>
        <w:numPr>
          <w:ilvl w:val="0"/>
          <w:numId w:val="0"/>
        </w:numPr>
        <w:tabs>
          <w:tab w:val="left" w:pos="567"/>
        </w:tabs>
        <w:ind w:left="567" w:hanging="567"/>
        <w:rPr>
          <w:shd w:val="clear" w:color="auto" w:fill="FFFFFF"/>
        </w:rPr>
      </w:pPr>
      <w:r>
        <w:t>[21]</w:t>
      </w:r>
      <w:r>
        <w:tab/>
      </w:r>
      <w:r w:rsidR="00AB3D82">
        <w:rPr>
          <w:shd w:val="clear" w:color="auto" w:fill="FFFFFF"/>
        </w:rPr>
        <w:t>The applicants before this Court has not mad</w:t>
      </w:r>
      <w:r w:rsidR="00C15E46">
        <w:rPr>
          <w:shd w:val="clear" w:color="auto" w:fill="FFFFFF"/>
        </w:rPr>
        <w:t>e out a case, even on the</w:t>
      </w:r>
      <w:r w:rsidR="00AB3D82">
        <w:rPr>
          <w:shd w:val="clear" w:color="auto" w:fill="FFFFFF"/>
        </w:rPr>
        <w:t xml:space="preserve"> acceptance of the applicants’ allegations, that the second applicant can now claim for the cancellation of the second sale agreement, the cancellation of the transfer into the name of </w:t>
      </w:r>
      <w:r w:rsidR="00592A55">
        <w:rPr>
          <w:shd w:val="clear" w:color="auto" w:fill="FFFFFF"/>
        </w:rPr>
        <w:t xml:space="preserve">the first respondent and for the property to be transferred into the name of the second applicant. </w:t>
      </w:r>
    </w:p>
    <w:p w:rsidR="00592A55" w:rsidRDefault="00B878F6" w:rsidP="00B878F6">
      <w:pPr>
        <w:pStyle w:val="1"/>
        <w:numPr>
          <w:ilvl w:val="0"/>
          <w:numId w:val="0"/>
        </w:numPr>
        <w:tabs>
          <w:tab w:val="left" w:pos="567"/>
        </w:tabs>
        <w:ind w:left="567" w:hanging="567"/>
        <w:rPr>
          <w:shd w:val="clear" w:color="auto" w:fill="FFFFFF"/>
        </w:rPr>
      </w:pPr>
      <w:r>
        <w:t>[22]</w:t>
      </w:r>
      <w:r>
        <w:tab/>
      </w:r>
      <w:r w:rsidR="00592A55">
        <w:rPr>
          <w:shd w:val="clear" w:color="auto" w:fill="FFFFFF"/>
        </w:rPr>
        <w:t>It should be noted that the Court’s decision in this judgment does not pertain to the existence and validity of the alleged sale agreement between the deceased and the second respondent.</w:t>
      </w:r>
      <w:r w:rsidR="00576106">
        <w:rPr>
          <w:shd w:val="clear" w:color="auto" w:fill="FFFFFF"/>
        </w:rPr>
        <w:t xml:space="preserve"> It is no be noted that if the deceased and thereafter the second applicant was only tenants why was the last rent only paid during November 2000? This fact rather supports a version of an outright sale. Again, without making any decision in this regard, t</w:t>
      </w:r>
      <w:r w:rsidR="00592A55">
        <w:rPr>
          <w:shd w:val="clear" w:color="auto" w:fill="FFFFFF"/>
        </w:rPr>
        <w:t xml:space="preserve">he first applicant may have a claim </w:t>
      </w:r>
      <w:r w:rsidR="00576106">
        <w:rPr>
          <w:shd w:val="clear" w:color="auto" w:fill="FFFFFF"/>
        </w:rPr>
        <w:t xml:space="preserve">in delict </w:t>
      </w:r>
      <w:r w:rsidR="00592A55">
        <w:rPr>
          <w:shd w:val="clear" w:color="auto" w:fill="FFFFFF"/>
        </w:rPr>
        <w:t>against the second respondent should the first</w:t>
      </w:r>
      <w:r w:rsidR="00576106">
        <w:rPr>
          <w:shd w:val="clear" w:color="auto" w:fill="FFFFFF"/>
        </w:rPr>
        <w:t xml:space="preserve"> and second</w:t>
      </w:r>
      <w:r w:rsidR="00592A55">
        <w:rPr>
          <w:shd w:val="clear" w:color="auto" w:fill="FFFFFF"/>
        </w:rPr>
        <w:t xml:space="preserve"> applicant</w:t>
      </w:r>
      <w:r w:rsidR="00576106">
        <w:rPr>
          <w:shd w:val="clear" w:color="auto" w:fill="FFFFFF"/>
        </w:rPr>
        <w:t>s</w:t>
      </w:r>
      <w:r w:rsidR="00592A55">
        <w:rPr>
          <w:shd w:val="clear" w:color="auto" w:fill="FFFFFF"/>
        </w:rPr>
        <w:t xml:space="preserve"> be able to prove the validity and existence of the first</w:t>
      </w:r>
      <w:r w:rsidR="00576106">
        <w:rPr>
          <w:shd w:val="clear" w:color="auto" w:fill="FFFFFF"/>
        </w:rPr>
        <w:t xml:space="preserve"> sale</w:t>
      </w:r>
      <w:r w:rsidR="00592A55">
        <w:rPr>
          <w:shd w:val="clear" w:color="auto" w:fill="FFFFFF"/>
        </w:rPr>
        <w:t xml:space="preserve"> agreement. Prescription may very well again play a role and this Court will not pronounce on this issue in this judgment. </w:t>
      </w:r>
    </w:p>
    <w:p w:rsidR="00FC54EB" w:rsidRDefault="00B878F6" w:rsidP="00B878F6">
      <w:pPr>
        <w:pStyle w:val="1"/>
        <w:numPr>
          <w:ilvl w:val="0"/>
          <w:numId w:val="0"/>
        </w:numPr>
        <w:tabs>
          <w:tab w:val="left" w:pos="567"/>
        </w:tabs>
        <w:ind w:left="567" w:hanging="567"/>
        <w:rPr>
          <w:shd w:val="clear" w:color="auto" w:fill="FFFFFF"/>
        </w:rPr>
      </w:pPr>
      <w:r>
        <w:t>[23]</w:t>
      </w:r>
      <w:r>
        <w:tab/>
      </w:r>
      <w:r w:rsidR="00576106">
        <w:rPr>
          <w:shd w:val="clear" w:color="auto" w:fill="FFFFFF"/>
        </w:rPr>
        <w:t xml:space="preserve">In summary, the applicants have failed to make out a case on the undisputed and common cause facts of the matter. The application could be decided on the </w:t>
      </w:r>
      <w:r w:rsidR="00CA6DB3">
        <w:rPr>
          <w:shd w:val="clear" w:color="auto" w:fill="FFFFFF"/>
        </w:rPr>
        <w:t>papers and there was no need for the referral of the</w:t>
      </w:r>
      <w:r w:rsidR="00FC54EB">
        <w:rPr>
          <w:shd w:val="clear" w:color="auto" w:fill="FFFFFF"/>
        </w:rPr>
        <w:t xml:space="preserve"> matter to trial. Moreover, the applicants must have foreseen the factual dispute considering prior corr</w:t>
      </w:r>
      <w:r w:rsidR="00CA6DB3">
        <w:rPr>
          <w:shd w:val="clear" w:color="auto" w:fill="FFFFFF"/>
        </w:rPr>
        <w:t>espondence between the parties.</w:t>
      </w:r>
    </w:p>
    <w:p w:rsidR="00592A55" w:rsidRDefault="00B878F6" w:rsidP="00B878F6">
      <w:pPr>
        <w:pStyle w:val="1"/>
        <w:numPr>
          <w:ilvl w:val="0"/>
          <w:numId w:val="0"/>
        </w:numPr>
        <w:tabs>
          <w:tab w:val="left" w:pos="567"/>
        </w:tabs>
        <w:ind w:left="567" w:hanging="567"/>
        <w:rPr>
          <w:shd w:val="clear" w:color="auto" w:fill="FFFFFF"/>
        </w:rPr>
      </w:pPr>
      <w:r>
        <w:t>[24]</w:t>
      </w:r>
      <w:r>
        <w:tab/>
      </w:r>
      <w:r w:rsidR="00592A55">
        <w:rPr>
          <w:shd w:val="clear" w:color="auto" w:fill="FFFFFF"/>
        </w:rPr>
        <w:t>Consequently, the applic</w:t>
      </w:r>
      <w:r w:rsidR="00C662ED">
        <w:rPr>
          <w:shd w:val="clear" w:color="auto" w:fill="FFFFFF"/>
        </w:rPr>
        <w:t xml:space="preserve">ation </w:t>
      </w:r>
      <w:r w:rsidR="00592A55">
        <w:rPr>
          <w:shd w:val="clear" w:color="auto" w:fill="FFFFFF"/>
        </w:rPr>
        <w:t>is dismissed with costs.</w:t>
      </w:r>
    </w:p>
    <w:p w:rsidR="004B6D43" w:rsidRDefault="004B6D43" w:rsidP="004B6D43">
      <w:pPr>
        <w:pStyle w:val="1"/>
        <w:numPr>
          <w:ilvl w:val="0"/>
          <w:numId w:val="0"/>
        </w:numPr>
        <w:ind w:left="567"/>
        <w:rPr>
          <w:shd w:val="clear" w:color="auto" w:fill="FFFFFF"/>
        </w:rPr>
      </w:pPr>
    </w:p>
    <w:p w:rsidR="00035533" w:rsidRPr="001221D6" w:rsidRDefault="00035533" w:rsidP="00035533">
      <w:pPr>
        <w:spacing w:line="360" w:lineRule="auto"/>
        <w:ind w:left="720"/>
        <w:jc w:val="right"/>
        <w:rPr>
          <w:rFonts w:eastAsia="Calibri" w:cs="Arial"/>
          <w:lang w:val="en-US"/>
        </w:rPr>
      </w:pPr>
      <w:r w:rsidRPr="001221D6">
        <w:rPr>
          <w:rFonts w:eastAsia="Calibri" w:cs="Arial"/>
          <w:lang w:val="en-US"/>
        </w:rPr>
        <w:t>_________________________</w:t>
      </w:r>
    </w:p>
    <w:p w:rsidR="00035533" w:rsidRPr="001221D6" w:rsidRDefault="00035533" w:rsidP="00035533">
      <w:pPr>
        <w:spacing w:line="360" w:lineRule="auto"/>
        <w:contextualSpacing/>
        <w:jc w:val="right"/>
        <w:rPr>
          <w:rFonts w:eastAsia="Calibri" w:cs="Arial"/>
          <w:b/>
          <w:lang w:val="en-ZA"/>
        </w:rPr>
      </w:pPr>
      <w:r w:rsidRPr="001221D6">
        <w:rPr>
          <w:rFonts w:eastAsia="Calibri" w:cs="Arial"/>
          <w:b/>
          <w:lang w:val="en-ZA"/>
        </w:rPr>
        <w:t>RÉAN STRYDOM</w:t>
      </w:r>
    </w:p>
    <w:p w:rsidR="00035533" w:rsidRPr="001221D6" w:rsidRDefault="00035533" w:rsidP="00035533">
      <w:pPr>
        <w:spacing w:line="360" w:lineRule="auto"/>
        <w:contextualSpacing/>
        <w:jc w:val="right"/>
        <w:rPr>
          <w:rFonts w:eastAsia="Calibri" w:cs="Arial"/>
          <w:b/>
          <w:lang w:val="en-ZA"/>
        </w:rPr>
      </w:pPr>
      <w:r w:rsidRPr="001221D6">
        <w:rPr>
          <w:rFonts w:eastAsia="Calibri" w:cs="Arial"/>
          <w:b/>
          <w:lang w:val="en-ZA"/>
        </w:rPr>
        <w:t>JUDGE OF THE HIGH COURT</w:t>
      </w:r>
    </w:p>
    <w:p w:rsidR="00035533" w:rsidRPr="001221D6" w:rsidRDefault="00035533" w:rsidP="00035533">
      <w:pPr>
        <w:spacing w:line="360" w:lineRule="auto"/>
        <w:contextualSpacing/>
        <w:jc w:val="right"/>
        <w:rPr>
          <w:rFonts w:eastAsia="Calibri" w:cs="Arial"/>
          <w:b/>
          <w:lang w:val="en-ZA"/>
        </w:rPr>
      </w:pPr>
      <w:r w:rsidRPr="001221D6">
        <w:rPr>
          <w:rFonts w:eastAsia="Calibri" w:cs="Arial"/>
          <w:b/>
          <w:lang w:val="en-ZA"/>
        </w:rPr>
        <w:t>GAUTENG LOCAL DIVISION OF THE HIGH COURT</w:t>
      </w:r>
    </w:p>
    <w:p w:rsidR="00035533" w:rsidRPr="001221D6" w:rsidRDefault="00035533" w:rsidP="00035533">
      <w:pPr>
        <w:spacing w:line="360" w:lineRule="auto"/>
        <w:contextualSpacing/>
        <w:jc w:val="right"/>
        <w:rPr>
          <w:rFonts w:eastAsia="Calibri" w:cs="Arial"/>
          <w:b/>
          <w:lang w:val="en-ZA"/>
        </w:rPr>
      </w:pPr>
      <w:r w:rsidRPr="001221D6">
        <w:rPr>
          <w:rFonts w:eastAsia="Calibri" w:cs="Arial"/>
          <w:b/>
          <w:lang w:val="en-ZA"/>
        </w:rPr>
        <w:t xml:space="preserve"> JOHANNESBURG</w:t>
      </w:r>
    </w:p>
    <w:p w:rsidR="00035533" w:rsidRDefault="00035533" w:rsidP="00035533">
      <w:pPr>
        <w:tabs>
          <w:tab w:val="right" w:pos="0"/>
        </w:tabs>
        <w:suppressAutoHyphens/>
        <w:spacing w:line="360" w:lineRule="auto"/>
        <w:contextualSpacing/>
        <w:jc w:val="left"/>
        <w:rPr>
          <w:rFonts w:eastAsia="Arial Unicode MS" w:cs="Arial"/>
          <w:b/>
          <w:u w:color="000000"/>
          <w:lang w:val="en-US" w:eastAsia="en-ZA"/>
        </w:rPr>
      </w:pPr>
    </w:p>
    <w:p w:rsidR="00035533" w:rsidRPr="00F84603" w:rsidRDefault="00035533" w:rsidP="00035533">
      <w:pPr>
        <w:tabs>
          <w:tab w:val="right" w:pos="0"/>
        </w:tabs>
        <w:suppressAutoHyphens/>
        <w:spacing w:line="360" w:lineRule="auto"/>
        <w:contextualSpacing/>
        <w:jc w:val="left"/>
        <w:rPr>
          <w:rFonts w:eastAsia="Arial Unicode MS" w:cs="Arial"/>
          <w:u w:color="000000"/>
          <w:lang w:val="en-US" w:eastAsia="en-ZA"/>
        </w:rPr>
      </w:pPr>
      <w:r w:rsidRPr="00F84603">
        <w:rPr>
          <w:rFonts w:eastAsia="Arial Unicode MS" w:cs="Arial"/>
          <w:u w:color="000000"/>
          <w:lang w:val="en-US" w:eastAsia="en-ZA"/>
        </w:rPr>
        <w:t>Date of Hearing:</w:t>
      </w:r>
      <w:r w:rsidRPr="00F84603">
        <w:rPr>
          <w:rFonts w:eastAsia="Arial Unicode MS" w:cs="Arial"/>
          <w:u w:color="000000"/>
          <w:lang w:val="en-US" w:eastAsia="en-ZA"/>
        </w:rPr>
        <w:tab/>
      </w:r>
      <w:r>
        <w:rPr>
          <w:rFonts w:eastAsia="Arial Unicode MS" w:cs="Arial"/>
          <w:b/>
          <w:u w:color="000000"/>
          <w:lang w:val="en-US" w:eastAsia="en-ZA"/>
        </w:rPr>
        <w:tab/>
      </w:r>
      <w:r>
        <w:rPr>
          <w:rFonts w:eastAsia="Arial Unicode MS" w:cs="Arial"/>
          <w:b/>
          <w:u w:color="000000"/>
          <w:lang w:val="en-US" w:eastAsia="en-ZA"/>
        </w:rPr>
        <w:tab/>
      </w:r>
      <w:r w:rsidR="0066337E" w:rsidRPr="0066337E">
        <w:rPr>
          <w:rFonts w:eastAsia="Arial Unicode MS" w:cs="Arial"/>
          <w:u w:color="000000"/>
          <w:lang w:val="en-US" w:eastAsia="en-ZA"/>
        </w:rPr>
        <w:t>10</w:t>
      </w:r>
      <w:r w:rsidRPr="0066337E">
        <w:rPr>
          <w:rFonts w:eastAsia="Arial Unicode MS" w:cs="Arial"/>
          <w:u w:color="000000"/>
          <w:lang w:val="en-US" w:eastAsia="en-ZA"/>
        </w:rPr>
        <w:t xml:space="preserve"> </w:t>
      </w:r>
      <w:r w:rsidRPr="00F84603">
        <w:rPr>
          <w:rFonts w:eastAsia="Arial Unicode MS" w:cs="Arial"/>
          <w:u w:color="000000"/>
          <w:lang w:val="en-US" w:eastAsia="en-ZA"/>
        </w:rPr>
        <w:t>March 2022</w:t>
      </w:r>
    </w:p>
    <w:p w:rsidR="00035533" w:rsidRDefault="00035533" w:rsidP="00035533">
      <w:pPr>
        <w:tabs>
          <w:tab w:val="right" w:pos="0"/>
        </w:tabs>
        <w:suppressAutoHyphens/>
        <w:spacing w:line="360" w:lineRule="auto"/>
        <w:contextualSpacing/>
        <w:jc w:val="left"/>
        <w:rPr>
          <w:rFonts w:eastAsia="Arial Unicode MS" w:cs="Arial"/>
          <w:u w:color="000000"/>
          <w:lang w:val="en-US" w:eastAsia="en-ZA"/>
        </w:rPr>
      </w:pPr>
      <w:r>
        <w:rPr>
          <w:rFonts w:eastAsia="Arial Unicode MS" w:cs="Arial"/>
          <w:u w:color="000000"/>
          <w:lang w:val="en-US" w:eastAsia="en-ZA"/>
        </w:rPr>
        <w:t>Date of Judgment:</w:t>
      </w:r>
      <w:r>
        <w:rPr>
          <w:rFonts w:eastAsia="Arial Unicode MS" w:cs="Arial"/>
          <w:u w:color="000000"/>
          <w:lang w:val="en-US" w:eastAsia="en-ZA"/>
        </w:rPr>
        <w:tab/>
      </w:r>
      <w:r>
        <w:rPr>
          <w:rFonts w:eastAsia="Arial Unicode MS" w:cs="Arial"/>
          <w:u w:color="000000"/>
          <w:lang w:val="en-US" w:eastAsia="en-ZA"/>
        </w:rPr>
        <w:tab/>
      </w:r>
      <w:r>
        <w:rPr>
          <w:rFonts w:eastAsia="Arial Unicode MS" w:cs="Arial"/>
          <w:u w:color="000000"/>
          <w:lang w:val="en-US" w:eastAsia="en-ZA"/>
        </w:rPr>
        <w:tab/>
        <w:t>25</w:t>
      </w:r>
      <w:r w:rsidRPr="00F84603">
        <w:rPr>
          <w:rFonts w:eastAsia="Arial Unicode MS" w:cs="Arial"/>
          <w:u w:color="000000"/>
          <w:lang w:val="en-US" w:eastAsia="en-ZA"/>
        </w:rPr>
        <w:t xml:space="preserve"> March 2022</w:t>
      </w:r>
    </w:p>
    <w:p w:rsidR="0066337E" w:rsidRDefault="0066337E" w:rsidP="00035533">
      <w:pPr>
        <w:tabs>
          <w:tab w:val="right" w:pos="0"/>
        </w:tabs>
        <w:suppressAutoHyphens/>
        <w:spacing w:line="360" w:lineRule="auto"/>
        <w:contextualSpacing/>
        <w:jc w:val="left"/>
        <w:rPr>
          <w:rFonts w:eastAsia="Arial Unicode MS" w:cs="Arial"/>
          <w:u w:color="000000"/>
          <w:lang w:val="en-US" w:eastAsia="en-ZA"/>
        </w:rPr>
      </w:pPr>
    </w:p>
    <w:p w:rsidR="0066337E" w:rsidRPr="001221D6" w:rsidRDefault="0066337E" w:rsidP="0066337E">
      <w:pPr>
        <w:tabs>
          <w:tab w:val="right" w:pos="0"/>
        </w:tabs>
        <w:suppressAutoHyphens/>
        <w:spacing w:line="360" w:lineRule="auto"/>
        <w:contextualSpacing/>
        <w:jc w:val="left"/>
        <w:rPr>
          <w:rFonts w:eastAsia="Arial Unicode MS" w:cs="Arial"/>
          <w:b/>
          <w:u w:color="000000"/>
          <w:lang w:val="en-US" w:eastAsia="en-ZA"/>
        </w:rPr>
      </w:pPr>
      <w:r w:rsidRPr="001221D6">
        <w:rPr>
          <w:rFonts w:eastAsia="Arial Unicode MS" w:cs="Arial"/>
          <w:b/>
          <w:u w:color="000000"/>
          <w:lang w:val="en-US" w:eastAsia="en-ZA"/>
        </w:rPr>
        <w:t>APPEARANCES</w:t>
      </w:r>
    </w:p>
    <w:p w:rsidR="0066337E" w:rsidRDefault="0066337E" w:rsidP="0066337E">
      <w:pPr>
        <w:widowControl w:val="0"/>
        <w:pBdr>
          <w:top w:val="nil"/>
          <w:left w:val="nil"/>
          <w:bottom w:val="nil"/>
          <w:right w:val="nil"/>
          <w:between w:val="nil"/>
          <w:bar w:val="nil"/>
        </w:pBdr>
        <w:spacing w:line="360" w:lineRule="auto"/>
        <w:rPr>
          <w:rFonts w:eastAsia="Arial Unicode MS" w:cs="Arial"/>
          <w:color w:val="000000"/>
          <w:u w:color="000000"/>
          <w:bdr w:val="nil"/>
          <w:lang w:val="en-US"/>
        </w:rPr>
      </w:pPr>
      <w:r w:rsidRPr="001221D6">
        <w:rPr>
          <w:rFonts w:eastAsia="Arial Unicode MS" w:cs="Arial"/>
          <w:color w:val="000000"/>
          <w:u w:color="000000"/>
          <w:bdr w:val="nil"/>
          <w:lang w:val="en-US"/>
        </w:rPr>
        <w:t xml:space="preserve">For the </w:t>
      </w:r>
      <w:r>
        <w:rPr>
          <w:rFonts w:eastAsia="Arial Unicode MS" w:cs="Arial"/>
          <w:color w:val="000000"/>
          <w:u w:color="000000"/>
          <w:bdr w:val="nil"/>
          <w:lang w:val="en-US"/>
        </w:rPr>
        <w:t>Applicant</w:t>
      </w:r>
      <w:r w:rsidRPr="001221D6">
        <w:rPr>
          <w:rFonts w:eastAsia="Arial Unicode MS" w:cs="Arial"/>
          <w:color w:val="000000"/>
          <w:u w:color="000000"/>
          <w:bdr w:val="nil"/>
          <w:lang w:val="en-US"/>
        </w:rPr>
        <w:t xml:space="preserve">: </w:t>
      </w:r>
      <w:r w:rsidRPr="001221D6">
        <w:rPr>
          <w:rFonts w:eastAsia="Arial Unicode MS" w:cs="Arial"/>
          <w:color w:val="000000"/>
          <w:u w:color="000000"/>
          <w:bdr w:val="nil"/>
          <w:lang w:val="en-US"/>
        </w:rPr>
        <w:tab/>
      </w:r>
      <w:r w:rsidRPr="001221D6">
        <w:rPr>
          <w:rFonts w:eastAsia="Arial Unicode MS" w:cs="Arial"/>
          <w:color w:val="000000"/>
          <w:u w:color="000000"/>
          <w:bdr w:val="nil"/>
          <w:lang w:val="en-US"/>
        </w:rPr>
        <w:tab/>
      </w:r>
      <w:r w:rsidRPr="001221D6">
        <w:rPr>
          <w:rFonts w:eastAsia="Arial Unicode MS" w:cs="Arial"/>
          <w:color w:val="000000"/>
          <w:u w:color="000000"/>
          <w:bdr w:val="nil"/>
          <w:lang w:val="en-US"/>
        </w:rPr>
        <w:tab/>
      </w:r>
      <w:r w:rsidRPr="00F117D9">
        <w:rPr>
          <w:rFonts w:eastAsia="Arial Unicode MS" w:cs="Arial"/>
          <w:color w:val="000000"/>
          <w:u w:color="000000"/>
          <w:bdr w:val="nil"/>
          <w:lang w:val="en-US"/>
        </w:rPr>
        <w:t>Mr. Mthenjwa David Hlatshwayo</w:t>
      </w:r>
    </w:p>
    <w:p w:rsidR="0066337E" w:rsidRPr="001221D6" w:rsidRDefault="0066337E" w:rsidP="0066337E">
      <w:pPr>
        <w:widowControl w:val="0"/>
        <w:pBdr>
          <w:top w:val="nil"/>
          <w:left w:val="nil"/>
          <w:bottom w:val="nil"/>
          <w:right w:val="nil"/>
          <w:between w:val="nil"/>
          <w:bar w:val="nil"/>
        </w:pBdr>
        <w:spacing w:line="360" w:lineRule="auto"/>
        <w:rPr>
          <w:rFonts w:eastAsia="Arial Unicode MS" w:cs="Arial"/>
          <w:color w:val="000000"/>
          <w:u w:color="000000"/>
          <w:bdr w:val="nil"/>
          <w:lang w:val="en-US"/>
        </w:rPr>
      </w:pPr>
      <w:r w:rsidRPr="001221D6">
        <w:rPr>
          <w:rFonts w:eastAsia="Arial Unicode MS" w:cs="Arial"/>
          <w:color w:val="000000"/>
          <w:u w:color="000000"/>
          <w:bdr w:val="nil"/>
          <w:lang w:val="en-US"/>
        </w:rPr>
        <w:t xml:space="preserve">Instructed by: </w:t>
      </w:r>
      <w:r w:rsidRPr="001221D6">
        <w:rPr>
          <w:rFonts w:eastAsia="Arial Unicode MS" w:cs="Arial"/>
          <w:color w:val="000000"/>
          <w:u w:color="000000"/>
          <w:bdr w:val="nil"/>
          <w:lang w:val="en-US"/>
        </w:rPr>
        <w:tab/>
      </w:r>
      <w:r w:rsidRPr="001221D6">
        <w:rPr>
          <w:rFonts w:eastAsia="Arial Unicode MS" w:cs="Arial"/>
          <w:color w:val="000000"/>
          <w:u w:color="000000"/>
          <w:bdr w:val="nil"/>
          <w:lang w:val="en-US"/>
        </w:rPr>
        <w:tab/>
      </w:r>
      <w:r w:rsidRPr="001221D6">
        <w:rPr>
          <w:rFonts w:eastAsia="Arial Unicode MS" w:cs="Arial"/>
          <w:color w:val="000000"/>
          <w:u w:color="000000"/>
          <w:bdr w:val="nil"/>
          <w:lang w:val="en-US"/>
        </w:rPr>
        <w:tab/>
      </w:r>
      <w:r w:rsidRPr="00F117D9">
        <w:rPr>
          <w:rFonts w:eastAsia="Arial Unicode MS" w:cs="Arial"/>
          <w:color w:val="000000"/>
          <w:u w:color="000000"/>
          <w:bdr w:val="nil"/>
          <w:lang w:val="en-US"/>
        </w:rPr>
        <w:t>Hlatshwayo — Mhayise Inc.</w:t>
      </w:r>
      <w:r w:rsidRPr="001221D6">
        <w:rPr>
          <w:rFonts w:eastAsia="Arial Unicode MS" w:cs="Arial"/>
          <w:color w:val="000000"/>
          <w:u w:color="000000"/>
          <w:bdr w:val="nil"/>
          <w:lang w:val="en-US"/>
        </w:rPr>
        <w:tab/>
      </w:r>
      <w:r w:rsidRPr="001221D6">
        <w:rPr>
          <w:rFonts w:eastAsia="Arial Unicode MS" w:cs="Arial"/>
          <w:color w:val="000000"/>
          <w:u w:color="000000"/>
          <w:bdr w:val="nil"/>
          <w:lang w:val="en-US"/>
        </w:rPr>
        <w:tab/>
      </w:r>
      <w:r w:rsidRPr="001221D6">
        <w:rPr>
          <w:rFonts w:eastAsia="Arial Unicode MS" w:cs="Arial"/>
          <w:color w:val="000000"/>
          <w:u w:color="000000"/>
          <w:bdr w:val="nil"/>
          <w:lang w:val="en-US"/>
        </w:rPr>
        <w:tab/>
      </w:r>
      <w:r w:rsidRPr="001221D6">
        <w:rPr>
          <w:rFonts w:eastAsia="Arial Unicode MS" w:cs="Arial"/>
          <w:color w:val="000000"/>
          <w:u w:color="000000"/>
          <w:bdr w:val="nil"/>
          <w:lang w:val="en-US"/>
        </w:rPr>
        <w:tab/>
      </w:r>
      <w:r w:rsidRPr="001221D6">
        <w:rPr>
          <w:rFonts w:eastAsia="Arial Unicode MS" w:cs="Arial"/>
          <w:color w:val="000000"/>
          <w:u w:color="000000"/>
          <w:bdr w:val="nil"/>
          <w:lang w:val="en-US"/>
        </w:rPr>
        <w:tab/>
      </w:r>
      <w:r w:rsidRPr="001221D6">
        <w:rPr>
          <w:rFonts w:eastAsia="Arial Unicode MS" w:cs="Arial"/>
          <w:color w:val="000000"/>
          <w:u w:color="000000"/>
          <w:bdr w:val="nil"/>
          <w:lang w:val="en-US"/>
        </w:rPr>
        <w:tab/>
      </w:r>
      <w:r w:rsidRPr="001221D6">
        <w:rPr>
          <w:rFonts w:eastAsia="Arial Unicode MS" w:cs="Arial"/>
          <w:color w:val="000000"/>
          <w:u w:color="000000"/>
          <w:bdr w:val="nil"/>
          <w:lang w:val="en-US"/>
        </w:rPr>
        <w:tab/>
      </w:r>
    </w:p>
    <w:p w:rsidR="0066337E" w:rsidRDefault="0066337E" w:rsidP="0066337E">
      <w:pPr>
        <w:widowControl w:val="0"/>
        <w:pBdr>
          <w:top w:val="nil"/>
          <w:left w:val="nil"/>
          <w:bottom w:val="nil"/>
          <w:right w:val="nil"/>
          <w:between w:val="nil"/>
          <w:bar w:val="nil"/>
        </w:pBdr>
        <w:spacing w:line="360" w:lineRule="auto"/>
        <w:rPr>
          <w:rFonts w:eastAsia="Arial Unicode MS" w:cs="Arial"/>
          <w:color w:val="000000"/>
          <w:u w:color="000000"/>
          <w:bdr w:val="nil"/>
          <w:lang w:val="en-US"/>
        </w:rPr>
      </w:pPr>
      <w:r w:rsidRPr="001221D6">
        <w:rPr>
          <w:rFonts w:eastAsia="Arial Unicode MS" w:cs="Arial"/>
          <w:color w:val="000000"/>
          <w:u w:color="000000"/>
          <w:bdr w:val="nil"/>
          <w:lang w:val="en-US"/>
        </w:rPr>
        <w:t xml:space="preserve">For the </w:t>
      </w:r>
      <w:r>
        <w:rPr>
          <w:rFonts w:eastAsia="Arial Unicode MS" w:cs="Arial"/>
          <w:color w:val="000000"/>
          <w:u w:color="000000"/>
          <w:bdr w:val="nil"/>
          <w:lang w:val="en-US"/>
        </w:rPr>
        <w:t>1</w:t>
      </w:r>
      <w:r w:rsidRPr="00F84603">
        <w:rPr>
          <w:rFonts w:eastAsia="Arial Unicode MS" w:cs="Arial"/>
          <w:color w:val="000000"/>
          <w:u w:color="000000"/>
          <w:bdr w:val="nil"/>
          <w:vertAlign w:val="superscript"/>
          <w:lang w:val="en-US"/>
        </w:rPr>
        <w:t>st</w:t>
      </w:r>
      <w:r>
        <w:rPr>
          <w:rFonts w:eastAsia="Arial Unicode MS" w:cs="Arial"/>
          <w:color w:val="000000"/>
          <w:u w:color="000000"/>
          <w:bdr w:val="nil"/>
          <w:lang w:val="en-US"/>
        </w:rPr>
        <w:t xml:space="preserve"> Respondent</w:t>
      </w:r>
      <w:r w:rsidRPr="001221D6">
        <w:rPr>
          <w:rFonts w:eastAsia="Arial Unicode MS" w:cs="Arial"/>
          <w:color w:val="000000"/>
          <w:u w:color="000000"/>
          <w:bdr w:val="nil"/>
          <w:lang w:val="en-US"/>
        </w:rPr>
        <w:t>:</w:t>
      </w:r>
      <w:r>
        <w:rPr>
          <w:rFonts w:eastAsia="Arial Unicode MS" w:cs="Arial"/>
          <w:color w:val="000000"/>
          <w:u w:color="000000"/>
          <w:bdr w:val="nil"/>
          <w:lang w:val="en-US"/>
        </w:rPr>
        <w:tab/>
      </w:r>
      <w:r>
        <w:rPr>
          <w:rFonts w:eastAsia="Arial Unicode MS" w:cs="Arial"/>
          <w:color w:val="000000"/>
          <w:u w:color="000000"/>
          <w:bdr w:val="nil"/>
          <w:lang w:val="en-US"/>
        </w:rPr>
        <w:tab/>
      </w:r>
      <w:r w:rsidRPr="0066337E">
        <w:rPr>
          <w:rFonts w:eastAsia="Arial Unicode MS" w:cs="Arial"/>
          <w:color w:val="000000"/>
          <w:u w:color="000000"/>
          <w:bdr w:val="nil"/>
          <w:lang w:val="en-US"/>
        </w:rPr>
        <w:t>Adv. W F Wannenburg</w:t>
      </w:r>
    </w:p>
    <w:p w:rsidR="0066337E" w:rsidRDefault="0066337E" w:rsidP="0066337E">
      <w:pPr>
        <w:widowControl w:val="0"/>
        <w:pBdr>
          <w:top w:val="nil"/>
          <w:left w:val="nil"/>
          <w:bottom w:val="nil"/>
          <w:right w:val="nil"/>
          <w:between w:val="nil"/>
          <w:bar w:val="nil"/>
        </w:pBdr>
        <w:spacing w:line="360" w:lineRule="auto"/>
        <w:rPr>
          <w:rFonts w:eastAsia="Arial Unicode MS" w:cs="Arial"/>
          <w:color w:val="000000"/>
          <w:u w:color="000000"/>
          <w:bdr w:val="nil"/>
          <w:lang w:val="en-US"/>
        </w:rPr>
      </w:pPr>
      <w:r>
        <w:rPr>
          <w:rFonts w:eastAsia="Arial Unicode MS" w:cs="Arial"/>
          <w:color w:val="000000"/>
          <w:u w:color="000000"/>
          <w:bdr w:val="nil"/>
          <w:lang w:val="en-US"/>
        </w:rPr>
        <w:t>Instructed by:</w:t>
      </w:r>
      <w:r>
        <w:rPr>
          <w:rFonts w:eastAsia="Arial Unicode MS" w:cs="Arial"/>
          <w:color w:val="000000"/>
          <w:u w:color="000000"/>
          <w:bdr w:val="nil"/>
          <w:lang w:val="en-US"/>
        </w:rPr>
        <w:tab/>
      </w:r>
      <w:r>
        <w:rPr>
          <w:rFonts w:eastAsia="Arial Unicode MS" w:cs="Arial"/>
          <w:color w:val="000000"/>
          <w:u w:color="000000"/>
          <w:bdr w:val="nil"/>
          <w:lang w:val="en-US"/>
        </w:rPr>
        <w:tab/>
      </w:r>
      <w:r>
        <w:rPr>
          <w:rFonts w:eastAsia="Arial Unicode MS" w:cs="Arial"/>
          <w:color w:val="000000"/>
          <w:u w:color="000000"/>
          <w:bdr w:val="nil"/>
          <w:lang w:val="en-US"/>
        </w:rPr>
        <w:tab/>
      </w:r>
      <w:r w:rsidRPr="0066337E">
        <w:rPr>
          <w:rFonts w:eastAsia="Arial Unicode MS" w:cs="Arial"/>
          <w:color w:val="000000"/>
          <w:u w:color="000000"/>
          <w:bdr w:val="nil"/>
          <w:lang w:val="en-US"/>
        </w:rPr>
        <w:t>L</w:t>
      </w:r>
      <w:r>
        <w:rPr>
          <w:rFonts w:eastAsia="Arial Unicode MS" w:cs="Arial"/>
          <w:color w:val="000000"/>
          <w:u w:color="000000"/>
          <w:bdr w:val="nil"/>
          <w:lang w:val="en-US"/>
        </w:rPr>
        <w:t>awrence Melato Inc.</w:t>
      </w:r>
    </w:p>
    <w:p w:rsidR="0066337E" w:rsidRDefault="0066337E" w:rsidP="0066337E">
      <w:pPr>
        <w:widowControl w:val="0"/>
        <w:pBdr>
          <w:top w:val="nil"/>
          <w:left w:val="nil"/>
          <w:bottom w:val="nil"/>
          <w:right w:val="nil"/>
          <w:between w:val="nil"/>
          <w:bar w:val="nil"/>
        </w:pBdr>
        <w:spacing w:line="360" w:lineRule="auto"/>
        <w:rPr>
          <w:rFonts w:eastAsia="Arial Unicode MS" w:cs="Arial"/>
          <w:color w:val="000000"/>
          <w:u w:color="000000"/>
          <w:bdr w:val="nil"/>
          <w:lang w:val="en-US"/>
        </w:rPr>
      </w:pPr>
      <w:r w:rsidRPr="001221D6">
        <w:rPr>
          <w:rFonts w:eastAsia="Arial Unicode MS" w:cs="Arial"/>
          <w:color w:val="000000"/>
          <w:u w:color="000000"/>
          <w:bdr w:val="nil"/>
          <w:lang w:val="en-US"/>
        </w:rPr>
        <w:tab/>
      </w:r>
      <w:r>
        <w:rPr>
          <w:rFonts w:eastAsia="Arial Unicode MS" w:cs="Arial"/>
          <w:color w:val="000000"/>
          <w:u w:color="000000"/>
          <w:bdr w:val="nil"/>
          <w:lang w:val="en-US"/>
        </w:rPr>
        <w:tab/>
      </w:r>
    </w:p>
    <w:p w:rsidR="0066337E" w:rsidRPr="001221D6" w:rsidRDefault="0066337E" w:rsidP="0066337E">
      <w:pPr>
        <w:widowControl w:val="0"/>
        <w:pBdr>
          <w:top w:val="nil"/>
          <w:left w:val="nil"/>
          <w:bottom w:val="nil"/>
          <w:right w:val="nil"/>
          <w:between w:val="nil"/>
          <w:bar w:val="nil"/>
        </w:pBdr>
        <w:spacing w:line="360" w:lineRule="auto"/>
        <w:rPr>
          <w:rFonts w:eastAsia="Arial Unicode MS" w:cs="Arial"/>
          <w:color w:val="000000"/>
          <w:u w:color="000000"/>
          <w:bdr w:val="nil"/>
          <w:lang w:val="en-US"/>
        </w:rPr>
      </w:pPr>
      <w:r>
        <w:rPr>
          <w:rFonts w:eastAsia="Arial Unicode MS" w:cs="Arial"/>
          <w:color w:val="000000"/>
          <w:u w:color="000000"/>
          <w:bdr w:val="nil"/>
          <w:lang w:val="en-US"/>
        </w:rPr>
        <w:t>For the 2</w:t>
      </w:r>
      <w:r w:rsidRPr="00F84603">
        <w:rPr>
          <w:rFonts w:eastAsia="Arial Unicode MS" w:cs="Arial"/>
          <w:color w:val="000000"/>
          <w:u w:color="000000"/>
          <w:bdr w:val="nil"/>
          <w:vertAlign w:val="superscript"/>
          <w:lang w:val="en-US"/>
        </w:rPr>
        <w:t>nd</w:t>
      </w:r>
      <w:r>
        <w:rPr>
          <w:rFonts w:eastAsia="Arial Unicode MS" w:cs="Arial"/>
          <w:color w:val="000000"/>
          <w:u w:color="000000"/>
          <w:bdr w:val="nil"/>
          <w:lang w:val="en-US"/>
        </w:rPr>
        <w:t xml:space="preserve"> Respondent:</w:t>
      </w:r>
      <w:r>
        <w:rPr>
          <w:rFonts w:eastAsia="Arial Unicode MS" w:cs="Arial"/>
          <w:color w:val="000000"/>
          <w:u w:color="000000"/>
          <w:bdr w:val="nil"/>
          <w:lang w:val="en-US"/>
        </w:rPr>
        <w:tab/>
      </w:r>
      <w:r>
        <w:rPr>
          <w:rFonts w:eastAsia="Arial Unicode MS" w:cs="Arial"/>
          <w:color w:val="000000"/>
          <w:u w:color="000000"/>
          <w:bdr w:val="nil"/>
          <w:lang w:val="en-US"/>
        </w:rPr>
        <w:tab/>
      </w:r>
      <w:r w:rsidRPr="0066337E">
        <w:rPr>
          <w:rFonts w:eastAsia="Arial Unicode MS" w:cs="Arial"/>
          <w:color w:val="000000"/>
          <w:u w:color="000000"/>
          <w:bdr w:val="nil"/>
          <w:lang w:val="en-US"/>
        </w:rPr>
        <w:t>Adv. W F Wannenburg</w:t>
      </w:r>
    </w:p>
    <w:p w:rsidR="0066337E" w:rsidRDefault="0066337E" w:rsidP="0066337E">
      <w:pPr>
        <w:widowControl w:val="0"/>
        <w:pBdr>
          <w:top w:val="nil"/>
          <w:left w:val="nil"/>
          <w:bottom w:val="nil"/>
          <w:right w:val="nil"/>
          <w:between w:val="nil"/>
          <w:bar w:val="nil"/>
        </w:pBdr>
        <w:spacing w:line="360" w:lineRule="auto"/>
        <w:rPr>
          <w:rFonts w:eastAsia="Arial Unicode MS" w:cs="Arial"/>
          <w:color w:val="000000"/>
          <w:u w:color="000000"/>
          <w:bdr w:val="nil"/>
          <w:lang w:val="en-US"/>
        </w:rPr>
      </w:pPr>
      <w:r w:rsidRPr="001221D6">
        <w:rPr>
          <w:rFonts w:eastAsia="Arial Unicode MS" w:cs="Arial"/>
          <w:color w:val="000000"/>
          <w:u w:color="000000"/>
          <w:bdr w:val="nil"/>
          <w:lang w:val="en-US"/>
        </w:rPr>
        <w:t xml:space="preserve">Instructed by: </w:t>
      </w:r>
      <w:r w:rsidRPr="001221D6">
        <w:rPr>
          <w:rFonts w:eastAsia="Arial Unicode MS" w:cs="Arial"/>
          <w:color w:val="000000"/>
          <w:u w:color="000000"/>
          <w:bdr w:val="nil"/>
          <w:lang w:val="en-US"/>
        </w:rPr>
        <w:tab/>
      </w:r>
      <w:r w:rsidRPr="001221D6">
        <w:rPr>
          <w:rFonts w:eastAsia="Arial Unicode MS" w:cs="Arial"/>
          <w:color w:val="000000"/>
          <w:u w:color="000000"/>
          <w:bdr w:val="nil"/>
          <w:lang w:val="en-US"/>
        </w:rPr>
        <w:tab/>
      </w:r>
      <w:r w:rsidRPr="001221D6">
        <w:rPr>
          <w:rFonts w:eastAsia="Arial Unicode MS" w:cs="Arial"/>
          <w:color w:val="000000"/>
          <w:u w:color="000000"/>
          <w:bdr w:val="nil"/>
          <w:lang w:val="en-US"/>
        </w:rPr>
        <w:tab/>
      </w:r>
      <w:r w:rsidRPr="0066337E">
        <w:rPr>
          <w:rFonts w:eastAsia="Arial Unicode MS" w:cs="Arial"/>
          <w:color w:val="000000"/>
          <w:u w:color="000000"/>
          <w:bdr w:val="nil"/>
          <w:lang w:val="en-US"/>
        </w:rPr>
        <w:t>Kruger and Kruger Attorneys</w:t>
      </w:r>
    </w:p>
    <w:p w:rsidR="00035533" w:rsidRDefault="00035533" w:rsidP="00035533">
      <w:pPr>
        <w:widowControl w:val="0"/>
        <w:pBdr>
          <w:top w:val="nil"/>
          <w:left w:val="nil"/>
          <w:bottom w:val="nil"/>
          <w:right w:val="nil"/>
          <w:between w:val="nil"/>
          <w:bar w:val="nil"/>
        </w:pBdr>
        <w:spacing w:line="360" w:lineRule="auto"/>
        <w:rPr>
          <w:rFonts w:eastAsia="Arial Unicode MS" w:cs="Arial"/>
          <w:color w:val="000000"/>
          <w:u w:color="000000"/>
          <w:bdr w:val="nil"/>
          <w:lang w:val="en-US"/>
        </w:rPr>
      </w:pPr>
    </w:p>
    <w:sectPr w:rsidR="00035533" w:rsidSect="006E45F7">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0A6" w:rsidRDefault="00E460A6" w:rsidP="00115245">
      <w:r>
        <w:separator/>
      </w:r>
    </w:p>
  </w:endnote>
  <w:endnote w:type="continuationSeparator" w:id="0">
    <w:p w:rsidR="00E460A6" w:rsidRDefault="00E460A6"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0A6" w:rsidRDefault="00E460A6" w:rsidP="00115245">
      <w:r>
        <w:separator/>
      </w:r>
    </w:p>
  </w:footnote>
  <w:footnote w:type="continuationSeparator" w:id="0">
    <w:p w:rsidR="00E460A6" w:rsidRDefault="00E460A6" w:rsidP="00115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5A" w:rsidRDefault="0011705A">
    <w:pPr>
      <w:pStyle w:val="Header"/>
      <w:jc w:val="right"/>
    </w:pPr>
    <w:r>
      <w:fldChar w:fldCharType="begin"/>
    </w:r>
    <w:r>
      <w:instrText xml:space="preserve"> PAGE   \* MERGEFORMAT </w:instrText>
    </w:r>
    <w:r>
      <w:fldChar w:fldCharType="separate"/>
    </w:r>
    <w:r w:rsidR="00054395">
      <w:rPr>
        <w:noProof/>
      </w:rPr>
      <w:t>10</w:t>
    </w:r>
    <w:r>
      <w:rPr>
        <w:noProof/>
      </w:rPr>
      <w:fldChar w:fldCharType="end"/>
    </w:r>
  </w:p>
  <w:p w:rsidR="0011705A" w:rsidRDefault="00117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27" style="width:0;height:1.5pt" o:hralign="center" o:bullet="t" o:hrstd="t" o:hr="t" fillcolor="#a0a0a0" stroked="f"/>
    </w:pict>
  </w:numPicBullet>
  <w:abstractNum w:abstractNumId="0">
    <w:nsid w:val="FFFFFF88"/>
    <w:multiLevelType w:val="singleLevel"/>
    <w:tmpl w:val="958E17E6"/>
    <w:lvl w:ilvl="0">
      <w:start w:val="1"/>
      <w:numFmt w:val="decimal"/>
      <w:pStyle w:val="ListNumber"/>
      <w:lvlText w:val="%1."/>
      <w:lvlJc w:val="left"/>
      <w:pPr>
        <w:ind w:left="360" w:hanging="360"/>
      </w:pPr>
    </w:lvl>
  </w:abstractNum>
  <w:abstractNum w:abstractNumId="1">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0000005"/>
    <w:multiLevelType w:val="singleLevel"/>
    <w:tmpl w:val="00000005"/>
    <w:name w:val="WW8Num7"/>
    <w:lvl w:ilvl="0">
      <w:start w:val="1"/>
      <w:numFmt w:val="lowerLetter"/>
      <w:lvlText w:val="(%1)"/>
      <w:lvlJc w:val="left"/>
      <w:pPr>
        <w:ind w:left="795" w:hanging="435"/>
      </w:pPr>
    </w:lvl>
  </w:abstractNum>
  <w:abstractNum w:abstractNumId="3">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C32EAB"/>
    <w:multiLevelType w:val="multilevel"/>
    <w:tmpl w:val="AAF4E152"/>
    <w:lvl w:ilvl="0">
      <w:start w:val="1"/>
      <w:numFmt w:val="decimal"/>
      <w:pStyle w:val="1"/>
      <w:lvlText w:val="[%1]"/>
      <w:lvlJc w:val="left"/>
      <w:pPr>
        <w:tabs>
          <w:tab w:val="num" w:pos="567"/>
        </w:tabs>
        <w:ind w:left="567" w:hanging="567"/>
      </w:pPr>
      <w:rPr>
        <w:rFonts w:hint="default"/>
        <w:b w:val="0"/>
        <w:i w:val="0"/>
      </w:rPr>
    </w:lvl>
    <w:lvl w:ilvl="1">
      <w:start w:val="1"/>
      <w:numFmt w:val="lowerLetter"/>
      <w:pStyle w:val="2"/>
      <w:lvlText w:val="(%2)"/>
      <w:lvlJc w:val="left"/>
      <w:pPr>
        <w:tabs>
          <w:tab w:val="num" w:pos="2268"/>
        </w:tabs>
        <w:ind w:left="2268" w:hanging="1134"/>
      </w:pPr>
      <w:rPr>
        <w:rFonts w:hint="default"/>
        <w:b w:val="0"/>
        <w:i w:val="0"/>
      </w:rPr>
    </w:lvl>
    <w:lvl w:ilvl="2">
      <w:start w:val="1"/>
      <w:numFmt w:val="decimal"/>
      <w:pStyle w:val="3"/>
      <w:lvlText w:val="%1.%2.%3"/>
      <w:lvlJc w:val="left"/>
      <w:pPr>
        <w:tabs>
          <w:tab w:val="num" w:pos="3402"/>
        </w:tabs>
        <w:ind w:left="3402"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7">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9">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0">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1">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12">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3">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6"/>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4"/>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9"/>
  </w:num>
  <w:num w:numId="12">
    <w:abstractNumId w:val="8"/>
  </w:num>
  <w:num w:numId="13">
    <w:abstractNumId w:val="7"/>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4C"/>
    <w:rsid w:val="00001F2D"/>
    <w:rsid w:val="000025D3"/>
    <w:rsid w:val="000026D9"/>
    <w:rsid w:val="00002E04"/>
    <w:rsid w:val="00003D4F"/>
    <w:rsid w:val="000043C3"/>
    <w:rsid w:val="0000489E"/>
    <w:rsid w:val="00004C50"/>
    <w:rsid w:val="00004FF5"/>
    <w:rsid w:val="00005393"/>
    <w:rsid w:val="00005635"/>
    <w:rsid w:val="00006D89"/>
    <w:rsid w:val="00006FFA"/>
    <w:rsid w:val="0000721E"/>
    <w:rsid w:val="000075D6"/>
    <w:rsid w:val="00007A1E"/>
    <w:rsid w:val="00007BEB"/>
    <w:rsid w:val="00011D5E"/>
    <w:rsid w:val="00011D7E"/>
    <w:rsid w:val="00011F6D"/>
    <w:rsid w:val="00012BC9"/>
    <w:rsid w:val="00013956"/>
    <w:rsid w:val="0001479D"/>
    <w:rsid w:val="00014A75"/>
    <w:rsid w:val="00015055"/>
    <w:rsid w:val="00016B15"/>
    <w:rsid w:val="00016D7D"/>
    <w:rsid w:val="000205BB"/>
    <w:rsid w:val="00020C06"/>
    <w:rsid w:val="00021839"/>
    <w:rsid w:val="000223BA"/>
    <w:rsid w:val="00024B45"/>
    <w:rsid w:val="0002513B"/>
    <w:rsid w:val="00025AB9"/>
    <w:rsid w:val="00026013"/>
    <w:rsid w:val="000267B0"/>
    <w:rsid w:val="00026EF4"/>
    <w:rsid w:val="00027523"/>
    <w:rsid w:val="000278DA"/>
    <w:rsid w:val="00027E31"/>
    <w:rsid w:val="00027E97"/>
    <w:rsid w:val="00032191"/>
    <w:rsid w:val="000327C4"/>
    <w:rsid w:val="00033914"/>
    <w:rsid w:val="00033A8B"/>
    <w:rsid w:val="00035533"/>
    <w:rsid w:val="00035C54"/>
    <w:rsid w:val="00035CA2"/>
    <w:rsid w:val="00036839"/>
    <w:rsid w:val="00036B3C"/>
    <w:rsid w:val="00036CBB"/>
    <w:rsid w:val="00036E35"/>
    <w:rsid w:val="00037B4A"/>
    <w:rsid w:val="00037E9A"/>
    <w:rsid w:val="00040CFF"/>
    <w:rsid w:val="0004166E"/>
    <w:rsid w:val="0004179B"/>
    <w:rsid w:val="00041A35"/>
    <w:rsid w:val="00042120"/>
    <w:rsid w:val="00042144"/>
    <w:rsid w:val="0004225B"/>
    <w:rsid w:val="00042883"/>
    <w:rsid w:val="00042910"/>
    <w:rsid w:val="00042E5D"/>
    <w:rsid w:val="00043330"/>
    <w:rsid w:val="00043B8D"/>
    <w:rsid w:val="00044CB9"/>
    <w:rsid w:val="00046726"/>
    <w:rsid w:val="0004700B"/>
    <w:rsid w:val="000471C4"/>
    <w:rsid w:val="00047380"/>
    <w:rsid w:val="00047496"/>
    <w:rsid w:val="00047864"/>
    <w:rsid w:val="00047964"/>
    <w:rsid w:val="00051139"/>
    <w:rsid w:val="000526FC"/>
    <w:rsid w:val="00053DD2"/>
    <w:rsid w:val="000541F4"/>
    <w:rsid w:val="00054395"/>
    <w:rsid w:val="00054540"/>
    <w:rsid w:val="00054B84"/>
    <w:rsid w:val="000552C4"/>
    <w:rsid w:val="000554AC"/>
    <w:rsid w:val="000569B1"/>
    <w:rsid w:val="0005747E"/>
    <w:rsid w:val="00057FE1"/>
    <w:rsid w:val="000603D2"/>
    <w:rsid w:val="00061062"/>
    <w:rsid w:val="0006122D"/>
    <w:rsid w:val="000614DC"/>
    <w:rsid w:val="00061632"/>
    <w:rsid w:val="0006281D"/>
    <w:rsid w:val="00062AC4"/>
    <w:rsid w:val="000630C0"/>
    <w:rsid w:val="00063347"/>
    <w:rsid w:val="00063586"/>
    <w:rsid w:val="00063F88"/>
    <w:rsid w:val="00064037"/>
    <w:rsid w:val="000643EE"/>
    <w:rsid w:val="00064417"/>
    <w:rsid w:val="000648C6"/>
    <w:rsid w:val="00065D25"/>
    <w:rsid w:val="00065DBA"/>
    <w:rsid w:val="00067403"/>
    <w:rsid w:val="0007054D"/>
    <w:rsid w:val="000713C6"/>
    <w:rsid w:val="000715B5"/>
    <w:rsid w:val="00071C04"/>
    <w:rsid w:val="0007238B"/>
    <w:rsid w:val="00073213"/>
    <w:rsid w:val="000743C1"/>
    <w:rsid w:val="00074490"/>
    <w:rsid w:val="00075A7B"/>
    <w:rsid w:val="000768B7"/>
    <w:rsid w:val="00076AEB"/>
    <w:rsid w:val="00076C32"/>
    <w:rsid w:val="00077A72"/>
    <w:rsid w:val="00077DA0"/>
    <w:rsid w:val="00081B44"/>
    <w:rsid w:val="000821DD"/>
    <w:rsid w:val="00082997"/>
    <w:rsid w:val="00083DA8"/>
    <w:rsid w:val="00084A85"/>
    <w:rsid w:val="00085710"/>
    <w:rsid w:val="00087F0F"/>
    <w:rsid w:val="00090D1E"/>
    <w:rsid w:val="00090E6B"/>
    <w:rsid w:val="00091EF1"/>
    <w:rsid w:val="00092FE0"/>
    <w:rsid w:val="00094423"/>
    <w:rsid w:val="00094488"/>
    <w:rsid w:val="00095CA6"/>
    <w:rsid w:val="00095F1C"/>
    <w:rsid w:val="0009617B"/>
    <w:rsid w:val="000968A2"/>
    <w:rsid w:val="000975B2"/>
    <w:rsid w:val="00097C41"/>
    <w:rsid w:val="00097F5E"/>
    <w:rsid w:val="000A0398"/>
    <w:rsid w:val="000A1B6E"/>
    <w:rsid w:val="000A1C84"/>
    <w:rsid w:val="000A1CF7"/>
    <w:rsid w:val="000A2515"/>
    <w:rsid w:val="000A3154"/>
    <w:rsid w:val="000A5992"/>
    <w:rsid w:val="000A6549"/>
    <w:rsid w:val="000A7F92"/>
    <w:rsid w:val="000B0497"/>
    <w:rsid w:val="000B1B70"/>
    <w:rsid w:val="000B2B54"/>
    <w:rsid w:val="000B2C72"/>
    <w:rsid w:val="000B2E1A"/>
    <w:rsid w:val="000B3A8F"/>
    <w:rsid w:val="000B4A7E"/>
    <w:rsid w:val="000B4E9C"/>
    <w:rsid w:val="000B5890"/>
    <w:rsid w:val="000B66A1"/>
    <w:rsid w:val="000B77A3"/>
    <w:rsid w:val="000B7F3F"/>
    <w:rsid w:val="000C07AB"/>
    <w:rsid w:val="000C0C9A"/>
    <w:rsid w:val="000C0E29"/>
    <w:rsid w:val="000C12AC"/>
    <w:rsid w:val="000C15AC"/>
    <w:rsid w:val="000C2D83"/>
    <w:rsid w:val="000C2E2C"/>
    <w:rsid w:val="000C3186"/>
    <w:rsid w:val="000C4EA2"/>
    <w:rsid w:val="000C5E4D"/>
    <w:rsid w:val="000C726A"/>
    <w:rsid w:val="000C7D3C"/>
    <w:rsid w:val="000D0A14"/>
    <w:rsid w:val="000D1047"/>
    <w:rsid w:val="000D1A9F"/>
    <w:rsid w:val="000D1DE1"/>
    <w:rsid w:val="000D22FD"/>
    <w:rsid w:val="000D26DF"/>
    <w:rsid w:val="000D3864"/>
    <w:rsid w:val="000D4A71"/>
    <w:rsid w:val="000D531E"/>
    <w:rsid w:val="000D53F4"/>
    <w:rsid w:val="000D5E07"/>
    <w:rsid w:val="000D7CFD"/>
    <w:rsid w:val="000E0006"/>
    <w:rsid w:val="000E0F39"/>
    <w:rsid w:val="000E14B4"/>
    <w:rsid w:val="000E1C17"/>
    <w:rsid w:val="000E1D43"/>
    <w:rsid w:val="000E3218"/>
    <w:rsid w:val="000E3453"/>
    <w:rsid w:val="000E3A32"/>
    <w:rsid w:val="000E3A64"/>
    <w:rsid w:val="000E3F6A"/>
    <w:rsid w:val="000E43C6"/>
    <w:rsid w:val="000E4996"/>
    <w:rsid w:val="000E4B30"/>
    <w:rsid w:val="000E5A5D"/>
    <w:rsid w:val="000E5EE7"/>
    <w:rsid w:val="000E6EA6"/>
    <w:rsid w:val="000E7114"/>
    <w:rsid w:val="000E7904"/>
    <w:rsid w:val="000E7913"/>
    <w:rsid w:val="000F0069"/>
    <w:rsid w:val="000F04AB"/>
    <w:rsid w:val="000F0FDF"/>
    <w:rsid w:val="000F12F3"/>
    <w:rsid w:val="000F1B35"/>
    <w:rsid w:val="000F1FCB"/>
    <w:rsid w:val="000F201C"/>
    <w:rsid w:val="000F2614"/>
    <w:rsid w:val="000F390B"/>
    <w:rsid w:val="000F4FE4"/>
    <w:rsid w:val="000F58E7"/>
    <w:rsid w:val="000F6E19"/>
    <w:rsid w:val="000F71BA"/>
    <w:rsid w:val="00100355"/>
    <w:rsid w:val="00101A4E"/>
    <w:rsid w:val="00103F18"/>
    <w:rsid w:val="00104A24"/>
    <w:rsid w:val="001055C2"/>
    <w:rsid w:val="001060C1"/>
    <w:rsid w:val="00106268"/>
    <w:rsid w:val="00107844"/>
    <w:rsid w:val="001078C0"/>
    <w:rsid w:val="00110900"/>
    <w:rsid w:val="00111AB2"/>
    <w:rsid w:val="00111BE6"/>
    <w:rsid w:val="00112F70"/>
    <w:rsid w:val="00114D89"/>
    <w:rsid w:val="00115245"/>
    <w:rsid w:val="00116524"/>
    <w:rsid w:val="00116ADA"/>
    <w:rsid w:val="0011705A"/>
    <w:rsid w:val="001173C1"/>
    <w:rsid w:val="0011763B"/>
    <w:rsid w:val="0011783C"/>
    <w:rsid w:val="0012061B"/>
    <w:rsid w:val="00120DB7"/>
    <w:rsid w:val="001210C6"/>
    <w:rsid w:val="00121310"/>
    <w:rsid w:val="001214B2"/>
    <w:rsid w:val="00122942"/>
    <w:rsid w:val="0012364D"/>
    <w:rsid w:val="00123DC2"/>
    <w:rsid w:val="0012426D"/>
    <w:rsid w:val="00124662"/>
    <w:rsid w:val="00125BDA"/>
    <w:rsid w:val="0012605F"/>
    <w:rsid w:val="00126A19"/>
    <w:rsid w:val="00126ABB"/>
    <w:rsid w:val="00127ADA"/>
    <w:rsid w:val="00130F92"/>
    <w:rsid w:val="00131007"/>
    <w:rsid w:val="00131CCD"/>
    <w:rsid w:val="00132013"/>
    <w:rsid w:val="00133466"/>
    <w:rsid w:val="00133A23"/>
    <w:rsid w:val="00134036"/>
    <w:rsid w:val="00134B79"/>
    <w:rsid w:val="00137B70"/>
    <w:rsid w:val="00140B02"/>
    <w:rsid w:val="00141AF1"/>
    <w:rsid w:val="0014208E"/>
    <w:rsid w:val="00143E0F"/>
    <w:rsid w:val="00143F69"/>
    <w:rsid w:val="001441DA"/>
    <w:rsid w:val="00145B6A"/>
    <w:rsid w:val="001468BA"/>
    <w:rsid w:val="00146DDD"/>
    <w:rsid w:val="0015010C"/>
    <w:rsid w:val="00150C6C"/>
    <w:rsid w:val="0015121B"/>
    <w:rsid w:val="00151489"/>
    <w:rsid w:val="00153BCD"/>
    <w:rsid w:val="00154728"/>
    <w:rsid w:val="0015650B"/>
    <w:rsid w:val="0015676D"/>
    <w:rsid w:val="001567D0"/>
    <w:rsid w:val="00157759"/>
    <w:rsid w:val="0015786A"/>
    <w:rsid w:val="00157C3E"/>
    <w:rsid w:val="00160F54"/>
    <w:rsid w:val="00161B42"/>
    <w:rsid w:val="0016348C"/>
    <w:rsid w:val="00164BE7"/>
    <w:rsid w:val="001650A8"/>
    <w:rsid w:val="001652B4"/>
    <w:rsid w:val="0016546B"/>
    <w:rsid w:val="00165F11"/>
    <w:rsid w:val="00167B5A"/>
    <w:rsid w:val="00167BB4"/>
    <w:rsid w:val="0017016C"/>
    <w:rsid w:val="00170D47"/>
    <w:rsid w:val="0017129E"/>
    <w:rsid w:val="00171543"/>
    <w:rsid w:val="00172E31"/>
    <w:rsid w:val="00172F5D"/>
    <w:rsid w:val="00173B17"/>
    <w:rsid w:val="00173C62"/>
    <w:rsid w:val="00173DFC"/>
    <w:rsid w:val="0017472F"/>
    <w:rsid w:val="001750DB"/>
    <w:rsid w:val="0017518A"/>
    <w:rsid w:val="00175E7C"/>
    <w:rsid w:val="001779BC"/>
    <w:rsid w:val="00180CD7"/>
    <w:rsid w:val="001812DE"/>
    <w:rsid w:val="001822E1"/>
    <w:rsid w:val="00183192"/>
    <w:rsid w:val="00183E73"/>
    <w:rsid w:val="001879BC"/>
    <w:rsid w:val="00192693"/>
    <w:rsid w:val="00193169"/>
    <w:rsid w:val="0019325C"/>
    <w:rsid w:val="00193712"/>
    <w:rsid w:val="00193F31"/>
    <w:rsid w:val="00194234"/>
    <w:rsid w:val="0019451B"/>
    <w:rsid w:val="00195605"/>
    <w:rsid w:val="0019568E"/>
    <w:rsid w:val="00196AFF"/>
    <w:rsid w:val="00197791"/>
    <w:rsid w:val="00197C67"/>
    <w:rsid w:val="001A00C1"/>
    <w:rsid w:val="001A0391"/>
    <w:rsid w:val="001A20AA"/>
    <w:rsid w:val="001A2212"/>
    <w:rsid w:val="001A2FD7"/>
    <w:rsid w:val="001A6457"/>
    <w:rsid w:val="001A7558"/>
    <w:rsid w:val="001A7D24"/>
    <w:rsid w:val="001B053D"/>
    <w:rsid w:val="001B0765"/>
    <w:rsid w:val="001B091A"/>
    <w:rsid w:val="001B09A6"/>
    <w:rsid w:val="001B09DA"/>
    <w:rsid w:val="001B0E3A"/>
    <w:rsid w:val="001B1309"/>
    <w:rsid w:val="001B2D50"/>
    <w:rsid w:val="001B65A6"/>
    <w:rsid w:val="001C057A"/>
    <w:rsid w:val="001C0BDD"/>
    <w:rsid w:val="001C318A"/>
    <w:rsid w:val="001C3706"/>
    <w:rsid w:val="001C38A1"/>
    <w:rsid w:val="001C58CC"/>
    <w:rsid w:val="001C5BE4"/>
    <w:rsid w:val="001C5EF4"/>
    <w:rsid w:val="001C5FF8"/>
    <w:rsid w:val="001C61FF"/>
    <w:rsid w:val="001C77DD"/>
    <w:rsid w:val="001C7BF6"/>
    <w:rsid w:val="001C7C4D"/>
    <w:rsid w:val="001D0DC4"/>
    <w:rsid w:val="001D204D"/>
    <w:rsid w:val="001D2565"/>
    <w:rsid w:val="001D260C"/>
    <w:rsid w:val="001D397D"/>
    <w:rsid w:val="001D41F1"/>
    <w:rsid w:val="001D55F9"/>
    <w:rsid w:val="001D5949"/>
    <w:rsid w:val="001D636C"/>
    <w:rsid w:val="001D7859"/>
    <w:rsid w:val="001E0460"/>
    <w:rsid w:val="001E060F"/>
    <w:rsid w:val="001E0613"/>
    <w:rsid w:val="001E0775"/>
    <w:rsid w:val="001E1114"/>
    <w:rsid w:val="001E142F"/>
    <w:rsid w:val="001E1F7D"/>
    <w:rsid w:val="001E23CC"/>
    <w:rsid w:val="001E2974"/>
    <w:rsid w:val="001E3931"/>
    <w:rsid w:val="001E447A"/>
    <w:rsid w:val="001E5131"/>
    <w:rsid w:val="001E66A2"/>
    <w:rsid w:val="001E77C7"/>
    <w:rsid w:val="001E7DA7"/>
    <w:rsid w:val="001F0581"/>
    <w:rsid w:val="001F05C0"/>
    <w:rsid w:val="001F1468"/>
    <w:rsid w:val="001F1531"/>
    <w:rsid w:val="001F1D54"/>
    <w:rsid w:val="001F2977"/>
    <w:rsid w:val="001F2E35"/>
    <w:rsid w:val="001F36A0"/>
    <w:rsid w:val="001F3CAE"/>
    <w:rsid w:val="001F7976"/>
    <w:rsid w:val="001F7FC2"/>
    <w:rsid w:val="0020161E"/>
    <w:rsid w:val="00201FE1"/>
    <w:rsid w:val="0020229A"/>
    <w:rsid w:val="00202F97"/>
    <w:rsid w:val="00203048"/>
    <w:rsid w:val="00203FBE"/>
    <w:rsid w:val="002053DD"/>
    <w:rsid w:val="00207AFE"/>
    <w:rsid w:val="00207F92"/>
    <w:rsid w:val="002101BB"/>
    <w:rsid w:val="00210A60"/>
    <w:rsid w:val="00211100"/>
    <w:rsid w:val="00211E3E"/>
    <w:rsid w:val="00212B52"/>
    <w:rsid w:val="002130C1"/>
    <w:rsid w:val="00213264"/>
    <w:rsid w:val="00213914"/>
    <w:rsid w:val="00213BDE"/>
    <w:rsid w:val="00214970"/>
    <w:rsid w:val="00214D52"/>
    <w:rsid w:val="00215B90"/>
    <w:rsid w:val="002169E8"/>
    <w:rsid w:val="00216E31"/>
    <w:rsid w:val="002172D6"/>
    <w:rsid w:val="00217A1B"/>
    <w:rsid w:val="002204A3"/>
    <w:rsid w:val="00221808"/>
    <w:rsid w:val="0022241E"/>
    <w:rsid w:val="002235CA"/>
    <w:rsid w:val="00223928"/>
    <w:rsid w:val="00223968"/>
    <w:rsid w:val="00223AC3"/>
    <w:rsid w:val="0022426E"/>
    <w:rsid w:val="00227680"/>
    <w:rsid w:val="00230D61"/>
    <w:rsid w:val="00231437"/>
    <w:rsid w:val="00232962"/>
    <w:rsid w:val="00232E52"/>
    <w:rsid w:val="00233F36"/>
    <w:rsid w:val="002346DB"/>
    <w:rsid w:val="00234C6F"/>
    <w:rsid w:val="00234E67"/>
    <w:rsid w:val="00234F48"/>
    <w:rsid w:val="0023625A"/>
    <w:rsid w:val="0023769E"/>
    <w:rsid w:val="0023795E"/>
    <w:rsid w:val="00237B60"/>
    <w:rsid w:val="002400E6"/>
    <w:rsid w:val="00241917"/>
    <w:rsid w:val="00242380"/>
    <w:rsid w:val="002423C2"/>
    <w:rsid w:val="00242CFB"/>
    <w:rsid w:val="00243294"/>
    <w:rsid w:val="00243730"/>
    <w:rsid w:val="002437F9"/>
    <w:rsid w:val="0024456B"/>
    <w:rsid w:val="00245436"/>
    <w:rsid w:val="00245933"/>
    <w:rsid w:val="00246473"/>
    <w:rsid w:val="0024690C"/>
    <w:rsid w:val="00246FA7"/>
    <w:rsid w:val="00247A69"/>
    <w:rsid w:val="00250982"/>
    <w:rsid w:val="00251183"/>
    <w:rsid w:val="00251D3D"/>
    <w:rsid w:val="00253B4E"/>
    <w:rsid w:val="002543D0"/>
    <w:rsid w:val="00254988"/>
    <w:rsid w:val="00254E57"/>
    <w:rsid w:val="00254EFF"/>
    <w:rsid w:val="0025579B"/>
    <w:rsid w:val="0025707E"/>
    <w:rsid w:val="00257764"/>
    <w:rsid w:val="0026073B"/>
    <w:rsid w:val="0026229C"/>
    <w:rsid w:val="00262464"/>
    <w:rsid w:val="00263E02"/>
    <w:rsid w:val="0026449D"/>
    <w:rsid w:val="00264DCB"/>
    <w:rsid w:val="002665ED"/>
    <w:rsid w:val="00266C60"/>
    <w:rsid w:val="00266D99"/>
    <w:rsid w:val="0026703D"/>
    <w:rsid w:val="00270F2A"/>
    <w:rsid w:val="00272701"/>
    <w:rsid w:val="002738C6"/>
    <w:rsid w:val="00273E45"/>
    <w:rsid w:val="00273FB9"/>
    <w:rsid w:val="00274568"/>
    <w:rsid w:val="002749DA"/>
    <w:rsid w:val="00275010"/>
    <w:rsid w:val="0027593C"/>
    <w:rsid w:val="00275C46"/>
    <w:rsid w:val="00276A99"/>
    <w:rsid w:val="00276AA7"/>
    <w:rsid w:val="0027781A"/>
    <w:rsid w:val="0027791B"/>
    <w:rsid w:val="00277E90"/>
    <w:rsid w:val="00282000"/>
    <w:rsid w:val="0028385F"/>
    <w:rsid w:val="00283DF8"/>
    <w:rsid w:val="0028471A"/>
    <w:rsid w:val="00285E30"/>
    <w:rsid w:val="00286941"/>
    <w:rsid w:val="00286E0F"/>
    <w:rsid w:val="00287E8B"/>
    <w:rsid w:val="00290D42"/>
    <w:rsid w:val="00290D86"/>
    <w:rsid w:val="002919F1"/>
    <w:rsid w:val="00292736"/>
    <w:rsid w:val="00293CC6"/>
    <w:rsid w:val="002941ED"/>
    <w:rsid w:val="002945C4"/>
    <w:rsid w:val="002964EC"/>
    <w:rsid w:val="00296715"/>
    <w:rsid w:val="00296FA6"/>
    <w:rsid w:val="00297B28"/>
    <w:rsid w:val="00297CD4"/>
    <w:rsid w:val="002A02E1"/>
    <w:rsid w:val="002A033E"/>
    <w:rsid w:val="002A05D9"/>
    <w:rsid w:val="002A0B6B"/>
    <w:rsid w:val="002A155E"/>
    <w:rsid w:val="002A20ED"/>
    <w:rsid w:val="002A27C9"/>
    <w:rsid w:val="002A29CB"/>
    <w:rsid w:val="002A3E4C"/>
    <w:rsid w:val="002A414E"/>
    <w:rsid w:val="002A41E2"/>
    <w:rsid w:val="002A42E3"/>
    <w:rsid w:val="002A4D60"/>
    <w:rsid w:val="002A53A6"/>
    <w:rsid w:val="002A6480"/>
    <w:rsid w:val="002A72E7"/>
    <w:rsid w:val="002B04FF"/>
    <w:rsid w:val="002B1672"/>
    <w:rsid w:val="002B3426"/>
    <w:rsid w:val="002B4223"/>
    <w:rsid w:val="002B4B3D"/>
    <w:rsid w:val="002B6034"/>
    <w:rsid w:val="002C0251"/>
    <w:rsid w:val="002C0292"/>
    <w:rsid w:val="002C2FC7"/>
    <w:rsid w:val="002C3D8A"/>
    <w:rsid w:val="002C3E50"/>
    <w:rsid w:val="002C47ED"/>
    <w:rsid w:val="002C4854"/>
    <w:rsid w:val="002C4AE6"/>
    <w:rsid w:val="002C4E67"/>
    <w:rsid w:val="002C5866"/>
    <w:rsid w:val="002C72C1"/>
    <w:rsid w:val="002C7E8F"/>
    <w:rsid w:val="002D0463"/>
    <w:rsid w:val="002D06B4"/>
    <w:rsid w:val="002D0D85"/>
    <w:rsid w:val="002D1185"/>
    <w:rsid w:val="002D1A05"/>
    <w:rsid w:val="002D307B"/>
    <w:rsid w:val="002D34CB"/>
    <w:rsid w:val="002D3BDC"/>
    <w:rsid w:val="002D4178"/>
    <w:rsid w:val="002D436D"/>
    <w:rsid w:val="002D494B"/>
    <w:rsid w:val="002D4F6A"/>
    <w:rsid w:val="002D54F2"/>
    <w:rsid w:val="002D616A"/>
    <w:rsid w:val="002D6260"/>
    <w:rsid w:val="002D635F"/>
    <w:rsid w:val="002D64B9"/>
    <w:rsid w:val="002D6A5F"/>
    <w:rsid w:val="002D71F1"/>
    <w:rsid w:val="002D7496"/>
    <w:rsid w:val="002E1E8E"/>
    <w:rsid w:val="002E30D6"/>
    <w:rsid w:val="002E3223"/>
    <w:rsid w:val="002E3F05"/>
    <w:rsid w:val="002E48E8"/>
    <w:rsid w:val="002E4B25"/>
    <w:rsid w:val="002E59C3"/>
    <w:rsid w:val="002E68D9"/>
    <w:rsid w:val="002E6C8A"/>
    <w:rsid w:val="002F03B7"/>
    <w:rsid w:val="002F12CF"/>
    <w:rsid w:val="002F179E"/>
    <w:rsid w:val="002F23AD"/>
    <w:rsid w:val="002F269D"/>
    <w:rsid w:val="002F3120"/>
    <w:rsid w:val="002F38B6"/>
    <w:rsid w:val="002F3D9A"/>
    <w:rsid w:val="002F3F6E"/>
    <w:rsid w:val="002F4438"/>
    <w:rsid w:val="002F44A8"/>
    <w:rsid w:val="002F450F"/>
    <w:rsid w:val="002F5701"/>
    <w:rsid w:val="002F5E51"/>
    <w:rsid w:val="002F6A67"/>
    <w:rsid w:val="002F7953"/>
    <w:rsid w:val="002F7E5A"/>
    <w:rsid w:val="00300D09"/>
    <w:rsid w:val="00301246"/>
    <w:rsid w:val="003015A2"/>
    <w:rsid w:val="003027FB"/>
    <w:rsid w:val="00302F6F"/>
    <w:rsid w:val="0030423E"/>
    <w:rsid w:val="00306A46"/>
    <w:rsid w:val="00306F13"/>
    <w:rsid w:val="0030786B"/>
    <w:rsid w:val="0030786F"/>
    <w:rsid w:val="0031001C"/>
    <w:rsid w:val="0031072D"/>
    <w:rsid w:val="00310E3A"/>
    <w:rsid w:val="00311540"/>
    <w:rsid w:val="003142CB"/>
    <w:rsid w:val="00314652"/>
    <w:rsid w:val="00314713"/>
    <w:rsid w:val="00315C08"/>
    <w:rsid w:val="0031674B"/>
    <w:rsid w:val="00320434"/>
    <w:rsid w:val="0032085D"/>
    <w:rsid w:val="00320976"/>
    <w:rsid w:val="003210CC"/>
    <w:rsid w:val="00321382"/>
    <w:rsid w:val="00321949"/>
    <w:rsid w:val="00321AF2"/>
    <w:rsid w:val="00322320"/>
    <w:rsid w:val="0032281E"/>
    <w:rsid w:val="003233E5"/>
    <w:rsid w:val="003237DC"/>
    <w:rsid w:val="00323B14"/>
    <w:rsid w:val="00323E04"/>
    <w:rsid w:val="003243A3"/>
    <w:rsid w:val="00324CE5"/>
    <w:rsid w:val="00325DA4"/>
    <w:rsid w:val="00326267"/>
    <w:rsid w:val="00327290"/>
    <w:rsid w:val="003277DB"/>
    <w:rsid w:val="00332113"/>
    <w:rsid w:val="0033242B"/>
    <w:rsid w:val="00332969"/>
    <w:rsid w:val="00332E2C"/>
    <w:rsid w:val="00333BED"/>
    <w:rsid w:val="00333EAB"/>
    <w:rsid w:val="00334DDA"/>
    <w:rsid w:val="00335AC8"/>
    <w:rsid w:val="0033663E"/>
    <w:rsid w:val="00337520"/>
    <w:rsid w:val="003377E4"/>
    <w:rsid w:val="0033792D"/>
    <w:rsid w:val="003379B6"/>
    <w:rsid w:val="00337BFA"/>
    <w:rsid w:val="0034022B"/>
    <w:rsid w:val="003402BE"/>
    <w:rsid w:val="00340833"/>
    <w:rsid w:val="00340D11"/>
    <w:rsid w:val="003411B4"/>
    <w:rsid w:val="0034200E"/>
    <w:rsid w:val="003423FB"/>
    <w:rsid w:val="00343D1C"/>
    <w:rsid w:val="00344380"/>
    <w:rsid w:val="00345162"/>
    <w:rsid w:val="00345E57"/>
    <w:rsid w:val="00346597"/>
    <w:rsid w:val="0034732B"/>
    <w:rsid w:val="00347644"/>
    <w:rsid w:val="00347A57"/>
    <w:rsid w:val="00347D50"/>
    <w:rsid w:val="00350E9F"/>
    <w:rsid w:val="00351867"/>
    <w:rsid w:val="00351EB9"/>
    <w:rsid w:val="0035298A"/>
    <w:rsid w:val="00353582"/>
    <w:rsid w:val="00355250"/>
    <w:rsid w:val="0035551B"/>
    <w:rsid w:val="00355B81"/>
    <w:rsid w:val="0035666A"/>
    <w:rsid w:val="003574FA"/>
    <w:rsid w:val="00361B40"/>
    <w:rsid w:val="0036200C"/>
    <w:rsid w:val="00362780"/>
    <w:rsid w:val="00362E58"/>
    <w:rsid w:val="003631D1"/>
    <w:rsid w:val="00363775"/>
    <w:rsid w:val="00364101"/>
    <w:rsid w:val="00365830"/>
    <w:rsid w:val="00365917"/>
    <w:rsid w:val="00365A12"/>
    <w:rsid w:val="00365BE3"/>
    <w:rsid w:val="003663D8"/>
    <w:rsid w:val="00366B8C"/>
    <w:rsid w:val="003675A8"/>
    <w:rsid w:val="00367714"/>
    <w:rsid w:val="0037030F"/>
    <w:rsid w:val="00370D8B"/>
    <w:rsid w:val="003718A7"/>
    <w:rsid w:val="00372CBD"/>
    <w:rsid w:val="00373547"/>
    <w:rsid w:val="003739AA"/>
    <w:rsid w:val="00373C3F"/>
    <w:rsid w:val="00373C7E"/>
    <w:rsid w:val="00373F9A"/>
    <w:rsid w:val="00375BE7"/>
    <w:rsid w:val="00376B0F"/>
    <w:rsid w:val="00377B92"/>
    <w:rsid w:val="00377B94"/>
    <w:rsid w:val="003804B1"/>
    <w:rsid w:val="00381242"/>
    <w:rsid w:val="0038157E"/>
    <w:rsid w:val="00381DE5"/>
    <w:rsid w:val="003848B1"/>
    <w:rsid w:val="00384ED6"/>
    <w:rsid w:val="00386437"/>
    <w:rsid w:val="00386BC7"/>
    <w:rsid w:val="00387DE2"/>
    <w:rsid w:val="0039031B"/>
    <w:rsid w:val="00390810"/>
    <w:rsid w:val="00390B8B"/>
    <w:rsid w:val="00391307"/>
    <w:rsid w:val="00392844"/>
    <w:rsid w:val="00394779"/>
    <w:rsid w:val="003947BF"/>
    <w:rsid w:val="00395DFD"/>
    <w:rsid w:val="0039615F"/>
    <w:rsid w:val="00396313"/>
    <w:rsid w:val="00396697"/>
    <w:rsid w:val="0039673B"/>
    <w:rsid w:val="00396FE4"/>
    <w:rsid w:val="00397D1B"/>
    <w:rsid w:val="003A0085"/>
    <w:rsid w:val="003A0313"/>
    <w:rsid w:val="003A0790"/>
    <w:rsid w:val="003A0E19"/>
    <w:rsid w:val="003A0F42"/>
    <w:rsid w:val="003A1665"/>
    <w:rsid w:val="003A2561"/>
    <w:rsid w:val="003A269B"/>
    <w:rsid w:val="003A295B"/>
    <w:rsid w:val="003A367D"/>
    <w:rsid w:val="003A3A10"/>
    <w:rsid w:val="003A463D"/>
    <w:rsid w:val="003A5026"/>
    <w:rsid w:val="003A54CA"/>
    <w:rsid w:val="003A54EC"/>
    <w:rsid w:val="003A56C5"/>
    <w:rsid w:val="003A60E8"/>
    <w:rsid w:val="003A64C9"/>
    <w:rsid w:val="003B0110"/>
    <w:rsid w:val="003B0573"/>
    <w:rsid w:val="003B1034"/>
    <w:rsid w:val="003B1DD8"/>
    <w:rsid w:val="003B1EFC"/>
    <w:rsid w:val="003B2C36"/>
    <w:rsid w:val="003B2D29"/>
    <w:rsid w:val="003B2DE0"/>
    <w:rsid w:val="003B3ACE"/>
    <w:rsid w:val="003B3B38"/>
    <w:rsid w:val="003B3CF5"/>
    <w:rsid w:val="003B428A"/>
    <w:rsid w:val="003B49E4"/>
    <w:rsid w:val="003B4F6D"/>
    <w:rsid w:val="003B528B"/>
    <w:rsid w:val="003B54C7"/>
    <w:rsid w:val="003B5608"/>
    <w:rsid w:val="003B6F8B"/>
    <w:rsid w:val="003B7156"/>
    <w:rsid w:val="003B7524"/>
    <w:rsid w:val="003C060F"/>
    <w:rsid w:val="003C075C"/>
    <w:rsid w:val="003C0D92"/>
    <w:rsid w:val="003C0DF1"/>
    <w:rsid w:val="003C20C9"/>
    <w:rsid w:val="003C40D7"/>
    <w:rsid w:val="003C42BE"/>
    <w:rsid w:val="003C46C0"/>
    <w:rsid w:val="003C4E9C"/>
    <w:rsid w:val="003C6F44"/>
    <w:rsid w:val="003C7290"/>
    <w:rsid w:val="003C74B4"/>
    <w:rsid w:val="003C76B2"/>
    <w:rsid w:val="003C785A"/>
    <w:rsid w:val="003C7EF1"/>
    <w:rsid w:val="003D130B"/>
    <w:rsid w:val="003D139F"/>
    <w:rsid w:val="003D3D85"/>
    <w:rsid w:val="003D4381"/>
    <w:rsid w:val="003D4EFC"/>
    <w:rsid w:val="003D5332"/>
    <w:rsid w:val="003D6C2F"/>
    <w:rsid w:val="003D6D58"/>
    <w:rsid w:val="003D7FD0"/>
    <w:rsid w:val="003E0545"/>
    <w:rsid w:val="003E0F70"/>
    <w:rsid w:val="003E24EA"/>
    <w:rsid w:val="003E2957"/>
    <w:rsid w:val="003E36B6"/>
    <w:rsid w:val="003E3ADD"/>
    <w:rsid w:val="003E4764"/>
    <w:rsid w:val="003E4A0B"/>
    <w:rsid w:val="003E5F73"/>
    <w:rsid w:val="003E63AC"/>
    <w:rsid w:val="003E63C2"/>
    <w:rsid w:val="003E64CD"/>
    <w:rsid w:val="003E6788"/>
    <w:rsid w:val="003E754A"/>
    <w:rsid w:val="003E7624"/>
    <w:rsid w:val="003F09BA"/>
    <w:rsid w:val="003F0E59"/>
    <w:rsid w:val="003F462F"/>
    <w:rsid w:val="003F5B4E"/>
    <w:rsid w:val="003F6BE7"/>
    <w:rsid w:val="003F7FBE"/>
    <w:rsid w:val="004008D2"/>
    <w:rsid w:val="00400A31"/>
    <w:rsid w:val="0040188D"/>
    <w:rsid w:val="00402DEF"/>
    <w:rsid w:val="00403234"/>
    <w:rsid w:val="00404F05"/>
    <w:rsid w:val="00404F42"/>
    <w:rsid w:val="00405E30"/>
    <w:rsid w:val="0040616D"/>
    <w:rsid w:val="0040676E"/>
    <w:rsid w:val="00406923"/>
    <w:rsid w:val="00406AA4"/>
    <w:rsid w:val="00407776"/>
    <w:rsid w:val="0041008C"/>
    <w:rsid w:val="004102F8"/>
    <w:rsid w:val="0041032D"/>
    <w:rsid w:val="00411184"/>
    <w:rsid w:val="004112E3"/>
    <w:rsid w:val="00411ECB"/>
    <w:rsid w:val="00412D3E"/>
    <w:rsid w:val="004138A7"/>
    <w:rsid w:val="00413A73"/>
    <w:rsid w:val="00414491"/>
    <w:rsid w:val="00414F15"/>
    <w:rsid w:val="004158AA"/>
    <w:rsid w:val="004159A7"/>
    <w:rsid w:val="00420462"/>
    <w:rsid w:val="0042067C"/>
    <w:rsid w:val="004225C0"/>
    <w:rsid w:val="0042348C"/>
    <w:rsid w:val="004236B7"/>
    <w:rsid w:val="0042399B"/>
    <w:rsid w:val="0042517A"/>
    <w:rsid w:val="004263DD"/>
    <w:rsid w:val="00427140"/>
    <w:rsid w:val="00427A9D"/>
    <w:rsid w:val="00430E10"/>
    <w:rsid w:val="00431021"/>
    <w:rsid w:val="0043126A"/>
    <w:rsid w:val="004315A6"/>
    <w:rsid w:val="00432602"/>
    <w:rsid w:val="00432B1E"/>
    <w:rsid w:val="00433693"/>
    <w:rsid w:val="00434260"/>
    <w:rsid w:val="004343C6"/>
    <w:rsid w:val="00434441"/>
    <w:rsid w:val="0043494A"/>
    <w:rsid w:val="0043552E"/>
    <w:rsid w:val="00436996"/>
    <w:rsid w:val="004370E8"/>
    <w:rsid w:val="00437849"/>
    <w:rsid w:val="00437CC8"/>
    <w:rsid w:val="00440B4D"/>
    <w:rsid w:val="00440D55"/>
    <w:rsid w:val="00441696"/>
    <w:rsid w:val="0044236C"/>
    <w:rsid w:val="00442C23"/>
    <w:rsid w:val="004444FE"/>
    <w:rsid w:val="004462A3"/>
    <w:rsid w:val="004469AE"/>
    <w:rsid w:val="00446DAF"/>
    <w:rsid w:val="004472C4"/>
    <w:rsid w:val="004475C5"/>
    <w:rsid w:val="0044775E"/>
    <w:rsid w:val="0045091A"/>
    <w:rsid w:val="00450988"/>
    <w:rsid w:val="00450A43"/>
    <w:rsid w:val="00451B01"/>
    <w:rsid w:val="00452EDC"/>
    <w:rsid w:val="00452F24"/>
    <w:rsid w:val="00454018"/>
    <w:rsid w:val="004548FA"/>
    <w:rsid w:val="00455CF9"/>
    <w:rsid w:val="00456FFD"/>
    <w:rsid w:val="00457466"/>
    <w:rsid w:val="004574B7"/>
    <w:rsid w:val="00457DD8"/>
    <w:rsid w:val="004609DA"/>
    <w:rsid w:val="0046101D"/>
    <w:rsid w:val="00461699"/>
    <w:rsid w:val="00461849"/>
    <w:rsid w:val="00461C68"/>
    <w:rsid w:val="00462590"/>
    <w:rsid w:val="004643C0"/>
    <w:rsid w:val="00464948"/>
    <w:rsid w:val="004651B8"/>
    <w:rsid w:val="00465206"/>
    <w:rsid w:val="004661F8"/>
    <w:rsid w:val="00466EED"/>
    <w:rsid w:val="00467E72"/>
    <w:rsid w:val="0047035C"/>
    <w:rsid w:val="00470636"/>
    <w:rsid w:val="004711BE"/>
    <w:rsid w:val="004712CC"/>
    <w:rsid w:val="00471CD6"/>
    <w:rsid w:val="00471DAE"/>
    <w:rsid w:val="004724C4"/>
    <w:rsid w:val="00473818"/>
    <w:rsid w:val="00474025"/>
    <w:rsid w:val="004742B6"/>
    <w:rsid w:val="0047447E"/>
    <w:rsid w:val="004744FB"/>
    <w:rsid w:val="00475159"/>
    <w:rsid w:val="004751E6"/>
    <w:rsid w:val="0047571E"/>
    <w:rsid w:val="00475B92"/>
    <w:rsid w:val="004763AB"/>
    <w:rsid w:val="00476EC1"/>
    <w:rsid w:val="004776BE"/>
    <w:rsid w:val="00477804"/>
    <w:rsid w:val="00480AAB"/>
    <w:rsid w:val="004818C0"/>
    <w:rsid w:val="0048276D"/>
    <w:rsid w:val="00482CBE"/>
    <w:rsid w:val="00482EB0"/>
    <w:rsid w:val="00484575"/>
    <w:rsid w:val="0048472E"/>
    <w:rsid w:val="00485D93"/>
    <w:rsid w:val="00485F07"/>
    <w:rsid w:val="004868D6"/>
    <w:rsid w:val="00486E27"/>
    <w:rsid w:val="0048727C"/>
    <w:rsid w:val="00487843"/>
    <w:rsid w:val="004907DD"/>
    <w:rsid w:val="0049096C"/>
    <w:rsid w:val="0049143A"/>
    <w:rsid w:val="0049176E"/>
    <w:rsid w:val="00491EE2"/>
    <w:rsid w:val="004922F0"/>
    <w:rsid w:val="004927FF"/>
    <w:rsid w:val="004928D9"/>
    <w:rsid w:val="00493426"/>
    <w:rsid w:val="004937E8"/>
    <w:rsid w:val="004956AD"/>
    <w:rsid w:val="004962E9"/>
    <w:rsid w:val="004A02B0"/>
    <w:rsid w:val="004A1968"/>
    <w:rsid w:val="004A1EA1"/>
    <w:rsid w:val="004A383D"/>
    <w:rsid w:val="004A468E"/>
    <w:rsid w:val="004A5A06"/>
    <w:rsid w:val="004A63CC"/>
    <w:rsid w:val="004A6508"/>
    <w:rsid w:val="004B08C4"/>
    <w:rsid w:val="004B0E80"/>
    <w:rsid w:val="004B1421"/>
    <w:rsid w:val="004B2BDB"/>
    <w:rsid w:val="004B3290"/>
    <w:rsid w:val="004B4530"/>
    <w:rsid w:val="004B45BF"/>
    <w:rsid w:val="004B5C5F"/>
    <w:rsid w:val="004B5EE2"/>
    <w:rsid w:val="004B6D43"/>
    <w:rsid w:val="004B6E2D"/>
    <w:rsid w:val="004C0BEF"/>
    <w:rsid w:val="004C24F9"/>
    <w:rsid w:val="004C39F9"/>
    <w:rsid w:val="004C3C81"/>
    <w:rsid w:val="004C3EAD"/>
    <w:rsid w:val="004C3F04"/>
    <w:rsid w:val="004C45CA"/>
    <w:rsid w:val="004C4AC2"/>
    <w:rsid w:val="004C5160"/>
    <w:rsid w:val="004C5CD9"/>
    <w:rsid w:val="004C69D8"/>
    <w:rsid w:val="004C75A4"/>
    <w:rsid w:val="004C79F3"/>
    <w:rsid w:val="004D0AF6"/>
    <w:rsid w:val="004D10BA"/>
    <w:rsid w:val="004D1892"/>
    <w:rsid w:val="004D1B97"/>
    <w:rsid w:val="004D1C16"/>
    <w:rsid w:val="004D27EB"/>
    <w:rsid w:val="004D28D0"/>
    <w:rsid w:val="004D2A60"/>
    <w:rsid w:val="004D37A4"/>
    <w:rsid w:val="004D3988"/>
    <w:rsid w:val="004D3B5E"/>
    <w:rsid w:val="004D4143"/>
    <w:rsid w:val="004D452A"/>
    <w:rsid w:val="004D457C"/>
    <w:rsid w:val="004D551D"/>
    <w:rsid w:val="004D6199"/>
    <w:rsid w:val="004D70F5"/>
    <w:rsid w:val="004D757C"/>
    <w:rsid w:val="004D7A0D"/>
    <w:rsid w:val="004D7A4A"/>
    <w:rsid w:val="004D7BD2"/>
    <w:rsid w:val="004E0260"/>
    <w:rsid w:val="004E0498"/>
    <w:rsid w:val="004E06EC"/>
    <w:rsid w:val="004E06FF"/>
    <w:rsid w:val="004E17AF"/>
    <w:rsid w:val="004E1D23"/>
    <w:rsid w:val="004E2560"/>
    <w:rsid w:val="004E269A"/>
    <w:rsid w:val="004E4B03"/>
    <w:rsid w:val="004E4FE3"/>
    <w:rsid w:val="004E596A"/>
    <w:rsid w:val="004E5EEE"/>
    <w:rsid w:val="004E7445"/>
    <w:rsid w:val="004E7CA6"/>
    <w:rsid w:val="004F0181"/>
    <w:rsid w:val="004F054E"/>
    <w:rsid w:val="004F1B26"/>
    <w:rsid w:val="004F1EAF"/>
    <w:rsid w:val="004F2CEC"/>
    <w:rsid w:val="004F31FC"/>
    <w:rsid w:val="004F42BF"/>
    <w:rsid w:val="004F4393"/>
    <w:rsid w:val="004F4A02"/>
    <w:rsid w:val="004F4F72"/>
    <w:rsid w:val="004F530C"/>
    <w:rsid w:val="004F6227"/>
    <w:rsid w:val="004F68B9"/>
    <w:rsid w:val="004F6A3A"/>
    <w:rsid w:val="004F731B"/>
    <w:rsid w:val="004F7339"/>
    <w:rsid w:val="005017C8"/>
    <w:rsid w:val="00502C53"/>
    <w:rsid w:val="0050338C"/>
    <w:rsid w:val="00503410"/>
    <w:rsid w:val="005035D5"/>
    <w:rsid w:val="00503CDE"/>
    <w:rsid w:val="005044F3"/>
    <w:rsid w:val="00504CC9"/>
    <w:rsid w:val="005052C4"/>
    <w:rsid w:val="00505D97"/>
    <w:rsid w:val="00507D25"/>
    <w:rsid w:val="00510489"/>
    <w:rsid w:val="0051064B"/>
    <w:rsid w:val="005109B3"/>
    <w:rsid w:val="005114A5"/>
    <w:rsid w:val="00511B85"/>
    <w:rsid w:val="00513291"/>
    <w:rsid w:val="0051369A"/>
    <w:rsid w:val="005136CD"/>
    <w:rsid w:val="00513836"/>
    <w:rsid w:val="0051406F"/>
    <w:rsid w:val="00514229"/>
    <w:rsid w:val="00514CC8"/>
    <w:rsid w:val="0051516F"/>
    <w:rsid w:val="005154BB"/>
    <w:rsid w:val="005156AA"/>
    <w:rsid w:val="00515EAB"/>
    <w:rsid w:val="00517ABC"/>
    <w:rsid w:val="005203C2"/>
    <w:rsid w:val="00520868"/>
    <w:rsid w:val="005209FD"/>
    <w:rsid w:val="00520E50"/>
    <w:rsid w:val="00522162"/>
    <w:rsid w:val="005222C1"/>
    <w:rsid w:val="005223A3"/>
    <w:rsid w:val="005252B6"/>
    <w:rsid w:val="00525D24"/>
    <w:rsid w:val="00530D60"/>
    <w:rsid w:val="00530E68"/>
    <w:rsid w:val="0053146C"/>
    <w:rsid w:val="005314DD"/>
    <w:rsid w:val="00531925"/>
    <w:rsid w:val="00532D77"/>
    <w:rsid w:val="005332D4"/>
    <w:rsid w:val="005344E4"/>
    <w:rsid w:val="00534716"/>
    <w:rsid w:val="005373A1"/>
    <w:rsid w:val="0054290D"/>
    <w:rsid w:val="00543D3A"/>
    <w:rsid w:val="00545B27"/>
    <w:rsid w:val="00546262"/>
    <w:rsid w:val="00546717"/>
    <w:rsid w:val="0054707B"/>
    <w:rsid w:val="0054767E"/>
    <w:rsid w:val="00547FD4"/>
    <w:rsid w:val="005507D0"/>
    <w:rsid w:val="00550EAC"/>
    <w:rsid w:val="00551A73"/>
    <w:rsid w:val="00552147"/>
    <w:rsid w:val="00554224"/>
    <w:rsid w:val="00554CD7"/>
    <w:rsid w:val="00555F21"/>
    <w:rsid w:val="00560DD0"/>
    <w:rsid w:val="00561227"/>
    <w:rsid w:val="00561C6F"/>
    <w:rsid w:val="005637A2"/>
    <w:rsid w:val="00563923"/>
    <w:rsid w:val="00564495"/>
    <w:rsid w:val="0056552B"/>
    <w:rsid w:val="00565D72"/>
    <w:rsid w:val="00567620"/>
    <w:rsid w:val="00567967"/>
    <w:rsid w:val="00570225"/>
    <w:rsid w:val="00570362"/>
    <w:rsid w:val="00570F1E"/>
    <w:rsid w:val="005716B7"/>
    <w:rsid w:val="005718E1"/>
    <w:rsid w:val="00571C4F"/>
    <w:rsid w:val="00571F3E"/>
    <w:rsid w:val="0057274A"/>
    <w:rsid w:val="00573270"/>
    <w:rsid w:val="00573692"/>
    <w:rsid w:val="005741C7"/>
    <w:rsid w:val="0057450D"/>
    <w:rsid w:val="00574DBE"/>
    <w:rsid w:val="00575F5B"/>
    <w:rsid w:val="00576106"/>
    <w:rsid w:val="00576BEF"/>
    <w:rsid w:val="00577105"/>
    <w:rsid w:val="0057755A"/>
    <w:rsid w:val="00577A0F"/>
    <w:rsid w:val="005812AB"/>
    <w:rsid w:val="00581451"/>
    <w:rsid w:val="0058281E"/>
    <w:rsid w:val="0058288F"/>
    <w:rsid w:val="00582F7F"/>
    <w:rsid w:val="00584275"/>
    <w:rsid w:val="005843B7"/>
    <w:rsid w:val="00585497"/>
    <w:rsid w:val="005854CE"/>
    <w:rsid w:val="00585F96"/>
    <w:rsid w:val="00586A1F"/>
    <w:rsid w:val="0059041D"/>
    <w:rsid w:val="00590D69"/>
    <w:rsid w:val="0059103F"/>
    <w:rsid w:val="00591472"/>
    <w:rsid w:val="00591A7E"/>
    <w:rsid w:val="00592A55"/>
    <w:rsid w:val="00594751"/>
    <w:rsid w:val="00595AAE"/>
    <w:rsid w:val="005960DB"/>
    <w:rsid w:val="005A147A"/>
    <w:rsid w:val="005A32FD"/>
    <w:rsid w:val="005A33A3"/>
    <w:rsid w:val="005A3500"/>
    <w:rsid w:val="005A3D8D"/>
    <w:rsid w:val="005A4303"/>
    <w:rsid w:val="005A486A"/>
    <w:rsid w:val="005A4E6B"/>
    <w:rsid w:val="005A4F6A"/>
    <w:rsid w:val="005A5949"/>
    <w:rsid w:val="005A5D07"/>
    <w:rsid w:val="005A69D9"/>
    <w:rsid w:val="005A6AC1"/>
    <w:rsid w:val="005B0196"/>
    <w:rsid w:val="005B1165"/>
    <w:rsid w:val="005B16DB"/>
    <w:rsid w:val="005B1C40"/>
    <w:rsid w:val="005B1E71"/>
    <w:rsid w:val="005B2585"/>
    <w:rsid w:val="005B2DB9"/>
    <w:rsid w:val="005B376C"/>
    <w:rsid w:val="005B413D"/>
    <w:rsid w:val="005B46F0"/>
    <w:rsid w:val="005B489E"/>
    <w:rsid w:val="005B57B7"/>
    <w:rsid w:val="005B5912"/>
    <w:rsid w:val="005B6A29"/>
    <w:rsid w:val="005B78AA"/>
    <w:rsid w:val="005B7B61"/>
    <w:rsid w:val="005C0A86"/>
    <w:rsid w:val="005C131F"/>
    <w:rsid w:val="005C16CD"/>
    <w:rsid w:val="005C2295"/>
    <w:rsid w:val="005C29A7"/>
    <w:rsid w:val="005C2D99"/>
    <w:rsid w:val="005C3F98"/>
    <w:rsid w:val="005C6D9F"/>
    <w:rsid w:val="005C7C32"/>
    <w:rsid w:val="005C7DAA"/>
    <w:rsid w:val="005D0375"/>
    <w:rsid w:val="005D1ECB"/>
    <w:rsid w:val="005D3D10"/>
    <w:rsid w:val="005E02A8"/>
    <w:rsid w:val="005E04CB"/>
    <w:rsid w:val="005E07B1"/>
    <w:rsid w:val="005E2689"/>
    <w:rsid w:val="005E26D9"/>
    <w:rsid w:val="005E2D0C"/>
    <w:rsid w:val="005E352B"/>
    <w:rsid w:val="005E380E"/>
    <w:rsid w:val="005E4870"/>
    <w:rsid w:val="005E490F"/>
    <w:rsid w:val="005E4ACF"/>
    <w:rsid w:val="005E5C08"/>
    <w:rsid w:val="005E6E48"/>
    <w:rsid w:val="005E6F74"/>
    <w:rsid w:val="005E7E2F"/>
    <w:rsid w:val="005E7F90"/>
    <w:rsid w:val="005F0A5B"/>
    <w:rsid w:val="005F0D5D"/>
    <w:rsid w:val="005F11AB"/>
    <w:rsid w:val="005F137A"/>
    <w:rsid w:val="005F15F6"/>
    <w:rsid w:val="005F3F0C"/>
    <w:rsid w:val="005F445F"/>
    <w:rsid w:val="005F44AE"/>
    <w:rsid w:val="005F530F"/>
    <w:rsid w:val="005F53A4"/>
    <w:rsid w:val="005F6FC0"/>
    <w:rsid w:val="005F778B"/>
    <w:rsid w:val="00600B0A"/>
    <w:rsid w:val="006011F7"/>
    <w:rsid w:val="00601661"/>
    <w:rsid w:val="00602A19"/>
    <w:rsid w:val="00603007"/>
    <w:rsid w:val="00603A0A"/>
    <w:rsid w:val="00603B35"/>
    <w:rsid w:val="006056DC"/>
    <w:rsid w:val="00606C62"/>
    <w:rsid w:val="00606DD4"/>
    <w:rsid w:val="0061204F"/>
    <w:rsid w:val="006134D3"/>
    <w:rsid w:val="006134FA"/>
    <w:rsid w:val="0061444D"/>
    <w:rsid w:val="006144EF"/>
    <w:rsid w:val="00614802"/>
    <w:rsid w:val="00614AD0"/>
    <w:rsid w:val="00614BC6"/>
    <w:rsid w:val="00614D83"/>
    <w:rsid w:val="00615E79"/>
    <w:rsid w:val="006164F1"/>
    <w:rsid w:val="0061657B"/>
    <w:rsid w:val="006168FB"/>
    <w:rsid w:val="006201EB"/>
    <w:rsid w:val="00620825"/>
    <w:rsid w:val="00620BC4"/>
    <w:rsid w:val="006225D4"/>
    <w:rsid w:val="006231E7"/>
    <w:rsid w:val="00623739"/>
    <w:rsid w:val="00623974"/>
    <w:rsid w:val="006243CA"/>
    <w:rsid w:val="00624549"/>
    <w:rsid w:val="00625859"/>
    <w:rsid w:val="00626111"/>
    <w:rsid w:val="00626420"/>
    <w:rsid w:val="006272A6"/>
    <w:rsid w:val="006278F6"/>
    <w:rsid w:val="006302C0"/>
    <w:rsid w:val="00630E40"/>
    <w:rsid w:val="006314E0"/>
    <w:rsid w:val="00632AC5"/>
    <w:rsid w:val="00633445"/>
    <w:rsid w:val="006340A2"/>
    <w:rsid w:val="00634B78"/>
    <w:rsid w:val="006350B9"/>
    <w:rsid w:val="00635408"/>
    <w:rsid w:val="00635B97"/>
    <w:rsid w:val="00635CB9"/>
    <w:rsid w:val="00636258"/>
    <w:rsid w:val="0063684F"/>
    <w:rsid w:val="00636BB7"/>
    <w:rsid w:val="0063748C"/>
    <w:rsid w:val="006379C7"/>
    <w:rsid w:val="00640825"/>
    <w:rsid w:val="0064115D"/>
    <w:rsid w:val="00641993"/>
    <w:rsid w:val="006425B9"/>
    <w:rsid w:val="00643734"/>
    <w:rsid w:val="006437E7"/>
    <w:rsid w:val="006437EC"/>
    <w:rsid w:val="00643CC5"/>
    <w:rsid w:val="00644E64"/>
    <w:rsid w:val="0064511D"/>
    <w:rsid w:val="00645CAF"/>
    <w:rsid w:val="00646B84"/>
    <w:rsid w:val="00647518"/>
    <w:rsid w:val="00647762"/>
    <w:rsid w:val="00647F50"/>
    <w:rsid w:val="00652AC7"/>
    <w:rsid w:val="00652D48"/>
    <w:rsid w:val="00653292"/>
    <w:rsid w:val="0065480C"/>
    <w:rsid w:val="00654C02"/>
    <w:rsid w:val="00654E38"/>
    <w:rsid w:val="00655A7B"/>
    <w:rsid w:val="0065617A"/>
    <w:rsid w:val="0065693F"/>
    <w:rsid w:val="00656E37"/>
    <w:rsid w:val="00657E4C"/>
    <w:rsid w:val="00660BBF"/>
    <w:rsid w:val="00660DF9"/>
    <w:rsid w:val="0066240C"/>
    <w:rsid w:val="0066294A"/>
    <w:rsid w:val="00662B17"/>
    <w:rsid w:val="0066337E"/>
    <w:rsid w:val="00663523"/>
    <w:rsid w:val="006635B3"/>
    <w:rsid w:val="0066468B"/>
    <w:rsid w:val="00664C6F"/>
    <w:rsid w:val="00664D3A"/>
    <w:rsid w:val="00665CAD"/>
    <w:rsid w:val="00666A0C"/>
    <w:rsid w:val="00670E31"/>
    <w:rsid w:val="00671882"/>
    <w:rsid w:val="00673703"/>
    <w:rsid w:val="00673D00"/>
    <w:rsid w:val="00675363"/>
    <w:rsid w:val="00676B91"/>
    <w:rsid w:val="00677A92"/>
    <w:rsid w:val="00677B1F"/>
    <w:rsid w:val="00677D95"/>
    <w:rsid w:val="00680F4C"/>
    <w:rsid w:val="0068236E"/>
    <w:rsid w:val="0068254C"/>
    <w:rsid w:val="006825DC"/>
    <w:rsid w:val="006829E9"/>
    <w:rsid w:val="00682D2A"/>
    <w:rsid w:val="006831D1"/>
    <w:rsid w:val="00683827"/>
    <w:rsid w:val="00683D4E"/>
    <w:rsid w:val="006848ED"/>
    <w:rsid w:val="00690E83"/>
    <w:rsid w:val="00690E99"/>
    <w:rsid w:val="00692E50"/>
    <w:rsid w:val="00694A20"/>
    <w:rsid w:val="00694BF1"/>
    <w:rsid w:val="00694F2E"/>
    <w:rsid w:val="0069614B"/>
    <w:rsid w:val="00696913"/>
    <w:rsid w:val="00696963"/>
    <w:rsid w:val="006975D3"/>
    <w:rsid w:val="00697DB8"/>
    <w:rsid w:val="006A0705"/>
    <w:rsid w:val="006A07EA"/>
    <w:rsid w:val="006A1EC8"/>
    <w:rsid w:val="006A2951"/>
    <w:rsid w:val="006A3476"/>
    <w:rsid w:val="006A51B7"/>
    <w:rsid w:val="006A5ADF"/>
    <w:rsid w:val="006A5B0B"/>
    <w:rsid w:val="006A62CC"/>
    <w:rsid w:val="006A661B"/>
    <w:rsid w:val="006A6C14"/>
    <w:rsid w:val="006A79E4"/>
    <w:rsid w:val="006B05C9"/>
    <w:rsid w:val="006B11CF"/>
    <w:rsid w:val="006B14A8"/>
    <w:rsid w:val="006B3381"/>
    <w:rsid w:val="006B371E"/>
    <w:rsid w:val="006B3CD6"/>
    <w:rsid w:val="006B3E27"/>
    <w:rsid w:val="006B3E48"/>
    <w:rsid w:val="006B448A"/>
    <w:rsid w:val="006B54B3"/>
    <w:rsid w:val="006B633B"/>
    <w:rsid w:val="006B7635"/>
    <w:rsid w:val="006B7A6F"/>
    <w:rsid w:val="006B7FF0"/>
    <w:rsid w:val="006C0608"/>
    <w:rsid w:val="006C0C3F"/>
    <w:rsid w:val="006C1344"/>
    <w:rsid w:val="006C1D50"/>
    <w:rsid w:val="006C1E95"/>
    <w:rsid w:val="006C32E4"/>
    <w:rsid w:val="006C400A"/>
    <w:rsid w:val="006C4B20"/>
    <w:rsid w:val="006C4C0A"/>
    <w:rsid w:val="006C54B0"/>
    <w:rsid w:val="006C5B02"/>
    <w:rsid w:val="006C6176"/>
    <w:rsid w:val="006C67B4"/>
    <w:rsid w:val="006C74DC"/>
    <w:rsid w:val="006C7E80"/>
    <w:rsid w:val="006D06C8"/>
    <w:rsid w:val="006D0932"/>
    <w:rsid w:val="006D2119"/>
    <w:rsid w:val="006D37D9"/>
    <w:rsid w:val="006D3DBA"/>
    <w:rsid w:val="006D3E4B"/>
    <w:rsid w:val="006D4089"/>
    <w:rsid w:val="006D420D"/>
    <w:rsid w:val="006D4568"/>
    <w:rsid w:val="006D5F06"/>
    <w:rsid w:val="006D66EA"/>
    <w:rsid w:val="006D6C0F"/>
    <w:rsid w:val="006D7476"/>
    <w:rsid w:val="006D7F36"/>
    <w:rsid w:val="006E041D"/>
    <w:rsid w:val="006E0D36"/>
    <w:rsid w:val="006E0D59"/>
    <w:rsid w:val="006E1413"/>
    <w:rsid w:val="006E1923"/>
    <w:rsid w:val="006E2DEB"/>
    <w:rsid w:val="006E2EE5"/>
    <w:rsid w:val="006E3828"/>
    <w:rsid w:val="006E45F7"/>
    <w:rsid w:val="006E46A0"/>
    <w:rsid w:val="006E510B"/>
    <w:rsid w:val="006E5254"/>
    <w:rsid w:val="006E66C6"/>
    <w:rsid w:val="006E67BF"/>
    <w:rsid w:val="006E69D3"/>
    <w:rsid w:val="006E6DBD"/>
    <w:rsid w:val="006F06A4"/>
    <w:rsid w:val="006F19D7"/>
    <w:rsid w:val="006F5732"/>
    <w:rsid w:val="006F58A2"/>
    <w:rsid w:val="006F60E8"/>
    <w:rsid w:val="006F7949"/>
    <w:rsid w:val="006F7B56"/>
    <w:rsid w:val="00700A55"/>
    <w:rsid w:val="00701423"/>
    <w:rsid w:val="007014D6"/>
    <w:rsid w:val="00701632"/>
    <w:rsid w:val="00701889"/>
    <w:rsid w:val="00701E1F"/>
    <w:rsid w:val="00702242"/>
    <w:rsid w:val="007037FE"/>
    <w:rsid w:val="00703D7C"/>
    <w:rsid w:val="007040AC"/>
    <w:rsid w:val="0070488C"/>
    <w:rsid w:val="00704D22"/>
    <w:rsid w:val="00705C94"/>
    <w:rsid w:val="00706140"/>
    <w:rsid w:val="00707995"/>
    <w:rsid w:val="00707DB5"/>
    <w:rsid w:val="007105AB"/>
    <w:rsid w:val="0071125E"/>
    <w:rsid w:val="00713272"/>
    <w:rsid w:val="00713BD4"/>
    <w:rsid w:val="00714501"/>
    <w:rsid w:val="007156CE"/>
    <w:rsid w:val="00716002"/>
    <w:rsid w:val="00717D57"/>
    <w:rsid w:val="007202B6"/>
    <w:rsid w:val="00721116"/>
    <w:rsid w:val="0072136B"/>
    <w:rsid w:val="007220C0"/>
    <w:rsid w:val="0072431A"/>
    <w:rsid w:val="007262BD"/>
    <w:rsid w:val="00726980"/>
    <w:rsid w:val="0072758D"/>
    <w:rsid w:val="007277E3"/>
    <w:rsid w:val="00727D45"/>
    <w:rsid w:val="00730D43"/>
    <w:rsid w:val="007319C3"/>
    <w:rsid w:val="00732DA4"/>
    <w:rsid w:val="00733185"/>
    <w:rsid w:val="00734401"/>
    <w:rsid w:val="00734865"/>
    <w:rsid w:val="00735525"/>
    <w:rsid w:val="007358AF"/>
    <w:rsid w:val="00735C5A"/>
    <w:rsid w:val="0073666E"/>
    <w:rsid w:val="00737D83"/>
    <w:rsid w:val="00740030"/>
    <w:rsid w:val="0074035A"/>
    <w:rsid w:val="007406EC"/>
    <w:rsid w:val="00742FA2"/>
    <w:rsid w:val="007433CC"/>
    <w:rsid w:val="00744098"/>
    <w:rsid w:val="007443F6"/>
    <w:rsid w:val="00744F0D"/>
    <w:rsid w:val="00745768"/>
    <w:rsid w:val="0074679E"/>
    <w:rsid w:val="00750099"/>
    <w:rsid w:val="007503A3"/>
    <w:rsid w:val="00750B5E"/>
    <w:rsid w:val="00751C88"/>
    <w:rsid w:val="007522A3"/>
    <w:rsid w:val="00752481"/>
    <w:rsid w:val="0075271B"/>
    <w:rsid w:val="00752873"/>
    <w:rsid w:val="00752A47"/>
    <w:rsid w:val="00752FE8"/>
    <w:rsid w:val="0075329F"/>
    <w:rsid w:val="00753438"/>
    <w:rsid w:val="007543BD"/>
    <w:rsid w:val="007545DE"/>
    <w:rsid w:val="00756F9A"/>
    <w:rsid w:val="00757FCD"/>
    <w:rsid w:val="0076049F"/>
    <w:rsid w:val="00762368"/>
    <w:rsid w:val="007624B7"/>
    <w:rsid w:val="00762563"/>
    <w:rsid w:val="00762B49"/>
    <w:rsid w:val="00762BDD"/>
    <w:rsid w:val="007631D4"/>
    <w:rsid w:val="00763E1F"/>
    <w:rsid w:val="00763F63"/>
    <w:rsid w:val="0076445E"/>
    <w:rsid w:val="0076475C"/>
    <w:rsid w:val="00764957"/>
    <w:rsid w:val="007650E4"/>
    <w:rsid w:val="0076510E"/>
    <w:rsid w:val="00767692"/>
    <w:rsid w:val="00770D88"/>
    <w:rsid w:val="00770ED5"/>
    <w:rsid w:val="00771DED"/>
    <w:rsid w:val="00772095"/>
    <w:rsid w:val="00772615"/>
    <w:rsid w:val="00772C04"/>
    <w:rsid w:val="00773303"/>
    <w:rsid w:val="00773941"/>
    <w:rsid w:val="00773F00"/>
    <w:rsid w:val="00774613"/>
    <w:rsid w:val="00774F4F"/>
    <w:rsid w:val="007754AE"/>
    <w:rsid w:val="00775E63"/>
    <w:rsid w:val="00776F85"/>
    <w:rsid w:val="00777B30"/>
    <w:rsid w:val="0078013D"/>
    <w:rsid w:val="0078019A"/>
    <w:rsid w:val="00780F93"/>
    <w:rsid w:val="00781041"/>
    <w:rsid w:val="00781091"/>
    <w:rsid w:val="0078122A"/>
    <w:rsid w:val="00785920"/>
    <w:rsid w:val="00785A50"/>
    <w:rsid w:val="00786F58"/>
    <w:rsid w:val="0079015D"/>
    <w:rsid w:val="007906AA"/>
    <w:rsid w:val="00790FC5"/>
    <w:rsid w:val="007911A4"/>
    <w:rsid w:val="007920D3"/>
    <w:rsid w:val="007929DC"/>
    <w:rsid w:val="00792CC9"/>
    <w:rsid w:val="0079309E"/>
    <w:rsid w:val="00793C30"/>
    <w:rsid w:val="00794BBA"/>
    <w:rsid w:val="00794CC2"/>
    <w:rsid w:val="00795C4E"/>
    <w:rsid w:val="0079646F"/>
    <w:rsid w:val="007965AD"/>
    <w:rsid w:val="007977DE"/>
    <w:rsid w:val="007A014D"/>
    <w:rsid w:val="007A1ECE"/>
    <w:rsid w:val="007A2891"/>
    <w:rsid w:val="007A55A8"/>
    <w:rsid w:val="007A568E"/>
    <w:rsid w:val="007A6675"/>
    <w:rsid w:val="007A689E"/>
    <w:rsid w:val="007A7B28"/>
    <w:rsid w:val="007B0DE6"/>
    <w:rsid w:val="007B2965"/>
    <w:rsid w:val="007B2D43"/>
    <w:rsid w:val="007B450F"/>
    <w:rsid w:val="007B4E80"/>
    <w:rsid w:val="007B50BF"/>
    <w:rsid w:val="007B59ED"/>
    <w:rsid w:val="007B5BB2"/>
    <w:rsid w:val="007B6C1D"/>
    <w:rsid w:val="007B75B7"/>
    <w:rsid w:val="007B7606"/>
    <w:rsid w:val="007B7F2D"/>
    <w:rsid w:val="007C02D9"/>
    <w:rsid w:val="007C196E"/>
    <w:rsid w:val="007C21A0"/>
    <w:rsid w:val="007C2CE8"/>
    <w:rsid w:val="007C3A70"/>
    <w:rsid w:val="007C4370"/>
    <w:rsid w:val="007C56D1"/>
    <w:rsid w:val="007C5B4E"/>
    <w:rsid w:val="007C5CE6"/>
    <w:rsid w:val="007C5DC8"/>
    <w:rsid w:val="007C5E58"/>
    <w:rsid w:val="007C6854"/>
    <w:rsid w:val="007D1519"/>
    <w:rsid w:val="007D1F48"/>
    <w:rsid w:val="007D243A"/>
    <w:rsid w:val="007D32D0"/>
    <w:rsid w:val="007D3E38"/>
    <w:rsid w:val="007D5FE2"/>
    <w:rsid w:val="007D653E"/>
    <w:rsid w:val="007D66A8"/>
    <w:rsid w:val="007D67F3"/>
    <w:rsid w:val="007D6E06"/>
    <w:rsid w:val="007D79CB"/>
    <w:rsid w:val="007E01AE"/>
    <w:rsid w:val="007E0FA8"/>
    <w:rsid w:val="007E2713"/>
    <w:rsid w:val="007E3A9B"/>
    <w:rsid w:val="007E3B9D"/>
    <w:rsid w:val="007E48FF"/>
    <w:rsid w:val="007E5101"/>
    <w:rsid w:val="007E5C89"/>
    <w:rsid w:val="007E6C31"/>
    <w:rsid w:val="007E71AC"/>
    <w:rsid w:val="007F00FA"/>
    <w:rsid w:val="007F1245"/>
    <w:rsid w:val="007F1A45"/>
    <w:rsid w:val="007F1CA7"/>
    <w:rsid w:val="007F2A01"/>
    <w:rsid w:val="007F37D9"/>
    <w:rsid w:val="007F4619"/>
    <w:rsid w:val="007F499D"/>
    <w:rsid w:val="007F5315"/>
    <w:rsid w:val="007F5AE5"/>
    <w:rsid w:val="007F5CCA"/>
    <w:rsid w:val="007F5F88"/>
    <w:rsid w:val="007F60B8"/>
    <w:rsid w:val="007F7E8B"/>
    <w:rsid w:val="00800525"/>
    <w:rsid w:val="00800C33"/>
    <w:rsid w:val="00800F34"/>
    <w:rsid w:val="0080214C"/>
    <w:rsid w:val="008027CE"/>
    <w:rsid w:val="00803A24"/>
    <w:rsid w:val="00803C5E"/>
    <w:rsid w:val="00804017"/>
    <w:rsid w:val="008045FB"/>
    <w:rsid w:val="00804E77"/>
    <w:rsid w:val="008061A4"/>
    <w:rsid w:val="008064BE"/>
    <w:rsid w:val="00810E43"/>
    <w:rsid w:val="00810EA8"/>
    <w:rsid w:val="008119F1"/>
    <w:rsid w:val="00812C54"/>
    <w:rsid w:val="00812ED0"/>
    <w:rsid w:val="00812FB2"/>
    <w:rsid w:val="00814625"/>
    <w:rsid w:val="0081504C"/>
    <w:rsid w:val="00815488"/>
    <w:rsid w:val="008159FC"/>
    <w:rsid w:val="00816560"/>
    <w:rsid w:val="0081678C"/>
    <w:rsid w:val="00817040"/>
    <w:rsid w:val="00820579"/>
    <w:rsid w:val="008209B0"/>
    <w:rsid w:val="00821003"/>
    <w:rsid w:val="008210C1"/>
    <w:rsid w:val="00821B93"/>
    <w:rsid w:val="00822054"/>
    <w:rsid w:val="00822BBA"/>
    <w:rsid w:val="008253AC"/>
    <w:rsid w:val="00825566"/>
    <w:rsid w:val="00825AC0"/>
    <w:rsid w:val="00825FE0"/>
    <w:rsid w:val="00827368"/>
    <w:rsid w:val="00827999"/>
    <w:rsid w:val="00830B4C"/>
    <w:rsid w:val="008338AF"/>
    <w:rsid w:val="00833C0B"/>
    <w:rsid w:val="00833D39"/>
    <w:rsid w:val="008357F0"/>
    <w:rsid w:val="008362A6"/>
    <w:rsid w:val="008363C8"/>
    <w:rsid w:val="00836F39"/>
    <w:rsid w:val="00840BE7"/>
    <w:rsid w:val="008424C5"/>
    <w:rsid w:val="00842AAE"/>
    <w:rsid w:val="00843037"/>
    <w:rsid w:val="00843A42"/>
    <w:rsid w:val="00844108"/>
    <w:rsid w:val="008445F5"/>
    <w:rsid w:val="00844F2D"/>
    <w:rsid w:val="008468AE"/>
    <w:rsid w:val="0084742B"/>
    <w:rsid w:val="00847780"/>
    <w:rsid w:val="00847BD5"/>
    <w:rsid w:val="00847C74"/>
    <w:rsid w:val="00851D1F"/>
    <w:rsid w:val="00855E69"/>
    <w:rsid w:val="00856A9E"/>
    <w:rsid w:val="00856D5E"/>
    <w:rsid w:val="00856DAB"/>
    <w:rsid w:val="00857A49"/>
    <w:rsid w:val="00861F11"/>
    <w:rsid w:val="00862109"/>
    <w:rsid w:val="00862519"/>
    <w:rsid w:val="00862F60"/>
    <w:rsid w:val="008638BB"/>
    <w:rsid w:val="00863980"/>
    <w:rsid w:val="00863B86"/>
    <w:rsid w:val="008651CC"/>
    <w:rsid w:val="008654FC"/>
    <w:rsid w:val="00865B22"/>
    <w:rsid w:val="0086727D"/>
    <w:rsid w:val="00867CF3"/>
    <w:rsid w:val="00867E33"/>
    <w:rsid w:val="00873332"/>
    <w:rsid w:val="0087478D"/>
    <w:rsid w:val="00874B70"/>
    <w:rsid w:val="008750D3"/>
    <w:rsid w:val="00876DD7"/>
    <w:rsid w:val="00877A07"/>
    <w:rsid w:val="008821AD"/>
    <w:rsid w:val="00882FB4"/>
    <w:rsid w:val="00884004"/>
    <w:rsid w:val="008842FC"/>
    <w:rsid w:val="008850FF"/>
    <w:rsid w:val="0088586C"/>
    <w:rsid w:val="00885A5C"/>
    <w:rsid w:val="00886B20"/>
    <w:rsid w:val="00890FB1"/>
    <w:rsid w:val="00891EA3"/>
    <w:rsid w:val="008926CC"/>
    <w:rsid w:val="00892BE1"/>
    <w:rsid w:val="00893049"/>
    <w:rsid w:val="0089310B"/>
    <w:rsid w:val="00893168"/>
    <w:rsid w:val="008959C6"/>
    <w:rsid w:val="00895B8D"/>
    <w:rsid w:val="008960A8"/>
    <w:rsid w:val="00896CAB"/>
    <w:rsid w:val="00896D9E"/>
    <w:rsid w:val="00897F04"/>
    <w:rsid w:val="008A159E"/>
    <w:rsid w:val="008A1627"/>
    <w:rsid w:val="008A19A5"/>
    <w:rsid w:val="008A32BD"/>
    <w:rsid w:val="008A3F8C"/>
    <w:rsid w:val="008A4065"/>
    <w:rsid w:val="008A49ED"/>
    <w:rsid w:val="008A4B81"/>
    <w:rsid w:val="008A77E4"/>
    <w:rsid w:val="008A7F86"/>
    <w:rsid w:val="008B1AA3"/>
    <w:rsid w:val="008B234F"/>
    <w:rsid w:val="008B2EAF"/>
    <w:rsid w:val="008B3E3C"/>
    <w:rsid w:val="008B483D"/>
    <w:rsid w:val="008B5955"/>
    <w:rsid w:val="008B6D68"/>
    <w:rsid w:val="008B725B"/>
    <w:rsid w:val="008B757A"/>
    <w:rsid w:val="008B772F"/>
    <w:rsid w:val="008B7969"/>
    <w:rsid w:val="008B7C46"/>
    <w:rsid w:val="008B7F1A"/>
    <w:rsid w:val="008C16F9"/>
    <w:rsid w:val="008C304F"/>
    <w:rsid w:val="008C3899"/>
    <w:rsid w:val="008C3BEE"/>
    <w:rsid w:val="008C7383"/>
    <w:rsid w:val="008C74CE"/>
    <w:rsid w:val="008D0049"/>
    <w:rsid w:val="008D02AC"/>
    <w:rsid w:val="008D0F44"/>
    <w:rsid w:val="008D1A80"/>
    <w:rsid w:val="008D2338"/>
    <w:rsid w:val="008D24C1"/>
    <w:rsid w:val="008D24E7"/>
    <w:rsid w:val="008D2B99"/>
    <w:rsid w:val="008D2C10"/>
    <w:rsid w:val="008D4069"/>
    <w:rsid w:val="008D469C"/>
    <w:rsid w:val="008D4DED"/>
    <w:rsid w:val="008D5E87"/>
    <w:rsid w:val="008D732C"/>
    <w:rsid w:val="008D7367"/>
    <w:rsid w:val="008E0664"/>
    <w:rsid w:val="008E0CEC"/>
    <w:rsid w:val="008E0E6C"/>
    <w:rsid w:val="008E1986"/>
    <w:rsid w:val="008E26B2"/>
    <w:rsid w:val="008E36FB"/>
    <w:rsid w:val="008E3EBB"/>
    <w:rsid w:val="008E4383"/>
    <w:rsid w:val="008E49F1"/>
    <w:rsid w:val="008E4ADD"/>
    <w:rsid w:val="008E4DFA"/>
    <w:rsid w:val="008E5751"/>
    <w:rsid w:val="008E5DCC"/>
    <w:rsid w:val="008E6313"/>
    <w:rsid w:val="008E6F91"/>
    <w:rsid w:val="008E718A"/>
    <w:rsid w:val="008E7BB1"/>
    <w:rsid w:val="008F0029"/>
    <w:rsid w:val="008F0155"/>
    <w:rsid w:val="008F19A2"/>
    <w:rsid w:val="008F32D2"/>
    <w:rsid w:val="008F3A0B"/>
    <w:rsid w:val="008F3BDF"/>
    <w:rsid w:val="008F487F"/>
    <w:rsid w:val="008F572D"/>
    <w:rsid w:val="008F6B7A"/>
    <w:rsid w:val="008F7CAD"/>
    <w:rsid w:val="00900624"/>
    <w:rsid w:val="009009A9"/>
    <w:rsid w:val="009013F0"/>
    <w:rsid w:val="0090145E"/>
    <w:rsid w:val="0090244B"/>
    <w:rsid w:val="00902884"/>
    <w:rsid w:val="009032E4"/>
    <w:rsid w:val="009033EB"/>
    <w:rsid w:val="00906D64"/>
    <w:rsid w:val="00906EF4"/>
    <w:rsid w:val="00907883"/>
    <w:rsid w:val="00912ED8"/>
    <w:rsid w:val="00912F9A"/>
    <w:rsid w:val="009160CF"/>
    <w:rsid w:val="00917287"/>
    <w:rsid w:val="009205B0"/>
    <w:rsid w:val="0092080C"/>
    <w:rsid w:val="0092134B"/>
    <w:rsid w:val="009221AC"/>
    <w:rsid w:val="009224F2"/>
    <w:rsid w:val="009225B3"/>
    <w:rsid w:val="00922A15"/>
    <w:rsid w:val="0092456D"/>
    <w:rsid w:val="00924C9C"/>
    <w:rsid w:val="00925590"/>
    <w:rsid w:val="00925C68"/>
    <w:rsid w:val="00925EBC"/>
    <w:rsid w:val="0092657F"/>
    <w:rsid w:val="00926967"/>
    <w:rsid w:val="00927518"/>
    <w:rsid w:val="009278B4"/>
    <w:rsid w:val="00927953"/>
    <w:rsid w:val="00927BD5"/>
    <w:rsid w:val="00927C79"/>
    <w:rsid w:val="00927FC3"/>
    <w:rsid w:val="00930557"/>
    <w:rsid w:val="009312C7"/>
    <w:rsid w:val="0093170E"/>
    <w:rsid w:val="009332BA"/>
    <w:rsid w:val="00933397"/>
    <w:rsid w:val="00933706"/>
    <w:rsid w:val="0093465C"/>
    <w:rsid w:val="009346C4"/>
    <w:rsid w:val="00934A8F"/>
    <w:rsid w:val="009350BF"/>
    <w:rsid w:val="009359A1"/>
    <w:rsid w:val="009367D9"/>
    <w:rsid w:val="009401A8"/>
    <w:rsid w:val="00941909"/>
    <w:rsid w:val="009435CD"/>
    <w:rsid w:val="0094396D"/>
    <w:rsid w:val="0094420F"/>
    <w:rsid w:val="00944846"/>
    <w:rsid w:val="00945EA1"/>
    <w:rsid w:val="009469B5"/>
    <w:rsid w:val="009473CE"/>
    <w:rsid w:val="00947563"/>
    <w:rsid w:val="00947A5C"/>
    <w:rsid w:val="009508D4"/>
    <w:rsid w:val="00950D10"/>
    <w:rsid w:val="00950F84"/>
    <w:rsid w:val="00952B7A"/>
    <w:rsid w:val="0095425C"/>
    <w:rsid w:val="00954DC0"/>
    <w:rsid w:val="00955978"/>
    <w:rsid w:val="009560F0"/>
    <w:rsid w:val="009566EF"/>
    <w:rsid w:val="00957B1D"/>
    <w:rsid w:val="00957BF9"/>
    <w:rsid w:val="00960EC8"/>
    <w:rsid w:val="009637F9"/>
    <w:rsid w:val="00963AA1"/>
    <w:rsid w:val="009646D8"/>
    <w:rsid w:val="009658B2"/>
    <w:rsid w:val="009659E0"/>
    <w:rsid w:val="00966710"/>
    <w:rsid w:val="009674A0"/>
    <w:rsid w:val="00967B54"/>
    <w:rsid w:val="00970AD2"/>
    <w:rsid w:val="0097113C"/>
    <w:rsid w:val="00971C7B"/>
    <w:rsid w:val="00971DA8"/>
    <w:rsid w:val="00971DDD"/>
    <w:rsid w:val="0097213C"/>
    <w:rsid w:val="00972753"/>
    <w:rsid w:val="00973026"/>
    <w:rsid w:val="00974119"/>
    <w:rsid w:val="009741CB"/>
    <w:rsid w:val="00974E3E"/>
    <w:rsid w:val="00976A8C"/>
    <w:rsid w:val="0097721C"/>
    <w:rsid w:val="00982912"/>
    <w:rsid w:val="00982918"/>
    <w:rsid w:val="00982AEF"/>
    <w:rsid w:val="00982E37"/>
    <w:rsid w:val="00983AAA"/>
    <w:rsid w:val="00983F4B"/>
    <w:rsid w:val="0098418F"/>
    <w:rsid w:val="00984A6F"/>
    <w:rsid w:val="009859D1"/>
    <w:rsid w:val="009875D2"/>
    <w:rsid w:val="00990DA1"/>
    <w:rsid w:val="00990FFB"/>
    <w:rsid w:val="00992EA9"/>
    <w:rsid w:val="00992F5E"/>
    <w:rsid w:val="00993083"/>
    <w:rsid w:val="00993E78"/>
    <w:rsid w:val="00995141"/>
    <w:rsid w:val="009964E9"/>
    <w:rsid w:val="00996DF6"/>
    <w:rsid w:val="009972CA"/>
    <w:rsid w:val="009A0846"/>
    <w:rsid w:val="009A0F21"/>
    <w:rsid w:val="009A1561"/>
    <w:rsid w:val="009A1BFB"/>
    <w:rsid w:val="009A32DF"/>
    <w:rsid w:val="009A42CF"/>
    <w:rsid w:val="009A4886"/>
    <w:rsid w:val="009A48FD"/>
    <w:rsid w:val="009A4A88"/>
    <w:rsid w:val="009A5A3F"/>
    <w:rsid w:val="009A6F33"/>
    <w:rsid w:val="009B07A9"/>
    <w:rsid w:val="009B08D9"/>
    <w:rsid w:val="009B08DD"/>
    <w:rsid w:val="009B140A"/>
    <w:rsid w:val="009B16A0"/>
    <w:rsid w:val="009B179E"/>
    <w:rsid w:val="009B1CF9"/>
    <w:rsid w:val="009B34C8"/>
    <w:rsid w:val="009B4D01"/>
    <w:rsid w:val="009B546B"/>
    <w:rsid w:val="009B5D2F"/>
    <w:rsid w:val="009B60C4"/>
    <w:rsid w:val="009B752F"/>
    <w:rsid w:val="009B7AFD"/>
    <w:rsid w:val="009C08DC"/>
    <w:rsid w:val="009C0B76"/>
    <w:rsid w:val="009C1126"/>
    <w:rsid w:val="009C1F07"/>
    <w:rsid w:val="009C201E"/>
    <w:rsid w:val="009C79AD"/>
    <w:rsid w:val="009C7A03"/>
    <w:rsid w:val="009D0335"/>
    <w:rsid w:val="009D2508"/>
    <w:rsid w:val="009D363A"/>
    <w:rsid w:val="009D37D2"/>
    <w:rsid w:val="009D3DA2"/>
    <w:rsid w:val="009D4E2D"/>
    <w:rsid w:val="009D51E8"/>
    <w:rsid w:val="009D5C39"/>
    <w:rsid w:val="009D6C16"/>
    <w:rsid w:val="009D7263"/>
    <w:rsid w:val="009D7321"/>
    <w:rsid w:val="009D745C"/>
    <w:rsid w:val="009E0074"/>
    <w:rsid w:val="009E013A"/>
    <w:rsid w:val="009E0ACD"/>
    <w:rsid w:val="009E1F33"/>
    <w:rsid w:val="009E3AA5"/>
    <w:rsid w:val="009E51C0"/>
    <w:rsid w:val="009E6205"/>
    <w:rsid w:val="009E66F7"/>
    <w:rsid w:val="009E69EF"/>
    <w:rsid w:val="009E6B90"/>
    <w:rsid w:val="009E72F0"/>
    <w:rsid w:val="009E762B"/>
    <w:rsid w:val="009F138A"/>
    <w:rsid w:val="009F24F8"/>
    <w:rsid w:val="009F262A"/>
    <w:rsid w:val="009F2D01"/>
    <w:rsid w:val="009F301C"/>
    <w:rsid w:val="009F39A9"/>
    <w:rsid w:val="009F4073"/>
    <w:rsid w:val="009F438A"/>
    <w:rsid w:val="009F4566"/>
    <w:rsid w:val="009F50E2"/>
    <w:rsid w:val="009F6121"/>
    <w:rsid w:val="009F64CA"/>
    <w:rsid w:val="009F65CA"/>
    <w:rsid w:val="009F687A"/>
    <w:rsid w:val="009F7160"/>
    <w:rsid w:val="00A007F4"/>
    <w:rsid w:val="00A01EB1"/>
    <w:rsid w:val="00A02412"/>
    <w:rsid w:val="00A025B8"/>
    <w:rsid w:val="00A02857"/>
    <w:rsid w:val="00A02C66"/>
    <w:rsid w:val="00A02E79"/>
    <w:rsid w:val="00A033BB"/>
    <w:rsid w:val="00A03D1A"/>
    <w:rsid w:val="00A03E8F"/>
    <w:rsid w:val="00A0428E"/>
    <w:rsid w:val="00A046F1"/>
    <w:rsid w:val="00A04956"/>
    <w:rsid w:val="00A0549E"/>
    <w:rsid w:val="00A05AA7"/>
    <w:rsid w:val="00A06472"/>
    <w:rsid w:val="00A06780"/>
    <w:rsid w:val="00A10862"/>
    <w:rsid w:val="00A10E25"/>
    <w:rsid w:val="00A115D7"/>
    <w:rsid w:val="00A119CF"/>
    <w:rsid w:val="00A12853"/>
    <w:rsid w:val="00A12CC4"/>
    <w:rsid w:val="00A13DFB"/>
    <w:rsid w:val="00A13FE8"/>
    <w:rsid w:val="00A140DE"/>
    <w:rsid w:val="00A14634"/>
    <w:rsid w:val="00A15343"/>
    <w:rsid w:val="00A16A32"/>
    <w:rsid w:val="00A16D1F"/>
    <w:rsid w:val="00A173FC"/>
    <w:rsid w:val="00A1749E"/>
    <w:rsid w:val="00A17F10"/>
    <w:rsid w:val="00A207E2"/>
    <w:rsid w:val="00A20856"/>
    <w:rsid w:val="00A20CD2"/>
    <w:rsid w:val="00A21616"/>
    <w:rsid w:val="00A21C40"/>
    <w:rsid w:val="00A21D69"/>
    <w:rsid w:val="00A21DA5"/>
    <w:rsid w:val="00A22328"/>
    <w:rsid w:val="00A228C0"/>
    <w:rsid w:val="00A22E58"/>
    <w:rsid w:val="00A22F56"/>
    <w:rsid w:val="00A2426D"/>
    <w:rsid w:val="00A24FB8"/>
    <w:rsid w:val="00A260ED"/>
    <w:rsid w:val="00A30051"/>
    <w:rsid w:val="00A32998"/>
    <w:rsid w:val="00A32BC1"/>
    <w:rsid w:val="00A32CC3"/>
    <w:rsid w:val="00A3340F"/>
    <w:rsid w:val="00A341FD"/>
    <w:rsid w:val="00A3466E"/>
    <w:rsid w:val="00A35947"/>
    <w:rsid w:val="00A36150"/>
    <w:rsid w:val="00A36570"/>
    <w:rsid w:val="00A37B47"/>
    <w:rsid w:val="00A404AE"/>
    <w:rsid w:val="00A40A1A"/>
    <w:rsid w:val="00A4180C"/>
    <w:rsid w:val="00A4317E"/>
    <w:rsid w:val="00A43F39"/>
    <w:rsid w:val="00A44477"/>
    <w:rsid w:val="00A451F7"/>
    <w:rsid w:val="00A4563A"/>
    <w:rsid w:val="00A4777D"/>
    <w:rsid w:val="00A47A26"/>
    <w:rsid w:val="00A47D88"/>
    <w:rsid w:val="00A50383"/>
    <w:rsid w:val="00A51C05"/>
    <w:rsid w:val="00A51D06"/>
    <w:rsid w:val="00A52252"/>
    <w:rsid w:val="00A524D1"/>
    <w:rsid w:val="00A5267E"/>
    <w:rsid w:val="00A5370E"/>
    <w:rsid w:val="00A54851"/>
    <w:rsid w:val="00A54B30"/>
    <w:rsid w:val="00A54C58"/>
    <w:rsid w:val="00A56A25"/>
    <w:rsid w:val="00A570FA"/>
    <w:rsid w:val="00A57955"/>
    <w:rsid w:val="00A60E51"/>
    <w:rsid w:val="00A6129B"/>
    <w:rsid w:val="00A61B38"/>
    <w:rsid w:val="00A61DF7"/>
    <w:rsid w:val="00A63A59"/>
    <w:rsid w:val="00A64AB2"/>
    <w:rsid w:val="00A65FDE"/>
    <w:rsid w:val="00A72319"/>
    <w:rsid w:val="00A7270E"/>
    <w:rsid w:val="00A73822"/>
    <w:rsid w:val="00A73EDC"/>
    <w:rsid w:val="00A74F5C"/>
    <w:rsid w:val="00A766F3"/>
    <w:rsid w:val="00A77D81"/>
    <w:rsid w:val="00A77E1A"/>
    <w:rsid w:val="00A8043B"/>
    <w:rsid w:val="00A80682"/>
    <w:rsid w:val="00A80CE8"/>
    <w:rsid w:val="00A82D49"/>
    <w:rsid w:val="00A832D7"/>
    <w:rsid w:val="00A8358C"/>
    <w:rsid w:val="00A83592"/>
    <w:rsid w:val="00A83993"/>
    <w:rsid w:val="00A84595"/>
    <w:rsid w:val="00A84B94"/>
    <w:rsid w:val="00A86059"/>
    <w:rsid w:val="00A8753B"/>
    <w:rsid w:val="00A876EC"/>
    <w:rsid w:val="00A877D4"/>
    <w:rsid w:val="00A9023D"/>
    <w:rsid w:val="00A9137B"/>
    <w:rsid w:val="00A91780"/>
    <w:rsid w:val="00A91AA7"/>
    <w:rsid w:val="00A92874"/>
    <w:rsid w:val="00A928FE"/>
    <w:rsid w:val="00A92CAD"/>
    <w:rsid w:val="00A948E2"/>
    <w:rsid w:val="00A9519E"/>
    <w:rsid w:val="00A959DD"/>
    <w:rsid w:val="00A95DDE"/>
    <w:rsid w:val="00A95E8E"/>
    <w:rsid w:val="00A96857"/>
    <w:rsid w:val="00A9685E"/>
    <w:rsid w:val="00A97660"/>
    <w:rsid w:val="00A97746"/>
    <w:rsid w:val="00A97D68"/>
    <w:rsid w:val="00AA00FD"/>
    <w:rsid w:val="00AA01EC"/>
    <w:rsid w:val="00AA114C"/>
    <w:rsid w:val="00AA2B8C"/>
    <w:rsid w:val="00AA2D83"/>
    <w:rsid w:val="00AA38F5"/>
    <w:rsid w:val="00AA480F"/>
    <w:rsid w:val="00AA5121"/>
    <w:rsid w:val="00AA5956"/>
    <w:rsid w:val="00AA5994"/>
    <w:rsid w:val="00AA5B6C"/>
    <w:rsid w:val="00AA70D2"/>
    <w:rsid w:val="00AB03AC"/>
    <w:rsid w:val="00AB0892"/>
    <w:rsid w:val="00AB0B4A"/>
    <w:rsid w:val="00AB0DFF"/>
    <w:rsid w:val="00AB3D82"/>
    <w:rsid w:val="00AB3FB3"/>
    <w:rsid w:val="00AB4AA7"/>
    <w:rsid w:val="00AB4EF7"/>
    <w:rsid w:val="00AB6EEA"/>
    <w:rsid w:val="00AC0D99"/>
    <w:rsid w:val="00AC0F80"/>
    <w:rsid w:val="00AC118A"/>
    <w:rsid w:val="00AC1EA2"/>
    <w:rsid w:val="00AC24B0"/>
    <w:rsid w:val="00AC2D2F"/>
    <w:rsid w:val="00AC47DD"/>
    <w:rsid w:val="00AC4D76"/>
    <w:rsid w:val="00AC6021"/>
    <w:rsid w:val="00AC614B"/>
    <w:rsid w:val="00AC7104"/>
    <w:rsid w:val="00AC79F2"/>
    <w:rsid w:val="00AC7B02"/>
    <w:rsid w:val="00AD01AC"/>
    <w:rsid w:val="00AD1821"/>
    <w:rsid w:val="00AD2776"/>
    <w:rsid w:val="00AD6705"/>
    <w:rsid w:val="00AD6FCE"/>
    <w:rsid w:val="00AD7476"/>
    <w:rsid w:val="00AD7F4C"/>
    <w:rsid w:val="00AE06BD"/>
    <w:rsid w:val="00AE06EC"/>
    <w:rsid w:val="00AE38AB"/>
    <w:rsid w:val="00AE53D5"/>
    <w:rsid w:val="00AE5D03"/>
    <w:rsid w:val="00AE62EA"/>
    <w:rsid w:val="00AE6EBE"/>
    <w:rsid w:val="00AE75EF"/>
    <w:rsid w:val="00AE78F3"/>
    <w:rsid w:val="00AF113D"/>
    <w:rsid w:val="00AF1A00"/>
    <w:rsid w:val="00AF3CEB"/>
    <w:rsid w:val="00AF3EB7"/>
    <w:rsid w:val="00AF4849"/>
    <w:rsid w:val="00AF4B9E"/>
    <w:rsid w:val="00AF4D70"/>
    <w:rsid w:val="00AF5521"/>
    <w:rsid w:val="00B00C9E"/>
    <w:rsid w:val="00B00ED7"/>
    <w:rsid w:val="00B0264A"/>
    <w:rsid w:val="00B0291F"/>
    <w:rsid w:val="00B02C04"/>
    <w:rsid w:val="00B02C2F"/>
    <w:rsid w:val="00B034D6"/>
    <w:rsid w:val="00B03B24"/>
    <w:rsid w:val="00B03DDF"/>
    <w:rsid w:val="00B05234"/>
    <w:rsid w:val="00B05306"/>
    <w:rsid w:val="00B056E4"/>
    <w:rsid w:val="00B05B94"/>
    <w:rsid w:val="00B06003"/>
    <w:rsid w:val="00B076ED"/>
    <w:rsid w:val="00B10B00"/>
    <w:rsid w:val="00B11B4C"/>
    <w:rsid w:val="00B14837"/>
    <w:rsid w:val="00B149AA"/>
    <w:rsid w:val="00B14B3C"/>
    <w:rsid w:val="00B15609"/>
    <w:rsid w:val="00B16527"/>
    <w:rsid w:val="00B16B0B"/>
    <w:rsid w:val="00B17562"/>
    <w:rsid w:val="00B17B9C"/>
    <w:rsid w:val="00B200F3"/>
    <w:rsid w:val="00B20781"/>
    <w:rsid w:val="00B20AFE"/>
    <w:rsid w:val="00B20F0D"/>
    <w:rsid w:val="00B211D4"/>
    <w:rsid w:val="00B2132A"/>
    <w:rsid w:val="00B22017"/>
    <w:rsid w:val="00B22FCF"/>
    <w:rsid w:val="00B235A8"/>
    <w:rsid w:val="00B2420A"/>
    <w:rsid w:val="00B2664A"/>
    <w:rsid w:val="00B26929"/>
    <w:rsid w:val="00B26C1C"/>
    <w:rsid w:val="00B26E73"/>
    <w:rsid w:val="00B27154"/>
    <w:rsid w:val="00B27628"/>
    <w:rsid w:val="00B3047B"/>
    <w:rsid w:val="00B30ED9"/>
    <w:rsid w:val="00B31E4B"/>
    <w:rsid w:val="00B328F5"/>
    <w:rsid w:val="00B33055"/>
    <w:rsid w:val="00B33297"/>
    <w:rsid w:val="00B341F9"/>
    <w:rsid w:val="00B34F3E"/>
    <w:rsid w:val="00B3557E"/>
    <w:rsid w:val="00B35619"/>
    <w:rsid w:val="00B36038"/>
    <w:rsid w:val="00B36A1A"/>
    <w:rsid w:val="00B375B2"/>
    <w:rsid w:val="00B37DD9"/>
    <w:rsid w:val="00B413CC"/>
    <w:rsid w:val="00B4160D"/>
    <w:rsid w:val="00B42339"/>
    <w:rsid w:val="00B424C7"/>
    <w:rsid w:val="00B4275E"/>
    <w:rsid w:val="00B42C26"/>
    <w:rsid w:val="00B43CD0"/>
    <w:rsid w:val="00B43DFF"/>
    <w:rsid w:val="00B43EBB"/>
    <w:rsid w:val="00B44267"/>
    <w:rsid w:val="00B45A37"/>
    <w:rsid w:val="00B46537"/>
    <w:rsid w:val="00B5029A"/>
    <w:rsid w:val="00B507B2"/>
    <w:rsid w:val="00B51E2D"/>
    <w:rsid w:val="00B53BDD"/>
    <w:rsid w:val="00B55BA1"/>
    <w:rsid w:val="00B55C52"/>
    <w:rsid w:val="00B5601E"/>
    <w:rsid w:val="00B56360"/>
    <w:rsid w:val="00B564D4"/>
    <w:rsid w:val="00B56EFE"/>
    <w:rsid w:val="00B60F2B"/>
    <w:rsid w:val="00B60FB6"/>
    <w:rsid w:val="00B61DBC"/>
    <w:rsid w:val="00B61DC2"/>
    <w:rsid w:val="00B622EE"/>
    <w:rsid w:val="00B62A91"/>
    <w:rsid w:val="00B62D98"/>
    <w:rsid w:val="00B63AF6"/>
    <w:rsid w:val="00B64CDB"/>
    <w:rsid w:val="00B65848"/>
    <w:rsid w:val="00B66974"/>
    <w:rsid w:val="00B67790"/>
    <w:rsid w:val="00B67C37"/>
    <w:rsid w:val="00B705FE"/>
    <w:rsid w:val="00B7094C"/>
    <w:rsid w:val="00B7225A"/>
    <w:rsid w:val="00B73EEB"/>
    <w:rsid w:val="00B7408F"/>
    <w:rsid w:val="00B74321"/>
    <w:rsid w:val="00B755FE"/>
    <w:rsid w:val="00B75A6A"/>
    <w:rsid w:val="00B75B7C"/>
    <w:rsid w:val="00B75E01"/>
    <w:rsid w:val="00B76565"/>
    <w:rsid w:val="00B810A6"/>
    <w:rsid w:val="00B81AB1"/>
    <w:rsid w:val="00B82876"/>
    <w:rsid w:val="00B82EB4"/>
    <w:rsid w:val="00B84055"/>
    <w:rsid w:val="00B8429E"/>
    <w:rsid w:val="00B8496B"/>
    <w:rsid w:val="00B860AD"/>
    <w:rsid w:val="00B878F6"/>
    <w:rsid w:val="00B903E3"/>
    <w:rsid w:val="00B90439"/>
    <w:rsid w:val="00B904C2"/>
    <w:rsid w:val="00B92E14"/>
    <w:rsid w:val="00B92E2E"/>
    <w:rsid w:val="00B93A29"/>
    <w:rsid w:val="00B949F0"/>
    <w:rsid w:val="00B94BB4"/>
    <w:rsid w:val="00B96E7C"/>
    <w:rsid w:val="00BA0588"/>
    <w:rsid w:val="00BA0903"/>
    <w:rsid w:val="00BA1483"/>
    <w:rsid w:val="00BA184E"/>
    <w:rsid w:val="00BA221F"/>
    <w:rsid w:val="00BA2F49"/>
    <w:rsid w:val="00BA327F"/>
    <w:rsid w:val="00BA38F2"/>
    <w:rsid w:val="00BA401C"/>
    <w:rsid w:val="00BA574E"/>
    <w:rsid w:val="00BA5FBC"/>
    <w:rsid w:val="00BA607B"/>
    <w:rsid w:val="00BA6266"/>
    <w:rsid w:val="00BA7927"/>
    <w:rsid w:val="00BA7AE5"/>
    <w:rsid w:val="00BB0495"/>
    <w:rsid w:val="00BB1344"/>
    <w:rsid w:val="00BB1D4A"/>
    <w:rsid w:val="00BB2F5A"/>
    <w:rsid w:val="00BB35C6"/>
    <w:rsid w:val="00BB3724"/>
    <w:rsid w:val="00BB56FA"/>
    <w:rsid w:val="00BB5EF5"/>
    <w:rsid w:val="00BB69C8"/>
    <w:rsid w:val="00BC1041"/>
    <w:rsid w:val="00BC1ED0"/>
    <w:rsid w:val="00BC39D5"/>
    <w:rsid w:val="00BC73AB"/>
    <w:rsid w:val="00BD138A"/>
    <w:rsid w:val="00BD1F09"/>
    <w:rsid w:val="00BD1F42"/>
    <w:rsid w:val="00BD20DD"/>
    <w:rsid w:val="00BD27C2"/>
    <w:rsid w:val="00BD2907"/>
    <w:rsid w:val="00BD3A5E"/>
    <w:rsid w:val="00BD486C"/>
    <w:rsid w:val="00BD6168"/>
    <w:rsid w:val="00BD61A3"/>
    <w:rsid w:val="00BD67F8"/>
    <w:rsid w:val="00BD6B8C"/>
    <w:rsid w:val="00BE2B70"/>
    <w:rsid w:val="00BE3C7F"/>
    <w:rsid w:val="00BE7551"/>
    <w:rsid w:val="00BF005C"/>
    <w:rsid w:val="00BF0801"/>
    <w:rsid w:val="00BF0A6B"/>
    <w:rsid w:val="00BF0C0E"/>
    <w:rsid w:val="00BF0E01"/>
    <w:rsid w:val="00BF15BC"/>
    <w:rsid w:val="00BF15C6"/>
    <w:rsid w:val="00BF1C93"/>
    <w:rsid w:val="00BF283E"/>
    <w:rsid w:val="00BF2A64"/>
    <w:rsid w:val="00BF3235"/>
    <w:rsid w:val="00BF3A70"/>
    <w:rsid w:val="00BF45C3"/>
    <w:rsid w:val="00BF4885"/>
    <w:rsid w:val="00BF5426"/>
    <w:rsid w:val="00BF596E"/>
    <w:rsid w:val="00BF73BF"/>
    <w:rsid w:val="00BF758A"/>
    <w:rsid w:val="00BF76FD"/>
    <w:rsid w:val="00BF7779"/>
    <w:rsid w:val="00BF7CCF"/>
    <w:rsid w:val="00C010AE"/>
    <w:rsid w:val="00C02A93"/>
    <w:rsid w:val="00C05755"/>
    <w:rsid w:val="00C06B36"/>
    <w:rsid w:val="00C06E5D"/>
    <w:rsid w:val="00C071A7"/>
    <w:rsid w:val="00C074E8"/>
    <w:rsid w:val="00C07F85"/>
    <w:rsid w:val="00C10361"/>
    <w:rsid w:val="00C103ED"/>
    <w:rsid w:val="00C10E39"/>
    <w:rsid w:val="00C10FBC"/>
    <w:rsid w:val="00C112C3"/>
    <w:rsid w:val="00C11451"/>
    <w:rsid w:val="00C118E8"/>
    <w:rsid w:val="00C11DAC"/>
    <w:rsid w:val="00C1209F"/>
    <w:rsid w:val="00C126A0"/>
    <w:rsid w:val="00C127A8"/>
    <w:rsid w:val="00C12A1C"/>
    <w:rsid w:val="00C12D89"/>
    <w:rsid w:val="00C141AF"/>
    <w:rsid w:val="00C142C3"/>
    <w:rsid w:val="00C14926"/>
    <w:rsid w:val="00C15E46"/>
    <w:rsid w:val="00C16C0F"/>
    <w:rsid w:val="00C16CAD"/>
    <w:rsid w:val="00C20FE8"/>
    <w:rsid w:val="00C22453"/>
    <w:rsid w:val="00C2463A"/>
    <w:rsid w:val="00C252D9"/>
    <w:rsid w:val="00C2593E"/>
    <w:rsid w:val="00C2596A"/>
    <w:rsid w:val="00C263D3"/>
    <w:rsid w:val="00C26569"/>
    <w:rsid w:val="00C26AB4"/>
    <w:rsid w:val="00C27053"/>
    <w:rsid w:val="00C27D9E"/>
    <w:rsid w:val="00C30B78"/>
    <w:rsid w:val="00C32BD1"/>
    <w:rsid w:val="00C32E15"/>
    <w:rsid w:val="00C33017"/>
    <w:rsid w:val="00C3330B"/>
    <w:rsid w:val="00C34566"/>
    <w:rsid w:val="00C349D9"/>
    <w:rsid w:val="00C357F0"/>
    <w:rsid w:val="00C37011"/>
    <w:rsid w:val="00C40C52"/>
    <w:rsid w:val="00C414D4"/>
    <w:rsid w:val="00C42A4B"/>
    <w:rsid w:val="00C43046"/>
    <w:rsid w:val="00C43D09"/>
    <w:rsid w:val="00C43E31"/>
    <w:rsid w:val="00C4514C"/>
    <w:rsid w:val="00C45374"/>
    <w:rsid w:val="00C453BE"/>
    <w:rsid w:val="00C45936"/>
    <w:rsid w:val="00C46B2D"/>
    <w:rsid w:val="00C46B64"/>
    <w:rsid w:val="00C4724E"/>
    <w:rsid w:val="00C47CB9"/>
    <w:rsid w:val="00C50205"/>
    <w:rsid w:val="00C51740"/>
    <w:rsid w:val="00C51992"/>
    <w:rsid w:val="00C52D4A"/>
    <w:rsid w:val="00C53392"/>
    <w:rsid w:val="00C543C1"/>
    <w:rsid w:val="00C54751"/>
    <w:rsid w:val="00C556FD"/>
    <w:rsid w:val="00C56536"/>
    <w:rsid w:val="00C56662"/>
    <w:rsid w:val="00C56742"/>
    <w:rsid w:val="00C56FF6"/>
    <w:rsid w:val="00C5744D"/>
    <w:rsid w:val="00C62853"/>
    <w:rsid w:val="00C63084"/>
    <w:rsid w:val="00C63AFE"/>
    <w:rsid w:val="00C64264"/>
    <w:rsid w:val="00C64350"/>
    <w:rsid w:val="00C651C1"/>
    <w:rsid w:val="00C652BD"/>
    <w:rsid w:val="00C65FE0"/>
    <w:rsid w:val="00C662ED"/>
    <w:rsid w:val="00C6651C"/>
    <w:rsid w:val="00C66D9C"/>
    <w:rsid w:val="00C678BA"/>
    <w:rsid w:val="00C714B0"/>
    <w:rsid w:val="00C71FC2"/>
    <w:rsid w:val="00C71FF5"/>
    <w:rsid w:val="00C72161"/>
    <w:rsid w:val="00C72AC2"/>
    <w:rsid w:val="00C73F80"/>
    <w:rsid w:val="00C7426C"/>
    <w:rsid w:val="00C74A38"/>
    <w:rsid w:val="00C74CFA"/>
    <w:rsid w:val="00C75627"/>
    <w:rsid w:val="00C75736"/>
    <w:rsid w:val="00C76864"/>
    <w:rsid w:val="00C7696D"/>
    <w:rsid w:val="00C775F9"/>
    <w:rsid w:val="00C77E56"/>
    <w:rsid w:val="00C803D9"/>
    <w:rsid w:val="00C81152"/>
    <w:rsid w:val="00C81894"/>
    <w:rsid w:val="00C81AC4"/>
    <w:rsid w:val="00C827D8"/>
    <w:rsid w:val="00C8409A"/>
    <w:rsid w:val="00C842F0"/>
    <w:rsid w:val="00C85194"/>
    <w:rsid w:val="00C85249"/>
    <w:rsid w:val="00C85D5A"/>
    <w:rsid w:val="00C865A8"/>
    <w:rsid w:val="00C86959"/>
    <w:rsid w:val="00C873F4"/>
    <w:rsid w:val="00C87F3D"/>
    <w:rsid w:val="00C902DE"/>
    <w:rsid w:val="00C9058F"/>
    <w:rsid w:val="00C93095"/>
    <w:rsid w:val="00C938CF"/>
    <w:rsid w:val="00C95A13"/>
    <w:rsid w:val="00C95B24"/>
    <w:rsid w:val="00C96627"/>
    <w:rsid w:val="00C96D93"/>
    <w:rsid w:val="00C9783D"/>
    <w:rsid w:val="00C97AAA"/>
    <w:rsid w:val="00C97B5F"/>
    <w:rsid w:val="00C97FDB"/>
    <w:rsid w:val="00CA0354"/>
    <w:rsid w:val="00CA041E"/>
    <w:rsid w:val="00CA0791"/>
    <w:rsid w:val="00CA085D"/>
    <w:rsid w:val="00CA14CE"/>
    <w:rsid w:val="00CA1DB5"/>
    <w:rsid w:val="00CA1EFC"/>
    <w:rsid w:val="00CA29EC"/>
    <w:rsid w:val="00CA46CA"/>
    <w:rsid w:val="00CA5789"/>
    <w:rsid w:val="00CA60F4"/>
    <w:rsid w:val="00CA61C9"/>
    <w:rsid w:val="00CA680B"/>
    <w:rsid w:val="00CA6D0E"/>
    <w:rsid w:val="00CA6DB3"/>
    <w:rsid w:val="00CA70EF"/>
    <w:rsid w:val="00CA7C91"/>
    <w:rsid w:val="00CB2501"/>
    <w:rsid w:val="00CB39E0"/>
    <w:rsid w:val="00CB3BA5"/>
    <w:rsid w:val="00CB3E90"/>
    <w:rsid w:val="00CB3F60"/>
    <w:rsid w:val="00CB4D0E"/>
    <w:rsid w:val="00CB5F33"/>
    <w:rsid w:val="00CB68A7"/>
    <w:rsid w:val="00CB6C62"/>
    <w:rsid w:val="00CB7462"/>
    <w:rsid w:val="00CB7710"/>
    <w:rsid w:val="00CB7765"/>
    <w:rsid w:val="00CC0B78"/>
    <w:rsid w:val="00CC2172"/>
    <w:rsid w:val="00CC22D8"/>
    <w:rsid w:val="00CC414D"/>
    <w:rsid w:val="00CC4311"/>
    <w:rsid w:val="00CC45F3"/>
    <w:rsid w:val="00CC4676"/>
    <w:rsid w:val="00CC4E00"/>
    <w:rsid w:val="00CC78F3"/>
    <w:rsid w:val="00CD173B"/>
    <w:rsid w:val="00CD24F1"/>
    <w:rsid w:val="00CD2F77"/>
    <w:rsid w:val="00CD3399"/>
    <w:rsid w:val="00CD3673"/>
    <w:rsid w:val="00CD446B"/>
    <w:rsid w:val="00CE0174"/>
    <w:rsid w:val="00CE025E"/>
    <w:rsid w:val="00CE0287"/>
    <w:rsid w:val="00CE0B6C"/>
    <w:rsid w:val="00CE1961"/>
    <w:rsid w:val="00CE1C99"/>
    <w:rsid w:val="00CE2859"/>
    <w:rsid w:val="00CE2CBD"/>
    <w:rsid w:val="00CE3DF0"/>
    <w:rsid w:val="00CE3ED3"/>
    <w:rsid w:val="00CE5298"/>
    <w:rsid w:val="00CE5995"/>
    <w:rsid w:val="00CE701B"/>
    <w:rsid w:val="00CE71D7"/>
    <w:rsid w:val="00CE7AA0"/>
    <w:rsid w:val="00CF258E"/>
    <w:rsid w:val="00CF2B39"/>
    <w:rsid w:val="00CF4F71"/>
    <w:rsid w:val="00CF5366"/>
    <w:rsid w:val="00CF6FC2"/>
    <w:rsid w:val="00CF73FA"/>
    <w:rsid w:val="00D002C5"/>
    <w:rsid w:val="00D00748"/>
    <w:rsid w:val="00D00CFF"/>
    <w:rsid w:val="00D00D65"/>
    <w:rsid w:val="00D00FEA"/>
    <w:rsid w:val="00D01967"/>
    <w:rsid w:val="00D01DD5"/>
    <w:rsid w:val="00D02211"/>
    <w:rsid w:val="00D031C9"/>
    <w:rsid w:val="00D0376A"/>
    <w:rsid w:val="00D0395C"/>
    <w:rsid w:val="00D0399A"/>
    <w:rsid w:val="00D04DF4"/>
    <w:rsid w:val="00D04F8D"/>
    <w:rsid w:val="00D05020"/>
    <w:rsid w:val="00D05BBC"/>
    <w:rsid w:val="00D06F0E"/>
    <w:rsid w:val="00D076E6"/>
    <w:rsid w:val="00D077DA"/>
    <w:rsid w:val="00D10D24"/>
    <w:rsid w:val="00D11194"/>
    <w:rsid w:val="00D11FA9"/>
    <w:rsid w:val="00D12082"/>
    <w:rsid w:val="00D13012"/>
    <w:rsid w:val="00D1440D"/>
    <w:rsid w:val="00D159C4"/>
    <w:rsid w:val="00D17E00"/>
    <w:rsid w:val="00D207D4"/>
    <w:rsid w:val="00D21C3F"/>
    <w:rsid w:val="00D22FD5"/>
    <w:rsid w:val="00D2369D"/>
    <w:rsid w:val="00D23769"/>
    <w:rsid w:val="00D23EE7"/>
    <w:rsid w:val="00D26F58"/>
    <w:rsid w:val="00D31438"/>
    <w:rsid w:val="00D32E03"/>
    <w:rsid w:val="00D3382F"/>
    <w:rsid w:val="00D338BB"/>
    <w:rsid w:val="00D33EE7"/>
    <w:rsid w:val="00D33F62"/>
    <w:rsid w:val="00D341DC"/>
    <w:rsid w:val="00D35312"/>
    <w:rsid w:val="00D35DF4"/>
    <w:rsid w:val="00D3649E"/>
    <w:rsid w:val="00D37305"/>
    <w:rsid w:val="00D376C0"/>
    <w:rsid w:val="00D37993"/>
    <w:rsid w:val="00D4196F"/>
    <w:rsid w:val="00D428CC"/>
    <w:rsid w:val="00D42C25"/>
    <w:rsid w:val="00D44CDB"/>
    <w:rsid w:val="00D45D66"/>
    <w:rsid w:val="00D46150"/>
    <w:rsid w:val="00D46968"/>
    <w:rsid w:val="00D51393"/>
    <w:rsid w:val="00D51672"/>
    <w:rsid w:val="00D51A92"/>
    <w:rsid w:val="00D52E5E"/>
    <w:rsid w:val="00D52EF1"/>
    <w:rsid w:val="00D5324B"/>
    <w:rsid w:val="00D53CD8"/>
    <w:rsid w:val="00D553B3"/>
    <w:rsid w:val="00D55E23"/>
    <w:rsid w:val="00D56109"/>
    <w:rsid w:val="00D568DC"/>
    <w:rsid w:val="00D57375"/>
    <w:rsid w:val="00D57693"/>
    <w:rsid w:val="00D576AA"/>
    <w:rsid w:val="00D5777B"/>
    <w:rsid w:val="00D57E34"/>
    <w:rsid w:val="00D608B5"/>
    <w:rsid w:val="00D60AD5"/>
    <w:rsid w:val="00D60B1C"/>
    <w:rsid w:val="00D6148A"/>
    <w:rsid w:val="00D61911"/>
    <w:rsid w:val="00D6608B"/>
    <w:rsid w:val="00D6627E"/>
    <w:rsid w:val="00D663C7"/>
    <w:rsid w:val="00D66825"/>
    <w:rsid w:val="00D66FFB"/>
    <w:rsid w:val="00D67994"/>
    <w:rsid w:val="00D7074C"/>
    <w:rsid w:val="00D70F76"/>
    <w:rsid w:val="00D716D2"/>
    <w:rsid w:val="00D71C18"/>
    <w:rsid w:val="00D738B5"/>
    <w:rsid w:val="00D74158"/>
    <w:rsid w:val="00D80209"/>
    <w:rsid w:val="00D80430"/>
    <w:rsid w:val="00D8088B"/>
    <w:rsid w:val="00D80BCF"/>
    <w:rsid w:val="00D80F11"/>
    <w:rsid w:val="00D81D75"/>
    <w:rsid w:val="00D81F8C"/>
    <w:rsid w:val="00D82485"/>
    <w:rsid w:val="00D82750"/>
    <w:rsid w:val="00D82A5E"/>
    <w:rsid w:val="00D834CD"/>
    <w:rsid w:val="00D83B83"/>
    <w:rsid w:val="00D845F9"/>
    <w:rsid w:val="00D84BBF"/>
    <w:rsid w:val="00D861A9"/>
    <w:rsid w:val="00D86F52"/>
    <w:rsid w:val="00D90116"/>
    <w:rsid w:val="00D90404"/>
    <w:rsid w:val="00D90C81"/>
    <w:rsid w:val="00D91726"/>
    <w:rsid w:val="00D922C4"/>
    <w:rsid w:val="00D9238D"/>
    <w:rsid w:val="00D924BD"/>
    <w:rsid w:val="00D93976"/>
    <w:rsid w:val="00D942E4"/>
    <w:rsid w:val="00D9528F"/>
    <w:rsid w:val="00D95662"/>
    <w:rsid w:val="00D957F8"/>
    <w:rsid w:val="00D96BE5"/>
    <w:rsid w:val="00D96C8D"/>
    <w:rsid w:val="00D9718A"/>
    <w:rsid w:val="00DA11B6"/>
    <w:rsid w:val="00DA18AA"/>
    <w:rsid w:val="00DA1B54"/>
    <w:rsid w:val="00DA1BE2"/>
    <w:rsid w:val="00DA1F0E"/>
    <w:rsid w:val="00DA32FC"/>
    <w:rsid w:val="00DA495B"/>
    <w:rsid w:val="00DA556F"/>
    <w:rsid w:val="00DA74E7"/>
    <w:rsid w:val="00DA7CF8"/>
    <w:rsid w:val="00DA7FE2"/>
    <w:rsid w:val="00DB0F71"/>
    <w:rsid w:val="00DB16A2"/>
    <w:rsid w:val="00DB17B4"/>
    <w:rsid w:val="00DB2646"/>
    <w:rsid w:val="00DB307C"/>
    <w:rsid w:val="00DB3894"/>
    <w:rsid w:val="00DB3A0B"/>
    <w:rsid w:val="00DB4C26"/>
    <w:rsid w:val="00DB6FBB"/>
    <w:rsid w:val="00DB7AD3"/>
    <w:rsid w:val="00DB7E20"/>
    <w:rsid w:val="00DC1372"/>
    <w:rsid w:val="00DC186D"/>
    <w:rsid w:val="00DC1C08"/>
    <w:rsid w:val="00DC1E0D"/>
    <w:rsid w:val="00DC321B"/>
    <w:rsid w:val="00DC34D0"/>
    <w:rsid w:val="00DC3E3C"/>
    <w:rsid w:val="00DC41FC"/>
    <w:rsid w:val="00DC45AD"/>
    <w:rsid w:val="00DC55DE"/>
    <w:rsid w:val="00DC5D66"/>
    <w:rsid w:val="00DC688C"/>
    <w:rsid w:val="00DC6C2C"/>
    <w:rsid w:val="00DC7052"/>
    <w:rsid w:val="00DC7CDF"/>
    <w:rsid w:val="00DC7E32"/>
    <w:rsid w:val="00DD04B7"/>
    <w:rsid w:val="00DD0ACD"/>
    <w:rsid w:val="00DD1169"/>
    <w:rsid w:val="00DD2A50"/>
    <w:rsid w:val="00DD3319"/>
    <w:rsid w:val="00DD3B1D"/>
    <w:rsid w:val="00DD430A"/>
    <w:rsid w:val="00DD5083"/>
    <w:rsid w:val="00DD5278"/>
    <w:rsid w:val="00DD5881"/>
    <w:rsid w:val="00DD5B48"/>
    <w:rsid w:val="00DD7529"/>
    <w:rsid w:val="00DE0B30"/>
    <w:rsid w:val="00DE13C9"/>
    <w:rsid w:val="00DE19BA"/>
    <w:rsid w:val="00DE1BAF"/>
    <w:rsid w:val="00DE1DE6"/>
    <w:rsid w:val="00DE1F37"/>
    <w:rsid w:val="00DE34E4"/>
    <w:rsid w:val="00DE38B6"/>
    <w:rsid w:val="00DE3D30"/>
    <w:rsid w:val="00DE3F78"/>
    <w:rsid w:val="00DE4A8B"/>
    <w:rsid w:val="00DE5238"/>
    <w:rsid w:val="00DE5293"/>
    <w:rsid w:val="00DE6C2D"/>
    <w:rsid w:val="00DE7019"/>
    <w:rsid w:val="00DE7BDF"/>
    <w:rsid w:val="00DF10A4"/>
    <w:rsid w:val="00DF1343"/>
    <w:rsid w:val="00DF2C5C"/>
    <w:rsid w:val="00DF4572"/>
    <w:rsid w:val="00DF614A"/>
    <w:rsid w:val="00DF7B85"/>
    <w:rsid w:val="00DF7D60"/>
    <w:rsid w:val="00E01F65"/>
    <w:rsid w:val="00E0204C"/>
    <w:rsid w:val="00E03A22"/>
    <w:rsid w:val="00E03C2B"/>
    <w:rsid w:val="00E04926"/>
    <w:rsid w:val="00E04A3E"/>
    <w:rsid w:val="00E053AE"/>
    <w:rsid w:val="00E074F0"/>
    <w:rsid w:val="00E07FFD"/>
    <w:rsid w:val="00E10D7F"/>
    <w:rsid w:val="00E12C19"/>
    <w:rsid w:val="00E12FB6"/>
    <w:rsid w:val="00E138DB"/>
    <w:rsid w:val="00E13C60"/>
    <w:rsid w:val="00E14205"/>
    <w:rsid w:val="00E14CF1"/>
    <w:rsid w:val="00E15148"/>
    <w:rsid w:val="00E16401"/>
    <w:rsid w:val="00E177A0"/>
    <w:rsid w:val="00E17C64"/>
    <w:rsid w:val="00E20852"/>
    <w:rsid w:val="00E21533"/>
    <w:rsid w:val="00E21675"/>
    <w:rsid w:val="00E217F5"/>
    <w:rsid w:val="00E21F6A"/>
    <w:rsid w:val="00E23955"/>
    <w:rsid w:val="00E249F3"/>
    <w:rsid w:val="00E24E2B"/>
    <w:rsid w:val="00E25339"/>
    <w:rsid w:val="00E25833"/>
    <w:rsid w:val="00E25964"/>
    <w:rsid w:val="00E25CA1"/>
    <w:rsid w:val="00E260FB"/>
    <w:rsid w:val="00E267CE"/>
    <w:rsid w:val="00E26817"/>
    <w:rsid w:val="00E27BE9"/>
    <w:rsid w:val="00E3087F"/>
    <w:rsid w:val="00E309D6"/>
    <w:rsid w:val="00E30AA8"/>
    <w:rsid w:val="00E31247"/>
    <w:rsid w:val="00E32342"/>
    <w:rsid w:val="00E3397C"/>
    <w:rsid w:val="00E33F98"/>
    <w:rsid w:val="00E33FAF"/>
    <w:rsid w:val="00E3547F"/>
    <w:rsid w:val="00E366D2"/>
    <w:rsid w:val="00E37146"/>
    <w:rsid w:val="00E41665"/>
    <w:rsid w:val="00E416B1"/>
    <w:rsid w:val="00E42227"/>
    <w:rsid w:val="00E424C9"/>
    <w:rsid w:val="00E42A97"/>
    <w:rsid w:val="00E438B0"/>
    <w:rsid w:val="00E43E50"/>
    <w:rsid w:val="00E446AA"/>
    <w:rsid w:val="00E4503E"/>
    <w:rsid w:val="00E4550D"/>
    <w:rsid w:val="00E460A6"/>
    <w:rsid w:val="00E464DF"/>
    <w:rsid w:val="00E472A8"/>
    <w:rsid w:val="00E507D1"/>
    <w:rsid w:val="00E50E29"/>
    <w:rsid w:val="00E51A96"/>
    <w:rsid w:val="00E52518"/>
    <w:rsid w:val="00E531EB"/>
    <w:rsid w:val="00E5359B"/>
    <w:rsid w:val="00E535DF"/>
    <w:rsid w:val="00E553E7"/>
    <w:rsid w:val="00E55AD4"/>
    <w:rsid w:val="00E5704C"/>
    <w:rsid w:val="00E61A39"/>
    <w:rsid w:val="00E61BBA"/>
    <w:rsid w:val="00E61BBC"/>
    <w:rsid w:val="00E62519"/>
    <w:rsid w:val="00E62920"/>
    <w:rsid w:val="00E62FE6"/>
    <w:rsid w:val="00E6492A"/>
    <w:rsid w:val="00E66EA9"/>
    <w:rsid w:val="00E677BE"/>
    <w:rsid w:val="00E67E88"/>
    <w:rsid w:val="00E71FAB"/>
    <w:rsid w:val="00E72056"/>
    <w:rsid w:val="00E7242C"/>
    <w:rsid w:val="00E729BB"/>
    <w:rsid w:val="00E72AAE"/>
    <w:rsid w:val="00E72B09"/>
    <w:rsid w:val="00E72F07"/>
    <w:rsid w:val="00E7311B"/>
    <w:rsid w:val="00E75135"/>
    <w:rsid w:val="00E751E5"/>
    <w:rsid w:val="00E7641E"/>
    <w:rsid w:val="00E76712"/>
    <w:rsid w:val="00E76CA3"/>
    <w:rsid w:val="00E8039D"/>
    <w:rsid w:val="00E8148D"/>
    <w:rsid w:val="00E81518"/>
    <w:rsid w:val="00E82475"/>
    <w:rsid w:val="00E824B1"/>
    <w:rsid w:val="00E83E8D"/>
    <w:rsid w:val="00E856C3"/>
    <w:rsid w:val="00E86E87"/>
    <w:rsid w:val="00E87129"/>
    <w:rsid w:val="00E87449"/>
    <w:rsid w:val="00E9037C"/>
    <w:rsid w:val="00E90458"/>
    <w:rsid w:val="00E91199"/>
    <w:rsid w:val="00E9288B"/>
    <w:rsid w:val="00E9421B"/>
    <w:rsid w:val="00E94ABC"/>
    <w:rsid w:val="00E95202"/>
    <w:rsid w:val="00E952A7"/>
    <w:rsid w:val="00E95E1B"/>
    <w:rsid w:val="00E962BC"/>
    <w:rsid w:val="00E9661F"/>
    <w:rsid w:val="00E96872"/>
    <w:rsid w:val="00E972E4"/>
    <w:rsid w:val="00EA06E1"/>
    <w:rsid w:val="00EA088F"/>
    <w:rsid w:val="00EA0D78"/>
    <w:rsid w:val="00EA1161"/>
    <w:rsid w:val="00EA1879"/>
    <w:rsid w:val="00EA19DF"/>
    <w:rsid w:val="00EA1D45"/>
    <w:rsid w:val="00EA2B5B"/>
    <w:rsid w:val="00EA5083"/>
    <w:rsid w:val="00EA556B"/>
    <w:rsid w:val="00EA563F"/>
    <w:rsid w:val="00EA5833"/>
    <w:rsid w:val="00EA5900"/>
    <w:rsid w:val="00EA5B72"/>
    <w:rsid w:val="00EA5F06"/>
    <w:rsid w:val="00EA6992"/>
    <w:rsid w:val="00EA7A20"/>
    <w:rsid w:val="00EA7CFD"/>
    <w:rsid w:val="00EA7F8B"/>
    <w:rsid w:val="00EB2C18"/>
    <w:rsid w:val="00EB2C92"/>
    <w:rsid w:val="00EB441F"/>
    <w:rsid w:val="00EB484C"/>
    <w:rsid w:val="00EB4C30"/>
    <w:rsid w:val="00EB6036"/>
    <w:rsid w:val="00EB66BC"/>
    <w:rsid w:val="00EB6F5F"/>
    <w:rsid w:val="00EB70CC"/>
    <w:rsid w:val="00EC000E"/>
    <w:rsid w:val="00EC07B6"/>
    <w:rsid w:val="00EC0D88"/>
    <w:rsid w:val="00EC1905"/>
    <w:rsid w:val="00EC2110"/>
    <w:rsid w:val="00EC2BF7"/>
    <w:rsid w:val="00EC2C46"/>
    <w:rsid w:val="00EC307B"/>
    <w:rsid w:val="00EC381B"/>
    <w:rsid w:val="00EC6135"/>
    <w:rsid w:val="00EC6750"/>
    <w:rsid w:val="00EC75C9"/>
    <w:rsid w:val="00ED1706"/>
    <w:rsid w:val="00ED25D4"/>
    <w:rsid w:val="00ED3634"/>
    <w:rsid w:val="00ED4223"/>
    <w:rsid w:val="00ED57DB"/>
    <w:rsid w:val="00ED65F5"/>
    <w:rsid w:val="00ED6676"/>
    <w:rsid w:val="00ED674B"/>
    <w:rsid w:val="00ED67A7"/>
    <w:rsid w:val="00ED6E72"/>
    <w:rsid w:val="00ED77F6"/>
    <w:rsid w:val="00ED7B55"/>
    <w:rsid w:val="00EE010B"/>
    <w:rsid w:val="00EE0952"/>
    <w:rsid w:val="00EE0DBA"/>
    <w:rsid w:val="00EE2537"/>
    <w:rsid w:val="00EE26AD"/>
    <w:rsid w:val="00EE26C3"/>
    <w:rsid w:val="00EE289E"/>
    <w:rsid w:val="00EE2E2D"/>
    <w:rsid w:val="00EE33D5"/>
    <w:rsid w:val="00EE3E5F"/>
    <w:rsid w:val="00EE4CFD"/>
    <w:rsid w:val="00EE4D8B"/>
    <w:rsid w:val="00EE5485"/>
    <w:rsid w:val="00EE66CF"/>
    <w:rsid w:val="00EE6A78"/>
    <w:rsid w:val="00EE6D73"/>
    <w:rsid w:val="00EE72F8"/>
    <w:rsid w:val="00EF1B56"/>
    <w:rsid w:val="00EF1EB3"/>
    <w:rsid w:val="00EF3FB5"/>
    <w:rsid w:val="00EF4193"/>
    <w:rsid w:val="00EF4CAC"/>
    <w:rsid w:val="00EF4DB0"/>
    <w:rsid w:val="00EF6A39"/>
    <w:rsid w:val="00EF6B09"/>
    <w:rsid w:val="00EF723F"/>
    <w:rsid w:val="00EF7346"/>
    <w:rsid w:val="00EF7991"/>
    <w:rsid w:val="00F00C41"/>
    <w:rsid w:val="00F00EE5"/>
    <w:rsid w:val="00F0146A"/>
    <w:rsid w:val="00F019F5"/>
    <w:rsid w:val="00F01AFA"/>
    <w:rsid w:val="00F01BE0"/>
    <w:rsid w:val="00F02014"/>
    <w:rsid w:val="00F023F4"/>
    <w:rsid w:val="00F025B9"/>
    <w:rsid w:val="00F02E4E"/>
    <w:rsid w:val="00F030B1"/>
    <w:rsid w:val="00F03F47"/>
    <w:rsid w:val="00F04595"/>
    <w:rsid w:val="00F05EE2"/>
    <w:rsid w:val="00F06439"/>
    <w:rsid w:val="00F0772A"/>
    <w:rsid w:val="00F07DA8"/>
    <w:rsid w:val="00F10565"/>
    <w:rsid w:val="00F10DB3"/>
    <w:rsid w:val="00F1101C"/>
    <w:rsid w:val="00F11F20"/>
    <w:rsid w:val="00F1268C"/>
    <w:rsid w:val="00F13C84"/>
    <w:rsid w:val="00F14830"/>
    <w:rsid w:val="00F14B7E"/>
    <w:rsid w:val="00F15789"/>
    <w:rsid w:val="00F15C36"/>
    <w:rsid w:val="00F165B2"/>
    <w:rsid w:val="00F168F6"/>
    <w:rsid w:val="00F16D33"/>
    <w:rsid w:val="00F16E3A"/>
    <w:rsid w:val="00F17416"/>
    <w:rsid w:val="00F203DB"/>
    <w:rsid w:val="00F20BA3"/>
    <w:rsid w:val="00F21396"/>
    <w:rsid w:val="00F21AC4"/>
    <w:rsid w:val="00F222E5"/>
    <w:rsid w:val="00F2265B"/>
    <w:rsid w:val="00F22EE6"/>
    <w:rsid w:val="00F25353"/>
    <w:rsid w:val="00F255C6"/>
    <w:rsid w:val="00F25AC3"/>
    <w:rsid w:val="00F27153"/>
    <w:rsid w:val="00F27B63"/>
    <w:rsid w:val="00F27CE9"/>
    <w:rsid w:val="00F30D92"/>
    <w:rsid w:val="00F317CF"/>
    <w:rsid w:val="00F31AF1"/>
    <w:rsid w:val="00F31DA7"/>
    <w:rsid w:val="00F31F35"/>
    <w:rsid w:val="00F31FF5"/>
    <w:rsid w:val="00F32365"/>
    <w:rsid w:val="00F35ED4"/>
    <w:rsid w:val="00F36064"/>
    <w:rsid w:val="00F3654D"/>
    <w:rsid w:val="00F368A4"/>
    <w:rsid w:val="00F36CAF"/>
    <w:rsid w:val="00F36CB0"/>
    <w:rsid w:val="00F37339"/>
    <w:rsid w:val="00F37B0F"/>
    <w:rsid w:val="00F37E92"/>
    <w:rsid w:val="00F4005A"/>
    <w:rsid w:val="00F40E13"/>
    <w:rsid w:val="00F40E83"/>
    <w:rsid w:val="00F41688"/>
    <w:rsid w:val="00F42033"/>
    <w:rsid w:val="00F4372E"/>
    <w:rsid w:val="00F4529B"/>
    <w:rsid w:val="00F46513"/>
    <w:rsid w:val="00F46586"/>
    <w:rsid w:val="00F46A07"/>
    <w:rsid w:val="00F47562"/>
    <w:rsid w:val="00F509A4"/>
    <w:rsid w:val="00F51491"/>
    <w:rsid w:val="00F5220C"/>
    <w:rsid w:val="00F52BE6"/>
    <w:rsid w:val="00F53995"/>
    <w:rsid w:val="00F53A2C"/>
    <w:rsid w:val="00F546AE"/>
    <w:rsid w:val="00F567F4"/>
    <w:rsid w:val="00F574BB"/>
    <w:rsid w:val="00F60C31"/>
    <w:rsid w:val="00F60F89"/>
    <w:rsid w:val="00F61531"/>
    <w:rsid w:val="00F644C2"/>
    <w:rsid w:val="00F648D6"/>
    <w:rsid w:val="00F64B26"/>
    <w:rsid w:val="00F66EF3"/>
    <w:rsid w:val="00F66F44"/>
    <w:rsid w:val="00F70954"/>
    <w:rsid w:val="00F72258"/>
    <w:rsid w:val="00F72A90"/>
    <w:rsid w:val="00F73644"/>
    <w:rsid w:val="00F74A5D"/>
    <w:rsid w:val="00F75882"/>
    <w:rsid w:val="00F7665C"/>
    <w:rsid w:val="00F76A03"/>
    <w:rsid w:val="00F76C5B"/>
    <w:rsid w:val="00F8053A"/>
    <w:rsid w:val="00F80B0D"/>
    <w:rsid w:val="00F80E32"/>
    <w:rsid w:val="00F824CA"/>
    <w:rsid w:val="00F82F0A"/>
    <w:rsid w:val="00F83AF7"/>
    <w:rsid w:val="00F846B8"/>
    <w:rsid w:val="00F84882"/>
    <w:rsid w:val="00F84F60"/>
    <w:rsid w:val="00F8532C"/>
    <w:rsid w:val="00F8649E"/>
    <w:rsid w:val="00F87CF3"/>
    <w:rsid w:val="00F90464"/>
    <w:rsid w:val="00F90ED0"/>
    <w:rsid w:val="00F91A03"/>
    <w:rsid w:val="00F91A66"/>
    <w:rsid w:val="00F92818"/>
    <w:rsid w:val="00F92A92"/>
    <w:rsid w:val="00F92AF5"/>
    <w:rsid w:val="00F92CE8"/>
    <w:rsid w:val="00F93EA8"/>
    <w:rsid w:val="00F94907"/>
    <w:rsid w:val="00F967B0"/>
    <w:rsid w:val="00F96A33"/>
    <w:rsid w:val="00FA055D"/>
    <w:rsid w:val="00FA089C"/>
    <w:rsid w:val="00FA1820"/>
    <w:rsid w:val="00FA198B"/>
    <w:rsid w:val="00FA35D2"/>
    <w:rsid w:val="00FA3BF1"/>
    <w:rsid w:val="00FA43DA"/>
    <w:rsid w:val="00FA7360"/>
    <w:rsid w:val="00FA738F"/>
    <w:rsid w:val="00FB2364"/>
    <w:rsid w:val="00FB2D63"/>
    <w:rsid w:val="00FB3053"/>
    <w:rsid w:val="00FB3BA3"/>
    <w:rsid w:val="00FB4099"/>
    <w:rsid w:val="00FB4520"/>
    <w:rsid w:val="00FB4CAC"/>
    <w:rsid w:val="00FB4CCC"/>
    <w:rsid w:val="00FB6031"/>
    <w:rsid w:val="00FB6F32"/>
    <w:rsid w:val="00FB71F5"/>
    <w:rsid w:val="00FB7376"/>
    <w:rsid w:val="00FB784A"/>
    <w:rsid w:val="00FC0E69"/>
    <w:rsid w:val="00FC1E0D"/>
    <w:rsid w:val="00FC24BB"/>
    <w:rsid w:val="00FC313F"/>
    <w:rsid w:val="00FC47FA"/>
    <w:rsid w:val="00FC54EB"/>
    <w:rsid w:val="00FC5508"/>
    <w:rsid w:val="00FC5BF0"/>
    <w:rsid w:val="00FC5DD8"/>
    <w:rsid w:val="00FC61FF"/>
    <w:rsid w:val="00FC6260"/>
    <w:rsid w:val="00FC67A2"/>
    <w:rsid w:val="00FC6997"/>
    <w:rsid w:val="00FC7AFA"/>
    <w:rsid w:val="00FD00EC"/>
    <w:rsid w:val="00FD049B"/>
    <w:rsid w:val="00FD0B2A"/>
    <w:rsid w:val="00FD2793"/>
    <w:rsid w:val="00FD3C03"/>
    <w:rsid w:val="00FD456C"/>
    <w:rsid w:val="00FD4660"/>
    <w:rsid w:val="00FD53C3"/>
    <w:rsid w:val="00FD5CCF"/>
    <w:rsid w:val="00FD5FCB"/>
    <w:rsid w:val="00FD62AD"/>
    <w:rsid w:val="00FD64FD"/>
    <w:rsid w:val="00FD7BD2"/>
    <w:rsid w:val="00FE00D5"/>
    <w:rsid w:val="00FE0164"/>
    <w:rsid w:val="00FE0EF5"/>
    <w:rsid w:val="00FE17DC"/>
    <w:rsid w:val="00FE23A2"/>
    <w:rsid w:val="00FE2820"/>
    <w:rsid w:val="00FE33CF"/>
    <w:rsid w:val="00FE358D"/>
    <w:rsid w:val="00FE37B9"/>
    <w:rsid w:val="00FE41E3"/>
    <w:rsid w:val="00FE4447"/>
    <w:rsid w:val="00FE4F1A"/>
    <w:rsid w:val="00FE51D1"/>
    <w:rsid w:val="00FE5640"/>
    <w:rsid w:val="00FE5BA4"/>
    <w:rsid w:val="00FE7B1A"/>
    <w:rsid w:val="00FE7FA1"/>
    <w:rsid w:val="00FF034B"/>
    <w:rsid w:val="00FF0804"/>
    <w:rsid w:val="00FF18DE"/>
    <w:rsid w:val="00FF278C"/>
    <w:rsid w:val="00FF3215"/>
    <w:rsid w:val="00FF3EDE"/>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6E89CA2-1D3D-4028-A73B-796560A0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09"/>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qFormat/>
    <w:rsid w:val="00300D09"/>
    <w:pPr>
      <w:keepNext/>
      <w:autoSpaceDE w:val="0"/>
      <w:autoSpaceDN w:val="0"/>
      <w:adjustRightInd w:val="0"/>
      <w:spacing w:before="240" w:line="480" w:lineRule="auto"/>
      <w:outlineLvl w:val="2"/>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F73644"/>
    <w:pPr>
      <w:numPr>
        <w:numId w:val="1"/>
      </w:numPr>
      <w:spacing w:before="240" w:after="240" w:line="48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rsid w:val="00300D09"/>
    <w:rPr>
      <w:rFonts w:ascii="Arial" w:hAnsi="Arial"/>
      <w:bCs/>
      <w:sz w:val="24"/>
      <w:szCs w:val="24"/>
      <w:u w:val="single"/>
    </w:rPr>
  </w:style>
  <w:style w:type="paragraph" w:customStyle="1" w:styleId="2">
    <w:name w:val="2"/>
    <w:basedOn w:val="1"/>
    <w:link w:val="2Char"/>
    <w:qFormat/>
    <w:rsid w:val="00D31438"/>
    <w:pPr>
      <w:numPr>
        <w:ilvl w:val="1"/>
      </w:numPr>
      <w:ind w:left="851" w:hanging="851"/>
    </w:pPr>
  </w:style>
  <w:style w:type="paragraph" w:customStyle="1" w:styleId="3">
    <w:name w:val="3"/>
    <w:basedOn w:val="2"/>
    <w:qFormat/>
    <w:rsid w:val="00300D09"/>
    <w:pPr>
      <w:numPr>
        <w:ilvl w:val="2"/>
      </w:numPr>
    </w:pPr>
  </w:style>
  <w:style w:type="paragraph" w:customStyle="1" w:styleId="4">
    <w:name w:val="4"/>
    <w:basedOn w:val="2"/>
    <w:qFormat/>
    <w:rsid w:val="00300D09"/>
    <w:pPr>
      <w:numPr>
        <w:ilvl w:val="3"/>
      </w:numPr>
    </w:pPr>
    <w:rPr>
      <w:iCs w:val="0"/>
    </w:rPr>
  </w:style>
  <w:style w:type="paragraph" w:customStyle="1" w:styleId="5">
    <w:name w:val="5"/>
    <w:basedOn w:val="4"/>
    <w:qFormat/>
    <w:rsid w:val="00300D09"/>
    <w:pPr>
      <w:numPr>
        <w:ilvl w:val="4"/>
      </w:numPr>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unhideWhenUsed/>
    <w:rsid w:val="00300D09"/>
    <w:rPr>
      <w:vertAlign w:val="superscript"/>
      <w:lang w:val="en-GB"/>
    </w:rPr>
  </w:style>
  <w:style w:type="paragraph" w:styleId="FootnoteText">
    <w:name w:val="footnote text"/>
    <w:basedOn w:val="Normal"/>
    <w:link w:val="FootnoteTextChar"/>
    <w:rsid w:val="00300D09"/>
    <w:pPr>
      <w:spacing w:after="120"/>
      <w:ind w:left="284" w:hanging="284"/>
    </w:pPr>
    <w:rPr>
      <w:sz w:val="18"/>
      <w:szCs w:val="22"/>
    </w:rPr>
  </w:style>
  <w:style w:type="character" w:customStyle="1" w:styleId="FootnoteTextChar">
    <w:name w:val="Footnote Text Char"/>
    <w:link w:val="FootnoteText"/>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basedOn w:val="Normal"/>
    <w:link w:val="QuoteChar"/>
    <w:uiPriority w:val="29"/>
    <w:qFormat/>
    <w:rsid w:val="00AB3D82"/>
    <w:pPr>
      <w:spacing w:before="120" w:line="360" w:lineRule="auto"/>
      <w:ind w:left="1701"/>
    </w:pPr>
    <w:rPr>
      <w:rFonts w:eastAsia="Calibri"/>
      <w:iCs/>
      <w:color w:val="000000"/>
      <w:szCs w:val="22"/>
    </w:rPr>
  </w:style>
  <w:style w:type="character" w:customStyle="1" w:styleId="QuoteChar">
    <w:name w:val="Quote Char"/>
    <w:link w:val="Quote"/>
    <w:uiPriority w:val="29"/>
    <w:rsid w:val="00AB3D82"/>
    <w:rPr>
      <w:rFonts w:ascii="Arial" w:eastAsia="Calibri" w:hAnsi="Arial"/>
      <w:iCs/>
      <w:color w:val="000000"/>
      <w:sz w:val="24"/>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F73644"/>
    <w:rPr>
      <w:rFonts w:ascii="Arial" w:hAnsi="Arial"/>
      <w:iCs/>
      <w:color w:val="000000"/>
      <w:sz w:val="24"/>
      <w:szCs w:val="22"/>
      <w:lang w:eastAsia="en-US"/>
    </w:rPr>
  </w:style>
  <w:style w:type="character" w:customStyle="1" w:styleId="2Char">
    <w:name w:val="2 Char"/>
    <w:link w:val="2"/>
    <w:rsid w:val="00D31438"/>
    <w:rPr>
      <w:rFonts w:ascii="Arial" w:hAnsi="Arial"/>
      <w:iCs/>
      <w:color w:val="000000"/>
      <w:sz w:val="24"/>
      <w:szCs w:val="22"/>
      <w:lang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71BBB-58D9-4764-BB74-E34545D3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1</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Mokone</cp:lastModifiedBy>
  <cp:revision>2</cp:revision>
  <cp:lastPrinted>2022-03-25T14:20:00Z</cp:lastPrinted>
  <dcterms:created xsi:type="dcterms:W3CDTF">2022-06-21T07:22:00Z</dcterms:created>
  <dcterms:modified xsi:type="dcterms:W3CDTF">2022-06-21T07:22:00Z</dcterms:modified>
</cp:coreProperties>
</file>