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3B6C" w14:textId="77777777" w:rsidR="00EC4C36" w:rsidRPr="00AC68AC" w:rsidRDefault="00EC4C36" w:rsidP="00EC4C36">
      <w:pPr>
        <w:spacing w:after="0" w:line="240" w:lineRule="auto"/>
        <w:rPr>
          <w:rFonts w:ascii="Arial" w:hAnsi="Arial" w:cs="Arial"/>
          <w:b/>
          <w:sz w:val="24"/>
          <w:szCs w:val="24"/>
        </w:rPr>
      </w:pPr>
      <w:bookmarkStart w:id="0" w:name="_GoBack"/>
      <w:bookmarkEnd w:id="0"/>
    </w:p>
    <w:p w14:paraId="6A17784C" w14:textId="77777777" w:rsidR="00EC4C36" w:rsidRPr="00AC68AC" w:rsidRDefault="00EC4C36" w:rsidP="00EC4C36">
      <w:pPr>
        <w:jc w:val="center"/>
        <w:rPr>
          <w:rFonts w:ascii="Arial" w:hAnsi="Arial" w:cs="Arial"/>
          <w:b/>
          <w:sz w:val="24"/>
          <w:szCs w:val="24"/>
        </w:rPr>
      </w:pPr>
      <w:r w:rsidRPr="00AC68AC">
        <w:rPr>
          <w:rFonts w:ascii="Arial" w:hAnsi="Arial" w:cs="Arial"/>
          <w:noProof/>
          <w:sz w:val="24"/>
          <w:szCs w:val="24"/>
        </w:rPr>
        <w:drawing>
          <wp:inline distT="0" distB="0" distL="0" distR="0" wp14:anchorId="2899654A" wp14:editId="1FCF9968">
            <wp:extent cx="962025" cy="8286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28675"/>
                    </a:xfrm>
                    <a:prstGeom prst="rect">
                      <a:avLst/>
                    </a:prstGeom>
                    <a:noFill/>
                    <a:ln>
                      <a:noFill/>
                    </a:ln>
                  </pic:spPr>
                </pic:pic>
              </a:graphicData>
            </a:graphic>
          </wp:inline>
        </w:drawing>
      </w:r>
    </w:p>
    <w:p w14:paraId="216EE230" w14:textId="77777777" w:rsidR="00EC4C36" w:rsidRPr="00AC68AC" w:rsidRDefault="00EC4C36" w:rsidP="00EC4C36">
      <w:pPr>
        <w:spacing w:after="0"/>
        <w:jc w:val="center"/>
        <w:rPr>
          <w:rFonts w:ascii="Arial" w:hAnsi="Arial" w:cs="Arial"/>
          <w:b/>
          <w:sz w:val="24"/>
          <w:szCs w:val="24"/>
          <w:lang w:val="en-ZA"/>
        </w:rPr>
      </w:pPr>
      <w:r w:rsidRPr="00AC68AC">
        <w:rPr>
          <w:rFonts w:ascii="Arial" w:hAnsi="Arial" w:cs="Arial"/>
          <w:b/>
          <w:sz w:val="24"/>
          <w:szCs w:val="24"/>
        </w:rPr>
        <w:t>HIGH COURT OF SOUTH AFRICA</w:t>
      </w:r>
    </w:p>
    <w:p w14:paraId="35E81877" w14:textId="77777777" w:rsidR="00EC4C36" w:rsidRPr="00AC68AC" w:rsidRDefault="00EC4C36" w:rsidP="00EC4C36">
      <w:pPr>
        <w:jc w:val="center"/>
        <w:rPr>
          <w:rFonts w:ascii="Arial" w:hAnsi="Arial" w:cs="Arial"/>
          <w:b/>
          <w:sz w:val="24"/>
          <w:szCs w:val="24"/>
        </w:rPr>
      </w:pPr>
      <w:r w:rsidRPr="00AC68AC">
        <w:rPr>
          <w:rFonts w:ascii="Arial" w:hAnsi="Arial" w:cs="Arial"/>
          <w:b/>
          <w:sz w:val="24"/>
          <w:szCs w:val="24"/>
        </w:rPr>
        <w:t>(GAUTENG DIVISION, JOHANNESBURG)</w:t>
      </w:r>
    </w:p>
    <w:p w14:paraId="23FF5C95" w14:textId="77777777" w:rsidR="00EC4C36" w:rsidRPr="00AC68AC" w:rsidRDefault="00EC4C36" w:rsidP="00EC4C36">
      <w:pPr>
        <w:spacing w:line="480" w:lineRule="auto"/>
        <w:jc w:val="both"/>
        <w:rPr>
          <w:rFonts w:ascii="Arial" w:hAnsi="Arial" w:cs="Arial"/>
          <w:sz w:val="24"/>
          <w:szCs w:val="24"/>
        </w:rPr>
      </w:pPr>
      <w:r w:rsidRPr="00AC68AC">
        <w:rPr>
          <w:rFonts w:ascii="Arial" w:hAnsi="Arial" w:cs="Arial"/>
          <w:noProof/>
          <w:sz w:val="24"/>
          <w:szCs w:val="24"/>
        </w:rPr>
        <mc:AlternateContent>
          <mc:Choice Requires="wps">
            <w:drawing>
              <wp:anchor distT="0" distB="0" distL="114300" distR="114300" simplePos="0" relativeHeight="251659264" behindDoc="0" locked="0" layoutInCell="1" allowOverlap="1" wp14:anchorId="7A3CF63B" wp14:editId="2D92DA1C">
                <wp:simplePos x="0" y="0"/>
                <wp:positionH relativeFrom="margin">
                  <wp:align>left</wp:align>
                </wp:positionH>
                <wp:positionV relativeFrom="paragraph">
                  <wp:posOffset>4445</wp:posOffset>
                </wp:positionV>
                <wp:extent cx="3657600" cy="1790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90700"/>
                        </a:xfrm>
                        <a:prstGeom prst="rect">
                          <a:avLst/>
                        </a:prstGeom>
                        <a:solidFill>
                          <a:srgbClr val="FFFFFF"/>
                        </a:solidFill>
                        <a:ln w="9525">
                          <a:solidFill>
                            <a:srgbClr val="000000"/>
                          </a:solidFill>
                          <a:miter lim="800000"/>
                          <a:headEnd/>
                          <a:tailEnd/>
                        </a:ln>
                      </wps:spPr>
                      <wps:txbx>
                        <w:txbxContent>
                          <w:p w14:paraId="6A4057DF" w14:textId="77777777" w:rsidR="00B84349" w:rsidRDefault="00B84349" w:rsidP="00EC4C36">
                            <w:pPr>
                              <w:jc w:val="center"/>
                              <w:rPr>
                                <w:rFonts w:ascii="Century Gothic" w:hAnsi="Century Gothic"/>
                                <w:b/>
                                <w:sz w:val="20"/>
                                <w:szCs w:val="20"/>
                              </w:rPr>
                            </w:pPr>
                          </w:p>
                          <w:p w14:paraId="417807F0" w14:textId="7AE8CA35" w:rsidR="00B84349" w:rsidRDefault="00B84349"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REPORTABLE:  No</w:t>
                            </w:r>
                          </w:p>
                          <w:p w14:paraId="34D55AAE" w14:textId="5E580C63" w:rsidR="00B84349" w:rsidRDefault="00B84349" w:rsidP="00EC4C36">
                            <w:pPr>
                              <w:numPr>
                                <w:ilvl w:val="0"/>
                                <w:numId w:val="33"/>
                              </w:numPr>
                              <w:spacing w:after="0" w:line="240" w:lineRule="auto"/>
                              <w:rPr>
                                <w:rFonts w:ascii="Century Gothic" w:hAnsi="Century Gothic"/>
                                <w:sz w:val="20"/>
                                <w:szCs w:val="20"/>
                              </w:rPr>
                            </w:pPr>
                            <w:r>
                              <w:rPr>
                                <w:rFonts w:ascii="Century Gothic" w:hAnsi="Century Gothic"/>
                                <w:sz w:val="20"/>
                                <w:szCs w:val="20"/>
                              </w:rPr>
                              <w:t>OF INTEREST TO OTHER JUDGES:  No</w:t>
                            </w:r>
                          </w:p>
                          <w:p w14:paraId="78048C8A" w14:textId="77777777" w:rsidR="00B84349" w:rsidRDefault="00B84349"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REVISED.</w:t>
                            </w:r>
                          </w:p>
                          <w:p w14:paraId="61908756" w14:textId="77777777" w:rsidR="00B84349" w:rsidRDefault="00B84349" w:rsidP="00EC4C36">
                            <w:pPr>
                              <w:rPr>
                                <w:rFonts w:ascii="Century Gothic" w:hAnsi="Century Gothic"/>
                                <w:b/>
                                <w:sz w:val="18"/>
                                <w:szCs w:val="18"/>
                              </w:rPr>
                            </w:pPr>
                          </w:p>
                          <w:p w14:paraId="00A4DC2B" w14:textId="060D7B01" w:rsidR="00B84349" w:rsidRDefault="00225066" w:rsidP="00EC4C36">
                            <w:pPr>
                              <w:spacing w:after="0"/>
                              <w:rPr>
                                <w:rFonts w:ascii="Century Gothic" w:hAnsi="Century Gothic"/>
                                <w:b/>
                                <w:sz w:val="18"/>
                                <w:szCs w:val="18"/>
                              </w:rPr>
                            </w:pPr>
                            <w:r>
                              <w:rPr>
                                <w:rFonts w:ascii="Century Gothic" w:hAnsi="Century Gothic"/>
                                <w:b/>
                                <w:sz w:val="18"/>
                                <w:szCs w:val="18"/>
                              </w:rPr>
                              <w:t>14 March 2022</w:t>
                            </w:r>
                            <w:r>
                              <w:rPr>
                                <w:rFonts w:ascii="Century Gothic" w:hAnsi="Century Gothic"/>
                                <w:b/>
                                <w:sz w:val="18"/>
                                <w:szCs w:val="18"/>
                              </w:rPr>
                              <w:tab/>
                            </w:r>
                            <w:r>
                              <w:rPr>
                                <w:rFonts w:ascii="Century Gothic" w:hAnsi="Century Gothic"/>
                                <w:b/>
                                <w:sz w:val="18"/>
                                <w:szCs w:val="18"/>
                              </w:rPr>
                              <w:tab/>
                            </w:r>
                            <w:r w:rsidR="00B402C9">
                              <w:rPr>
                                <w:rFonts w:ascii="Century Gothic" w:hAnsi="Century Gothic"/>
                                <w:b/>
                                <w:sz w:val="18"/>
                                <w:szCs w:val="18"/>
                              </w:rPr>
                              <w:tab/>
                            </w:r>
                          </w:p>
                          <w:p w14:paraId="4F9EFCA4" w14:textId="745FCFA1" w:rsidR="00B84349" w:rsidRDefault="00B84349" w:rsidP="00EC4C3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sidR="00B402C9">
                              <w:rPr>
                                <w:rFonts w:ascii="Century Gothic" w:hAnsi="Century Gothic"/>
                                <w:sz w:val="18"/>
                                <w:szCs w:val="18"/>
                              </w:rPr>
                              <w:tab/>
                            </w:r>
                            <w:r>
                              <w:rPr>
                                <w:rFonts w:ascii="Century Gothic" w:hAnsi="Century Gothic"/>
                                <w:sz w:val="18"/>
                                <w:szCs w:val="18"/>
                              </w:rPr>
                              <w:t>Judge M.L. Senyatsi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3CF63B" id="_x0000_t202" coordsize="21600,21600" o:spt="202" path="m,l,21600r21600,l21600,xe">
                <v:stroke joinstyle="miter"/>
                <v:path gradientshapeok="t" o:connecttype="rect"/>
              </v:shapetype>
              <v:shape id="Text Box 2" o:spid="_x0000_s1026" type="#_x0000_t202" style="position:absolute;left:0;text-align:left;margin-left:0;margin-top:.35pt;width:4in;height:1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SLKQIAAFE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">
                <v:textbox>
                  <w:txbxContent>
                    <w:p w14:paraId="6A4057DF" w14:textId="77777777" w:rsidR="00B84349" w:rsidRDefault="00B84349" w:rsidP="00EC4C36">
                      <w:pPr>
                        <w:jc w:val="center"/>
                        <w:rPr>
                          <w:rFonts w:ascii="Century Gothic" w:hAnsi="Century Gothic"/>
                          <w:b/>
                          <w:sz w:val="20"/>
                          <w:szCs w:val="20"/>
                        </w:rPr>
                      </w:pPr>
                    </w:p>
                    <w:p w14:paraId="417807F0" w14:textId="7AE8CA35" w:rsidR="00B84349" w:rsidRDefault="00B84349"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REPORTABLE:  No</w:t>
                      </w:r>
                    </w:p>
                    <w:p w14:paraId="34D55AAE" w14:textId="5E580C63" w:rsidR="00B84349" w:rsidRDefault="00B84349" w:rsidP="00EC4C36">
                      <w:pPr>
                        <w:numPr>
                          <w:ilvl w:val="0"/>
                          <w:numId w:val="33"/>
                        </w:numPr>
                        <w:spacing w:after="0" w:line="240" w:lineRule="auto"/>
                        <w:rPr>
                          <w:rFonts w:ascii="Century Gothic" w:hAnsi="Century Gothic"/>
                          <w:sz w:val="20"/>
                          <w:szCs w:val="20"/>
                        </w:rPr>
                      </w:pPr>
                      <w:r>
                        <w:rPr>
                          <w:rFonts w:ascii="Century Gothic" w:hAnsi="Century Gothic"/>
                          <w:sz w:val="20"/>
                          <w:szCs w:val="20"/>
                        </w:rPr>
                        <w:t>OF INTEREST TO OTHER JUDGES:  No</w:t>
                      </w:r>
                    </w:p>
                    <w:p w14:paraId="78048C8A" w14:textId="77777777" w:rsidR="00B84349" w:rsidRDefault="00B84349"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REVISED.</w:t>
                      </w:r>
                    </w:p>
                    <w:p w14:paraId="61908756" w14:textId="77777777" w:rsidR="00B84349" w:rsidRDefault="00B84349" w:rsidP="00EC4C36">
                      <w:pPr>
                        <w:rPr>
                          <w:rFonts w:ascii="Century Gothic" w:hAnsi="Century Gothic"/>
                          <w:b/>
                          <w:sz w:val="18"/>
                          <w:szCs w:val="18"/>
                        </w:rPr>
                      </w:pPr>
                    </w:p>
                    <w:p w14:paraId="00A4DC2B" w14:textId="060D7B01" w:rsidR="00B84349" w:rsidRDefault="00225066" w:rsidP="00EC4C36">
                      <w:pPr>
                        <w:spacing w:after="0"/>
                        <w:rPr>
                          <w:rFonts w:ascii="Century Gothic" w:hAnsi="Century Gothic"/>
                          <w:b/>
                          <w:sz w:val="18"/>
                          <w:szCs w:val="18"/>
                        </w:rPr>
                      </w:pPr>
                      <w:r>
                        <w:rPr>
                          <w:rFonts w:ascii="Century Gothic" w:hAnsi="Century Gothic"/>
                          <w:b/>
                          <w:sz w:val="18"/>
                          <w:szCs w:val="18"/>
                        </w:rPr>
                        <w:t>14 March 2022</w:t>
                      </w:r>
                      <w:r>
                        <w:rPr>
                          <w:rFonts w:ascii="Century Gothic" w:hAnsi="Century Gothic"/>
                          <w:b/>
                          <w:sz w:val="18"/>
                          <w:szCs w:val="18"/>
                        </w:rPr>
                        <w:tab/>
                      </w:r>
                      <w:r>
                        <w:rPr>
                          <w:rFonts w:ascii="Century Gothic" w:hAnsi="Century Gothic"/>
                          <w:b/>
                          <w:sz w:val="18"/>
                          <w:szCs w:val="18"/>
                        </w:rPr>
                        <w:tab/>
                      </w:r>
                      <w:r w:rsidR="00B402C9">
                        <w:rPr>
                          <w:rFonts w:ascii="Century Gothic" w:hAnsi="Century Gothic"/>
                          <w:b/>
                          <w:sz w:val="18"/>
                          <w:szCs w:val="18"/>
                        </w:rPr>
                        <w:tab/>
                      </w:r>
                      <w:bookmarkStart w:id="1" w:name="_GoBack"/>
                      <w:bookmarkEnd w:id="1"/>
                    </w:p>
                    <w:p w14:paraId="4F9EFCA4" w14:textId="745FCFA1" w:rsidR="00B84349" w:rsidRDefault="00B84349" w:rsidP="00EC4C3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sidR="00B402C9">
                        <w:rPr>
                          <w:rFonts w:ascii="Century Gothic" w:hAnsi="Century Gothic"/>
                          <w:sz w:val="18"/>
                          <w:szCs w:val="18"/>
                        </w:rPr>
                        <w:tab/>
                      </w:r>
                      <w:r>
                        <w:rPr>
                          <w:rFonts w:ascii="Century Gothic" w:hAnsi="Century Gothic"/>
                          <w:sz w:val="18"/>
                          <w:szCs w:val="18"/>
                        </w:rPr>
                        <w:t>Judge M.L. Senyatsi</w:t>
                      </w:r>
                    </w:p>
                  </w:txbxContent>
                </v:textbox>
                <w10:wrap anchorx="margin"/>
              </v:shape>
            </w:pict>
          </mc:Fallback>
        </mc:AlternateContent>
      </w:r>
    </w:p>
    <w:p w14:paraId="168F8152" w14:textId="77777777" w:rsidR="00EC4C36" w:rsidRPr="00AC68AC" w:rsidRDefault="00EC4C36" w:rsidP="00EC4C36">
      <w:pPr>
        <w:spacing w:line="480" w:lineRule="auto"/>
        <w:jc w:val="both"/>
        <w:rPr>
          <w:rFonts w:ascii="Arial" w:hAnsi="Arial" w:cs="Arial"/>
          <w:sz w:val="24"/>
          <w:szCs w:val="24"/>
        </w:rPr>
      </w:pPr>
    </w:p>
    <w:p w14:paraId="1A60DB51" w14:textId="77777777" w:rsidR="00EC4C36" w:rsidRPr="00AC68AC" w:rsidRDefault="00EC4C36" w:rsidP="00EC4C36">
      <w:pPr>
        <w:autoSpaceDE w:val="0"/>
        <w:autoSpaceDN w:val="0"/>
        <w:adjustRightInd w:val="0"/>
        <w:spacing w:line="480" w:lineRule="auto"/>
        <w:jc w:val="center"/>
        <w:rPr>
          <w:rFonts w:ascii="Arial" w:hAnsi="Arial" w:cs="Arial"/>
          <w:b/>
          <w:bCs/>
          <w:sz w:val="24"/>
          <w:szCs w:val="24"/>
        </w:rPr>
      </w:pPr>
    </w:p>
    <w:p w14:paraId="10CA7291" w14:textId="77777777" w:rsidR="00EC4C36" w:rsidRPr="00AC68AC" w:rsidRDefault="00EC4C36" w:rsidP="00EC4C36">
      <w:pPr>
        <w:spacing w:line="360" w:lineRule="auto"/>
        <w:rPr>
          <w:rFonts w:ascii="Arial" w:hAnsi="Arial" w:cs="Arial"/>
          <w:b/>
          <w:sz w:val="24"/>
          <w:szCs w:val="24"/>
        </w:rPr>
      </w:pPr>
    </w:p>
    <w:p w14:paraId="4199EABC" w14:textId="5F335E21" w:rsidR="00EC4C36" w:rsidRPr="00AC68AC" w:rsidRDefault="0035010D" w:rsidP="00EC4C36">
      <w:pPr>
        <w:spacing w:line="240" w:lineRule="auto"/>
        <w:jc w:val="right"/>
        <w:rPr>
          <w:rFonts w:ascii="Arial" w:hAnsi="Arial" w:cs="Arial"/>
          <w:sz w:val="24"/>
          <w:szCs w:val="24"/>
        </w:rPr>
      </w:pPr>
      <w:r>
        <w:rPr>
          <w:rFonts w:ascii="Arial" w:hAnsi="Arial" w:cs="Arial"/>
          <w:sz w:val="24"/>
          <w:szCs w:val="24"/>
        </w:rPr>
        <w:t>Case no: 621/2021</w:t>
      </w:r>
    </w:p>
    <w:p w14:paraId="48CF01C4" w14:textId="77777777" w:rsidR="00070805" w:rsidRPr="00AC68AC" w:rsidRDefault="00EC4C36" w:rsidP="00EC4C36">
      <w:pPr>
        <w:spacing w:line="360" w:lineRule="auto"/>
        <w:rPr>
          <w:rFonts w:ascii="Arial" w:hAnsi="Arial" w:cs="Arial"/>
          <w:sz w:val="24"/>
          <w:szCs w:val="24"/>
        </w:rPr>
      </w:pPr>
      <w:r w:rsidRPr="00AC68AC">
        <w:rPr>
          <w:rFonts w:ascii="Arial" w:hAnsi="Arial" w:cs="Arial"/>
          <w:sz w:val="24"/>
          <w:szCs w:val="24"/>
        </w:rPr>
        <w:t>In the matter between:</w:t>
      </w:r>
    </w:p>
    <w:p w14:paraId="081885FC" w14:textId="6FF9FCAF" w:rsidR="00EC4C36" w:rsidRPr="00AC68AC" w:rsidRDefault="0035010D" w:rsidP="00EC4C36">
      <w:pPr>
        <w:spacing w:after="0" w:line="240" w:lineRule="auto"/>
        <w:rPr>
          <w:rFonts w:ascii="Arial" w:hAnsi="Arial" w:cs="Arial"/>
          <w:sz w:val="24"/>
          <w:szCs w:val="24"/>
        </w:rPr>
      </w:pPr>
      <w:r>
        <w:rPr>
          <w:rFonts w:ascii="Arial" w:hAnsi="Arial" w:cs="Arial"/>
          <w:b/>
          <w:bCs/>
          <w:sz w:val="24"/>
          <w:szCs w:val="24"/>
        </w:rPr>
        <w:t>GROVES (PTY) LTD</w:t>
      </w:r>
      <w:r w:rsidR="00AC68AC" w:rsidRPr="00AC68AC">
        <w:rPr>
          <w:rFonts w:ascii="Arial" w:hAnsi="Arial" w:cs="Arial"/>
          <w:b/>
          <w:bCs/>
          <w:sz w:val="24"/>
          <w:szCs w:val="24"/>
        </w:rPr>
        <w:tab/>
      </w:r>
      <w:r w:rsidR="00AC68AC" w:rsidRPr="00AC68AC">
        <w:rPr>
          <w:rFonts w:ascii="Arial" w:hAnsi="Arial" w:cs="Arial"/>
          <w:b/>
          <w:bCs/>
          <w:sz w:val="24"/>
          <w:szCs w:val="24"/>
        </w:rPr>
        <w:tab/>
      </w:r>
      <w:r w:rsidR="00AC68AC" w:rsidRPr="00AC68AC">
        <w:rPr>
          <w:rFonts w:ascii="Arial" w:hAnsi="Arial" w:cs="Arial"/>
          <w:b/>
          <w:bCs/>
          <w:sz w:val="24"/>
          <w:szCs w:val="24"/>
        </w:rPr>
        <w:tab/>
      </w:r>
      <w:r w:rsidR="00AC68AC" w:rsidRPr="00AC68AC">
        <w:rPr>
          <w:rFonts w:ascii="Arial" w:hAnsi="Arial" w:cs="Arial"/>
          <w:b/>
          <w:bCs/>
          <w:sz w:val="24"/>
          <w:szCs w:val="24"/>
        </w:rPr>
        <w:tab/>
      </w:r>
      <w:r w:rsidR="00AC68AC" w:rsidRPr="00AC68AC">
        <w:rPr>
          <w:rFonts w:ascii="Arial" w:hAnsi="Arial" w:cs="Arial"/>
          <w:b/>
          <w:bCs/>
          <w:sz w:val="24"/>
          <w:szCs w:val="24"/>
        </w:rPr>
        <w:tab/>
        <w:t xml:space="preserve">    </w:t>
      </w:r>
      <w:r w:rsidR="000C73BA" w:rsidRPr="00AC68AC">
        <w:rPr>
          <w:rFonts w:ascii="Arial" w:hAnsi="Arial" w:cs="Arial"/>
          <w:b/>
          <w:bCs/>
          <w:sz w:val="24"/>
          <w:szCs w:val="24"/>
        </w:rPr>
        <w:t xml:space="preserve">    </w:t>
      </w:r>
      <w:r w:rsidR="00D75E50" w:rsidRPr="00AC68AC">
        <w:rPr>
          <w:rFonts w:ascii="Arial" w:hAnsi="Arial" w:cs="Arial"/>
          <w:b/>
          <w:bCs/>
          <w:sz w:val="24"/>
          <w:szCs w:val="24"/>
        </w:rPr>
        <w:t xml:space="preserve">                  </w:t>
      </w:r>
      <w:r w:rsidR="000C73BA" w:rsidRPr="00AC68AC">
        <w:rPr>
          <w:rFonts w:ascii="Arial" w:hAnsi="Arial" w:cs="Arial"/>
          <w:b/>
          <w:bCs/>
          <w:sz w:val="24"/>
          <w:szCs w:val="24"/>
        </w:rPr>
        <w:t xml:space="preserve">   </w:t>
      </w:r>
      <w:r w:rsidR="00433359">
        <w:rPr>
          <w:rFonts w:ascii="Arial" w:hAnsi="Arial" w:cs="Arial"/>
          <w:b/>
          <w:bCs/>
          <w:sz w:val="24"/>
          <w:szCs w:val="24"/>
        </w:rPr>
        <w:t xml:space="preserve">      </w:t>
      </w:r>
      <w:r w:rsidR="00082668" w:rsidRPr="00AC68AC">
        <w:rPr>
          <w:rFonts w:ascii="Arial" w:hAnsi="Arial" w:cs="Arial"/>
          <w:sz w:val="24"/>
          <w:szCs w:val="24"/>
        </w:rPr>
        <w:t>Applicant</w:t>
      </w:r>
    </w:p>
    <w:p w14:paraId="6928A325" w14:textId="77777777" w:rsidR="00AC68AC" w:rsidRPr="00AC68AC" w:rsidRDefault="00AC68AC" w:rsidP="00EC4C36">
      <w:pPr>
        <w:spacing w:after="0" w:line="240" w:lineRule="auto"/>
        <w:rPr>
          <w:rFonts w:ascii="Arial" w:hAnsi="Arial" w:cs="Arial"/>
          <w:sz w:val="24"/>
          <w:szCs w:val="24"/>
        </w:rPr>
      </w:pPr>
    </w:p>
    <w:p w14:paraId="2FD8DA3B" w14:textId="77777777" w:rsidR="006D28DB" w:rsidRPr="00AC68AC" w:rsidRDefault="006D28DB" w:rsidP="00EC4C36">
      <w:pPr>
        <w:spacing w:after="0" w:line="480" w:lineRule="auto"/>
        <w:rPr>
          <w:rFonts w:ascii="Arial" w:hAnsi="Arial" w:cs="Arial"/>
          <w:sz w:val="24"/>
          <w:szCs w:val="24"/>
        </w:rPr>
      </w:pPr>
      <w:r w:rsidRPr="00AC68AC">
        <w:rPr>
          <w:rFonts w:ascii="Arial" w:hAnsi="Arial" w:cs="Arial"/>
          <w:sz w:val="24"/>
          <w:szCs w:val="24"/>
        </w:rPr>
        <w:t>and</w:t>
      </w:r>
    </w:p>
    <w:p w14:paraId="7A068B03" w14:textId="403B68E3" w:rsidR="006D28DB" w:rsidRPr="00AC68AC" w:rsidRDefault="00017C3B" w:rsidP="0057338B">
      <w:pPr>
        <w:pBdr>
          <w:bottom w:val="single" w:sz="12" w:space="1" w:color="auto"/>
        </w:pBdr>
        <w:spacing w:line="360" w:lineRule="auto"/>
        <w:rPr>
          <w:rFonts w:ascii="Arial" w:hAnsi="Arial" w:cs="Arial"/>
          <w:sz w:val="24"/>
          <w:szCs w:val="24"/>
        </w:rPr>
      </w:pPr>
      <w:r>
        <w:rPr>
          <w:rFonts w:ascii="Arial" w:hAnsi="Arial" w:cs="Arial"/>
          <w:b/>
          <w:bCs/>
          <w:sz w:val="24"/>
          <w:szCs w:val="24"/>
        </w:rPr>
        <w:t xml:space="preserve">MTE PUMPS AND </w:t>
      </w:r>
      <w:r w:rsidR="0035010D">
        <w:rPr>
          <w:rFonts w:ascii="Arial" w:hAnsi="Arial" w:cs="Arial"/>
          <w:b/>
          <w:bCs/>
          <w:sz w:val="24"/>
          <w:szCs w:val="24"/>
        </w:rPr>
        <w:t>MINING SUPPLIES (PTY) LTD</w:t>
      </w:r>
      <w:r w:rsidR="00AC68AC" w:rsidRPr="00AC68AC">
        <w:rPr>
          <w:rFonts w:ascii="Arial" w:hAnsi="Arial" w:cs="Arial"/>
          <w:b/>
          <w:bCs/>
          <w:sz w:val="24"/>
          <w:szCs w:val="24"/>
        </w:rPr>
        <w:tab/>
      </w:r>
      <w:r w:rsidR="000C73BA" w:rsidRPr="00AC68AC">
        <w:rPr>
          <w:rFonts w:ascii="Arial" w:hAnsi="Arial" w:cs="Arial"/>
          <w:b/>
          <w:bCs/>
          <w:sz w:val="24"/>
          <w:szCs w:val="24"/>
        </w:rPr>
        <w:tab/>
      </w:r>
      <w:r>
        <w:rPr>
          <w:rFonts w:ascii="Arial" w:hAnsi="Arial" w:cs="Arial"/>
          <w:b/>
          <w:bCs/>
          <w:sz w:val="24"/>
          <w:szCs w:val="24"/>
        </w:rPr>
        <w:t xml:space="preserve">                    </w:t>
      </w:r>
      <w:r w:rsidR="00AC68AC" w:rsidRPr="00AC68AC">
        <w:rPr>
          <w:rFonts w:ascii="Arial" w:hAnsi="Arial" w:cs="Arial"/>
          <w:b/>
          <w:bCs/>
          <w:sz w:val="24"/>
          <w:szCs w:val="24"/>
        </w:rPr>
        <w:t xml:space="preserve"> </w:t>
      </w:r>
      <w:r w:rsidR="00082668" w:rsidRPr="00AC68AC">
        <w:rPr>
          <w:rFonts w:ascii="Arial" w:hAnsi="Arial" w:cs="Arial"/>
          <w:sz w:val="24"/>
          <w:szCs w:val="24"/>
        </w:rPr>
        <w:t>Respondent</w:t>
      </w:r>
    </w:p>
    <w:p w14:paraId="3120BD5F" w14:textId="71B91AC4" w:rsidR="00AC68AC" w:rsidRPr="00AC68AC" w:rsidRDefault="00AC68AC" w:rsidP="0057338B">
      <w:pPr>
        <w:pBdr>
          <w:bottom w:val="single" w:sz="12" w:space="1" w:color="auto"/>
        </w:pBdr>
        <w:spacing w:line="360" w:lineRule="auto"/>
        <w:rPr>
          <w:rFonts w:ascii="Arial" w:hAnsi="Arial" w:cs="Arial"/>
          <w:b/>
          <w:bCs/>
          <w:sz w:val="24"/>
          <w:szCs w:val="24"/>
        </w:rPr>
      </w:pPr>
    </w:p>
    <w:p w14:paraId="680FF4FD" w14:textId="5E4B416C" w:rsidR="0057338B" w:rsidRPr="00AC68AC" w:rsidRDefault="002851D1" w:rsidP="002851D1">
      <w:pPr>
        <w:pBdr>
          <w:bottom w:val="single" w:sz="12" w:space="1" w:color="auto"/>
        </w:pBdr>
        <w:spacing w:after="0" w:line="240" w:lineRule="auto"/>
        <w:rPr>
          <w:rFonts w:ascii="Arial" w:hAnsi="Arial" w:cs="Arial"/>
          <w:b/>
          <w:bCs/>
          <w:sz w:val="24"/>
          <w:szCs w:val="24"/>
        </w:rPr>
      </w:pPr>
      <w:r w:rsidRPr="00AC68AC">
        <w:rPr>
          <w:rFonts w:ascii="Arial" w:hAnsi="Arial" w:cs="Arial"/>
          <w:b/>
          <w:bCs/>
          <w:i/>
          <w:iCs/>
          <w:sz w:val="24"/>
          <w:szCs w:val="24"/>
        </w:rPr>
        <w:t>Case Summary</w:t>
      </w:r>
      <w:r w:rsidRPr="00AC68AC">
        <w:rPr>
          <w:rFonts w:ascii="Arial" w:hAnsi="Arial" w:cs="Arial"/>
          <w:b/>
          <w:bCs/>
          <w:sz w:val="24"/>
          <w:szCs w:val="24"/>
        </w:rPr>
        <w:t>:</w:t>
      </w:r>
      <w:r w:rsidR="00AA4E18">
        <w:rPr>
          <w:rFonts w:ascii="Arial" w:hAnsi="Arial" w:cs="Arial"/>
          <w:b/>
          <w:bCs/>
          <w:sz w:val="24"/>
          <w:szCs w:val="24"/>
        </w:rPr>
        <w:t xml:space="preserve">  APPLICATION FOR WINDING UP IN TERMS OF SECTION 345(1)(c) READ WITH SECTION 344(f) OF THE COMPANIES ACT 61 OF 1973</w:t>
      </w:r>
    </w:p>
    <w:p w14:paraId="47367456" w14:textId="77777777" w:rsidR="009B712E" w:rsidRPr="00AC68AC" w:rsidRDefault="009B712E" w:rsidP="005568C9">
      <w:pPr>
        <w:pBdr>
          <w:bottom w:val="single" w:sz="12" w:space="1" w:color="auto"/>
        </w:pBdr>
        <w:spacing w:after="0"/>
        <w:jc w:val="center"/>
        <w:rPr>
          <w:rFonts w:ascii="Arial" w:hAnsi="Arial" w:cs="Arial"/>
          <w:sz w:val="24"/>
          <w:szCs w:val="24"/>
        </w:rPr>
      </w:pPr>
    </w:p>
    <w:p w14:paraId="0F19ECB3" w14:textId="4B794654" w:rsidR="00C27042" w:rsidRPr="00AC68AC" w:rsidRDefault="00AC68AC" w:rsidP="00EC4C36">
      <w:pPr>
        <w:spacing w:before="240" w:after="0" w:line="240" w:lineRule="auto"/>
        <w:jc w:val="center"/>
        <w:rPr>
          <w:rFonts w:ascii="Arial" w:hAnsi="Arial" w:cs="Arial"/>
          <w:b/>
          <w:bCs/>
          <w:sz w:val="24"/>
          <w:szCs w:val="24"/>
        </w:rPr>
      </w:pPr>
      <w:r w:rsidRPr="00AC68AC">
        <w:rPr>
          <w:rFonts w:ascii="Arial" w:hAnsi="Arial" w:cs="Arial"/>
          <w:b/>
          <w:bCs/>
          <w:sz w:val="24"/>
          <w:szCs w:val="24"/>
        </w:rPr>
        <w:t>JUDGMENT</w:t>
      </w:r>
    </w:p>
    <w:p w14:paraId="709A4041" w14:textId="77777777" w:rsidR="00EC4C36" w:rsidRPr="00AC68AC" w:rsidRDefault="00EC4C36" w:rsidP="00EC4C36">
      <w:pPr>
        <w:spacing w:after="0" w:line="360" w:lineRule="auto"/>
        <w:rPr>
          <w:rFonts w:ascii="Arial" w:hAnsi="Arial" w:cs="Arial"/>
          <w:b/>
          <w:bCs/>
          <w:sz w:val="24"/>
          <w:szCs w:val="24"/>
          <w:u w:val="single"/>
        </w:rPr>
      </w:pP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p>
    <w:p w14:paraId="4647C09C" w14:textId="7147053C" w:rsidR="00AC68AC" w:rsidRPr="00727499" w:rsidRDefault="000C73BA" w:rsidP="00EC4C36">
      <w:pPr>
        <w:spacing w:before="240" w:after="120" w:line="360" w:lineRule="auto"/>
        <w:jc w:val="both"/>
        <w:rPr>
          <w:rFonts w:ascii="Arial" w:hAnsi="Arial" w:cs="Arial"/>
          <w:b/>
          <w:bCs/>
          <w:sz w:val="24"/>
          <w:szCs w:val="24"/>
        </w:rPr>
      </w:pPr>
      <w:r w:rsidRPr="00AC68AC">
        <w:rPr>
          <w:rFonts w:ascii="Arial" w:hAnsi="Arial" w:cs="Arial"/>
          <w:b/>
          <w:bCs/>
          <w:sz w:val="24"/>
          <w:szCs w:val="24"/>
        </w:rPr>
        <w:t>SENYATSI</w:t>
      </w:r>
      <w:r w:rsidR="00727499">
        <w:rPr>
          <w:rFonts w:ascii="Arial" w:hAnsi="Arial" w:cs="Arial"/>
          <w:b/>
          <w:bCs/>
          <w:sz w:val="24"/>
          <w:szCs w:val="24"/>
        </w:rPr>
        <w:t xml:space="preserve"> J</w:t>
      </w:r>
    </w:p>
    <w:p w14:paraId="424E6091" w14:textId="4D2CAF23" w:rsidR="00AC68AC" w:rsidRPr="00AC68AC" w:rsidRDefault="00AC68AC" w:rsidP="003F0D2B">
      <w:pPr>
        <w:spacing w:before="240" w:after="120" w:line="360" w:lineRule="auto"/>
        <w:jc w:val="both"/>
        <w:rPr>
          <w:rFonts w:ascii="Arial" w:hAnsi="Arial" w:cs="Arial"/>
          <w:b/>
          <w:bCs/>
          <w:sz w:val="24"/>
          <w:szCs w:val="24"/>
          <w:u w:val="single"/>
        </w:rPr>
      </w:pPr>
      <w:r w:rsidRPr="00AC68AC">
        <w:rPr>
          <w:rFonts w:ascii="Arial" w:hAnsi="Arial" w:cs="Arial"/>
          <w:b/>
          <w:bCs/>
          <w:sz w:val="24"/>
          <w:szCs w:val="24"/>
          <w:u w:val="single"/>
        </w:rPr>
        <w:t xml:space="preserve">A.  INTRODUCTION </w:t>
      </w:r>
    </w:p>
    <w:p w14:paraId="4F8B7FDC" w14:textId="784A65C4" w:rsidR="00AC68AC" w:rsidRPr="00AC68AC" w:rsidRDefault="00FE3076" w:rsidP="003F0D2B">
      <w:pPr>
        <w:pStyle w:val="WerksmansStyle1"/>
        <w:tabs>
          <w:tab w:val="clear" w:pos="720"/>
        </w:tabs>
        <w:spacing w:after="240" w:line="360" w:lineRule="auto"/>
        <w:ind w:left="0" w:firstLine="0"/>
        <w:rPr>
          <w:rFonts w:cs="Arial"/>
          <w:sz w:val="24"/>
          <w:szCs w:val="24"/>
          <w:lang w:val="en-US"/>
        </w:rPr>
      </w:pPr>
      <w:r w:rsidRPr="00AC68AC">
        <w:rPr>
          <w:rFonts w:cs="Arial"/>
          <w:sz w:val="24"/>
          <w:szCs w:val="24"/>
          <w:lang w:val="en-US"/>
        </w:rPr>
        <w:t>[1]</w:t>
      </w:r>
      <w:r w:rsidR="00942258" w:rsidRPr="00AC68AC">
        <w:rPr>
          <w:rFonts w:cs="Arial"/>
          <w:sz w:val="24"/>
          <w:szCs w:val="24"/>
          <w:lang w:val="en-US"/>
        </w:rPr>
        <w:tab/>
      </w:r>
      <w:r w:rsidR="000C73BA" w:rsidRPr="00AC68AC">
        <w:rPr>
          <w:rFonts w:cs="Arial"/>
          <w:sz w:val="24"/>
          <w:szCs w:val="24"/>
          <w:lang w:val="en-US"/>
        </w:rPr>
        <w:t xml:space="preserve"> </w:t>
      </w:r>
      <w:r w:rsidR="0035010D">
        <w:rPr>
          <w:rFonts w:cs="Arial"/>
          <w:sz w:val="24"/>
          <w:szCs w:val="24"/>
          <w:lang w:val="en-US"/>
        </w:rPr>
        <w:t>This is an opposed application for winding up of Respondent in terms of section 345(1)(c) read with section 344(f) of the Companies Act 61 of 1973 (“the old Companies Act”).</w:t>
      </w:r>
    </w:p>
    <w:p w14:paraId="746D83EF" w14:textId="2DD8EC49" w:rsidR="00AC68AC" w:rsidRDefault="00727499" w:rsidP="003F0D2B">
      <w:pPr>
        <w:spacing w:line="360" w:lineRule="auto"/>
        <w:jc w:val="both"/>
        <w:rPr>
          <w:rFonts w:ascii="Arial" w:hAnsi="Arial" w:cs="Arial"/>
          <w:b/>
          <w:sz w:val="24"/>
          <w:szCs w:val="24"/>
          <w:u w:val="single"/>
        </w:rPr>
      </w:pPr>
      <w:r>
        <w:rPr>
          <w:rFonts w:ascii="Arial" w:hAnsi="Arial" w:cs="Arial"/>
          <w:b/>
          <w:sz w:val="24"/>
          <w:szCs w:val="24"/>
          <w:u w:val="single"/>
        </w:rPr>
        <w:lastRenderedPageBreak/>
        <w:t xml:space="preserve">B. </w:t>
      </w:r>
      <w:r>
        <w:rPr>
          <w:rFonts w:ascii="Arial" w:hAnsi="Arial" w:cs="Arial"/>
          <w:b/>
          <w:sz w:val="24"/>
          <w:szCs w:val="24"/>
          <w:u w:val="single"/>
        </w:rPr>
        <w:tab/>
      </w:r>
      <w:r w:rsidR="00AC68AC">
        <w:rPr>
          <w:rFonts w:ascii="Arial" w:hAnsi="Arial" w:cs="Arial"/>
          <w:b/>
          <w:sz w:val="24"/>
          <w:szCs w:val="24"/>
          <w:u w:val="single"/>
        </w:rPr>
        <w:t>BACKGROUND</w:t>
      </w:r>
    </w:p>
    <w:p w14:paraId="099BC787" w14:textId="687D6B68" w:rsidR="00AC68AC" w:rsidRDefault="00AC68AC" w:rsidP="003F0D2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5010D">
        <w:rPr>
          <w:rFonts w:ascii="Arial" w:hAnsi="Arial" w:cs="Arial"/>
          <w:sz w:val="24"/>
          <w:szCs w:val="24"/>
        </w:rPr>
        <w:t>Applicant is Groves (Pty) Ltd, a private company with its principal place of business situated at 24 De Kock Street, Vulcania, Brakpan Gauteng.</w:t>
      </w:r>
    </w:p>
    <w:p w14:paraId="71521A46" w14:textId="114991CF" w:rsidR="00B70F1F" w:rsidRDefault="00B70F1F" w:rsidP="003F0D2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5010D">
        <w:rPr>
          <w:rFonts w:ascii="Arial" w:hAnsi="Arial" w:cs="Arial"/>
          <w:sz w:val="24"/>
          <w:szCs w:val="24"/>
        </w:rPr>
        <w:t>Respondent is MTE Pump and Mine Supplies (Pty) Ltd, a private company with its registered and principal place of business situated at 55 Watt Road, New Era Springs, Gauteng.</w:t>
      </w:r>
    </w:p>
    <w:p w14:paraId="758AD8BC" w14:textId="6CC6D170" w:rsidR="00B70F1F" w:rsidRDefault="00B70F1F" w:rsidP="003F0D2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5010D">
        <w:rPr>
          <w:rFonts w:ascii="Arial" w:hAnsi="Arial" w:cs="Arial"/>
          <w:sz w:val="24"/>
          <w:szCs w:val="24"/>
        </w:rPr>
        <w:t xml:space="preserve">Applicant conducts business in </w:t>
      </w:r>
      <w:r w:rsidR="0074567D">
        <w:rPr>
          <w:rFonts w:ascii="Arial" w:hAnsi="Arial" w:cs="Arial"/>
          <w:sz w:val="24"/>
          <w:szCs w:val="24"/>
        </w:rPr>
        <w:t xml:space="preserve">the </w:t>
      </w:r>
      <w:r w:rsidR="0035010D">
        <w:rPr>
          <w:rFonts w:ascii="Arial" w:hAnsi="Arial" w:cs="Arial"/>
          <w:sz w:val="24"/>
          <w:szCs w:val="24"/>
        </w:rPr>
        <w:t>suppl</w:t>
      </w:r>
      <w:r w:rsidR="0074567D">
        <w:rPr>
          <w:rFonts w:ascii="Arial" w:hAnsi="Arial" w:cs="Arial"/>
          <w:sz w:val="24"/>
          <w:szCs w:val="24"/>
        </w:rPr>
        <w:t>y</w:t>
      </w:r>
      <w:r w:rsidR="0035010D">
        <w:rPr>
          <w:rFonts w:ascii="Arial" w:hAnsi="Arial" w:cs="Arial"/>
          <w:sz w:val="24"/>
          <w:szCs w:val="24"/>
        </w:rPr>
        <w:t xml:space="preserve"> of chrome and steel foundry and cast parts.  Respondent uses such products to manufacture water pumps primarily for the mining sector.</w:t>
      </w:r>
    </w:p>
    <w:p w14:paraId="1B119BCC" w14:textId="799A95BB" w:rsidR="004B227C" w:rsidRDefault="004B227C" w:rsidP="003F0D2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F255D">
        <w:rPr>
          <w:rFonts w:ascii="Arial" w:hAnsi="Arial" w:cs="Arial"/>
          <w:sz w:val="24"/>
          <w:szCs w:val="24"/>
        </w:rPr>
        <w:t xml:space="preserve"> </w:t>
      </w:r>
      <w:r w:rsidR="007F69B2">
        <w:rPr>
          <w:rFonts w:ascii="Arial" w:hAnsi="Arial" w:cs="Arial"/>
          <w:sz w:val="24"/>
          <w:szCs w:val="24"/>
        </w:rPr>
        <w:t>Respondent ordered various parts from Applicant totaling R1 208 941.40 as at September 2019- and defaulted on payment.  The parties reached a settlement agreement during September 2019 and Respondent agreed to pay of the amount by way of monthly installments of R40 000 and reduced the historical debt to R829 892.27.</w:t>
      </w:r>
    </w:p>
    <w:p w14:paraId="513AFE33" w14:textId="1760E306" w:rsidR="002F255D" w:rsidRDefault="002F255D" w:rsidP="003F0D2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7F69B2">
        <w:rPr>
          <w:rFonts w:ascii="Arial" w:hAnsi="Arial" w:cs="Arial"/>
          <w:sz w:val="24"/>
          <w:szCs w:val="24"/>
        </w:rPr>
        <w:t>Respondent placed new orders which were paid in cash or strictly on 30 days</w:t>
      </w:r>
      <w:r w:rsidR="0074567D">
        <w:rPr>
          <w:rFonts w:ascii="Arial" w:hAnsi="Arial" w:cs="Arial"/>
          <w:sz w:val="24"/>
          <w:szCs w:val="24"/>
        </w:rPr>
        <w:t xml:space="preserve"> payment terms</w:t>
      </w:r>
      <w:r w:rsidR="007F69B2">
        <w:rPr>
          <w:rFonts w:ascii="Arial" w:hAnsi="Arial" w:cs="Arial"/>
          <w:sz w:val="24"/>
          <w:szCs w:val="24"/>
        </w:rPr>
        <w:t>.  The amount of new orders that w</w:t>
      </w:r>
      <w:r w:rsidR="0074567D">
        <w:rPr>
          <w:rFonts w:ascii="Arial" w:hAnsi="Arial" w:cs="Arial"/>
          <w:sz w:val="24"/>
          <w:szCs w:val="24"/>
        </w:rPr>
        <w:t>as</w:t>
      </w:r>
      <w:r w:rsidR="007F69B2">
        <w:rPr>
          <w:rFonts w:ascii="Arial" w:hAnsi="Arial" w:cs="Arial"/>
          <w:sz w:val="24"/>
          <w:szCs w:val="24"/>
        </w:rPr>
        <w:t xml:space="preserve"> not paid is R148 031.68 according to Applicant.  In total the historical and new balance is R972 923.95.</w:t>
      </w:r>
    </w:p>
    <w:p w14:paraId="50B22138" w14:textId="69625BA0" w:rsidR="007F69B2" w:rsidRDefault="00227C4A" w:rsidP="003F0D2B">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F69B2">
        <w:rPr>
          <w:rFonts w:ascii="Arial" w:hAnsi="Arial" w:cs="Arial"/>
          <w:sz w:val="24"/>
          <w:szCs w:val="24"/>
        </w:rPr>
        <w:t>Respondent opposes Application on the following grounds;</w:t>
      </w:r>
    </w:p>
    <w:p w14:paraId="7C5E1856" w14:textId="77777777" w:rsidR="007F69B2" w:rsidRDefault="007F69B2" w:rsidP="003F0D2B">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Applicant fails to make out a case justifying the relief it seeks; </w:t>
      </w:r>
    </w:p>
    <w:p w14:paraId="208E32A8" w14:textId="77777777" w:rsidR="007F69B2" w:rsidRDefault="007F69B2" w:rsidP="003F0D2B">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indebtedness as alleged to be due is disputed since Respondent has made payment in excess of R2 million since September 2019.</w:t>
      </w:r>
    </w:p>
    <w:p w14:paraId="142392A6" w14:textId="3315F598" w:rsidR="007F69B2" w:rsidRDefault="007F69B2" w:rsidP="003F0D2B">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The application as launched is an abuse and that it is the intention of Applicant to pressure </w:t>
      </w:r>
      <w:r w:rsidR="0074567D">
        <w:rPr>
          <w:rFonts w:ascii="Arial" w:hAnsi="Arial" w:cs="Arial"/>
          <w:sz w:val="24"/>
          <w:szCs w:val="24"/>
        </w:rPr>
        <w:t>R</w:t>
      </w:r>
      <w:r>
        <w:rPr>
          <w:rFonts w:ascii="Arial" w:hAnsi="Arial" w:cs="Arial"/>
          <w:sz w:val="24"/>
          <w:szCs w:val="24"/>
        </w:rPr>
        <w:t>espon</w:t>
      </w:r>
      <w:r w:rsidR="0074567D">
        <w:rPr>
          <w:rFonts w:ascii="Arial" w:hAnsi="Arial" w:cs="Arial"/>
          <w:sz w:val="24"/>
          <w:szCs w:val="24"/>
        </w:rPr>
        <w:t>d</w:t>
      </w:r>
      <w:r>
        <w:rPr>
          <w:rFonts w:ascii="Arial" w:hAnsi="Arial" w:cs="Arial"/>
          <w:sz w:val="24"/>
          <w:szCs w:val="24"/>
        </w:rPr>
        <w:t>e</w:t>
      </w:r>
      <w:r w:rsidR="0074567D">
        <w:rPr>
          <w:rFonts w:ascii="Arial" w:hAnsi="Arial" w:cs="Arial"/>
          <w:sz w:val="24"/>
          <w:szCs w:val="24"/>
        </w:rPr>
        <w:t>nt</w:t>
      </w:r>
      <w:r>
        <w:rPr>
          <w:rFonts w:ascii="Arial" w:hAnsi="Arial" w:cs="Arial"/>
          <w:sz w:val="24"/>
          <w:szCs w:val="24"/>
        </w:rPr>
        <w:t xml:space="preserve"> to withdraw a pending application between the parties.</w:t>
      </w:r>
    </w:p>
    <w:p w14:paraId="733D0B5C" w14:textId="3EE1CCB0" w:rsidR="001564DE" w:rsidRDefault="007F69B2" w:rsidP="003F0D2B">
      <w:pPr>
        <w:spacing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Applicant is currently in possession of assets of Respondent which are valued in excess of R2 146 866.00 </w:t>
      </w:r>
      <w:r w:rsidR="00484851">
        <w:rPr>
          <w:rFonts w:ascii="Arial" w:hAnsi="Arial" w:cs="Arial"/>
          <w:sz w:val="24"/>
          <w:szCs w:val="24"/>
        </w:rPr>
        <w:t xml:space="preserve">far more </w:t>
      </w:r>
      <w:r w:rsidR="0074567D">
        <w:rPr>
          <w:rFonts w:ascii="Arial" w:hAnsi="Arial" w:cs="Arial"/>
          <w:sz w:val="24"/>
          <w:szCs w:val="24"/>
        </w:rPr>
        <w:t>than the amount</w:t>
      </w:r>
      <w:r w:rsidR="00484851">
        <w:rPr>
          <w:rFonts w:ascii="Arial" w:hAnsi="Arial" w:cs="Arial"/>
          <w:sz w:val="24"/>
          <w:szCs w:val="24"/>
        </w:rPr>
        <w:t xml:space="preserve"> which Applicant alleges </w:t>
      </w:r>
      <w:r w:rsidR="00306A14">
        <w:rPr>
          <w:rFonts w:ascii="Arial" w:hAnsi="Arial" w:cs="Arial"/>
          <w:sz w:val="24"/>
          <w:szCs w:val="24"/>
        </w:rPr>
        <w:t xml:space="preserve">Respondent </w:t>
      </w:r>
      <w:r w:rsidR="00484851">
        <w:rPr>
          <w:rFonts w:ascii="Arial" w:hAnsi="Arial" w:cs="Arial"/>
          <w:sz w:val="24"/>
          <w:szCs w:val="24"/>
        </w:rPr>
        <w:t>owe</w:t>
      </w:r>
      <w:r w:rsidR="00306A14">
        <w:rPr>
          <w:rFonts w:ascii="Arial" w:hAnsi="Arial" w:cs="Arial"/>
          <w:sz w:val="24"/>
          <w:szCs w:val="24"/>
        </w:rPr>
        <w:t>s</w:t>
      </w:r>
      <w:r w:rsidR="00484851">
        <w:rPr>
          <w:rFonts w:ascii="Arial" w:hAnsi="Arial" w:cs="Arial"/>
          <w:sz w:val="24"/>
          <w:szCs w:val="24"/>
        </w:rPr>
        <w:t>, which assets</w:t>
      </w:r>
      <w:r w:rsidR="00565F1F">
        <w:rPr>
          <w:rFonts w:ascii="Arial" w:hAnsi="Arial" w:cs="Arial"/>
          <w:sz w:val="24"/>
          <w:szCs w:val="24"/>
        </w:rPr>
        <w:t xml:space="preserve"> Applicant alleges it holds as security for the indebtedness.</w:t>
      </w:r>
    </w:p>
    <w:p w14:paraId="221A77CF" w14:textId="28C97C84" w:rsidR="00727499" w:rsidRDefault="00727499" w:rsidP="003F0D2B">
      <w:pPr>
        <w:spacing w:line="360" w:lineRule="auto"/>
        <w:jc w:val="both"/>
        <w:rPr>
          <w:rFonts w:ascii="Arial" w:hAnsi="Arial" w:cs="Arial"/>
          <w:sz w:val="24"/>
          <w:szCs w:val="24"/>
        </w:rPr>
      </w:pPr>
    </w:p>
    <w:p w14:paraId="54BAA6D3" w14:textId="77777777" w:rsidR="00727499" w:rsidRDefault="00727499" w:rsidP="003F0D2B">
      <w:pPr>
        <w:spacing w:line="360" w:lineRule="auto"/>
        <w:jc w:val="both"/>
        <w:rPr>
          <w:rFonts w:ascii="Arial" w:hAnsi="Arial" w:cs="Arial"/>
          <w:sz w:val="24"/>
          <w:szCs w:val="24"/>
        </w:rPr>
      </w:pPr>
    </w:p>
    <w:p w14:paraId="16E2E4AA" w14:textId="14F66DF2" w:rsidR="001564DE" w:rsidRPr="001564DE" w:rsidRDefault="00727499" w:rsidP="003F0D2B">
      <w:pPr>
        <w:spacing w:line="360" w:lineRule="auto"/>
        <w:jc w:val="both"/>
        <w:rPr>
          <w:rFonts w:ascii="Arial" w:hAnsi="Arial" w:cs="Arial"/>
          <w:b/>
          <w:sz w:val="24"/>
          <w:szCs w:val="24"/>
          <w:u w:val="single"/>
        </w:rPr>
      </w:pPr>
      <w:r>
        <w:rPr>
          <w:rFonts w:ascii="Arial" w:hAnsi="Arial" w:cs="Arial"/>
          <w:b/>
          <w:sz w:val="24"/>
          <w:szCs w:val="24"/>
          <w:u w:val="single"/>
        </w:rPr>
        <w:lastRenderedPageBreak/>
        <w:t>C.</w:t>
      </w:r>
      <w:r>
        <w:rPr>
          <w:rFonts w:ascii="Arial" w:hAnsi="Arial" w:cs="Arial"/>
          <w:b/>
          <w:sz w:val="24"/>
          <w:szCs w:val="24"/>
          <w:u w:val="single"/>
        </w:rPr>
        <w:tab/>
      </w:r>
      <w:r w:rsidR="001564DE">
        <w:rPr>
          <w:rFonts w:ascii="Arial" w:hAnsi="Arial" w:cs="Arial"/>
          <w:b/>
          <w:sz w:val="24"/>
          <w:szCs w:val="24"/>
          <w:u w:val="single"/>
        </w:rPr>
        <w:t>ISSUES FOR DETERMINATION</w:t>
      </w:r>
    </w:p>
    <w:p w14:paraId="61838591" w14:textId="07E5F6DE" w:rsidR="003F0D2B" w:rsidRDefault="00227C4A" w:rsidP="003F0D2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3F0D2B">
        <w:rPr>
          <w:rFonts w:ascii="Arial" w:hAnsi="Arial" w:cs="Arial"/>
          <w:sz w:val="24"/>
          <w:szCs w:val="24"/>
        </w:rPr>
        <w:t xml:space="preserve"> </w:t>
      </w:r>
      <w:r w:rsidR="001564DE">
        <w:rPr>
          <w:rFonts w:ascii="Arial" w:hAnsi="Arial" w:cs="Arial"/>
          <w:sz w:val="24"/>
          <w:szCs w:val="24"/>
        </w:rPr>
        <w:t>The issue for determination is whether Applicant has made out a case for winding up in terms of section 345(1)(c) read with section 344 (f) of the old Companies Act.</w:t>
      </w:r>
    </w:p>
    <w:p w14:paraId="1C3C4498" w14:textId="52019D97" w:rsidR="001564DE" w:rsidRDefault="001564DE" w:rsidP="003F0D2B">
      <w:pPr>
        <w:spacing w:line="360" w:lineRule="auto"/>
        <w:jc w:val="both"/>
        <w:rPr>
          <w:rFonts w:ascii="Arial" w:hAnsi="Arial" w:cs="Arial"/>
          <w:b/>
          <w:sz w:val="24"/>
          <w:szCs w:val="24"/>
          <w:u w:val="single"/>
        </w:rPr>
      </w:pPr>
      <w:r>
        <w:rPr>
          <w:rFonts w:ascii="Arial" w:hAnsi="Arial" w:cs="Arial"/>
          <w:b/>
          <w:sz w:val="24"/>
          <w:szCs w:val="24"/>
          <w:u w:val="single"/>
        </w:rPr>
        <w:t>D.</w:t>
      </w:r>
      <w:r>
        <w:rPr>
          <w:rFonts w:ascii="Arial" w:hAnsi="Arial" w:cs="Arial"/>
          <w:b/>
          <w:sz w:val="24"/>
          <w:szCs w:val="24"/>
          <w:u w:val="single"/>
        </w:rPr>
        <w:tab/>
        <w:t xml:space="preserve">LEGAL PRINCIPLES </w:t>
      </w:r>
    </w:p>
    <w:p w14:paraId="73108774" w14:textId="4AF94270" w:rsidR="00306A14" w:rsidRDefault="003F0D2B" w:rsidP="003F0D2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1564DE">
        <w:rPr>
          <w:rFonts w:ascii="Arial" w:hAnsi="Arial" w:cs="Arial"/>
          <w:sz w:val="24"/>
          <w:szCs w:val="24"/>
        </w:rPr>
        <w:t>The inability of a company to pay its debts when they fall due is regulated by the deeming provision in terms of section 345 (1) which provides as follows:</w:t>
      </w:r>
    </w:p>
    <w:p w14:paraId="2EE2A76E" w14:textId="0A816E85" w:rsidR="001564DE" w:rsidRPr="007065B6" w:rsidRDefault="00306A14" w:rsidP="003F0D2B">
      <w:pPr>
        <w:spacing w:line="360" w:lineRule="auto"/>
        <w:jc w:val="both"/>
        <w:rPr>
          <w:rFonts w:ascii="Arial" w:hAnsi="Arial" w:cs="Arial"/>
          <w:i/>
          <w:sz w:val="24"/>
          <w:szCs w:val="24"/>
        </w:rPr>
      </w:pPr>
      <w:r>
        <w:rPr>
          <w:rFonts w:ascii="Arial" w:hAnsi="Arial" w:cs="Arial"/>
          <w:i/>
          <w:sz w:val="24"/>
          <w:szCs w:val="24"/>
        </w:rPr>
        <w:t>“</w:t>
      </w:r>
      <w:r w:rsidR="001564DE" w:rsidRPr="00225066">
        <w:rPr>
          <w:rFonts w:ascii="Arial" w:hAnsi="Arial" w:cs="Arial"/>
          <w:b/>
          <w:bCs/>
          <w:i/>
          <w:sz w:val="24"/>
          <w:szCs w:val="24"/>
        </w:rPr>
        <w:t>When a company deemed unable to pay its debts</w:t>
      </w:r>
      <w:r w:rsidR="001564DE" w:rsidRPr="007065B6">
        <w:rPr>
          <w:rFonts w:ascii="Arial" w:hAnsi="Arial" w:cs="Arial"/>
          <w:i/>
          <w:sz w:val="24"/>
          <w:szCs w:val="24"/>
        </w:rPr>
        <w:t>-</w:t>
      </w:r>
    </w:p>
    <w:p w14:paraId="396E6699" w14:textId="522F4328" w:rsidR="001564DE" w:rsidRPr="007065B6" w:rsidRDefault="001564DE" w:rsidP="001564DE">
      <w:pPr>
        <w:pStyle w:val="ListParagraph"/>
        <w:numPr>
          <w:ilvl w:val="0"/>
          <w:numId w:val="43"/>
        </w:numPr>
        <w:spacing w:line="360" w:lineRule="auto"/>
        <w:jc w:val="both"/>
        <w:rPr>
          <w:rFonts w:ascii="Arial" w:hAnsi="Arial" w:cs="Arial"/>
          <w:i/>
          <w:sz w:val="24"/>
          <w:szCs w:val="24"/>
        </w:rPr>
      </w:pPr>
      <w:r w:rsidRPr="007065B6">
        <w:rPr>
          <w:rFonts w:ascii="Arial" w:hAnsi="Arial" w:cs="Arial"/>
          <w:i/>
          <w:sz w:val="24"/>
          <w:szCs w:val="24"/>
        </w:rPr>
        <w:t>A company or body corporate shall be deemed to be unable to pay its debts</w:t>
      </w:r>
      <w:r w:rsidR="007065B6" w:rsidRPr="007065B6">
        <w:rPr>
          <w:rFonts w:ascii="Arial" w:hAnsi="Arial" w:cs="Arial"/>
          <w:i/>
          <w:sz w:val="24"/>
          <w:szCs w:val="24"/>
        </w:rPr>
        <w:t xml:space="preserve"> if-</w:t>
      </w:r>
    </w:p>
    <w:p w14:paraId="6F535666" w14:textId="4EA67DB2" w:rsidR="007065B6" w:rsidRDefault="001564DE" w:rsidP="007065B6">
      <w:pPr>
        <w:spacing w:line="360" w:lineRule="auto"/>
        <w:ind w:left="1050" w:hanging="690"/>
        <w:jc w:val="both"/>
        <w:rPr>
          <w:rFonts w:ascii="Arial" w:hAnsi="Arial" w:cs="Arial"/>
          <w:i/>
          <w:sz w:val="24"/>
          <w:szCs w:val="24"/>
        </w:rPr>
      </w:pPr>
      <w:r w:rsidRPr="007065B6">
        <w:rPr>
          <w:rFonts w:ascii="Arial" w:hAnsi="Arial" w:cs="Arial"/>
          <w:i/>
          <w:sz w:val="24"/>
          <w:szCs w:val="24"/>
        </w:rPr>
        <w:t>(c)</w:t>
      </w:r>
      <w:r w:rsidRPr="007065B6">
        <w:rPr>
          <w:rFonts w:ascii="Arial" w:hAnsi="Arial" w:cs="Arial"/>
          <w:i/>
          <w:sz w:val="24"/>
          <w:szCs w:val="24"/>
        </w:rPr>
        <w:tab/>
      </w:r>
      <w:r w:rsidR="007065B6" w:rsidRPr="007065B6">
        <w:rPr>
          <w:rFonts w:ascii="Arial" w:hAnsi="Arial" w:cs="Arial"/>
          <w:i/>
          <w:sz w:val="24"/>
          <w:szCs w:val="24"/>
        </w:rPr>
        <w:t>it is proved to the satisfaction of the court that the company is unable to pay its debts</w:t>
      </w:r>
      <w:r w:rsidR="007065B6">
        <w:rPr>
          <w:rFonts w:ascii="Arial" w:hAnsi="Arial" w:cs="Arial"/>
          <w:i/>
          <w:sz w:val="24"/>
          <w:szCs w:val="24"/>
        </w:rPr>
        <w:t>.”</w:t>
      </w:r>
    </w:p>
    <w:p w14:paraId="6430E7B5" w14:textId="2CA1798B" w:rsidR="007065B6" w:rsidRPr="007065B6" w:rsidRDefault="007065B6" w:rsidP="007065B6">
      <w:pPr>
        <w:spacing w:line="360" w:lineRule="auto"/>
        <w:jc w:val="both"/>
        <w:rPr>
          <w:rFonts w:ascii="Arial" w:hAnsi="Arial" w:cs="Arial"/>
          <w:sz w:val="24"/>
          <w:szCs w:val="24"/>
        </w:rPr>
      </w:pPr>
      <w:r>
        <w:rPr>
          <w:rFonts w:ascii="Arial" w:hAnsi="Arial" w:cs="Arial"/>
          <w:sz w:val="24"/>
          <w:szCs w:val="24"/>
        </w:rPr>
        <w:t>The onus is on Applicant</w:t>
      </w:r>
      <w:r w:rsidR="00306A14">
        <w:rPr>
          <w:rFonts w:ascii="Arial" w:hAnsi="Arial" w:cs="Arial"/>
          <w:sz w:val="24"/>
          <w:szCs w:val="24"/>
        </w:rPr>
        <w:t>,</w:t>
      </w:r>
      <w:r>
        <w:rPr>
          <w:rFonts w:ascii="Arial" w:hAnsi="Arial" w:cs="Arial"/>
          <w:sz w:val="24"/>
          <w:szCs w:val="24"/>
        </w:rPr>
        <w:t xml:space="preserve"> as creditor</w:t>
      </w:r>
      <w:r w:rsidR="00306A14">
        <w:rPr>
          <w:rFonts w:ascii="Arial" w:hAnsi="Arial" w:cs="Arial"/>
          <w:sz w:val="24"/>
          <w:szCs w:val="24"/>
        </w:rPr>
        <w:t>,</w:t>
      </w:r>
      <w:r>
        <w:rPr>
          <w:rFonts w:ascii="Arial" w:hAnsi="Arial" w:cs="Arial"/>
          <w:sz w:val="24"/>
          <w:szCs w:val="24"/>
        </w:rPr>
        <w:t xml:space="preserve"> to prove that Respondent is unable to pay its debts.</w:t>
      </w:r>
    </w:p>
    <w:p w14:paraId="47E93413" w14:textId="4E4FDD4A" w:rsidR="00D61C59" w:rsidRDefault="00D61C59" w:rsidP="003F0D2B">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065B6">
        <w:rPr>
          <w:rFonts w:ascii="Arial" w:hAnsi="Arial" w:cs="Arial"/>
          <w:sz w:val="24"/>
          <w:szCs w:val="24"/>
        </w:rPr>
        <w:t>It is trite that the unpaid creditor has a right to wind up the defaulting company which is unable to pay its debts.</w:t>
      </w:r>
    </w:p>
    <w:p w14:paraId="64DEE7A3" w14:textId="230D558D" w:rsidR="00D61C59" w:rsidRDefault="00D61C59" w:rsidP="003F0D2B">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065B6">
        <w:rPr>
          <w:rFonts w:ascii="Arial" w:hAnsi="Arial" w:cs="Arial"/>
          <w:sz w:val="24"/>
          <w:szCs w:val="24"/>
        </w:rPr>
        <w:t>I was referred by counsel for Applicant to two cases, name</w:t>
      </w:r>
      <w:r w:rsidR="00306A14">
        <w:rPr>
          <w:rFonts w:ascii="Arial" w:hAnsi="Arial" w:cs="Arial"/>
          <w:sz w:val="24"/>
          <w:szCs w:val="24"/>
        </w:rPr>
        <w:t>ly,</w:t>
      </w:r>
      <w:r w:rsidR="007065B6">
        <w:rPr>
          <w:rFonts w:ascii="Arial" w:hAnsi="Arial" w:cs="Arial"/>
          <w:sz w:val="24"/>
          <w:szCs w:val="24"/>
        </w:rPr>
        <w:t xml:space="preserve"> </w:t>
      </w:r>
      <w:r w:rsidR="007065B6" w:rsidRPr="002F47A7">
        <w:rPr>
          <w:rFonts w:ascii="Arial" w:hAnsi="Arial" w:cs="Arial"/>
          <w:i/>
          <w:sz w:val="24"/>
          <w:szCs w:val="24"/>
        </w:rPr>
        <w:t>Standard Bank of South Africa Ltd v R-Bay Logistics CC</w:t>
      </w:r>
      <w:r w:rsidR="007065B6">
        <w:rPr>
          <w:rStyle w:val="FootnoteReference"/>
          <w:rFonts w:ascii="Arial" w:hAnsi="Arial" w:cs="Arial"/>
          <w:sz w:val="24"/>
          <w:szCs w:val="24"/>
        </w:rPr>
        <w:footnoteReference w:id="1"/>
      </w:r>
      <w:r w:rsidR="007065B6">
        <w:rPr>
          <w:rFonts w:ascii="Arial" w:hAnsi="Arial" w:cs="Arial"/>
          <w:sz w:val="24"/>
          <w:szCs w:val="24"/>
        </w:rPr>
        <w:t xml:space="preserve"> and </w:t>
      </w:r>
      <w:r w:rsidR="007065B6" w:rsidRPr="002F47A7">
        <w:rPr>
          <w:rFonts w:ascii="Arial" w:hAnsi="Arial" w:cs="Arial"/>
          <w:i/>
          <w:sz w:val="24"/>
          <w:szCs w:val="24"/>
        </w:rPr>
        <w:t>Absa Bank Ltd v Rhebokskloof (Pty) Ltd</w:t>
      </w:r>
      <w:r w:rsidR="007065B6">
        <w:rPr>
          <w:rStyle w:val="FootnoteReference"/>
          <w:rFonts w:ascii="Arial" w:hAnsi="Arial" w:cs="Arial"/>
          <w:sz w:val="24"/>
          <w:szCs w:val="24"/>
        </w:rPr>
        <w:footnoteReference w:id="2"/>
      </w:r>
      <w:r w:rsidR="007065B6">
        <w:rPr>
          <w:rFonts w:ascii="Arial" w:hAnsi="Arial" w:cs="Arial"/>
          <w:sz w:val="24"/>
          <w:szCs w:val="24"/>
        </w:rPr>
        <w:t>.</w:t>
      </w:r>
    </w:p>
    <w:p w14:paraId="770D92BE" w14:textId="6CBA82A3" w:rsidR="00D61C59" w:rsidRDefault="00D61C59" w:rsidP="003F0D2B">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065B6">
        <w:rPr>
          <w:rFonts w:ascii="Arial" w:hAnsi="Arial" w:cs="Arial"/>
          <w:sz w:val="24"/>
          <w:szCs w:val="24"/>
        </w:rPr>
        <w:t>Coun</w:t>
      </w:r>
      <w:r w:rsidR="00D72AD0">
        <w:rPr>
          <w:rFonts w:ascii="Arial" w:hAnsi="Arial" w:cs="Arial"/>
          <w:sz w:val="24"/>
          <w:szCs w:val="24"/>
        </w:rPr>
        <w:t>sel for the Respondent re</w:t>
      </w:r>
      <w:r w:rsidR="002F47A7">
        <w:rPr>
          <w:rFonts w:ascii="Arial" w:hAnsi="Arial" w:cs="Arial"/>
          <w:sz w:val="24"/>
          <w:szCs w:val="24"/>
        </w:rPr>
        <w:t>ferred to ten</w:t>
      </w:r>
      <w:r w:rsidR="00D72AD0">
        <w:rPr>
          <w:rFonts w:ascii="Arial" w:hAnsi="Arial" w:cs="Arial"/>
          <w:sz w:val="24"/>
          <w:szCs w:val="24"/>
        </w:rPr>
        <w:t xml:space="preserve"> respective cases, namely, </w:t>
      </w:r>
      <w:r w:rsidR="00D72AD0" w:rsidRPr="002F47A7">
        <w:rPr>
          <w:rFonts w:ascii="Arial" w:hAnsi="Arial" w:cs="Arial"/>
          <w:i/>
          <w:sz w:val="24"/>
          <w:szCs w:val="24"/>
        </w:rPr>
        <w:t>Rosenbach and Co (Pty) Ltd v Singer’s Bazaars (Pty) Ltd</w:t>
      </w:r>
      <w:r w:rsidR="00D72AD0" w:rsidRPr="002F47A7">
        <w:rPr>
          <w:rStyle w:val="FootnoteReference"/>
          <w:rFonts w:ascii="Arial" w:hAnsi="Arial" w:cs="Arial"/>
          <w:i/>
          <w:sz w:val="24"/>
          <w:szCs w:val="24"/>
        </w:rPr>
        <w:footnoteReference w:id="3"/>
      </w:r>
      <w:r w:rsidR="00D72AD0" w:rsidRPr="002F47A7">
        <w:rPr>
          <w:rFonts w:ascii="Arial" w:hAnsi="Arial" w:cs="Arial"/>
          <w:i/>
          <w:sz w:val="24"/>
          <w:szCs w:val="24"/>
        </w:rPr>
        <w:t>, Absa Bank Ltd v Rhebokskloof (Pty) Ltd</w:t>
      </w:r>
      <w:r w:rsidR="00D72AD0" w:rsidRPr="002F47A7">
        <w:rPr>
          <w:rStyle w:val="FootnoteReference"/>
          <w:rFonts w:ascii="Arial" w:hAnsi="Arial" w:cs="Arial"/>
          <w:i/>
          <w:sz w:val="24"/>
          <w:szCs w:val="24"/>
        </w:rPr>
        <w:footnoteReference w:id="4"/>
      </w:r>
      <w:r w:rsidR="00D72AD0" w:rsidRPr="002F47A7">
        <w:rPr>
          <w:rFonts w:ascii="Arial" w:hAnsi="Arial" w:cs="Arial"/>
          <w:i/>
          <w:sz w:val="24"/>
          <w:szCs w:val="24"/>
        </w:rPr>
        <w:t>, In Re:  HC Collision Ltd</w:t>
      </w:r>
      <w:r w:rsidR="00D72AD0" w:rsidRPr="002F47A7">
        <w:rPr>
          <w:rStyle w:val="FootnoteReference"/>
          <w:rFonts w:ascii="Arial" w:hAnsi="Arial" w:cs="Arial"/>
          <w:i/>
          <w:sz w:val="24"/>
          <w:szCs w:val="24"/>
        </w:rPr>
        <w:footnoteReference w:id="5"/>
      </w:r>
      <w:r w:rsidR="00D72AD0" w:rsidRPr="002F47A7">
        <w:rPr>
          <w:rFonts w:ascii="Arial" w:hAnsi="Arial" w:cs="Arial"/>
          <w:i/>
          <w:sz w:val="24"/>
          <w:szCs w:val="24"/>
        </w:rPr>
        <w:t>, Barclays Bank Ltd v Riverside Dried Fruit Co. (Pty) Ltd</w:t>
      </w:r>
      <w:r w:rsidR="00D72AD0" w:rsidRPr="002F47A7">
        <w:rPr>
          <w:rStyle w:val="FootnoteReference"/>
          <w:rFonts w:ascii="Arial" w:hAnsi="Arial" w:cs="Arial"/>
          <w:i/>
          <w:sz w:val="24"/>
          <w:szCs w:val="24"/>
        </w:rPr>
        <w:footnoteReference w:id="6"/>
      </w:r>
      <w:r w:rsidR="00D72AD0" w:rsidRPr="002F47A7">
        <w:rPr>
          <w:rFonts w:ascii="Arial" w:hAnsi="Arial" w:cs="Arial"/>
          <w:i/>
          <w:sz w:val="24"/>
          <w:szCs w:val="24"/>
        </w:rPr>
        <w:t>,</w:t>
      </w:r>
      <w:r w:rsidR="00D72AD0">
        <w:rPr>
          <w:rFonts w:ascii="Arial" w:hAnsi="Arial" w:cs="Arial"/>
          <w:sz w:val="24"/>
          <w:szCs w:val="24"/>
        </w:rPr>
        <w:t xml:space="preserve"> </w:t>
      </w:r>
      <w:r w:rsidR="00D72AD0" w:rsidRPr="002F47A7">
        <w:rPr>
          <w:rFonts w:ascii="Arial" w:hAnsi="Arial" w:cs="Arial"/>
          <w:i/>
          <w:sz w:val="24"/>
          <w:szCs w:val="24"/>
        </w:rPr>
        <w:t>Badenhorst v Northern Construction Enterprises (Pty) Ltd</w:t>
      </w:r>
      <w:r w:rsidR="00D72AD0" w:rsidRPr="002F47A7">
        <w:rPr>
          <w:rStyle w:val="FootnoteReference"/>
          <w:rFonts w:ascii="Arial" w:hAnsi="Arial" w:cs="Arial"/>
          <w:i/>
          <w:sz w:val="24"/>
          <w:szCs w:val="24"/>
        </w:rPr>
        <w:footnoteReference w:id="7"/>
      </w:r>
      <w:r w:rsidR="00D72AD0" w:rsidRPr="002F47A7">
        <w:rPr>
          <w:rFonts w:ascii="Arial" w:hAnsi="Arial" w:cs="Arial"/>
          <w:i/>
          <w:sz w:val="24"/>
          <w:szCs w:val="24"/>
        </w:rPr>
        <w:t>, Western Insurance Co. v Coldwell’s Trustee</w:t>
      </w:r>
      <w:r w:rsidR="00D72AD0" w:rsidRPr="002F47A7">
        <w:rPr>
          <w:rStyle w:val="FootnoteReference"/>
          <w:rFonts w:ascii="Arial" w:hAnsi="Arial" w:cs="Arial"/>
          <w:i/>
          <w:sz w:val="24"/>
          <w:szCs w:val="24"/>
        </w:rPr>
        <w:footnoteReference w:id="8"/>
      </w:r>
      <w:r w:rsidR="00D72AD0" w:rsidRPr="002F47A7">
        <w:rPr>
          <w:rFonts w:ascii="Arial" w:hAnsi="Arial" w:cs="Arial"/>
          <w:i/>
          <w:sz w:val="24"/>
          <w:szCs w:val="24"/>
        </w:rPr>
        <w:t>, Argus Printing and Publishing Co Ltd v Anastassiades</w:t>
      </w:r>
      <w:r w:rsidR="00D72AD0" w:rsidRPr="002F47A7">
        <w:rPr>
          <w:rStyle w:val="FootnoteReference"/>
          <w:rFonts w:ascii="Arial" w:hAnsi="Arial" w:cs="Arial"/>
          <w:i/>
          <w:sz w:val="24"/>
          <w:szCs w:val="24"/>
        </w:rPr>
        <w:footnoteReference w:id="9"/>
      </w:r>
      <w:r w:rsidR="00D72AD0" w:rsidRPr="002F47A7">
        <w:rPr>
          <w:rFonts w:ascii="Arial" w:hAnsi="Arial" w:cs="Arial"/>
          <w:i/>
          <w:sz w:val="24"/>
          <w:szCs w:val="24"/>
        </w:rPr>
        <w:t xml:space="preserve">, Chandlers </w:t>
      </w:r>
      <w:r w:rsidR="00D72AD0" w:rsidRPr="002F47A7">
        <w:rPr>
          <w:rFonts w:ascii="Arial" w:hAnsi="Arial" w:cs="Arial"/>
          <w:i/>
          <w:sz w:val="24"/>
          <w:szCs w:val="24"/>
        </w:rPr>
        <w:lastRenderedPageBreak/>
        <w:t>Ltd v Dealsville Hotel (Pty) Ltd</w:t>
      </w:r>
      <w:r w:rsidR="00D72AD0" w:rsidRPr="002F47A7">
        <w:rPr>
          <w:rStyle w:val="FootnoteReference"/>
          <w:rFonts w:ascii="Arial" w:hAnsi="Arial" w:cs="Arial"/>
          <w:i/>
          <w:sz w:val="24"/>
          <w:szCs w:val="24"/>
        </w:rPr>
        <w:footnoteReference w:id="10"/>
      </w:r>
      <w:r w:rsidR="00D72AD0">
        <w:rPr>
          <w:rFonts w:ascii="Arial" w:hAnsi="Arial" w:cs="Arial"/>
          <w:sz w:val="24"/>
          <w:szCs w:val="24"/>
        </w:rPr>
        <w:t>.  These are all cases dealing with the deemed inability to pay debts.</w:t>
      </w:r>
    </w:p>
    <w:p w14:paraId="65241AED" w14:textId="1137F580" w:rsidR="00C82888" w:rsidRDefault="001D584D" w:rsidP="003F0D2B">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F47A7">
        <w:rPr>
          <w:rFonts w:ascii="Arial" w:hAnsi="Arial" w:cs="Arial"/>
          <w:sz w:val="24"/>
          <w:szCs w:val="24"/>
        </w:rPr>
        <w:t xml:space="preserve">For decades our law </w:t>
      </w:r>
      <w:r w:rsidR="00146421">
        <w:rPr>
          <w:rFonts w:ascii="Arial" w:hAnsi="Arial" w:cs="Arial"/>
          <w:sz w:val="24"/>
          <w:szCs w:val="24"/>
        </w:rPr>
        <w:t>has recognized tw</w:t>
      </w:r>
      <w:r w:rsidR="00306A14">
        <w:rPr>
          <w:rFonts w:ascii="Arial" w:hAnsi="Arial" w:cs="Arial"/>
          <w:sz w:val="24"/>
          <w:szCs w:val="24"/>
        </w:rPr>
        <w:t>o</w:t>
      </w:r>
      <w:r w:rsidR="00146421">
        <w:rPr>
          <w:rFonts w:ascii="Arial" w:hAnsi="Arial" w:cs="Arial"/>
          <w:sz w:val="24"/>
          <w:szCs w:val="24"/>
        </w:rPr>
        <w:t xml:space="preserve"> forms of insolvency</w:t>
      </w:r>
      <w:r w:rsidR="00306A14">
        <w:rPr>
          <w:rFonts w:ascii="Arial" w:hAnsi="Arial" w:cs="Arial"/>
          <w:sz w:val="24"/>
          <w:szCs w:val="24"/>
        </w:rPr>
        <w:t>; firstly</w:t>
      </w:r>
      <w:r w:rsidR="00146421">
        <w:rPr>
          <w:rFonts w:ascii="Arial" w:hAnsi="Arial" w:cs="Arial"/>
          <w:sz w:val="24"/>
          <w:szCs w:val="24"/>
        </w:rPr>
        <w:t xml:space="preserve"> factual insolvency (where a company’s liabilities exceed its assets and commercial insolvency </w:t>
      </w:r>
      <w:r w:rsidR="00306A14">
        <w:rPr>
          <w:rFonts w:ascii="Arial" w:hAnsi="Arial" w:cs="Arial"/>
          <w:sz w:val="24"/>
          <w:szCs w:val="24"/>
        </w:rPr>
        <w:t xml:space="preserve">; secondly, </w:t>
      </w:r>
      <w:r w:rsidR="00146421">
        <w:rPr>
          <w:rFonts w:ascii="Arial" w:hAnsi="Arial" w:cs="Arial"/>
          <w:sz w:val="24"/>
          <w:szCs w:val="24"/>
        </w:rPr>
        <w:t>a position in which a company is in such a state of illiquidity that it is unable to pay its debts, even though its assets may exceed its liabilities.</w:t>
      </w:r>
      <w:r w:rsidR="00146421">
        <w:rPr>
          <w:rStyle w:val="FootnoteReference"/>
          <w:rFonts w:ascii="Arial" w:hAnsi="Arial" w:cs="Arial"/>
          <w:sz w:val="24"/>
          <w:szCs w:val="24"/>
        </w:rPr>
        <w:footnoteReference w:id="11"/>
      </w:r>
    </w:p>
    <w:p w14:paraId="707315FC" w14:textId="501F5789" w:rsidR="001D584D" w:rsidRDefault="00C82888" w:rsidP="003F0D2B">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2C27B8">
        <w:rPr>
          <w:rFonts w:ascii="Arial" w:hAnsi="Arial" w:cs="Arial"/>
          <w:sz w:val="24"/>
          <w:szCs w:val="24"/>
        </w:rPr>
        <w:t>It is also trite that a company’s commercial insolvency is a ground that will justify an order for its liquidation and this principle has served us through the passage of time.  The reasons are not hard to find, the valuation of assets, other than cash, is elastic and often subjective</w:t>
      </w:r>
      <w:r w:rsidR="00306A14">
        <w:rPr>
          <w:rFonts w:ascii="Arial" w:hAnsi="Arial" w:cs="Arial"/>
          <w:sz w:val="24"/>
          <w:szCs w:val="24"/>
        </w:rPr>
        <w:t>.</w:t>
      </w:r>
      <w:r w:rsidR="002C27B8">
        <w:rPr>
          <w:rFonts w:ascii="Arial" w:hAnsi="Arial" w:cs="Arial"/>
          <w:sz w:val="24"/>
          <w:szCs w:val="24"/>
        </w:rPr>
        <w:t xml:space="preserve"> </w:t>
      </w:r>
      <w:r w:rsidR="00327A82">
        <w:rPr>
          <w:rFonts w:ascii="Arial" w:hAnsi="Arial" w:cs="Arial"/>
          <w:sz w:val="24"/>
          <w:szCs w:val="24"/>
        </w:rPr>
        <w:t>T</w:t>
      </w:r>
      <w:r w:rsidR="002C27B8">
        <w:rPr>
          <w:rFonts w:ascii="Arial" w:hAnsi="Arial" w:cs="Arial"/>
          <w:sz w:val="24"/>
          <w:szCs w:val="24"/>
        </w:rPr>
        <w:t xml:space="preserve">he liquidity of assets is often more viscous than the defaulting debtors would have a court believe in the majority of cases, creditors do not have knowledge of the assets of a company that owes them money and must </w:t>
      </w:r>
      <w:r w:rsidR="00327A82">
        <w:rPr>
          <w:rFonts w:ascii="Arial" w:hAnsi="Arial" w:cs="Arial"/>
          <w:sz w:val="24"/>
          <w:szCs w:val="24"/>
        </w:rPr>
        <w:t xml:space="preserve">not </w:t>
      </w:r>
      <w:r w:rsidR="002C27B8">
        <w:rPr>
          <w:rFonts w:ascii="Arial" w:hAnsi="Arial" w:cs="Arial"/>
          <w:sz w:val="24"/>
          <w:szCs w:val="24"/>
        </w:rPr>
        <w:t>be expected to have, and</w:t>
      </w:r>
      <w:r w:rsidR="00B84349">
        <w:rPr>
          <w:rFonts w:ascii="Arial" w:hAnsi="Arial" w:cs="Arial"/>
          <w:sz w:val="24"/>
          <w:szCs w:val="24"/>
        </w:rPr>
        <w:t xml:space="preserve"> courts are more comfortable with readily determinable and objective tests such as whether a company is able to meet its current liabilities than with abstruse economic exercise as to the valuation of a company’s assets.</w:t>
      </w:r>
      <w:r w:rsidR="00B84349">
        <w:rPr>
          <w:rStyle w:val="FootnoteReference"/>
          <w:rFonts w:ascii="Arial" w:hAnsi="Arial" w:cs="Arial"/>
          <w:sz w:val="24"/>
          <w:szCs w:val="24"/>
        </w:rPr>
        <w:footnoteReference w:id="12"/>
      </w:r>
      <w:r w:rsidR="00327A82">
        <w:rPr>
          <w:rFonts w:ascii="Arial" w:hAnsi="Arial" w:cs="Arial"/>
          <w:sz w:val="24"/>
          <w:szCs w:val="24"/>
        </w:rPr>
        <w:t xml:space="preserve"> This has been the approach of our courts when faced with the liquidation application of a defaulting company.</w:t>
      </w:r>
    </w:p>
    <w:p w14:paraId="0491184C" w14:textId="3FB0BBC1" w:rsidR="00B84349" w:rsidRDefault="00B84349" w:rsidP="003F0D2B">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Were the test for solvency in liquidation proceedings to be whether assets exceed liabilities, this would undermine there being a predictable and therefore effective legal environment for the liquidation of the liquidation of companies</w:t>
      </w:r>
      <w:r>
        <w:rPr>
          <w:rStyle w:val="FootnoteReference"/>
          <w:rFonts w:ascii="Arial" w:hAnsi="Arial" w:cs="Arial"/>
          <w:sz w:val="24"/>
          <w:szCs w:val="24"/>
        </w:rPr>
        <w:footnoteReference w:id="13"/>
      </w:r>
      <w:r w:rsidR="00327A82">
        <w:rPr>
          <w:rFonts w:ascii="Arial" w:hAnsi="Arial" w:cs="Arial"/>
          <w:sz w:val="24"/>
          <w:szCs w:val="24"/>
        </w:rPr>
        <w:t>:</w:t>
      </w:r>
      <w:r>
        <w:rPr>
          <w:rFonts w:ascii="Arial" w:hAnsi="Arial" w:cs="Arial"/>
          <w:sz w:val="24"/>
          <w:szCs w:val="24"/>
        </w:rPr>
        <w:t xml:space="preserve"> one of the purposes of the new Companies Act 71 of 2008 Section 7(1) thereof.</w:t>
      </w:r>
    </w:p>
    <w:p w14:paraId="1AAE37F7" w14:textId="6285E95C" w:rsidR="00B84349" w:rsidRDefault="00B84349" w:rsidP="003F0D2B">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Our law is also settled on the principle that factual solvency in itself is not a bar to an application to wind up a company in terms of the old Companies Act on the ground that it is commercially insolvent.  It will, however, always be a factor in deciding whether a company is unable to pay its debts.</w:t>
      </w:r>
      <w:r>
        <w:rPr>
          <w:rStyle w:val="FootnoteReference"/>
          <w:rFonts w:ascii="Arial" w:hAnsi="Arial" w:cs="Arial"/>
          <w:sz w:val="24"/>
          <w:szCs w:val="24"/>
        </w:rPr>
        <w:footnoteReference w:id="14"/>
      </w:r>
      <w:r>
        <w:rPr>
          <w:rFonts w:ascii="Arial" w:hAnsi="Arial" w:cs="Arial"/>
          <w:sz w:val="24"/>
          <w:szCs w:val="24"/>
        </w:rPr>
        <w:t xml:space="preserve">  The court, when faced with the application for winding up, should exercise discretion to consider all facts before it.</w:t>
      </w:r>
    </w:p>
    <w:p w14:paraId="11BAC0CA" w14:textId="77777777" w:rsidR="00727499" w:rsidRDefault="00727499" w:rsidP="003F0D2B">
      <w:pPr>
        <w:spacing w:line="360" w:lineRule="auto"/>
        <w:jc w:val="both"/>
        <w:rPr>
          <w:rFonts w:ascii="Arial" w:hAnsi="Arial" w:cs="Arial"/>
          <w:b/>
          <w:sz w:val="24"/>
          <w:szCs w:val="24"/>
          <w:u w:val="single"/>
        </w:rPr>
      </w:pPr>
    </w:p>
    <w:p w14:paraId="46564CC2" w14:textId="34F40D9B" w:rsidR="004A62D5" w:rsidRDefault="004A62D5" w:rsidP="003F0D2B">
      <w:pPr>
        <w:spacing w:line="360" w:lineRule="auto"/>
        <w:jc w:val="both"/>
        <w:rPr>
          <w:rFonts w:ascii="Arial" w:hAnsi="Arial" w:cs="Arial"/>
          <w:b/>
          <w:sz w:val="24"/>
          <w:szCs w:val="24"/>
          <w:u w:val="single"/>
        </w:rPr>
      </w:pPr>
      <w:r>
        <w:rPr>
          <w:rFonts w:ascii="Arial" w:hAnsi="Arial" w:cs="Arial"/>
          <w:b/>
          <w:sz w:val="24"/>
          <w:szCs w:val="24"/>
          <w:u w:val="single"/>
        </w:rPr>
        <w:t xml:space="preserve">ANALYSIS OF EVIDENCE AND </w:t>
      </w:r>
    </w:p>
    <w:p w14:paraId="3BE254AF" w14:textId="721E6F0D" w:rsidR="004A62D5" w:rsidRDefault="004A62D5" w:rsidP="003F0D2B">
      <w:pPr>
        <w:spacing w:line="360" w:lineRule="auto"/>
        <w:jc w:val="both"/>
        <w:rPr>
          <w:rFonts w:ascii="Arial" w:hAnsi="Arial" w:cs="Arial"/>
          <w:b/>
          <w:sz w:val="24"/>
          <w:szCs w:val="24"/>
          <w:u w:val="single"/>
        </w:rPr>
      </w:pPr>
      <w:r>
        <w:rPr>
          <w:rFonts w:ascii="Arial" w:hAnsi="Arial" w:cs="Arial"/>
          <w:b/>
          <w:sz w:val="24"/>
          <w:szCs w:val="24"/>
          <w:u w:val="single"/>
        </w:rPr>
        <w:t>E.</w:t>
      </w:r>
      <w:r>
        <w:rPr>
          <w:rFonts w:ascii="Arial" w:hAnsi="Arial" w:cs="Arial"/>
          <w:b/>
          <w:sz w:val="24"/>
          <w:szCs w:val="24"/>
          <w:u w:val="single"/>
        </w:rPr>
        <w:tab/>
        <w:t xml:space="preserve">REASONS FOR JUDGMENT </w:t>
      </w:r>
    </w:p>
    <w:p w14:paraId="14973033" w14:textId="7E4A51DF" w:rsidR="004A62D5" w:rsidRDefault="004A62D5" w:rsidP="003F0D2B">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F169BC">
        <w:rPr>
          <w:rFonts w:ascii="Arial" w:hAnsi="Arial" w:cs="Arial"/>
          <w:sz w:val="24"/>
          <w:szCs w:val="24"/>
        </w:rPr>
        <w:t>The bone of contention by Respondent is the allocation of payments made.  Respondent avers that the R1 208 941.00 was, as stated by Applicant</w:t>
      </w:r>
      <w:r w:rsidR="00327A82">
        <w:rPr>
          <w:rFonts w:ascii="Arial" w:hAnsi="Arial" w:cs="Arial"/>
          <w:sz w:val="24"/>
          <w:szCs w:val="24"/>
        </w:rPr>
        <w:t>,</w:t>
      </w:r>
      <w:r w:rsidR="00F169BC">
        <w:rPr>
          <w:rFonts w:ascii="Arial" w:hAnsi="Arial" w:cs="Arial"/>
          <w:sz w:val="24"/>
          <w:szCs w:val="24"/>
        </w:rPr>
        <w:t xml:space="preserve"> to be repaid in monthly installments of R40 000.00.  The settlement agreement was in terms of an oral agreement and there was no agreement on acceleration of the balance.  The R40 000.00 repayment on historical debt was from October 2019.  The new orders placed would be settled within 30 days</w:t>
      </w:r>
      <w:r w:rsidR="00327A82">
        <w:rPr>
          <w:rFonts w:ascii="Arial" w:hAnsi="Arial" w:cs="Arial"/>
          <w:sz w:val="24"/>
          <w:szCs w:val="24"/>
        </w:rPr>
        <w:t xml:space="preserve"> as already stated.</w:t>
      </w:r>
    </w:p>
    <w:p w14:paraId="21A651C5" w14:textId="58480C76" w:rsidR="00F169BC" w:rsidRDefault="00F169BC" w:rsidP="003F0D2B">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926F2C">
        <w:rPr>
          <w:rFonts w:ascii="Arial" w:hAnsi="Arial" w:cs="Arial"/>
          <w:sz w:val="24"/>
          <w:szCs w:val="24"/>
        </w:rPr>
        <w:t xml:space="preserve">Respondent contends that it has paid over R2 million between 2 October 2020 and 3 March 2021.  In fact, the analysis of its answering affidavit reveals fifty-four payments well in the </w:t>
      </w:r>
      <w:r w:rsidR="00327A82">
        <w:rPr>
          <w:rFonts w:ascii="Arial" w:hAnsi="Arial" w:cs="Arial"/>
          <w:sz w:val="24"/>
          <w:szCs w:val="24"/>
        </w:rPr>
        <w:t xml:space="preserve">region </w:t>
      </w:r>
      <w:r w:rsidR="00926F2C">
        <w:rPr>
          <w:rFonts w:ascii="Arial" w:hAnsi="Arial" w:cs="Arial"/>
          <w:sz w:val="24"/>
          <w:szCs w:val="24"/>
        </w:rPr>
        <w:t>of R2 million.</w:t>
      </w:r>
      <w:r w:rsidR="005F644B">
        <w:rPr>
          <w:rFonts w:ascii="Arial" w:hAnsi="Arial" w:cs="Arial"/>
          <w:sz w:val="24"/>
          <w:szCs w:val="24"/>
        </w:rPr>
        <w:t xml:space="preserve"> </w:t>
      </w:r>
      <w:r w:rsidR="00327A82">
        <w:rPr>
          <w:rFonts w:ascii="Arial" w:hAnsi="Arial" w:cs="Arial"/>
          <w:sz w:val="24"/>
          <w:szCs w:val="24"/>
        </w:rPr>
        <w:t xml:space="preserve">This has not been controverted by Respondent. Respondent </w:t>
      </w:r>
      <w:r w:rsidR="005F644B">
        <w:rPr>
          <w:rFonts w:ascii="Arial" w:hAnsi="Arial" w:cs="Arial"/>
          <w:sz w:val="24"/>
          <w:szCs w:val="24"/>
        </w:rPr>
        <w:t>does not indicate whether those payments related to the new orders or not.</w:t>
      </w:r>
    </w:p>
    <w:p w14:paraId="19A9A756" w14:textId="7B190964" w:rsidR="00926F2C" w:rsidRDefault="00926F2C" w:rsidP="003F0D2B">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As at the issue of the notice of motion on 8 January 2021, and during that month, payments amounting to R282 149.45 were made.</w:t>
      </w:r>
    </w:p>
    <w:p w14:paraId="0A8A36F8" w14:textId="27C164A2" w:rsidR="00926F2C" w:rsidRDefault="00926F2C" w:rsidP="003F0D2B">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The dispute has been from Respondent’s side, the allocation of payments to historical as well as current debt which is payable within 30 days.  This contention was raised by Respondent prior to the issue of motion proceedings and during the exchange of pleadings.</w:t>
      </w:r>
    </w:p>
    <w:p w14:paraId="413E664E" w14:textId="5DBF6C93" w:rsidR="00926F2C" w:rsidRDefault="00926F2C" w:rsidP="003F0D2B">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In reply to Respondent’s contention</w:t>
      </w:r>
      <w:r w:rsidR="005F644B">
        <w:rPr>
          <w:rFonts w:ascii="Arial" w:hAnsi="Arial" w:cs="Arial"/>
          <w:sz w:val="24"/>
          <w:szCs w:val="24"/>
        </w:rPr>
        <w:t>,</w:t>
      </w:r>
      <w:r>
        <w:rPr>
          <w:rFonts w:ascii="Arial" w:hAnsi="Arial" w:cs="Arial"/>
          <w:sz w:val="24"/>
          <w:szCs w:val="24"/>
        </w:rPr>
        <w:t xml:space="preserve"> Applicant states that there was an attempt to settle the debt and this stopped in March 2021.  Applicant also refers to an email made prior to the agreement to repay the historical debt as well as dealing with the conditions of payment of new orders.</w:t>
      </w:r>
      <w:r w:rsidR="005F644B">
        <w:rPr>
          <w:rFonts w:ascii="Arial" w:hAnsi="Arial" w:cs="Arial"/>
          <w:sz w:val="24"/>
          <w:szCs w:val="24"/>
        </w:rPr>
        <w:t xml:space="preserve"> It does not offer any comment on the </w:t>
      </w:r>
      <w:r w:rsidR="00225066">
        <w:rPr>
          <w:rFonts w:ascii="Arial" w:hAnsi="Arial" w:cs="Arial"/>
          <w:sz w:val="24"/>
          <w:szCs w:val="24"/>
        </w:rPr>
        <w:t>fifty-four</w:t>
      </w:r>
      <w:r w:rsidR="005F644B">
        <w:rPr>
          <w:rFonts w:ascii="Arial" w:hAnsi="Arial" w:cs="Arial"/>
          <w:sz w:val="24"/>
          <w:szCs w:val="24"/>
        </w:rPr>
        <w:t xml:space="preserve"> payments made up to the date of issue of the motion proceedings to liquidate. </w:t>
      </w:r>
    </w:p>
    <w:p w14:paraId="12B9D1AD" w14:textId="104A4DDF" w:rsidR="006C3921" w:rsidRDefault="00926F2C" w:rsidP="003F0D2B">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B14DF2">
        <w:rPr>
          <w:rFonts w:ascii="Arial" w:hAnsi="Arial" w:cs="Arial"/>
          <w:sz w:val="24"/>
          <w:szCs w:val="24"/>
        </w:rPr>
        <w:t xml:space="preserve">Having regard to the fact that if winding up order is granted it will be effective from 8 January 2021 and furthermore regard being had to the payments made during the </w:t>
      </w:r>
      <w:r w:rsidR="006C3921">
        <w:rPr>
          <w:rFonts w:ascii="Arial" w:hAnsi="Arial" w:cs="Arial"/>
          <w:sz w:val="24"/>
          <w:szCs w:val="24"/>
        </w:rPr>
        <w:t>month of January 2021 and prior to that month, I am not persuaded that Respondent was unable to pay its debts when they f</w:t>
      </w:r>
      <w:r w:rsidR="005F644B">
        <w:rPr>
          <w:rFonts w:ascii="Arial" w:hAnsi="Arial" w:cs="Arial"/>
          <w:sz w:val="24"/>
          <w:szCs w:val="24"/>
        </w:rPr>
        <w:t>e</w:t>
      </w:r>
      <w:r w:rsidR="006C3921">
        <w:rPr>
          <w:rFonts w:ascii="Arial" w:hAnsi="Arial" w:cs="Arial"/>
          <w:sz w:val="24"/>
          <w:szCs w:val="24"/>
        </w:rPr>
        <w:t xml:space="preserve">ll due within the meaning of section 345(1)(c) of the </w:t>
      </w:r>
      <w:r w:rsidR="006C3921">
        <w:rPr>
          <w:rFonts w:ascii="Arial" w:hAnsi="Arial" w:cs="Arial"/>
          <w:sz w:val="24"/>
          <w:szCs w:val="24"/>
        </w:rPr>
        <w:lastRenderedPageBreak/>
        <w:t>old Act.  I am fortified on this view that the total payments of R2 million have not been properly answered by Applicant and the issue of allocation of the payment remains, in my view</w:t>
      </w:r>
      <w:r w:rsidR="005F644B">
        <w:rPr>
          <w:rFonts w:ascii="Arial" w:hAnsi="Arial" w:cs="Arial"/>
          <w:sz w:val="24"/>
          <w:szCs w:val="24"/>
        </w:rPr>
        <w:t>,</w:t>
      </w:r>
      <w:r w:rsidR="006C3921">
        <w:rPr>
          <w:rFonts w:ascii="Arial" w:hAnsi="Arial" w:cs="Arial"/>
          <w:sz w:val="24"/>
          <w:szCs w:val="24"/>
        </w:rPr>
        <w:t xml:space="preserve"> unresolved as contended and disputed by Respondent.</w:t>
      </w:r>
    </w:p>
    <w:p w14:paraId="53C085EF" w14:textId="2E7EC691" w:rsidR="00926F2C" w:rsidRDefault="006C3921" w:rsidP="003F0D2B">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Furthermore, Applicant has failed to deal with the assets that it holds in its possession as security for the </w:t>
      </w:r>
      <w:r w:rsidR="00B14DF2">
        <w:rPr>
          <w:rFonts w:ascii="Arial" w:hAnsi="Arial" w:cs="Arial"/>
          <w:sz w:val="24"/>
          <w:szCs w:val="24"/>
        </w:rPr>
        <w:t xml:space="preserve">debt.  These assets </w:t>
      </w:r>
      <w:r w:rsidR="00BE3BCC">
        <w:rPr>
          <w:rFonts w:ascii="Arial" w:hAnsi="Arial" w:cs="Arial"/>
          <w:sz w:val="24"/>
          <w:szCs w:val="24"/>
        </w:rPr>
        <w:t>in my view, could be sold once a judgment is granted for the recovery of the disputed debt if proven at trial</w:t>
      </w:r>
      <w:r w:rsidR="005F644B">
        <w:rPr>
          <w:rFonts w:ascii="Arial" w:hAnsi="Arial" w:cs="Arial"/>
          <w:sz w:val="24"/>
          <w:szCs w:val="24"/>
        </w:rPr>
        <w:t xml:space="preserve"> in the normal course were summons for the recovery of the alleged debt to be issued</w:t>
      </w:r>
      <w:r w:rsidR="00BE3BCC">
        <w:rPr>
          <w:rFonts w:ascii="Arial" w:hAnsi="Arial" w:cs="Arial"/>
          <w:sz w:val="24"/>
          <w:szCs w:val="24"/>
        </w:rPr>
        <w:t>.</w:t>
      </w:r>
      <w:r w:rsidR="00225066">
        <w:rPr>
          <w:rFonts w:ascii="Arial" w:hAnsi="Arial" w:cs="Arial"/>
          <w:sz w:val="24"/>
          <w:szCs w:val="24"/>
        </w:rPr>
        <w:t xml:space="preserve"> </w:t>
      </w:r>
      <w:r w:rsidR="005F644B">
        <w:rPr>
          <w:rFonts w:ascii="Arial" w:hAnsi="Arial" w:cs="Arial"/>
          <w:sz w:val="24"/>
          <w:szCs w:val="24"/>
        </w:rPr>
        <w:t>I therefore exercise my discretion in favour of Respondent.</w:t>
      </w:r>
    </w:p>
    <w:p w14:paraId="5846A439" w14:textId="425EBBF6" w:rsidR="00BE3BCC" w:rsidRDefault="006C3921" w:rsidP="003F0D2B">
      <w:pPr>
        <w:spacing w:line="360" w:lineRule="auto"/>
        <w:jc w:val="both"/>
        <w:rPr>
          <w:rFonts w:ascii="Arial" w:hAnsi="Arial" w:cs="Arial"/>
          <w:sz w:val="24"/>
          <w:szCs w:val="24"/>
        </w:rPr>
      </w:pPr>
      <w:r>
        <w:rPr>
          <w:rFonts w:ascii="Arial" w:hAnsi="Arial" w:cs="Arial"/>
          <w:sz w:val="24"/>
          <w:szCs w:val="24"/>
        </w:rPr>
        <w:t>[24</w:t>
      </w:r>
      <w:r w:rsidR="00BE3BCC">
        <w:rPr>
          <w:rFonts w:ascii="Arial" w:hAnsi="Arial" w:cs="Arial"/>
          <w:sz w:val="24"/>
          <w:szCs w:val="24"/>
        </w:rPr>
        <w:t>]</w:t>
      </w:r>
      <w:r w:rsidR="00BE3BCC">
        <w:rPr>
          <w:rFonts w:ascii="Arial" w:hAnsi="Arial" w:cs="Arial"/>
          <w:sz w:val="24"/>
          <w:szCs w:val="24"/>
        </w:rPr>
        <w:tab/>
        <w:t xml:space="preserve">Having regard to the litigation between the parties under case number 21655/2019 founded on </w:t>
      </w:r>
      <w:r w:rsidR="00BE3BCC" w:rsidRPr="00727499">
        <w:rPr>
          <w:rFonts w:ascii="Arial" w:hAnsi="Arial" w:cs="Arial"/>
          <w:i/>
          <w:sz w:val="24"/>
          <w:szCs w:val="24"/>
        </w:rPr>
        <w:t>rei vendicatio</w:t>
      </w:r>
      <w:r w:rsidR="00BE3BCC">
        <w:rPr>
          <w:rFonts w:ascii="Arial" w:hAnsi="Arial" w:cs="Arial"/>
          <w:sz w:val="24"/>
          <w:szCs w:val="24"/>
        </w:rPr>
        <w:t xml:space="preserve"> for the recovery of the assets the Applicant has in its possession, it will not be just and equitable to wind up Respondent, especially given the dispute in that case and the disputed debt in this case.</w:t>
      </w:r>
    </w:p>
    <w:p w14:paraId="1DFD00D0" w14:textId="46B87402" w:rsidR="00727499" w:rsidRDefault="006C3921" w:rsidP="003F0D2B">
      <w:pPr>
        <w:spacing w:line="360" w:lineRule="auto"/>
        <w:jc w:val="both"/>
        <w:rPr>
          <w:rFonts w:ascii="Arial" w:hAnsi="Arial" w:cs="Arial"/>
          <w:sz w:val="24"/>
          <w:szCs w:val="24"/>
        </w:rPr>
      </w:pPr>
      <w:r>
        <w:rPr>
          <w:rFonts w:ascii="Arial" w:hAnsi="Arial" w:cs="Arial"/>
          <w:sz w:val="24"/>
          <w:szCs w:val="24"/>
        </w:rPr>
        <w:t>[25</w:t>
      </w:r>
      <w:r w:rsidR="00727499">
        <w:rPr>
          <w:rFonts w:ascii="Arial" w:hAnsi="Arial" w:cs="Arial"/>
          <w:sz w:val="24"/>
          <w:szCs w:val="24"/>
        </w:rPr>
        <w:t>]</w:t>
      </w:r>
      <w:r w:rsidR="00727499">
        <w:rPr>
          <w:rFonts w:ascii="Arial" w:hAnsi="Arial" w:cs="Arial"/>
          <w:sz w:val="24"/>
          <w:szCs w:val="24"/>
        </w:rPr>
        <w:tab/>
        <w:t>It follows therefore th</w:t>
      </w:r>
      <w:r>
        <w:rPr>
          <w:rFonts w:ascii="Arial" w:hAnsi="Arial" w:cs="Arial"/>
          <w:sz w:val="24"/>
          <w:szCs w:val="24"/>
        </w:rPr>
        <w:t>at the application for winding up must fail.</w:t>
      </w:r>
    </w:p>
    <w:p w14:paraId="2D474C11" w14:textId="686BB055" w:rsidR="006C3921" w:rsidRDefault="006C3921" w:rsidP="003F0D2B">
      <w:pPr>
        <w:spacing w:line="360" w:lineRule="auto"/>
        <w:jc w:val="both"/>
        <w:rPr>
          <w:rFonts w:ascii="Arial" w:hAnsi="Arial" w:cs="Arial"/>
          <w:b/>
          <w:sz w:val="24"/>
          <w:szCs w:val="24"/>
          <w:u w:val="single"/>
        </w:rPr>
      </w:pPr>
      <w:r>
        <w:rPr>
          <w:rFonts w:ascii="Arial" w:hAnsi="Arial" w:cs="Arial"/>
          <w:b/>
          <w:sz w:val="24"/>
          <w:szCs w:val="24"/>
          <w:u w:val="single"/>
        </w:rPr>
        <w:t>ORDER</w:t>
      </w:r>
    </w:p>
    <w:p w14:paraId="06589D20" w14:textId="2C562020" w:rsidR="006C3921" w:rsidRDefault="006C3921" w:rsidP="003F0D2B">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The following order is made:</w:t>
      </w:r>
    </w:p>
    <w:p w14:paraId="7F1B42FD" w14:textId="6F37252A" w:rsidR="006C3921" w:rsidRPr="006C3921" w:rsidRDefault="006C3921" w:rsidP="003F0D2B">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 application for winding up is dismissed with costs.</w:t>
      </w:r>
    </w:p>
    <w:p w14:paraId="07D3B0E2" w14:textId="5C2020AA" w:rsidR="0035010D" w:rsidRPr="00AC68AC" w:rsidRDefault="00B402C9" w:rsidP="00752D4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14:paraId="04043D09" w14:textId="77777777" w:rsidR="00752D47" w:rsidRPr="00AC68AC" w:rsidRDefault="00752D47" w:rsidP="00752D47">
      <w:pPr>
        <w:spacing w:after="0" w:line="240" w:lineRule="auto"/>
        <w:jc w:val="right"/>
        <w:rPr>
          <w:rFonts w:ascii="Arial" w:hAnsi="Arial" w:cs="Arial"/>
          <w:b/>
          <w:bCs/>
          <w:sz w:val="24"/>
          <w:szCs w:val="24"/>
          <w:u w:val="single"/>
        </w:rPr>
      </w:pP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p>
    <w:p w14:paraId="31A63DFD" w14:textId="7AB5812E" w:rsidR="00752D47" w:rsidRPr="00AC68AC" w:rsidRDefault="000C73BA" w:rsidP="00752D47">
      <w:pPr>
        <w:spacing w:after="0" w:line="240" w:lineRule="auto"/>
        <w:jc w:val="right"/>
        <w:rPr>
          <w:rFonts w:ascii="Arial" w:hAnsi="Arial" w:cs="Arial"/>
          <w:b/>
          <w:bCs/>
          <w:sz w:val="24"/>
          <w:szCs w:val="24"/>
        </w:rPr>
      </w:pPr>
      <w:r w:rsidRPr="00AC68AC">
        <w:rPr>
          <w:rFonts w:ascii="Arial" w:hAnsi="Arial" w:cs="Arial"/>
          <w:b/>
          <w:bCs/>
          <w:sz w:val="24"/>
          <w:szCs w:val="24"/>
        </w:rPr>
        <w:t>M.</w:t>
      </w:r>
      <w:r w:rsidR="00EF677C">
        <w:rPr>
          <w:rFonts w:ascii="Arial" w:hAnsi="Arial" w:cs="Arial"/>
          <w:b/>
          <w:bCs/>
          <w:sz w:val="24"/>
          <w:szCs w:val="24"/>
        </w:rPr>
        <w:t>L.</w:t>
      </w:r>
      <w:r w:rsidRPr="00AC68AC">
        <w:rPr>
          <w:rFonts w:ascii="Arial" w:hAnsi="Arial" w:cs="Arial"/>
          <w:b/>
          <w:bCs/>
          <w:sz w:val="24"/>
          <w:szCs w:val="24"/>
        </w:rPr>
        <w:t xml:space="preserve"> SENYATSI</w:t>
      </w:r>
    </w:p>
    <w:p w14:paraId="51A4E3D5" w14:textId="77777777" w:rsidR="00752D47" w:rsidRPr="00AC68AC" w:rsidRDefault="00752D47" w:rsidP="00752D47">
      <w:pPr>
        <w:spacing w:after="0" w:line="240" w:lineRule="auto"/>
        <w:jc w:val="right"/>
        <w:rPr>
          <w:rFonts w:ascii="Arial" w:hAnsi="Arial" w:cs="Arial"/>
          <w:b/>
          <w:bCs/>
          <w:sz w:val="24"/>
          <w:szCs w:val="24"/>
        </w:rPr>
      </w:pPr>
      <w:r w:rsidRPr="00AC68AC">
        <w:rPr>
          <w:rFonts w:ascii="Arial" w:hAnsi="Arial" w:cs="Arial"/>
          <w:b/>
          <w:bCs/>
          <w:sz w:val="24"/>
          <w:szCs w:val="24"/>
        </w:rPr>
        <w:t>JUDGE OF THE HIGH COURT</w:t>
      </w:r>
    </w:p>
    <w:p w14:paraId="2A5DE96E" w14:textId="77777777" w:rsidR="002419FE" w:rsidRPr="00AC68AC" w:rsidRDefault="002419FE" w:rsidP="00752D47">
      <w:pPr>
        <w:spacing w:after="0" w:line="240" w:lineRule="auto"/>
        <w:jc w:val="both"/>
        <w:rPr>
          <w:rFonts w:ascii="Arial" w:hAnsi="Arial" w:cs="Arial"/>
          <w:sz w:val="24"/>
          <w:szCs w:val="24"/>
        </w:rPr>
      </w:pPr>
    </w:p>
    <w:p w14:paraId="2A16D74F" w14:textId="7EFAEEA7" w:rsidR="00752D47" w:rsidRPr="00AC68AC" w:rsidRDefault="00752D47" w:rsidP="00752D47">
      <w:pPr>
        <w:spacing w:after="0" w:line="240" w:lineRule="auto"/>
        <w:jc w:val="both"/>
        <w:rPr>
          <w:rFonts w:ascii="Arial" w:hAnsi="Arial" w:cs="Arial"/>
          <w:sz w:val="24"/>
          <w:szCs w:val="24"/>
        </w:rPr>
      </w:pPr>
      <w:r w:rsidRPr="00AC68AC">
        <w:rPr>
          <w:rFonts w:ascii="Arial" w:hAnsi="Arial" w:cs="Arial"/>
          <w:sz w:val="24"/>
          <w:szCs w:val="24"/>
        </w:rPr>
        <w:t>Heard:</w:t>
      </w:r>
      <w:r w:rsidRPr="00AC68AC">
        <w:rPr>
          <w:rFonts w:ascii="Arial" w:hAnsi="Arial" w:cs="Arial"/>
          <w:sz w:val="24"/>
          <w:szCs w:val="24"/>
        </w:rPr>
        <w:tab/>
      </w:r>
      <w:r w:rsidR="00AA0FE9">
        <w:rPr>
          <w:rFonts w:ascii="Arial" w:hAnsi="Arial" w:cs="Arial"/>
          <w:sz w:val="24"/>
          <w:szCs w:val="24"/>
        </w:rPr>
        <w:tab/>
      </w:r>
      <w:r w:rsidR="00AA0FE9">
        <w:rPr>
          <w:rFonts w:ascii="Arial" w:hAnsi="Arial" w:cs="Arial"/>
          <w:sz w:val="24"/>
          <w:szCs w:val="24"/>
        </w:rPr>
        <w:tab/>
        <w:t>16 August 2021</w:t>
      </w:r>
      <w:r w:rsidRPr="00AC68AC">
        <w:rPr>
          <w:rFonts w:ascii="Arial" w:hAnsi="Arial" w:cs="Arial"/>
          <w:sz w:val="24"/>
          <w:szCs w:val="24"/>
        </w:rPr>
        <w:tab/>
        <w:t xml:space="preserve"> </w:t>
      </w:r>
      <w:r w:rsidRPr="00AC68AC">
        <w:rPr>
          <w:rFonts w:ascii="Arial" w:hAnsi="Arial" w:cs="Arial"/>
          <w:sz w:val="24"/>
          <w:szCs w:val="24"/>
        </w:rPr>
        <w:tab/>
      </w:r>
      <w:r w:rsidRPr="00AC68AC">
        <w:rPr>
          <w:rFonts w:ascii="Arial" w:hAnsi="Arial" w:cs="Arial"/>
          <w:sz w:val="24"/>
          <w:szCs w:val="24"/>
        </w:rPr>
        <w:tab/>
      </w:r>
    </w:p>
    <w:p w14:paraId="494EC1B9" w14:textId="6BCFEE01" w:rsidR="00752D47" w:rsidRPr="00AC68AC" w:rsidRDefault="00752D47" w:rsidP="00752D47">
      <w:pPr>
        <w:spacing w:after="0" w:line="240" w:lineRule="auto"/>
        <w:jc w:val="both"/>
        <w:rPr>
          <w:rFonts w:ascii="Arial" w:hAnsi="Arial" w:cs="Arial"/>
          <w:sz w:val="24"/>
          <w:szCs w:val="24"/>
        </w:rPr>
      </w:pPr>
      <w:r w:rsidRPr="00AC68AC">
        <w:rPr>
          <w:rFonts w:ascii="Arial" w:hAnsi="Arial" w:cs="Arial"/>
          <w:sz w:val="24"/>
          <w:szCs w:val="24"/>
        </w:rPr>
        <w:t>Judgment:</w:t>
      </w:r>
      <w:r w:rsidRPr="00AC68AC">
        <w:rPr>
          <w:rFonts w:ascii="Arial" w:hAnsi="Arial" w:cs="Arial"/>
          <w:sz w:val="24"/>
          <w:szCs w:val="24"/>
        </w:rPr>
        <w:tab/>
      </w:r>
      <w:r w:rsidR="00AA0FE9">
        <w:rPr>
          <w:rFonts w:ascii="Arial" w:hAnsi="Arial" w:cs="Arial"/>
          <w:sz w:val="24"/>
          <w:szCs w:val="24"/>
        </w:rPr>
        <w:tab/>
      </w:r>
      <w:r w:rsidR="00AA0FE9">
        <w:rPr>
          <w:rFonts w:ascii="Arial" w:hAnsi="Arial" w:cs="Arial"/>
          <w:sz w:val="24"/>
          <w:szCs w:val="24"/>
        </w:rPr>
        <w:tab/>
        <w:t>14 March 2022</w:t>
      </w:r>
      <w:r w:rsidR="00AA0FE9">
        <w:rPr>
          <w:rFonts w:ascii="Arial" w:hAnsi="Arial" w:cs="Arial"/>
          <w:sz w:val="24"/>
          <w:szCs w:val="24"/>
        </w:rPr>
        <w:tab/>
      </w:r>
      <w:r w:rsidRPr="00AC68AC">
        <w:rPr>
          <w:rFonts w:ascii="Arial" w:hAnsi="Arial" w:cs="Arial"/>
          <w:sz w:val="24"/>
          <w:szCs w:val="24"/>
        </w:rPr>
        <w:tab/>
      </w:r>
      <w:r w:rsidRPr="00AC68AC">
        <w:rPr>
          <w:rFonts w:ascii="Arial" w:hAnsi="Arial" w:cs="Arial"/>
          <w:sz w:val="24"/>
          <w:szCs w:val="24"/>
        </w:rPr>
        <w:tab/>
      </w:r>
    </w:p>
    <w:p w14:paraId="6D6AAFBE" w14:textId="724E31A5" w:rsidR="00752D47" w:rsidRPr="00AC68AC" w:rsidRDefault="00AA0FE9" w:rsidP="00752D47">
      <w:pPr>
        <w:spacing w:after="0" w:line="240" w:lineRule="auto"/>
        <w:jc w:val="both"/>
        <w:rPr>
          <w:rFonts w:ascii="Arial" w:hAnsi="Arial" w:cs="Arial"/>
          <w:sz w:val="24"/>
          <w:szCs w:val="24"/>
        </w:rPr>
      </w:pPr>
      <w:r>
        <w:rPr>
          <w:rFonts w:ascii="Arial" w:hAnsi="Arial" w:cs="Arial"/>
          <w:sz w:val="24"/>
          <w:szCs w:val="24"/>
        </w:rPr>
        <w:t>C</w:t>
      </w:r>
      <w:r w:rsidR="00752D47" w:rsidRPr="00AC68AC">
        <w:rPr>
          <w:rFonts w:ascii="Arial" w:hAnsi="Arial" w:cs="Arial"/>
          <w:sz w:val="24"/>
          <w:szCs w:val="24"/>
        </w:rPr>
        <w:t>ounsel</w:t>
      </w:r>
      <w:r>
        <w:rPr>
          <w:rFonts w:ascii="Arial" w:hAnsi="Arial" w:cs="Arial"/>
          <w:sz w:val="24"/>
          <w:szCs w:val="24"/>
        </w:rPr>
        <w:t xml:space="preserve"> for Applicant</w:t>
      </w:r>
      <w:r w:rsidR="00752D47" w:rsidRPr="00AC68AC">
        <w:rPr>
          <w:rFonts w:ascii="Arial" w:hAnsi="Arial" w:cs="Arial"/>
          <w:sz w:val="24"/>
          <w:szCs w:val="24"/>
        </w:rPr>
        <w:t>:</w:t>
      </w:r>
      <w:r>
        <w:rPr>
          <w:rFonts w:ascii="Arial" w:hAnsi="Arial" w:cs="Arial"/>
          <w:sz w:val="24"/>
          <w:szCs w:val="24"/>
        </w:rPr>
        <w:tab/>
        <w:t>Advocate R.F. De Villiers</w:t>
      </w:r>
      <w:r w:rsidR="00752D47" w:rsidRPr="00AC68AC">
        <w:rPr>
          <w:rFonts w:ascii="Arial" w:hAnsi="Arial" w:cs="Arial"/>
          <w:sz w:val="24"/>
          <w:szCs w:val="24"/>
        </w:rPr>
        <w:tab/>
      </w:r>
      <w:r w:rsidR="00752D47" w:rsidRPr="00AC68AC">
        <w:rPr>
          <w:rFonts w:ascii="Arial" w:hAnsi="Arial" w:cs="Arial"/>
          <w:sz w:val="24"/>
          <w:szCs w:val="24"/>
        </w:rPr>
        <w:tab/>
      </w:r>
    </w:p>
    <w:p w14:paraId="30E50E8D" w14:textId="59779904" w:rsidR="00752D47" w:rsidRPr="00AC68AC" w:rsidRDefault="00752D47" w:rsidP="00752D47">
      <w:pPr>
        <w:spacing w:after="0" w:line="240" w:lineRule="auto"/>
        <w:ind w:left="2880" w:hanging="2880"/>
        <w:jc w:val="both"/>
        <w:rPr>
          <w:rFonts w:ascii="Arial" w:hAnsi="Arial" w:cs="Arial"/>
          <w:sz w:val="24"/>
          <w:szCs w:val="24"/>
        </w:rPr>
      </w:pPr>
      <w:r w:rsidRPr="00AC68AC">
        <w:rPr>
          <w:rFonts w:ascii="Arial" w:hAnsi="Arial" w:cs="Arial"/>
          <w:sz w:val="24"/>
          <w:szCs w:val="24"/>
        </w:rPr>
        <w:t xml:space="preserve">Instructed by:              </w:t>
      </w:r>
      <w:r w:rsidRPr="00AC68AC">
        <w:rPr>
          <w:rFonts w:ascii="Arial" w:hAnsi="Arial" w:cs="Arial"/>
          <w:sz w:val="24"/>
          <w:szCs w:val="24"/>
        </w:rPr>
        <w:tab/>
      </w:r>
      <w:r w:rsidR="00AA0FE9">
        <w:rPr>
          <w:rFonts w:ascii="Arial" w:hAnsi="Arial" w:cs="Arial"/>
          <w:sz w:val="24"/>
          <w:szCs w:val="24"/>
        </w:rPr>
        <w:t>Deneys Zeederberg Attorney, Pretoria c/o Faber</w:t>
      </w:r>
      <w:r w:rsidR="001E02AD">
        <w:rPr>
          <w:rFonts w:ascii="Arial" w:hAnsi="Arial" w:cs="Arial"/>
          <w:sz w:val="24"/>
          <w:szCs w:val="24"/>
        </w:rPr>
        <w:t xml:space="preserve"> and</w:t>
      </w:r>
      <w:r w:rsidR="00AA0FE9">
        <w:rPr>
          <w:rFonts w:ascii="Arial" w:hAnsi="Arial" w:cs="Arial"/>
          <w:sz w:val="24"/>
          <w:szCs w:val="24"/>
        </w:rPr>
        <w:t xml:space="preserve"> Allin Inc Johannesburg </w:t>
      </w:r>
    </w:p>
    <w:p w14:paraId="5E6BFAE2" w14:textId="45E39995" w:rsidR="00752D47" w:rsidRPr="00AC68AC" w:rsidRDefault="00AA0FE9" w:rsidP="00752D47">
      <w:pPr>
        <w:spacing w:after="0" w:line="240" w:lineRule="auto"/>
        <w:jc w:val="both"/>
        <w:rPr>
          <w:rFonts w:ascii="Arial" w:hAnsi="Arial" w:cs="Arial"/>
          <w:sz w:val="24"/>
          <w:szCs w:val="24"/>
        </w:rPr>
      </w:pPr>
      <w:r>
        <w:rPr>
          <w:rFonts w:ascii="Arial" w:hAnsi="Arial" w:cs="Arial"/>
          <w:sz w:val="24"/>
          <w:szCs w:val="24"/>
        </w:rPr>
        <w:t>C</w:t>
      </w:r>
      <w:r w:rsidR="00752D47" w:rsidRPr="00AC68AC">
        <w:rPr>
          <w:rFonts w:ascii="Arial" w:hAnsi="Arial" w:cs="Arial"/>
          <w:sz w:val="24"/>
          <w:szCs w:val="24"/>
        </w:rPr>
        <w:t>ounsel</w:t>
      </w:r>
      <w:r>
        <w:rPr>
          <w:rFonts w:ascii="Arial" w:hAnsi="Arial" w:cs="Arial"/>
          <w:sz w:val="24"/>
          <w:szCs w:val="24"/>
        </w:rPr>
        <w:t xml:space="preserve"> for Respondent</w:t>
      </w:r>
      <w:r w:rsidR="00752D47" w:rsidRPr="00AC68AC">
        <w:rPr>
          <w:rFonts w:ascii="Arial" w:hAnsi="Arial" w:cs="Arial"/>
          <w:sz w:val="24"/>
          <w:szCs w:val="24"/>
        </w:rPr>
        <w:t>:</w:t>
      </w:r>
      <w:r w:rsidR="00752D47" w:rsidRPr="00AC68AC">
        <w:rPr>
          <w:rFonts w:ascii="Arial" w:hAnsi="Arial" w:cs="Arial"/>
          <w:sz w:val="24"/>
          <w:szCs w:val="24"/>
        </w:rPr>
        <w:tab/>
      </w:r>
      <w:r>
        <w:rPr>
          <w:rFonts w:ascii="Arial" w:hAnsi="Arial" w:cs="Arial"/>
          <w:sz w:val="24"/>
          <w:szCs w:val="24"/>
        </w:rPr>
        <w:t>Advocate J Hershensohn</w:t>
      </w:r>
      <w:r w:rsidR="00752D47" w:rsidRPr="00AC68AC">
        <w:rPr>
          <w:rFonts w:ascii="Arial" w:hAnsi="Arial" w:cs="Arial"/>
          <w:sz w:val="24"/>
          <w:szCs w:val="24"/>
        </w:rPr>
        <w:t xml:space="preserve">           </w:t>
      </w:r>
      <w:r w:rsidR="00752D47" w:rsidRPr="00AC68AC">
        <w:rPr>
          <w:rFonts w:ascii="Arial" w:hAnsi="Arial" w:cs="Arial"/>
          <w:sz w:val="24"/>
          <w:szCs w:val="24"/>
        </w:rPr>
        <w:tab/>
      </w:r>
    </w:p>
    <w:p w14:paraId="5F3AF9C2" w14:textId="69D629EA" w:rsidR="00752D47" w:rsidRPr="00AC68AC" w:rsidRDefault="00752D47" w:rsidP="00AA0FE9">
      <w:pPr>
        <w:spacing w:after="0" w:line="240" w:lineRule="auto"/>
        <w:ind w:left="2880" w:hanging="2880"/>
        <w:jc w:val="both"/>
        <w:rPr>
          <w:rFonts w:ascii="Arial" w:hAnsi="Arial" w:cs="Arial"/>
          <w:sz w:val="24"/>
          <w:szCs w:val="24"/>
        </w:rPr>
      </w:pPr>
      <w:r w:rsidRPr="00AC68AC">
        <w:rPr>
          <w:rFonts w:ascii="Arial" w:hAnsi="Arial" w:cs="Arial"/>
          <w:sz w:val="24"/>
          <w:szCs w:val="24"/>
        </w:rPr>
        <w:t>Instructed by:</w:t>
      </w:r>
      <w:r w:rsidRPr="00AC68AC">
        <w:rPr>
          <w:rFonts w:ascii="Arial" w:hAnsi="Arial" w:cs="Arial"/>
          <w:sz w:val="24"/>
          <w:szCs w:val="24"/>
        </w:rPr>
        <w:tab/>
      </w:r>
      <w:r w:rsidR="00AA0FE9">
        <w:rPr>
          <w:rFonts w:ascii="Arial" w:hAnsi="Arial" w:cs="Arial"/>
          <w:sz w:val="24"/>
          <w:szCs w:val="24"/>
        </w:rPr>
        <w:t>Jaco Roos Attorneys Inc, Pretoria c/o MI Lindwa Attorneys Johannesburg</w:t>
      </w:r>
      <w:r w:rsidRPr="00AC68AC">
        <w:rPr>
          <w:rFonts w:ascii="Arial" w:hAnsi="Arial" w:cs="Arial"/>
          <w:sz w:val="24"/>
          <w:szCs w:val="24"/>
        </w:rPr>
        <w:tab/>
      </w:r>
      <w:r w:rsidRPr="00AC68AC">
        <w:rPr>
          <w:rFonts w:ascii="Arial" w:hAnsi="Arial" w:cs="Arial"/>
          <w:sz w:val="24"/>
          <w:szCs w:val="24"/>
        </w:rPr>
        <w:tab/>
      </w:r>
    </w:p>
    <w:sectPr w:rsidR="00752D47" w:rsidRPr="00AC68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C31CA" w14:textId="77777777" w:rsidR="00E45186" w:rsidRDefault="00E45186" w:rsidP="00BF1D23">
      <w:pPr>
        <w:spacing w:after="0" w:line="240" w:lineRule="auto"/>
      </w:pPr>
      <w:r>
        <w:separator/>
      </w:r>
    </w:p>
  </w:endnote>
  <w:endnote w:type="continuationSeparator" w:id="0">
    <w:p w14:paraId="01603CB5" w14:textId="77777777" w:rsidR="00E45186" w:rsidRDefault="00E45186" w:rsidP="00BF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335021"/>
      <w:docPartObj>
        <w:docPartGallery w:val="Page Numbers (Bottom of Page)"/>
        <w:docPartUnique/>
      </w:docPartObj>
    </w:sdtPr>
    <w:sdtEndPr>
      <w:rPr>
        <w:noProof/>
      </w:rPr>
    </w:sdtEndPr>
    <w:sdtContent>
      <w:p w14:paraId="25AE743B" w14:textId="2483E7CB" w:rsidR="00B84349" w:rsidRDefault="00B84349">
        <w:pPr>
          <w:pStyle w:val="Footer"/>
          <w:jc w:val="right"/>
        </w:pPr>
        <w:r>
          <w:fldChar w:fldCharType="begin"/>
        </w:r>
        <w:r>
          <w:instrText xml:space="preserve"> PAGE   \* MERGEFORMAT </w:instrText>
        </w:r>
        <w:r>
          <w:fldChar w:fldCharType="separate"/>
        </w:r>
        <w:r w:rsidR="001B2C3F">
          <w:rPr>
            <w:noProof/>
          </w:rPr>
          <w:t>1</w:t>
        </w:r>
        <w:r>
          <w:rPr>
            <w:noProof/>
          </w:rPr>
          <w:fldChar w:fldCharType="end"/>
        </w:r>
      </w:p>
    </w:sdtContent>
  </w:sdt>
  <w:p w14:paraId="25BCCCAD" w14:textId="77777777" w:rsidR="00B84349" w:rsidRDefault="00B84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BD42C" w14:textId="77777777" w:rsidR="00E45186" w:rsidRDefault="00E45186" w:rsidP="00BF1D23">
      <w:pPr>
        <w:spacing w:after="0" w:line="240" w:lineRule="auto"/>
      </w:pPr>
      <w:r>
        <w:separator/>
      </w:r>
    </w:p>
  </w:footnote>
  <w:footnote w:type="continuationSeparator" w:id="0">
    <w:p w14:paraId="0D779208" w14:textId="77777777" w:rsidR="00E45186" w:rsidRDefault="00E45186" w:rsidP="00BF1D23">
      <w:pPr>
        <w:spacing w:after="0" w:line="240" w:lineRule="auto"/>
      </w:pPr>
      <w:r>
        <w:continuationSeparator/>
      </w:r>
    </w:p>
  </w:footnote>
  <w:footnote w:id="1">
    <w:p w14:paraId="1AE6C0A4" w14:textId="40159F4B" w:rsidR="00B84349" w:rsidRPr="007065B6" w:rsidRDefault="00B84349">
      <w:pPr>
        <w:pStyle w:val="FootnoteText"/>
        <w:rPr>
          <w:lang w:val="en-GB"/>
        </w:rPr>
      </w:pPr>
      <w:r>
        <w:rPr>
          <w:rStyle w:val="FootnoteReference"/>
        </w:rPr>
        <w:footnoteRef/>
      </w:r>
      <w:r>
        <w:t xml:space="preserve"> 2013 (2) SA 295 at 300-301 para [2] (KZD)</w:t>
      </w:r>
    </w:p>
  </w:footnote>
  <w:footnote w:id="2">
    <w:p w14:paraId="790307CE" w14:textId="676D09F2" w:rsidR="00B84349" w:rsidRPr="007065B6" w:rsidRDefault="00B84349">
      <w:pPr>
        <w:pStyle w:val="FootnoteText"/>
        <w:rPr>
          <w:lang w:val="en-GB"/>
        </w:rPr>
      </w:pPr>
      <w:r>
        <w:rPr>
          <w:rStyle w:val="FootnoteReference"/>
        </w:rPr>
        <w:footnoteRef/>
      </w:r>
      <w:r>
        <w:t xml:space="preserve"> 1993 (4) SA 346 a 440 F</w:t>
      </w:r>
    </w:p>
  </w:footnote>
  <w:footnote w:id="3">
    <w:p w14:paraId="65720CF4" w14:textId="01B067F4" w:rsidR="00B84349" w:rsidRPr="00D72AD0" w:rsidRDefault="00B84349">
      <w:pPr>
        <w:pStyle w:val="FootnoteText"/>
        <w:rPr>
          <w:lang w:val="en-GB"/>
        </w:rPr>
      </w:pPr>
      <w:r>
        <w:rPr>
          <w:rStyle w:val="FootnoteReference"/>
        </w:rPr>
        <w:footnoteRef/>
      </w:r>
      <w:r>
        <w:t xml:space="preserve"> 1962 (4) SA 593 (D) at 597</w:t>
      </w:r>
    </w:p>
  </w:footnote>
  <w:footnote w:id="4">
    <w:p w14:paraId="7830876D" w14:textId="06DDCEA2" w:rsidR="00B84349" w:rsidRPr="00D72AD0" w:rsidRDefault="00B84349">
      <w:pPr>
        <w:pStyle w:val="FootnoteText"/>
        <w:rPr>
          <w:lang w:val="en-GB"/>
        </w:rPr>
      </w:pPr>
      <w:r>
        <w:rPr>
          <w:rStyle w:val="FootnoteReference"/>
        </w:rPr>
        <w:footnoteRef/>
      </w:r>
      <w:r>
        <w:t xml:space="preserve"> 1993 (4) SA 436 (C) at 440F-441A</w:t>
      </w:r>
    </w:p>
  </w:footnote>
  <w:footnote w:id="5">
    <w:p w14:paraId="4AF31422" w14:textId="53F3AF30" w:rsidR="00B84349" w:rsidRPr="00D72AD0" w:rsidRDefault="00B84349">
      <w:pPr>
        <w:pStyle w:val="FootnoteText"/>
        <w:rPr>
          <w:lang w:val="en-GB"/>
        </w:rPr>
      </w:pPr>
      <w:r>
        <w:rPr>
          <w:rStyle w:val="FootnoteReference"/>
        </w:rPr>
        <w:footnoteRef/>
      </w:r>
      <w:r>
        <w:t xml:space="preserve"> (1906) 23 SC 721</w:t>
      </w:r>
    </w:p>
  </w:footnote>
  <w:footnote w:id="6">
    <w:p w14:paraId="488EAEF9" w14:textId="10D15620" w:rsidR="00B84349" w:rsidRPr="00D72AD0" w:rsidRDefault="00B84349">
      <w:pPr>
        <w:pStyle w:val="FootnoteText"/>
        <w:rPr>
          <w:lang w:val="en-GB"/>
        </w:rPr>
      </w:pPr>
      <w:r>
        <w:rPr>
          <w:rStyle w:val="FootnoteReference"/>
        </w:rPr>
        <w:footnoteRef/>
      </w:r>
      <w:r>
        <w:t xml:space="preserve"> 1949 (1) SA 937 (C)</w:t>
      </w:r>
    </w:p>
  </w:footnote>
  <w:footnote w:id="7">
    <w:p w14:paraId="2582164D" w14:textId="4765C747" w:rsidR="00B84349" w:rsidRPr="00D72AD0" w:rsidRDefault="00B84349">
      <w:pPr>
        <w:pStyle w:val="FootnoteText"/>
        <w:rPr>
          <w:lang w:val="en-GB"/>
        </w:rPr>
      </w:pPr>
      <w:r>
        <w:rPr>
          <w:rStyle w:val="FootnoteReference"/>
        </w:rPr>
        <w:footnoteRef/>
      </w:r>
      <w:r>
        <w:t xml:space="preserve"> 1956 (2) SA 346 (T) at 347 -348</w:t>
      </w:r>
    </w:p>
  </w:footnote>
  <w:footnote w:id="8">
    <w:p w14:paraId="00D553A9" w14:textId="350F2AB2" w:rsidR="00B84349" w:rsidRPr="00D72AD0" w:rsidRDefault="00B84349">
      <w:pPr>
        <w:pStyle w:val="FootnoteText"/>
        <w:rPr>
          <w:lang w:val="en-GB"/>
        </w:rPr>
      </w:pPr>
      <w:r>
        <w:rPr>
          <w:rStyle w:val="FootnoteReference"/>
        </w:rPr>
        <w:footnoteRef/>
      </w:r>
      <w:r>
        <w:t xml:space="preserve"> 1918 AD 262 at 271</w:t>
      </w:r>
    </w:p>
  </w:footnote>
  <w:footnote w:id="9">
    <w:p w14:paraId="1C884CB7" w14:textId="07F6655A" w:rsidR="00B84349" w:rsidRPr="00D72AD0" w:rsidRDefault="00B84349">
      <w:pPr>
        <w:pStyle w:val="FootnoteText"/>
        <w:rPr>
          <w:lang w:val="en-GB"/>
        </w:rPr>
      </w:pPr>
      <w:r>
        <w:rPr>
          <w:rStyle w:val="FootnoteReference"/>
        </w:rPr>
        <w:footnoteRef/>
      </w:r>
      <w:r>
        <w:t xml:space="preserve"> 1954 (1) SA 72 (W)</w:t>
      </w:r>
    </w:p>
  </w:footnote>
  <w:footnote w:id="10">
    <w:p w14:paraId="4E9E1277" w14:textId="4EFBC003" w:rsidR="00B84349" w:rsidRPr="00D72AD0" w:rsidRDefault="00B84349">
      <w:pPr>
        <w:pStyle w:val="FootnoteText"/>
        <w:rPr>
          <w:lang w:val="en-GB"/>
        </w:rPr>
      </w:pPr>
      <w:r>
        <w:rPr>
          <w:rStyle w:val="FootnoteReference"/>
        </w:rPr>
        <w:footnoteRef/>
      </w:r>
      <w:r>
        <w:t xml:space="preserve"> 1954 (4) SA 78 (O) at 749 -750 </w:t>
      </w:r>
    </w:p>
  </w:footnote>
  <w:footnote w:id="11">
    <w:p w14:paraId="3B84D7D7" w14:textId="235B18F7" w:rsidR="00B84349" w:rsidRPr="00146421" w:rsidRDefault="00B84349">
      <w:pPr>
        <w:pStyle w:val="FootnoteText"/>
        <w:rPr>
          <w:lang w:val="en-GB"/>
        </w:rPr>
      </w:pPr>
      <w:r>
        <w:rPr>
          <w:rStyle w:val="FootnoteReference"/>
        </w:rPr>
        <w:footnoteRef/>
      </w:r>
      <w:r>
        <w:t xml:space="preserve"> See Boschpoort Ondernemings (Pty) Ltd v Absa Bank Ltd ZASCA 173 (28 November 2013) para</w:t>
      </w:r>
    </w:p>
  </w:footnote>
  <w:footnote w:id="12">
    <w:p w14:paraId="3641F75F" w14:textId="293D6F5B" w:rsidR="00B84349" w:rsidRPr="00B84349" w:rsidRDefault="00B84349">
      <w:pPr>
        <w:pStyle w:val="FootnoteText"/>
        <w:rPr>
          <w:lang w:val="en-GB"/>
        </w:rPr>
      </w:pPr>
      <w:r>
        <w:rPr>
          <w:rStyle w:val="FootnoteReference"/>
        </w:rPr>
        <w:footnoteRef/>
      </w:r>
      <w:r>
        <w:t xml:space="preserve"> See Firstrand Bank Ltd v Lodhi 5 Properties Investment CC 2013 (3) SA 212 (GNP) para 34.</w:t>
      </w:r>
    </w:p>
  </w:footnote>
  <w:footnote w:id="13">
    <w:p w14:paraId="27DC886A" w14:textId="2E698FF4" w:rsidR="00B84349" w:rsidRPr="00B84349" w:rsidRDefault="00B84349">
      <w:pPr>
        <w:pStyle w:val="FootnoteText"/>
        <w:rPr>
          <w:lang w:val="en-GB"/>
        </w:rPr>
      </w:pPr>
      <w:r>
        <w:rPr>
          <w:rStyle w:val="FootnoteReference"/>
        </w:rPr>
        <w:footnoteRef/>
      </w:r>
      <w:r>
        <w:t xml:space="preserve"> See Boschpoort Ondernemings (Pty) Ltd v Absa Bank Ltd, above para [17]</w:t>
      </w:r>
    </w:p>
  </w:footnote>
  <w:footnote w:id="14">
    <w:p w14:paraId="0A19B49A" w14:textId="0EFE4B15" w:rsidR="00B84349" w:rsidRPr="00B84349" w:rsidRDefault="00B84349">
      <w:pPr>
        <w:pStyle w:val="FootnoteText"/>
        <w:rPr>
          <w:lang w:val="en-GB"/>
        </w:rPr>
      </w:pPr>
      <w:r>
        <w:rPr>
          <w:rStyle w:val="FootnoteReference"/>
        </w:rPr>
        <w:footnoteRef/>
      </w:r>
      <w:r>
        <w:t xml:space="preserve"> </w:t>
      </w:r>
      <w:r w:rsidR="00F169BC">
        <w:t>See Johnson v Hirotec (Pty) Ltd 2000 (4) SA 930 (SCA)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53F7"/>
    <w:multiLevelType w:val="multilevel"/>
    <w:tmpl w:val="58A887FE"/>
    <w:lvl w:ilvl="0">
      <w:start w:val="7"/>
      <w:numFmt w:val="decimal"/>
      <w:lvlText w:val="%1."/>
      <w:lvlJc w:val="left"/>
      <w:pPr>
        <w:ind w:left="390" w:hanging="390"/>
      </w:pPr>
      <w:rPr>
        <w:rFonts w:hint="default"/>
        <w:b w:val="0"/>
        <w:i w:val="0"/>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1">
    <w:nsid w:val="0759002A"/>
    <w:multiLevelType w:val="hybridMultilevel"/>
    <w:tmpl w:val="B3F42FB2"/>
    <w:lvl w:ilvl="0" w:tplc="BE7E69DC">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0F013CE5"/>
    <w:multiLevelType w:val="multilevel"/>
    <w:tmpl w:val="B33452E0"/>
    <w:lvl w:ilvl="0">
      <w:start w:val="2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5D7E06"/>
    <w:multiLevelType w:val="hybridMultilevel"/>
    <w:tmpl w:val="327ACC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4A567E"/>
    <w:multiLevelType w:val="multilevel"/>
    <w:tmpl w:val="908CDEE4"/>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851DD6"/>
    <w:multiLevelType w:val="hybridMultilevel"/>
    <w:tmpl w:val="7CFEC014"/>
    <w:lvl w:ilvl="0" w:tplc="3BDE385C">
      <w:start w:val="7"/>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3800B1"/>
    <w:multiLevelType w:val="multilevel"/>
    <w:tmpl w:val="6B309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3073CA"/>
    <w:multiLevelType w:val="multilevel"/>
    <w:tmpl w:val="A11423F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59727B"/>
    <w:multiLevelType w:val="hybridMultilevel"/>
    <w:tmpl w:val="C8367524"/>
    <w:lvl w:ilvl="0" w:tplc="02107528">
      <w:numFmt w:val="bullet"/>
      <w:lvlText w:val="•"/>
      <w:lvlJc w:val="left"/>
      <w:pPr>
        <w:ind w:left="1440" w:hanging="360"/>
      </w:pPr>
      <w:rPr>
        <w:rFonts w:hint="default"/>
        <w:lang w:val="en-ZA"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2559AC"/>
    <w:multiLevelType w:val="multilevel"/>
    <w:tmpl w:val="A11423F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2F12F9"/>
    <w:multiLevelType w:val="multilevel"/>
    <w:tmpl w:val="0D9A293A"/>
    <w:lvl w:ilvl="0">
      <w:start w:val="1"/>
      <w:numFmt w:val="decimal"/>
      <w:lvlText w:val="%1."/>
      <w:lvlJc w:val="left"/>
      <w:pPr>
        <w:tabs>
          <w:tab w:val="num" w:pos="567"/>
        </w:tabs>
        <w:ind w:left="567" w:hanging="567"/>
      </w:pPr>
      <w:rPr>
        <w:b w:val="0"/>
        <w:color w:val="auto"/>
      </w:rPr>
    </w:lvl>
    <w:lvl w:ilvl="1">
      <w:start w:val="1"/>
      <w:numFmt w:val="decimal"/>
      <w:lvlText w:val="%1.%2."/>
      <w:lvlJc w:val="left"/>
      <w:pPr>
        <w:tabs>
          <w:tab w:val="num" w:pos="1418"/>
        </w:tabs>
        <w:ind w:left="1418" w:hanging="851"/>
      </w:pPr>
      <w:rPr>
        <w:b w:val="0"/>
        <w:bCs/>
        <w:i w:val="0"/>
      </w:rPr>
    </w:lvl>
    <w:lvl w:ilvl="2">
      <w:start w:val="1"/>
      <w:numFmt w:val="decimal"/>
      <w:lvlText w:val="%1.%2.%3."/>
      <w:lvlJc w:val="left"/>
      <w:pPr>
        <w:tabs>
          <w:tab w:val="num" w:pos="2552"/>
        </w:tabs>
        <w:ind w:left="2552" w:hanging="113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811F28"/>
    <w:multiLevelType w:val="hybridMultilevel"/>
    <w:tmpl w:val="C1C08724"/>
    <w:lvl w:ilvl="0" w:tplc="05BECB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B04B5A"/>
    <w:multiLevelType w:val="hybridMultilevel"/>
    <w:tmpl w:val="9926B5B6"/>
    <w:lvl w:ilvl="0" w:tplc="C8366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FA74C1C"/>
    <w:multiLevelType w:val="hybridMultilevel"/>
    <w:tmpl w:val="0644C984"/>
    <w:lvl w:ilvl="0" w:tplc="51B28D64">
      <w:start w:val="1"/>
      <w:numFmt w:val="decimal"/>
      <w:lvlText w:val="%1."/>
      <w:lvlJc w:val="left"/>
      <w:pPr>
        <w:ind w:left="820" w:hanging="360"/>
      </w:pPr>
      <w:rPr>
        <w:rFonts w:ascii="Arial" w:eastAsia="Arial" w:hAnsi="Arial" w:cs="Arial" w:hint="default"/>
        <w:spacing w:val="-2"/>
        <w:w w:val="100"/>
        <w:sz w:val="24"/>
        <w:szCs w:val="24"/>
        <w:lang w:val="en-ZA" w:eastAsia="en-US" w:bidi="ar-SA"/>
      </w:rPr>
    </w:lvl>
    <w:lvl w:ilvl="1" w:tplc="D0E20848">
      <w:numFmt w:val="bullet"/>
      <w:lvlText w:val=""/>
      <w:lvlJc w:val="left"/>
      <w:pPr>
        <w:ind w:left="1637" w:hanging="360"/>
      </w:pPr>
      <w:rPr>
        <w:rFonts w:ascii="Symbol" w:eastAsia="Symbol" w:hAnsi="Symbol" w:cs="Symbol" w:hint="default"/>
        <w:w w:val="100"/>
        <w:sz w:val="24"/>
        <w:szCs w:val="24"/>
        <w:lang w:val="en-ZA" w:eastAsia="en-US" w:bidi="ar-SA"/>
      </w:rPr>
    </w:lvl>
    <w:lvl w:ilvl="2" w:tplc="02107528">
      <w:numFmt w:val="bullet"/>
      <w:lvlText w:val="•"/>
      <w:lvlJc w:val="left"/>
      <w:pPr>
        <w:ind w:left="2460" w:hanging="360"/>
      </w:pPr>
      <w:rPr>
        <w:rFonts w:hint="default"/>
        <w:lang w:val="en-ZA" w:eastAsia="en-US" w:bidi="ar-SA"/>
      </w:rPr>
    </w:lvl>
    <w:lvl w:ilvl="3" w:tplc="24AC5C20">
      <w:numFmt w:val="bullet"/>
      <w:lvlText w:val="•"/>
      <w:lvlJc w:val="left"/>
      <w:pPr>
        <w:ind w:left="3381" w:hanging="360"/>
      </w:pPr>
      <w:rPr>
        <w:rFonts w:hint="default"/>
        <w:lang w:val="en-ZA" w:eastAsia="en-US" w:bidi="ar-SA"/>
      </w:rPr>
    </w:lvl>
    <w:lvl w:ilvl="4" w:tplc="9E9445C6">
      <w:numFmt w:val="bullet"/>
      <w:lvlText w:val="•"/>
      <w:lvlJc w:val="left"/>
      <w:pPr>
        <w:ind w:left="4302" w:hanging="360"/>
      </w:pPr>
      <w:rPr>
        <w:rFonts w:hint="default"/>
        <w:lang w:val="en-ZA" w:eastAsia="en-US" w:bidi="ar-SA"/>
      </w:rPr>
    </w:lvl>
    <w:lvl w:ilvl="5" w:tplc="1D5CCBA2">
      <w:numFmt w:val="bullet"/>
      <w:lvlText w:val="•"/>
      <w:lvlJc w:val="left"/>
      <w:pPr>
        <w:ind w:left="5223" w:hanging="360"/>
      </w:pPr>
      <w:rPr>
        <w:rFonts w:hint="default"/>
        <w:lang w:val="en-ZA" w:eastAsia="en-US" w:bidi="ar-SA"/>
      </w:rPr>
    </w:lvl>
    <w:lvl w:ilvl="6" w:tplc="C4EC3984">
      <w:numFmt w:val="bullet"/>
      <w:lvlText w:val="•"/>
      <w:lvlJc w:val="left"/>
      <w:pPr>
        <w:ind w:left="6144" w:hanging="360"/>
      </w:pPr>
      <w:rPr>
        <w:rFonts w:hint="default"/>
        <w:lang w:val="en-ZA" w:eastAsia="en-US" w:bidi="ar-SA"/>
      </w:rPr>
    </w:lvl>
    <w:lvl w:ilvl="7" w:tplc="EEF007A0">
      <w:numFmt w:val="bullet"/>
      <w:lvlText w:val="•"/>
      <w:lvlJc w:val="left"/>
      <w:pPr>
        <w:ind w:left="7065" w:hanging="360"/>
      </w:pPr>
      <w:rPr>
        <w:rFonts w:hint="default"/>
        <w:lang w:val="en-ZA" w:eastAsia="en-US" w:bidi="ar-SA"/>
      </w:rPr>
    </w:lvl>
    <w:lvl w:ilvl="8" w:tplc="CC9C0094">
      <w:numFmt w:val="bullet"/>
      <w:lvlText w:val="•"/>
      <w:lvlJc w:val="left"/>
      <w:pPr>
        <w:ind w:left="7986" w:hanging="360"/>
      </w:pPr>
      <w:rPr>
        <w:rFonts w:hint="default"/>
        <w:lang w:val="en-ZA" w:eastAsia="en-US" w:bidi="ar-SA"/>
      </w:rPr>
    </w:lvl>
  </w:abstractNum>
  <w:abstractNum w:abstractNumId="15">
    <w:nsid w:val="312C28D3"/>
    <w:multiLevelType w:val="hybridMultilevel"/>
    <w:tmpl w:val="C234C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23723FF"/>
    <w:multiLevelType w:val="multilevel"/>
    <w:tmpl w:val="58A887FE"/>
    <w:lvl w:ilvl="0">
      <w:start w:val="5"/>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BEB601F"/>
    <w:multiLevelType w:val="multilevel"/>
    <w:tmpl w:val="58A887FE"/>
    <w:lvl w:ilvl="0">
      <w:start w:val="5"/>
      <w:numFmt w:val="decimal"/>
      <w:lvlText w:val="%1."/>
      <w:lvlJc w:val="left"/>
      <w:pPr>
        <w:ind w:left="390" w:hanging="390"/>
      </w:pPr>
      <w:rPr>
        <w:rFonts w:hint="default"/>
        <w:b w:val="0"/>
        <w:i w:val="0"/>
      </w:rPr>
    </w:lvl>
    <w:lvl w:ilvl="1">
      <w:start w:val="2"/>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18">
    <w:nsid w:val="434622E3"/>
    <w:multiLevelType w:val="multilevel"/>
    <w:tmpl w:val="331E8E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3FD7231"/>
    <w:multiLevelType w:val="multilevel"/>
    <w:tmpl w:val="E9C0EABE"/>
    <w:lvl w:ilvl="0">
      <w:start w:val="7"/>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b/>
        <w:i/>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nsid w:val="44E71C22"/>
    <w:multiLevelType w:val="multilevel"/>
    <w:tmpl w:val="106AF102"/>
    <w:lvl w:ilvl="0">
      <w:start w:val="28"/>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46B55DE5"/>
    <w:multiLevelType w:val="multilevel"/>
    <w:tmpl w:val="A98AC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9051A76"/>
    <w:multiLevelType w:val="multilevel"/>
    <w:tmpl w:val="8CB0B4AC"/>
    <w:lvl w:ilvl="0">
      <w:start w:val="1"/>
      <w:numFmt w:val="decimal"/>
      <w:lvlText w:val="%1."/>
      <w:lvlJc w:val="left"/>
      <w:pPr>
        <w:ind w:left="720" w:hanging="360"/>
      </w:pPr>
      <w:rPr>
        <w:b w:val="0"/>
        <w:i w:val="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nsid w:val="528911B5"/>
    <w:multiLevelType w:val="hybridMultilevel"/>
    <w:tmpl w:val="FB02327C"/>
    <w:lvl w:ilvl="0" w:tplc="5F7A6A64">
      <w:start w:val="14"/>
      <w:numFmt w:val="decimal"/>
      <w:lvlText w:val="%1."/>
      <w:lvlJc w:val="left"/>
      <w:pPr>
        <w:ind w:left="1080" w:hanging="360"/>
      </w:pPr>
      <w:rPr>
        <w:rFonts w:hint="default"/>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073D25"/>
    <w:multiLevelType w:val="hybridMultilevel"/>
    <w:tmpl w:val="35E627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58C293D"/>
    <w:multiLevelType w:val="multilevel"/>
    <w:tmpl w:val="7988D62E"/>
    <w:lvl w:ilvl="0">
      <w:start w:val="1"/>
      <w:numFmt w:val="lowerLetter"/>
      <w:lvlText w:val="(%1)"/>
      <w:lvlJc w:val="left"/>
      <w:pPr>
        <w:tabs>
          <w:tab w:val="num" w:pos="851"/>
        </w:tabs>
        <w:ind w:left="851" w:hanging="851"/>
      </w:pPr>
      <w:rPr>
        <w:rFonts w:ascii="Arial" w:eastAsiaTheme="minorHAnsi" w:hAnsi="Arial" w:cs="Arial"/>
        <w:b w:val="0"/>
        <w:bCs w:val="0"/>
      </w:rPr>
    </w:lvl>
    <w:lvl w:ilvl="1">
      <w:start w:val="1"/>
      <w:numFmt w:val="lowerRoman"/>
      <w:lvlText w:val="(%2)"/>
      <w:lvlJc w:val="left"/>
      <w:pPr>
        <w:tabs>
          <w:tab w:val="num" w:pos="1701"/>
        </w:tabs>
        <w:ind w:left="1701" w:hanging="850"/>
      </w:pPr>
      <w:rPr>
        <w:rFonts w:ascii="Arial" w:eastAsia="Arial" w:hAnsi="Arial" w:cs="Arial"/>
        <w:b w:val="0"/>
        <w:bCs w:val="0"/>
        <w:i w:val="0"/>
        <w:iCs w:val="0"/>
      </w:rPr>
    </w:lvl>
    <w:lvl w:ilvl="2">
      <w:start w:val="1"/>
      <w:numFmt w:val="decimal"/>
      <w:lvlText w:val="%1.%2.%3."/>
      <w:lvlJc w:val="left"/>
      <w:pPr>
        <w:tabs>
          <w:tab w:val="num" w:pos="2835"/>
        </w:tabs>
        <w:ind w:left="2835" w:hanging="1134"/>
      </w:pPr>
      <w:rPr>
        <w:color w:val="000000" w:themeColor="text1"/>
      </w:rPr>
    </w:lvl>
    <w:lvl w:ilvl="3">
      <w:start w:val="1"/>
      <w:numFmt w:val="decimal"/>
      <w:lvlText w:val="%1.%2.%3.%4."/>
      <w:lvlJc w:val="left"/>
      <w:pPr>
        <w:tabs>
          <w:tab w:val="num" w:pos="3969"/>
        </w:tabs>
        <w:ind w:left="3969"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AD378F"/>
    <w:multiLevelType w:val="multilevel"/>
    <w:tmpl w:val="817CE2DA"/>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rPr>
        <w:b w:val="0"/>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EC3AD4"/>
    <w:multiLevelType w:val="hybridMultilevel"/>
    <w:tmpl w:val="0CA2E45C"/>
    <w:lvl w:ilvl="0" w:tplc="3BDE385C">
      <w:start w:val="7"/>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254972"/>
    <w:multiLevelType w:val="multilevel"/>
    <w:tmpl w:val="04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3433AD3"/>
    <w:multiLevelType w:val="hybridMultilevel"/>
    <w:tmpl w:val="C234C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80422AD"/>
    <w:multiLevelType w:val="multilevel"/>
    <w:tmpl w:val="11204C0A"/>
    <w:lvl w:ilvl="0">
      <w:start w:val="8"/>
      <w:numFmt w:val="decimal"/>
      <w:lvlText w:val="%1."/>
      <w:lvlJc w:val="left"/>
      <w:pPr>
        <w:ind w:left="390" w:hanging="390"/>
      </w:pPr>
      <w:rPr>
        <w:rFonts w:hint="default"/>
      </w:rPr>
    </w:lvl>
    <w:lvl w:ilvl="1">
      <w:start w:val="7"/>
      <w:numFmt w:val="decimal"/>
      <w:lvlText w:val="%1.%2."/>
      <w:lvlJc w:val="left"/>
      <w:pPr>
        <w:ind w:left="900" w:hanging="720"/>
      </w:pPr>
      <w:rPr>
        <w:rFonts w:hint="default"/>
        <w:b/>
        <w:i/>
      </w:rPr>
    </w:lvl>
    <w:lvl w:ilvl="2">
      <w:start w:val="1"/>
      <w:numFmt w:val="decimal"/>
      <w:pStyle w:val="WerksmansStyle3"/>
      <w:lvlText w:val="%1.%2.%3."/>
      <w:lvlJc w:val="left"/>
      <w:pPr>
        <w:ind w:left="1080" w:hanging="720"/>
      </w:pPr>
      <w:rPr>
        <w:rFonts w:hint="default"/>
      </w:rPr>
    </w:lvl>
    <w:lvl w:ilvl="3">
      <w:start w:val="1"/>
      <w:numFmt w:val="decimal"/>
      <w:pStyle w:val="WerksmansStyle4"/>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nsid w:val="6DAC2703"/>
    <w:multiLevelType w:val="hybridMultilevel"/>
    <w:tmpl w:val="2B1ACA1E"/>
    <w:lvl w:ilvl="0" w:tplc="3056BD2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1B74F21"/>
    <w:multiLevelType w:val="multilevel"/>
    <w:tmpl w:val="7CFEC014"/>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779449E5"/>
    <w:multiLevelType w:val="hybridMultilevel"/>
    <w:tmpl w:val="7A36D128"/>
    <w:lvl w:ilvl="0" w:tplc="194E0D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AE6097A"/>
    <w:multiLevelType w:val="multilevel"/>
    <w:tmpl w:val="6F8CBD84"/>
    <w:lvl w:ilvl="0">
      <w:start w:val="9"/>
      <w:numFmt w:val="decimal"/>
      <w:lvlText w:val="%1."/>
      <w:lvlJc w:val="left"/>
      <w:pPr>
        <w:ind w:left="780" w:hanging="39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190" w:hanging="1080"/>
      </w:pPr>
      <w:rPr>
        <w:rFonts w:hint="default"/>
      </w:rPr>
    </w:lvl>
    <w:lvl w:ilvl="5">
      <w:start w:val="1"/>
      <w:numFmt w:val="decimal"/>
      <w:lvlText w:val="%1.%2.%3.%4.%5.%6."/>
      <w:lvlJc w:val="left"/>
      <w:pPr>
        <w:ind w:left="2730" w:hanging="144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450" w:hanging="1800"/>
      </w:pPr>
      <w:rPr>
        <w:rFonts w:hint="default"/>
      </w:rPr>
    </w:lvl>
    <w:lvl w:ilvl="8">
      <w:start w:val="1"/>
      <w:numFmt w:val="decimal"/>
      <w:lvlText w:val="%1.%2.%3.%4.%5.%6.%7.%8.%9."/>
      <w:lvlJc w:val="left"/>
      <w:pPr>
        <w:ind w:left="3990" w:hanging="2160"/>
      </w:pPr>
      <w:rPr>
        <w:rFonts w:hint="default"/>
      </w:rPr>
    </w:lvl>
  </w:abstractNum>
  <w:abstractNum w:abstractNumId="35">
    <w:nsid w:val="7B2D5106"/>
    <w:multiLevelType w:val="hybridMultilevel"/>
    <w:tmpl w:val="3BCAF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3B6958"/>
    <w:multiLevelType w:val="multilevel"/>
    <w:tmpl w:val="3420372C"/>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5"/>
  </w:num>
  <w:num w:numId="3">
    <w:abstractNumId w:val="8"/>
  </w:num>
  <w:num w:numId="4">
    <w:abstractNumId w:val="1"/>
  </w:num>
  <w:num w:numId="5">
    <w:abstractNumId w:val="23"/>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0"/>
  </w:num>
  <w:num w:numId="12">
    <w:abstractNumId w:val="34"/>
  </w:num>
  <w:num w:numId="13">
    <w:abstractNumId w:val="6"/>
  </w:num>
  <w:num w:numId="14">
    <w:abstractNumId w:val="27"/>
  </w:num>
  <w:num w:numId="15">
    <w:abstractNumId w:val="20"/>
  </w:num>
  <w:num w:numId="16">
    <w:abstractNumId w:val="10"/>
  </w:num>
  <w:num w:numId="17">
    <w:abstractNumId w:val="32"/>
  </w:num>
  <w:num w:numId="18">
    <w:abstractNumId w:val="16"/>
  </w:num>
  <w:num w:numId="19">
    <w:abstractNumId w:val="17"/>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num>
  <w:num w:numId="24">
    <w:abstractNumId w:val="18"/>
  </w:num>
  <w:num w:numId="25">
    <w:abstractNumId w:val="30"/>
  </w:num>
  <w:num w:numId="26">
    <w:abstractNumId w:val="30"/>
  </w:num>
  <w:num w:numId="27">
    <w:abstractNumId w:val="30"/>
  </w:num>
  <w:num w:numId="28">
    <w:abstractNumId w:val="30"/>
  </w:num>
  <w:num w:numId="29">
    <w:abstractNumId w:val="36"/>
  </w:num>
  <w:num w:numId="30">
    <w:abstractNumId w:val="5"/>
  </w:num>
  <w:num w:numId="31">
    <w:abstractNumId w:val="3"/>
  </w:num>
  <w:num w:numId="32">
    <w:abstractNumId w:val="1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
  </w:num>
  <w:num w:numId="38">
    <w:abstractNumId w:val="15"/>
  </w:num>
  <w:num w:numId="39">
    <w:abstractNumId w:val="12"/>
  </w:num>
  <w:num w:numId="40">
    <w:abstractNumId w:val="29"/>
  </w:num>
  <w:num w:numId="41">
    <w:abstractNumId w:val="33"/>
  </w:num>
  <w:num w:numId="42">
    <w:abstractNumId w:val="1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9D"/>
    <w:rsid w:val="00002E08"/>
    <w:rsid w:val="000051C1"/>
    <w:rsid w:val="000064CB"/>
    <w:rsid w:val="000152EB"/>
    <w:rsid w:val="00017608"/>
    <w:rsid w:val="00017C3B"/>
    <w:rsid w:val="0002190A"/>
    <w:rsid w:val="0003655F"/>
    <w:rsid w:val="000378BE"/>
    <w:rsid w:val="00042E5C"/>
    <w:rsid w:val="0006290C"/>
    <w:rsid w:val="00070805"/>
    <w:rsid w:val="00081FA8"/>
    <w:rsid w:val="0008226F"/>
    <w:rsid w:val="00082668"/>
    <w:rsid w:val="00084F3D"/>
    <w:rsid w:val="0009018D"/>
    <w:rsid w:val="000A0FD0"/>
    <w:rsid w:val="000A3932"/>
    <w:rsid w:val="000A4FE7"/>
    <w:rsid w:val="000A7955"/>
    <w:rsid w:val="000B3588"/>
    <w:rsid w:val="000B5145"/>
    <w:rsid w:val="000B5FE5"/>
    <w:rsid w:val="000B79F6"/>
    <w:rsid w:val="000C61F1"/>
    <w:rsid w:val="000C73BA"/>
    <w:rsid w:val="000D2C08"/>
    <w:rsid w:val="000D650A"/>
    <w:rsid w:val="000E255B"/>
    <w:rsid w:val="000E59C3"/>
    <w:rsid w:val="000E6B2A"/>
    <w:rsid w:val="000F346E"/>
    <w:rsid w:val="000F637D"/>
    <w:rsid w:val="00106D47"/>
    <w:rsid w:val="00107FE3"/>
    <w:rsid w:val="0011133B"/>
    <w:rsid w:val="0011375F"/>
    <w:rsid w:val="001163F8"/>
    <w:rsid w:val="00116608"/>
    <w:rsid w:val="00122412"/>
    <w:rsid w:val="00126247"/>
    <w:rsid w:val="00132153"/>
    <w:rsid w:val="001338B0"/>
    <w:rsid w:val="00134725"/>
    <w:rsid w:val="00135B7E"/>
    <w:rsid w:val="00143946"/>
    <w:rsid w:val="00145C33"/>
    <w:rsid w:val="00146421"/>
    <w:rsid w:val="001542B5"/>
    <w:rsid w:val="001564DE"/>
    <w:rsid w:val="00157B45"/>
    <w:rsid w:val="00157CE8"/>
    <w:rsid w:val="00160742"/>
    <w:rsid w:val="00166F0E"/>
    <w:rsid w:val="00176520"/>
    <w:rsid w:val="00183D92"/>
    <w:rsid w:val="001868BF"/>
    <w:rsid w:val="0019040C"/>
    <w:rsid w:val="0019182A"/>
    <w:rsid w:val="001A367D"/>
    <w:rsid w:val="001A491C"/>
    <w:rsid w:val="001A672B"/>
    <w:rsid w:val="001A79C4"/>
    <w:rsid w:val="001B2C3F"/>
    <w:rsid w:val="001B5BE6"/>
    <w:rsid w:val="001C23A5"/>
    <w:rsid w:val="001D3EA9"/>
    <w:rsid w:val="001D584D"/>
    <w:rsid w:val="001D6A59"/>
    <w:rsid w:val="001E02AD"/>
    <w:rsid w:val="001E1070"/>
    <w:rsid w:val="001E14D0"/>
    <w:rsid w:val="001F18B8"/>
    <w:rsid w:val="002106D2"/>
    <w:rsid w:val="002129B9"/>
    <w:rsid w:val="00213925"/>
    <w:rsid w:val="00221330"/>
    <w:rsid w:val="00225066"/>
    <w:rsid w:val="00225079"/>
    <w:rsid w:val="00227C4A"/>
    <w:rsid w:val="00232B30"/>
    <w:rsid w:val="00235DEC"/>
    <w:rsid w:val="002419FE"/>
    <w:rsid w:val="002474CA"/>
    <w:rsid w:val="00254592"/>
    <w:rsid w:val="00263A34"/>
    <w:rsid w:val="00284662"/>
    <w:rsid w:val="002851D1"/>
    <w:rsid w:val="0028635F"/>
    <w:rsid w:val="002A0B9D"/>
    <w:rsid w:val="002B1E85"/>
    <w:rsid w:val="002B41BF"/>
    <w:rsid w:val="002B42BA"/>
    <w:rsid w:val="002B55BC"/>
    <w:rsid w:val="002B6F3E"/>
    <w:rsid w:val="002C0A73"/>
    <w:rsid w:val="002C27B8"/>
    <w:rsid w:val="002C541F"/>
    <w:rsid w:val="002D2866"/>
    <w:rsid w:val="002D47BE"/>
    <w:rsid w:val="002D501D"/>
    <w:rsid w:val="002D6FAC"/>
    <w:rsid w:val="002E1236"/>
    <w:rsid w:val="002E4E40"/>
    <w:rsid w:val="002E74C6"/>
    <w:rsid w:val="002F07AD"/>
    <w:rsid w:val="002F255D"/>
    <w:rsid w:val="002F4177"/>
    <w:rsid w:val="002F47A7"/>
    <w:rsid w:val="00306A14"/>
    <w:rsid w:val="00317C2A"/>
    <w:rsid w:val="003259B9"/>
    <w:rsid w:val="00327A82"/>
    <w:rsid w:val="00331252"/>
    <w:rsid w:val="003331B2"/>
    <w:rsid w:val="00334C95"/>
    <w:rsid w:val="00335876"/>
    <w:rsid w:val="00337C87"/>
    <w:rsid w:val="00344127"/>
    <w:rsid w:val="0035010D"/>
    <w:rsid w:val="00354480"/>
    <w:rsid w:val="00365813"/>
    <w:rsid w:val="0036600A"/>
    <w:rsid w:val="00377C39"/>
    <w:rsid w:val="003827A0"/>
    <w:rsid w:val="00384B46"/>
    <w:rsid w:val="003876CF"/>
    <w:rsid w:val="00387A6C"/>
    <w:rsid w:val="003912D9"/>
    <w:rsid w:val="00393058"/>
    <w:rsid w:val="003949CC"/>
    <w:rsid w:val="003957AA"/>
    <w:rsid w:val="003A3159"/>
    <w:rsid w:val="003B224D"/>
    <w:rsid w:val="003B6BC7"/>
    <w:rsid w:val="003C01FC"/>
    <w:rsid w:val="003C2158"/>
    <w:rsid w:val="003C3BFA"/>
    <w:rsid w:val="003C3ECB"/>
    <w:rsid w:val="003C46A9"/>
    <w:rsid w:val="003C516A"/>
    <w:rsid w:val="003C777E"/>
    <w:rsid w:val="003D1D60"/>
    <w:rsid w:val="003D215B"/>
    <w:rsid w:val="003D6849"/>
    <w:rsid w:val="003D7896"/>
    <w:rsid w:val="003D7D0C"/>
    <w:rsid w:val="003E0760"/>
    <w:rsid w:val="003E1A89"/>
    <w:rsid w:val="003E23FC"/>
    <w:rsid w:val="003E57F8"/>
    <w:rsid w:val="003E6688"/>
    <w:rsid w:val="003F0D2B"/>
    <w:rsid w:val="003F0D98"/>
    <w:rsid w:val="004054BD"/>
    <w:rsid w:val="004178C6"/>
    <w:rsid w:val="00433359"/>
    <w:rsid w:val="00436103"/>
    <w:rsid w:val="00441E7B"/>
    <w:rsid w:val="004428AC"/>
    <w:rsid w:val="0044565B"/>
    <w:rsid w:val="00446BA9"/>
    <w:rsid w:val="00451D64"/>
    <w:rsid w:val="00454097"/>
    <w:rsid w:val="00454DA7"/>
    <w:rsid w:val="00460C9F"/>
    <w:rsid w:val="00466DBC"/>
    <w:rsid w:val="0047698F"/>
    <w:rsid w:val="00484851"/>
    <w:rsid w:val="004856B6"/>
    <w:rsid w:val="004A0EDB"/>
    <w:rsid w:val="004A40B1"/>
    <w:rsid w:val="004A62D5"/>
    <w:rsid w:val="004A77B9"/>
    <w:rsid w:val="004B227C"/>
    <w:rsid w:val="004C0662"/>
    <w:rsid w:val="004C4C42"/>
    <w:rsid w:val="004D07D6"/>
    <w:rsid w:val="004D6996"/>
    <w:rsid w:val="004E10FC"/>
    <w:rsid w:val="004E3010"/>
    <w:rsid w:val="004F435E"/>
    <w:rsid w:val="004F77ED"/>
    <w:rsid w:val="0051334B"/>
    <w:rsid w:val="00524B04"/>
    <w:rsid w:val="00530238"/>
    <w:rsid w:val="0054518D"/>
    <w:rsid w:val="00554386"/>
    <w:rsid w:val="005543A4"/>
    <w:rsid w:val="00554E5A"/>
    <w:rsid w:val="00556712"/>
    <w:rsid w:val="005568C9"/>
    <w:rsid w:val="00560F8A"/>
    <w:rsid w:val="00565F1F"/>
    <w:rsid w:val="00572E3F"/>
    <w:rsid w:val="0057338B"/>
    <w:rsid w:val="00575D36"/>
    <w:rsid w:val="005761EE"/>
    <w:rsid w:val="00577173"/>
    <w:rsid w:val="00584101"/>
    <w:rsid w:val="00594C93"/>
    <w:rsid w:val="00597D47"/>
    <w:rsid w:val="005A2277"/>
    <w:rsid w:val="005A32FE"/>
    <w:rsid w:val="005A6148"/>
    <w:rsid w:val="005A6AE2"/>
    <w:rsid w:val="005B7AD3"/>
    <w:rsid w:val="005C5498"/>
    <w:rsid w:val="005C5DFD"/>
    <w:rsid w:val="005E40BF"/>
    <w:rsid w:val="005E423E"/>
    <w:rsid w:val="005F3799"/>
    <w:rsid w:val="005F3B34"/>
    <w:rsid w:val="005F644B"/>
    <w:rsid w:val="006024F3"/>
    <w:rsid w:val="00607AE9"/>
    <w:rsid w:val="00613579"/>
    <w:rsid w:val="00616593"/>
    <w:rsid w:val="00623E01"/>
    <w:rsid w:val="00624045"/>
    <w:rsid w:val="00624361"/>
    <w:rsid w:val="00627748"/>
    <w:rsid w:val="0063505F"/>
    <w:rsid w:val="006352B1"/>
    <w:rsid w:val="00635ABF"/>
    <w:rsid w:val="00644808"/>
    <w:rsid w:val="006508E5"/>
    <w:rsid w:val="00660890"/>
    <w:rsid w:val="006639D9"/>
    <w:rsid w:val="00664D29"/>
    <w:rsid w:val="006662CA"/>
    <w:rsid w:val="006663FE"/>
    <w:rsid w:val="00666C13"/>
    <w:rsid w:val="0067684C"/>
    <w:rsid w:val="0068001D"/>
    <w:rsid w:val="006817D2"/>
    <w:rsid w:val="00682B84"/>
    <w:rsid w:val="0068303B"/>
    <w:rsid w:val="006912E0"/>
    <w:rsid w:val="00692FDA"/>
    <w:rsid w:val="00696D1B"/>
    <w:rsid w:val="006A09E5"/>
    <w:rsid w:val="006A18DD"/>
    <w:rsid w:val="006A1BE8"/>
    <w:rsid w:val="006A3DEE"/>
    <w:rsid w:val="006B4C83"/>
    <w:rsid w:val="006B5381"/>
    <w:rsid w:val="006C1123"/>
    <w:rsid w:val="006C3921"/>
    <w:rsid w:val="006C5EE2"/>
    <w:rsid w:val="006D28DB"/>
    <w:rsid w:val="006D40A9"/>
    <w:rsid w:val="006D6573"/>
    <w:rsid w:val="006E2385"/>
    <w:rsid w:val="006F278E"/>
    <w:rsid w:val="006F31B2"/>
    <w:rsid w:val="006F4E4F"/>
    <w:rsid w:val="007065B6"/>
    <w:rsid w:val="00711B2C"/>
    <w:rsid w:val="00721CEE"/>
    <w:rsid w:val="00723156"/>
    <w:rsid w:val="00723999"/>
    <w:rsid w:val="00727499"/>
    <w:rsid w:val="007318AA"/>
    <w:rsid w:val="00736740"/>
    <w:rsid w:val="00736FA5"/>
    <w:rsid w:val="0073730B"/>
    <w:rsid w:val="0074567D"/>
    <w:rsid w:val="00752D47"/>
    <w:rsid w:val="007564C3"/>
    <w:rsid w:val="00761BA8"/>
    <w:rsid w:val="007655D0"/>
    <w:rsid w:val="007721C6"/>
    <w:rsid w:val="00772FBF"/>
    <w:rsid w:val="00774918"/>
    <w:rsid w:val="0077491F"/>
    <w:rsid w:val="007765EA"/>
    <w:rsid w:val="0078025B"/>
    <w:rsid w:val="00791098"/>
    <w:rsid w:val="00791EA8"/>
    <w:rsid w:val="007A272E"/>
    <w:rsid w:val="007A673D"/>
    <w:rsid w:val="007A7281"/>
    <w:rsid w:val="007A734B"/>
    <w:rsid w:val="007B59F5"/>
    <w:rsid w:val="007B6421"/>
    <w:rsid w:val="007C5F73"/>
    <w:rsid w:val="007D4A4C"/>
    <w:rsid w:val="007E14AD"/>
    <w:rsid w:val="007E29D5"/>
    <w:rsid w:val="007E3CE3"/>
    <w:rsid w:val="007E423C"/>
    <w:rsid w:val="007E5EC7"/>
    <w:rsid w:val="007E7B6E"/>
    <w:rsid w:val="007F14C3"/>
    <w:rsid w:val="007F2E20"/>
    <w:rsid w:val="007F526A"/>
    <w:rsid w:val="007F69B2"/>
    <w:rsid w:val="00802D83"/>
    <w:rsid w:val="00810C25"/>
    <w:rsid w:val="008153AF"/>
    <w:rsid w:val="00817004"/>
    <w:rsid w:val="00817CE3"/>
    <w:rsid w:val="00823EA2"/>
    <w:rsid w:val="0083146C"/>
    <w:rsid w:val="00840770"/>
    <w:rsid w:val="00845A8D"/>
    <w:rsid w:val="00851E5A"/>
    <w:rsid w:val="0085261E"/>
    <w:rsid w:val="008546FB"/>
    <w:rsid w:val="008579F2"/>
    <w:rsid w:val="0086742B"/>
    <w:rsid w:val="008676AB"/>
    <w:rsid w:val="00873981"/>
    <w:rsid w:val="008767E9"/>
    <w:rsid w:val="00877FFE"/>
    <w:rsid w:val="00887168"/>
    <w:rsid w:val="00895EC6"/>
    <w:rsid w:val="008A1FC2"/>
    <w:rsid w:val="008A394A"/>
    <w:rsid w:val="008A42DA"/>
    <w:rsid w:val="008B28DD"/>
    <w:rsid w:val="008B2B92"/>
    <w:rsid w:val="008B760D"/>
    <w:rsid w:val="008C000A"/>
    <w:rsid w:val="008C135B"/>
    <w:rsid w:val="008D0A81"/>
    <w:rsid w:val="008D6D91"/>
    <w:rsid w:val="008E6316"/>
    <w:rsid w:val="008E7E7E"/>
    <w:rsid w:val="008F3A26"/>
    <w:rsid w:val="008F53BB"/>
    <w:rsid w:val="00900496"/>
    <w:rsid w:val="00902A88"/>
    <w:rsid w:val="00903B9B"/>
    <w:rsid w:val="00912901"/>
    <w:rsid w:val="0091338B"/>
    <w:rsid w:val="00920E47"/>
    <w:rsid w:val="009218F9"/>
    <w:rsid w:val="0092342B"/>
    <w:rsid w:val="009247C8"/>
    <w:rsid w:val="00926F2C"/>
    <w:rsid w:val="00935ECF"/>
    <w:rsid w:val="00942258"/>
    <w:rsid w:val="00942379"/>
    <w:rsid w:val="0094347F"/>
    <w:rsid w:val="009477FC"/>
    <w:rsid w:val="009517CB"/>
    <w:rsid w:val="0095297C"/>
    <w:rsid w:val="00952BFD"/>
    <w:rsid w:val="0095328A"/>
    <w:rsid w:val="00954AAE"/>
    <w:rsid w:val="009660C7"/>
    <w:rsid w:val="00974995"/>
    <w:rsid w:val="009771C9"/>
    <w:rsid w:val="00984F9A"/>
    <w:rsid w:val="009856D9"/>
    <w:rsid w:val="00992631"/>
    <w:rsid w:val="0099573F"/>
    <w:rsid w:val="009A3DD6"/>
    <w:rsid w:val="009A48EC"/>
    <w:rsid w:val="009A67A5"/>
    <w:rsid w:val="009B1052"/>
    <w:rsid w:val="009B65F0"/>
    <w:rsid w:val="009B6DB2"/>
    <w:rsid w:val="009B712E"/>
    <w:rsid w:val="009B7742"/>
    <w:rsid w:val="009C2451"/>
    <w:rsid w:val="009D6817"/>
    <w:rsid w:val="009D73B3"/>
    <w:rsid w:val="009D74FE"/>
    <w:rsid w:val="009E07EC"/>
    <w:rsid w:val="009E12F9"/>
    <w:rsid w:val="009E23FB"/>
    <w:rsid w:val="009F0F42"/>
    <w:rsid w:val="009F1C7B"/>
    <w:rsid w:val="009F4070"/>
    <w:rsid w:val="009F64A2"/>
    <w:rsid w:val="00A020ED"/>
    <w:rsid w:val="00A257AF"/>
    <w:rsid w:val="00A30AE5"/>
    <w:rsid w:val="00A37A26"/>
    <w:rsid w:val="00A50570"/>
    <w:rsid w:val="00A50FBC"/>
    <w:rsid w:val="00A52204"/>
    <w:rsid w:val="00A613FA"/>
    <w:rsid w:val="00A670D8"/>
    <w:rsid w:val="00A70770"/>
    <w:rsid w:val="00A71B15"/>
    <w:rsid w:val="00A80405"/>
    <w:rsid w:val="00A8151A"/>
    <w:rsid w:val="00A902E8"/>
    <w:rsid w:val="00A9457A"/>
    <w:rsid w:val="00AA0FE9"/>
    <w:rsid w:val="00AA16CC"/>
    <w:rsid w:val="00AA4E18"/>
    <w:rsid w:val="00AA7F75"/>
    <w:rsid w:val="00AB102F"/>
    <w:rsid w:val="00AB37AE"/>
    <w:rsid w:val="00AB3843"/>
    <w:rsid w:val="00AB76D9"/>
    <w:rsid w:val="00AC192F"/>
    <w:rsid w:val="00AC68AC"/>
    <w:rsid w:val="00AC714E"/>
    <w:rsid w:val="00AE1C6E"/>
    <w:rsid w:val="00AE6F50"/>
    <w:rsid w:val="00AE6FAC"/>
    <w:rsid w:val="00AE7635"/>
    <w:rsid w:val="00AF47A0"/>
    <w:rsid w:val="00AF5C0D"/>
    <w:rsid w:val="00B14DF2"/>
    <w:rsid w:val="00B16B44"/>
    <w:rsid w:val="00B21083"/>
    <w:rsid w:val="00B21B11"/>
    <w:rsid w:val="00B32C1A"/>
    <w:rsid w:val="00B356C9"/>
    <w:rsid w:val="00B368E2"/>
    <w:rsid w:val="00B402C9"/>
    <w:rsid w:val="00B404CF"/>
    <w:rsid w:val="00B457D9"/>
    <w:rsid w:val="00B62033"/>
    <w:rsid w:val="00B6245E"/>
    <w:rsid w:val="00B62477"/>
    <w:rsid w:val="00B70F1F"/>
    <w:rsid w:val="00B818D3"/>
    <w:rsid w:val="00B84349"/>
    <w:rsid w:val="00B87EE3"/>
    <w:rsid w:val="00BA14D1"/>
    <w:rsid w:val="00BA4A24"/>
    <w:rsid w:val="00BA56AD"/>
    <w:rsid w:val="00BB2D91"/>
    <w:rsid w:val="00BB694E"/>
    <w:rsid w:val="00BB72FB"/>
    <w:rsid w:val="00BC5599"/>
    <w:rsid w:val="00BC6B01"/>
    <w:rsid w:val="00BD00BB"/>
    <w:rsid w:val="00BD06D9"/>
    <w:rsid w:val="00BD660F"/>
    <w:rsid w:val="00BE3BCC"/>
    <w:rsid w:val="00BF1D23"/>
    <w:rsid w:val="00BF208C"/>
    <w:rsid w:val="00BF2B02"/>
    <w:rsid w:val="00BF7AB5"/>
    <w:rsid w:val="00BF7B28"/>
    <w:rsid w:val="00C015CD"/>
    <w:rsid w:val="00C020BB"/>
    <w:rsid w:val="00C14927"/>
    <w:rsid w:val="00C162CE"/>
    <w:rsid w:val="00C2054D"/>
    <w:rsid w:val="00C20914"/>
    <w:rsid w:val="00C26A20"/>
    <w:rsid w:val="00C27042"/>
    <w:rsid w:val="00C31967"/>
    <w:rsid w:val="00C34557"/>
    <w:rsid w:val="00C37811"/>
    <w:rsid w:val="00C37896"/>
    <w:rsid w:val="00C40443"/>
    <w:rsid w:val="00C50334"/>
    <w:rsid w:val="00C50EDA"/>
    <w:rsid w:val="00C5318D"/>
    <w:rsid w:val="00C53D34"/>
    <w:rsid w:val="00C6127D"/>
    <w:rsid w:val="00C74487"/>
    <w:rsid w:val="00C766DC"/>
    <w:rsid w:val="00C82888"/>
    <w:rsid w:val="00C91E24"/>
    <w:rsid w:val="00CA0210"/>
    <w:rsid w:val="00CB4400"/>
    <w:rsid w:val="00CC099D"/>
    <w:rsid w:val="00CC123F"/>
    <w:rsid w:val="00CD1997"/>
    <w:rsid w:val="00CD271D"/>
    <w:rsid w:val="00CD495C"/>
    <w:rsid w:val="00CD6673"/>
    <w:rsid w:val="00CE11B0"/>
    <w:rsid w:val="00CE25C5"/>
    <w:rsid w:val="00CF282E"/>
    <w:rsid w:val="00CF2CA7"/>
    <w:rsid w:val="00CF4169"/>
    <w:rsid w:val="00CF512F"/>
    <w:rsid w:val="00CF664A"/>
    <w:rsid w:val="00CF746D"/>
    <w:rsid w:val="00D000CB"/>
    <w:rsid w:val="00D032A0"/>
    <w:rsid w:val="00D1462F"/>
    <w:rsid w:val="00D22E5C"/>
    <w:rsid w:val="00D325BD"/>
    <w:rsid w:val="00D33EC3"/>
    <w:rsid w:val="00D40FEF"/>
    <w:rsid w:val="00D43B37"/>
    <w:rsid w:val="00D444E7"/>
    <w:rsid w:val="00D44C56"/>
    <w:rsid w:val="00D45FE0"/>
    <w:rsid w:val="00D5368D"/>
    <w:rsid w:val="00D55A3D"/>
    <w:rsid w:val="00D55EBA"/>
    <w:rsid w:val="00D61C59"/>
    <w:rsid w:val="00D65572"/>
    <w:rsid w:val="00D72AD0"/>
    <w:rsid w:val="00D74C91"/>
    <w:rsid w:val="00D75E50"/>
    <w:rsid w:val="00D83A9D"/>
    <w:rsid w:val="00D8638A"/>
    <w:rsid w:val="00D87A5C"/>
    <w:rsid w:val="00D91E7B"/>
    <w:rsid w:val="00D953D5"/>
    <w:rsid w:val="00D973F2"/>
    <w:rsid w:val="00DA175E"/>
    <w:rsid w:val="00DA4748"/>
    <w:rsid w:val="00DA4CF6"/>
    <w:rsid w:val="00DB2D4D"/>
    <w:rsid w:val="00DB474B"/>
    <w:rsid w:val="00DB6CDA"/>
    <w:rsid w:val="00DD10FE"/>
    <w:rsid w:val="00DD1CF0"/>
    <w:rsid w:val="00DD1D86"/>
    <w:rsid w:val="00DE40E6"/>
    <w:rsid w:val="00DF12E3"/>
    <w:rsid w:val="00E030AC"/>
    <w:rsid w:val="00E14AD9"/>
    <w:rsid w:val="00E21F9D"/>
    <w:rsid w:val="00E249EE"/>
    <w:rsid w:val="00E24D04"/>
    <w:rsid w:val="00E31DF7"/>
    <w:rsid w:val="00E3520A"/>
    <w:rsid w:val="00E37FE0"/>
    <w:rsid w:val="00E45186"/>
    <w:rsid w:val="00E471B2"/>
    <w:rsid w:val="00E47451"/>
    <w:rsid w:val="00E525B8"/>
    <w:rsid w:val="00E5279C"/>
    <w:rsid w:val="00E53BFB"/>
    <w:rsid w:val="00E63B85"/>
    <w:rsid w:val="00E66C25"/>
    <w:rsid w:val="00E707C0"/>
    <w:rsid w:val="00E70D05"/>
    <w:rsid w:val="00E951DA"/>
    <w:rsid w:val="00EA02BF"/>
    <w:rsid w:val="00EA461E"/>
    <w:rsid w:val="00EC46CB"/>
    <w:rsid w:val="00EC4C36"/>
    <w:rsid w:val="00ED0F54"/>
    <w:rsid w:val="00EE2072"/>
    <w:rsid w:val="00EF5B61"/>
    <w:rsid w:val="00EF677C"/>
    <w:rsid w:val="00EF67A1"/>
    <w:rsid w:val="00F005D7"/>
    <w:rsid w:val="00F01B35"/>
    <w:rsid w:val="00F111F3"/>
    <w:rsid w:val="00F169BC"/>
    <w:rsid w:val="00F2197F"/>
    <w:rsid w:val="00F2212F"/>
    <w:rsid w:val="00F27F10"/>
    <w:rsid w:val="00F31326"/>
    <w:rsid w:val="00F331D9"/>
    <w:rsid w:val="00F36A00"/>
    <w:rsid w:val="00F4232F"/>
    <w:rsid w:val="00F43275"/>
    <w:rsid w:val="00F43471"/>
    <w:rsid w:val="00F45C48"/>
    <w:rsid w:val="00F506B1"/>
    <w:rsid w:val="00F5523B"/>
    <w:rsid w:val="00F644D9"/>
    <w:rsid w:val="00F7137D"/>
    <w:rsid w:val="00F717C0"/>
    <w:rsid w:val="00F73729"/>
    <w:rsid w:val="00F753D1"/>
    <w:rsid w:val="00F759E6"/>
    <w:rsid w:val="00F83DE1"/>
    <w:rsid w:val="00F85486"/>
    <w:rsid w:val="00F85F6D"/>
    <w:rsid w:val="00F9366F"/>
    <w:rsid w:val="00F940E2"/>
    <w:rsid w:val="00F94B73"/>
    <w:rsid w:val="00FA1520"/>
    <w:rsid w:val="00FA55E4"/>
    <w:rsid w:val="00FA5B3C"/>
    <w:rsid w:val="00FB0801"/>
    <w:rsid w:val="00FB3351"/>
    <w:rsid w:val="00FC47BF"/>
    <w:rsid w:val="00FC715E"/>
    <w:rsid w:val="00FD0C5A"/>
    <w:rsid w:val="00FE16AC"/>
    <w:rsid w:val="00FE1BB7"/>
    <w:rsid w:val="00FE3076"/>
    <w:rsid w:val="00FE56B2"/>
    <w:rsid w:val="00FE6C8C"/>
    <w:rsid w:val="00FF13A2"/>
    <w:rsid w:val="00FF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F0A4"/>
  <w15:chartTrackingRefBased/>
  <w15:docId w15:val="{B10B7D91-3E2D-4F68-A67A-60E06BEE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7684C"/>
    <w:pPr>
      <w:widowControl w:val="0"/>
      <w:autoSpaceDE w:val="0"/>
      <w:autoSpaceDN w:val="0"/>
      <w:spacing w:after="0" w:line="240" w:lineRule="auto"/>
      <w:ind w:left="820"/>
      <w:outlineLvl w:val="1"/>
    </w:pPr>
    <w:rPr>
      <w:rFonts w:ascii="Arial" w:eastAsia="Arial" w:hAnsi="Arial" w:cs="Arial"/>
      <w:b/>
      <w:bCs/>
      <w:i/>
      <w:sz w:val="24"/>
      <w:szCs w:val="24"/>
      <w:u w:val="single" w:color="000000"/>
      <w:lang w:val="en-ZA"/>
    </w:rPr>
  </w:style>
  <w:style w:type="paragraph" w:styleId="Heading3">
    <w:name w:val="heading 3"/>
    <w:basedOn w:val="Normal"/>
    <w:next w:val="Normal"/>
    <w:link w:val="Heading3Char"/>
    <w:uiPriority w:val="9"/>
    <w:semiHidden/>
    <w:unhideWhenUsed/>
    <w:qFormat/>
    <w:rsid w:val="009660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68C9"/>
    <w:pPr>
      <w:ind w:left="720"/>
      <w:contextualSpacing/>
    </w:pPr>
  </w:style>
  <w:style w:type="table" w:styleId="TableGrid">
    <w:name w:val="Table Grid"/>
    <w:basedOn w:val="TableNormal"/>
    <w:uiPriority w:val="39"/>
    <w:rsid w:val="00F5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23"/>
  </w:style>
  <w:style w:type="paragraph" w:styleId="Footer">
    <w:name w:val="footer"/>
    <w:basedOn w:val="Normal"/>
    <w:link w:val="FooterChar"/>
    <w:uiPriority w:val="99"/>
    <w:unhideWhenUsed/>
    <w:rsid w:val="00BF1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23"/>
  </w:style>
  <w:style w:type="paragraph" w:styleId="FootnoteText">
    <w:name w:val="footnote text"/>
    <w:basedOn w:val="Normal"/>
    <w:link w:val="FootnoteTextChar"/>
    <w:uiPriority w:val="99"/>
    <w:semiHidden/>
    <w:unhideWhenUsed/>
    <w:rsid w:val="00132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153"/>
    <w:rPr>
      <w:sz w:val="20"/>
      <w:szCs w:val="20"/>
    </w:rPr>
  </w:style>
  <w:style w:type="character" w:styleId="FootnoteReference">
    <w:name w:val="footnote reference"/>
    <w:basedOn w:val="DefaultParagraphFont"/>
    <w:uiPriority w:val="99"/>
    <w:semiHidden/>
    <w:unhideWhenUsed/>
    <w:rsid w:val="00132153"/>
    <w:rPr>
      <w:vertAlign w:val="superscript"/>
    </w:rPr>
  </w:style>
  <w:style w:type="paragraph" w:customStyle="1" w:styleId="Default">
    <w:name w:val="Default"/>
    <w:rsid w:val="001542B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AA7F75"/>
  </w:style>
  <w:style w:type="paragraph" w:customStyle="1" w:styleId="Style">
    <w:name w:val="Style"/>
    <w:rsid w:val="00AA7F75"/>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WerksmansStyle1">
    <w:name w:val="Werksmans_Style1"/>
    <w:basedOn w:val="Normal"/>
    <w:next w:val="Normal"/>
    <w:rsid w:val="00BF7B28"/>
    <w:pPr>
      <w:tabs>
        <w:tab w:val="num" w:pos="720"/>
      </w:tabs>
      <w:suppressAutoHyphens/>
      <w:spacing w:after="0" w:line="480" w:lineRule="auto"/>
      <w:ind w:left="720" w:hanging="720"/>
      <w:jc w:val="both"/>
      <w:outlineLvl w:val="0"/>
    </w:pPr>
    <w:rPr>
      <w:rFonts w:ascii="Arial" w:eastAsia="Times New Roman" w:hAnsi="Arial" w:cs="Times New Roman"/>
      <w:sz w:val="25"/>
      <w:szCs w:val="25"/>
      <w:lang w:val="en-ZA"/>
    </w:rPr>
  </w:style>
  <w:style w:type="paragraph" w:customStyle="1" w:styleId="WerksmansStyle2">
    <w:name w:val="Werksmans_Style2"/>
    <w:basedOn w:val="Normal"/>
    <w:next w:val="Normal"/>
    <w:rsid w:val="00BF7B28"/>
    <w:pPr>
      <w:tabs>
        <w:tab w:val="num" w:pos="1440"/>
      </w:tabs>
      <w:suppressAutoHyphens/>
      <w:snapToGrid w:val="0"/>
      <w:spacing w:after="0" w:line="480" w:lineRule="auto"/>
      <w:ind w:left="1440" w:hanging="1440"/>
      <w:jc w:val="both"/>
      <w:outlineLvl w:val="1"/>
    </w:pPr>
    <w:rPr>
      <w:rFonts w:ascii="Arial" w:eastAsia="Times New Roman" w:hAnsi="Arial" w:cs="Times New Roman"/>
      <w:sz w:val="24"/>
      <w:szCs w:val="20"/>
      <w:lang w:val="en-GB"/>
    </w:rPr>
  </w:style>
  <w:style w:type="paragraph" w:customStyle="1" w:styleId="WerksmansStyle3">
    <w:name w:val="Werksmans_Style3"/>
    <w:basedOn w:val="Normal"/>
    <w:next w:val="Normal"/>
    <w:rsid w:val="000B5FE5"/>
    <w:pPr>
      <w:numPr>
        <w:ilvl w:val="2"/>
        <w:numId w:val="11"/>
      </w:numPr>
      <w:suppressAutoHyphens/>
      <w:spacing w:after="0" w:line="480" w:lineRule="auto"/>
      <w:jc w:val="both"/>
      <w:outlineLvl w:val="2"/>
    </w:pPr>
    <w:rPr>
      <w:rFonts w:ascii="Arial" w:eastAsia="Times New Roman" w:hAnsi="Arial" w:cs="Times New Roman"/>
      <w:snapToGrid w:val="0"/>
      <w:sz w:val="24"/>
      <w:szCs w:val="20"/>
      <w:lang w:val="en-GB"/>
    </w:rPr>
  </w:style>
  <w:style w:type="paragraph" w:customStyle="1" w:styleId="WerksmansStyle4">
    <w:name w:val="Werksmans_Style4"/>
    <w:basedOn w:val="Normal"/>
    <w:next w:val="Normal"/>
    <w:rsid w:val="002474CA"/>
    <w:pPr>
      <w:numPr>
        <w:ilvl w:val="3"/>
        <w:numId w:val="11"/>
      </w:numPr>
      <w:suppressAutoHyphens/>
      <w:spacing w:after="0" w:line="480" w:lineRule="auto"/>
      <w:jc w:val="both"/>
      <w:outlineLvl w:val="3"/>
    </w:pPr>
    <w:rPr>
      <w:rFonts w:ascii="Arial" w:eastAsia="Times New Roman" w:hAnsi="Arial" w:cs="Times New Roman"/>
      <w:snapToGrid w:val="0"/>
      <w:sz w:val="24"/>
      <w:szCs w:val="20"/>
      <w:lang w:val="en-GB"/>
    </w:rPr>
  </w:style>
  <w:style w:type="character" w:customStyle="1" w:styleId="Heading2Char">
    <w:name w:val="Heading 2 Char"/>
    <w:basedOn w:val="DefaultParagraphFont"/>
    <w:link w:val="Heading2"/>
    <w:uiPriority w:val="1"/>
    <w:rsid w:val="0067684C"/>
    <w:rPr>
      <w:rFonts w:ascii="Arial" w:eastAsia="Arial" w:hAnsi="Arial" w:cs="Arial"/>
      <w:b/>
      <w:bCs/>
      <w:i/>
      <w:sz w:val="24"/>
      <w:szCs w:val="24"/>
      <w:u w:val="single" w:color="000000"/>
      <w:lang w:val="en-ZA"/>
    </w:rPr>
  </w:style>
  <w:style w:type="paragraph" w:styleId="BodyText">
    <w:name w:val="Body Text"/>
    <w:basedOn w:val="Normal"/>
    <w:link w:val="BodyTextChar"/>
    <w:uiPriority w:val="1"/>
    <w:qFormat/>
    <w:rsid w:val="0067684C"/>
    <w:pPr>
      <w:widowControl w:val="0"/>
      <w:autoSpaceDE w:val="0"/>
      <w:autoSpaceDN w:val="0"/>
      <w:spacing w:after="0" w:line="240" w:lineRule="auto"/>
    </w:pPr>
    <w:rPr>
      <w:rFonts w:ascii="Arial" w:eastAsia="Arial" w:hAnsi="Arial" w:cs="Arial"/>
      <w:sz w:val="24"/>
      <w:szCs w:val="24"/>
      <w:lang w:val="en-ZA"/>
    </w:rPr>
  </w:style>
  <w:style w:type="character" w:customStyle="1" w:styleId="BodyTextChar">
    <w:name w:val="Body Text Char"/>
    <w:basedOn w:val="DefaultParagraphFont"/>
    <w:link w:val="BodyText"/>
    <w:uiPriority w:val="1"/>
    <w:rsid w:val="0067684C"/>
    <w:rPr>
      <w:rFonts w:ascii="Arial" w:eastAsia="Arial" w:hAnsi="Arial" w:cs="Arial"/>
      <w:sz w:val="24"/>
      <w:szCs w:val="24"/>
      <w:lang w:val="en-ZA"/>
    </w:rPr>
  </w:style>
  <w:style w:type="paragraph" w:styleId="BalloonText">
    <w:name w:val="Balloon Text"/>
    <w:basedOn w:val="Normal"/>
    <w:link w:val="BalloonTextChar"/>
    <w:uiPriority w:val="99"/>
    <w:semiHidden/>
    <w:unhideWhenUsed/>
    <w:rsid w:val="007C5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73"/>
    <w:rPr>
      <w:rFonts w:ascii="Segoe UI" w:hAnsi="Segoe UI" w:cs="Segoe UI"/>
      <w:sz w:val="18"/>
      <w:szCs w:val="18"/>
    </w:rPr>
  </w:style>
  <w:style w:type="character" w:customStyle="1" w:styleId="Heading1Char">
    <w:name w:val="Heading 1 Char"/>
    <w:basedOn w:val="DefaultParagraphFont"/>
    <w:link w:val="Heading1"/>
    <w:uiPriority w:val="9"/>
    <w:rsid w:val="009660C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660C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752D47"/>
    <w:rPr>
      <w:color w:val="0000FF"/>
      <w:u w:val="single"/>
    </w:rPr>
  </w:style>
  <w:style w:type="character" w:styleId="CommentReference">
    <w:name w:val="annotation reference"/>
    <w:basedOn w:val="DefaultParagraphFont"/>
    <w:uiPriority w:val="99"/>
    <w:semiHidden/>
    <w:unhideWhenUsed/>
    <w:rsid w:val="00227C4A"/>
    <w:rPr>
      <w:sz w:val="16"/>
      <w:szCs w:val="16"/>
    </w:rPr>
  </w:style>
  <w:style w:type="paragraph" w:styleId="CommentText">
    <w:name w:val="annotation text"/>
    <w:basedOn w:val="Normal"/>
    <w:link w:val="CommentTextChar"/>
    <w:uiPriority w:val="99"/>
    <w:semiHidden/>
    <w:unhideWhenUsed/>
    <w:rsid w:val="00227C4A"/>
    <w:pPr>
      <w:spacing w:line="240" w:lineRule="auto"/>
    </w:pPr>
    <w:rPr>
      <w:sz w:val="20"/>
      <w:szCs w:val="20"/>
    </w:rPr>
  </w:style>
  <w:style w:type="character" w:customStyle="1" w:styleId="CommentTextChar">
    <w:name w:val="Comment Text Char"/>
    <w:basedOn w:val="DefaultParagraphFont"/>
    <w:link w:val="CommentText"/>
    <w:uiPriority w:val="99"/>
    <w:semiHidden/>
    <w:rsid w:val="00227C4A"/>
    <w:rPr>
      <w:sz w:val="20"/>
      <w:szCs w:val="20"/>
    </w:rPr>
  </w:style>
  <w:style w:type="paragraph" w:styleId="CommentSubject">
    <w:name w:val="annotation subject"/>
    <w:basedOn w:val="CommentText"/>
    <w:next w:val="CommentText"/>
    <w:link w:val="CommentSubjectChar"/>
    <w:uiPriority w:val="99"/>
    <w:semiHidden/>
    <w:unhideWhenUsed/>
    <w:rsid w:val="00227C4A"/>
    <w:rPr>
      <w:b/>
      <w:bCs/>
    </w:rPr>
  </w:style>
  <w:style w:type="character" w:customStyle="1" w:styleId="CommentSubjectChar">
    <w:name w:val="Comment Subject Char"/>
    <w:basedOn w:val="CommentTextChar"/>
    <w:link w:val="CommentSubject"/>
    <w:uiPriority w:val="99"/>
    <w:semiHidden/>
    <w:rsid w:val="00227C4A"/>
    <w:rPr>
      <w:b/>
      <w:bCs/>
      <w:sz w:val="20"/>
      <w:szCs w:val="20"/>
    </w:rPr>
  </w:style>
  <w:style w:type="paragraph" w:styleId="Revision">
    <w:name w:val="Revision"/>
    <w:hidden/>
    <w:uiPriority w:val="99"/>
    <w:semiHidden/>
    <w:rsid w:val="00745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0348">
      <w:bodyDiv w:val="1"/>
      <w:marLeft w:val="0"/>
      <w:marRight w:val="0"/>
      <w:marTop w:val="0"/>
      <w:marBottom w:val="0"/>
      <w:divBdr>
        <w:top w:val="none" w:sz="0" w:space="0" w:color="auto"/>
        <w:left w:val="none" w:sz="0" w:space="0" w:color="auto"/>
        <w:bottom w:val="none" w:sz="0" w:space="0" w:color="auto"/>
        <w:right w:val="none" w:sz="0" w:space="0" w:color="auto"/>
      </w:divBdr>
    </w:div>
    <w:div w:id="248659177">
      <w:bodyDiv w:val="1"/>
      <w:marLeft w:val="0"/>
      <w:marRight w:val="0"/>
      <w:marTop w:val="0"/>
      <w:marBottom w:val="0"/>
      <w:divBdr>
        <w:top w:val="none" w:sz="0" w:space="0" w:color="auto"/>
        <w:left w:val="none" w:sz="0" w:space="0" w:color="auto"/>
        <w:bottom w:val="none" w:sz="0" w:space="0" w:color="auto"/>
        <w:right w:val="none" w:sz="0" w:space="0" w:color="auto"/>
      </w:divBdr>
    </w:div>
    <w:div w:id="309675836">
      <w:bodyDiv w:val="1"/>
      <w:marLeft w:val="0"/>
      <w:marRight w:val="0"/>
      <w:marTop w:val="0"/>
      <w:marBottom w:val="0"/>
      <w:divBdr>
        <w:top w:val="none" w:sz="0" w:space="0" w:color="auto"/>
        <w:left w:val="none" w:sz="0" w:space="0" w:color="auto"/>
        <w:bottom w:val="none" w:sz="0" w:space="0" w:color="auto"/>
        <w:right w:val="none" w:sz="0" w:space="0" w:color="auto"/>
      </w:divBdr>
    </w:div>
    <w:div w:id="377121462">
      <w:bodyDiv w:val="1"/>
      <w:marLeft w:val="0"/>
      <w:marRight w:val="0"/>
      <w:marTop w:val="0"/>
      <w:marBottom w:val="0"/>
      <w:divBdr>
        <w:top w:val="none" w:sz="0" w:space="0" w:color="auto"/>
        <w:left w:val="none" w:sz="0" w:space="0" w:color="auto"/>
        <w:bottom w:val="none" w:sz="0" w:space="0" w:color="auto"/>
        <w:right w:val="none" w:sz="0" w:space="0" w:color="auto"/>
      </w:divBdr>
    </w:div>
    <w:div w:id="489709540">
      <w:bodyDiv w:val="1"/>
      <w:marLeft w:val="0"/>
      <w:marRight w:val="0"/>
      <w:marTop w:val="0"/>
      <w:marBottom w:val="0"/>
      <w:divBdr>
        <w:top w:val="none" w:sz="0" w:space="0" w:color="auto"/>
        <w:left w:val="none" w:sz="0" w:space="0" w:color="auto"/>
        <w:bottom w:val="none" w:sz="0" w:space="0" w:color="auto"/>
        <w:right w:val="none" w:sz="0" w:space="0" w:color="auto"/>
      </w:divBdr>
    </w:div>
    <w:div w:id="549925934">
      <w:bodyDiv w:val="1"/>
      <w:marLeft w:val="0"/>
      <w:marRight w:val="0"/>
      <w:marTop w:val="0"/>
      <w:marBottom w:val="0"/>
      <w:divBdr>
        <w:top w:val="none" w:sz="0" w:space="0" w:color="auto"/>
        <w:left w:val="none" w:sz="0" w:space="0" w:color="auto"/>
        <w:bottom w:val="none" w:sz="0" w:space="0" w:color="auto"/>
        <w:right w:val="none" w:sz="0" w:space="0" w:color="auto"/>
      </w:divBdr>
    </w:div>
    <w:div w:id="580413926">
      <w:bodyDiv w:val="1"/>
      <w:marLeft w:val="0"/>
      <w:marRight w:val="0"/>
      <w:marTop w:val="0"/>
      <w:marBottom w:val="0"/>
      <w:divBdr>
        <w:top w:val="none" w:sz="0" w:space="0" w:color="auto"/>
        <w:left w:val="none" w:sz="0" w:space="0" w:color="auto"/>
        <w:bottom w:val="none" w:sz="0" w:space="0" w:color="auto"/>
        <w:right w:val="none" w:sz="0" w:space="0" w:color="auto"/>
      </w:divBdr>
    </w:div>
    <w:div w:id="588151786">
      <w:bodyDiv w:val="1"/>
      <w:marLeft w:val="0"/>
      <w:marRight w:val="0"/>
      <w:marTop w:val="0"/>
      <w:marBottom w:val="0"/>
      <w:divBdr>
        <w:top w:val="none" w:sz="0" w:space="0" w:color="auto"/>
        <w:left w:val="none" w:sz="0" w:space="0" w:color="auto"/>
        <w:bottom w:val="none" w:sz="0" w:space="0" w:color="auto"/>
        <w:right w:val="none" w:sz="0" w:space="0" w:color="auto"/>
      </w:divBdr>
    </w:div>
    <w:div w:id="1908029125">
      <w:bodyDiv w:val="1"/>
      <w:marLeft w:val="0"/>
      <w:marRight w:val="0"/>
      <w:marTop w:val="0"/>
      <w:marBottom w:val="0"/>
      <w:divBdr>
        <w:top w:val="none" w:sz="0" w:space="0" w:color="auto"/>
        <w:left w:val="none" w:sz="0" w:space="0" w:color="auto"/>
        <w:bottom w:val="none" w:sz="0" w:space="0" w:color="auto"/>
        <w:right w:val="none" w:sz="0" w:space="0" w:color="auto"/>
      </w:divBdr>
    </w:div>
    <w:div w:id="1999964605">
      <w:bodyDiv w:val="1"/>
      <w:marLeft w:val="0"/>
      <w:marRight w:val="0"/>
      <w:marTop w:val="0"/>
      <w:marBottom w:val="0"/>
      <w:divBdr>
        <w:top w:val="none" w:sz="0" w:space="0" w:color="auto"/>
        <w:left w:val="none" w:sz="0" w:space="0" w:color="auto"/>
        <w:bottom w:val="none" w:sz="0" w:space="0" w:color="auto"/>
        <w:right w:val="none" w:sz="0" w:space="0" w:color="auto"/>
      </w:divBdr>
    </w:div>
    <w:div w:id="20024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651C-90D7-4514-B646-7376501F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Jager</dc:creator>
  <cp:keywords/>
  <dc:description/>
  <cp:lastModifiedBy>Mokone</cp:lastModifiedBy>
  <cp:revision>2</cp:revision>
  <cp:lastPrinted>2022-03-14T08:45:00Z</cp:lastPrinted>
  <dcterms:created xsi:type="dcterms:W3CDTF">2022-07-04T10:14:00Z</dcterms:created>
  <dcterms:modified xsi:type="dcterms:W3CDTF">2022-07-04T10:14:00Z</dcterms:modified>
</cp:coreProperties>
</file>