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34" w:rsidRDefault="00CA0034" w:rsidP="00CA0034">
      <w:pPr>
        <w:jc w:val="center"/>
        <w:rPr>
          <w:rFonts w:asciiTheme="minorHAnsi" w:hAnsiTheme="minorHAnsi" w:cstheme="minorHAnsi"/>
          <w:b/>
          <w:sz w:val="26"/>
          <w:szCs w:val="26"/>
        </w:rPr>
      </w:pPr>
      <w:bookmarkStart w:id="0" w:name="_GoBack"/>
      <w:bookmarkEnd w:id="0"/>
      <w:r w:rsidRPr="00C201B8">
        <w:rPr>
          <w:rFonts w:asciiTheme="minorHAnsi" w:hAnsiTheme="minorHAnsi" w:cstheme="minorHAnsi"/>
          <w:b/>
          <w:sz w:val="26"/>
          <w:szCs w:val="26"/>
        </w:rPr>
        <w:t>IN THE HIGH COURT OF SOUTH AFRICA</w:t>
      </w:r>
    </w:p>
    <w:p w:rsidR="00CA0034" w:rsidRPr="00C201B8" w:rsidRDefault="00CA0034" w:rsidP="00CA0034">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CA0034" w:rsidRPr="00C201B8" w:rsidRDefault="00CA0034" w:rsidP="00CA0034">
      <w:pPr>
        <w:pStyle w:val="Heading3"/>
      </w:pPr>
    </w:p>
    <w:p w:rsidR="00CA0034" w:rsidRPr="00C201B8" w:rsidRDefault="00CA0034" w:rsidP="00CA0034">
      <w:pPr>
        <w:jc w:val="center"/>
        <w:rPr>
          <w:rFonts w:asciiTheme="minorHAnsi" w:hAnsiTheme="minorHAnsi" w:cstheme="minorHAnsi"/>
          <w:sz w:val="26"/>
          <w:szCs w:val="26"/>
        </w:rPr>
      </w:pPr>
      <w:r w:rsidRPr="00C201B8">
        <w:rPr>
          <w:rFonts w:asciiTheme="minorHAnsi" w:hAnsiTheme="minorHAnsi" w:cstheme="minorHAnsi"/>
          <w:b/>
          <w:noProof/>
          <w:sz w:val="26"/>
          <w:szCs w:val="26"/>
          <w:lang w:val="en-US" w:eastAsia="en-US"/>
        </w:rPr>
        <mc:AlternateContent>
          <mc:Choice Requires="wps">
            <w:drawing>
              <wp:anchor distT="0" distB="0" distL="114300" distR="114300" simplePos="0" relativeHeight="251659264" behindDoc="0" locked="0" layoutInCell="1" allowOverlap="1" wp14:anchorId="388DF8ED" wp14:editId="39936C59">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F945BC" w:rsidRPr="008B34AE" w:rsidRDefault="00F945BC" w:rsidP="00CA0034">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rsidR="00F945BC" w:rsidRPr="008B34AE" w:rsidRDefault="00F945BC" w:rsidP="00CA0034">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rsidR="00F945BC" w:rsidRDefault="00F945BC" w:rsidP="00CA0034">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No</w:t>
                            </w:r>
                          </w:p>
                          <w:p w:rsidR="00F945BC" w:rsidRPr="00AB7D21" w:rsidRDefault="00F945BC" w:rsidP="00CA0034">
                            <w:pPr>
                              <w:spacing w:after="200" w:line="276" w:lineRule="auto"/>
                              <w:ind w:left="360"/>
                              <w:suppressOverlap/>
                              <w:rPr>
                                <w:b/>
                                <w:sz w:val="16"/>
                                <w:szCs w:val="16"/>
                              </w:rPr>
                            </w:pPr>
                            <w:r w:rsidRPr="00AB7D21">
                              <w:rPr>
                                <w:b/>
                                <w:sz w:val="16"/>
                                <w:szCs w:val="16"/>
                              </w:rPr>
                              <w:t>Date:</w:t>
                            </w:r>
                            <w:r>
                              <w:rPr>
                                <w:b/>
                                <w:sz w:val="16"/>
                                <w:szCs w:val="16"/>
                              </w:rPr>
                              <w:t>24</w:t>
                            </w:r>
                            <w:r w:rsidRPr="00AB7D21">
                              <w:rPr>
                                <w:b/>
                                <w:sz w:val="16"/>
                                <w:szCs w:val="16"/>
                              </w:rPr>
                              <w:t>/</w:t>
                            </w:r>
                            <w:r>
                              <w:rPr>
                                <w:b/>
                                <w:sz w:val="16"/>
                                <w:szCs w:val="16"/>
                              </w:rPr>
                              <w:t>06</w:t>
                            </w:r>
                            <w:r w:rsidRPr="00AB7D21">
                              <w:rPr>
                                <w:b/>
                                <w:sz w:val="16"/>
                                <w:szCs w:val="16"/>
                              </w:rPr>
                              <w:t>/20</w:t>
                            </w:r>
                            <w:r>
                              <w:rPr>
                                <w:b/>
                                <w:sz w:val="16"/>
                                <w:szCs w:val="16"/>
                              </w:rPr>
                              <w:t>22</w:t>
                            </w:r>
                          </w:p>
                          <w:p w:rsidR="00F945BC" w:rsidRDefault="00F945BC" w:rsidP="00CA0034">
                            <w:pPr>
                              <w:suppressOverlap/>
                              <w:rPr>
                                <w:b/>
                                <w:sz w:val="16"/>
                                <w:szCs w:val="16"/>
                              </w:rPr>
                            </w:pPr>
                            <w:r>
                              <w:rPr>
                                <w:b/>
                                <w:sz w:val="16"/>
                                <w:szCs w:val="16"/>
                              </w:rPr>
                              <w:t xml:space="preserve"> _____________</w:t>
                            </w:r>
                          </w:p>
                          <w:p w:rsidR="00F945BC" w:rsidRDefault="00F945BC" w:rsidP="00CA0034">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8DF8ED"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">
                <v:textbox>
                  <w:txbxContent>
                    <w:p w:rsidR="00F945BC" w:rsidRPr="008B34AE" w:rsidRDefault="00F945BC" w:rsidP="00CA0034">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rsidR="00F945BC" w:rsidRPr="008B34AE" w:rsidRDefault="00F945BC" w:rsidP="00CA0034">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rsidR="00F945BC" w:rsidRDefault="00F945BC" w:rsidP="00CA0034">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No</w:t>
                      </w:r>
                    </w:p>
                    <w:p w:rsidR="00F945BC" w:rsidRPr="00AB7D21" w:rsidRDefault="00F945BC" w:rsidP="00CA0034">
                      <w:pPr>
                        <w:spacing w:after="200" w:line="276" w:lineRule="auto"/>
                        <w:ind w:left="360"/>
                        <w:suppressOverlap/>
                        <w:rPr>
                          <w:b/>
                          <w:sz w:val="16"/>
                          <w:szCs w:val="16"/>
                        </w:rPr>
                      </w:pPr>
                      <w:r w:rsidRPr="00AB7D21">
                        <w:rPr>
                          <w:b/>
                          <w:sz w:val="16"/>
                          <w:szCs w:val="16"/>
                        </w:rPr>
                        <w:t>Date:</w:t>
                      </w:r>
                      <w:r>
                        <w:rPr>
                          <w:b/>
                          <w:sz w:val="16"/>
                          <w:szCs w:val="16"/>
                        </w:rPr>
                        <w:t>24</w:t>
                      </w:r>
                      <w:r w:rsidRPr="00AB7D21">
                        <w:rPr>
                          <w:b/>
                          <w:sz w:val="16"/>
                          <w:szCs w:val="16"/>
                        </w:rPr>
                        <w:t>/</w:t>
                      </w:r>
                      <w:r>
                        <w:rPr>
                          <w:b/>
                          <w:sz w:val="16"/>
                          <w:szCs w:val="16"/>
                        </w:rPr>
                        <w:t>06</w:t>
                      </w:r>
                      <w:r w:rsidRPr="00AB7D21">
                        <w:rPr>
                          <w:b/>
                          <w:sz w:val="16"/>
                          <w:szCs w:val="16"/>
                        </w:rPr>
                        <w:t>/20</w:t>
                      </w:r>
                      <w:r>
                        <w:rPr>
                          <w:b/>
                          <w:sz w:val="16"/>
                          <w:szCs w:val="16"/>
                        </w:rPr>
                        <w:t>22</w:t>
                      </w:r>
                    </w:p>
                    <w:p w:rsidR="00F945BC" w:rsidRDefault="00F945BC" w:rsidP="00CA0034">
                      <w:pPr>
                        <w:suppressOverlap/>
                        <w:rPr>
                          <w:b/>
                          <w:sz w:val="16"/>
                          <w:szCs w:val="16"/>
                        </w:rPr>
                      </w:pPr>
                      <w:r>
                        <w:rPr>
                          <w:b/>
                          <w:sz w:val="16"/>
                          <w:szCs w:val="16"/>
                        </w:rPr>
                        <w:t xml:space="preserve"> _____________</w:t>
                      </w:r>
                    </w:p>
                    <w:p w:rsidR="00F945BC" w:rsidRDefault="00F945BC" w:rsidP="00CA0034">
                      <w:pPr>
                        <w:suppressOverlap/>
                      </w:pPr>
                      <w:r>
                        <w:t>A Maier-Frawley</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US" w:eastAsia="en-US"/>
        </w:rPr>
        <w:drawing>
          <wp:inline distT="0" distB="0" distL="0" distR="0" wp14:anchorId="67B05A69" wp14:editId="7389644E">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CA0034" w:rsidRDefault="00CA0034" w:rsidP="00CA0034">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2021/19942</w:t>
      </w:r>
    </w:p>
    <w:p w:rsidR="00CA0034" w:rsidRDefault="00CA0034" w:rsidP="00CA0034">
      <w:pPr>
        <w:spacing w:after="120"/>
        <w:jc w:val="right"/>
        <w:rPr>
          <w:rFonts w:asciiTheme="minorHAnsi" w:hAnsiTheme="minorHAnsi" w:cstheme="minorHAnsi"/>
          <w:sz w:val="26"/>
          <w:szCs w:val="26"/>
        </w:rPr>
      </w:pPr>
    </w:p>
    <w:p w:rsidR="00CA0034" w:rsidRDefault="00CA0034" w:rsidP="00CA0034">
      <w:pPr>
        <w:jc w:val="both"/>
        <w:rPr>
          <w:rFonts w:asciiTheme="minorHAnsi" w:hAnsiTheme="minorHAnsi" w:cstheme="minorHAnsi"/>
          <w:sz w:val="26"/>
          <w:szCs w:val="26"/>
        </w:rPr>
      </w:pPr>
    </w:p>
    <w:p w:rsidR="00CA0034" w:rsidRDefault="00CA0034" w:rsidP="00CA0034">
      <w:pPr>
        <w:jc w:val="both"/>
        <w:rPr>
          <w:rFonts w:asciiTheme="minorHAnsi" w:hAnsiTheme="minorHAnsi" w:cstheme="minorHAnsi"/>
          <w:sz w:val="26"/>
          <w:szCs w:val="26"/>
        </w:rPr>
      </w:pPr>
    </w:p>
    <w:p w:rsidR="00CA0034" w:rsidRPr="00C201B8" w:rsidRDefault="00CA0034" w:rsidP="00CA0034">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CA0034" w:rsidRDefault="00CA0034" w:rsidP="00CA0034">
      <w:pPr>
        <w:ind w:right="-46"/>
        <w:rPr>
          <w:rFonts w:asciiTheme="minorHAnsi" w:hAnsiTheme="minorHAnsi" w:cstheme="minorHAnsi"/>
          <w:b/>
          <w:sz w:val="26"/>
          <w:szCs w:val="26"/>
        </w:rPr>
      </w:pPr>
    </w:p>
    <w:p w:rsidR="00CA0034" w:rsidRDefault="00CA0034" w:rsidP="00CA0034">
      <w:pPr>
        <w:ind w:right="-46"/>
        <w:rPr>
          <w:rFonts w:asciiTheme="minorHAnsi" w:hAnsiTheme="minorHAnsi" w:cstheme="minorHAnsi"/>
          <w:sz w:val="26"/>
          <w:szCs w:val="26"/>
        </w:rPr>
      </w:pPr>
      <w:r>
        <w:rPr>
          <w:rFonts w:asciiTheme="minorHAnsi" w:hAnsiTheme="minorHAnsi" w:cstheme="minorHAnsi"/>
          <w:b/>
          <w:sz w:val="26"/>
          <w:szCs w:val="26"/>
        </w:rPr>
        <w:t>LIBERTY HOLDINGS</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Applicant/</w:t>
      </w:r>
    </w:p>
    <w:p w:rsidR="00CA0034" w:rsidRPr="00B13FBA" w:rsidRDefault="00CA0034" w:rsidP="00CA0034">
      <w:pPr>
        <w:ind w:right="-46"/>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(Respondent in main application)</w:t>
      </w:r>
    </w:p>
    <w:p w:rsidR="00CA0034" w:rsidRPr="006168BD" w:rsidRDefault="00CA0034" w:rsidP="00CA0034">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rsidR="00CA0034" w:rsidRPr="00B13FBA" w:rsidRDefault="00CA0034" w:rsidP="00CA0034">
      <w:pPr>
        <w:ind w:right="-46"/>
        <w:rPr>
          <w:rFonts w:asciiTheme="minorHAnsi" w:hAnsiTheme="minorHAnsi" w:cstheme="minorHAnsi"/>
          <w:sz w:val="26"/>
          <w:szCs w:val="26"/>
        </w:rPr>
      </w:pPr>
    </w:p>
    <w:p w:rsidR="00CA0034" w:rsidRDefault="00CA0034" w:rsidP="00CA0034">
      <w:pPr>
        <w:ind w:right="-46"/>
        <w:rPr>
          <w:rFonts w:asciiTheme="minorHAnsi" w:hAnsiTheme="minorHAnsi" w:cstheme="minorHAnsi"/>
          <w:sz w:val="26"/>
          <w:szCs w:val="26"/>
        </w:rPr>
      </w:pPr>
      <w:r>
        <w:rPr>
          <w:rFonts w:asciiTheme="minorHAnsi" w:hAnsiTheme="minorHAnsi" w:cstheme="minorHAnsi"/>
          <w:b/>
          <w:sz w:val="26"/>
          <w:szCs w:val="26"/>
        </w:rPr>
        <w:t>RAKOKWANE MALOKA,</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Respondent/</w:t>
      </w:r>
    </w:p>
    <w:p w:rsidR="00CA0034" w:rsidRDefault="00CA0034" w:rsidP="00CA0034">
      <w:pPr>
        <w:ind w:right="-46"/>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(Applicant in main application)</w:t>
      </w:r>
    </w:p>
    <w:p w:rsidR="00CA0034" w:rsidRPr="006168BD" w:rsidRDefault="00CA0034" w:rsidP="00CA0034">
      <w:pPr>
        <w:ind w:right="-46"/>
        <w:rPr>
          <w:rFonts w:asciiTheme="minorHAnsi" w:hAnsiTheme="minorHAnsi" w:cstheme="minorHAnsi"/>
          <w:sz w:val="26"/>
          <w:szCs w:val="26"/>
        </w:rPr>
      </w:pPr>
    </w:p>
    <w:p w:rsidR="00CA0034" w:rsidRPr="006C65AB" w:rsidRDefault="00CA0034" w:rsidP="00CA0034">
      <w:pPr>
        <w:ind w:right="-46"/>
        <w:rPr>
          <w:rFonts w:asciiTheme="minorHAnsi" w:hAnsiTheme="minorHAnsi" w:cstheme="minorHAnsi"/>
          <w:sz w:val="26"/>
          <w:szCs w:val="26"/>
        </w:rPr>
      </w:pPr>
    </w:p>
    <w:p w:rsidR="00CA0034" w:rsidRPr="00C201B8" w:rsidRDefault="00CA0034" w:rsidP="00CA0034">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CA0034" w:rsidRPr="00C201B8" w:rsidRDefault="00CA0034" w:rsidP="00CA0034">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CA0034" w:rsidRPr="00C201B8" w:rsidRDefault="00CA0034" w:rsidP="00CA0034">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CA0034" w:rsidRPr="00E823A0" w:rsidRDefault="00CA0034" w:rsidP="00CA0034">
      <w:pPr>
        <w:rPr>
          <w:rFonts w:asciiTheme="minorHAnsi" w:hAnsiTheme="minorHAnsi" w:cstheme="minorHAnsi"/>
          <w:sz w:val="26"/>
          <w:szCs w:val="26"/>
        </w:rPr>
      </w:pPr>
    </w:p>
    <w:p w:rsidR="00CA0034" w:rsidRPr="009706D5" w:rsidRDefault="00CA0034" w:rsidP="00CA0034">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rsidR="00CA0034" w:rsidRDefault="00CA0034" w:rsidP="00CA0034">
      <w:pPr>
        <w:rPr>
          <w:rFonts w:asciiTheme="minorHAnsi" w:hAnsiTheme="minorHAnsi" w:cstheme="minorHAnsi"/>
          <w:sz w:val="26"/>
          <w:szCs w:val="26"/>
        </w:rPr>
      </w:pPr>
    </w:p>
    <w:p w:rsidR="00E823A0" w:rsidRPr="00E823A0" w:rsidRDefault="00E823A0" w:rsidP="00E823A0">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Introductory background</w:t>
      </w:r>
    </w:p>
    <w:p w:rsidR="00CA0034" w:rsidRDefault="00CA0034"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applicant</w:t>
      </w:r>
      <w:r w:rsidR="00205AE2">
        <w:rPr>
          <w:rFonts w:asciiTheme="minorHAnsi" w:hAnsiTheme="minorHAnsi" w:cstheme="minorHAnsi"/>
          <w:sz w:val="26"/>
          <w:szCs w:val="26"/>
        </w:rPr>
        <w:t>, Liberty Holdings</w:t>
      </w:r>
      <w:r w:rsidR="00F945BC">
        <w:rPr>
          <w:rFonts w:asciiTheme="minorHAnsi" w:hAnsiTheme="minorHAnsi" w:cstheme="minorHAnsi"/>
          <w:sz w:val="26"/>
          <w:szCs w:val="26"/>
        </w:rPr>
        <w:t xml:space="preserve"> (</w:t>
      </w:r>
      <w:r w:rsidR="00F945BC">
        <w:rPr>
          <w:rFonts w:asciiTheme="minorHAnsi" w:hAnsiTheme="minorHAnsi" w:cstheme="minorHAnsi"/>
          <w:i/>
          <w:sz w:val="26"/>
          <w:szCs w:val="26"/>
        </w:rPr>
        <w:t>Liberty</w:t>
      </w:r>
      <w:r w:rsidR="00F945BC" w:rsidRPr="00F945BC">
        <w:rPr>
          <w:rFonts w:asciiTheme="minorHAnsi" w:hAnsiTheme="minorHAnsi" w:cstheme="minorHAnsi"/>
          <w:sz w:val="26"/>
          <w:szCs w:val="26"/>
        </w:rPr>
        <w:t>)</w:t>
      </w:r>
      <w:r w:rsidR="00205AE2">
        <w:rPr>
          <w:rFonts w:asciiTheme="minorHAnsi" w:hAnsiTheme="minorHAnsi" w:cstheme="minorHAnsi"/>
          <w:sz w:val="26"/>
          <w:szCs w:val="26"/>
        </w:rPr>
        <w:t>,</w:t>
      </w:r>
      <w:r w:rsidR="00621093">
        <w:rPr>
          <w:rFonts w:asciiTheme="minorHAnsi" w:hAnsiTheme="minorHAnsi" w:cstheme="minorHAnsi"/>
          <w:sz w:val="26"/>
          <w:szCs w:val="26"/>
        </w:rPr>
        <w:t xml:space="preserve"> </w:t>
      </w:r>
      <w:r>
        <w:rPr>
          <w:rFonts w:asciiTheme="minorHAnsi" w:hAnsiTheme="minorHAnsi" w:cstheme="minorHAnsi"/>
          <w:sz w:val="26"/>
          <w:szCs w:val="26"/>
        </w:rPr>
        <w:t xml:space="preserve">applies in terms of Rule 47 </w:t>
      </w:r>
      <w:r w:rsidR="00205AE2">
        <w:rPr>
          <w:rFonts w:asciiTheme="minorHAnsi" w:hAnsiTheme="minorHAnsi" w:cstheme="minorHAnsi"/>
          <w:sz w:val="26"/>
          <w:szCs w:val="26"/>
        </w:rPr>
        <w:t xml:space="preserve">of the Uniform Rules of Court </w:t>
      </w:r>
      <w:r>
        <w:rPr>
          <w:rFonts w:asciiTheme="minorHAnsi" w:hAnsiTheme="minorHAnsi" w:cstheme="minorHAnsi"/>
          <w:sz w:val="26"/>
          <w:szCs w:val="26"/>
        </w:rPr>
        <w:t xml:space="preserve">for an order that the respondent furnish security for its costs in the main application </w:t>
      </w:r>
      <w:r w:rsidR="00F945BC">
        <w:rPr>
          <w:rFonts w:asciiTheme="minorHAnsi" w:hAnsiTheme="minorHAnsi" w:cstheme="minorHAnsi"/>
          <w:sz w:val="26"/>
          <w:szCs w:val="26"/>
        </w:rPr>
        <w:t>currently</w:t>
      </w:r>
      <w:r w:rsidR="003D4D2A">
        <w:rPr>
          <w:rFonts w:asciiTheme="minorHAnsi" w:hAnsiTheme="minorHAnsi" w:cstheme="minorHAnsi"/>
          <w:sz w:val="26"/>
          <w:szCs w:val="26"/>
        </w:rPr>
        <w:t xml:space="preserve"> pending in this court</w:t>
      </w:r>
      <w:r>
        <w:rPr>
          <w:rFonts w:asciiTheme="minorHAnsi" w:hAnsiTheme="minorHAnsi" w:cstheme="minorHAnsi"/>
          <w:sz w:val="26"/>
          <w:szCs w:val="26"/>
        </w:rPr>
        <w:t>. The respondent</w:t>
      </w:r>
      <w:r w:rsidR="00621093">
        <w:rPr>
          <w:rFonts w:asciiTheme="minorHAnsi" w:hAnsiTheme="minorHAnsi" w:cstheme="minorHAnsi"/>
          <w:sz w:val="26"/>
          <w:szCs w:val="26"/>
        </w:rPr>
        <w:t xml:space="preserve">, </w:t>
      </w:r>
      <w:r w:rsidR="00F945BC">
        <w:rPr>
          <w:rFonts w:asciiTheme="minorHAnsi" w:hAnsiTheme="minorHAnsi" w:cstheme="minorHAnsi"/>
          <w:sz w:val="26"/>
          <w:szCs w:val="26"/>
        </w:rPr>
        <w:t>Mr Maloka, who opposes</w:t>
      </w:r>
      <w:r>
        <w:rPr>
          <w:rFonts w:asciiTheme="minorHAnsi" w:hAnsiTheme="minorHAnsi" w:cstheme="minorHAnsi"/>
          <w:sz w:val="26"/>
          <w:szCs w:val="26"/>
        </w:rPr>
        <w:t xml:space="preserve"> the </w:t>
      </w:r>
      <w:r w:rsidR="00621093">
        <w:rPr>
          <w:rFonts w:asciiTheme="minorHAnsi" w:hAnsiTheme="minorHAnsi" w:cstheme="minorHAnsi"/>
          <w:sz w:val="26"/>
          <w:szCs w:val="26"/>
        </w:rPr>
        <w:t xml:space="preserve">application for </w:t>
      </w:r>
      <w:r>
        <w:rPr>
          <w:rFonts w:asciiTheme="minorHAnsi" w:hAnsiTheme="minorHAnsi" w:cstheme="minorHAnsi"/>
          <w:sz w:val="26"/>
          <w:szCs w:val="26"/>
        </w:rPr>
        <w:t>security for costs</w:t>
      </w:r>
      <w:r w:rsidR="00F945BC">
        <w:rPr>
          <w:rFonts w:asciiTheme="minorHAnsi" w:hAnsiTheme="minorHAnsi" w:cstheme="minorHAnsi"/>
          <w:sz w:val="26"/>
          <w:szCs w:val="26"/>
        </w:rPr>
        <w:t xml:space="preserve">, </w:t>
      </w:r>
      <w:r w:rsidR="003D4D2A">
        <w:rPr>
          <w:rFonts w:asciiTheme="minorHAnsi" w:hAnsiTheme="minorHAnsi" w:cstheme="minorHAnsi"/>
          <w:sz w:val="26"/>
          <w:szCs w:val="26"/>
        </w:rPr>
        <w:t xml:space="preserve">in turn </w:t>
      </w:r>
      <w:r w:rsidR="00621093">
        <w:rPr>
          <w:rFonts w:asciiTheme="minorHAnsi" w:hAnsiTheme="minorHAnsi" w:cstheme="minorHAnsi"/>
          <w:sz w:val="26"/>
          <w:szCs w:val="26"/>
        </w:rPr>
        <w:t xml:space="preserve">applies </w:t>
      </w:r>
      <w:r w:rsidR="003D4D2A">
        <w:rPr>
          <w:rFonts w:asciiTheme="minorHAnsi" w:hAnsiTheme="minorHAnsi" w:cstheme="minorHAnsi"/>
          <w:sz w:val="26"/>
          <w:szCs w:val="26"/>
        </w:rPr>
        <w:t xml:space="preserve">in terms of Rule 30 </w:t>
      </w:r>
      <w:r w:rsidR="00621093">
        <w:rPr>
          <w:rFonts w:asciiTheme="minorHAnsi" w:hAnsiTheme="minorHAnsi" w:cstheme="minorHAnsi"/>
          <w:sz w:val="26"/>
          <w:szCs w:val="26"/>
        </w:rPr>
        <w:t xml:space="preserve">for the applicant’s notice in terms of Rule 47(1) to be set aside as an irregular proceeding. </w:t>
      </w:r>
    </w:p>
    <w:p w:rsidR="00CA0034" w:rsidRDefault="00CA0034" w:rsidP="00CA0034">
      <w:pPr>
        <w:pStyle w:val="ListParagraph"/>
        <w:rPr>
          <w:rFonts w:asciiTheme="minorHAnsi" w:hAnsiTheme="minorHAnsi" w:cstheme="minorHAnsi"/>
          <w:sz w:val="26"/>
          <w:szCs w:val="26"/>
        </w:rPr>
      </w:pPr>
    </w:p>
    <w:p w:rsidR="003D4D2A" w:rsidRDefault="003D4D2A"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Mr </w:t>
      </w:r>
      <w:r w:rsidR="00F945BC">
        <w:rPr>
          <w:rFonts w:asciiTheme="minorHAnsi" w:hAnsiTheme="minorHAnsi" w:cstheme="minorHAnsi"/>
          <w:sz w:val="26"/>
          <w:szCs w:val="26"/>
        </w:rPr>
        <w:t>Maloka</w:t>
      </w:r>
      <w:r>
        <w:rPr>
          <w:rFonts w:asciiTheme="minorHAnsi" w:hAnsiTheme="minorHAnsi" w:cstheme="minorHAnsi"/>
          <w:sz w:val="26"/>
          <w:szCs w:val="26"/>
        </w:rPr>
        <w:t xml:space="preserve"> </w:t>
      </w:r>
      <w:r w:rsidR="00205AE2">
        <w:rPr>
          <w:rFonts w:asciiTheme="minorHAnsi" w:hAnsiTheme="minorHAnsi" w:cstheme="minorHAnsi"/>
          <w:sz w:val="26"/>
          <w:szCs w:val="26"/>
        </w:rPr>
        <w:t xml:space="preserve">is an unrepresented litigant who appears in </w:t>
      </w:r>
      <w:r w:rsidR="00F945BC">
        <w:rPr>
          <w:rFonts w:asciiTheme="minorHAnsi" w:hAnsiTheme="minorHAnsi" w:cstheme="minorHAnsi"/>
          <w:sz w:val="26"/>
          <w:szCs w:val="26"/>
        </w:rPr>
        <w:t xml:space="preserve">these proceedings in </w:t>
      </w:r>
      <w:r w:rsidR="00205AE2">
        <w:rPr>
          <w:rFonts w:asciiTheme="minorHAnsi" w:hAnsiTheme="minorHAnsi" w:cstheme="minorHAnsi"/>
          <w:sz w:val="26"/>
          <w:szCs w:val="26"/>
        </w:rPr>
        <w:t>person. He is the applicant in the main application as well as in the Rule 30 application. He is the respondent in the Rule 47 application</w:t>
      </w:r>
      <w:r w:rsidR="00F945BC">
        <w:rPr>
          <w:rFonts w:asciiTheme="minorHAnsi" w:hAnsiTheme="minorHAnsi" w:cstheme="minorHAnsi"/>
          <w:sz w:val="26"/>
          <w:szCs w:val="26"/>
        </w:rPr>
        <w:t xml:space="preserve"> whilst Liberty Holdings is the applicant therein</w:t>
      </w:r>
      <w:r w:rsidR="00205AE2">
        <w:rPr>
          <w:rFonts w:asciiTheme="minorHAnsi" w:hAnsiTheme="minorHAnsi" w:cstheme="minorHAnsi"/>
          <w:sz w:val="26"/>
          <w:szCs w:val="26"/>
        </w:rPr>
        <w:t xml:space="preserve">. The parties will for convenience be described as </w:t>
      </w:r>
      <w:r w:rsidR="00F945BC">
        <w:rPr>
          <w:rFonts w:asciiTheme="minorHAnsi" w:hAnsiTheme="minorHAnsi" w:cstheme="minorHAnsi"/>
          <w:sz w:val="26"/>
          <w:szCs w:val="26"/>
        </w:rPr>
        <w:t>‘Liberty’ and ‘Mr Maloka’ in the judgment.</w:t>
      </w:r>
    </w:p>
    <w:p w:rsidR="003D4D2A" w:rsidRPr="003D4D2A" w:rsidRDefault="003D4D2A" w:rsidP="003D4D2A">
      <w:pPr>
        <w:pStyle w:val="ListParagraph"/>
        <w:rPr>
          <w:rFonts w:asciiTheme="minorHAnsi" w:hAnsiTheme="minorHAnsi" w:cstheme="minorHAnsi"/>
          <w:sz w:val="26"/>
          <w:szCs w:val="26"/>
        </w:rPr>
      </w:pPr>
    </w:p>
    <w:p w:rsidR="00CA0034" w:rsidRDefault="00F94288"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the notice of motion filed in the main application, </w:t>
      </w:r>
      <w:r w:rsidR="00F945BC">
        <w:rPr>
          <w:rFonts w:asciiTheme="minorHAnsi" w:hAnsiTheme="minorHAnsi" w:cstheme="minorHAnsi"/>
          <w:sz w:val="26"/>
          <w:szCs w:val="26"/>
        </w:rPr>
        <w:t>Mr Maloka</w:t>
      </w:r>
      <w:r w:rsidR="003D4D2A">
        <w:rPr>
          <w:rFonts w:asciiTheme="minorHAnsi" w:hAnsiTheme="minorHAnsi" w:cstheme="minorHAnsi"/>
          <w:sz w:val="26"/>
          <w:szCs w:val="26"/>
        </w:rPr>
        <w:t xml:space="preserve"> (</w:t>
      </w:r>
      <w:r w:rsidR="00205AE2">
        <w:rPr>
          <w:rFonts w:asciiTheme="minorHAnsi" w:hAnsiTheme="minorHAnsi" w:cstheme="minorHAnsi"/>
          <w:sz w:val="26"/>
          <w:szCs w:val="26"/>
        </w:rPr>
        <w:t xml:space="preserve">as </w:t>
      </w:r>
      <w:r w:rsidR="003D4D2A">
        <w:rPr>
          <w:rFonts w:asciiTheme="minorHAnsi" w:hAnsiTheme="minorHAnsi" w:cstheme="minorHAnsi"/>
          <w:sz w:val="26"/>
          <w:szCs w:val="26"/>
        </w:rPr>
        <w:t>applicant</w:t>
      </w:r>
      <w:r w:rsidR="00205AE2">
        <w:rPr>
          <w:rFonts w:asciiTheme="minorHAnsi" w:hAnsiTheme="minorHAnsi" w:cstheme="minorHAnsi"/>
          <w:sz w:val="26"/>
          <w:szCs w:val="26"/>
        </w:rPr>
        <w:t xml:space="preserve">) seeks </w:t>
      </w:r>
      <w:r>
        <w:rPr>
          <w:rFonts w:asciiTheme="minorHAnsi" w:hAnsiTheme="minorHAnsi" w:cstheme="minorHAnsi"/>
          <w:sz w:val="26"/>
          <w:szCs w:val="26"/>
        </w:rPr>
        <w:t>an order in the following terms</w:t>
      </w:r>
      <w:r w:rsidR="00205AE2">
        <w:rPr>
          <w:rFonts w:asciiTheme="minorHAnsi" w:hAnsiTheme="minorHAnsi" w:cstheme="minorHAnsi"/>
          <w:sz w:val="26"/>
          <w:szCs w:val="26"/>
        </w:rPr>
        <w:t>:</w:t>
      </w:r>
    </w:p>
    <w:p w:rsidR="00CA0034" w:rsidRPr="00F94288" w:rsidRDefault="00E823A0" w:rsidP="002D28A6">
      <w:pPr>
        <w:pStyle w:val="ListParagraph"/>
        <w:spacing w:line="276" w:lineRule="auto"/>
        <w:ind w:firstLine="131"/>
        <w:rPr>
          <w:rFonts w:asciiTheme="minorHAnsi" w:hAnsiTheme="minorHAnsi" w:cstheme="minorHAnsi"/>
          <w:sz w:val="22"/>
          <w:szCs w:val="22"/>
        </w:rPr>
      </w:pPr>
      <w:r>
        <w:rPr>
          <w:rFonts w:asciiTheme="minorHAnsi" w:hAnsiTheme="minorHAnsi" w:cstheme="minorHAnsi"/>
          <w:sz w:val="22"/>
          <w:szCs w:val="22"/>
        </w:rPr>
        <w:t>“ 1.</w:t>
      </w:r>
      <w:r w:rsidR="002D28A6">
        <w:rPr>
          <w:rFonts w:asciiTheme="minorHAnsi" w:hAnsiTheme="minorHAnsi" w:cstheme="minorHAnsi"/>
          <w:sz w:val="22"/>
          <w:szCs w:val="22"/>
        </w:rPr>
        <w:t xml:space="preserve"> </w:t>
      </w:r>
      <w:r w:rsidR="00F94288" w:rsidRPr="00F94288">
        <w:rPr>
          <w:rFonts w:asciiTheme="minorHAnsi" w:hAnsiTheme="minorHAnsi" w:cstheme="minorHAnsi"/>
          <w:sz w:val="22"/>
          <w:szCs w:val="22"/>
        </w:rPr>
        <w:t>The defamation of character</w:t>
      </w:r>
      <w:r w:rsidR="00CA0034" w:rsidRPr="00F94288">
        <w:rPr>
          <w:rFonts w:asciiTheme="minorHAnsi" w:hAnsiTheme="minorHAnsi" w:cstheme="minorHAnsi"/>
          <w:sz w:val="22"/>
          <w:szCs w:val="22"/>
        </w:rPr>
        <w:t>;</w:t>
      </w:r>
    </w:p>
    <w:p w:rsidR="00F94288" w:rsidRPr="00F94288" w:rsidRDefault="002D28A6" w:rsidP="002D28A6">
      <w:pPr>
        <w:pStyle w:val="ListParagraph"/>
        <w:spacing w:line="276" w:lineRule="auto"/>
        <w:ind w:left="851" w:firstLine="131"/>
        <w:rPr>
          <w:rFonts w:asciiTheme="minorHAnsi" w:hAnsiTheme="minorHAnsi" w:cstheme="minorHAnsi"/>
          <w:sz w:val="22"/>
          <w:szCs w:val="22"/>
        </w:rPr>
      </w:pPr>
      <w:r>
        <w:rPr>
          <w:rFonts w:asciiTheme="minorHAnsi" w:hAnsiTheme="minorHAnsi" w:cstheme="minorHAnsi"/>
          <w:sz w:val="22"/>
          <w:szCs w:val="22"/>
        </w:rPr>
        <w:t xml:space="preserve">2. </w:t>
      </w:r>
      <w:r w:rsidR="00F94288" w:rsidRPr="00F94288">
        <w:rPr>
          <w:rFonts w:asciiTheme="minorHAnsi" w:hAnsiTheme="minorHAnsi" w:cstheme="minorHAnsi"/>
          <w:sz w:val="22"/>
          <w:szCs w:val="22"/>
        </w:rPr>
        <w:t>The malicious prosecution and abuse of process;</w:t>
      </w:r>
    </w:p>
    <w:p w:rsidR="00CA0034" w:rsidRPr="00E823A0" w:rsidRDefault="002D28A6" w:rsidP="002D28A6">
      <w:pPr>
        <w:pStyle w:val="ListParagraph"/>
        <w:spacing w:line="276" w:lineRule="auto"/>
        <w:ind w:left="851" w:firstLine="131"/>
        <w:rPr>
          <w:rFonts w:asciiTheme="minorHAnsi" w:hAnsiTheme="minorHAnsi" w:cstheme="minorHAnsi"/>
          <w:sz w:val="22"/>
          <w:szCs w:val="22"/>
        </w:rPr>
      </w:pPr>
      <w:r>
        <w:rPr>
          <w:rFonts w:asciiTheme="minorHAnsi" w:hAnsiTheme="minorHAnsi" w:cstheme="minorHAnsi"/>
          <w:sz w:val="22"/>
          <w:szCs w:val="22"/>
        </w:rPr>
        <w:t xml:space="preserve">3. </w:t>
      </w:r>
      <w:r w:rsidR="00F94288" w:rsidRPr="00E823A0">
        <w:rPr>
          <w:rFonts w:asciiTheme="minorHAnsi" w:hAnsiTheme="minorHAnsi" w:cstheme="minorHAnsi"/>
          <w:sz w:val="22"/>
          <w:szCs w:val="22"/>
        </w:rPr>
        <w:t>The breach of legal duty of care</w:t>
      </w:r>
      <w:r w:rsidR="00CA0034" w:rsidRPr="00E823A0">
        <w:rPr>
          <w:rFonts w:asciiTheme="minorHAnsi" w:hAnsiTheme="minorHAnsi" w:cstheme="minorHAnsi"/>
          <w:sz w:val="22"/>
          <w:szCs w:val="22"/>
        </w:rPr>
        <w:t>;</w:t>
      </w:r>
    </w:p>
    <w:p w:rsidR="00CA0034" w:rsidRPr="00F94288" w:rsidRDefault="002D28A6" w:rsidP="002D28A6">
      <w:pPr>
        <w:pStyle w:val="ListParagraph"/>
        <w:spacing w:line="276" w:lineRule="auto"/>
        <w:ind w:left="851" w:firstLine="131"/>
        <w:rPr>
          <w:rFonts w:asciiTheme="minorHAnsi" w:hAnsiTheme="minorHAnsi" w:cstheme="minorHAnsi"/>
          <w:sz w:val="22"/>
          <w:szCs w:val="22"/>
        </w:rPr>
      </w:pPr>
      <w:r>
        <w:rPr>
          <w:rFonts w:asciiTheme="minorHAnsi" w:hAnsiTheme="minorHAnsi" w:cstheme="minorHAnsi"/>
          <w:sz w:val="22"/>
          <w:szCs w:val="22"/>
        </w:rPr>
        <w:t xml:space="preserve">4. </w:t>
      </w:r>
      <w:r w:rsidR="00CA0034" w:rsidRPr="00F94288">
        <w:rPr>
          <w:rFonts w:asciiTheme="minorHAnsi" w:hAnsiTheme="minorHAnsi" w:cstheme="minorHAnsi"/>
          <w:sz w:val="22"/>
          <w:szCs w:val="22"/>
        </w:rPr>
        <w:t xml:space="preserve">The </w:t>
      </w:r>
      <w:r w:rsidR="00F94288" w:rsidRPr="00F94288">
        <w:rPr>
          <w:rFonts w:asciiTheme="minorHAnsi" w:hAnsiTheme="minorHAnsi" w:cstheme="minorHAnsi"/>
          <w:sz w:val="22"/>
          <w:szCs w:val="22"/>
        </w:rPr>
        <w:t>misuse of personal information;</w:t>
      </w:r>
    </w:p>
    <w:p w:rsidR="002D28A6" w:rsidRDefault="002D28A6" w:rsidP="002D28A6">
      <w:pPr>
        <w:pStyle w:val="ListParagraph"/>
        <w:spacing w:after="200" w:line="360" w:lineRule="auto"/>
        <w:ind w:left="1276" w:hanging="283"/>
        <w:jc w:val="both"/>
        <w:rPr>
          <w:rFonts w:asciiTheme="minorHAnsi" w:hAnsiTheme="minorHAnsi" w:cstheme="minorHAnsi"/>
          <w:sz w:val="22"/>
          <w:szCs w:val="22"/>
        </w:rPr>
      </w:pPr>
    </w:p>
    <w:p w:rsidR="00F94288" w:rsidRPr="00F94288" w:rsidRDefault="00F94288" w:rsidP="002D28A6">
      <w:pPr>
        <w:pStyle w:val="ListParagraph"/>
        <w:spacing w:after="200" w:line="360" w:lineRule="auto"/>
        <w:ind w:left="1276" w:hanging="283"/>
        <w:jc w:val="both"/>
        <w:rPr>
          <w:rFonts w:asciiTheme="minorHAnsi" w:hAnsiTheme="minorHAnsi" w:cstheme="minorHAnsi"/>
          <w:sz w:val="22"/>
          <w:szCs w:val="22"/>
        </w:rPr>
      </w:pPr>
      <w:r w:rsidRPr="00F94288">
        <w:rPr>
          <w:rFonts w:asciiTheme="minorHAnsi" w:hAnsiTheme="minorHAnsi" w:cstheme="minorHAnsi"/>
          <w:sz w:val="22"/>
          <w:szCs w:val="22"/>
        </w:rPr>
        <w:t>WHEREFORE the applicant prays for relief in the following terms</w:t>
      </w:r>
      <w:r w:rsidR="002D28A6">
        <w:rPr>
          <w:rFonts w:asciiTheme="minorHAnsi" w:hAnsiTheme="minorHAnsi" w:cstheme="minorHAnsi"/>
          <w:sz w:val="22"/>
          <w:szCs w:val="22"/>
        </w:rPr>
        <w:t>:</w:t>
      </w:r>
    </w:p>
    <w:p w:rsidR="00CA0034" w:rsidRPr="00F94288" w:rsidRDefault="00F94288" w:rsidP="002D28A6">
      <w:pPr>
        <w:pStyle w:val="ListParagraph"/>
        <w:numPr>
          <w:ilvl w:val="0"/>
          <w:numId w:val="6"/>
        </w:numPr>
        <w:spacing w:line="276" w:lineRule="auto"/>
        <w:ind w:hanging="263"/>
        <w:rPr>
          <w:rFonts w:asciiTheme="minorHAnsi" w:hAnsiTheme="minorHAnsi" w:cstheme="minorHAnsi"/>
          <w:sz w:val="22"/>
          <w:szCs w:val="22"/>
        </w:rPr>
      </w:pPr>
      <w:r w:rsidRPr="00F94288">
        <w:rPr>
          <w:rFonts w:asciiTheme="minorHAnsi" w:hAnsiTheme="minorHAnsi" w:cstheme="minorHAnsi"/>
          <w:sz w:val="22"/>
          <w:szCs w:val="22"/>
        </w:rPr>
        <w:t>Declaration or</w:t>
      </w:r>
      <w:r>
        <w:rPr>
          <w:rFonts w:asciiTheme="minorHAnsi" w:hAnsiTheme="minorHAnsi" w:cstheme="minorHAnsi"/>
          <w:sz w:val="22"/>
          <w:szCs w:val="22"/>
        </w:rPr>
        <w:t>d</w:t>
      </w:r>
      <w:r w:rsidRPr="00F94288">
        <w:rPr>
          <w:rFonts w:asciiTheme="minorHAnsi" w:hAnsiTheme="minorHAnsi" w:cstheme="minorHAnsi"/>
          <w:sz w:val="22"/>
          <w:szCs w:val="22"/>
        </w:rPr>
        <w:t>er that the conduct of the respondent was unlawful;</w:t>
      </w:r>
    </w:p>
    <w:p w:rsidR="00F94288" w:rsidRPr="00F94288" w:rsidRDefault="00F94288" w:rsidP="002D28A6">
      <w:pPr>
        <w:pStyle w:val="ListParagraph"/>
        <w:numPr>
          <w:ilvl w:val="0"/>
          <w:numId w:val="6"/>
        </w:numPr>
        <w:spacing w:after="200" w:line="276" w:lineRule="auto"/>
        <w:ind w:hanging="263"/>
        <w:jc w:val="both"/>
        <w:rPr>
          <w:rFonts w:asciiTheme="minorHAnsi" w:hAnsiTheme="minorHAnsi" w:cstheme="minorHAnsi"/>
          <w:sz w:val="22"/>
          <w:szCs w:val="22"/>
        </w:rPr>
      </w:pPr>
      <w:r w:rsidRPr="00F94288">
        <w:rPr>
          <w:rFonts w:asciiTheme="minorHAnsi" w:hAnsiTheme="minorHAnsi" w:cstheme="minorHAnsi"/>
          <w:color w:val="000000"/>
          <w:sz w:val="22"/>
          <w:szCs w:val="22"/>
        </w:rPr>
        <w:t>Order for payment of the fair and equitable compensation as per discretionary powers of the Court for the non-patrimonial losses that I have suffered</w:t>
      </w:r>
      <w:r>
        <w:rPr>
          <w:rFonts w:asciiTheme="minorHAnsi" w:hAnsiTheme="minorHAnsi" w:cstheme="minorHAnsi"/>
          <w:color w:val="000000"/>
          <w:sz w:val="22"/>
          <w:szCs w:val="22"/>
        </w:rPr>
        <w:t>;</w:t>
      </w:r>
    </w:p>
    <w:p w:rsidR="00F94288" w:rsidRPr="00E823A0" w:rsidRDefault="00F94288" w:rsidP="002D28A6">
      <w:pPr>
        <w:pStyle w:val="ListParagraph"/>
        <w:numPr>
          <w:ilvl w:val="0"/>
          <w:numId w:val="6"/>
        </w:numPr>
        <w:spacing w:after="200" w:line="276" w:lineRule="auto"/>
        <w:ind w:hanging="263"/>
        <w:jc w:val="both"/>
        <w:rPr>
          <w:rFonts w:asciiTheme="minorHAnsi" w:hAnsiTheme="minorHAnsi" w:cstheme="minorHAnsi"/>
          <w:sz w:val="22"/>
          <w:szCs w:val="22"/>
        </w:rPr>
      </w:pPr>
      <w:r w:rsidRPr="00E823A0">
        <w:rPr>
          <w:rFonts w:asciiTheme="minorHAnsi" w:hAnsiTheme="minorHAnsi" w:cstheme="minorHAnsi"/>
          <w:color w:val="000000"/>
          <w:sz w:val="22"/>
          <w:szCs w:val="22"/>
        </w:rPr>
        <w:t>Order for payment of the patrimonial losses that I have incurred.</w:t>
      </w:r>
    </w:p>
    <w:p w:rsidR="00F94288" w:rsidRPr="00E823A0" w:rsidRDefault="00F94288" w:rsidP="002D28A6">
      <w:pPr>
        <w:pStyle w:val="ListParagraph"/>
        <w:numPr>
          <w:ilvl w:val="0"/>
          <w:numId w:val="6"/>
        </w:numPr>
        <w:spacing w:after="200" w:line="276" w:lineRule="auto"/>
        <w:ind w:hanging="263"/>
        <w:jc w:val="both"/>
        <w:rPr>
          <w:rFonts w:asciiTheme="minorHAnsi" w:hAnsiTheme="minorHAnsi" w:cstheme="minorHAnsi"/>
          <w:sz w:val="22"/>
          <w:szCs w:val="22"/>
        </w:rPr>
      </w:pPr>
      <w:r w:rsidRPr="00E823A0">
        <w:rPr>
          <w:rFonts w:asciiTheme="minorHAnsi" w:hAnsiTheme="minorHAnsi" w:cstheme="minorHAnsi"/>
          <w:color w:val="000000"/>
          <w:sz w:val="22"/>
          <w:szCs w:val="22"/>
        </w:rPr>
        <w:t>Order for interest payment at the official interest rate payable 14 days from date of judgment to date of payment.</w:t>
      </w:r>
    </w:p>
    <w:p w:rsidR="00E823A0" w:rsidRPr="00E823A0" w:rsidRDefault="00E823A0" w:rsidP="002D28A6">
      <w:pPr>
        <w:pStyle w:val="ListParagraph"/>
        <w:numPr>
          <w:ilvl w:val="0"/>
          <w:numId w:val="6"/>
        </w:numPr>
        <w:spacing w:after="200" w:line="276" w:lineRule="auto"/>
        <w:ind w:hanging="263"/>
        <w:jc w:val="both"/>
        <w:rPr>
          <w:rFonts w:asciiTheme="minorHAnsi" w:hAnsiTheme="minorHAnsi" w:cstheme="minorHAnsi"/>
          <w:sz w:val="22"/>
          <w:szCs w:val="22"/>
        </w:rPr>
      </w:pPr>
      <w:r w:rsidRPr="00E823A0">
        <w:rPr>
          <w:rFonts w:asciiTheme="minorHAnsi" w:hAnsiTheme="minorHAnsi" w:cstheme="minorHAnsi"/>
          <w:color w:val="000000"/>
          <w:sz w:val="22"/>
          <w:szCs w:val="22"/>
        </w:rPr>
        <w:t>Order for costs of the previous and current civil lawsuits as per discretionary powers of the Court.</w:t>
      </w:r>
    </w:p>
    <w:p w:rsidR="00E823A0" w:rsidRPr="00E823A0" w:rsidRDefault="00E823A0" w:rsidP="002D28A6">
      <w:pPr>
        <w:pStyle w:val="ListParagraph"/>
        <w:numPr>
          <w:ilvl w:val="0"/>
          <w:numId w:val="6"/>
        </w:numPr>
        <w:spacing w:after="200" w:line="276" w:lineRule="auto"/>
        <w:ind w:hanging="263"/>
        <w:jc w:val="both"/>
        <w:rPr>
          <w:rFonts w:asciiTheme="minorHAnsi" w:hAnsiTheme="minorHAnsi" w:cstheme="minorHAnsi"/>
          <w:sz w:val="22"/>
          <w:szCs w:val="22"/>
        </w:rPr>
      </w:pPr>
      <w:r w:rsidRPr="00E823A0">
        <w:rPr>
          <w:rFonts w:asciiTheme="minorHAnsi" w:hAnsiTheme="minorHAnsi" w:cstheme="minorHAnsi"/>
          <w:color w:val="000000"/>
          <w:sz w:val="22"/>
          <w:szCs w:val="22"/>
        </w:rPr>
        <w:t>Order for alternative relief as the Court deems it fit to do so.</w:t>
      </w:r>
      <w:r>
        <w:rPr>
          <w:rFonts w:asciiTheme="minorHAnsi" w:hAnsiTheme="minorHAnsi" w:cstheme="minorHAnsi"/>
          <w:color w:val="000000"/>
          <w:sz w:val="22"/>
          <w:szCs w:val="22"/>
        </w:rPr>
        <w:t xml:space="preserve"> ”</w:t>
      </w:r>
    </w:p>
    <w:p w:rsidR="00CA0034" w:rsidRDefault="00CA0034" w:rsidP="002D28A6">
      <w:pPr>
        <w:pStyle w:val="ListParagraph"/>
        <w:ind w:firstLine="131"/>
        <w:rPr>
          <w:rFonts w:asciiTheme="minorHAnsi" w:hAnsiTheme="minorHAnsi" w:cstheme="minorHAnsi"/>
          <w:sz w:val="26"/>
          <w:szCs w:val="26"/>
        </w:rPr>
      </w:pPr>
    </w:p>
    <w:p w:rsidR="00E823A0" w:rsidRDefault="002D28A6" w:rsidP="00E823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 perusal of the founding affidavit</w:t>
      </w:r>
      <w:r w:rsidR="00DE670A">
        <w:rPr>
          <w:rStyle w:val="FootnoteReference"/>
          <w:rFonts w:asciiTheme="minorHAnsi" w:hAnsiTheme="minorHAnsi" w:cstheme="minorHAnsi"/>
          <w:sz w:val="26"/>
          <w:szCs w:val="26"/>
        </w:rPr>
        <w:footnoteReference w:id="1"/>
      </w:r>
      <w:r>
        <w:rPr>
          <w:rFonts w:asciiTheme="minorHAnsi" w:hAnsiTheme="minorHAnsi" w:cstheme="minorHAnsi"/>
          <w:sz w:val="26"/>
          <w:szCs w:val="26"/>
        </w:rPr>
        <w:t xml:space="preserve"> filed in support of the notice of motion reveals that </w:t>
      </w:r>
      <w:r w:rsidR="00F945BC">
        <w:rPr>
          <w:rFonts w:asciiTheme="minorHAnsi" w:hAnsiTheme="minorHAnsi" w:cstheme="minorHAnsi"/>
          <w:sz w:val="26"/>
          <w:szCs w:val="26"/>
        </w:rPr>
        <w:t>Mr Maloka is pursuing</w:t>
      </w:r>
      <w:r>
        <w:rPr>
          <w:rFonts w:asciiTheme="minorHAnsi" w:hAnsiTheme="minorHAnsi" w:cstheme="minorHAnsi"/>
          <w:sz w:val="26"/>
          <w:szCs w:val="26"/>
        </w:rPr>
        <w:t>, amongst other</w:t>
      </w:r>
      <w:r w:rsidR="00DE670A">
        <w:rPr>
          <w:rFonts w:asciiTheme="minorHAnsi" w:hAnsiTheme="minorHAnsi" w:cstheme="minorHAnsi"/>
          <w:sz w:val="26"/>
          <w:szCs w:val="26"/>
        </w:rPr>
        <w:t>s</w:t>
      </w:r>
      <w:r>
        <w:rPr>
          <w:rFonts w:asciiTheme="minorHAnsi" w:hAnsiTheme="minorHAnsi" w:cstheme="minorHAnsi"/>
          <w:sz w:val="26"/>
          <w:szCs w:val="26"/>
        </w:rPr>
        <w:t xml:space="preserve">, a claim for damages </w:t>
      </w:r>
      <w:r w:rsidR="00DE670A">
        <w:rPr>
          <w:rFonts w:asciiTheme="minorHAnsi" w:hAnsiTheme="minorHAnsi" w:cstheme="minorHAnsi"/>
          <w:sz w:val="26"/>
          <w:szCs w:val="26"/>
        </w:rPr>
        <w:t>consisting of</w:t>
      </w:r>
      <w:r>
        <w:rPr>
          <w:rFonts w:asciiTheme="minorHAnsi" w:hAnsiTheme="minorHAnsi" w:cstheme="minorHAnsi"/>
          <w:sz w:val="26"/>
          <w:szCs w:val="26"/>
        </w:rPr>
        <w:t>:</w:t>
      </w:r>
    </w:p>
    <w:p w:rsidR="002D28A6" w:rsidRDefault="002D28A6" w:rsidP="002D28A6">
      <w:pPr>
        <w:pStyle w:val="ListParagraph"/>
        <w:numPr>
          <w:ilvl w:val="0"/>
          <w:numId w:val="7"/>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Patrimonial damages in </w:t>
      </w:r>
      <w:r w:rsidR="00DE670A">
        <w:rPr>
          <w:rFonts w:asciiTheme="minorHAnsi" w:hAnsiTheme="minorHAnsi" w:cstheme="minorHAnsi"/>
          <w:sz w:val="26"/>
          <w:szCs w:val="26"/>
        </w:rPr>
        <w:t>the</w:t>
      </w:r>
      <w:r>
        <w:rPr>
          <w:rFonts w:asciiTheme="minorHAnsi" w:hAnsiTheme="minorHAnsi" w:cstheme="minorHAnsi"/>
          <w:sz w:val="26"/>
          <w:szCs w:val="26"/>
        </w:rPr>
        <w:t xml:space="preserve"> amount of R587,375.50;</w:t>
      </w:r>
    </w:p>
    <w:p w:rsidR="002D28A6" w:rsidRDefault="002D28A6" w:rsidP="002D28A6">
      <w:pPr>
        <w:pStyle w:val="ListParagraph"/>
        <w:numPr>
          <w:ilvl w:val="0"/>
          <w:numId w:val="7"/>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Loss of earnings in </w:t>
      </w:r>
      <w:r w:rsidR="00DE670A">
        <w:rPr>
          <w:rFonts w:asciiTheme="minorHAnsi" w:hAnsiTheme="minorHAnsi" w:cstheme="minorHAnsi"/>
          <w:sz w:val="26"/>
          <w:szCs w:val="26"/>
        </w:rPr>
        <w:t>the</w:t>
      </w:r>
      <w:r>
        <w:rPr>
          <w:rFonts w:asciiTheme="minorHAnsi" w:hAnsiTheme="minorHAnsi" w:cstheme="minorHAnsi"/>
          <w:sz w:val="26"/>
          <w:szCs w:val="26"/>
        </w:rPr>
        <w:t xml:space="preserve"> amount of R521,093.00;</w:t>
      </w:r>
    </w:p>
    <w:p w:rsidR="002D28A6" w:rsidRDefault="002D28A6" w:rsidP="002D28A6">
      <w:pPr>
        <w:pStyle w:val="ListParagraph"/>
        <w:numPr>
          <w:ilvl w:val="0"/>
          <w:numId w:val="7"/>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Medical expenses in </w:t>
      </w:r>
      <w:r w:rsidR="00DE670A">
        <w:rPr>
          <w:rFonts w:asciiTheme="minorHAnsi" w:hAnsiTheme="minorHAnsi" w:cstheme="minorHAnsi"/>
          <w:sz w:val="26"/>
          <w:szCs w:val="26"/>
        </w:rPr>
        <w:t>the</w:t>
      </w:r>
      <w:r>
        <w:rPr>
          <w:rFonts w:asciiTheme="minorHAnsi" w:hAnsiTheme="minorHAnsi" w:cstheme="minorHAnsi"/>
          <w:sz w:val="26"/>
          <w:szCs w:val="26"/>
        </w:rPr>
        <w:t xml:space="preserve"> amount of R50,264.00;</w:t>
      </w:r>
    </w:p>
    <w:p w:rsidR="002D28A6" w:rsidRDefault="00DE670A" w:rsidP="002D28A6">
      <w:pPr>
        <w:pStyle w:val="ListParagraph"/>
        <w:numPr>
          <w:ilvl w:val="0"/>
          <w:numId w:val="7"/>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w:t>
      </w:r>
      <w:r w:rsidR="002D28A6">
        <w:rPr>
          <w:rFonts w:asciiTheme="minorHAnsi" w:hAnsiTheme="minorHAnsi" w:cstheme="minorHAnsi"/>
          <w:sz w:val="26"/>
          <w:szCs w:val="26"/>
        </w:rPr>
        <w:t>Income mitigating expenses</w:t>
      </w:r>
      <w:r>
        <w:rPr>
          <w:rFonts w:asciiTheme="minorHAnsi" w:hAnsiTheme="minorHAnsi" w:cstheme="minorHAnsi"/>
          <w:sz w:val="26"/>
          <w:szCs w:val="26"/>
        </w:rPr>
        <w:t>’</w:t>
      </w:r>
      <w:r w:rsidR="002D28A6">
        <w:rPr>
          <w:rFonts w:asciiTheme="minorHAnsi" w:hAnsiTheme="minorHAnsi" w:cstheme="minorHAnsi"/>
          <w:sz w:val="26"/>
          <w:szCs w:val="26"/>
        </w:rPr>
        <w:t xml:space="preserve"> in </w:t>
      </w:r>
      <w:r>
        <w:rPr>
          <w:rFonts w:asciiTheme="minorHAnsi" w:hAnsiTheme="minorHAnsi" w:cstheme="minorHAnsi"/>
          <w:sz w:val="26"/>
          <w:szCs w:val="26"/>
        </w:rPr>
        <w:t>the</w:t>
      </w:r>
      <w:r w:rsidR="002D28A6">
        <w:rPr>
          <w:rFonts w:asciiTheme="minorHAnsi" w:hAnsiTheme="minorHAnsi" w:cstheme="minorHAnsi"/>
          <w:sz w:val="26"/>
          <w:szCs w:val="26"/>
        </w:rPr>
        <w:t xml:space="preserve"> amount of R5321.00; </w:t>
      </w:r>
    </w:p>
    <w:p w:rsidR="002D28A6" w:rsidRDefault="00DE670A" w:rsidP="002D28A6">
      <w:pPr>
        <w:pStyle w:val="ListParagraph"/>
        <w:numPr>
          <w:ilvl w:val="0"/>
          <w:numId w:val="7"/>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w:t>
      </w:r>
      <w:r w:rsidR="002D28A6">
        <w:rPr>
          <w:rFonts w:asciiTheme="minorHAnsi" w:hAnsiTheme="minorHAnsi" w:cstheme="minorHAnsi"/>
          <w:sz w:val="26"/>
          <w:szCs w:val="26"/>
        </w:rPr>
        <w:t>Professional development expenses</w:t>
      </w:r>
      <w:r>
        <w:rPr>
          <w:rFonts w:asciiTheme="minorHAnsi" w:hAnsiTheme="minorHAnsi" w:cstheme="minorHAnsi"/>
          <w:sz w:val="26"/>
          <w:szCs w:val="26"/>
        </w:rPr>
        <w:t>’</w:t>
      </w:r>
      <w:r w:rsidR="002D28A6">
        <w:rPr>
          <w:rFonts w:asciiTheme="minorHAnsi" w:hAnsiTheme="minorHAnsi" w:cstheme="minorHAnsi"/>
          <w:sz w:val="26"/>
          <w:szCs w:val="26"/>
        </w:rPr>
        <w:t xml:space="preserve"> in the amount of R10,697.50</w:t>
      </w:r>
      <w:r>
        <w:rPr>
          <w:rFonts w:asciiTheme="minorHAnsi" w:hAnsiTheme="minorHAnsi" w:cstheme="minorHAnsi"/>
          <w:sz w:val="26"/>
          <w:szCs w:val="26"/>
        </w:rPr>
        <w:t>; and</w:t>
      </w:r>
    </w:p>
    <w:p w:rsidR="00DE670A" w:rsidRDefault="00DE670A" w:rsidP="002D28A6">
      <w:pPr>
        <w:pStyle w:val="ListParagraph"/>
        <w:numPr>
          <w:ilvl w:val="0"/>
          <w:numId w:val="7"/>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‘Fair and equitable compensation as determined by the court for legal injuries’ suffered by him.</w:t>
      </w:r>
    </w:p>
    <w:p w:rsidR="00E823A0" w:rsidRDefault="00E823A0" w:rsidP="00CA0034">
      <w:pPr>
        <w:pStyle w:val="ListParagraph"/>
        <w:rPr>
          <w:rFonts w:asciiTheme="minorHAnsi" w:hAnsiTheme="minorHAnsi" w:cstheme="minorHAnsi"/>
          <w:sz w:val="26"/>
          <w:szCs w:val="26"/>
        </w:rPr>
      </w:pPr>
    </w:p>
    <w:p w:rsidR="00E823A0" w:rsidRDefault="00DE670A" w:rsidP="00E823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is common cause that </w:t>
      </w:r>
      <w:r w:rsidR="00F945BC">
        <w:rPr>
          <w:rFonts w:asciiTheme="minorHAnsi" w:hAnsiTheme="minorHAnsi" w:cstheme="minorHAnsi"/>
          <w:sz w:val="26"/>
          <w:szCs w:val="26"/>
        </w:rPr>
        <w:t>Mr Maloka</w:t>
      </w:r>
      <w:r>
        <w:rPr>
          <w:rFonts w:asciiTheme="minorHAnsi" w:hAnsiTheme="minorHAnsi" w:cstheme="minorHAnsi"/>
          <w:sz w:val="26"/>
          <w:szCs w:val="26"/>
        </w:rPr>
        <w:t xml:space="preserve"> was dismissed from </w:t>
      </w:r>
      <w:r w:rsidR="00F945BC">
        <w:rPr>
          <w:rFonts w:asciiTheme="minorHAnsi" w:hAnsiTheme="minorHAnsi" w:cstheme="minorHAnsi"/>
          <w:sz w:val="26"/>
          <w:szCs w:val="26"/>
        </w:rPr>
        <w:t>Liberty’s</w:t>
      </w:r>
      <w:r>
        <w:rPr>
          <w:rFonts w:asciiTheme="minorHAnsi" w:hAnsiTheme="minorHAnsi" w:cstheme="minorHAnsi"/>
          <w:sz w:val="26"/>
          <w:szCs w:val="26"/>
        </w:rPr>
        <w:t xml:space="preserve"> employ </w:t>
      </w:r>
      <w:r w:rsidR="00B15F97">
        <w:rPr>
          <w:rFonts w:asciiTheme="minorHAnsi" w:hAnsiTheme="minorHAnsi" w:cstheme="minorHAnsi"/>
          <w:sz w:val="26"/>
          <w:szCs w:val="26"/>
        </w:rPr>
        <w:t>for</w:t>
      </w:r>
      <w:r>
        <w:rPr>
          <w:rFonts w:asciiTheme="minorHAnsi" w:hAnsiTheme="minorHAnsi" w:cstheme="minorHAnsi"/>
          <w:sz w:val="26"/>
          <w:szCs w:val="26"/>
        </w:rPr>
        <w:t xml:space="preserve"> gross misconduct </w:t>
      </w:r>
      <w:r w:rsidR="00B15F97">
        <w:rPr>
          <w:rFonts w:asciiTheme="minorHAnsi" w:hAnsiTheme="minorHAnsi" w:cstheme="minorHAnsi"/>
          <w:sz w:val="26"/>
          <w:szCs w:val="26"/>
        </w:rPr>
        <w:t xml:space="preserve">pursuant to </w:t>
      </w:r>
      <w:r>
        <w:rPr>
          <w:rFonts w:asciiTheme="minorHAnsi" w:hAnsiTheme="minorHAnsi" w:cstheme="minorHAnsi"/>
          <w:sz w:val="26"/>
          <w:szCs w:val="26"/>
        </w:rPr>
        <w:t xml:space="preserve">a disciplinary enquiry </w:t>
      </w:r>
      <w:r w:rsidR="00B15F97">
        <w:rPr>
          <w:rFonts w:asciiTheme="minorHAnsi" w:hAnsiTheme="minorHAnsi" w:cstheme="minorHAnsi"/>
          <w:sz w:val="26"/>
          <w:szCs w:val="26"/>
        </w:rPr>
        <w:t xml:space="preserve">that was </w:t>
      </w:r>
      <w:r>
        <w:rPr>
          <w:rFonts w:asciiTheme="minorHAnsi" w:hAnsiTheme="minorHAnsi" w:cstheme="minorHAnsi"/>
          <w:sz w:val="26"/>
          <w:szCs w:val="26"/>
        </w:rPr>
        <w:t xml:space="preserve">held </w:t>
      </w:r>
      <w:r w:rsidR="00B15F97">
        <w:rPr>
          <w:rFonts w:asciiTheme="minorHAnsi" w:hAnsiTheme="minorHAnsi" w:cstheme="minorHAnsi"/>
          <w:sz w:val="26"/>
          <w:szCs w:val="26"/>
        </w:rPr>
        <w:t>during December 2019</w:t>
      </w:r>
      <w:r>
        <w:rPr>
          <w:rFonts w:asciiTheme="minorHAnsi" w:hAnsiTheme="minorHAnsi" w:cstheme="minorHAnsi"/>
          <w:sz w:val="26"/>
          <w:szCs w:val="26"/>
        </w:rPr>
        <w:t>.</w:t>
      </w:r>
    </w:p>
    <w:p w:rsidR="00B15F97" w:rsidRDefault="00B15F97" w:rsidP="00B15F97">
      <w:pPr>
        <w:pStyle w:val="ListParagraph"/>
        <w:rPr>
          <w:rFonts w:asciiTheme="minorHAnsi" w:hAnsiTheme="minorHAnsi" w:cstheme="minorHAnsi"/>
          <w:sz w:val="26"/>
          <w:szCs w:val="26"/>
        </w:rPr>
      </w:pPr>
    </w:p>
    <w:p w:rsidR="00B15F97" w:rsidRDefault="00F945BC" w:rsidP="00E823A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Mr Maloka</w:t>
      </w:r>
      <w:r w:rsidR="00B15F97">
        <w:rPr>
          <w:rFonts w:asciiTheme="minorHAnsi" w:hAnsiTheme="minorHAnsi" w:cstheme="minorHAnsi"/>
          <w:sz w:val="26"/>
          <w:szCs w:val="26"/>
        </w:rPr>
        <w:t xml:space="preserve"> has since instituted 9 different claims in different fora against </w:t>
      </w:r>
      <w:r>
        <w:rPr>
          <w:rFonts w:asciiTheme="minorHAnsi" w:hAnsiTheme="minorHAnsi" w:cstheme="minorHAnsi"/>
          <w:sz w:val="26"/>
          <w:szCs w:val="26"/>
        </w:rPr>
        <w:t>Liberty</w:t>
      </w:r>
      <w:r w:rsidR="007F0551">
        <w:rPr>
          <w:rFonts w:asciiTheme="minorHAnsi" w:hAnsiTheme="minorHAnsi" w:cstheme="minorHAnsi"/>
          <w:sz w:val="26"/>
          <w:szCs w:val="26"/>
        </w:rPr>
        <w:t xml:space="preserve"> over a period of fifteen months</w:t>
      </w:r>
      <w:r w:rsidR="00B15F97">
        <w:rPr>
          <w:rFonts w:asciiTheme="minorHAnsi" w:hAnsiTheme="minorHAnsi" w:cstheme="minorHAnsi"/>
          <w:sz w:val="26"/>
          <w:szCs w:val="26"/>
        </w:rPr>
        <w:t>, all stemming from his dismissal. These include:</w:t>
      </w:r>
    </w:p>
    <w:p w:rsidR="00B15F97" w:rsidRDefault="00B15F97" w:rsidP="00B15F97">
      <w:pPr>
        <w:pStyle w:val="ListParagraph"/>
        <w:numPr>
          <w:ilvl w:val="0"/>
          <w:numId w:val="8"/>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Three claims instituted in the CCMA relating to unfair discrimination, unfair dismissal and unfair labour practice, all of which were unsuccessful;</w:t>
      </w:r>
    </w:p>
    <w:p w:rsidR="00B15F97" w:rsidRDefault="00B15F97" w:rsidP="00B15F97">
      <w:pPr>
        <w:pStyle w:val="ListParagraph"/>
        <w:numPr>
          <w:ilvl w:val="0"/>
          <w:numId w:val="8"/>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Two claims instituted in the Equality Court relating to unfair discrimination, both of which were likewise unsuccessful; </w:t>
      </w:r>
    </w:p>
    <w:p w:rsidR="00B15F97" w:rsidRDefault="00B15F97" w:rsidP="00B15F97">
      <w:pPr>
        <w:pStyle w:val="ListParagraph"/>
        <w:numPr>
          <w:ilvl w:val="0"/>
          <w:numId w:val="8"/>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Three claims instituted in the Labour Court relating to automatically unfair dismissal, unfair discrimination</w:t>
      </w:r>
      <w:r w:rsidR="007F0551">
        <w:rPr>
          <w:rFonts w:asciiTheme="minorHAnsi" w:hAnsiTheme="minorHAnsi" w:cstheme="minorHAnsi"/>
          <w:sz w:val="26"/>
          <w:szCs w:val="26"/>
        </w:rPr>
        <w:t xml:space="preserve"> and harassment as well as a review of the CCMA arbitration awards, which claims are still pending; and</w:t>
      </w:r>
    </w:p>
    <w:p w:rsidR="007F0551" w:rsidRDefault="007F0551" w:rsidP="00B15F97">
      <w:pPr>
        <w:pStyle w:val="ListParagraph"/>
        <w:numPr>
          <w:ilvl w:val="0"/>
          <w:numId w:val="8"/>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main application relating to </w:t>
      </w:r>
      <w:r w:rsidR="00E929A7">
        <w:rPr>
          <w:rFonts w:asciiTheme="minorHAnsi" w:hAnsiTheme="minorHAnsi" w:cstheme="minorHAnsi"/>
          <w:sz w:val="26"/>
          <w:szCs w:val="26"/>
        </w:rPr>
        <w:t>various damages claims arising from his dismissal, including</w:t>
      </w:r>
      <w:r w:rsidR="00E929A7">
        <w:rPr>
          <w:rFonts w:asciiTheme="minorHAnsi" w:hAnsiTheme="minorHAnsi" w:cstheme="minorHAnsi"/>
          <w:i/>
          <w:sz w:val="26"/>
          <w:szCs w:val="26"/>
        </w:rPr>
        <w:t xml:space="preserve"> </w:t>
      </w:r>
      <w:r>
        <w:rPr>
          <w:rFonts w:asciiTheme="minorHAnsi" w:hAnsiTheme="minorHAnsi" w:cstheme="minorHAnsi"/>
          <w:sz w:val="26"/>
          <w:szCs w:val="26"/>
        </w:rPr>
        <w:t>defamation of character</w:t>
      </w:r>
      <w:r w:rsidR="00E929A7">
        <w:rPr>
          <w:rFonts w:asciiTheme="minorHAnsi" w:hAnsiTheme="minorHAnsi" w:cstheme="minorHAnsi"/>
          <w:sz w:val="26"/>
          <w:szCs w:val="26"/>
        </w:rPr>
        <w:t>,</w:t>
      </w:r>
      <w:r w:rsidR="00F945BC">
        <w:rPr>
          <w:rFonts w:asciiTheme="minorHAnsi" w:hAnsiTheme="minorHAnsi" w:cstheme="minorHAnsi"/>
          <w:sz w:val="26"/>
          <w:szCs w:val="26"/>
        </w:rPr>
        <w:t xml:space="preserve"> which is pending</w:t>
      </w:r>
      <w:r>
        <w:rPr>
          <w:rFonts w:asciiTheme="minorHAnsi" w:hAnsiTheme="minorHAnsi" w:cstheme="minorHAnsi"/>
          <w:sz w:val="26"/>
          <w:szCs w:val="26"/>
        </w:rPr>
        <w:t xml:space="preserve">. </w:t>
      </w:r>
    </w:p>
    <w:p w:rsidR="00E823A0" w:rsidRDefault="00E823A0" w:rsidP="00CA0034">
      <w:pPr>
        <w:pStyle w:val="ListParagraph"/>
        <w:rPr>
          <w:rFonts w:asciiTheme="minorHAnsi" w:hAnsiTheme="minorHAnsi" w:cstheme="minorHAnsi"/>
          <w:sz w:val="26"/>
          <w:szCs w:val="26"/>
        </w:rPr>
      </w:pPr>
    </w:p>
    <w:p w:rsidR="00F945BC" w:rsidRDefault="00E929A7" w:rsidP="00F945BC">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On 6 July 2021, Liberty delivered a notice in terms of rule 47 calling on Mr Maleka to furnish security for its costs in the main application.</w:t>
      </w:r>
    </w:p>
    <w:p w:rsidR="00F945BC" w:rsidRDefault="00F945BC" w:rsidP="00CA0034">
      <w:pPr>
        <w:pStyle w:val="ListParagraph"/>
        <w:rPr>
          <w:rFonts w:asciiTheme="minorHAnsi" w:hAnsiTheme="minorHAnsi" w:cstheme="minorHAnsi"/>
          <w:sz w:val="26"/>
          <w:szCs w:val="26"/>
        </w:rPr>
      </w:pPr>
    </w:p>
    <w:p w:rsidR="007F0551" w:rsidRDefault="007F0551" w:rsidP="007F0551">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Pursuant to </w:t>
      </w:r>
      <w:r w:rsidR="009F4149">
        <w:rPr>
          <w:rFonts w:asciiTheme="minorHAnsi" w:hAnsiTheme="minorHAnsi" w:cstheme="minorHAnsi"/>
          <w:sz w:val="26"/>
          <w:szCs w:val="26"/>
        </w:rPr>
        <w:t>service of the rule 47 notice, the respondent instituted</w:t>
      </w:r>
      <w:r>
        <w:rPr>
          <w:rFonts w:asciiTheme="minorHAnsi" w:hAnsiTheme="minorHAnsi" w:cstheme="minorHAnsi"/>
          <w:sz w:val="26"/>
          <w:szCs w:val="26"/>
        </w:rPr>
        <w:t xml:space="preserve"> various interlocutory proceedings, including: </w:t>
      </w:r>
    </w:p>
    <w:p w:rsidR="007F0551" w:rsidRDefault="009F4149" w:rsidP="007F0551">
      <w:pPr>
        <w:pStyle w:val="ListParagraph"/>
        <w:numPr>
          <w:ilvl w:val="0"/>
          <w:numId w:val="9"/>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filing</w:t>
      </w:r>
      <w:r w:rsidR="007F0551">
        <w:rPr>
          <w:rFonts w:asciiTheme="minorHAnsi" w:hAnsiTheme="minorHAnsi" w:cstheme="minorHAnsi"/>
          <w:sz w:val="26"/>
          <w:szCs w:val="26"/>
        </w:rPr>
        <w:t xml:space="preserve"> of</w:t>
      </w:r>
      <w:r>
        <w:rPr>
          <w:rFonts w:asciiTheme="minorHAnsi" w:hAnsiTheme="minorHAnsi" w:cstheme="minorHAnsi"/>
          <w:sz w:val="26"/>
          <w:szCs w:val="26"/>
        </w:rPr>
        <w:t xml:space="preserve"> a ‘</w:t>
      </w:r>
      <w:r>
        <w:rPr>
          <w:rFonts w:asciiTheme="minorHAnsi" w:hAnsiTheme="minorHAnsi" w:cstheme="minorHAnsi"/>
          <w:i/>
          <w:sz w:val="26"/>
          <w:szCs w:val="26"/>
        </w:rPr>
        <w:t>notice of objection under rule 30 pertaining to</w:t>
      </w:r>
      <w:r w:rsidR="00E929A7">
        <w:rPr>
          <w:rFonts w:asciiTheme="minorHAnsi" w:hAnsiTheme="minorHAnsi" w:cstheme="minorHAnsi"/>
          <w:i/>
          <w:sz w:val="26"/>
          <w:szCs w:val="26"/>
        </w:rPr>
        <w:t xml:space="preserve"> </w:t>
      </w:r>
      <w:r w:rsidR="00E929A7">
        <w:rPr>
          <w:rFonts w:asciiTheme="minorHAnsi" w:hAnsiTheme="minorHAnsi" w:cstheme="minorHAnsi"/>
          <w:sz w:val="26"/>
          <w:szCs w:val="26"/>
        </w:rPr>
        <w:t>(sic)</w:t>
      </w:r>
      <w:r>
        <w:rPr>
          <w:rFonts w:asciiTheme="minorHAnsi" w:hAnsiTheme="minorHAnsi" w:cstheme="minorHAnsi"/>
          <w:i/>
          <w:sz w:val="26"/>
          <w:szCs w:val="26"/>
        </w:rPr>
        <w:t xml:space="preserve"> irregular step taken by respondent</w:t>
      </w:r>
      <w:r>
        <w:rPr>
          <w:rFonts w:asciiTheme="minorHAnsi" w:hAnsiTheme="minorHAnsi" w:cstheme="minorHAnsi"/>
          <w:sz w:val="26"/>
          <w:szCs w:val="26"/>
        </w:rPr>
        <w:t xml:space="preserve"> [</w:t>
      </w:r>
      <w:r w:rsidR="00E929A7">
        <w:rPr>
          <w:rFonts w:asciiTheme="minorHAnsi" w:hAnsiTheme="minorHAnsi" w:cstheme="minorHAnsi"/>
          <w:sz w:val="26"/>
          <w:szCs w:val="26"/>
        </w:rPr>
        <w:t>Liberty</w:t>
      </w:r>
      <w:r>
        <w:rPr>
          <w:rFonts w:asciiTheme="minorHAnsi" w:hAnsiTheme="minorHAnsi" w:cstheme="minorHAnsi"/>
          <w:sz w:val="26"/>
          <w:szCs w:val="26"/>
        </w:rPr>
        <w:t>]</w:t>
      </w:r>
      <w:r>
        <w:rPr>
          <w:rFonts w:asciiTheme="minorHAnsi" w:hAnsiTheme="minorHAnsi" w:cstheme="minorHAnsi"/>
          <w:i/>
          <w:sz w:val="26"/>
          <w:szCs w:val="26"/>
        </w:rPr>
        <w:t xml:space="preserve"> ito rule 47</w:t>
      </w:r>
      <w:r>
        <w:rPr>
          <w:rFonts w:asciiTheme="minorHAnsi" w:hAnsiTheme="minorHAnsi" w:cstheme="minorHAnsi"/>
          <w:sz w:val="26"/>
          <w:szCs w:val="26"/>
        </w:rPr>
        <w:t>’;</w:t>
      </w:r>
    </w:p>
    <w:p w:rsidR="009F4149" w:rsidRDefault="009F4149" w:rsidP="007F0551">
      <w:pPr>
        <w:pStyle w:val="ListParagraph"/>
        <w:numPr>
          <w:ilvl w:val="0"/>
          <w:numId w:val="9"/>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An application in terms of rule 30(2)(c) ‘</w:t>
      </w:r>
      <w:r>
        <w:rPr>
          <w:rFonts w:asciiTheme="minorHAnsi" w:hAnsiTheme="minorHAnsi" w:cstheme="minorHAnsi"/>
          <w:i/>
          <w:sz w:val="26"/>
          <w:szCs w:val="26"/>
        </w:rPr>
        <w:t xml:space="preserve">to set aside notice of demand that I must provide security for legal costs’, </w:t>
      </w:r>
      <w:r>
        <w:rPr>
          <w:rFonts w:asciiTheme="minorHAnsi" w:hAnsiTheme="minorHAnsi" w:cstheme="minorHAnsi"/>
          <w:sz w:val="26"/>
          <w:szCs w:val="26"/>
        </w:rPr>
        <w:t>which is being opposed;</w:t>
      </w:r>
    </w:p>
    <w:p w:rsidR="009F4149" w:rsidRDefault="009F4149" w:rsidP="007F0551">
      <w:pPr>
        <w:pStyle w:val="ListParagraph"/>
        <w:numPr>
          <w:ilvl w:val="0"/>
          <w:numId w:val="9"/>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filing of an application for leave to amend the notice of motion</w:t>
      </w:r>
      <w:r w:rsidR="00E929A7">
        <w:rPr>
          <w:rFonts w:asciiTheme="minorHAnsi" w:hAnsiTheme="minorHAnsi" w:cstheme="minorHAnsi"/>
          <w:sz w:val="26"/>
          <w:szCs w:val="26"/>
        </w:rPr>
        <w:t xml:space="preserve"> in the main application</w:t>
      </w:r>
      <w:r>
        <w:rPr>
          <w:rFonts w:asciiTheme="minorHAnsi" w:hAnsiTheme="minorHAnsi" w:cstheme="minorHAnsi"/>
          <w:sz w:val="26"/>
          <w:szCs w:val="26"/>
        </w:rPr>
        <w:t xml:space="preserve"> in terms of rule 28(4) together with a ‘</w:t>
      </w:r>
      <w:r>
        <w:rPr>
          <w:rFonts w:asciiTheme="minorHAnsi" w:hAnsiTheme="minorHAnsi" w:cstheme="minorHAnsi"/>
          <w:i/>
          <w:sz w:val="26"/>
          <w:szCs w:val="26"/>
        </w:rPr>
        <w:t xml:space="preserve">supplementary founding affidavit to an application for leave to amend the notice of motion’, </w:t>
      </w:r>
      <w:r w:rsidRPr="009F4149">
        <w:rPr>
          <w:rFonts w:asciiTheme="minorHAnsi" w:hAnsiTheme="minorHAnsi" w:cstheme="minorHAnsi"/>
          <w:sz w:val="26"/>
          <w:szCs w:val="26"/>
        </w:rPr>
        <w:t>which</w:t>
      </w:r>
      <w:r>
        <w:rPr>
          <w:rFonts w:asciiTheme="minorHAnsi" w:hAnsiTheme="minorHAnsi" w:cstheme="minorHAnsi"/>
          <w:sz w:val="26"/>
          <w:szCs w:val="26"/>
        </w:rPr>
        <w:t xml:space="preserve"> is being opposed.</w:t>
      </w:r>
    </w:p>
    <w:p w:rsidR="007F0551" w:rsidRDefault="007F0551" w:rsidP="00CA0034">
      <w:pPr>
        <w:pStyle w:val="ListParagraph"/>
        <w:rPr>
          <w:rFonts w:asciiTheme="minorHAnsi" w:hAnsiTheme="minorHAnsi" w:cstheme="minorHAnsi"/>
          <w:sz w:val="26"/>
          <w:szCs w:val="26"/>
        </w:rPr>
      </w:pPr>
    </w:p>
    <w:p w:rsidR="00E823A0" w:rsidRPr="00E823A0" w:rsidRDefault="00E823A0" w:rsidP="00E823A0">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Rule 30 application</w:t>
      </w:r>
    </w:p>
    <w:p w:rsidR="00505515" w:rsidRDefault="00505515" w:rsidP="00E929A7">
      <w:pPr>
        <w:pStyle w:val="ListParagraph"/>
        <w:rPr>
          <w:rFonts w:asciiTheme="minorHAnsi" w:hAnsiTheme="minorHAnsi" w:cstheme="minorHAnsi"/>
          <w:sz w:val="26"/>
          <w:szCs w:val="26"/>
        </w:rPr>
      </w:pPr>
    </w:p>
    <w:p w:rsidR="009015AE" w:rsidRDefault="00505515"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respondent </w:t>
      </w:r>
      <w:r w:rsidR="000D627A">
        <w:rPr>
          <w:rFonts w:asciiTheme="minorHAnsi" w:hAnsiTheme="minorHAnsi" w:cstheme="minorHAnsi"/>
          <w:sz w:val="26"/>
          <w:szCs w:val="26"/>
        </w:rPr>
        <w:t xml:space="preserve">delivered a </w:t>
      </w:r>
      <w:r>
        <w:rPr>
          <w:rFonts w:asciiTheme="minorHAnsi" w:hAnsiTheme="minorHAnsi" w:cstheme="minorHAnsi"/>
          <w:sz w:val="26"/>
          <w:szCs w:val="26"/>
        </w:rPr>
        <w:t xml:space="preserve">notice of objection </w:t>
      </w:r>
      <w:r w:rsidR="000D627A">
        <w:rPr>
          <w:rFonts w:asciiTheme="minorHAnsi" w:hAnsiTheme="minorHAnsi" w:cstheme="minorHAnsi"/>
          <w:sz w:val="26"/>
          <w:szCs w:val="26"/>
        </w:rPr>
        <w:t>in terms of Rule 30</w:t>
      </w:r>
      <w:r w:rsidR="0072417F">
        <w:rPr>
          <w:rStyle w:val="FootnoteReference"/>
          <w:rFonts w:asciiTheme="minorHAnsi" w:hAnsiTheme="minorHAnsi" w:cstheme="minorHAnsi"/>
          <w:sz w:val="26"/>
          <w:szCs w:val="26"/>
        </w:rPr>
        <w:footnoteReference w:id="2"/>
      </w:r>
      <w:r w:rsidR="000D627A">
        <w:rPr>
          <w:rFonts w:asciiTheme="minorHAnsi" w:hAnsiTheme="minorHAnsi" w:cstheme="minorHAnsi"/>
          <w:sz w:val="26"/>
          <w:szCs w:val="26"/>
        </w:rPr>
        <w:t xml:space="preserve"> pursuant to receipt of the rule 47 notice</w:t>
      </w:r>
      <w:r w:rsidR="00650E95">
        <w:rPr>
          <w:rFonts w:asciiTheme="minorHAnsi" w:hAnsiTheme="minorHAnsi" w:cstheme="minorHAnsi"/>
          <w:sz w:val="26"/>
          <w:szCs w:val="26"/>
        </w:rPr>
        <w:t xml:space="preserve"> calling for security</w:t>
      </w:r>
      <w:r w:rsidR="000D627A">
        <w:rPr>
          <w:rFonts w:asciiTheme="minorHAnsi" w:hAnsiTheme="minorHAnsi" w:cstheme="minorHAnsi"/>
          <w:sz w:val="26"/>
          <w:szCs w:val="26"/>
        </w:rPr>
        <w:t xml:space="preserve">. </w:t>
      </w:r>
      <w:r w:rsidR="00BE6604">
        <w:rPr>
          <w:rFonts w:asciiTheme="minorHAnsi" w:hAnsiTheme="minorHAnsi" w:cstheme="minorHAnsi"/>
          <w:sz w:val="26"/>
          <w:szCs w:val="26"/>
        </w:rPr>
        <w:t xml:space="preserve">The notice </w:t>
      </w:r>
      <w:r w:rsidR="00650E95">
        <w:rPr>
          <w:rFonts w:asciiTheme="minorHAnsi" w:hAnsiTheme="minorHAnsi" w:cstheme="minorHAnsi"/>
          <w:sz w:val="26"/>
          <w:szCs w:val="26"/>
        </w:rPr>
        <w:t xml:space="preserve">of objection </w:t>
      </w:r>
      <w:r w:rsidR="00BE6604">
        <w:rPr>
          <w:rFonts w:asciiTheme="minorHAnsi" w:hAnsiTheme="minorHAnsi" w:cstheme="minorHAnsi"/>
          <w:sz w:val="26"/>
          <w:szCs w:val="26"/>
        </w:rPr>
        <w:t xml:space="preserve">is lengthy and for the most part, contains surplus verbiage including </w:t>
      </w:r>
      <w:r w:rsidR="00650E95">
        <w:rPr>
          <w:rFonts w:asciiTheme="minorHAnsi" w:hAnsiTheme="minorHAnsi" w:cstheme="minorHAnsi"/>
          <w:sz w:val="26"/>
          <w:szCs w:val="26"/>
        </w:rPr>
        <w:t>unintelligible</w:t>
      </w:r>
      <w:r w:rsidR="00BE6604">
        <w:rPr>
          <w:rFonts w:asciiTheme="minorHAnsi" w:hAnsiTheme="minorHAnsi" w:cstheme="minorHAnsi"/>
          <w:sz w:val="26"/>
          <w:szCs w:val="26"/>
        </w:rPr>
        <w:t xml:space="preserve"> argument. </w:t>
      </w:r>
      <w:r w:rsidR="00650E95">
        <w:rPr>
          <w:rFonts w:asciiTheme="minorHAnsi" w:hAnsiTheme="minorHAnsi" w:cstheme="minorHAnsi"/>
          <w:sz w:val="26"/>
          <w:szCs w:val="26"/>
        </w:rPr>
        <w:t xml:space="preserve">In </w:t>
      </w:r>
      <w:r w:rsidR="00E929A7">
        <w:rPr>
          <w:rFonts w:asciiTheme="minorHAnsi" w:hAnsiTheme="minorHAnsi" w:cstheme="minorHAnsi"/>
          <w:sz w:val="26"/>
          <w:szCs w:val="26"/>
        </w:rPr>
        <w:t>the</w:t>
      </w:r>
      <w:r w:rsidR="00650E95">
        <w:rPr>
          <w:rFonts w:asciiTheme="minorHAnsi" w:hAnsiTheme="minorHAnsi" w:cstheme="minorHAnsi"/>
          <w:sz w:val="26"/>
          <w:szCs w:val="26"/>
        </w:rPr>
        <w:t xml:space="preserve"> notice of objection</w:t>
      </w:r>
      <w:r w:rsidR="005C5731">
        <w:rPr>
          <w:rFonts w:asciiTheme="minorHAnsi" w:hAnsiTheme="minorHAnsi" w:cstheme="minorHAnsi"/>
          <w:sz w:val="26"/>
          <w:szCs w:val="26"/>
        </w:rPr>
        <w:t>, Mr Moloka</w:t>
      </w:r>
      <w:r>
        <w:rPr>
          <w:rFonts w:asciiTheme="minorHAnsi" w:hAnsiTheme="minorHAnsi" w:cstheme="minorHAnsi"/>
          <w:sz w:val="26"/>
          <w:szCs w:val="26"/>
        </w:rPr>
        <w:t xml:space="preserve"> </w:t>
      </w:r>
      <w:r w:rsidR="00650E95">
        <w:rPr>
          <w:rFonts w:asciiTheme="minorHAnsi" w:hAnsiTheme="minorHAnsi" w:cstheme="minorHAnsi"/>
          <w:sz w:val="26"/>
          <w:szCs w:val="26"/>
        </w:rPr>
        <w:t>complains</w:t>
      </w:r>
      <w:r w:rsidR="005C5731">
        <w:rPr>
          <w:rFonts w:asciiTheme="minorHAnsi" w:hAnsiTheme="minorHAnsi" w:cstheme="minorHAnsi"/>
          <w:sz w:val="26"/>
          <w:szCs w:val="26"/>
        </w:rPr>
        <w:t>,</w:t>
      </w:r>
      <w:r w:rsidR="000D627A">
        <w:rPr>
          <w:rFonts w:asciiTheme="minorHAnsi" w:hAnsiTheme="minorHAnsi" w:cstheme="minorHAnsi"/>
          <w:sz w:val="26"/>
          <w:szCs w:val="26"/>
        </w:rPr>
        <w:t xml:space="preserve"> </w:t>
      </w:r>
      <w:r w:rsidR="005C5731">
        <w:rPr>
          <w:rFonts w:asciiTheme="minorHAnsi" w:hAnsiTheme="minorHAnsi" w:cstheme="minorHAnsi"/>
          <w:sz w:val="26"/>
          <w:szCs w:val="26"/>
        </w:rPr>
        <w:t xml:space="preserve">amongst others, </w:t>
      </w:r>
      <w:r w:rsidR="000D627A">
        <w:rPr>
          <w:rFonts w:asciiTheme="minorHAnsi" w:hAnsiTheme="minorHAnsi" w:cstheme="minorHAnsi"/>
          <w:sz w:val="26"/>
          <w:szCs w:val="26"/>
        </w:rPr>
        <w:t>that</w:t>
      </w:r>
      <w:r>
        <w:rPr>
          <w:rFonts w:asciiTheme="minorHAnsi" w:hAnsiTheme="minorHAnsi" w:cstheme="minorHAnsi"/>
          <w:sz w:val="26"/>
          <w:szCs w:val="26"/>
        </w:rPr>
        <w:t xml:space="preserve"> the rule 47 notice </w:t>
      </w:r>
      <w:r w:rsidR="00650E95">
        <w:rPr>
          <w:rFonts w:asciiTheme="minorHAnsi" w:hAnsiTheme="minorHAnsi" w:cstheme="minorHAnsi"/>
          <w:sz w:val="26"/>
          <w:szCs w:val="26"/>
        </w:rPr>
        <w:t xml:space="preserve">delivered by Liberty </w:t>
      </w:r>
      <w:r>
        <w:rPr>
          <w:rFonts w:asciiTheme="minorHAnsi" w:hAnsiTheme="minorHAnsi" w:cstheme="minorHAnsi"/>
          <w:sz w:val="26"/>
          <w:szCs w:val="26"/>
        </w:rPr>
        <w:t>constitutes an irregular step in that</w:t>
      </w:r>
      <w:r w:rsidR="00867B6C">
        <w:rPr>
          <w:rFonts w:asciiTheme="minorHAnsi" w:hAnsiTheme="minorHAnsi" w:cstheme="minorHAnsi"/>
          <w:sz w:val="26"/>
          <w:szCs w:val="26"/>
        </w:rPr>
        <w:t>:</w:t>
      </w:r>
      <w:r>
        <w:rPr>
          <w:rFonts w:asciiTheme="minorHAnsi" w:hAnsiTheme="minorHAnsi" w:cstheme="minorHAnsi"/>
          <w:sz w:val="26"/>
          <w:szCs w:val="26"/>
        </w:rPr>
        <w:t xml:space="preserve"> </w:t>
      </w:r>
    </w:p>
    <w:p w:rsidR="009015AE" w:rsidRPr="009015AE" w:rsidRDefault="00650E95" w:rsidP="009015AE">
      <w:pPr>
        <w:pStyle w:val="ListParagraph"/>
        <w:numPr>
          <w:ilvl w:val="0"/>
          <w:numId w:val="10"/>
        </w:numPr>
        <w:spacing w:after="200" w:line="360" w:lineRule="auto"/>
        <w:jc w:val="both"/>
        <w:rPr>
          <w:rFonts w:asciiTheme="minorHAnsi" w:hAnsiTheme="minorHAnsi" w:cstheme="minorHAnsi"/>
          <w:i/>
          <w:sz w:val="26"/>
          <w:szCs w:val="26"/>
        </w:rPr>
      </w:pPr>
      <w:r>
        <w:rPr>
          <w:rFonts w:asciiTheme="minorHAnsi" w:hAnsiTheme="minorHAnsi" w:cstheme="minorHAnsi"/>
          <w:sz w:val="26"/>
          <w:szCs w:val="26"/>
        </w:rPr>
        <w:t>Liberty</w:t>
      </w:r>
      <w:r w:rsidR="00505515" w:rsidRPr="009015AE">
        <w:rPr>
          <w:rFonts w:asciiTheme="minorHAnsi" w:hAnsiTheme="minorHAnsi" w:cstheme="minorHAnsi"/>
          <w:sz w:val="26"/>
          <w:szCs w:val="26"/>
        </w:rPr>
        <w:t xml:space="preserve"> ‘</w:t>
      </w:r>
      <w:r w:rsidR="00505515" w:rsidRPr="009015AE">
        <w:rPr>
          <w:rFonts w:asciiTheme="minorHAnsi" w:hAnsiTheme="minorHAnsi" w:cstheme="minorHAnsi"/>
          <w:i/>
          <w:color w:val="000000"/>
          <w:sz w:val="26"/>
          <w:szCs w:val="26"/>
        </w:rPr>
        <w:t xml:space="preserve">did not within 10 days of sending the notice of intention to oppose </w:t>
      </w:r>
      <w:r w:rsidR="000D627A">
        <w:rPr>
          <w:rFonts w:asciiTheme="minorHAnsi" w:hAnsiTheme="minorHAnsi" w:cstheme="minorHAnsi"/>
          <w:color w:val="000000"/>
          <w:sz w:val="26"/>
          <w:szCs w:val="26"/>
        </w:rPr>
        <w:t xml:space="preserve">[the main application] </w:t>
      </w:r>
      <w:r w:rsidR="00505515" w:rsidRPr="009015AE">
        <w:rPr>
          <w:rFonts w:asciiTheme="minorHAnsi" w:hAnsiTheme="minorHAnsi" w:cstheme="minorHAnsi"/>
          <w:i/>
          <w:color w:val="000000"/>
          <w:sz w:val="26"/>
          <w:szCs w:val="26"/>
        </w:rPr>
        <w:t>served</w:t>
      </w:r>
      <w:r w:rsidR="000D627A">
        <w:rPr>
          <w:rFonts w:asciiTheme="minorHAnsi" w:hAnsiTheme="minorHAnsi" w:cstheme="minorHAnsi"/>
          <w:i/>
          <w:color w:val="000000"/>
          <w:sz w:val="26"/>
          <w:szCs w:val="26"/>
        </w:rPr>
        <w:t xml:space="preserve"> </w:t>
      </w:r>
      <w:r w:rsidR="000D627A">
        <w:rPr>
          <w:rFonts w:asciiTheme="minorHAnsi" w:hAnsiTheme="minorHAnsi" w:cstheme="minorHAnsi"/>
          <w:color w:val="000000"/>
          <w:sz w:val="26"/>
          <w:szCs w:val="26"/>
        </w:rPr>
        <w:t>(sic)</w:t>
      </w:r>
      <w:r w:rsidR="00505515" w:rsidRPr="009015AE">
        <w:rPr>
          <w:rFonts w:asciiTheme="minorHAnsi" w:hAnsiTheme="minorHAnsi" w:cstheme="minorHAnsi"/>
          <w:i/>
          <w:color w:val="000000"/>
          <w:sz w:val="26"/>
          <w:szCs w:val="26"/>
        </w:rPr>
        <w:t xml:space="preserve"> the notice of demand that I must provide security for legal costs…as provided by the rules of court</w:t>
      </w:r>
      <w:r w:rsidR="009015AE" w:rsidRPr="009015AE">
        <w:rPr>
          <w:rFonts w:asciiTheme="minorHAnsi" w:hAnsiTheme="minorHAnsi" w:cstheme="minorHAnsi"/>
          <w:i/>
          <w:color w:val="000000"/>
          <w:sz w:val="26"/>
          <w:szCs w:val="26"/>
        </w:rPr>
        <w:t>’;</w:t>
      </w:r>
      <w:r w:rsidR="000D627A">
        <w:rPr>
          <w:rFonts w:asciiTheme="minorHAnsi" w:hAnsiTheme="minorHAnsi" w:cstheme="minorHAnsi"/>
          <w:color w:val="000000"/>
          <w:sz w:val="26"/>
          <w:szCs w:val="26"/>
        </w:rPr>
        <w:t xml:space="preserve"> </w:t>
      </w:r>
    </w:p>
    <w:p w:rsidR="009015AE" w:rsidRPr="009015AE" w:rsidRDefault="009D0D61" w:rsidP="009015AE">
      <w:pPr>
        <w:pStyle w:val="ListParagraph"/>
        <w:numPr>
          <w:ilvl w:val="0"/>
          <w:numId w:val="10"/>
        </w:numPr>
        <w:spacing w:before="100" w:beforeAutospacing="1" w:after="100" w:afterAutospacing="1" w:line="360" w:lineRule="auto"/>
        <w:jc w:val="both"/>
        <w:rPr>
          <w:rFonts w:asciiTheme="minorHAnsi" w:hAnsiTheme="minorHAnsi" w:cstheme="minorHAnsi"/>
          <w:color w:val="000000"/>
          <w:sz w:val="26"/>
          <w:szCs w:val="26"/>
          <w:lang w:val="en-ZA" w:eastAsia="en-ZA"/>
        </w:rPr>
      </w:pPr>
      <w:r>
        <w:rPr>
          <w:rFonts w:asciiTheme="minorHAnsi" w:hAnsiTheme="minorHAnsi" w:cstheme="minorHAnsi"/>
          <w:color w:val="000000"/>
          <w:sz w:val="26"/>
          <w:szCs w:val="26"/>
          <w:lang w:val="en-ZA" w:eastAsia="en-ZA"/>
        </w:rPr>
        <w:t>Liberty</w:t>
      </w:r>
      <w:r w:rsidR="009015AE" w:rsidRPr="009015AE">
        <w:rPr>
          <w:rFonts w:asciiTheme="minorHAnsi" w:hAnsiTheme="minorHAnsi" w:cstheme="minorHAnsi"/>
          <w:color w:val="000000"/>
          <w:sz w:val="26"/>
          <w:szCs w:val="26"/>
          <w:lang w:val="en-ZA" w:eastAsia="en-ZA"/>
        </w:rPr>
        <w:t xml:space="preserve"> ‘</w:t>
      </w:r>
      <w:r w:rsidR="009015AE" w:rsidRPr="009015AE">
        <w:rPr>
          <w:rFonts w:asciiTheme="minorHAnsi" w:hAnsiTheme="minorHAnsi" w:cstheme="minorHAnsi"/>
          <w:i/>
          <w:color w:val="000000"/>
          <w:sz w:val="26"/>
          <w:szCs w:val="26"/>
          <w:lang w:val="en-ZA" w:eastAsia="en-ZA"/>
        </w:rPr>
        <w:t xml:space="preserve">has been expected in terms of Rule 30(2)(b) to serve the notice of demand that I must provide security for legal costs if </w:t>
      </w:r>
      <w:r w:rsidR="009015AE" w:rsidRPr="009D0D61">
        <w:rPr>
          <w:rFonts w:asciiTheme="minorHAnsi" w:hAnsiTheme="minorHAnsi" w:cstheme="minorHAnsi"/>
          <w:color w:val="000000"/>
          <w:sz w:val="26"/>
          <w:szCs w:val="26"/>
          <w:lang w:val="en-ZA" w:eastAsia="en-ZA"/>
        </w:rPr>
        <w:t>[</w:t>
      </w:r>
      <w:r>
        <w:rPr>
          <w:rFonts w:asciiTheme="minorHAnsi" w:hAnsiTheme="minorHAnsi" w:cstheme="minorHAnsi"/>
          <w:color w:val="000000"/>
          <w:sz w:val="26"/>
          <w:szCs w:val="26"/>
          <w:lang w:val="en-ZA" w:eastAsia="en-ZA"/>
        </w:rPr>
        <w:t>Liberty</w:t>
      </w:r>
      <w:r w:rsidR="009015AE" w:rsidRPr="009D0D61">
        <w:rPr>
          <w:rFonts w:asciiTheme="minorHAnsi" w:hAnsiTheme="minorHAnsi" w:cstheme="minorHAnsi"/>
          <w:color w:val="000000"/>
          <w:sz w:val="26"/>
          <w:szCs w:val="26"/>
          <w:lang w:val="en-ZA" w:eastAsia="en-ZA"/>
        </w:rPr>
        <w:t>]</w:t>
      </w:r>
      <w:r w:rsidR="009015AE" w:rsidRPr="009015AE">
        <w:rPr>
          <w:rFonts w:asciiTheme="minorHAnsi" w:hAnsiTheme="minorHAnsi" w:cstheme="minorHAnsi"/>
          <w:i/>
          <w:color w:val="000000"/>
          <w:sz w:val="26"/>
          <w:szCs w:val="26"/>
          <w:lang w:val="en-ZA" w:eastAsia="en-ZA"/>
        </w:rPr>
        <w:t xml:space="preserve"> had within (10) days of becoming aware of the irregular step afforded </w:t>
      </w:r>
      <w:r>
        <w:rPr>
          <w:rFonts w:asciiTheme="minorHAnsi" w:hAnsiTheme="minorHAnsi" w:cstheme="minorHAnsi"/>
          <w:color w:val="000000"/>
          <w:sz w:val="26"/>
          <w:szCs w:val="26"/>
          <w:lang w:val="en-ZA" w:eastAsia="en-ZA"/>
        </w:rPr>
        <w:t xml:space="preserve">[Mr Moloka] </w:t>
      </w:r>
      <w:r w:rsidR="009015AE" w:rsidRPr="009015AE">
        <w:rPr>
          <w:rFonts w:asciiTheme="minorHAnsi" w:hAnsiTheme="minorHAnsi" w:cstheme="minorHAnsi"/>
          <w:i/>
          <w:color w:val="000000"/>
          <w:sz w:val="26"/>
          <w:szCs w:val="26"/>
          <w:lang w:val="en-ZA" w:eastAsia="en-ZA"/>
        </w:rPr>
        <w:t>an opportunity of removing the cause of complaint within 10 days</w:t>
      </w:r>
      <w:r w:rsidR="009015AE" w:rsidRPr="009015AE">
        <w:rPr>
          <w:rFonts w:asciiTheme="minorHAnsi" w:hAnsiTheme="minorHAnsi" w:cstheme="minorHAnsi"/>
          <w:color w:val="000000"/>
          <w:sz w:val="26"/>
          <w:szCs w:val="26"/>
          <w:lang w:val="en-ZA" w:eastAsia="en-ZA"/>
        </w:rPr>
        <w:t>.’</w:t>
      </w:r>
      <w:r w:rsidR="009015AE">
        <w:rPr>
          <w:rFonts w:asciiTheme="minorHAnsi" w:hAnsiTheme="minorHAnsi" w:cstheme="minorHAnsi"/>
          <w:color w:val="000000"/>
          <w:sz w:val="26"/>
          <w:szCs w:val="26"/>
          <w:lang w:val="en-ZA" w:eastAsia="en-ZA"/>
        </w:rPr>
        <w:t xml:space="preserve"> </w:t>
      </w:r>
      <w:r w:rsidR="005C5731">
        <w:rPr>
          <w:rStyle w:val="FootnoteReference"/>
          <w:rFonts w:asciiTheme="minorHAnsi" w:hAnsiTheme="minorHAnsi" w:cstheme="minorHAnsi"/>
          <w:color w:val="000000"/>
          <w:sz w:val="26"/>
          <w:szCs w:val="26"/>
          <w:lang w:val="en-ZA" w:eastAsia="en-ZA"/>
        </w:rPr>
        <w:footnoteReference w:id="3"/>
      </w:r>
      <w:r>
        <w:rPr>
          <w:rFonts w:asciiTheme="minorHAnsi" w:hAnsiTheme="minorHAnsi" w:cstheme="minorHAnsi"/>
          <w:color w:val="000000"/>
          <w:sz w:val="26"/>
          <w:szCs w:val="26"/>
          <w:lang w:val="en-ZA" w:eastAsia="en-ZA"/>
        </w:rPr>
        <w:t xml:space="preserve"> </w:t>
      </w:r>
      <w:r w:rsidR="009054A1">
        <w:rPr>
          <w:rFonts w:asciiTheme="minorHAnsi" w:hAnsiTheme="minorHAnsi" w:cstheme="minorHAnsi"/>
          <w:color w:val="000000"/>
          <w:sz w:val="26"/>
          <w:szCs w:val="26"/>
          <w:lang w:val="en-ZA" w:eastAsia="en-ZA"/>
        </w:rPr>
        <w:t xml:space="preserve"> (The complaint, as formulated, is not understood)</w:t>
      </w:r>
    </w:p>
    <w:p w:rsidR="00CA0034" w:rsidRDefault="00CA0034" w:rsidP="00CA0034">
      <w:pPr>
        <w:pStyle w:val="ListParagraph"/>
        <w:rPr>
          <w:rFonts w:asciiTheme="minorHAnsi" w:hAnsiTheme="minorHAnsi" w:cstheme="minorHAnsi"/>
          <w:sz w:val="26"/>
          <w:szCs w:val="26"/>
        </w:rPr>
      </w:pPr>
    </w:p>
    <w:p w:rsidR="00CA0034" w:rsidRPr="001D3B95" w:rsidRDefault="000D627A"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During the presentation of oral argument at the hearing of the matter, the respondent clarified that </w:t>
      </w:r>
      <w:r w:rsidR="009054A1">
        <w:rPr>
          <w:rFonts w:asciiTheme="minorHAnsi" w:hAnsiTheme="minorHAnsi" w:cstheme="minorHAnsi"/>
          <w:sz w:val="26"/>
          <w:szCs w:val="26"/>
        </w:rPr>
        <w:t>his</w:t>
      </w:r>
      <w:r w:rsidR="00867B6C">
        <w:rPr>
          <w:rFonts w:asciiTheme="minorHAnsi" w:hAnsiTheme="minorHAnsi" w:cstheme="minorHAnsi"/>
          <w:sz w:val="26"/>
          <w:szCs w:val="26"/>
        </w:rPr>
        <w:t xml:space="preserve"> complaint relates</w:t>
      </w:r>
      <w:r>
        <w:rPr>
          <w:rFonts w:asciiTheme="minorHAnsi" w:hAnsiTheme="minorHAnsi" w:cstheme="minorHAnsi"/>
          <w:sz w:val="26"/>
          <w:szCs w:val="26"/>
        </w:rPr>
        <w:t xml:space="preserve"> to the fact that </w:t>
      </w:r>
      <w:r w:rsidR="009D0D61">
        <w:rPr>
          <w:rFonts w:asciiTheme="minorHAnsi" w:hAnsiTheme="minorHAnsi" w:cstheme="minorHAnsi"/>
          <w:sz w:val="26"/>
          <w:szCs w:val="26"/>
        </w:rPr>
        <w:t>Liberty</w:t>
      </w:r>
      <w:r>
        <w:rPr>
          <w:rFonts w:asciiTheme="minorHAnsi" w:hAnsiTheme="minorHAnsi" w:cstheme="minorHAnsi"/>
          <w:sz w:val="26"/>
          <w:szCs w:val="26"/>
        </w:rPr>
        <w:t xml:space="preserve"> took a further step in the cause by delivering an answering affidavit as well as an application for condonation for filing </w:t>
      </w:r>
      <w:r w:rsidR="00867B6C">
        <w:rPr>
          <w:rFonts w:asciiTheme="minorHAnsi" w:hAnsiTheme="minorHAnsi" w:cstheme="minorHAnsi"/>
          <w:sz w:val="26"/>
          <w:szCs w:val="26"/>
        </w:rPr>
        <w:t xml:space="preserve">its answering affidavit one day late, </w:t>
      </w:r>
      <w:r>
        <w:rPr>
          <w:rFonts w:asciiTheme="minorHAnsi" w:hAnsiTheme="minorHAnsi" w:cstheme="minorHAnsi"/>
          <w:sz w:val="26"/>
          <w:szCs w:val="26"/>
        </w:rPr>
        <w:t>before delivering its rule 47 notice</w:t>
      </w:r>
      <w:r w:rsidR="00867B6C">
        <w:rPr>
          <w:rFonts w:asciiTheme="minorHAnsi" w:hAnsiTheme="minorHAnsi" w:cstheme="minorHAnsi"/>
          <w:sz w:val="26"/>
          <w:szCs w:val="26"/>
        </w:rPr>
        <w:t>, and therefore it has no right to demand security for costs.</w:t>
      </w:r>
    </w:p>
    <w:p w:rsidR="00CA0034" w:rsidRPr="001D3B95" w:rsidRDefault="00CA0034" w:rsidP="00CA0034">
      <w:pPr>
        <w:pStyle w:val="ListParagraph"/>
        <w:rPr>
          <w:rFonts w:asciiTheme="minorHAnsi" w:hAnsiTheme="minorHAnsi" w:cstheme="minorHAnsi"/>
          <w:sz w:val="26"/>
          <w:szCs w:val="26"/>
        </w:rPr>
      </w:pPr>
    </w:p>
    <w:p w:rsidR="00CA0034" w:rsidRPr="00C336F0" w:rsidRDefault="00867B6C"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terms of Rule 30:</w:t>
      </w:r>
    </w:p>
    <w:p w:rsidR="00867B6C" w:rsidRPr="00A20AE1" w:rsidRDefault="00867B6C" w:rsidP="00A20AE1">
      <w:pPr>
        <w:pStyle w:val="ListParagraph"/>
        <w:spacing w:line="276" w:lineRule="auto"/>
        <w:ind w:left="851"/>
        <w:jc w:val="both"/>
        <w:rPr>
          <w:rFonts w:asciiTheme="minorHAnsi" w:hAnsiTheme="minorHAnsi" w:cstheme="minorHAnsi"/>
          <w:sz w:val="22"/>
          <w:szCs w:val="22"/>
        </w:rPr>
      </w:pPr>
      <w:bookmarkStart w:id="1" w:name="0-0-0-42631"/>
      <w:bookmarkStart w:id="2" w:name="0-0-0-42633"/>
      <w:bookmarkEnd w:id="1"/>
      <w:bookmarkEnd w:id="2"/>
      <w:r w:rsidRPr="00A20AE1">
        <w:rPr>
          <w:rFonts w:asciiTheme="minorHAnsi" w:hAnsiTheme="minorHAnsi" w:cstheme="minorHAnsi"/>
          <w:color w:val="000000"/>
          <w:sz w:val="22"/>
          <w:szCs w:val="22"/>
          <w:lang w:eastAsia="en-ZA"/>
        </w:rPr>
        <w:t>(1) A party to a cause in which an irregular step has been taken by any other party may apply to court to set it aside.</w:t>
      </w:r>
    </w:p>
    <w:p w:rsidR="00867B6C" w:rsidRPr="00A20AE1" w:rsidRDefault="00867B6C" w:rsidP="00A20AE1">
      <w:pPr>
        <w:pStyle w:val="ListParagraph"/>
        <w:spacing w:line="276" w:lineRule="auto"/>
        <w:ind w:left="851"/>
        <w:jc w:val="both"/>
        <w:rPr>
          <w:rFonts w:asciiTheme="minorHAnsi" w:hAnsiTheme="minorHAnsi" w:cstheme="minorHAnsi"/>
          <w:sz w:val="22"/>
          <w:szCs w:val="22"/>
        </w:rPr>
      </w:pPr>
      <w:bookmarkStart w:id="3" w:name="0-0-0-42635"/>
      <w:bookmarkEnd w:id="3"/>
      <w:r w:rsidRPr="00A20AE1">
        <w:rPr>
          <w:rFonts w:asciiTheme="minorHAnsi" w:hAnsiTheme="minorHAnsi" w:cstheme="minorHAnsi"/>
          <w:color w:val="000000"/>
          <w:sz w:val="22"/>
          <w:szCs w:val="22"/>
          <w:lang w:eastAsia="en-ZA"/>
        </w:rPr>
        <w:t>(2) An application in terms of subrule (1) shall be on notice to all parties specifying particulars of the irregularity or impropriety alleged, and may be made only if—</w:t>
      </w:r>
    </w:p>
    <w:p w:rsidR="00867B6C" w:rsidRPr="00A20AE1" w:rsidRDefault="00867B6C" w:rsidP="00A20AE1">
      <w:pPr>
        <w:pStyle w:val="ListParagraph"/>
        <w:spacing w:line="276" w:lineRule="auto"/>
        <w:ind w:left="2160" w:hanging="884"/>
        <w:jc w:val="both"/>
        <w:rPr>
          <w:rFonts w:asciiTheme="minorHAnsi" w:hAnsiTheme="minorHAnsi" w:cstheme="minorHAnsi"/>
          <w:sz w:val="22"/>
          <w:szCs w:val="22"/>
        </w:rPr>
      </w:pPr>
      <w:bookmarkStart w:id="4" w:name="0-0-0-42637"/>
      <w:bookmarkEnd w:id="4"/>
      <w:r w:rsidRPr="00A20AE1">
        <w:rPr>
          <w:rFonts w:asciiTheme="minorHAnsi" w:hAnsiTheme="minorHAnsi" w:cstheme="minorHAnsi"/>
          <w:i/>
          <w:iCs/>
          <w:color w:val="000000"/>
          <w:sz w:val="22"/>
          <w:szCs w:val="22"/>
          <w:lang w:eastAsia="en-ZA"/>
        </w:rPr>
        <w:t>(a)</w:t>
      </w:r>
      <w:r w:rsidRPr="00A20AE1">
        <w:rPr>
          <w:rFonts w:asciiTheme="minorHAnsi" w:hAnsiTheme="minorHAnsi" w:cstheme="minorHAnsi"/>
          <w:i/>
          <w:iCs/>
          <w:color w:val="000000"/>
          <w:sz w:val="22"/>
          <w:szCs w:val="22"/>
          <w:lang w:eastAsia="en-ZA"/>
        </w:rPr>
        <w:tab/>
      </w:r>
      <w:r w:rsidRPr="00A20AE1">
        <w:rPr>
          <w:rFonts w:asciiTheme="minorHAnsi" w:hAnsiTheme="minorHAnsi" w:cstheme="minorHAnsi"/>
          <w:b/>
          <w:color w:val="000000"/>
          <w:sz w:val="22"/>
          <w:szCs w:val="22"/>
          <w:lang w:eastAsia="en-ZA"/>
        </w:rPr>
        <w:t>the applicant</w:t>
      </w:r>
      <w:r w:rsidRPr="00A20AE1">
        <w:rPr>
          <w:rFonts w:asciiTheme="minorHAnsi" w:hAnsiTheme="minorHAnsi" w:cstheme="minorHAnsi"/>
          <w:color w:val="000000"/>
          <w:sz w:val="22"/>
          <w:szCs w:val="22"/>
          <w:lang w:eastAsia="en-ZA"/>
        </w:rPr>
        <w:t xml:space="preserve"> </w:t>
      </w:r>
      <w:r w:rsidRPr="00A20AE1">
        <w:rPr>
          <w:rFonts w:asciiTheme="minorHAnsi" w:hAnsiTheme="minorHAnsi" w:cstheme="minorHAnsi"/>
          <w:color w:val="000000"/>
          <w:sz w:val="22"/>
          <w:szCs w:val="22"/>
          <w:u w:val="single"/>
          <w:lang w:eastAsia="en-ZA"/>
        </w:rPr>
        <w:t>has not himself taken a further step in the cause with knowledge of the irregularity</w:t>
      </w:r>
      <w:r w:rsidRPr="00A20AE1">
        <w:rPr>
          <w:rFonts w:asciiTheme="minorHAnsi" w:hAnsiTheme="minorHAnsi" w:cstheme="minorHAnsi"/>
          <w:color w:val="000000"/>
          <w:sz w:val="22"/>
          <w:szCs w:val="22"/>
          <w:lang w:eastAsia="en-ZA"/>
        </w:rPr>
        <w:t>;</w:t>
      </w:r>
    </w:p>
    <w:p w:rsidR="00867B6C" w:rsidRPr="00A20AE1" w:rsidRDefault="00867B6C" w:rsidP="00A20AE1">
      <w:pPr>
        <w:pStyle w:val="ListParagraph"/>
        <w:spacing w:line="276" w:lineRule="auto"/>
        <w:ind w:left="2160" w:hanging="884"/>
        <w:jc w:val="both"/>
        <w:rPr>
          <w:rFonts w:asciiTheme="minorHAnsi" w:hAnsiTheme="minorHAnsi" w:cstheme="minorHAnsi"/>
          <w:sz w:val="22"/>
          <w:szCs w:val="22"/>
        </w:rPr>
      </w:pPr>
      <w:bookmarkStart w:id="5" w:name="0-0-0-42639"/>
      <w:bookmarkEnd w:id="5"/>
      <w:r w:rsidRPr="00A20AE1">
        <w:rPr>
          <w:rFonts w:asciiTheme="minorHAnsi" w:hAnsiTheme="minorHAnsi" w:cstheme="minorHAnsi"/>
          <w:i/>
          <w:iCs/>
          <w:color w:val="000000"/>
          <w:sz w:val="22"/>
          <w:szCs w:val="22"/>
          <w:lang w:eastAsia="en-ZA"/>
        </w:rPr>
        <w:t>(b</w:t>
      </w:r>
      <w:r w:rsidRPr="00A20AE1">
        <w:rPr>
          <w:rFonts w:asciiTheme="minorHAnsi" w:hAnsiTheme="minorHAnsi" w:cstheme="minorHAnsi"/>
          <w:i/>
          <w:iCs/>
          <w:color w:val="000000"/>
          <w:sz w:val="22"/>
          <w:szCs w:val="22"/>
          <w:lang w:eastAsia="en-ZA"/>
        </w:rPr>
        <w:tab/>
      </w:r>
      <w:r w:rsidRPr="00A20AE1">
        <w:rPr>
          <w:rFonts w:asciiTheme="minorHAnsi" w:hAnsiTheme="minorHAnsi" w:cstheme="minorHAnsi"/>
          <w:b/>
          <w:color w:val="000000"/>
          <w:sz w:val="22"/>
          <w:szCs w:val="22"/>
          <w:lang w:eastAsia="en-ZA"/>
        </w:rPr>
        <w:t xml:space="preserve">the applicant </w:t>
      </w:r>
      <w:r w:rsidRPr="00BE6604">
        <w:rPr>
          <w:rFonts w:asciiTheme="minorHAnsi" w:hAnsiTheme="minorHAnsi" w:cstheme="minorHAnsi"/>
          <w:color w:val="000000"/>
          <w:sz w:val="22"/>
          <w:szCs w:val="22"/>
          <w:lang w:eastAsia="en-ZA"/>
        </w:rPr>
        <w:t>has</w:t>
      </w:r>
      <w:r w:rsidRPr="00A20AE1">
        <w:rPr>
          <w:rFonts w:asciiTheme="minorHAnsi" w:hAnsiTheme="minorHAnsi" w:cstheme="minorHAnsi"/>
          <w:color w:val="000000"/>
          <w:sz w:val="22"/>
          <w:szCs w:val="22"/>
          <w:lang w:eastAsia="en-ZA"/>
        </w:rPr>
        <w:t>, within ten days of becoming aware of the step, by written notice afforded his opponent an opportunity of removing the cause of complaint within ten days;</w:t>
      </w:r>
    </w:p>
    <w:p w:rsidR="00867B6C" w:rsidRPr="00A20AE1" w:rsidRDefault="00867B6C" w:rsidP="00A20AE1">
      <w:pPr>
        <w:pStyle w:val="ListParagraph"/>
        <w:spacing w:line="276" w:lineRule="auto"/>
        <w:ind w:left="851" w:firstLine="425"/>
        <w:jc w:val="both"/>
        <w:rPr>
          <w:rFonts w:asciiTheme="minorHAnsi" w:hAnsiTheme="minorHAnsi" w:cstheme="minorHAnsi"/>
          <w:sz w:val="22"/>
          <w:szCs w:val="22"/>
        </w:rPr>
      </w:pPr>
      <w:bookmarkStart w:id="6" w:name="0-0-0-42641"/>
      <w:bookmarkEnd w:id="6"/>
      <w:r w:rsidRPr="00A20AE1">
        <w:rPr>
          <w:rFonts w:asciiTheme="minorHAnsi" w:hAnsiTheme="minorHAnsi" w:cstheme="minorHAnsi"/>
          <w:i/>
          <w:iCs/>
          <w:color w:val="000000"/>
          <w:sz w:val="22"/>
          <w:szCs w:val="22"/>
          <w:lang w:eastAsia="en-ZA"/>
        </w:rPr>
        <w:t>(c)</w:t>
      </w:r>
      <w:r w:rsidRPr="00A20AE1">
        <w:rPr>
          <w:rFonts w:asciiTheme="minorHAnsi" w:hAnsiTheme="minorHAnsi" w:cstheme="minorHAnsi"/>
          <w:i/>
          <w:iCs/>
          <w:color w:val="000000"/>
          <w:sz w:val="22"/>
          <w:szCs w:val="22"/>
          <w:lang w:eastAsia="en-ZA"/>
        </w:rPr>
        <w:tab/>
      </w:r>
      <w:r w:rsidRPr="00A20AE1">
        <w:rPr>
          <w:rFonts w:asciiTheme="minorHAnsi" w:hAnsiTheme="minorHAnsi" w:cstheme="minorHAnsi"/>
          <w:color w:val="000000"/>
          <w:sz w:val="22"/>
          <w:szCs w:val="22"/>
          <w:lang w:eastAsia="en-ZA"/>
        </w:rPr>
        <w:t>the application is delivered within fifteen days after the expiry of the second period mentioned in paragraph</w:t>
      </w:r>
      <w:r w:rsidR="00C214F8">
        <w:rPr>
          <w:rFonts w:asciiTheme="minorHAnsi" w:hAnsiTheme="minorHAnsi" w:cstheme="minorHAnsi"/>
          <w:color w:val="000000"/>
          <w:sz w:val="22"/>
          <w:szCs w:val="22"/>
          <w:lang w:eastAsia="en-ZA"/>
        </w:rPr>
        <w:t xml:space="preserve"> </w:t>
      </w:r>
      <w:r w:rsidRPr="00A20AE1">
        <w:rPr>
          <w:rFonts w:asciiTheme="minorHAnsi" w:hAnsiTheme="minorHAnsi" w:cstheme="minorHAnsi"/>
          <w:i/>
          <w:iCs/>
          <w:color w:val="000000"/>
          <w:sz w:val="22"/>
          <w:szCs w:val="22"/>
          <w:lang w:eastAsia="en-ZA"/>
        </w:rPr>
        <w:t>(b)</w:t>
      </w:r>
      <w:r w:rsidR="00C214F8">
        <w:rPr>
          <w:rFonts w:asciiTheme="minorHAnsi" w:hAnsiTheme="minorHAnsi" w:cstheme="minorHAnsi"/>
          <w:i/>
          <w:iCs/>
          <w:color w:val="000000"/>
          <w:sz w:val="22"/>
          <w:szCs w:val="22"/>
          <w:lang w:eastAsia="en-ZA"/>
        </w:rPr>
        <w:t xml:space="preserve"> </w:t>
      </w:r>
      <w:r w:rsidRPr="00A20AE1">
        <w:rPr>
          <w:rFonts w:asciiTheme="minorHAnsi" w:hAnsiTheme="minorHAnsi" w:cstheme="minorHAnsi"/>
          <w:color w:val="000000"/>
          <w:sz w:val="22"/>
          <w:szCs w:val="22"/>
          <w:lang w:eastAsia="en-ZA"/>
        </w:rPr>
        <w:t>of subrule (2).</w:t>
      </w:r>
    </w:p>
    <w:p w:rsidR="00867B6C" w:rsidRPr="00A20AE1" w:rsidRDefault="00867B6C" w:rsidP="00A20AE1">
      <w:pPr>
        <w:pStyle w:val="ListParagraph"/>
        <w:spacing w:line="276" w:lineRule="auto"/>
        <w:ind w:left="851"/>
        <w:jc w:val="both"/>
        <w:rPr>
          <w:rFonts w:asciiTheme="minorHAnsi" w:hAnsiTheme="minorHAnsi" w:cstheme="minorHAnsi"/>
          <w:sz w:val="22"/>
          <w:szCs w:val="22"/>
        </w:rPr>
      </w:pPr>
      <w:bookmarkStart w:id="7" w:name="0-0-0-42643"/>
      <w:bookmarkEnd w:id="7"/>
      <w:r w:rsidRPr="00A20AE1">
        <w:rPr>
          <w:rFonts w:asciiTheme="minorHAnsi" w:hAnsiTheme="minorHAnsi" w:cstheme="minorHAnsi"/>
          <w:color w:val="000000"/>
          <w:sz w:val="22"/>
          <w:szCs w:val="22"/>
          <w:lang w:eastAsia="en-ZA"/>
        </w:rPr>
        <w:t>(3) If at the hearing of such application the court is of opinion that the proceeding or step is irregular or improper, it may set it aside in whole or in part, either as against all the parties or as against some of them, and grant leave to amend or make any such order as to it seems meet.</w:t>
      </w:r>
    </w:p>
    <w:p w:rsidR="00867B6C" w:rsidRPr="00A20AE1" w:rsidRDefault="00867B6C" w:rsidP="00A20AE1">
      <w:pPr>
        <w:pStyle w:val="ListParagraph"/>
        <w:spacing w:line="276" w:lineRule="auto"/>
        <w:ind w:left="851"/>
        <w:jc w:val="both"/>
        <w:rPr>
          <w:rFonts w:asciiTheme="minorHAnsi" w:hAnsiTheme="minorHAnsi" w:cstheme="minorHAnsi"/>
          <w:sz w:val="22"/>
          <w:szCs w:val="22"/>
        </w:rPr>
      </w:pPr>
      <w:bookmarkStart w:id="8" w:name="0-0-0-42645"/>
      <w:bookmarkEnd w:id="8"/>
      <w:r w:rsidRPr="00A20AE1">
        <w:rPr>
          <w:rFonts w:asciiTheme="minorHAnsi" w:hAnsiTheme="minorHAnsi" w:cstheme="minorHAnsi"/>
          <w:color w:val="000000"/>
          <w:sz w:val="22"/>
          <w:szCs w:val="22"/>
          <w:lang w:eastAsia="en-ZA"/>
        </w:rPr>
        <w:t>(4) Until a party has complied with any order of court made against him in terms of this rule, he shall not take any further step in the cause, save to apply for an extension of time within which to comply with such order.</w:t>
      </w:r>
    </w:p>
    <w:p w:rsidR="00867B6C" w:rsidRPr="00A20AE1" w:rsidRDefault="00867B6C" w:rsidP="00A20AE1">
      <w:pPr>
        <w:pStyle w:val="ListParagraph"/>
        <w:spacing w:line="276" w:lineRule="auto"/>
        <w:ind w:left="851"/>
        <w:jc w:val="both"/>
        <w:rPr>
          <w:rFonts w:asciiTheme="minorHAnsi" w:hAnsiTheme="minorHAnsi" w:cstheme="minorHAnsi"/>
          <w:sz w:val="22"/>
          <w:szCs w:val="22"/>
        </w:rPr>
      </w:pPr>
      <w:bookmarkStart w:id="9" w:name="0-0-0-42647"/>
      <w:bookmarkEnd w:id="9"/>
      <w:r w:rsidRPr="00A20AE1">
        <w:rPr>
          <w:rFonts w:asciiTheme="minorHAnsi" w:hAnsiTheme="minorHAnsi" w:cstheme="minorHAnsi"/>
          <w:color w:val="000000"/>
          <w:sz w:val="22"/>
          <w:szCs w:val="22"/>
          <w:lang w:eastAsia="en-ZA"/>
        </w:rPr>
        <w:t>(5) ...</w:t>
      </w:r>
      <w:r w:rsidR="00A20AE1">
        <w:rPr>
          <w:rFonts w:asciiTheme="minorHAnsi" w:hAnsiTheme="minorHAnsi" w:cstheme="minorHAnsi"/>
          <w:color w:val="000000"/>
          <w:sz w:val="22"/>
          <w:szCs w:val="22"/>
          <w:lang w:eastAsia="en-ZA"/>
        </w:rPr>
        <w:t xml:space="preserve">”  </w:t>
      </w:r>
      <w:r w:rsidR="00A20AE1" w:rsidRPr="00A20AE1">
        <w:rPr>
          <w:rFonts w:asciiTheme="minorHAnsi" w:hAnsiTheme="minorHAnsi" w:cstheme="minorHAnsi"/>
          <w:color w:val="000000"/>
          <w:sz w:val="26"/>
          <w:szCs w:val="26"/>
          <w:lang w:eastAsia="en-ZA"/>
        </w:rPr>
        <w:t>(emphasis added)</w:t>
      </w:r>
    </w:p>
    <w:p w:rsidR="00CA0034" w:rsidRPr="00E85CE9" w:rsidRDefault="00CA0034" w:rsidP="00CA0034">
      <w:pPr>
        <w:pStyle w:val="ListParagraph"/>
        <w:rPr>
          <w:rFonts w:asciiTheme="minorHAnsi" w:hAnsiTheme="minorHAnsi" w:cstheme="minorHAnsi"/>
          <w:sz w:val="26"/>
          <w:szCs w:val="26"/>
        </w:rPr>
      </w:pPr>
    </w:p>
    <w:p w:rsidR="00383545" w:rsidRDefault="00BE6604"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As regards the first complaint, </w:t>
      </w:r>
      <w:r w:rsidR="005C6EE2">
        <w:rPr>
          <w:rFonts w:asciiTheme="minorHAnsi" w:hAnsiTheme="minorHAnsi" w:cstheme="minorHAnsi"/>
          <w:sz w:val="26"/>
          <w:szCs w:val="26"/>
        </w:rPr>
        <w:t>Mr M</w:t>
      </w:r>
      <w:r w:rsidR="009054A1">
        <w:rPr>
          <w:rFonts w:asciiTheme="minorHAnsi" w:hAnsiTheme="minorHAnsi" w:cstheme="minorHAnsi"/>
          <w:sz w:val="26"/>
          <w:szCs w:val="26"/>
        </w:rPr>
        <w:t>a</w:t>
      </w:r>
      <w:r w:rsidR="005C6EE2">
        <w:rPr>
          <w:rFonts w:asciiTheme="minorHAnsi" w:hAnsiTheme="minorHAnsi" w:cstheme="minorHAnsi"/>
          <w:sz w:val="26"/>
          <w:szCs w:val="26"/>
        </w:rPr>
        <w:t xml:space="preserve">loka relies on a time period of ten days </w:t>
      </w:r>
      <w:r w:rsidR="0015208C">
        <w:rPr>
          <w:rFonts w:asciiTheme="minorHAnsi" w:hAnsiTheme="minorHAnsi" w:cstheme="minorHAnsi"/>
          <w:sz w:val="26"/>
          <w:szCs w:val="26"/>
        </w:rPr>
        <w:t xml:space="preserve">after delivery of a notice of intention to defend within which a party demanding security is to </w:t>
      </w:r>
      <w:r w:rsidR="00D65AFE">
        <w:rPr>
          <w:rFonts w:asciiTheme="minorHAnsi" w:hAnsiTheme="minorHAnsi" w:cstheme="minorHAnsi"/>
          <w:sz w:val="26"/>
          <w:szCs w:val="26"/>
        </w:rPr>
        <w:t>file</w:t>
      </w:r>
      <w:r w:rsidR="0015208C">
        <w:rPr>
          <w:rFonts w:asciiTheme="minorHAnsi" w:hAnsiTheme="minorHAnsi" w:cstheme="minorHAnsi"/>
          <w:sz w:val="26"/>
          <w:szCs w:val="26"/>
        </w:rPr>
        <w:t xml:space="preserve"> its notice in terms of rule 47.  However, the rule does not prescribe a period of ten days within which to demand security, whether from date of notice of intention to defend or at all, as Mr M</w:t>
      </w:r>
      <w:r w:rsidR="009054A1">
        <w:rPr>
          <w:rFonts w:asciiTheme="minorHAnsi" w:hAnsiTheme="minorHAnsi" w:cstheme="minorHAnsi"/>
          <w:sz w:val="26"/>
          <w:szCs w:val="26"/>
        </w:rPr>
        <w:t>a</w:t>
      </w:r>
      <w:r w:rsidR="0015208C">
        <w:rPr>
          <w:rFonts w:asciiTheme="minorHAnsi" w:hAnsiTheme="minorHAnsi" w:cstheme="minorHAnsi"/>
          <w:sz w:val="26"/>
          <w:szCs w:val="26"/>
        </w:rPr>
        <w:t>loka erroneous</w:t>
      </w:r>
      <w:r w:rsidR="009054A1">
        <w:rPr>
          <w:rFonts w:asciiTheme="minorHAnsi" w:hAnsiTheme="minorHAnsi" w:cstheme="minorHAnsi"/>
          <w:sz w:val="26"/>
          <w:szCs w:val="26"/>
        </w:rPr>
        <w:t>l</w:t>
      </w:r>
      <w:r w:rsidR="0015208C">
        <w:rPr>
          <w:rFonts w:asciiTheme="minorHAnsi" w:hAnsiTheme="minorHAnsi" w:cstheme="minorHAnsi"/>
          <w:sz w:val="26"/>
          <w:szCs w:val="26"/>
        </w:rPr>
        <w:t xml:space="preserve">y believes. </w:t>
      </w:r>
      <w:r>
        <w:rPr>
          <w:rFonts w:asciiTheme="minorHAnsi" w:hAnsiTheme="minorHAnsi" w:cstheme="minorHAnsi"/>
          <w:sz w:val="26"/>
          <w:szCs w:val="26"/>
        </w:rPr>
        <w:t xml:space="preserve">In terms of rule 47(1), ‘a party entitled and desiring to demand security for costs from another shall, </w:t>
      </w:r>
      <w:r>
        <w:rPr>
          <w:rFonts w:asciiTheme="minorHAnsi" w:hAnsiTheme="minorHAnsi" w:cstheme="minorHAnsi"/>
          <w:i/>
          <w:sz w:val="26"/>
          <w:szCs w:val="26"/>
        </w:rPr>
        <w:t>as soon as practicable after the commencement of proceedings,</w:t>
      </w:r>
      <w:r>
        <w:rPr>
          <w:rFonts w:asciiTheme="minorHAnsi" w:hAnsiTheme="minorHAnsi" w:cstheme="minorHAnsi"/>
          <w:sz w:val="26"/>
          <w:szCs w:val="26"/>
        </w:rPr>
        <w:t xml:space="preserve"> deliver a notice setting forth the grounds on which security is claimed, and the amount demanded.’ (emphasis added).</w:t>
      </w:r>
      <w:r w:rsidR="004672C4">
        <w:rPr>
          <w:rFonts w:asciiTheme="minorHAnsi" w:hAnsiTheme="minorHAnsi" w:cstheme="minorHAnsi"/>
          <w:sz w:val="26"/>
          <w:szCs w:val="26"/>
        </w:rPr>
        <w:t xml:space="preserve"> As pointed out in Erasmus,</w:t>
      </w:r>
      <w:r w:rsidR="004672C4">
        <w:rPr>
          <w:rStyle w:val="FootnoteReference"/>
          <w:rFonts w:asciiTheme="minorHAnsi" w:hAnsiTheme="minorHAnsi" w:cstheme="minorHAnsi"/>
          <w:sz w:val="26"/>
          <w:szCs w:val="26"/>
        </w:rPr>
        <w:footnoteReference w:id="4"/>
      </w:r>
      <w:r w:rsidR="004672C4">
        <w:rPr>
          <w:rFonts w:asciiTheme="minorHAnsi" w:hAnsiTheme="minorHAnsi" w:cstheme="minorHAnsi"/>
          <w:sz w:val="26"/>
          <w:szCs w:val="26"/>
        </w:rPr>
        <w:t xml:space="preserve"> even prior to the introduction of rule 47 it was accepted that delay in applying for security is not necessarily a fatal bar to an application for security for costs</w:t>
      </w:r>
      <w:r w:rsidR="00091A9E">
        <w:rPr>
          <w:rFonts w:asciiTheme="minorHAnsi" w:hAnsiTheme="minorHAnsi" w:cstheme="minorHAnsi"/>
          <w:sz w:val="26"/>
          <w:szCs w:val="26"/>
        </w:rPr>
        <w:t>,</w:t>
      </w:r>
      <w:r w:rsidR="00091A9E">
        <w:rPr>
          <w:rStyle w:val="FootnoteReference"/>
          <w:rFonts w:asciiTheme="minorHAnsi" w:hAnsiTheme="minorHAnsi" w:cstheme="minorHAnsi"/>
          <w:sz w:val="26"/>
          <w:szCs w:val="26"/>
        </w:rPr>
        <w:footnoteReference w:id="5"/>
      </w:r>
      <w:r w:rsidR="00091A9E">
        <w:rPr>
          <w:rFonts w:asciiTheme="minorHAnsi" w:hAnsiTheme="minorHAnsi" w:cstheme="minorHAnsi"/>
          <w:sz w:val="26"/>
          <w:szCs w:val="26"/>
        </w:rPr>
        <w:t xml:space="preserve"> and there is nothing in the present rule which suggests delay in demanding or applying for security is to be regarded as fatal.</w:t>
      </w:r>
      <w:r w:rsidR="005C6EE2">
        <w:rPr>
          <w:rFonts w:asciiTheme="minorHAnsi" w:hAnsiTheme="minorHAnsi" w:cstheme="minorHAnsi"/>
          <w:sz w:val="26"/>
          <w:szCs w:val="26"/>
        </w:rPr>
        <w:t xml:space="preserve"> In any event, </w:t>
      </w:r>
      <w:r w:rsidR="0011245F">
        <w:rPr>
          <w:rFonts w:asciiTheme="minorHAnsi" w:hAnsiTheme="minorHAnsi" w:cstheme="minorHAnsi"/>
          <w:sz w:val="26"/>
          <w:szCs w:val="26"/>
        </w:rPr>
        <w:t>there does not appear to have been any unreasonable delay in applying for security for costs when</w:t>
      </w:r>
      <w:r w:rsidR="005C6EE2">
        <w:rPr>
          <w:rFonts w:asciiTheme="minorHAnsi" w:hAnsiTheme="minorHAnsi" w:cstheme="minorHAnsi"/>
          <w:sz w:val="26"/>
          <w:szCs w:val="26"/>
        </w:rPr>
        <w:t xml:space="preserve"> regard </w:t>
      </w:r>
      <w:r w:rsidR="0011245F">
        <w:rPr>
          <w:rFonts w:asciiTheme="minorHAnsi" w:hAnsiTheme="minorHAnsi" w:cstheme="minorHAnsi"/>
          <w:sz w:val="26"/>
          <w:szCs w:val="26"/>
        </w:rPr>
        <w:t xml:space="preserve">is had </w:t>
      </w:r>
      <w:r w:rsidR="005C6EE2">
        <w:rPr>
          <w:rFonts w:asciiTheme="minorHAnsi" w:hAnsiTheme="minorHAnsi" w:cstheme="minorHAnsi"/>
          <w:sz w:val="26"/>
          <w:szCs w:val="26"/>
        </w:rPr>
        <w:t xml:space="preserve">to the timeline </w:t>
      </w:r>
      <w:r w:rsidR="0011245F">
        <w:rPr>
          <w:rFonts w:asciiTheme="minorHAnsi" w:hAnsiTheme="minorHAnsi" w:cstheme="minorHAnsi"/>
          <w:sz w:val="26"/>
          <w:szCs w:val="26"/>
        </w:rPr>
        <w:t xml:space="preserve">that elapsed </w:t>
      </w:r>
      <w:r w:rsidR="0015208C">
        <w:rPr>
          <w:rFonts w:asciiTheme="minorHAnsi" w:hAnsiTheme="minorHAnsi" w:cstheme="minorHAnsi"/>
          <w:sz w:val="26"/>
          <w:szCs w:val="26"/>
        </w:rPr>
        <w:t xml:space="preserve">from </w:t>
      </w:r>
      <w:r w:rsidR="005C6EE2">
        <w:rPr>
          <w:rFonts w:asciiTheme="minorHAnsi" w:hAnsiTheme="minorHAnsi" w:cstheme="minorHAnsi"/>
          <w:sz w:val="26"/>
          <w:szCs w:val="26"/>
        </w:rPr>
        <w:t xml:space="preserve">the </w:t>
      </w:r>
      <w:r w:rsidR="0015208C">
        <w:rPr>
          <w:rFonts w:asciiTheme="minorHAnsi" w:hAnsiTheme="minorHAnsi" w:cstheme="minorHAnsi"/>
          <w:sz w:val="26"/>
          <w:szCs w:val="26"/>
        </w:rPr>
        <w:t xml:space="preserve">date </w:t>
      </w:r>
      <w:r w:rsidR="0011245F">
        <w:rPr>
          <w:rFonts w:asciiTheme="minorHAnsi" w:hAnsiTheme="minorHAnsi" w:cstheme="minorHAnsi"/>
          <w:sz w:val="26"/>
          <w:szCs w:val="26"/>
        </w:rPr>
        <w:t>on which</w:t>
      </w:r>
      <w:r w:rsidR="0015208C">
        <w:rPr>
          <w:rFonts w:asciiTheme="minorHAnsi" w:hAnsiTheme="minorHAnsi" w:cstheme="minorHAnsi"/>
          <w:sz w:val="26"/>
          <w:szCs w:val="26"/>
        </w:rPr>
        <w:t xml:space="preserve"> the </w:t>
      </w:r>
      <w:r w:rsidR="005C6EE2">
        <w:rPr>
          <w:rFonts w:asciiTheme="minorHAnsi" w:hAnsiTheme="minorHAnsi" w:cstheme="minorHAnsi"/>
          <w:sz w:val="26"/>
          <w:szCs w:val="26"/>
        </w:rPr>
        <w:t>main application was launched</w:t>
      </w:r>
      <w:r w:rsidR="0015208C">
        <w:rPr>
          <w:rFonts w:asciiTheme="minorHAnsi" w:hAnsiTheme="minorHAnsi" w:cstheme="minorHAnsi"/>
          <w:sz w:val="26"/>
          <w:szCs w:val="26"/>
        </w:rPr>
        <w:t xml:space="preserve"> until demand was made for security</w:t>
      </w:r>
      <w:r w:rsidR="0047446A">
        <w:rPr>
          <w:rFonts w:asciiTheme="minorHAnsi" w:hAnsiTheme="minorHAnsi" w:cstheme="minorHAnsi"/>
          <w:sz w:val="26"/>
          <w:szCs w:val="26"/>
        </w:rPr>
        <w:t xml:space="preserve"> and the subsequent rule 47 application </w:t>
      </w:r>
      <w:r w:rsidR="0011245F">
        <w:rPr>
          <w:rFonts w:asciiTheme="minorHAnsi" w:hAnsiTheme="minorHAnsi" w:cstheme="minorHAnsi"/>
          <w:sz w:val="26"/>
          <w:szCs w:val="26"/>
        </w:rPr>
        <w:t xml:space="preserve">was </w:t>
      </w:r>
    </w:p>
    <w:p w:rsidR="00BE6604" w:rsidRDefault="0047446A" w:rsidP="008742F5">
      <w:pPr>
        <w:pStyle w:val="ListParagraph"/>
        <w:spacing w:after="200" w:line="360" w:lineRule="auto"/>
        <w:ind w:left="851"/>
        <w:jc w:val="both"/>
        <w:rPr>
          <w:rFonts w:asciiTheme="minorHAnsi" w:hAnsiTheme="minorHAnsi" w:cstheme="minorHAnsi"/>
          <w:sz w:val="26"/>
          <w:szCs w:val="26"/>
        </w:rPr>
      </w:pPr>
      <w:r>
        <w:rPr>
          <w:rFonts w:asciiTheme="minorHAnsi" w:hAnsiTheme="minorHAnsi" w:cstheme="minorHAnsi"/>
          <w:sz w:val="26"/>
          <w:szCs w:val="26"/>
        </w:rPr>
        <w:t>launched</w:t>
      </w:r>
      <w:r w:rsidR="0015208C">
        <w:rPr>
          <w:rFonts w:asciiTheme="minorHAnsi" w:hAnsiTheme="minorHAnsi" w:cstheme="minorHAnsi"/>
          <w:sz w:val="26"/>
          <w:szCs w:val="26"/>
        </w:rPr>
        <w:t>.</w:t>
      </w:r>
      <w:r w:rsidR="0015208C">
        <w:rPr>
          <w:rStyle w:val="FootnoteReference"/>
          <w:rFonts w:asciiTheme="minorHAnsi" w:hAnsiTheme="minorHAnsi" w:cstheme="minorHAnsi"/>
          <w:sz w:val="26"/>
          <w:szCs w:val="26"/>
        </w:rPr>
        <w:footnoteReference w:id="6"/>
      </w:r>
      <w:r w:rsidR="005C6EE2">
        <w:rPr>
          <w:rFonts w:asciiTheme="minorHAnsi" w:hAnsiTheme="minorHAnsi" w:cstheme="minorHAnsi"/>
          <w:sz w:val="26"/>
          <w:szCs w:val="26"/>
        </w:rPr>
        <w:t xml:space="preserve"> </w:t>
      </w:r>
    </w:p>
    <w:p w:rsidR="00BE6604" w:rsidRDefault="00BE6604" w:rsidP="00BE6604">
      <w:pPr>
        <w:pStyle w:val="ListParagraph"/>
        <w:rPr>
          <w:rFonts w:asciiTheme="minorHAnsi" w:hAnsiTheme="minorHAnsi" w:cstheme="minorHAnsi"/>
          <w:sz w:val="26"/>
          <w:szCs w:val="26"/>
        </w:rPr>
      </w:pPr>
    </w:p>
    <w:p w:rsidR="00CA0034" w:rsidRDefault="00A20AE1"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Mr Maloka’s </w:t>
      </w:r>
      <w:r w:rsidR="00BE6604">
        <w:rPr>
          <w:rFonts w:asciiTheme="minorHAnsi" w:hAnsiTheme="minorHAnsi" w:cstheme="minorHAnsi"/>
          <w:sz w:val="26"/>
          <w:szCs w:val="26"/>
        </w:rPr>
        <w:t xml:space="preserve">second </w:t>
      </w:r>
      <w:r>
        <w:rPr>
          <w:rFonts w:asciiTheme="minorHAnsi" w:hAnsiTheme="minorHAnsi" w:cstheme="minorHAnsi"/>
          <w:sz w:val="26"/>
          <w:szCs w:val="26"/>
        </w:rPr>
        <w:t>complaint</w:t>
      </w:r>
      <w:r w:rsidR="002F2058">
        <w:rPr>
          <w:rFonts w:asciiTheme="minorHAnsi" w:hAnsiTheme="minorHAnsi" w:cstheme="minorHAnsi"/>
          <w:sz w:val="26"/>
          <w:szCs w:val="26"/>
        </w:rPr>
        <w:t>, namely,</w:t>
      </w:r>
      <w:r>
        <w:rPr>
          <w:rFonts w:asciiTheme="minorHAnsi" w:hAnsiTheme="minorHAnsi" w:cstheme="minorHAnsi"/>
          <w:sz w:val="26"/>
          <w:szCs w:val="26"/>
        </w:rPr>
        <w:t xml:space="preserve"> that Liberty took a further step in the cause</w:t>
      </w:r>
      <w:r w:rsidR="004C71F0">
        <w:rPr>
          <w:rFonts w:asciiTheme="minorHAnsi" w:hAnsiTheme="minorHAnsi" w:cstheme="minorHAnsi"/>
          <w:sz w:val="26"/>
          <w:szCs w:val="26"/>
        </w:rPr>
        <w:t>,</w:t>
      </w:r>
      <w:r>
        <w:rPr>
          <w:rFonts w:asciiTheme="minorHAnsi" w:hAnsiTheme="minorHAnsi" w:cstheme="minorHAnsi"/>
          <w:sz w:val="26"/>
          <w:szCs w:val="26"/>
        </w:rPr>
        <w:t xml:space="preserve"> is based on an erroneous </w:t>
      </w:r>
      <w:r w:rsidR="00715F92">
        <w:rPr>
          <w:rFonts w:asciiTheme="minorHAnsi" w:hAnsiTheme="minorHAnsi" w:cstheme="minorHAnsi"/>
          <w:sz w:val="26"/>
          <w:szCs w:val="26"/>
        </w:rPr>
        <w:t xml:space="preserve">reading or </w:t>
      </w:r>
      <w:r>
        <w:rPr>
          <w:rFonts w:asciiTheme="minorHAnsi" w:hAnsiTheme="minorHAnsi" w:cstheme="minorHAnsi"/>
          <w:sz w:val="26"/>
          <w:szCs w:val="26"/>
        </w:rPr>
        <w:t xml:space="preserve">understanding of what the rule entails. </w:t>
      </w:r>
      <w:r w:rsidR="0072417F">
        <w:rPr>
          <w:rFonts w:asciiTheme="minorHAnsi" w:hAnsiTheme="minorHAnsi" w:cstheme="minorHAnsi"/>
          <w:sz w:val="26"/>
          <w:szCs w:val="26"/>
        </w:rPr>
        <w:t>It is Mr Maloka who complain</w:t>
      </w:r>
      <w:r w:rsidR="002F2058">
        <w:rPr>
          <w:rFonts w:asciiTheme="minorHAnsi" w:hAnsiTheme="minorHAnsi" w:cstheme="minorHAnsi"/>
          <w:sz w:val="26"/>
          <w:szCs w:val="26"/>
        </w:rPr>
        <w:t>s</w:t>
      </w:r>
      <w:r w:rsidR="0072417F">
        <w:rPr>
          <w:rFonts w:asciiTheme="minorHAnsi" w:hAnsiTheme="minorHAnsi" w:cstheme="minorHAnsi"/>
          <w:sz w:val="26"/>
          <w:szCs w:val="26"/>
        </w:rPr>
        <w:t xml:space="preserve"> that the rule 47 notice </w:t>
      </w:r>
      <w:r w:rsidR="002F2058">
        <w:rPr>
          <w:rFonts w:asciiTheme="minorHAnsi" w:hAnsiTheme="minorHAnsi" w:cstheme="minorHAnsi"/>
          <w:sz w:val="26"/>
          <w:szCs w:val="26"/>
        </w:rPr>
        <w:t>i</w:t>
      </w:r>
      <w:r w:rsidR="00715F92">
        <w:rPr>
          <w:rFonts w:asciiTheme="minorHAnsi" w:hAnsiTheme="minorHAnsi" w:cstheme="minorHAnsi"/>
          <w:sz w:val="26"/>
          <w:szCs w:val="26"/>
        </w:rPr>
        <w:t>s</w:t>
      </w:r>
      <w:r w:rsidR="0072417F">
        <w:rPr>
          <w:rFonts w:asciiTheme="minorHAnsi" w:hAnsiTheme="minorHAnsi" w:cstheme="minorHAnsi"/>
          <w:sz w:val="26"/>
          <w:szCs w:val="26"/>
        </w:rPr>
        <w:t xml:space="preserve"> irregular and </w:t>
      </w:r>
      <w:r w:rsidR="00715F92">
        <w:rPr>
          <w:rFonts w:asciiTheme="minorHAnsi" w:hAnsiTheme="minorHAnsi" w:cstheme="minorHAnsi"/>
          <w:sz w:val="26"/>
          <w:szCs w:val="26"/>
        </w:rPr>
        <w:t xml:space="preserve">it is </w:t>
      </w:r>
      <w:r w:rsidR="002F2058">
        <w:rPr>
          <w:rFonts w:asciiTheme="minorHAnsi" w:hAnsiTheme="minorHAnsi" w:cstheme="minorHAnsi"/>
          <w:sz w:val="26"/>
          <w:szCs w:val="26"/>
        </w:rPr>
        <w:t xml:space="preserve">thus </w:t>
      </w:r>
      <w:r w:rsidR="0072417F">
        <w:rPr>
          <w:rFonts w:asciiTheme="minorHAnsi" w:hAnsiTheme="minorHAnsi" w:cstheme="minorHAnsi"/>
          <w:sz w:val="26"/>
          <w:szCs w:val="26"/>
        </w:rPr>
        <w:t xml:space="preserve">he who </w:t>
      </w:r>
      <w:r w:rsidR="002F2058">
        <w:rPr>
          <w:rFonts w:asciiTheme="minorHAnsi" w:hAnsiTheme="minorHAnsi" w:cstheme="minorHAnsi"/>
          <w:sz w:val="26"/>
          <w:szCs w:val="26"/>
        </w:rPr>
        <w:t xml:space="preserve">is applying </w:t>
      </w:r>
      <w:r w:rsidR="00715F92">
        <w:rPr>
          <w:rFonts w:asciiTheme="minorHAnsi" w:hAnsiTheme="minorHAnsi" w:cstheme="minorHAnsi"/>
          <w:sz w:val="26"/>
          <w:szCs w:val="26"/>
        </w:rPr>
        <w:t xml:space="preserve">in terms of rule 30 for such notice </w:t>
      </w:r>
      <w:r w:rsidR="002F2058">
        <w:rPr>
          <w:rFonts w:asciiTheme="minorHAnsi" w:hAnsiTheme="minorHAnsi" w:cstheme="minorHAnsi"/>
          <w:sz w:val="26"/>
          <w:szCs w:val="26"/>
        </w:rPr>
        <w:t xml:space="preserve">to </w:t>
      </w:r>
      <w:r w:rsidR="00715F92">
        <w:rPr>
          <w:rFonts w:asciiTheme="minorHAnsi" w:hAnsiTheme="minorHAnsi" w:cstheme="minorHAnsi"/>
          <w:sz w:val="26"/>
          <w:szCs w:val="26"/>
        </w:rPr>
        <w:t>be set aside.</w:t>
      </w:r>
      <w:r>
        <w:rPr>
          <w:rFonts w:asciiTheme="minorHAnsi" w:hAnsiTheme="minorHAnsi" w:cstheme="minorHAnsi"/>
          <w:sz w:val="26"/>
          <w:szCs w:val="26"/>
        </w:rPr>
        <w:t xml:space="preserve"> </w:t>
      </w:r>
      <w:r w:rsidR="00715F92">
        <w:rPr>
          <w:rFonts w:asciiTheme="minorHAnsi" w:hAnsiTheme="minorHAnsi" w:cstheme="minorHAnsi"/>
          <w:sz w:val="26"/>
          <w:szCs w:val="26"/>
        </w:rPr>
        <w:t xml:space="preserve">In </w:t>
      </w:r>
      <w:r w:rsidR="002F2058">
        <w:rPr>
          <w:rFonts w:asciiTheme="minorHAnsi" w:hAnsiTheme="minorHAnsi" w:cstheme="minorHAnsi"/>
          <w:sz w:val="26"/>
          <w:szCs w:val="26"/>
        </w:rPr>
        <w:t>terms of</w:t>
      </w:r>
      <w:r w:rsidR="00715F92">
        <w:rPr>
          <w:rFonts w:asciiTheme="minorHAnsi" w:hAnsiTheme="minorHAnsi" w:cstheme="minorHAnsi"/>
          <w:sz w:val="26"/>
          <w:szCs w:val="26"/>
        </w:rPr>
        <w:t xml:space="preserve"> r</w:t>
      </w:r>
      <w:r>
        <w:rPr>
          <w:rFonts w:asciiTheme="minorHAnsi" w:hAnsiTheme="minorHAnsi" w:cstheme="minorHAnsi"/>
          <w:sz w:val="26"/>
          <w:szCs w:val="26"/>
        </w:rPr>
        <w:t>ule 30(2)</w:t>
      </w:r>
      <w:r w:rsidR="00CB6DED">
        <w:rPr>
          <w:rFonts w:asciiTheme="minorHAnsi" w:hAnsiTheme="minorHAnsi" w:cstheme="minorHAnsi"/>
          <w:sz w:val="26"/>
          <w:szCs w:val="26"/>
        </w:rPr>
        <w:t>,</w:t>
      </w:r>
      <w:r>
        <w:rPr>
          <w:rFonts w:asciiTheme="minorHAnsi" w:hAnsiTheme="minorHAnsi" w:cstheme="minorHAnsi"/>
          <w:sz w:val="26"/>
          <w:szCs w:val="26"/>
        </w:rPr>
        <w:t xml:space="preserve"> </w:t>
      </w:r>
      <w:r w:rsidR="00715F92" w:rsidRPr="00715F92">
        <w:rPr>
          <w:rFonts w:asciiTheme="minorHAnsi" w:hAnsiTheme="minorHAnsi" w:cstheme="minorHAnsi"/>
          <w:sz w:val="26"/>
          <w:szCs w:val="26"/>
        </w:rPr>
        <w:t>Mr Maloka</w:t>
      </w:r>
      <w:r w:rsidR="002F2058">
        <w:rPr>
          <w:rFonts w:asciiTheme="minorHAnsi" w:hAnsiTheme="minorHAnsi" w:cstheme="minorHAnsi"/>
          <w:sz w:val="26"/>
          <w:szCs w:val="26"/>
        </w:rPr>
        <w:t xml:space="preserve"> (as applicant)</w:t>
      </w:r>
      <w:r>
        <w:rPr>
          <w:rFonts w:asciiTheme="minorHAnsi" w:hAnsiTheme="minorHAnsi" w:cstheme="minorHAnsi"/>
          <w:sz w:val="26"/>
          <w:szCs w:val="26"/>
        </w:rPr>
        <w:t xml:space="preserve"> </w:t>
      </w:r>
      <w:r w:rsidR="002F2058">
        <w:rPr>
          <w:rFonts w:asciiTheme="minorHAnsi" w:hAnsiTheme="minorHAnsi" w:cstheme="minorHAnsi"/>
          <w:sz w:val="26"/>
          <w:szCs w:val="26"/>
        </w:rPr>
        <w:t>is</w:t>
      </w:r>
      <w:r w:rsidR="0047446A">
        <w:rPr>
          <w:rFonts w:asciiTheme="minorHAnsi" w:hAnsiTheme="minorHAnsi" w:cstheme="minorHAnsi"/>
          <w:sz w:val="26"/>
          <w:szCs w:val="26"/>
        </w:rPr>
        <w:t>,</w:t>
      </w:r>
      <w:r w:rsidR="002F2058">
        <w:rPr>
          <w:rFonts w:asciiTheme="minorHAnsi" w:hAnsiTheme="minorHAnsi" w:cstheme="minorHAnsi"/>
          <w:sz w:val="26"/>
          <w:szCs w:val="26"/>
        </w:rPr>
        <w:t xml:space="preserve"> </w:t>
      </w:r>
      <w:r w:rsidR="00CB6DED" w:rsidRPr="00CB6DED">
        <w:rPr>
          <w:rFonts w:asciiTheme="minorHAnsi" w:hAnsiTheme="minorHAnsi" w:cstheme="minorHAnsi"/>
          <w:sz w:val="26"/>
          <w:szCs w:val="26"/>
        </w:rPr>
        <w:t>amongst other</w:t>
      </w:r>
      <w:r w:rsidR="00C214F8">
        <w:rPr>
          <w:rFonts w:asciiTheme="minorHAnsi" w:hAnsiTheme="minorHAnsi" w:cstheme="minorHAnsi"/>
          <w:sz w:val="26"/>
          <w:szCs w:val="26"/>
        </w:rPr>
        <w:t>s</w:t>
      </w:r>
      <w:r w:rsidR="00CB6DED" w:rsidRPr="00CB6DED">
        <w:rPr>
          <w:rFonts w:asciiTheme="minorHAnsi" w:hAnsiTheme="minorHAnsi" w:cstheme="minorHAnsi"/>
          <w:sz w:val="26"/>
          <w:szCs w:val="26"/>
        </w:rPr>
        <w:t xml:space="preserve"> </w:t>
      </w:r>
      <w:r w:rsidR="002F2058">
        <w:rPr>
          <w:rFonts w:asciiTheme="minorHAnsi" w:hAnsiTheme="minorHAnsi" w:cstheme="minorHAnsi"/>
          <w:sz w:val="26"/>
          <w:szCs w:val="26"/>
        </w:rPr>
        <w:t>precluded from bringing an application in terms of rule 30 if he ha</w:t>
      </w:r>
      <w:r w:rsidR="00CB6DED">
        <w:rPr>
          <w:rFonts w:asciiTheme="minorHAnsi" w:hAnsiTheme="minorHAnsi" w:cstheme="minorHAnsi"/>
          <w:sz w:val="26"/>
          <w:szCs w:val="26"/>
        </w:rPr>
        <w:t>s</w:t>
      </w:r>
      <w:r w:rsidR="002F2058">
        <w:rPr>
          <w:rFonts w:asciiTheme="minorHAnsi" w:hAnsiTheme="minorHAnsi" w:cstheme="minorHAnsi"/>
          <w:sz w:val="26"/>
          <w:szCs w:val="26"/>
        </w:rPr>
        <w:t xml:space="preserve"> taken </w:t>
      </w:r>
      <w:r>
        <w:rPr>
          <w:rFonts w:asciiTheme="minorHAnsi" w:hAnsiTheme="minorHAnsi" w:cstheme="minorHAnsi"/>
          <w:sz w:val="26"/>
          <w:szCs w:val="26"/>
        </w:rPr>
        <w:t>a further step in the cause</w:t>
      </w:r>
      <w:r w:rsidR="002F2058">
        <w:rPr>
          <w:rFonts w:asciiTheme="minorHAnsi" w:hAnsiTheme="minorHAnsi" w:cstheme="minorHAnsi"/>
          <w:sz w:val="26"/>
          <w:szCs w:val="26"/>
        </w:rPr>
        <w:t xml:space="preserve"> (rule 30(2)(a) or if he fail</w:t>
      </w:r>
      <w:r w:rsidR="00C214F8">
        <w:rPr>
          <w:rFonts w:asciiTheme="minorHAnsi" w:hAnsiTheme="minorHAnsi" w:cstheme="minorHAnsi"/>
          <w:sz w:val="26"/>
          <w:szCs w:val="26"/>
        </w:rPr>
        <w:t>s</w:t>
      </w:r>
      <w:r w:rsidR="00CB6DED">
        <w:rPr>
          <w:rFonts w:asciiTheme="minorHAnsi" w:hAnsiTheme="minorHAnsi" w:cstheme="minorHAnsi"/>
          <w:sz w:val="26"/>
          <w:szCs w:val="26"/>
        </w:rPr>
        <w:t xml:space="preserve">, </w:t>
      </w:r>
      <w:r w:rsidR="00715F92">
        <w:rPr>
          <w:rFonts w:asciiTheme="minorHAnsi" w:hAnsiTheme="minorHAnsi" w:cstheme="minorHAnsi"/>
          <w:sz w:val="26"/>
          <w:szCs w:val="26"/>
        </w:rPr>
        <w:t xml:space="preserve">within 10 (ten) days of becoming aware of the </w:t>
      </w:r>
      <w:r w:rsidR="002F2058">
        <w:rPr>
          <w:rFonts w:asciiTheme="minorHAnsi" w:hAnsiTheme="minorHAnsi" w:cstheme="minorHAnsi"/>
          <w:sz w:val="26"/>
          <w:szCs w:val="26"/>
        </w:rPr>
        <w:t>irregular step</w:t>
      </w:r>
      <w:r w:rsidR="00CB6DED">
        <w:rPr>
          <w:rFonts w:asciiTheme="minorHAnsi" w:hAnsiTheme="minorHAnsi" w:cstheme="minorHAnsi"/>
          <w:sz w:val="26"/>
          <w:szCs w:val="26"/>
        </w:rPr>
        <w:t>, to deliver a written notice in which his opponent is afforded the</w:t>
      </w:r>
      <w:r w:rsidR="00715F92">
        <w:rPr>
          <w:rFonts w:asciiTheme="minorHAnsi" w:hAnsiTheme="minorHAnsi" w:cstheme="minorHAnsi"/>
          <w:sz w:val="26"/>
          <w:szCs w:val="26"/>
        </w:rPr>
        <w:t xml:space="preserve"> opportunity of removing the cause of complaint within ten days. </w:t>
      </w:r>
    </w:p>
    <w:p w:rsidR="00CA0034" w:rsidRPr="00DA398F" w:rsidRDefault="00CA0034" w:rsidP="00CA0034">
      <w:pPr>
        <w:pStyle w:val="ListParagraph"/>
        <w:rPr>
          <w:rFonts w:asciiTheme="minorHAnsi" w:hAnsiTheme="minorHAnsi" w:cstheme="minorHAnsi"/>
          <w:sz w:val="26"/>
          <w:szCs w:val="26"/>
        </w:rPr>
      </w:pPr>
    </w:p>
    <w:p w:rsidR="00CA0034" w:rsidRDefault="00C214F8"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is trite that a notice to furnish security does not constitute an irregular or improper step or proceeding for purposes of rule 30(1). In the case of </w:t>
      </w:r>
      <w:r>
        <w:rPr>
          <w:rFonts w:asciiTheme="minorHAnsi" w:hAnsiTheme="minorHAnsi" w:cstheme="minorHAnsi"/>
          <w:i/>
          <w:sz w:val="26"/>
          <w:szCs w:val="26"/>
        </w:rPr>
        <w:t>Market Dynamics,</w:t>
      </w:r>
      <w:r>
        <w:rPr>
          <w:rStyle w:val="FootnoteReference"/>
          <w:rFonts w:asciiTheme="minorHAnsi" w:hAnsiTheme="minorHAnsi" w:cstheme="minorHAnsi"/>
          <w:sz w:val="26"/>
          <w:szCs w:val="26"/>
        </w:rPr>
        <w:footnoteReference w:id="7"/>
      </w:r>
      <w:r>
        <w:rPr>
          <w:rFonts w:asciiTheme="minorHAnsi" w:hAnsiTheme="minorHAnsi" w:cstheme="minorHAnsi"/>
          <w:sz w:val="26"/>
          <w:szCs w:val="26"/>
        </w:rPr>
        <w:t xml:space="preserve"> the court considered that a notice filed in respect of furnishing security is not in fact a further step in the proceedings or some act which advances the proceedings one state nearer completion. Rather, the notice can be considered to relate to a peripheral matter and as falling outside the provisions of Rule 30.</w:t>
      </w:r>
      <w:r w:rsidR="00091A9E">
        <w:rPr>
          <w:rStyle w:val="FootnoteReference"/>
          <w:rFonts w:asciiTheme="minorHAnsi" w:hAnsiTheme="minorHAnsi" w:cstheme="minorHAnsi"/>
          <w:sz w:val="26"/>
          <w:szCs w:val="26"/>
        </w:rPr>
        <w:footnoteReference w:id="8"/>
      </w:r>
    </w:p>
    <w:p w:rsidR="00CA0034" w:rsidRPr="000F4445" w:rsidRDefault="00CA0034" w:rsidP="00CA0034">
      <w:pPr>
        <w:pStyle w:val="ListParagraph"/>
        <w:rPr>
          <w:rFonts w:asciiTheme="minorHAnsi" w:hAnsiTheme="minorHAnsi" w:cstheme="minorHAnsi"/>
          <w:sz w:val="26"/>
          <w:szCs w:val="26"/>
        </w:rPr>
      </w:pPr>
    </w:p>
    <w:p w:rsidR="00CA0034" w:rsidRDefault="009054A1"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For these reasons, the rule 30 application lacks merit and falls to be dismissed.</w:t>
      </w:r>
    </w:p>
    <w:p w:rsidR="00CA0034" w:rsidRDefault="00CA0034" w:rsidP="00CA0034">
      <w:pPr>
        <w:pStyle w:val="ListParagraph"/>
        <w:rPr>
          <w:rFonts w:asciiTheme="minorHAnsi" w:hAnsiTheme="minorHAnsi" w:cstheme="minorHAnsi"/>
          <w:sz w:val="26"/>
          <w:szCs w:val="26"/>
        </w:rPr>
      </w:pPr>
    </w:p>
    <w:p w:rsidR="009054A1" w:rsidRPr="009054A1" w:rsidRDefault="009054A1" w:rsidP="009054A1">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Rule 47 application</w:t>
      </w:r>
    </w:p>
    <w:p w:rsidR="00CA0034" w:rsidRDefault="009054A1"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Liberty seeks</w:t>
      </w:r>
      <w:r w:rsidR="00803687">
        <w:rPr>
          <w:rFonts w:asciiTheme="minorHAnsi" w:hAnsiTheme="minorHAnsi" w:cstheme="minorHAnsi"/>
          <w:sz w:val="26"/>
          <w:szCs w:val="26"/>
        </w:rPr>
        <w:t>,</w:t>
      </w:r>
      <w:r w:rsidR="00803687" w:rsidRPr="00803687">
        <w:rPr>
          <w:rFonts w:asciiTheme="minorHAnsi" w:hAnsiTheme="minorHAnsi" w:cstheme="minorHAnsi"/>
          <w:sz w:val="26"/>
          <w:szCs w:val="26"/>
        </w:rPr>
        <w:t xml:space="preserve"> </w:t>
      </w:r>
      <w:r w:rsidR="00803687" w:rsidRPr="00803687">
        <w:rPr>
          <w:rFonts w:asciiTheme="minorHAnsi" w:hAnsiTheme="minorHAnsi" w:cstheme="minorHAnsi"/>
          <w:i/>
          <w:sz w:val="26"/>
          <w:szCs w:val="26"/>
        </w:rPr>
        <w:t>inter alia</w:t>
      </w:r>
      <w:r w:rsidR="00803687">
        <w:rPr>
          <w:rFonts w:asciiTheme="minorHAnsi" w:hAnsiTheme="minorHAnsi" w:cstheme="minorHAnsi"/>
          <w:sz w:val="26"/>
          <w:szCs w:val="26"/>
        </w:rPr>
        <w:t>,</w:t>
      </w:r>
      <w:r>
        <w:rPr>
          <w:rFonts w:asciiTheme="minorHAnsi" w:hAnsiTheme="minorHAnsi" w:cstheme="minorHAnsi"/>
          <w:sz w:val="26"/>
          <w:szCs w:val="26"/>
        </w:rPr>
        <w:t xml:space="preserve"> an order compelling Mr Maloka to provide security for costs and that the main proceedings be stayed until the order is complied with, alternatively, in the event that Mr Maloka does not provide security within a reasonable time, that the applicant be given leave to re-</w:t>
      </w:r>
      <w:r w:rsidR="00D65AFE">
        <w:rPr>
          <w:rFonts w:asciiTheme="minorHAnsi" w:hAnsiTheme="minorHAnsi" w:cstheme="minorHAnsi"/>
          <w:sz w:val="26"/>
          <w:szCs w:val="26"/>
        </w:rPr>
        <w:t>enrol</w:t>
      </w:r>
      <w:r>
        <w:rPr>
          <w:rFonts w:asciiTheme="minorHAnsi" w:hAnsiTheme="minorHAnsi" w:cstheme="minorHAnsi"/>
          <w:sz w:val="26"/>
          <w:szCs w:val="26"/>
        </w:rPr>
        <w:t xml:space="preserve"> this application, duly supplemented, for an order dismissing the main application with costs.</w:t>
      </w:r>
    </w:p>
    <w:p w:rsidR="00CA0034" w:rsidRDefault="00CA0034" w:rsidP="00CA0034">
      <w:pPr>
        <w:pStyle w:val="ListParagraph"/>
        <w:rPr>
          <w:rFonts w:asciiTheme="minorHAnsi" w:hAnsiTheme="minorHAnsi" w:cstheme="minorHAnsi"/>
          <w:sz w:val="26"/>
          <w:szCs w:val="26"/>
        </w:rPr>
      </w:pPr>
    </w:p>
    <w:p w:rsidR="00803687" w:rsidRDefault="00051184" w:rsidP="00803687">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w:t>
      </w:r>
      <w:r>
        <w:rPr>
          <w:rFonts w:asciiTheme="minorHAnsi" w:hAnsiTheme="minorHAnsi" w:cstheme="minorHAnsi"/>
          <w:i/>
          <w:sz w:val="26"/>
          <w:szCs w:val="26"/>
        </w:rPr>
        <w:t>Boost Sports,</w:t>
      </w:r>
      <w:r>
        <w:rPr>
          <w:rStyle w:val="FootnoteReference"/>
          <w:rFonts w:asciiTheme="minorHAnsi" w:hAnsiTheme="minorHAnsi" w:cstheme="minorHAnsi"/>
          <w:i/>
          <w:sz w:val="26"/>
          <w:szCs w:val="26"/>
        </w:rPr>
        <w:footnoteReference w:id="9"/>
      </w:r>
      <w:r>
        <w:rPr>
          <w:rFonts w:asciiTheme="minorHAnsi" w:hAnsiTheme="minorHAnsi" w:cstheme="minorHAnsi"/>
          <w:sz w:val="26"/>
          <w:szCs w:val="26"/>
        </w:rPr>
        <w:t xml:space="preserve"> The Supreme Court of Appeal held that mere inability by an incola</w:t>
      </w:r>
      <w:r w:rsidR="00D65AFE">
        <w:rPr>
          <w:rStyle w:val="FootnoteReference"/>
          <w:rFonts w:asciiTheme="minorHAnsi" w:hAnsiTheme="minorHAnsi" w:cstheme="minorHAnsi"/>
          <w:sz w:val="26"/>
          <w:szCs w:val="26"/>
        </w:rPr>
        <w:footnoteReference w:id="10"/>
      </w:r>
      <w:r>
        <w:rPr>
          <w:rFonts w:asciiTheme="minorHAnsi" w:hAnsiTheme="minorHAnsi" w:cstheme="minorHAnsi"/>
          <w:sz w:val="26"/>
          <w:szCs w:val="26"/>
        </w:rPr>
        <w:t xml:space="preserve"> to satisfy a potential costs order is insufficient in terms of the common law to justify an order for security. Something more is required – the court must be satisfied that the contemplated main action (or application) is vexatious or reckless or amounts to an abuse of its process.</w:t>
      </w:r>
      <w:r w:rsidR="00F42AB1">
        <w:rPr>
          <w:rFonts w:asciiTheme="minorHAnsi" w:hAnsiTheme="minorHAnsi" w:cstheme="minorHAnsi"/>
          <w:sz w:val="26"/>
          <w:szCs w:val="26"/>
        </w:rPr>
        <w:t xml:space="preserve"> As pointed out in paragraph 18 of th</w:t>
      </w:r>
      <w:r w:rsidR="00D65AFE">
        <w:rPr>
          <w:rFonts w:asciiTheme="minorHAnsi" w:hAnsiTheme="minorHAnsi" w:cstheme="minorHAnsi"/>
          <w:sz w:val="26"/>
          <w:szCs w:val="26"/>
        </w:rPr>
        <w:t>at</w:t>
      </w:r>
      <w:r w:rsidR="00F42AB1">
        <w:rPr>
          <w:rFonts w:asciiTheme="minorHAnsi" w:hAnsiTheme="minorHAnsi" w:cstheme="minorHAnsi"/>
          <w:sz w:val="26"/>
          <w:szCs w:val="26"/>
        </w:rPr>
        <w:t xml:space="preserve"> judgment, an application for security for costs requires a less stringent test than one for the stay of vexatious proceedings. T</w:t>
      </w:r>
      <w:r w:rsidR="00F42AB1" w:rsidRPr="00F42AB1">
        <w:rPr>
          <w:rFonts w:asciiTheme="minorHAnsi" w:hAnsiTheme="minorHAnsi" w:cstheme="minorHAnsi"/>
          <w:sz w:val="26"/>
          <w:szCs w:val="26"/>
        </w:rPr>
        <w:t xml:space="preserve">he </w:t>
      </w:r>
      <w:r w:rsidR="00F42AB1">
        <w:rPr>
          <w:rFonts w:asciiTheme="minorHAnsi" w:hAnsiTheme="minorHAnsi" w:cstheme="minorHAnsi"/>
          <w:sz w:val="26"/>
          <w:szCs w:val="26"/>
        </w:rPr>
        <w:t xml:space="preserve">latter ends unsustainable litigation whereas the former contemplates the continuance of proceedings with the safeguard of security for costs. </w:t>
      </w:r>
    </w:p>
    <w:p w:rsidR="00803687" w:rsidRDefault="00803687" w:rsidP="00CA0034">
      <w:pPr>
        <w:pStyle w:val="ListParagraph"/>
        <w:rPr>
          <w:rFonts w:asciiTheme="minorHAnsi" w:hAnsiTheme="minorHAnsi" w:cstheme="minorHAnsi"/>
          <w:sz w:val="26"/>
          <w:szCs w:val="26"/>
        </w:rPr>
      </w:pPr>
    </w:p>
    <w:p w:rsidR="00803687" w:rsidRDefault="00051184" w:rsidP="00803687">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An action (or application) is vexatious and an abuse of the process of court</w:t>
      </w:r>
      <w:r w:rsidR="00F42AB1">
        <w:rPr>
          <w:rFonts w:asciiTheme="minorHAnsi" w:hAnsiTheme="minorHAnsi" w:cstheme="minorHAnsi"/>
          <w:sz w:val="26"/>
          <w:szCs w:val="26"/>
        </w:rPr>
        <w:t xml:space="preserve"> if it is obviously unsustainable.</w:t>
      </w:r>
      <w:r w:rsidR="00F42AB1">
        <w:rPr>
          <w:rStyle w:val="FootnoteReference"/>
          <w:rFonts w:asciiTheme="minorHAnsi" w:hAnsiTheme="minorHAnsi" w:cstheme="minorHAnsi"/>
          <w:sz w:val="26"/>
          <w:szCs w:val="26"/>
        </w:rPr>
        <w:footnoteReference w:id="11"/>
      </w:r>
      <w:r w:rsidR="00F42AB1">
        <w:rPr>
          <w:rFonts w:asciiTheme="minorHAnsi" w:hAnsiTheme="minorHAnsi" w:cstheme="minorHAnsi"/>
          <w:sz w:val="26"/>
          <w:szCs w:val="26"/>
        </w:rPr>
        <w:t xml:space="preserve"> </w:t>
      </w:r>
      <w:r w:rsidR="00710EBB">
        <w:rPr>
          <w:rFonts w:asciiTheme="minorHAnsi" w:hAnsiTheme="minorHAnsi" w:cstheme="minorHAnsi"/>
          <w:sz w:val="26"/>
          <w:szCs w:val="26"/>
        </w:rPr>
        <w:t xml:space="preserve">Unsustainability of the action/application on the merits </w:t>
      </w:r>
      <w:r w:rsidR="00A04B3E">
        <w:rPr>
          <w:rFonts w:asciiTheme="minorHAnsi" w:hAnsiTheme="minorHAnsi" w:cstheme="minorHAnsi"/>
          <w:sz w:val="26"/>
          <w:szCs w:val="26"/>
        </w:rPr>
        <w:t>need not appear as a certainty but on a preponderance of probability</w:t>
      </w:r>
      <w:r w:rsidR="00710EBB">
        <w:rPr>
          <w:rFonts w:asciiTheme="minorHAnsi" w:hAnsiTheme="minorHAnsi" w:cstheme="minorHAnsi"/>
          <w:sz w:val="26"/>
          <w:szCs w:val="26"/>
        </w:rPr>
        <w:t xml:space="preserve"> in an</w:t>
      </w:r>
      <w:r w:rsidR="00D65AFE">
        <w:rPr>
          <w:rFonts w:asciiTheme="minorHAnsi" w:hAnsiTheme="minorHAnsi" w:cstheme="minorHAnsi"/>
          <w:sz w:val="26"/>
          <w:szCs w:val="26"/>
        </w:rPr>
        <w:t>y</w:t>
      </w:r>
      <w:r w:rsidR="00710EBB">
        <w:rPr>
          <w:rFonts w:asciiTheme="minorHAnsi" w:hAnsiTheme="minorHAnsi" w:cstheme="minorHAnsi"/>
          <w:sz w:val="26"/>
          <w:szCs w:val="26"/>
        </w:rPr>
        <w:t xml:space="preserve"> application for security for costs</w:t>
      </w:r>
      <w:r w:rsidR="00A04B3E">
        <w:rPr>
          <w:rFonts w:asciiTheme="minorHAnsi" w:hAnsiTheme="minorHAnsi" w:cstheme="minorHAnsi"/>
          <w:sz w:val="26"/>
          <w:szCs w:val="26"/>
        </w:rPr>
        <w:t>.</w:t>
      </w:r>
      <w:r w:rsidR="00F42AB1">
        <w:rPr>
          <w:rFonts w:asciiTheme="minorHAnsi" w:hAnsiTheme="minorHAnsi" w:cstheme="minorHAnsi"/>
          <w:sz w:val="26"/>
          <w:szCs w:val="26"/>
        </w:rPr>
        <w:t xml:space="preserve"> </w:t>
      </w:r>
      <w:r w:rsidR="00A04B3E">
        <w:rPr>
          <w:rStyle w:val="FootnoteReference"/>
          <w:rFonts w:asciiTheme="minorHAnsi" w:hAnsiTheme="minorHAnsi" w:cstheme="minorHAnsi"/>
          <w:sz w:val="26"/>
          <w:szCs w:val="26"/>
        </w:rPr>
        <w:footnoteReference w:id="12"/>
      </w:r>
      <w:r w:rsidR="00CC51F2">
        <w:rPr>
          <w:rFonts w:asciiTheme="minorHAnsi" w:hAnsiTheme="minorHAnsi" w:cstheme="minorHAnsi"/>
          <w:sz w:val="26"/>
          <w:szCs w:val="26"/>
        </w:rPr>
        <w:t xml:space="preserve"> </w:t>
      </w:r>
      <w:r w:rsidR="00710EBB">
        <w:rPr>
          <w:rFonts w:asciiTheme="minorHAnsi" w:hAnsiTheme="minorHAnsi" w:cstheme="minorHAnsi"/>
          <w:sz w:val="26"/>
          <w:szCs w:val="26"/>
        </w:rPr>
        <w:t xml:space="preserve"> It is not necessary for a court to embark on a thorough investigation of the merits of the pending case. Nor is it contemplated that there should be a close investigation of the facts in issue in the case. As </w:t>
      </w:r>
      <w:r w:rsidR="003225CC">
        <w:rPr>
          <w:rFonts w:asciiTheme="minorHAnsi" w:hAnsiTheme="minorHAnsi" w:cstheme="minorHAnsi"/>
          <w:sz w:val="26"/>
          <w:szCs w:val="26"/>
        </w:rPr>
        <w:t xml:space="preserve">Streicher JA stated </w:t>
      </w:r>
      <w:r w:rsidR="00710EBB">
        <w:rPr>
          <w:rFonts w:asciiTheme="minorHAnsi" w:hAnsiTheme="minorHAnsi" w:cstheme="minorHAnsi"/>
          <w:sz w:val="26"/>
          <w:szCs w:val="26"/>
        </w:rPr>
        <w:t xml:space="preserve">in </w:t>
      </w:r>
      <w:r w:rsidR="00710EBB">
        <w:rPr>
          <w:rFonts w:asciiTheme="minorHAnsi" w:hAnsiTheme="minorHAnsi" w:cstheme="minorHAnsi"/>
          <w:i/>
          <w:sz w:val="26"/>
          <w:szCs w:val="26"/>
        </w:rPr>
        <w:t>Zietsman,</w:t>
      </w:r>
      <w:r w:rsidR="00710EBB">
        <w:rPr>
          <w:rStyle w:val="FootnoteReference"/>
          <w:rFonts w:asciiTheme="minorHAnsi" w:hAnsiTheme="minorHAnsi" w:cstheme="minorHAnsi"/>
          <w:i/>
          <w:sz w:val="26"/>
          <w:szCs w:val="26"/>
        </w:rPr>
        <w:footnoteReference w:id="13"/>
      </w:r>
      <w:r w:rsidR="00710EBB">
        <w:rPr>
          <w:rFonts w:asciiTheme="minorHAnsi" w:hAnsiTheme="minorHAnsi" w:cstheme="minorHAnsi"/>
          <w:i/>
          <w:sz w:val="26"/>
          <w:szCs w:val="26"/>
        </w:rPr>
        <w:t xml:space="preserve"> ‘I am not suggesting that a court should in an application for security attempt to resolve the dispute between the parties. Such a requirement would frustrate the purpose for which security is sought. The extent to which it is practicable to make an assessment of a party’s prospects of success would depend on the nature of the dispute in each case’.</w:t>
      </w:r>
    </w:p>
    <w:p w:rsidR="00803687" w:rsidRDefault="00803687" w:rsidP="00CA0034">
      <w:pPr>
        <w:pStyle w:val="ListParagraph"/>
        <w:rPr>
          <w:rFonts w:asciiTheme="minorHAnsi" w:hAnsiTheme="minorHAnsi" w:cstheme="minorHAnsi"/>
          <w:sz w:val="26"/>
          <w:szCs w:val="26"/>
        </w:rPr>
      </w:pPr>
    </w:p>
    <w:p w:rsidR="00CA0034" w:rsidRDefault="003225CC"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Liberty</w:t>
      </w:r>
      <w:r w:rsidR="00803687">
        <w:rPr>
          <w:rFonts w:asciiTheme="minorHAnsi" w:hAnsiTheme="minorHAnsi" w:cstheme="minorHAnsi"/>
          <w:sz w:val="26"/>
          <w:szCs w:val="26"/>
        </w:rPr>
        <w:t xml:space="preserve"> relies on the fact that Mr Maloka is unemployed</w:t>
      </w:r>
      <w:r>
        <w:rPr>
          <w:rFonts w:asciiTheme="minorHAnsi" w:hAnsiTheme="minorHAnsi" w:cstheme="minorHAnsi"/>
          <w:sz w:val="26"/>
          <w:szCs w:val="26"/>
        </w:rPr>
        <w:t>, alleging</w:t>
      </w:r>
      <w:r w:rsidR="00CC51F2">
        <w:rPr>
          <w:rFonts w:asciiTheme="minorHAnsi" w:hAnsiTheme="minorHAnsi" w:cstheme="minorHAnsi"/>
          <w:sz w:val="26"/>
          <w:szCs w:val="26"/>
        </w:rPr>
        <w:t xml:space="preserve"> that he </w:t>
      </w:r>
      <w:r w:rsidR="00803687">
        <w:rPr>
          <w:rFonts w:asciiTheme="minorHAnsi" w:hAnsiTheme="minorHAnsi" w:cstheme="minorHAnsi"/>
          <w:sz w:val="26"/>
          <w:szCs w:val="26"/>
        </w:rPr>
        <w:t xml:space="preserve">is a ‘man of straw’ </w:t>
      </w:r>
      <w:r>
        <w:rPr>
          <w:rFonts w:asciiTheme="minorHAnsi" w:hAnsiTheme="minorHAnsi" w:cstheme="minorHAnsi"/>
          <w:sz w:val="26"/>
          <w:szCs w:val="26"/>
        </w:rPr>
        <w:t xml:space="preserve">who </w:t>
      </w:r>
      <w:r w:rsidR="00710EBB">
        <w:rPr>
          <w:rFonts w:asciiTheme="minorHAnsi" w:hAnsiTheme="minorHAnsi" w:cstheme="minorHAnsi"/>
          <w:sz w:val="26"/>
          <w:szCs w:val="26"/>
        </w:rPr>
        <w:t xml:space="preserve">is </w:t>
      </w:r>
      <w:r w:rsidR="00803687">
        <w:rPr>
          <w:rFonts w:asciiTheme="minorHAnsi" w:hAnsiTheme="minorHAnsi" w:cstheme="minorHAnsi"/>
          <w:sz w:val="26"/>
          <w:szCs w:val="26"/>
        </w:rPr>
        <w:t>litigating in a nominal capacity.</w:t>
      </w:r>
      <w:r>
        <w:rPr>
          <w:rFonts w:asciiTheme="minorHAnsi" w:hAnsiTheme="minorHAnsi" w:cstheme="minorHAnsi"/>
          <w:sz w:val="26"/>
          <w:szCs w:val="26"/>
        </w:rPr>
        <w:t xml:space="preserve"> Given</w:t>
      </w:r>
      <w:r w:rsidR="00803687">
        <w:rPr>
          <w:rFonts w:asciiTheme="minorHAnsi" w:hAnsiTheme="minorHAnsi" w:cstheme="minorHAnsi"/>
          <w:sz w:val="26"/>
          <w:szCs w:val="26"/>
        </w:rPr>
        <w:t xml:space="preserve"> Mr Maloka</w:t>
      </w:r>
      <w:r>
        <w:rPr>
          <w:rFonts w:asciiTheme="minorHAnsi" w:hAnsiTheme="minorHAnsi" w:cstheme="minorHAnsi"/>
          <w:sz w:val="26"/>
          <w:szCs w:val="26"/>
        </w:rPr>
        <w:t>’s</w:t>
      </w:r>
      <w:r w:rsidR="00803687">
        <w:rPr>
          <w:rFonts w:asciiTheme="minorHAnsi" w:hAnsiTheme="minorHAnsi" w:cstheme="minorHAnsi"/>
          <w:sz w:val="26"/>
          <w:szCs w:val="26"/>
        </w:rPr>
        <w:t xml:space="preserve"> </w:t>
      </w:r>
      <w:r>
        <w:rPr>
          <w:rFonts w:asciiTheme="minorHAnsi" w:hAnsiTheme="minorHAnsi" w:cstheme="minorHAnsi"/>
          <w:sz w:val="26"/>
          <w:szCs w:val="26"/>
        </w:rPr>
        <w:t xml:space="preserve">admission </w:t>
      </w:r>
      <w:r w:rsidR="00710EBB">
        <w:rPr>
          <w:rFonts w:asciiTheme="minorHAnsi" w:hAnsiTheme="minorHAnsi" w:cstheme="minorHAnsi"/>
          <w:sz w:val="26"/>
          <w:szCs w:val="26"/>
        </w:rPr>
        <w:t>that he is</w:t>
      </w:r>
      <w:r w:rsidR="00803687">
        <w:rPr>
          <w:rFonts w:asciiTheme="minorHAnsi" w:hAnsiTheme="minorHAnsi" w:cstheme="minorHAnsi"/>
          <w:sz w:val="26"/>
          <w:szCs w:val="26"/>
        </w:rPr>
        <w:t xml:space="preserve"> financially distressed</w:t>
      </w:r>
      <w:r>
        <w:rPr>
          <w:rFonts w:asciiTheme="minorHAnsi" w:hAnsiTheme="minorHAnsi" w:cstheme="minorHAnsi"/>
          <w:sz w:val="26"/>
          <w:szCs w:val="26"/>
        </w:rPr>
        <w:t xml:space="preserve"> and that there is currently still an unpaid costs order in favour of Liberty against Mr Maloka arising from proceedings </w:t>
      </w:r>
      <w:r w:rsidR="00D65AFE">
        <w:rPr>
          <w:rFonts w:asciiTheme="minorHAnsi" w:hAnsiTheme="minorHAnsi" w:cstheme="minorHAnsi"/>
          <w:sz w:val="26"/>
          <w:szCs w:val="26"/>
        </w:rPr>
        <w:t xml:space="preserve">pursued by him against Liberty </w:t>
      </w:r>
      <w:r>
        <w:rPr>
          <w:rFonts w:asciiTheme="minorHAnsi" w:hAnsiTheme="minorHAnsi" w:cstheme="minorHAnsi"/>
          <w:sz w:val="26"/>
          <w:szCs w:val="26"/>
        </w:rPr>
        <w:t xml:space="preserve">in the Equality court, he would in all </w:t>
      </w:r>
      <w:r w:rsidR="001C7274">
        <w:rPr>
          <w:rFonts w:asciiTheme="minorHAnsi" w:hAnsiTheme="minorHAnsi" w:cstheme="minorHAnsi"/>
          <w:sz w:val="26"/>
          <w:szCs w:val="26"/>
        </w:rPr>
        <w:t>likelihood</w:t>
      </w:r>
      <w:r>
        <w:rPr>
          <w:rFonts w:asciiTheme="minorHAnsi" w:hAnsiTheme="minorHAnsi" w:cstheme="minorHAnsi"/>
          <w:sz w:val="26"/>
          <w:szCs w:val="26"/>
        </w:rPr>
        <w:t xml:space="preserve"> be unable to comply with any adverse costs order in due course.</w:t>
      </w:r>
      <w:r w:rsidR="001C7274">
        <w:rPr>
          <w:rFonts w:asciiTheme="minorHAnsi" w:hAnsiTheme="minorHAnsi" w:cstheme="minorHAnsi"/>
          <w:sz w:val="26"/>
          <w:szCs w:val="26"/>
        </w:rPr>
        <w:t xml:space="preserve"> The main application has engendered several interlocutory applications including further applications to amend by Mr Maloka, which have caused costs to increase incrementally in the matter.</w:t>
      </w:r>
      <w:r w:rsidR="00803687">
        <w:rPr>
          <w:rFonts w:asciiTheme="minorHAnsi" w:hAnsiTheme="minorHAnsi" w:cstheme="minorHAnsi"/>
          <w:sz w:val="26"/>
          <w:szCs w:val="26"/>
        </w:rPr>
        <w:t xml:space="preserve"> </w:t>
      </w:r>
    </w:p>
    <w:p w:rsidR="00CA0034" w:rsidRDefault="00CA0034" w:rsidP="00CA0034">
      <w:pPr>
        <w:pStyle w:val="ListParagraph"/>
        <w:rPr>
          <w:rFonts w:asciiTheme="minorHAnsi" w:hAnsiTheme="minorHAnsi" w:cstheme="minorHAnsi"/>
          <w:sz w:val="26"/>
          <w:szCs w:val="26"/>
        </w:rPr>
      </w:pPr>
    </w:p>
    <w:p w:rsidR="00CA0034" w:rsidRDefault="004727FF"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Liberty submits that the main application is meritless and vexatious in the sense </w:t>
      </w:r>
      <w:r w:rsidR="00D65AFE">
        <w:rPr>
          <w:rFonts w:asciiTheme="minorHAnsi" w:hAnsiTheme="minorHAnsi" w:cstheme="minorHAnsi"/>
          <w:sz w:val="26"/>
          <w:szCs w:val="26"/>
        </w:rPr>
        <w:t>conveyed</w:t>
      </w:r>
      <w:r>
        <w:rPr>
          <w:rFonts w:asciiTheme="minorHAnsi" w:hAnsiTheme="minorHAnsi" w:cstheme="minorHAnsi"/>
          <w:sz w:val="26"/>
          <w:szCs w:val="26"/>
        </w:rPr>
        <w:t xml:space="preserve"> in the authorities </w:t>
      </w:r>
      <w:r w:rsidR="00F62021">
        <w:rPr>
          <w:rFonts w:asciiTheme="minorHAnsi" w:hAnsiTheme="minorHAnsi" w:cstheme="minorHAnsi"/>
          <w:sz w:val="26"/>
          <w:szCs w:val="26"/>
        </w:rPr>
        <w:t>referred to</w:t>
      </w:r>
      <w:r>
        <w:rPr>
          <w:rFonts w:asciiTheme="minorHAnsi" w:hAnsiTheme="minorHAnsi" w:cstheme="minorHAnsi"/>
          <w:sz w:val="26"/>
          <w:szCs w:val="26"/>
        </w:rPr>
        <w:t xml:space="preserve"> above. Not only has the claim for defamation and damages impermissibly been brought by way of motion proceedings,</w:t>
      </w:r>
      <w:r w:rsidR="001C4FF3">
        <w:rPr>
          <w:rFonts w:asciiTheme="minorHAnsi" w:hAnsiTheme="minorHAnsi" w:cstheme="minorHAnsi"/>
          <w:sz w:val="26"/>
          <w:szCs w:val="26"/>
        </w:rPr>
        <w:t xml:space="preserve"> </w:t>
      </w:r>
      <w:r w:rsidR="00D65AFE">
        <w:rPr>
          <w:rFonts w:asciiTheme="minorHAnsi" w:hAnsiTheme="minorHAnsi" w:cstheme="minorHAnsi"/>
          <w:sz w:val="26"/>
          <w:szCs w:val="26"/>
        </w:rPr>
        <w:t>dooming it to failure</w:t>
      </w:r>
      <w:r w:rsidR="001C4FF3">
        <w:rPr>
          <w:rFonts w:asciiTheme="minorHAnsi" w:hAnsiTheme="minorHAnsi" w:cstheme="minorHAnsi"/>
          <w:sz w:val="26"/>
          <w:szCs w:val="26"/>
        </w:rPr>
        <w:t>,</w:t>
      </w:r>
      <w:r>
        <w:rPr>
          <w:rStyle w:val="FootnoteReference"/>
          <w:rFonts w:asciiTheme="minorHAnsi" w:hAnsiTheme="minorHAnsi" w:cstheme="minorHAnsi"/>
          <w:sz w:val="26"/>
          <w:szCs w:val="26"/>
        </w:rPr>
        <w:footnoteReference w:id="14"/>
      </w:r>
      <w:r>
        <w:rPr>
          <w:rFonts w:asciiTheme="minorHAnsi" w:hAnsiTheme="minorHAnsi" w:cstheme="minorHAnsi"/>
          <w:sz w:val="26"/>
          <w:szCs w:val="26"/>
        </w:rPr>
        <w:t xml:space="preserve"> a perusal of the papers in the main application reveals that the application is beset with numerous material disputes of fact</w:t>
      </w:r>
      <w:r w:rsidR="00F62021">
        <w:rPr>
          <w:rFonts w:asciiTheme="minorHAnsi" w:hAnsiTheme="minorHAnsi" w:cstheme="minorHAnsi"/>
          <w:sz w:val="26"/>
          <w:szCs w:val="26"/>
        </w:rPr>
        <w:t>.</w:t>
      </w:r>
      <w:r w:rsidR="006C7987">
        <w:rPr>
          <w:rFonts w:asciiTheme="minorHAnsi" w:hAnsiTheme="minorHAnsi" w:cstheme="minorHAnsi"/>
          <w:sz w:val="26"/>
          <w:szCs w:val="26"/>
        </w:rPr>
        <w:t xml:space="preserve"> </w:t>
      </w:r>
      <w:r w:rsidR="00D65AFE">
        <w:rPr>
          <w:rFonts w:asciiTheme="minorHAnsi" w:hAnsiTheme="minorHAnsi" w:cstheme="minorHAnsi"/>
          <w:sz w:val="26"/>
          <w:szCs w:val="26"/>
        </w:rPr>
        <w:t>Such</w:t>
      </w:r>
      <w:r w:rsidR="006C7987">
        <w:rPr>
          <w:rFonts w:asciiTheme="minorHAnsi" w:hAnsiTheme="minorHAnsi" w:cstheme="minorHAnsi"/>
          <w:sz w:val="26"/>
          <w:szCs w:val="26"/>
        </w:rPr>
        <w:t xml:space="preserve"> issue was pertinently raised in the answering affidavit, notwithstanding which</w:t>
      </w:r>
      <w:r w:rsidR="00D65AFE">
        <w:rPr>
          <w:rFonts w:asciiTheme="minorHAnsi" w:hAnsiTheme="minorHAnsi" w:cstheme="minorHAnsi"/>
          <w:sz w:val="26"/>
          <w:szCs w:val="26"/>
        </w:rPr>
        <w:t>,</w:t>
      </w:r>
      <w:r w:rsidR="006C7987">
        <w:rPr>
          <w:rFonts w:asciiTheme="minorHAnsi" w:hAnsiTheme="minorHAnsi" w:cstheme="minorHAnsi"/>
          <w:sz w:val="26"/>
          <w:szCs w:val="26"/>
        </w:rPr>
        <w:t xml:space="preserve"> Mr Maloka has elected to persist with the matter on motion.</w:t>
      </w:r>
      <w:r w:rsidR="00F62021">
        <w:rPr>
          <w:rFonts w:asciiTheme="minorHAnsi" w:hAnsiTheme="minorHAnsi" w:cstheme="minorHAnsi"/>
          <w:sz w:val="26"/>
          <w:szCs w:val="26"/>
        </w:rPr>
        <w:t xml:space="preserve"> </w:t>
      </w:r>
      <w:r w:rsidR="006C7987">
        <w:rPr>
          <w:rFonts w:asciiTheme="minorHAnsi" w:hAnsiTheme="minorHAnsi" w:cstheme="minorHAnsi"/>
          <w:sz w:val="26"/>
          <w:szCs w:val="26"/>
        </w:rPr>
        <w:t>Furthermore, n</w:t>
      </w:r>
      <w:r w:rsidR="00F62021">
        <w:rPr>
          <w:rFonts w:asciiTheme="minorHAnsi" w:hAnsiTheme="minorHAnsi" w:cstheme="minorHAnsi"/>
          <w:sz w:val="26"/>
          <w:szCs w:val="26"/>
        </w:rPr>
        <w:t>o supporting documentary evidence</w:t>
      </w:r>
      <w:r>
        <w:rPr>
          <w:rFonts w:asciiTheme="minorHAnsi" w:hAnsiTheme="minorHAnsi" w:cstheme="minorHAnsi"/>
          <w:sz w:val="26"/>
          <w:szCs w:val="26"/>
        </w:rPr>
        <w:t xml:space="preserve"> </w:t>
      </w:r>
      <w:r w:rsidR="00F62021">
        <w:rPr>
          <w:rFonts w:asciiTheme="minorHAnsi" w:hAnsiTheme="minorHAnsi" w:cstheme="minorHAnsi"/>
          <w:sz w:val="26"/>
          <w:szCs w:val="26"/>
        </w:rPr>
        <w:t>is attached to</w:t>
      </w:r>
      <w:r>
        <w:rPr>
          <w:rFonts w:asciiTheme="minorHAnsi" w:hAnsiTheme="minorHAnsi" w:cstheme="minorHAnsi"/>
          <w:sz w:val="26"/>
          <w:szCs w:val="26"/>
        </w:rPr>
        <w:t xml:space="preserve"> the founding affidavit.</w:t>
      </w:r>
      <w:r w:rsidR="001C7274">
        <w:rPr>
          <w:rStyle w:val="FootnoteReference"/>
          <w:rFonts w:asciiTheme="minorHAnsi" w:hAnsiTheme="minorHAnsi" w:cstheme="minorHAnsi"/>
          <w:sz w:val="26"/>
          <w:szCs w:val="26"/>
        </w:rPr>
        <w:footnoteReference w:id="15"/>
      </w:r>
      <w:r w:rsidR="001C7274">
        <w:rPr>
          <w:rFonts w:asciiTheme="minorHAnsi" w:hAnsiTheme="minorHAnsi" w:cstheme="minorHAnsi"/>
          <w:sz w:val="26"/>
          <w:szCs w:val="26"/>
        </w:rPr>
        <w:t xml:space="preserve"> </w:t>
      </w:r>
      <w:r w:rsidR="00F62021">
        <w:rPr>
          <w:rFonts w:asciiTheme="minorHAnsi" w:hAnsiTheme="minorHAnsi" w:cstheme="minorHAnsi"/>
          <w:sz w:val="26"/>
          <w:szCs w:val="26"/>
        </w:rPr>
        <w:t>It appears that Mr Maloka merely separately uploaded an evidence pack (similar to a trial bundle) which is impermissible in motion proceedings</w:t>
      </w:r>
      <w:r w:rsidR="0039722B">
        <w:rPr>
          <w:rFonts w:asciiTheme="minorHAnsi" w:hAnsiTheme="minorHAnsi" w:cstheme="minorHAnsi"/>
          <w:sz w:val="26"/>
          <w:szCs w:val="26"/>
        </w:rPr>
        <w:t xml:space="preserve"> and contrary to established </w:t>
      </w:r>
      <w:r w:rsidR="0039722B" w:rsidRPr="0039722B">
        <w:rPr>
          <w:rFonts w:asciiTheme="minorHAnsi" w:hAnsiTheme="minorHAnsi" w:cstheme="minorHAnsi"/>
          <w:sz w:val="26"/>
          <w:szCs w:val="26"/>
        </w:rPr>
        <w:t>principles pertaining to the pleading and proving of a case in motion proceedings</w:t>
      </w:r>
      <w:r w:rsidR="00F62021" w:rsidRPr="0039722B">
        <w:rPr>
          <w:rFonts w:asciiTheme="minorHAnsi" w:hAnsiTheme="minorHAnsi" w:cstheme="minorHAnsi"/>
          <w:sz w:val="26"/>
          <w:szCs w:val="26"/>
        </w:rPr>
        <w:t>.</w:t>
      </w:r>
      <w:r w:rsidR="00F62021">
        <w:rPr>
          <w:rStyle w:val="FootnoteReference"/>
          <w:rFonts w:asciiTheme="minorHAnsi" w:hAnsiTheme="minorHAnsi" w:cstheme="minorHAnsi"/>
          <w:sz w:val="26"/>
          <w:szCs w:val="26"/>
        </w:rPr>
        <w:footnoteReference w:id="16"/>
      </w:r>
      <w:r w:rsidR="00F62021">
        <w:rPr>
          <w:rFonts w:asciiTheme="minorHAnsi" w:hAnsiTheme="minorHAnsi" w:cstheme="minorHAnsi"/>
          <w:sz w:val="26"/>
          <w:szCs w:val="26"/>
        </w:rPr>
        <w:t xml:space="preserve"> </w:t>
      </w:r>
      <w:r w:rsidR="006C7987">
        <w:rPr>
          <w:rFonts w:asciiTheme="minorHAnsi" w:hAnsiTheme="minorHAnsi" w:cstheme="minorHAnsi"/>
          <w:sz w:val="26"/>
          <w:szCs w:val="26"/>
        </w:rPr>
        <w:t>Whilst procedural irregularities may be overlooked by a court in the exercise of its discretion</w:t>
      </w:r>
      <w:r w:rsidR="001C4FF3">
        <w:rPr>
          <w:rFonts w:asciiTheme="minorHAnsi" w:hAnsiTheme="minorHAnsi" w:cstheme="minorHAnsi"/>
          <w:sz w:val="26"/>
          <w:szCs w:val="26"/>
        </w:rPr>
        <w:t>, having regard to the peculiar facts</w:t>
      </w:r>
      <w:r w:rsidR="006C7987">
        <w:rPr>
          <w:rFonts w:asciiTheme="minorHAnsi" w:hAnsiTheme="minorHAnsi" w:cstheme="minorHAnsi"/>
          <w:sz w:val="26"/>
          <w:szCs w:val="26"/>
        </w:rPr>
        <w:t xml:space="preserve">, </w:t>
      </w:r>
      <w:r w:rsidR="001C4FF3">
        <w:rPr>
          <w:rFonts w:asciiTheme="minorHAnsi" w:hAnsiTheme="minorHAnsi" w:cstheme="minorHAnsi"/>
          <w:sz w:val="26"/>
          <w:szCs w:val="26"/>
        </w:rPr>
        <w:t xml:space="preserve">it should </w:t>
      </w:r>
      <w:r w:rsidR="00007337">
        <w:rPr>
          <w:rFonts w:asciiTheme="minorHAnsi" w:hAnsiTheme="minorHAnsi" w:cstheme="minorHAnsi"/>
          <w:sz w:val="26"/>
          <w:szCs w:val="26"/>
        </w:rPr>
        <w:t xml:space="preserve">also </w:t>
      </w:r>
      <w:r w:rsidR="001C4FF3">
        <w:rPr>
          <w:rFonts w:asciiTheme="minorHAnsi" w:hAnsiTheme="minorHAnsi" w:cstheme="minorHAnsi"/>
          <w:sz w:val="26"/>
          <w:szCs w:val="26"/>
        </w:rPr>
        <w:t>be remembered that unrepresented litigants are not entitled as of right to better treatment than represented litigants.</w:t>
      </w:r>
      <w:r w:rsidR="001C4FF3">
        <w:rPr>
          <w:rStyle w:val="FootnoteReference"/>
          <w:rFonts w:asciiTheme="minorHAnsi" w:hAnsiTheme="minorHAnsi" w:cstheme="minorHAnsi"/>
          <w:sz w:val="26"/>
          <w:szCs w:val="26"/>
        </w:rPr>
        <w:footnoteReference w:id="17"/>
      </w:r>
      <w:r w:rsidR="001C4FF3">
        <w:rPr>
          <w:rFonts w:asciiTheme="minorHAnsi" w:hAnsiTheme="minorHAnsi" w:cstheme="minorHAnsi"/>
          <w:sz w:val="26"/>
          <w:szCs w:val="26"/>
        </w:rPr>
        <w:t xml:space="preserve"> </w:t>
      </w:r>
      <w:r w:rsidR="001C7274">
        <w:rPr>
          <w:rFonts w:asciiTheme="minorHAnsi" w:hAnsiTheme="minorHAnsi" w:cstheme="minorHAnsi"/>
          <w:sz w:val="26"/>
          <w:szCs w:val="26"/>
        </w:rPr>
        <w:t>Given the history of the litigation pursued by Mr Maloka against Liberty in other fora, the question of whether he should have foreseen that disputes of fact would arise in the matter will likely feature prominently at the hearing of the main application.</w:t>
      </w:r>
      <w:r>
        <w:rPr>
          <w:rFonts w:asciiTheme="minorHAnsi" w:hAnsiTheme="minorHAnsi" w:cstheme="minorHAnsi"/>
          <w:sz w:val="26"/>
          <w:szCs w:val="26"/>
        </w:rPr>
        <w:t xml:space="preserve"> </w:t>
      </w:r>
    </w:p>
    <w:p w:rsidR="00CA0034" w:rsidRDefault="00CA0034" w:rsidP="00CA0034">
      <w:pPr>
        <w:pStyle w:val="ListParagraph"/>
        <w:rPr>
          <w:rFonts w:asciiTheme="minorHAnsi" w:hAnsiTheme="minorHAnsi" w:cstheme="minorHAnsi"/>
          <w:sz w:val="26"/>
          <w:szCs w:val="26"/>
        </w:rPr>
      </w:pPr>
    </w:p>
    <w:p w:rsidR="00CA0034" w:rsidRPr="00521C05" w:rsidRDefault="001C4FF3"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On the facts of this matter, I am persuade</w:t>
      </w:r>
      <w:r w:rsidR="00521C05">
        <w:rPr>
          <w:rFonts w:asciiTheme="minorHAnsi" w:hAnsiTheme="minorHAnsi" w:cstheme="minorHAnsi"/>
          <w:sz w:val="26"/>
          <w:szCs w:val="26"/>
        </w:rPr>
        <w:t>d</w:t>
      </w:r>
      <w:r>
        <w:rPr>
          <w:rFonts w:asciiTheme="minorHAnsi" w:hAnsiTheme="minorHAnsi" w:cstheme="minorHAnsi"/>
          <w:sz w:val="26"/>
          <w:szCs w:val="26"/>
        </w:rPr>
        <w:t xml:space="preserve"> that Liberty has established its entitlement to security for costs</w:t>
      </w:r>
      <w:r w:rsidR="00007337">
        <w:rPr>
          <w:rFonts w:asciiTheme="minorHAnsi" w:hAnsiTheme="minorHAnsi" w:cstheme="minorHAnsi"/>
          <w:sz w:val="26"/>
          <w:szCs w:val="26"/>
        </w:rPr>
        <w:t xml:space="preserve"> on the basis that the main application is unsustainable in its present form and further based on his vexatious conduct in instituting various interlocutory applications (including the present rule 30 application and including his insistence that a substantive application for condonation be brought by Liberty </w:t>
      </w:r>
      <w:r w:rsidR="00A967A3">
        <w:rPr>
          <w:rFonts w:asciiTheme="minorHAnsi" w:hAnsiTheme="minorHAnsi" w:cstheme="minorHAnsi"/>
          <w:sz w:val="26"/>
          <w:szCs w:val="26"/>
        </w:rPr>
        <w:t xml:space="preserve">in the main application </w:t>
      </w:r>
      <w:r w:rsidR="00007337">
        <w:rPr>
          <w:rFonts w:asciiTheme="minorHAnsi" w:hAnsiTheme="minorHAnsi" w:cstheme="minorHAnsi"/>
          <w:sz w:val="26"/>
          <w:szCs w:val="26"/>
        </w:rPr>
        <w:t xml:space="preserve">for filing its answering affidavit one day late, which Mr Maloka has seen fit to </w:t>
      </w:r>
      <w:r w:rsidR="00A967A3">
        <w:rPr>
          <w:rFonts w:asciiTheme="minorHAnsi" w:hAnsiTheme="minorHAnsi" w:cstheme="minorHAnsi"/>
          <w:sz w:val="26"/>
          <w:szCs w:val="26"/>
        </w:rPr>
        <w:t>oppose</w:t>
      </w:r>
      <w:r w:rsidR="00007337">
        <w:rPr>
          <w:rFonts w:asciiTheme="minorHAnsi" w:hAnsiTheme="minorHAnsi" w:cstheme="minorHAnsi"/>
          <w:sz w:val="26"/>
          <w:szCs w:val="26"/>
        </w:rPr>
        <w:t xml:space="preserve"> without reasonable cause) all of which have served to put Liberty to unnecessary trouble and expense which it ought otherwise not to bear.</w:t>
      </w:r>
      <w:r w:rsidR="00007337">
        <w:rPr>
          <w:rStyle w:val="FootnoteReference"/>
          <w:rFonts w:asciiTheme="minorHAnsi" w:hAnsiTheme="minorHAnsi" w:cstheme="minorHAnsi"/>
          <w:sz w:val="26"/>
          <w:szCs w:val="26"/>
        </w:rPr>
        <w:footnoteReference w:id="18"/>
      </w:r>
      <w:r w:rsidR="00007337">
        <w:rPr>
          <w:rFonts w:asciiTheme="minorHAnsi" w:hAnsiTheme="minorHAnsi" w:cstheme="minorHAnsi"/>
          <w:sz w:val="26"/>
          <w:szCs w:val="26"/>
        </w:rPr>
        <w:t xml:space="preserve"> This is aside from </w:t>
      </w:r>
      <w:r w:rsidR="00A967A3">
        <w:rPr>
          <w:rFonts w:asciiTheme="minorHAnsi" w:hAnsiTheme="minorHAnsi" w:cstheme="minorHAnsi"/>
          <w:sz w:val="26"/>
          <w:szCs w:val="26"/>
        </w:rPr>
        <w:t xml:space="preserve">various other </w:t>
      </w:r>
      <w:r w:rsidR="00007337">
        <w:rPr>
          <w:rFonts w:asciiTheme="minorHAnsi" w:hAnsiTheme="minorHAnsi" w:cstheme="minorHAnsi"/>
          <w:sz w:val="26"/>
          <w:szCs w:val="26"/>
        </w:rPr>
        <w:t>unmeritorious claims instituted by him in other fora</w:t>
      </w:r>
      <w:r w:rsidR="00A967A3">
        <w:rPr>
          <w:rFonts w:asciiTheme="minorHAnsi" w:hAnsiTheme="minorHAnsi" w:cstheme="minorHAnsi"/>
          <w:sz w:val="26"/>
          <w:szCs w:val="26"/>
        </w:rPr>
        <w:t>, as alluded to above.</w:t>
      </w:r>
      <w:r w:rsidR="00007337">
        <w:rPr>
          <w:rFonts w:asciiTheme="minorHAnsi" w:hAnsiTheme="minorHAnsi" w:cstheme="minorHAnsi"/>
          <w:sz w:val="26"/>
          <w:szCs w:val="26"/>
        </w:rPr>
        <w:t xml:space="preserve"> </w:t>
      </w:r>
      <w:r w:rsidR="00A967A3">
        <w:rPr>
          <w:rFonts w:asciiTheme="minorHAnsi" w:hAnsiTheme="minorHAnsi" w:cstheme="minorHAnsi"/>
          <w:sz w:val="26"/>
          <w:szCs w:val="26"/>
        </w:rPr>
        <w:t xml:space="preserve">On his own version, </w:t>
      </w:r>
      <w:r>
        <w:rPr>
          <w:rFonts w:asciiTheme="minorHAnsi" w:hAnsiTheme="minorHAnsi" w:cstheme="minorHAnsi"/>
          <w:sz w:val="26"/>
          <w:szCs w:val="26"/>
        </w:rPr>
        <w:t xml:space="preserve">Mr Maloka is </w:t>
      </w:r>
      <w:r w:rsidR="00A967A3">
        <w:rPr>
          <w:rFonts w:asciiTheme="minorHAnsi" w:hAnsiTheme="minorHAnsi" w:cstheme="minorHAnsi"/>
          <w:sz w:val="26"/>
          <w:szCs w:val="26"/>
        </w:rPr>
        <w:t>the</w:t>
      </w:r>
      <w:r>
        <w:rPr>
          <w:rFonts w:asciiTheme="minorHAnsi" w:hAnsiTheme="minorHAnsi" w:cstheme="minorHAnsi"/>
          <w:sz w:val="26"/>
          <w:szCs w:val="26"/>
        </w:rPr>
        <w:t xml:space="preserve"> owner of immovable property. He submits that he will be compelled to sell his home if ordered to pay security. He has, however, not stated that he is incapable of raising a loan </w:t>
      </w:r>
      <w:r w:rsidR="00521C05">
        <w:rPr>
          <w:rFonts w:asciiTheme="minorHAnsi" w:hAnsiTheme="minorHAnsi" w:cstheme="minorHAnsi"/>
          <w:sz w:val="26"/>
          <w:szCs w:val="26"/>
        </w:rPr>
        <w:t xml:space="preserve">against the security of his property </w:t>
      </w:r>
      <w:r>
        <w:rPr>
          <w:rFonts w:asciiTheme="minorHAnsi" w:hAnsiTheme="minorHAnsi" w:cstheme="minorHAnsi"/>
          <w:sz w:val="26"/>
          <w:szCs w:val="26"/>
        </w:rPr>
        <w:t>or of obtaining gainful employment</w:t>
      </w:r>
      <w:r w:rsidR="00521C05">
        <w:rPr>
          <w:rFonts w:asciiTheme="minorHAnsi" w:hAnsiTheme="minorHAnsi" w:cstheme="minorHAnsi"/>
          <w:sz w:val="26"/>
          <w:szCs w:val="26"/>
        </w:rPr>
        <w:t xml:space="preserve"> in the </w:t>
      </w:r>
      <w:r w:rsidR="00A967A3">
        <w:rPr>
          <w:rFonts w:asciiTheme="minorHAnsi" w:hAnsiTheme="minorHAnsi" w:cstheme="minorHAnsi"/>
          <w:sz w:val="26"/>
          <w:szCs w:val="26"/>
        </w:rPr>
        <w:t xml:space="preserve">foreseeable </w:t>
      </w:r>
      <w:r w:rsidR="00521C05">
        <w:rPr>
          <w:rFonts w:asciiTheme="minorHAnsi" w:hAnsiTheme="minorHAnsi" w:cstheme="minorHAnsi"/>
          <w:sz w:val="26"/>
          <w:szCs w:val="26"/>
        </w:rPr>
        <w:t>future</w:t>
      </w:r>
      <w:r>
        <w:rPr>
          <w:rFonts w:asciiTheme="minorHAnsi" w:hAnsiTheme="minorHAnsi" w:cstheme="minorHAnsi"/>
          <w:sz w:val="26"/>
          <w:szCs w:val="26"/>
        </w:rPr>
        <w:t xml:space="preserve">. He has in my view failed to demonstrate that </w:t>
      </w:r>
      <w:r w:rsidR="00521C05">
        <w:rPr>
          <w:rFonts w:asciiTheme="minorHAnsi" w:hAnsiTheme="minorHAnsi" w:cstheme="minorHAnsi"/>
          <w:sz w:val="26"/>
          <w:szCs w:val="26"/>
        </w:rPr>
        <w:t xml:space="preserve">an order directing him to furnish security will necessarily deal a death blow to his main application. </w:t>
      </w:r>
      <w:r w:rsidR="00521C05" w:rsidRPr="00C13A6E">
        <w:rPr>
          <w:rFonts w:asciiTheme="minorHAnsi" w:hAnsiTheme="minorHAnsi" w:cstheme="minorHAnsi"/>
          <w:sz w:val="26"/>
          <w:szCs w:val="26"/>
          <w:lang w:eastAsia="en-ZA"/>
        </w:rPr>
        <w:t xml:space="preserve">In any event, </w:t>
      </w:r>
      <w:r w:rsidR="00521C05" w:rsidRPr="00521C05">
        <w:rPr>
          <w:rFonts w:asciiTheme="minorHAnsi" w:hAnsiTheme="minorHAnsi" w:cstheme="minorHAnsi"/>
          <w:sz w:val="26"/>
          <w:szCs w:val="26"/>
          <w:lang w:eastAsia="en-ZA"/>
        </w:rPr>
        <w:t xml:space="preserve">that </w:t>
      </w:r>
      <w:r w:rsidR="00521C05" w:rsidRPr="00C13A6E">
        <w:rPr>
          <w:rFonts w:asciiTheme="minorHAnsi" w:hAnsiTheme="minorHAnsi" w:cstheme="minorHAnsi"/>
          <w:sz w:val="26"/>
          <w:szCs w:val="26"/>
          <w:lang w:eastAsia="en-ZA"/>
        </w:rPr>
        <w:t>an order for security might or will put an end to the litigation is not in itself an overriding consideration or even a sufficient reason to refuse an application for security.</w:t>
      </w:r>
      <w:r w:rsidR="00521C05">
        <w:rPr>
          <w:rStyle w:val="FootnoteReference"/>
          <w:rFonts w:asciiTheme="minorHAnsi" w:hAnsiTheme="minorHAnsi" w:cstheme="minorHAnsi"/>
          <w:sz w:val="26"/>
          <w:szCs w:val="26"/>
          <w:lang w:eastAsia="en-ZA"/>
        </w:rPr>
        <w:footnoteReference w:id="19"/>
      </w:r>
    </w:p>
    <w:p w:rsidR="00CA0034" w:rsidRDefault="00CA0034" w:rsidP="00CA0034">
      <w:pPr>
        <w:pStyle w:val="ListParagraph"/>
        <w:rPr>
          <w:rFonts w:asciiTheme="minorHAnsi" w:hAnsiTheme="minorHAnsi" w:cstheme="minorHAnsi"/>
          <w:sz w:val="26"/>
          <w:szCs w:val="26"/>
        </w:rPr>
      </w:pPr>
    </w:p>
    <w:p w:rsidR="00CA0034" w:rsidRDefault="00521C05"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rule 30 application was unsustainable and the rule 47 application was opposed on unsustainable grounds. In these circumstances, I see no reason not to apply the ordinary rule that costs follow the result.</w:t>
      </w:r>
    </w:p>
    <w:p w:rsidR="00CA0034" w:rsidRDefault="00CA0034" w:rsidP="00CA0034">
      <w:pPr>
        <w:pStyle w:val="ListParagraph"/>
        <w:rPr>
          <w:rFonts w:asciiTheme="minorHAnsi" w:hAnsiTheme="minorHAnsi" w:cstheme="minorHAnsi"/>
          <w:sz w:val="26"/>
          <w:szCs w:val="26"/>
        </w:rPr>
      </w:pPr>
    </w:p>
    <w:p w:rsidR="00CA0034" w:rsidRDefault="00521C05" w:rsidP="00CA003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Accordingly, the following order is granted:</w:t>
      </w:r>
    </w:p>
    <w:p w:rsidR="00CA0034" w:rsidRDefault="00CA0034" w:rsidP="00CA0034">
      <w:pPr>
        <w:pStyle w:val="ListParagraph"/>
        <w:rPr>
          <w:rFonts w:asciiTheme="minorHAnsi" w:hAnsiTheme="minorHAnsi" w:cstheme="minorHAnsi"/>
          <w:sz w:val="26"/>
          <w:szCs w:val="26"/>
        </w:rPr>
      </w:pPr>
    </w:p>
    <w:p w:rsidR="00CA0034" w:rsidRPr="0098343D" w:rsidRDefault="00CA0034" w:rsidP="00CA0034">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ORDER:</w:t>
      </w:r>
    </w:p>
    <w:p w:rsidR="00F945BC" w:rsidRPr="00F945BC" w:rsidRDefault="00F945BC" w:rsidP="00F945BC">
      <w:pPr>
        <w:pStyle w:val="ListParagraph"/>
        <w:spacing w:after="200" w:line="360" w:lineRule="auto"/>
        <w:ind w:left="851"/>
        <w:jc w:val="both"/>
        <w:rPr>
          <w:rFonts w:asciiTheme="minorHAnsi" w:hAnsiTheme="minorHAnsi" w:cstheme="minorHAnsi"/>
          <w:sz w:val="26"/>
          <w:szCs w:val="26"/>
        </w:rPr>
      </w:pPr>
      <w:r w:rsidRPr="00244F57">
        <w:rPr>
          <w:sz w:val="26"/>
          <w:szCs w:val="26"/>
        </w:rPr>
        <w:t>1</w:t>
      </w:r>
      <w:r>
        <w:rPr>
          <w:sz w:val="26"/>
          <w:szCs w:val="26"/>
        </w:rPr>
        <w:tab/>
      </w:r>
      <w:r w:rsidRPr="00F945BC">
        <w:rPr>
          <w:rFonts w:asciiTheme="minorHAnsi" w:hAnsiTheme="minorHAnsi" w:cstheme="minorHAnsi"/>
          <w:sz w:val="26"/>
          <w:szCs w:val="26"/>
        </w:rPr>
        <w:t>The rule 30 application is dismissed with costs.</w:t>
      </w:r>
    </w:p>
    <w:p w:rsidR="00F945BC" w:rsidRPr="00F945BC" w:rsidRDefault="00F945BC" w:rsidP="00F945BC">
      <w:pPr>
        <w:pStyle w:val="ListParagraph"/>
        <w:spacing w:after="200" w:line="360" w:lineRule="auto"/>
        <w:ind w:left="851"/>
        <w:jc w:val="both"/>
        <w:rPr>
          <w:rFonts w:asciiTheme="minorHAnsi" w:hAnsiTheme="minorHAnsi" w:cstheme="minorHAnsi"/>
          <w:sz w:val="26"/>
          <w:szCs w:val="26"/>
        </w:rPr>
      </w:pPr>
      <w:r w:rsidRPr="00F945BC">
        <w:rPr>
          <w:rFonts w:asciiTheme="minorHAnsi" w:hAnsiTheme="minorHAnsi" w:cstheme="minorHAnsi"/>
          <w:sz w:val="26"/>
          <w:szCs w:val="26"/>
        </w:rPr>
        <w:t>2</w:t>
      </w:r>
      <w:r w:rsidRPr="00F945BC">
        <w:rPr>
          <w:rFonts w:asciiTheme="minorHAnsi" w:hAnsiTheme="minorHAnsi" w:cstheme="minorHAnsi"/>
          <w:sz w:val="26"/>
          <w:szCs w:val="26"/>
        </w:rPr>
        <w:tab/>
        <w:t>The rule 47 application succeeds with costs.</w:t>
      </w:r>
    </w:p>
    <w:p w:rsidR="00F945BC" w:rsidRPr="00F945BC" w:rsidRDefault="00F945BC" w:rsidP="00F945BC">
      <w:pPr>
        <w:pStyle w:val="ListParagraph"/>
        <w:spacing w:after="200" w:line="360" w:lineRule="auto"/>
        <w:ind w:left="1418" w:hanging="567"/>
        <w:jc w:val="both"/>
        <w:rPr>
          <w:rFonts w:asciiTheme="minorHAnsi" w:hAnsiTheme="minorHAnsi" w:cstheme="minorHAnsi"/>
          <w:sz w:val="26"/>
          <w:szCs w:val="26"/>
        </w:rPr>
      </w:pPr>
      <w:r w:rsidRPr="00F945BC">
        <w:rPr>
          <w:rFonts w:asciiTheme="minorHAnsi" w:hAnsiTheme="minorHAnsi" w:cstheme="minorHAnsi"/>
          <w:sz w:val="26"/>
          <w:szCs w:val="26"/>
        </w:rPr>
        <w:t>3</w:t>
      </w:r>
      <w:r w:rsidRPr="00F945BC">
        <w:rPr>
          <w:rFonts w:asciiTheme="minorHAnsi" w:hAnsiTheme="minorHAnsi" w:cstheme="minorHAnsi"/>
          <w:sz w:val="26"/>
          <w:szCs w:val="26"/>
        </w:rPr>
        <w:tab/>
        <w:t xml:space="preserve">The applicant in the main application (Mr Rakokwane Maloka) is ordered to furnish security for the legal costs of the respondent (Liberty Holdings) in the main application. </w:t>
      </w:r>
    </w:p>
    <w:p w:rsidR="00F945BC" w:rsidRPr="00F945BC" w:rsidRDefault="00F945BC" w:rsidP="00F945BC">
      <w:pPr>
        <w:pStyle w:val="ListParagraph"/>
        <w:spacing w:after="200" w:line="360" w:lineRule="auto"/>
        <w:ind w:left="1418" w:hanging="567"/>
        <w:jc w:val="both"/>
        <w:rPr>
          <w:rFonts w:asciiTheme="minorHAnsi" w:hAnsiTheme="minorHAnsi" w:cstheme="minorHAnsi"/>
          <w:sz w:val="26"/>
          <w:szCs w:val="26"/>
        </w:rPr>
      </w:pPr>
      <w:r w:rsidRPr="00F945BC">
        <w:rPr>
          <w:rFonts w:asciiTheme="minorHAnsi" w:hAnsiTheme="minorHAnsi" w:cstheme="minorHAnsi"/>
          <w:sz w:val="26"/>
          <w:szCs w:val="26"/>
        </w:rPr>
        <w:t>4.</w:t>
      </w:r>
      <w:r w:rsidRPr="00F945BC">
        <w:rPr>
          <w:rFonts w:asciiTheme="minorHAnsi" w:hAnsiTheme="minorHAnsi" w:cstheme="minorHAnsi"/>
          <w:sz w:val="26"/>
          <w:szCs w:val="26"/>
        </w:rPr>
        <w:tab/>
        <w:t>The form, amount and manner of security to be provided by the applicant</w:t>
      </w:r>
      <w:r w:rsidR="00A967A3">
        <w:rPr>
          <w:rFonts w:asciiTheme="minorHAnsi" w:hAnsiTheme="minorHAnsi" w:cstheme="minorHAnsi"/>
          <w:sz w:val="26"/>
          <w:szCs w:val="26"/>
        </w:rPr>
        <w:t xml:space="preserve"> in the main application</w:t>
      </w:r>
      <w:r w:rsidRPr="00F945BC">
        <w:rPr>
          <w:rFonts w:asciiTheme="minorHAnsi" w:hAnsiTheme="minorHAnsi" w:cstheme="minorHAnsi"/>
          <w:sz w:val="26"/>
          <w:szCs w:val="26"/>
        </w:rPr>
        <w:t xml:space="preserve"> shall be determined by the Registrar of this court on application by the Respondent</w:t>
      </w:r>
      <w:r w:rsidR="00A967A3">
        <w:rPr>
          <w:rFonts w:asciiTheme="minorHAnsi" w:hAnsiTheme="minorHAnsi" w:cstheme="minorHAnsi"/>
          <w:sz w:val="26"/>
          <w:szCs w:val="26"/>
        </w:rPr>
        <w:t xml:space="preserve"> in the main application</w:t>
      </w:r>
      <w:r w:rsidRPr="00F945BC">
        <w:rPr>
          <w:rFonts w:asciiTheme="minorHAnsi" w:hAnsiTheme="minorHAnsi" w:cstheme="minorHAnsi"/>
          <w:sz w:val="26"/>
          <w:szCs w:val="26"/>
        </w:rPr>
        <w:t xml:space="preserve">. </w:t>
      </w:r>
    </w:p>
    <w:p w:rsidR="00F945BC" w:rsidRPr="00F945BC" w:rsidRDefault="00F945BC" w:rsidP="00F945BC">
      <w:pPr>
        <w:pStyle w:val="ListParagraph"/>
        <w:spacing w:after="200" w:line="360" w:lineRule="auto"/>
        <w:ind w:left="1418" w:hanging="567"/>
        <w:jc w:val="both"/>
        <w:rPr>
          <w:rFonts w:asciiTheme="minorHAnsi" w:hAnsiTheme="minorHAnsi" w:cstheme="minorHAnsi"/>
          <w:sz w:val="26"/>
          <w:szCs w:val="26"/>
        </w:rPr>
      </w:pPr>
      <w:r w:rsidRPr="00F945BC">
        <w:rPr>
          <w:rFonts w:asciiTheme="minorHAnsi" w:hAnsiTheme="minorHAnsi" w:cstheme="minorHAnsi"/>
          <w:sz w:val="26"/>
          <w:szCs w:val="26"/>
        </w:rPr>
        <w:t>5.</w:t>
      </w:r>
      <w:r w:rsidRPr="00F945BC">
        <w:rPr>
          <w:rFonts w:asciiTheme="minorHAnsi" w:hAnsiTheme="minorHAnsi" w:cstheme="minorHAnsi"/>
          <w:sz w:val="26"/>
          <w:szCs w:val="26"/>
        </w:rPr>
        <w:tab/>
        <w:t>The main application is hereby stayed forthwith until such time as security shall have been furnished as directed above.</w:t>
      </w:r>
    </w:p>
    <w:p w:rsidR="00CA0034" w:rsidRPr="00F945BC" w:rsidRDefault="00F945BC" w:rsidP="00F945BC">
      <w:pPr>
        <w:pStyle w:val="ListParagraph"/>
        <w:spacing w:after="200" w:line="360" w:lineRule="auto"/>
        <w:ind w:left="1418" w:hanging="567"/>
        <w:jc w:val="both"/>
        <w:rPr>
          <w:rFonts w:asciiTheme="minorHAnsi" w:hAnsiTheme="minorHAnsi" w:cstheme="minorHAnsi"/>
          <w:sz w:val="26"/>
          <w:szCs w:val="26"/>
        </w:rPr>
      </w:pPr>
      <w:r w:rsidRPr="00F945BC">
        <w:rPr>
          <w:rFonts w:asciiTheme="minorHAnsi" w:hAnsiTheme="minorHAnsi" w:cstheme="minorHAnsi"/>
          <w:sz w:val="26"/>
          <w:szCs w:val="26"/>
        </w:rPr>
        <w:t>6.</w:t>
      </w:r>
      <w:r w:rsidRPr="00F945BC">
        <w:rPr>
          <w:rFonts w:asciiTheme="minorHAnsi" w:hAnsiTheme="minorHAnsi" w:cstheme="minorHAnsi"/>
          <w:sz w:val="26"/>
          <w:szCs w:val="26"/>
        </w:rPr>
        <w:tab/>
        <w:t>In the event that the applicant fails to provide security as determined by the Registrar within 20 days of such determination, the respondent is granted leave to apply</w:t>
      </w:r>
      <w:r w:rsidR="00A967A3">
        <w:rPr>
          <w:rFonts w:asciiTheme="minorHAnsi" w:hAnsiTheme="minorHAnsi" w:cstheme="minorHAnsi"/>
          <w:sz w:val="26"/>
          <w:szCs w:val="26"/>
        </w:rPr>
        <w:t>,</w:t>
      </w:r>
      <w:r w:rsidRPr="00F945BC">
        <w:rPr>
          <w:rFonts w:asciiTheme="minorHAnsi" w:hAnsiTheme="minorHAnsi" w:cstheme="minorHAnsi"/>
          <w:sz w:val="26"/>
          <w:szCs w:val="26"/>
        </w:rPr>
        <w:t xml:space="preserve"> on the same papers, amplified as necessary, for the dismissal of the main application.</w:t>
      </w:r>
    </w:p>
    <w:p w:rsidR="00CA0034" w:rsidRPr="00F945BC" w:rsidRDefault="00CA0034" w:rsidP="00CA0034">
      <w:pPr>
        <w:pStyle w:val="ListParagraph"/>
        <w:rPr>
          <w:rFonts w:asciiTheme="minorHAnsi" w:hAnsiTheme="minorHAnsi" w:cstheme="minorHAnsi"/>
          <w:sz w:val="26"/>
          <w:szCs w:val="26"/>
        </w:rPr>
      </w:pPr>
    </w:p>
    <w:p w:rsidR="00CA0034" w:rsidRPr="00F945BC" w:rsidRDefault="00CA0034" w:rsidP="00CA0034">
      <w:pPr>
        <w:pStyle w:val="ListParagraph"/>
        <w:rPr>
          <w:rFonts w:asciiTheme="minorHAnsi" w:hAnsiTheme="minorHAnsi" w:cstheme="minorHAnsi"/>
          <w:sz w:val="26"/>
          <w:szCs w:val="26"/>
        </w:rPr>
      </w:pPr>
    </w:p>
    <w:p w:rsidR="00CA0034" w:rsidRPr="00C5002D" w:rsidRDefault="00CA0034" w:rsidP="00CA0034">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CA0034" w:rsidRPr="00877F1E" w:rsidRDefault="00CA0034" w:rsidP="00CA0034">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rsidR="00CA0034" w:rsidRPr="00877F1E" w:rsidRDefault="00CA0034" w:rsidP="00CA0034">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rsidR="00CA0034" w:rsidRPr="00877F1E" w:rsidRDefault="00CA0034" w:rsidP="00CA0034">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rsidR="00CA0034" w:rsidRDefault="00CA0034" w:rsidP="00CA0034">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CA0034" w:rsidRDefault="00CA0034" w:rsidP="00CA0034">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CA0034" w:rsidRPr="008E28FB" w:rsidRDefault="00CA0034" w:rsidP="00CA0034">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F945BC">
        <w:rPr>
          <w:rFonts w:asciiTheme="minorHAnsi" w:hAnsiTheme="minorHAnsi" w:cstheme="minorHAnsi"/>
          <w:sz w:val="24"/>
          <w:szCs w:val="24"/>
        </w:rPr>
        <w:t>9</w:t>
      </w:r>
      <w:r>
        <w:rPr>
          <w:rFonts w:asciiTheme="minorHAnsi" w:hAnsiTheme="minorHAnsi" w:cstheme="minorHAnsi"/>
          <w:sz w:val="24"/>
          <w:szCs w:val="24"/>
        </w:rPr>
        <w:t xml:space="preserve"> Ma</w:t>
      </w:r>
      <w:r w:rsidR="00F945BC">
        <w:rPr>
          <w:rFonts w:asciiTheme="minorHAnsi" w:hAnsiTheme="minorHAnsi" w:cstheme="minorHAnsi"/>
          <w:sz w:val="24"/>
          <w:szCs w:val="24"/>
        </w:rPr>
        <w:t>y</w:t>
      </w:r>
      <w:r>
        <w:rPr>
          <w:rFonts w:asciiTheme="minorHAnsi" w:hAnsiTheme="minorHAnsi" w:cstheme="minorHAnsi"/>
          <w:sz w:val="24"/>
          <w:szCs w:val="24"/>
        </w:rPr>
        <w:t xml:space="preserve"> 2022</w:t>
      </w:r>
    </w:p>
    <w:p w:rsidR="00CA0034" w:rsidRPr="008E28FB" w:rsidRDefault="00CA0034" w:rsidP="00CA0034">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F945BC">
        <w:rPr>
          <w:rFonts w:asciiTheme="minorHAnsi" w:hAnsiTheme="minorHAnsi" w:cstheme="minorHAnsi"/>
          <w:sz w:val="24"/>
          <w:szCs w:val="24"/>
        </w:rPr>
        <w:t>24 June</w:t>
      </w:r>
      <w:r>
        <w:rPr>
          <w:rFonts w:asciiTheme="minorHAnsi" w:hAnsiTheme="minorHAnsi" w:cstheme="minorHAnsi"/>
          <w:sz w:val="24"/>
          <w:szCs w:val="24"/>
        </w:rPr>
        <w:t xml:space="preserve"> 2022</w:t>
      </w:r>
    </w:p>
    <w:p w:rsidR="00CA0034" w:rsidRDefault="00CA0034" w:rsidP="00CA0034">
      <w:pPr>
        <w:pStyle w:val="ListParagraph"/>
        <w:ind w:left="0"/>
        <w:rPr>
          <w:rFonts w:asciiTheme="minorHAnsi" w:hAnsiTheme="minorHAnsi" w:cstheme="minorHAnsi"/>
          <w:sz w:val="24"/>
          <w:szCs w:val="24"/>
        </w:rPr>
      </w:pPr>
    </w:p>
    <w:p w:rsidR="00CA0034" w:rsidRDefault="00CA0034" w:rsidP="00CA0034">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Caselines and release to SAFLII. The date and time for hand-down is deemed to be have been at 10h00 on </w:t>
      </w:r>
      <w:r w:rsidR="00F945BC">
        <w:rPr>
          <w:i/>
        </w:rPr>
        <w:t>24 June</w:t>
      </w:r>
      <w:r w:rsidRPr="00D626A3">
        <w:rPr>
          <w:i/>
        </w:rPr>
        <w:t xml:space="preserve"> 202</w:t>
      </w:r>
      <w:r>
        <w:rPr>
          <w:i/>
        </w:rPr>
        <w:t>2</w:t>
      </w:r>
      <w:r w:rsidRPr="00D626A3">
        <w:rPr>
          <w:i/>
        </w:rPr>
        <w:t>.</w:t>
      </w:r>
    </w:p>
    <w:p w:rsidR="00CA0034" w:rsidRDefault="00CA0034" w:rsidP="00CA0034">
      <w:pPr>
        <w:pStyle w:val="ListParagraph"/>
        <w:ind w:left="0"/>
        <w:rPr>
          <w:rFonts w:asciiTheme="minorHAnsi" w:hAnsiTheme="minorHAnsi" w:cstheme="minorHAnsi"/>
          <w:sz w:val="24"/>
          <w:szCs w:val="24"/>
        </w:rPr>
      </w:pPr>
    </w:p>
    <w:p w:rsidR="00CA0034" w:rsidRPr="008E28FB" w:rsidRDefault="00CA0034" w:rsidP="00CA0034">
      <w:pPr>
        <w:pStyle w:val="ListParagraph"/>
        <w:ind w:left="0"/>
        <w:rPr>
          <w:rFonts w:asciiTheme="minorHAnsi" w:hAnsiTheme="minorHAnsi" w:cstheme="minorHAnsi"/>
          <w:sz w:val="24"/>
          <w:szCs w:val="24"/>
        </w:rPr>
      </w:pPr>
    </w:p>
    <w:p w:rsidR="00CA0034" w:rsidRPr="008E28FB" w:rsidRDefault="00CA0034" w:rsidP="00CA0034">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CA0034" w:rsidRPr="008E28FB" w:rsidRDefault="00CA0034" w:rsidP="00CA0034">
      <w:pPr>
        <w:pStyle w:val="ListParagraph"/>
        <w:ind w:left="0"/>
        <w:rPr>
          <w:rFonts w:asciiTheme="minorHAnsi" w:hAnsiTheme="minorHAnsi" w:cstheme="minorHAnsi"/>
          <w:sz w:val="24"/>
          <w:szCs w:val="24"/>
        </w:rPr>
      </w:pPr>
    </w:p>
    <w:p w:rsidR="00CA0034" w:rsidRPr="008E28FB" w:rsidRDefault="00CA0034" w:rsidP="00CA0034">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sidR="00A1747F">
        <w:rPr>
          <w:rFonts w:asciiTheme="minorHAnsi" w:hAnsiTheme="minorHAnsi" w:cstheme="minorHAnsi"/>
          <w:sz w:val="24"/>
          <w:szCs w:val="24"/>
        </w:rPr>
        <w:t>Applicant (rule 47 application)/</w:t>
      </w:r>
      <w:r>
        <w:rPr>
          <w:rFonts w:asciiTheme="minorHAnsi" w:hAnsiTheme="minorHAnsi" w:cstheme="minorHAnsi"/>
          <w:sz w:val="24"/>
          <w:szCs w:val="24"/>
        </w:rPr>
        <w:tab/>
      </w:r>
      <w:r>
        <w:rPr>
          <w:rFonts w:asciiTheme="minorHAnsi" w:hAnsiTheme="minorHAnsi" w:cstheme="minorHAnsi"/>
          <w:sz w:val="24"/>
          <w:szCs w:val="24"/>
        </w:rPr>
        <w:tab/>
      </w:r>
      <w:r w:rsidR="00A1747F">
        <w:rPr>
          <w:rFonts w:asciiTheme="minorHAnsi" w:hAnsiTheme="minorHAnsi" w:cstheme="minorHAnsi"/>
          <w:sz w:val="24"/>
          <w:szCs w:val="24"/>
        </w:rPr>
        <w:t xml:space="preserve">Adv R </w:t>
      </w:r>
      <w:r w:rsidR="009F147B">
        <w:rPr>
          <w:rFonts w:asciiTheme="minorHAnsi" w:hAnsiTheme="minorHAnsi" w:cstheme="minorHAnsi"/>
          <w:sz w:val="24"/>
          <w:szCs w:val="24"/>
        </w:rPr>
        <w:t>I</w:t>
      </w:r>
      <w:r w:rsidR="00A1747F">
        <w:rPr>
          <w:rFonts w:asciiTheme="minorHAnsi" w:hAnsiTheme="minorHAnsi" w:cstheme="minorHAnsi"/>
          <w:sz w:val="24"/>
          <w:szCs w:val="24"/>
        </w:rPr>
        <w:t>tzkin</w:t>
      </w:r>
    </w:p>
    <w:p w:rsidR="00A1747F" w:rsidRDefault="00A1747F" w:rsidP="00CA0034">
      <w:pPr>
        <w:pStyle w:val="ListParagraph"/>
        <w:ind w:left="0"/>
        <w:rPr>
          <w:rFonts w:asciiTheme="minorHAnsi" w:hAnsiTheme="minorHAnsi" w:cstheme="minorHAnsi"/>
          <w:sz w:val="24"/>
          <w:szCs w:val="24"/>
        </w:rPr>
      </w:pPr>
      <w:r>
        <w:rPr>
          <w:rFonts w:asciiTheme="minorHAnsi" w:hAnsiTheme="minorHAnsi" w:cstheme="minorHAnsi"/>
          <w:sz w:val="24"/>
          <w:szCs w:val="24"/>
        </w:rPr>
        <w:t>(Respondent in Rule 30 application)</w:t>
      </w:r>
    </w:p>
    <w:p w:rsidR="00CA0034" w:rsidRDefault="00CA0034" w:rsidP="00CA0034">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Attorneys for </w:t>
      </w:r>
      <w:r w:rsidR="00A1747F">
        <w:rPr>
          <w:rFonts w:asciiTheme="minorHAnsi" w:hAnsiTheme="minorHAnsi" w:cstheme="minorHAnsi"/>
          <w:sz w:val="24"/>
          <w:szCs w:val="24"/>
        </w:rPr>
        <w:t>Applicant</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ab/>
      </w:r>
      <w:r w:rsidR="00A1747F">
        <w:rPr>
          <w:rFonts w:asciiTheme="minorHAnsi" w:hAnsiTheme="minorHAnsi" w:cstheme="minorHAnsi"/>
          <w:sz w:val="24"/>
          <w:szCs w:val="24"/>
        </w:rPr>
        <w:tab/>
        <w:t>SGV</w:t>
      </w:r>
      <w:r>
        <w:rPr>
          <w:rFonts w:asciiTheme="minorHAnsi" w:hAnsiTheme="minorHAnsi" w:cstheme="minorHAnsi"/>
          <w:sz w:val="24"/>
          <w:szCs w:val="24"/>
        </w:rPr>
        <w:t xml:space="preserve"> Attorneys</w:t>
      </w:r>
    </w:p>
    <w:p w:rsidR="00CA0034" w:rsidRPr="008E28FB" w:rsidRDefault="00CA0034" w:rsidP="00CA0034">
      <w:pPr>
        <w:ind w:left="4320" w:hanging="4320"/>
        <w:jc w:val="both"/>
        <w:rPr>
          <w:rFonts w:asciiTheme="minorHAnsi" w:hAnsiTheme="minorHAnsi" w:cstheme="minorHAnsi"/>
          <w:sz w:val="24"/>
          <w:szCs w:val="24"/>
        </w:rPr>
      </w:pPr>
    </w:p>
    <w:p w:rsidR="00CA0034" w:rsidRDefault="00A1747F" w:rsidP="00CA0034">
      <w:r>
        <w:t>F</w:t>
      </w:r>
      <w:r w:rsidR="00CA0034">
        <w:t xml:space="preserve">or </w:t>
      </w:r>
      <w:r>
        <w:t>Respondent (in rule 47)</w:t>
      </w:r>
      <w:r w:rsidR="00CA0034">
        <w:tab/>
      </w:r>
      <w:r>
        <w:tab/>
      </w:r>
      <w:r>
        <w:tab/>
      </w:r>
      <w:r>
        <w:tab/>
        <w:t>Mr Maloka in person</w:t>
      </w:r>
    </w:p>
    <w:p w:rsidR="00A1747F" w:rsidRDefault="00A1747F" w:rsidP="00CA0034">
      <w:r>
        <w:t>(Applicant in rule 30)</w:t>
      </w:r>
    </w:p>
    <w:p w:rsidR="008D3B0E" w:rsidRDefault="008D3B0E"/>
    <w:sectPr w:rsidR="008D3B0E" w:rsidSect="004672C4">
      <w:head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D8" w:rsidRDefault="005F4FD8" w:rsidP="00CA0034">
      <w:r>
        <w:separator/>
      </w:r>
    </w:p>
  </w:endnote>
  <w:endnote w:type="continuationSeparator" w:id="0">
    <w:p w:rsidR="005F4FD8" w:rsidRDefault="005F4FD8" w:rsidP="00CA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D8" w:rsidRDefault="005F4FD8" w:rsidP="00CA0034">
      <w:r>
        <w:separator/>
      </w:r>
    </w:p>
  </w:footnote>
  <w:footnote w:type="continuationSeparator" w:id="0">
    <w:p w:rsidR="005F4FD8" w:rsidRDefault="005F4FD8" w:rsidP="00CA0034">
      <w:r>
        <w:continuationSeparator/>
      </w:r>
    </w:p>
  </w:footnote>
  <w:footnote w:id="1">
    <w:p w:rsidR="00F945BC" w:rsidRPr="00DE670A" w:rsidRDefault="00F945BC">
      <w:pPr>
        <w:pStyle w:val="FootnoteText"/>
        <w:rPr>
          <w:lang w:val="en-US"/>
        </w:rPr>
      </w:pPr>
      <w:r>
        <w:rPr>
          <w:rStyle w:val="FootnoteReference"/>
        </w:rPr>
        <w:footnoteRef/>
      </w:r>
      <w:r>
        <w:t xml:space="preserve"> </w:t>
      </w:r>
      <w:r>
        <w:rPr>
          <w:lang w:val="en-US"/>
        </w:rPr>
        <w:t xml:space="preserve">See founding affidavit at  001-26 to 001-27. </w:t>
      </w:r>
    </w:p>
  </w:footnote>
  <w:footnote w:id="2">
    <w:p w:rsidR="00F945BC" w:rsidRPr="0072417F" w:rsidRDefault="00F945BC">
      <w:pPr>
        <w:pStyle w:val="FootnoteText"/>
        <w:rPr>
          <w:lang w:val="en-US"/>
        </w:rPr>
      </w:pPr>
      <w:r>
        <w:rPr>
          <w:rStyle w:val="FootnoteReference"/>
        </w:rPr>
        <w:footnoteRef/>
      </w:r>
      <w:r>
        <w:t xml:space="preserve"> </w:t>
      </w:r>
      <w:r>
        <w:rPr>
          <w:lang w:val="en-US"/>
        </w:rPr>
        <w:t xml:space="preserve">The notice of objection is to be found at 002-45 to 002-53 of the papers. </w:t>
      </w:r>
    </w:p>
  </w:footnote>
  <w:footnote w:id="3">
    <w:p w:rsidR="00F945BC" w:rsidRPr="005C5731" w:rsidRDefault="00F945BC" w:rsidP="005C5731">
      <w:pPr>
        <w:pStyle w:val="FootnoteText"/>
        <w:jc w:val="both"/>
        <w:rPr>
          <w:lang w:val="en-US"/>
        </w:rPr>
      </w:pPr>
      <w:r>
        <w:rPr>
          <w:rStyle w:val="FootnoteReference"/>
        </w:rPr>
        <w:footnoteRef/>
      </w:r>
      <w:r>
        <w:t xml:space="preserve"> These were the only</w:t>
      </w:r>
      <w:r w:rsidRPr="00650E95">
        <w:t xml:space="preserve"> two complaints </w:t>
      </w:r>
      <w:r>
        <w:t xml:space="preserve">that </w:t>
      </w:r>
      <w:r w:rsidRPr="00650E95">
        <w:t xml:space="preserve">were pursued </w:t>
      </w:r>
      <w:r>
        <w:t>by Mr Moloka at the hearing on the merits of the rule 30 application. Other complaints that were raised from the bar were procedural in nature, relating to the fact that Liberty had not filed a practice note or written heads in the rule 30 application and that its answering affidavit was filed out of time, albeit in accordance with the period provided for in rule 6(5)(d)(i) of the Rules.</w:t>
      </w:r>
      <w:r w:rsidR="00E929A7">
        <w:t xml:space="preserve"> I adopted a pragmatic approach and allowed both interlocutory applications to be argued notwithstanding that it was unclear whether the rule 30 application had in fact been enrolled for hearing. See</w:t>
      </w:r>
      <w:r w:rsidR="00D65AFE">
        <w:t xml:space="preserve"> in this regard: </w:t>
      </w:r>
      <w:r w:rsidR="00D65AFE" w:rsidRPr="00D65AFE">
        <w:rPr>
          <w:bCs/>
          <w:i/>
        </w:rPr>
        <w:t>Pangbourne Properties Ltd v Pulse Moving CC and Another</w:t>
      </w:r>
      <w:r w:rsidR="00D65AFE" w:rsidRPr="00D65AFE">
        <w:rPr>
          <w:bCs/>
        </w:rPr>
        <w:t xml:space="preserve"> 2013 (3) SA 140 (GSJ)</w:t>
      </w:r>
    </w:p>
  </w:footnote>
  <w:footnote w:id="4">
    <w:p w:rsidR="00F945BC" w:rsidRPr="004672C4" w:rsidRDefault="00F945BC" w:rsidP="004672C4">
      <w:pPr>
        <w:pStyle w:val="FootnoteText"/>
        <w:jc w:val="both"/>
        <w:rPr>
          <w:lang w:val="en-US"/>
        </w:rPr>
      </w:pPr>
      <w:r>
        <w:rPr>
          <w:rStyle w:val="FootnoteReference"/>
        </w:rPr>
        <w:footnoteRef/>
      </w:r>
      <w:r>
        <w:t xml:space="preserve"> </w:t>
      </w:r>
      <w:r>
        <w:rPr>
          <w:lang w:val="en-US"/>
        </w:rPr>
        <w:t>Superior court practice, Erasmus, authored by Bertelsmann &amp; Van Loggerenberg in their commentary on rule 47(1) at D1-637 (revision service 5,2017)</w:t>
      </w:r>
    </w:p>
  </w:footnote>
  <w:footnote w:id="5">
    <w:p w:rsidR="00F945BC" w:rsidRPr="00091A9E" w:rsidRDefault="00F945BC">
      <w:pPr>
        <w:pStyle w:val="FootnoteText"/>
        <w:rPr>
          <w:lang w:val="en-US"/>
        </w:rPr>
      </w:pPr>
      <w:r>
        <w:rPr>
          <w:rStyle w:val="FootnoteReference"/>
        </w:rPr>
        <w:footnoteRef/>
      </w:r>
      <w:r>
        <w:t xml:space="preserve"> </w:t>
      </w:r>
      <w:r>
        <w:rPr>
          <w:lang w:val="en-US"/>
        </w:rPr>
        <w:t>See authorities cited in fn 91 of Erasmus in the relevant commentary.</w:t>
      </w:r>
    </w:p>
  </w:footnote>
  <w:footnote w:id="6">
    <w:p w:rsidR="00F945BC" w:rsidRPr="0015208C" w:rsidRDefault="00F945BC" w:rsidP="00844124">
      <w:pPr>
        <w:pStyle w:val="FootnoteText"/>
        <w:jc w:val="both"/>
        <w:rPr>
          <w:lang w:val="en-US"/>
        </w:rPr>
      </w:pPr>
      <w:r>
        <w:rPr>
          <w:rStyle w:val="FootnoteReference"/>
        </w:rPr>
        <w:footnoteRef/>
      </w:r>
      <w:r>
        <w:t xml:space="preserve"> </w:t>
      </w:r>
      <w:r>
        <w:rPr>
          <w:lang w:val="en-US"/>
        </w:rPr>
        <w:t>The main application was launched on 2 April 2021. The rule 47 notice was delivered on 6 July 2021 shortly after the answering affidavit in the main application was delivered on 2 July 2021.Mr M</w:t>
      </w:r>
      <w:r w:rsidR="00D65AFE">
        <w:rPr>
          <w:lang w:val="en-US"/>
        </w:rPr>
        <w:t>a</w:t>
      </w:r>
      <w:r>
        <w:rPr>
          <w:lang w:val="en-US"/>
        </w:rPr>
        <w:t>loka delivered his notice of objection</w:t>
      </w:r>
      <w:r w:rsidR="00D65AFE">
        <w:rPr>
          <w:lang w:val="en-US"/>
        </w:rPr>
        <w:t xml:space="preserve"> in terms of rule 30</w:t>
      </w:r>
      <w:r>
        <w:rPr>
          <w:lang w:val="en-US"/>
        </w:rPr>
        <w:t xml:space="preserve"> on 13 July 2021. The application in terms of rule 30 was brought on 3 August 2021. The rule 47 application was brought on 2 September 2021. In between, affidavits were filed in an opposed application for condonation for the late filing (by one day) of the answering affidavit in the main application, and in the opposed rule 30 application.</w:t>
      </w:r>
    </w:p>
  </w:footnote>
  <w:footnote w:id="7">
    <w:p w:rsidR="00F945BC" w:rsidRPr="00C214F8" w:rsidRDefault="00F945BC">
      <w:pPr>
        <w:pStyle w:val="FootnoteText"/>
        <w:rPr>
          <w:lang w:val="en-US"/>
        </w:rPr>
      </w:pPr>
      <w:r>
        <w:rPr>
          <w:rStyle w:val="FootnoteReference"/>
        </w:rPr>
        <w:footnoteRef/>
      </w:r>
      <w:r>
        <w:t xml:space="preserve"> </w:t>
      </w:r>
      <w:r>
        <w:rPr>
          <w:i/>
          <w:lang w:val="en-US"/>
        </w:rPr>
        <w:t xml:space="preserve">Market Dynamics (Pty) Ltd t/a Brian Ferris v Grogor </w:t>
      </w:r>
      <w:r>
        <w:rPr>
          <w:lang w:val="en-US"/>
        </w:rPr>
        <w:t xml:space="preserve"> 1984(1) SA 152 (W).</w:t>
      </w:r>
    </w:p>
  </w:footnote>
  <w:footnote w:id="8">
    <w:p w:rsidR="00F945BC" w:rsidRPr="00091A9E" w:rsidRDefault="00F945BC">
      <w:pPr>
        <w:pStyle w:val="FootnoteText"/>
        <w:rPr>
          <w:lang w:val="en-US"/>
        </w:rPr>
      </w:pPr>
      <w:r>
        <w:rPr>
          <w:rStyle w:val="FootnoteReference"/>
        </w:rPr>
        <w:footnoteRef/>
      </w:r>
      <w:r>
        <w:t xml:space="preserve"> </w:t>
      </w:r>
      <w:r>
        <w:rPr>
          <w:lang w:val="en-US"/>
        </w:rPr>
        <w:t>See authorities cited in fn 92 of Erasmus in the relevant commentary.</w:t>
      </w:r>
    </w:p>
  </w:footnote>
  <w:footnote w:id="9">
    <w:p w:rsidR="00F945BC" w:rsidRPr="00051184" w:rsidRDefault="00F945BC">
      <w:pPr>
        <w:pStyle w:val="FootnoteText"/>
        <w:rPr>
          <w:lang w:val="en-US"/>
        </w:rPr>
      </w:pPr>
      <w:r>
        <w:rPr>
          <w:rStyle w:val="FootnoteReference"/>
        </w:rPr>
        <w:footnoteRef/>
      </w:r>
      <w:r>
        <w:t xml:space="preserve"> </w:t>
      </w:r>
      <w:r>
        <w:rPr>
          <w:i/>
          <w:lang w:val="en-US"/>
        </w:rPr>
        <w:t xml:space="preserve">Boost Sports Africa (Pty) Ltd v South African Breweries (Pty)Ltd </w:t>
      </w:r>
      <w:r>
        <w:rPr>
          <w:lang w:val="en-US"/>
        </w:rPr>
        <w:t xml:space="preserve"> 2015 (5) SA 38 (SCA), paras 15 - 16</w:t>
      </w:r>
    </w:p>
  </w:footnote>
  <w:footnote w:id="10">
    <w:p w:rsidR="00D65AFE" w:rsidRPr="00D65AFE" w:rsidRDefault="00D65AFE">
      <w:pPr>
        <w:pStyle w:val="FootnoteText"/>
        <w:rPr>
          <w:lang w:val="en-US"/>
        </w:rPr>
      </w:pPr>
      <w:r>
        <w:rPr>
          <w:rStyle w:val="FootnoteReference"/>
        </w:rPr>
        <w:footnoteRef/>
      </w:r>
      <w:r>
        <w:t xml:space="preserve"> </w:t>
      </w:r>
      <w:r>
        <w:rPr>
          <w:lang w:val="en-US"/>
        </w:rPr>
        <w:t xml:space="preserve">An </w:t>
      </w:r>
      <w:r>
        <w:rPr>
          <w:i/>
          <w:lang w:val="en-US"/>
        </w:rPr>
        <w:t xml:space="preserve">incola </w:t>
      </w:r>
      <w:r>
        <w:rPr>
          <w:lang w:val="en-US"/>
        </w:rPr>
        <w:t>within the present context refers to a person who is a resident of the Republic of South Africa.</w:t>
      </w:r>
    </w:p>
  </w:footnote>
  <w:footnote w:id="11">
    <w:p w:rsidR="00F945BC" w:rsidRPr="00F42AB1" w:rsidRDefault="00F945BC">
      <w:pPr>
        <w:pStyle w:val="FootnoteText"/>
        <w:rPr>
          <w:lang w:val="en-US"/>
        </w:rPr>
      </w:pPr>
      <w:r>
        <w:rPr>
          <w:rStyle w:val="FootnoteReference"/>
        </w:rPr>
        <w:footnoteRef/>
      </w:r>
      <w:r>
        <w:t xml:space="preserve"> </w:t>
      </w:r>
      <w:r>
        <w:rPr>
          <w:lang w:val="en-US"/>
        </w:rPr>
        <w:t xml:space="preserve">See </w:t>
      </w:r>
      <w:r>
        <w:rPr>
          <w:i/>
          <w:lang w:val="en-US"/>
        </w:rPr>
        <w:t xml:space="preserve">African Farms and Townships Ltd v Cape Town Municipality </w:t>
      </w:r>
      <w:r>
        <w:rPr>
          <w:lang w:val="en-US"/>
        </w:rPr>
        <w:t xml:space="preserve"> 1963 (2) SA 555 (A) at 565 D-E</w:t>
      </w:r>
    </w:p>
  </w:footnote>
  <w:footnote w:id="12">
    <w:p w:rsidR="00F945BC" w:rsidRPr="00CC51F2" w:rsidRDefault="00F945BC" w:rsidP="00A04B3E">
      <w:pPr>
        <w:pStyle w:val="FootnoteText"/>
        <w:jc w:val="both"/>
        <w:rPr>
          <w:lang w:val="en-US"/>
        </w:rPr>
      </w:pPr>
      <w:r>
        <w:rPr>
          <w:rStyle w:val="FootnoteReference"/>
        </w:rPr>
        <w:footnoteRef/>
      </w:r>
      <w:r>
        <w:t xml:space="preserve"> Id </w:t>
      </w:r>
      <w:r w:rsidRPr="00710EBB">
        <w:rPr>
          <w:i/>
        </w:rPr>
        <w:t>Boost Sports</w:t>
      </w:r>
      <w:r>
        <w:rPr>
          <w:i/>
        </w:rPr>
        <w:t xml:space="preserve">, </w:t>
      </w:r>
      <w:r w:rsidRPr="00A04B3E">
        <w:t>para 18</w:t>
      </w:r>
      <w:r>
        <w:t xml:space="preserve">, where the court endorsed what was said in earlier authorities, namely, that a </w:t>
      </w:r>
      <w:r w:rsidRPr="00A04B3E">
        <w:t>detailed investigation of the merits need not be undertaken in an application for security for costs, nor does the court need to be convinced with certainty of the unsustainability of the action or application.</w:t>
      </w:r>
      <w:r>
        <w:rPr>
          <w:i/>
        </w:rPr>
        <w:t xml:space="preserve"> </w:t>
      </w:r>
      <w:r>
        <w:rPr>
          <w:lang w:val="en-US"/>
        </w:rPr>
        <w:t>See too</w:t>
      </w:r>
      <w:r w:rsidRPr="00A04B3E">
        <w:rPr>
          <w:i/>
          <w:lang w:val="en-US"/>
        </w:rPr>
        <w:t>: Fitchet v Fitchet</w:t>
      </w:r>
      <w:r>
        <w:rPr>
          <w:lang w:val="en-US"/>
        </w:rPr>
        <w:t xml:space="preserve"> </w:t>
      </w:r>
      <w:r w:rsidRPr="00A04B3E">
        <w:rPr>
          <w:lang w:val="en-US"/>
        </w:rPr>
        <w:t>1987 (1) SA 450 (ECD) at 454E-G</w:t>
      </w:r>
      <w:r>
        <w:rPr>
          <w:lang w:val="en-US"/>
        </w:rPr>
        <w:t>, where the following was said: “</w:t>
      </w:r>
      <w:r>
        <w:rPr>
          <w:i/>
          <w:lang w:val="en-US"/>
        </w:rPr>
        <w:t xml:space="preserve">…in applications for security for costs the test should be somewhat different. Where, in an application for dismissal of an action, the Court without hearing evidence on the merits will require moral certainty alone that the action is unsustainable, </w:t>
      </w:r>
      <w:r w:rsidRPr="00CC51F2">
        <w:rPr>
          <w:i/>
          <w:u w:val="single"/>
          <w:lang w:val="en-US"/>
        </w:rPr>
        <w:t xml:space="preserve">in an application for security for costs the merits test should be somewhat less stringent </w:t>
      </w:r>
      <w:r>
        <w:rPr>
          <w:i/>
          <w:lang w:val="en-US"/>
        </w:rPr>
        <w:t>and other factors which are irrelevant in a dismissal application, should be taken into account.”</w:t>
      </w:r>
      <w:r>
        <w:rPr>
          <w:lang w:val="en-US"/>
        </w:rPr>
        <w:t xml:space="preserve"> (emphasis added)</w:t>
      </w:r>
    </w:p>
    <w:p w:rsidR="00F945BC" w:rsidRDefault="00F945BC" w:rsidP="00A04B3E">
      <w:pPr>
        <w:pStyle w:val="FootnoteText"/>
        <w:jc w:val="both"/>
        <w:rPr>
          <w:lang w:val="en-US"/>
        </w:rPr>
      </w:pPr>
    </w:p>
    <w:p w:rsidR="00F945BC" w:rsidRPr="00CC51F2" w:rsidRDefault="00F945BC" w:rsidP="00A04B3E">
      <w:pPr>
        <w:pStyle w:val="FootnoteText"/>
        <w:jc w:val="both"/>
        <w:rPr>
          <w:lang w:val="en-US"/>
        </w:rPr>
      </w:pPr>
      <w:r>
        <w:rPr>
          <w:lang w:val="en-US"/>
        </w:rPr>
        <w:t xml:space="preserve">In </w:t>
      </w:r>
      <w:r w:rsidR="00D65AFE">
        <w:rPr>
          <w:i/>
          <w:lang w:val="en-US"/>
        </w:rPr>
        <w:t>Ravden v Beeten</w:t>
      </w:r>
      <w:r>
        <w:rPr>
          <w:lang w:val="en-US"/>
        </w:rPr>
        <w:t xml:space="preserve"> 1935 CPD 269 at 276, Sutton J endorsed the less stringent approach, indicating that the test is satisfied where on the face of the pleadings it is shown that the action cannot be maintained and is frivolous and vexatious.</w:t>
      </w:r>
    </w:p>
  </w:footnote>
  <w:footnote w:id="13">
    <w:p w:rsidR="00F945BC" w:rsidRPr="00710EBB" w:rsidRDefault="00F945BC">
      <w:pPr>
        <w:pStyle w:val="FootnoteText"/>
        <w:rPr>
          <w:lang w:val="en-US"/>
        </w:rPr>
      </w:pPr>
      <w:r>
        <w:rPr>
          <w:rStyle w:val="FootnoteReference"/>
        </w:rPr>
        <w:footnoteRef/>
      </w:r>
      <w:r>
        <w:t xml:space="preserve"> </w:t>
      </w:r>
      <w:r>
        <w:rPr>
          <w:i/>
          <w:lang w:val="en-US"/>
        </w:rPr>
        <w:t xml:space="preserve">Zietsman v Electronic Media Network Ltd </w:t>
      </w:r>
      <w:r>
        <w:rPr>
          <w:lang w:val="en-US"/>
        </w:rPr>
        <w:t>2008 (4) SA 1 (SCA), para 21.</w:t>
      </w:r>
    </w:p>
  </w:footnote>
  <w:footnote w:id="14">
    <w:p w:rsidR="00F945BC" w:rsidRPr="004727FF" w:rsidRDefault="00F945BC">
      <w:pPr>
        <w:pStyle w:val="FootnoteText"/>
        <w:rPr>
          <w:lang w:val="en-US"/>
        </w:rPr>
      </w:pPr>
      <w:r>
        <w:rPr>
          <w:rStyle w:val="FootnoteReference"/>
        </w:rPr>
        <w:footnoteRef/>
      </w:r>
      <w:r>
        <w:t xml:space="preserve"> </w:t>
      </w:r>
      <w:r>
        <w:rPr>
          <w:lang w:val="en-US"/>
        </w:rPr>
        <w:t xml:space="preserve">See: </w:t>
      </w:r>
      <w:r>
        <w:rPr>
          <w:i/>
          <w:lang w:val="en-US"/>
        </w:rPr>
        <w:t xml:space="preserve">Malema v Rawula </w:t>
      </w:r>
      <w:r>
        <w:rPr>
          <w:lang w:val="en-US"/>
        </w:rPr>
        <w:t xml:space="preserve"> [2021] ZASCA 88, paras 27 &amp; 29</w:t>
      </w:r>
    </w:p>
  </w:footnote>
  <w:footnote w:id="15">
    <w:p w:rsidR="00F945BC" w:rsidRPr="001C7274" w:rsidRDefault="00F945BC">
      <w:pPr>
        <w:pStyle w:val="FootnoteText"/>
        <w:rPr>
          <w:lang w:val="en-US"/>
        </w:rPr>
      </w:pPr>
      <w:r>
        <w:rPr>
          <w:rStyle w:val="FootnoteReference"/>
        </w:rPr>
        <w:footnoteRef/>
      </w:r>
      <w:r>
        <w:t xml:space="preserve"> </w:t>
      </w:r>
      <w:r>
        <w:rPr>
          <w:lang w:val="en-US"/>
        </w:rPr>
        <w:t>For example, the claim for medical expenses is not supported by invoices or proof of payment thereof.</w:t>
      </w:r>
    </w:p>
  </w:footnote>
  <w:footnote w:id="16">
    <w:p w:rsidR="00F945BC" w:rsidRPr="00967640" w:rsidRDefault="00F945BC" w:rsidP="006C7987">
      <w:pPr>
        <w:rPr>
          <w:rFonts w:ascii="Arial" w:hAnsi="Arial" w:cs="Arial"/>
        </w:rPr>
      </w:pPr>
      <w:r>
        <w:rPr>
          <w:rStyle w:val="FootnoteReference"/>
        </w:rPr>
        <w:footnoteRef/>
      </w:r>
      <w:r>
        <w:t xml:space="preserve"> </w:t>
      </w:r>
      <w:r>
        <w:rPr>
          <w:lang w:val="en-US"/>
        </w:rPr>
        <w:t xml:space="preserve">See: </w:t>
      </w:r>
      <w:r w:rsidRPr="00967640">
        <w:rPr>
          <w:rFonts w:ascii="Arial" w:hAnsi="Arial" w:cs="Arial"/>
          <w:i/>
          <w:iCs/>
        </w:rPr>
        <w:t>Genesis Medical Aid Scheme v Registrar, Medical Schemes and Another</w:t>
      </w:r>
      <w:r w:rsidRPr="00967640">
        <w:rPr>
          <w:rFonts w:ascii="Arial" w:hAnsi="Arial" w:cs="Arial"/>
        </w:rPr>
        <w:t xml:space="preserve"> 2017 (6) SA 1 (CC) para 171</w:t>
      </w:r>
      <w:r>
        <w:rPr>
          <w:rFonts w:ascii="Arial" w:hAnsi="Arial" w:cs="Arial"/>
        </w:rPr>
        <w:t xml:space="preserve"> where</w:t>
      </w:r>
      <w:r w:rsidRPr="00967640">
        <w:rPr>
          <w:rFonts w:ascii="Arial" w:hAnsi="Arial" w:cs="Arial"/>
        </w:rPr>
        <w:t xml:space="preserve"> the Constitutional Court dealt with a litigant’s obligation to make out a case in the affidavit itself, stating as follows (underlining added):</w:t>
      </w:r>
    </w:p>
    <w:p w:rsidR="00F945BC" w:rsidRPr="00967640" w:rsidRDefault="00F945BC" w:rsidP="006C7987">
      <w:pPr>
        <w:pStyle w:val="ListParagraph"/>
        <w:spacing w:line="276" w:lineRule="auto"/>
        <w:ind w:left="1440"/>
        <w:contextualSpacing w:val="0"/>
        <w:rPr>
          <w:rFonts w:ascii="Arial" w:hAnsi="Arial" w:cs="Arial"/>
          <w:i/>
          <w:iCs/>
        </w:rPr>
      </w:pPr>
      <w:r w:rsidRPr="00967640">
        <w:rPr>
          <w:rFonts w:ascii="Arial" w:hAnsi="Arial" w:cs="Arial"/>
          <w:i/>
          <w:iCs/>
        </w:rPr>
        <w:t xml:space="preserve">The fact that the second judgment got the point about the auditor's assurance report from an annexure to one of the affidavits and not from the respondents' answering affidavit raises the question </w:t>
      </w:r>
      <w:r w:rsidRPr="00967640">
        <w:rPr>
          <w:rFonts w:ascii="Arial" w:hAnsi="Arial" w:cs="Arial"/>
          <w:i/>
          <w:iCs/>
          <w:u w:val="single"/>
        </w:rPr>
        <w:t>whether it is permissible in our law to decide a matter on the basis of a point contained in, or based on, an annexure to an affidavit but which is not covered in the relevant affidavit. The answer is No</w:t>
      </w:r>
      <w:r w:rsidRPr="00967640">
        <w:rPr>
          <w:rFonts w:ascii="Arial" w:hAnsi="Arial" w:cs="Arial"/>
          <w:i/>
          <w:iCs/>
        </w:rPr>
        <w:t>. In Minister of Land Affairs and Agriculture v D &amp; F Wevell Trust</w:t>
      </w:r>
      <w:r w:rsidRPr="00967640">
        <w:rPr>
          <w:rStyle w:val="FootnoteReference"/>
          <w:rFonts w:ascii="Arial" w:hAnsi="Arial" w:cs="Arial"/>
          <w:i/>
          <w:iCs/>
        </w:rPr>
        <w:footnoteRef/>
      </w:r>
      <w:r w:rsidRPr="00967640">
        <w:rPr>
          <w:rFonts w:ascii="Arial" w:hAnsi="Arial" w:cs="Arial"/>
          <w:i/>
          <w:iCs/>
        </w:rPr>
        <w:t xml:space="preserve"> the Supreme Court of Appeal said:</w:t>
      </w:r>
    </w:p>
    <w:p w:rsidR="00F945BC" w:rsidRPr="00967640" w:rsidRDefault="00F945BC" w:rsidP="006C7987">
      <w:pPr>
        <w:pStyle w:val="ListParagraph"/>
        <w:spacing w:line="276" w:lineRule="auto"/>
        <w:ind w:left="2160"/>
        <w:contextualSpacing w:val="0"/>
        <w:rPr>
          <w:rFonts w:ascii="Arial" w:hAnsi="Arial" w:cs="Arial"/>
          <w:i/>
          <w:iCs/>
        </w:rPr>
      </w:pPr>
      <w:r w:rsidRPr="00967640">
        <w:rPr>
          <w:rFonts w:ascii="Arial" w:hAnsi="Arial" w:cs="Arial"/>
          <w:i/>
          <w:iCs/>
        </w:rPr>
        <w:t xml:space="preserve">'(T)he case argued before this court was not properly made out in answering affidavits deposed to by Andreas. The case that was made out, was conclusively refuted in the replying affidavits as I pointed out in paras [18] to [20] above. </w:t>
      </w:r>
      <w:r w:rsidRPr="00967640">
        <w:rPr>
          <w:rFonts w:ascii="Arial" w:hAnsi="Arial" w:cs="Arial"/>
          <w:i/>
          <w:iCs/>
          <w:u w:val="single"/>
        </w:rPr>
        <w:t>It is not proper for a party in motion proceedings to base an argument on passages in documents which have been annexed to the papers when the conclusions sought to be drawn from such passages have not been canvassed in the affidavits. The reason is manifest — the other party may well be prejudiced because evidence may have been available to it to refute the new case on the facts. The position is worse where the arguments are advanced for the first time on appeal. In motion proceedings, the affidavits constitute both the pleadings and the evidence</w:t>
      </w:r>
      <w:r w:rsidRPr="00967640">
        <w:rPr>
          <w:rFonts w:ascii="Arial" w:hAnsi="Arial" w:cs="Arial"/>
          <w:i/>
          <w:iCs/>
        </w:rPr>
        <w:t>: Transnet Ltd v Rubenstein [2006 (1) SA 591 (SCA)in para 28], and the issues and averments in support of the parties' cases should appear clearly therefrom. A party cannot be expected to trawl through lengthy annexures to the opponent's affidavit and to speculate on the possible relevance of facts therein contained. Trial by ambush cannot be permitted.'</w:t>
      </w:r>
      <w:r w:rsidRPr="00967640">
        <w:rPr>
          <w:rStyle w:val="FootnoteReference"/>
          <w:rFonts w:ascii="Arial" w:hAnsi="Arial" w:cs="Arial"/>
          <w:i/>
          <w:iCs/>
        </w:rPr>
        <w:footnoteRef/>
      </w:r>
      <w:r w:rsidRPr="00967640">
        <w:rPr>
          <w:rFonts w:ascii="Arial" w:hAnsi="Arial" w:cs="Arial"/>
          <w:i/>
          <w:iCs/>
        </w:rPr>
        <w:t>[Own emphasis.]</w:t>
      </w:r>
    </w:p>
    <w:p w:rsidR="00F945BC" w:rsidRDefault="00F945BC" w:rsidP="006C7987">
      <w:pPr>
        <w:pStyle w:val="FootnoteText"/>
      </w:pPr>
      <w:r w:rsidRPr="00967640">
        <w:rPr>
          <w:i/>
          <w:iCs/>
          <w:u w:val="single"/>
        </w:rPr>
        <w:t>If a litigant is not permitted to engage in a trial by ambush, it follows that a court may also not do so</w:t>
      </w:r>
      <w:r w:rsidRPr="00967640">
        <w:t>.”</w:t>
      </w:r>
    </w:p>
    <w:p w:rsidR="00F945BC" w:rsidRPr="00F62021" w:rsidRDefault="00F945BC" w:rsidP="006C7987">
      <w:pPr>
        <w:pStyle w:val="FootnoteText"/>
        <w:jc w:val="both"/>
        <w:rPr>
          <w:lang w:val="en-US"/>
        </w:rPr>
      </w:pPr>
      <w:r w:rsidRPr="00967640">
        <w:t xml:space="preserve">See too the summary by the Supreme Court of Appeal in </w:t>
      </w:r>
      <w:r w:rsidRPr="00967640">
        <w:rPr>
          <w:i/>
          <w:iCs/>
        </w:rPr>
        <w:t>MEC for Health, Gauteng v 3P Consulting (Pty) Ltd</w:t>
      </w:r>
      <w:r w:rsidRPr="00967640">
        <w:t xml:space="preserve"> 2012 (2) SA 542 (SCA) para 28 on the trite principles that govern pleading and proving a case.</w:t>
      </w:r>
    </w:p>
  </w:footnote>
  <w:footnote w:id="17">
    <w:p w:rsidR="00F945BC" w:rsidRPr="001C4FF3" w:rsidRDefault="00F945BC">
      <w:pPr>
        <w:pStyle w:val="FootnoteText"/>
        <w:rPr>
          <w:lang w:val="en-US"/>
        </w:rPr>
      </w:pPr>
      <w:r>
        <w:rPr>
          <w:rStyle w:val="FootnoteReference"/>
        </w:rPr>
        <w:footnoteRef/>
      </w:r>
      <w:r>
        <w:t xml:space="preserve"> </w:t>
      </w:r>
      <w:r>
        <w:rPr>
          <w:lang w:val="en-US"/>
        </w:rPr>
        <w:t xml:space="preserve">See </w:t>
      </w:r>
      <w:r>
        <w:rPr>
          <w:i/>
          <w:lang w:val="en-US"/>
        </w:rPr>
        <w:t xml:space="preserve">Malema v Rawula </w:t>
      </w:r>
      <w:r>
        <w:rPr>
          <w:lang w:val="en-US"/>
        </w:rPr>
        <w:t xml:space="preserve"> [2021] ZASCA 88, para 63.</w:t>
      </w:r>
    </w:p>
  </w:footnote>
  <w:footnote w:id="18">
    <w:p w:rsidR="00007337" w:rsidRPr="00007337" w:rsidRDefault="00007337">
      <w:pPr>
        <w:pStyle w:val="FootnoteText"/>
        <w:rPr>
          <w:lang w:val="en-US"/>
        </w:rPr>
      </w:pPr>
      <w:r>
        <w:rPr>
          <w:rStyle w:val="FootnoteReference"/>
        </w:rPr>
        <w:footnoteRef/>
      </w:r>
      <w:r>
        <w:t xml:space="preserve"> </w:t>
      </w:r>
      <w:r>
        <w:rPr>
          <w:lang w:val="en-US"/>
        </w:rPr>
        <w:t xml:space="preserve">See </w:t>
      </w:r>
      <w:r>
        <w:rPr>
          <w:i/>
          <w:lang w:val="en-US"/>
        </w:rPr>
        <w:t xml:space="preserve">Johannesburg City Council v Television &amp; Electrical Distributors (Pty) Ltd and Another </w:t>
      </w:r>
      <w:r>
        <w:rPr>
          <w:lang w:val="en-US"/>
        </w:rPr>
        <w:t xml:space="preserve"> 1997 (1) SA 157 (A) at 177 D-E, where the court expressed the view thatproceedings may be regarded as vexatious when a litigant puts the other side to unnecessary trouble and expense which it ought not to bear.</w:t>
      </w:r>
    </w:p>
  </w:footnote>
  <w:footnote w:id="19">
    <w:p w:rsidR="00F945BC" w:rsidRPr="00521C05" w:rsidRDefault="00F945BC" w:rsidP="00521C05">
      <w:pPr>
        <w:pStyle w:val="FootnoteText"/>
        <w:jc w:val="both"/>
        <w:rPr>
          <w:lang w:val="en-US"/>
        </w:rPr>
      </w:pPr>
      <w:r>
        <w:rPr>
          <w:rStyle w:val="FootnoteReference"/>
        </w:rPr>
        <w:footnoteRef/>
      </w:r>
      <w:r>
        <w:t xml:space="preserve"> </w:t>
      </w:r>
      <w:r>
        <w:rPr>
          <w:lang w:val="en-US"/>
        </w:rPr>
        <w:t xml:space="preserve">See: </w:t>
      </w:r>
      <w:hyperlink r:id="rId1" w:history="1">
        <w:r w:rsidRPr="004C2F54">
          <w:rPr>
            <w:rStyle w:val="Hyperlink"/>
            <w:i/>
            <w:color w:val="auto"/>
            <w:u w:val="none"/>
            <w:bdr w:val="none" w:sz="0" w:space="0" w:color="auto" w:frame="1"/>
            <w:shd w:val="clear" w:color="auto" w:fill="FFFFFF"/>
          </w:rPr>
          <w:t>Fusion Properties 233 cc v Stellenbosch Municipality</w:t>
        </w:r>
        <w:r w:rsidRPr="004C2F54">
          <w:rPr>
            <w:rStyle w:val="Hyperlink"/>
            <w:color w:val="auto"/>
            <w:u w:val="none"/>
            <w:bdr w:val="none" w:sz="0" w:space="0" w:color="auto" w:frame="1"/>
            <w:shd w:val="clear" w:color="auto" w:fill="FFFFFF"/>
          </w:rPr>
          <w:t xml:space="preserve"> (932/2019) [2021] ZASCA 10</w:t>
        </w:r>
      </w:hyperlink>
      <w:r>
        <w:t xml:space="preserve"> </w:t>
      </w:r>
      <w:r w:rsidRPr="004C2F54">
        <w:rPr>
          <w:color w:val="191926"/>
          <w:shd w:val="clear" w:color="auto" w:fill="FFFFFF"/>
        </w:rPr>
        <w:t>(29 January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2887"/>
      <w:docPartObj>
        <w:docPartGallery w:val="Page Numbers (Top of Page)"/>
        <w:docPartUnique/>
      </w:docPartObj>
    </w:sdtPr>
    <w:sdtEndPr>
      <w:rPr>
        <w:noProof/>
      </w:rPr>
    </w:sdtEndPr>
    <w:sdtContent>
      <w:p w:rsidR="00F945BC" w:rsidRDefault="00F945BC">
        <w:pPr>
          <w:pStyle w:val="Header"/>
          <w:jc w:val="right"/>
        </w:pPr>
        <w:r>
          <w:fldChar w:fldCharType="begin"/>
        </w:r>
        <w:r>
          <w:instrText xml:space="preserve"> PAGE   \* MERGEFORMAT </w:instrText>
        </w:r>
        <w:r>
          <w:fldChar w:fldCharType="separate"/>
        </w:r>
        <w:r w:rsidR="00A12308">
          <w:rPr>
            <w:noProof/>
          </w:rPr>
          <w:t>5</w:t>
        </w:r>
        <w:r>
          <w:rPr>
            <w:noProof/>
          </w:rPr>
          <w:fldChar w:fldCharType="end"/>
        </w:r>
      </w:p>
    </w:sdtContent>
  </w:sdt>
  <w:p w:rsidR="00F945BC" w:rsidRDefault="00F94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BC" w:rsidRDefault="00F945BC">
    <w:pPr>
      <w:pStyle w:val="Header"/>
      <w:jc w:val="center"/>
    </w:pPr>
  </w:p>
  <w:p w:rsidR="00F945BC" w:rsidRDefault="00F94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95B"/>
    <w:multiLevelType w:val="hybridMultilevel"/>
    <w:tmpl w:val="1D50EB70"/>
    <w:lvl w:ilvl="0" w:tplc="0A54A70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13C118A2"/>
    <w:multiLevelType w:val="hybridMultilevel"/>
    <w:tmpl w:val="C34600B6"/>
    <w:lvl w:ilvl="0" w:tplc="4CB29FF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2FAE550D"/>
    <w:multiLevelType w:val="hybridMultilevel"/>
    <w:tmpl w:val="308A7192"/>
    <w:lvl w:ilvl="0" w:tplc="6316D5DE">
      <w:start w:val="1"/>
      <w:numFmt w:val="decimal"/>
      <w:lvlText w:val="%1."/>
      <w:lvlJc w:val="left"/>
      <w:pPr>
        <w:ind w:left="1256" w:hanging="360"/>
      </w:pPr>
      <w:rPr>
        <w:rFonts w:asciiTheme="minorHAnsi" w:eastAsia="Times New Roman" w:hAnsiTheme="minorHAnsi" w:cstheme="minorHAnsi"/>
      </w:rPr>
    </w:lvl>
    <w:lvl w:ilvl="1" w:tplc="1C090019" w:tentative="1">
      <w:start w:val="1"/>
      <w:numFmt w:val="lowerLetter"/>
      <w:lvlText w:val="%2."/>
      <w:lvlJc w:val="left"/>
      <w:pPr>
        <w:ind w:left="1976" w:hanging="360"/>
      </w:pPr>
    </w:lvl>
    <w:lvl w:ilvl="2" w:tplc="1C09001B" w:tentative="1">
      <w:start w:val="1"/>
      <w:numFmt w:val="lowerRoman"/>
      <w:lvlText w:val="%3."/>
      <w:lvlJc w:val="right"/>
      <w:pPr>
        <w:ind w:left="2696" w:hanging="180"/>
      </w:pPr>
    </w:lvl>
    <w:lvl w:ilvl="3" w:tplc="1C09000F" w:tentative="1">
      <w:start w:val="1"/>
      <w:numFmt w:val="decimal"/>
      <w:lvlText w:val="%4."/>
      <w:lvlJc w:val="left"/>
      <w:pPr>
        <w:ind w:left="3416" w:hanging="360"/>
      </w:pPr>
    </w:lvl>
    <w:lvl w:ilvl="4" w:tplc="1C090019" w:tentative="1">
      <w:start w:val="1"/>
      <w:numFmt w:val="lowerLetter"/>
      <w:lvlText w:val="%5."/>
      <w:lvlJc w:val="left"/>
      <w:pPr>
        <w:ind w:left="4136" w:hanging="360"/>
      </w:pPr>
    </w:lvl>
    <w:lvl w:ilvl="5" w:tplc="1C09001B" w:tentative="1">
      <w:start w:val="1"/>
      <w:numFmt w:val="lowerRoman"/>
      <w:lvlText w:val="%6."/>
      <w:lvlJc w:val="right"/>
      <w:pPr>
        <w:ind w:left="4856" w:hanging="180"/>
      </w:pPr>
    </w:lvl>
    <w:lvl w:ilvl="6" w:tplc="1C09000F" w:tentative="1">
      <w:start w:val="1"/>
      <w:numFmt w:val="decimal"/>
      <w:lvlText w:val="%7."/>
      <w:lvlJc w:val="left"/>
      <w:pPr>
        <w:ind w:left="5576" w:hanging="360"/>
      </w:pPr>
    </w:lvl>
    <w:lvl w:ilvl="7" w:tplc="1C090019" w:tentative="1">
      <w:start w:val="1"/>
      <w:numFmt w:val="lowerLetter"/>
      <w:lvlText w:val="%8."/>
      <w:lvlJc w:val="left"/>
      <w:pPr>
        <w:ind w:left="6296" w:hanging="360"/>
      </w:pPr>
    </w:lvl>
    <w:lvl w:ilvl="8" w:tplc="1C09001B" w:tentative="1">
      <w:start w:val="1"/>
      <w:numFmt w:val="lowerRoman"/>
      <w:lvlText w:val="%9."/>
      <w:lvlJc w:val="right"/>
      <w:pPr>
        <w:ind w:left="7016" w:hanging="180"/>
      </w:pPr>
    </w:lvl>
  </w:abstractNum>
  <w:abstractNum w:abstractNumId="3">
    <w:nsid w:val="301671F3"/>
    <w:multiLevelType w:val="hybridMultilevel"/>
    <w:tmpl w:val="0C8E05D4"/>
    <w:lvl w:ilvl="0" w:tplc="A462C01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33352A3F"/>
    <w:multiLevelType w:val="hybridMultilevel"/>
    <w:tmpl w:val="8E9EE0F6"/>
    <w:lvl w:ilvl="0" w:tplc="B610FAD0">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6">
    <w:nsid w:val="4FB1076A"/>
    <w:multiLevelType w:val="hybridMultilevel"/>
    <w:tmpl w:val="F5F0A576"/>
    <w:lvl w:ilvl="0" w:tplc="DBB4203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50F7650A"/>
    <w:multiLevelType w:val="multilevel"/>
    <w:tmpl w:val="FBFA6894"/>
    <w:numStyleLink w:val="Style3"/>
  </w:abstractNum>
  <w:abstractNum w:abstractNumId="8">
    <w:nsid w:val="5E094E57"/>
    <w:multiLevelType w:val="hybridMultilevel"/>
    <w:tmpl w:val="5C70962E"/>
    <w:lvl w:ilvl="0" w:tplc="6D18D24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3"/>
  </w:num>
  <w:num w:numId="5">
    <w:abstractNumId w:val="6"/>
  </w:num>
  <w:num w:numId="6">
    <w:abstractNumId w:val="2"/>
  </w:num>
  <w:num w:numId="7">
    <w:abstractNumId w:val="4"/>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34"/>
    <w:rsid w:val="00006F75"/>
    <w:rsid w:val="00007337"/>
    <w:rsid w:val="00051184"/>
    <w:rsid w:val="00054A7E"/>
    <w:rsid w:val="00091A9E"/>
    <w:rsid w:val="000D627A"/>
    <w:rsid w:val="0011245F"/>
    <w:rsid w:val="0015208C"/>
    <w:rsid w:val="001C4FF3"/>
    <w:rsid w:val="001C7274"/>
    <w:rsid w:val="00205AE2"/>
    <w:rsid w:val="002D28A6"/>
    <w:rsid w:val="002F2058"/>
    <w:rsid w:val="003225CC"/>
    <w:rsid w:val="00383545"/>
    <w:rsid w:val="0039722B"/>
    <w:rsid w:val="003D4D2A"/>
    <w:rsid w:val="00433BC9"/>
    <w:rsid w:val="004672C4"/>
    <w:rsid w:val="004727FF"/>
    <w:rsid w:val="0047446A"/>
    <w:rsid w:val="004C71F0"/>
    <w:rsid w:val="00505515"/>
    <w:rsid w:val="00521C05"/>
    <w:rsid w:val="005C5731"/>
    <w:rsid w:val="005C6EE2"/>
    <w:rsid w:val="005F4FD8"/>
    <w:rsid w:val="00621093"/>
    <w:rsid w:val="00637481"/>
    <w:rsid w:val="00650E95"/>
    <w:rsid w:val="006C7987"/>
    <w:rsid w:val="00710EBB"/>
    <w:rsid w:val="00715F92"/>
    <w:rsid w:val="0072417F"/>
    <w:rsid w:val="00756340"/>
    <w:rsid w:val="007F0551"/>
    <w:rsid w:val="00803687"/>
    <w:rsid w:val="00844124"/>
    <w:rsid w:val="00867B6C"/>
    <w:rsid w:val="008742F5"/>
    <w:rsid w:val="008D3B0E"/>
    <w:rsid w:val="009015AE"/>
    <w:rsid w:val="009054A1"/>
    <w:rsid w:val="009D0D61"/>
    <w:rsid w:val="009F147B"/>
    <w:rsid w:val="009F4149"/>
    <w:rsid w:val="00A04B3E"/>
    <w:rsid w:val="00A12308"/>
    <w:rsid w:val="00A1747F"/>
    <w:rsid w:val="00A20AE1"/>
    <w:rsid w:val="00A967A3"/>
    <w:rsid w:val="00B15F97"/>
    <w:rsid w:val="00B27F0A"/>
    <w:rsid w:val="00B3608D"/>
    <w:rsid w:val="00BE6604"/>
    <w:rsid w:val="00C214F8"/>
    <w:rsid w:val="00CA0034"/>
    <w:rsid w:val="00CB6DED"/>
    <w:rsid w:val="00CC51F2"/>
    <w:rsid w:val="00CD11BA"/>
    <w:rsid w:val="00D65AFE"/>
    <w:rsid w:val="00DC68D8"/>
    <w:rsid w:val="00DE670A"/>
    <w:rsid w:val="00E823A0"/>
    <w:rsid w:val="00E929A7"/>
    <w:rsid w:val="00F42AB1"/>
    <w:rsid w:val="00F62021"/>
    <w:rsid w:val="00F94288"/>
    <w:rsid w:val="00F945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99591-D242-4910-A72A-291A02F7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34"/>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CA00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0034"/>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CA0034"/>
    <w:pPr>
      <w:ind w:left="720"/>
      <w:contextualSpacing/>
    </w:pPr>
  </w:style>
  <w:style w:type="paragraph" w:styleId="FootnoteText">
    <w:name w:val="footnote text"/>
    <w:basedOn w:val="Normal"/>
    <w:link w:val="FootnoteTextChar"/>
    <w:uiPriority w:val="99"/>
    <w:unhideWhenUsed/>
    <w:rsid w:val="00CA0034"/>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CA0034"/>
    <w:rPr>
      <w:rFonts w:ascii="Arial" w:hAnsi="Arial" w:cs="Arial"/>
      <w:sz w:val="20"/>
      <w:szCs w:val="20"/>
      <w:lang w:val="en-GB"/>
    </w:rPr>
  </w:style>
  <w:style w:type="character" w:styleId="FootnoteReference">
    <w:name w:val="footnote reference"/>
    <w:basedOn w:val="DefaultParagraphFont"/>
    <w:uiPriority w:val="99"/>
    <w:semiHidden/>
    <w:unhideWhenUsed/>
    <w:rsid w:val="00CA0034"/>
    <w:rPr>
      <w:vertAlign w:val="superscript"/>
    </w:rPr>
  </w:style>
  <w:style w:type="numbering" w:customStyle="1" w:styleId="Style3">
    <w:name w:val="Style3"/>
    <w:rsid w:val="00CA0034"/>
    <w:pPr>
      <w:numPr>
        <w:numId w:val="2"/>
      </w:numPr>
    </w:pPr>
  </w:style>
  <w:style w:type="paragraph" w:styleId="NormalWeb">
    <w:name w:val="Normal (Web)"/>
    <w:basedOn w:val="Normal"/>
    <w:uiPriority w:val="99"/>
    <w:unhideWhenUsed/>
    <w:rsid w:val="00CA0034"/>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CA0034"/>
    <w:pPr>
      <w:tabs>
        <w:tab w:val="center" w:pos="4513"/>
        <w:tab w:val="right" w:pos="9026"/>
      </w:tabs>
    </w:pPr>
  </w:style>
  <w:style w:type="character" w:customStyle="1" w:styleId="HeaderChar">
    <w:name w:val="Header Char"/>
    <w:basedOn w:val="DefaultParagraphFont"/>
    <w:link w:val="Header"/>
    <w:uiPriority w:val="99"/>
    <w:rsid w:val="00CA0034"/>
    <w:rPr>
      <w:rFonts w:ascii="Verdana" w:eastAsia="Times New Roman" w:hAnsi="Verdana" w:cs="Times New Roman"/>
      <w:sz w:val="20"/>
      <w:szCs w:val="20"/>
      <w:lang w:val="en-GB" w:eastAsia="en-GB"/>
    </w:rPr>
  </w:style>
  <w:style w:type="paragraph" w:styleId="BalloonText">
    <w:name w:val="Balloon Text"/>
    <w:basedOn w:val="Normal"/>
    <w:link w:val="BalloonTextChar"/>
    <w:uiPriority w:val="99"/>
    <w:semiHidden/>
    <w:unhideWhenUsed/>
    <w:rsid w:val="00CA0034"/>
    <w:rPr>
      <w:rFonts w:ascii="Tahoma" w:hAnsi="Tahoma" w:cs="Tahoma"/>
      <w:sz w:val="16"/>
      <w:szCs w:val="16"/>
    </w:rPr>
  </w:style>
  <w:style w:type="character" w:customStyle="1" w:styleId="BalloonTextChar">
    <w:name w:val="Balloon Text Char"/>
    <w:basedOn w:val="DefaultParagraphFont"/>
    <w:link w:val="BalloonText"/>
    <w:uiPriority w:val="99"/>
    <w:semiHidden/>
    <w:rsid w:val="00CA0034"/>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6C7987"/>
    <w:pPr>
      <w:tabs>
        <w:tab w:val="center" w:pos="4513"/>
        <w:tab w:val="right" w:pos="9026"/>
      </w:tabs>
    </w:pPr>
    <w:rPr>
      <w:rFonts w:asciiTheme="minorHAnsi" w:eastAsiaTheme="minorHAnsi" w:hAnsiTheme="minorHAnsi" w:cstheme="minorBidi"/>
      <w:sz w:val="22"/>
      <w:szCs w:val="22"/>
      <w:lang w:val="en-ZA" w:eastAsia="en-US"/>
    </w:rPr>
  </w:style>
  <w:style w:type="character" w:customStyle="1" w:styleId="FooterChar">
    <w:name w:val="Footer Char"/>
    <w:basedOn w:val="DefaultParagraphFont"/>
    <w:link w:val="Footer"/>
    <w:uiPriority w:val="99"/>
    <w:rsid w:val="006C7987"/>
  </w:style>
  <w:style w:type="character" w:styleId="Hyperlink">
    <w:name w:val="Hyperlink"/>
    <w:basedOn w:val="DefaultParagraphFont"/>
    <w:uiPriority w:val="99"/>
    <w:unhideWhenUsed/>
    <w:rsid w:val="00521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ases/ZASCA/2021/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1725-F6C0-4966-AE98-ADAAD15A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Mokone</cp:lastModifiedBy>
  <cp:revision>2</cp:revision>
  <dcterms:created xsi:type="dcterms:W3CDTF">2022-07-06T06:32:00Z</dcterms:created>
  <dcterms:modified xsi:type="dcterms:W3CDTF">2022-07-06T06:32:00Z</dcterms:modified>
</cp:coreProperties>
</file>