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2CAE0" w14:textId="77777777" w:rsidR="00AD6BF6" w:rsidRDefault="00AD6BF6" w:rsidP="00AD6BF6">
      <w:pPr>
        <w:spacing w:after="0"/>
        <w:ind w:right="9"/>
        <w:jc w:val="center"/>
      </w:pPr>
      <w:r>
        <w:rPr>
          <w:noProof/>
        </w:rPr>
        <w:drawing>
          <wp:inline distT="0" distB="0" distL="0" distR="0" wp14:anchorId="6B417186" wp14:editId="48AD0256">
            <wp:extent cx="1212850" cy="1049211"/>
            <wp:effectExtent l="0" t="0" r="0" b="0"/>
            <wp:docPr id="94" name="Picture 9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94" name="Picture 94" descr="A picture containing text&#10;&#10;Description automatically generated"/>
                    <pic:cNvPicPr/>
                  </pic:nvPicPr>
                  <pic:blipFill>
                    <a:blip r:embed="rId8"/>
                    <a:stretch>
                      <a:fillRect/>
                    </a:stretch>
                  </pic:blipFill>
                  <pic:spPr>
                    <a:xfrm>
                      <a:off x="0" y="0"/>
                      <a:ext cx="1212850" cy="1049211"/>
                    </a:xfrm>
                    <a:prstGeom prst="rect">
                      <a:avLst/>
                    </a:prstGeom>
                  </pic:spPr>
                </pic:pic>
              </a:graphicData>
            </a:graphic>
          </wp:inline>
        </w:drawing>
      </w:r>
      <w:r>
        <w:rPr>
          <w:rFonts w:ascii="Arial" w:eastAsia="Arial" w:hAnsi="Arial" w:cs="Arial"/>
          <w:b/>
        </w:rPr>
        <w:t xml:space="preserve"> </w:t>
      </w:r>
    </w:p>
    <w:p w14:paraId="7E89DEF9" w14:textId="399AC155" w:rsidR="005F0BC0" w:rsidRPr="00A750FA" w:rsidRDefault="00AD6BF6" w:rsidP="005F0BC0">
      <w:pPr>
        <w:pStyle w:val="Heading1"/>
        <w:jc w:val="center"/>
        <w:rPr>
          <w:rFonts w:ascii="Arial" w:hAnsi="Arial" w:cs="Arial"/>
          <w:b/>
          <w:bCs/>
          <w:sz w:val="24"/>
          <w:szCs w:val="24"/>
        </w:rPr>
      </w:pPr>
      <w:r w:rsidRPr="00A750FA">
        <w:rPr>
          <w:rFonts w:ascii="Arial" w:hAnsi="Arial" w:cs="Arial"/>
          <w:b/>
          <w:bCs/>
          <w:sz w:val="24"/>
          <w:szCs w:val="24"/>
        </w:rPr>
        <w:t>HIGH COURT OF SOUTH AFRICA</w:t>
      </w:r>
    </w:p>
    <w:p w14:paraId="0D8DEB30" w14:textId="0A3BF7B6" w:rsidR="00AD6BF6" w:rsidRPr="00A750FA" w:rsidRDefault="00AD6BF6" w:rsidP="005F0BC0">
      <w:pPr>
        <w:pStyle w:val="Heading1"/>
        <w:jc w:val="center"/>
        <w:rPr>
          <w:rFonts w:ascii="Arial" w:hAnsi="Arial" w:cs="Arial"/>
          <w:b/>
          <w:bCs/>
          <w:sz w:val="24"/>
          <w:szCs w:val="24"/>
        </w:rPr>
      </w:pPr>
      <w:r w:rsidRPr="00A750FA">
        <w:rPr>
          <w:rFonts w:ascii="Arial" w:hAnsi="Arial" w:cs="Arial"/>
          <w:b/>
          <w:bCs/>
          <w:sz w:val="24"/>
          <w:szCs w:val="24"/>
        </w:rPr>
        <w:t>(GAUTENG DIVISION, JOHANNESBURG)</w:t>
      </w:r>
    </w:p>
    <w:p w14:paraId="27BD9C32" w14:textId="26C6C6AD" w:rsidR="00AD6BF6" w:rsidRPr="00A750FA" w:rsidRDefault="00AD6BF6" w:rsidP="00A65036">
      <w:pPr>
        <w:spacing w:after="7"/>
        <w:jc w:val="center"/>
        <w:rPr>
          <w:rFonts w:ascii="Arial" w:hAnsi="Arial" w:cs="Arial"/>
          <w:sz w:val="24"/>
          <w:szCs w:val="24"/>
        </w:rPr>
      </w:pPr>
      <w:r w:rsidRPr="00A750FA">
        <w:rPr>
          <w:rFonts w:ascii="Arial" w:eastAsia="Arial" w:hAnsi="Arial" w:cs="Arial"/>
          <w:b/>
          <w:sz w:val="24"/>
          <w:szCs w:val="24"/>
        </w:rPr>
        <w:t xml:space="preserve">  </w:t>
      </w:r>
    </w:p>
    <w:tbl>
      <w:tblPr>
        <w:tblStyle w:val="TableGrid"/>
        <w:tblW w:w="5935" w:type="dxa"/>
        <w:tblInd w:w="-3" w:type="dxa"/>
        <w:tblCellMar>
          <w:left w:w="3" w:type="dxa"/>
          <w:right w:w="799" w:type="dxa"/>
        </w:tblCellMar>
        <w:tblLook w:val="04A0" w:firstRow="1" w:lastRow="0" w:firstColumn="1" w:lastColumn="0" w:noHBand="0" w:noVBand="1"/>
      </w:tblPr>
      <w:tblGrid>
        <w:gridCol w:w="5935"/>
      </w:tblGrid>
      <w:tr w:rsidR="00AD6BF6" w:rsidRPr="00A750FA" w14:paraId="2FB43866" w14:textId="77777777" w:rsidTr="00740A40">
        <w:trPr>
          <w:trHeight w:val="2163"/>
        </w:trPr>
        <w:tc>
          <w:tcPr>
            <w:tcW w:w="5935" w:type="dxa"/>
            <w:tcBorders>
              <w:top w:val="single" w:sz="6" w:space="0" w:color="000000"/>
              <w:left w:val="single" w:sz="6" w:space="0" w:color="000000"/>
              <w:bottom w:val="single" w:sz="6" w:space="0" w:color="000000"/>
              <w:right w:val="single" w:sz="6" w:space="0" w:color="000000"/>
            </w:tcBorders>
          </w:tcPr>
          <w:p w14:paraId="07A6CD68" w14:textId="3D721BBB" w:rsidR="00AD6BF6" w:rsidRPr="00A750FA" w:rsidRDefault="00AD6BF6" w:rsidP="005F0BC0">
            <w:pPr>
              <w:spacing w:line="259" w:lineRule="auto"/>
              <w:rPr>
                <w:rFonts w:ascii="Arial" w:hAnsi="Arial" w:cs="Arial"/>
                <w:sz w:val="24"/>
                <w:szCs w:val="24"/>
              </w:rPr>
            </w:pPr>
            <w:r w:rsidRPr="00A750FA">
              <w:rPr>
                <w:rFonts w:ascii="Arial" w:hAnsi="Arial" w:cs="Arial"/>
                <w:sz w:val="24"/>
                <w:szCs w:val="24"/>
              </w:rPr>
              <w:t xml:space="preserve"> </w:t>
            </w:r>
            <w:r w:rsidRPr="00A750FA">
              <w:rPr>
                <w:rFonts w:ascii="Arial" w:eastAsia="Century Gothic" w:hAnsi="Arial" w:cs="Arial"/>
                <w:b/>
                <w:sz w:val="24"/>
                <w:szCs w:val="24"/>
              </w:rPr>
              <w:t xml:space="preserve"> </w:t>
            </w:r>
          </w:p>
          <w:p w14:paraId="666E051A" w14:textId="161FF3E7" w:rsidR="005F0BC0" w:rsidRPr="000B2671" w:rsidRDefault="000B2671" w:rsidP="000B2671">
            <w:pPr>
              <w:tabs>
                <w:tab w:val="center" w:pos="345"/>
                <w:tab w:val="center" w:pos="2762"/>
                <w:tab w:val="right" w:pos="4598"/>
              </w:tabs>
              <w:ind w:left="975" w:right="-704" w:hanging="750"/>
              <w:rPr>
                <w:rFonts w:ascii="Arial" w:eastAsia="Century Gothic" w:hAnsi="Arial" w:cs="Arial"/>
                <w:sz w:val="20"/>
                <w:szCs w:val="20"/>
              </w:rPr>
            </w:pPr>
            <w:r w:rsidRPr="00B25BFD">
              <w:rPr>
                <w:rFonts w:ascii="Arial" w:eastAsia="Century Gothic" w:hAnsi="Arial" w:cs="Arial"/>
                <w:color w:val="auto"/>
                <w:sz w:val="20"/>
                <w:szCs w:val="20"/>
              </w:rPr>
              <w:t>(1)</w:t>
            </w:r>
            <w:r w:rsidRPr="00B25BFD">
              <w:rPr>
                <w:rFonts w:ascii="Arial" w:eastAsia="Century Gothic" w:hAnsi="Arial" w:cs="Arial"/>
                <w:color w:val="auto"/>
                <w:sz w:val="20"/>
                <w:szCs w:val="20"/>
              </w:rPr>
              <w:tab/>
            </w:r>
            <w:r w:rsidR="00AD6BF6" w:rsidRPr="000B2671">
              <w:rPr>
                <w:rFonts w:ascii="Arial" w:eastAsia="Century Gothic" w:hAnsi="Arial" w:cs="Arial"/>
                <w:sz w:val="20"/>
                <w:szCs w:val="20"/>
              </w:rPr>
              <w:t xml:space="preserve">REPORTABLE: </w:t>
            </w:r>
            <w:r w:rsidR="00581000" w:rsidRPr="000B2671">
              <w:rPr>
                <w:rFonts w:ascii="Arial" w:eastAsia="Century Gothic" w:hAnsi="Arial" w:cs="Arial"/>
                <w:sz w:val="20"/>
                <w:szCs w:val="20"/>
              </w:rPr>
              <w:t>No</w:t>
            </w:r>
            <w:r w:rsidR="00AD6BF6" w:rsidRPr="000B2671">
              <w:rPr>
                <w:rFonts w:ascii="Arial" w:eastAsia="Century Gothic" w:hAnsi="Arial" w:cs="Arial"/>
                <w:sz w:val="20"/>
                <w:szCs w:val="20"/>
              </w:rPr>
              <w:t>.</w:t>
            </w:r>
          </w:p>
          <w:p w14:paraId="3FCE434E" w14:textId="02BB4D27" w:rsidR="00AD6BF6" w:rsidRPr="000B2671" w:rsidRDefault="000B2671" w:rsidP="000B2671">
            <w:pPr>
              <w:tabs>
                <w:tab w:val="center" w:pos="345"/>
                <w:tab w:val="center" w:pos="2762"/>
                <w:tab w:val="right" w:pos="4598"/>
              </w:tabs>
              <w:ind w:left="975" w:right="-704" w:hanging="750"/>
              <w:rPr>
                <w:rFonts w:ascii="Arial" w:hAnsi="Arial" w:cs="Arial"/>
                <w:sz w:val="20"/>
                <w:szCs w:val="20"/>
              </w:rPr>
            </w:pPr>
            <w:r w:rsidRPr="00B25BFD">
              <w:rPr>
                <w:rFonts w:ascii="Arial" w:eastAsiaTheme="minorHAnsi" w:hAnsi="Arial" w:cs="Arial"/>
                <w:color w:val="auto"/>
                <w:sz w:val="20"/>
                <w:szCs w:val="20"/>
              </w:rPr>
              <w:t>(2)</w:t>
            </w:r>
            <w:r w:rsidRPr="00B25BFD">
              <w:rPr>
                <w:rFonts w:ascii="Arial" w:eastAsiaTheme="minorHAnsi" w:hAnsi="Arial" w:cs="Arial"/>
                <w:color w:val="auto"/>
                <w:sz w:val="20"/>
                <w:szCs w:val="20"/>
              </w:rPr>
              <w:tab/>
            </w:r>
            <w:r w:rsidR="00AD6BF6" w:rsidRPr="000B2671">
              <w:rPr>
                <w:rFonts w:ascii="Arial" w:eastAsia="Century Gothic" w:hAnsi="Arial" w:cs="Arial"/>
                <w:sz w:val="20"/>
                <w:szCs w:val="20"/>
              </w:rPr>
              <w:t xml:space="preserve">OF INTEREST TO OTHER JUDGES: </w:t>
            </w:r>
            <w:r w:rsidR="00581000" w:rsidRPr="000B2671">
              <w:rPr>
                <w:rFonts w:ascii="Arial" w:eastAsia="Century Gothic" w:hAnsi="Arial" w:cs="Arial"/>
                <w:sz w:val="20"/>
                <w:szCs w:val="20"/>
              </w:rPr>
              <w:t>No</w:t>
            </w:r>
            <w:r w:rsidR="00AD6BF6" w:rsidRPr="000B2671">
              <w:rPr>
                <w:rFonts w:ascii="Arial" w:eastAsia="Century Gothic" w:hAnsi="Arial" w:cs="Arial"/>
                <w:sz w:val="20"/>
                <w:szCs w:val="20"/>
              </w:rPr>
              <w:t xml:space="preserve">. </w:t>
            </w:r>
            <w:r w:rsidR="00AD6BF6" w:rsidRPr="000B2671">
              <w:rPr>
                <w:rFonts w:ascii="Arial" w:eastAsia="Century Gothic" w:hAnsi="Arial" w:cs="Arial"/>
                <w:sz w:val="20"/>
                <w:szCs w:val="20"/>
              </w:rPr>
              <w:tab/>
              <w:t xml:space="preserve"> </w:t>
            </w:r>
          </w:p>
          <w:p w14:paraId="66F8ED50" w14:textId="7365372A" w:rsidR="00AD6BF6" w:rsidRPr="000B2671" w:rsidRDefault="000B2671" w:rsidP="000B2671">
            <w:pPr>
              <w:tabs>
                <w:tab w:val="center" w:pos="345"/>
                <w:tab w:val="center" w:pos="2762"/>
                <w:tab w:val="right" w:pos="4598"/>
              </w:tabs>
              <w:ind w:left="975" w:right="-704" w:hanging="750"/>
              <w:rPr>
                <w:rFonts w:ascii="Arial" w:hAnsi="Arial" w:cs="Arial"/>
                <w:sz w:val="20"/>
                <w:szCs w:val="20"/>
              </w:rPr>
            </w:pPr>
            <w:r w:rsidRPr="00B25BFD">
              <w:rPr>
                <w:rFonts w:ascii="Arial" w:eastAsiaTheme="minorHAnsi" w:hAnsi="Arial" w:cs="Arial"/>
                <w:color w:val="auto"/>
                <w:sz w:val="20"/>
                <w:szCs w:val="20"/>
              </w:rPr>
              <w:t>(3)</w:t>
            </w:r>
            <w:r w:rsidRPr="00B25BFD">
              <w:rPr>
                <w:rFonts w:ascii="Arial" w:eastAsiaTheme="minorHAnsi" w:hAnsi="Arial" w:cs="Arial"/>
                <w:color w:val="auto"/>
                <w:sz w:val="20"/>
                <w:szCs w:val="20"/>
              </w:rPr>
              <w:tab/>
            </w:r>
            <w:r w:rsidR="00AD6BF6" w:rsidRPr="000B2671">
              <w:rPr>
                <w:rFonts w:ascii="Arial" w:eastAsia="Century Gothic" w:hAnsi="Arial" w:cs="Arial"/>
                <w:sz w:val="20"/>
                <w:szCs w:val="20"/>
              </w:rPr>
              <w:t xml:space="preserve">REVISED. </w:t>
            </w:r>
          </w:p>
          <w:p w14:paraId="76B4F811" w14:textId="77777777" w:rsidR="00AD6BF6" w:rsidRPr="00B25BFD" w:rsidRDefault="00AD6BF6" w:rsidP="00E87730">
            <w:pPr>
              <w:spacing w:line="259" w:lineRule="auto"/>
              <w:jc w:val="right"/>
              <w:rPr>
                <w:rFonts w:ascii="Arial" w:hAnsi="Arial" w:cs="Arial"/>
                <w:sz w:val="20"/>
                <w:szCs w:val="20"/>
              </w:rPr>
            </w:pPr>
            <w:r w:rsidRPr="00B25BFD">
              <w:rPr>
                <w:rFonts w:ascii="Arial" w:eastAsia="Arial" w:hAnsi="Arial" w:cs="Arial"/>
                <w:b/>
                <w:sz w:val="20"/>
                <w:szCs w:val="20"/>
              </w:rPr>
              <w:t xml:space="preserve"> </w:t>
            </w:r>
          </w:p>
          <w:p w14:paraId="13568A68" w14:textId="7640E03D" w:rsidR="00AD6BF6" w:rsidRPr="00B25BFD" w:rsidRDefault="00AD6BF6" w:rsidP="005F0BC0">
            <w:pPr>
              <w:spacing w:after="13" w:line="259" w:lineRule="auto"/>
              <w:ind w:left="150"/>
              <w:rPr>
                <w:rFonts w:ascii="Arial" w:hAnsi="Arial" w:cs="Arial"/>
                <w:sz w:val="20"/>
                <w:szCs w:val="20"/>
              </w:rPr>
            </w:pPr>
          </w:p>
          <w:p w14:paraId="7A086915" w14:textId="7B3BFBD0" w:rsidR="00AD6BF6" w:rsidRPr="00A750FA" w:rsidRDefault="00AD6BF6" w:rsidP="00E87730">
            <w:pPr>
              <w:spacing w:line="259" w:lineRule="auto"/>
              <w:rPr>
                <w:rFonts w:ascii="Arial" w:hAnsi="Arial" w:cs="Arial"/>
                <w:sz w:val="24"/>
                <w:szCs w:val="24"/>
              </w:rPr>
            </w:pPr>
            <w:r w:rsidRPr="00B25BFD">
              <w:rPr>
                <w:rFonts w:ascii="Arial" w:eastAsia="Arial" w:hAnsi="Arial" w:cs="Arial"/>
                <w:b/>
                <w:sz w:val="20"/>
                <w:szCs w:val="20"/>
              </w:rPr>
              <w:t xml:space="preserve"> </w:t>
            </w:r>
            <w:r w:rsidRPr="00B25BFD">
              <w:rPr>
                <w:rFonts w:ascii="Arial" w:eastAsia="Century Gothic" w:hAnsi="Arial" w:cs="Arial"/>
                <w:b/>
                <w:sz w:val="20"/>
                <w:szCs w:val="20"/>
              </w:rPr>
              <w:t xml:space="preserve">    DATE:  </w:t>
            </w:r>
            <w:r w:rsidR="00660095">
              <w:rPr>
                <w:rFonts w:ascii="Arial" w:eastAsia="Century Gothic" w:hAnsi="Arial" w:cs="Arial"/>
                <w:b/>
                <w:sz w:val="20"/>
                <w:szCs w:val="20"/>
              </w:rPr>
              <w:t>21</w:t>
            </w:r>
            <w:r w:rsidRPr="00B25BFD">
              <w:rPr>
                <w:rFonts w:ascii="Arial" w:eastAsia="Century Gothic" w:hAnsi="Arial" w:cs="Arial"/>
                <w:b/>
                <w:sz w:val="20"/>
                <w:szCs w:val="20"/>
              </w:rPr>
              <w:t xml:space="preserve"> </w:t>
            </w:r>
            <w:r w:rsidR="008A1529" w:rsidRPr="00B25BFD">
              <w:rPr>
                <w:rFonts w:ascii="Arial" w:eastAsia="Century Gothic" w:hAnsi="Arial" w:cs="Arial"/>
                <w:b/>
                <w:sz w:val="20"/>
                <w:szCs w:val="20"/>
              </w:rPr>
              <w:t>JUNE 2022</w:t>
            </w:r>
          </w:p>
        </w:tc>
      </w:tr>
    </w:tbl>
    <w:p w14:paraId="6BE6ADE1" w14:textId="77777777" w:rsidR="00AD6BF6" w:rsidRPr="00A750FA" w:rsidRDefault="00AD6BF6" w:rsidP="00AD6BF6">
      <w:pPr>
        <w:spacing w:after="0"/>
        <w:jc w:val="right"/>
        <w:rPr>
          <w:rFonts w:ascii="Arial" w:hAnsi="Arial" w:cs="Arial"/>
          <w:sz w:val="24"/>
          <w:szCs w:val="24"/>
        </w:rPr>
      </w:pPr>
      <w:r w:rsidRPr="00A750FA">
        <w:rPr>
          <w:rFonts w:ascii="Arial" w:hAnsi="Arial" w:cs="Arial"/>
          <w:sz w:val="24"/>
          <w:szCs w:val="24"/>
        </w:rPr>
        <w:t xml:space="preserve"> </w:t>
      </w:r>
    </w:p>
    <w:p w14:paraId="5E963801" w14:textId="32C44C6F" w:rsidR="006051DD" w:rsidRPr="00A750FA" w:rsidRDefault="00AD6BF6" w:rsidP="00AD6BF6">
      <w:pPr>
        <w:spacing w:line="249" w:lineRule="auto"/>
        <w:ind w:left="-15" w:firstLine="6753"/>
        <w:rPr>
          <w:rFonts w:ascii="Arial" w:hAnsi="Arial" w:cs="Arial"/>
          <w:sz w:val="24"/>
          <w:szCs w:val="24"/>
        </w:rPr>
      </w:pPr>
      <w:r w:rsidRPr="00A750FA">
        <w:rPr>
          <w:rFonts w:ascii="Arial" w:hAnsi="Arial" w:cs="Arial"/>
          <w:sz w:val="24"/>
          <w:szCs w:val="24"/>
        </w:rPr>
        <w:t xml:space="preserve">Case no: </w:t>
      </w:r>
      <w:r w:rsidR="0058661A">
        <w:rPr>
          <w:rFonts w:ascii="Arial" w:hAnsi="Arial" w:cs="Arial"/>
          <w:sz w:val="24"/>
          <w:szCs w:val="24"/>
        </w:rPr>
        <w:t>131</w:t>
      </w:r>
      <w:r w:rsidR="00996E90">
        <w:rPr>
          <w:rFonts w:ascii="Arial" w:hAnsi="Arial" w:cs="Arial"/>
          <w:sz w:val="24"/>
          <w:szCs w:val="24"/>
        </w:rPr>
        <w:t>9/2019</w:t>
      </w:r>
    </w:p>
    <w:p w14:paraId="0BA971C6" w14:textId="313C0194" w:rsidR="00AD6BF6" w:rsidRPr="00A750FA" w:rsidRDefault="00AD6BF6" w:rsidP="007C766B">
      <w:pPr>
        <w:spacing w:line="249" w:lineRule="auto"/>
        <w:rPr>
          <w:rFonts w:ascii="Arial" w:hAnsi="Arial" w:cs="Arial"/>
          <w:sz w:val="24"/>
          <w:szCs w:val="24"/>
        </w:rPr>
      </w:pPr>
      <w:r w:rsidRPr="00A750FA">
        <w:rPr>
          <w:rFonts w:ascii="Arial" w:hAnsi="Arial" w:cs="Arial"/>
          <w:sz w:val="24"/>
          <w:szCs w:val="24"/>
        </w:rPr>
        <w:t>In the matter between:</w:t>
      </w:r>
    </w:p>
    <w:p w14:paraId="7E7E7518" w14:textId="77777777" w:rsidR="00AD6BF6" w:rsidRPr="00A750FA" w:rsidRDefault="00AD6BF6" w:rsidP="00AD6BF6">
      <w:pPr>
        <w:spacing w:after="0"/>
        <w:rPr>
          <w:rFonts w:ascii="Arial" w:hAnsi="Arial" w:cs="Arial"/>
          <w:sz w:val="24"/>
          <w:szCs w:val="24"/>
        </w:rPr>
      </w:pPr>
      <w:r w:rsidRPr="00A750FA">
        <w:rPr>
          <w:rFonts w:ascii="Arial" w:hAnsi="Arial" w:cs="Arial"/>
          <w:sz w:val="24"/>
          <w:szCs w:val="24"/>
        </w:rPr>
        <w:t xml:space="preserve"> </w:t>
      </w:r>
    </w:p>
    <w:p w14:paraId="545F1473" w14:textId="4E01990C" w:rsidR="00AD6BF6" w:rsidRPr="00A750FA" w:rsidRDefault="00C56BF4" w:rsidP="00C56BF4">
      <w:pPr>
        <w:tabs>
          <w:tab w:val="center" w:pos="4322"/>
          <w:tab w:val="right" w:pos="9141"/>
        </w:tabs>
        <w:spacing w:after="0"/>
        <w:rPr>
          <w:rFonts w:ascii="Arial" w:hAnsi="Arial" w:cs="Arial"/>
          <w:sz w:val="24"/>
          <w:szCs w:val="24"/>
        </w:rPr>
      </w:pPr>
      <w:r w:rsidRPr="00A750FA">
        <w:rPr>
          <w:rFonts w:ascii="Arial" w:eastAsia="Arial" w:hAnsi="Arial" w:cs="Arial"/>
          <w:b/>
          <w:sz w:val="24"/>
          <w:szCs w:val="24"/>
        </w:rPr>
        <w:t>HECTOR HAROLD SPARK</w:t>
      </w:r>
      <w:r w:rsidR="00AD6BF6" w:rsidRPr="00A750FA">
        <w:rPr>
          <w:rFonts w:ascii="Arial" w:eastAsia="Arial" w:hAnsi="Arial" w:cs="Arial"/>
          <w:b/>
          <w:sz w:val="24"/>
          <w:szCs w:val="24"/>
        </w:rPr>
        <w:t xml:space="preserve"> </w:t>
      </w:r>
      <w:r w:rsidR="00AD6BF6" w:rsidRPr="00A750FA">
        <w:rPr>
          <w:rFonts w:ascii="Arial" w:eastAsia="Arial" w:hAnsi="Arial" w:cs="Arial"/>
          <w:b/>
          <w:sz w:val="24"/>
          <w:szCs w:val="24"/>
        </w:rPr>
        <w:tab/>
        <w:t xml:space="preserve"> </w:t>
      </w:r>
      <w:r w:rsidR="00AD6BF6" w:rsidRPr="00A750FA">
        <w:rPr>
          <w:rFonts w:ascii="Arial" w:eastAsia="Arial" w:hAnsi="Arial" w:cs="Arial"/>
          <w:b/>
          <w:sz w:val="24"/>
          <w:szCs w:val="24"/>
        </w:rPr>
        <w:tab/>
        <w:t xml:space="preserve">                                            </w:t>
      </w:r>
      <w:r w:rsidRPr="00A750FA">
        <w:rPr>
          <w:rFonts w:ascii="Arial" w:hAnsi="Arial" w:cs="Arial"/>
          <w:sz w:val="24"/>
          <w:szCs w:val="24"/>
        </w:rPr>
        <w:t>Applicant</w:t>
      </w:r>
    </w:p>
    <w:p w14:paraId="5EA06DFF" w14:textId="77777777" w:rsidR="00AD6BF6" w:rsidRPr="00A750FA" w:rsidRDefault="00AD6BF6" w:rsidP="00AD6BF6">
      <w:pPr>
        <w:spacing w:after="0"/>
        <w:rPr>
          <w:rFonts w:ascii="Arial" w:hAnsi="Arial" w:cs="Arial"/>
          <w:sz w:val="24"/>
          <w:szCs w:val="24"/>
        </w:rPr>
      </w:pPr>
      <w:r w:rsidRPr="00A750FA">
        <w:rPr>
          <w:rFonts w:ascii="Arial" w:hAnsi="Arial" w:cs="Arial"/>
          <w:sz w:val="24"/>
          <w:szCs w:val="24"/>
        </w:rPr>
        <w:t xml:space="preserve"> </w:t>
      </w:r>
    </w:p>
    <w:p w14:paraId="4BA8B0E5" w14:textId="77777777" w:rsidR="00AD6BF6" w:rsidRPr="00A750FA" w:rsidRDefault="00AD6BF6" w:rsidP="00AD6BF6">
      <w:pPr>
        <w:spacing w:line="249" w:lineRule="auto"/>
        <w:ind w:left="-5"/>
        <w:rPr>
          <w:rFonts w:ascii="Arial" w:hAnsi="Arial" w:cs="Arial"/>
          <w:sz w:val="24"/>
          <w:szCs w:val="24"/>
        </w:rPr>
      </w:pPr>
      <w:r w:rsidRPr="00A750FA">
        <w:rPr>
          <w:rFonts w:ascii="Arial" w:hAnsi="Arial" w:cs="Arial"/>
          <w:sz w:val="24"/>
          <w:szCs w:val="24"/>
        </w:rPr>
        <w:t xml:space="preserve">and </w:t>
      </w:r>
    </w:p>
    <w:p w14:paraId="21971231" w14:textId="77777777" w:rsidR="00AD6BF6" w:rsidRPr="00A750FA" w:rsidRDefault="00AD6BF6" w:rsidP="00AD6BF6">
      <w:pPr>
        <w:spacing w:after="14"/>
        <w:rPr>
          <w:rFonts w:ascii="Arial" w:hAnsi="Arial" w:cs="Arial"/>
          <w:sz w:val="24"/>
          <w:szCs w:val="24"/>
        </w:rPr>
      </w:pPr>
      <w:r w:rsidRPr="00A750FA">
        <w:rPr>
          <w:rFonts w:ascii="Arial" w:eastAsia="Arial" w:hAnsi="Arial" w:cs="Arial"/>
          <w:b/>
          <w:sz w:val="24"/>
          <w:szCs w:val="24"/>
        </w:rPr>
        <w:t xml:space="preserve"> </w:t>
      </w:r>
    </w:p>
    <w:p w14:paraId="3BA1A2D7" w14:textId="75445F7E" w:rsidR="00AD6BF6" w:rsidRPr="00A750FA" w:rsidRDefault="00C23B41" w:rsidP="00AD6BF6">
      <w:pPr>
        <w:spacing w:after="0"/>
        <w:ind w:left="-5"/>
        <w:rPr>
          <w:rFonts w:ascii="Arial" w:hAnsi="Arial" w:cs="Arial"/>
          <w:sz w:val="24"/>
          <w:szCs w:val="24"/>
        </w:rPr>
      </w:pPr>
      <w:r w:rsidRPr="00A750FA">
        <w:rPr>
          <w:rFonts w:ascii="Arial" w:eastAsia="Arial" w:hAnsi="Arial" w:cs="Arial"/>
          <w:b/>
          <w:sz w:val="24"/>
          <w:szCs w:val="24"/>
        </w:rPr>
        <w:t xml:space="preserve">HARD HAT EQUIPMENT HIRE </w:t>
      </w:r>
      <w:r w:rsidR="00F25FF6" w:rsidRPr="00A750FA">
        <w:rPr>
          <w:rFonts w:ascii="Arial" w:eastAsia="Arial" w:hAnsi="Arial" w:cs="Arial"/>
          <w:b/>
          <w:sz w:val="24"/>
          <w:szCs w:val="24"/>
        </w:rPr>
        <w:t xml:space="preserve">(PROPRIETARY) LIMITED </w:t>
      </w:r>
      <w:r w:rsidR="00F25FF6" w:rsidRPr="00A750FA">
        <w:rPr>
          <w:rFonts w:ascii="Arial" w:eastAsia="Arial" w:hAnsi="Arial" w:cs="Arial"/>
          <w:b/>
          <w:sz w:val="24"/>
          <w:szCs w:val="24"/>
        </w:rPr>
        <w:tab/>
      </w:r>
      <w:r w:rsidR="00AD6BF6" w:rsidRPr="00A750FA">
        <w:rPr>
          <w:rFonts w:ascii="Arial" w:eastAsia="Arial" w:hAnsi="Arial" w:cs="Arial"/>
          <w:b/>
          <w:sz w:val="24"/>
          <w:szCs w:val="24"/>
        </w:rPr>
        <w:t xml:space="preserve">                </w:t>
      </w:r>
      <w:r w:rsidR="003D00C1">
        <w:rPr>
          <w:rFonts w:ascii="Arial" w:eastAsia="Arial" w:hAnsi="Arial" w:cs="Arial"/>
          <w:b/>
          <w:sz w:val="24"/>
          <w:szCs w:val="24"/>
        </w:rPr>
        <w:t xml:space="preserve"> </w:t>
      </w:r>
      <w:r w:rsidR="00AD6BF6" w:rsidRPr="00A750FA">
        <w:rPr>
          <w:rFonts w:ascii="Arial" w:eastAsia="Arial" w:hAnsi="Arial" w:cs="Arial"/>
          <w:b/>
          <w:sz w:val="24"/>
          <w:szCs w:val="24"/>
        </w:rPr>
        <w:t xml:space="preserve">  </w:t>
      </w:r>
      <w:r w:rsidR="00AD6BF6" w:rsidRPr="00A750FA">
        <w:rPr>
          <w:rFonts w:ascii="Arial" w:hAnsi="Arial" w:cs="Arial"/>
          <w:sz w:val="24"/>
          <w:szCs w:val="24"/>
        </w:rPr>
        <w:t>Respondent</w:t>
      </w:r>
    </w:p>
    <w:p w14:paraId="031A4AFB" w14:textId="77777777" w:rsidR="00F25FF6" w:rsidRPr="00A750FA" w:rsidRDefault="00F25FF6" w:rsidP="00AD6BF6">
      <w:pPr>
        <w:spacing w:after="0"/>
        <w:ind w:left="-5"/>
        <w:rPr>
          <w:rFonts w:ascii="Arial" w:hAnsi="Arial" w:cs="Arial"/>
          <w:sz w:val="24"/>
          <w:szCs w:val="24"/>
        </w:rPr>
      </w:pPr>
    </w:p>
    <w:p w14:paraId="04F79387" w14:textId="086C97B2" w:rsidR="00F25FF6" w:rsidRPr="00A750FA" w:rsidRDefault="00F25FF6" w:rsidP="00AD6BF6">
      <w:pPr>
        <w:spacing w:after="0"/>
        <w:ind w:left="-5"/>
        <w:rPr>
          <w:rFonts w:ascii="Arial" w:hAnsi="Arial" w:cs="Arial"/>
          <w:sz w:val="24"/>
          <w:szCs w:val="24"/>
        </w:rPr>
      </w:pPr>
      <w:r w:rsidRPr="00A750FA">
        <w:rPr>
          <w:rFonts w:ascii="Arial" w:hAnsi="Arial" w:cs="Arial"/>
          <w:sz w:val="24"/>
          <w:szCs w:val="24"/>
        </w:rPr>
        <w:tab/>
        <w:t>In re:</w:t>
      </w:r>
    </w:p>
    <w:p w14:paraId="4274A4B7" w14:textId="77777777" w:rsidR="00F25FF6" w:rsidRPr="00A750FA" w:rsidRDefault="00F25FF6" w:rsidP="00AD6BF6">
      <w:pPr>
        <w:spacing w:after="0"/>
        <w:ind w:left="-5"/>
        <w:rPr>
          <w:rFonts w:ascii="Arial" w:hAnsi="Arial" w:cs="Arial"/>
          <w:sz w:val="24"/>
          <w:szCs w:val="24"/>
        </w:rPr>
      </w:pPr>
    </w:p>
    <w:p w14:paraId="20BFEBA5" w14:textId="1B244ACB" w:rsidR="00C530CD" w:rsidRPr="00A750FA" w:rsidRDefault="00F25FF6" w:rsidP="003D00C1">
      <w:pPr>
        <w:spacing w:after="0"/>
        <w:ind w:left="-5" w:right="-8"/>
        <w:rPr>
          <w:rFonts w:ascii="Arial" w:hAnsi="Arial" w:cs="Arial"/>
          <w:b/>
          <w:bCs/>
          <w:sz w:val="24"/>
          <w:szCs w:val="24"/>
        </w:rPr>
      </w:pPr>
      <w:r w:rsidRPr="00A750FA">
        <w:rPr>
          <w:rFonts w:ascii="Arial" w:hAnsi="Arial" w:cs="Arial"/>
          <w:b/>
          <w:bCs/>
          <w:sz w:val="24"/>
          <w:szCs w:val="24"/>
        </w:rPr>
        <w:t xml:space="preserve">HARD </w:t>
      </w:r>
      <w:r w:rsidR="00453669" w:rsidRPr="00A750FA">
        <w:rPr>
          <w:rFonts w:ascii="Arial" w:hAnsi="Arial" w:cs="Arial"/>
          <w:b/>
          <w:bCs/>
          <w:sz w:val="24"/>
          <w:szCs w:val="24"/>
        </w:rPr>
        <w:t>HAT EQUIPMENT HIRE (PROPRIETARY) LIMITED</w:t>
      </w:r>
      <w:r w:rsidR="00453669" w:rsidRPr="00A750FA">
        <w:rPr>
          <w:rFonts w:ascii="Arial" w:hAnsi="Arial" w:cs="Arial"/>
          <w:b/>
          <w:bCs/>
          <w:sz w:val="24"/>
          <w:szCs w:val="24"/>
        </w:rPr>
        <w:tab/>
      </w:r>
      <w:r w:rsidR="00453669" w:rsidRPr="00A750FA">
        <w:rPr>
          <w:rFonts w:ascii="Arial" w:hAnsi="Arial" w:cs="Arial"/>
          <w:b/>
          <w:bCs/>
          <w:sz w:val="24"/>
          <w:szCs w:val="24"/>
        </w:rPr>
        <w:tab/>
        <w:t xml:space="preserve">    </w:t>
      </w:r>
      <w:r w:rsidR="00453669" w:rsidRPr="00A750FA">
        <w:rPr>
          <w:rFonts w:ascii="Arial" w:hAnsi="Arial" w:cs="Arial"/>
          <w:b/>
          <w:bCs/>
          <w:sz w:val="24"/>
          <w:szCs w:val="24"/>
        </w:rPr>
        <w:tab/>
      </w:r>
      <w:r w:rsidR="003D00C1">
        <w:rPr>
          <w:rFonts w:ascii="Arial" w:hAnsi="Arial" w:cs="Arial"/>
          <w:b/>
          <w:bCs/>
          <w:sz w:val="24"/>
          <w:szCs w:val="24"/>
        </w:rPr>
        <w:t xml:space="preserve">    </w:t>
      </w:r>
      <w:r w:rsidR="00453669" w:rsidRPr="00A750FA">
        <w:rPr>
          <w:rFonts w:ascii="Arial" w:hAnsi="Arial" w:cs="Arial"/>
          <w:sz w:val="24"/>
          <w:szCs w:val="24"/>
        </w:rPr>
        <w:t>Plaintiff</w:t>
      </w:r>
    </w:p>
    <w:p w14:paraId="474D7A47" w14:textId="77777777" w:rsidR="00C530CD" w:rsidRPr="00A750FA" w:rsidRDefault="00C530CD" w:rsidP="00C530CD">
      <w:pPr>
        <w:spacing w:after="0"/>
        <w:ind w:left="-5"/>
        <w:rPr>
          <w:rFonts w:ascii="Arial" w:hAnsi="Arial" w:cs="Arial"/>
          <w:sz w:val="24"/>
          <w:szCs w:val="24"/>
        </w:rPr>
      </w:pPr>
    </w:p>
    <w:p w14:paraId="73A2E046" w14:textId="77777777" w:rsidR="00C530CD" w:rsidRPr="00A750FA" w:rsidRDefault="00C530CD" w:rsidP="00C530CD">
      <w:pPr>
        <w:spacing w:after="0"/>
        <w:ind w:left="-5"/>
        <w:rPr>
          <w:rFonts w:ascii="Arial" w:hAnsi="Arial" w:cs="Arial"/>
          <w:sz w:val="24"/>
          <w:szCs w:val="24"/>
        </w:rPr>
      </w:pPr>
      <w:r w:rsidRPr="00A750FA">
        <w:rPr>
          <w:rFonts w:ascii="Arial" w:hAnsi="Arial" w:cs="Arial"/>
          <w:sz w:val="24"/>
          <w:szCs w:val="24"/>
        </w:rPr>
        <w:t xml:space="preserve">And </w:t>
      </w:r>
    </w:p>
    <w:p w14:paraId="1838904A" w14:textId="77777777" w:rsidR="00C530CD" w:rsidRPr="00A750FA" w:rsidRDefault="00C530CD" w:rsidP="00C530CD">
      <w:pPr>
        <w:spacing w:after="0"/>
        <w:ind w:left="-5"/>
        <w:rPr>
          <w:rFonts w:ascii="Arial" w:hAnsi="Arial" w:cs="Arial"/>
          <w:sz w:val="24"/>
          <w:szCs w:val="24"/>
        </w:rPr>
      </w:pPr>
    </w:p>
    <w:p w14:paraId="42F0DF0F" w14:textId="1B07EA4C" w:rsidR="00AD6BF6" w:rsidRPr="00A750FA" w:rsidRDefault="00C530CD" w:rsidP="00C530CD">
      <w:pPr>
        <w:spacing w:after="0"/>
        <w:ind w:left="-5"/>
        <w:rPr>
          <w:rFonts w:ascii="Arial" w:hAnsi="Arial" w:cs="Arial"/>
          <w:sz w:val="24"/>
          <w:szCs w:val="24"/>
        </w:rPr>
      </w:pPr>
      <w:r w:rsidRPr="00A750FA">
        <w:rPr>
          <w:rFonts w:ascii="Arial" w:hAnsi="Arial" w:cs="Arial"/>
          <w:b/>
          <w:bCs/>
          <w:sz w:val="24"/>
          <w:szCs w:val="24"/>
        </w:rPr>
        <w:t>K2014137790 (PROPRIETARY) LIMITED</w:t>
      </w:r>
      <w:r w:rsidR="00606F12" w:rsidRPr="00A750FA">
        <w:rPr>
          <w:rFonts w:ascii="Arial" w:hAnsi="Arial" w:cs="Arial"/>
          <w:b/>
          <w:bCs/>
          <w:sz w:val="24"/>
          <w:szCs w:val="24"/>
        </w:rPr>
        <w:tab/>
      </w:r>
      <w:r w:rsidR="00606F12" w:rsidRPr="00A750FA">
        <w:rPr>
          <w:rFonts w:ascii="Arial" w:hAnsi="Arial" w:cs="Arial"/>
          <w:b/>
          <w:bCs/>
          <w:sz w:val="24"/>
          <w:szCs w:val="24"/>
        </w:rPr>
        <w:tab/>
      </w:r>
      <w:r w:rsidR="00606F12" w:rsidRPr="00A750FA">
        <w:rPr>
          <w:rFonts w:ascii="Arial" w:hAnsi="Arial" w:cs="Arial"/>
          <w:b/>
          <w:bCs/>
          <w:sz w:val="24"/>
          <w:szCs w:val="24"/>
        </w:rPr>
        <w:tab/>
        <w:t xml:space="preserve">  </w:t>
      </w:r>
      <w:r w:rsidR="00C9271D" w:rsidRPr="00A750FA">
        <w:rPr>
          <w:rFonts w:ascii="Arial" w:hAnsi="Arial" w:cs="Arial"/>
          <w:b/>
          <w:bCs/>
          <w:sz w:val="24"/>
          <w:szCs w:val="24"/>
        </w:rPr>
        <w:t xml:space="preserve"> </w:t>
      </w:r>
      <w:r w:rsidR="00BB0BFB">
        <w:rPr>
          <w:rFonts w:ascii="Arial" w:hAnsi="Arial" w:cs="Arial"/>
          <w:b/>
          <w:bCs/>
          <w:sz w:val="24"/>
          <w:szCs w:val="24"/>
        </w:rPr>
        <w:t xml:space="preserve">      </w:t>
      </w:r>
      <w:r w:rsidR="00606F12" w:rsidRPr="00A750FA">
        <w:rPr>
          <w:rFonts w:ascii="Arial" w:hAnsi="Arial" w:cs="Arial"/>
          <w:b/>
          <w:bCs/>
          <w:sz w:val="24"/>
          <w:szCs w:val="24"/>
        </w:rPr>
        <w:t xml:space="preserve"> </w:t>
      </w:r>
      <w:r w:rsidR="003D00C1">
        <w:rPr>
          <w:rFonts w:ascii="Arial" w:hAnsi="Arial" w:cs="Arial"/>
          <w:b/>
          <w:bCs/>
          <w:sz w:val="24"/>
          <w:szCs w:val="24"/>
        </w:rPr>
        <w:t xml:space="preserve">  </w:t>
      </w:r>
      <w:r w:rsidR="00606F12" w:rsidRPr="00A750FA">
        <w:rPr>
          <w:rFonts w:ascii="Arial" w:hAnsi="Arial" w:cs="Arial"/>
          <w:b/>
          <w:bCs/>
          <w:sz w:val="24"/>
          <w:szCs w:val="24"/>
        </w:rPr>
        <w:t xml:space="preserve">  </w:t>
      </w:r>
      <w:r w:rsidR="00606F12" w:rsidRPr="00A750FA">
        <w:rPr>
          <w:rFonts w:ascii="Arial" w:hAnsi="Arial" w:cs="Arial"/>
          <w:sz w:val="24"/>
          <w:szCs w:val="24"/>
        </w:rPr>
        <w:t>First Defendant</w:t>
      </w:r>
    </w:p>
    <w:p w14:paraId="2FBE5F2A" w14:textId="77777777" w:rsidR="00606F12" w:rsidRPr="00A750FA" w:rsidRDefault="00606F12" w:rsidP="00C530CD">
      <w:pPr>
        <w:spacing w:after="0"/>
        <w:ind w:left="-5"/>
        <w:rPr>
          <w:rFonts w:ascii="Arial" w:hAnsi="Arial" w:cs="Arial"/>
          <w:sz w:val="24"/>
          <w:szCs w:val="24"/>
        </w:rPr>
      </w:pPr>
    </w:p>
    <w:p w14:paraId="2FB4948F" w14:textId="4D8E01A2" w:rsidR="00606F12" w:rsidRPr="00A750FA" w:rsidRDefault="006D3732" w:rsidP="00C530CD">
      <w:pPr>
        <w:spacing w:after="0"/>
        <w:ind w:left="-5"/>
        <w:rPr>
          <w:rFonts w:ascii="Arial" w:hAnsi="Arial" w:cs="Arial"/>
          <w:sz w:val="24"/>
          <w:szCs w:val="24"/>
        </w:rPr>
      </w:pPr>
      <w:r w:rsidRPr="00A750FA">
        <w:rPr>
          <w:rFonts w:ascii="Arial" w:hAnsi="Arial" w:cs="Arial"/>
          <w:sz w:val="24"/>
          <w:szCs w:val="24"/>
        </w:rPr>
        <w:t xml:space="preserve">And </w:t>
      </w:r>
    </w:p>
    <w:p w14:paraId="7720C421" w14:textId="77777777" w:rsidR="006D3732" w:rsidRPr="00A750FA" w:rsidRDefault="006D3732" w:rsidP="00C530CD">
      <w:pPr>
        <w:spacing w:after="0"/>
        <w:ind w:left="-5"/>
        <w:rPr>
          <w:rFonts w:ascii="Arial" w:hAnsi="Arial" w:cs="Arial"/>
          <w:sz w:val="24"/>
          <w:szCs w:val="24"/>
        </w:rPr>
      </w:pPr>
    </w:p>
    <w:p w14:paraId="1023D547" w14:textId="19B42381" w:rsidR="006D3732" w:rsidRPr="00A750FA" w:rsidRDefault="006D3732" w:rsidP="003D00C1">
      <w:pPr>
        <w:spacing w:after="0"/>
        <w:ind w:left="-5" w:right="-8"/>
        <w:rPr>
          <w:rFonts w:ascii="Arial" w:hAnsi="Arial" w:cs="Arial"/>
          <w:sz w:val="24"/>
          <w:szCs w:val="24"/>
        </w:rPr>
      </w:pPr>
      <w:r w:rsidRPr="00A750FA">
        <w:rPr>
          <w:rFonts w:ascii="Arial" w:hAnsi="Arial" w:cs="Arial"/>
          <w:b/>
          <w:bCs/>
          <w:sz w:val="24"/>
          <w:szCs w:val="24"/>
        </w:rPr>
        <w:t>HECTOR HAROLD SPARK</w:t>
      </w:r>
      <w:r w:rsidRPr="00A750FA">
        <w:rPr>
          <w:rFonts w:ascii="Arial" w:hAnsi="Arial" w:cs="Arial"/>
          <w:b/>
          <w:bCs/>
          <w:sz w:val="24"/>
          <w:szCs w:val="24"/>
        </w:rPr>
        <w:tab/>
      </w:r>
      <w:r w:rsidRPr="00A750FA">
        <w:rPr>
          <w:rFonts w:ascii="Arial" w:hAnsi="Arial" w:cs="Arial"/>
          <w:b/>
          <w:bCs/>
          <w:sz w:val="24"/>
          <w:szCs w:val="24"/>
        </w:rPr>
        <w:tab/>
      </w:r>
      <w:r w:rsidRPr="00A750FA">
        <w:rPr>
          <w:rFonts w:ascii="Arial" w:hAnsi="Arial" w:cs="Arial"/>
          <w:b/>
          <w:bCs/>
          <w:sz w:val="24"/>
          <w:szCs w:val="24"/>
        </w:rPr>
        <w:tab/>
      </w:r>
      <w:r w:rsidRPr="00A750FA">
        <w:rPr>
          <w:rFonts w:ascii="Arial" w:hAnsi="Arial" w:cs="Arial"/>
          <w:b/>
          <w:bCs/>
          <w:sz w:val="24"/>
          <w:szCs w:val="24"/>
        </w:rPr>
        <w:tab/>
      </w:r>
      <w:r w:rsidRPr="00A750FA">
        <w:rPr>
          <w:rFonts w:ascii="Arial" w:hAnsi="Arial" w:cs="Arial"/>
          <w:b/>
          <w:bCs/>
          <w:sz w:val="24"/>
          <w:szCs w:val="24"/>
        </w:rPr>
        <w:tab/>
      </w:r>
      <w:r w:rsidR="00C9271D" w:rsidRPr="00A750FA">
        <w:rPr>
          <w:rFonts w:ascii="Arial" w:hAnsi="Arial" w:cs="Arial"/>
          <w:b/>
          <w:bCs/>
          <w:sz w:val="24"/>
          <w:szCs w:val="24"/>
        </w:rPr>
        <w:t xml:space="preserve">     </w:t>
      </w:r>
      <w:r w:rsidR="003D00C1">
        <w:rPr>
          <w:rFonts w:ascii="Arial" w:hAnsi="Arial" w:cs="Arial"/>
          <w:b/>
          <w:bCs/>
          <w:sz w:val="24"/>
          <w:szCs w:val="24"/>
        </w:rPr>
        <w:t xml:space="preserve"> </w:t>
      </w:r>
      <w:r w:rsidR="00C9271D" w:rsidRPr="00A750FA">
        <w:rPr>
          <w:rFonts w:ascii="Arial" w:hAnsi="Arial" w:cs="Arial"/>
          <w:b/>
          <w:bCs/>
          <w:sz w:val="24"/>
          <w:szCs w:val="24"/>
        </w:rPr>
        <w:t xml:space="preserve">  </w:t>
      </w:r>
      <w:r w:rsidR="00CA352E" w:rsidRPr="00A750FA">
        <w:rPr>
          <w:rFonts w:ascii="Arial" w:hAnsi="Arial" w:cs="Arial"/>
          <w:sz w:val="24"/>
          <w:szCs w:val="24"/>
        </w:rPr>
        <w:t>Second Defendant</w:t>
      </w:r>
    </w:p>
    <w:p w14:paraId="2DAA0AD5" w14:textId="77777777" w:rsidR="00AD6BF6" w:rsidRPr="00A750FA" w:rsidRDefault="00AD6BF6" w:rsidP="00AD6BF6">
      <w:pPr>
        <w:spacing w:after="28"/>
        <w:ind w:left="-30"/>
        <w:rPr>
          <w:rFonts w:ascii="Arial" w:hAnsi="Arial" w:cs="Arial"/>
          <w:sz w:val="24"/>
          <w:szCs w:val="24"/>
        </w:rPr>
      </w:pPr>
      <w:r w:rsidRPr="00A750FA">
        <w:rPr>
          <w:rFonts w:ascii="Arial" w:hAnsi="Arial" w:cs="Arial"/>
          <w:noProof/>
          <w:sz w:val="24"/>
          <w:szCs w:val="24"/>
        </w:rPr>
        <mc:AlternateContent>
          <mc:Choice Requires="wpg">
            <w:drawing>
              <wp:inline distT="0" distB="0" distL="0" distR="0" wp14:anchorId="303F835F" wp14:editId="0F9F9D18">
                <wp:extent cx="5800091" cy="9525"/>
                <wp:effectExtent l="0" t="0" r="0" b="0"/>
                <wp:docPr id="11194" name="Group 11194"/>
                <wp:cNvGraphicFramePr/>
                <a:graphic xmlns:a="http://schemas.openxmlformats.org/drawingml/2006/main">
                  <a:graphicData uri="http://schemas.microsoft.com/office/word/2010/wordprocessingGroup">
                    <wpg:wgp>
                      <wpg:cNvGrpSpPr/>
                      <wpg:grpSpPr>
                        <a:xfrm>
                          <a:off x="0" y="0"/>
                          <a:ext cx="5800091" cy="9525"/>
                          <a:chOff x="0" y="0"/>
                          <a:chExt cx="5800091" cy="9525"/>
                        </a:xfrm>
                      </wpg:grpSpPr>
                      <wps:wsp>
                        <wps:cNvPr id="12842" name="Shape 12842"/>
                        <wps:cNvSpPr/>
                        <wps:spPr>
                          <a:xfrm>
                            <a:off x="0" y="0"/>
                            <a:ext cx="5800091" cy="9525"/>
                          </a:xfrm>
                          <a:custGeom>
                            <a:avLst/>
                            <a:gdLst/>
                            <a:ahLst/>
                            <a:cxnLst/>
                            <a:rect l="0" t="0" r="0" b="0"/>
                            <a:pathLst>
                              <a:path w="5800091" h="9525">
                                <a:moveTo>
                                  <a:pt x="0" y="0"/>
                                </a:moveTo>
                                <a:lnTo>
                                  <a:pt x="5800091" y="0"/>
                                </a:lnTo>
                                <a:lnTo>
                                  <a:pt x="58000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14E0D6B2" id="Group 11194" o:spid="_x0000_s1026" style="width:456.7pt;height:.75pt;mso-position-horizontal-relative:char;mso-position-vertical-relative:line" coordsize="580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btaAIAAC8GAAAOAAAAZHJzL2Uyb0RvYy54bWykVE1v2zAMvQ/YfxB8X+wEy5YaSXpYt1yG&#10;rVi7H6DIkm1AX5CUOPn3o2hbcdOtA1ofZEoiKb6nJ65vT0qSI3e+NXqTzWdFRrhmpmp1vcl+P377&#10;sMqID1RXVBrNN9mZ++x2+/7durMlX5jGyIo7Akm0Lzu7yZoQbJnnnjVcUT8zlmvYFMYpGmDq6rxy&#10;tIPsSuaLoviUd8ZV1hnGvYfVu34z22J+ITgLP4XwPBC5yaC2gKPDcR/HfLumZe2obVo2lEFfUYWi&#10;rYZDU6o7Gig5uPZZKtUyZ7wRYcaMyo0QLeOIAdDMiys0O2cOFrHUZVfbRBNQe8XTq9OyH8edsw/2&#10;3gETna2BC5xFLCfhVPxDleSElJ0TZfwUCIPF5aooipt5Rhjs3SwXy55R1gDtz4JY8/WlsHw8Mn9S&#10;SGdBGv6C3r8N/UNDLUdSfQno7x1pK1DuYvVxkRFNFYgUXUi/hLSgZyLJlx74ehNDCSot2cGHHTfI&#10;ND1+96GXZDVatBktdtKj6UDYL0ra0hDjYpHRJN3kqprhpuKmMkf+aNAtXN0X1HjZlXrqlW59FAT4&#10;jh7j32K+qecoj386wwOdqOg/bvh2kw8YEed2PRiIHewpu1JHGuAQRqHTCEkDPlnVBmhBslVRBZ9B&#10;zlHCmBh+UXz9baMVzpJHsqT+xQUIB59FXPCu3n+RjhxpbDT4YXIqbUOH1SHv4DqcAXlivGilTCnn&#10;GPq3lH1lg3OM49jjUmTRR7Khmr7RQbsA0GO7A2QpCE82OqR4DU0ay5ygjebeVGdsEUgIvEakBrsS&#10;4hg6aGx70zl6Xfr89g8AAAD//wMAUEsDBBQABgAIAAAAIQACn0+w2gAAAAMBAAAPAAAAZHJzL2Rv&#10;d25yZXYueG1sTI9BS8NAEIXvgv9hGcGb3cRa0ZhNKUU9FcFWEG/T7DQJzc6G7DZJ/72jF708GN7j&#10;vW/y5eRaNVAfGs8G0lkCirj0tuHKwMfu5eYBVIjIFlvPZOBMAZbF5UWOmfUjv9OwjZWSEg4ZGqhj&#10;7DKtQ1mTwzDzHbF4B987jHL2lbY9jlLuWn2bJPfaYcOyUGNH65rK4/bkDLyOOK7m6fOwOR7W56/d&#10;4u1zk5Ix11fT6glUpCn+heEHX9ChEKa9P7ENqjUgj8RfFe8xnd+B2ktoAbrI9X/24hsAAP//AwBQ&#10;SwECLQAUAAYACAAAACEAtoM4kv4AAADhAQAAEwAAAAAAAAAAAAAAAAAAAAAAW0NvbnRlbnRfVHlw&#10;ZXNdLnhtbFBLAQItABQABgAIAAAAIQA4/SH/1gAAAJQBAAALAAAAAAAAAAAAAAAAAC8BAABfcmVs&#10;cy8ucmVsc1BLAQItABQABgAIAAAAIQCw4JbtaAIAAC8GAAAOAAAAAAAAAAAAAAAAAC4CAABkcnMv&#10;ZTJvRG9jLnhtbFBLAQItABQABgAIAAAAIQACn0+w2gAAAAMBAAAPAAAAAAAAAAAAAAAAAMIEAABk&#10;cnMvZG93bnJldi54bWxQSwUGAAAAAAQABADzAAAAyQUAAAAA&#10;">
                <v:shape id="Shape 12842" o:spid="_x0000_s1027" style="position:absolute;width:58000;height:95;visibility:visible;mso-wrap-style:square;v-text-anchor:top" coordsize="580009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ajAxAAAAN4AAAAPAAAAZHJzL2Rvd25yZXYueG1sRE9Ni8Iw&#10;EL0v+B/CCN7W1CIiXaOIIAoeZLWXvQ3N2FabSU2iVn/9ZmHB2zze58wWnWnEnZyvLSsYDRMQxIXV&#10;NZcK8uP6cwrCB2SNjWVS8CQPi3nvY4aZtg/+pvshlCKGsM9QQRVCm0npi4oM+qFtiSN3ss5giNCV&#10;Ujt8xHDTyDRJJtJgzbGhwpZWFRWXw80oOJUOb+vx65znzXWzx5/rbrmfKDXod8svEIG68Bb/u7c6&#10;zk+n4xT+3ok3yPkvAAAA//8DAFBLAQItABQABgAIAAAAIQDb4fbL7gAAAIUBAAATAAAAAAAAAAAA&#10;AAAAAAAAAABbQ29udGVudF9UeXBlc10ueG1sUEsBAi0AFAAGAAgAAAAhAFr0LFu/AAAAFQEAAAsA&#10;AAAAAAAAAAAAAAAAHwEAAF9yZWxzLy5yZWxzUEsBAi0AFAAGAAgAAAAhAHe1qMDEAAAA3gAAAA8A&#10;AAAAAAAAAAAAAAAABwIAAGRycy9kb3ducmV2LnhtbFBLBQYAAAAAAwADALcAAAD4AgAAAAA=&#10;" path="m,l5800091,r,9525l,9525,,e" fillcolor="black" stroked="f" strokeweight="0">
                  <v:stroke miterlimit="83231f" joinstyle="miter"/>
                  <v:path arrowok="t" textboxrect="0,0,5800091,9525"/>
                </v:shape>
                <w10:anchorlock/>
              </v:group>
            </w:pict>
          </mc:Fallback>
        </mc:AlternateContent>
      </w:r>
    </w:p>
    <w:p w14:paraId="6F6E52AF" w14:textId="77777777" w:rsidR="00AD6BF6" w:rsidRPr="00A750FA" w:rsidRDefault="00AD6BF6" w:rsidP="00AD6BF6">
      <w:pPr>
        <w:spacing w:after="0"/>
        <w:jc w:val="center"/>
        <w:rPr>
          <w:rFonts w:ascii="Arial" w:hAnsi="Arial" w:cs="Arial"/>
          <w:sz w:val="24"/>
          <w:szCs w:val="24"/>
        </w:rPr>
      </w:pPr>
      <w:r w:rsidRPr="00A750FA">
        <w:rPr>
          <w:rFonts w:ascii="Arial" w:hAnsi="Arial" w:cs="Arial"/>
          <w:sz w:val="24"/>
          <w:szCs w:val="24"/>
        </w:rPr>
        <w:t xml:space="preserve"> </w:t>
      </w:r>
    </w:p>
    <w:p w14:paraId="76670473" w14:textId="30A5D0B4" w:rsidR="00AD6BF6" w:rsidRPr="00A750FA" w:rsidRDefault="00AD6BF6" w:rsidP="007C766B">
      <w:pPr>
        <w:pStyle w:val="Heading1"/>
        <w:ind w:right="72"/>
        <w:jc w:val="center"/>
        <w:rPr>
          <w:rFonts w:ascii="Arial" w:hAnsi="Arial" w:cs="Arial"/>
          <w:b/>
          <w:bCs/>
          <w:sz w:val="24"/>
          <w:szCs w:val="24"/>
        </w:rPr>
      </w:pPr>
      <w:r w:rsidRPr="00A750FA">
        <w:rPr>
          <w:rFonts w:ascii="Arial" w:hAnsi="Arial" w:cs="Arial"/>
          <w:b/>
          <w:bCs/>
          <w:sz w:val="24"/>
          <w:szCs w:val="24"/>
        </w:rPr>
        <w:t>JUDGMENT</w:t>
      </w:r>
    </w:p>
    <w:p w14:paraId="692299CC" w14:textId="77777777" w:rsidR="00AD6BF6" w:rsidRPr="00A750FA" w:rsidRDefault="00AD6BF6" w:rsidP="00AD6BF6">
      <w:pPr>
        <w:spacing w:after="0"/>
        <w:jc w:val="center"/>
        <w:rPr>
          <w:rFonts w:ascii="Arial" w:hAnsi="Arial" w:cs="Arial"/>
          <w:sz w:val="24"/>
          <w:szCs w:val="24"/>
        </w:rPr>
      </w:pPr>
      <w:r w:rsidRPr="00A750FA">
        <w:rPr>
          <w:rFonts w:ascii="Arial" w:eastAsia="Arial" w:hAnsi="Arial" w:cs="Arial"/>
          <w:b/>
          <w:sz w:val="24"/>
          <w:szCs w:val="24"/>
        </w:rPr>
        <w:t xml:space="preserve"> </w:t>
      </w:r>
    </w:p>
    <w:p w14:paraId="2A54238F" w14:textId="5655A688" w:rsidR="00233982" w:rsidRDefault="00AD6BF6" w:rsidP="005C3CE0">
      <w:pPr>
        <w:spacing w:after="8"/>
        <w:ind w:left="-30"/>
      </w:pPr>
      <w:r>
        <w:rPr>
          <w:noProof/>
        </w:rPr>
        <mc:AlternateContent>
          <mc:Choice Requires="wpg">
            <w:drawing>
              <wp:inline distT="0" distB="0" distL="0" distR="0" wp14:anchorId="795A636D" wp14:editId="4401C2AA">
                <wp:extent cx="5800091" cy="9525"/>
                <wp:effectExtent l="0" t="0" r="0" b="9525"/>
                <wp:docPr id="11195" name="Group 11195"/>
                <wp:cNvGraphicFramePr/>
                <a:graphic xmlns:a="http://schemas.openxmlformats.org/drawingml/2006/main">
                  <a:graphicData uri="http://schemas.microsoft.com/office/word/2010/wordprocessingGroup">
                    <wpg:wgp>
                      <wpg:cNvGrpSpPr/>
                      <wpg:grpSpPr>
                        <a:xfrm>
                          <a:off x="0" y="0"/>
                          <a:ext cx="5800091" cy="9525"/>
                          <a:chOff x="0" y="0"/>
                          <a:chExt cx="5800091" cy="9525"/>
                        </a:xfrm>
                      </wpg:grpSpPr>
                      <wps:wsp>
                        <wps:cNvPr id="12844" name="Shape 12844"/>
                        <wps:cNvSpPr/>
                        <wps:spPr>
                          <a:xfrm>
                            <a:off x="0" y="0"/>
                            <a:ext cx="5800091" cy="9525"/>
                          </a:xfrm>
                          <a:custGeom>
                            <a:avLst/>
                            <a:gdLst/>
                            <a:ahLst/>
                            <a:cxnLst/>
                            <a:rect l="0" t="0" r="0" b="0"/>
                            <a:pathLst>
                              <a:path w="5800091" h="9525">
                                <a:moveTo>
                                  <a:pt x="0" y="0"/>
                                </a:moveTo>
                                <a:lnTo>
                                  <a:pt x="5800091" y="0"/>
                                </a:lnTo>
                                <a:lnTo>
                                  <a:pt x="58000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3876D74C" id="Group 11195" o:spid="_x0000_s1026" style="width:456.7pt;height:.75pt;mso-position-horizontal-relative:char;mso-position-vertical-relative:line" coordsize="580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ZQaAIAAC8GAAAOAAAAZHJzL2Uyb0RvYy54bWykVE1v2zAMvQ/YfxB8X+wEzZYaSXpYt1yG&#10;rVi7H6DIkm1AX5CUOPn3o2hb8dKtA1ofZEoiKb6nJ67vTkqSI3e+NXqTzWdFRrhmpmp1vcl+PX39&#10;sMqID1RXVBrNN9mZ++xu+/7durMlX5jGyIo7Akm0Lzu7yZoQbJnnnjVcUT8zlmvYFMYpGmDq6rxy&#10;tIPsSuaLoviYd8ZV1hnGvYfV+34z22J+ITgLP4TwPBC5yaC2gKPDcR/HfLumZe2obVo2lEFfUYWi&#10;rYZDU6p7Gig5uPZZKtUyZ7wRYcaMyo0QLeOIAdDMiys0O2cOFrHUZVfbRBNQe8XTq9Oy78eds4/2&#10;wQETna2BC5xFLCfhVPxDleSElJ0TZfwUCIPF5aooitt5Rhjs3S4Xy55R1gDtz4JY8+WlsHw8Mv+j&#10;kM6CNPwFvX8b+seGWo6k+hLQPzjSVqDcxermJiOaKhApupB+CWlBz0SSLz3w9SaGElRasoMPO26Q&#10;aXr85kMvyWq0aDNa7KRH04GwX5S0pSHGxSKjSbrJVTXDTcVNZY78yaBbuLovqPGyK/XUK936KAjw&#10;HT3Gv8V8U89RHv90hgc6UdF/3PDtJh8wIs7tejAQO9hTdqWONMAhjEKnEZIGfLKqDdCCZKuiCj6B&#10;nKOEMTH8ovj620YrnCWPZEn9kwsQDj6LuOBdvf8sHTnS2Gjww+RU2oYOq0PewXU4A/LEeNFKmVLO&#10;MfRvKfvKBucYx7HHpciij2RDNX2jg3YBoMd2B8hSEJ5sdEjxGpo0ljlBG829qc7YIpAQeI1IDXYl&#10;xDF00Nj2pnP0uvT57W8AAAD//wMAUEsDBBQABgAIAAAAIQACn0+w2gAAAAMBAAAPAAAAZHJzL2Rv&#10;d25yZXYueG1sTI9BS8NAEIXvgv9hGcGb3cRa0ZhNKUU9FcFWEG/T7DQJzc6G7DZJ/72jF708GN7j&#10;vW/y5eRaNVAfGs8G0lkCirj0tuHKwMfu5eYBVIjIFlvPZOBMAZbF5UWOmfUjv9OwjZWSEg4ZGqhj&#10;7DKtQ1mTwzDzHbF4B987jHL2lbY9jlLuWn2bJPfaYcOyUGNH65rK4/bkDLyOOK7m6fOwOR7W56/d&#10;4u1zk5Ix11fT6glUpCn+heEHX9ChEKa9P7ENqjUgj8RfFe8xnd+B2ktoAbrI9X/24hsAAP//AwBQ&#10;SwECLQAUAAYACAAAACEAtoM4kv4AAADhAQAAEwAAAAAAAAAAAAAAAAAAAAAAW0NvbnRlbnRfVHlw&#10;ZXNdLnhtbFBLAQItABQABgAIAAAAIQA4/SH/1gAAAJQBAAALAAAAAAAAAAAAAAAAAC8BAABfcmVs&#10;cy8ucmVsc1BLAQItABQABgAIAAAAIQAdi1ZQaAIAAC8GAAAOAAAAAAAAAAAAAAAAAC4CAABkcnMv&#10;ZTJvRG9jLnhtbFBLAQItABQABgAIAAAAIQACn0+w2gAAAAMBAAAPAAAAAAAAAAAAAAAAAMIEAABk&#10;cnMvZG93bnJldi54bWxQSwUGAAAAAAQABADzAAAAyQUAAAAA&#10;">
                <v:shape id="Shape 12844" o:spid="_x0000_s1027" style="position:absolute;width:58000;height:95;visibility:visible;mso-wrap-style:square;v-text-anchor:top" coordsize="580009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UvxAAAAN4AAAAPAAAAZHJzL2Rvd25yZXYueG1sRE9Ni8Iw&#10;EL0v+B/CCN7WVCkiXaOIIAoeZLWXvQ3N2FabSU2iVn/9ZmHB2zze58wWnWnEnZyvLSsYDRMQxIXV&#10;NZcK8uP6cwrCB2SNjWVS8CQPi3nvY4aZtg/+pvshlCKGsM9QQRVCm0npi4oM+qFtiSN3ss5giNCV&#10;Ujt8xHDTyHGSTKTBmmNDhS2tKiouh5tRcCod3tbp65znzXWzx5/rbrmfKDXod8svEIG68Bb/u7c6&#10;zh9P0xT+3ok3yPkvAAAA//8DAFBLAQItABQABgAIAAAAIQDb4fbL7gAAAIUBAAATAAAAAAAAAAAA&#10;AAAAAAAAAABbQ29udGVudF9UeXBlc10ueG1sUEsBAi0AFAAGAAgAAAAhAFr0LFu/AAAAFQEAAAsA&#10;AAAAAAAAAAAAAAAAHwEAAF9yZWxzLy5yZWxzUEsBAi0AFAAGAAgAAAAhAJcQlS/EAAAA3gAAAA8A&#10;AAAAAAAAAAAAAAAABwIAAGRycy9kb3ducmV2LnhtbFBLBQYAAAAAAwADALcAAAD4AgAAAAA=&#10;" path="m,l5800091,r,9525l,9525,,e" fillcolor="black" stroked="f" strokeweight="0">
                  <v:stroke miterlimit="83231f" joinstyle="miter"/>
                  <v:path arrowok="t" textboxrect="0,0,5800091,9525"/>
                </v:shape>
                <w10:anchorlock/>
              </v:group>
            </w:pict>
          </mc:Fallback>
        </mc:AlternateContent>
      </w:r>
    </w:p>
    <w:p w14:paraId="03FE8A8E" w14:textId="77777777" w:rsidR="000F2A66" w:rsidRDefault="000F2A66" w:rsidP="000F2A66">
      <w:pPr>
        <w:ind w:left="360"/>
        <w:jc w:val="both"/>
        <w:rPr>
          <w:rFonts w:ascii="Arial" w:hAnsi="Arial" w:cs="Arial"/>
          <w:sz w:val="24"/>
          <w:szCs w:val="24"/>
        </w:rPr>
      </w:pPr>
    </w:p>
    <w:p w14:paraId="279E9654" w14:textId="3BCEEA22" w:rsidR="005457F5" w:rsidRPr="000B2671" w:rsidRDefault="000B2671" w:rsidP="000B2671">
      <w:pPr>
        <w:ind w:left="720" w:hanging="360"/>
        <w:jc w:val="both"/>
        <w:rPr>
          <w:rFonts w:ascii="Arial" w:hAnsi="Arial" w:cs="Arial"/>
          <w:sz w:val="24"/>
          <w:szCs w:val="24"/>
        </w:rPr>
      </w:pPr>
      <w:r>
        <w:rPr>
          <w:rFonts w:ascii="Arial" w:eastAsiaTheme="minorHAnsi" w:hAnsi="Arial" w:cs="Arial"/>
          <w:color w:val="auto"/>
          <w:sz w:val="24"/>
          <w:szCs w:val="24"/>
        </w:rPr>
        <w:t>1.</w:t>
      </w:r>
      <w:r>
        <w:rPr>
          <w:rFonts w:ascii="Arial" w:eastAsiaTheme="minorHAnsi" w:hAnsi="Arial" w:cs="Arial"/>
          <w:color w:val="auto"/>
          <w:sz w:val="24"/>
          <w:szCs w:val="24"/>
        </w:rPr>
        <w:tab/>
      </w:r>
      <w:r w:rsidR="006F05F6" w:rsidRPr="000B2671">
        <w:rPr>
          <w:rFonts w:ascii="Arial" w:hAnsi="Arial" w:cs="Arial"/>
          <w:sz w:val="24"/>
          <w:szCs w:val="24"/>
        </w:rPr>
        <w:t>This Judgment is delivered in response to a request for a written judgment</w:t>
      </w:r>
      <w:r w:rsidR="006D56E8" w:rsidRPr="000B2671">
        <w:rPr>
          <w:rFonts w:ascii="Arial" w:hAnsi="Arial" w:cs="Arial"/>
          <w:sz w:val="24"/>
          <w:szCs w:val="24"/>
        </w:rPr>
        <w:t xml:space="preserve"> </w:t>
      </w:r>
      <w:r w:rsidR="004D79B1" w:rsidRPr="000B2671">
        <w:rPr>
          <w:rFonts w:ascii="Arial" w:hAnsi="Arial" w:cs="Arial"/>
          <w:sz w:val="24"/>
          <w:szCs w:val="24"/>
        </w:rPr>
        <w:t xml:space="preserve">and the reasons therefor </w:t>
      </w:r>
      <w:r w:rsidR="006D56E8" w:rsidRPr="000B2671">
        <w:rPr>
          <w:rFonts w:ascii="Arial" w:hAnsi="Arial" w:cs="Arial"/>
          <w:sz w:val="24"/>
          <w:szCs w:val="24"/>
        </w:rPr>
        <w:t xml:space="preserve">by </w:t>
      </w:r>
      <w:r w:rsidR="004D79B1" w:rsidRPr="000B2671">
        <w:rPr>
          <w:rFonts w:ascii="Arial" w:hAnsi="Arial" w:cs="Arial"/>
          <w:sz w:val="24"/>
          <w:szCs w:val="24"/>
        </w:rPr>
        <w:t xml:space="preserve">the </w:t>
      </w:r>
      <w:r w:rsidR="00B87DAF" w:rsidRPr="000B2671">
        <w:rPr>
          <w:rFonts w:ascii="Arial" w:hAnsi="Arial" w:cs="Arial"/>
          <w:sz w:val="24"/>
          <w:szCs w:val="24"/>
        </w:rPr>
        <w:t>R</w:t>
      </w:r>
      <w:r w:rsidR="00F22121" w:rsidRPr="000B2671">
        <w:rPr>
          <w:rFonts w:ascii="Arial" w:hAnsi="Arial" w:cs="Arial"/>
          <w:sz w:val="24"/>
          <w:szCs w:val="24"/>
        </w:rPr>
        <w:t>espondent</w:t>
      </w:r>
      <w:r w:rsidR="0099592C" w:rsidRPr="000B2671">
        <w:rPr>
          <w:rFonts w:ascii="Arial" w:hAnsi="Arial" w:cs="Arial"/>
          <w:sz w:val="24"/>
          <w:szCs w:val="24"/>
        </w:rPr>
        <w:t>’</w:t>
      </w:r>
      <w:r w:rsidR="00F22121" w:rsidRPr="000B2671">
        <w:rPr>
          <w:rFonts w:ascii="Arial" w:hAnsi="Arial" w:cs="Arial"/>
          <w:sz w:val="24"/>
          <w:szCs w:val="24"/>
        </w:rPr>
        <w:t>s</w:t>
      </w:r>
      <w:r w:rsidR="006D56E8" w:rsidRPr="000B2671">
        <w:rPr>
          <w:rFonts w:ascii="Arial" w:hAnsi="Arial" w:cs="Arial"/>
          <w:sz w:val="24"/>
          <w:szCs w:val="24"/>
        </w:rPr>
        <w:t xml:space="preserve"> </w:t>
      </w:r>
      <w:r w:rsidR="00F22121" w:rsidRPr="000B2671">
        <w:rPr>
          <w:rFonts w:ascii="Arial" w:hAnsi="Arial" w:cs="Arial"/>
          <w:sz w:val="24"/>
          <w:szCs w:val="24"/>
        </w:rPr>
        <w:t>legal representative</w:t>
      </w:r>
      <w:r w:rsidR="006D56E8" w:rsidRPr="000B2671">
        <w:rPr>
          <w:rFonts w:ascii="Arial" w:hAnsi="Arial" w:cs="Arial"/>
          <w:sz w:val="24"/>
          <w:szCs w:val="24"/>
        </w:rPr>
        <w:t xml:space="preserve">s, </w:t>
      </w:r>
      <w:r w:rsidR="00F22121" w:rsidRPr="000B2671">
        <w:rPr>
          <w:rFonts w:ascii="Arial" w:hAnsi="Arial" w:cs="Arial"/>
          <w:sz w:val="24"/>
          <w:szCs w:val="24"/>
        </w:rPr>
        <w:t xml:space="preserve">and to clarify </w:t>
      </w:r>
      <w:r w:rsidR="004D79B1" w:rsidRPr="000B2671">
        <w:rPr>
          <w:rFonts w:ascii="Arial" w:hAnsi="Arial" w:cs="Arial"/>
          <w:sz w:val="24"/>
          <w:szCs w:val="24"/>
        </w:rPr>
        <w:t>the order granted on 10 November 2020</w:t>
      </w:r>
      <w:r w:rsidR="0082567A" w:rsidRPr="000B2671">
        <w:rPr>
          <w:rFonts w:ascii="Arial" w:hAnsi="Arial" w:cs="Arial"/>
          <w:sz w:val="24"/>
          <w:szCs w:val="24"/>
        </w:rPr>
        <w:t xml:space="preserve">. </w:t>
      </w:r>
    </w:p>
    <w:p w14:paraId="28B8972B" w14:textId="77777777" w:rsidR="0082567A" w:rsidRDefault="0082567A" w:rsidP="0082567A">
      <w:pPr>
        <w:pStyle w:val="ListParagraph"/>
        <w:jc w:val="both"/>
        <w:rPr>
          <w:rFonts w:ascii="Arial" w:hAnsi="Arial" w:cs="Arial"/>
          <w:sz w:val="24"/>
          <w:szCs w:val="24"/>
        </w:rPr>
      </w:pPr>
    </w:p>
    <w:p w14:paraId="3F063096" w14:textId="443D6EFC" w:rsidR="007426D9" w:rsidRPr="000B2671" w:rsidRDefault="000B2671" w:rsidP="000B2671">
      <w:pPr>
        <w:ind w:left="720" w:hanging="360"/>
        <w:jc w:val="both"/>
        <w:rPr>
          <w:rFonts w:ascii="Arial" w:hAnsi="Arial" w:cs="Arial"/>
          <w:sz w:val="24"/>
          <w:szCs w:val="24"/>
        </w:rPr>
      </w:pPr>
      <w:bookmarkStart w:id="0" w:name="_GoBack"/>
      <w:bookmarkEnd w:id="0"/>
      <w:r w:rsidRPr="000F2A66">
        <w:rPr>
          <w:rFonts w:ascii="Arial" w:eastAsiaTheme="minorHAnsi" w:hAnsi="Arial" w:cs="Arial"/>
          <w:color w:val="auto"/>
          <w:sz w:val="24"/>
          <w:szCs w:val="24"/>
        </w:rPr>
        <w:t>2.</w:t>
      </w:r>
      <w:r w:rsidRPr="000F2A66">
        <w:rPr>
          <w:rFonts w:ascii="Arial" w:eastAsiaTheme="minorHAnsi" w:hAnsi="Arial" w:cs="Arial"/>
          <w:color w:val="auto"/>
          <w:sz w:val="24"/>
          <w:szCs w:val="24"/>
        </w:rPr>
        <w:tab/>
      </w:r>
      <w:r w:rsidR="007426D9" w:rsidRPr="000B2671">
        <w:rPr>
          <w:rFonts w:ascii="Arial" w:hAnsi="Arial" w:cs="Arial"/>
          <w:sz w:val="24"/>
          <w:szCs w:val="24"/>
        </w:rPr>
        <w:t xml:space="preserve">This </w:t>
      </w:r>
      <w:r w:rsidR="00B31B32" w:rsidRPr="000B2671">
        <w:rPr>
          <w:rFonts w:ascii="Arial" w:hAnsi="Arial" w:cs="Arial"/>
          <w:sz w:val="24"/>
          <w:szCs w:val="24"/>
        </w:rPr>
        <w:t xml:space="preserve">matter </w:t>
      </w:r>
      <w:r w:rsidR="007426D9" w:rsidRPr="000B2671">
        <w:rPr>
          <w:rFonts w:ascii="Arial" w:hAnsi="Arial" w:cs="Arial"/>
          <w:sz w:val="24"/>
          <w:szCs w:val="24"/>
        </w:rPr>
        <w:t>relates to an application which involved two parties. The Applicant in the matter was the Second Defendant in the action</w:t>
      </w:r>
      <w:r w:rsidR="004064BC" w:rsidRPr="000B2671">
        <w:rPr>
          <w:rFonts w:ascii="Arial" w:hAnsi="Arial" w:cs="Arial"/>
          <w:sz w:val="24"/>
          <w:szCs w:val="24"/>
        </w:rPr>
        <w:t>,</w:t>
      </w:r>
      <w:r w:rsidR="007426D9" w:rsidRPr="000B2671">
        <w:rPr>
          <w:rFonts w:ascii="Arial" w:hAnsi="Arial" w:cs="Arial"/>
          <w:sz w:val="24"/>
          <w:szCs w:val="24"/>
        </w:rPr>
        <w:t xml:space="preserve"> and the Respondent was the Plaintiff in the action. In this Judgment, and for ease of reference, the parties will be referred to as the Plaintiff and the Second Defendant.</w:t>
      </w:r>
    </w:p>
    <w:p w14:paraId="45653FD4" w14:textId="77777777" w:rsidR="007F6824" w:rsidRPr="00A750FA" w:rsidRDefault="007F6824" w:rsidP="00AD6BF6">
      <w:pPr>
        <w:pStyle w:val="ListParagraph"/>
        <w:jc w:val="both"/>
        <w:rPr>
          <w:rFonts w:ascii="Arial" w:hAnsi="Arial" w:cs="Arial"/>
          <w:sz w:val="24"/>
          <w:szCs w:val="24"/>
        </w:rPr>
      </w:pPr>
    </w:p>
    <w:p w14:paraId="40FF67F6" w14:textId="7E842BA0" w:rsidR="00BF76BD" w:rsidRPr="000B2671" w:rsidRDefault="000B2671" w:rsidP="000B2671">
      <w:pPr>
        <w:ind w:left="720" w:hanging="360"/>
        <w:jc w:val="both"/>
        <w:rPr>
          <w:rFonts w:ascii="Arial" w:hAnsi="Arial" w:cs="Arial"/>
          <w:sz w:val="24"/>
          <w:szCs w:val="24"/>
        </w:rPr>
      </w:pPr>
      <w:r>
        <w:rPr>
          <w:rFonts w:ascii="Arial" w:eastAsiaTheme="minorHAnsi" w:hAnsi="Arial" w:cs="Arial"/>
          <w:color w:val="auto"/>
          <w:sz w:val="24"/>
          <w:szCs w:val="24"/>
        </w:rPr>
        <w:t>3.</w:t>
      </w:r>
      <w:r>
        <w:rPr>
          <w:rFonts w:ascii="Arial" w:eastAsiaTheme="minorHAnsi" w:hAnsi="Arial" w:cs="Arial"/>
          <w:color w:val="auto"/>
          <w:sz w:val="24"/>
          <w:szCs w:val="24"/>
        </w:rPr>
        <w:tab/>
      </w:r>
      <w:r w:rsidR="007426D9" w:rsidRPr="000B2671">
        <w:rPr>
          <w:rFonts w:ascii="Arial" w:hAnsi="Arial" w:cs="Arial"/>
          <w:sz w:val="24"/>
          <w:szCs w:val="24"/>
        </w:rPr>
        <w:t>The Plaintiff’s cause of action against the Second Defendant is based on a Suretyship Agreement (“the Suretyship”), which arose out of the Second Defendant signing a</w:t>
      </w:r>
      <w:r w:rsidR="007F6824" w:rsidRPr="000B2671">
        <w:rPr>
          <w:rFonts w:ascii="Arial" w:hAnsi="Arial" w:cs="Arial"/>
          <w:sz w:val="24"/>
          <w:szCs w:val="24"/>
        </w:rPr>
        <w:t xml:space="preserve"> </w:t>
      </w:r>
      <w:r w:rsidR="007426D9" w:rsidRPr="000B2671">
        <w:rPr>
          <w:rFonts w:ascii="Arial" w:hAnsi="Arial" w:cs="Arial"/>
          <w:sz w:val="24"/>
          <w:szCs w:val="24"/>
        </w:rPr>
        <w:t>customer application.</w:t>
      </w:r>
    </w:p>
    <w:p w14:paraId="407AB8FD" w14:textId="77777777" w:rsidR="004B4A60" w:rsidRPr="004B4A60" w:rsidRDefault="004B4A60" w:rsidP="004B4A60">
      <w:pPr>
        <w:pStyle w:val="ListParagraph"/>
        <w:rPr>
          <w:rFonts w:ascii="Arial" w:hAnsi="Arial" w:cs="Arial"/>
          <w:sz w:val="24"/>
          <w:szCs w:val="24"/>
        </w:rPr>
      </w:pPr>
    </w:p>
    <w:p w14:paraId="14E90914" w14:textId="07828708" w:rsidR="007426D9" w:rsidRPr="000B2671" w:rsidRDefault="000B2671" w:rsidP="000B2671">
      <w:pPr>
        <w:ind w:left="720" w:hanging="360"/>
        <w:jc w:val="both"/>
        <w:rPr>
          <w:rFonts w:ascii="Arial" w:hAnsi="Arial" w:cs="Arial"/>
          <w:sz w:val="24"/>
          <w:szCs w:val="24"/>
        </w:rPr>
      </w:pPr>
      <w:r w:rsidRPr="00A750FA">
        <w:rPr>
          <w:rFonts w:ascii="Arial" w:eastAsiaTheme="minorHAnsi" w:hAnsi="Arial" w:cs="Arial"/>
          <w:color w:val="auto"/>
          <w:sz w:val="24"/>
          <w:szCs w:val="24"/>
        </w:rPr>
        <w:t>4.</w:t>
      </w:r>
      <w:r w:rsidRPr="00A750FA">
        <w:rPr>
          <w:rFonts w:ascii="Arial" w:eastAsiaTheme="minorHAnsi" w:hAnsi="Arial" w:cs="Arial"/>
          <w:color w:val="auto"/>
          <w:sz w:val="24"/>
          <w:szCs w:val="24"/>
        </w:rPr>
        <w:tab/>
      </w:r>
      <w:r w:rsidR="007426D9" w:rsidRPr="000B2671">
        <w:rPr>
          <w:rFonts w:ascii="Arial" w:hAnsi="Arial" w:cs="Arial"/>
          <w:sz w:val="24"/>
          <w:szCs w:val="24"/>
        </w:rPr>
        <w:t>When the matter was argued</w:t>
      </w:r>
      <w:r w:rsidR="007A6C59" w:rsidRPr="000B2671">
        <w:rPr>
          <w:rFonts w:ascii="Arial" w:hAnsi="Arial" w:cs="Arial"/>
          <w:sz w:val="24"/>
          <w:szCs w:val="24"/>
        </w:rPr>
        <w:t xml:space="preserve"> before this Court</w:t>
      </w:r>
      <w:r w:rsidR="007426D9" w:rsidRPr="000B2671">
        <w:rPr>
          <w:rFonts w:ascii="Arial" w:hAnsi="Arial" w:cs="Arial"/>
          <w:sz w:val="24"/>
          <w:szCs w:val="24"/>
        </w:rPr>
        <w:t>, the issue between the Plaintiff and the Second Defendant was whether the Suretyship was valid and enforceable.</w:t>
      </w:r>
    </w:p>
    <w:p w14:paraId="4A29BD3E" w14:textId="77777777" w:rsidR="007F6824" w:rsidRPr="00A750FA" w:rsidRDefault="007F6824" w:rsidP="00AD6BF6">
      <w:pPr>
        <w:pStyle w:val="ListParagraph"/>
        <w:jc w:val="both"/>
        <w:rPr>
          <w:rFonts w:ascii="Arial" w:hAnsi="Arial" w:cs="Arial"/>
          <w:sz w:val="24"/>
          <w:szCs w:val="24"/>
        </w:rPr>
      </w:pPr>
    </w:p>
    <w:p w14:paraId="54E50AEC" w14:textId="1E01683B" w:rsidR="00CC7A4E"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5.</w:t>
      </w:r>
      <w:r>
        <w:rPr>
          <w:rFonts w:ascii="Arial" w:eastAsiaTheme="minorHAnsi" w:hAnsi="Arial" w:cs="Arial"/>
          <w:color w:val="auto"/>
          <w:sz w:val="24"/>
          <w:szCs w:val="24"/>
        </w:rPr>
        <w:tab/>
      </w:r>
      <w:r w:rsidR="007426D9" w:rsidRPr="000B2671">
        <w:rPr>
          <w:rFonts w:ascii="Arial" w:hAnsi="Arial" w:cs="Arial"/>
          <w:sz w:val="24"/>
          <w:szCs w:val="24"/>
        </w:rPr>
        <w:t xml:space="preserve">In this regard Judgment had previously been granted in favour of the Plaintiff against the Second Defendant for the full amount of the Plaintiff’s claim plus interest and costs, and the matter against the Second Defendant was postponed </w:t>
      </w:r>
      <w:r w:rsidR="007426D9" w:rsidRPr="000B2671">
        <w:rPr>
          <w:rFonts w:ascii="Arial" w:hAnsi="Arial" w:cs="Arial"/>
          <w:i/>
          <w:iCs/>
          <w:sz w:val="24"/>
          <w:szCs w:val="24"/>
        </w:rPr>
        <w:t>sine die.</w:t>
      </w:r>
      <w:r w:rsidR="007A6C59" w:rsidRPr="000B2671">
        <w:rPr>
          <w:rFonts w:ascii="Arial" w:hAnsi="Arial" w:cs="Arial"/>
          <w:sz w:val="24"/>
          <w:szCs w:val="24"/>
        </w:rPr>
        <w:t xml:space="preserve"> </w:t>
      </w:r>
    </w:p>
    <w:p w14:paraId="71E0DA8B" w14:textId="77777777" w:rsidR="00CC7A4E" w:rsidRPr="00CC7A4E" w:rsidRDefault="00CC7A4E" w:rsidP="00CC7A4E">
      <w:pPr>
        <w:pStyle w:val="ListParagraph"/>
        <w:rPr>
          <w:rFonts w:ascii="Arial" w:hAnsi="Arial" w:cs="Arial"/>
          <w:sz w:val="24"/>
          <w:szCs w:val="24"/>
        </w:rPr>
      </w:pPr>
    </w:p>
    <w:p w14:paraId="1D292CBB" w14:textId="054B9D91" w:rsidR="007F6824"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6.</w:t>
      </w:r>
      <w:r w:rsidRPr="00A750FA">
        <w:rPr>
          <w:rFonts w:ascii="Arial" w:eastAsiaTheme="minorHAnsi" w:hAnsi="Arial" w:cs="Arial"/>
          <w:color w:val="auto"/>
          <w:sz w:val="24"/>
          <w:szCs w:val="24"/>
        </w:rPr>
        <w:tab/>
      </w:r>
      <w:r w:rsidR="007A6C59" w:rsidRPr="000B2671">
        <w:rPr>
          <w:rFonts w:ascii="Arial" w:hAnsi="Arial" w:cs="Arial"/>
          <w:sz w:val="24"/>
          <w:szCs w:val="24"/>
        </w:rPr>
        <w:t xml:space="preserve">Both parties submitted </w:t>
      </w:r>
      <w:r w:rsidR="00AB7B79" w:rsidRPr="000B2671">
        <w:rPr>
          <w:rFonts w:ascii="Arial" w:hAnsi="Arial" w:cs="Arial"/>
          <w:sz w:val="24"/>
          <w:szCs w:val="24"/>
        </w:rPr>
        <w:t>in argument presented to the Court that the matter was a question of law, and that nothing was triable.</w:t>
      </w:r>
    </w:p>
    <w:p w14:paraId="330AA193" w14:textId="77777777" w:rsidR="007F6824" w:rsidRPr="00A750FA" w:rsidRDefault="007F6824" w:rsidP="00AD6BF6">
      <w:pPr>
        <w:spacing w:after="0"/>
        <w:jc w:val="both"/>
        <w:rPr>
          <w:rFonts w:ascii="Arial" w:hAnsi="Arial" w:cs="Arial"/>
          <w:sz w:val="24"/>
          <w:szCs w:val="24"/>
        </w:rPr>
      </w:pPr>
    </w:p>
    <w:p w14:paraId="64FE8AA4" w14:textId="748075E6" w:rsidR="000B0A69"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7.</w:t>
      </w:r>
      <w:r w:rsidRPr="00A750FA">
        <w:rPr>
          <w:rFonts w:ascii="Arial" w:eastAsiaTheme="minorHAnsi" w:hAnsi="Arial" w:cs="Arial"/>
          <w:color w:val="auto"/>
          <w:sz w:val="24"/>
          <w:szCs w:val="24"/>
        </w:rPr>
        <w:tab/>
      </w:r>
      <w:r w:rsidR="00C179B5" w:rsidRPr="000B2671">
        <w:rPr>
          <w:rFonts w:ascii="Arial" w:hAnsi="Arial" w:cs="Arial"/>
          <w:sz w:val="24"/>
          <w:szCs w:val="24"/>
        </w:rPr>
        <w:t>In its written Heads of Argument</w:t>
      </w:r>
      <w:r w:rsidR="00C63A52" w:rsidRPr="000B2671">
        <w:rPr>
          <w:rFonts w:ascii="Arial" w:hAnsi="Arial" w:cs="Arial"/>
          <w:sz w:val="24"/>
          <w:szCs w:val="24"/>
        </w:rPr>
        <w:t xml:space="preserve">, </w:t>
      </w:r>
      <w:r w:rsidR="00C179B5" w:rsidRPr="000B2671">
        <w:rPr>
          <w:rFonts w:ascii="Arial" w:hAnsi="Arial" w:cs="Arial"/>
          <w:sz w:val="24"/>
          <w:szCs w:val="24"/>
        </w:rPr>
        <w:t>the Plaintiff further stated that it was common cause that the only remaining issue be</w:t>
      </w:r>
      <w:r w:rsidR="00A86B5F" w:rsidRPr="000B2671">
        <w:rPr>
          <w:rFonts w:ascii="Arial" w:hAnsi="Arial" w:cs="Arial"/>
          <w:sz w:val="24"/>
          <w:szCs w:val="24"/>
        </w:rPr>
        <w:t xml:space="preserve">tween the Plaintiff and the Second Defendant was whether the suretyship was valid and </w:t>
      </w:r>
      <w:r w:rsidR="004D00AD" w:rsidRPr="000B2671">
        <w:rPr>
          <w:rFonts w:ascii="Arial" w:hAnsi="Arial" w:cs="Arial"/>
          <w:sz w:val="24"/>
          <w:szCs w:val="24"/>
        </w:rPr>
        <w:t>enforceable</w:t>
      </w:r>
      <w:r w:rsidR="00A86B5F" w:rsidRPr="000B2671">
        <w:rPr>
          <w:rFonts w:ascii="Arial" w:hAnsi="Arial" w:cs="Arial"/>
          <w:sz w:val="24"/>
          <w:szCs w:val="24"/>
        </w:rPr>
        <w:t>.</w:t>
      </w:r>
      <w:r w:rsidR="00100B49" w:rsidRPr="000B2671">
        <w:rPr>
          <w:rFonts w:ascii="Arial" w:hAnsi="Arial" w:cs="Arial"/>
          <w:sz w:val="24"/>
          <w:szCs w:val="24"/>
        </w:rPr>
        <w:t xml:space="preserve"> </w:t>
      </w:r>
    </w:p>
    <w:p w14:paraId="7EFFFF82" w14:textId="77777777" w:rsidR="007F6824" w:rsidRPr="00A750FA" w:rsidRDefault="007F6824" w:rsidP="00AD6BF6">
      <w:pPr>
        <w:spacing w:after="0"/>
        <w:jc w:val="both"/>
        <w:rPr>
          <w:rFonts w:ascii="Arial" w:hAnsi="Arial" w:cs="Arial"/>
          <w:sz w:val="24"/>
          <w:szCs w:val="24"/>
        </w:rPr>
      </w:pPr>
    </w:p>
    <w:p w14:paraId="54738842" w14:textId="56358319" w:rsidR="00AB7B79"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8.</w:t>
      </w:r>
      <w:r>
        <w:rPr>
          <w:rFonts w:ascii="Arial" w:eastAsiaTheme="minorHAnsi" w:hAnsi="Arial" w:cs="Arial"/>
          <w:color w:val="auto"/>
          <w:sz w:val="24"/>
          <w:szCs w:val="24"/>
        </w:rPr>
        <w:tab/>
      </w:r>
      <w:r w:rsidR="00100B49" w:rsidRPr="000B2671">
        <w:rPr>
          <w:rFonts w:ascii="Arial" w:hAnsi="Arial" w:cs="Arial"/>
          <w:sz w:val="24"/>
          <w:szCs w:val="24"/>
        </w:rPr>
        <w:t xml:space="preserve">There were initial disputes between the parties regarding whether or not </w:t>
      </w:r>
      <w:r w:rsidR="00C55C92" w:rsidRPr="000B2671">
        <w:rPr>
          <w:rFonts w:ascii="Arial" w:hAnsi="Arial" w:cs="Arial"/>
          <w:sz w:val="24"/>
          <w:szCs w:val="24"/>
        </w:rPr>
        <w:t xml:space="preserve">the Applicant had been entitled to amend his plea in consequence of an amendment to the </w:t>
      </w:r>
      <w:r w:rsidR="009F1569" w:rsidRPr="000B2671">
        <w:rPr>
          <w:rFonts w:ascii="Arial" w:hAnsi="Arial" w:cs="Arial"/>
          <w:sz w:val="24"/>
          <w:szCs w:val="24"/>
        </w:rPr>
        <w:t>particulars of claim by the Respondent</w:t>
      </w:r>
      <w:r w:rsidR="00B87DAF" w:rsidRPr="000B2671">
        <w:rPr>
          <w:rFonts w:ascii="Arial" w:hAnsi="Arial" w:cs="Arial"/>
          <w:sz w:val="24"/>
          <w:szCs w:val="24"/>
        </w:rPr>
        <w:t xml:space="preserve">. </w:t>
      </w:r>
    </w:p>
    <w:p w14:paraId="544E7DC5" w14:textId="77777777" w:rsidR="00D5205E" w:rsidRPr="00D5205E" w:rsidRDefault="00D5205E" w:rsidP="00D5205E">
      <w:pPr>
        <w:pStyle w:val="ListParagraph"/>
        <w:rPr>
          <w:rFonts w:ascii="Arial" w:hAnsi="Arial" w:cs="Arial"/>
          <w:sz w:val="24"/>
          <w:szCs w:val="24"/>
        </w:rPr>
      </w:pPr>
    </w:p>
    <w:p w14:paraId="2A63DE28" w14:textId="28BA56A1" w:rsidR="00D5205E"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9.</w:t>
      </w:r>
      <w:r w:rsidRPr="00A750FA">
        <w:rPr>
          <w:rFonts w:ascii="Arial" w:eastAsiaTheme="minorHAnsi" w:hAnsi="Arial" w:cs="Arial"/>
          <w:color w:val="auto"/>
          <w:sz w:val="24"/>
          <w:szCs w:val="24"/>
        </w:rPr>
        <w:tab/>
      </w:r>
      <w:r w:rsidR="00D5205E" w:rsidRPr="000B2671">
        <w:rPr>
          <w:rFonts w:ascii="Arial" w:hAnsi="Arial" w:cs="Arial"/>
          <w:sz w:val="24"/>
          <w:szCs w:val="24"/>
        </w:rPr>
        <w:t xml:space="preserve">As the validity and enforceability of the suretyship, including its rectification, are material to this matter, I will deal firstly with </w:t>
      </w:r>
      <w:r w:rsidR="00DB4B82" w:rsidRPr="000B2671">
        <w:rPr>
          <w:rFonts w:ascii="Arial" w:hAnsi="Arial" w:cs="Arial"/>
          <w:sz w:val="24"/>
          <w:szCs w:val="24"/>
        </w:rPr>
        <w:t xml:space="preserve">these issues below, and thereafter deal further with the amendments </w:t>
      </w:r>
      <w:r w:rsidR="00633772" w:rsidRPr="000B2671">
        <w:rPr>
          <w:rFonts w:ascii="Arial" w:hAnsi="Arial" w:cs="Arial"/>
          <w:sz w:val="24"/>
          <w:szCs w:val="24"/>
        </w:rPr>
        <w:t>to</w:t>
      </w:r>
      <w:r w:rsidR="00DB4B82" w:rsidRPr="000B2671">
        <w:rPr>
          <w:rFonts w:ascii="Arial" w:hAnsi="Arial" w:cs="Arial"/>
          <w:sz w:val="24"/>
          <w:szCs w:val="24"/>
        </w:rPr>
        <w:t xml:space="preserve"> the Applicant’s pleadings. </w:t>
      </w:r>
    </w:p>
    <w:p w14:paraId="2E421328" w14:textId="77777777" w:rsidR="00D223D7" w:rsidRPr="00A750FA" w:rsidRDefault="00D223D7" w:rsidP="00AD6BF6">
      <w:pPr>
        <w:spacing w:after="0"/>
        <w:jc w:val="both"/>
        <w:rPr>
          <w:rFonts w:ascii="Arial" w:hAnsi="Arial" w:cs="Arial"/>
          <w:sz w:val="24"/>
          <w:szCs w:val="24"/>
        </w:rPr>
      </w:pPr>
    </w:p>
    <w:p w14:paraId="2F1D4BBB" w14:textId="05387A24" w:rsidR="00D223D7" w:rsidRPr="000B2671" w:rsidRDefault="000B2671" w:rsidP="000B2671">
      <w:pPr>
        <w:spacing w:after="0"/>
        <w:ind w:left="720" w:hanging="360"/>
        <w:jc w:val="both"/>
        <w:rPr>
          <w:rFonts w:ascii="Arial" w:hAnsi="Arial" w:cs="Arial"/>
          <w:sz w:val="24"/>
          <w:szCs w:val="24"/>
        </w:rPr>
      </w:pPr>
      <w:r w:rsidRPr="00757318">
        <w:rPr>
          <w:rFonts w:ascii="Arial" w:eastAsiaTheme="minorHAnsi" w:hAnsi="Arial" w:cs="Arial"/>
          <w:color w:val="auto"/>
          <w:sz w:val="24"/>
          <w:szCs w:val="24"/>
        </w:rPr>
        <w:t>10.</w:t>
      </w:r>
      <w:r w:rsidRPr="00757318">
        <w:rPr>
          <w:rFonts w:ascii="Arial" w:eastAsiaTheme="minorHAnsi" w:hAnsi="Arial" w:cs="Arial"/>
          <w:color w:val="auto"/>
          <w:sz w:val="24"/>
          <w:szCs w:val="24"/>
        </w:rPr>
        <w:tab/>
      </w:r>
      <w:r w:rsidR="00B55D96" w:rsidRPr="000B2671">
        <w:rPr>
          <w:rFonts w:ascii="Arial" w:hAnsi="Arial" w:cs="Arial"/>
          <w:sz w:val="24"/>
          <w:szCs w:val="24"/>
        </w:rPr>
        <w:t>T</w:t>
      </w:r>
      <w:r w:rsidR="001367AC" w:rsidRPr="000B2671">
        <w:rPr>
          <w:rFonts w:ascii="Arial" w:hAnsi="Arial" w:cs="Arial"/>
          <w:sz w:val="24"/>
          <w:szCs w:val="24"/>
        </w:rPr>
        <w:t>he matter</w:t>
      </w:r>
      <w:r w:rsidR="00B55D96" w:rsidRPr="000B2671">
        <w:rPr>
          <w:rFonts w:ascii="Arial" w:hAnsi="Arial" w:cs="Arial"/>
          <w:sz w:val="24"/>
          <w:szCs w:val="24"/>
        </w:rPr>
        <w:t xml:space="preserve"> was a</w:t>
      </w:r>
      <w:r w:rsidR="00DA0F31" w:rsidRPr="000B2671">
        <w:rPr>
          <w:rFonts w:ascii="Arial" w:hAnsi="Arial" w:cs="Arial"/>
          <w:sz w:val="24"/>
          <w:szCs w:val="24"/>
        </w:rPr>
        <w:t>rgued</w:t>
      </w:r>
      <w:r w:rsidR="001367AC" w:rsidRPr="000B2671">
        <w:rPr>
          <w:rFonts w:ascii="Arial" w:hAnsi="Arial" w:cs="Arial"/>
          <w:sz w:val="24"/>
          <w:szCs w:val="24"/>
        </w:rPr>
        <w:t xml:space="preserve"> on the basis that the issues between the parties were narrow and turned on a dispute of law, rather than a dispute of fact</w:t>
      </w:r>
      <w:r w:rsidR="00757318" w:rsidRPr="000B2671">
        <w:rPr>
          <w:rFonts w:ascii="Arial" w:hAnsi="Arial" w:cs="Arial"/>
          <w:sz w:val="24"/>
          <w:szCs w:val="24"/>
        </w:rPr>
        <w:t xml:space="preserve"> </w:t>
      </w:r>
      <w:r w:rsidR="00235006" w:rsidRPr="000B2671">
        <w:rPr>
          <w:rFonts w:ascii="Arial" w:hAnsi="Arial" w:cs="Arial"/>
          <w:sz w:val="24"/>
          <w:szCs w:val="24"/>
        </w:rPr>
        <w:t xml:space="preserve">and </w:t>
      </w:r>
      <w:r w:rsidR="006204AE" w:rsidRPr="000B2671">
        <w:rPr>
          <w:rFonts w:ascii="Arial" w:hAnsi="Arial" w:cs="Arial"/>
          <w:sz w:val="24"/>
          <w:szCs w:val="24"/>
        </w:rPr>
        <w:t>Counsel for the Respondent submitted that the only remaining issues to be considered were whether –</w:t>
      </w:r>
    </w:p>
    <w:p w14:paraId="3D03A6C8" w14:textId="77777777" w:rsidR="007F6824" w:rsidRPr="00A750FA" w:rsidRDefault="007F6824" w:rsidP="00AD6BF6">
      <w:pPr>
        <w:pStyle w:val="ListParagraph"/>
        <w:spacing w:after="0"/>
        <w:jc w:val="both"/>
        <w:rPr>
          <w:rFonts w:ascii="Arial" w:hAnsi="Arial" w:cs="Arial"/>
          <w:sz w:val="24"/>
          <w:szCs w:val="24"/>
        </w:rPr>
      </w:pPr>
    </w:p>
    <w:p w14:paraId="4F6F35B7" w14:textId="5D518809" w:rsidR="006204AE" w:rsidRPr="000B2671" w:rsidRDefault="000B2671" w:rsidP="000B2671">
      <w:pPr>
        <w:spacing w:after="0"/>
        <w:ind w:left="1440" w:hanging="360"/>
        <w:jc w:val="both"/>
        <w:rPr>
          <w:rFonts w:ascii="Arial" w:hAnsi="Arial" w:cs="Arial"/>
          <w:sz w:val="24"/>
          <w:szCs w:val="24"/>
        </w:rPr>
      </w:pPr>
      <w:r w:rsidRPr="00A750FA">
        <w:rPr>
          <w:rFonts w:ascii="Arial" w:eastAsiaTheme="minorHAnsi" w:hAnsi="Arial" w:cs="Arial"/>
          <w:color w:val="auto"/>
          <w:sz w:val="24"/>
          <w:szCs w:val="24"/>
        </w:rPr>
        <w:t>a.</w:t>
      </w:r>
      <w:r w:rsidRPr="00A750FA">
        <w:rPr>
          <w:rFonts w:ascii="Arial" w:eastAsiaTheme="minorHAnsi" w:hAnsi="Arial" w:cs="Arial"/>
          <w:color w:val="auto"/>
          <w:sz w:val="24"/>
          <w:szCs w:val="24"/>
        </w:rPr>
        <w:tab/>
      </w:r>
      <w:r w:rsidR="006204AE" w:rsidRPr="000B2671">
        <w:rPr>
          <w:rFonts w:ascii="Arial" w:hAnsi="Arial" w:cs="Arial"/>
          <w:sz w:val="24"/>
          <w:szCs w:val="24"/>
        </w:rPr>
        <w:t>The Sure</w:t>
      </w:r>
      <w:r w:rsidR="00CD3B9A" w:rsidRPr="000B2671">
        <w:rPr>
          <w:rFonts w:ascii="Arial" w:hAnsi="Arial" w:cs="Arial"/>
          <w:sz w:val="24"/>
          <w:szCs w:val="24"/>
        </w:rPr>
        <w:t xml:space="preserve">tyship was valid or invalid; and </w:t>
      </w:r>
    </w:p>
    <w:p w14:paraId="29C92C03" w14:textId="77777777" w:rsidR="00DD64CF" w:rsidRPr="00A750FA" w:rsidRDefault="00DD64CF" w:rsidP="00AD6BF6">
      <w:pPr>
        <w:pStyle w:val="ListParagraph"/>
        <w:spacing w:after="0"/>
        <w:ind w:left="1440"/>
        <w:jc w:val="both"/>
        <w:rPr>
          <w:rFonts w:ascii="Arial" w:hAnsi="Arial" w:cs="Arial"/>
          <w:sz w:val="24"/>
          <w:szCs w:val="24"/>
        </w:rPr>
      </w:pPr>
    </w:p>
    <w:p w14:paraId="0C3D2481" w14:textId="605511B8" w:rsidR="00CD3B9A" w:rsidRPr="000B2671" w:rsidRDefault="000B2671" w:rsidP="000B2671">
      <w:pPr>
        <w:spacing w:after="0"/>
        <w:ind w:left="1440" w:hanging="360"/>
        <w:jc w:val="both"/>
        <w:rPr>
          <w:rFonts w:ascii="Arial" w:hAnsi="Arial" w:cs="Arial"/>
          <w:sz w:val="24"/>
          <w:szCs w:val="24"/>
        </w:rPr>
      </w:pPr>
      <w:r w:rsidRPr="00A750FA">
        <w:rPr>
          <w:rFonts w:ascii="Arial" w:eastAsiaTheme="minorHAnsi" w:hAnsi="Arial" w:cs="Arial"/>
          <w:color w:val="auto"/>
          <w:sz w:val="24"/>
          <w:szCs w:val="24"/>
        </w:rPr>
        <w:t>b.</w:t>
      </w:r>
      <w:r w:rsidRPr="00A750FA">
        <w:rPr>
          <w:rFonts w:ascii="Arial" w:eastAsiaTheme="minorHAnsi" w:hAnsi="Arial" w:cs="Arial"/>
          <w:color w:val="auto"/>
          <w:sz w:val="24"/>
          <w:szCs w:val="24"/>
        </w:rPr>
        <w:tab/>
      </w:r>
      <w:r w:rsidR="00CD3B9A" w:rsidRPr="000B2671">
        <w:rPr>
          <w:rFonts w:ascii="Arial" w:hAnsi="Arial" w:cs="Arial"/>
          <w:sz w:val="24"/>
          <w:szCs w:val="24"/>
        </w:rPr>
        <w:t xml:space="preserve">If </w:t>
      </w:r>
      <w:r w:rsidR="0054240D" w:rsidRPr="000B2671">
        <w:rPr>
          <w:rFonts w:ascii="Arial" w:hAnsi="Arial" w:cs="Arial"/>
          <w:sz w:val="24"/>
          <w:szCs w:val="24"/>
        </w:rPr>
        <w:t>invalid</w:t>
      </w:r>
      <w:r w:rsidR="00CD3B9A" w:rsidRPr="000B2671">
        <w:rPr>
          <w:rFonts w:ascii="Arial" w:hAnsi="Arial" w:cs="Arial"/>
          <w:sz w:val="24"/>
          <w:szCs w:val="24"/>
        </w:rPr>
        <w:t xml:space="preserve">, whether the suretyship </w:t>
      </w:r>
      <w:r w:rsidR="00FA1883" w:rsidRPr="000B2671">
        <w:rPr>
          <w:rFonts w:ascii="Arial" w:hAnsi="Arial" w:cs="Arial"/>
          <w:sz w:val="24"/>
          <w:szCs w:val="24"/>
        </w:rPr>
        <w:t>fell</w:t>
      </w:r>
      <w:r w:rsidR="00CD3B9A" w:rsidRPr="000B2671">
        <w:rPr>
          <w:rFonts w:ascii="Arial" w:hAnsi="Arial" w:cs="Arial"/>
          <w:sz w:val="24"/>
          <w:szCs w:val="24"/>
        </w:rPr>
        <w:t xml:space="preserve"> to be rectified.</w:t>
      </w:r>
    </w:p>
    <w:p w14:paraId="0F8C5BAF" w14:textId="77777777" w:rsidR="00DD64CF" w:rsidRPr="00A750FA" w:rsidRDefault="00DD64CF" w:rsidP="00AD6BF6">
      <w:pPr>
        <w:spacing w:after="0"/>
        <w:jc w:val="both"/>
        <w:rPr>
          <w:rFonts w:ascii="Arial" w:hAnsi="Arial" w:cs="Arial"/>
          <w:sz w:val="24"/>
          <w:szCs w:val="24"/>
        </w:rPr>
      </w:pPr>
    </w:p>
    <w:p w14:paraId="70E91113" w14:textId="4EBF10E8" w:rsidR="007426D9"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11.</w:t>
      </w:r>
      <w:r w:rsidRPr="00A750FA">
        <w:rPr>
          <w:rFonts w:ascii="Arial" w:eastAsiaTheme="minorHAnsi" w:hAnsi="Arial" w:cs="Arial"/>
          <w:color w:val="auto"/>
          <w:sz w:val="24"/>
          <w:szCs w:val="24"/>
        </w:rPr>
        <w:tab/>
      </w:r>
      <w:r w:rsidR="007426D9" w:rsidRPr="000B2671">
        <w:rPr>
          <w:rFonts w:ascii="Arial" w:hAnsi="Arial" w:cs="Arial"/>
          <w:sz w:val="24"/>
          <w:szCs w:val="24"/>
        </w:rPr>
        <w:t>The wording of the Suretyship reads as follows –</w:t>
      </w:r>
    </w:p>
    <w:p w14:paraId="14EC7D82" w14:textId="77777777" w:rsidR="00DD64CF" w:rsidRPr="00A750FA" w:rsidRDefault="00DD64CF" w:rsidP="00AD6BF6">
      <w:pPr>
        <w:pStyle w:val="ListParagraph"/>
        <w:spacing w:after="0"/>
        <w:jc w:val="both"/>
        <w:rPr>
          <w:rFonts w:ascii="Arial" w:hAnsi="Arial" w:cs="Arial"/>
          <w:sz w:val="24"/>
          <w:szCs w:val="24"/>
        </w:rPr>
      </w:pPr>
    </w:p>
    <w:p w14:paraId="3840F0AD" w14:textId="4D3DFE1D" w:rsidR="007426D9" w:rsidRPr="00235006" w:rsidRDefault="007426D9" w:rsidP="00235006">
      <w:pPr>
        <w:spacing w:after="0"/>
        <w:ind w:left="1080"/>
        <w:jc w:val="both"/>
        <w:rPr>
          <w:rFonts w:ascii="Arial" w:hAnsi="Arial" w:cs="Arial"/>
          <w:sz w:val="24"/>
          <w:szCs w:val="24"/>
        </w:rPr>
      </w:pPr>
      <w:r w:rsidRPr="00235006">
        <w:rPr>
          <w:rFonts w:ascii="Arial" w:hAnsi="Arial" w:cs="Arial"/>
          <w:sz w:val="24"/>
          <w:szCs w:val="24"/>
        </w:rPr>
        <w:t>“</w:t>
      </w:r>
      <w:r w:rsidRPr="001234A4">
        <w:rPr>
          <w:rFonts w:ascii="Arial" w:hAnsi="Arial" w:cs="Arial"/>
          <w:i/>
          <w:iCs/>
          <w:sz w:val="24"/>
          <w:szCs w:val="24"/>
        </w:rPr>
        <w:t>I, the undersigned Hector Harold Spark, signatory of these terms and conditions do hereby bind myself to the client (the First Defendant) as surety and co-principal debtor for the due performance by the client’s (the First Defendant</w:t>
      </w:r>
      <w:r w:rsidR="004D1321" w:rsidRPr="001234A4">
        <w:rPr>
          <w:rFonts w:ascii="Arial" w:hAnsi="Arial" w:cs="Arial"/>
          <w:i/>
          <w:iCs/>
          <w:sz w:val="24"/>
          <w:szCs w:val="24"/>
        </w:rPr>
        <w:t>’s</w:t>
      </w:r>
      <w:r w:rsidRPr="001234A4">
        <w:rPr>
          <w:rFonts w:ascii="Arial" w:hAnsi="Arial" w:cs="Arial"/>
          <w:i/>
          <w:iCs/>
          <w:sz w:val="24"/>
          <w:szCs w:val="24"/>
        </w:rPr>
        <w:t>) obligations to HH (the Plaintiff) pursuant to these terms and conditions</w:t>
      </w:r>
      <w:r w:rsidRPr="00235006">
        <w:rPr>
          <w:rFonts w:ascii="Arial" w:hAnsi="Arial" w:cs="Arial"/>
          <w:sz w:val="24"/>
          <w:szCs w:val="24"/>
        </w:rPr>
        <w:t>”.</w:t>
      </w:r>
    </w:p>
    <w:p w14:paraId="42F1B068" w14:textId="77777777" w:rsidR="00DD64CF" w:rsidRPr="00A750FA" w:rsidRDefault="00DD64CF" w:rsidP="00AD6BF6">
      <w:pPr>
        <w:pStyle w:val="ListParagraph"/>
        <w:spacing w:after="0"/>
        <w:ind w:left="1440"/>
        <w:jc w:val="both"/>
        <w:rPr>
          <w:rFonts w:ascii="Arial" w:hAnsi="Arial" w:cs="Arial"/>
          <w:sz w:val="24"/>
          <w:szCs w:val="24"/>
        </w:rPr>
      </w:pPr>
    </w:p>
    <w:p w14:paraId="04BCE676" w14:textId="6544DB78"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12.</w:t>
      </w:r>
      <w:r w:rsidRPr="00A750FA">
        <w:rPr>
          <w:rFonts w:ascii="Arial" w:eastAsiaTheme="minorHAnsi" w:hAnsi="Arial" w:cs="Arial"/>
          <w:color w:val="auto"/>
          <w:sz w:val="24"/>
          <w:szCs w:val="24"/>
        </w:rPr>
        <w:tab/>
      </w:r>
      <w:r w:rsidR="005F20CD" w:rsidRPr="000B2671">
        <w:rPr>
          <w:rFonts w:ascii="Arial" w:hAnsi="Arial" w:cs="Arial"/>
          <w:sz w:val="24"/>
          <w:szCs w:val="24"/>
        </w:rPr>
        <w:t>In considering whether the Surety</w:t>
      </w:r>
      <w:r w:rsidR="00FA1883" w:rsidRPr="000B2671">
        <w:rPr>
          <w:rFonts w:ascii="Arial" w:hAnsi="Arial" w:cs="Arial"/>
          <w:sz w:val="24"/>
          <w:szCs w:val="24"/>
        </w:rPr>
        <w:t>ship</w:t>
      </w:r>
      <w:r w:rsidR="005F20CD" w:rsidRPr="000B2671">
        <w:rPr>
          <w:rFonts w:ascii="Arial" w:hAnsi="Arial" w:cs="Arial"/>
          <w:sz w:val="24"/>
          <w:szCs w:val="24"/>
        </w:rPr>
        <w:t xml:space="preserve"> is valid and enforceable, it is also necessary to consider the issue of rectification.</w:t>
      </w:r>
    </w:p>
    <w:p w14:paraId="517F5BB4" w14:textId="77777777" w:rsidR="00DD64CF" w:rsidRPr="00A750FA" w:rsidRDefault="00DD64CF" w:rsidP="00AD6BF6">
      <w:pPr>
        <w:pStyle w:val="ListParagraph"/>
        <w:spacing w:after="0"/>
        <w:jc w:val="both"/>
        <w:rPr>
          <w:rFonts w:ascii="Arial" w:hAnsi="Arial" w:cs="Arial"/>
          <w:sz w:val="24"/>
          <w:szCs w:val="24"/>
        </w:rPr>
      </w:pPr>
    </w:p>
    <w:p w14:paraId="5DE1EB52" w14:textId="48D9684D"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13.</w:t>
      </w:r>
      <w:r w:rsidRPr="00A750FA">
        <w:rPr>
          <w:rFonts w:ascii="Arial" w:eastAsiaTheme="minorHAnsi" w:hAnsi="Arial" w:cs="Arial"/>
          <w:color w:val="auto"/>
          <w:sz w:val="24"/>
          <w:szCs w:val="24"/>
        </w:rPr>
        <w:tab/>
      </w:r>
      <w:r w:rsidR="005F20CD" w:rsidRPr="000B2671">
        <w:rPr>
          <w:rFonts w:ascii="Arial" w:hAnsi="Arial" w:cs="Arial"/>
          <w:sz w:val="24"/>
          <w:szCs w:val="24"/>
        </w:rPr>
        <w:t>I was referred to the case of Inventive Labour Structuring</w:t>
      </w:r>
      <w:r w:rsidR="00A06767" w:rsidRPr="000B2671">
        <w:rPr>
          <w:rFonts w:ascii="Arial" w:hAnsi="Arial" w:cs="Arial"/>
          <w:sz w:val="24"/>
          <w:szCs w:val="24"/>
        </w:rPr>
        <w:t xml:space="preserve"> (Pty) Ltd</w:t>
      </w:r>
      <w:r w:rsidR="005F20CD" w:rsidRPr="000B2671">
        <w:rPr>
          <w:rFonts w:ascii="Arial" w:hAnsi="Arial" w:cs="Arial"/>
          <w:sz w:val="24"/>
          <w:szCs w:val="24"/>
        </w:rPr>
        <w:t xml:space="preserve"> v Corfe 2006 (3) SA </w:t>
      </w:r>
      <w:r w:rsidR="00A06767" w:rsidRPr="000B2671">
        <w:rPr>
          <w:rFonts w:ascii="Arial" w:hAnsi="Arial" w:cs="Arial"/>
          <w:sz w:val="24"/>
          <w:szCs w:val="24"/>
        </w:rPr>
        <w:t>107</w:t>
      </w:r>
      <w:r w:rsidR="005F20CD" w:rsidRPr="000B2671">
        <w:rPr>
          <w:rFonts w:ascii="Arial" w:hAnsi="Arial" w:cs="Arial"/>
          <w:sz w:val="24"/>
          <w:szCs w:val="24"/>
        </w:rPr>
        <w:t xml:space="preserve"> (SCA)</w:t>
      </w:r>
      <w:r w:rsidR="00A06767" w:rsidRPr="000B2671">
        <w:rPr>
          <w:rFonts w:ascii="Arial" w:hAnsi="Arial" w:cs="Arial"/>
          <w:sz w:val="24"/>
          <w:szCs w:val="24"/>
        </w:rPr>
        <w:t xml:space="preserve"> (“the </w:t>
      </w:r>
      <w:r w:rsidR="00847BBF" w:rsidRPr="000B2671">
        <w:rPr>
          <w:rFonts w:ascii="Arial" w:hAnsi="Arial" w:cs="Arial"/>
          <w:sz w:val="24"/>
          <w:szCs w:val="24"/>
        </w:rPr>
        <w:t>Inventive</w:t>
      </w:r>
      <w:r w:rsidR="00097A7C" w:rsidRPr="000B2671">
        <w:rPr>
          <w:rFonts w:ascii="Arial" w:hAnsi="Arial" w:cs="Arial"/>
          <w:sz w:val="24"/>
          <w:szCs w:val="24"/>
        </w:rPr>
        <w:t xml:space="preserve"> Judgment”)</w:t>
      </w:r>
      <w:r w:rsidR="005F20CD" w:rsidRPr="000B2671">
        <w:rPr>
          <w:rFonts w:ascii="Arial" w:hAnsi="Arial" w:cs="Arial"/>
          <w:sz w:val="24"/>
          <w:szCs w:val="24"/>
        </w:rPr>
        <w:t>.</w:t>
      </w:r>
    </w:p>
    <w:p w14:paraId="546CDFFD" w14:textId="77777777" w:rsidR="00DD64CF" w:rsidRPr="00A750FA" w:rsidRDefault="00DD64CF" w:rsidP="00AD6BF6">
      <w:pPr>
        <w:spacing w:after="0"/>
        <w:jc w:val="both"/>
        <w:rPr>
          <w:rFonts w:ascii="Arial" w:hAnsi="Arial" w:cs="Arial"/>
          <w:sz w:val="24"/>
          <w:szCs w:val="24"/>
        </w:rPr>
      </w:pPr>
    </w:p>
    <w:p w14:paraId="3F0D9A4E" w14:textId="6D7B56CB"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14.</w:t>
      </w:r>
      <w:r w:rsidRPr="00A750FA">
        <w:rPr>
          <w:rFonts w:ascii="Arial" w:eastAsiaTheme="minorHAnsi" w:hAnsi="Arial" w:cs="Arial"/>
          <w:color w:val="auto"/>
          <w:sz w:val="24"/>
          <w:szCs w:val="24"/>
        </w:rPr>
        <w:tab/>
      </w:r>
      <w:r w:rsidR="005F20CD" w:rsidRPr="000B2671">
        <w:rPr>
          <w:rFonts w:ascii="Arial" w:hAnsi="Arial" w:cs="Arial"/>
          <w:sz w:val="24"/>
          <w:szCs w:val="24"/>
        </w:rPr>
        <w:t>It was held in this case that as</w:t>
      </w:r>
      <w:r w:rsidR="00D61421" w:rsidRPr="000B2671">
        <w:rPr>
          <w:rFonts w:ascii="Arial" w:hAnsi="Arial" w:cs="Arial"/>
          <w:sz w:val="24"/>
          <w:szCs w:val="24"/>
        </w:rPr>
        <w:t xml:space="preserve"> a</w:t>
      </w:r>
      <w:r w:rsidR="005F20CD" w:rsidRPr="000B2671">
        <w:rPr>
          <w:rFonts w:ascii="Arial" w:hAnsi="Arial" w:cs="Arial"/>
          <w:sz w:val="24"/>
          <w:szCs w:val="24"/>
        </w:rPr>
        <w:t xml:space="preserve"> general rule the determination of whether rectification of a Suretyship should be considered or not involves a two-stage enquiry the first to determine whether the formal requirements contained in section 6 of the General Law Amendment Act 50 of 1956 are met, and the focal point at this stage to determine whether the written document, on its face, constitutes a valid contract of Suretyship or not.</w:t>
      </w:r>
    </w:p>
    <w:p w14:paraId="7B4DB571" w14:textId="77777777" w:rsidR="00DD64CF" w:rsidRPr="00A750FA" w:rsidRDefault="00DD64CF" w:rsidP="00AD6BF6">
      <w:pPr>
        <w:spacing w:after="0"/>
        <w:jc w:val="both"/>
        <w:rPr>
          <w:rFonts w:ascii="Arial" w:hAnsi="Arial" w:cs="Arial"/>
          <w:sz w:val="24"/>
          <w:szCs w:val="24"/>
        </w:rPr>
      </w:pPr>
    </w:p>
    <w:p w14:paraId="07E5834C" w14:textId="16B26D76"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15.</w:t>
      </w:r>
      <w:r w:rsidRPr="00A750FA">
        <w:rPr>
          <w:rFonts w:ascii="Arial" w:eastAsiaTheme="minorHAnsi" w:hAnsi="Arial" w:cs="Arial"/>
          <w:color w:val="auto"/>
          <w:sz w:val="24"/>
          <w:szCs w:val="24"/>
        </w:rPr>
        <w:tab/>
      </w:r>
      <w:r w:rsidR="005F20CD" w:rsidRPr="000B2671">
        <w:rPr>
          <w:rFonts w:ascii="Arial" w:hAnsi="Arial" w:cs="Arial"/>
          <w:sz w:val="24"/>
          <w:szCs w:val="24"/>
        </w:rPr>
        <w:t>If it does not, the enquiry ends there.</w:t>
      </w:r>
    </w:p>
    <w:p w14:paraId="48B9539A" w14:textId="77777777" w:rsidR="00DD64CF" w:rsidRPr="00A750FA" w:rsidRDefault="00DD64CF" w:rsidP="00AD6BF6">
      <w:pPr>
        <w:spacing w:after="0"/>
        <w:jc w:val="both"/>
        <w:rPr>
          <w:rFonts w:ascii="Arial" w:hAnsi="Arial" w:cs="Arial"/>
          <w:sz w:val="24"/>
          <w:szCs w:val="24"/>
        </w:rPr>
      </w:pPr>
    </w:p>
    <w:p w14:paraId="0AEAAFBD" w14:textId="3E20734F"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16.</w:t>
      </w:r>
      <w:r w:rsidRPr="00A750FA">
        <w:rPr>
          <w:rFonts w:ascii="Arial" w:eastAsiaTheme="minorHAnsi" w:hAnsi="Arial" w:cs="Arial"/>
          <w:color w:val="auto"/>
          <w:sz w:val="24"/>
          <w:szCs w:val="24"/>
        </w:rPr>
        <w:tab/>
      </w:r>
      <w:r w:rsidR="005F20CD" w:rsidRPr="000B2671">
        <w:rPr>
          <w:rFonts w:ascii="Arial" w:hAnsi="Arial" w:cs="Arial"/>
          <w:sz w:val="24"/>
          <w:szCs w:val="24"/>
        </w:rPr>
        <w:t>Only if it does, does the enquiry then move to a second leg, which focuses on whether a proper case for rectification has been made out.</w:t>
      </w:r>
    </w:p>
    <w:p w14:paraId="1DCC1E18" w14:textId="77777777" w:rsidR="00DD64CF" w:rsidRPr="00A750FA" w:rsidRDefault="00DD64CF" w:rsidP="00AD6BF6">
      <w:pPr>
        <w:spacing w:after="0"/>
        <w:jc w:val="both"/>
        <w:rPr>
          <w:rFonts w:ascii="Arial" w:hAnsi="Arial" w:cs="Arial"/>
          <w:sz w:val="24"/>
          <w:szCs w:val="24"/>
        </w:rPr>
      </w:pPr>
    </w:p>
    <w:p w14:paraId="686490D1" w14:textId="7BAE0DBB"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17.</w:t>
      </w:r>
      <w:r w:rsidRPr="00A750FA">
        <w:rPr>
          <w:rFonts w:ascii="Arial" w:eastAsiaTheme="minorHAnsi" w:hAnsi="Arial" w:cs="Arial"/>
          <w:color w:val="auto"/>
          <w:sz w:val="24"/>
          <w:szCs w:val="24"/>
        </w:rPr>
        <w:tab/>
      </w:r>
      <w:r w:rsidR="005F20CD" w:rsidRPr="000B2671">
        <w:rPr>
          <w:rFonts w:ascii="Arial" w:hAnsi="Arial" w:cs="Arial"/>
          <w:sz w:val="24"/>
          <w:szCs w:val="24"/>
        </w:rPr>
        <w:t xml:space="preserve">Jafta JA in the </w:t>
      </w:r>
      <w:r w:rsidR="009F4BF0" w:rsidRPr="000B2671">
        <w:rPr>
          <w:rFonts w:ascii="Arial" w:hAnsi="Arial" w:cs="Arial"/>
          <w:sz w:val="24"/>
          <w:szCs w:val="24"/>
        </w:rPr>
        <w:t xml:space="preserve">Inventive </w:t>
      </w:r>
      <w:r w:rsidR="005F20CD" w:rsidRPr="000B2671">
        <w:rPr>
          <w:rFonts w:ascii="Arial" w:hAnsi="Arial" w:cs="Arial"/>
          <w:sz w:val="24"/>
          <w:szCs w:val="24"/>
        </w:rPr>
        <w:t>Judgment and at [4] stated that “</w:t>
      </w:r>
      <w:r w:rsidR="00097A7C" w:rsidRPr="000B2671">
        <w:rPr>
          <w:rFonts w:ascii="Arial" w:hAnsi="Arial" w:cs="Arial"/>
          <w:sz w:val="24"/>
          <w:szCs w:val="24"/>
        </w:rPr>
        <w:t>I</w:t>
      </w:r>
      <w:r w:rsidR="002561C2" w:rsidRPr="000B2671">
        <w:rPr>
          <w:rFonts w:ascii="Arial" w:hAnsi="Arial" w:cs="Arial"/>
          <w:sz w:val="24"/>
          <w:szCs w:val="24"/>
        </w:rPr>
        <w:t>t</w:t>
      </w:r>
      <w:r w:rsidR="005F20CD" w:rsidRPr="000B2671">
        <w:rPr>
          <w:rFonts w:ascii="Arial" w:hAnsi="Arial" w:cs="Arial"/>
          <w:sz w:val="24"/>
          <w:szCs w:val="24"/>
        </w:rPr>
        <w:t xml:space="preserve"> is now settled that a deed of suretyship which is invalid for want of compliance with the formal requirements of </w:t>
      </w:r>
      <w:r w:rsidR="002561C2" w:rsidRPr="000B2671">
        <w:rPr>
          <w:rFonts w:ascii="Arial" w:hAnsi="Arial" w:cs="Arial"/>
          <w:sz w:val="24"/>
          <w:szCs w:val="24"/>
        </w:rPr>
        <w:t>s</w:t>
      </w:r>
      <w:r w:rsidR="005F20CD" w:rsidRPr="000B2671">
        <w:rPr>
          <w:rFonts w:ascii="Arial" w:hAnsi="Arial" w:cs="Arial"/>
          <w:sz w:val="24"/>
          <w:szCs w:val="24"/>
        </w:rPr>
        <w:t xml:space="preserve"> 6 of the General Law Amendment Act 50 of 1956 (“the Act”) cannot be rectified so as to make it comply</w:t>
      </w:r>
      <w:r w:rsidR="007774A0" w:rsidRPr="000B2671">
        <w:rPr>
          <w:rFonts w:ascii="Arial" w:hAnsi="Arial" w:cs="Arial"/>
          <w:sz w:val="24"/>
          <w:szCs w:val="24"/>
        </w:rPr>
        <w:t>, and citing as authority the case of</w:t>
      </w:r>
      <w:r w:rsidR="005F20CD" w:rsidRPr="000B2671">
        <w:rPr>
          <w:rFonts w:ascii="Arial" w:hAnsi="Arial" w:cs="Arial"/>
          <w:sz w:val="24"/>
          <w:szCs w:val="24"/>
        </w:rPr>
        <w:t xml:space="preserve"> Intercontinental Exports (Pty) Ltd v Fowles 1999 (2) SA 1045 (SCA) </w:t>
      </w:r>
      <w:r w:rsidR="003B355E" w:rsidRPr="000B2671">
        <w:rPr>
          <w:rFonts w:ascii="Arial" w:hAnsi="Arial" w:cs="Arial"/>
          <w:sz w:val="24"/>
          <w:szCs w:val="24"/>
        </w:rPr>
        <w:t>paras</w:t>
      </w:r>
      <w:r w:rsidR="005F20CD" w:rsidRPr="000B2671">
        <w:rPr>
          <w:rFonts w:ascii="Arial" w:hAnsi="Arial" w:cs="Arial"/>
          <w:sz w:val="24"/>
          <w:szCs w:val="24"/>
        </w:rPr>
        <w:t xml:space="preserve"> [9] – [10] at 1051 C – G.</w:t>
      </w:r>
    </w:p>
    <w:p w14:paraId="529F27CA" w14:textId="77777777" w:rsidR="00DD64CF" w:rsidRPr="00A750FA" w:rsidRDefault="00DD64CF" w:rsidP="00AD6BF6">
      <w:pPr>
        <w:spacing w:after="0"/>
        <w:jc w:val="both"/>
        <w:rPr>
          <w:rFonts w:ascii="Arial" w:hAnsi="Arial" w:cs="Arial"/>
          <w:sz w:val="24"/>
          <w:szCs w:val="24"/>
        </w:rPr>
      </w:pPr>
    </w:p>
    <w:p w14:paraId="3BDF41F5" w14:textId="672D3EA2" w:rsidR="00DD64CF"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18.</w:t>
      </w:r>
      <w:r w:rsidRPr="00A750FA">
        <w:rPr>
          <w:rFonts w:ascii="Arial" w:eastAsiaTheme="minorHAnsi" w:hAnsi="Arial" w:cs="Arial"/>
          <w:color w:val="auto"/>
          <w:sz w:val="24"/>
          <w:szCs w:val="24"/>
        </w:rPr>
        <w:tab/>
      </w:r>
      <w:r w:rsidR="00E77620" w:rsidRPr="000B2671">
        <w:rPr>
          <w:rFonts w:ascii="Arial" w:hAnsi="Arial" w:cs="Arial"/>
          <w:sz w:val="24"/>
          <w:szCs w:val="24"/>
        </w:rPr>
        <w:t>It should be noted that s</w:t>
      </w:r>
      <w:r w:rsidR="005F20CD" w:rsidRPr="000B2671">
        <w:rPr>
          <w:rFonts w:ascii="Arial" w:hAnsi="Arial" w:cs="Arial"/>
          <w:sz w:val="24"/>
          <w:szCs w:val="24"/>
        </w:rPr>
        <w:t>ection 6 of the Act</w:t>
      </w:r>
      <w:r w:rsidR="00ED4E33" w:rsidRPr="000B2671">
        <w:rPr>
          <w:rFonts w:ascii="Arial" w:hAnsi="Arial" w:cs="Arial"/>
          <w:sz w:val="24"/>
          <w:szCs w:val="24"/>
        </w:rPr>
        <w:t xml:space="preserve"> </w:t>
      </w:r>
      <w:r w:rsidR="005F20CD" w:rsidRPr="000B2671">
        <w:rPr>
          <w:rFonts w:ascii="Arial" w:hAnsi="Arial" w:cs="Arial"/>
          <w:sz w:val="24"/>
          <w:szCs w:val="24"/>
        </w:rPr>
        <w:t xml:space="preserve"> provides</w:t>
      </w:r>
      <w:r w:rsidR="00ED4E33" w:rsidRPr="000B2671">
        <w:rPr>
          <w:rFonts w:ascii="Arial" w:hAnsi="Arial" w:cs="Arial"/>
          <w:sz w:val="24"/>
          <w:szCs w:val="24"/>
        </w:rPr>
        <w:t xml:space="preserve"> that</w:t>
      </w:r>
      <w:r w:rsidR="005F20CD" w:rsidRPr="000B2671">
        <w:rPr>
          <w:rFonts w:ascii="Arial" w:hAnsi="Arial" w:cs="Arial"/>
          <w:sz w:val="24"/>
          <w:szCs w:val="24"/>
        </w:rPr>
        <w:t>:</w:t>
      </w:r>
    </w:p>
    <w:p w14:paraId="6A120DCD" w14:textId="77777777" w:rsidR="00DD64CF" w:rsidRPr="00A750FA" w:rsidRDefault="00DD64CF" w:rsidP="00AD6BF6">
      <w:pPr>
        <w:spacing w:after="0"/>
        <w:jc w:val="both"/>
        <w:rPr>
          <w:rFonts w:ascii="Arial" w:hAnsi="Arial" w:cs="Arial"/>
          <w:sz w:val="24"/>
          <w:szCs w:val="24"/>
        </w:rPr>
      </w:pPr>
    </w:p>
    <w:p w14:paraId="3174B67E" w14:textId="002B29CC" w:rsidR="005F20CD" w:rsidRPr="00D61421" w:rsidRDefault="005F20CD" w:rsidP="00D61421">
      <w:pPr>
        <w:spacing w:after="0"/>
        <w:ind w:left="1530" w:hanging="90"/>
        <w:jc w:val="both"/>
        <w:rPr>
          <w:rFonts w:ascii="Arial" w:hAnsi="Arial" w:cs="Arial"/>
          <w:sz w:val="24"/>
          <w:szCs w:val="24"/>
        </w:rPr>
      </w:pPr>
      <w:r w:rsidRPr="00D61421">
        <w:rPr>
          <w:rFonts w:ascii="Arial" w:hAnsi="Arial" w:cs="Arial"/>
          <w:sz w:val="24"/>
          <w:szCs w:val="24"/>
        </w:rPr>
        <w:t>“</w:t>
      </w:r>
      <w:r w:rsidRPr="00820954">
        <w:rPr>
          <w:rFonts w:ascii="Arial" w:hAnsi="Arial" w:cs="Arial"/>
          <w:i/>
          <w:iCs/>
          <w:sz w:val="24"/>
          <w:szCs w:val="24"/>
        </w:rPr>
        <w:t>No contract of suretyship entered into after the commencement of this Act shall be valid, unless the terms thereof are embodied in a written document signed by the surety …”.</w:t>
      </w:r>
    </w:p>
    <w:p w14:paraId="34A7017A" w14:textId="77777777" w:rsidR="00DD64CF" w:rsidRPr="00A750FA" w:rsidRDefault="00DD64CF" w:rsidP="00AD6BF6">
      <w:pPr>
        <w:spacing w:after="0"/>
        <w:ind w:left="1080"/>
        <w:jc w:val="both"/>
        <w:rPr>
          <w:rFonts w:ascii="Arial" w:hAnsi="Arial" w:cs="Arial"/>
          <w:sz w:val="24"/>
          <w:szCs w:val="24"/>
        </w:rPr>
      </w:pPr>
    </w:p>
    <w:p w14:paraId="6589CAED" w14:textId="1DDF3EAE"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19.</w:t>
      </w:r>
      <w:r w:rsidRPr="00A750FA">
        <w:rPr>
          <w:rFonts w:ascii="Arial" w:eastAsiaTheme="minorHAnsi" w:hAnsi="Arial" w:cs="Arial"/>
          <w:color w:val="auto"/>
          <w:sz w:val="24"/>
          <w:szCs w:val="24"/>
        </w:rPr>
        <w:tab/>
      </w:r>
      <w:r w:rsidR="005F20CD" w:rsidRPr="000B2671">
        <w:rPr>
          <w:rFonts w:ascii="Arial" w:hAnsi="Arial" w:cs="Arial"/>
          <w:sz w:val="24"/>
          <w:szCs w:val="24"/>
        </w:rPr>
        <w:t xml:space="preserve">In </w:t>
      </w:r>
      <w:r w:rsidR="003B355E" w:rsidRPr="000B2671">
        <w:rPr>
          <w:rFonts w:ascii="Arial" w:hAnsi="Arial" w:cs="Arial"/>
          <w:sz w:val="24"/>
          <w:szCs w:val="24"/>
        </w:rPr>
        <w:t xml:space="preserve">the </w:t>
      </w:r>
      <w:r w:rsidR="002D71C1" w:rsidRPr="000B2671">
        <w:rPr>
          <w:rFonts w:ascii="Arial" w:hAnsi="Arial" w:cs="Arial"/>
          <w:sz w:val="24"/>
          <w:szCs w:val="24"/>
        </w:rPr>
        <w:t xml:space="preserve">Inventive Judgment, </w:t>
      </w:r>
      <w:r w:rsidR="005F20CD" w:rsidRPr="000B2671">
        <w:rPr>
          <w:rFonts w:ascii="Arial" w:hAnsi="Arial" w:cs="Arial"/>
          <w:sz w:val="24"/>
          <w:szCs w:val="24"/>
        </w:rPr>
        <w:t>the surety and the principal debtor were the same and they were names of a natural person, and this rendered the suretyship capable of at least two possible interpretation</w:t>
      </w:r>
      <w:r w:rsidR="00ED13AE" w:rsidRPr="000B2671">
        <w:rPr>
          <w:rFonts w:ascii="Arial" w:hAnsi="Arial" w:cs="Arial"/>
          <w:sz w:val="24"/>
          <w:szCs w:val="24"/>
        </w:rPr>
        <w:t>s</w:t>
      </w:r>
      <w:r w:rsidR="005F20CD" w:rsidRPr="000B2671">
        <w:rPr>
          <w:rFonts w:ascii="Arial" w:hAnsi="Arial" w:cs="Arial"/>
          <w:sz w:val="24"/>
          <w:szCs w:val="24"/>
        </w:rPr>
        <w:t xml:space="preserve"> –</w:t>
      </w:r>
    </w:p>
    <w:p w14:paraId="7D43DFD2" w14:textId="77777777" w:rsidR="00DD64CF" w:rsidRPr="00A750FA" w:rsidRDefault="00DD64CF" w:rsidP="00AD6BF6">
      <w:pPr>
        <w:spacing w:after="0"/>
        <w:ind w:left="360"/>
        <w:jc w:val="both"/>
        <w:rPr>
          <w:rFonts w:ascii="Arial" w:hAnsi="Arial" w:cs="Arial"/>
          <w:sz w:val="24"/>
          <w:szCs w:val="24"/>
        </w:rPr>
      </w:pPr>
    </w:p>
    <w:p w14:paraId="723AC70D" w14:textId="4D9FD5F6" w:rsidR="005F20CD" w:rsidRPr="000B2671" w:rsidRDefault="000B2671" w:rsidP="000B2671">
      <w:pPr>
        <w:spacing w:after="0"/>
        <w:ind w:left="1440" w:hanging="360"/>
        <w:jc w:val="both"/>
        <w:rPr>
          <w:rFonts w:ascii="Arial" w:hAnsi="Arial" w:cs="Arial"/>
          <w:sz w:val="24"/>
          <w:szCs w:val="24"/>
        </w:rPr>
      </w:pPr>
      <w:r w:rsidRPr="00A750FA">
        <w:rPr>
          <w:rFonts w:ascii="Arial" w:eastAsiaTheme="minorHAnsi" w:hAnsi="Arial" w:cs="Arial"/>
          <w:color w:val="auto"/>
          <w:sz w:val="24"/>
          <w:szCs w:val="24"/>
        </w:rPr>
        <w:t>a.</w:t>
      </w:r>
      <w:r w:rsidRPr="00A750FA">
        <w:rPr>
          <w:rFonts w:ascii="Arial" w:eastAsiaTheme="minorHAnsi" w:hAnsi="Arial" w:cs="Arial"/>
          <w:color w:val="auto"/>
          <w:sz w:val="24"/>
          <w:szCs w:val="24"/>
        </w:rPr>
        <w:tab/>
      </w:r>
      <w:r w:rsidR="005F20CD" w:rsidRPr="000B2671">
        <w:rPr>
          <w:rFonts w:ascii="Arial" w:hAnsi="Arial" w:cs="Arial"/>
          <w:sz w:val="24"/>
          <w:szCs w:val="24"/>
        </w:rPr>
        <w:t>That the surety and the principal debtor were one and the same person; and</w:t>
      </w:r>
    </w:p>
    <w:p w14:paraId="72DE036C" w14:textId="77777777" w:rsidR="00DD64CF" w:rsidRPr="00A750FA" w:rsidRDefault="00DD64CF" w:rsidP="00AD6BF6">
      <w:pPr>
        <w:spacing w:after="0"/>
        <w:ind w:left="1080"/>
        <w:jc w:val="both"/>
        <w:rPr>
          <w:rFonts w:ascii="Arial" w:hAnsi="Arial" w:cs="Arial"/>
          <w:sz w:val="24"/>
          <w:szCs w:val="24"/>
        </w:rPr>
      </w:pPr>
    </w:p>
    <w:p w14:paraId="53F33F93" w14:textId="361F668F" w:rsidR="005F20CD" w:rsidRPr="000B2671" w:rsidRDefault="000B2671" w:rsidP="000B2671">
      <w:pPr>
        <w:spacing w:after="0"/>
        <w:ind w:left="1440" w:hanging="360"/>
        <w:jc w:val="both"/>
        <w:rPr>
          <w:rFonts w:ascii="Arial" w:hAnsi="Arial" w:cs="Arial"/>
          <w:sz w:val="24"/>
          <w:szCs w:val="24"/>
        </w:rPr>
      </w:pPr>
      <w:r w:rsidRPr="00A750FA">
        <w:rPr>
          <w:rFonts w:ascii="Arial" w:eastAsiaTheme="minorHAnsi" w:hAnsi="Arial" w:cs="Arial"/>
          <w:color w:val="auto"/>
          <w:sz w:val="24"/>
          <w:szCs w:val="24"/>
        </w:rPr>
        <w:t>b.</w:t>
      </w:r>
      <w:r w:rsidRPr="00A750FA">
        <w:rPr>
          <w:rFonts w:ascii="Arial" w:eastAsiaTheme="minorHAnsi" w:hAnsi="Arial" w:cs="Arial"/>
          <w:color w:val="auto"/>
          <w:sz w:val="24"/>
          <w:szCs w:val="24"/>
        </w:rPr>
        <w:tab/>
      </w:r>
      <w:r w:rsidR="005F20CD" w:rsidRPr="000B2671">
        <w:rPr>
          <w:rFonts w:ascii="Arial" w:hAnsi="Arial" w:cs="Arial"/>
          <w:sz w:val="24"/>
          <w:szCs w:val="24"/>
        </w:rPr>
        <w:t>Secondly that they were two parties with identical names.</w:t>
      </w:r>
    </w:p>
    <w:p w14:paraId="18C0F3EB" w14:textId="77777777" w:rsidR="00DD64CF" w:rsidRPr="00A750FA" w:rsidRDefault="00DD64CF" w:rsidP="00AD6BF6">
      <w:pPr>
        <w:spacing w:after="0"/>
        <w:jc w:val="both"/>
        <w:rPr>
          <w:rFonts w:ascii="Arial" w:hAnsi="Arial" w:cs="Arial"/>
          <w:sz w:val="24"/>
          <w:szCs w:val="24"/>
        </w:rPr>
      </w:pPr>
    </w:p>
    <w:p w14:paraId="35DABC00" w14:textId="3318E708"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20.</w:t>
      </w:r>
      <w:r w:rsidRPr="00A750FA">
        <w:rPr>
          <w:rFonts w:ascii="Arial" w:eastAsiaTheme="minorHAnsi" w:hAnsi="Arial" w:cs="Arial"/>
          <w:color w:val="auto"/>
          <w:sz w:val="24"/>
          <w:szCs w:val="24"/>
        </w:rPr>
        <w:tab/>
      </w:r>
      <w:r w:rsidR="005F20CD" w:rsidRPr="000B2671">
        <w:rPr>
          <w:rFonts w:ascii="Arial" w:hAnsi="Arial" w:cs="Arial"/>
          <w:sz w:val="24"/>
          <w:szCs w:val="24"/>
        </w:rPr>
        <w:t>It was held that the first interpretation would lead to non-compliance with the necessary formal requirements because in South African law a person cannot stand surety for his or her own debt, and on this interpretation the suretyship would fail to identify the principal debtor and the surety as two distinct parties.</w:t>
      </w:r>
    </w:p>
    <w:p w14:paraId="3FAE8E4F" w14:textId="77777777" w:rsidR="00DD64CF" w:rsidRPr="00A750FA" w:rsidRDefault="00DD64CF" w:rsidP="00AD6BF6">
      <w:pPr>
        <w:spacing w:after="0"/>
        <w:ind w:left="360"/>
        <w:jc w:val="both"/>
        <w:rPr>
          <w:rFonts w:ascii="Arial" w:hAnsi="Arial" w:cs="Arial"/>
          <w:sz w:val="24"/>
          <w:szCs w:val="24"/>
        </w:rPr>
      </w:pPr>
    </w:p>
    <w:p w14:paraId="236B1E6C" w14:textId="2DA49F29"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21.</w:t>
      </w:r>
      <w:r w:rsidRPr="00A750FA">
        <w:rPr>
          <w:rFonts w:ascii="Arial" w:eastAsiaTheme="minorHAnsi" w:hAnsi="Arial" w:cs="Arial"/>
          <w:color w:val="auto"/>
          <w:sz w:val="24"/>
          <w:szCs w:val="24"/>
        </w:rPr>
        <w:tab/>
      </w:r>
      <w:r w:rsidR="005F20CD" w:rsidRPr="000B2671">
        <w:rPr>
          <w:rFonts w:ascii="Arial" w:hAnsi="Arial" w:cs="Arial"/>
          <w:sz w:val="24"/>
          <w:szCs w:val="24"/>
        </w:rPr>
        <w:t>It was further held that if the second interpretation applied, the suretyship contract would be formally valid.</w:t>
      </w:r>
    </w:p>
    <w:p w14:paraId="50F405ED" w14:textId="77777777" w:rsidR="00DD64CF" w:rsidRPr="00A750FA" w:rsidRDefault="00DD64CF" w:rsidP="00AD6BF6">
      <w:pPr>
        <w:spacing w:after="0"/>
        <w:jc w:val="both"/>
        <w:rPr>
          <w:rFonts w:ascii="Arial" w:hAnsi="Arial" w:cs="Arial"/>
          <w:sz w:val="24"/>
          <w:szCs w:val="24"/>
        </w:rPr>
      </w:pPr>
    </w:p>
    <w:p w14:paraId="5F7AE794" w14:textId="69F0DEBC"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22.</w:t>
      </w:r>
      <w:r w:rsidRPr="00A750FA">
        <w:rPr>
          <w:rFonts w:ascii="Arial" w:eastAsiaTheme="minorHAnsi" w:hAnsi="Arial" w:cs="Arial"/>
          <w:color w:val="auto"/>
          <w:sz w:val="24"/>
          <w:szCs w:val="24"/>
        </w:rPr>
        <w:tab/>
      </w:r>
      <w:r w:rsidR="005F20CD" w:rsidRPr="000B2671">
        <w:rPr>
          <w:rFonts w:ascii="Arial" w:hAnsi="Arial" w:cs="Arial"/>
          <w:sz w:val="24"/>
          <w:szCs w:val="24"/>
        </w:rPr>
        <w:t>In this case valid in the sense that the suretyship complied “with the formal requirements in section 6 of the Act” and that in this case the facts constituted a sufficient basis for granting rectification.</w:t>
      </w:r>
    </w:p>
    <w:p w14:paraId="79440B36" w14:textId="77777777" w:rsidR="00DD64CF" w:rsidRPr="00A750FA" w:rsidRDefault="00DD64CF" w:rsidP="00AD6BF6">
      <w:pPr>
        <w:spacing w:after="0"/>
        <w:jc w:val="both"/>
        <w:rPr>
          <w:rFonts w:ascii="Arial" w:hAnsi="Arial" w:cs="Arial"/>
          <w:sz w:val="24"/>
          <w:szCs w:val="24"/>
        </w:rPr>
      </w:pPr>
    </w:p>
    <w:p w14:paraId="61581FC9" w14:textId="23EC5513"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23.</w:t>
      </w:r>
      <w:r w:rsidRPr="00A750FA">
        <w:rPr>
          <w:rFonts w:ascii="Arial" w:eastAsiaTheme="minorHAnsi" w:hAnsi="Arial" w:cs="Arial"/>
          <w:color w:val="auto"/>
          <w:sz w:val="24"/>
          <w:szCs w:val="24"/>
        </w:rPr>
        <w:tab/>
      </w:r>
      <w:r w:rsidR="005F20CD" w:rsidRPr="000B2671">
        <w:rPr>
          <w:rFonts w:ascii="Arial" w:hAnsi="Arial" w:cs="Arial"/>
          <w:sz w:val="24"/>
          <w:szCs w:val="24"/>
        </w:rPr>
        <w:t>In the case of Fourlamel (Pty) Ltd v Maddison 1977 (1) SA 333 (A) at 345 A-D and Intercontinental Exports (Pty) Ltd v Fowles 1999 (2) SA 1045 (SCA)</w:t>
      </w:r>
      <w:r w:rsidR="000D6FFD" w:rsidRPr="000B2671">
        <w:rPr>
          <w:rFonts w:ascii="Arial" w:hAnsi="Arial" w:cs="Arial"/>
          <w:sz w:val="24"/>
          <w:szCs w:val="24"/>
        </w:rPr>
        <w:t>, i</w:t>
      </w:r>
      <w:r w:rsidR="005F20CD" w:rsidRPr="000B2671">
        <w:rPr>
          <w:rFonts w:ascii="Arial" w:hAnsi="Arial" w:cs="Arial"/>
          <w:sz w:val="24"/>
          <w:szCs w:val="24"/>
        </w:rPr>
        <w:t>t was held that the word “terms” has been construed to include the identification of three necessary parties, being the creditor, the principal debtor, and the surety.</w:t>
      </w:r>
    </w:p>
    <w:p w14:paraId="2ACFB931" w14:textId="77777777" w:rsidR="00DD64CF" w:rsidRPr="00A750FA" w:rsidRDefault="00DD64CF" w:rsidP="00AD6BF6">
      <w:pPr>
        <w:spacing w:after="0"/>
        <w:jc w:val="both"/>
        <w:rPr>
          <w:rFonts w:ascii="Arial" w:hAnsi="Arial" w:cs="Arial"/>
          <w:sz w:val="24"/>
          <w:szCs w:val="24"/>
        </w:rPr>
      </w:pPr>
    </w:p>
    <w:p w14:paraId="2CEBEC65" w14:textId="7C6511A5"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24.</w:t>
      </w:r>
      <w:r w:rsidRPr="00A750FA">
        <w:rPr>
          <w:rFonts w:ascii="Arial" w:eastAsiaTheme="minorHAnsi" w:hAnsi="Arial" w:cs="Arial"/>
          <w:color w:val="auto"/>
          <w:sz w:val="24"/>
          <w:szCs w:val="24"/>
        </w:rPr>
        <w:tab/>
      </w:r>
      <w:r w:rsidR="005F20CD" w:rsidRPr="000B2671">
        <w:rPr>
          <w:rFonts w:ascii="Arial" w:hAnsi="Arial" w:cs="Arial"/>
          <w:sz w:val="24"/>
          <w:szCs w:val="24"/>
        </w:rPr>
        <w:t>The enquiry therefore needs to be whether</w:t>
      </w:r>
      <w:r w:rsidR="00244A1B" w:rsidRPr="000B2671">
        <w:rPr>
          <w:rFonts w:ascii="Arial" w:hAnsi="Arial" w:cs="Arial"/>
          <w:sz w:val="24"/>
          <w:szCs w:val="24"/>
        </w:rPr>
        <w:t xml:space="preserve"> or not</w:t>
      </w:r>
      <w:r w:rsidR="005F20CD" w:rsidRPr="000B2671">
        <w:rPr>
          <w:rFonts w:ascii="Arial" w:hAnsi="Arial" w:cs="Arial"/>
          <w:sz w:val="24"/>
          <w:szCs w:val="24"/>
        </w:rPr>
        <w:t xml:space="preserve"> the document</w:t>
      </w:r>
      <w:r w:rsidR="00244A1B" w:rsidRPr="000B2671">
        <w:rPr>
          <w:rFonts w:ascii="Arial" w:hAnsi="Arial" w:cs="Arial"/>
          <w:sz w:val="24"/>
          <w:szCs w:val="24"/>
        </w:rPr>
        <w:t xml:space="preserve"> properly</w:t>
      </w:r>
      <w:r w:rsidR="005F20CD" w:rsidRPr="000B2671">
        <w:rPr>
          <w:rFonts w:ascii="Arial" w:hAnsi="Arial" w:cs="Arial"/>
          <w:sz w:val="24"/>
          <w:szCs w:val="24"/>
        </w:rPr>
        <w:t xml:space="preserve"> identifies</w:t>
      </w:r>
      <w:r w:rsidR="00244A1B" w:rsidRPr="000B2671">
        <w:rPr>
          <w:rFonts w:ascii="Arial" w:hAnsi="Arial" w:cs="Arial"/>
          <w:sz w:val="24"/>
          <w:szCs w:val="24"/>
        </w:rPr>
        <w:t xml:space="preserve"> a</w:t>
      </w:r>
      <w:r w:rsidR="005F20CD" w:rsidRPr="000B2671">
        <w:rPr>
          <w:rFonts w:ascii="Arial" w:hAnsi="Arial" w:cs="Arial"/>
          <w:sz w:val="24"/>
          <w:szCs w:val="24"/>
        </w:rPr>
        <w:t xml:space="preserve"> creditor, </w:t>
      </w:r>
      <w:r w:rsidR="00244A1B" w:rsidRPr="000B2671">
        <w:rPr>
          <w:rFonts w:ascii="Arial" w:hAnsi="Arial" w:cs="Arial"/>
          <w:sz w:val="24"/>
          <w:szCs w:val="24"/>
        </w:rPr>
        <w:t>a</w:t>
      </w:r>
      <w:r w:rsidR="005F20CD" w:rsidRPr="000B2671">
        <w:rPr>
          <w:rFonts w:ascii="Arial" w:hAnsi="Arial" w:cs="Arial"/>
          <w:sz w:val="24"/>
          <w:szCs w:val="24"/>
        </w:rPr>
        <w:t xml:space="preserve"> principal debtor, and </w:t>
      </w:r>
      <w:r w:rsidR="00244A1B" w:rsidRPr="000B2671">
        <w:rPr>
          <w:rFonts w:ascii="Arial" w:hAnsi="Arial" w:cs="Arial"/>
          <w:sz w:val="24"/>
          <w:szCs w:val="24"/>
        </w:rPr>
        <w:t>a</w:t>
      </w:r>
      <w:r w:rsidR="005F20CD" w:rsidRPr="000B2671">
        <w:rPr>
          <w:rFonts w:ascii="Arial" w:hAnsi="Arial" w:cs="Arial"/>
          <w:sz w:val="24"/>
          <w:szCs w:val="24"/>
        </w:rPr>
        <w:t xml:space="preserve"> surety.</w:t>
      </w:r>
    </w:p>
    <w:p w14:paraId="725348DA" w14:textId="77777777" w:rsidR="00DD64CF" w:rsidRPr="00A750FA" w:rsidRDefault="00DD64CF" w:rsidP="00AD6BF6">
      <w:pPr>
        <w:spacing w:after="0"/>
        <w:ind w:left="360"/>
        <w:jc w:val="both"/>
        <w:rPr>
          <w:rFonts w:ascii="Arial" w:hAnsi="Arial" w:cs="Arial"/>
          <w:sz w:val="24"/>
          <w:szCs w:val="24"/>
        </w:rPr>
      </w:pPr>
    </w:p>
    <w:p w14:paraId="71D89E27" w14:textId="02D71B81"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25.</w:t>
      </w:r>
      <w:r w:rsidRPr="00A750FA">
        <w:rPr>
          <w:rFonts w:ascii="Arial" w:eastAsiaTheme="minorHAnsi" w:hAnsi="Arial" w:cs="Arial"/>
          <w:color w:val="auto"/>
          <w:sz w:val="24"/>
          <w:szCs w:val="24"/>
        </w:rPr>
        <w:tab/>
      </w:r>
      <w:r w:rsidR="005F20CD" w:rsidRPr="000B2671">
        <w:rPr>
          <w:rFonts w:ascii="Arial" w:hAnsi="Arial" w:cs="Arial"/>
          <w:sz w:val="24"/>
          <w:szCs w:val="24"/>
        </w:rPr>
        <w:t xml:space="preserve">In my view the facts of the application involving the Plaintiff and the Second Defendant are distinguishable from the Inventive Judgment where the names of the surety and the principal debtor </w:t>
      </w:r>
      <w:r w:rsidR="00CA180C" w:rsidRPr="000B2671">
        <w:rPr>
          <w:rFonts w:ascii="Arial" w:hAnsi="Arial" w:cs="Arial"/>
          <w:sz w:val="24"/>
          <w:szCs w:val="24"/>
        </w:rPr>
        <w:t>were</w:t>
      </w:r>
      <w:r w:rsidR="005F20CD" w:rsidRPr="000B2671">
        <w:rPr>
          <w:rFonts w:ascii="Arial" w:hAnsi="Arial" w:cs="Arial"/>
          <w:sz w:val="24"/>
          <w:szCs w:val="24"/>
        </w:rPr>
        <w:t xml:space="preserve"> the same, but not the names of a natural person.</w:t>
      </w:r>
    </w:p>
    <w:p w14:paraId="77CC7002" w14:textId="77777777" w:rsidR="00DD64CF" w:rsidRPr="00A750FA" w:rsidRDefault="00DD64CF" w:rsidP="00AD6BF6">
      <w:pPr>
        <w:spacing w:after="0"/>
        <w:jc w:val="both"/>
        <w:rPr>
          <w:rFonts w:ascii="Arial" w:hAnsi="Arial" w:cs="Arial"/>
          <w:sz w:val="24"/>
          <w:szCs w:val="24"/>
        </w:rPr>
      </w:pPr>
    </w:p>
    <w:p w14:paraId="1E38389A" w14:textId="0F0CBDA2"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26.</w:t>
      </w:r>
      <w:r w:rsidRPr="00A750FA">
        <w:rPr>
          <w:rFonts w:ascii="Arial" w:eastAsiaTheme="minorHAnsi" w:hAnsi="Arial" w:cs="Arial"/>
          <w:color w:val="auto"/>
          <w:sz w:val="24"/>
          <w:szCs w:val="24"/>
        </w:rPr>
        <w:tab/>
      </w:r>
      <w:r w:rsidR="005F20CD" w:rsidRPr="000B2671">
        <w:rPr>
          <w:rFonts w:ascii="Arial" w:hAnsi="Arial" w:cs="Arial"/>
          <w:sz w:val="24"/>
          <w:szCs w:val="24"/>
        </w:rPr>
        <w:t>In this matter the Second Defendant</w:t>
      </w:r>
      <w:r w:rsidR="003D2353" w:rsidRPr="000B2671">
        <w:rPr>
          <w:rFonts w:ascii="Arial" w:hAnsi="Arial" w:cs="Arial"/>
          <w:sz w:val="24"/>
          <w:szCs w:val="24"/>
        </w:rPr>
        <w:t>’</w:t>
      </w:r>
      <w:r w:rsidR="005F20CD" w:rsidRPr="000B2671">
        <w:rPr>
          <w:rFonts w:ascii="Arial" w:hAnsi="Arial" w:cs="Arial"/>
          <w:sz w:val="24"/>
          <w:szCs w:val="24"/>
        </w:rPr>
        <w:t xml:space="preserve">s defence to the Plaintiff’s claim </w:t>
      </w:r>
      <w:r w:rsidR="009B161C" w:rsidRPr="000B2671">
        <w:rPr>
          <w:rFonts w:ascii="Arial" w:hAnsi="Arial" w:cs="Arial"/>
          <w:sz w:val="24"/>
          <w:szCs w:val="24"/>
        </w:rPr>
        <w:t xml:space="preserve">is </w:t>
      </w:r>
      <w:r w:rsidR="005F20CD" w:rsidRPr="000B2671">
        <w:rPr>
          <w:rFonts w:ascii="Arial" w:hAnsi="Arial" w:cs="Arial"/>
          <w:sz w:val="24"/>
          <w:szCs w:val="24"/>
        </w:rPr>
        <w:t>that the suretyship relied upon by the Plaintiff in claim 2 d</w:t>
      </w:r>
      <w:r w:rsidR="004B38EE" w:rsidRPr="000B2671">
        <w:rPr>
          <w:rFonts w:ascii="Arial" w:hAnsi="Arial" w:cs="Arial"/>
          <w:sz w:val="24"/>
          <w:szCs w:val="24"/>
        </w:rPr>
        <w:t>id</w:t>
      </w:r>
      <w:r w:rsidR="005F20CD" w:rsidRPr="000B2671">
        <w:rPr>
          <w:rFonts w:ascii="Arial" w:hAnsi="Arial" w:cs="Arial"/>
          <w:sz w:val="24"/>
          <w:szCs w:val="24"/>
        </w:rPr>
        <w:t xml:space="preserve"> not satisfy the provisions of Section 6 of the General Law Amendment Act 50 of 1956 (as amended) in as much as it records that the Second Defendant has bound himself as surety to the First Defendant</w:t>
      </w:r>
      <w:r w:rsidR="0016554F" w:rsidRPr="000B2671">
        <w:rPr>
          <w:rFonts w:ascii="Arial" w:hAnsi="Arial" w:cs="Arial"/>
          <w:sz w:val="24"/>
          <w:szCs w:val="24"/>
        </w:rPr>
        <w:t xml:space="preserve"> and </w:t>
      </w:r>
      <w:r w:rsidR="005F20CD" w:rsidRPr="000B2671">
        <w:rPr>
          <w:rFonts w:ascii="Arial" w:hAnsi="Arial" w:cs="Arial"/>
          <w:sz w:val="24"/>
          <w:szCs w:val="24"/>
        </w:rPr>
        <w:t>not to the Plaintiff.</w:t>
      </w:r>
    </w:p>
    <w:p w14:paraId="5B858E75" w14:textId="77777777" w:rsidR="00DD64CF" w:rsidRPr="00A750FA" w:rsidRDefault="00DD64CF" w:rsidP="00AD6BF6">
      <w:pPr>
        <w:spacing w:after="0"/>
        <w:jc w:val="both"/>
        <w:rPr>
          <w:rFonts w:ascii="Arial" w:hAnsi="Arial" w:cs="Arial"/>
          <w:sz w:val="24"/>
          <w:szCs w:val="24"/>
        </w:rPr>
      </w:pPr>
    </w:p>
    <w:p w14:paraId="6DE03E4A" w14:textId="450E06F9"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27.</w:t>
      </w:r>
      <w:r w:rsidRPr="00A750FA">
        <w:rPr>
          <w:rFonts w:ascii="Arial" w:eastAsiaTheme="minorHAnsi" w:hAnsi="Arial" w:cs="Arial"/>
          <w:color w:val="auto"/>
          <w:sz w:val="24"/>
          <w:szCs w:val="24"/>
        </w:rPr>
        <w:tab/>
      </w:r>
      <w:r w:rsidR="005F20CD" w:rsidRPr="000B2671">
        <w:rPr>
          <w:rFonts w:ascii="Arial" w:hAnsi="Arial" w:cs="Arial"/>
          <w:sz w:val="24"/>
          <w:szCs w:val="24"/>
        </w:rPr>
        <w:t xml:space="preserve">Simply put, and on my reading of the Judgment of Jafta JA in the Inventive </w:t>
      </w:r>
      <w:r w:rsidR="00C10C8C" w:rsidRPr="000B2671">
        <w:rPr>
          <w:rFonts w:ascii="Arial" w:hAnsi="Arial" w:cs="Arial"/>
          <w:sz w:val="24"/>
          <w:szCs w:val="24"/>
        </w:rPr>
        <w:t xml:space="preserve">Judgment </w:t>
      </w:r>
      <w:r w:rsidR="005F20CD" w:rsidRPr="000B2671">
        <w:rPr>
          <w:rFonts w:ascii="Arial" w:hAnsi="Arial" w:cs="Arial"/>
          <w:sz w:val="24"/>
          <w:szCs w:val="24"/>
        </w:rPr>
        <w:t>and on a proper interpretation, the present suretyship fails to comply with the provisions of Section 6 of the Act and here, as distinct from the Inventive Labour Structuring matter, -</w:t>
      </w:r>
    </w:p>
    <w:p w14:paraId="1C17981B" w14:textId="77777777" w:rsidR="00DD64CF" w:rsidRPr="00A750FA" w:rsidRDefault="00DD64CF" w:rsidP="00AD6BF6">
      <w:pPr>
        <w:spacing w:after="0"/>
        <w:jc w:val="both"/>
        <w:rPr>
          <w:rFonts w:ascii="Arial" w:hAnsi="Arial" w:cs="Arial"/>
          <w:sz w:val="24"/>
          <w:szCs w:val="24"/>
        </w:rPr>
      </w:pPr>
    </w:p>
    <w:p w14:paraId="4EC28EA0" w14:textId="37DF2A84" w:rsidR="005F20CD" w:rsidRPr="000B2671" w:rsidRDefault="000B2671" w:rsidP="000B2671">
      <w:pPr>
        <w:spacing w:after="0"/>
        <w:ind w:left="1440" w:hanging="360"/>
        <w:jc w:val="both"/>
        <w:rPr>
          <w:rFonts w:ascii="Arial" w:hAnsi="Arial" w:cs="Arial"/>
          <w:sz w:val="24"/>
          <w:szCs w:val="24"/>
        </w:rPr>
      </w:pPr>
      <w:r w:rsidRPr="00A750FA">
        <w:rPr>
          <w:rFonts w:ascii="Arial" w:eastAsiaTheme="minorHAnsi" w:hAnsi="Arial" w:cs="Arial"/>
          <w:color w:val="auto"/>
          <w:sz w:val="24"/>
          <w:szCs w:val="24"/>
        </w:rPr>
        <w:t>a.</w:t>
      </w:r>
      <w:r w:rsidRPr="00A750FA">
        <w:rPr>
          <w:rFonts w:ascii="Arial" w:eastAsiaTheme="minorHAnsi" w:hAnsi="Arial" w:cs="Arial"/>
          <w:color w:val="auto"/>
          <w:sz w:val="24"/>
          <w:szCs w:val="24"/>
        </w:rPr>
        <w:tab/>
      </w:r>
      <w:r w:rsidR="005F20CD" w:rsidRPr="000B2671">
        <w:rPr>
          <w:rFonts w:ascii="Arial" w:hAnsi="Arial" w:cs="Arial"/>
          <w:sz w:val="24"/>
          <w:szCs w:val="24"/>
        </w:rPr>
        <w:t>We are not dealing with two natural persons;</w:t>
      </w:r>
    </w:p>
    <w:p w14:paraId="171B5601" w14:textId="77777777" w:rsidR="00DD64CF" w:rsidRPr="00A750FA" w:rsidRDefault="00DD64CF" w:rsidP="00AD6BF6">
      <w:pPr>
        <w:pStyle w:val="ListParagraph"/>
        <w:spacing w:after="0"/>
        <w:ind w:left="1440"/>
        <w:jc w:val="both"/>
        <w:rPr>
          <w:rFonts w:ascii="Arial" w:hAnsi="Arial" w:cs="Arial"/>
          <w:sz w:val="24"/>
          <w:szCs w:val="24"/>
        </w:rPr>
      </w:pPr>
    </w:p>
    <w:p w14:paraId="18E65FC7" w14:textId="0A8F209E" w:rsidR="005F20CD" w:rsidRPr="000B2671" w:rsidRDefault="000B2671" w:rsidP="000B2671">
      <w:pPr>
        <w:spacing w:after="0"/>
        <w:ind w:left="1440" w:hanging="360"/>
        <w:jc w:val="both"/>
        <w:rPr>
          <w:rFonts w:ascii="Arial" w:hAnsi="Arial" w:cs="Arial"/>
          <w:sz w:val="24"/>
          <w:szCs w:val="24"/>
        </w:rPr>
      </w:pPr>
      <w:r w:rsidRPr="00A750FA">
        <w:rPr>
          <w:rFonts w:ascii="Arial" w:eastAsiaTheme="minorHAnsi" w:hAnsi="Arial" w:cs="Arial"/>
          <w:color w:val="auto"/>
          <w:sz w:val="24"/>
          <w:szCs w:val="24"/>
        </w:rPr>
        <w:t>b.</w:t>
      </w:r>
      <w:r w:rsidRPr="00A750FA">
        <w:rPr>
          <w:rFonts w:ascii="Arial" w:eastAsiaTheme="minorHAnsi" w:hAnsi="Arial" w:cs="Arial"/>
          <w:color w:val="auto"/>
          <w:sz w:val="24"/>
          <w:szCs w:val="24"/>
        </w:rPr>
        <w:tab/>
      </w:r>
      <w:r w:rsidR="005F20CD" w:rsidRPr="000B2671">
        <w:rPr>
          <w:rFonts w:ascii="Arial" w:hAnsi="Arial" w:cs="Arial"/>
          <w:sz w:val="24"/>
          <w:szCs w:val="24"/>
        </w:rPr>
        <w:t xml:space="preserve">The First Defendant and the Second Defendant in the matter were separate legal entities, and in my view, a deed of suretyship did not come into force, and for the reasons set out above, and the matter should </w:t>
      </w:r>
      <w:r w:rsidR="00BD62CE" w:rsidRPr="000B2671">
        <w:rPr>
          <w:rFonts w:ascii="Arial" w:hAnsi="Arial" w:cs="Arial"/>
          <w:sz w:val="24"/>
          <w:szCs w:val="24"/>
        </w:rPr>
        <w:t xml:space="preserve">therefore </w:t>
      </w:r>
      <w:r w:rsidR="005F20CD" w:rsidRPr="000B2671">
        <w:rPr>
          <w:rFonts w:ascii="Arial" w:hAnsi="Arial" w:cs="Arial"/>
          <w:sz w:val="24"/>
          <w:szCs w:val="24"/>
        </w:rPr>
        <w:t>not proceed to a second leg where rectification might be considered.</w:t>
      </w:r>
    </w:p>
    <w:p w14:paraId="6C91440D" w14:textId="77777777" w:rsidR="00DD64CF" w:rsidRDefault="00DD64CF" w:rsidP="00AD6BF6">
      <w:pPr>
        <w:spacing w:after="0"/>
        <w:jc w:val="both"/>
        <w:rPr>
          <w:rFonts w:ascii="Arial" w:hAnsi="Arial" w:cs="Arial"/>
          <w:sz w:val="24"/>
          <w:szCs w:val="24"/>
        </w:rPr>
      </w:pPr>
    </w:p>
    <w:p w14:paraId="5EC196C1" w14:textId="1339E1EB" w:rsidR="0094540B"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28.</w:t>
      </w:r>
      <w:r>
        <w:rPr>
          <w:rFonts w:ascii="Arial" w:eastAsiaTheme="minorHAnsi" w:hAnsi="Arial" w:cs="Arial"/>
          <w:color w:val="auto"/>
          <w:sz w:val="24"/>
          <w:szCs w:val="24"/>
        </w:rPr>
        <w:tab/>
      </w:r>
      <w:r w:rsidR="00F75DE8" w:rsidRPr="000B2671">
        <w:rPr>
          <w:rFonts w:ascii="Arial" w:hAnsi="Arial" w:cs="Arial"/>
          <w:sz w:val="24"/>
          <w:szCs w:val="24"/>
        </w:rPr>
        <w:t xml:space="preserve">I turn now to deal with the amendments to the Applicant’s pleadings and being </w:t>
      </w:r>
      <w:r w:rsidR="00E55ACC" w:rsidRPr="000B2671">
        <w:rPr>
          <w:rFonts w:ascii="Arial" w:hAnsi="Arial" w:cs="Arial"/>
          <w:sz w:val="24"/>
          <w:szCs w:val="24"/>
        </w:rPr>
        <w:t xml:space="preserve">the </w:t>
      </w:r>
      <w:r w:rsidR="00F75DE8" w:rsidRPr="000B2671">
        <w:rPr>
          <w:rFonts w:ascii="Arial" w:hAnsi="Arial" w:cs="Arial"/>
          <w:sz w:val="24"/>
          <w:szCs w:val="24"/>
        </w:rPr>
        <w:t xml:space="preserve">withdrawal of an admission and an amendment </w:t>
      </w:r>
      <w:r w:rsidR="00674B85" w:rsidRPr="000B2671">
        <w:rPr>
          <w:rFonts w:ascii="Arial" w:hAnsi="Arial" w:cs="Arial"/>
          <w:sz w:val="24"/>
          <w:szCs w:val="24"/>
        </w:rPr>
        <w:t xml:space="preserve">to his plea. </w:t>
      </w:r>
    </w:p>
    <w:p w14:paraId="661595B4" w14:textId="77777777" w:rsidR="00674B85" w:rsidRDefault="00674B85" w:rsidP="00674B85">
      <w:pPr>
        <w:pStyle w:val="ListParagraph"/>
        <w:spacing w:after="0"/>
        <w:jc w:val="both"/>
        <w:rPr>
          <w:rFonts w:ascii="Arial" w:hAnsi="Arial" w:cs="Arial"/>
          <w:sz w:val="24"/>
          <w:szCs w:val="24"/>
        </w:rPr>
      </w:pPr>
    </w:p>
    <w:p w14:paraId="56C49DBA" w14:textId="754DBE03" w:rsidR="00E06C6A"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29.</w:t>
      </w:r>
      <w:r>
        <w:rPr>
          <w:rFonts w:ascii="Arial" w:eastAsiaTheme="minorHAnsi" w:hAnsi="Arial" w:cs="Arial"/>
          <w:color w:val="auto"/>
          <w:sz w:val="24"/>
          <w:szCs w:val="24"/>
        </w:rPr>
        <w:tab/>
      </w:r>
      <w:r w:rsidR="00705BDC" w:rsidRPr="000B2671">
        <w:rPr>
          <w:rFonts w:ascii="Arial" w:hAnsi="Arial" w:cs="Arial"/>
          <w:sz w:val="24"/>
          <w:szCs w:val="24"/>
        </w:rPr>
        <w:t xml:space="preserve">In this </w:t>
      </w:r>
      <w:r w:rsidR="00787345" w:rsidRPr="000B2671">
        <w:rPr>
          <w:rFonts w:ascii="Arial" w:hAnsi="Arial" w:cs="Arial"/>
          <w:sz w:val="24"/>
          <w:szCs w:val="24"/>
        </w:rPr>
        <w:t>C</w:t>
      </w:r>
      <w:r w:rsidR="00705BDC" w:rsidRPr="000B2671">
        <w:rPr>
          <w:rFonts w:ascii="Arial" w:hAnsi="Arial" w:cs="Arial"/>
          <w:sz w:val="24"/>
          <w:szCs w:val="24"/>
        </w:rPr>
        <w:t xml:space="preserve">ourt’s view, and as contemplated in Rule 28 (10) of the Uniform Rules of Court, a </w:t>
      </w:r>
      <w:r w:rsidR="00304D02" w:rsidRPr="000B2671">
        <w:rPr>
          <w:rFonts w:ascii="Arial" w:hAnsi="Arial" w:cs="Arial"/>
          <w:sz w:val="24"/>
          <w:szCs w:val="24"/>
        </w:rPr>
        <w:t>c</w:t>
      </w:r>
      <w:r w:rsidR="00705BDC" w:rsidRPr="000B2671">
        <w:rPr>
          <w:rFonts w:ascii="Arial" w:hAnsi="Arial" w:cs="Arial"/>
          <w:sz w:val="24"/>
          <w:szCs w:val="24"/>
        </w:rPr>
        <w:t xml:space="preserve">ourt </w:t>
      </w:r>
      <w:r w:rsidR="0066292F" w:rsidRPr="000B2671">
        <w:rPr>
          <w:rFonts w:ascii="Arial" w:hAnsi="Arial" w:cs="Arial"/>
          <w:sz w:val="24"/>
          <w:szCs w:val="24"/>
        </w:rPr>
        <w:t xml:space="preserve">has an inherent discretion </w:t>
      </w:r>
      <w:r w:rsidR="00EF50D5" w:rsidRPr="000B2671">
        <w:rPr>
          <w:rFonts w:ascii="Arial" w:hAnsi="Arial" w:cs="Arial"/>
          <w:sz w:val="24"/>
          <w:szCs w:val="24"/>
        </w:rPr>
        <w:t>at any time before judg</w:t>
      </w:r>
      <w:r w:rsidR="00882369" w:rsidRPr="000B2671">
        <w:rPr>
          <w:rFonts w:ascii="Arial" w:hAnsi="Arial" w:cs="Arial"/>
          <w:sz w:val="24"/>
          <w:szCs w:val="24"/>
        </w:rPr>
        <w:t xml:space="preserve">ment </w:t>
      </w:r>
      <w:r w:rsidR="0066292F" w:rsidRPr="000B2671">
        <w:rPr>
          <w:rFonts w:ascii="Arial" w:hAnsi="Arial" w:cs="Arial"/>
          <w:sz w:val="24"/>
          <w:szCs w:val="24"/>
        </w:rPr>
        <w:t xml:space="preserve">to grant leave to a party to amend </w:t>
      </w:r>
      <w:r w:rsidR="00823FEA" w:rsidRPr="000B2671">
        <w:rPr>
          <w:rFonts w:ascii="Arial" w:hAnsi="Arial" w:cs="Arial"/>
          <w:sz w:val="24"/>
          <w:szCs w:val="24"/>
        </w:rPr>
        <w:t xml:space="preserve">its </w:t>
      </w:r>
      <w:r w:rsidR="0066292F" w:rsidRPr="000B2671">
        <w:rPr>
          <w:rFonts w:ascii="Arial" w:hAnsi="Arial" w:cs="Arial"/>
          <w:sz w:val="24"/>
          <w:szCs w:val="24"/>
        </w:rPr>
        <w:t>pleading</w:t>
      </w:r>
      <w:r w:rsidR="00304D02" w:rsidRPr="000B2671">
        <w:rPr>
          <w:rFonts w:ascii="Arial" w:hAnsi="Arial" w:cs="Arial"/>
          <w:sz w:val="24"/>
          <w:szCs w:val="24"/>
        </w:rPr>
        <w:t>s</w:t>
      </w:r>
      <w:r w:rsidR="0066292F" w:rsidRPr="000B2671">
        <w:rPr>
          <w:rFonts w:ascii="Arial" w:hAnsi="Arial" w:cs="Arial"/>
          <w:sz w:val="24"/>
          <w:szCs w:val="24"/>
        </w:rPr>
        <w:t xml:space="preserve"> or document</w:t>
      </w:r>
      <w:r w:rsidR="00304D02" w:rsidRPr="000B2671">
        <w:rPr>
          <w:rFonts w:ascii="Arial" w:hAnsi="Arial" w:cs="Arial"/>
          <w:sz w:val="24"/>
          <w:szCs w:val="24"/>
        </w:rPr>
        <w:t>s.</w:t>
      </w:r>
      <w:r w:rsidR="0066292F" w:rsidRPr="000B2671">
        <w:rPr>
          <w:rFonts w:ascii="Arial" w:hAnsi="Arial" w:cs="Arial"/>
          <w:sz w:val="24"/>
          <w:szCs w:val="24"/>
        </w:rPr>
        <w:t xml:space="preserve"> </w:t>
      </w:r>
    </w:p>
    <w:p w14:paraId="4FE71EAC" w14:textId="77777777" w:rsidR="0066292F" w:rsidRDefault="0066292F" w:rsidP="0066292F">
      <w:pPr>
        <w:pStyle w:val="ListParagraph"/>
        <w:spacing w:after="0"/>
        <w:jc w:val="both"/>
        <w:rPr>
          <w:rFonts w:ascii="Arial" w:hAnsi="Arial" w:cs="Arial"/>
          <w:sz w:val="24"/>
          <w:szCs w:val="24"/>
        </w:rPr>
      </w:pPr>
    </w:p>
    <w:p w14:paraId="6DCC2147" w14:textId="652F3B16" w:rsidR="0066292F"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30.</w:t>
      </w:r>
      <w:r>
        <w:rPr>
          <w:rFonts w:ascii="Arial" w:eastAsiaTheme="minorHAnsi" w:hAnsi="Arial" w:cs="Arial"/>
          <w:color w:val="auto"/>
          <w:sz w:val="24"/>
          <w:szCs w:val="24"/>
        </w:rPr>
        <w:tab/>
      </w:r>
      <w:r w:rsidR="0066292F" w:rsidRPr="000B2671">
        <w:rPr>
          <w:rFonts w:ascii="Arial" w:hAnsi="Arial" w:cs="Arial"/>
          <w:sz w:val="24"/>
          <w:szCs w:val="24"/>
        </w:rPr>
        <w:t>It is</w:t>
      </w:r>
      <w:r w:rsidR="00D07F83" w:rsidRPr="000B2671">
        <w:rPr>
          <w:rFonts w:ascii="Arial" w:hAnsi="Arial" w:cs="Arial"/>
          <w:sz w:val="24"/>
          <w:szCs w:val="24"/>
        </w:rPr>
        <w:t xml:space="preserve"> further this </w:t>
      </w:r>
      <w:r w:rsidR="003416D1" w:rsidRPr="000B2671">
        <w:rPr>
          <w:rFonts w:ascii="Arial" w:hAnsi="Arial" w:cs="Arial"/>
          <w:sz w:val="24"/>
          <w:szCs w:val="24"/>
        </w:rPr>
        <w:t>C</w:t>
      </w:r>
      <w:r w:rsidR="00D07F83" w:rsidRPr="000B2671">
        <w:rPr>
          <w:rFonts w:ascii="Arial" w:hAnsi="Arial" w:cs="Arial"/>
          <w:sz w:val="24"/>
          <w:szCs w:val="24"/>
        </w:rPr>
        <w:t xml:space="preserve">ourt’s view that the granting </w:t>
      </w:r>
      <w:r w:rsidR="00144085" w:rsidRPr="000B2671">
        <w:rPr>
          <w:rFonts w:ascii="Arial" w:hAnsi="Arial" w:cs="Arial"/>
          <w:sz w:val="24"/>
          <w:szCs w:val="24"/>
        </w:rPr>
        <w:t xml:space="preserve">of </w:t>
      </w:r>
      <w:r w:rsidR="00D07F83" w:rsidRPr="000B2671">
        <w:rPr>
          <w:rFonts w:ascii="Arial" w:hAnsi="Arial" w:cs="Arial"/>
          <w:sz w:val="24"/>
          <w:szCs w:val="24"/>
        </w:rPr>
        <w:t xml:space="preserve">any such amendments </w:t>
      </w:r>
      <w:r w:rsidR="003416D1" w:rsidRPr="000B2671">
        <w:rPr>
          <w:rFonts w:ascii="Arial" w:hAnsi="Arial" w:cs="Arial"/>
          <w:sz w:val="24"/>
          <w:szCs w:val="24"/>
        </w:rPr>
        <w:t>in this matter i</w:t>
      </w:r>
      <w:r w:rsidR="00D07F83" w:rsidRPr="000B2671">
        <w:rPr>
          <w:rFonts w:ascii="Arial" w:hAnsi="Arial" w:cs="Arial"/>
          <w:sz w:val="24"/>
          <w:szCs w:val="24"/>
        </w:rPr>
        <w:t xml:space="preserve">s to restore the real issue between the parties, namely the enforceability of the suretyship discussed above. </w:t>
      </w:r>
    </w:p>
    <w:p w14:paraId="1FD01448" w14:textId="77777777" w:rsidR="009F6DBB" w:rsidRPr="009F6DBB" w:rsidRDefault="009F6DBB" w:rsidP="009F6DBB">
      <w:pPr>
        <w:pStyle w:val="ListParagraph"/>
        <w:rPr>
          <w:rFonts w:ascii="Arial" w:hAnsi="Arial" w:cs="Arial"/>
          <w:sz w:val="24"/>
          <w:szCs w:val="24"/>
        </w:rPr>
      </w:pPr>
    </w:p>
    <w:p w14:paraId="555B04B2" w14:textId="73CFFB0D" w:rsidR="009F6DBB"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31.</w:t>
      </w:r>
      <w:r>
        <w:rPr>
          <w:rFonts w:ascii="Arial" w:eastAsiaTheme="minorHAnsi" w:hAnsi="Arial" w:cs="Arial"/>
          <w:color w:val="auto"/>
          <w:sz w:val="24"/>
          <w:szCs w:val="24"/>
        </w:rPr>
        <w:tab/>
      </w:r>
      <w:r w:rsidR="001A6B68" w:rsidRPr="000B2671">
        <w:rPr>
          <w:rFonts w:ascii="Arial" w:hAnsi="Arial" w:cs="Arial"/>
          <w:sz w:val="24"/>
          <w:szCs w:val="24"/>
        </w:rPr>
        <w:t>The Applicant in his pleadings</w:t>
      </w:r>
      <w:r w:rsidR="005E3393" w:rsidRPr="000B2671">
        <w:rPr>
          <w:rFonts w:ascii="Arial" w:hAnsi="Arial" w:cs="Arial"/>
          <w:sz w:val="24"/>
          <w:szCs w:val="24"/>
        </w:rPr>
        <w:t>, and up to the amendments contemplated herein</w:t>
      </w:r>
      <w:r w:rsidR="007D42AD" w:rsidRPr="000B2671">
        <w:rPr>
          <w:rFonts w:ascii="Arial" w:hAnsi="Arial" w:cs="Arial"/>
          <w:sz w:val="24"/>
          <w:szCs w:val="24"/>
        </w:rPr>
        <w:t>,</w:t>
      </w:r>
      <w:r w:rsidR="001A6B68" w:rsidRPr="000B2671">
        <w:rPr>
          <w:rFonts w:ascii="Arial" w:hAnsi="Arial" w:cs="Arial"/>
          <w:sz w:val="24"/>
          <w:szCs w:val="24"/>
        </w:rPr>
        <w:t xml:space="preserve"> denied that a suretyship agreement was in place between him and the Respondent. </w:t>
      </w:r>
    </w:p>
    <w:p w14:paraId="0C7B1A3C" w14:textId="77777777" w:rsidR="00604948" w:rsidRPr="00604948" w:rsidRDefault="00604948" w:rsidP="00604948">
      <w:pPr>
        <w:pStyle w:val="ListParagraph"/>
        <w:rPr>
          <w:rFonts w:ascii="Arial" w:hAnsi="Arial" w:cs="Arial"/>
          <w:sz w:val="24"/>
          <w:szCs w:val="24"/>
        </w:rPr>
      </w:pPr>
    </w:p>
    <w:p w14:paraId="5D75D50C" w14:textId="46907FFF" w:rsidR="00604948"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32.</w:t>
      </w:r>
      <w:r>
        <w:rPr>
          <w:rFonts w:ascii="Arial" w:eastAsiaTheme="minorHAnsi" w:hAnsi="Arial" w:cs="Arial"/>
          <w:color w:val="auto"/>
          <w:sz w:val="24"/>
          <w:szCs w:val="24"/>
        </w:rPr>
        <w:tab/>
      </w:r>
      <w:r w:rsidR="00604948" w:rsidRPr="000B2671">
        <w:rPr>
          <w:rFonts w:ascii="Arial" w:hAnsi="Arial" w:cs="Arial"/>
          <w:sz w:val="24"/>
          <w:szCs w:val="24"/>
        </w:rPr>
        <w:t xml:space="preserve">In this regard, it was necessary for the </w:t>
      </w:r>
      <w:r w:rsidR="000B1AB9" w:rsidRPr="000B2671">
        <w:rPr>
          <w:rFonts w:ascii="Arial" w:hAnsi="Arial" w:cs="Arial"/>
          <w:sz w:val="24"/>
          <w:szCs w:val="24"/>
        </w:rPr>
        <w:t>Applicant to amend his plea to remedy circumstances that appear</w:t>
      </w:r>
      <w:r w:rsidR="00F26A6E" w:rsidRPr="000B2671">
        <w:rPr>
          <w:rFonts w:ascii="Arial" w:hAnsi="Arial" w:cs="Arial"/>
          <w:sz w:val="24"/>
          <w:szCs w:val="24"/>
        </w:rPr>
        <w:t>ed</w:t>
      </w:r>
      <w:r w:rsidR="000B1AB9" w:rsidRPr="000B2671">
        <w:rPr>
          <w:rFonts w:ascii="Arial" w:hAnsi="Arial" w:cs="Arial"/>
          <w:sz w:val="24"/>
          <w:szCs w:val="24"/>
        </w:rPr>
        <w:t xml:space="preserve"> to be inadvertent, and not the doing of the </w:t>
      </w:r>
      <w:r w:rsidR="00402A92" w:rsidRPr="000B2671">
        <w:rPr>
          <w:rFonts w:ascii="Arial" w:hAnsi="Arial" w:cs="Arial"/>
          <w:sz w:val="24"/>
          <w:szCs w:val="24"/>
        </w:rPr>
        <w:t>Applicant personally</w:t>
      </w:r>
      <w:r w:rsidR="007F2496" w:rsidRPr="000B2671">
        <w:rPr>
          <w:rFonts w:ascii="Arial" w:hAnsi="Arial" w:cs="Arial"/>
          <w:sz w:val="24"/>
          <w:szCs w:val="24"/>
        </w:rPr>
        <w:t xml:space="preserve">. </w:t>
      </w:r>
    </w:p>
    <w:p w14:paraId="62819B58" w14:textId="77777777" w:rsidR="00402A92" w:rsidRPr="00402A92" w:rsidRDefault="00402A92" w:rsidP="00402A92">
      <w:pPr>
        <w:pStyle w:val="ListParagraph"/>
        <w:rPr>
          <w:rFonts w:ascii="Arial" w:hAnsi="Arial" w:cs="Arial"/>
          <w:sz w:val="24"/>
          <w:szCs w:val="24"/>
        </w:rPr>
      </w:pPr>
    </w:p>
    <w:p w14:paraId="3E5F20FF" w14:textId="24694EB3" w:rsidR="00402A92"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33.</w:t>
      </w:r>
      <w:r>
        <w:rPr>
          <w:rFonts w:ascii="Arial" w:eastAsiaTheme="minorHAnsi" w:hAnsi="Arial" w:cs="Arial"/>
          <w:color w:val="auto"/>
          <w:sz w:val="24"/>
          <w:szCs w:val="24"/>
        </w:rPr>
        <w:tab/>
      </w:r>
      <w:r w:rsidR="00402A92" w:rsidRPr="000B2671">
        <w:rPr>
          <w:rFonts w:ascii="Arial" w:hAnsi="Arial" w:cs="Arial"/>
          <w:sz w:val="24"/>
          <w:szCs w:val="24"/>
        </w:rPr>
        <w:t>This was further required to respond to the Respondent</w:t>
      </w:r>
      <w:r w:rsidR="00F24F0F" w:rsidRPr="000B2671">
        <w:rPr>
          <w:rFonts w:ascii="Arial" w:hAnsi="Arial" w:cs="Arial"/>
          <w:sz w:val="24"/>
          <w:szCs w:val="24"/>
        </w:rPr>
        <w:t>’</w:t>
      </w:r>
      <w:r w:rsidR="00402A92" w:rsidRPr="000B2671">
        <w:rPr>
          <w:rFonts w:ascii="Arial" w:hAnsi="Arial" w:cs="Arial"/>
          <w:sz w:val="24"/>
          <w:szCs w:val="24"/>
        </w:rPr>
        <w:t>s amended particulars of claim</w:t>
      </w:r>
      <w:r w:rsidR="00FA6612" w:rsidRPr="000B2671">
        <w:rPr>
          <w:rFonts w:ascii="Arial" w:hAnsi="Arial" w:cs="Arial"/>
          <w:sz w:val="24"/>
          <w:szCs w:val="24"/>
        </w:rPr>
        <w:t xml:space="preserve">, which sought to introduce a new claim of rectification, and </w:t>
      </w:r>
      <w:r w:rsidR="00F24F0F" w:rsidRPr="000B2671">
        <w:rPr>
          <w:rFonts w:ascii="Arial" w:hAnsi="Arial" w:cs="Arial"/>
          <w:sz w:val="24"/>
          <w:szCs w:val="24"/>
        </w:rPr>
        <w:t>in an</w:t>
      </w:r>
      <w:r w:rsidR="00FA6612" w:rsidRPr="000B2671">
        <w:rPr>
          <w:rFonts w:ascii="Arial" w:hAnsi="Arial" w:cs="Arial"/>
          <w:sz w:val="24"/>
          <w:szCs w:val="24"/>
        </w:rPr>
        <w:t xml:space="preserve"> </w:t>
      </w:r>
      <w:r w:rsidR="00A478C5" w:rsidRPr="000B2671">
        <w:rPr>
          <w:rFonts w:ascii="Arial" w:hAnsi="Arial" w:cs="Arial"/>
          <w:sz w:val="24"/>
          <w:szCs w:val="24"/>
        </w:rPr>
        <w:t>attempt to overcome what was an invalid deed of suretyship</w:t>
      </w:r>
      <w:r w:rsidR="008C615B" w:rsidRPr="000B2671">
        <w:rPr>
          <w:rFonts w:ascii="Arial" w:hAnsi="Arial" w:cs="Arial"/>
          <w:sz w:val="24"/>
          <w:szCs w:val="24"/>
        </w:rPr>
        <w:t xml:space="preserve">, and necessitating the Applicant to amend his plea. </w:t>
      </w:r>
    </w:p>
    <w:p w14:paraId="7AF0F584" w14:textId="77777777" w:rsidR="00A478C5" w:rsidRPr="00A478C5" w:rsidRDefault="00A478C5" w:rsidP="00A478C5">
      <w:pPr>
        <w:pStyle w:val="ListParagraph"/>
        <w:rPr>
          <w:rFonts w:ascii="Arial" w:hAnsi="Arial" w:cs="Arial"/>
          <w:sz w:val="24"/>
          <w:szCs w:val="24"/>
        </w:rPr>
      </w:pPr>
    </w:p>
    <w:p w14:paraId="5A293C08" w14:textId="4687F721" w:rsidR="00A478C5"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34.</w:t>
      </w:r>
      <w:r>
        <w:rPr>
          <w:rFonts w:ascii="Arial" w:eastAsiaTheme="minorHAnsi" w:hAnsi="Arial" w:cs="Arial"/>
          <w:color w:val="auto"/>
          <w:sz w:val="24"/>
          <w:szCs w:val="24"/>
        </w:rPr>
        <w:tab/>
      </w:r>
      <w:r w:rsidR="00A478C5" w:rsidRPr="000B2671">
        <w:rPr>
          <w:rFonts w:ascii="Arial" w:hAnsi="Arial" w:cs="Arial"/>
          <w:sz w:val="24"/>
          <w:szCs w:val="24"/>
        </w:rPr>
        <w:t xml:space="preserve">This approach of the Applicant was not inconsistent </w:t>
      </w:r>
      <w:r w:rsidR="005052C8" w:rsidRPr="000B2671">
        <w:rPr>
          <w:rFonts w:ascii="Arial" w:hAnsi="Arial" w:cs="Arial"/>
          <w:sz w:val="24"/>
          <w:szCs w:val="24"/>
        </w:rPr>
        <w:t xml:space="preserve">with his past conduct, and in my view not conduct introducing anything that the Respondent would have been unaware </w:t>
      </w:r>
      <w:r w:rsidR="00E02D93" w:rsidRPr="000B2671">
        <w:rPr>
          <w:rFonts w:ascii="Arial" w:hAnsi="Arial" w:cs="Arial"/>
          <w:sz w:val="24"/>
          <w:szCs w:val="24"/>
        </w:rPr>
        <w:t>of, or conduct to be regarded as prejudicial, and to reiterate</w:t>
      </w:r>
      <w:r w:rsidR="004D7C3F" w:rsidRPr="000B2671">
        <w:rPr>
          <w:rFonts w:ascii="Arial" w:hAnsi="Arial" w:cs="Arial"/>
          <w:sz w:val="24"/>
          <w:szCs w:val="24"/>
        </w:rPr>
        <w:t xml:space="preserve">, </w:t>
      </w:r>
      <w:r w:rsidR="001E09D6" w:rsidRPr="000B2671">
        <w:rPr>
          <w:rFonts w:ascii="Arial" w:hAnsi="Arial" w:cs="Arial"/>
          <w:sz w:val="24"/>
          <w:szCs w:val="24"/>
        </w:rPr>
        <w:t xml:space="preserve">was </w:t>
      </w:r>
      <w:r w:rsidR="004D7C3F" w:rsidRPr="000B2671">
        <w:rPr>
          <w:rFonts w:ascii="Arial" w:hAnsi="Arial" w:cs="Arial"/>
          <w:sz w:val="24"/>
          <w:szCs w:val="24"/>
        </w:rPr>
        <w:t xml:space="preserve">required to restate the legal issue between the parties. </w:t>
      </w:r>
    </w:p>
    <w:p w14:paraId="3BC671B1" w14:textId="77777777" w:rsidR="00D07F83" w:rsidRPr="00E06C6A" w:rsidRDefault="00D07F83" w:rsidP="00D07F83">
      <w:pPr>
        <w:pStyle w:val="ListParagraph"/>
        <w:spacing w:after="0"/>
        <w:jc w:val="both"/>
        <w:rPr>
          <w:rFonts w:ascii="Arial" w:hAnsi="Arial" w:cs="Arial"/>
          <w:sz w:val="24"/>
          <w:szCs w:val="24"/>
        </w:rPr>
      </w:pPr>
    </w:p>
    <w:p w14:paraId="32B336E4" w14:textId="5111E7C1" w:rsidR="0015374F"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35.</w:t>
      </w:r>
      <w:r w:rsidRPr="00A750FA">
        <w:rPr>
          <w:rFonts w:ascii="Arial" w:eastAsiaTheme="minorHAnsi" w:hAnsi="Arial" w:cs="Arial"/>
          <w:color w:val="auto"/>
          <w:sz w:val="24"/>
          <w:szCs w:val="24"/>
        </w:rPr>
        <w:tab/>
      </w:r>
      <w:r w:rsidR="00D07F83" w:rsidRPr="000B2671">
        <w:rPr>
          <w:rFonts w:ascii="Arial" w:hAnsi="Arial" w:cs="Arial"/>
          <w:sz w:val="24"/>
          <w:szCs w:val="24"/>
        </w:rPr>
        <w:t xml:space="preserve">Accordingly, </w:t>
      </w:r>
      <w:r w:rsidR="00C80C21" w:rsidRPr="000B2671">
        <w:rPr>
          <w:rFonts w:ascii="Arial" w:hAnsi="Arial" w:cs="Arial"/>
          <w:sz w:val="24"/>
          <w:szCs w:val="24"/>
        </w:rPr>
        <w:t xml:space="preserve">I confirm that the Applicant was entitled </w:t>
      </w:r>
      <w:r w:rsidR="0015374F" w:rsidRPr="000B2671">
        <w:rPr>
          <w:rFonts w:ascii="Arial" w:hAnsi="Arial" w:cs="Arial"/>
          <w:sz w:val="24"/>
          <w:szCs w:val="24"/>
        </w:rPr>
        <w:t xml:space="preserve">– </w:t>
      </w:r>
    </w:p>
    <w:p w14:paraId="2F2FBAB5" w14:textId="77777777" w:rsidR="00DD64CF" w:rsidRPr="00A750FA" w:rsidRDefault="00DD64CF" w:rsidP="00AD6BF6">
      <w:pPr>
        <w:pStyle w:val="ListParagraph"/>
        <w:spacing w:after="0"/>
        <w:jc w:val="both"/>
        <w:rPr>
          <w:rFonts w:ascii="Arial" w:hAnsi="Arial" w:cs="Arial"/>
          <w:sz w:val="24"/>
          <w:szCs w:val="24"/>
        </w:rPr>
      </w:pPr>
    </w:p>
    <w:p w14:paraId="54F23F9E" w14:textId="352A0D2B" w:rsidR="00E44D6D" w:rsidRPr="000B2671" w:rsidRDefault="000B2671" w:rsidP="000B2671">
      <w:pPr>
        <w:spacing w:after="0"/>
        <w:ind w:left="1440" w:hanging="360"/>
        <w:jc w:val="both"/>
        <w:rPr>
          <w:rFonts w:ascii="Arial" w:hAnsi="Arial" w:cs="Arial"/>
          <w:sz w:val="24"/>
          <w:szCs w:val="24"/>
        </w:rPr>
      </w:pPr>
      <w:r w:rsidRPr="00A750FA">
        <w:rPr>
          <w:rFonts w:ascii="Arial" w:eastAsiaTheme="minorHAnsi" w:hAnsi="Arial" w:cs="Arial"/>
          <w:color w:val="auto"/>
          <w:sz w:val="24"/>
          <w:szCs w:val="24"/>
        </w:rPr>
        <w:t>a.</w:t>
      </w:r>
      <w:r w:rsidRPr="00A750FA">
        <w:rPr>
          <w:rFonts w:ascii="Arial" w:eastAsiaTheme="minorHAnsi" w:hAnsi="Arial" w:cs="Arial"/>
          <w:color w:val="auto"/>
          <w:sz w:val="24"/>
          <w:szCs w:val="24"/>
        </w:rPr>
        <w:tab/>
      </w:r>
      <w:r w:rsidR="00B37150" w:rsidRPr="000B2671">
        <w:rPr>
          <w:rFonts w:ascii="Arial" w:hAnsi="Arial" w:cs="Arial"/>
          <w:sz w:val="24"/>
          <w:szCs w:val="24"/>
        </w:rPr>
        <w:t xml:space="preserve">To be granted leave to withdraw the formal admissions from his plea dated 17 May 2019 complained of by the Respondent in its Notice of Objection dated 28 </w:t>
      </w:r>
      <w:r w:rsidR="00E44D6D" w:rsidRPr="000B2671">
        <w:rPr>
          <w:rFonts w:ascii="Arial" w:hAnsi="Arial" w:cs="Arial"/>
          <w:sz w:val="24"/>
          <w:szCs w:val="24"/>
        </w:rPr>
        <w:t>January 2020; and</w:t>
      </w:r>
    </w:p>
    <w:p w14:paraId="7985473E" w14:textId="77777777" w:rsidR="00DD64CF" w:rsidRPr="00A750FA" w:rsidRDefault="00DD64CF" w:rsidP="00AD6BF6">
      <w:pPr>
        <w:pStyle w:val="ListParagraph"/>
        <w:spacing w:after="0"/>
        <w:ind w:left="1440"/>
        <w:jc w:val="both"/>
        <w:rPr>
          <w:rFonts w:ascii="Arial" w:hAnsi="Arial" w:cs="Arial"/>
          <w:sz w:val="24"/>
          <w:szCs w:val="24"/>
        </w:rPr>
      </w:pPr>
    </w:p>
    <w:p w14:paraId="108A7D34" w14:textId="68389AB5" w:rsidR="00192105" w:rsidRPr="000B2671" w:rsidRDefault="000B2671" w:rsidP="000B2671">
      <w:pPr>
        <w:spacing w:after="0"/>
        <w:ind w:left="1440" w:hanging="360"/>
        <w:jc w:val="both"/>
        <w:rPr>
          <w:rFonts w:ascii="Arial" w:hAnsi="Arial" w:cs="Arial"/>
          <w:sz w:val="24"/>
          <w:szCs w:val="24"/>
        </w:rPr>
      </w:pPr>
      <w:r>
        <w:rPr>
          <w:rFonts w:ascii="Arial" w:eastAsiaTheme="minorHAnsi" w:hAnsi="Arial" w:cs="Arial"/>
          <w:color w:val="auto"/>
          <w:sz w:val="24"/>
          <w:szCs w:val="24"/>
        </w:rPr>
        <w:t>b.</w:t>
      </w:r>
      <w:r>
        <w:rPr>
          <w:rFonts w:ascii="Arial" w:eastAsiaTheme="minorHAnsi" w:hAnsi="Arial" w:cs="Arial"/>
          <w:color w:val="auto"/>
          <w:sz w:val="24"/>
          <w:szCs w:val="24"/>
        </w:rPr>
        <w:tab/>
      </w:r>
      <w:r w:rsidR="00E44D6D" w:rsidRPr="000B2671">
        <w:rPr>
          <w:rFonts w:ascii="Arial" w:hAnsi="Arial" w:cs="Arial"/>
          <w:sz w:val="24"/>
          <w:szCs w:val="24"/>
        </w:rPr>
        <w:t xml:space="preserve">That the </w:t>
      </w:r>
      <w:r w:rsidR="009249A2" w:rsidRPr="000B2671">
        <w:rPr>
          <w:rFonts w:ascii="Arial" w:hAnsi="Arial" w:cs="Arial"/>
          <w:sz w:val="24"/>
          <w:szCs w:val="24"/>
        </w:rPr>
        <w:t>A</w:t>
      </w:r>
      <w:r w:rsidR="00E44D6D" w:rsidRPr="000B2671">
        <w:rPr>
          <w:rFonts w:ascii="Arial" w:hAnsi="Arial" w:cs="Arial"/>
          <w:sz w:val="24"/>
          <w:szCs w:val="24"/>
        </w:rPr>
        <w:t xml:space="preserve">pplicant be granted leave to amend </w:t>
      </w:r>
      <w:r w:rsidR="004B57F0" w:rsidRPr="000B2671">
        <w:rPr>
          <w:rFonts w:ascii="Arial" w:hAnsi="Arial" w:cs="Arial"/>
          <w:sz w:val="24"/>
          <w:szCs w:val="24"/>
        </w:rPr>
        <w:t>his</w:t>
      </w:r>
      <w:r w:rsidR="00E44D6D" w:rsidRPr="000B2671">
        <w:rPr>
          <w:rFonts w:ascii="Arial" w:hAnsi="Arial" w:cs="Arial"/>
          <w:sz w:val="24"/>
          <w:szCs w:val="24"/>
        </w:rPr>
        <w:t xml:space="preserve"> plea dated 17 May 2019 </w:t>
      </w:r>
      <w:r w:rsidR="00637411" w:rsidRPr="000B2671">
        <w:rPr>
          <w:rFonts w:ascii="Arial" w:hAnsi="Arial" w:cs="Arial"/>
          <w:sz w:val="24"/>
          <w:szCs w:val="24"/>
        </w:rPr>
        <w:t>in</w:t>
      </w:r>
      <w:r w:rsidR="00E44D6D" w:rsidRPr="000B2671">
        <w:rPr>
          <w:rFonts w:ascii="Arial" w:hAnsi="Arial" w:cs="Arial"/>
          <w:sz w:val="24"/>
          <w:szCs w:val="24"/>
        </w:rPr>
        <w:t xml:space="preserve"> accordance with the </w:t>
      </w:r>
      <w:r w:rsidR="00637411" w:rsidRPr="000B2671">
        <w:rPr>
          <w:rFonts w:ascii="Arial" w:hAnsi="Arial" w:cs="Arial"/>
          <w:sz w:val="24"/>
          <w:szCs w:val="24"/>
        </w:rPr>
        <w:t>A</w:t>
      </w:r>
      <w:r w:rsidR="00E44D6D" w:rsidRPr="000B2671">
        <w:rPr>
          <w:rFonts w:ascii="Arial" w:hAnsi="Arial" w:cs="Arial"/>
          <w:sz w:val="24"/>
          <w:szCs w:val="24"/>
        </w:rPr>
        <w:t>pplicant</w:t>
      </w:r>
      <w:r w:rsidR="00637411" w:rsidRPr="000B2671">
        <w:rPr>
          <w:rFonts w:ascii="Arial" w:hAnsi="Arial" w:cs="Arial"/>
          <w:sz w:val="24"/>
          <w:szCs w:val="24"/>
        </w:rPr>
        <w:t>’</w:t>
      </w:r>
      <w:r w:rsidR="00E44D6D" w:rsidRPr="000B2671">
        <w:rPr>
          <w:rFonts w:ascii="Arial" w:hAnsi="Arial" w:cs="Arial"/>
          <w:sz w:val="24"/>
          <w:szCs w:val="24"/>
        </w:rPr>
        <w:t>s notice of intent</w:t>
      </w:r>
      <w:r w:rsidR="00192105" w:rsidRPr="000B2671">
        <w:rPr>
          <w:rFonts w:ascii="Arial" w:hAnsi="Arial" w:cs="Arial"/>
          <w:sz w:val="24"/>
          <w:szCs w:val="24"/>
        </w:rPr>
        <w:t>ion to amend dated 23 January 2020.</w:t>
      </w:r>
    </w:p>
    <w:p w14:paraId="20D04815" w14:textId="77777777" w:rsidR="002D1EAF" w:rsidRPr="002D1EAF" w:rsidRDefault="002D1EAF" w:rsidP="002D1EAF">
      <w:pPr>
        <w:spacing w:after="0"/>
        <w:jc w:val="both"/>
        <w:rPr>
          <w:rFonts w:ascii="Arial" w:hAnsi="Arial" w:cs="Arial"/>
          <w:sz w:val="24"/>
          <w:szCs w:val="24"/>
        </w:rPr>
      </w:pPr>
    </w:p>
    <w:p w14:paraId="5A63C9CD" w14:textId="59CDACAD" w:rsidR="00DD64CF" w:rsidRPr="000B2671" w:rsidRDefault="000B2671" w:rsidP="000B2671">
      <w:pPr>
        <w:spacing w:after="0"/>
        <w:ind w:left="720" w:hanging="360"/>
        <w:jc w:val="both"/>
        <w:rPr>
          <w:rFonts w:ascii="Arial" w:hAnsi="Arial" w:cs="Arial"/>
          <w:sz w:val="24"/>
          <w:szCs w:val="24"/>
        </w:rPr>
      </w:pPr>
      <w:r>
        <w:rPr>
          <w:rFonts w:ascii="Arial" w:eastAsiaTheme="minorHAnsi" w:hAnsi="Arial" w:cs="Arial"/>
          <w:color w:val="auto"/>
          <w:sz w:val="24"/>
          <w:szCs w:val="24"/>
        </w:rPr>
        <w:t>36.</w:t>
      </w:r>
      <w:r>
        <w:rPr>
          <w:rFonts w:ascii="Arial" w:eastAsiaTheme="minorHAnsi" w:hAnsi="Arial" w:cs="Arial"/>
          <w:color w:val="auto"/>
          <w:sz w:val="24"/>
          <w:szCs w:val="24"/>
        </w:rPr>
        <w:tab/>
      </w:r>
      <w:r w:rsidR="003C1F70" w:rsidRPr="000B2671">
        <w:rPr>
          <w:rFonts w:ascii="Arial" w:hAnsi="Arial" w:cs="Arial"/>
          <w:sz w:val="24"/>
          <w:szCs w:val="24"/>
        </w:rPr>
        <w:t>A</w:t>
      </w:r>
      <w:r w:rsidR="002D1EAF" w:rsidRPr="000B2671">
        <w:rPr>
          <w:rFonts w:ascii="Arial" w:hAnsi="Arial" w:cs="Arial"/>
          <w:sz w:val="24"/>
          <w:szCs w:val="24"/>
        </w:rPr>
        <w:t xml:space="preserve">s I </w:t>
      </w:r>
      <w:r w:rsidR="00C25F60" w:rsidRPr="000B2671">
        <w:rPr>
          <w:rFonts w:ascii="Arial" w:hAnsi="Arial" w:cs="Arial"/>
          <w:sz w:val="24"/>
          <w:szCs w:val="24"/>
        </w:rPr>
        <w:t xml:space="preserve">have stated </w:t>
      </w:r>
      <w:r w:rsidR="003C1F70" w:rsidRPr="000B2671">
        <w:rPr>
          <w:rFonts w:ascii="Arial" w:hAnsi="Arial" w:cs="Arial"/>
          <w:sz w:val="24"/>
          <w:szCs w:val="24"/>
        </w:rPr>
        <w:t xml:space="preserve">that the suretyship failed to pass the first stage of the enquiry </w:t>
      </w:r>
      <w:r w:rsidR="00847D07" w:rsidRPr="000B2671">
        <w:rPr>
          <w:rFonts w:ascii="Arial" w:hAnsi="Arial" w:cs="Arial"/>
          <w:sz w:val="24"/>
          <w:szCs w:val="24"/>
        </w:rPr>
        <w:t>highlighted above</w:t>
      </w:r>
      <w:r w:rsidR="00B165ED" w:rsidRPr="000B2671">
        <w:rPr>
          <w:rFonts w:ascii="Arial" w:hAnsi="Arial" w:cs="Arial"/>
          <w:sz w:val="24"/>
          <w:szCs w:val="24"/>
        </w:rPr>
        <w:t>,</w:t>
      </w:r>
      <w:r w:rsidR="006804AE" w:rsidRPr="000B2671">
        <w:rPr>
          <w:rFonts w:ascii="Arial" w:hAnsi="Arial" w:cs="Arial"/>
          <w:sz w:val="24"/>
          <w:szCs w:val="24"/>
        </w:rPr>
        <w:t xml:space="preserve"> </w:t>
      </w:r>
      <w:r w:rsidR="003C1F70" w:rsidRPr="000B2671">
        <w:rPr>
          <w:rFonts w:ascii="Arial" w:hAnsi="Arial" w:cs="Arial"/>
          <w:sz w:val="24"/>
          <w:szCs w:val="24"/>
        </w:rPr>
        <w:t xml:space="preserve">it </w:t>
      </w:r>
      <w:r w:rsidR="00BC7B44" w:rsidRPr="000B2671">
        <w:rPr>
          <w:rFonts w:ascii="Arial" w:hAnsi="Arial" w:cs="Arial"/>
          <w:sz w:val="24"/>
          <w:szCs w:val="24"/>
        </w:rPr>
        <w:t>is in my view</w:t>
      </w:r>
      <w:r w:rsidR="00945D1D" w:rsidRPr="000B2671">
        <w:rPr>
          <w:rFonts w:ascii="Arial" w:hAnsi="Arial" w:cs="Arial"/>
          <w:sz w:val="24"/>
          <w:szCs w:val="24"/>
        </w:rPr>
        <w:t xml:space="preserve"> </w:t>
      </w:r>
      <w:r w:rsidR="00BC7B44" w:rsidRPr="000B2671">
        <w:rPr>
          <w:rFonts w:ascii="Arial" w:hAnsi="Arial" w:cs="Arial"/>
          <w:sz w:val="24"/>
          <w:szCs w:val="24"/>
        </w:rPr>
        <w:t>i</w:t>
      </w:r>
      <w:r w:rsidR="0062166A" w:rsidRPr="000B2671">
        <w:rPr>
          <w:rFonts w:ascii="Arial" w:hAnsi="Arial" w:cs="Arial"/>
          <w:sz w:val="24"/>
          <w:szCs w:val="24"/>
        </w:rPr>
        <w:t>nvalid</w:t>
      </w:r>
      <w:r w:rsidR="00E023AB" w:rsidRPr="000B2671">
        <w:rPr>
          <w:rFonts w:ascii="Arial" w:hAnsi="Arial" w:cs="Arial"/>
          <w:sz w:val="24"/>
          <w:szCs w:val="24"/>
        </w:rPr>
        <w:t xml:space="preserve"> and </w:t>
      </w:r>
      <w:r w:rsidR="00D67BB8" w:rsidRPr="000B2671">
        <w:rPr>
          <w:rFonts w:ascii="Arial" w:hAnsi="Arial" w:cs="Arial"/>
          <w:sz w:val="24"/>
          <w:szCs w:val="24"/>
        </w:rPr>
        <w:t xml:space="preserve">incapable </w:t>
      </w:r>
      <w:r w:rsidR="003C1F70" w:rsidRPr="000B2671">
        <w:rPr>
          <w:rFonts w:ascii="Arial" w:hAnsi="Arial" w:cs="Arial"/>
          <w:sz w:val="24"/>
          <w:szCs w:val="24"/>
        </w:rPr>
        <w:t>of rectification</w:t>
      </w:r>
      <w:r w:rsidR="001939C5" w:rsidRPr="000B2671">
        <w:rPr>
          <w:rFonts w:ascii="Arial" w:hAnsi="Arial" w:cs="Arial"/>
          <w:sz w:val="24"/>
          <w:szCs w:val="24"/>
        </w:rPr>
        <w:t xml:space="preserve">. </w:t>
      </w:r>
    </w:p>
    <w:p w14:paraId="01212EB5" w14:textId="77777777" w:rsidR="002D1EAF" w:rsidRPr="002D1EAF" w:rsidRDefault="002D1EAF" w:rsidP="002D1EAF">
      <w:pPr>
        <w:pStyle w:val="ListParagraph"/>
        <w:spacing w:after="0"/>
        <w:jc w:val="both"/>
        <w:rPr>
          <w:rFonts w:ascii="Arial" w:hAnsi="Arial" w:cs="Arial"/>
          <w:sz w:val="24"/>
          <w:szCs w:val="24"/>
        </w:rPr>
      </w:pPr>
    </w:p>
    <w:p w14:paraId="58F50BFD" w14:textId="59A45073" w:rsidR="005F20CD" w:rsidRPr="000B2671" w:rsidRDefault="000B2671" w:rsidP="000B2671">
      <w:pPr>
        <w:spacing w:after="0"/>
        <w:ind w:left="720" w:hanging="360"/>
        <w:jc w:val="both"/>
        <w:rPr>
          <w:rFonts w:ascii="Arial" w:hAnsi="Arial" w:cs="Arial"/>
          <w:sz w:val="24"/>
          <w:szCs w:val="24"/>
        </w:rPr>
      </w:pPr>
      <w:r w:rsidRPr="00A750FA">
        <w:rPr>
          <w:rFonts w:ascii="Arial" w:eastAsiaTheme="minorHAnsi" w:hAnsi="Arial" w:cs="Arial"/>
          <w:color w:val="auto"/>
          <w:sz w:val="24"/>
          <w:szCs w:val="24"/>
        </w:rPr>
        <w:t>37.</w:t>
      </w:r>
      <w:r w:rsidRPr="00A750FA">
        <w:rPr>
          <w:rFonts w:ascii="Arial" w:eastAsiaTheme="minorHAnsi" w:hAnsi="Arial" w:cs="Arial"/>
          <w:color w:val="auto"/>
          <w:sz w:val="24"/>
          <w:szCs w:val="24"/>
        </w:rPr>
        <w:tab/>
      </w:r>
      <w:r w:rsidR="00192105" w:rsidRPr="000B2671">
        <w:rPr>
          <w:rFonts w:ascii="Arial" w:hAnsi="Arial" w:cs="Arial"/>
          <w:sz w:val="24"/>
          <w:szCs w:val="24"/>
        </w:rPr>
        <w:t xml:space="preserve">I further confirm the order that </w:t>
      </w:r>
      <w:r w:rsidR="00D67BB8" w:rsidRPr="000B2671">
        <w:rPr>
          <w:rFonts w:ascii="Arial" w:hAnsi="Arial" w:cs="Arial"/>
          <w:sz w:val="24"/>
          <w:szCs w:val="24"/>
        </w:rPr>
        <w:t xml:space="preserve">the </w:t>
      </w:r>
      <w:r w:rsidR="00192105" w:rsidRPr="000B2671">
        <w:rPr>
          <w:rFonts w:ascii="Arial" w:hAnsi="Arial" w:cs="Arial"/>
          <w:sz w:val="24"/>
          <w:szCs w:val="24"/>
        </w:rPr>
        <w:t>Respondent pay the costs of the Application.</w:t>
      </w:r>
    </w:p>
    <w:p w14:paraId="51962152" w14:textId="77777777" w:rsidR="00A750FA" w:rsidRPr="00AD6BF6" w:rsidRDefault="00A750FA" w:rsidP="00A750FA">
      <w:pPr>
        <w:pStyle w:val="ListParagraph"/>
        <w:spacing w:after="0"/>
        <w:jc w:val="both"/>
        <w:rPr>
          <w:sz w:val="24"/>
          <w:szCs w:val="24"/>
        </w:rPr>
      </w:pPr>
    </w:p>
    <w:p w14:paraId="7F80A9D8" w14:textId="652FE9FD" w:rsidR="005F20CD" w:rsidRDefault="005F20CD" w:rsidP="005F20CD">
      <w:pPr>
        <w:jc w:val="both"/>
        <w:rPr>
          <w:sz w:val="24"/>
          <w:szCs w:val="24"/>
        </w:rPr>
      </w:pPr>
    </w:p>
    <w:p w14:paraId="7ACAE868" w14:textId="77777777" w:rsidR="00E761A3" w:rsidRDefault="00E761A3" w:rsidP="00E761A3">
      <w:pPr>
        <w:pStyle w:val="Paragraph12pt"/>
        <w:spacing w:after="0" w:line="240" w:lineRule="auto"/>
        <w:ind w:left="2880"/>
        <w:jc w:val="right"/>
        <w:rPr>
          <w:bCs/>
          <w:u w:val="single"/>
        </w:rPr>
      </w:pPr>
    </w:p>
    <w:tbl>
      <w:tblPr>
        <w:tblW w:w="0" w:type="auto"/>
        <w:tblInd w:w="5445" w:type="dxa"/>
        <w:tblBorders>
          <w:top w:val="single" w:sz="4" w:space="0" w:color="auto"/>
        </w:tblBorders>
        <w:tblLook w:val="0000" w:firstRow="0" w:lastRow="0" w:firstColumn="0" w:lastColumn="0" w:noHBand="0" w:noVBand="0"/>
      </w:tblPr>
      <w:tblGrid>
        <w:gridCol w:w="3525"/>
      </w:tblGrid>
      <w:tr w:rsidR="00E761A3" w14:paraId="7FFD6D4B" w14:textId="77777777" w:rsidTr="00855038">
        <w:trPr>
          <w:trHeight w:val="100"/>
        </w:trPr>
        <w:tc>
          <w:tcPr>
            <w:tcW w:w="3525" w:type="dxa"/>
          </w:tcPr>
          <w:p w14:paraId="5542D54A" w14:textId="77777777" w:rsidR="00E761A3" w:rsidRDefault="00E761A3" w:rsidP="00855038">
            <w:pPr>
              <w:pStyle w:val="Paragraph12pt"/>
              <w:spacing w:after="0" w:line="240" w:lineRule="auto"/>
              <w:jc w:val="right"/>
              <w:rPr>
                <w:bCs/>
                <w:u w:val="single"/>
              </w:rPr>
            </w:pPr>
          </w:p>
        </w:tc>
      </w:tr>
    </w:tbl>
    <w:p w14:paraId="3856C84A" w14:textId="77777777" w:rsidR="00E761A3" w:rsidRPr="000315F7" w:rsidRDefault="00E761A3" w:rsidP="00E761A3">
      <w:pPr>
        <w:pStyle w:val="Paragraph12pt"/>
        <w:spacing w:after="0" w:line="240" w:lineRule="auto"/>
        <w:jc w:val="right"/>
        <w:rPr>
          <w:b/>
          <w:bCs/>
        </w:rPr>
      </w:pPr>
      <w:r>
        <w:rPr>
          <w:b/>
          <w:bCs/>
        </w:rPr>
        <w:t>V HARRISON</w:t>
      </w:r>
    </w:p>
    <w:p w14:paraId="744E840A" w14:textId="77777777" w:rsidR="00E761A3" w:rsidRPr="00A26E96" w:rsidRDefault="00E761A3" w:rsidP="00E761A3">
      <w:pPr>
        <w:pStyle w:val="Paragraph12pt"/>
        <w:spacing w:after="0" w:line="240" w:lineRule="auto"/>
        <w:jc w:val="right"/>
        <w:rPr>
          <w:b/>
          <w:bCs/>
        </w:rPr>
      </w:pPr>
      <w:r w:rsidRPr="00A26E96">
        <w:rPr>
          <w:b/>
          <w:bCs/>
        </w:rPr>
        <w:t>ACTING JUDGE OF THE HIGH COURT</w:t>
      </w:r>
    </w:p>
    <w:p w14:paraId="032C6694" w14:textId="77777777" w:rsidR="00E761A3" w:rsidRDefault="00E761A3" w:rsidP="00E761A3">
      <w:pPr>
        <w:pStyle w:val="Paragraph12pt"/>
        <w:spacing w:after="0" w:line="240" w:lineRule="auto"/>
        <w:jc w:val="right"/>
        <w:rPr>
          <w:b/>
          <w:bCs/>
        </w:rPr>
      </w:pPr>
      <w:r w:rsidRPr="00A26E96">
        <w:rPr>
          <w:b/>
          <w:bCs/>
        </w:rPr>
        <w:t>GAUTENG LOCAL DIVISION, JOHANNESBURG</w:t>
      </w:r>
    </w:p>
    <w:p w14:paraId="1B1862EE" w14:textId="5B9BCC60" w:rsidR="006C44C4" w:rsidRDefault="006C44C4" w:rsidP="00E761A3">
      <w:pPr>
        <w:pStyle w:val="Paragraph12pt"/>
        <w:spacing w:after="0" w:line="240" w:lineRule="auto"/>
        <w:jc w:val="right"/>
        <w:rPr>
          <w:b/>
          <w:bCs/>
        </w:rPr>
      </w:pPr>
      <w:r>
        <w:rPr>
          <w:b/>
          <w:bCs/>
        </w:rPr>
        <w:t>Electronically submitted therefore unsigned</w:t>
      </w:r>
    </w:p>
    <w:p w14:paraId="6C699330" w14:textId="77777777" w:rsidR="006C44C4" w:rsidRPr="00A26E96" w:rsidRDefault="006C44C4" w:rsidP="00E761A3">
      <w:pPr>
        <w:pStyle w:val="Paragraph12pt"/>
        <w:spacing w:after="0" w:line="240" w:lineRule="auto"/>
        <w:jc w:val="right"/>
        <w:rPr>
          <w:b/>
          <w:bCs/>
        </w:rPr>
      </w:pPr>
    </w:p>
    <w:p w14:paraId="5967E174" w14:textId="77777777" w:rsidR="00E761A3" w:rsidRDefault="00E761A3" w:rsidP="00E761A3">
      <w:pPr>
        <w:pStyle w:val="Paragraph12pt"/>
        <w:spacing w:line="240" w:lineRule="auto"/>
        <w:jc w:val="left"/>
      </w:pPr>
    </w:p>
    <w:p w14:paraId="014106FF" w14:textId="7FCED629" w:rsidR="00E761A3" w:rsidRPr="00381850" w:rsidRDefault="006C44C4" w:rsidP="00E761A3">
      <w:pPr>
        <w:pStyle w:val="Paragraph12pt"/>
        <w:spacing w:line="240" w:lineRule="auto"/>
        <w:jc w:val="left"/>
        <w:rPr>
          <w:b/>
        </w:rPr>
      </w:pPr>
      <w:r>
        <w:t>DELIVERED</w:t>
      </w:r>
      <w:r w:rsidR="00E761A3">
        <w:t>:</w:t>
      </w:r>
      <w:r w:rsidR="00E761A3">
        <w:tab/>
      </w:r>
      <w:r w:rsidR="003E4262">
        <w:t xml:space="preserve"> This Judgment was prepared and authored by the Judge whose name is reflected and is handed down electronically by circulation to the Parties/their legal representatives by email and by uploading it to the electronic file of this matter on CaseLines.</w:t>
      </w:r>
      <w:r w:rsidR="00E761A3">
        <w:tab/>
      </w:r>
    </w:p>
    <w:p w14:paraId="36B625AD" w14:textId="36373B18" w:rsidR="00E761A3" w:rsidRDefault="003E4262" w:rsidP="00E761A3">
      <w:pPr>
        <w:pStyle w:val="Paragraph12pt"/>
        <w:spacing w:line="240" w:lineRule="auto"/>
        <w:jc w:val="left"/>
      </w:pPr>
      <w:r>
        <w:t>D</w:t>
      </w:r>
      <w:r w:rsidR="005D01D2">
        <w:t xml:space="preserve">ate of hand down is deemed to be </w:t>
      </w:r>
      <w:r w:rsidR="002C64E2">
        <w:t>21 June 2022</w:t>
      </w:r>
      <w:r w:rsidR="00E761A3">
        <w:tab/>
      </w:r>
    </w:p>
    <w:p w14:paraId="04D02ACE" w14:textId="77777777" w:rsidR="00E761A3" w:rsidRDefault="00E761A3" w:rsidP="00E761A3">
      <w:pPr>
        <w:pStyle w:val="Paragraph12pt"/>
        <w:spacing w:line="240" w:lineRule="auto"/>
        <w:jc w:val="left"/>
      </w:pPr>
    </w:p>
    <w:p w14:paraId="4106CE51" w14:textId="6E35BAC9" w:rsidR="00E761A3" w:rsidRDefault="00E761A3" w:rsidP="00E761A3">
      <w:pPr>
        <w:pStyle w:val="Paragraph12pt"/>
        <w:spacing w:line="240" w:lineRule="auto"/>
        <w:jc w:val="left"/>
        <w:rPr>
          <w:rFonts w:cs="Arial"/>
        </w:rPr>
      </w:pPr>
      <w:r w:rsidRPr="006C44C4">
        <w:rPr>
          <w:rFonts w:cs="Arial"/>
        </w:rPr>
        <w:t>Counsel for the Applicant:</w:t>
      </w:r>
      <w:r w:rsidRPr="006C44C4">
        <w:rPr>
          <w:rFonts w:cs="Arial"/>
        </w:rPr>
        <w:tab/>
      </w:r>
      <w:r w:rsidR="00421D75">
        <w:rPr>
          <w:rFonts w:cs="Arial"/>
        </w:rPr>
        <w:t>J</w:t>
      </w:r>
      <w:r w:rsidR="00C508B9">
        <w:rPr>
          <w:rFonts w:cs="Arial"/>
        </w:rPr>
        <w:t xml:space="preserve"> </w:t>
      </w:r>
      <w:r w:rsidR="00421D75">
        <w:rPr>
          <w:rFonts w:cs="Arial"/>
        </w:rPr>
        <w:t>A van Rooyen</w:t>
      </w:r>
    </w:p>
    <w:p w14:paraId="2A4F3E9D" w14:textId="03BFBEE5" w:rsidR="00421D75" w:rsidRPr="006C44C4" w:rsidRDefault="00421D75" w:rsidP="00E761A3">
      <w:pPr>
        <w:pStyle w:val="Paragraph12pt"/>
        <w:spacing w:line="240" w:lineRule="auto"/>
        <w:jc w:val="left"/>
        <w:rPr>
          <w:rFonts w:cs="Arial"/>
        </w:rPr>
      </w:pPr>
      <w:r>
        <w:rPr>
          <w:rFonts w:cs="Arial"/>
        </w:rPr>
        <w:t>Instructed by</w:t>
      </w:r>
      <w:r w:rsidR="00C508B9">
        <w:rPr>
          <w:rFonts w:cs="Arial"/>
        </w:rPr>
        <w:t>: Attorney D E Bruwer</w:t>
      </w:r>
    </w:p>
    <w:p w14:paraId="10C8AD05" w14:textId="717F7AC4" w:rsidR="0075484E" w:rsidRDefault="00E761A3" w:rsidP="00E761A3">
      <w:pPr>
        <w:jc w:val="both"/>
        <w:rPr>
          <w:rFonts w:ascii="Arial" w:hAnsi="Arial" w:cs="Arial"/>
        </w:rPr>
      </w:pPr>
      <w:r w:rsidRPr="00AD6BF6">
        <w:rPr>
          <w:rFonts w:ascii="Arial" w:hAnsi="Arial" w:cs="Arial"/>
        </w:rPr>
        <w:t>Counsel for the Respondent:</w:t>
      </w:r>
      <w:r w:rsidRPr="00AD6BF6">
        <w:rPr>
          <w:rFonts w:ascii="Arial" w:hAnsi="Arial" w:cs="Arial"/>
        </w:rPr>
        <w:tab/>
      </w:r>
      <w:r w:rsidR="00B64D50">
        <w:rPr>
          <w:rFonts w:ascii="Arial" w:hAnsi="Arial" w:cs="Arial"/>
        </w:rPr>
        <w:t>M Cajee</w:t>
      </w:r>
    </w:p>
    <w:p w14:paraId="5FF623E4" w14:textId="39DDABB2" w:rsidR="00B64D50" w:rsidRDefault="00B64D50" w:rsidP="00E761A3">
      <w:pPr>
        <w:jc w:val="both"/>
        <w:rPr>
          <w:rFonts w:ascii="Arial" w:hAnsi="Arial" w:cs="Arial"/>
        </w:rPr>
      </w:pPr>
      <w:r>
        <w:rPr>
          <w:rFonts w:ascii="Arial" w:hAnsi="Arial" w:cs="Arial"/>
        </w:rPr>
        <w:t>Instructed by: Farbridges</w:t>
      </w:r>
      <w:r w:rsidR="002C64E2">
        <w:rPr>
          <w:rFonts w:ascii="Arial" w:hAnsi="Arial" w:cs="Arial"/>
        </w:rPr>
        <w:t>,</w:t>
      </w:r>
      <w:r>
        <w:rPr>
          <w:rFonts w:ascii="Arial" w:hAnsi="Arial" w:cs="Arial"/>
        </w:rPr>
        <w:t>Werthei</w:t>
      </w:r>
      <w:r w:rsidR="002C64E2">
        <w:rPr>
          <w:rFonts w:ascii="Arial" w:hAnsi="Arial" w:cs="Arial"/>
        </w:rPr>
        <w:t>m</w:t>
      </w:r>
      <w:r>
        <w:rPr>
          <w:rFonts w:ascii="Arial" w:hAnsi="Arial" w:cs="Arial"/>
        </w:rPr>
        <w:t xml:space="preserve"> Becker Attorneys </w:t>
      </w:r>
    </w:p>
    <w:p w14:paraId="69045488" w14:textId="77777777" w:rsidR="00B64D50" w:rsidRDefault="00B64D50" w:rsidP="00E761A3">
      <w:pPr>
        <w:jc w:val="both"/>
        <w:rPr>
          <w:rFonts w:ascii="Arial" w:hAnsi="Arial" w:cs="Arial"/>
        </w:rPr>
      </w:pPr>
    </w:p>
    <w:p w14:paraId="43E85967" w14:textId="17615CC4" w:rsidR="00B64D50" w:rsidRDefault="00B64D50" w:rsidP="00E761A3">
      <w:pPr>
        <w:jc w:val="both"/>
        <w:rPr>
          <w:rFonts w:ascii="Arial" w:hAnsi="Arial" w:cs="Arial"/>
        </w:rPr>
      </w:pPr>
      <w:r>
        <w:rPr>
          <w:rFonts w:ascii="Arial" w:hAnsi="Arial" w:cs="Arial"/>
        </w:rPr>
        <w:t xml:space="preserve">DATE OF HEARING: </w:t>
      </w:r>
      <w:r w:rsidR="007D0292">
        <w:rPr>
          <w:rFonts w:ascii="Arial" w:hAnsi="Arial" w:cs="Arial"/>
        </w:rPr>
        <w:t xml:space="preserve">13 October 2020 </w:t>
      </w:r>
    </w:p>
    <w:p w14:paraId="78E4F9C4" w14:textId="5733D46C" w:rsidR="00233982" w:rsidRPr="000F2A66" w:rsidRDefault="007D0292" w:rsidP="000F2A66">
      <w:pPr>
        <w:jc w:val="both"/>
        <w:rPr>
          <w:rFonts w:ascii="Arial" w:hAnsi="Arial" w:cs="Arial"/>
        </w:rPr>
      </w:pPr>
      <w:r>
        <w:rPr>
          <w:rFonts w:ascii="Arial" w:hAnsi="Arial" w:cs="Arial"/>
        </w:rPr>
        <w:t>DATE OF ORDER OF COURT: 10 November 2020</w:t>
      </w:r>
    </w:p>
    <w:sectPr w:rsidR="00233982" w:rsidRPr="000F2A66">
      <w:headerReference w:type="default" r:id="rId9"/>
      <w:footerReference w:type="default" r:id="rId10"/>
      <w:pgSz w:w="11904" w:h="16834"/>
      <w:pgMar w:top="1440" w:right="138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A1398" w14:textId="77777777" w:rsidR="00340AFC" w:rsidRDefault="00340AFC" w:rsidP="00F11CE5">
      <w:pPr>
        <w:spacing w:after="0" w:line="240" w:lineRule="auto"/>
      </w:pPr>
      <w:r>
        <w:separator/>
      </w:r>
    </w:p>
  </w:endnote>
  <w:endnote w:type="continuationSeparator" w:id="0">
    <w:p w14:paraId="3028A6B4" w14:textId="77777777" w:rsidR="00340AFC" w:rsidRDefault="00340AFC" w:rsidP="00F1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70329"/>
      <w:docPartObj>
        <w:docPartGallery w:val="Page Numbers (Bottom of Page)"/>
        <w:docPartUnique/>
      </w:docPartObj>
    </w:sdtPr>
    <w:sdtEndPr/>
    <w:sdtContent>
      <w:sdt>
        <w:sdtPr>
          <w:id w:val="-1769616900"/>
          <w:docPartObj>
            <w:docPartGallery w:val="Page Numbers (Top of Page)"/>
            <w:docPartUnique/>
          </w:docPartObj>
        </w:sdtPr>
        <w:sdtEndPr/>
        <w:sdtContent>
          <w:p w14:paraId="32339915" w14:textId="7AEF0069" w:rsidR="00BC2D87" w:rsidRDefault="00BC2D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7A4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7A42">
              <w:rPr>
                <w:b/>
                <w:bCs/>
                <w:noProof/>
              </w:rPr>
              <w:t>5</w:t>
            </w:r>
            <w:r>
              <w:rPr>
                <w:b/>
                <w:bCs/>
                <w:sz w:val="24"/>
                <w:szCs w:val="24"/>
              </w:rPr>
              <w:fldChar w:fldCharType="end"/>
            </w:r>
          </w:p>
        </w:sdtContent>
      </w:sdt>
    </w:sdtContent>
  </w:sdt>
  <w:p w14:paraId="60023F46" w14:textId="77777777" w:rsidR="00BC2D87" w:rsidRDefault="00BC2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267C1" w14:textId="77777777" w:rsidR="00340AFC" w:rsidRDefault="00340AFC" w:rsidP="00F11CE5">
      <w:pPr>
        <w:spacing w:after="0" w:line="240" w:lineRule="auto"/>
      </w:pPr>
      <w:r>
        <w:separator/>
      </w:r>
    </w:p>
  </w:footnote>
  <w:footnote w:type="continuationSeparator" w:id="0">
    <w:p w14:paraId="72CC0C31" w14:textId="77777777" w:rsidR="00340AFC" w:rsidRDefault="00340AFC" w:rsidP="00F1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2429" w14:textId="5B1DF39E" w:rsidR="00F11CE5" w:rsidRDefault="00F11CE5">
    <w:pPr>
      <w:pStyle w:val="Header"/>
      <w:jc w:val="right"/>
    </w:pPr>
  </w:p>
  <w:p w14:paraId="3BA99FB8" w14:textId="77777777" w:rsidR="00F11CE5" w:rsidRDefault="00F11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E82"/>
    <w:multiLevelType w:val="hybridMultilevel"/>
    <w:tmpl w:val="46E2E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674F"/>
    <w:multiLevelType w:val="hybridMultilevel"/>
    <w:tmpl w:val="C25A8396"/>
    <w:lvl w:ilvl="0" w:tplc="593CD30A">
      <w:start w:val="1"/>
      <w:numFmt w:val="decimal"/>
      <w:lvlText w:val="(%1)"/>
      <w:lvlJc w:val="left"/>
      <w:pPr>
        <w:ind w:left="1920" w:hanging="16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B4F08DB"/>
    <w:multiLevelType w:val="hybridMultilevel"/>
    <w:tmpl w:val="C170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D5CDB"/>
    <w:multiLevelType w:val="hybridMultilevel"/>
    <w:tmpl w:val="2916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D180A"/>
    <w:multiLevelType w:val="hybridMultilevel"/>
    <w:tmpl w:val="B48E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84B7E"/>
    <w:multiLevelType w:val="hybridMultilevel"/>
    <w:tmpl w:val="D4DC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F5A0A"/>
    <w:multiLevelType w:val="hybridMultilevel"/>
    <w:tmpl w:val="E4FC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C5A52"/>
    <w:multiLevelType w:val="hybridMultilevel"/>
    <w:tmpl w:val="DD4E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82"/>
    <w:rsid w:val="00015EF7"/>
    <w:rsid w:val="00032F35"/>
    <w:rsid w:val="00076BA4"/>
    <w:rsid w:val="0008212A"/>
    <w:rsid w:val="00087A42"/>
    <w:rsid w:val="00097A7C"/>
    <w:rsid w:val="000B0A69"/>
    <w:rsid w:val="000B1AB9"/>
    <w:rsid w:val="000B2671"/>
    <w:rsid w:val="000D6FFD"/>
    <w:rsid w:val="000F2A66"/>
    <w:rsid w:val="00100B49"/>
    <w:rsid w:val="001234A4"/>
    <w:rsid w:val="001308AC"/>
    <w:rsid w:val="001319F7"/>
    <w:rsid w:val="001367AC"/>
    <w:rsid w:val="00144085"/>
    <w:rsid w:val="0015374F"/>
    <w:rsid w:val="0016554F"/>
    <w:rsid w:val="00192105"/>
    <w:rsid w:val="001939C5"/>
    <w:rsid w:val="001A6B68"/>
    <w:rsid w:val="001E09D6"/>
    <w:rsid w:val="00233982"/>
    <w:rsid w:val="00235006"/>
    <w:rsid w:val="00244A1B"/>
    <w:rsid w:val="00244EA3"/>
    <w:rsid w:val="0024675A"/>
    <w:rsid w:val="002561C2"/>
    <w:rsid w:val="00280869"/>
    <w:rsid w:val="00287042"/>
    <w:rsid w:val="002A133A"/>
    <w:rsid w:val="002C0D91"/>
    <w:rsid w:val="002C64E2"/>
    <w:rsid w:val="002D1EAF"/>
    <w:rsid w:val="002D71C1"/>
    <w:rsid w:val="00304D02"/>
    <w:rsid w:val="00340AFC"/>
    <w:rsid w:val="003416D1"/>
    <w:rsid w:val="0034770B"/>
    <w:rsid w:val="00356180"/>
    <w:rsid w:val="00374056"/>
    <w:rsid w:val="00377A4F"/>
    <w:rsid w:val="003B355E"/>
    <w:rsid w:val="003C1F70"/>
    <w:rsid w:val="003D00C1"/>
    <w:rsid w:val="003D2353"/>
    <w:rsid w:val="003E4262"/>
    <w:rsid w:val="00402A92"/>
    <w:rsid w:val="004064BC"/>
    <w:rsid w:val="00412818"/>
    <w:rsid w:val="00414EE8"/>
    <w:rsid w:val="00421D75"/>
    <w:rsid w:val="00453669"/>
    <w:rsid w:val="00455FBF"/>
    <w:rsid w:val="004B38EE"/>
    <w:rsid w:val="004B4A60"/>
    <w:rsid w:val="004B57F0"/>
    <w:rsid w:val="004D00AD"/>
    <w:rsid w:val="004D1321"/>
    <w:rsid w:val="004D79B1"/>
    <w:rsid w:val="004D7C3F"/>
    <w:rsid w:val="005052C8"/>
    <w:rsid w:val="00506F03"/>
    <w:rsid w:val="00533341"/>
    <w:rsid w:val="0054240D"/>
    <w:rsid w:val="005454E8"/>
    <w:rsid w:val="005457F5"/>
    <w:rsid w:val="00581000"/>
    <w:rsid w:val="0058661A"/>
    <w:rsid w:val="00591C50"/>
    <w:rsid w:val="005C3CE0"/>
    <w:rsid w:val="005D01D2"/>
    <w:rsid w:val="005E3393"/>
    <w:rsid w:val="005F0BC0"/>
    <w:rsid w:val="005F20CD"/>
    <w:rsid w:val="00604948"/>
    <w:rsid w:val="006051DD"/>
    <w:rsid w:val="00606F12"/>
    <w:rsid w:val="006201D7"/>
    <w:rsid w:val="006204AE"/>
    <w:rsid w:val="0062166A"/>
    <w:rsid w:val="00625D32"/>
    <w:rsid w:val="00633772"/>
    <w:rsid w:val="00634E8A"/>
    <w:rsid w:val="00637411"/>
    <w:rsid w:val="00660095"/>
    <w:rsid w:val="0066292F"/>
    <w:rsid w:val="00674B85"/>
    <w:rsid w:val="006804AE"/>
    <w:rsid w:val="006C44C4"/>
    <w:rsid w:val="006D3732"/>
    <w:rsid w:val="006D56E8"/>
    <w:rsid w:val="006F05F6"/>
    <w:rsid w:val="00705BDC"/>
    <w:rsid w:val="00740A40"/>
    <w:rsid w:val="007426D9"/>
    <w:rsid w:val="0075484E"/>
    <w:rsid w:val="00757318"/>
    <w:rsid w:val="007774A0"/>
    <w:rsid w:val="00787345"/>
    <w:rsid w:val="007A2A6A"/>
    <w:rsid w:val="007A2CE3"/>
    <w:rsid w:val="007A6C59"/>
    <w:rsid w:val="007C766B"/>
    <w:rsid w:val="007D0292"/>
    <w:rsid w:val="007D42AD"/>
    <w:rsid w:val="007F2496"/>
    <w:rsid w:val="007F6824"/>
    <w:rsid w:val="00820954"/>
    <w:rsid w:val="00823FEA"/>
    <w:rsid w:val="0082567A"/>
    <w:rsid w:val="008437AC"/>
    <w:rsid w:val="00847BBF"/>
    <w:rsid w:val="00847D07"/>
    <w:rsid w:val="00882369"/>
    <w:rsid w:val="008A1529"/>
    <w:rsid w:val="008C615B"/>
    <w:rsid w:val="008F3B85"/>
    <w:rsid w:val="009164B1"/>
    <w:rsid w:val="009249A2"/>
    <w:rsid w:val="009329D6"/>
    <w:rsid w:val="0094540B"/>
    <w:rsid w:val="00945D1D"/>
    <w:rsid w:val="0099592C"/>
    <w:rsid w:val="00996E90"/>
    <w:rsid w:val="009B161C"/>
    <w:rsid w:val="009B3145"/>
    <w:rsid w:val="009F1569"/>
    <w:rsid w:val="009F4BF0"/>
    <w:rsid w:val="009F6DBB"/>
    <w:rsid w:val="00A035F2"/>
    <w:rsid w:val="00A06767"/>
    <w:rsid w:val="00A478C5"/>
    <w:rsid w:val="00A65036"/>
    <w:rsid w:val="00A750FA"/>
    <w:rsid w:val="00A86B5F"/>
    <w:rsid w:val="00AB7B79"/>
    <w:rsid w:val="00AD6BF6"/>
    <w:rsid w:val="00AE2031"/>
    <w:rsid w:val="00AF7311"/>
    <w:rsid w:val="00B165ED"/>
    <w:rsid w:val="00B25BFD"/>
    <w:rsid w:val="00B31B32"/>
    <w:rsid w:val="00B37150"/>
    <w:rsid w:val="00B55D96"/>
    <w:rsid w:val="00B64D50"/>
    <w:rsid w:val="00B87DAF"/>
    <w:rsid w:val="00BB0BFB"/>
    <w:rsid w:val="00BC2D87"/>
    <w:rsid w:val="00BC7B44"/>
    <w:rsid w:val="00BD62CE"/>
    <w:rsid w:val="00BF76BD"/>
    <w:rsid w:val="00C10C8C"/>
    <w:rsid w:val="00C179B5"/>
    <w:rsid w:val="00C23B41"/>
    <w:rsid w:val="00C25F60"/>
    <w:rsid w:val="00C508B9"/>
    <w:rsid w:val="00C530CD"/>
    <w:rsid w:val="00C55C92"/>
    <w:rsid w:val="00C56BF4"/>
    <w:rsid w:val="00C63A52"/>
    <w:rsid w:val="00C80C21"/>
    <w:rsid w:val="00C9271D"/>
    <w:rsid w:val="00CA180C"/>
    <w:rsid w:val="00CA26C9"/>
    <w:rsid w:val="00CA352E"/>
    <w:rsid w:val="00CC7A4E"/>
    <w:rsid w:val="00CD3B9A"/>
    <w:rsid w:val="00CE06D8"/>
    <w:rsid w:val="00CF0DC5"/>
    <w:rsid w:val="00D05377"/>
    <w:rsid w:val="00D07DD0"/>
    <w:rsid w:val="00D07F83"/>
    <w:rsid w:val="00D223D7"/>
    <w:rsid w:val="00D5205E"/>
    <w:rsid w:val="00D61421"/>
    <w:rsid w:val="00D67BB8"/>
    <w:rsid w:val="00D91D75"/>
    <w:rsid w:val="00DA0F31"/>
    <w:rsid w:val="00DB4B82"/>
    <w:rsid w:val="00DD64CF"/>
    <w:rsid w:val="00DF0CC3"/>
    <w:rsid w:val="00E023AB"/>
    <w:rsid w:val="00E02D93"/>
    <w:rsid w:val="00E06C6A"/>
    <w:rsid w:val="00E2071B"/>
    <w:rsid w:val="00E44D6D"/>
    <w:rsid w:val="00E479C4"/>
    <w:rsid w:val="00E502A0"/>
    <w:rsid w:val="00E55ACC"/>
    <w:rsid w:val="00E761A3"/>
    <w:rsid w:val="00E77620"/>
    <w:rsid w:val="00ED13AE"/>
    <w:rsid w:val="00ED4E33"/>
    <w:rsid w:val="00EF50D5"/>
    <w:rsid w:val="00F11CE5"/>
    <w:rsid w:val="00F1717F"/>
    <w:rsid w:val="00F22121"/>
    <w:rsid w:val="00F24F0F"/>
    <w:rsid w:val="00F25FF6"/>
    <w:rsid w:val="00F26A6E"/>
    <w:rsid w:val="00F75DE8"/>
    <w:rsid w:val="00FA1883"/>
    <w:rsid w:val="00FA6612"/>
    <w:rsid w:val="00FB22B9"/>
    <w:rsid w:val="00FB31E1"/>
    <w:rsid w:val="00FE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F29C"/>
  <w15:docId w15:val="{1EE0600B-4389-44A2-9C22-1C1C54F2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9"/>
      <w:jc w:val="right"/>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F20CD"/>
    <w:pPr>
      <w:ind w:left="720"/>
      <w:contextualSpacing/>
    </w:pPr>
    <w:rPr>
      <w:rFonts w:asciiTheme="minorHAnsi" w:eastAsiaTheme="minorHAnsi" w:hAnsiTheme="minorHAnsi" w:cstheme="minorBidi"/>
      <w:color w:val="auto"/>
    </w:rPr>
  </w:style>
  <w:style w:type="paragraph" w:styleId="Revision">
    <w:name w:val="Revision"/>
    <w:hidden/>
    <w:uiPriority w:val="99"/>
    <w:semiHidden/>
    <w:rsid w:val="00533341"/>
    <w:pPr>
      <w:spacing w:after="0" w:line="240" w:lineRule="auto"/>
    </w:pPr>
    <w:rPr>
      <w:rFonts w:ascii="Calibri" w:eastAsia="Calibri" w:hAnsi="Calibri" w:cs="Calibri"/>
      <w:color w:val="000000"/>
    </w:rPr>
  </w:style>
  <w:style w:type="paragraph" w:customStyle="1" w:styleId="Paragraph12pt">
    <w:name w:val="Paragraph 12pt"/>
    <w:basedOn w:val="Normal"/>
    <w:rsid w:val="00E761A3"/>
    <w:pPr>
      <w:spacing w:after="240" w:line="480" w:lineRule="auto"/>
      <w:jc w:val="both"/>
    </w:pPr>
    <w:rPr>
      <w:rFonts w:ascii="Arial" w:eastAsia="Times New Roman" w:hAnsi="Arial" w:cs="Times New Roman"/>
      <w:color w:val="auto"/>
      <w:sz w:val="24"/>
      <w:szCs w:val="20"/>
      <w:lang w:val="en-ZA" w:eastAsia="ja-JP"/>
    </w:rPr>
  </w:style>
  <w:style w:type="paragraph" w:styleId="Header">
    <w:name w:val="header"/>
    <w:basedOn w:val="Normal"/>
    <w:link w:val="HeaderChar"/>
    <w:uiPriority w:val="99"/>
    <w:unhideWhenUsed/>
    <w:rsid w:val="00F11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E5"/>
    <w:rPr>
      <w:rFonts w:ascii="Calibri" w:eastAsia="Calibri" w:hAnsi="Calibri" w:cs="Calibri"/>
      <w:color w:val="000000"/>
    </w:rPr>
  </w:style>
  <w:style w:type="paragraph" w:styleId="Footer">
    <w:name w:val="footer"/>
    <w:basedOn w:val="Normal"/>
    <w:link w:val="FooterChar"/>
    <w:uiPriority w:val="99"/>
    <w:unhideWhenUsed/>
    <w:rsid w:val="00F11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E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B602-65CC-4113-992D-466D9C66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jhb admin</dc:creator>
  <cp:keywords/>
  <cp:lastModifiedBy>Mokone</cp:lastModifiedBy>
  <cp:revision>3</cp:revision>
  <cp:lastPrinted>2022-06-21T18:04:00Z</cp:lastPrinted>
  <dcterms:created xsi:type="dcterms:W3CDTF">2022-07-06T08:28:00Z</dcterms:created>
  <dcterms:modified xsi:type="dcterms:W3CDTF">2022-07-06T08:29:00Z</dcterms:modified>
</cp:coreProperties>
</file>