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154FF" w14:textId="66DB35E2" w:rsidR="006C43D7" w:rsidRPr="006C43D7" w:rsidRDefault="009F4B7E" w:rsidP="006C43D7">
      <w:pPr>
        <w:spacing w:after="120" w:line="360" w:lineRule="auto"/>
        <w:jc w:val="center"/>
        <w:rPr>
          <w:rFonts w:cs="Arial"/>
          <w:b/>
          <w:bCs/>
        </w:rPr>
      </w:pPr>
      <w:bookmarkStart w:id="0" w:name="_Hlk101781002"/>
      <w:bookmarkStart w:id="1" w:name="_GoBack"/>
      <w:bookmarkEnd w:id="1"/>
      <w:r w:rsidRPr="00A3372A">
        <w:rPr>
          <w:rFonts w:cs="Arial"/>
          <w:b/>
          <w:noProof/>
          <w:lang w:eastAsia="en-ZA"/>
        </w:rPr>
        <w:drawing>
          <wp:inline distT="0" distB="0" distL="0" distR="0" wp14:anchorId="48BE51A0" wp14:editId="0A8336D5">
            <wp:extent cx="1539240" cy="15392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inline>
        </w:drawing>
      </w:r>
    </w:p>
    <w:p w14:paraId="10E676F5" w14:textId="77777777" w:rsidR="006C43D7" w:rsidRPr="006C43D7" w:rsidRDefault="006C43D7" w:rsidP="006C43D7">
      <w:pPr>
        <w:jc w:val="center"/>
        <w:rPr>
          <w:b/>
        </w:rPr>
      </w:pPr>
      <w:r w:rsidRPr="006C43D7">
        <w:rPr>
          <w:b/>
        </w:rPr>
        <w:t xml:space="preserve">IN THE HIGH COURT OF SOUTH AFRICA, </w:t>
      </w:r>
    </w:p>
    <w:p w14:paraId="746E50F2" w14:textId="77777777" w:rsidR="006C43D7" w:rsidRPr="006C43D7" w:rsidRDefault="006C43D7" w:rsidP="006C43D7">
      <w:pPr>
        <w:jc w:val="center"/>
        <w:rPr>
          <w:b/>
        </w:rPr>
      </w:pPr>
      <w:r w:rsidRPr="006C43D7">
        <w:rPr>
          <w:b/>
        </w:rPr>
        <w:t>GAUTENG DIVISION, JOHANNESBURG</w:t>
      </w:r>
    </w:p>
    <w:p w14:paraId="472439BE" w14:textId="77777777" w:rsidR="006C43D7" w:rsidRPr="006C43D7" w:rsidRDefault="006C43D7" w:rsidP="006C43D7">
      <w:pPr>
        <w:jc w:val="both"/>
        <w:rPr>
          <w:b/>
        </w:rPr>
      </w:pPr>
    </w:p>
    <w:p w14:paraId="53C8022B" w14:textId="77777777" w:rsidR="006C43D7" w:rsidRPr="006C43D7" w:rsidRDefault="006C43D7" w:rsidP="006C43D7">
      <w:pPr>
        <w:spacing w:line="360" w:lineRule="auto"/>
        <w:jc w:val="right"/>
        <w:rPr>
          <w:b/>
        </w:rPr>
      </w:pPr>
      <w:r w:rsidRPr="006C43D7">
        <w:rPr>
          <w:b/>
        </w:rPr>
        <w:t xml:space="preserve">CASE NO: </w:t>
      </w:r>
      <w:r w:rsidR="00803CEC">
        <w:rPr>
          <w:b/>
        </w:rPr>
        <w:t>2022</w:t>
      </w:r>
      <w:r w:rsidR="00822050">
        <w:rPr>
          <w:b/>
        </w:rPr>
        <w:t>/650</w:t>
      </w:r>
    </w:p>
    <w:p w14:paraId="3B0804C9" w14:textId="452A49C0" w:rsidR="006C43D7" w:rsidRPr="006C43D7" w:rsidRDefault="009F4B7E" w:rsidP="006C43D7">
      <w:pPr>
        <w:spacing w:line="360" w:lineRule="auto"/>
        <w:jc w:val="right"/>
      </w:pPr>
      <w:r>
        <w:rPr>
          <w:noProof/>
          <w:lang w:eastAsia="en-ZA"/>
        </w:rPr>
        <mc:AlternateContent>
          <mc:Choice Requires="wps">
            <w:drawing>
              <wp:anchor distT="0" distB="0" distL="114300" distR="114300" simplePos="0" relativeHeight="251657728" behindDoc="0" locked="0" layoutInCell="1" allowOverlap="1" wp14:anchorId="484E3979" wp14:editId="773EF42D">
                <wp:simplePos x="0" y="0"/>
                <wp:positionH relativeFrom="margin">
                  <wp:align>left</wp:align>
                </wp:positionH>
                <wp:positionV relativeFrom="paragraph">
                  <wp:posOffset>49530</wp:posOffset>
                </wp:positionV>
                <wp:extent cx="3314700" cy="15925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62C2D38D" w14:textId="77777777" w:rsidR="00657EDA" w:rsidRPr="00913F95" w:rsidRDefault="00657EDA" w:rsidP="006C43D7">
                            <w:pPr>
                              <w:jc w:val="center"/>
                              <w:rPr>
                                <w:rFonts w:ascii="Century Gothic" w:hAnsi="Century Gothic"/>
                                <w:b/>
                                <w:sz w:val="20"/>
                                <w:szCs w:val="20"/>
                              </w:rPr>
                            </w:pPr>
                          </w:p>
                          <w:p w14:paraId="673AB3BE" w14:textId="77777777" w:rsidR="00657EDA" w:rsidRDefault="00657EDA"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14:paraId="520E72F6" w14:textId="77777777" w:rsidR="00657EDA" w:rsidRDefault="00657EDA"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410CB3">
                              <w:rPr>
                                <w:rFonts w:ascii="Century Gothic" w:hAnsi="Century Gothic"/>
                                <w:sz w:val="20"/>
                                <w:szCs w:val="20"/>
                              </w:rPr>
                              <w:t>NO</w:t>
                            </w:r>
                          </w:p>
                          <w:p w14:paraId="0F5D39A3" w14:textId="77777777" w:rsidR="00657EDA" w:rsidRPr="00913F95" w:rsidRDefault="00657EDA" w:rsidP="001D3CC2">
                            <w:pPr>
                              <w:ind w:left="180"/>
                              <w:rPr>
                                <w:rFonts w:ascii="Century Gothic" w:hAnsi="Century Gothic"/>
                                <w:sz w:val="20"/>
                                <w:szCs w:val="20"/>
                              </w:rPr>
                            </w:pPr>
                          </w:p>
                          <w:p w14:paraId="0678D5C5" w14:textId="77777777" w:rsidR="00657EDA" w:rsidRDefault="00657EDA" w:rsidP="006C43D7">
                            <w:pPr>
                              <w:rPr>
                                <w:rFonts w:ascii="Century Gothic" w:hAnsi="Century Gothic"/>
                                <w:b/>
                                <w:sz w:val="18"/>
                                <w:szCs w:val="18"/>
                              </w:rPr>
                            </w:pPr>
                          </w:p>
                          <w:p w14:paraId="64AD98D7" w14:textId="77777777" w:rsidR="00657EDA" w:rsidRPr="001D3CC2" w:rsidRDefault="00657EDA"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72CD6BBC" w14:textId="77777777" w:rsidR="00657EDA" w:rsidRPr="00084341" w:rsidRDefault="00657EDA"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484E3979" id="_x0000_t202" coordsize="21600,21600" o:spt="202" path="m,l,21600r21600,l21600,xe">
                <v:stroke joinstyle="miter"/>
                <v:path gradientshapeok="t" o:connecttype="rect"/>
              </v:shapetype>
              <v:shape id="Text Box 2" o:spid="_x0000_s1026" type="#_x0000_t202" style="position:absolute;left:0;text-align:left;margin-left:0;margin-top:3.9pt;width:261pt;height:125.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62C2D38D" w14:textId="77777777" w:rsidR="00657EDA" w:rsidRPr="00913F95" w:rsidRDefault="00657EDA" w:rsidP="006C43D7">
                      <w:pPr>
                        <w:jc w:val="center"/>
                        <w:rPr>
                          <w:rFonts w:ascii="Century Gothic" w:hAnsi="Century Gothic"/>
                          <w:b/>
                          <w:sz w:val="20"/>
                          <w:szCs w:val="20"/>
                        </w:rPr>
                      </w:pPr>
                    </w:p>
                    <w:p w14:paraId="673AB3BE" w14:textId="77777777" w:rsidR="00657EDA" w:rsidRDefault="00657EDA"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14:paraId="520E72F6" w14:textId="77777777" w:rsidR="00657EDA" w:rsidRDefault="00657EDA"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410CB3">
                        <w:rPr>
                          <w:rFonts w:ascii="Century Gothic" w:hAnsi="Century Gothic"/>
                          <w:sz w:val="20"/>
                          <w:szCs w:val="20"/>
                        </w:rPr>
                        <w:t>NO</w:t>
                      </w:r>
                    </w:p>
                    <w:p w14:paraId="0F5D39A3" w14:textId="77777777" w:rsidR="00657EDA" w:rsidRPr="00913F95" w:rsidRDefault="00657EDA" w:rsidP="001D3CC2">
                      <w:pPr>
                        <w:ind w:left="180"/>
                        <w:rPr>
                          <w:rFonts w:ascii="Century Gothic" w:hAnsi="Century Gothic"/>
                          <w:sz w:val="20"/>
                          <w:szCs w:val="20"/>
                        </w:rPr>
                      </w:pPr>
                    </w:p>
                    <w:p w14:paraId="0678D5C5" w14:textId="77777777" w:rsidR="00657EDA" w:rsidRDefault="00657EDA" w:rsidP="006C43D7">
                      <w:pPr>
                        <w:rPr>
                          <w:rFonts w:ascii="Century Gothic" w:hAnsi="Century Gothic"/>
                          <w:b/>
                          <w:sz w:val="18"/>
                          <w:szCs w:val="18"/>
                        </w:rPr>
                      </w:pPr>
                    </w:p>
                    <w:p w14:paraId="64AD98D7" w14:textId="77777777" w:rsidR="00657EDA" w:rsidRPr="001D3CC2" w:rsidRDefault="00657EDA"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72CD6BBC" w14:textId="77777777" w:rsidR="00657EDA" w:rsidRPr="00084341" w:rsidRDefault="00657EDA"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3DAC72B4" w14:textId="77777777" w:rsidR="006C43D7" w:rsidRPr="006C43D7" w:rsidRDefault="006C43D7" w:rsidP="006C43D7">
      <w:pPr>
        <w:spacing w:line="360" w:lineRule="auto"/>
        <w:jc w:val="both"/>
      </w:pPr>
    </w:p>
    <w:p w14:paraId="1BB93B82" w14:textId="77777777" w:rsidR="006C43D7" w:rsidRPr="006C43D7" w:rsidRDefault="006C43D7" w:rsidP="006C43D7">
      <w:pPr>
        <w:spacing w:line="360" w:lineRule="auto"/>
        <w:jc w:val="both"/>
      </w:pPr>
    </w:p>
    <w:p w14:paraId="2C2CB515" w14:textId="77777777" w:rsidR="006C43D7" w:rsidRPr="006C43D7" w:rsidRDefault="006C43D7" w:rsidP="006C43D7">
      <w:pPr>
        <w:spacing w:line="360" w:lineRule="auto"/>
        <w:jc w:val="both"/>
      </w:pPr>
    </w:p>
    <w:p w14:paraId="4A2BABB6" w14:textId="77777777" w:rsidR="006C43D7" w:rsidRPr="006C43D7" w:rsidRDefault="006C43D7" w:rsidP="006C43D7">
      <w:pPr>
        <w:spacing w:line="480" w:lineRule="auto"/>
        <w:jc w:val="both"/>
      </w:pPr>
    </w:p>
    <w:p w14:paraId="08675118" w14:textId="77777777" w:rsidR="006C43D7" w:rsidRPr="006C43D7" w:rsidRDefault="006C43D7" w:rsidP="006C43D7">
      <w:pPr>
        <w:spacing w:line="480" w:lineRule="auto"/>
        <w:jc w:val="both"/>
      </w:pPr>
    </w:p>
    <w:p w14:paraId="7E9EAF60" w14:textId="77777777" w:rsidR="001D3CC2" w:rsidRDefault="001D3CC2" w:rsidP="006C43D7">
      <w:pPr>
        <w:spacing w:line="480" w:lineRule="auto"/>
        <w:jc w:val="both"/>
        <w:rPr>
          <w:rFonts w:cs="Arial"/>
          <w:szCs w:val="22"/>
        </w:rPr>
      </w:pPr>
    </w:p>
    <w:p w14:paraId="28BAF5C8" w14:textId="77777777" w:rsidR="00AA7A76" w:rsidRPr="006C43D7" w:rsidRDefault="00AA7A76" w:rsidP="00AA7A76">
      <w:pPr>
        <w:spacing w:line="480" w:lineRule="auto"/>
        <w:jc w:val="both"/>
        <w:rPr>
          <w:rFonts w:cs="Arial"/>
          <w:szCs w:val="22"/>
        </w:rPr>
      </w:pPr>
      <w:r w:rsidRPr="006C43D7">
        <w:rPr>
          <w:rFonts w:cs="Arial"/>
          <w:szCs w:val="22"/>
        </w:rPr>
        <w:t>In the matter between:</w:t>
      </w:r>
    </w:p>
    <w:p w14:paraId="2773AF88" w14:textId="77777777" w:rsidR="00AA7A76" w:rsidRPr="006C43D7" w:rsidRDefault="00AA7A76" w:rsidP="00AA7A76">
      <w:pPr>
        <w:spacing w:line="480" w:lineRule="auto"/>
        <w:jc w:val="both"/>
        <w:rPr>
          <w:rFonts w:cs="Arial"/>
          <w:szCs w:val="22"/>
        </w:rPr>
      </w:pPr>
    </w:p>
    <w:tbl>
      <w:tblPr>
        <w:tblW w:w="0" w:type="auto"/>
        <w:tblLook w:val="0000" w:firstRow="0" w:lastRow="0" w:firstColumn="0" w:lastColumn="0" w:noHBand="0" w:noVBand="0"/>
      </w:tblPr>
      <w:tblGrid>
        <w:gridCol w:w="6027"/>
        <w:gridCol w:w="2285"/>
      </w:tblGrid>
      <w:tr w:rsidR="00963A0C" w:rsidRPr="006C43D7" w14:paraId="19C84144" w14:textId="77777777" w:rsidTr="00A660AF">
        <w:tc>
          <w:tcPr>
            <w:tcW w:w="6204" w:type="dxa"/>
          </w:tcPr>
          <w:p w14:paraId="1C21BEE3" w14:textId="77777777" w:rsidR="00963A0C" w:rsidRPr="0093799C" w:rsidRDefault="00822050" w:rsidP="000A6AD8">
            <w:pPr>
              <w:rPr>
                <w:rFonts w:cs="Arial"/>
                <w:b/>
                <w:bCs/>
                <w:szCs w:val="22"/>
              </w:rPr>
            </w:pPr>
            <w:r w:rsidRPr="00A3372A">
              <w:rPr>
                <w:rFonts w:cs="Calibri"/>
                <w:b/>
                <w:bCs/>
              </w:rPr>
              <w:t>SIYAKHULA SONKE EMPOWERMENT CORPORATION (PTY) LTD</w:t>
            </w:r>
          </w:p>
        </w:tc>
        <w:tc>
          <w:tcPr>
            <w:tcW w:w="2324" w:type="dxa"/>
          </w:tcPr>
          <w:p w14:paraId="55A4D312" w14:textId="77777777" w:rsidR="00822050" w:rsidRDefault="00822050" w:rsidP="00BF086D">
            <w:pPr>
              <w:jc w:val="right"/>
              <w:rPr>
                <w:rFonts w:cs="Arial"/>
                <w:szCs w:val="22"/>
              </w:rPr>
            </w:pPr>
          </w:p>
          <w:p w14:paraId="2F4233C1" w14:textId="77777777" w:rsidR="00963A0C" w:rsidRDefault="00B428A6" w:rsidP="00BF086D">
            <w:pPr>
              <w:jc w:val="right"/>
              <w:rPr>
                <w:rFonts w:cs="Arial"/>
                <w:szCs w:val="22"/>
              </w:rPr>
            </w:pPr>
            <w:r>
              <w:rPr>
                <w:rFonts w:cs="Arial"/>
                <w:szCs w:val="22"/>
              </w:rPr>
              <w:t>First Applicant</w:t>
            </w:r>
          </w:p>
        </w:tc>
      </w:tr>
      <w:tr w:rsidR="00963A0C" w:rsidRPr="006C43D7" w14:paraId="2DD07CBC" w14:textId="77777777" w:rsidTr="00A660AF">
        <w:tc>
          <w:tcPr>
            <w:tcW w:w="6204" w:type="dxa"/>
          </w:tcPr>
          <w:p w14:paraId="327C927D" w14:textId="77777777" w:rsidR="00963A0C" w:rsidRPr="0093799C" w:rsidRDefault="00963A0C" w:rsidP="000A6AD8">
            <w:pPr>
              <w:rPr>
                <w:rFonts w:cs="Arial"/>
                <w:b/>
                <w:bCs/>
                <w:szCs w:val="22"/>
              </w:rPr>
            </w:pPr>
          </w:p>
        </w:tc>
        <w:tc>
          <w:tcPr>
            <w:tcW w:w="2324" w:type="dxa"/>
          </w:tcPr>
          <w:p w14:paraId="700C9582" w14:textId="77777777" w:rsidR="00963A0C" w:rsidRDefault="00963A0C" w:rsidP="00BF086D">
            <w:pPr>
              <w:jc w:val="right"/>
              <w:rPr>
                <w:rFonts w:cs="Arial"/>
                <w:szCs w:val="22"/>
              </w:rPr>
            </w:pPr>
          </w:p>
        </w:tc>
      </w:tr>
      <w:tr w:rsidR="00B428A6" w:rsidRPr="006C43D7" w14:paraId="5907B3FA" w14:textId="77777777" w:rsidTr="00395239">
        <w:tc>
          <w:tcPr>
            <w:tcW w:w="6204" w:type="dxa"/>
          </w:tcPr>
          <w:p w14:paraId="324E1057" w14:textId="77777777" w:rsidR="00B428A6" w:rsidRPr="009835E3" w:rsidRDefault="00822050" w:rsidP="00395239">
            <w:pPr>
              <w:rPr>
                <w:b/>
                <w:szCs w:val="22"/>
              </w:rPr>
            </w:pPr>
            <w:r>
              <w:rPr>
                <w:b/>
                <w:bCs/>
              </w:rPr>
              <w:t>ARENDSE, FREDERICK SAM</w:t>
            </w:r>
          </w:p>
        </w:tc>
        <w:tc>
          <w:tcPr>
            <w:tcW w:w="2324" w:type="dxa"/>
          </w:tcPr>
          <w:p w14:paraId="77D59D7D" w14:textId="77777777" w:rsidR="00B428A6" w:rsidRDefault="00B428A6" w:rsidP="00395239">
            <w:pPr>
              <w:jc w:val="right"/>
              <w:rPr>
                <w:rFonts w:cs="Arial"/>
                <w:szCs w:val="22"/>
              </w:rPr>
            </w:pPr>
            <w:r>
              <w:rPr>
                <w:rFonts w:cs="Arial"/>
                <w:szCs w:val="22"/>
              </w:rPr>
              <w:t>Second Applicant</w:t>
            </w:r>
          </w:p>
        </w:tc>
      </w:tr>
      <w:tr w:rsidR="00B428A6" w:rsidRPr="006C43D7" w14:paraId="206E978C" w14:textId="77777777" w:rsidTr="00395239">
        <w:tc>
          <w:tcPr>
            <w:tcW w:w="6204" w:type="dxa"/>
          </w:tcPr>
          <w:p w14:paraId="1790697F" w14:textId="77777777" w:rsidR="00B428A6" w:rsidRPr="009835E3" w:rsidRDefault="00B428A6" w:rsidP="00395239">
            <w:pPr>
              <w:rPr>
                <w:b/>
                <w:szCs w:val="22"/>
              </w:rPr>
            </w:pPr>
          </w:p>
        </w:tc>
        <w:tc>
          <w:tcPr>
            <w:tcW w:w="2324" w:type="dxa"/>
          </w:tcPr>
          <w:p w14:paraId="1A2BE14A" w14:textId="77777777" w:rsidR="00B428A6" w:rsidRDefault="00B428A6" w:rsidP="00395239">
            <w:pPr>
              <w:jc w:val="right"/>
              <w:rPr>
                <w:rFonts w:cs="Arial"/>
                <w:szCs w:val="22"/>
              </w:rPr>
            </w:pPr>
          </w:p>
        </w:tc>
      </w:tr>
      <w:tr w:rsidR="00AA7A76" w:rsidRPr="006C43D7" w14:paraId="7B4D6C31" w14:textId="77777777" w:rsidTr="00B428A6">
        <w:trPr>
          <w:trHeight w:val="66"/>
        </w:trPr>
        <w:tc>
          <w:tcPr>
            <w:tcW w:w="6204" w:type="dxa"/>
          </w:tcPr>
          <w:p w14:paraId="4DB88A29" w14:textId="77777777" w:rsidR="00AA7A76" w:rsidRPr="00AA7A76" w:rsidRDefault="00073E30" w:rsidP="00073E30">
            <w:pPr>
              <w:rPr>
                <w:bCs/>
                <w:szCs w:val="22"/>
              </w:rPr>
            </w:pPr>
            <w:r>
              <w:rPr>
                <w:bCs/>
                <w:szCs w:val="22"/>
              </w:rPr>
              <w:t>a</w:t>
            </w:r>
            <w:r w:rsidR="00AA7A76" w:rsidRPr="00AA7A76">
              <w:rPr>
                <w:bCs/>
                <w:szCs w:val="22"/>
              </w:rPr>
              <w:t>nd</w:t>
            </w:r>
            <w:r>
              <w:rPr>
                <w:bCs/>
                <w:szCs w:val="22"/>
              </w:rPr>
              <w:t xml:space="preserve">  </w:t>
            </w:r>
          </w:p>
        </w:tc>
        <w:tc>
          <w:tcPr>
            <w:tcW w:w="2324" w:type="dxa"/>
          </w:tcPr>
          <w:p w14:paraId="3B99187E" w14:textId="77777777" w:rsidR="00AA7A76" w:rsidRPr="006C43D7" w:rsidRDefault="00AA7A76" w:rsidP="00FC42BD">
            <w:pPr>
              <w:jc w:val="right"/>
              <w:rPr>
                <w:rFonts w:cs="Arial"/>
                <w:szCs w:val="22"/>
              </w:rPr>
            </w:pPr>
          </w:p>
        </w:tc>
      </w:tr>
      <w:tr w:rsidR="00AA7A76" w:rsidRPr="006C43D7" w14:paraId="20EA0177" w14:textId="77777777" w:rsidTr="00A660AF">
        <w:tc>
          <w:tcPr>
            <w:tcW w:w="6204" w:type="dxa"/>
          </w:tcPr>
          <w:p w14:paraId="643C8C82" w14:textId="77777777" w:rsidR="00AA7A76" w:rsidRDefault="00AA7A76" w:rsidP="00FC42BD">
            <w:pPr>
              <w:rPr>
                <w:b/>
                <w:szCs w:val="22"/>
              </w:rPr>
            </w:pPr>
          </w:p>
        </w:tc>
        <w:tc>
          <w:tcPr>
            <w:tcW w:w="2324" w:type="dxa"/>
          </w:tcPr>
          <w:p w14:paraId="01E7490C" w14:textId="77777777" w:rsidR="00AA7A76" w:rsidRDefault="00AA7A76" w:rsidP="00AA7A76">
            <w:pPr>
              <w:rPr>
                <w:rFonts w:cs="Arial"/>
                <w:szCs w:val="22"/>
              </w:rPr>
            </w:pPr>
          </w:p>
        </w:tc>
      </w:tr>
      <w:tr w:rsidR="009835E3" w:rsidRPr="006C43D7" w14:paraId="41F0E2F4" w14:textId="77777777" w:rsidTr="00A660AF">
        <w:tc>
          <w:tcPr>
            <w:tcW w:w="6204" w:type="dxa"/>
          </w:tcPr>
          <w:p w14:paraId="4C46FD3C" w14:textId="77777777" w:rsidR="009835E3" w:rsidRPr="009835E3" w:rsidRDefault="00822050" w:rsidP="009835E3">
            <w:pPr>
              <w:rPr>
                <w:b/>
                <w:szCs w:val="22"/>
              </w:rPr>
            </w:pPr>
            <w:r w:rsidRPr="00A3372A">
              <w:rPr>
                <w:rFonts w:cs="Calibri"/>
                <w:b/>
                <w:bCs/>
              </w:rPr>
              <w:t>REDPATH MINING (SOUTH AFRICA) (PTY) LTD</w:t>
            </w:r>
          </w:p>
        </w:tc>
        <w:tc>
          <w:tcPr>
            <w:tcW w:w="2324" w:type="dxa"/>
          </w:tcPr>
          <w:p w14:paraId="5A6DD0D2" w14:textId="77777777" w:rsidR="009835E3" w:rsidRDefault="00822050" w:rsidP="00FC42BD">
            <w:pPr>
              <w:jc w:val="right"/>
              <w:rPr>
                <w:rFonts w:cs="Arial"/>
                <w:szCs w:val="22"/>
              </w:rPr>
            </w:pPr>
            <w:r>
              <w:rPr>
                <w:rFonts w:cs="Arial"/>
                <w:szCs w:val="22"/>
              </w:rPr>
              <w:t xml:space="preserve">First </w:t>
            </w:r>
            <w:r w:rsidR="009835E3">
              <w:rPr>
                <w:rFonts w:cs="Arial"/>
                <w:szCs w:val="22"/>
              </w:rPr>
              <w:t>Respondent</w:t>
            </w:r>
          </w:p>
        </w:tc>
      </w:tr>
      <w:tr w:rsidR="009835E3" w:rsidRPr="006C43D7" w14:paraId="6205E079" w14:textId="77777777" w:rsidTr="00A660AF">
        <w:tc>
          <w:tcPr>
            <w:tcW w:w="6204" w:type="dxa"/>
          </w:tcPr>
          <w:p w14:paraId="513F7C3D" w14:textId="77777777" w:rsidR="009835E3" w:rsidRDefault="009835E3" w:rsidP="009835E3">
            <w:pPr>
              <w:rPr>
                <w:b/>
                <w:szCs w:val="22"/>
              </w:rPr>
            </w:pPr>
          </w:p>
        </w:tc>
        <w:tc>
          <w:tcPr>
            <w:tcW w:w="2324" w:type="dxa"/>
          </w:tcPr>
          <w:p w14:paraId="0B8E0296" w14:textId="77777777" w:rsidR="009835E3" w:rsidRDefault="009835E3" w:rsidP="00FC42BD">
            <w:pPr>
              <w:jc w:val="right"/>
              <w:rPr>
                <w:rFonts w:cs="Arial"/>
                <w:szCs w:val="22"/>
              </w:rPr>
            </w:pPr>
          </w:p>
        </w:tc>
      </w:tr>
      <w:tr w:rsidR="00822050" w:rsidRPr="006C43D7" w14:paraId="651D2F2A" w14:textId="77777777" w:rsidTr="00A660AF">
        <w:tc>
          <w:tcPr>
            <w:tcW w:w="6204" w:type="dxa"/>
          </w:tcPr>
          <w:p w14:paraId="168173B3" w14:textId="77777777" w:rsidR="00822050" w:rsidRDefault="00822050" w:rsidP="009835E3">
            <w:pPr>
              <w:rPr>
                <w:b/>
                <w:szCs w:val="22"/>
              </w:rPr>
            </w:pPr>
            <w:r w:rsidRPr="00A3372A">
              <w:rPr>
                <w:rFonts w:cs="Calibri"/>
                <w:b/>
                <w:bCs/>
              </w:rPr>
              <w:t>REDPATH AFRICA LIMITED</w:t>
            </w:r>
          </w:p>
        </w:tc>
        <w:tc>
          <w:tcPr>
            <w:tcW w:w="2324" w:type="dxa"/>
          </w:tcPr>
          <w:p w14:paraId="7F406986" w14:textId="77777777" w:rsidR="00822050" w:rsidRDefault="00822050" w:rsidP="00FC42BD">
            <w:pPr>
              <w:jc w:val="right"/>
              <w:rPr>
                <w:rFonts w:cs="Arial"/>
                <w:szCs w:val="22"/>
              </w:rPr>
            </w:pPr>
            <w:r>
              <w:rPr>
                <w:rFonts w:cs="Arial"/>
                <w:szCs w:val="22"/>
              </w:rPr>
              <w:t>Second Respondent</w:t>
            </w:r>
          </w:p>
        </w:tc>
      </w:tr>
      <w:bookmarkEnd w:id="0"/>
    </w:tbl>
    <w:p w14:paraId="2BA75745" w14:textId="77777777" w:rsidR="006C43D7" w:rsidRDefault="006C43D7" w:rsidP="006C43D7">
      <w:pPr>
        <w:pBdr>
          <w:bottom w:val="single" w:sz="4" w:space="1" w:color="auto"/>
        </w:pBdr>
        <w:spacing w:line="360" w:lineRule="auto"/>
        <w:jc w:val="both"/>
        <w:rPr>
          <w:rFonts w:cs="Arial"/>
          <w:szCs w:val="22"/>
        </w:rPr>
      </w:pPr>
    </w:p>
    <w:p w14:paraId="4DCBB2F4" w14:textId="77777777" w:rsidR="00BF086D" w:rsidRPr="006C43D7" w:rsidRDefault="00BF086D" w:rsidP="006C43D7">
      <w:pPr>
        <w:pBdr>
          <w:bottom w:val="single" w:sz="4" w:space="1" w:color="auto"/>
        </w:pBdr>
        <w:spacing w:line="360" w:lineRule="auto"/>
        <w:jc w:val="both"/>
        <w:rPr>
          <w:rFonts w:cs="Arial"/>
          <w:szCs w:val="22"/>
        </w:rPr>
      </w:pPr>
    </w:p>
    <w:p w14:paraId="1A9D2005" w14:textId="77777777" w:rsidR="006C43D7" w:rsidRPr="006C43D7" w:rsidRDefault="006C43D7" w:rsidP="006C43D7">
      <w:pPr>
        <w:spacing w:line="276" w:lineRule="auto"/>
        <w:jc w:val="both"/>
        <w:rPr>
          <w:rFonts w:cs="Arial"/>
          <w:szCs w:val="22"/>
        </w:rPr>
      </w:pPr>
    </w:p>
    <w:p w14:paraId="18E23071"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3869239C" w14:textId="77777777" w:rsidR="006C43D7" w:rsidRPr="006C43D7" w:rsidRDefault="006C43D7" w:rsidP="006C43D7">
      <w:pPr>
        <w:pBdr>
          <w:bottom w:val="single" w:sz="4" w:space="1" w:color="auto"/>
        </w:pBdr>
        <w:jc w:val="both"/>
        <w:rPr>
          <w:rFonts w:cs="Arial"/>
          <w:szCs w:val="22"/>
        </w:rPr>
      </w:pPr>
    </w:p>
    <w:p w14:paraId="3487F93B" w14:textId="77777777" w:rsidR="006C43D7" w:rsidRPr="006C43D7" w:rsidRDefault="006C43D7" w:rsidP="006C43D7">
      <w:pPr>
        <w:spacing w:after="480" w:line="480" w:lineRule="auto"/>
        <w:jc w:val="both"/>
        <w:rPr>
          <w:rFonts w:cs="Arial"/>
          <w:szCs w:val="22"/>
        </w:rPr>
      </w:pPr>
    </w:p>
    <w:p w14:paraId="5F7112F1" w14:textId="77777777"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FF07E79" w14:textId="77777777" w:rsidR="003E0CE8" w:rsidRPr="00B6596D" w:rsidRDefault="003E0CE8" w:rsidP="008B2619">
      <w:pPr>
        <w:widowControl w:val="0"/>
        <w:spacing w:after="480" w:line="480" w:lineRule="auto"/>
        <w:jc w:val="both"/>
        <w:rPr>
          <w:rFonts w:cs="Arial"/>
          <w:bCs/>
          <w:i/>
          <w:iCs/>
          <w:szCs w:val="22"/>
          <w:u w:val="single"/>
        </w:rPr>
      </w:pPr>
      <w:r w:rsidRPr="00B6596D">
        <w:rPr>
          <w:rFonts w:cs="Arial"/>
          <w:bCs/>
          <w:i/>
          <w:iCs/>
          <w:szCs w:val="22"/>
          <w:u w:val="single"/>
        </w:rPr>
        <w:lastRenderedPageBreak/>
        <w:t>Summary</w:t>
      </w:r>
    </w:p>
    <w:p w14:paraId="1830900C" w14:textId="2EF53129" w:rsidR="003E0CE8" w:rsidRPr="007A270C" w:rsidRDefault="003E0CE8" w:rsidP="00B66993">
      <w:pPr>
        <w:widowControl w:val="0"/>
        <w:jc w:val="both"/>
        <w:rPr>
          <w:rFonts w:eastAsia="Calibri"/>
          <w:i/>
        </w:rPr>
      </w:pPr>
      <w:r w:rsidRPr="00B6596D">
        <w:rPr>
          <w:rFonts w:cs="Arial"/>
          <w:bCs/>
          <w:i/>
          <w:iCs/>
          <w:szCs w:val="22"/>
        </w:rPr>
        <w:t xml:space="preserve">Application for leave to appeal - </w:t>
      </w:r>
      <w:r w:rsidRPr="00B6596D">
        <w:rPr>
          <w:rFonts w:eastAsia="Calibri" w:cs="Arial"/>
          <w:i/>
          <w:iCs/>
          <w:szCs w:val="22"/>
        </w:rPr>
        <w:t xml:space="preserve">Section 17(1)(a)(i) and (ii) of the Superior Courts Act, 10 of 2013 – </w:t>
      </w:r>
      <w:r w:rsidR="004A2876" w:rsidRPr="00B6596D">
        <w:rPr>
          <w:rFonts w:eastAsia="Calibri" w:cs="Arial"/>
          <w:i/>
          <w:iCs/>
          <w:szCs w:val="22"/>
        </w:rPr>
        <w:t>Relief sought moot</w:t>
      </w:r>
      <w:r w:rsidR="00C71C51">
        <w:rPr>
          <w:rFonts w:eastAsia="Calibri" w:cs="Arial"/>
          <w:i/>
          <w:iCs/>
          <w:szCs w:val="22"/>
        </w:rPr>
        <w:t xml:space="preserve"> – </w:t>
      </w:r>
      <w:r w:rsidR="005E09B0">
        <w:rPr>
          <w:rFonts w:eastAsia="Calibri" w:cs="Arial"/>
          <w:i/>
          <w:iCs/>
          <w:szCs w:val="22"/>
        </w:rPr>
        <w:t>event</w:t>
      </w:r>
      <w:r w:rsidR="00C71C51">
        <w:rPr>
          <w:rFonts w:eastAsia="Calibri" w:cs="Arial"/>
          <w:i/>
          <w:iCs/>
          <w:szCs w:val="22"/>
        </w:rPr>
        <w:t xml:space="preserve"> sought to be interdicted </w:t>
      </w:r>
      <w:r w:rsidR="005E09B0">
        <w:rPr>
          <w:rFonts w:eastAsia="Calibri" w:cs="Arial"/>
          <w:i/>
          <w:iCs/>
          <w:szCs w:val="22"/>
        </w:rPr>
        <w:t>in the past</w:t>
      </w:r>
      <w:r w:rsidR="00AD00ED">
        <w:rPr>
          <w:rFonts w:eastAsia="Calibri" w:cs="Arial"/>
          <w:i/>
          <w:iCs/>
          <w:szCs w:val="22"/>
        </w:rPr>
        <w:t xml:space="preserve"> </w:t>
      </w:r>
      <w:r w:rsidR="004A2876" w:rsidRPr="00B6596D">
        <w:rPr>
          <w:rFonts w:eastAsia="Calibri" w:cs="Arial"/>
          <w:i/>
          <w:iCs/>
          <w:szCs w:val="22"/>
        </w:rPr>
        <w:t xml:space="preserve">- </w:t>
      </w:r>
      <w:r w:rsidR="00CB780F">
        <w:rPr>
          <w:rFonts w:eastAsia="Calibri" w:cs="Arial"/>
          <w:i/>
          <w:iCs/>
          <w:szCs w:val="22"/>
        </w:rPr>
        <w:t>N</w:t>
      </w:r>
      <w:r w:rsidRPr="00B6596D">
        <w:rPr>
          <w:rFonts w:eastAsia="Calibri" w:cs="Arial"/>
          <w:i/>
          <w:iCs/>
          <w:szCs w:val="22"/>
        </w:rPr>
        <w:t>o reasonable prospect of success or other compelling reason why appeal should be heard – Application dismissed</w:t>
      </w:r>
    </w:p>
    <w:p w14:paraId="5E77838D" w14:textId="29FEABC4" w:rsidR="00B66993" w:rsidRPr="007A270C" w:rsidRDefault="00B66993" w:rsidP="00B66993">
      <w:pPr>
        <w:widowControl w:val="0"/>
        <w:jc w:val="both"/>
        <w:rPr>
          <w:rFonts w:eastAsia="Calibri"/>
          <w:i/>
        </w:rPr>
      </w:pPr>
    </w:p>
    <w:p w14:paraId="4AD2EBEF" w14:textId="3581E0C2" w:rsidR="00B66993" w:rsidRDefault="00B66993" w:rsidP="00B66993">
      <w:pPr>
        <w:keepNext/>
        <w:jc w:val="both"/>
        <w:rPr>
          <w:rFonts w:cs="Arial"/>
          <w:bCs/>
          <w:i/>
          <w:iCs/>
          <w:szCs w:val="22"/>
        </w:rPr>
      </w:pPr>
      <w:r>
        <w:rPr>
          <w:rFonts w:cs="Arial"/>
          <w:bCs/>
          <w:i/>
          <w:iCs/>
          <w:szCs w:val="22"/>
        </w:rPr>
        <w:t xml:space="preserve">Joinder – Direct and substantial interest – Private company - Shareholder – </w:t>
      </w:r>
      <w:r w:rsidRPr="0053484B">
        <w:rPr>
          <w:rFonts w:cs="Arial"/>
          <w:bCs/>
          <w:i/>
          <w:iCs/>
          <w:szCs w:val="22"/>
        </w:rPr>
        <w:t>entered as such in securities register</w:t>
      </w:r>
      <w:r>
        <w:rPr>
          <w:rFonts w:cs="Arial"/>
          <w:bCs/>
          <w:i/>
          <w:iCs/>
          <w:szCs w:val="22"/>
        </w:rPr>
        <w:t xml:space="preserve"> - has to be joined in application to interdict a scheduled meeting of shareholders</w:t>
      </w:r>
    </w:p>
    <w:p w14:paraId="2A103521" w14:textId="77777777" w:rsidR="00B66993" w:rsidRPr="00B6596D" w:rsidRDefault="00B66993" w:rsidP="008B2619">
      <w:pPr>
        <w:widowControl w:val="0"/>
        <w:jc w:val="both"/>
        <w:rPr>
          <w:rFonts w:cs="Arial"/>
          <w:i/>
          <w:iCs/>
          <w:color w:val="000000"/>
          <w:szCs w:val="22"/>
          <w:shd w:val="clear" w:color="auto" w:fill="FFFFFF"/>
        </w:rPr>
      </w:pPr>
    </w:p>
    <w:p w14:paraId="1A12D6A8" w14:textId="77777777" w:rsidR="003E0CE8" w:rsidRPr="00B6596D" w:rsidRDefault="003E0CE8" w:rsidP="008B2619">
      <w:pPr>
        <w:widowControl w:val="0"/>
        <w:jc w:val="both"/>
        <w:rPr>
          <w:rFonts w:cs="Arial"/>
          <w:i/>
          <w:iCs/>
          <w:color w:val="000000"/>
          <w:szCs w:val="22"/>
          <w:shd w:val="clear" w:color="auto" w:fill="FFFFFF"/>
        </w:rPr>
      </w:pPr>
    </w:p>
    <w:p w14:paraId="5FC1AAA5" w14:textId="77777777" w:rsidR="003E0CE8" w:rsidRPr="00B6596D" w:rsidRDefault="003E0CE8" w:rsidP="008B2619">
      <w:pPr>
        <w:widowControl w:val="0"/>
        <w:jc w:val="both"/>
        <w:rPr>
          <w:rFonts w:cs="Arial"/>
          <w:i/>
          <w:iCs/>
          <w:szCs w:val="22"/>
        </w:rPr>
      </w:pPr>
    </w:p>
    <w:p w14:paraId="23BC5DF3" w14:textId="77777777" w:rsidR="00881C58" w:rsidRPr="00B6596D" w:rsidRDefault="00881C58" w:rsidP="008B2619">
      <w:pPr>
        <w:widowControl w:val="0"/>
        <w:spacing w:after="480" w:line="480" w:lineRule="auto"/>
        <w:jc w:val="both"/>
        <w:rPr>
          <w:rFonts w:cs="Arial"/>
          <w:bCs/>
          <w:szCs w:val="22"/>
          <w:u w:val="single"/>
        </w:rPr>
      </w:pPr>
    </w:p>
    <w:p w14:paraId="0C6CFD3C" w14:textId="77777777" w:rsidR="003E0CE8" w:rsidRPr="00B6596D" w:rsidRDefault="003E0CE8" w:rsidP="008B2619">
      <w:pPr>
        <w:widowControl w:val="0"/>
        <w:spacing w:after="480" w:line="480" w:lineRule="auto"/>
        <w:jc w:val="both"/>
        <w:rPr>
          <w:rFonts w:cs="Arial"/>
          <w:bCs/>
          <w:szCs w:val="22"/>
          <w:u w:val="single"/>
        </w:rPr>
      </w:pPr>
      <w:r w:rsidRPr="00B6596D">
        <w:rPr>
          <w:rFonts w:cs="Arial"/>
          <w:bCs/>
          <w:szCs w:val="22"/>
          <w:u w:val="single"/>
        </w:rPr>
        <w:t>Order</w:t>
      </w:r>
    </w:p>
    <w:p w14:paraId="4C3BA4FD" w14:textId="77777777" w:rsidR="00DA324B" w:rsidRPr="00B6596D" w:rsidRDefault="003E0CE8" w:rsidP="008B2619">
      <w:pPr>
        <w:widowControl w:val="0"/>
        <w:numPr>
          <w:ilvl w:val="0"/>
          <w:numId w:val="1"/>
        </w:numPr>
        <w:spacing w:after="480" w:line="480" w:lineRule="auto"/>
        <w:jc w:val="both"/>
        <w:rPr>
          <w:rFonts w:cs="Arial"/>
          <w:bCs/>
          <w:szCs w:val="22"/>
        </w:rPr>
      </w:pPr>
      <w:r w:rsidRPr="00B6596D">
        <w:rPr>
          <w:rFonts w:cs="Arial"/>
          <w:bCs/>
          <w:szCs w:val="22"/>
        </w:rPr>
        <w:t>I make the following order:</w:t>
      </w:r>
    </w:p>
    <w:p w14:paraId="27354E9C" w14:textId="77777777" w:rsidR="00DA324B" w:rsidRPr="00B6596D" w:rsidRDefault="003E0CE8" w:rsidP="008B2619">
      <w:pPr>
        <w:widowControl w:val="0"/>
        <w:numPr>
          <w:ilvl w:val="0"/>
          <w:numId w:val="10"/>
        </w:numPr>
        <w:spacing w:after="480" w:line="360" w:lineRule="auto"/>
        <w:ind w:left="1077" w:hanging="357"/>
        <w:jc w:val="both"/>
        <w:rPr>
          <w:rFonts w:cs="Arial"/>
          <w:i/>
          <w:iCs/>
          <w:szCs w:val="22"/>
        </w:rPr>
      </w:pPr>
      <w:r w:rsidRPr="00B6596D">
        <w:rPr>
          <w:rFonts w:cs="Arial"/>
          <w:i/>
          <w:iCs/>
          <w:szCs w:val="22"/>
        </w:rPr>
        <w:t>The application for leave to appeal is dismissed;</w:t>
      </w:r>
    </w:p>
    <w:p w14:paraId="43158233" w14:textId="77777777" w:rsidR="003E0CE8" w:rsidRPr="00B6596D" w:rsidRDefault="003E0CE8" w:rsidP="008B2619">
      <w:pPr>
        <w:widowControl w:val="0"/>
        <w:numPr>
          <w:ilvl w:val="0"/>
          <w:numId w:val="10"/>
        </w:numPr>
        <w:spacing w:after="480" w:line="360" w:lineRule="auto"/>
        <w:ind w:left="1077" w:hanging="357"/>
        <w:jc w:val="both"/>
        <w:rPr>
          <w:rFonts w:cs="Arial"/>
          <w:bCs/>
          <w:szCs w:val="22"/>
        </w:rPr>
      </w:pPr>
      <w:r w:rsidRPr="00B6596D">
        <w:rPr>
          <w:rFonts w:cs="Arial"/>
          <w:i/>
          <w:iCs/>
          <w:szCs w:val="22"/>
        </w:rPr>
        <w:t xml:space="preserve">The applicants for leave to appeal </w:t>
      </w:r>
      <w:r w:rsidR="00881C58" w:rsidRPr="00B6596D">
        <w:rPr>
          <w:rFonts w:cs="Arial"/>
          <w:i/>
          <w:iCs/>
          <w:szCs w:val="22"/>
        </w:rPr>
        <w:t>are</w:t>
      </w:r>
      <w:r w:rsidRPr="00B6596D">
        <w:rPr>
          <w:rFonts w:cs="Arial"/>
          <w:i/>
          <w:iCs/>
          <w:szCs w:val="22"/>
        </w:rPr>
        <w:t xml:space="preserve"> ordered to pay the costs of the application, </w:t>
      </w:r>
      <w:r w:rsidRPr="00B6596D">
        <w:rPr>
          <w:rFonts w:cs="Arial"/>
          <w:bCs/>
          <w:i/>
          <w:szCs w:val="22"/>
        </w:rPr>
        <w:t>including the costs of three counsel in respect of the first respondent</w:t>
      </w:r>
      <w:r w:rsidR="00054C53" w:rsidRPr="00B6596D">
        <w:rPr>
          <w:rFonts w:cs="Arial"/>
          <w:bCs/>
          <w:i/>
          <w:szCs w:val="22"/>
        </w:rPr>
        <w:t>,</w:t>
      </w:r>
      <w:r w:rsidRPr="00B6596D">
        <w:rPr>
          <w:rFonts w:cs="Arial"/>
          <w:bCs/>
          <w:i/>
          <w:szCs w:val="22"/>
        </w:rPr>
        <w:t xml:space="preserve"> jointly and severally the one paying the other to be absolved</w:t>
      </w:r>
      <w:r w:rsidRPr="00B6596D">
        <w:rPr>
          <w:rFonts w:cs="Arial"/>
          <w:i/>
          <w:iCs/>
          <w:szCs w:val="22"/>
        </w:rPr>
        <w:t>.</w:t>
      </w:r>
    </w:p>
    <w:p w14:paraId="2B30BBF7" w14:textId="77777777" w:rsidR="00E35DD0" w:rsidRPr="00B6596D" w:rsidRDefault="00E35DD0" w:rsidP="008B2619">
      <w:pPr>
        <w:widowControl w:val="0"/>
        <w:spacing w:after="480" w:line="480" w:lineRule="auto"/>
        <w:jc w:val="both"/>
        <w:rPr>
          <w:rFonts w:cs="Arial"/>
          <w:bCs/>
          <w:szCs w:val="22"/>
          <w:u w:val="single"/>
        </w:rPr>
      </w:pPr>
    </w:p>
    <w:p w14:paraId="07A7B99E" w14:textId="52984546" w:rsidR="008B2619" w:rsidRPr="00B6596D" w:rsidRDefault="008B2619" w:rsidP="008B2619">
      <w:pPr>
        <w:widowControl w:val="0"/>
        <w:spacing w:after="480" w:line="480" w:lineRule="auto"/>
        <w:jc w:val="both"/>
        <w:rPr>
          <w:rFonts w:cs="Arial"/>
          <w:bCs/>
          <w:szCs w:val="22"/>
          <w:u w:val="single"/>
        </w:rPr>
      </w:pPr>
      <w:r w:rsidRPr="00B6596D">
        <w:rPr>
          <w:rFonts w:cs="Arial"/>
          <w:bCs/>
          <w:szCs w:val="22"/>
          <w:u w:val="single"/>
        </w:rPr>
        <w:t>Uniform Rule</w:t>
      </w:r>
      <w:r w:rsidR="00B66993">
        <w:rPr>
          <w:rStyle w:val="FootnoteReference"/>
          <w:rFonts w:cs="Arial"/>
          <w:bCs/>
          <w:szCs w:val="22"/>
          <w:u w:val="single"/>
        </w:rPr>
        <w:footnoteReference w:id="2"/>
      </w:r>
      <w:r w:rsidRPr="00B6596D">
        <w:rPr>
          <w:rFonts w:cs="Arial"/>
          <w:bCs/>
          <w:szCs w:val="22"/>
          <w:u w:val="single"/>
        </w:rPr>
        <w:t xml:space="preserve"> 49(1)(b)</w:t>
      </w:r>
    </w:p>
    <w:p w14:paraId="48888F6E" w14:textId="0E6FC227" w:rsidR="008B2619" w:rsidRPr="00B6596D" w:rsidRDefault="008B2619" w:rsidP="008B2619">
      <w:pPr>
        <w:widowControl w:val="0"/>
        <w:numPr>
          <w:ilvl w:val="0"/>
          <w:numId w:val="1"/>
        </w:numPr>
        <w:spacing w:after="480" w:line="480" w:lineRule="auto"/>
        <w:jc w:val="both"/>
        <w:rPr>
          <w:rFonts w:cs="Arial"/>
          <w:bCs/>
          <w:szCs w:val="22"/>
          <w:u w:val="single"/>
        </w:rPr>
      </w:pPr>
      <w:r w:rsidRPr="00B6596D">
        <w:rPr>
          <w:rFonts w:cs="Arial"/>
          <w:bCs/>
          <w:szCs w:val="22"/>
        </w:rPr>
        <w:t xml:space="preserve">This is an application for leave to appeal. The judgment </w:t>
      </w:r>
      <w:r w:rsidR="00815915">
        <w:rPr>
          <w:rFonts w:cs="Arial"/>
          <w:bCs/>
          <w:szCs w:val="22"/>
        </w:rPr>
        <w:t xml:space="preserve">sought to be appealed </w:t>
      </w:r>
      <w:r w:rsidRPr="00B6596D">
        <w:rPr>
          <w:rFonts w:cs="Arial"/>
          <w:bCs/>
          <w:szCs w:val="22"/>
        </w:rPr>
        <w:t xml:space="preserve">was handed down and published on Caselines on 25 April 2022. A version to which a summary had been added was subsequently uploaded and the date reflected as 8 May </w:t>
      </w:r>
      <w:r w:rsidRPr="00B6596D">
        <w:rPr>
          <w:rFonts w:cs="Arial"/>
          <w:bCs/>
          <w:szCs w:val="22"/>
        </w:rPr>
        <w:lastRenderedPageBreak/>
        <w:t>2022. The notice of application for leave to appeal was filed on 27 May 2022.</w:t>
      </w:r>
    </w:p>
    <w:p w14:paraId="39F34F2B" w14:textId="3A06D78F" w:rsidR="008B2619" w:rsidRPr="00B6596D" w:rsidRDefault="008B2619" w:rsidP="008B2619">
      <w:pPr>
        <w:widowControl w:val="0"/>
        <w:numPr>
          <w:ilvl w:val="0"/>
          <w:numId w:val="1"/>
        </w:numPr>
        <w:spacing w:after="480" w:line="480" w:lineRule="auto"/>
        <w:jc w:val="both"/>
        <w:rPr>
          <w:rFonts w:cs="Arial"/>
          <w:bCs/>
          <w:szCs w:val="22"/>
          <w:u w:val="single"/>
        </w:rPr>
      </w:pPr>
      <w:r w:rsidRPr="00B6596D">
        <w:rPr>
          <w:rFonts w:cs="Arial"/>
          <w:bCs/>
          <w:szCs w:val="22"/>
        </w:rPr>
        <w:t xml:space="preserve">I am satisfied that the </w:t>
      </w:r>
      <w:r w:rsidR="00C63909">
        <w:rPr>
          <w:rFonts w:cs="Arial"/>
          <w:bCs/>
          <w:szCs w:val="22"/>
        </w:rPr>
        <w:t>legal representative</w:t>
      </w:r>
      <w:r w:rsidR="00CB780F">
        <w:rPr>
          <w:rFonts w:cs="Arial"/>
          <w:bCs/>
          <w:szCs w:val="22"/>
        </w:rPr>
        <w:t xml:space="preserve">s </w:t>
      </w:r>
      <w:r w:rsidRPr="00B6596D">
        <w:rPr>
          <w:rFonts w:cs="Arial"/>
          <w:bCs/>
          <w:szCs w:val="22"/>
        </w:rPr>
        <w:t xml:space="preserve">for the applicant had the date of 8 May 2022 in mind when preparing the notice of the application and that they were </w:t>
      </w:r>
      <w:r w:rsidRPr="00B6596D">
        <w:rPr>
          <w:rFonts w:cs="Arial"/>
          <w:bCs/>
          <w:i/>
          <w:iCs/>
          <w:szCs w:val="22"/>
        </w:rPr>
        <w:t>bona fide</w:t>
      </w:r>
      <w:r w:rsidRPr="00B6596D">
        <w:rPr>
          <w:rFonts w:cs="Arial"/>
          <w:bCs/>
          <w:szCs w:val="22"/>
        </w:rPr>
        <w:t xml:space="preserve"> in doing so, hence the absence of an application for condonation.</w:t>
      </w:r>
      <w:r w:rsidR="00CB780F">
        <w:rPr>
          <w:rFonts w:cs="Arial"/>
          <w:bCs/>
          <w:szCs w:val="22"/>
        </w:rPr>
        <w:t xml:space="preserve"> No prejudice was occasioned.</w:t>
      </w:r>
      <w:r w:rsidRPr="00B6596D">
        <w:rPr>
          <w:rFonts w:cs="Arial"/>
          <w:bCs/>
          <w:szCs w:val="22"/>
        </w:rPr>
        <w:t xml:space="preserve"> Good cause has been shown and the period of fifteen days is hereby extended in terms of Rule 49(1)(b).</w:t>
      </w:r>
    </w:p>
    <w:p w14:paraId="46310727" w14:textId="77777777" w:rsidR="008B2619" w:rsidRPr="00B6596D" w:rsidRDefault="008B2619" w:rsidP="008B2619">
      <w:pPr>
        <w:widowControl w:val="0"/>
        <w:spacing w:after="480" w:line="480" w:lineRule="auto"/>
        <w:jc w:val="both"/>
        <w:rPr>
          <w:rFonts w:cs="Arial"/>
          <w:bCs/>
          <w:szCs w:val="22"/>
          <w:u w:val="single"/>
        </w:rPr>
      </w:pPr>
    </w:p>
    <w:p w14:paraId="61EC3789" w14:textId="77777777" w:rsidR="003E0CE8" w:rsidRPr="00B6596D" w:rsidRDefault="003E0CE8" w:rsidP="008B2619">
      <w:pPr>
        <w:widowControl w:val="0"/>
        <w:spacing w:after="480" w:line="480" w:lineRule="auto"/>
        <w:jc w:val="both"/>
        <w:rPr>
          <w:rFonts w:cs="Arial"/>
          <w:bCs/>
          <w:szCs w:val="22"/>
          <w:u w:val="single"/>
        </w:rPr>
      </w:pPr>
      <w:r w:rsidRPr="00B6596D">
        <w:rPr>
          <w:rFonts w:cs="Arial"/>
          <w:bCs/>
          <w:szCs w:val="22"/>
          <w:u w:val="single"/>
        </w:rPr>
        <w:t xml:space="preserve">The test </w:t>
      </w:r>
      <w:r w:rsidR="00E35DD0" w:rsidRPr="00B6596D">
        <w:rPr>
          <w:rFonts w:cs="Arial"/>
          <w:bCs/>
          <w:szCs w:val="22"/>
          <w:u w:val="single"/>
        </w:rPr>
        <w:t xml:space="preserve">in an application </w:t>
      </w:r>
      <w:r w:rsidRPr="00B6596D">
        <w:rPr>
          <w:rFonts w:cs="Arial"/>
          <w:bCs/>
          <w:szCs w:val="22"/>
          <w:u w:val="single"/>
        </w:rPr>
        <w:t>for leave to appeal</w:t>
      </w:r>
    </w:p>
    <w:p w14:paraId="3E1B70D7" w14:textId="77777777" w:rsidR="003E0CE8" w:rsidRPr="00B6596D" w:rsidRDefault="00DA324B" w:rsidP="008B2619">
      <w:pPr>
        <w:widowControl w:val="0"/>
        <w:numPr>
          <w:ilvl w:val="0"/>
          <w:numId w:val="1"/>
        </w:numPr>
        <w:spacing w:before="480" w:after="480" w:line="480" w:lineRule="auto"/>
        <w:jc w:val="both"/>
        <w:rPr>
          <w:rFonts w:cs="Arial"/>
          <w:bCs/>
          <w:szCs w:val="22"/>
        </w:rPr>
      </w:pPr>
      <w:r w:rsidRPr="00B6596D">
        <w:rPr>
          <w:rFonts w:cs="Arial"/>
          <w:bCs/>
          <w:szCs w:val="22"/>
        </w:rPr>
        <w:t>In</w:t>
      </w:r>
      <w:r w:rsidR="003E0CE8" w:rsidRPr="00B6596D">
        <w:rPr>
          <w:rFonts w:cs="Arial"/>
          <w:bCs/>
          <w:szCs w:val="22"/>
        </w:rPr>
        <w:t xml:space="preserve"> </w:t>
      </w:r>
      <w:r w:rsidR="003E0CE8" w:rsidRPr="00B6596D">
        <w:rPr>
          <w:rFonts w:cs="Arial"/>
          <w:i/>
          <w:iCs/>
          <w:color w:val="000000"/>
          <w:szCs w:val="22"/>
          <w:shd w:val="clear" w:color="auto" w:fill="FFFFFF"/>
        </w:rPr>
        <w:t>Dexgroup (Pty) Ltd v Trustco Group International (Pty) Ltd</w:t>
      </w:r>
      <w:r w:rsidR="003E0CE8" w:rsidRPr="00B6596D">
        <w:rPr>
          <w:rStyle w:val="FootnoteReference"/>
          <w:rFonts w:cs="Arial"/>
          <w:bCs/>
          <w:szCs w:val="22"/>
        </w:rPr>
        <w:footnoteReference w:id="3"/>
      </w:r>
      <w:r w:rsidRPr="00B6596D">
        <w:rPr>
          <w:rFonts w:cs="Arial"/>
          <w:bCs/>
          <w:szCs w:val="22"/>
        </w:rPr>
        <w:t xml:space="preserve"> Wallis JA said:</w:t>
      </w:r>
    </w:p>
    <w:p w14:paraId="3DC4BB6D" w14:textId="77777777" w:rsidR="003E0CE8" w:rsidRDefault="003E0CE8" w:rsidP="008B2619">
      <w:pPr>
        <w:widowControl w:val="0"/>
        <w:spacing w:before="480" w:after="480" w:line="480" w:lineRule="auto"/>
        <w:ind w:left="1440"/>
        <w:jc w:val="both"/>
        <w:rPr>
          <w:rFonts w:cs="Arial"/>
          <w:bCs/>
          <w:i/>
          <w:iCs/>
          <w:color w:val="000000"/>
          <w:szCs w:val="22"/>
        </w:rPr>
      </w:pPr>
      <w:r w:rsidRPr="00B6596D">
        <w:rPr>
          <w:rFonts w:cs="Arial"/>
          <w:bCs/>
          <w:i/>
          <w:iCs/>
          <w:color w:val="000000"/>
          <w:szCs w:val="22"/>
        </w:rPr>
        <w:t>“T</w:t>
      </w:r>
      <w:r w:rsidRPr="00B6596D">
        <w:rPr>
          <w:rFonts w:cs="Arial"/>
          <w:i/>
          <w:iCs/>
          <w:color w:val="000000"/>
          <w:szCs w:val="22"/>
          <w:shd w:val="clear" w:color="auto" w:fill="FFFFFF"/>
        </w:rPr>
        <w:t>he need to obtain leave to appeal is a valuable tool in ensuring that scarce judicial resources are not spent on appeals that lack merit. </w:t>
      </w:r>
      <w:r w:rsidRPr="00B6596D">
        <w:rPr>
          <w:rFonts w:cs="Arial"/>
          <w:bCs/>
          <w:i/>
          <w:iCs/>
          <w:color w:val="000000"/>
          <w:szCs w:val="22"/>
        </w:rPr>
        <w:t>”</w:t>
      </w:r>
    </w:p>
    <w:p w14:paraId="3F571DD6" w14:textId="77777777" w:rsidR="003E0CE8" w:rsidRPr="00B6596D" w:rsidRDefault="003E0CE8" w:rsidP="008B2619">
      <w:pPr>
        <w:widowControl w:val="0"/>
        <w:numPr>
          <w:ilvl w:val="0"/>
          <w:numId w:val="1"/>
        </w:numPr>
        <w:spacing w:before="480" w:after="480" w:line="480" w:lineRule="auto"/>
        <w:jc w:val="both"/>
        <w:rPr>
          <w:rFonts w:cs="Arial"/>
          <w:bCs/>
          <w:szCs w:val="22"/>
        </w:rPr>
      </w:pPr>
      <w:r w:rsidRPr="00B6596D">
        <w:rPr>
          <w:rFonts w:eastAsia="Calibri" w:cs="Arial"/>
          <w:szCs w:val="22"/>
        </w:rPr>
        <w:t>Section 17(1)(a)(i) and (ii) of the Superior Courts Act, 10 of 2013 provides that leave to appeal may only be given where the judge or judges concerned are of the opinion that the appeal would have a reasonable prospect of success or there is some other compelling reason why the appeal should be heard, including conflicting judgments on the matter under consideration.</w:t>
      </w:r>
      <w:r w:rsidRPr="00B6596D">
        <w:rPr>
          <w:rFonts w:cs="Arial"/>
          <w:szCs w:val="22"/>
        </w:rPr>
        <w:t xml:space="preserve"> Once such an opinion is formed leave may not be refused.</w:t>
      </w:r>
    </w:p>
    <w:p w14:paraId="0C208166" w14:textId="77777777" w:rsidR="003E0CE8" w:rsidRPr="00B6596D" w:rsidRDefault="003E0CE8" w:rsidP="008B2619">
      <w:pPr>
        <w:widowControl w:val="0"/>
        <w:numPr>
          <w:ilvl w:val="0"/>
          <w:numId w:val="1"/>
        </w:numPr>
        <w:spacing w:before="480" w:after="480" w:line="480" w:lineRule="auto"/>
        <w:jc w:val="both"/>
        <w:rPr>
          <w:rFonts w:cs="Arial"/>
          <w:bCs/>
          <w:szCs w:val="22"/>
        </w:rPr>
      </w:pPr>
      <w:r w:rsidRPr="00B6596D">
        <w:rPr>
          <w:rFonts w:cs="Arial"/>
          <w:szCs w:val="22"/>
        </w:rPr>
        <w:t xml:space="preserve">An appeal may be dismissed purely on the ground that the issues are of such a nature that the decision sought will have no practical effect or result. The question whether the decision would have no practical effect or result is to be determined without </w:t>
      </w:r>
      <w:r w:rsidRPr="00B6596D">
        <w:rPr>
          <w:rFonts w:cs="Arial"/>
          <w:szCs w:val="22"/>
        </w:rPr>
        <w:lastRenderedPageBreak/>
        <w:t>reference to any consideration of costs unless the exceptional circumstances of the case dictate otherwise.</w:t>
      </w:r>
      <w:r w:rsidRPr="00B6596D">
        <w:rPr>
          <w:rStyle w:val="FootnoteReference"/>
          <w:rFonts w:cs="Arial"/>
          <w:szCs w:val="22"/>
        </w:rPr>
        <w:footnoteReference w:id="4"/>
      </w:r>
    </w:p>
    <w:p w14:paraId="5610D3AF" w14:textId="77777777" w:rsidR="003E0CE8" w:rsidRPr="00B6596D" w:rsidRDefault="003E0CE8" w:rsidP="008B2619">
      <w:pPr>
        <w:widowControl w:val="0"/>
        <w:numPr>
          <w:ilvl w:val="0"/>
          <w:numId w:val="1"/>
        </w:numPr>
        <w:spacing w:before="480" w:after="480" w:line="480" w:lineRule="auto"/>
        <w:jc w:val="both"/>
        <w:rPr>
          <w:rFonts w:cs="Arial"/>
          <w:bCs/>
          <w:szCs w:val="22"/>
        </w:rPr>
      </w:pPr>
      <w:r w:rsidRPr="00B6596D">
        <w:rPr>
          <w:rFonts w:cs="Arial"/>
          <w:szCs w:val="22"/>
        </w:rPr>
        <w:t>.</w:t>
      </w:r>
      <w:r w:rsidRPr="00B6596D">
        <w:rPr>
          <w:rFonts w:eastAsia="Calibri" w:cs="Arial"/>
          <w:szCs w:val="22"/>
        </w:rPr>
        <w:t xml:space="preserve">In </w:t>
      </w:r>
      <w:r w:rsidRPr="00B6596D">
        <w:rPr>
          <w:rFonts w:eastAsia="Calibri" w:cs="Arial"/>
          <w:i/>
          <w:iCs/>
          <w:szCs w:val="22"/>
        </w:rPr>
        <w:t>KwaZulu-Natal Law Society v Sharma</w:t>
      </w:r>
      <w:r w:rsidRPr="00B6596D">
        <w:rPr>
          <w:rStyle w:val="FootnoteReference"/>
          <w:rFonts w:eastAsia="Calibri" w:cs="Arial"/>
          <w:i/>
          <w:iCs/>
          <w:szCs w:val="22"/>
        </w:rPr>
        <w:footnoteReference w:id="5"/>
      </w:r>
      <w:r w:rsidRPr="00B6596D">
        <w:rPr>
          <w:rFonts w:eastAsia="Calibri" w:cs="Arial"/>
          <w:szCs w:val="22"/>
        </w:rPr>
        <w:t xml:space="preserve"> Van Zyl J held that the test enunciated in </w:t>
      </w:r>
      <w:r w:rsidRPr="00B6596D">
        <w:rPr>
          <w:rFonts w:eastAsia="Calibri" w:cs="Arial"/>
          <w:i/>
          <w:iCs/>
          <w:szCs w:val="22"/>
        </w:rPr>
        <w:t>S v Smith</w:t>
      </w:r>
      <w:r w:rsidR="00BB7A26" w:rsidRPr="00B6596D">
        <w:rPr>
          <w:rFonts w:eastAsia="Calibri" w:cs="Arial"/>
          <w:i/>
          <w:iCs/>
          <w:szCs w:val="22"/>
        </w:rPr>
        <w:t xml:space="preserve"> </w:t>
      </w:r>
      <w:r w:rsidRPr="00B6596D">
        <w:rPr>
          <w:rStyle w:val="FootnoteReference"/>
          <w:rFonts w:eastAsia="Calibri" w:cs="Arial"/>
          <w:i/>
          <w:iCs/>
          <w:szCs w:val="22"/>
        </w:rPr>
        <w:footnoteReference w:id="6"/>
      </w:r>
      <w:r w:rsidRPr="00B6596D">
        <w:rPr>
          <w:rFonts w:eastAsia="Calibri" w:cs="Arial"/>
          <w:szCs w:val="22"/>
        </w:rPr>
        <w:t xml:space="preserve"> still holds good:</w:t>
      </w:r>
    </w:p>
    <w:p w14:paraId="5E95D22A" w14:textId="77777777" w:rsidR="003E0CE8" w:rsidRPr="00B6596D" w:rsidRDefault="003E0CE8" w:rsidP="008B2619">
      <w:pPr>
        <w:widowControl w:val="0"/>
        <w:spacing w:before="480" w:after="480" w:line="360" w:lineRule="auto"/>
        <w:ind w:left="1440"/>
        <w:jc w:val="both"/>
        <w:rPr>
          <w:rFonts w:eastAsia="Calibri" w:cs="Arial"/>
          <w:i/>
          <w:iCs/>
          <w:szCs w:val="22"/>
        </w:rPr>
      </w:pPr>
      <w:r w:rsidRPr="00B6596D">
        <w:rPr>
          <w:rFonts w:eastAsia="Calibri" w:cs="Arial"/>
          <w:i/>
          <w:iCs/>
          <w:szCs w:val="22"/>
        </w:rPr>
        <w:t>“In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34AC7D2F" w14:textId="77777777" w:rsidR="003E0CE8" w:rsidRPr="00B6596D" w:rsidRDefault="00DA324B" w:rsidP="008B2619">
      <w:pPr>
        <w:widowControl w:val="0"/>
        <w:numPr>
          <w:ilvl w:val="0"/>
          <w:numId w:val="1"/>
        </w:numPr>
        <w:spacing w:before="480" w:after="480" w:line="480" w:lineRule="auto"/>
        <w:jc w:val="both"/>
        <w:rPr>
          <w:rFonts w:cs="Arial"/>
          <w:bCs/>
          <w:szCs w:val="22"/>
        </w:rPr>
      </w:pPr>
      <w:r w:rsidRPr="00B6596D">
        <w:rPr>
          <w:rFonts w:eastAsia="Calibri" w:cs="Arial"/>
          <w:szCs w:val="22"/>
        </w:rPr>
        <w:t xml:space="preserve">The test for leave to appeal is </w:t>
      </w:r>
      <w:r w:rsidR="00F36A25" w:rsidRPr="00B6596D">
        <w:rPr>
          <w:rFonts w:eastAsia="Calibri" w:cs="Arial"/>
          <w:szCs w:val="22"/>
        </w:rPr>
        <w:t xml:space="preserve">however </w:t>
      </w:r>
      <w:r w:rsidRPr="00B6596D">
        <w:rPr>
          <w:rFonts w:eastAsia="Calibri" w:cs="Arial"/>
          <w:szCs w:val="22"/>
        </w:rPr>
        <w:t>more stringent under the Superior Courts Act of 2013 than it was under the repealed Supreme Court Act, 59 of 1959.</w:t>
      </w:r>
      <w:r w:rsidR="003E0CE8" w:rsidRPr="006D11A7">
        <w:rPr>
          <w:rStyle w:val="FootnoteReference"/>
          <w:rFonts w:eastAsia="Calibri" w:cs="Arial"/>
          <w:szCs w:val="22"/>
        </w:rPr>
        <w:footnoteReference w:id="7"/>
      </w:r>
      <w:r w:rsidR="003E0CE8" w:rsidRPr="006D11A7">
        <w:rPr>
          <w:rFonts w:eastAsia="Calibri" w:cs="Arial"/>
          <w:szCs w:val="22"/>
        </w:rPr>
        <w:t xml:space="preserve"> </w:t>
      </w:r>
    </w:p>
    <w:p w14:paraId="228EC600" w14:textId="77777777" w:rsidR="006D11A7" w:rsidRDefault="006D11A7" w:rsidP="008B2619">
      <w:pPr>
        <w:widowControl w:val="0"/>
        <w:spacing w:after="480" w:line="480" w:lineRule="auto"/>
        <w:jc w:val="both"/>
        <w:rPr>
          <w:rFonts w:cs="Arial"/>
          <w:bCs/>
          <w:szCs w:val="22"/>
          <w:u w:val="single"/>
        </w:rPr>
      </w:pPr>
    </w:p>
    <w:p w14:paraId="584B4B70" w14:textId="5EE8C307" w:rsidR="003E0CE8" w:rsidRPr="00B6596D" w:rsidRDefault="003E0CE8" w:rsidP="008B2619">
      <w:pPr>
        <w:widowControl w:val="0"/>
        <w:spacing w:after="480" w:line="480" w:lineRule="auto"/>
        <w:jc w:val="both"/>
        <w:rPr>
          <w:rFonts w:cs="Arial"/>
          <w:bCs/>
          <w:szCs w:val="22"/>
          <w:u w:val="single"/>
        </w:rPr>
      </w:pPr>
      <w:r w:rsidRPr="00B6596D">
        <w:rPr>
          <w:rFonts w:cs="Arial"/>
          <w:bCs/>
          <w:szCs w:val="22"/>
          <w:u w:val="single"/>
        </w:rPr>
        <w:t>Analysis</w:t>
      </w:r>
    </w:p>
    <w:p w14:paraId="5B99FFF2" w14:textId="3931A731" w:rsidR="004F12D8" w:rsidRDefault="003B4100" w:rsidP="008B2619">
      <w:pPr>
        <w:widowControl w:val="0"/>
        <w:numPr>
          <w:ilvl w:val="0"/>
          <w:numId w:val="1"/>
        </w:numPr>
        <w:spacing w:before="480" w:after="480" w:line="480" w:lineRule="auto"/>
        <w:jc w:val="both"/>
        <w:rPr>
          <w:rFonts w:cs="Arial"/>
          <w:bCs/>
          <w:szCs w:val="22"/>
        </w:rPr>
      </w:pPr>
      <w:r w:rsidRPr="00B6596D">
        <w:rPr>
          <w:rFonts w:cs="Arial"/>
          <w:bCs/>
          <w:szCs w:val="22"/>
        </w:rPr>
        <w:t>The applicants sought an order</w:t>
      </w:r>
      <w:r w:rsidR="00A01C2E" w:rsidRPr="00B6596D">
        <w:rPr>
          <w:rFonts w:cs="Arial"/>
          <w:bCs/>
          <w:szCs w:val="22"/>
        </w:rPr>
        <w:t xml:space="preserve"> in the Urgent Court </w:t>
      </w:r>
      <w:r w:rsidR="00BB2EA1">
        <w:rPr>
          <w:rFonts w:cs="Arial"/>
          <w:bCs/>
          <w:szCs w:val="22"/>
        </w:rPr>
        <w:t>interdicting</w:t>
      </w:r>
      <w:r w:rsidRPr="00B6596D">
        <w:rPr>
          <w:rFonts w:cs="Arial"/>
          <w:bCs/>
          <w:szCs w:val="22"/>
        </w:rPr>
        <w:t xml:space="preserve"> a shareholders</w:t>
      </w:r>
      <w:r w:rsidR="006D16BE" w:rsidRPr="00B6596D">
        <w:rPr>
          <w:rFonts w:cs="Arial"/>
          <w:bCs/>
          <w:szCs w:val="22"/>
        </w:rPr>
        <w:t>’</w:t>
      </w:r>
      <w:r w:rsidRPr="00B6596D">
        <w:rPr>
          <w:rFonts w:cs="Arial"/>
          <w:bCs/>
          <w:szCs w:val="22"/>
        </w:rPr>
        <w:t xml:space="preserve"> meeting of the first respondent</w:t>
      </w:r>
      <w:r w:rsidR="00245133" w:rsidRPr="00B6596D">
        <w:rPr>
          <w:rFonts w:cs="Arial"/>
          <w:bCs/>
          <w:szCs w:val="22"/>
        </w:rPr>
        <w:t xml:space="preserve">. I held that the application was not urgent, and that </w:t>
      </w:r>
      <w:r w:rsidR="001C3628" w:rsidRPr="00B6596D">
        <w:rPr>
          <w:rFonts w:cs="Arial"/>
          <w:bCs/>
          <w:szCs w:val="22"/>
        </w:rPr>
        <w:t xml:space="preserve">the </w:t>
      </w:r>
      <w:r w:rsidR="001C3628" w:rsidRPr="00B6596D">
        <w:rPr>
          <w:rFonts w:cs="Arial"/>
          <w:bCs/>
          <w:szCs w:val="22"/>
        </w:rPr>
        <w:lastRenderedPageBreak/>
        <w:t>application</w:t>
      </w:r>
      <w:r w:rsidR="00245133" w:rsidRPr="00B6596D">
        <w:rPr>
          <w:rFonts w:cs="Arial"/>
          <w:bCs/>
          <w:szCs w:val="22"/>
        </w:rPr>
        <w:t xml:space="preserve"> was rendered fatally defective by the non-joinder of </w:t>
      </w:r>
      <w:r w:rsidR="001C3628" w:rsidRPr="00B6596D">
        <w:rPr>
          <w:rFonts w:cs="Arial"/>
          <w:bCs/>
          <w:szCs w:val="22"/>
        </w:rPr>
        <w:t>the</w:t>
      </w:r>
      <w:r w:rsidR="00245133" w:rsidRPr="00B6596D">
        <w:rPr>
          <w:rFonts w:cs="Arial"/>
          <w:bCs/>
          <w:szCs w:val="22"/>
        </w:rPr>
        <w:t xml:space="preserve"> third shareholder. The other two shareholders were the first applicant and the second respondent.</w:t>
      </w:r>
    </w:p>
    <w:p w14:paraId="1F3DF3C3" w14:textId="08581882" w:rsidR="00993D00" w:rsidRPr="00B6596D" w:rsidRDefault="00993D00" w:rsidP="008B2619">
      <w:pPr>
        <w:widowControl w:val="0"/>
        <w:numPr>
          <w:ilvl w:val="0"/>
          <w:numId w:val="1"/>
        </w:numPr>
        <w:spacing w:before="480" w:after="480" w:line="480" w:lineRule="auto"/>
        <w:jc w:val="both"/>
        <w:rPr>
          <w:rFonts w:cs="Arial"/>
          <w:bCs/>
          <w:szCs w:val="22"/>
        </w:rPr>
      </w:pPr>
      <w:r>
        <w:rPr>
          <w:rFonts w:cs="Arial"/>
          <w:bCs/>
          <w:szCs w:val="22"/>
        </w:rPr>
        <w:t>I deal with the issues raised under headings below.</w:t>
      </w:r>
    </w:p>
    <w:p w14:paraId="3DFCD535" w14:textId="77777777" w:rsidR="001C3628" w:rsidRPr="00B6596D" w:rsidRDefault="001C3628" w:rsidP="008B2619">
      <w:pPr>
        <w:widowControl w:val="0"/>
        <w:spacing w:before="480" w:after="480" w:line="480" w:lineRule="auto"/>
        <w:jc w:val="both"/>
        <w:rPr>
          <w:rFonts w:cs="Arial"/>
          <w:bCs/>
          <w:i/>
          <w:iCs/>
          <w:szCs w:val="22"/>
        </w:rPr>
      </w:pPr>
    </w:p>
    <w:p w14:paraId="278C3A7B" w14:textId="63339711" w:rsidR="00C73D7B" w:rsidRPr="00B6596D" w:rsidRDefault="00C73D7B" w:rsidP="008B2619">
      <w:pPr>
        <w:widowControl w:val="0"/>
        <w:spacing w:before="480" w:after="480" w:line="480" w:lineRule="auto"/>
        <w:jc w:val="both"/>
        <w:rPr>
          <w:rFonts w:cs="Arial"/>
          <w:bCs/>
          <w:i/>
          <w:iCs/>
          <w:szCs w:val="22"/>
        </w:rPr>
      </w:pPr>
      <w:r w:rsidRPr="00B6596D">
        <w:rPr>
          <w:rFonts w:cs="Arial"/>
          <w:bCs/>
          <w:i/>
          <w:iCs/>
          <w:szCs w:val="22"/>
        </w:rPr>
        <w:t xml:space="preserve">The joinder of all shareholders in an application to interdict a meeting </w:t>
      </w:r>
      <w:r w:rsidR="008A52E7">
        <w:rPr>
          <w:rFonts w:cs="Arial"/>
          <w:bCs/>
          <w:i/>
          <w:iCs/>
          <w:szCs w:val="22"/>
        </w:rPr>
        <w:t>that</w:t>
      </w:r>
      <w:r w:rsidRPr="00B6596D">
        <w:rPr>
          <w:rFonts w:cs="Arial"/>
          <w:bCs/>
          <w:i/>
          <w:iCs/>
          <w:szCs w:val="22"/>
        </w:rPr>
        <w:t xml:space="preserve"> shareholders are entitled </w:t>
      </w:r>
      <w:r w:rsidR="00815915">
        <w:rPr>
          <w:rFonts w:cs="Arial"/>
          <w:bCs/>
          <w:i/>
          <w:iCs/>
          <w:szCs w:val="22"/>
        </w:rPr>
        <w:t xml:space="preserve">to </w:t>
      </w:r>
      <w:r w:rsidR="00FF5689" w:rsidRPr="00B6596D">
        <w:rPr>
          <w:rFonts w:cs="Arial"/>
          <w:bCs/>
          <w:i/>
          <w:iCs/>
          <w:szCs w:val="22"/>
        </w:rPr>
        <w:t>attend and to participate</w:t>
      </w:r>
      <w:r w:rsidR="008A52E7">
        <w:rPr>
          <w:rFonts w:cs="Arial"/>
          <w:bCs/>
          <w:i/>
          <w:iCs/>
          <w:szCs w:val="22"/>
        </w:rPr>
        <w:t xml:space="preserve"> in</w:t>
      </w:r>
    </w:p>
    <w:p w14:paraId="49AC4D8F" w14:textId="36B0E62E" w:rsidR="009F50AB" w:rsidRPr="00B6596D" w:rsidRDefault="001C3628" w:rsidP="008B2619">
      <w:pPr>
        <w:widowControl w:val="0"/>
        <w:numPr>
          <w:ilvl w:val="0"/>
          <w:numId w:val="1"/>
        </w:numPr>
        <w:spacing w:before="480" w:after="480" w:line="480" w:lineRule="auto"/>
        <w:jc w:val="both"/>
        <w:rPr>
          <w:rFonts w:cs="Arial"/>
          <w:bCs/>
          <w:szCs w:val="22"/>
        </w:rPr>
      </w:pPr>
      <w:r w:rsidRPr="00B6596D">
        <w:rPr>
          <w:rFonts w:cs="Arial"/>
          <w:bCs/>
          <w:szCs w:val="22"/>
        </w:rPr>
        <w:t>I held that the right to receive proper notice of shareholders’ meetings is a statutory right</w:t>
      </w:r>
      <w:r w:rsidR="00993D00">
        <w:rPr>
          <w:rStyle w:val="FootnoteReference"/>
          <w:rFonts w:cs="Arial"/>
          <w:bCs/>
          <w:szCs w:val="22"/>
        </w:rPr>
        <w:footnoteReference w:id="8"/>
      </w:r>
      <w:r w:rsidRPr="00B6596D">
        <w:rPr>
          <w:rFonts w:cs="Arial"/>
          <w:bCs/>
          <w:szCs w:val="22"/>
        </w:rPr>
        <w:t xml:space="preserve"> and gives rise to a direct and substantial legal interest.</w:t>
      </w:r>
      <w:r w:rsidRPr="00B6596D">
        <w:rPr>
          <w:rStyle w:val="FootnoteReference"/>
          <w:rFonts w:cs="Arial"/>
          <w:bCs/>
          <w:szCs w:val="22"/>
        </w:rPr>
        <w:footnoteReference w:id="9"/>
      </w:r>
      <w:r w:rsidRPr="00B6596D">
        <w:rPr>
          <w:rFonts w:cs="Arial"/>
          <w:bCs/>
          <w:szCs w:val="22"/>
        </w:rPr>
        <w:t xml:space="preserve"> A shareholder must be joined in an application such as the present one to interdict the meeting that it is entitled to attend. This is not a mere financial interest. </w:t>
      </w:r>
      <w:r w:rsidR="00B67421" w:rsidRPr="00B6596D">
        <w:rPr>
          <w:rFonts w:cs="Arial"/>
          <w:bCs/>
          <w:szCs w:val="22"/>
        </w:rPr>
        <w:t>In the application for leave to appeal, the applicant argues</w:t>
      </w:r>
      <w:r w:rsidR="00C20430" w:rsidRPr="00B6596D">
        <w:rPr>
          <w:rFonts w:cs="Arial"/>
          <w:bCs/>
          <w:szCs w:val="22"/>
        </w:rPr>
        <w:t xml:space="preserve"> that:</w:t>
      </w:r>
    </w:p>
    <w:p w14:paraId="72284EB9" w14:textId="77777777" w:rsidR="00C20430" w:rsidRPr="00B6596D" w:rsidRDefault="00C20430" w:rsidP="008B2619">
      <w:pPr>
        <w:widowControl w:val="0"/>
        <w:spacing w:before="480" w:after="480" w:line="480" w:lineRule="auto"/>
        <w:ind w:left="720"/>
        <w:jc w:val="both"/>
        <w:rPr>
          <w:rFonts w:cs="Arial"/>
          <w:bCs/>
          <w:i/>
          <w:iCs/>
          <w:szCs w:val="22"/>
        </w:rPr>
      </w:pPr>
      <w:r w:rsidRPr="00B6596D">
        <w:rPr>
          <w:rFonts w:cs="Arial"/>
          <w:i/>
          <w:iCs/>
          <w:szCs w:val="22"/>
        </w:rPr>
        <w:t>“The Court erred in finding that all shareholders in a company must be joined to an application seeking to interdict a shareholder’s meeting as a matter of general principle.”</w:t>
      </w:r>
    </w:p>
    <w:p w14:paraId="0F60FF01" w14:textId="77777777" w:rsidR="00B67421" w:rsidRPr="00B6596D" w:rsidRDefault="00C20430" w:rsidP="008B2619">
      <w:pPr>
        <w:widowControl w:val="0"/>
        <w:numPr>
          <w:ilvl w:val="0"/>
          <w:numId w:val="1"/>
        </w:numPr>
        <w:spacing w:before="480" w:after="480" w:line="480" w:lineRule="auto"/>
        <w:jc w:val="both"/>
        <w:rPr>
          <w:rFonts w:cs="Arial"/>
          <w:bCs/>
          <w:szCs w:val="22"/>
        </w:rPr>
      </w:pPr>
      <w:r w:rsidRPr="00B6596D">
        <w:rPr>
          <w:rFonts w:cs="Arial"/>
          <w:bCs/>
          <w:szCs w:val="22"/>
        </w:rPr>
        <w:t xml:space="preserve">The applicants argue that the decision is </w:t>
      </w:r>
      <w:r w:rsidR="006E1D84" w:rsidRPr="00B6596D">
        <w:rPr>
          <w:rFonts w:cs="Arial"/>
          <w:bCs/>
          <w:szCs w:val="22"/>
        </w:rPr>
        <w:t xml:space="preserve">novel and far reaching, and that the principle established is likely to cause practical difficulties especially in the case of a </w:t>
      </w:r>
      <w:r w:rsidR="006E1D84" w:rsidRPr="00B6596D">
        <w:rPr>
          <w:rFonts w:cs="Arial"/>
          <w:bCs/>
          <w:szCs w:val="22"/>
        </w:rPr>
        <w:lastRenderedPageBreak/>
        <w:t>company with a large number of shareholder</w:t>
      </w:r>
      <w:r w:rsidR="00E33600">
        <w:rPr>
          <w:rFonts w:cs="Arial"/>
          <w:bCs/>
          <w:szCs w:val="22"/>
        </w:rPr>
        <w:t>s</w:t>
      </w:r>
      <w:r w:rsidR="006E1D84" w:rsidRPr="00B6596D">
        <w:rPr>
          <w:rFonts w:cs="Arial"/>
          <w:bCs/>
          <w:szCs w:val="22"/>
        </w:rPr>
        <w:t xml:space="preserve"> whose identity might not be known. </w:t>
      </w:r>
    </w:p>
    <w:p w14:paraId="17237D24" w14:textId="77777777" w:rsidR="003A5972" w:rsidRPr="00B6596D" w:rsidRDefault="003A5972" w:rsidP="008B2619">
      <w:pPr>
        <w:widowControl w:val="0"/>
        <w:numPr>
          <w:ilvl w:val="0"/>
          <w:numId w:val="1"/>
        </w:numPr>
        <w:spacing w:before="480" w:after="480" w:line="480" w:lineRule="auto"/>
        <w:jc w:val="both"/>
        <w:rPr>
          <w:rFonts w:cs="Arial"/>
          <w:szCs w:val="22"/>
        </w:rPr>
      </w:pPr>
      <w:r w:rsidRPr="00B6596D">
        <w:rPr>
          <w:rFonts w:cs="Arial"/>
          <w:bCs/>
          <w:szCs w:val="22"/>
        </w:rPr>
        <w:t>The failure to join a party with a direct and substantial legal interest cannot be condoned because of practical difficulties with service. In any event</w:t>
      </w:r>
      <w:r w:rsidR="00C73D7B" w:rsidRPr="00B6596D">
        <w:rPr>
          <w:rFonts w:cs="Arial"/>
          <w:bCs/>
          <w:szCs w:val="22"/>
        </w:rPr>
        <w:t>, and as will be shown below</w:t>
      </w:r>
      <w:r w:rsidRPr="00B6596D">
        <w:rPr>
          <w:rFonts w:cs="Arial"/>
          <w:bCs/>
          <w:szCs w:val="22"/>
        </w:rPr>
        <w:t xml:space="preserve"> the practical difficulties foreseen by the applicants are not substantial</w:t>
      </w:r>
      <w:r w:rsidR="00191019">
        <w:rPr>
          <w:rFonts w:cs="Arial"/>
          <w:bCs/>
          <w:szCs w:val="22"/>
        </w:rPr>
        <w:t xml:space="preserve"> and the identity of shareholders can be ascertained.</w:t>
      </w:r>
    </w:p>
    <w:p w14:paraId="47849543" w14:textId="150644F3" w:rsidR="006E1D84" w:rsidRPr="00B6596D" w:rsidRDefault="00BE0CB4" w:rsidP="008B2619">
      <w:pPr>
        <w:widowControl w:val="0"/>
        <w:numPr>
          <w:ilvl w:val="1"/>
          <w:numId w:val="1"/>
        </w:numPr>
        <w:spacing w:before="480" w:after="480" w:line="480" w:lineRule="auto"/>
        <w:jc w:val="both"/>
        <w:rPr>
          <w:rFonts w:cs="Arial"/>
          <w:bCs/>
          <w:szCs w:val="22"/>
        </w:rPr>
      </w:pPr>
      <w:r w:rsidRPr="00B6596D">
        <w:rPr>
          <w:rFonts w:cs="Arial"/>
          <w:bCs/>
          <w:szCs w:val="22"/>
        </w:rPr>
        <w:t xml:space="preserve">The right to be joined applies only to shareholders as defined, in other words shareholders whose names appear in and publicised by the </w:t>
      </w:r>
      <w:r w:rsidR="00C1331B" w:rsidRPr="00B6596D">
        <w:rPr>
          <w:rFonts w:cs="Arial"/>
          <w:bCs/>
          <w:szCs w:val="22"/>
        </w:rPr>
        <w:t>securities</w:t>
      </w:r>
      <w:r w:rsidRPr="00B6596D">
        <w:rPr>
          <w:rFonts w:cs="Arial"/>
          <w:bCs/>
          <w:szCs w:val="22"/>
        </w:rPr>
        <w:t xml:space="preserve"> register.</w:t>
      </w:r>
      <w:r w:rsidR="004954E6" w:rsidRPr="00B6596D">
        <w:rPr>
          <w:rStyle w:val="FootnoteReference"/>
          <w:rFonts w:cs="Arial"/>
          <w:bCs/>
          <w:szCs w:val="22"/>
        </w:rPr>
        <w:footnoteReference w:id="10"/>
      </w:r>
      <w:r w:rsidRPr="00B6596D">
        <w:rPr>
          <w:rFonts w:cs="Arial"/>
          <w:bCs/>
          <w:szCs w:val="22"/>
        </w:rPr>
        <w:t xml:space="preserve"> Their identity is determinable. </w:t>
      </w:r>
    </w:p>
    <w:p w14:paraId="445EF43F" w14:textId="68B5D833" w:rsidR="00AC5014" w:rsidRPr="00B6596D" w:rsidRDefault="00AC5014" w:rsidP="008B2619">
      <w:pPr>
        <w:widowControl w:val="0"/>
        <w:numPr>
          <w:ilvl w:val="1"/>
          <w:numId w:val="1"/>
        </w:numPr>
        <w:spacing w:before="480" w:after="480" w:line="480" w:lineRule="auto"/>
        <w:jc w:val="both"/>
        <w:rPr>
          <w:rFonts w:cs="Arial"/>
          <w:bCs/>
          <w:szCs w:val="22"/>
        </w:rPr>
      </w:pPr>
      <w:r w:rsidRPr="00B6596D">
        <w:rPr>
          <w:rFonts w:cs="Arial"/>
          <w:bCs/>
          <w:szCs w:val="22"/>
        </w:rPr>
        <w:t xml:space="preserve">In appropriate cases a Court may choose to issue a rule </w:t>
      </w:r>
      <w:r w:rsidRPr="00191019">
        <w:rPr>
          <w:rFonts w:cs="Arial"/>
          <w:bCs/>
          <w:i/>
          <w:iCs/>
          <w:szCs w:val="22"/>
        </w:rPr>
        <w:t>nisi</w:t>
      </w:r>
      <w:r w:rsidRPr="00B6596D">
        <w:rPr>
          <w:rFonts w:cs="Arial"/>
          <w:bCs/>
          <w:szCs w:val="22"/>
        </w:rPr>
        <w:t xml:space="preserve"> and </w:t>
      </w:r>
      <w:r w:rsidR="006D11A7">
        <w:rPr>
          <w:rFonts w:cs="Arial"/>
          <w:bCs/>
          <w:szCs w:val="22"/>
        </w:rPr>
        <w:t xml:space="preserve">may also </w:t>
      </w:r>
      <w:r w:rsidRPr="00B6596D">
        <w:rPr>
          <w:rFonts w:cs="Arial"/>
          <w:bCs/>
          <w:szCs w:val="22"/>
        </w:rPr>
        <w:t>give further directions as to service</w:t>
      </w:r>
      <w:r w:rsidR="00E47EF1" w:rsidRPr="00B6596D">
        <w:rPr>
          <w:rFonts w:cs="Arial"/>
          <w:bCs/>
          <w:szCs w:val="22"/>
        </w:rPr>
        <w:t xml:space="preserve"> in terms of Rule 4(10)</w:t>
      </w:r>
      <w:r w:rsidR="00191019">
        <w:rPr>
          <w:rFonts w:cs="Arial"/>
          <w:bCs/>
          <w:szCs w:val="22"/>
        </w:rPr>
        <w:t>.</w:t>
      </w:r>
    </w:p>
    <w:p w14:paraId="09CCE49D" w14:textId="67874C68" w:rsidR="00C73D7B" w:rsidRPr="00B6596D" w:rsidRDefault="00456B53" w:rsidP="008B2619">
      <w:pPr>
        <w:widowControl w:val="0"/>
        <w:numPr>
          <w:ilvl w:val="1"/>
          <w:numId w:val="1"/>
        </w:numPr>
        <w:spacing w:before="480" w:after="480" w:line="480" w:lineRule="auto"/>
        <w:jc w:val="both"/>
        <w:rPr>
          <w:rFonts w:cs="Arial"/>
          <w:szCs w:val="22"/>
        </w:rPr>
      </w:pPr>
      <w:r w:rsidRPr="00B6596D">
        <w:rPr>
          <w:rFonts w:cs="Arial"/>
          <w:bCs/>
          <w:szCs w:val="22"/>
        </w:rPr>
        <w:t>In urgent applications</w:t>
      </w:r>
      <w:r w:rsidRPr="00B6596D">
        <w:rPr>
          <w:rStyle w:val="FootnoteReference"/>
          <w:rFonts w:cs="Arial"/>
          <w:bCs/>
          <w:szCs w:val="22"/>
        </w:rPr>
        <w:footnoteReference w:id="11"/>
      </w:r>
      <w:r w:rsidRPr="00B6596D">
        <w:rPr>
          <w:rFonts w:cs="Arial"/>
          <w:szCs w:val="22"/>
        </w:rPr>
        <w:t xml:space="preserve"> the court or a judge may dispense with the forms and service provided</w:t>
      </w:r>
      <w:r w:rsidRPr="00B6596D">
        <w:rPr>
          <w:rStyle w:val="FootnoteReference"/>
          <w:rFonts w:cs="Arial"/>
          <w:szCs w:val="22"/>
        </w:rPr>
        <w:footnoteReference w:id="12"/>
      </w:r>
      <w:r w:rsidRPr="00B6596D">
        <w:rPr>
          <w:rFonts w:cs="Arial"/>
          <w:szCs w:val="22"/>
        </w:rPr>
        <w:t xml:space="preserve"> for in the rules of court, and condone service by alternative means such as </w:t>
      </w:r>
      <w:r w:rsidR="006D11A7">
        <w:rPr>
          <w:rFonts w:cs="Arial"/>
          <w:szCs w:val="22"/>
        </w:rPr>
        <w:t xml:space="preserve">telefax, </w:t>
      </w:r>
      <w:r w:rsidRPr="00B6596D">
        <w:rPr>
          <w:rFonts w:cs="Arial"/>
          <w:szCs w:val="22"/>
        </w:rPr>
        <w:t xml:space="preserve">electronic mail, </w:t>
      </w:r>
      <w:r w:rsidR="00F54917">
        <w:rPr>
          <w:rFonts w:cs="Arial"/>
          <w:szCs w:val="22"/>
        </w:rPr>
        <w:t xml:space="preserve">text messages known as </w:t>
      </w:r>
      <w:r w:rsidRPr="00B6596D">
        <w:rPr>
          <w:rFonts w:cs="Arial"/>
          <w:szCs w:val="22"/>
        </w:rPr>
        <w:t>sms’s</w:t>
      </w:r>
      <w:r w:rsidR="00F54917">
        <w:rPr>
          <w:rStyle w:val="FootnoteReference"/>
          <w:rFonts w:cs="Arial"/>
          <w:szCs w:val="22"/>
        </w:rPr>
        <w:footnoteReference w:id="13"/>
      </w:r>
      <w:r w:rsidRPr="00B6596D">
        <w:rPr>
          <w:rFonts w:cs="Arial"/>
          <w:szCs w:val="22"/>
        </w:rPr>
        <w:t xml:space="preserve"> or the</w:t>
      </w:r>
      <w:r w:rsidR="005E09B0">
        <w:rPr>
          <w:rFonts w:cs="Arial"/>
          <w:szCs w:val="22"/>
        </w:rPr>
        <w:t xml:space="preserve"> other</w:t>
      </w:r>
      <w:r w:rsidRPr="00B6596D">
        <w:rPr>
          <w:rFonts w:cs="Arial"/>
          <w:szCs w:val="22"/>
        </w:rPr>
        <w:t xml:space="preserve"> commonly used and commercially available services.</w:t>
      </w:r>
      <w:r w:rsidR="00F54917">
        <w:rPr>
          <w:rStyle w:val="FootnoteReference"/>
          <w:rFonts w:cs="Arial"/>
          <w:szCs w:val="22"/>
        </w:rPr>
        <w:footnoteReference w:id="14"/>
      </w:r>
      <w:r w:rsidRPr="00B6596D">
        <w:rPr>
          <w:rFonts w:cs="Arial"/>
          <w:szCs w:val="22"/>
        </w:rPr>
        <w:t xml:space="preserve"> </w:t>
      </w:r>
    </w:p>
    <w:p w14:paraId="146B18B4" w14:textId="77777777" w:rsidR="006E1D84" w:rsidRPr="00B6596D" w:rsidRDefault="00456B53" w:rsidP="008B2619">
      <w:pPr>
        <w:widowControl w:val="0"/>
        <w:numPr>
          <w:ilvl w:val="1"/>
          <w:numId w:val="1"/>
        </w:numPr>
        <w:spacing w:before="480" w:after="480" w:line="480" w:lineRule="auto"/>
        <w:jc w:val="both"/>
        <w:rPr>
          <w:rFonts w:cs="Arial"/>
          <w:szCs w:val="22"/>
        </w:rPr>
      </w:pPr>
      <w:r w:rsidRPr="00B6596D">
        <w:rPr>
          <w:rFonts w:cs="Arial"/>
          <w:szCs w:val="22"/>
        </w:rPr>
        <w:t xml:space="preserve">In non-urgent applications </w:t>
      </w:r>
      <w:r w:rsidR="00DE37C3" w:rsidRPr="00B6596D">
        <w:rPr>
          <w:rFonts w:cs="Arial"/>
          <w:szCs w:val="22"/>
        </w:rPr>
        <w:t>the court can</w:t>
      </w:r>
      <w:r w:rsidR="00A9129A" w:rsidRPr="00B6596D">
        <w:rPr>
          <w:rFonts w:cs="Arial"/>
          <w:szCs w:val="22"/>
        </w:rPr>
        <w:t xml:space="preserve"> similarly</w:t>
      </w:r>
      <w:r w:rsidR="00DE37C3" w:rsidRPr="00B6596D">
        <w:rPr>
          <w:rFonts w:cs="Arial"/>
          <w:szCs w:val="22"/>
        </w:rPr>
        <w:t xml:space="preserve"> authorise substituted service</w:t>
      </w:r>
      <w:r w:rsidR="00A9129A" w:rsidRPr="00B6596D">
        <w:rPr>
          <w:rFonts w:cs="Arial"/>
          <w:szCs w:val="22"/>
        </w:rPr>
        <w:t xml:space="preserve"> in accordance with Rule 4(2).</w:t>
      </w:r>
    </w:p>
    <w:p w14:paraId="6B9F77AC" w14:textId="58F8769E" w:rsidR="00C73D7B" w:rsidRPr="00B6596D" w:rsidRDefault="00C73D7B" w:rsidP="008B2619">
      <w:pPr>
        <w:widowControl w:val="0"/>
        <w:numPr>
          <w:ilvl w:val="1"/>
          <w:numId w:val="1"/>
        </w:numPr>
        <w:spacing w:before="480" w:after="480" w:line="480" w:lineRule="auto"/>
        <w:jc w:val="both"/>
        <w:rPr>
          <w:rFonts w:cs="Arial"/>
          <w:szCs w:val="22"/>
        </w:rPr>
      </w:pPr>
      <w:r w:rsidRPr="00B6596D">
        <w:rPr>
          <w:rFonts w:cs="Arial"/>
          <w:szCs w:val="22"/>
        </w:rPr>
        <w:lastRenderedPageBreak/>
        <w:t>Where the shareholders are not in South Africa edictal citation can be ordered in accordance with Rule</w:t>
      </w:r>
      <w:r w:rsidR="00AC5014" w:rsidRPr="00B6596D">
        <w:rPr>
          <w:rFonts w:cs="Arial"/>
          <w:szCs w:val="22"/>
        </w:rPr>
        <w:t xml:space="preserve"> 5, i</w:t>
      </w:r>
      <w:r w:rsidR="00F54917">
        <w:rPr>
          <w:rFonts w:cs="Arial"/>
          <w:szCs w:val="22"/>
        </w:rPr>
        <w:t>f</w:t>
      </w:r>
      <w:r w:rsidR="00AC5014" w:rsidRPr="00B6596D">
        <w:rPr>
          <w:rFonts w:cs="Arial"/>
          <w:szCs w:val="22"/>
        </w:rPr>
        <w:t xml:space="preserve"> necessary in combination with substituted service</w:t>
      </w:r>
      <w:r w:rsidR="00E47EF1" w:rsidRPr="00B6596D">
        <w:rPr>
          <w:rFonts w:cs="Arial"/>
          <w:szCs w:val="22"/>
        </w:rPr>
        <w:t>.</w:t>
      </w:r>
      <w:r w:rsidR="00191019">
        <w:rPr>
          <w:rStyle w:val="FootnoteReference"/>
          <w:rFonts w:cs="Arial"/>
          <w:szCs w:val="22"/>
        </w:rPr>
        <w:footnoteReference w:id="15"/>
      </w:r>
    </w:p>
    <w:p w14:paraId="5FBEE9DC" w14:textId="5DAE5B25" w:rsidR="006E1D84" w:rsidRPr="00B6596D" w:rsidRDefault="005400A7" w:rsidP="008B2619">
      <w:pPr>
        <w:widowControl w:val="0"/>
        <w:numPr>
          <w:ilvl w:val="0"/>
          <w:numId w:val="1"/>
        </w:numPr>
        <w:spacing w:before="480" w:after="480" w:line="480" w:lineRule="auto"/>
        <w:jc w:val="both"/>
        <w:rPr>
          <w:rFonts w:cs="Arial"/>
          <w:bCs/>
          <w:szCs w:val="22"/>
        </w:rPr>
      </w:pPr>
      <w:r w:rsidRPr="00B6596D">
        <w:rPr>
          <w:rFonts w:cs="Arial"/>
          <w:bCs/>
          <w:szCs w:val="22"/>
        </w:rPr>
        <w:t xml:space="preserve">The applicants argue that the proposition that a shareholder has a direct and substantial interest in a shareholders meeting is not supported by authority. </w:t>
      </w:r>
      <w:r w:rsidR="00141964">
        <w:rPr>
          <w:rFonts w:cs="Arial"/>
          <w:bCs/>
          <w:szCs w:val="22"/>
        </w:rPr>
        <w:t xml:space="preserve">The judgment however accords with well-established principles and is neither novel nor far-reaching. </w:t>
      </w:r>
      <w:r w:rsidR="00C1331B" w:rsidRPr="00B6596D">
        <w:rPr>
          <w:rFonts w:cs="Arial"/>
          <w:bCs/>
          <w:szCs w:val="22"/>
        </w:rPr>
        <w:t xml:space="preserve">In the judgment I referred to relevant authorities and </w:t>
      </w:r>
      <w:r w:rsidR="00F54917">
        <w:rPr>
          <w:rFonts w:cs="Arial"/>
          <w:bCs/>
          <w:szCs w:val="22"/>
        </w:rPr>
        <w:t xml:space="preserve">I was referred </w:t>
      </w:r>
      <w:r w:rsidR="00C1331B" w:rsidRPr="00B6596D">
        <w:rPr>
          <w:rFonts w:cs="Arial"/>
          <w:bCs/>
          <w:szCs w:val="22"/>
        </w:rPr>
        <w:t xml:space="preserve">also to </w:t>
      </w:r>
      <w:r w:rsidR="008E52F9" w:rsidRPr="00B6596D">
        <w:rPr>
          <w:rFonts w:cs="Arial"/>
          <w:i/>
          <w:iCs/>
          <w:szCs w:val="22"/>
        </w:rPr>
        <w:t>Remgro Limited v Unilever South Africa Holdings (Pty) Limited</w:t>
      </w:r>
      <w:r w:rsidR="00C1331B" w:rsidRPr="00B6596D">
        <w:rPr>
          <w:rFonts w:cs="Arial"/>
          <w:i/>
          <w:iCs/>
          <w:szCs w:val="22"/>
        </w:rPr>
        <w:t>.</w:t>
      </w:r>
      <w:r w:rsidR="008E52F9" w:rsidRPr="00B6596D">
        <w:rPr>
          <w:rStyle w:val="FootnoteReference"/>
          <w:rFonts w:cs="Arial"/>
          <w:szCs w:val="22"/>
        </w:rPr>
        <w:footnoteReference w:id="16"/>
      </w:r>
      <w:r w:rsidR="008E52F9" w:rsidRPr="00B6596D">
        <w:rPr>
          <w:rFonts w:cs="Arial"/>
          <w:szCs w:val="22"/>
        </w:rPr>
        <w:t xml:space="preserve"> </w:t>
      </w:r>
    </w:p>
    <w:p w14:paraId="28765C4C" w14:textId="77777777" w:rsidR="001F54FD" w:rsidRPr="00CD4BF0" w:rsidRDefault="00FF5689" w:rsidP="008B2619">
      <w:pPr>
        <w:widowControl w:val="0"/>
        <w:numPr>
          <w:ilvl w:val="0"/>
          <w:numId w:val="1"/>
        </w:numPr>
        <w:spacing w:before="480" w:after="480" w:line="480" w:lineRule="auto"/>
        <w:jc w:val="both"/>
        <w:rPr>
          <w:rFonts w:cs="Arial"/>
          <w:bCs/>
          <w:szCs w:val="22"/>
        </w:rPr>
      </w:pPr>
      <w:r w:rsidRPr="00B6596D">
        <w:rPr>
          <w:rFonts w:cs="Arial"/>
          <w:bCs/>
          <w:szCs w:val="22"/>
        </w:rPr>
        <w:t>The fact that a company is a legal entity independent of its shareholders is not a relevant consideration</w:t>
      </w:r>
      <w:r w:rsidR="00105C9A">
        <w:rPr>
          <w:rFonts w:cs="Arial"/>
          <w:bCs/>
          <w:szCs w:val="22"/>
        </w:rPr>
        <w:t xml:space="preserve"> that deprives those shareholders of their legal interest</w:t>
      </w:r>
      <w:r w:rsidR="00572F9D">
        <w:rPr>
          <w:rFonts w:cs="Arial"/>
          <w:bCs/>
          <w:szCs w:val="22"/>
        </w:rPr>
        <w:t xml:space="preserve">. </w:t>
      </w:r>
      <w:r w:rsidR="001E37D0">
        <w:rPr>
          <w:rFonts w:cs="Arial"/>
          <w:bCs/>
          <w:szCs w:val="22"/>
        </w:rPr>
        <w:t xml:space="preserve">The company </w:t>
      </w:r>
      <w:r w:rsidR="001E37D0" w:rsidRPr="001E37D0">
        <w:rPr>
          <w:rFonts w:cs="Arial"/>
          <w:bCs/>
          <w:i/>
          <w:iCs/>
          <w:szCs w:val="22"/>
        </w:rPr>
        <w:t>“bears its own rights and obligations”</w:t>
      </w:r>
      <w:r w:rsidR="001E37D0">
        <w:rPr>
          <w:rFonts w:cs="Arial"/>
          <w:bCs/>
          <w:szCs w:val="22"/>
        </w:rPr>
        <w:t xml:space="preserve"> as argued by the applicant</w:t>
      </w:r>
      <w:r w:rsidR="00406EBA">
        <w:rPr>
          <w:rFonts w:cs="Arial"/>
          <w:bCs/>
          <w:szCs w:val="22"/>
        </w:rPr>
        <w:t>s</w:t>
      </w:r>
      <w:r w:rsidR="001E37D0">
        <w:rPr>
          <w:rFonts w:cs="Arial"/>
          <w:bCs/>
          <w:szCs w:val="22"/>
        </w:rPr>
        <w:t xml:space="preserve"> but in evaluating the need to join the shareholders it is the </w:t>
      </w:r>
      <w:r w:rsidR="001F54FD">
        <w:rPr>
          <w:rFonts w:cs="Arial"/>
          <w:bCs/>
          <w:szCs w:val="22"/>
        </w:rPr>
        <w:t xml:space="preserve">interest of the shareholders that must be considered. </w:t>
      </w:r>
      <w:r w:rsidR="00406EBA">
        <w:rPr>
          <w:rFonts w:cs="Arial"/>
          <w:szCs w:val="22"/>
        </w:rPr>
        <w:t>A shareholder invited to attend a company meeting is affected by an application to court to interdict the meeting from taking place.</w:t>
      </w:r>
      <w:r w:rsidR="00CD4BF0">
        <w:rPr>
          <w:rFonts w:cs="Arial"/>
          <w:szCs w:val="22"/>
        </w:rPr>
        <w:t xml:space="preserve"> </w:t>
      </w:r>
    </w:p>
    <w:p w14:paraId="5FBFA0D4" w14:textId="77777777" w:rsidR="00CD4BF0" w:rsidRDefault="00CD4BF0" w:rsidP="008B2619">
      <w:pPr>
        <w:widowControl w:val="0"/>
        <w:numPr>
          <w:ilvl w:val="0"/>
          <w:numId w:val="1"/>
        </w:numPr>
        <w:spacing w:before="480" w:after="480" w:line="480" w:lineRule="auto"/>
        <w:jc w:val="both"/>
        <w:rPr>
          <w:rFonts w:cs="Arial"/>
          <w:bCs/>
          <w:szCs w:val="22"/>
        </w:rPr>
      </w:pPr>
      <w:r>
        <w:rPr>
          <w:rFonts w:cs="Arial"/>
          <w:szCs w:val="22"/>
        </w:rPr>
        <w:t xml:space="preserve">In bringing the application to interdict the meeting of shareholders, the first applicant relied for </w:t>
      </w:r>
      <w:r w:rsidRPr="00CD4BF0">
        <w:rPr>
          <w:rFonts w:cs="Arial"/>
          <w:i/>
          <w:iCs/>
          <w:szCs w:val="22"/>
        </w:rPr>
        <w:t>locus standi</w:t>
      </w:r>
      <w:r>
        <w:rPr>
          <w:rStyle w:val="FootnoteReference"/>
          <w:rFonts w:cs="Arial"/>
          <w:i/>
          <w:iCs/>
          <w:szCs w:val="22"/>
        </w:rPr>
        <w:footnoteReference w:id="17"/>
      </w:r>
      <w:r>
        <w:rPr>
          <w:rFonts w:cs="Arial"/>
          <w:szCs w:val="22"/>
        </w:rPr>
        <w:t xml:space="preserve"> on the fact that it is a shareholder of the first respondent. It is in the same position as the second respondent and the second respondent’s interest is the same as the interest of the shareholder not joined.</w:t>
      </w:r>
    </w:p>
    <w:p w14:paraId="3A1E77D0" w14:textId="0BCBE268" w:rsidR="00FF5689" w:rsidRPr="00FD5753" w:rsidRDefault="00572F9D" w:rsidP="00116372">
      <w:pPr>
        <w:widowControl w:val="0"/>
        <w:numPr>
          <w:ilvl w:val="0"/>
          <w:numId w:val="1"/>
        </w:numPr>
        <w:spacing w:before="480" w:after="480" w:line="480" w:lineRule="auto"/>
        <w:jc w:val="both"/>
        <w:rPr>
          <w:rFonts w:cs="Arial"/>
          <w:bCs/>
          <w:szCs w:val="22"/>
        </w:rPr>
      </w:pPr>
      <w:r w:rsidRPr="00FD5753">
        <w:rPr>
          <w:rFonts w:cs="Arial"/>
          <w:bCs/>
          <w:szCs w:val="22"/>
        </w:rPr>
        <w:t xml:space="preserve">It was confirmed in in </w:t>
      </w:r>
      <w:r w:rsidRPr="00FD5753">
        <w:rPr>
          <w:rFonts w:cs="Arial"/>
          <w:i/>
          <w:iCs/>
          <w:szCs w:val="22"/>
        </w:rPr>
        <w:t>Trinity Asset Management (Pty) Ltd v Investec Bank Ltd</w:t>
      </w:r>
      <w:r>
        <w:rPr>
          <w:rStyle w:val="FootnoteReference"/>
          <w:rFonts w:cs="Arial"/>
          <w:i/>
          <w:iCs/>
          <w:szCs w:val="22"/>
        </w:rPr>
        <w:footnoteReference w:id="18"/>
      </w:r>
      <w:r w:rsidRPr="00FD5753">
        <w:rPr>
          <w:rFonts w:cs="Arial"/>
          <w:i/>
          <w:iCs/>
          <w:szCs w:val="22"/>
        </w:rPr>
        <w:t xml:space="preserve"> </w:t>
      </w:r>
      <w:r w:rsidRPr="00FD5753">
        <w:rPr>
          <w:rFonts w:cs="Arial"/>
          <w:szCs w:val="22"/>
        </w:rPr>
        <w:t xml:space="preserve">that under the appropriate circumstances a shareholder is entitled to an interdict to prevent a </w:t>
      </w:r>
      <w:r w:rsidR="001F54FD" w:rsidRPr="00FD5753">
        <w:rPr>
          <w:rFonts w:cs="Arial"/>
          <w:szCs w:val="22"/>
        </w:rPr>
        <w:t xml:space="preserve">company </w:t>
      </w:r>
      <w:r w:rsidRPr="00FD5753">
        <w:rPr>
          <w:rFonts w:cs="Arial"/>
          <w:szCs w:val="22"/>
        </w:rPr>
        <w:t xml:space="preserve">meeting from proceeding. The separate legal personality of the </w:t>
      </w:r>
      <w:r w:rsidRPr="00FD5753">
        <w:rPr>
          <w:rFonts w:cs="Arial"/>
          <w:szCs w:val="22"/>
        </w:rPr>
        <w:lastRenderedPageBreak/>
        <w:t>company is not a bar to the interdict</w:t>
      </w:r>
      <w:r w:rsidR="001F54FD" w:rsidRPr="00FD5753">
        <w:rPr>
          <w:rFonts w:cs="Arial"/>
          <w:szCs w:val="22"/>
        </w:rPr>
        <w:t>.</w:t>
      </w:r>
      <w:r w:rsidR="00FD5753" w:rsidRPr="00FD5753">
        <w:rPr>
          <w:rFonts w:cs="Arial"/>
          <w:szCs w:val="22"/>
        </w:rPr>
        <w:t xml:space="preserve"> </w:t>
      </w:r>
      <w:r w:rsidR="00FA6D3C" w:rsidRPr="00FD5753">
        <w:rPr>
          <w:rFonts w:cs="Arial"/>
          <w:bCs/>
          <w:szCs w:val="22"/>
        </w:rPr>
        <w:t>Nor</w:t>
      </w:r>
      <w:r w:rsidR="00FF5689" w:rsidRPr="00FD5753">
        <w:rPr>
          <w:rFonts w:cs="Arial"/>
          <w:bCs/>
          <w:szCs w:val="22"/>
        </w:rPr>
        <w:t xml:space="preserve"> is the distinction that the applicants seek to draw between meetings called by shareholders and meetings called by directors</w:t>
      </w:r>
      <w:r w:rsidR="00FA6D3C" w:rsidRPr="00FD5753">
        <w:rPr>
          <w:rFonts w:cs="Arial"/>
          <w:bCs/>
          <w:szCs w:val="22"/>
        </w:rPr>
        <w:t xml:space="preserve"> a valid distinction</w:t>
      </w:r>
      <w:r w:rsidR="00FF5689" w:rsidRPr="00FD5753">
        <w:rPr>
          <w:rFonts w:cs="Arial"/>
          <w:bCs/>
          <w:szCs w:val="22"/>
        </w:rPr>
        <w:t>.</w:t>
      </w:r>
      <w:r w:rsidR="004954E6" w:rsidRPr="00FD5753">
        <w:rPr>
          <w:rFonts w:cs="Arial"/>
          <w:bCs/>
          <w:szCs w:val="22"/>
        </w:rPr>
        <w:t xml:space="preserve"> Shareholders’ meetings are generally called by the board of the company</w:t>
      </w:r>
      <w:r w:rsidR="00AC5014" w:rsidRPr="00FD5753">
        <w:rPr>
          <w:rFonts w:cs="Arial"/>
          <w:bCs/>
          <w:szCs w:val="22"/>
        </w:rPr>
        <w:t>.</w:t>
      </w:r>
      <w:r w:rsidR="004954E6" w:rsidRPr="00B6596D">
        <w:rPr>
          <w:rStyle w:val="FootnoteReference"/>
          <w:rFonts w:cs="Arial"/>
          <w:bCs/>
          <w:szCs w:val="22"/>
        </w:rPr>
        <w:footnoteReference w:id="19"/>
      </w:r>
      <w:r w:rsidR="003916F0" w:rsidRPr="00FD5753">
        <w:rPr>
          <w:rFonts w:cs="Arial"/>
          <w:bCs/>
          <w:szCs w:val="22"/>
        </w:rPr>
        <w:t xml:space="preserve"> </w:t>
      </w:r>
    </w:p>
    <w:p w14:paraId="3C25B20D" w14:textId="472323D8" w:rsidR="00462465" w:rsidRDefault="003916F0" w:rsidP="008B2619">
      <w:pPr>
        <w:widowControl w:val="0"/>
        <w:numPr>
          <w:ilvl w:val="0"/>
          <w:numId w:val="1"/>
        </w:numPr>
        <w:spacing w:before="480" w:after="480" w:line="480" w:lineRule="auto"/>
        <w:jc w:val="both"/>
        <w:rPr>
          <w:rFonts w:cs="Arial"/>
          <w:bCs/>
          <w:szCs w:val="22"/>
        </w:rPr>
      </w:pPr>
      <w:r>
        <w:rPr>
          <w:rFonts w:cs="Arial"/>
          <w:bCs/>
          <w:szCs w:val="22"/>
        </w:rPr>
        <w:t>It was also argued that that the third shareholder was not a party to the shareholders’ agreement between the other parties and that for this reason it had no legal interest in the meeting called to discuss a rights issue. The distinction is not a valid one.</w:t>
      </w:r>
      <w:r w:rsidR="00AC3738">
        <w:rPr>
          <w:rFonts w:cs="Arial"/>
          <w:bCs/>
          <w:szCs w:val="22"/>
        </w:rPr>
        <w:t xml:space="preserve"> The legal interest arises from the status as shareholder, not from </w:t>
      </w:r>
      <w:r w:rsidR="00D405E5">
        <w:rPr>
          <w:rFonts w:cs="Arial"/>
          <w:bCs/>
          <w:szCs w:val="22"/>
        </w:rPr>
        <w:t>the</w:t>
      </w:r>
      <w:r w:rsidR="00AC3738">
        <w:rPr>
          <w:rFonts w:cs="Arial"/>
          <w:bCs/>
          <w:szCs w:val="22"/>
        </w:rPr>
        <w:t xml:space="preserve"> shareholders’ agreement.</w:t>
      </w:r>
    </w:p>
    <w:p w14:paraId="0D2C6EFF" w14:textId="77777777" w:rsidR="00462465" w:rsidRDefault="00462465" w:rsidP="00462465">
      <w:pPr>
        <w:widowControl w:val="0"/>
        <w:numPr>
          <w:ilvl w:val="0"/>
          <w:numId w:val="1"/>
        </w:numPr>
        <w:spacing w:before="480" w:after="480" w:line="480" w:lineRule="auto"/>
        <w:jc w:val="both"/>
        <w:rPr>
          <w:rFonts w:cs="Arial"/>
          <w:bCs/>
          <w:szCs w:val="22"/>
        </w:rPr>
      </w:pPr>
      <w:r>
        <w:rPr>
          <w:rFonts w:cs="Arial"/>
          <w:bCs/>
          <w:szCs w:val="22"/>
        </w:rPr>
        <w:t>Different or additional factual considerations than those dealt with in the judgment might apply in the case of a listed company.</w:t>
      </w:r>
      <w:r>
        <w:rPr>
          <w:rStyle w:val="FootnoteReference"/>
          <w:rFonts w:cs="Arial"/>
          <w:bCs/>
          <w:szCs w:val="22"/>
        </w:rPr>
        <w:footnoteReference w:id="20"/>
      </w:r>
      <w:r w:rsidR="00F72B58">
        <w:rPr>
          <w:rFonts w:cs="Arial"/>
          <w:bCs/>
          <w:szCs w:val="22"/>
        </w:rPr>
        <w:t xml:space="preserve"> Each case must be decided on its own facts.</w:t>
      </w:r>
    </w:p>
    <w:p w14:paraId="3DE726B4" w14:textId="77777777" w:rsidR="00AC5014" w:rsidRPr="00B6596D" w:rsidRDefault="00AC5014" w:rsidP="008B2619">
      <w:pPr>
        <w:widowControl w:val="0"/>
        <w:spacing w:before="480" w:after="480" w:line="480" w:lineRule="auto"/>
        <w:jc w:val="both"/>
        <w:rPr>
          <w:rFonts w:cs="Arial"/>
          <w:bCs/>
          <w:i/>
          <w:iCs/>
          <w:szCs w:val="22"/>
        </w:rPr>
      </w:pPr>
    </w:p>
    <w:p w14:paraId="67C48D72" w14:textId="77777777" w:rsidR="00FF5689" w:rsidRPr="00B6596D" w:rsidRDefault="00FF5689" w:rsidP="008B2619">
      <w:pPr>
        <w:widowControl w:val="0"/>
        <w:spacing w:before="480" w:after="480" w:line="480" w:lineRule="auto"/>
        <w:jc w:val="both"/>
        <w:rPr>
          <w:rFonts w:cs="Arial"/>
          <w:bCs/>
          <w:szCs w:val="22"/>
        </w:rPr>
      </w:pPr>
      <w:r w:rsidRPr="00B6596D">
        <w:rPr>
          <w:rFonts w:cs="Arial"/>
          <w:bCs/>
          <w:i/>
          <w:iCs/>
          <w:szCs w:val="22"/>
        </w:rPr>
        <w:t>Mootness</w:t>
      </w:r>
    </w:p>
    <w:p w14:paraId="7A73483F" w14:textId="1577ECEE" w:rsidR="00F62998" w:rsidRDefault="00FF5689" w:rsidP="008B2619">
      <w:pPr>
        <w:widowControl w:val="0"/>
        <w:numPr>
          <w:ilvl w:val="0"/>
          <w:numId w:val="1"/>
        </w:numPr>
        <w:spacing w:before="480" w:after="480" w:line="480" w:lineRule="auto"/>
        <w:jc w:val="both"/>
        <w:rPr>
          <w:rFonts w:cs="Arial"/>
          <w:bCs/>
          <w:szCs w:val="22"/>
        </w:rPr>
      </w:pPr>
      <w:r w:rsidRPr="00B6596D">
        <w:rPr>
          <w:rFonts w:cs="Arial"/>
          <w:bCs/>
          <w:szCs w:val="22"/>
        </w:rPr>
        <w:t>The matter is moot. The interdict sought relates to an event in the past, namely a shareholders’ meeting that has already taken place. If the appeal were to be upheld, there is no order that a court of appeal can make. The horse has bolted</w:t>
      </w:r>
      <w:r w:rsidR="00A475EC">
        <w:rPr>
          <w:rFonts w:cs="Arial"/>
          <w:bCs/>
          <w:szCs w:val="22"/>
        </w:rPr>
        <w:t>.</w:t>
      </w:r>
    </w:p>
    <w:p w14:paraId="16D263E1" w14:textId="1F3BEFBD" w:rsidR="00416D8F" w:rsidRDefault="00FF5689" w:rsidP="008B2619">
      <w:pPr>
        <w:widowControl w:val="0"/>
        <w:numPr>
          <w:ilvl w:val="0"/>
          <w:numId w:val="1"/>
        </w:numPr>
        <w:spacing w:before="480" w:after="480" w:line="480" w:lineRule="auto"/>
        <w:jc w:val="both"/>
        <w:rPr>
          <w:rFonts w:cs="Arial"/>
          <w:bCs/>
          <w:szCs w:val="22"/>
        </w:rPr>
      </w:pPr>
      <w:r w:rsidRPr="00B6596D">
        <w:rPr>
          <w:rFonts w:cs="Arial"/>
          <w:bCs/>
          <w:szCs w:val="22"/>
        </w:rPr>
        <w:t xml:space="preserve">It was argued on behalf of the applicants that the court of appeal will be able to fashion alternative relief. </w:t>
      </w:r>
      <w:r w:rsidR="00416D8F">
        <w:rPr>
          <w:rFonts w:cs="Arial"/>
          <w:bCs/>
          <w:szCs w:val="22"/>
        </w:rPr>
        <w:t xml:space="preserve">The alternative relief was not identified by the applicants </w:t>
      </w:r>
      <w:r w:rsidR="002678CE">
        <w:rPr>
          <w:rFonts w:cs="Arial"/>
          <w:bCs/>
          <w:szCs w:val="22"/>
        </w:rPr>
        <w:t>but</w:t>
      </w:r>
      <w:r w:rsidR="00416D8F">
        <w:rPr>
          <w:rFonts w:cs="Arial"/>
          <w:bCs/>
          <w:szCs w:val="22"/>
        </w:rPr>
        <w:t xml:space="preserve"> </w:t>
      </w:r>
      <w:r w:rsidR="00416D8F">
        <w:rPr>
          <w:rFonts w:cs="Arial"/>
          <w:bCs/>
          <w:szCs w:val="22"/>
        </w:rPr>
        <w:lastRenderedPageBreak/>
        <w:t xml:space="preserve">would require a court of appeal to sit as a court of first instance. </w:t>
      </w:r>
    </w:p>
    <w:p w14:paraId="33A78010" w14:textId="4D1F489D" w:rsidR="00FF5689" w:rsidRPr="00B6596D" w:rsidRDefault="00A548E6" w:rsidP="008B2619">
      <w:pPr>
        <w:widowControl w:val="0"/>
        <w:numPr>
          <w:ilvl w:val="0"/>
          <w:numId w:val="1"/>
        </w:numPr>
        <w:spacing w:before="480" w:after="480" w:line="480" w:lineRule="auto"/>
        <w:jc w:val="both"/>
        <w:rPr>
          <w:rFonts w:cs="Arial"/>
          <w:bCs/>
          <w:szCs w:val="22"/>
        </w:rPr>
      </w:pPr>
      <w:r>
        <w:rPr>
          <w:rFonts w:cs="Arial"/>
          <w:bCs/>
          <w:szCs w:val="22"/>
        </w:rPr>
        <w:t>I conclude therefore that t</w:t>
      </w:r>
      <w:r w:rsidR="00FF5689" w:rsidRPr="00B6596D">
        <w:rPr>
          <w:rFonts w:cs="Arial"/>
          <w:bCs/>
          <w:szCs w:val="22"/>
        </w:rPr>
        <w:t>he appeal would have no practical effect and would be an appeal on costs only.</w:t>
      </w:r>
    </w:p>
    <w:p w14:paraId="3BE8C44C" w14:textId="0FFBCF32" w:rsidR="00FF5689" w:rsidRPr="00B6596D" w:rsidRDefault="00FF5689" w:rsidP="008B2619">
      <w:pPr>
        <w:widowControl w:val="0"/>
        <w:numPr>
          <w:ilvl w:val="0"/>
          <w:numId w:val="1"/>
        </w:numPr>
        <w:spacing w:before="480" w:after="480" w:line="480" w:lineRule="auto"/>
        <w:jc w:val="both"/>
        <w:rPr>
          <w:rFonts w:cs="Arial"/>
          <w:bCs/>
          <w:szCs w:val="22"/>
        </w:rPr>
      </w:pPr>
      <w:r w:rsidRPr="00B6596D">
        <w:rPr>
          <w:rFonts w:cs="Arial"/>
          <w:bCs/>
          <w:szCs w:val="22"/>
        </w:rPr>
        <w:t>In support of the argument that the matter is no</w:t>
      </w:r>
      <w:r w:rsidR="00E35DD0" w:rsidRPr="00B6596D">
        <w:rPr>
          <w:rFonts w:cs="Arial"/>
          <w:bCs/>
          <w:szCs w:val="22"/>
        </w:rPr>
        <w:t>t</w:t>
      </w:r>
      <w:r w:rsidRPr="00B6596D">
        <w:rPr>
          <w:rFonts w:cs="Arial"/>
          <w:bCs/>
          <w:szCs w:val="22"/>
        </w:rPr>
        <w:t xml:space="preserve"> moot </w:t>
      </w:r>
      <w:r w:rsidR="000B28DB" w:rsidRPr="00B6596D">
        <w:rPr>
          <w:rFonts w:cs="Arial"/>
          <w:bCs/>
          <w:szCs w:val="22"/>
        </w:rPr>
        <w:t xml:space="preserve">I was referred to </w:t>
      </w:r>
      <w:r w:rsidR="000B28DB" w:rsidRPr="00B6596D">
        <w:rPr>
          <w:rFonts w:cs="Arial"/>
          <w:i/>
          <w:iCs/>
          <w:szCs w:val="22"/>
        </w:rPr>
        <w:t>Letseng Diamonds Ltd v JCI Ltd; Trinity Asset Management (Pty) Ltd v Investec Bank Ltd</w:t>
      </w:r>
      <w:r w:rsidR="000B28DB" w:rsidRPr="00B6596D">
        <w:rPr>
          <w:rStyle w:val="FootnoteReference"/>
          <w:rFonts w:cs="Arial"/>
          <w:i/>
          <w:iCs/>
          <w:szCs w:val="22"/>
        </w:rPr>
        <w:footnoteReference w:id="21"/>
      </w:r>
      <w:r w:rsidRPr="00B6596D">
        <w:rPr>
          <w:rFonts w:cs="Arial"/>
          <w:bCs/>
          <w:szCs w:val="22"/>
        </w:rPr>
        <w:t xml:space="preserve"> </w:t>
      </w:r>
      <w:r w:rsidR="000B28DB" w:rsidRPr="00B6596D">
        <w:rPr>
          <w:rFonts w:cs="Arial"/>
          <w:szCs w:val="22"/>
        </w:rPr>
        <w:t xml:space="preserve"> and </w:t>
      </w:r>
      <w:r w:rsidRPr="00B6596D">
        <w:rPr>
          <w:rFonts w:cs="Arial"/>
          <w:i/>
          <w:iCs/>
          <w:szCs w:val="22"/>
          <w:lang w:val="en-US"/>
        </w:rPr>
        <w:t>Trinity Asset Management (Pty) Ltd v Investec Bank Ltd</w:t>
      </w:r>
      <w:r w:rsidRPr="00B6596D">
        <w:rPr>
          <w:rFonts w:cs="Arial"/>
          <w:szCs w:val="22"/>
          <w:lang w:val="en-US"/>
        </w:rPr>
        <w:t>.</w:t>
      </w:r>
      <w:r w:rsidRPr="00B6596D">
        <w:rPr>
          <w:rStyle w:val="FootnoteReference"/>
          <w:rFonts w:cs="Arial"/>
          <w:szCs w:val="22"/>
          <w:lang w:val="en-US"/>
        </w:rPr>
        <w:footnoteReference w:id="22"/>
      </w:r>
      <w:r w:rsidR="00E32909" w:rsidRPr="00B6596D">
        <w:rPr>
          <w:rFonts w:cs="Arial"/>
          <w:szCs w:val="22"/>
          <w:lang w:val="en-US"/>
        </w:rPr>
        <w:t xml:space="preserve"> In th</w:t>
      </w:r>
      <w:r w:rsidR="00F62998">
        <w:rPr>
          <w:rFonts w:cs="Arial"/>
          <w:szCs w:val="22"/>
          <w:lang w:val="en-US"/>
        </w:rPr>
        <w:t>ese two</w:t>
      </w:r>
      <w:r w:rsidR="00E32909" w:rsidRPr="00B6596D">
        <w:rPr>
          <w:rFonts w:cs="Arial"/>
          <w:szCs w:val="22"/>
          <w:lang w:val="en-US"/>
        </w:rPr>
        <w:t xml:space="preserve"> matter</w:t>
      </w:r>
      <w:r w:rsidR="00F62998">
        <w:rPr>
          <w:rFonts w:cs="Arial"/>
          <w:szCs w:val="22"/>
          <w:lang w:val="en-US"/>
        </w:rPr>
        <w:t xml:space="preserve">s in the Witwatersrand Local Division </w:t>
      </w:r>
      <w:r w:rsidR="00E32909" w:rsidRPr="00B6596D">
        <w:rPr>
          <w:rFonts w:cs="Arial"/>
          <w:szCs w:val="22"/>
          <w:lang w:val="en-US"/>
        </w:rPr>
        <w:t>a</w:t>
      </w:r>
      <w:r w:rsidR="00E35DD0" w:rsidRPr="00B6596D">
        <w:rPr>
          <w:rFonts w:cs="Arial"/>
          <w:szCs w:val="22"/>
          <w:lang w:val="en-US"/>
        </w:rPr>
        <w:t>n interim</w:t>
      </w:r>
      <w:r w:rsidR="00E32909" w:rsidRPr="00B6596D">
        <w:rPr>
          <w:rFonts w:cs="Arial"/>
          <w:szCs w:val="22"/>
          <w:lang w:val="en-US"/>
        </w:rPr>
        <w:t xml:space="preserve"> order was made by consent </w:t>
      </w:r>
      <w:r w:rsidR="00CF0837" w:rsidRPr="00B6596D">
        <w:rPr>
          <w:rFonts w:cs="Arial"/>
          <w:szCs w:val="22"/>
          <w:lang w:val="en-US"/>
        </w:rPr>
        <w:t xml:space="preserve">whereafter the relief sought was amended. </w:t>
      </w:r>
      <w:r w:rsidR="00ED1B24">
        <w:rPr>
          <w:rFonts w:cs="Arial"/>
          <w:szCs w:val="22"/>
          <w:lang w:val="en-US"/>
        </w:rPr>
        <w:t xml:space="preserve">The question of </w:t>
      </w:r>
      <w:r w:rsidR="00ED1B24" w:rsidRPr="00A548E6">
        <w:rPr>
          <w:rFonts w:cs="Arial"/>
          <w:i/>
          <w:iCs/>
          <w:szCs w:val="22"/>
          <w:lang w:val="en-US"/>
        </w:rPr>
        <w:t>locus standi</w:t>
      </w:r>
      <w:r w:rsidR="00ED1B24">
        <w:rPr>
          <w:rFonts w:cs="Arial"/>
          <w:szCs w:val="22"/>
          <w:lang w:val="en-US"/>
        </w:rPr>
        <w:t xml:space="preserve"> was dealt with separately</w:t>
      </w:r>
      <w:r w:rsidR="00A548E6">
        <w:rPr>
          <w:rStyle w:val="FootnoteReference"/>
        </w:rPr>
        <w:t xml:space="preserve"> </w:t>
      </w:r>
      <w:r w:rsidR="00A548E6">
        <w:t xml:space="preserve">in terms of Rule 33(4) </w:t>
      </w:r>
      <w:r w:rsidR="00ED1B24">
        <w:rPr>
          <w:rFonts w:cs="Arial"/>
          <w:szCs w:val="22"/>
          <w:lang w:val="en-US"/>
        </w:rPr>
        <w:t>and</w:t>
      </w:r>
      <w:r w:rsidR="00855BBB">
        <w:rPr>
          <w:rFonts w:cs="Arial"/>
          <w:szCs w:val="22"/>
          <w:lang w:val="en-US"/>
        </w:rPr>
        <w:t xml:space="preserve"> </w:t>
      </w:r>
      <w:r w:rsidR="004323B2">
        <w:rPr>
          <w:rFonts w:cs="Arial"/>
          <w:szCs w:val="22"/>
          <w:lang w:val="en-US"/>
        </w:rPr>
        <w:t xml:space="preserve">Blieden J held that the applicants, Letsing and </w:t>
      </w:r>
      <w:r w:rsidR="00CF0837" w:rsidRPr="00B6596D">
        <w:rPr>
          <w:rFonts w:cs="Arial"/>
          <w:szCs w:val="22"/>
          <w:lang w:val="en-US"/>
        </w:rPr>
        <w:t>Trinity</w:t>
      </w:r>
      <w:r w:rsidR="00A548E6">
        <w:rPr>
          <w:rFonts w:cs="Arial"/>
          <w:szCs w:val="22"/>
          <w:lang w:val="en-US"/>
        </w:rPr>
        <w:t>,</w:t>
      </w:r>
      <w:r w:rsidR="00CF0837" w:rsidRPr="00B6596D">
        <w:rPr>
          <w:rFonts w:cs="Arial"/>
          <w:szCs w:val="22"/>
          <w:lang w:val="en-US"/>
        </w:rPr>
        <w:t xml:space="preserve"> </w:t>
      </w:r>
      <w:r w:rsidR="004323B2">
        <w:rPr>
          <w:rFonts w:cs="Arial"/>
          <w:szCs w:val="22"/>
          <w:lang w:val="en-US"/>
        </w:rPr>
        <w:t xml:space="preserve">did not have </w:t>
      </w:r>
      <w:r w:rsidR="004323B2" w:rsidRPr="00FD5753">
        <w:rPr>
          <w:rFonts w:cs="Arial"/>
          <w:i/>
          <w:iCs/>
          <w:szCs w:val="22"/>
          <w:lang w:val="en-US"/>
        </w:rPr>
        <w:t>locus standi</w:t>
      </w:r>
      <w:r w:rsidR="004323B2">
        <w:rPr>
          <w:rFonts w:cs="Arial"/>
          <w:szCs w:val="22"/>
          <w:lang w:val="en-US"/>
        </w:rPr>
        <w:t>.</w:t>
      </w:r>
      <w:r w:rsidR="004323B2">
        <w:rPr>
          <w:rStyle w:val="FootnoteReference"/>
          <w:rFonts w:cs="Arial"/>
          <w:szCs w:val="22"/>
          <w:lang w:val="en-US"/>
        </w:rPr>
        <w:footnoteReference w:id="23"/>
      </w:r>
      <w:r w:rsidR="004323B2">
        <w:rPr>
          <w:rFonts w:cs="Arial"/>
          <w:szCs w:val="22"/>
          <w:lang w:val="en-US"/>
        </w:rPr>
        <w:t xml:space="preserve"> </w:t>
      </w:r>
      <w:r w:rsidR="00E35DD0" w:rsidRPr="00B6596D">
        <w:rPr>
          <w:rFonts w:cs="Arial"/>
          <w:szCs w:val="22"/>
          <w:lang w:val="en-US"/>
        </w:rPr>
        <w:t xml:space="preserve"> </w:t>
      </w:r>
      <w:r w:rsidR="005570AE">
        <w:rPr>
          <w:rFonts w:cs="Arial"/>
          <w:szCs w:val="22"/>
          <w:lang w:val="en-US"/>
        </w:rPr>
        <w:t>Trinity’s</w:t>
      </w:r>
      <w:r w:rsidR="00DB7041">
        <w:rPr>
          <w:rFonts w:cs="Arial"/>
          <w:szCs w:val="22"/>
          <w:lang w:val="en-US"/>
        </w:rPr>
        <w:t xml:space="preserve"> appeal against the decision was </w:t>
      </w:r>
      <w:r w:rsidR="005570AE">
        <w:rPr>
          <w:rFonts w:cs="Arial"/>
          <w:szCs w:val="22"/>
          <w:lang w:val="en-US"/>
        </w:rPr>
        <w:t>upheld in</w:t>
      </w:r>
      <w:r w:rsidR="00CF0837" w:rsidRPr="00B6596D">
        <w:rPr>
          <w:rFonts w:cs="Arial"/>
          <w:szCs w:val="22"/>
          <w:lang w:val="en-US"/>
        </w:rPr>
        <w:t xml:space="preserve"> </w:t>
      </w:r>
      <w:r w:rsidR="00A548E6">
        <w:rPr>
          <w:rFonts w:cs="Arial"/>
          <w:szCs w:val="22"/>
          <w:lang w:val="en-US"/>
        </w:rPr>
        <w:t>a</w:t>
      </w:r>
      <w:r w:rsidR="00CF0837" w:rsidRPr="00B6596D">
        <w:rPr>
          <w:rFonts w:cs="Arial"/>
          <w:szCs w:val="22"/>
          <w:lang w:val="en-US"/>
        </w:rPr>
        <w:t xml:space="preserve"> </w:t>
      </w:r>
      <w:r w:rsidR="005570AE">
        <w:rPr>
          <w:rFonts w:cs="Arial"/>
          <w:szCs w:val="22"/>
          <w:lang w:val="en-US"/>
        </w:rPr>
        <w:t>majority judgment.</w:t>
      </w:r>
      <w:r w:rsidR="005570AE">
        <w:rPr>
          <w:rStyle w:val="FootnoteReference"/>
          <w:rFonts w:cs="Arial"/>
          <w:szCs w:val="22"/>
          <w:lang w:val="en-US"/>
        </w:rPr>
        <w:footnoteReference w:id="24"/>
      </w:r>
      <w:r w:rsidR="00BA14AC">
        <w:rPr>
          <w:rFonts w:cs="Arial"/>
          <w:szCs w:val="22"/>
          <w:lang w:val="en-US"/>
        </w:rPr>
        <w:t xml:space="preserve"> </w:t>
      </w:r>
      <w:r w:rsidR="008A1A42">
        <w:rPr>
          <w:rFonts w:cs="Arial"/>
          <w:szCs w:val="22"/>
          <w:lang w:val="en-US"/>
        </w:rPr>
        <w:t xml:space="preserve"> In the majority judgment by Farlam JA he set aside the order </w:t>
      </w:r>
      <w:r w:rsidR="00DD3483">
        <w:rPr>
          <w:rFonts w:cs="Arial"/>
          <w:szCs w:val="22"/>
          <w:lang w:val="en-US"/>
        </w:rPr>
        <w:t xml:space="preserve">of Blieden J and granted an order that the applicants did have </w:t>
      </w:r>
      <w:r w:rsidR="00DD3483" w:rsidRPr="00FD5753">
        <w:rPr>
          <w:rFonts w:cs="Arial"/>
          <w:i/>
          <w:iCs/>
          <w:szCs w:val="22"/>
          <w:lang w:val="en-US"/>
        </w:rPr>
        <w:t>locus standi</w:t>
      </w:r>
      <w:r w:rsidR="00DD3483">
        <w:rPr>
          <w:rFonts w:cs="Arial"/>
          <w:szCs w:val="22"/>
          <w:lang w:val="en-US"/>
        </w:rPr>
        <w:t xml:space="preserve">. The </w:t>
      </w:r>
      <w:r w:rsidR="00CF0837" w:rsidRPr="00B6596D">
        <w:rPr>
          <w:rFonts w:cs="Arial"/>
          <w:szCs w:val="22"/>
          <w:lang w:val="en-US"/>
        </w:rPr>
        <w:t xml:space="preserve">application was </w:t>
      </w:r>
      <w:r w:rsidR="00DD3483">
        <w:rPr>
          <w:rFonts w:cs="Arial"/>
          <w:szCs w:val="22"/>
          <w:lang w:val="en-US"/>
        </w:rPr>
        <w:t>postponed.</w:t>
      </w:r>
      <w:r w:rsidR="00BA14AC">
        <w:rPr>
          <w:rFonts w:cs="Arial"/>
          <w:szCs w:val="22"/>
          <w:lang w:val="en-US"/>
        </w:rPr>
        <w:t xml:space="preserve"> The </w:t>
      </w:r>
      <w:r w:rsidR="00BA14AC">
        <w:rPr>
          <w:rFonts w:cs="Arial"/>
          <w:i/>
          <w:iCs/>
          <w:szCs w:val="22"/>
          <w:lang w:val="en-US"/>
        </w:rPr>
        <w:t xml:space="preserve">Trinity </w:t>
      </w:r>
      <w:r w:rsidR="00BA14AC">
        <w:rPr>
          <w:rFonts w:cs="Arial"/>
          <w:szCs w:val="22"/>
          <w:lang w:val="en-US"/>
        </w:rPr>
        <w:t>matter is not authority for a court of appeal breathing new life into a matter that is moot by grant</w:t>
      </w:r>
      <w:r w:rsidR="00DD3483">
        <w:rPr>
          <w:rFonts w:cs="Arial"/>
          <w:szCs w:val="22"/>
          <w:lang w:val="en-US"/>
        </w:rPr>
        <w:t>ing</w:t>
      </w:r>
      <w:r w:rsidR="00BA14AC">
        <w:rPr>
          <w:rFonts w:cs="Arial"/>
          <w:szCs w:val="22"/>
          <w:lang w:val="en-US"/>
        </w:rPr>
        <w:t xml:space="preserve"> alternative relief.</w:t>
      </w:r>
    </w:p>
    <w:p w14:paraId="6BBF7352" w14:textId="77777777" w:rsidR="00714D40" w:rsidRPr="00B6596D" w:rsidRDefault="00714D40" w:rsidP="008B2619">
      <w:pPr>
        <w:widowControl w:val="0"/>
        <w:spacing w:before="480" w:after="480" w:line="480" w:lineRule="auto"/>
        <w:jc w:val="both"/>
        <w:rPr>
          <w:rFonts w:cs="Arial"/>
          <w:bCs/>
          <w:i/>
          <w:iCs/>
          <w:szCs w:val="22"/>
        </w:rPr>
      </w:pPr>
    </w:p>
    <w:p w14:paraId="2AB7F738" w14:textId="77777777" w:rsidR="00CF465F" w:rsidRPr="00B6596D" w:rsidRDefault="00C73D7B" w:rsidP="008B2619">
      <w:pPr>
        <w:widowControl w:val="0"/>
        <w:spacing w:before="480" w:after="480" w:line="480" w:lineRule="auto"/>
        <w:jc w:val="both"/>
        <w:rPr>
          <w:rFonts w:cs="Arial"/>
          <w:bCs/>
          <w:i/>
          <w:iCs/>
          <w:szCs w:val="22"/>
        </w:rPr>
      </w:pPr>
      <w:r w:rsidRPr="00B6596D">
        <w:rPr>
          <w:rFonts w:cs="Arial"/>
          <w:bCs/>
          <w:i/>
          <w:iCs/>
          <w:szCs w:val="22"/>
        </w:rPr>
        <w:t>The failure to deal with the merits of the application</w:t>
      </w:r>
    </w:p>
    <w:p w14:paraId="6E93DE81" w14:textId="66C7F68A" w:rsidR="00CF465F" w:rsidRPr="00B6596D" w:rsidRDefault="001E3C9B" w:rsidP="008B2619">
      <w:pPr>
        <w:widowControl w:val="0"/>
        <w:numPr>
          <w:ilvl w:val="0"/>
          <w:numId w:val="1"/>
        </w:numPr>
        <w:spacing w:before="480" w:after="480" w:line="480" w:lineRule="auto"/>
        <w:jc w:val="both"/>
        <w:rPr>
          <w:rFonts w:cs="Arial"/>
          <w:bCs/>
          <w:szCs w:val="22"/>
        </w:rPr>
      </w:pPr>
      <w:r w:rsidRPr="00B6596D">
        <w:rPr>
          <w:rFonts w:cs="Arial"/>
          <w:bCs/>
          <w:szCs w:val="22"/>
        </w:rPr>
        <w:t>The judgment is also criticised because I failed to deal with the merits of the application. When the non-joinder point was upheld it was not necessary nor was it desirable to give a judgment on the merits of the interdict sought.</w:t>
      </w:r>
      <w:r w:rsidR="001A198F">
        <w:rPr>
          <w:rFonts w:cs="Arial"/>
          <w:bCs/>
          <w:szCs w:val="22"/>
        </w:rPr>
        <w:t xml:space="preserve"> The merits were not </w:t>
      </w:r>
      <w:r w:rsidR="001A198F">
        <w:rPr>
          <w:rFonts w:cs="Arial"/>
          <w:bCs/>
          <w:szCs w:val="22"/>
        </w:rPr>
        <w:lastRenderedPageBreak/>
        <w:t>argued save in the context of the issue of joinder.</w:t>
      </w:r>
    </w:p>
    <w:p w14:paraId="39CBFFC9" w14:textId="77777777" w:rsidR="00F62998" w:rsidRDefault="00F62998" w:rsidP="008B2619">
      <w:pPr>
        <w:widowControl w:val="0"/>
        <w:spacing w:before="480" w:after="480" w:line="480" w:lineRule="auto"/>
        <w:jc w:val="both"/>
        <w:rPr>
          <w:rFonts w:cs="Arial"/>
          <w:bCs/>
          <w:szCs w:val="22"/>
          <w:u w:val="single"/>
        </w:rPr>
      </w:pPr>
    </w:p>
    <w:p w14:paraId="6220A4D9" w14:textId="77777777" w:rsidR="001C3628" w:rsidRPr="00B6596D" w:rsidRDefault="001C3628" w:rsidP="00FA6D3C">
      <w:pPr>
        <w:keepNext/>
        <w:widowControl w:val="0"/>
        <w:spacing w:before="480" w:after="480" w:line="480" w:lineRule="auto"/>
        <w:jc w:val="both"/>
        <w:rPr>
          <w:rFonts w:cs="Arial"/>
          <w:bCs/>
          <w:szCs w:val="22"/>
          <w:u w:val="single"/>
        </w:rPr>
      </w:pPr>
      <w:r w:rsidRPr="00B6596D">
        <w:rPr>
          <w:rFonts w:cs="Arial"/>
          <w:bCs/>
          <w:szCs w:val="22"/>
          <w:u w:val="single"/>
        </w:rPr>
        <w:t>Conclusion</w:t>
      </w:r>
    </w:p>
    <w:p w14:paraId="19610914" w14:textId="198A8D6B" w:rsidR="001C3628" w:rsidRPr="00B6596D" w:rsidRDefault="001C3628" w:rsidP="00FA6D3C">
      <w:pPr>
        <w:keepNext/>
        <w:widowControl w:val="0"/>
        <w:numPr>
          <w:ilvl w:val="0"/>
          <w:numId w:val="1"/>
        </w:numPr>
        <w:spacing w:before="480" w:after="480" w:line="480" w:lineRule="auto"/>
        <w:jc w:val="both"/>
        <w:rPr>
          <w:rFonts w:cs="Arial"/>
          <w:bCs/>
          <w:szCs w:val="22"/>
        </w:rPr>
      </w:pPr>
      <w:r w:rsidRPr="00B6596D">
        <w:rPr>
          <w:rFonts w:cs="Arial"/>
          <w:bCs/>
          <w:szCs w:val="22"/>
        </w:rPr>
        <w:t xml:space="preserve">The judgment sought to be appealed is neither novel nor far-reaching. It accords with well-established principle. </w:t>
      </w:r>
      <w:r w:rsidR="001A198F">
        <w:rPr>
          <w:rFonts w:cs="Arial"/>
          <w:bCs/>
          <w:szCs w:val="22"/>
        </w:rPr>
        <w:t xml:space="preserve">There are no reasonable prospects of success. </w:t>
      </w:r>
      <w:r w:rsidRPr="00B6596D">
        <w:rPr>
          <w:rFonts w:cs="Arial"/>
          <w:bCs/>
          <w:szCs w:val="22"/>
        </w:rPr>
        <w:t xml:space="preserve">There are no </w:t>
      </w:r>
      <w:r w:rsidRPr="00B6596D">
        <w:rPr>
          <w:rFonts w:eastAsia="Calibri" w:cs="Arial"/>
          <w:szCs w:val="22"/>
        </w:rPr>
        <w:t>compelling reason why the appeal should be heard</w:t>
      </w:r>
      <w:r w:rsidR="00881C58" w:rsidRPr="00B6596D">
        <w:rPr>
          <w:rFonts w:eastAsia="Calibri" w:cs="Arial"/>
          <w:szCs w:val="22"/>
        </w:rPr>
        <w:t xml:space="preserve"> and</w:t>
      </w:r>
      <w:r w:rsidRPr="00B6596D">
        <w:rPr>
          <w:rFonts w:cs="Arial"/>
          <w:szCs w:val="22"/>
        </w:rPr>
        <w:t xml:space="preserve"> the decision sought will have no practical effect or result</w:t>
      </w:r>
      <w:r w:rsidR="00881C58" w:rsidRPr="00B6596D">
        <w:rPr>
          <w:rFonts w:cs="Arial"/>
          <w:szCs w:val="22"/>
        </w:rPr>
        <w:t>.</w:t>
      </w:r>
    </w:p>
    <w:p w14:paraId="3AA5FB7D" w14:textId="77777777" w:rsidR="00881C58" w:rsidRPr="00B6596D" w:rsidRDefault="00881C58" w:rsidP="008B2619">
      <w:pPr>
        <w:widowControl w:val="0"/>
        <w:numPr>
          <w:ilvl w:val="0"/>
          <w:numId w:val="1"/>
        </w:numPr>
        <w:spacing w:before="480" w:after="480" w:line="480" w:lineRule="auto"/>
        <w:jc w:val="both"/>
        <w:rPr>
          <w:rFonts w:cs="Arial"/>
          <w:bCs/>
          <w:szCs w:val="22"/>
        </w:rPr>
      </w:pPr>
      <w:r w:rsidRPr="00B6596D">
        <w:rPr>
          <w:rFonts w:cs="Arial"/>
          <w:szCs w:val="22"/>
        </w:rPr>
        <w:t>I therefore make the order set out in paragraph 1 above.</w:t>
      </w:r>
    </w:p>
    <w:p w14:paraId="0CADBF3C" w14:textId="3D0E55F7" w:rsidR="006C43D7" w:rsidRDefault="006C43D7" w:rsidP="008B2619">
      <w:pPr>
        <w:widowControl w:val="0"/>
        <w:tabs>
          <w:tab w:val="right" w:pos="0"/>
        </w:tabs>
        <w:spacing w:line="360" w:lineRule="auto"/>
        <w:contextualSpacing/>
        <w:jc w:val="right"/>
        <w:rPr>
          <w:rFonts w:cs="Arial"/>
          <w:szCs w:val="22"/>
        </w:rPr>
      </w:pPr>
    </w:p>
    <w:p w14:paraId="6A04BA5F" w14:textId="77777777" w:rsidR="00CE7037" w:rsidRPr="00B6596D" w:rsidRDefault="00CE7037" w:rsidP="008B2619">
      <w:pPr>
        <w:widowControl w:val="0"/>
        <w:tabs>
          <w:tab w:val="right" w:pos="0"/>
        </w:tabs>
        <w:spacing w:line="360" w:lineRule="auto"/>
        <w:contextualSpacing/>
        <w:jc w:val="right"/>
        <w:rPr>
          <w:rFonts w:cs="Arial"/>
          <w:szCs w:val="22"/>
        </w:rPr>
      </w:pPr>
    </w:p>
    <w:p w14:paraId="008E0597" w14:textId="77777777" w:rsidR="006C43D7" w:rsidRPr="00B6596D" w:rsidRDefault="00C676F3" w:rsidP="008B2619">
      <w:pPr>
        <w:widowControl w:val="0"/>
        <w:tabs>
          <w:tab w:val="right" w:pos="0"/>
        </w:tabs>
        <w:spacing w:line="360" w:lineRule="auto"/>
        <w:contextualSpacing/>
        <w:jc w:val="right"/>
        <w:rPr>
          <w:rFonts w:cs="Arial"/>
          <w:b/>
          <w:szCs w:val="22"/>
        </w:rPr>
      </w:pPr>
      <w:r w:rsidRPr="00B6596D">
        <w:rPr>
          <w:rFonts w:cs="Arial"/>
          <w:b/>
          <w:szCs w:val="22"/>
        </w:rPr>
        <w:t>J MOORCROFT</w:t>
      </w:r>
    </w:p>
    <w:p w14:paraId="63792C73" w14:textId="77777777" w:rsidR="006C43D7" w:rsidRPr="00B6596D" w:rsidRDefault="006C43D7" w:rsidP="008B2619">
      <w:pPr>
        <w:widowControl w:val="0"/>
        <w:tabs>
          <w:tab w:val="right" w:pos="0"/>
        </w:tabs>
        <w:spacing w:line="360" w:lineRule="auto"/>
        <w:contextualSpacing/>
        <w:jc w:val="right"/>
        <w:rPr>
          <w:rFonts w:cs="Arial"/>
          <w:b/>
          <w:szCs w:val="22"/>
        </w:rPr>
      </w:pPr>
      <w:r w:rsidRPr="00B6596D">
        <w:rPr>
          <w:rFonts w:cs="Arial"/>
          <w:b/>
          <w:szCs w:val="22"/>
        </w:rPr>
        <w:t>ACTING JUDGE OF THE HIGH COURT OF SOUTH AFRICA</w:t>
      </w:r>
    </w:p>
    <w:p w14:paraId="3AAB1344" w14:textId="77777777" w:rsidR="006C43D7" w:rsidRPr="00B6596D" w:rsidRDefault="006C43D7" w:rsidP="008B2619">
      <w:pPr>
        <w:widowControl w:val="0"/>
        <w:tabs>
          <w:tab w:val="right" w:pos="0"/>
          <w:tab w:val="left" w:pos="4253"/>
        </w:tabs>
        <w:spacing w:line="360" w:lineRule="auto"/>
        <w:contextualSpacing/>
        <w:jc w:val="right"/>
        <w:rPr>
          <w:rFonts w:cs="Arial"/>
          <w:b/>
          <w:szCs w:val="22"/>
        </w:rPr>
      </w:pPr>
      <w:r w:rsidRPr="00B6596D">
        <w:rPr>
          <w:rFonts w:cs="Arial"/>
          <w:b/>
          <w:szCs w:val="22"/>
        </w:rPr>
        <w:t>GAUTENG DIVISION</w:t>
      </w:r>
    </w:p>
    <w:p w14:paraId="500EF4B0" w14:textId="77777777" w:rsidR="006C43D7" w:rsidRPr="00B6596D" w:rsidRDefault="006C43D7" w:rsidP="008B2619">
      <w:pPr>
        <w:widowControl w:val="0"/>
        <w:tabs>
          <w:tab w:val="right" w:pos="0"/>
          <w:tab w:val="left" w:pos="4253"/>
        </w:tabs>
        <w:spacing w:line="360" w:lineRule="auto"/>
        <w:contextualSpacing/>
        <w:jc w:val="right"/>
        <w:rPr>
          <w:rFonts w:cs="Arial"/>
          <w:b/>
          <w:szCs w:val="22"/>
        </w:rPr>
      </w:pPr>
      <w:r w:rsidRPr="00B6596D">
        <w:rPr>
          <w:rFonts w:cs="Arial"/>
          <w:b/>
          <w:szCs w:val="22"/>
        </w:rPr>
        <w:t>JOHANNESBURG</w:t>
      </w:r>
    </w:p>
    <w:p w14:paraId="68CDEDBC" w14:textId="77777777" w:rsidR="006C43D7" w:rsidRPr="00B6596D" w:rsidRDefault="006C43D7" w:rsidP="008B2619">
      <w:pPr>
        <w:widowControl w:val="0"/>
        <w:tabs>
          <w:tab w:val="right" w:pos="0"/>
          <w:tab w:val="left" w:pos="4253"/>
        </w:tabs>
        <w:spacing w:line="360" w:lineRule="auto"/>
        <w:contextualSpacing/>
        <w:jc w:val="center"/>
        <w:rPr>
          <w:rFonts w:cs="Arial"/>
          <w:b/>
          <w:szCs w:val="22"/>
        </w:rPr>
      </w:pPr>
    </w:p>
    <w:p w14:paraId="3F26316B" w14:textId="77777777" w:rsidR="006C43D7" w:rsidRPr="00B6596D" w:rsidRDefault="006C43D7" w:rsidP="008B2619">
      <w:pPr>
        <w:widowControl w:val="0"/>
        <w:spacing w:after="200" w:line="480" w:lineRule="auto"/>
        <w:contextualSpacing/>
        <w:jc w:val="right"/>
        <w:rPr>
          <w:rFonts w:cs="Arial"/>
          <w:b/>
          <w:i/>
          <w:iCs/>
          <w:szCs w:val="22"/>
        </w:rPr>
      </w:pPr>
      <w:r w:rsidRPr="00B6596D">
        <w:rPr>
          <w:rFonts w:cs="Arial"/>
          <w:b/>
          <w:i/>
          <w:iCs/>
          <w:szCs w:val="22"/>
        </w:rPr>
        <w:t>Electronically submitted</w:t>
      </w:r>
    </w:p>
    <w:p w14:paraId="3742B3D5" w14:textId="77777777" w:rsidR="006C43D7" w:rsidRPr="00B6596D" w:rsidRDefault="006C43D7" w:rsidP="008B2619">
      <w:pPr>
        <w:widowControl w:val="0"/>
        <w:spacing w:after="200" w:line="360" w:lineRule="auto"/>
        <w:contextualSpacing/>
        <w:jc w:val="both"/>
        <w:rPr>
          <w:rFonts w:eastAsia="Arial Unicode MS" w:cs="Arial"/>
          <w:bCs/>
          <w:szCs w:val="22"/>
        </w:rPr>
      </w:pPr>
    </w:p>
    <w:p w14:paraId="14F9C3AE" w14:textId="15F70B40" w:rsidR="006C43D7" w:rsidRPr="00B6596D" w:rsidRDefault="006C43D7" w:rsidP="008B2619">
      <w:pPr>
        <w:widowControl w:val="0"/>
        <w:spacing w:after="200" w:line="360" w:lineRule="auto"/>
        <w:contextualSpacing/>
        <w:jc w:val="both"/>
        <w:rPr>
          <w:rFonts w:eastAsia="Arial Unicode MS" w:cs="Arial"/>
          <w:b/>
          <w:bCs/>
          <w:szCs w:val="22"/>
        </w:rPr>
      </w:pPr>
      <w:r w:rsidRPr="00B6596D">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357D35" w:rsidRPr="00B6596D">
        <w:rPr>
          <w:rFonts w:eastAsia="Arial Unicode MS" w:cs="Arial"/>
          <w:bCs/>
          <w:szCs w:val="22"/>
        </w:rPr>
        <w:t xml:space="preserve"> </w:t>
      </w:r>
      <w:r w:rsidR="00954E62" w:rsidRPr="00B6596D">
        <w:rPr>
          <w:rFonts w:eastAsia="Arial Unicode MS" w:cs="Arial"/>
          <w:b/>
          <w:szCs w:val="22"/>
        </w:rPr>
        <w:t>1</w:t>
      </w:r>
      <w:r w:rsidR="00CB780F">
        <w:rPr>
          <w:rFonts w:eastAsia="Arial Unicode MS" w:cs="Arial"/>
          <w:b/>
          <w:szCs w:val="22"/>
        </w:rPr>
        <w:t>5</w:t>
      </w:r>
      <w:r w:rsidR="00954E62" w:rsidRPr="00B6596D">
        <w:rPr>
          <w:rFonts w:eastAsia="Arial Unicode MS" w:cs="Arial"/>
          <w:b/>
          <w:szCs w:val="22"/>
        </w:rPr>
        <w:t xml:space="preserve"> JULY</w:t>
      </w:r>
      <w:r w:rsidR="00237FF9" w:rsidRPr="00B6596D">
        <w:rPr>
          <w:rFonts w:eastAsia="Arial Unicode MS" w:cs="Arial"/>
          <w:b/>
          <w:bCs/>
          <w:szCs w:val="22"/>
        </w:rPr>
        <w:t xml:space="preserve"> 2022</w:t>
      </w:r>
    </w:p>
    <w:p w14:paraId="4CD4A0C2" w14:textId="77777777" w:rsidR="006C43D7" w:rsidRPr="00B6596D" w:rsidRDefault="006C43D7" w:rsidP="008B2619">
      <w:pPr>
        <w:widowControl w:val="0"/>
        <w:tabs>
          <w:tab w:val="right" w:pos="0"/>
          <w:tab w:val="left" w:pos="4253"/>
        </w:tabs>
        <w:spacing w:line="360" w:lineRule="auto"/>
        <w:contextualSpacing/>
        <w:jc w:val="center"/>
        <w:rPr>
          <w:rFonts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629"/>
      </w:tblGrid>
      <w:tr w:rsidR="009C3D0D" w14:paraId="3017CA82" w14:textId="77777777" w:rsidTr="00CB780F">
        <w:tc>
          <w:tcPr>
            <w:tcW w:w="4673" w:type="dxa"/>
          </w:tcPr>
          <w:p w14:paraId="39C5EA50" w14:textId="208AD5ED" w:rsidR="009C3D0D" w:rsidRDefault="009C3D0D" w:rsidP="00CB780F">
            <w:pPr>
              <w:widowControl w:val="0"/>
              <w:tabs>
                <w:tab w:val="right" w:pos="0"/>
                <w:tab w:val="left" w:pos="4253"/>
              </w:tabs>
              <w:spacing w:line="360" w:lineRule="auto"/>
              <w:contextualSpacing/>
              <w:rPr>
                <w:rFonts w:cs="Arial"/>
                <w:szCs w:val="22"/>
              </w:rPr>
            </w:pPr>
            <w:r w:rsidRPr="00B6596D">
              <w:rPr>
                <w:rFonts w:cs="Arial"/>
                <w:szCs w:val="22"/>
              </w:rPr>
              <w:t>COUNSEL FOR THE APPLICANTS</w:t>
            </w:r>
          </w:p>
        </w:tc>
        <w:tc>
          <w:tcPr>
            <w:tcW w:w="3629" w:type="dxa"/>
          </w:tcPr>
          <w:p w14:paraId="1E0AA94F" w14:textId="77777777" w:rsidR="009C3D0D" w:rsidRPr="00B6596D" w:rsidRDefault="009C3D0D" w:rsidP="00CB780F">
            <w:pPr>
              <w:widowControl w:val="0"/>
              <w:tabs>
                <w:tab w:val="right" w:pos="8647"/>
              </w:tabs>
              <w:spacing w:line="360" w:lineRule="auto"/>
              <w:contextualSpacing/>
              <w:jc w:val="right"/>
              <w:rPr>
                <w:rFonts w:cs="Arial"/>
                <w:szCs w:val="22"/>
              </w:rPr>
            </w:pPr>
            <w:r w:rsidRPr="00B6596D">
              <w:rPr>
                <w:rFonts w:cs="Arial"/>
                <w:szCs w:val="22"/>
              </w:rPr>
              <w:t>V MALEKA SC</w:t>
            </w:r>
          </w:p>
          <w:p w14:paraId="1A0DEDC1" w14:textId="38B2B449" w:rsidR="009C3D0D" w:rsidRPr="00B6596D" w:rsidRDefault="009C3D0D" w:rsidP="00CB780F">
            <w:pPr>
              <w:widowControl w:val="0"/>
              <w:tabs>
                <w:tab w:val="right" w:pos="8647"/>
              </w:tabs>
              <w:spacing w:line="360" w:lineRule="auto"/>
              <w:contextualSpacing/>
              <w:jc w:val="right"/>
              <w:rPr>
                <w:rFonts w:cs="Arial"/>
                <w:szCs w:val="22"/>
              </w:rPr>
            </w:pPr>
            <w:r w:rsidRPr="00B6596D">
              <w:rPr>
                <w:rFonts w:cs="Arial"/>
                <w:szCs w:val="22"/>
              </w:rPr>
              <w:t>T SCOTT</w:t>
            </w:r>
          </w:p>
          <w:p w14:paraId="04C8BB67" w14:textId="77777777" w:rsidR="009C3D0D" w:rsidRDefault="009C3D0D" w:rsidP="00CB780F">
            <w:pPr>
              <w:widowControl w:val="0"/>
              <w:tabs>
                <w:tab w:val="right" w:pos="0"/>
                <w:tab w:val="left" w:pos="4253"/>
              </w:tabs>
              <w:spacing w:line="360" w:lineRule="auto"/>
              <w:contextualSpacing/>
              <w:jc w:val="right"/>
              <w:rPr>
                <w:rFonts w:cs="Arial"/>
                <w:szCs w:val="22"/>
              </w:rPr>
            </w:pPr>
            <w:r w:rsidRPr="00B6596D">
              <w:rPr>
                <w:rFonts w:cs="Arial"/>
                <w:szCs w:val="22"/>
              </w:rPr>
              <w:t>T POOE</w:t>
            </w:r>
          </w:p>
          <w:p w14:paraId="78BAC4AB" w14:textId="43468E2A" w:rsidR="006B3B5B" w:rsidRDefault="006B3B5B" w:rsidP="00CB780F">
            <w:pPr>
              <w:widowControl w:val="0"/>
              <w:tabs>
                <w:tab w:val="right" w:pos="0"/>
                <w:tab w:val="left" w:pos="4253"/>
              </w:tabs>
              <w:spacing w:line="360" w:lineRule="auto"/>
              <w:contextualSpacing/>
              <w:jc w:val="right"/>
              <w:rPr>
                <w:rFonts w:cs="Arial"/>
                <w:szCs w:val="22"/>
              </w:rPr>
            </w:pPr>
          </w:p>
        </w:tc>
      </w:tr>
      <w:tr w:rsidR="009C3D0D" w14:paraId="18E12EA9" w14:textId="77777777" w:rsidTr="00CB780F">
        <w:tc>
          <w:tcPr>
            <w:tcW w:w="4673" w:type="dxa"/>
          </w:tcPr>
          <w:p w14:paraId="1BC0B6C5" w14:textId="6566D04D" w:rsidR="009C3D0D" w:rsidRDefault="009C3D0D" w:rsidP="00CB780F">
            <w:pPr>
              <w:widowControl w:val="0"/>
              <w:tabs>
                <w:tab w:val="right" w:pos="0"/>
                <w:tab w:val="left" w:pos="4253"/>
              </w:tabs>
              <w:spacing w:line="360" w:lineRule="auto"/>
              <w:contextualSpacing/>
              <w:rPr>
                <w:rFonts w:cs="Arial"/>
                <w:szCs w:val="22"/>
              </w:rPr>
            </w:pPr>
            <w:r w:rsidRPr="00B6596D">
              <w:rPr>
                <w:rFonts w:cs="Arial"/>
                <w:szCs w:val="22"/>
              </w:rPr>
              <w:t>INSTRUCTED BY:</w:t>
            </w:r>
          </w:p>
        </w:tc>
        <w:tc>
          <w:tcPr>
            <w:tcW w:w="3629" w:type="dxa"/>
          </w:tcPr>
          <w:p w14:paraId="17519011" w14:textId="77777777" w:rsidR="009C3D0D" w:rsidRDefault="009C3D0D" w:rsidP="00CB780F">
            <w:pPr>
              <w:widowControl w:val="0"/>
              <w:tabs>
                <w:tab w:val="right" w:pos="0"/>
                <w:tab w:val="left" w:pos="4253"/>
              </w:tabs>
              <w:spacing w:line="360" w:lineRule="auto"/>
              <w:contextualSpacing/>
              <w:jc w:val="right"/>
              <w:rPr>
                <w:rFonts w:cs="Arial"/>
                <w:szCs w:val="22"/>
              </w:rPr>
            </w:pPr>
            <w:r w:rsidRPr="00B6596D">
              <w:rPr>
                <w:rFonts w:cs="Arial"/>
                <w:szCs w:val="22"/>
              </w:rPr>
              <w:t>CLIFFE DEKKER HOFMEYR INC</w:t>
            </w:r>
          </w:p>
          <w:p w14:paraId="4B30595D" w14:textId="23C9FF3D" w:rsidR="006B3B5B" w:rsidRDefault="006B3B5B" w:rsidP="00CB780F">
            <w:pPr>
              <w:widowControl w:val="0"/>
              <w:tabs>
                <w:tab w:val="right" w:pos="0"/>
                <w:tab w:val="left" w:pos="4253"/>
              </w:tabs>
              <w:spacing w:line="360" w:lineRule="auto"/>
              <w:contextualSpacing/>
              <w:jc w:val="right"/>
              <w:rPr>
                <w:rFonts w:cs="Arial"/>
                <w:szCs w:val="22"/>
              </w:rPr>
            </w:pPr>
          </w:p>
        </w:tc>
      </w:tr>
      <w:tr w:rsidR="009C3D0D" w14:paraId="322AE01E" w14:textId="77777777" w:rsidTr="00CB780F">
        <w:tc>
          <w:tcPr>
            <w:tcW w:w="4673" w:type="dxa"/>
          </w:tcPr>
          <w:p w14:paraId="11C7D620" w14:textId="3AFB84E4" w:rsidR="009C3D0D" w:rsidRDefault="009C3D0D" w:rsidP="00CB780F">
            <w:pPr>
              <w:widowControl w:val="0"/>
              <w:tabs>
                <w:tab w:val="right" w:pos="0"/>
                <w:tab w:val="left" w:pos="4253"/>
              </w:tabs>
              <w:spacing w:line="360" w:lineRule="auto"/>
              <w:contextualSpacing/>
              <w:rPr>
                <w:rFonts w:cs="Arial"/>
                <w:szCs w:val="22"/>
              </w:rPr>
            </w:pPr>
            <w:r w:rsidRPr="00B6596D">
              <w:rPr>
                <w:rFonts w:cs="Arial"/>
                <w:szCs w:val="22"/>
              </w:rPr>
              <w:lastRenderedPageBreak/>
              <w:t>COUNSEL FOR FIRST RESPONDENT:</w:t>
            </w:r>
          </w:p>
        </w:tc>
        <w:tc>
          <w:tcPr>
            <w:tcW w:w="3629" w:type="dxa"/>
          </w:tcPr>
          <w:p w14:paraId="051A8246" w14:textId="77777777" w:rsidR="009C3D0D" w:rsidRPr="00B6596D" w:rsidRDefault="009C3D0D" w:rsidP="00CB780F">
            <w:pPr>
              <w:widowControl w:val="0"/>
              <w:tabs>
                <w:tab w:val="right" w:pos="0"/>
                <w:tab w:val="right" w:pos="8647"/>
              </w:tabs>
              <w:spacing w:line="360" w:lineRule="auto"/>
              <w:contextualSpacing/>
              <w:jc w:val="right"/>
              <w:rPr>
                <w:rFonts w:cs="Arial"/>
                <w:szCs w:val="22"/>
              </w:rPr>
            </w:pPr>
            <w:r w:rsidRPr="00B6596D">
              <w:rPr>
                <w:rFonts w:cs="Arial"/>
                <w:szCs w:val="22"/>
              </w:rPr>
              <w:t>S SYMON SC</w:t>
            </w:r>
          </w:p>
          <w:p w14:paraId="6504588C" w14:textId="2AEE6DD2" w:rsidR="009C3D0D" w:rsidRPr="00B6596D" w:rsidRDefault="009C3D0D" w:rsidP="00CB780F">
            <w:pPr>
              <w:widowControl w:val="0"/>
              <w:tabs>
                <w:tab w:val="right" w:pos="0"/>
                <w:tab w:val="right" w:pos="8647"/>
              </w:tabs>
              <w:spacing w:line="360" w:lineRule="auto"/>
              <w:contextualSpacing/>
              <w:jc w:val="right"/>
              <w:rPr>
                <w:rFonts w:cs="Arial"/>
                <w:szCs w:val="22"/>
              </w:rPr>
            </w:pPr>
            <w:r w:rsidRPr="00B6596D">
              <w:rPr>
                <w:rFonts w:cs="Arial"/>
                <w:szCs w:val="22"/>
              </w:rPr>
              <w:t>T MOTAU SC</w:t>
            </w:r>
          </w:p>
          <w:p w14:paraId="2D9F7A96" w14:textId="77777777" w:rsidR="009C3D0D" w:rsidRDefault="009C3D0D" w:rsidP="00CB780F">
            <w:pPr>
              <w:widowControl w:val="0"/>
              <w:tabs>
                <w:tab w:val="right" w:pos="0"/>
                <w:tab w:val="left" w:pos="4253"/>
              </w:tabs>
              <w:spacing w:line="360" w:lineRule="auto"/>
              <w:contextualSpacing/>
              <w:jc w:val="right"/>
              <w:rPr>
                <w:rFonts w:cs="Arial"/>
                <w:szCs w:val="22"/>
              </w:rPr>
            </w:pPr>
            <w:r w:rsidRPr="00B6596D">
              <w:rPr>
                <w:rFonts w:cs="Arial"/>
                <w:szCs w:val="22"/>
              </w:rPr>
              <w:t>A MILOVANOVIC- BITTER</w:t>
            </w:r>
          </w:p>
          <w:p w14:paraId="3A6E3D1A" w14:textId="2F10ABE7" w:rsidR="006B3B5B" w:rsidRDefault="006B3B5B" w:rsidP="00CB780F">
            <w:pPr>
              <w:widowControl w:val="0"/>
              <w:tabs>
                <w:tab w:val="right" w:pos="0"/>
                <w:tab w:val="left" w:pos="4253"/>
              </w:tabs>
              <w:spacing w:line="360" w:lineRule="auto"/>
              <w:contextualSpacing/>
              <w:jc w:val="right"/>
              <w:rPr>
                <w:rFonts w:cs="Arial"/>
                <w:szCs w:val="22"/>
              </w:rPr>
            </w:pPr>
          </w:p>
        </w:tc>
      </w:tr>
      <w:tr w:rsidR="009C3D0D" w14:paraId="4F29A6EC" w14:textId="77777777" w:rsidTr="00CB780F">
        <w:tc>
          <w:tcPr>
            <w:tcW w:w="4673" w:type="dxa"/>
          </w:tcPr>
          <w:p w14:paraId="31E4B84A" w14:textId="464A0C47" w:rsidR="009C3D0D" w:rsidRDefault="009C3D0D" w:rsidP="00CB780F">
            <w:pPr>
              <w:widowControl w:val="0"/>
              <w:tabs>
                <w:tab w:val="right" w:pos="0"/>
                <w:tab w:val="left" w:pos="4253"/>
              </w:tabs>
              <w:spacing w:line="360" w:lineRule="auto"/>
              <w:contextualSpacing/>
              <w:rPr>
                <w:rFonts w:cs="Arial"/>
                <w:szCs w:val="22"/>
              </w:rPr>
            </w:pPr>
            <w:r w:rsidRPr="00B6596D">
              <w:rPr>
                <w:rFonts w:cs="Arial"/>
                <w:szCs w:val="22"/>
              </w:rPr>
              <w:t>INSTRUCTED BY:</w:t>
            </w:r>
          </w:p>
        </w:tc>
        <w:tc>
          <w:tcPr>
            <w:tcW w:w="3629" w:type="dxa"/>
          </w:tcPr>
          <w:p w14:paraId="47C19E4E" w14:textId="498FCEA6" w:rsidR="009C3D0D" w:rsidRDefault="00CB780F" w:rsidP="006B3B5B">
            <w:pPr>
              <w:widowControl w:val="0"/>
              <w:tabs>
                <w:tab w:val="right" w:pos="0"/>
                <w:tab w:val="left" w:pos="4253"/>
              </w:tabs>
              <w:spacing w:line="360" w:lineRule="auto"/>
              <w:contextualSpacing/>
              <w:jc w:val="right"/>
              <w:rPr>
                <w:rFonts w:cs="Arial"/>
                <w:szCs w:val="22"/>
              </w:rPr>
            </w:pPr>
            <w:r w:rsidRPr="00B6596D">
              <w:rPr>
                <w:rFonts w:cs="Arial"/>
                <w:szCs w:val="22"/>
              </w:rPr>
              <w:t xml:space="preserve">KAMPEL KAUFMAN </w:t>
            </w:r>
            <w:r w:rsidR="006B3B5B">
              <w:rPr>
                <w:rFonts w:cs="Arial"/>
                <w:szCs w:val="22"/>
              </w:rPr>
              <w:t>A</w:t>
            </w:r>
            <w:r w:rsidRPr="00B6596D">
              <w:rPr>
                <w:rFonts w:cs="Arial"/>
                <w:szCs w:val="22"/>
              </w:rPr>
              <w:t>TTORNEYS</w:t>
            </w:r>
          </w:p>
          <w:p w14:paraId="2E7EBD1C" w14:textId="5A2E92C6" w:rsidR="006B3B5B" w:rsidRDefault="006B3B5B" w:rsidP="00CB780F">
            <w:pPr>
              <w:widowControl w:val="0"/>
              <w:tabs>
                <w:tab w:val="right" w:pos="0"/>
                <w:tab w:val="left" w:pos="4253"/>
              </w:tabs>
              <w:spacing w:line="360" w:lineRule="auto"/>
              <w:contextualSpacing/>
              <w:jc w:val="right"/>
              <w:rPr>
                <w:rFonts w:cs="Arial"/>
                <w:szCs w:val="22"/>
              </w:rPr>
            </w:pPr>
          </w:p>
        </w:tc>
      </w:tr>
      <w:tr w:rsidR="00CB780F" w14:paraId="6E4A161D" w14:textId="77777777" w:rsidTr="00CB780F">
        <w:tc>
          <w:tcPr>
            <w:tcW w:w="4673" w:type="dxa"/>
          </w:tcPr>
          <w:p w14:paraId="0227AE24" w14:textId="0ED2B4D8" w:rsidR="00CB780F" w:rsidRPr="00B6596D" w:rsidRDefault="00CB780F" w:rsidP="00CB780F">
            <w:pPr>
              <w:widowControl w:val="0"/>
              <w:tabs>
                <w:tab w:val="right" w:pos="0"/>
                <w:tab w:val="left" w:pos="4253"/>
              </w:tabs>
              <w:spacing w:line="360" w:lineRule="auto"/>
              <w:contextualSpacing/>
              <w:rPr>
                <w:rFonts w:cs="Arial"/>
                <w:szCs w:val="22"/>
              </w:rPr>
            </w:pPr>
            <w:r w:rsidRPr="00B6596D">
              <w:rPr>
                <w:rFonts w:cs="Arial"/>
                <w:szCs w:val="22"/>
              </w:rPr>
              <w:t>COUNSEL FOR SECOND RESPONDENT:</w:t>
            </w:r>
          </w:p>
        </w:tc>
        <w:tc>
          <w:tcPr>
            <w:tcW w:w="3629" w:type="dxa"/>
          </w:tcPr>
          <w:p w14:paraId="2FC67419" w14:textId="77777777" w:rsidR="00CB780F" w:rsidRDefault="00CB780F" w:rsidP="00CB780F">
            <w:pPr>
              <w:widowControl w:val="0"/>
              <w:tabs>
                <w:tab w:val="right" w:pos="0"/>
                <w:tab w:val="left" w:pos="4253"/>
              </w:tabs>
              <w:spacing w:line="360" w:lineRule="auto"/>
              <w:contextualSpacing/>
              <w:jc w:val="right"/>
              <w:rPr>
                <w:rFonts w:cs="Arial"/>
                <w:szCs w:val="22"/>
              </w:rPr>
            </w:pPr>
            <w:r w:rsidRPr="00B6596D">
              <w:rPr>
                <w:rFonts w:cs="Arial"/>
                <w:szCs w:val="22"/>
              </w:rPr>
              <w:t>J BLOU SC</w:t>
            </w:r>
          </w:p>
          <w:p w14:paraId="47504A95" w14:textId="2CF78C19" w:rsidR="006B3B5B" w:rsidRPr="00B6596D" w:rsidRDefault="006B3B5B" w:rsidP="00CB780F">
            <w:pPr>
              <w:widowControl w:val="0"/>
              <w:tabs>
                <w:tab w:val="right" w:pos="0"/>
                <w:tab w:val="left" w:pos="4253"/>
              </w:tabs>
              <w:spacing w:line="360" w:lineRule="auto"/>
              <w:contextualSpacing/>
              <w:jc w:val="right"/>
              <w:rPr>
                <w:rFonts w:cs="Arial"/>
                <w:szCs w:val="22"/>
              </w:rPr>
            </w:pPr>
          </w:p>
        </w:tc>
      </w:tr>
      <w:tr w:rsidR="00CB780F" w14:paraId="012223B5" w14:textId="77777777" w:rsidTr="00CB780F">
        <w:tc>
          <w:tcPr>
            <w:tcW w:w="4673" w:type="dxa"/>
          </w:tcPr>
          <w:p w14:paraId="303F15F7" w14:textId="74CB63A1" w:rsidR="00CB780F" w:rsidRPr="00B6596D" w:rsidRDefault="00CB780F" w:rsidP="00CB780F">
            <w:pPr>
              <w:widowControl w:val="0"/>
              <w:tabs>
                <w:tab w:val="right" w:pos="0"/>
                <w:tab w:val="left" w:pos="4253"/>
              </w:tabs>
              <w:spacing w:line="360" w:lineRule="auto"/>
              <w:contextualSpacing/>
              <w:rPr>
                <w:rFonts w:cs="Arial"/>
                <w:szCs w:val="22"/>
              </w:rPr>
            </w:pPr>
            <w:r w:rsidRPr="00B6596D">
              <w:rPr>
                <w:rFonts w:cs="Arial"/>
                <w:szCs w:val="22"/>
              </w:rPr>
              <w:t>INSTRUCTED BY:</w:t>
            </w:r>
          </w:p>
        </w:tc>
        <w:tc>
          <w:tcPr>
            <w:tcW w:w="3629" w:type="dxa"/>
          </w:tcPr>
          <w:p w14:paraId="7806095F" w14:textId="77777777" w:rsidR="00CB780F" w:rsidRDefault="00CB780F" w:rsidP="00CB780F">
            <w:pPr>
              <w:widowControl w:val="0"/>
              <w:tabs>
                <w:tab w:val="right" w:pos="0"/>
                <w:tab w:val="left" w:pos="4253"/>
              </w:tabs>
              <w:spacing w:line="360" w:lineRule="auto"/>
              <w:contextualSpacing/>
              <w:jc w:val="right"/>
              <w:rPr>
                <w:rFonts w:cs="Arial"/>
                <w:szCs w:val="22"/>
              </w:rPr>
            </w:pPr>
            <w:r w:rsidRPr="00B6596D">
              <w:rPr>
                <w:rFonts w:cs="Arial"/>
                <w:szCs w:val="22"/>
              </w:rPr>
              <w:t>WERKSMAN ATTORNEYS</w:t>
            </w:r>
          </w:p>
          <w:p w14:paraId="7F3A7832" w14:textId="6B60B4D4" w:rsidR="006B3B5B" w:rsidRPr="00B6596D" w:rsidRDefault="006B3B5B" w:rsidP="00CB780F">
            <w:pPr>
              <w:widowControl w:val="0"/>
              <w:tabs>
                <w:tab w:val="right" w:pos="0"/>
                <w:tab w:val="left" w:pos="4253"/>
              </w:tabs>
              <w:spacing w:line="360" w:lineRule="auto"/>
              <w:contextualSpacing/>
              <w:jc w:val="right"/>
              <w:rPr>
                <w:rFonts w:cs="Arial"/>
                <w:szCs w:val="22"/>
              </w:rPr>
            </w:pPr>
          </w:p>
        </w:tc>
      </w:tr>
      <w:tr w:rsidR="00CB780F" w14:paraId="06C80ADB" w14:textId="77777777" w:rsidTr="00CB780F">
        <w:tc>
          <w:tcPr>
            <w:tcW w:w="4673" w:type="dxa"/>
          </w:tcPr>
          <w:p w14:paraId="04BE6EC1" w14:textId="652B1647" w:rsidR="00CB780F" w:rsidRPr="00B6596D" w:rsidRDefault="00CB780F" w:rsidP="00CB780F">
            <w:pPr>
              <w:widowControl w:val="0"/>
              <w:tabs>
                <w:tab w:val="right" w:pos="0"/>
                <w:tab w:val="left" w:pos="4253"/>
              </w:tabs>
              <w:spacing w:line="360" w:lineRule="auto"/>
              <w:contextualSpacing/>
              <w:rPr>
                <w:rFonts w:cs="Arial"/>
                <w:szCs w:val="22"/>
              </w:rPr>
            </w:pPr>
            <w:r w:rsidRPr="00B6596D">
              <w:rPr>
                <w:rFonts w:cs="Arial"/>
                <w:szCs w:val="22"/>
              </w:rPr>
              <w:t>DATE OF THE HEARING:</w:t>
            </w:r>
          </w:p>
        </w:tc>
        <w:tc>
          <w:tcPr>
            <w:tcW w:w="3629" w:type="dxa"/>
          </w:tcPr>
          <w:p w14:paraId="65013620" w14:textId="77777777" w:rsidR="00CB780F" w:rsidRDefault="00CB780F" w:rsidP="00CB780F">
            <w:pPr>
              <w:widowControl w:val="0"/>
              <w:tabs>
                <w:tab w:val="right" w:pos="0"/>
                <w:tab w:val="left" w:pos="4253"/>
              </w:tabs>
              <w:spacing w:line="360" w:lineRule="auto"/>
              <w:contextualSpacing/>
              <w:jc w:val="right"/>
              <w:rPr>
                <w:rFonts w:cs="Arial"/>
                <w:szCs w:val="22"/>
              </w:rPr>
            </w:pPr>
            <w:r w:rsidRPr="00B6596D">
              <w:rPr>
                <w:rFonts w:cs="Arial"/>
                <w:szCs w:val="22"/>
              </w:rPr>
              <w:t>28 JUNE 2022</w:t>
            </w:r>
          </w:p>
          <w:p w14:paraId="18AB82DD" w14:textId="1AA27222" w:rsidR="006B3B5B" w:rsidRPr="00B6596D" w:rsidRDefault="006B3B5B" w:rsidP="00CB780F">
            <w:pPr>
              <w:widowControl w:val="0"/>
              <w:tabs>
                <w:tab w:val="right" w:pos="0"/>
                <w:tab w:val="left" w:pos="4253"/>
              </w:tabs>
              <w:spacing w:line="360" w:lineRule="auto"/>
              <w:contextualSpacing/>
              <w:jc w:val="right"/>
              <w:rPr>
                <w:rFonts w:cs="Arial"/>
                <w:szCs w:val="22"/>
              </w:rPr>
            </w:pPr>
          </w:p>
        </w:tc>
      </w:tr>
      <w:tr w:rsidR="00CB780F" w14:paraId="7EFB2548" w14:textId="77777777" w:rsidTr="00CB780F">
        <w:tc>
          <w:tcPr>
            <w:tcW w:w="4673" w:type="dxa"/>
          </w:tcPr>
          <w:p w14:paraId="77B0D7E7" w14:textId="028A5CFE" w:rsidR="00CB780F" w:rsidRPr="00B6596D" w:rsidRDefault="00CB780F" w:rsidP="00CB780F">
            <w:pPr>
              <w:widowControl w:val="0"/>
              <w:tabs>
                <w:tab w:val="right" w:pos="0"/>
                <w:tab w:val="left" w:pos="4253"/>
              </w:tabs>
              <w:spacing w:line="360" w:lineRule="auto"/>
              <w:contextualSpacing/>
              <w:rPr>
                <w:rFonts w:cs="Arial"/>
                <w:szCs w:val="22"/>
              </w:rPr>
            </w:pPr>
            <w:r w:rsidRPr="00B6596D">
              <w:rPr>
                <w:rFonts w:cs="Arial"/>
                <w:szCs w:val="22"/>
              </w:rPr>
              <w:t>DATE OF JUDGMENT:</w:t>
            </w:r>
          </w:p>
        </w:tc>
        <w:tc>
          <w:tcPr>
            <w:tcW w:w="3629" w:type="dxa"/>
          </w:tcPr>
          <w:p w14:paraId="5657BD04" w14:textId="3C7CEB40" w:rsidR="00CB780F" w:rsidRPr="00B6596D" w:rsidRDefault="00CB780F" w:rsidP="00CB780F">
            <w:pPr>
              <w:widowControl w:val="0"/>
              <w:tabs>
                <w:tab w:val="right" w:pos="0"/>
                <w:tab w:val="left" w:pos="4253"/>
              </w:tabs>
              <w:spacing w:line="360" w:lineRule="auto"/>
              <w:contextualSpacing/>
              <w:jc w:val="right"/>
              <w:rPr>
                <w:rFonts w:cs="Arial"/>
                <w:szCs w:val="22"/>
              </w:rPr>
            </w:pPr>
            <w:r w:rsidRPr="00B6596D">
              <w:rPr>
                <w:rFonts w:cs="Arial"/>
                <w:szCs w:val="22"/>
              </w:rPr>
              <w:t>1</w:t>
            </w:r>
            <w:r>
              <w:rPr>
                <w:rFonts w:cs="Arial"/>
                <w:szCs w:val="22"/>
              </w:rPr>
              <w:t>5</w:t>
            </w:r>
            <w:r w:rsidRPr="00B6596D">
              <w:rPr>
                <w:rFonts w:cs="Arial"/>
                <w:szCs w:val="22"/>
              </w:rPr>
              <w:t xml:space="preserve"> JULY 2022</w:t>
            </w:r>
          </w:p>
        </w:tc>
      </w:tr>
    </w:tbl>
    <w:p w14:paraId="2798374B" w14:textId="77777777" w:rsidR="002678CE" w:rsidRPr="00B6596D" w:rsidRDefault="002678CE" w:rsidP="002678CE">
      <w:pPr>
        <w:widowControl w:val="0"/>
        <w:tabs>
          <w:tab w:val="right" w:pos="0"/>
          <w:tab w:val="right" w:pos="8647"/>
        </w:tabs>
        <w:spacing w:line="360" w:lineRule="auto"/>
        <w:contextualSpacing/>
        <w:jc w:val="both"/>
        <w:rPr>
          <w:rFonts w:cs="Arial"/>
          <w:szCs w:val="22"/>
        </w:rPr>
      </w:pPr>
    </w:p>
    <w:sectPr w:rsidR="002678CE" w:rsidRPr="00B6596D" w:rsidSect="00237FF9">
      <w:headerReference w:type="default" r:id="rId9"/>
      <w:pgSz w:w="11906" w:h="16838"/>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68C36" w14:textId="77777777" w:rsidR="00FB3BA2" w:rsidRDefault="00FB3BA2">
      <w:r>
        <w:separator/>
      </w:r>
    </w:p>
  </w:endnote>
  <w:endnote w:type="continuationSeparator" w:id="0">
    <w:p w14:paraId="7B87080D" w14:textId="77777777" w:rsidR="00FB3BA2" w:rsidRDefault="00FB3BA2">
      <w:r>
        <w:continuationSeparator/>
      </w:r>
    </w:p>
  </w:endnote>
  <w:endnote w:type="continuationNotice" w:id="1">
    <w:p w14:paraId="4C079866" w14:textId="77777777" w:rsidR="00FB3BA2" w:rsidRDefault="00FB3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E92F4" w14:textId="77777777" w:rsidR="00FB3BA2" w:rsidRDefault="00FB3BA2">
      <w:r>
        <w:separator/>
      </w:r>
    </w:p>
  </w:footnote>
  <w:footnote w:type="continuationSeparator" w:id="0">
    <w:p w14:paraId="115EBC87" w14:textId="77777777" w:rsidR="00FB3BA2" w:rsidRDefault="00FB3BA2">
      <w:r>
        <w:continuationSeparator/>
      </w:r>
    </w:p>
  </w:footnote>
  <w:footnote w:type="continuationNotice" w:id="1">
    <w:p w14:paraId="310923F5" w14:textId="77777777" w:rsidR="00FB3BA2" w:rsidRDefault="00FB3BA2"/>
  </w:footnote>
  <w:footnote w:id="2">
    <w:p w14:paraId="36A65D41" w14:textId="3DE7A4CE" w:rsidR="00B66993" w:rsidRDefault="00B66993">
      <w:pPr>
        <w:pStyle w:val="FootnoteText"/>
      </w:pPr>
      <w:r>
        <w:rPr>
          <w:rStyle w:val="FootnoteReference"/>
        </w:rPr>
        <w:footnoteRef/>
      </w:r>
      <w:r>
        <w:t xml:space="preserve"> </w:t>
      </w:r>
      <w:r>
        <w:tab/>
        <w:t>All references to Rules are to the Uniform Rules of Court.</w:t>
      </w:r>
    </w:p>
  </w:footnote>
  <w:footnote w:id="3">
    <w:p w14:paraId="67379F89" w14:textId="77777777" w:rsidR="003E0CE8" w:rsidRPr="00B6596D" w:rsidRDefault="003E0CE8" w:rsidP="00954E62">
      <w:pPr>
        <w:pStyle w:val="FootnoteText"/>
        <w:jc w:val="both"/>
      </w:pPr>
      <w:r w:rsidRPr="00B6596D">
        <w:rPr>
          <w:rStyle w:val="FootnoteReference"/>
        </w:rPr>
        <w:footnoteRef/>
      </w:r>
      <w:r w:rsidRPr="00B6596D">
        <w:t xml:space="preserve"> </w:t>
      </w:r>
      <w:r w:rsidRPr="00B6596D">
        <w:tab/>
      </w:r>
      <w:r w:rsidRPr="00B6596D">
        <w:rPr>
          <w:rFonts w:cs="Arial"/>
          <w:color w:val="000000"/>
        </w:rPr>
        <w:t>2013</w:t>
      </w:r>
      <w:r w:rsidRPr="00B6596D">
        <w:rPr>
          <w:rFonts w:cs="Arial"/>
          <w:color w:val="000000"/>
          <w:shd w:val="clear" w:color="auto" w:fill="FFFFFF"/>
        </w:rPr>
        <w:t> (</w:t>
      </w:r>
      <w:r w:rsidRPr="00B6596D">
        <w:rPr>
          <w:rFonts w:cs="Arial"/>
          <w:color w:val="000000"/>
        </w:rPr>
        <w:t>6</w:t>
      </w:r>
      <w:r w:rsidRPr="00B6596D">
        <w:rPr>
          <w:rFonts w:cs="Arial"/>
          <w:color w:val="000000"/>
          <w:shd w:val="clear" w:color="auto" w:fill="FFFFFF"/>
        </w:rPr>
        <w:t>) </w:t>
      </w:r>
      <w:r w:rsidRPr="00B6596D">
        <w:rPr>
          <w:rFonts w:cs="Arial"/>
          <w:color w:val="000000"/>
        </w:rPr>
        <w:t>SA</w:t>
      </w:r>
      <w:r w:rsidRPr="00B6596D">
        <w:rPr>
          <w:rFonts w:cs="Arial"/>
          <w:color w:val="000000"/>
          <w:shd w:val="clear" w:color="auto" w:fill="FFFFFF"/>
        </w:rPr>
        <w:t> </w:t>
      </w:r>
      <w:r w:rsidRPr="00B6596D">
        <w:rPr>
          <w:rFonts w:cs="Arial"/>
          <w:color w:val="000000"/>
        </w:rPr>
        <w:t>520</w:t>
      </w:r>
      <w:r w:rsidRPr="00B6596D">
        <w:rPr>
          <w:rFonts w:cs="Arial"/>
          <w:color w:val="000000"/>
          <w:shd w:val="clear" w:color="auto" w:fill="FFFFFF"/>
        </w:rPr>
        <w:t> (SCA) para 24.</w:t>
      </w:r>
    </w:p>
  </w:footnote>
  <w:footnote w:id="4">
    <w:p w14:paraId="5BF02E93" w14:textId="77777777" w:rsidR="003E0CE8" w:rsidRPr="00B6596D" w:rsidRDefault="003E0CE8" w:rsidP="00954E62">
      <w:pPr>
        <w:pStyle w:val="FootnoteText"/>
        <w:jc w:val="both"/>
      </w:pPr>
      <w:r w:rsidRPr="00B6596D">
        <w:rPr>
          <w:rStyle w:val="FootnoteReference"/>
        </w:rPr>
        <w:footnoteRef/>
      </w:r>
      <w:r w:rsidRPr="00B6596D">
        <w:t xml:space="preserve"> </w:t>
      </w:r>
      <w:r w:rsidRPr="00B6596D">
        <w:tab/>
        <w:t>S 16(2)(a) of the Superior Courts Act, 10 of 2013.</w:t>
      </w:r>
    </w:p>
  </w:footnote>
  <w:footnote w:id="5">
    <w:p w14:paraId="28379525" w14:textId="77777777" w:rsidR="003E0CE8" w:rsidRPr="00B6596D" w:rsidRDefault="003E0CE8" w:rsidP="00954E62">
      <w:pPr>
        <w:pStyle w:val="FootnoteText"/>
        <w:jc w:val="both"/>
      </w:pPr>
      <w:r w:rsidRPr="00B6596D">
        <w:rPr>
          <w:rStyle w:val="FootnoteReference"/>
        </w:rPr>
        <w:footnoteRef/>
      </w:r>
      <w:r w:rsidRPr="00B6596D">
        <w:t xml:space="preserve"> </w:t>
      </w:r>
      <w:r w:rsidRPr="00B6596D">
        <w:tab/>
      </w:r>
      <w:r w:rsidRPr="00B6596D">
        <w:rPr>
          <w:rFonts w:cs="Arial"/>
        </w:rPr>
        <w:t xml:space="preserve">2017 JDR 0753 (KZP), </w:t>
      </w:r>
      <w:r w:rsidRPr="00B6596D">
        <w:rPr>
          <w:rFonts w:eastAsia="Calibri" w:cs="Arial"/>
          <w:color w:val="000000"/>
        </w:rPr>
        <w:t xml:space="preserve"> [2017] JOL 37724 (KZP) paras 29 to 30.</w:t>
      </w:r>
    </w:p>
  </w:footnote>
  <w:footnote w:id="6">
    <w:p w14:paraId="77617AD0" w14:textId="77777777" w:rsidR="003E0CE8" w:rsidRPr="00B6596D" w:rsidRDefault="003E0CE8" w:rsidP="00954E62">
      <w:pPr>
        <w:pStyle w:val="FootnoteText"/>
        <w:jc w:val="both"/>
      </w:pPr>
      <w:r w:rsidRPr="00B6596D">
        <w:rPr>
          <w:rStyle w:val="FootnoteReference"/>
        </w:rPr>
        <w:footnoteRef/>
      </w:r>
      <w:r w:rsidRPr="00B6596D">
        <w:t xml:space="preserve"> </w:t>
      </w:r>
      <w:r w:rsidRPr="00B6596D">
        <w:tab/>
      </w:r>
      <w:r w:rsidRPr="00B6596D">
        <w:rPr>
          <w:rFonts w:eastAsia="Calibri" w:cs="Arial"/>
          <w:color w:val="000000"/>
        </w:rPr>
        <w:t>2012 (1) SACR 567 (SCA) para 7.</w:t>
      </w:r>
    </w:p>
  </w:footnote>
  <w:footnote w:id="7">
    <w:p w14:paraId="71B17D9D" w14:textId="77777777" w:rsidR="003E0CE8" w:rsidRPr="00B6596D" w:rsidRDefault="003E0CE8" w:rsidP="00954E62">
      <w:pPr>
        <w:pStyle w:val="FootnoteText"/>
        <w:jc w:val="both"/>
      </w:pPr>
      <w:r w:rsidRPr="00B6596D">
        <w:rPr>
          <w:rStyle w:val="FootnoteReference"/>
        </w:rPr>
        <w:footnoteRef/>
      </w:r>
      <w:r w:rsidRPr="00B6596D">
        <w:t xml:space="preserve"> </w:t>
      </w:r>
      <w:r w:rsidRPr="00B6596D">
        <w:tab/>
      </w:r>
      <w:r w:rsidR="00DA324B" w:rsidRPr="00B6596D">
        <w:rPr>
          <w:rFonts w:eastAsia="Calibri" w:cs="Arial"/>
          <w:i/>
          <w:iCs/>
        </w:rPr>
        <w:t xml:space="preserve">Mont Chevaux Trust </w:t>
      </w:r>
      <w:r w:rsidR="00DA324B" w:rsidRPr="00B6596D">
        <w:rPr>
          <w:rFonts w:cs="Arial"/>
          <w:i/>
          <w:iCs/>
        </w:rPr>
        <w:t xml:space="preserve">(IT 2012/28) </w:t>
      </w:r>
      <w:r w:rsidR="00DA324B" w:rsidRPr="00B6596D">
        <w:rPr>
          <w:rFonts w:eastAsia="Calibri" w:cs="Arial"/>
          <w:i/>
          <w:iCs/>
        </w:rPr>
        <w:t>v Tina Goosen</w:t>
      </w:r>
      <w:r w:rsidR="00DA324B" w:rsidRPr="00B6596D">
        <w:rPr>
          <w:rFonts w:eastAsia="Calibri" w:cs="Arial"/>
          <w:color w:val="000000"/>
        </w:rPr>
        <w:t xml:space="preserve"> </w:t>
      </w:r>
      <w:r w:rsidRPr="00B6596D">
        <w:rPr>
          <w:rFonts w:eastAsia="Calibri" w:cs="Arial"/>
          <w:color w:val="000000"/>
        </w:rPr>
        <w:t>2014 JDR 2325 (LCC)</w:t>
      </w:r>
      <w:r w:rsidRPr="00B6596D">
        <w:rPr>
          <w:rFonts w:cs="Arial"/>
        </w:rPr>
        <w:t>, [2014] ZALCC 20 para 6</w:t>
      </w:r>
      <w:r w:rsidR="00FE3EF4" w:rsidRPr="00B6596D">
        <w:rPr>
          <w:rFonts w:cs="Arial"/>
        </w:rPr>
        <w:t xml:space="preserve">; </w:t>
      </w:r>
      <w:r w:rsidR="00FE3EF4" w:rsidRPr="00B6596D">
        <w:rPr>
          <w:rFonts w:eastAsia="Calibri" w:cs="Arial"/>
          <w:i/>
          <w:iCs/>
        </w:rPr>
        <w:t xml:space="preserve">S v Notshokovu </w:t>
      </w:r>
      <w:r w:rsidR="00FE3EF4" w:rsidRPr="00B6596D">
        <w:rPr>
          <w:rFonts w:eastAsia="Calibri" w:cs="Arial"/>
          <w:color w:val="000000"/>
        </w:rPr>
        <w:t>[2016] ZASCA 112 para 2. See also</w:t>
      </w:r>
      <w:r w:rsidR="00FE3EF4" w:rsidRPr="00B6596D">
        <w:rPr>
          <w:rFonts w:eastAsia="Calibri"/>
        </w:rPr>
        <w:t xml:space="preserve"> Van Loggerenberg and Bertelsmann </w:t>
      </w:r>
      <w:r w:rsidR="00FE3EF4" w:rsidRPr="00B6596D">
        <w:rPr>
          <w:rFonts w:eastAsia="Calibri"/>
          <w:i/>
          <w:iCs/>
        </w:rPr>
        <w:t>Erasmus: Superior Court Practice</w:t>
      </w:r>
      <w:r w:rsidR="00FE3EF4" w:rsidRPr="00B6596D">
        <w:rPr>
          <w:rFonts w:eastAsia="Calibri"/>
        </w:rPr>
        <w:t xml:space="preserve"> A2-55;</w:t>
      </w:r>
      <w:r w:rsidR="00FE3EF4" w:rsidRPr="00B6596D">
        <w:rPr>
          <w:rFonts w:eastAsia="Calibri" w:cs="Arial"/>
          <w:color w:val="000000"/>
        </w:rPr>
        <w:t xml:space="preserve"> </w:t>
      </w:r>
      <w:r w:rsidR="00FE3EF4" w:rsidRPr="00B6596D">
        <w:rPr>
          <w:rFonts w:eastAsia="Calibri" w:cs="Arial"/>
          <w:i/>
          <w:iCs/>
          <w:color w:val="000000"/>
        </w:rPr>
        <w:t xml:space="preserve">The Acting National Director of Public Prosecution v Democratic Alliance </w:t>
      </w:r>
      <w:r w:rsidR="00FE3EF4" w:rsidRPr="00B6596D">
        <w:rPr>
          <w:rFonts w:eastAsia="Calibri" w:cs="Arial"/>
          <w:color w:val="000000"/>
        </w:rPr>
        <w:t xml:space="preserve">[2016] ZAGPPHC 489, </w:t>
      </w:r>
      <w:r w:rsidR="00FE3EF4" w:rsidRPr="00B6596D">
        <w:rPr>
          <w:rFonts w:eastAsia="Calibri"/>
        </w:rPr>
        <w:t xml:space="preserve">JOL 36123 (GP) </w:t>
      </w:r>
      <w:r w:rsidR="00FE3EF4" w:rsidRPr="00B6596D">
        <w:rPr>
          <w:rFonts w:eastAsia="Calibri" w:cs="Arial"/>
          <w:color w:val="000000"/>
        </w:rPr>
        <w:t xml:space="preserve">para 25; </w:t>
      </w:r>
      <w:r w:rsidR="00FE3EF4" w:rsidRPr="00B6596D">
        <w:rPr>
          <w:rFonts w:eastAsia="Calibri" w:cs="Arial"/>
          <w:i/>
          <w:iCs/>
          <w:color w:val="000000"/>
        </w:rPr>
        <w:t xml:space="preserve">South African Breweries (Pty) Ltd v Commissioner of the South African Revenue Services </w:t>
      </w:r>
      <w:r w:rsidR="00FE3EF4" w:rsidRPr="00B6596D">
        <w:rPr>
          <w:rFonts w:eastAsia="Calibri" w:cs="Arial"/>
          <w:color w:val="000000"/>
        </w:rPr>
        <w:t>[2017] ZAGPPHC 340 para 5</w:t>
      </w:r>
      <w:r w:rsidR="00FE3EF4" w:rsidRPr="00B6596D">
        <w:rPr>
          <w:rFonts w:eastAsia="Calibri"/>
        </w:rPr>
        <w:t xml:space="preserve">; </w:t>
      </w:r>
      <w:r w:rsidR="00FE3EF4" w:rsidRPr="00B6596D">
        <w:rPr>
          <w:rFonts w:eastAsia="Calibri"/>
          <w:i/>
          <w:iCs/>
        </w:rPr>
        <w:t>Lakaje N.O v MEC: Department of Health</w:t>
      </w:r>
      <w:r w:rsidR="00FE3EF4" w:rsidRPr="00B6596D">
        <w:rPr>
          <w:rFonts w:eastAsia="Calibri"/>
        </w:rPr>
        <w:t xml:space="preserve"> [2019] JOL 45564 (FB) </w:t>
      </w:r>
      <w:r w:rsidR="00FE3EF4" w:rsidRPr="00B6596D">
        <w:rPr>
          <w:rFonts w:eastAsia="Calibri" w:cs="Arial"/>
          <w:color w:val="000000"/>
        </w:rPr>
        <w:t>para 5;</w:t>
      </w:r>
      <w:r w:rsidR="00FE3EF4" w:rsidRPr="00B6596D">
        <w:rPr>
          <w:rFonts w:eastAsia="Calibri" w:cs="Arial"/>
          <w:i/>
          <w:iCs/>
          <w:color w:val="000000"/>
        </w:rPr>
        <w:t xml:space="preserve"> Nwafor v Minister of Home Affairs </w:t>
      </w:r>
      <w:r w:rsidR="00FE3EF4" w:rsidRPr="00B6596D">
        <w:rPr>
          <w:rFonts w:eastAsia="Calibri" w:cs="Arial"/>
          <w:color w:val="000000"/>
        </w:rPr>
        <w:t>[2021] JOL 50310 (SCA),</w:t>
      </w:r>
      <w:r w:rsidR="00FE3EF4" w:rsidRPr="00B6596D">
        <w:rPr>
          <w:rFonts w:cs="Arial"/>
          <w:color w:val="000000"/>
          <w:shd w:val="clear" w:color="auto" w:fill="FFFFFF"/>
        </w:rPr>
        <w:t xml:space="preserve"> 2021 JDR 0948 (SCA)</w:t>
      </w:r>
      <w:r w:rsidR="00FE3EF4" w:rsidRPr="00B6596D">
        <w:rPr>
          <w:rFonts w:eastAsia="Calibri" w:cs="Arial"/>
          <w:color w:val="000000"/>
        </w:rPr>
        <w:t xml:space="preserve"> paras 25 and 26.</w:t>
      </w:r>
    </w:p>
  </w:footnote>
  <w:footnote w:id="8">
    <w:p w14:paraId="3B7B39F8" w14:textId="0E128C22" w:rsidR="00993D00" w:rsidRDefault="00993D00">
      <w:pPr>
        <w:pStyle w:val="FootnoteText"/>
      </w:pPr>
      <w:r>
        <w:rPr>
          <w:rStyle w:val="FootnoteReference"/>
        </w:rPr>
        <w:footnoteRef/>
      </w:r>
      <w:r>
        <w:t xml:space="preserve"> </w:t>
      </w:r>
      <w:r>
        <w:tab/>
        <w:t xml:space="preserve">S </w:t>
      </w:r>
      <w:r w:rsidR="00815915">
        <w:rPr>
          <w:rFonts w:cs="Arial"/>
          <w:bCs/>
          <w:szCs w:val="22"/>
        </w:rPr>
        <w:t>62 of the Companies Act, 71 of 2008.</w:t>
      </w:r>
    </w:p>
  </w:footnote>
  <w:footnote w:id="9">
    <w:p w14:paraId="412CDA35" w14:textId="11C4D1EF" w:rsidR="001C3628" w:rsidRPr="00B6596D" w:rsidRDefault="001C3628" w:rsidP="001C3628">
      <w:pPr>
        <w:pStyle w:val="FootnoteText"/>
        <w:jc w:val="both"/>
        <w:rPr>
          <w:rFonts w:cs="Arial"/>
          <w:color w:val="000000"/>
        </w:rPr>
      </w:pPr>
      <w:r w:rsidRPr="00B6596D">
        <w:rPr>
          <w:rStyle w:val="FootnoteReference"/>
        </w:rPr>
        <w:footnoteRef/>
      </w:r>
      <w:r w:rsidRPr="00B6596D">
        <w:t xml:space="preserve"> </w:t>
      </w:r>
      <w:r w:rsidRPr="00B6596D">
        <w:rPr>
          <w:rFonts w:ascii="Verdana" w:hAnsi="Verdana"/>
          <w:color w:val="2C3E50"/>
          <w:shd w:val="clear" w:color="auto" w:fill="FFFFFF"/>
        </w:rPr>
        <w:t> </w:t>
      </w:r>
      <w:r w:rsidRPr="00B6596D">
        <w:rPr>
          <w:rFonts w:ascii="Verdana" w:hAnsi="Verdana"/>
          <w:color w:val="2C3E50"/>
          <w:shd w:val="clear" w:color="auto" w:fill="FFFFFF"/>
        </w:rPr>
        <w:tab/>
      </w:r>
      <w:r w:rsidRPr="00B6596D">
        <w:rPr>
          <w:rFonts w:cs="Arial"/>
          <w:i/>
          <w:iCs/>
          <w:color w:val="000000"/>
          <w:shd w:val="clear" w:color="auto" w:fill="FFFFFF"/>
        </w:rPr>
        <w:t>City of Johannesburg Metropolitan Municipality v Blue Moonlight Properties 39 (Pty) Ltd</w:t>
      </w:r>
      <w:r w:rsidRPr="00B6596D">
        <w:rPr>
          <w:rFonts w:cs="Arial"/>
          <w:color w:val="000000"/>
          <w:shd w:val="clear" w:color="auto" w:fill="FFFFFF"/>
        </w:rPr>
        <w:t> </w:t>
      </w:r>
      <w:hyperlink r:id="rId1" w:anchor="y2011v4SApg337" w:history="1">
        <w:r w:rsidRPr="00B6596D">
          <w:rPr>
            <w:rStyle w:val="Hyperlink"/>
            <w:rFonts w:cs="Arial"/>
            <w:color w:val="000000"/>
            <w:u w:val="none"/>
            <w:shd w:val="clear" w:color="auto" w:fill="FFFFFF"/>
          </w:rPr>
          <w:t>2011 (4) SA 337 (SCA)</w:t>
        </w:r>
      </w:hyperlink>
      <w:r w:rsidRPr="00B6596D">
        <w:rPr>
          <w:rFonts w:cs="Arial"/>
          <w:color w:val="000000"/>
          <w:shd w:val="clear" w:color="auto" w:fill="FFFFFF"/>
        </w:rPr>
        <w:t xml:space="preserve"> 359D;</w:t>
      </w:r>
      <w:r w:rsidR="008A52E7">
        <w:rPr>
          <w:rFonts w:cs="Arial"/>
          <w:color w:val="000000"/>
          <w:shd w:val="clear" w:color="auto" w:fill="FFFFFF"/>
        </w:rPr>
        <w:t xml:space="preserve"> </w:t>
      </w:r>
      <w:r w:rsidRPr="00B6596D">
        <w:rPr>
          <w:rFonts w:cs="Arial"/>
          <w:i/>
          <w:iCs/>
          <w:color w:val="000000"/>
          <w:shd w:val="clear" w:color="auto" w:fill="FFFFFF"/>
        </w:rPr>
        <w:t>Standard Bank of SA Ltd v Swartland Municipality</w:t>
      </w:r>
      <w:r w:rsidR="008A52E7">
        <w:rPr>
          <w:rFonts w:cs="Arial"/>
          <w:color w:val="000000"/>
          <w:shd w:val="clear" w:color="auto" w:fill="FFFFFF"/>
        </w:rPr>
        <w:t xml:space="preserve"> </w:t>
      </w:r>
      <w:hyperlink r:id="rId2" w:anchor="y2011v5SApg257" w:history="1">
        <w:r w:rsidRPr="00B6596D">
          <w:rPr>
            <w:rStyle w:val="Hyperlink"/>
            <w:rFonts w:cs="Arial"/>
            <w:color w:val="000000"/>
            <w:u w:val="none"/>
            <w:shd w:val="clear" w:color="auto" w:fill="FFFFFF"/>
          </w:rPr>
          <w:t>2011 (5) SA 257 (SCA)</w:t>
        </w:r>
      </w:hyperlink>
      <w:r w:rsidRPr="00B6596D">
        <w:rPr>
          <w:rFonts w:cs="Arial"/>
          <w:color w:val="000000"/>
          <w:shd w:val="clear" w:color="auto" w:fill="FFFFFF"/>
        </w:rPr>
        <w:t xml:space="preserve"> 259E–260A;</w:t>
      </w:r>
      <w:r w:rsidR="008A52E7">
        <w:rPr>
          <w:rFonts w:cs="Arial"/>
          <w:color w:val="000000"/>
          <w:shd w:val="clear" w:color="auto" w:fill="FFFFFF"/>
        </w:rPr>
        <w:t xml:space="preserve"> </w:t>
      </w:r>
      <w:r w:rsidRPr="00B6596D">
        <w:rPr>
          <w:rFonts w:cs="Arial"/>
          <w:i/>
          <w:iCs/>
          <w:color w:val="000000"/>
          <w:shd w:val="clear" w:color="auto" w:fill="FFFFFF"/>
        </w:rPr>
        <w:t>City of Johannesburg v Changing Tides 74 (Pty) Ltd</w:t>
      </w:r>
      <w:r w:rsidR="008A52E7">
        <w:rPr>
          <w:rFonts w:cs="Arial"/>
          <w:color w:val="000000"/>
          <w:shd w:val="clear" w:color="auto" w:fill="FFFFFF"/>
        </w:rPr>
        <w:t xml:space="preserve"> </w:t>
      </w:r>
      <w:hyperlink r:id="rId3" w:anchor="y2012v6SApg294" w:history="1">
        <w:r w:rsidRPr="00B6596D">
          <w:rPr>
            <w:rStyle w:val="Hyperlink"/>
            <w:rFonts w:cs="Arial"/>
            <w:color w:val="000000"/>
            <w:u w:val="none"/>
            <w:shd w:val="clear" w:color="auto" w:fill="FFFFFF"/>
          </w:rPr>
          <w:t>2012 (6) SA 294 (SCA)</w:t>
        </w:r>
      </w:hyperlink>
      <w:r w:rsidRPr="00B6596D">
        <w:rPr>
          <w:rFonts w:cs="Arial"/>
          <w:color w:val="000000"/>
          <w:shd w:val="clear" w:color="auto" w:fill="FFFFFF"/>
        </w:rPr>
        <w:t xml:space="preserve"> 317A;</w:t>
      </w:r>
      <w:r w:rsidR="008A52E7">
        <w:rPr>
          <w:rFonts w:cs="Arial"/>
          <w:color w:val="000000"/>
          <w:shd w:val="clear" w:color="auto" w:fill="FFFFFF"/>
        </w:rPr>
        <w:t xml:space="preserve"> </w:t>
      </w:r>
      <w:r w:rsidRPr="00B6596D">
        <w:rPr>
          <w:rFonts w:cs="Arial"/>
          <w:i/>
          <w:iCs/>
          <w:color w:val="000000"/>
          <w:shd w:val="clear" w:color="auto" w:fill="FFFFFF"/>
        </w:rPr>
        <w:t>Judicial Service Commission v Cape Bar Council</w:t>
      </w:r>
      <w:r w:rsidR="008A52E7">
        <w:rPr>
          <w:rFonts w:cs="Arial"/>
          <w:color w:val="000000"/>
          <w:shd w:val="clear" w:color="auto" w:fill="FFFFFF"/>
        </w:rPr>
        <w:t xml:space="preserve"> </w:t>
      </w:r>
      <w:hyperlink r:id="rId4" w:anchor="y2013v1SApg170" w:history="1">
        <w:r w:rsidRPr="00B6596D">
          <w:rPr>
            <w:rStyle w:val="Hyperlink"/>
            <w:rFonts w:cs="Arial"/>
            <w:color w:val="000000"/>
            <w:u w:val="none"/>
            <w:shd w:val="clear" w:color="auto" w:fill="FFFFFF"/>
          </w:rPr>
          <w:t>2013 (1) SA 170 (SCA)</w:t>
        </w:r>
      </w:hyperlink>
      <w:r w:rsidRPr="00B6596D">
        <w:rPr>
          <w:rFonts w:cs="Arial"/>
          <w:color w:val="000000"/>
          <w:shd w:val="clear" w:color="auto" w:fill="FFFFFF"/>
        </w:rPr>
        <w:t xml:space="preserve"> 176H–I; </w:t>
      </w:r>
      <w:r w:rsidRPr="00B6596D">
        <w:rPr>
          <w:rFonts w:cs="Arial"/>
          <w:i/>
          <w:iCs/>
          <w:color w:val="000000"/>
          <w:shd w:val="clear" w:color="auto" w:fill="FFFFFF"/>
        </w:rPr>
        <w:t>In re BOE Trust Ltd NNO</w:t>
      </w:r>
      <w:r w:rsidRPr="00B6596D">
        <w:rPr>
          <w:rFonts w:cs="Arial"/>
          <w:color w:val="000000"/>
          <w:shd w:val="clear" w:color="auto" w:fill="FFFFFF"/>
        </w:rPr>
        <w:t> </w:t>
      </w:r>
      <w:hyperlink r:id="rId5" w:anchor="y2013v3SApg236" w:history="1">
        <w:r w:rsidRPr="00B6596D">
          <w:rPr>
            <w:rStyle w:val="Hyperlink"/>
            <w:rFonts w:cs="Arial"/>
            <w:color w:val="000000"/>
            <w:u w:val="none"/>
            <w:shd w:val="clear" w:color="auto" w:fill="FFFFFF"/>
          </w:rPr>
          <w:t>2013 (3) SA 236 (SCA)</w:t>
        </w:r>
      </w:hyperlink>
      <w:r w:rsidRPr="00B6596D">
        <w:rPr>
          <w:rFonts w:cs="Arial"/>
          <w:color w:val="000000"/>
          <w:shd w:val="clear" w:color="auto" w:fill="FFFFFF"/>
        </w:rPr>
        <w:t xml:space="preserve"> 241H–I;  </w:t>
      </w:r>
      <w:r w:rsidRPr="00B6596D">
        <w:rPr>
          <w:rFonts w:cs="Arial"/>
          <w:i/>
          <w:iCs/>
          <w:color w:val="000000"/>
          <w:shd w:val="clear" w:color="auto" w:fill="FFFFFF"/>
        </w:rPr>
        <w:t>Absa Bank Ltd v Naude NO</w:t>
      </w:r>
      <w:r w:rsidRPr="00B6596D">
        <w:rPr>
          <w:rFonts w:cs="Arial"/>
          <w:color w:val="000000"/>
          <w:shd w:val="clear" w:color="auto" w:fill="FFFFFF"/>
        </w:rPr>
        <w:t> </w:t>
      </w:r>
      <w:hyperlink r:id="rId6" w:anchor="y2016v6SApg540" w:history="1">
        <w:r w:rsidRPr="00B6596D">
          <w:rPr>
            <w:rStyle w:val="Hyperlink"/>
            <w:rFonts w:cs="Arial"/>
            <w:color w:val="000000"/>
            <w:u w:val="none"/>
            <w:shd w:val="clear" w:color="auto" w:fill="FFFFFF"/>
          </w:rPr>
          <w:t>2016 (6) SA 540 (SCA)</w:t>
        </w:r>
      </w:hyperlink>
      <w:r w:rsidRPr="00B6596D">
        <w:rPr>
          <w:rFonts w:cs="Arial"/>
          <w:color w:val="000000"/>
          <w:shd w:val="clear" w:color="auto" w:fill="FFFFFF"/>
        </w:rPr>
        <w:t xml:space="preserve"> 542I–543C; </w:t>
      </w:r>
      <w:r w:rsidRPr="00B6596D">
        <w:rPr>
          <w:rFonts w:cs="Arial"/>
          <w:i/>
          <w:iCs/>
          <w:color w:val="000000"/>
          <w:shd w:val="clear" w:color="auto" w:fill="FFFFFF"/>
        </w:rPr>
        <w:t>South African History Archive Trust v South African Reserve Bank</w:t>
      </w:r>
      <w:r w:rsidR="008A52E7">
        <w:rPr>
          <w:rFonts w:cs="Arial"/>
          <w:color w:val="000000"/>
          <w:shd w:val="clear" w:color="auto" w:fill="FFFFFF"/>
        </w:rPr>
        <w:t xml:space="preserve"> </w:t>
      </w:r>
      <w:hyperlink r:id="rId7" w:anchor="y2020v6SApg127" w:history="1">
        <w:r w:rsidRPr="00B6596D">
          <w:rPr>
            <w:rStyle w:val="Hyperlink"/>
            <w:rFonts w:cs="Arial"/>
            <w:color w:val="000000"/>
            <w:u w:val="none"/>
            <w:shd w:val="clear" w:color="auto" w:fill="FFFFFF"/>
          </w:rPr>
          <w:t>2020 (6) SA 127 (SCA)</w:t>
        </w:r>
      </w:hyperlink>
      <w:r w:rsidRPr="00B6596D">
        <w:rPr>
          <w:rFonts w:cs="Arial"/>
          <w:color w:val="000000"/>
          <w:shd w:val="clear" w:color="auto" w:fill="FFFFFF"/>
        </w:rPr>
        <w:t xml:space="preserve"> para 30;</w:t>
      </w:r>
      <w:r w:rsidR="008A52E7">
        <w:rPr>
          <w:rFonts w:cs="Arial"/>
          <w:color w:val="000000"/>
          <w:shd w:val="clear" w:color="auto" w:fill="FFFFFF"/>
        </w:rPr>
        <w:t xml:space="preserve"> </w:t>
      </w:r>
      <w:r w:rsidRPr="00B6596D">
        <w:rPr>
          <w:i/>
          <w:iCs/>
        </w:rPr>
        <w:t>115 Electrical Solutions (Pty) Ltd v City of Johannesburg Metropolitan Municipality</w:t>
      </w:r>
      <w:r w:rsidRPr="00B6596D">
        <w:t xml:space="preserve"> [2021] JOL 50031 (GP)</w:t>
      </w:r>
      <w:r w:rsidR="008A52E7">
        <w:rPr>
          <w:rFonts w:cs="Arial"/>
          <w:color w:val="000000"/>
          <w:shd w:val="clear" w:color="auto" w:fill="FFFFFF"/>
        </w:rPr>
        <w:t xml:space="preserve"> </w:t>
      </w:r>
      <w:r w:rsidRPr="00B6596D">
        <w:rPr>
          <w:rFonts w:cs="Arial"/>
          <w:color w:val="000000"/>
          <w:shd w:val="clear" w:color="auto" w:fill="FFFFFF"/>
        </w:rPr>
        <w:t>para 76.</w:t>
      </w:r>
    </w:p>
  </w:footnote>
  <w:footnote w:id="10">
    <w:p w14:paraId="70BC0BED" w14:textId="75D53098" w:rsidR="004954E6" w:rsidRPr="00B6596D" w:rsidRDefault="004954E6">
      <w:pPr>
        <w:pStyle w:val="FootnoteText"/>
      </w:pPr>
      <w:r w:rsidRPr="00B6596D">
        <w:rPr>
          <w:rStyle w:val="FootnoteReference"/>
        </w:rPr>
        <w:footnoteRef/>
      </w:r>
      <w:r w:rsidRPr="00B6596D">
        <w:t xml:space="preserve"> </w:t>
      </w:r>
      <w:r w:rsidRPr="00B6596D">
        <w:tab/>
        <w:t xml:space="preserve">See the definition in s 1 of the Companies Act. </w:t>
      </w:r>
      <w:r w:rsidR="00684955">
        <w:t>The judgment does not deal with persons who may exercise voting rights but who are not shareholders. See s 57(1) of the Companies Act.</w:t>
      </w:r>
    </w:p>
  </w:footnote>
  <w:footnote w:id="11">
    <w:p w14:paraId="792279C8" w14:textId="2F00E5D7" w:rsidR="00456B53" w:rsidRPr="00B6596D" w:rsidRDefault="00456B53" w:rsidP="00954E62">
      <w:pPr>
        <w:pStyle w:val="FootnoteText"/>
        <w:jc w:val="both"/>
      </w:pPr>
      <w:r w:rsidRPr="00B6596D">
        <w:rPr>
          <w:rStyle w:val="FootnoteReference"/>
        </w:rPr>
        <w:footnoteRef/>
      </w:r>
      <w:r w:rsidRPr="00B6596D">
        <w:t xml:space="preserve"> </w:t>
      </w:r>
      <w:r w:rsidRPr="00B6596D">
        <w:tab/>
        <w:t>Rule 6(12).</w:t>
      </w:r>
    </w:p>
  </w:footnote>
  <w:footnote w:id="12">
    <w:p w14:paraId="3AA6E312" w14:textId="77777777" w:rsidR="00456B53" w:rsidRPr="00B6596D" w:rsidRDefault="00456B53" w:rsidP="00954E62">
      <w:pPr>
        <w:pStyle w:val="FootnoteText"/>
        <w:jc w:val="both"/>
      </w:pPr>
      <w:r w:rsidRPr="00B6596D">
        <w:rPr>
          <w:rStyle w:val="FootnoteReference"/>
        </w:rPr>
        <w:footnoteRef/>
      </w:r>
      <w:r w:rsidRPr="00B6596D">
        <w:t xml:space="preserve"> </w:t>
      </w:r>
      <w:r w:rsidRPr="00B6596D">
        <w:tab/>
        <w:t>Rule 4</w:t>
      </w:r>
      <w:r w:rsidR="00714D40" w:rsidRPr="00B6596D">
        <w:t>.</w:t>
      </w:r>
    </w:p>
  </w:footnote>
  <w:footnote w:id="13">
    <w:p w14:paraId="3880985E" w14:textId="10F1A329" w:rsidR="00F54917" w:rsidRPr="00141964" w:rsidRDefault="00F54917">
      <w:pPr>
        <w:pStyle w:val="FootnoteText"/>
        <w:rPr>
          <w:i/>
          <w:iCs/>
        </w:rPr>
      </w:pPr>
      <w:r>
        <w:rPr>
          <w:rStyle w:val="FootnoteReference"/>
        </w:rPr>
        <w:footnoteRef/>
      </w:r>
      <w:r>
        <w:t xml:space="preserve"> </w:t>
      </w:r>
      <w:r>
        <w:tab/>
        <w:t xml:space="preserve">From </w:t>
      </w:r>
      <w:r w:rsidR="006D11A7" w:rsidRPr="00141964">
        <w:rPr>
          <w:i/>
          <w:iCs/>
        </w:rPr>
        <w:t>‘</w:t>
      </w:r>
      <w:r w:rsidRPr="00141964">
        <w:rPr>
          <w:i/>
          <w:iCs/>
        </w:rPr>
        <w:t>Short Message Service.</w:t>
      </w:r>
      <w:r w:rsidR="006D11A7" w:rsidRPr="00141964">
        <w:rPr>
          <w:i/>
          <w:iCs/>
        </w:rPr>
        <w:t>’</w:t>
      </w:r>
    </w:p>
  </w:footnote>
  <w:footnote w:id="14">
    <w:p w14:paraId="13775CBA" w14:textId="2AAEFEA3" w:rsidR="00F54917" w:rsidRDefault="00F54917">
      <w:pPr>
        <w:pStyle w:val="FootnoteText"/>
      </w:pPr>
      <w:r>
        <w:rPr>
          <w:rStyle w:val="FootnoteReference"/>
        </w:rPr>
        <w:footnoteRef/>
      </w:r>
      <w:r>
        <w:t xml:space="preserve"> </w:t>
      </w:r>
      <w:r>
        <w:tab/>
      </w:r>
      <w:r>
        <w:rPr>
          <w:rFonts w:cs="Arial"/>
          <w:szCs w:val="22"/>
        </w:rPr>
        <w:t>S</w:t>
      </w:r>
      <w:r w:rsidRPr="00B6596D">
        <w:rPr>
          <w:rFonts w:cs="Arial"/>
          <w:szCs w:val="22"/>
        </w:rPr>
        <w:t xml:space="preserve">uch as </w:t>
      </w:r>
      <w:r w:rsidRPr="00F54917">
        <w:rPr>
          <w:rFonts w:cs="Arial"/>
          <w:i/>
          <w:iCs/>
          <w:szCs w:val="22"/>
        </w:rPr>
        <w:t>whatsapp</w:t>
      </w:r>
      <w:r>
        <w:rPr>
          <w:rFonts w:cs="Arial"/>
          <w:szCs w:val="22"/>
        </w:rPr>
        <w:t xml:space="preserve"> or </w:t>
      </w:r>
      <w:r w:rsidRPr="00F54917">
        <w:rPr>
          <w:rFonts w:cs="Arial"/>
          <w:i/>
          <w:iCs/>
          <w:szCs w:val="22"/>
        </w:rPr>
        <w:t>messenger</w:t>
      </w:r>
      <w:r>
        <w:rPr>
          <w:rFonts w:cs="Arial"/>
          <w:szCs w:val="22"/>
        </w:rPr>
        <w:t>.</w:t>
      </w:r>
    </w:p>
  </w:footnote>
  <w:footnote w:id="15">
    <w:p w14:paraId="2F61F54B" w14:textId="1895A78B" w:rsidR="00191019" w:rsidRDefault="00191019">
      <w:pPr>
        <w:pStyle w:val="FootnoteText"/>
      </w:pPr>
      <w:r>
        <w:rPr>
          <w:rStyle w:val="FootnoteReference"/>
        </w:rPr>
        <w:footnoteRef/>
      </w:r>
      <w:r>
        <w:t xml:space="preserve"> </w:t>
      </w:r>
      <w:r>
        <w:tab/>
      </w:r>
      <w:r w:rsidR="0016400F" w:rsidRPr="00FA6D3C">
        <w:rPr>
          <w:i/>
        </w:rPr>
        <w:t>E.g.</w:t>
      </w:r>
      <w:r>
        <w:t>, service on an e</w:t>
      </w:r>
      <w:r w:rsidR="00F54917">
        <w:t xml:space="preserve">lectronic </w:t>
      </w:r>
      <w:r>
        <w:t>mail address where the respondent is overseas.</w:t>
      </w:r>
    </w:p>
  </w:footnote>
  <w:footnote w:id="16">
    <w:p w14:paraId="5C0C0A39" w14:textId="2B93F2D8" w:rsidR="008E52F9" w:rsidRPr="00B6596D" w:rsidRDefault="008E52F9" w:rsidP="00954E62">
      <w:pPr>
        <w:pStyle w:val="FootnoteText"/>
        <w:jc w:val="both"/>
      </w:pPr>
      <w:r w:rsidRPr="00B6596D">
        <w:rPr>
          <w:rStyle w:val="FootnoteReference"/>
        </w:rPr>
        <w:footnoteRef/>
      </w:r>
      <w:r w:rsidRPr="00B6596D">
        <w:t xml:space="preserve"> </w:t>
      </w:r>
      <w:r w:rsidRPr="00B6596D">
        <w:tab/>
        <w:t>2016 JDR 0016 (KZP) para 31.</w:t>
      </w:r>
    </w:p>
  </w:footnote>
  <w:footnote w:id="17">
    <w:p w14:paraId="03CE5B88" w14:textId="77777777" w:rsidR="00CD4BF0" w:rsidRDefault="00CD4BF0">
      <w:pPr>
        <w:pStyle w:val="FootnoteText"/>
      </w:pPr>
      <w:r>
        <w:rPr>
          <w:rStyle w:val="FootnoteReference"/>
        </w:rPr>
        <w:footnoteRef/>
      </w:r>
      <w:r>
        <w:t xml:space="preserve"> </w:t>
      </w:r>
      <w:r>
        <w:tab/>
        <w:t xml:space="preserve">The judgment does not deal with the </w:t>
      </w:r>
      <w:r w:rsidRPr="00CD4BF0">
        <w:rPr>
          <w:i/>
          <w:iCs/>
        </w:rPr>
        <w:t>locus standi</w:t>
      </w:r>
      <w:r>
        <w:t xml:space="preserve"> of the second applicant.</w:t>
      </w:r>
    </w:p>
  </w:footnote>
  <w:footnote w:id="18">
    <w:p w14:paraId="1E9A2B27" w14:textId="77777777" w:rsidR="00572F9D" w:rsidRDefault="00572F9D">
      <w:pPr>
        <w:pStyle w:val="FootnoteText"/>
      </w:pPr>
      <w:r>
        <w:rPr>
          <w:rStyle w:val="FootnoteReference"/>
        </w:rPr>
        <w:footnoteRef/>
      </w:r>
      <w:r>
        <w:t xml:space="preserve"> </w:t>
      </w:r>
      <w:r>
        <w:tab/>
      </w:r>
      <w:r w:rsidRPr="009A4928">
        <w:rPr>
          <w:rFonts w:cs="Arial"/>
        </w:rPr>
        <w:t>2009 (4) SA 89 (SCA)</w:t>
      </w:r>
      <w:r w:rsidR="000256C9">
        <w:rPr>
          <w:rFonts w:cs="Arial"/>
        </w:rPr>
        <w:t xml:space="preserve"> para 38</w:t>
      </w:r>
      <w:r>
        <w:rPr>
          <w:rFonts w:cs="Arial"/>
        </w:rPr>
        <w:t>.</w:t>
      </w:r>
    </w:p>
  </w:footnote>
  <w:footnote w:id="19">
    <w:p w14:paraId="54F10D97" w14:textId="77777777" w:rsidR="004954E6" w:rsidRPr="00B6596D" w:rsidRDefault="004954E6">
      <w:pPr>
        <w:pStyle w:val="FootnoteText"/>
      </w:pPr>
      <w:r w:rsidRPr="00B6596D">
        <w:rPr>
          <w:rStyle w:val="FootnoteReference"/>
        </w:rPr>
        <w:footnoteRef/>
      </w:r>
      <w:r w:rsidRPr="00B6596D">
        <w:t xml:space="preserve"> </w:t>
      </w:r>
      <w:r w:rsidR="00AC5014" w:rsidRPr="00B6596D">
        <w:tab/>
        <w:t>S 61 of the Companies Act.</w:t>
      </w:r>
    </w:p>
  </w:footnote>
  <w:footnote w:id="20">
    <w:p w14:paraId="7CAAF10B" w14:textId="1D3553F6" w:rsidR="00462465" w:rsidRDefault="00462465" w:rsidP="00462465">
      <w:pPr>
        <w:pStyle w:val="FootnoteText"/>
      </w:pPr>
      <w:r>
        <w:rPr>
          <w:rStyle w:val="FootnoteReference"/>
        </w:rPr>
        <w:footnoteRef/>
      </w:r>
      <w:r>
        <w:t xml:space="preserve"> </w:t>
      </w:r>
      <w:r>
        <w:tab/>
        <w:t>See</w:t>
      </w:r>
      <w:r w:rsidR="00A548E6">
        <w:t xml:space="preserve"> also</w:t>
      </w:r>
      <w:r>
        <w:t xml:space="preserve"> the Financial Markets Act, 19 of 2012.</w:t>
      </w:r>
    </w:p>
  </w:footnote>
  <w:footnote w:id="21">
    <w:p w14:paraId="3EA32E60" w14:textId="77777777" w:rsidR="000B28DB" w:rsidRPr="00B6596D" w:rsidRDefault="000B28DB">
      <w:pPr>
        <w:pStyle w:val="FootnoteText"/>
      </w:pPr>
      <w:r w:rsidRPr="00B6596D">
        <w:rPr>
          <w:rStyle w:val="FootnoteReference"/>
        </w:rPr>
        <w:footnoteRef/>
      </w:r>
      <w:r w:rsidRPr="00B6596D">
        <w:t xml:space="preserve"> </w:t>
      </w:r>
      <w:r w:rsidRPr="00B6596D">
        <w:tab/>
        <w:t>2007 (5) SA 564 (W).</w:t>
      </w:r>
    </w:p>
  </w:footnote>
  <w:footnote w:id="22">
    <w:p w14:paraId="1536EE85" w14:textId="77777777" w:rsidR="00FF5689" w:rsidRPr="00B6596D" w:rsidRDefault="00FF5689">
      <w:pPr>
        <w:pStyle w:val="FootnoteText"/>
      </w:pPr>
      <w:r w:rsidRPr="00B6596D">
        <w:rPr>
          <w:rStyle w:val="FootnoteReference"/>
        </w:rPr>
        <w:footnoteRef/>
      </w:r>
      <w:r w:rsidRPr="00B6596D">
        <w:t xml:space="preserve"> </w:t>
      </w:r>
      <w:r w:rsidRPr="00B6596D">
        <w:tab/>
      </w:r>
      <w:r w:rsidRPr="00B6596D">
        <w:rPr>
          <w:rFonts w:cs="Arial"/>
          <w:lang w:val="en-US"/>
        </w:rPr>
        <w:t>2009 (4) SA 89 (SCA).</w:t>
      </w:r>
    </w:p>
  </w:footnote>
  <w:footnote w:id="23">
    <w:p w14:paraId="5C46B752" w14:textId="4F4C42D5" w:rsidR="004323B2" w:rsidRDefault="004323B2">
      <w:pPr>
        <w:pStyle w:val="FootnoteText"/>
      </w:pPr>
      <w:r>
        <w:rPr>
          <w:rStyle w:val="FootnoteReference"/>
        </w:rPr>
        <w:footnoteRef/>
      </w:r>
      <w:r>
        <w:t xml:space="preserve"> </w:t>
      </w:r>
      <w:r>
        <w:tab/>
        <w:t>Para 65</w:t>
      </w:r>
      <w:r w:rsidR="00DB7041" w:rsidRPr="00DB7041">
        <w:t xml:space="preserve"> </w:t>
      </w:r>
      <w:r w:rsidR="00DB7041" w:rsidRPr="00B6596D">
        <w:t>of the judgment in the Witwatersrand Local Division</w:t>
      </w:r>
      <w:r w:rsidR="00855BBB">
        <w:t>, par 4 of the</w:t>
      </w:r>
      <w:r w:rsidR="00917BF4">
        <w:t xml:space="preserve"> majority</w:t>
      </w:r>
      <w:r w:rsidR="00855BBB">
        <w:t xml:space="preserve"> judgment in the Supreme Court of Appeal.</w:t>
      </w:r>
    </w:p>
  </w:footnote>
  <w:footnote w:id="24">
    <w:p w14:paraId="5F757F88" w14:textId="77777777" w:rsidR="005570AE" w:rsidRDefault="005570AE">
      <w:pPr>
        <w:pStyle w:val="FootnoteText"/>
      </w:pPr>
      <w:r>
        <w:rPr>
          <w:rStyle w:val="FootnoteReference"/>
        </w:rPr>
        <w:footnoteRef/>
      </w:r>
      <w:r>
        <w:t xml:space="preserve"> </w:t>
      </w:r>
      <w:r>
        <w:tab/>
        <w:t>Para</w:t>
      </w:r>
      <w:r w:rsidR="008A1A42">
        <w:t>s</w:t>
      </w:r>
      <w:r>
        <w:t xml:space="preserve"> </w:t>
      </w:r>
      <w:r w:rsidR="008A1A42">
        <w:t xml:space="preserve">42 to </w:t>
      </w:r>
      <w:r>
        <w:t>4</w:t>
      </w:r>
      <w:r w:rsidR="008A1A42">
        <w:t>5</w:t>
      </w:r>
      <w:r>
        <w:t xml:space="preserve"> of the majority judgment in the Supreme Court of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95E4" w14:textId="2B59B7A8" w:rsidR="00657EDA" w:rsidRPr="006C43D7" w:rsidRDefault="00657EDA"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3B74C0">
      <w:rPr>
        <w:rFonts w:cs="Arial"/>
        <w:noProof/>
        <w:sz w:val="20"/>
        <w:szCs w:val="20"/>
        <w:lang w:val="en-GB"/>
      </w:rPr>
      <w:t>11</w:t>
    </w:r>
    <w:r w:rsidRPr="006C43D7">
      <w:rPr>
        <w:rFonts w:cs="Arial"/>
        <w:sz w:val="20"/>
        <w:szCs w:val="20"/>
        <w:lang w:val="en-GB"/>
      </w:rPr>
      <w:fldChar w:fldCharType="end"/>
    </w:r>
  </w:p>
  <w:p w14:paraId="6B0F4D74" w14:textId="77777777" w:rsidR="00657EDA" w:rsidRPr="006C43D7" w:rsidRDefault="00657EDA" w:rsidP="006C43D7">
    <w:pPr>
      <w:tabs>
        <w:tab w:val="center" w:pos="4153"/>
        <w:tab w:val="right" w:pos="8306"/>
      </w:tabs>
      <w:spacing w:line="276" w:lineRule="auto"/>
      <w:jc w:val="right"/>
      <w:rPr>
        <w:rFonts w:cs="Arial"/>
        <w:lang w:val="en-US"/>
      </w:rPr>
    </w:pPr>
  </w:p>
  <w:p w14:paraId="451B3E45" w14:textId="77777777" w:rsidR="00657EDA" w:rsidRPr="006C43D7" w:rsidRDefault="00657EDA"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2E0526F6"/>
    <w:multiLevelType w:val="multilevel"/>
    <w:tmpl w:val="1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6F3A4548"/>
    <w:multiLevelType w:val="hybridMultilevel"/>
    <w:tmpl w:val="62C225E6"/>
    <w:lvl w:ilvl="0" w:tplc="0D6C29C8">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7"/>
  </w:num>
  <w:num w:numId="6">
    <w:abstractNumId w:val="6"/>
  </w:num>
  <w:num w:numId="7">
    <w:abstractNumId w:val="0"/>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1111B"/>
    <w:rsid w:val="0001140A"/>
    <w:rsid w:val="00013B7F"/>
    <w:rsid w:val="00024A29"/>
    <w:rsid w:val="000256C9"/>
    <w:rsid w:val="00035629"/>
    <w:rsid w:val="00042A1E"/>
    <w:rsid w:val="00050086"/>
    <w:rsid w:val="000504F1"/>
    <w:rsid w:val="0005479A"/>
    <w:rsid w:val="00054C53"/>
    <w:rsid w:val="00056DA4"/>
    <w:rsid w:val="00063F7B"/>
    <w:rsid w:val="000737E1"/>
    <w:rsid w:val="00073E30"/>
    <w:rsid w:val="000833BB"/>
    <w:rsid w:val="00097968"/>
    <w:rsid w:val="000A6AD8"/>
    <w:rsid w:val="000B28DB"/>
    <w:rsid w:val="000C0909"/>
    <w:rsid w:val="000C442E"/>
    <w:rsid w:val="000C718D"/>
    <w:rsid w:val="000D7D6A"/>
    <w:rsid w:val="000F3597"/>
    <w:rsid w:val="000F59F8"/>
    <w:rsid w:val="00102DD7"/>
    <w:rsid w:val="00103C74"/>
    <w:rsid w:val="00104142"/>
    <w:rsid w:val="00105C9A"/>
    <w:rsid w:val="00120FAB"/>
    <w:rsid w:val="00120FB1"/>
    <w:rsid w:val="00141964"/>
    <w:rsid w:val="00144F3D"/>
    <w:rsid w:val="00145620"/>
    <w:rsid w:val="00147521"/>
    <w:rsid w:val="00147E02"/>
    <w:rsid w:val="00147FF5"/>
    <w:rsid w:val="0016400F"/>
    <w:rsid w:val="00185ACF"/>
    <w:rsid w:val="00190579"/>
    <w:rsid w:val="00191019"/>
    <w:rsid w:val="00193853"/>
    <w:rsid w:val="00196E14"/>
    <w:rsid w:val="001A198F"/>
    <w:rsid w:val="001A522A"/>
    <w:rsid w:val="001B1D39"/>
    <w:rsid w:val="001B4217"/>
    <w:rsid w:val="001B5D3E"/>
    <w:rsid w:val="001B606B"/>
    <w:rsid w:val="001C1225"/>
    <w:rsid w:val="001C3628"/>
    <w:rsid w:val="001D3CC2"/>
    <w:rsid w:val="001E2EED"/>
    <w:rsid w:val="001E37D0"/>
    <w:rsid w:val="001E3C9B"/>
    <w:rsid w:val="001E73B7"/>
    <w:rsid w:val="001F0A29"/>
    <w:rsid w:val="001F3DBD"/>
    <w:rsid w:val="001F54FD"/>
    <w:rsid w:val="001F6365"/>
    <w:rsid w:val="001F648A"/>
    <w:rsid w:val="00201620"/>
    <w:rsid w:val="002069B4"/>
    <w:rsid w:val="00215824"/>
    <w:rsid w:val="00216BC8"/>
    <w:rsid w:val="0022218D"/>
    <w:rsid w:val="00226926"/>
    <w:rsid w:val="0023085D"/>
    <w:rsid w:val="00232528"/>
    <w:rsid w:val="00237FF9"/>
    <w:rsid w:val="00245133"/>
    <w:rsid w:val="00262819"/>
    <w:rsid w:val="002678CE"/>
    <w:rsid w:val="00285040"/>
    <w:rsid w:val="00285062"/>
    <w:rsid w:val="002A1996"/>
    <w:rsid w:val="002C15AC"/>
    <w:rsid w:val="002C4687"/>
    <w:rsid w:val="002E5B57"/>
    <w:rsid w:val="002E6CD7"/>
    <w:rsid w:val="00302290"/>
    <w:rsid w:val="00302C31"/>
    <w:rsid w:val="0030653F"/>
    <w:rsid w:val="0031117B"/>
    <w:rsid w:val="00312EBC"/>
    <w:rsid w:val="00313056"/>
    <w:rsid w:val="00336492"/>
    <w:rsid w:val="00337135"/>
    <w:rsid w:val="0034147B"/>
    <w:rsid w:val="003463D6"/>
    <w:rsid w:val="00346D31"/>
    <w:rsid w:val="00346DE6"/>
    <w:rsid w:val="003543C5"/>
    <w:rsid w:val="00354EF2"/>
    <w:rsid w:val="0035624F"/>
    <w:rsid w:val="00357081"/>
    <w:rsid w:val="00357D35"/>
    <w:rsid w:val="00363FCD"/>
    <w:rsid w:val="00364C43"/>
    <w:rsid w:val="00367720"/>
    <w:rsid w:val="0037029D"/>
    <w:rsid w:val="003711DF"/>
    <w:rsid w:val="00381213"/>
    <w:rsid w:val="003840EC"/>
    <w:rsid w:val="003877AD"/>
    <w:rsid w:val="00390C3F"/>
    <w:rsid w:val="003916F0"/>
    <w:rsid w:val="00395239"/>
    <w:rsid w:val="003A080C"/>
    <w:rsid w:val="003A5972"/>
    <w:rsid w:val="003A7864"/>
    <w:rsid w:val="003B4100"/>
    <w:rsid w:val="003B74C0"/>
    <w:rsid w:val="003C1A16"/>
    <w:rsid w:val="003C1E91"/>
    <w:rsid w:val="003E0CE8"/>
    <w:rsid w:val="003F7E25"/>
    <w:rsid w:val="00403ADB"/>
    <w:rsid w:val="00406229"/>
    <w:rsid w:val="00406EBA"/>
    <w:rsid w:val="00410CB3"/>
    <w:rsid w:val="004131C5"/>
    <w:rsid w:val="00416D8F"/>
    <w:rsid w:val="0042423E"/>
    <w:rsid w:val="004323B2"/>
    <w:rsid w:val="004339E6"/>
    <w:rsid w:val="0043683A"/>
    <w:rsid w:val="00441422"/>
    <w:rsid w:val="00445DCB"/>
    <w:rsid w:val="00456B53"/>
    <w:rsid w:val="00462465"/>
    <w:rsid w:val="004630B6"/>
    <w:rsid w:val="00466136"/>
    <w:rsid w:val="00474607"/>
    <w:rsid w:val="00474910"/>
    <w:rsid w:val="004749AF"/>
    <w:rsid w:val="00484116"/>
    <w:rsid w:val="0048424E"/>
    <w:rsid w:val="00486F42"/>
    <w:rsid w:val="00487D14"/>
    <w:rsid w:val="004954E6"/>
    <w:rsid w:val="004A2876"/>
    <w:rsid w:val="004A2C7E"/>
    <w:rsid w:val="004A63E7"/>
    <w:rsid w:val="004A78F1"/>
    <w:rsid w:val="004A7DFE"/>
    <w:rsid w:val="004B21D9"/>
    <w:rsid w:val="004C368B"/>
    <w:rsid w:val="004D262A"/>
    <w:rsid w:val="004D2C6F"/>
    <w:rsid w:val="004D2E01"/>
    <w:rsid w:val="004E2D47"/>
    <w:rsid w:val="004E568C"/>
    <w:rsid w:val="004E5AD8"/>
    <w:rsid w:val="004F12D8"/>
    <w:rsid w:val="004F22A6"/>
    <w:rsid w:val="00504B53"/>
    <w:rsid w:val="00507A7D"/>
    <w:rsid w:val="0051015D"/>
    <w:rsid w:val="0051292D"/>
    <w:rsid w:val="0051622D"/>
    <w:rsid w:val="00521FA3"/>
    <w:rsid w:val="005262C2"/>
    <w:rsid w:val="0052705A"/>
    <w:rsid w:val="0053484B"/>
    <w:rsid w:val="00537A72"/>
    <w:rsid w:val="005400A7"/>
    <w:rsid w:val="005570AE"/>
    <w:rsid w:val="00572F9D"/>
    <w:rsid w:val="005A313A"/>
    <w:rsid w:val="005A680F"/>
    <w:rsid w:val="005B6D81"/>
    <w:rsid w:val="005B7DD3"/>
    <w:rsid w:val="005C034B"/>
    <w:rsid w:val="005C0F03"/>
    <w:rsid w:val="005C7FC2"/>
    <w:rsid w:val="005D2408"/>
    <w:rsid w:val="005D6122"/>
    <w:rsid w:val="005D6E80"/>
    <w:rsid w:val="005E09B0"/>
    <w:rsid w:val="005E2F7B"/>
    <w:rsid w:val="005E5C01"/>
    <w:rsid w:val="005E7118"/>
    <w:rsid w:val="005F37A4"/>
    <w:rsid w:val="006041A4"/>
    <w:rsid w:val="00616E36"/>
    <w:rsid w:val="006214A5"/>
    <w:rsid w:val="00622801"/>
    <w:rsid w:val="00647DDD"/>
    <w:rsid w:val="00653BA4"/>
    <w:rsid w:val="00657EDA"/>
    <w:rsid w:val="00660C84"/>
    <w:rsid w:val="0066194B"/>
    <w:rsid w:val="006620BF"/>
    <w:rsid w:val="00666D4D"/>
    <w:rsid w:val="00684955"/>
    <w:rsid w:val="006858DA"/>
    <w:rsid w:val="006902F1"/>
    <w:rsid w:val="006918E9"/>
    <w:rsid w:val="006951CE"/>
    <w:rsid w:val="006B3534"/>
    <w:rsid w:val="006B3B5B"/>
    <w:rsid w:val="006C4213"/>
    <w:rsid w:val="006C43D7"/>
    <w:rsid w:val="006C5694"/>
    <w:rsid w:val="006D11A7"/>
    <w:rsid w:val="006D16BE"/>
    <w:rsid w:val="006E1D84"/>
    <w:rsid w:val="006E68E6"/>
    <w:rsid w:val="006F2FCE"/>
    <w:rsid w:val="006F415C"/>
    <w:rsid w:val="006F7DFD"/>
    <w:rsid w:val="00714D40"/>
    <w:rsid w:val="007241D4"/>
    <w:rsid w:val="00732A6F"/>
    <w:rsid w:val="00734D59"/>
    <w:rsid w:val="00735FD8"/>
    <w:rsid w:val="00742764"/>
    <w:rsid w:val="0075156A"/>
    <w:rsid w:val="00751F90"/>
    <w:rsid w:val="00761C35"/>
    <w:rsid w:val="00766026"/>
    <w:rsid w:val="00781AA0"/>
    <w:rsid w:val="007873E6"/>
    <w:rsid w:val="007A270C"/>
    <w:rsid w:val="007A4A55"/>
    <w:rsid w:val="007B165A"/>
    <w:rsid w:val="007B78C2"/>
    <w:rsid w:val="007C44E9"/>
    <w:rsid w:val="007C5008"/>
    <w:rsid w:val="007D1E79"/>
    <w:rsid w:val="007D27CF"/>
    <w:rsid w:val="007E468A"/>
    <w:rsid w:val="007E58FC"/>
    <w:rsid w:val="007F0852"/>
    <w:rsid w:val="007F207F"/>
    <w:rsid w:val="00803CEC"/>
    <w:rsid w:val="00815915"/>
    <w:rsid w:val="00817947"/>
    <w:rsid w:val="00822050"/>
    <w:rsid w:val="00825C13"/>
    <w:rsid w:val="008271C7"/>
    <w:rsid w:val="00830952"/>
    <w:rsid w:val="008443A9"/>
    <w:rsid w:val="0085176F"/>
    <w:rsid w:val="0085422C"/>
    <w:rsid w:val="00855BBB"/>
    <w:rsid w:val="00860576"/>
    <w:rsid w:val="008674AA"/>
    <w:rsid w:val="008710AC"/>
    <w:rsid w:val="0088094C"/>
    <w:rsid w:val="00881004"/>
    <w:rsid w:val="00881C58"/>
    <w:rsid w:val="00882C40"/>
    <w:rsid w:val="008A082A"/>
    <w:rsid w:val="008A1A42"/>
    <w:rsid w:val="008A4DF4"/>
    <w:rsid w:val="008A52E7"/>
    <w:rsid w:val="008B1DA9"/>
    <w:rsid w:val="008B2619"/>
    <w:rsid w:val="008B5ED0"/>
    <w:rsid w:val="008D33A3"/>
    <w:rsid w:val="008D4715"/>
    <w:rsid w:val="008D75A3"/>
    <w:rsid w:val="008E52F9"/>
    <w:rsid w:val="008E6448"/>
    <w:rsid w:val="008F1FE1"/>
    <w:rsid w:val="008F4486"/>
    <w:rsid w:val="008F4FC6"/>
    <w:rsid w:val="008F5370"/>
    <w:rsid w:val="0091544C"/>
    <w:rsid w:val="00917BF4"/>
    <w:rsid w:val="00926980"/>
    <w:rsid w:val="00933065"/>
    <w:rsid w:val="00933569"/>
    <w:rsid w:val="0093799C"/>
    <w:rsid w:val="00944804"/>
    <w:rsid w:val="00944FC3"/>
    <w:rsid w:val="009473D8"/>
    <w:rsid w:val="00954E62"/>
    <w:rsid w:val="00956C7D"/>
    <w:rsid w:val="00960ADF"/>
    <w:rsid w:val="00963A0C"/>
    <w:rsid w:val="00972A4D"/>
    <w:rsid w:val="00974A92"/>
    <w:rsid w:val="00977597"/>
    <w:rsid w:val="00981AC4"/>
    <w:rsid w:val="0098262B"/>
    <w:rsid w:val="009835E3"/>
    <w:rsid w:val="00986220"/>
    <w:rsid w:val="00987CDB"/>
    <w:rsid w:val="00993D00"/>
    <w:rsid w:val="009A30E0"/>
    <w:rsid w:val="009A3619"/>
    <w:rsid w:val="009A4258"/>
    <w:rsid w:val="009B08AF"/>
    <w:rsid w:val="009B3DFC"/>
    <w:rsid w:val="009C37B9"/>
    <w:rsid w:val="009C38E7"/>
    <w:rsid w:val="009C3D0D"/>
    <w:rsid w:val="009D32BD"/>
    <w:rsid w:val="009D4486"/>
    <w:rsid w:val="009F211E"/>
    <w:rsid w:val="009F294E"/>
    <w:rsid w:val="009F30F1"/>
    <w:rsid w:val="009F3478"/>
    <w:rsid w:val="009F37C7"/>
    <w:rsid w:val="009F4B7E"/>
    <w:rsid w:val="009F50AB"/>
    <w:rsid w:val="009F7A0E"/>
    <w:rsid w:val="00A005F6"/>
    <w:rsid w:val="00A01C2E"/>
    <w:rsid w:val="00A0424F"/>
    <w:rsid w:val="00A23F3E"/>
    <w:rsid w:val="00A3372A"/>
    <w:rsid w:val="00A36707"/>
    <w:rsid w:val="00A37BA4"/>
    <w:rsid w:val="00A43739"/>
    <w:rsid w:val="00A475EC"/>
    <w:rsid w:val="00A47861"/>
    <w:rsid w:val="00A539CB"/>
    <w:rsid w:val="00A548E6"/>
    <w:rsid w:val="00A54F2F"/>
    <w:rsid w:val="00A660AF"/>
    <w:rsid w:val="00A70A95"/>
    <w:rsid w:val="00A81853"/>
    <w:rsid w:val="00A86058"/>
    <w:rsid w:val="00A9129A"/>
    <w:rsid w:val="00A93351"/>
    <w:rsid w:val="00A947DA"/>
    <w:rsid w:val="00AA5FB3"/>
    <w:rsid w:val="00AA6E8C"/>
    <w:rsid w:val="00AA6F19"/>
    <w:rsid w:val="00AA7A76"/>
    <w:rsid w:val="00AC155E"/>
    <w:rsid w:val="00AC3738"/>
    <w:rsid w:val="00AC5014"/>
    <w:rsid w:val="00AD00ED"/>
    <w:rsid w:val="00AD2631"/>
    <w:rsid w:val="00AE47EA"/>
    <w:rsid w:val="00AE63BD"/>
    <w:rsid w:val="00AF0429"/>
    <w:rsid w:val="00AF0B2B"/>
    <w:rsid w:val="00AF2914"/>
    <w:rsid w:val="00AF363F"/>
    <w:rsid w:val="00AF3E4F"/>
    <w:rsid w:val="00B071FF"/>
    <w:rsid w:val="00B11505"/>
    <w:rsid w:val="00B11DC2"/>
    <w:rsid w:val="00B144E9"/>
    <w:rsid w:val="00B27ABE"/>
    <w:rsid w:val="00B42807"/>
    <w:rsid w:val="00B428A6"/>
    <w:rsid w:val="00B53913"/>
    <w:rsid w:val="00B6596D"/>
    <w:rsid w:val="00B66993"/>
    <w:rsid w:val="00B67421"/>
    <w:rsid w:val="00B72922"/>
    <w:rsid w:val="00B72A13"/>
    <w:rsid w:val="00B84DD5"/>
    <w:rsid w:val="00B94CB5"/>
    <w:rsid w:val="00B95910"/>
    <w:rsid w:val="00BA14AC"/>
    <w:rsid w:val="00BA3A4C"/>
    <w:rsid w:val="00BB0F20"/>
    <w:rsid w:val="00BB2EA1"/>
    <w:rsid w:val="00BB7A26"/>
    <w:rsid w:val="00BD2CDE"/>
    <w:rsid w:val="00BD41CF"/>
    <w:rsid w:val="00BE0164"/>
    <w:rsid w:val="00BE02B2"/>
    <w:rsid w:val="00BE0CB4"/>
    <w:rsid w:val="00BE12BD"/>
    <w:rsid w:val="00BE2ED7"/>
    <w:rsid w:val="00BE5021"/>
    <w:rsid w:val="00BE6AB8"/>
    <w:rsid w:val="00BF086D"/>
    <w:rsid w:val="00BF2167"/>
    <w:rsid w:val="00C1331B"/>
    <w:rsid w:val="00C20430"/>
    <w:rsid w:val="00C2788D"/>
    <w:rsid w:val="00C361F6"/>
    <w:rsid w:val="00C3669A"/>
    <w:rsid w:val="00C423E3"/>
    <w:rsid w:val="00C458AF"/>
    <w:rsid w:val="00C54658"/>
    <w:rsid w:val="00C55343"/>
    <w:rsid w:val="00C63909"/>
    <w:rsid w:val="00C640FA"/>
    <w:rsid w:val="00C676F3"/>
    <w:rsid w:val="00C71C51"/>
    <w:rsid w:val="00C73D7B"/>
    <w:rsid w:val="00C77EFD"/>
    <w:rsid w:val="00C81FE3"/>
    <w:rsid w:val="00C829DF"/>
    <w:rsid w:val="00C84021"/>
    <w:rsid w:val="00C875AE"/>
    <w:rsid w:val="00C96B64"/>
    <w:rsid w:val="00CA1D3A"/>
    <w:rsid w:val="00CA6608"/>
    <w:rsid w:val="00CB780F"/>
    <w:rsid w:val="00CC0C54"/>
    <w:rsid w:val="00CC1016"/>
    <w:rsid w:val="00CC3C75"/>
    <w:rsid w:val="00CD4BF0"/>
    <w:rsid w:val="00CE58C0"/>
    <w:rsid w:val="00CE7037"/>
    <w:rsid w:val="00CF0837"/>
    <w:rsid w:val="00CF2008"/>
    <w:rsid w:val="00CF4188"/>
    <w:rsid w:val="00CF465F"/>
    <w:rsid w:val="00D06213"/>
    <w:rsid w:val="00D31882"/>
    <w:rsid w:val="00D31BAB"/>
    <w:rsid w:val="00D35A03"/>
    <w:rsid w:val="00D37377"/>
    <w:rsid w:val="00D405E5"/>
    <w:rsid w:val="00D45B8C"/>
    <w:rsid w:val="00D567E0"/>
    <w:rsid w:val="00D630DE"/>
    <w:rsid w:val="00D72761"/>
    <w:rsid w:val="00D7327A"/>
    <w:rsid w:val="00D94745"/>
    <w:rsid w:val="00DA324B"/>
    <w:rsid w:val="00DA41B2"/>
    <w:rsid w:val="00DA5D06"/>
    <w:rsid w:val="00DA7B20"/>
    <w:rsid w:val="00DB7041"/>
    <w:rsid w:val="00DC636B"/>
    <w:rsid w:val="00DC6A98"/>
    <w:rsid w:val="00DC7245"/>
    <w:rsid w:val="00DC730A"/>
    <w:rsid w:val="00DD12FC"/>
    <w:rsid w:val="00DD3483"/>
    <w:rsid w:val="00DE130A"/>
    <w:rsid w:val="00DE3063"/>
    <w:rsid w:val="00DE37C3"/>
    <w:rsid w:val="00DE38B2"/>
    <w:rsid w:val="00E166FD"/>
    <w:rsid w:val="00E264BB"/>
    <w:rsid w:val="00E276DF"/>
    <w:rsid w:val="00E32909"/>
    <w:rsid w:val="00E33600"/>
    <w:rsid w:val="00E35DD0"/>
    <w:rsid w:val="00E456CD"/>
    <w:rsid w:val="00E45E6A"/>
    <w:rsid w:val="00E47EF1"/>
    <w:rsid w:val="00E50A42"/>
    <w:rsid w:val="00E535F2"/>
    <w:rsid w:val="00E56D64"/>
    <w:rsid w:val="00E76641"/>
    <w:rsid w:val="00EA5E85"/>
    <w:rsid w:val="00EB0CD5"/>
    <w:rsid w:val="00EB422A"/>
    <w:rsid w:val="00EC70BC"/>
    <w:rsid w:val="00ED018E"/>
    <w:rsid w:val="00ED1B24"/>
    <w:rsid w:val="00EE55F9"/>
    <w:rsid w:val="00EE62A5"/>
    <w:rsid w:val="00F044C1"/>
    <w:rsid w:val="00F11454"/>
    <w:rsid w:val="00F221FC"/>
    <w:rsid w:val="00F36A25"/>
    <w:rsid w:val="00F45EED"/>
    <w:rsid w:val="00F51508"/>
    <w:rsid w:val="00F54917"/>
    <w:rsid w:val="00F61D46"/>
    <w:rsid w:val="00F627E4"/>
    <w:rsid w:val="00F62998"/>
    <w:rsid w:val="00F669B9"/>
    <w:rsid w:val="00F72B58"/>
    <w:rsid w:val="00F86BC7"/>
    <w:rsid w:val="00F92F43"/>
    <w:rsid w:val="00F9434B"/>
    <w:rsid w:val="00F97951"/>
    <w:rsid w:val="00FA328D"/>
    <w:rsid w:val="00FA6D3C"/>
    <w:rsid w:val="00FB2778"/>
    <w:rsid w:val="00FB3BA2"/>
    <w:rsid w:val="00FB59A0"/>
    <w:rsid w:val="00FC42BD"/>
    <w:rsid w:val="00FD2E9B"/>
    <w:rsid w:val="00FD5753"/>
    <w:rsid w:val="00FE065B"/>
    <w:rsid w:val="00FE071B"/>
    <w:rsid w:val="00FE3EF4"/>
    <w:rsid w:val="00FF5689"/>
    <w:rsid w:val="00FF6585"/>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FE093"/>
  <w15:docId w15:val="{140BC937-1C86-4A1F-8E0A-B240A9AA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link w:val="FootnoteText"/>
    <w:uiPriority w:val="99"/>
    <w:semiHidden/>
    <w:rsid w:val="00C3669A"/>
    <w:rPr>
      <w:rFonts w:ascii="Arial" w:hAnsi="Arial"/>
      <w:lang w:eastAsia="en-US"/>
    </w:rPr>
  </w:style>
  <w:style w:type="character" w:styleId="FootnoteReference">
    <w:name w:val="footnote reference"/>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rPr>
  </w:style>
  <w:style w:type="character" w:customStyle="1" w:styleId="QuoteChar">
    <w:name w:val="Quote Char"/>
    <w:link w:val="Quote"/>
    <w:uiPriority w:val="29"/>
    <w:rsid w:val="00933065"/>
    <w:rPr>
      <w:rFonts w:ascii="Arial" w:hAnsi="Arial"/>
      <w:i/>
      <w:iCs/>
      <w:color w:val="000000"/>
      <w:sz w:val="22"/>
      <w:szCs w:val="24"/>
      <w:lang w:eastAsia="en-US"/>
    </w:rPr>
  </w:style>
  <w:style w:type="character" w:styleId="Hyperlink">
    <w:name w:val="Hyperlink"/>
    <w:uiPriority w:val="99"/>
    <w:semiHidden/>
    <w:unhideWhenUsed/>
    <w:rsid w:val="00F45EED"/>
    <w:rPr>
      <w:color w:val="0000FF"/>
      <w:u w:val="single"/>
    </w:rPr>
  </w:style>
  <w:style w:type="character" w:customStyle="1" w:styleId="lphit">
    <w:name w:val="lphit"/>
    <w:basedOn w:val="DefaultParagraphFont"/>
    <w:rsid w:val="00AE47EA"/>
  </w:style>
  <w:style w:type="character" w:customStyle="1" w:styleId="footnote-link">
    <w:name w:val="footnote-link"/>
    <w:basedOn w:val="DefaultParagraphFont"/>
    <w:rsid w:val="00C54658"/>
  </w:style>
  <w:style w:type="paragraph" w:customStyle="1" w:styleId="lrcasename">
    <w:name w:val="lrcasename"/>
    <w:basedOn w:val="Normal"/>
    <w:rsid w:val="005C0F03"/>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7A270C"/>
    <w:rPr>
      <w:rFonts w:ascii="Arial" w:hAnsi="Arial"/>
      <w:sz w:val="22"/>
      <w:szCs w:val="24"/>
      <w:lang w:eastAsia="en-US"/>
    </w:rPr>
  </w:style>
  <w:style w:type="table" w:styleId="TableGrid">
    <w:name w:val="Table Grid"/>
    <w:basedOn w:val="TableNormal"/>
    <w:uiPriority w:val="59"/>
    <w:unhideWhenUsed/>
    <w:rsid w:val="009C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2566936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42784474">
      <w:bodyDiv w:val="1"/>
      <w:marLeft w:val="0"/>
      <w:marRight w:val="0"/>
      <w:marTop w:val="0"/>
      <w:marBottom w:val="0"/>
      <w:divBdr>
        <w:top w:val="none" w:sz="0" w:space="0" w:color="auto"/>
        <w:left w:val="none" w:sz="0" w:space="0" w:color="auto"/>
        <w:bottom w:val="none" w:sz="0" w:space="0" w:color="auto"/>
        <w:right w:val="none" w:sz="0" w:space="0" w:color="auto"/>
      </w:divBdr>
      <w:divsChild>
        <w:div w:id="879587363">
          <w:marLeft w:val="0"/>
          <w:marRight w:val="0"/>
          <w:marTop w:val="0"/>
          <w:marBottom w:val="0"/>
          <w:divBdr>
            <w:top w:val="none" w:sz="0" w:space="0" w:color="auto"/>
            <w:left w:val="none" w:sz="0" w:space="0" w:color="auto"/>
            <w:bottom w:val="none" w:sz="0" w:space="0" w:color="auto"/>
            <w:right w:val="none" w:sz="0" w:space="0" w:color="auto"/>
          </w:divBdr>
        </w:div>
      </w:divsChild>
    </w:div>
    <w:div w:id="57693578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12v6SApg294" TargetMode="External"/><Relationship Id="rId7" Type="http://schemas.openxmlformats.org/officeDocument/2006/relationships/hyperlink" Target="https://app.jutastatevolve.co.za/y2020v6SApg127" TargetMode="External"/><Relationship Id="rId2" Type="http://schemas.openxmlformats.org/officeDocument/2006/relationships/hyperlink" Target="https://app.jutastatevolve.co.za/y2011v5SApg257" TargetMode="External"/><Relationship Id="rId1" Type="http://schemas.openxmlformats.org/officeDocument/2006/relationships/hyperlink" Target="https://app.jutastatevolve.co.za/y2011v4SApg337" TargetMode="External"/><Relationship Id="rId6" Type="http://schemas.openxmlformats.org/officeDocument/2006/relationships/hyperlink" Target="https://app.jutastatevolve.co.za/y2016v6SApg540" TargetMode="External"/><Relationship Id="rId5" Type="http://schemas.openxmlformats.org/officeDocument/2006/relationships/hyperlink" Target="https://app.jutastatevolve.co.za/y2013v3SApg236" TargetMode="External"/><Relationship Id="rId4" Type="http://schemas.openxmlformats.org/officeDocument/2006/relationships/hyperlink" Target="https://app.jutastatevolve.co.za/y2013v1SApg1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06D5-1039-40A0-99AC-3EBBB09F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11</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11550</CharactersWithSpaces>
  <SharedDoc>false</SharedDoc>
  <HLinks>
    <vt:vector size="42" baseType="variant">
      <vt:variant>
        <vt:i4>10</vt:i4>
      </vt:variant>
      <vt:variant>
        <vt:i4>18</vt:i4>
      </vt:variant>
      <vt:variant>
        <vt:i4>0</vt:i4>
      </vt:variant>
      <vt:variant>
        <vt:i4>5</vt:i4>
      </vt:variant>
      <vt:variant>
        <vt:lpwstr>https://app.jutastatevolve.co.za/y2020v6SApg127</vt:lpwstr>
      </vt:variant>
      <vt:variant>
        <vt:lpwstr>y2020v6SApg127</vt:lpwstr>
      </vt:variant>
      <vt:variant>
        <vt:i4>13</vt:i4>
      </vt:variant>
      <vt:variant>
        <vt:i4>15</vt:i4>
      </vt:variant>
      <vt:variant>
        <vt:i4>0</vt:i4>
      </vt:variant>
      <vt:variant>
        <vt:i4>5</vt:i4>
      </vt:variant>
      <vt:variant>
        <vt:lpwstr>https://app.jutastatevolve.co.za/y2016v6SApg540</vt:lpwstr>
      </vt:variant>
      <vt:variant>
        <vt:lpwstr>y2016v6SApg540</vt:lpwstr>
      </vt:variant>
      <vt:variant>
        <vt:i4>393229</vt:i4>
      </vt:variant>
      <vt:variant>
        <vt:i4>12</vt:i4>
      </vt:variant>
      <vt:variant>
        <vt:i4>0</vt:i4>
      </vt:variant>
      <vt:variant>
        <vt:i4>5</vt:i4>
      </vt:variant>
      <vt:variant>
        <vt:lpwstr>https://app.jutastatevolve.co.za/y2013v3SApg236</vt:lpwstr>
      </vt:variant>
      <vt:variant>
        <vt:lpwstr>y2013v3SApg236</vt:lpwstr>
      </vt:variant>
      <vt:variant>
        <vt:i4>327688</vt:i4>
      </vt:variant>
      <vt:variant>
        <vt:i4>9</vt:i4>
      </vt:variant>
      <vt:variant>
        <vt:i4>0</vt:i4>
      </vt:variant>
      <vt:variant>
        <vt:i4>5</vt:i4>
      </vt:variant>
      <vt:variant>
        <vt:lpwstr>https://app.jutastatevolve.co.za/y2013v1SApg170</vt:lpwstr>
      </vt:variant>
      <vt:variant>
        <vt:lpwstr>y2013v1SApg170</vt:lpwstr>
      </vt:variant>
      <vt:variant>
        <vt:i4>655363</vt:i4>
      </vt:variant>
      <vt:variant>
        <vt:i4>6</vt:i4>
      </vt:variant>
      <vt:variant>
        <vt:i4>0</vt:i4>
      </vt:variant>
      <vt:variant>
        <vt:i4>5</vt:i4>
      </vt:variant>
      <vt:variant>
        <vt:lpwstr>https://app.jutastatevolve.co.za/y2012v6SApg294</vt:lpwstr>
      </vt:variant>
      <vt:variant>
        <vt:lpwstr>y2012v6SApg294</vt:lpwstr>
      </vt:variant>
      <vt:variant>
        <vt:i4>327695</vt:i4>
      </vt:variant>
      <vt:variant>
        <vt:i4>3</vt:i4>
      </vt:variant>
      <vt:variant>
        <vt:i4>0</vt:i4>
      </vt:variant>
      <vt:variant>
        <vt:i4>5</vt:i4>
      </vt:variant>
      <vt:variant>
        <vt:lpwstr>https://app.jutastatevolve.co.za/y2011v5SApg257</vt:lpwstr>
      </vt:variant>
      <vt:variant>
        <vt:lpwstr>y2011v5SApg257</vt:lpwstr>
      </vt:variant>
      <vt:variant>
        <vt:i4>196617</vt:i4>
      </vt:variant>
      <vt:variant>
        <vt:i4>0</vt:i4>
      </vt:variant>
      <vt:variant>
        <vt:i4>0</vt:i4>
      </vt:variant>
      <vt:variant>
        <vt:i4>5</vt:i4>
      </vt:variant>
      <vt:variant>
        <vt:lpwstr>https://app.jutastatevolve.co.za/y2011v4SApg337</vt:lpwstr>
      </vt:variant>
      <vt:variant>
        <vt:lpwstr>y2011v4SApg337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HOME</cp:lastModifiedBy>
  <cp:revision>2</cp:revision>
  <cp:lastPrinted>2022-04-25T16:36:00Z</cp:lastPrinted>
  <dcterms:created xsi:type="dcterms:W3CDTF">2022-07-20T10:43:00Z</dcterms:created>
  <dcterms:modified xsi:type="dcterms:W3CDTF">2022-07-20T10:43:00Z</dcterms:modified>
</cp:coreProperties>
</file>