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C94" w14:textId="77777777" w:rsidR="002301E3" w:rsidRPr="00DB2A06" w:rsidRDefault="002301E3" w:rsidP="002301E3">
      <w:pPr>
        <w:ind w:left="-270" w:right="-244"/>
        <w:jc w:val="center"/>
        <w:rPr>
          <w:b/>
          <w:u w:val="single"/>
        </w:rPr>
      </w:pPr>
      <w:bookmarkStart w:id="0" w:name="_GoBack"/>
      <w:bookmarkEnd w:id="0"/>
      <w:r>
        <w:rPr>
          <w:color w:val="1D1C1D"/>
          <w:sz w:val="23"/>
          <w:szCs w:val="23"/>
          <w:shd w:val="clear" w:color="auto" w:fill="F8F8F8"/>
        </w:rPr>
        <w:t>Editorial note: Certain information has been redacted from this judgment in compliance with the law.</w:t>
      </w:r>
    </w:p>
    <w:p w14:paraId="36A80620" w14:textId="77777777" w:rsidR="002301E3" w:rsidRDefault="002301E3" w:rsidP="0053054A">
      <w:pPr>
        <w:spacing w:after="240"/>
        <w:ind w:left="569" w:hangingChars="236" w:hanging="569"/>
        <w:jc w:val="center"/>
        <w:rPr>
          <w:b/>
          <w:sz w:val="24"/>
          <w:szCs w:val="24"/>
          <w:lang w:eastAsia="en-GB"/>
        </w:rPr>
      </w:pPr>
    </w:p>
    <w:p w14:paraId="66FFDD81" w14:textId="77777777" w:rsidR="002301E3" w:rsidRDefault="002301E3" w:rsidP="0053054A">
      <w:pPr>
        <w:spacing w:after="240"/>
        <w:ind w:left="569" w:hangingChars="236" w:hanging="569"/>
        <w:jc w:val="center"/>
        <w:rPr>
          <w:b/>
          <w:sz w:val="24"/>
          <w:szCs w:val="24"/>
          <w:lang w:eastAsia="en-GB"/>
        </w:rPr>
      </w:pPr>
    </w:p>
    <w:p w14:paraId="00F87C29" w14:textId="77777777" w:rsidR="0053054A" w:rsidRPr="00747DE6" w:rsidRDefault="0053054A" w:rsidP="0053054A">
      <w:pPr>
        <w:spacing w:after="240"/>
        <w:ind w:left="569" w:hangingChars="236" w:hanging="569"/>
        <w:jc w:val="center"/>
        <w:rPr>
          <w:b/>
          <w:sz w:val="24"/>
          <w:szCs w:val="24"/>
          <w:lang w:eastAsia="en-GB"/>
        </w:rPr>
      </w:pPr>
      <w:r w:rsidRPr="00747DE6">
        <w:rPr>
          <w:b/>
          <w:sz w:val="24"/>
          <w:szCs w:val="24"/>
          <w:lang w:eastAsia="en-GB"/>
        </w:rPr>
        <w:t>REPUBLIC OF SOUTH AFRICA</w:t>
      </w:r>
    </w:p>
    <w:p w14:paraId="57BFE678" w14:textId="77777777" w:rsidR="0053054A" w:rsidRPr="00D90525" w:rsidRDefault="0053054A" w:rsidP="0053054A">
      <w:pPr>
        <w:spacing w:after="240"/>
        <w:ind w:left="566" w:hangingChars="236" w:hanging="566"/>
        <w:jc w:val="center"/>
        <w:rPr>
          <w:sz w:val="24"/>
          <w:szCs w:val="24"/>
          <w:lang w:eastAsia="en-GB"/>
        </w:rPr>
      </w:pPr>
      <w:r w:rsidRPr="00D90525">
        <w:rPr>
          <w:rFonts w:cs="Helvetica"/>
          <w:noProof/>
          <w:sz w:val="24"/>
          <w:szCs w:val="24"/>
        </w:rPr>
        <w:drawing>
          <wp:inline distT="0" distB="0" distL="0" distR="0" wp14:anchorId="4C7E8F96" wp14:editId="2E573C3E">
            <wp:extent cx="1150993" cy="108712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792" cy="1094486"/>
                    </a:xfrm>
                    <a:prstGeom prst="rect">
                      <a:avLst/>
                    </a:prstGeom>
                    <a:noFill/>
                    <a:ln>
                      <a:noFill/>
                    </a:ln>
                  </pic:spPr>
                </pic:pic>
              </a:graphicData>
            </a:graphic>
          </wp:inline>
        </w:drawing>
      </w:r>
    </w:p>
    <w:p w14:paraId="77F95E8F" w14:textId="77777777" w:rsidR="0053054A" w:rsidRPr="00747DE6" w:rsidRDefault="0053054A" w:rsidP="0053054A">
      <w:pPr>
        <w:spacing w:after="120"/>
        <w:ind w:left="569" w:hangingChars="236" w:hanging="569"/>
        <w:jc w:val="center"/>
        <w:rPr>
          <w:b/>
          <w:sz w:val="24"/>
          <w:szCs w:val="24"/>
          <w:lang w:eastAsia="en-GB"/>
        </w:rPr>
      </w:pPr>
      <w:r w:rsidRPr="00747DE6">
        <w:rPr>
          <w:b/>
          <w:sz w:val="24"/>
          <w:szCs w:val="24"/>
          <w:lang w:eastAsia="en-GB"/>
        </w:rPr>
        <w:t>IN THE HIGH COURT OF SOUTH AFRICA</w:t>
      </w:r>
    </w:p>
    <w:p w14:paraId="34AD9EDE" w14:textId="77777777" w:rsidR="0053054A" w:rsidRPr="00747DE6" w:rsidRDefault="0053054A" w:rsidP="0053054A">
      <w:pPr>
        <w:spacing w:after="120"/>
        <w:ind w:left="569" w:hangingChars="236" w:hanging="569"/>
        <w:jc w:val="center"/>
        <w:rPr>
          <w:b/>
          <w:sz w:val="28"/>
          <w:szCs w:val="28"/>
          <w:lang w:eastAsia="en-GB"/>
        </w:rPr>
      </w:pPr>
      <w:r w:rsidRPr="00747DE6">
        <w:rPr>
          <w:b/>
          <w:sz w:val="24"/>
          <w:szCs w:val="24"/>
          <w:lang w:eastAsia="en-GB"/>
        </w:rPr>
        <w:t>GAUTENG LOCAL DIVISION, JOHANNESBURG</w:t>
      </w:r>
    </w:p>
    <w:p w14:paraId="03B47B80" w14:textId="1B901D1A" w:rsidR="0053054A" w:rsidRPr="00813029" w:rsidRDefault="0053054A" w:rsidP="0053054A">
      <w:pPr>
        <w:spacing w:before="120" w:after="120" w:line="240" w:lineRule="auto"/>
        <w:ind w:right="364"/>
        <w:jc w:val="right"/>
        <w:rPr>
          <w:b/>
          <w:sz w:val="24"/>
          <w:szCs w:val="24"/>
          <w:lang w:val="en-GB" w:eastAsia="en-GB"/>
        </w:rPr>
      </w:pPr>
      <w:r w:rsidRPr="00813029">
        <w:rPr>
          <w:b/>
          <w:noProof/>
          <w:szCs w:val="24"/>
        </w:rPr>
        <mc:AlternateContent>
          <mc:Choice Requires="wps">
            <w:drawing>
              <wp:anchor distT="0" distB="0" distL="114300" distR="114300" simplePos="0" relativeHeight="251659264" behindDoc="0" locked="0" layoutInCell="1" allowOverlap="1" wp14:anchorId="63AEECB0" wp14:editId="48BB17CB">
                <wp:simplePos x="0" y="0"/>
                <wp:positionH relativeFrom="margin">
                  <wp:posOffset>-34290</wp:posOffset>
                </wp:positionH>
                <wp:positionV relativeFrom="paragraph">
                  <wp:posOffset>283210</wp:posOffset>
                </wp:positionV>
                <wp:extent cx="2520950" cy="1441450"/>
                <wp:effectExtent l="0" t="0" r="1270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441450"/>
                        </a:xfrm>
                        <a:prstGeom prst="rect">
                          <a:avLst/>
                        </a:prstGeom>
                        <a:solidFill>
                          <a:srgbClr val="FFFFFF"/>
                        </a:solidFill>
                        <a:ln w="9525">
                          <a:solidFill>
                            <a:srgbClr val="000000"/>
                          </a:solidFill>
                          <a:miter lim="800000"/>
                          <a:headEnd/>
                          <a:tailEnd/>
                        </a:ln>
                      </wps:spPr>
                      <wps:txbx>
                        <w:txbxContent>
                          <w:p w14:paraId="3B02BE34" w14:textId="77777777" w:rsidR="0053054A" w:rsidRPr="00781B6A" w:rsidRDefault="0053054A" w:rsidP="0053054A">
                            <w:pPr>
                              <w:numPr>
                                <w:ilvl w:val="0"/>
                                <w:numId w:val="53"/>
                              </w:numPr>
                              <w:spacing w:after="0" w:line="240" w:lineRule="auto"/>
                              <w:jc w:val="left"/>
                              <w:rPr>
                                <w:b/>
                                <w:bCs/>
                              </w:rPr>
                            </w:pPr>
                            <w:r w:rsidRPr="00781B6A">
                              <w:rPr>
                                <w:b/>
                                <w:bCs/>
                              </w:rPr>
                              <w:t>REPORTABLE: NO</w:t>
                            </w:r>
                          </w:p>
                          <w:p w14:paraId="7347A09D" w14:textId="77777777" w:rsidR="0053054A" w:rsidRDefault="0053054A" w:rsidP="0053054A">
                            <w:pPr>
                              <w:numPr>
                                <w:ilvl w:val="0"/>
                                <w:numId w:val="53"/>
                              </w:numPr>
                              <w:spacing w:after="0" w:line="240" w:lineRule="auto"/>
                              <w:jc w:val="left"/>
                              <w:rPr>
                                <w:b/>
                                <w:bCs/>
                              </w:rPr>
                            </w:pPr>
                            <w:r w:rsidRPr="00781B6A">
                              <w:rPr>
                                <w:b/>
                                <w:bCs/>
                              </w:rPr>
                              <w:t xml:space="preserve">OF INTEREST TO OTHER </w:t>
                            </w:r>
                          </w:p>
                          <w:p w14:paraId="1DE98B11" w14:textId="77777777" w:rsidR="0053054A" w:rsidRPr="00781B6A" w:rsidRDefault="0053054A" w:rsidP="0053054A">
                            <w:pPr>
                              <w:spacing w:after="0" w:line="240" w:lineRule="auto"/>
                              <w:ind w:left="900"/>
                              <w:jc w:val="left"/>
                              <w:rPr>
                                <w:b/>
                                <w:bCs/>
                              </w:rPr>
                            </w:pPr>
                            <w:r>
                              <w:rPr>
                                <w:b/>
                                <w:bCs/>
                              </w:rPr>
                              <w:t>JUDGES:</w:t>
                            </w:r>
                            <w:r w:rsidRPr="00781B6A">
                              <w:rPr>
                                <w:b/>
                                <w:bCs/>
                              </w:rPr>
                              <w:t xml:space="preserve"> </w:t>
                            </w:r>
                            <w:r>
                              <w:rPr>
                                <w:b/>
                                <w:bCs/>
                              </w:rPr>
                              <w:t>NO</w:t>
                            </w:r>
                          </w:p>
                          <w:p w14:paraId="2388D189" w14:textId="77777777" w:rsidR="0053054A" w:rsidRPr="00781B6A" w:rsidRDefault="0053054A" w:rsidP="0053054A">
                            <w:pPr>
                              <w:numPr>
                                <w:ilvl w:val="0"/>
                                <w:numId w:val="53"/>
                              </w:numPr>
                              <w:spacing w:after="0" w:line="240" w:lineRule="auto"/>
                              <w:jc w:val="left"/>
                              <w:rPr>
                                <w:b/>
                                <w:bCs/>
                              </w:rPr>
                            </w:pPr>
                            <w:r w:rsidRPr="00781B6A">
                              <w:rPr>
                                <w:b/>
                                <w:bCs/>
                              </w:rPr>
                              <w:t>REVISED. NO</w:t>
                            </w:r>
                          </w:p>
                          <w:p w14:paraId="3FDCC571" w14:textId="63BAB8D8" w:rsidR="0053054A" w:rsidRPr="00781B6A" w:rsidRDefault="0053054A" w:rsidP="0053054A">
                            <w:pPr>
                              <w:spacing w:after="0"/>
                              <w:ind w:right="28"/>
                              <w:rPr>
                                <w:b/>
                                <w:bCs/>
                              </w:rPr>
                            </w:pPr>
                          </w:p>
                          <w:p w14:paraId="138F5FF6" w14:textId="4C14C12D" w:rsidR="0053054A" w:rsidRPr="00781B6A" w:rsidRDefault="0053054A" w:rsidP="0053054A">
                            <w:pPr>
                              <w:ind w:right="28"/>
                              <w:rPr>
                                <w:b/>
                                <w:bCs/>
                              </w:rPr>
                            </w:pPr>
                            <w:r w:rsidRPr="00781B6A">
                              <w:rPr>
                                <w:b/>
                                <w:bCs/>
                              </w:rPr>
                              <w:t xml:space="preserve"> SIGNATURE          DATE:  </w:t>
                            </w:r>
                            <w:r w:rsidR="00130DB5">
                              <w:rPr>
                                <w:b/>
                                <w:bCs/>
                              </w:rPr>
                              <w:t>28 June</w:t>
                            </w:r>
                            <w:r w:rsidRPr="00781B6A">
                              <w:rPr>
                                <w:b/>
                                <w:bCs/>
                              </w:rPr>
                              <w:t xml:space="preserve"> 202</w:t>
                            </w:r>
                            <w:r>
                              <w:rPr>
                                <w:b/>
                                <w:bCs/>
                              </w:rPr>
                              <w:t>2</w:t>
                            </w:r>
                            <w:r w:rsidRPr="00781B6A">
                              <w:rPr>
                                <w:b/>
                                <w:bCs/>
                              </w:rPr>
                              <w:t xml:space="preserve"> </w:t>
                            </w:r>
                          </w:p>
                          <w:p w14:paraId="7E612705" w14:textId="77777777" w:rsidR="0053054A" w:rsidRPr="004120A8" w:rsidRDefault="0053054A" w:rsidP="0053054A">
                            <w:pPr>
                              <w:rPr>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AEECB0" id="_x0000_t202" coordsize="21600,21600" o:spt="202" path="m,l,21600r21600,l21600,xe">
                <v:stroke joinstyle="miter"/>
                <v:path gradientshapeok="t" o:connecttype="rect"/>
              </v:shapetype>
              <v:shape id="Text Box 2" o:spid="_x0000_s1026" type="#_x0000_t202" style="position:absolute;left:0;text-align:left;margin-left:-2.7pt;margin-top:22.3pt;width:198.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OSJwIAAFE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">
                <v:textbox>
                  <w:txbxContent>
                    <w:p w14:paraId="3B02BE34" w14:textId="77777777" w:rsidR="0053054A" w:rsidRPr="00781B6A" w:rsidRDefault="0053054A" w:rsidP="0053054A">
                      <w:pPr>
                        <w:numPr>
                          <w:ilvl w:val="0"/>
                          <w:numId w:val="53"/>
                        </w:numPr>
                        <w:spacing w:after="0" w:line="240" w:lineRule="auto"/>
                        <w:jc w:val="left"/>
                        <w:rPr>
                          <w:b/>
                          <w:bCs/>
                        </w:rPr>
                      </w:pPr>
                      <w:r w:rsidRPr="00781B6A">
                        <w:rPr>
                          <w:b/>
                          <w:bCs/>
                        </w:rPr>
                        <w:t>REPORTABLE: NO</w:t>
                      </w:r>
                    </w:p>
                    <w:p w14:paraId="7347A09D" w14:textId="77777777" w:rsidR="0053054A" w:rsidRDefault="0053054A" w:rsidP="0053054A">
                      <w:pPr>
                        <w:numPr>
                          <w:ilvl w:val="0"/>
                          <w:numId w:val="53"/>
                        </w:numPr>
                        <w:spacing w:after="0" w:line="240" w:lineRule="auto"/>
                        <w:jc w:val="left"/>
                        <w:rPr>
                          <w:b/>
                          <w:bCs/>
                        </w:rPr>
                      </w:pPr>
                      <w:r w:rsidRPr="00781B6A">
                        <w:rPr>
                          <w:b/>
                          <w:bCs/>
                        </w:rPr>
                        <w:t xml:space="preserve">OF INTEREST TO OTHER </w:t>
                      </w:r>
                    </w:p>
                    <w:p w14:paraId="1DE98B11" w14:textId="77777777" w:rsidR="0053054A" w:rsidRPr="00781B6A" w:rsidRDefault="0053054A" w:rsidP="0053054A">
                      <w:pPr>
                        <w:spacing w:after="0" w:line="240" w:lineRule="auto"/>
                        <w:ind w:left="900"/>
                        <w:jc w:val="left"/>
                        <w:rPr>
                          <w:b/>
                          <w:bCs/>
                        </w:rPr>
                      </w:pPr>
                      <w:r>
                        <w:rPr>
                          <w:b/>
                          <w:bCs/>
                        </w:rPr>
                        <w:t>JUDGES:</w:t>
                      </w:r>
                      <w:r w:rsidRPr="00781B6A">
                        <w:rPr>
                          <w:b/>
                          <w:bCs/>
                        </w:rPr>
                        <w:t xml:space="preserve"> </w:t>
                      </w:r>
                      <w:r>
                        <w:rPr>
                          <w:b/>
                          <w:bCs/>
                        </w:rPr>
                        <w:t>NO</w:t>
                      </w:r>
                    </w:p>
                    <w:p w14:paraId="2388D189" w14:textId="77777777" w:rsidR="0053054A" w:rsidRPr="00781B6A" w:rsidRDefault="0053054A" w:rsidP="0053054A">
                      <w:pPr>
                        <w:numPr>
                          <w:ilvl w:val="0"/>
                          <w:numId w:val="53"/>
                        </w:numPr>
                        <w:spacing w:after="0" w:line="240" w:lineRule="auto"/>
                        <w:jc w:val="left"/>
                        <w:rPr>
                          <w:b/>
                          <w:bCs/>
                        </w:rPr>
                      </w:pPr>
                      <w:r w:rsidRPr="00781B6A">
                        <w:rPr>
                          <w:b/>
                          <w:bCs/>
                        </w:rPr>
                        <w:t>REVISED. NO</w:t>
                      </w:r>
                    </w:p>
                    <w:p w14:paraId="3FDCC571" w14:textId="63BAB8D8" w:rsidR="0053054A" w:rsidRPr="00781B6A" w:rsidRDefault="0053054A" w:rsidP="0053054A">
                      <w:pPr>
                        <w:spacing w:after="0"/>
                        <w:ind w:right="28"/>
                        <w:rPr>
                          <w:b/>
                          <w:bCs/>
                        </w:rPr>
                      </w:pPr>
                    </w:p>
                    <w:p w14:paraId="138F5FF6" w14:textId="4C14C12D" w:rsidR="0053054A" w:rsidRPr="00781B6A" w:rsidRDefault="0053054A" w:rsidP="0053054A">
                      <w:pPr>
                        <w:ind w:right="28"/>
                        <w:rPr>
                          <w:b/>
                          <w:bCs/>
                        </w:rPr>
                      </w:pPr>
                      <w:r w:rsidRPr="00781B6A">
                        <w:rPr>
                          <w:b/>
                          <w:bCs/>
                        </w:rPr>
                        <w:t xml:space="preserve"> SIGNATURE          DATE:  </w:t>
                      </w:r>
                      <w:r w:rsidR="00130DB5">
                        <w:rPr>
                          <w:b/>
                          <w:bCs/>
                        </w:rPr>
                        <w:t>28 June</w:t>
                      </w:r>
                      <w:r w:rsidRPr="00781B6A">
                        <w:rPr>
                          <w:b/>
                          <w:bCs/>
                        </w:rPr>
                        <w:t xml:space="preserve"> 202</w:t>
                      </w:r>
                      <w:r>
                        <w:rPr>
                          <w:b/>
                          <w:bCs/>
                        </w:rPr>
                        <w:t>2</w:t>
                      </w:r>
                      <w:r w:rsidRPr="00781B6A">
                        <w:rPr>
                          <w:b/>
                          <w:bCs/>
                        </w:rPr>
                        <w:t xml:space="preserve"> </w:t>
                      </w:r>
                    </w:p>
                    <w:p w14:paraId="7E612705" w14:textId="77777777" w:rsidR="0053054A" w:rsidRPr="004120A8" w:rsidRDefault="0053054A" w:rsidP="0053054A">
                      <w:pPr>
                        <w:rPr>
                          <w:b/>
                          <w:sz w:val="2"/>
                        </w:rPr>
                      </w:pPr>
                    </w:p>
                  </w:txbxContent>
                </v:textbox>
                <w10:wrap type="topAndBottom" anchorx="margin"/>
              </v:shape>
            </w:pict>
          </mc:Fallback>
        </mc:AlternateContent>
      </w:r>
      <w:r w:rsidRPr="00813029">
        <w:rPr>
          <w:b/>
          <w:sz w:val="24"/>
          <w:szCs w:val="24"/>
          <w:lang w:val="en-GB" w:eastAsia="en-GB"/>
        </w:rPr>
        <w:t xml:space="preserve">CASE NO: </w:t>
      </w:r>
      <w:r w:rsidR="00C13936">
        <w:rPr>
          <w:b/>
          <w:sz w:val="24"/>
          <w:szCs w:val="24"/>
          <w:lang w:val="en-GB" w:eastAsia="en-GB"/>
        </w:rPr>
        <w:t>31301</w:t>
      </w:r>
      <w:r w:rsidRPr="00813029">
        <w:rPr>
          <w:b/>
          <w:sz w:val="24"/>
          <w:szCs w:val="24"/>
          <w:lang w:val="en-GB" w:eastAsia="en-GB"/>
        </w:rPr>
        <w:t xml:space="preserve"> /20</w:t>
      </w:r>
      <w:r w:rsidR="00C13936">
        <w:rPr>
          <w:b/>
          <w:sz w:val="24"/>
          <w:szCs w:val="24"/>
          <w:lang w:val="en-GB" w:eastAsia="en-GB"/>
        </w:rPr>
        <w:t>20</w:t>
      </w:r>
    </w:p>
    <w:tbl>
      <w:tblPr>
        <w:tblW w:w="9309" w:type="dxa"/>
        <w:tblInd w:w="-95" w:type="dxa"/>
        <w:tblLook w:val="04A0" w:firstRow="1" w:lastRow="0" w:firstColumn="1" w:lastColumn="0" w:noHBand="0" w:noVBand="1"/>
      </w:tblPr>
      <w:tblGrid>
        <w:gridCol w:w="5624"/>
        <w:gridCol w:w="3685"/>
      </w:tblGrid>
      <w:tr w:rsidR="0053054A" w:rsidRPr="00813029" w14:paraId="7376E1B5" w14:textId="77777777" w:rsidTr="00EE2BE0">
        <w:trPr>
          <w:trHeight w:val="819"/>
        </w:trPr>
        <w:tc>
          <w:tcPr>
            <w:tcW w:w="5624" w:type="dxa"/>
            <w:hideMark/>
          </w:tcPr>
          <w:p w14:paraId="3DF2909A" w14:textId="77777777" w:rsidR="0053054A" w:rsidRPr="00813029" w:rsidRDefault="0053054A" w:rsidP="00EE2BE0">
            <w:pPr>
              <w:spacing w:before="200" w:line="240" w:lineRule="exact"/>
              <w:ind w:right="28"/>
              <w:rPr>
                <w:sz w:val="24"/>
                <w:szCs w:val="24"/>
                <w:lang w:val="en-GB"/>
              </w:rPr>
            </w:pPr>
            <w:r w:rsidRPr="00813029">
              <w:rPr>
                <w:sz w:val="24"/>
                <w:szCs w:val="24"/>
                <w:lang w:val="en-GB"/>
              </w:rPr>
              <w:t>In the matter between:</w:t>
            </w:r>
          </w:p>
        </w:tc>
        <w:tc>
          <w:tcPr>
            <w:tcW w:w="3685" w:type="dxa"/>
          </w:tcPr>
          <w:p w14:paraId="1DA23924" w14:textId="77777777" w:rsidR="0053054A" w:rsidRPr="00813029" w:rsidRDefault="0053054A" w:rsidP="00EE2BE0">
            <w:pPr>
              <w:spacing w:before="200" w:line="240" w:lineRule="exact"/>
              <w:ind w:right="28"/>
              <w:rPr>
                <w:sz w:val="24"/>
                <w:szCs w:val="24"/>
                <w:lang w:val="en-GB"/>
              </w:rPr>
            </w:pPr>
          </w:p>
        </w:tc>
      </w:tr>
    </w:tbl>
    <w:p w14:paraId="32BDCF78" w14:textId="48FC1FC9" w:rsidR="0053054A" w:rsidRPr="00C13936" w:rsidRDefault="00C13936" w:rsidP="0053054A">
      <w:pPr>
        <w:spacing w:after="0"/>
        <w:rPr>
          <w:sz w:val="24"/>
          <w:szCs w:val="24"/>
        </w:rPr>
      </w:pPr>
      <w:r>
        <w:rPr>
          <w:b/>
          <w:sz w:val="24"/>
          <w:szCs w:val="24"/>
        </w:rPr>
        <w:t>LEBAMANG OCTAVIA KOLISANG</w:t>
      </w:r>
      <w:r w:rsidR="0053054A">
        <w:rPr>
          <w:b/>
          <w:sz w:val="24"/>
          <w:szCs w:val="24"/>
        </w:rPr>
        <w:tab/>
      </w:r>
      <w:r w:rsidR="0053054A">
        <w:rPr>
          <w:b/>
          <w:sz w:val="24"/>
          <w:szCs w:val="24"/>
        </w:rPr>
        <w:tab/>
      </w:r>
      <w:r w:rsidR="0053054A">
        <w:rPr>
          <w:b/>
          <w:sz w:val="24"/>
          <w:szCs w:val="24"/>
        </w:rPr>
        <w:tab/>
      </w:r>
      <w:r w:rsidR="0053054A">
        <w:rPr>
          <w:b/>
          <w:sz w:val="24"/>
          <w:szCs w:val="24"/>
        </w:rPr>
        <w:tab/>
      </w:r>
      <w:r w:rsidR="0053054A">
        <w:rPr>
          <w:b/>
          <w:sz w:val="24"/>
          <w:szCs w:val="24"/>
        </w:rPr>
        <w:tab/>
      </w:r>
      <w:r w:rsidR="0053054A">
        <w:rPr>
          <w:b/>
          <w:sz w:val="24"/>
          <w:szCs w:val="24"/>
        </w:rPr>
        <w:tab/>
        <w:t xml:space="preserve">    </w:t>
      </w:r>
      <w:r>
        <w:rPr>
          <w:sz w:val="24"/>
          <w:szCs w:val="24"/>
        </w:rPr>
        <w:t>Applicant</w:t>
      </w:r>
    </w:p>
    <w:p w14:paraId="36CD0C08" w14:textId="77777777" w:rsidR="0053054A" w:rsidRDefault="0053054A" w:rsidP="0053054A">
      <w:pPr>
        <w:spacing w:after="0"/>
        <w:rPr>
          <w:sz w:val="24"/>
          <w:szCs w:val="24"/>
        </w:rPr>
      </w:pPr>
    </w:p>
    <w:p w14:paraId="47A81BE7" w14:textId="77777777" w:rsidR="0053054A" w:rsidRPr="00813029" w:rsidRDefault="0053054A" w:rsidP="0053054A">
      <w:pPr>
        <w:rPr>
          <w:sz w:val="24"/>
          <w:szCs w:val="24"/>
        </w:rPr>
      </w:pPr>
      <w:r w:rsidRPr="00813029">
        <w:rPr>
          <w:sz w:val="24"/>
          <w:szCs w:val="24"/>
        </w:rPr>
        <w:t xml:space="preserve">And </w:t>
      </w:r>
    </w:p>
    <w:p w14:paraId="098E62B5" w14:textId="7A97FE67" w:rsidR="0053054A" w:rsidRPr="00C13936" w:rsidRDefault="00C13936" w:rsidP="0053054A">
      <w:pPr>
        <w:spacing w:after="0"/>
        <w:rPr>
          <w:sz w:val="24"/>
          <w:szCs w:val="24"/>
        </w:rPr>
      </w:pPr>
      <w:r>
        <w:rPr>
          <w:b/>
          <w:sz w:val="24"/>
          <w:szCs w:val="24"/>
        </w:rPr>
        <w:t xml:space="preserve">ALEGRAND GENERAL DEALERS AND AUCTIONEERS </w:t>
      </w:r>
      <w:r w:rsidR="0053054A" w:rsidRPr="00813029">
        <w:rPr>
          <w:sz w:val="24"/>
          <w:szCs w:val="24"/>
        </w:rPr>
        <w:tab/>
        <w:t xml:space="preserve">                 </w:t>
      </w:r>
      <w:r w:rsidR="0053054A">
        <w:rPr>
          <w:sz w:val="24"/>
          <w:szCs w:val="24"/>
        </w:rPr>
        <w:t xml:space="preserve">  </w:t>
      </w:r>
      <w:r w:rsidR="0053054A" w:rsidRPr="00813029">
        <w:rPr>
          <w:sz w:val="24"/>
          <w:szCs w:val="24"/>
        </w:rPr>
        <w:t xml:space="preserve"> </w:t>
      </w:r>
    </w:p>
    <w:p w14:paraId="366D6331" w14:textId="6555D63F" w:rsidR="0053054A" w:rsidRDefault="000F0532" w:rsidP="0053054A">
      <w:pPr>
        <w:spacing w:after="0"/>
        <w:rPr>
          <w:sz w:val="24"/>
          <w:szCs w:val="24"/>
        </w:rPr>
      </w:pPr>
      <w:r>
        <w:rPr>
          <w:b/>
          <w:sz w:val="24"/>
          <w:szCs w:val="24"/>
        </w:rPr>
        <w:t>t/a GRAND AUCTIONS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First Respondent</w:t>
      </w:r>
    </w:p>
    <w:p w14:paraId="4EF29A0B" w14:textId="77777777" w:rsidR="000F0532" w:rsidRDefault="000F0532" w:rsidP="0053054A">
      <w:pPr>
        <w:spacing w:after="0"/>
        <w:rPr>
          <w:b/>
          <w:sz w:val="24"/>
          <w:szCs w:val="24"/>
        </w:rPr>
      </w:pPr>
    </w:p>
    <w:p w14:paraId="08429F06" w14:textId="07CC9812" w:rsidR="00C13936" w:rsidRDefault="00C13936" w:rsidP="0053054A">
      <w:pPr>
        <w:spacing w:after="0"/>
        <w:rPr>
          <w:sz w:val="24"/>
          <w:szCs w:val="24"/>
        </w:rPr>
      </w:pPr>
      <w:r w:rsidRPr="00C13936">
        <w:rPr>
          <w:b/>
          <w:sz w:val="24"/>
          <w:szCs w:val="24"/>
        </w:rPr>
        <w:t>ISMAIL DAWOOD JASSAT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Respondent</w:t>
      </w:r>
    </w:p>
    <w:p w14:paraId="1D831370" w14:textId="21BF3B55" w:rsidR="0053054A" w:rsidRDefault="0053054A" w:rsidP="0053054A">
      <w:pPr>
        <w:spacing w:after="0"/>
        <w:rPr>
          <w:sz w:val="24"/>
          <w:szCs w:val="24"/>
        </w:rPr>
      </w:pPr>
      <w:r>
        <w:rPr>
          <w:b/>
          <w:sz w:val="24"/>
          <w:szCs w:val="24"/>
        </w:rPr>
        <w:t>Coram:</w:t>
      </w:r>
      <w:r>
        <w:rPr>
          <w:b/>
          <w:sz w:val="24"/>
          <w:szCs w:val="24"/>
        </w:rPr>
        <w:tab/>
      </w:r>
      <w:r>
        <w:rPr>
          <w:sz w:val="24"/>
          <w:szCs w:val="24"/>
        </w:rPr>
        <w:t>Nichols AJ</w:t>
      </w:r>
    </w:p>
    <w:p w14:paraId="13DABCF9" w14:textId="7430CAD2" w:rsidR="00130DB5" w:rsidRDefault="0053054A" w:rsidP="00130DB5">
      <w:pPr>
        <w:spacing w:after="0"/>
        <w:ind w:left="1440" w:hanging="1440"/>
        <w:rPr>
          <w:sz w:val="24"/>
          <w:szCs w:val="24"/>
        </w:rPr>
      </w:pPr>
      <w:r>
        <w:rPr>
          <w:b/>
          <w:sz w:val="24"/>
          <w:szCs w:val="24"/>
        </w:rPr>
        <w:t>Delivered:</w:t>
      </w:r>
      <w:r>
        <w:rPr>
          <w:b/>
          <w:sz w:val="24"/>
          <w:szCs w:val="24"/>
        </w:rPr>
        <w:tab/>
      </w:r>
      <w:r>
        <w:rPr>
          <w:sz w:val="24"/>
          <w:szCs w:val="24"/>
        </w:rPr>
        <w:t>2</w:t>
      </w:r>
      <w:r w:rsidR="00130DB5">
        <w:rPr>
          <w:sz w:val="24"/>
          <w:szCs w:val="24"/>
        </w:rPr>
        <w:t>8</w:t>
      </w:r>
      <w:r>
        <w:rPr>
          <w:sz w:val="24"/>
          <w:szCs w:val="24"/>
        </w:rPr>
        <w:t xml:space="preserve"> </w:t>
      </w:r>
      <w:r w:rsidR="00C13936">
        <w:rPr>
          <w:sz w:val="24"/>
          <w:szCs w:val="24"/>
        </w:rPr>
        <w:t xml:space="preserve">June </w:t>
      </w:r>
      <w:r>
        <w:rPr>
          <w:sz w:val="24"/>
          <w:szCs w:val="24"/>
        </w:rPr>
        <w:t xml:space="preserve">2022 – This judgment was handed down electronically by circulation to the parties’ representatives </w:t>
      </w:r>
      <w:r>
        <w:rPr>
          <w:i/>
          <w:sz w:val="24"/>
          <w:szCs w:val="24"/>
        </w:rPr>
        <w:t>via</w:t>
      </w:r>
      <w:r>
        <w:rPr>
          <w:sz w:val="24"/>
          <w:szCs w:val="24"/>
        </w:rPr>
        <w:t xml:space="preserve"> email, by being uploaded to </w:t>
      </w:r>
      <w:r>
        <w:rPr>
          <w:i/>
          <w:sz w:val="24"/>
          <w:szCs w:val="24"/>
        </w:rPr>
        <w:t xml:space="preserve">Caselines </w:t>
      </w:r>
      <w:r>
        <w:rPr>
          <w:sz w:val="24"/>
          <w:szCs w:val="24"/>
        </w:rPr>
        <w:t>and by release to SAFLII. The date and time for hand-down is deemed to be 1</w:t>
      </w:r>
      <w:r w:rsidR="007B5544">
        <w:rPr>
          <w:sz w:val="24"/>
          <w:szCs w:val="24"/>
        </w:rPr>
        <w:t>2</w:t>
      </w:r>
      <w:r>
        <w:rPr>
          <w:sz w:val="24"/>
          <w:szCs w:val="24"/>
        </w:rPr>
        <w:t xml:space="preserve">h00 on </w:t>
      </w:r>
      <w:r w:rsidR="00C13936">
        <w:rPr>
          <w:sz w:val="24"/>
          <w:szCs w:val="24"/>
        </w:rPr>
        <w:t>2</w:t>
      </w:r>
      <w:r w:rsidR="00130DB5">
        <w:rPr>
          <w:sz w:val="24"/>
          <w:szCs w:val="24"/>
        </w:rPr>
        <w:t>8</w:t>
      </w:r>
      <w:r w:rsidR="00C13936">
        <w:rPr>
          <w:sz w:val="24"/>
          <w:szCs w:val="24"/>
        </w:rPr>
        <w:t xml:space="preserve"> June </w:t>
      </w:r>
      <w:r>
        <w:rPr>
          <w:sz w:val="24"/>
          <w:szCs w:val="24"/>
        </w:rPr>
        <w:t>2022.</w:t>
      </w:r>
    </w:p>
    <w:p w14:paraId="499054CE" w14:textId="77777777" w:rsidR="00130DB5" w:rsidRDefault="00130DB5" w:rsidP="00130DB5">
      <w:pPr>
        <w:pBdr>
          <w:top w:val="single" w:sz="12" w:space="1" w:color="auto"/>
          <w:bottom w:val="single" w:sz="12" w:space="1" w:color="auto"/>
        </w:pBdr>
        <w:spacing w:before="120" w:after="0" w:line="240" w:lineRule="auto"/>
        <w:jc w:val="center"/>
        <w:rPr>
          <w:b/>
          <w:bCs/>
          <w:sz w:val="24"/>
          <w:szCs w:val="24"/>
        </w:rPr>
      </w:pPr>
    </w:p>
    <w:p w14:paraId="41122D17" w14:textId="77777777" w:rsidR="00130DB5" w:rsidRPr="00130DB5" w:rsidRDefault="00130DB5" w:rsidP="00130DB5">
      <w:pPr>
        <w:pBdr>
          <w:top w:val="single" w:sz="12" w:space="1" w:color="auto"/>
          <w:bottom w:val="single" w:sz="12" w:space="1" w:color="auto"/>
        </w:pBdr>
        <w:spacing w:before="120" w:after="0" w:line="240" w:lineRule="auto"/>
        <w:jc w:val="center"/>
        <w:rPr>
          <w:b/>
          <w:bCs/>
          <w:sz w:val="24"/>
          <w:szCs w:val="24"/>
        </w:rPr>
      </w:pPr>
      <w:r w:rsidRPr="00130DB5">
        <w:rPr>
          <w:b/>
          <w:bCs/>
          <w:sz w:val="24"/>
          <w:szCs w:val="24"/>
        </w:rPr>
        <w:t xml:space="preserve">JUDGMENT </w:t>
      </w:r>
    </w:p>
    <w:p w14:paraId="7158A56B" w14:textId="77777777" w:rsidR="00130DB5" w:rsidRPr="00130DB5" w:rsidRDefault="00130DB5" w:rsidP="00130DB5">
      <w:pPr>
        <w:pBdr>
          <w:top w:val="single" w:sz="12" w:space="1" w:color="auto"/>
          <w:bottom w:val="single" w:sz="12" w:space="1" w:color="auto"/>
        </w:pBdr>
        <w:spacing w:before="120" w:after="240"/>
        <w:jc w:val="center"/>
        <w:rPr>
          <w:b/>
          <w:bCs/>
          <w:sz w:val="24"/>
          <w:szCs w:val="24"/>
        </w:rPr>
      </w:pPr>
    </w:p>
    <w:p w14:paraId="54DDE01E" w14:textId="35B223C7" w:rsidR="00130DB5" w:rsidRDefault="00130DB5" w:rsidP="000F0532">
      <w:pPr>
        <w:spacing w:after="120"/>
        <w:rPr>
          <w:b/>
          <w:sz w:val="24"/>
          <w:szCs w:val="24"/>
        </w:rPr>
      </w:pPr>
      <w:r>
        <w:rPr>
          <w:b/>
          <w:sz w:val="24"/>
          <w:szCs w:val="24"/>
        </w:rPr>
        <w:t>NICHOLS AJ</w:t>
      </w:r>
    </w:p>
    <w:p w14:paraId="2C6315B4" w14:textId="56494B62" w:rsidR="002912DA" w:rsidRDefault="002912DA" w:rsidP="000F0532">
      <w:pPr>
        <w:spacing w:after="120"/>
        <w:rPr>
          <w:sz w:val="24"/>
          <w:szCs w:val="24"/>
        </w:rPr>
      </w:pPr>
      <w:r>
        <w:rPr>
          <w:b/>
          <w:sz w:val="24"/>
          <w:szCs w:val="24"/>
        </w:rPr>
        <w:t>Introduction</w:t>
      </w:r>
    </w:p>
    <w:p w14:paraId="76A5666E" w14:textId="4E812EFB" w:rsidR="003D726C" w:rsidRDefault="00C13936" w:rsidP="006561BA">
      <w:pPr>
        <w:rPr>
          <w:sz w:val="24"/>
          <w:szCs w:val="24"/>
        </w:rPr>
      </w:pPr>
      <w:r>
        <w:rPr>
          <w:sz w:val="24"/>
          <w:szCs w:val="24"/>
        </w:rPr>
        <w:t>[1]</w:t>
      </w:r>
      <w:r>
        <w:rPr>
          <w:sz w:val="24"/>
          <w:szCs w:val="24"/>
        </w:rPr>
        <w:tab/>
      </w:r>
      <w:r w:rsidR="00743201">
        <w:rPr>
          <w:sz w:val="24"/>
          <w:szCs w:val="24"/>
        </w:rPr>
        <w:t xml:space="preserve">The applicant, Lebamang Octavia Kolisang (the applicant), in this matter seeks relief against the second respondent, </w:t>
      </w:r>
      <w:r w:rsidR="00743201" w:rsidRPr="00AF77A2">
        <w:rPr>
          <w:sz w:val="24"/>
          <w:szCs w:val="24"/>
        </w:rPr>
        <w:t>Ismail Dawood Jassat</w:t>
      </w:r>
      <w:r w:rsidR="00743201">
        <w:rPr>
          <w:sz w:val="24"/>
          <w:szCs w:val="24"/>
        </w:rPr>
        <w:t xml:space="preserve"> (the director), for the indebtedness of the first respondent, </w:t>
      </w:r>
      <w:r w:rsidR="00743201" w:rsidRPr="00AF77A2">
        <w:rPr>
          <w:sz w:val="24"/>
          <w:szCs w:val="24"/>
        </w:rPr>
        <w:t xml:space="preserve">Alegrand General Dealers </w:t>
      </w:r>
      <w:r w:rsidR="00743201">
        <w:rPr>
          <w:sz w:val="24"/>
          <w:szCs w:val="24"/>
        </w:rPr>
        <w:t>a</w:t>
      </w:r>
      <w:r w:rsidR="00743201" w:rsidRPr="00AF77A2">
        <w:rPr>
          <w:sz w:val="24"/>
          <w:szCs w:val="24"/>
        </w:rPr>
        <w:t>nd Auctioneers (Pty) Ltd T/A Grand Auctions</w:t>
      </w:r>
      <w:r w:rsidR="00743201">
        <w:rPr>
          <w:sz w:val="24"/>
          <w:szCs w:val="24"/>
        </w:rPr>
        <w:t xml:space="preserve"> (the Company) </w:t>
      </w:r>
      <w:r w:rsidR="002912DA">
        <w:rPr>
          <w:sz w:val="24"/>
          <w:szCs w:val="24"/>
        </w:rPr>
        <w:t xml:space="preserve">for </w:t>
      </w:r>
      <w:r w:rsidR="00743201">
        <w:rPr>
          <w:sz w:val="24"/>
          <w:szCs w:val="24"/>
        </w:rPr>
        <w:t>a judgment debt</w:t>
      </w:r>
      <w:r w:rsidR="007D54DA">
        <w:rPr>
          <w:sz w:val="24"/>
          <w:szCs w:val="24"/>
        </w:rPr>
        <w:t xml:space="preserve"> granted in her favour against the </w:t>
      </w:r>
      <w:r w:rsidR="00743201">
        <w:rPr>
          <w:sz w:val="24"/>
          <w:szCs w:val="24"/>
        </w:rPr>
        <w:t>company</w:t>
      </w:r>
      <w:r w:rsidR="007D54DA">
        <w:rPr>
          <w:sz w:val="24"/>
          <w:szCs w:val="24"/>
        </w:rPr>
        <w:t>.</w:t>
      </w:r>
    </w:p>
    <w:p w14:paraId="425793FB" w14:textId="7695B9D8" w:rsidR="00743201" w:rsidRDefault="00C13936" w:rsidP="006561BA">
      <w:pPr>
        <w:rPr>
          <w:sz w:val="24"/>
          <w:szCs w:val="24"/>
        </w:rPr>
      </w:pPr>
      <w:r>
        <w:rPr>
          <w:sz w:val="24"/>
          <w:szCs w:val="24"/>
        </w:rPr>
        <w:t>[2]</w:t>
      </w:r>
      <w:r>
        <w:rPr>
          <w:sz w:val="24"/>
          <w:szCs w:val="24"/>
        </w:rPr>
        <w:tab/>
      </w:r>
      <w:r w:rsidR="00743201">
        <w:rPr>
          <w:sz w:val="24"/>
          <w:szCs w:val="24"/>
        </w:rPr>
        <w:t xml:space="preserve">The application is premised on the common law, alternatively the provisions of s20(9) of the Companies Act, 71 of 2008 (the </w:t>
      </w:r>
      <w:r w:rsidR="00C333A8">
        <w:rPr>
          <w:sz w:val="24"/>
          <w:szCs w:val="24"/>
        </w:rPr>
        <w:t>Act)</w:t>
      </w:r>
      <w:r w:rsidR="007D54DA">
        <w:rPr>
          <w:sz w:val="24"/>
          <w:szCs w:val="24"/>
        </w:rPr>
        <w:t xml:space="preserve">. It </w:t>
      </w:r>
      <w:r w:rsidR="00C333A8">
        <w:rPr>
          <w:sz w:val="24"/>
          <w:szCs w:val="24"/>
        </w:rPr>
        <w:t>may be described as an application for the piercing of the corporate veil.</w:t>
      </w:r>
      <w:r w:rsidR="00743201">
        <w:rPr>
          <w:sz w:val="24"/>
          <w:szCs w:val="24"/>
        </w:rPr>
        <w:t xml:space="preserve"> The relief sought is twofold. Firstly, the company be deemed, in </w:t>
      </w:r>
      <w:r w:rsidR="00743201" w:rsidRPr="00AF77A2">
        <w:rPr>
          <w:sz w:val="24"/>
          <w:szCs w:val="24"/>
        </w:rPr>
        <w:t>terms of Section 20(9) of the Act</w:t>
      </w:r>
      <w:r w:rsidR="00C333A8">
        <w:rPr>
          <w:sz w:val="24"/>
          <w:szCs w:val="24"/>
        </w:rPr>
        <w:t>,</w:t>
      </w:r>
      <w:r w:rsidR="007D54DA">
        <w:rPr>
          <w:sz w:val="24"/>
          <w:szCs w:val="24"/>
        </w:rPr>
        <w:t xml:space="preserve"> </w:t>
      </w:r>
      <w:r w:rsidR="00743201" w:rsidRPr="00AF77A2">
        <w:rPr>
          <w:sz w:val="24"/>
          <w:szCs w:val="24"/>
        </w:rPr>
        <w:t>to</w:t>
      </w:r>
      <w:r w:rsidR="007D54DA">
        <w:rPr>
          <w:sz w:val="24"/>
          <w:szCs w:val="24"/>
        </w:rPr>
        <w:t xml:space="preserve"> not</w:t>
      </w:r>
      <w:r w:rsidR="00743201" w:rsidRPr="00AF77A2">
        <w:rPr>
          <w:sz w:val="24"/>
          <w:szCs w:val="24"/>
        </w:rPr>
        <w:t xml:space="preserve"> be a juristic person in respect of any right, obligation or liability of the</w:t>
      </w:r>
      <w:r w:rsidR="00743201">
        <w:rPr>
          <w:sz w:val="24"/>
          <w:szCs w:val="24"/>
        </w:rPr>
        <w:t xml:space="preserve"> company. Secondly, </w:t>
      </w:r>
      <w:r w:rsidR="00743201" w:rsidRPr="00AF77A2">
        <w:rPr>
          <w:sz w:val="24"/>
          <w:szCs w:val="24"/>
        </w:rPr>
        <w:t xml:space="preserve">the </w:t>
      </w:r>
      <w:r w:rsidR="00743201">
        <w:rPr>
          <w:sz w:val="24"/>
          <w:szCs w:val="24"/>
        </w:rPr>
        <w:t xml:space="preserve">director </w:t>
      </w:r>
      <w:r w:rsidR="00743201" w:rsidRPr="00AF77A2">
        <w:rPr>
          <w:sz w:val="24"/>
          <w:szCs w:val="24"/>
        </w:rPr>
        <w:t>be held personally liable for the damages and/or loss sustained by the app</w:t>
      </w:r>
      <w:r w:rsidR="000352CB">
        <w:rPr>
          <w:sz w:val="24"/>
          <w:szCs w:val="24"/>
        </w:rPr>
        <w:t>licant in an amount of R177</w:t>
      </w:r>
      <w:r w:rsidR="00C333A8">
        <w:rPr>
          <w:sz w:val="24"/>
          <w:szCs w:val="24"/>
        </w:rPr>
        <w:t> </w:t>
      </w:r>
      <w:r w:rsidR="000352CB">
        <w:rPr>
          <w:sz w:val="24"/>
          <w:szCs w:val="24"/>
        </w:rPr>
        <w:t>560</w:t>
      </w:r>
      <w:r w:rsidR="00C333A8">
        <w:rPr>
          <w:sz w:val="24"/>
          <w:szCs w:val="24"/>
        </w:rPr>
        <w:t>.</w:t>
      </w:r>
    </w:p>
    <w:p w14:paraId="34D4CE24" w14:textId="020FB00A" w:rsidR="00743201" w:rsidRDefault="00C13936" w:rsidP="006561BA">
      <w:pPr>
        <w:rPr>
          <w:sz w:val="24"/>
          <w:szCs w:val="24"/>
        </w:rPr>
      </w:pPr>
      <w:r>
        <w:rPr>
          <w:sz w:val="24"/>
          <w:szCs w:val="24"/>
        </w:rPr>
        <w:t>[3]</w:t>
      </w:r>
      <w:r>
        <w:rPr>
          <w:sz w:val="24"/>
          <w:szCs w:val="24"/>
        </w:rPr>
        <w:tab/>
      </w:r>
      <w:r w:rsidR="00743201">
        <w:rPr>
          <w:sz w:val="24"/>
          <w:szCs w:val="24"/>
        </w:rPr>
        <w:t xml:space="preserve">It is common cause that </w:t>
      </w:r>
      <w:r w:rsidR="000352CB">
        <w:rPr>
          <w:sz w:val="24"/>
          <w:szCs w:val="24"/>
        </w:rPr>
        <w:t xml:space="preserve">the </w:t>
      </w:r>
      <w:r w:rsidR="00743201">
        <w:rPr>
          <w:sz w:val="24"/>
          <w:szCs w:val="24"/>
        </w:rPr>
        <w:t>amount of R177</w:t>
      </w:r>
      <w:r w:rsidR="007D54DA">
        <w:rPr>
          <w:sz w:val="24"/>
          <w:szCs w:val="24"/>
        </w:rPr>
        <w:t> </w:t>
      </w:r>
      <w:r w:rsidR="00743201">
        <w:rPr>
          <w:sz w:val="24"/>
          <w:szCs w:val="24"/>
        </w:rPr>
        <w:t xml:space="preserve">560 </w:t>
      </w:r>
      <w:r w:rsidR="007D54DA">
        <w:rPr>
          <w:sz w:val="24"/>
          <w:szCs w:val="24"/>
        </w:rPr>
        <w:t xml:space="preserve">sought from </w:t>
      </w:r>
      <w:r w:rsidR="000352CB">
        <w:rPr>
          <w:sz w:val="24"/>
          <w:szCs w:val="24"/>
        </w:rPr>
        <w:t>the director is the amount of the default judgment</w:t>
      </w:r>
      <w:r w:rsidR="00EA0633">
        <w:rPr>
          <w:sz w:val="24"/>
          <w:szCs w:val="24"/>
        </w:rPr>
        <w:t xml:space="preserve"> and order </w:t>
      </w:r>
      <w:r w:rsidR="000352CB">
        <w:rPr>
          <w:sz w:val="24"/>
          <w:szCs w:val="24"/>
        </w:rPr>
        <w:t xml:space="preserve">granted in the applicant’s favour against the company </w:t>
      </w:r>
      <w:r w:rsidR="001C6B40">
        <w:rPr>
          <w:sz w:val="24"/>
          <w:szCs w:val="24"/>
        </w:rPr>
        <w:t>by</w:t>
      </w:r>
      <w:r w:rsidR="002912DA">
        <w:rPr>
          <w:sz w:val="24"/>
          <w:szCs w:val="24"/>
        </w:rPr>
        <w:t xml:space="preserve"> the</w:t>
      </w:r>
      <w:r w:rsidR="001C6B40">
        <w:rPr>
          <w:sz w:val="24"/>
          <w:szCs w:val="24"/>
        </w:rPr>
        <w:t xml:space="preserve"> </w:t>
      </w:r>
      <w:r w:rsidR="00EA0633">
        <w:rPr>
          <w:sz w:val="24"/>
          <w:szCs w:val="24"/>
        </w:rPr>
        <w:t xml:space="preserve">Protea </w:t>
      </w:r>
      <w:r w:rsidR="000352CB">
        <w:rPr>
          <w:sz w:val="24"/>
          <w:szCs w:val="24"/>
        </w:rPr>
        <w:t>Magistrate</w:t>
      </w:r>
      <w:r w:rsidR="00EA0633">
        <w:rPr>
          <w:sz w:val="24"/>
          <w:szCs w:val="24"/>
        </w:rPr>
        <w:t>’</w:t>
      </w:r>
      <w:r w:rsidR="000352CB">
        <w:rPr>
          <w:sz w:val="24"/>
          <w:szCs w:val="24"/>
        </w:rPr>
        <w:t>s Court on 14 June 2019</w:t>
      </w:r>
      <w:r w:rsidR="003B7BD7">
        <w:rPr>
          <w:sz w:val="24"/>
          <w:szCs w:val="24"/>
        </w:rPr>
        <w:t xml:space="preserve"> (the judgment)</w:t>
      </w:r>
      <w:r w:rsidR="000352CB">
        <w:rPr>
          <w:sz w:val="24"/>
          <w:szCs w:val="24"/>
        </w:rPr>
        <w:t>.</w:t>
      </w:r>
    </w:p>
    <w:p w14:paraId="3ED13DE7" w14:textId="074DD719" w:rsidR="009150CD" w:rsidRPr="009150CD" w:rsidRDefault="002912DA" w:rsidP="000352CB">
      <w:pPr>
        <w:rPr>
          <w:b/>
          <w:sz w:val="24"/>
          <w:szCs w:val="24"/>
        </w:rPr>
      </w:pPr>
      <w:r>
        <w:rPr>
          <w:b/>
          <w:sz w:val="24"/>
          <w:szCs w:val="24"/>
        </w:rPr>
        <w:t>The relevant and common cause facts</w:t>
      </w:r>
    </w:p>
    <w:p w14:paraId="62F4F944" w14:textId="1C643CEA" w:rsidR="005D46CF" w:rsidRDefault="00C13936" w:rsidP="000352CB">
      <w:pPr>
        <w:rPr>
          <w:sz w:val="24"/>
          <w:szCs w:val="24"/>
        </w:rPr>
      </w:pPr>
      <w:r>
        <w:rPr>
          <w:sz w:val="24"/>
          <w:szCs w:val="24"/>
        </w:rPr>
        <w:t>[4]</w:t>
      </w:r>
      <w:r>
        <w:rPr>
          <w:sz w:val="24"/>
          <w:szCs w:val="24"/>
        </w:rPr>
        <w:tab/>
      </w:r>
      <w:r w:rsidR="000352CB">
        <w:rPr>
          <w:sz w:val="24"/>
          <w:szCs w:val="24"/>
        </w:rPr>
        <w:t xml:space="preserve">The </w:t>
      </w:r>
      <w:r w:rsidR="009150CD">
        <w:rPr>
          <w:sz w:val="24"/>
          <w:szCs w:val="24"/>
        </w:rPr>
        <w:t xml:space="preserve">factual matrix underlying </w:t>
      </w:r>
      <w:r w:rsidR="001C6B40">
        <w:rPr>
          <w:sz w:val="24"/>
          <w:szCs w:val="24"/>
        </w:rPr>
        <w:t>the judgment</w:t>
      </w:r>
      <w:r w:rsidR="000352CB">
        <w:rPr>
          <w:sz w:val="24"/>
          <w:szCs w:val="24"/>
        </w:rPr>
        <w:t xml:space="preserve"> are largely common cause and bear brief recitation. On or about </w:t>
      </w:r>
      <w:r w:rsidR="000352CB" w:rsidRPr="00AF77A2">
        <w:rPr>
          <w:sz w:val="24"/>
          <w:szCs w:val="24"/>
        </w:rPr>
        <w:t xml:space="preserve">17 August 2016, the applicant attended a public auction arranged by the </w:t>
      </w:r>
      <w:r w:rsidR="000352CB">
        <w:rPr>
          <w:sz w:val="24"/>
          <w:szCs w:val="24"/>
        </w:rPr>
        <w:t>company</w:t>
      </w:r>
      <w:r w:rsidR="001C6B40">
        <w:rPr>
          <w:sz w:val="24"/>
          <w:szCs w:val="24"/>
        </w:rPr>
        <w:t xml:space="preserve"> at its premises. She </w:t>
      </w:r>
      <w:r w:rsidR="005D46CF">
        <w:rPr>
          <w:sz w:val="24"/>
          <w:szCs w:val="24"/>
        </w:rPr>
        <w:t>purchase</w:t>
      </w:r>
      <w:r w:rsidR="005165DC">
        <w:rPr>
          <w:sz w:val="24"/>
          <w:szCs w:val="24"/>
        </w:rPr>
        <w:t>d</w:t>
      </w:r>
      <w:r w:rsidR="005D46CF">
        <w:rPr>
          <w:sz w:val="24"/>
          <w:szCs w:val="24"/>
        </w:rPr>
        <w:t xml:space="preserve"> a vehicle described as a </w:t>
      </w:r>
      <w:r w:rsidR="005D46CF" w:rsidRPr="00AF77A2">
        <w:rPr>
          <w:sz w:val="24"/>
          <w:szCs w:val="24"/>
        </w:rPr>
        <w:t>2012 Golf GTI motor vehicle with registrati</w:t>
      </w:r>
      <w:r w:rsidR="002301E3">
        <w:rPr>
          <w:sz w:val="24"/>
          <w:szCs w:val="24"/>
        </w:rPr>
        <w:t>on number […]</w:t>
      </w:r>
      <w:r w:rsidR="005D46CF" w:rsidRPr="00AF77A2">
        <w:rPr>
          <w:sz w:val="24"/>
          <w:szCs w:val="24"/>
        </w:rPr>
        <w:t xml:space="preserve"> (the motor vehicle</w:t>
      </w:r>
      <w:r w:rsidR="005D46CF">
        <w:rPr>
          <w:sz w:val="24"/>
          <w:szCs w:val="24"/>
        </w:rPr>
        <w:t>). The applicant avers that the director represented the compan</w:t>
      </w:r>
      <w:r w:rsidR="004F6F48">
        <w:rPr>
          <w:sz w:val="24"/>
          <w:szCs w:val="24"/>
        </w:rPr>
        <w:t xml:space="preserve">y at all material times and </w:t>
      </w:r>
      <w:r w:rsidR="005D46CF">
        <w:rPr>
          <w:sz w:val="24"/>
          <w:szCs w:val="24"/>
        </w:rPr>
        <w:t xml:space="preserve">he specifically represented that the motor vehicle was as described. </w:t>
      </w:r>
      <w:r w:rsidR="004F6F48">
        <w:rPr>
          <w:sz w:val="24"/>
          <w:szCs w:val="24"/>
        </w:rPr>
        <w:t>In consequence of these representations, t</w:t>
      </w:r>
      <w:r w:rsidR="005D46CF">
        <w:rPr>
          <w:sz w:val="24"/>
          <w:szCs w:val="24"/>
        </w:rPr>
        <w:t>he applicant paid</w:t>
      </w:r>
      <w:r w:rsidR="005165DC">
        <w:rPr>
          <w:sz w:val="24"/>
          <w:szCs w:val="24"/>
        </w:rPr>
        <w:t xml:space="preserve"> a</w:t>
      </w:r>
      <w:r w:rsidR="005D46CF">
        <w:rPr>
          <w:sz w:val="24"/>
          <w:szCs w:val="24"/>
        </w:rPr>
        <w:t xml:space="preserve"> purchase price of R177</w:t>
      </w:r>
      <w:r w:rsidR="005165DC">
        <w:rPr>
          <w:sz w:val="24"/>
          <w:szCs w:val="24"/>
        </w:rPr>
        <w:t> 560 for the motor vehicle.</w:t>
      </w:r>
    </w:p>
    <w:p w14:paraId="6B0B9CC3" w14:textId="2AB1BEA2" w:rsidR="00942724" w:rsidRDefault="00C13936" w:rsidP="000352CB">
      <w:pPr>
        <w:rPr>
          <w:sz w:val="24"/>
          <w:szCs w:val="24"/>
        </w:rPr>
      </w:pPr>
      <w:r>
        <w:rPr>
          <w:sz w:val="24"/>
          <w:szCs w:val="24"/>
        </w:rPr>
        <w:t>[5]</w:t>
      </w:r>
      <w:r>
        <w:rPr>
          <w:sz w:val="24"/>
          <w:szCs w:val="24"/>
        </w:rPr>
        <w:tab/>
      </w:r>
      <w:r w:rsidR="005D46CF">
        <w:rPr>
          <w:sz w:val="24"/>
          <w:szCs w:val="24"/>
        </w:rPr>
        <w:t>It later transpired that the motor vehicle was</w:t>
      </w:r>
      <w:r w:rsidR="00942724">
        <w:rPr>
          <w:sz w:val="24"/>
          <w:szCs w:val="24"/>
        </w:rPr>
        <w:t xml:space="preserve"> in fact </w:t>
      </w:r>
      <w:r w:rsidR="005D46CF">
        <w:rPr>
          <w:sz w:val="24"/>
          <w:szCs w:val="24"/>
        </w:rPr>
        <w:t xml:space="preserve">a </w:t>
      </w:r>
      <w:r w:rsidR="000352CB" w:rsidRPr="00AF77A2">
        <w:rPr>
          <w:sz w:val="24"/>
          <w:szCs w:val="24"/>
        </w:rPr>
        <w:t>2010 Golf GTI motor vehicle with registration n</w:t>
      </w:r>
      <w:r w:rsidR="002301E3">
        <w:rPr>
          <w:sz w:val="24"/>
          <w:szCs w:val="24"/>
        </w:rPr>
        <w:t>umber […]</w:t>
      </w:r>
      <w:r w:rsidR="000352CB" w:rsidRPr="00AF77A2">
        <w:rPr>
          <w:sz w:val="24"/>
          <w:szCs w:val="24"/>
        </w:rPr>
        <w:t>.</w:t>
      </w:r>
      <w:r w:rsidR="005D46CF">
        <w:rPr>
          <w:sz w:val="24"/>
          <w:szCs w:val="24"/>
        </w:rPr>
        <w:t xml:space="preserve"> As a </w:t>
      </w:r>
      <w:r w:rsidR="004F6F48">
        <w:rPr>
          <w:sz w:val="24"/>
          <w:szCs w:val="24"/>
        </w:rPr>
        <w:t>result,</w:t>
      </w:r>
      <w:r w:rsidR="005D46CF">
        <w:rPr>
          <w:sz w:val="24"/>
          <w:szCs w:val="24"/>
        </w:rPr>
        <w:t xml:space="preserve"> the applica</w:t>
      </w:r>
      <w:r w:rsidR="005165DC">
        <w:rPr>
          <w:sz w:val="24"/>
          <w:szCs w:val="24"/>
        </w:rPr>
        <w:t>nt cancelled the sale agreement</w:t>
      </w:r>
      <w:r w:rsidR="00955EAB">
        <w:rPr>
          <w:sz w:val="24"/>
          <w:szCs w:val="24"/>
        </w:rPr>
        <w:t>, return</w:t>
      </w:r>
      <w:r w:rsidR="005165DC">
        <w:rPr>
          <w:sz w:val="24"/>
          <w:szCs w:val="24"/>
        </w:rPr>
        <w:t>ed</w:t>
      </w:r>
      <w:r w:rsidR="00955EAB">
        <w:rPr>
          <w:sz w:val="24"/>
          <w:szCs w:val="24"/>
        </w:rPr>
        <w:t xml:space="preserve"> the motor vehicle</w:t>
      </w:r>
      <w:r w:rsidR="005165DC">
        <w:rPr>
          <w:sz w:val="24"/>
          <w:szCs w:val="24"/>
        </w:rPr>
        <w:t xml:space="preserve"> to the company </w:t>
      </w:r>
      <w:r w:rsidR="005D46CF">
        <w:rPr>
          <w:sz w:val="24"/>
          <w:szCs w:val="24"/>
        </w:rPr>
        <w:t>and sought restitution</w:t>
      </w:r>
      <w:r w:rsidR="00955EAB">
        <w:rPr>
          <w:sz w:val="24"/>
          <w:szCs w:val="24"/>
        </w:rPr>
        <w:t xml:space="preserve"> of the purchase price</w:t>
      </w:r>
      <w:r w:rsidR="005D46CF">
        <w:rPr>
          <w:sz w:val="24"/>
          <w:szCs w:val="24"/>
        </w:rPr>
        <w:t xml:space="preserve">. The company confirmed the cancellation of the sale but refused to refund purchase price. This resulted in the </w:t>
      </w:r>
      <w:r w:rsidR="004F6F48">
        <w:rPr>
          <w:sz w:val="24"/>
          <w:szCs w:val="24"/>
        </w:rPr>
        <w:t>m</w:t>
      </w:r>
      <w:r w:rsidR="00942724">
        <w:rPr>
          <w:sz w:val="24"/>
          <w:szCs w:val="24"/>
        </w:rPr>
        <w:t xml:space="preserve">agistrate </w:t>
      </w:r>
      <w:r w:rsidR="004F6F48">
        <w:rPr>
          <w:sz w:val="24"/>
          <w:szCs w:val="24"/>
        </w:rPr>
        <w:t>c</w:t>
      </w:r>
      <w:r w:rsidR="00942724">
        <w:rPr>
          <w:sz w:val="24"/>
          <w:szCs w:val="24"/>
        </w:rPr>
        <w:t xml:space="preserve">ourt proceedings against the company </w:t>
      </w:r>
      <w:r w:rsidR="006255E2">
        <w:rPr>
          <w:sz w:val="24"/>
          <w:szCs w:val="24"/>
        </w:rPr>
        <w:t>where</w:t>
      </w:r>
      <w:r w:rsidR="00942724">
        <w:rPr>
          <w:sz w:val="24"/>
          <w:szCs w:val="24"/>
        </w:rPr>
        <w:t xml:space="preserve"> the applicant sought repayment of the purchase price. Although the company initially opposed this action, judgment was </w:t>
      </w:r>
      <w:r w:rsidR="004F6F48">
        <w:rPr>
          <w:sz w:val="24"/>
          <w:szCs w:val="24"/>
        </w:rPr>
        <w:t xml:space="preserve">ultimately </w:t>
      </w:r>
      <w:r w:rsidR="00942724">
        <w:rPr>
          <w:sz w:val="24"/>
          <w:szCs w:val="24"/>
        </w:rPr>
        <w:t>granted by default against it</w:t>
      </w:r>
      <w:r w:rsidR="004F6F48">
        <w:rPr>
          <w:sz w:val="24"/>
          <w:szCs w:val="24"/>
        </w:rPr>
        <w:t>,</w:t>
      </w:r>
      <w:r w:rsidR="00942724">
        <w:rPr>
          <w:sz w:val="24"/>
          <w:szCs w:val="24"/>
        </w:rPr>
        <w:t xml:space="preserve"> after its attorney of record withdrew</w:t>
      </w:r>
      <w:r w:rsidR="00625A2B">
        <w:rPr>
          <w:sz w:val="24"/>
          <w:szCs w:val="24"/>
        </w:rPr>
        <w:t xml:space="preserve"> in August 2018</w:t>
      </w:r>
      <w:r w:rsidR="00942724">
        <w:rPr>
          <w:sz w:val="24"/>
          <w:szCs w:val="24"/>
        </w:rPr>
        <w:t xml:space="preserve"> and the company failed to </w:t>
      </w:r>
      <w:r w:rsidR="004F6F48">
        <w:rPr>
          <w:sz w:val="24"/>
          <w:szCs w:val="24"/>
        </w:rPr>
        <w:t xml:space="preserve">appoint a new attorney or </w:t>
      </w:r>
      <w:r w:rsidR="00942724">
        <w:rPr>
          <w:sz w:val="24"/>
          <w:szCs w:val="24"/>
        </w:rPr>
        <w:t xml:space="preserve">continue with its defence of the action. </w:t>
      </w:r>
    </w:p>
    <w:p w14:paraId="3DFFA15F" w14:textId="1DA3DED7" w:rsidR="00C333A8" w:rsidRDefault="00C13936" w:rsidP="000352CB">
      <w:pPr>
        <w:rPr>
          <w:sz w:val="24"/>
          <w:szCs w:val="24"/>
        </w:rPr>
      </w:pPr>
      <w:r>
        <w:rPr>
          <w:sz w:val="24"/>
          <w:szCs w:val="24"/>
        </w:rPr>
        <w:t>[6]</w:t>
      </w:r>
      <w:r>
        <w:rPr>
          <w:sz w:val="24"/>
          <w:szCs w:val="24"/>
        </w:rPr>
        <w:tab/>
      </w:r>
      <w:r w:rsidR="00F41892">
        <w:rPr>
          <w:sz w:val="24"/>
          <w:szCs w:val="24"/>
        </w:rPr>
        <w:t>The applicant has travelled a long road in her attempts to execute against the judgment</w:t>
      </w:r>
      <w:r w:rsidR="009150CD">
        <w:rPr>
          <w:sz w:val="24"/>
          <w:szCs w:val="24"/>
        </w:rPr>
        <w:t>.</w:t>
      </w:r>
      <w:r w:rsidR="00F41892">
        <w:rPr>
          <w:sz w:val="24"/>
          <w:szCs w:val="24"/>
        </w:rPr>
        <w:t xml:space="preserve"> During this journey</w:t>
      </w:r>
      <w:r w:rsidR="006255E2">
        <w:rPr>
          <w:sz w:val="24"/>
          <w:szCs w:val="24"/>
        </w:rPr>
        <w:t xml:space="preserve">, </w:t>
      </w:r>
      <w:r w:rsidR="00F41892">
        <w:rPr>
          <w:sz w:val="24"/>
          <w:szCs w:val="24"/>
        </w:rPr>
        <w:t xml:space="preserve">it was ascertained that the director resigned as a director of the company effective 1 January 2019; the registered and business address of the company changed from </w:t>
      </w:r>
      <w:r w:rsidR="002534E2">
        <w:rPr>
          <w:sz w:val="24"/>
          <w:szCs w:val="24"/>
        </w:rPr>
        <w:t xml:space="preserve">Rose Avenue, </w:t>
      </w:r>
      <w:r w:rsidR="00F41892">
        <w:rPr>
          <w:sz w:val="24"/>
          <w:szCs w:val="24"/>
        </w:rPr>
        <w:t>Lenasia</w:t>
      </w:r>
      <w:r w:rsidR="006255E2">
        <w:rPr>
          <w:sz w:val="24"/>
          <w:szCs w:val="24"/>
        </w:rPr>
        <w:t>,</w:t>
      </w:r>
      <w:r w:rsidR="002534E2">
        <w:rPr>
          <w:sz w:val="24"/>
          <w:szCs w:val="24"/>
        </w:rPr>
        <w:t xml:space="preserve"> Johannesburg </w:t>
      </w:r>
      <w:r w:rsidR="00F41892">
        <w:rPr>
          <w:sz w:val="24"/>
          <w:szCs w:val="24"/>
        </w:rPr>
        <w:t xml:space="preserve">to </w:t>
      </w:r>
      <w:r w:rsidR="00625A2B">
        <w:rPr>
          <w:sz w:val="24"/>
          <w:szCs w:val="24"/>
        </w:rPr>
        <w:t xml:space="preserve">Main Road, Parklands, </w:t>
      </w:r>
      <w:r w:rsidR="0099081D">
        <w:rPr>
          <w:sz w:val="24"/>
          <w:szCs w:val="24"/>
        </w:rPr>
        <w:t>Cape Town</w:t>
      </w:r>
      <w:r w:rsidR="00F41892">
        <w:rPr>
          <w:sz w:val="24"/>
          <w:szCs w:val="24"/>
        </w:rPr>
        <w:t xml:space="preserve">; the director </w:t>
      </w:r>
      <w:r w:rsidR="00D87276">
        <w:rPr>
          <w:sz w:val="24"/>
          <w:szCs w:val="24"/>
        </w:rPr>
        <w:t xml:space="preserve">held </w:t>
      </w:r>
      <w:r w:rsidR="00F41892">
        <w:rPr>
          <w:sz w:val="24"/>
          <w:szCs w:val="24"/>
        </w:rPr>
        <w:t>director</w:t>
      </w:r>
      <w:r w:rsidR="00D87276">
        <w:rPr>
          <w:sz w:val="24"/>
          <w:szCs w:val="24"/>
        </w:rPr>
        <w:t>ships</w:t>
      </w:r>
      <w:r w:rsidR="002534E2">
        <w:rPr>
          <w:sz w:val="24"/>
          <w:szCs w:val="24"/>
        </w:rPr>
        <w:t xml:space="preserve"> in various </w:t>
      </w:r>
      <w:r w:rsidR="00F41892">
        <w:rPr>
          <w:sz w:val="24"/>
          <w:szCs w:val="24"/>
        </w:rPr>
        <w:t>companies that</w:t>
      </w:r>
      <w:r w:rsidR="002534E2">
        <w:rPr>
          <w:sz w:val="24"/>
          <w:szCs w:val="24"/>
        </w:rPr>
        <w:t xml:space="preserve"> conducted </w:t>
      </w:r>
      <w:r w:rsidR="00625A2B">
        <w:rPr>
          <w:sz w:val="24"/>
          <w:szCs w:val="24"/>
        </w:rPr>
        <w:t xml:space="preserve">the business of  motor vehicles sale and/or auction </w:t>
      </w:r>
      <w:r w:rsidR="00F41892">
        <w:rPr>
          <w:sz w:val="24"/>
          <w:szCs w:val="24"/>
        </w:rPr>
        <w:t>from the same address in</w:t>
      </w:r>
      <w:r w:rsidR="002534E2">
        <w:rPr>
          <w:sz w:val="24"/>
          <w:szCs w:val="24"/>
        </w:rPr>
        <w:t xml:space="preserve"> Rose Avenue, </w:t>
      </w:r>
      <w:r w:rsidR="00F41892">
        <w:rPr>
          <w:sz w:val="24"/>
          <w:szCs w:val="24"/>
        </w:rPr>
        <w:t>Lenasia</w:t>
      </w:r>
      <w:r w:rsidR="002534E2">
        <w:rPr>
          <w:sz w:val="24"/>
          <w:szCs w:val="24"/>
        </w:rPr>
        <w:t>, Johannesburg</w:t>
      </w:r>
      <w:r w:rsidR="00F41892">
        <w:rPr>
          <w:sz w:val="24"/>
          <w:szCs w:val="24"/>
        </w:rPr>
        <w:t xml:space="preserve">; and </w:t>
      </w:r>
      <w:r w:rsidR="009150CD">
        <w:rPr>
          <w:sz w:val="24"/>
          <w:szCs w:val="24"/>
        </w:rPr>
        <w:t xml:space="preserve">there was another </w:t>
      </w:r>
      <w:r w:rsidR="00F41892">
        <w:rPr>
          <w:sz w:val="24"/>
          <w:szCs w:val="24"/>
        </w:rPr>
        <w:t xml:space="preserve">court judgment </w:t>
      </w:r>
      <w:r w:rsidR="00C333A8">
        <w:rPr>
          <w:sz w:val="24"/>
          <w:szCs w:val="24"/>
        </w:rPr>
        <w:t>against the company arising from similar facts.</w:t>
      </w:r>
    </w:p>
    <w:p w14:paraId="6D8149ED" w14:textId="628854B9" w:rsidR="009150CD" w:rsidRDefault="00C13936" w:rsidP="009150CD">
      <w:pPr>
        <w:rPr>
          <w:sz w:val="24"/>
          <w:szCs w:val="24"/>
        </w:rPr>
      </w:pPr>
      <w:r>
        <w:rPr>
          <w:sz w:val="24"/>
          <w:szCs w:val="24"/>
        </w:rPr>
        <w:t>[7]</w:t>
      </w:r>
      <w:r>
        <w:rPr>
          <w:sz w:val="24"/>
          <w:szCs w:val="24"/>
        </w:rPr>
        <w:tab/>
      </w:r>
      <w:r w:rsidR="009150CD">
        <w:rPr>
          <w:sz w:val="24"/>
          <w:szCs w:val="24"/>
        </w:rPr>
        <w:t>The</w:t>
      </w:r>
      <w:r w:rsidR="003B7BD7">
        <w:rPr>
          <w:sz w:val="24"/>
          <w:szCs w:val="24"/>
        </w:rPr>
        <w:t xml:space="preserve"> majority of </w:t>
      </w:r>
      <w:r w:rsidR="00A63D45">
        <w:rPr>
          <w:sz w:val="24"/>
          <w:szCs w:val="24"/>
        </w:rPr>
        <w:t xml:space="preserve">the </w:t>
      </w:r>
      <w:r w:rsidR="003B7BD7">
        <w:rPr>
          <w:sz w:val="24"/>
          <w:szCs w:val="24"/>
        </w:rPr>
        <w:t xml:space="preserve">averments by the director relate to the merits of the claim </w:t>
      </w:r>
      <w:r w:rsidR="00A63D45">
        <w:rPr>
          <w:sz w:val="24"/>
          <w:szCs w:val="24"/>
        </w:rPr>
        <w:t>against the company.</w:t>
      </w:r>
      <w:r w:rsidR="003B7BD7">
        <w:rPr>
          <w:sz w:val="24"/>
          <w:szCs w:val="24"/>
        </w:rPr>
        <w:t xml:space="preserve"> </w:t>
      </w:r>
      <w:r w:rsidR="002912DA">
        <w:rPr>
          <w:sz w:val="24"/>
          <w:szCs w:val="24"/>
        </w:rPr>
        <w:t>He sought to contest the merits of the applicant’s claim against company but t</w:t>
      </w:r>
      <w:r w:rsidR="003B7BD7">
        <w:rPr>
          <w:sz w:val="24"/>
          <w:szCs w:val="24"/>
        </w:rPr>
        <w:t xml:space="preserve">he validity of the </w:t>
      </w:r>
      <w:r w:rsidR="0086633E">
        <w:rPr>
          <w:sz w:val="24"/>
          <w:szCs w:val="24"/>
        </w:rPr>
        <w:t>judgment</w:t>
      </w:r>
      <w:r w:rsidR="00A63D45">
        <w:rPr>
          <w:sz w:val="24"/>
          <w:szCs w:val="24"/>
        </w:rPr>
        <w:t xml:space="preserve"> however</w:t>
      </w:r>
      <w:r w:rsidR="003B7BD7">
        <w:rPr>
          <w:sz w:val="24"/>
          <w:szCs w:val="24"/>
        </w:rPr>
        <w:t xml:space="preserve"> is not questioned and </w:t>
      </w:r>
      <w:r w:rsidR="00A63D45">
        <w:rPr>
          <w:sz w:val="24"/>
          <w:szCs w:val="24"/>
        </w:rPr>
        <w:t>it is common cause that no application has been instituted to rescind the judgment.</w:t>
      </w:r>
      <w:r w:rsidR="0086633E">
        <w:rPr>
          <w:sz w:val="24"/>
          <w:szCs w:val="24"/>
        </w:rPr>
        <w:t xml:space="preserve"> It is</w:t>
      </w:r>
      <w:r w:rsidR="00EF5EB5">
        <w:rPr>
          <w:sz w:val="24"/>
          <w:szCs w:val="24"/>
        </w:rPr>
        <w:t xml:space="preserve"> trite</w:t>
      </w:r>
      <w:r w:rsidR="0086633E">
        <w:rPr>
          <w:sz w:val="24"/>
          <w:szCs w:val="24"/>
        </w:rPr>
        <w:t xml:space="preserve"> that judgments and orders are valid and binding until set aside.</w:t>
      </w:r>
      <w:r w:rsidR="0086633E" w:rsidRPr="0086633E">
        <w:rPr>
          <w:rStyle w:val="FootnoteReference"/>
          <w:rFonts w:ascii="Arial" w:hAnsi="Arial"/>
          <w:sz w:val="20"/>
        </w:rPr>
        <w:footnoteReference w:id="1"/>
      </w:r>
      <w:r w:rsidR="007149F1">
        <w:rPr>
          <w:sz w:val="24"/>
          <w:szCs w:val="24"/>
        </w:rPr>
        <w:t xml:space="preserve"> </w:t>
      </w:r>
    </w:p>
    <w:p w14:paraId="28A1A2E1" w14:textId="5E268556" w:rsidR="00C704B3" w:rsidRDefault="00C13936" w:rsidP="00C704B3">
      <w:pPr>
        <w:rPr>
          <w:sz w:val="24"/>
          <w:szCs w:val="24"/>
        </w:rPr>
      </w:pPr>
      <w:r>
        <w:rPr>
          <w:sz w:val="24"/>
          <w:szCs w:val="24"/>
        </w:rPr>
        <w:t>[8]</w:t>
      </w:r>
      <w:r>
        <w:rPr>
          <w:sz w:val="24"/>
          <w:szCs w:val="24"/>
        </w:rPr>
        <w:tab/>
      </w:r>
      <w:r w:rsidR="00683A4D">
        <w:rPr>
          <w:sz w:val="24"/>
          <w:szCs w:val="24"/>
        </w:rPr>
        <w:t xml:space="preserve">The director avers that </w:t>
      </w:r>
      <w:r w:rsidR="00C704B3">
        <w:rPr>
          <w:sz w:val="24"/>
          <w:szCs w:val="24"/>
        </w:rPr>
        <w:t>the company ceased trading from July 2017 and was in the process of deregistration because it was unable to pay for its financial returns. It v</w:t>
      </w:r>
      <w:r w:rsidR="002912DA">
        <w:rPr>
          <w:sz w:val="24"/>
          <w:szCs w:val="24"/>
        </w:rPr>
        <w:t xml:space="preserve">acated the business premises </w:t>
      </w:r>
      <w:r w:rsidR="00C704B3">
        <w:rPr>
          <w:sz w:val="24"/>
          <w:szCs w:val="24"/>
        </w:rPr>
        <w:t>occupied in Rose Avenue, Lenasia,</w:t>
      </w:r>
      <w:r w:rsidR="002912DA">
        <w:rPr>
          <w:sz w:val="24"/>
          <w:szCs w:val="24"/>
        </w:rPr>
        <w:t xml:space="preserve"> Johannesburg</w:t>
      </w:r>
      <w:r w:rsidR="00C704B3">
        <w:rPr>
          <w:sz w:val="24"/>
          <w:szCs w:val="24"/>
        </w:rPr>
        <w:t xml:space="preserve"> and he was unemployed as a result. He admits the withdrawal by the company’s attorney of record in August 2018 because she received no further instructions from him or the company and he contended that the attorney was not informed of the company’s new address or circumstances.</w:t>
      </w:r>
    </w:p>
    <w:p w14:paraId="61C4597E" w14:textId="230F6C30" w:rsidR="00AB492A" w:rsidRDefault="00C13936" w:rsidP="00AB492A">
      <w:pPr>
        <w:rPr>
          <w:sz w:val="24"/>
          <w:szCs w:val="24"/>
        </w:rPr>
      </w:pPr>
      <w:r>
        <w:rPr>
          <w:sz w:val="24"/>
          <w:szCs w:val="24"/>
        </w:rPr>
        <w:t>[9]</w:t>
      </w:r>
      <w:r>
        <w:rPr>
          <w:sz w:val="24"/>
          <w:szCs w:val="24"/>
        </w:rPr>
        <w:tab/>
      </w:r>
      <w:r w:rsidR="002912DA">
        <w:rPr>
          <w:sz w:val="24"/>
          <w:szCs w:val="24"/>
        </w:rPr>
        <w:t xml:space="preserve">He </w:t>
      </w:r>
      <w:r w:rsidR="00C704B3">
        <w:rPr>
          <w:sz w:val="24"/>
          <w:szCs w:val="24"/>
        </w:rPr>
        <w:t xml:space="preserve">averred </w:t>
      </w:r>
      <w:r w:rsidR="00683A4D">
        <w:rPr>
          <w:sz w:val="24"/>
          <w:szCs w:val="24"/>
        </w:rPr>
        <w:t xml:space="preserve">that </w:t>
      </w:r>
      <w:r w:rsidR="002D053A">
        <w:rPr>
          <w:sz w:val="24"/>
          <w:szCs w:val="24"/>
        </w:rPr>
        <w:t xml:space="preserve">he </w:t>
      </w:r>
      <w:r w:rsidR="00C704B3">
        <w:rPr>
          <w:sz w:val="24"/>
          <w:szCs w:val="24"/>
        </w:rPr>
        <w:t xml:space="preserve">ceased being a director of the company after he </w:t>
      </w:r>
      <w:r w:rsidR="00683A4D">
        <w:rPr>
          <w:sz w:val="24"/>
          <w:szCs w:val="24"/>
        </w:rPr>
        <w:t>sold</w:t>
      </w:r>
      <w:r w:rsidR="00C704B3">
        <w:rPr>
          <w:sz w:val="24"/>
          <w:szCs w:val="24"/>
        </w:rPr>
        <w:t xml:space="preserve"> the company,</w:t>
      </w:r>
      <w:r w:rsidR="00683A4D">
        <w:rPr>
          <w:sz w:val="24"/>
          <w:szCs w:val="24"/>
        </w:rPr>
        <w:t xml:space="preserve"> as</w:t>
      </w:r>
      <w:r w:rsidR="007B5544">
        <w:rPr>
          <w:sz w:val="24"/>
          <w:szCs w:val="24"/>
        </w:rPr>
        <w:t xml:space="preserve"> a</w:t>
      </w:r>
      <w:r w:rsidR="00683A4D">
        <w:rPr>
          <w:sz w:val="24"/>
          <w:szCs w:val="24"/>
        </w:rPr>
        <w:t xml:space="preserve"> going concern in December 2018, to Anele Pearl Lefuma (Lefuma)</w:t>
      </w:r>
      <w:r w:rsidR="006A0C3B">
        <w:rPr>
          <w:sz w:val="24"/>
          <w:szCs w:val="24"/>
        </w:rPr>
        <w:t xml:space="preserve">. Although the company was struggling financially, Lefuma </w:t>
      </w:r>
      <w:r w:rsidR="00683A4D">
        <w:rPr>
          <w:sz w:val="24"/>
          <w:szCs w:val="24"/>
        </w:rPr>
        <w:t>wanted to acquire the</w:t>
      </w:r>
      <w:r w:rsidR="006A0C3B">
        <w:rPr>
          <w:sz w:val="24"/>
          <w:szCs w:val="24"/>
        </w:rPr>
        <w:t xml:space="preserve"> company to use the business</w:t>
      </w:r>
      <w:r w:rsidR="00683A4D">
        <w:rPr>
          <w:sz w:val="24"/>
          <w:szCs w:val="24"/>
        </w:rPr>
        <w:t xml:space="preserve"> idea and company name</w:t>
      </w:r>
      <w:r w:rsidR="006A0C3B">
        <w:rPr>
          <w:sz w:val="24"/>
          <w:szCs w:val="24"/>
        </w:rPr>
        <w:t xml:space="preserve"> in Cape Town. They therefore concluded </w:t>
      </w:r>
      <w:r w:rsidR="002912DA">
        <w:rPr>
          <w:sz w:val="24"/>
          <w:szCs w:val="24"/>
        </w:rPr>
        <w:t>a</w:t>
      </w:r>
      <w:r w:rsidR="006A0C3B">
        <w:rPr>
          <w:sz w:val="24"/>
          <w:szCs w:val="24"/>
        </w:rPr>
        <w:t xml:space="preserve"> partly oral, partly written sale of business as a going concern agreement. </w:t>
      </w:r>
      <w:r w:rsidR="00683A4D">
        <w:rPr>
          <w:sz w:val="24"/>
          <w:szCs w:val="24"/>
        </w:rPr>
        <w:t>He</w:t>
      </w:r>
      <w:r w:rsidR="00C704B3">
        <w:rPr>
          <w:sz w:val="24"/>
          <w:szCs w:val="24"/>
        </w:rPr>
        <w:t xml:space="preserve"> submitted </w:t>
      </w:r>
      <w:r w:rsidR="00683A4D">
        <w:rPr>
          <w:sz w:val="24"/>
          <w:szCs w:val="24"/>
        </w:rPr>
        <w:t>that a material term of this sale</w:t>
      </w:r>
      <w:r w:rsidR="00D74735">
        <w:rPr>
          <w:sz w:val="24"/>
          <w:szCs w:val="24"/>
        </w:rPr>
        <w:t xml:space="preserve"> was clause 6, which provided </w:t>
      </w:r>
      <w:r w:rsidR="002912DA">
        <w:rPr>
          <w:sz w:val="24"/>
          <w:szCs w:val="24"/>
        </w:rPr>
        <w:t>for his</w:t>
      </w:r>
      <w:r w:rsidR="00D74735">
        <w:rPr>
          <w:sz w:val="24"/>
          <w:szCs w:val="24"/>
        </w:rPr>
        <w:t xml:space="preserve"> indemnification in relation to any </w:t>
      </w:r>
      <w:r w:rsidR="00683A4D">
        <w:rPr>
          <w:sz w:val="24"/>
          <w:szCs w:val="24"/>
        </w:rPr>
        <w:t>claims</w:t>
      </w:r>
      <w:r w:rsidR="00E534F5">
        <w:rPr>
          <w:sz w:val="24"/>
          <w:szCs w:val="24"/>
        </w:rPr>
        <w:t xml:space="preserve"> </w:t>
      </w:r>
      <w:r w:rsidR="006A0C3B">
        <w:rPr>
          <w:sz w:val="24"/>
          <w:szCs w:val="24"/>
        </w:rPr>
        <w:t>by</w:t>
      </w:r>
      <w:r w:rsidR="00E534F5">
        <w:rPr>
          <w:sz w:val="24"/>
          <w:szCs w:val="24"/>
        </w:rPr>
        <w:t xml:space="preserve"> Lefuma.</w:t>
      </w:r>
      <w:r w:rsidR="00C704B3">
        <w:rPr>
          <w:sz w:val="24"/>
          <w:szCs w:val="24"/>
        </w:rPr>
        <w:t xml:space="preserve"> In support of these </w:t>
      </w:r>
      <w:r w:rsidR="006A0C3B">
        <w:rPr>
          <w:sz w:val="24"/>
          <w:szCs w:val="24"/>
        </w:rPr>
        <w:t>averments,</w:t>
      </w:r>
      <w:r w:rsidR="00C704B3">
        <w:rPr>
          <w:sz w:val="24"/>
          <w:szCs w:val="24"/>
        </w:rPr>
        <w:t xml:space="preserve"> he annexed</w:t>
      </w:r>
      <w:r w:rsidR="00683A4D">
        <w:rPr>
          <w:sz w:val="24"/>
          <w:szCs w:val="24"/>
        </w:rPr>
        <w:t xml:space="preserve"> a copy of the written </w:t>
      </w:r>
      <w:r w:rsidR="006A0C3B">
        <w:rPr>
          <w:sz w:val="24"/>
          <w:szCs w:val="24"/>
        </w:rPr>
        <w:t>sale of business as a going concern agreement</w:t>
      </w:r>
      <w:r w:rsidR="00683A4D">
        <w:rPr>
          <w:sz w:val="24"/>
          <w:szCs w:val="24"/>
        </w:rPr>
        <w:t xml:space="preserve"> (the agreement) </w:t>
      </w:r>
      <w:r w:rsidR="00C704B3">
        <w:rPr>
          <w:sz w:val="24"/>
          <w:szCs w:val="24"/>
        </w:rPr>
        <w:t xml:space="preserve">to his </w:t>
      </w:r>
      <w:r w:rsidR="00683A4D">
        <w:rPr>
          <w:sz w:val="24"/>
          <w:szCs w:val="24"/>
        </w:rPr>
        <w:t>answering affidavit</w:t>
      </w:r>
      <w:r w:rsidR="006A0C3B">
        <w:rPr>
          <w:sz w:val="24"/>
          <w:szCs w:val="24"/>
        </w:rPr>
        <w:t xml:space="preserve">. </w:t>
      </w:r>
      <w:r w:rsidR="00AB492A">
        <w:rPr>
          <w:sz w:val="24"/>
          <w:szCs w:val="24"/>
        </w:rPr>
        <w:t xml:space="preserve"> </w:t>
      </w:r>
    </w:p>
    <w:p w14:paraId="6EBCFB53" w14:textId="417AEAF0" w:rsidR="00683A4D" w:rsidRDefault="002912DA" w:rsidP="009150CD">
      <w:pPr>
        <w:rPr>
          <w:b/>
          <w:sz w:val="24"/>
          <w:szCs w:val="24"/>
        </w:rPr>
      </w:pPr>
      <w:r>
        <w:rPr>
          <w:b/>
          <w:sz w:val="24"/>
          <w:szCs w:val="24"/>
        </w:rPr>
        <w:t>The i</w:t>
      </w:r>
      <w:r w:rsidR="00683A4D">
        <w:rPr>
          <w:b/>
          <w:sz w:val="24"/>
          <w:szCs w:val="24"/>
        </w:rPr>
        <w:t>ssue</w:t>
      </w:r>
      <w:r w:rsidR="00667BC2">
        <w:rPr>
          <w:b/>
          <w:sz w:val="24"/>
          <w:szCs w:val="24"/>
        </w:rPr>
        <w:t xml:space="preserve"> </w:t>
      </w:r>
    </w:p>
    <w:p w14:paraId="52F61D76" w14:textId="78FD24B7" w:rsidR="00683A4D" w:rsidRPr="00683A4D" w:rsidRDefault="00C13936" w:rsidP="009150CD">
      <w:pPr>
        <w:rPr>
          <w:sz w:val="24"/>
          <w:szCs w:val="24"/>
        </w:rPr>
      </w:pPr>
      <w:r>
        <w:rPr>
          <w:sz w:val="24"/>
          <w:szCs w:val="24"/>
        </w:rPr>
        <w:t>[10]</w:t>
      </w:r>
      <w:r>
        <w:rPr>
          <w:sz w:val="24"/>
          <w:szCs w:val="24"/>
        </w:rPr>
        <w:tab/>
      </w:r>
      <w:r w:rsidR="00683A4D">
        <w:rPr>
          <w:sz w:val="24"/>
          <w:szCs w:val="24"/>
        </w:rPr>
        <w:t xml:space="preserve">The issue for determination is whether the </w:t>
      </w:r>
      <w:r w:rsidR="002D053A">
        <w:rPr>
          <w:sz w:val="24"/>
          <w:szCs w:val="24"/>
        </w:rPr>
        <w:t xml:space="preserve">director misrepresented </w:t>
      </w:r>
      <w:r w:rsidR="0084049D">
        <w:rPr>
          <w:sz w:val="24"/>
          <w:szCs w:val="24"/>
        </w:rPr>
        <w:t xml:space="preserve">to the </w:t>
      </w:r>
      <w:r w:rsidR="00683A4D">
        <w:rPr>
          <w:sz w:val="24"/>
          <w:szCs w:val="24"/>
        </w:rPr>
        <w:t>applicant</w:t>
      </w:r>
      <w:r w:rsidR="0084049D">
        <w:rPr>
          <w:sz w:val="24"/>
          <w:szCs w:val="24"/>
        </w:rPr>
        <w:t xml:space="preserve"> that </w:t>
      </w:r>
      <w:r w:rsidR="00A76102">
        <w:rPr>
          <w:sz w:val="24"/>
          <w:szCs w:val="24"/>
        </w:rPr>
        <w:t>the motor vehicle was a 2012 Golf GT</w:t>
      </w:r>
      <w:r w:rsidR="007B5544">
        <w:rPr>
          <w:sz w:val="24"/>
          <w:szCs w:val="24"/>
        </w:rPr>
        <w:t>I</w:t>
      </w:r>
      <w:r w:rsidR="00A76102">
        <w:rPr>
          <w:sz w:val="24"/>
          <w:szCs w:val="24"/>
        </w:rPr>
        <w:t>,</w:t>
      </w:r>
      <w:r w:rsidR="002912DA">
        <w:rPr>
          <w:sz w:val="24"/>
          <w:szCs w:val="24"/>
        </w:rPr>
        <w:t xml:space="preserve"> and that such misrepresentation induced her to purchase the motor vehicle. Further, whether such misrepresentation, if established, amounted to unconscion</w:t>
      </w:r>
      <w:r w:rsidR="00667BC2">
        <w:rPr>
          <w:sz w:val="24"/>
          <w:szCs w:val="24"/>
        </w:rPr>
        <w:t>able conduct by the director entitling the applicant to the relief sought.</w:t>
      </w:r>
    </w:p>
    <w:p w14:paraId="12DE8066" w14:textId="2D1FEA3F" w:rsidR="00942724" w:rsidRDefault="00667BC2" w:rsidP="000352CB">
      <w:pPr>
        <w:rPr>
          <w:sz w:val="24"/>
          <w:szCs w:val="24"/>
        </w:rPr>
      </w:pPr>
      <w:r>
        <w:rPr>
          <w:b/>
          <w:sz w:val="24"/>
          <w:szCs w:val="24"/>
        </w:rPr>
        <w:t xml:space="preserve">Application of the </w:t>
      </w:r>
      <w:r w:rsidR="00C333A8">
        <w:rPr>
          <w:b/>
          <w:sz w:val="24"/>
          <w:szCs w:val="24"/>
        </w:rPr>
        <w:t>law</w:t>
      </w:r>
      <w:r w:rsidR="00F41892">
        <w:rPr>
          <w:sz w:val="24"/>
          <w:szCs w:val="24"/>
        </w:rPr>
        <w:t xml:space="preserve"> </w:t>
      </w:r>
    </w:p>
    <w:p w14:paraId="46B1DECC" w14:textId="117BC448" w:rsidR="008855A8" w:rsidRDefault="00C13936" w:rsidP="00955EAB">
      <w:pPr>
        <w:rPr>
          <w:sz w:val="24"/>
          <w:szCs w:val="24"/>
        </w:rPr>
      </w:pPr>
      <w:r>
        <w:rPr>
          <w:sz w:val="24"/>
          <w:szCs w:val="24"/>
        </w:rPr>
        <w:t>[11]</w:t>
      </w:r>
      <w:r>
        <w:rPr>
          <w:sz w:val="24"/>
          <w:szCs w:val="24"/>
        </w:rPr>
        <w:tab/>
      </w:r>
      <w:r w:rsidR="00667BC2">
        <w:rPr>
          <w:sz w:val="24"/>
          <w:szCs w:val="24"/>
        </w:rPr>
        <w:t>It is trite that a</w:t>
      </w:r>
      <w:r w:rsidR="00C64F26">
        <w:rPr>
          <w:sz w:val="24"/>
          <w:szCs w:val="24"/>
        </w:rPr>
        <w:t xml:space="preserve"> company is a juristic entity that is</w:t>
      </w:r>
      <w:r w:rsidR="00667BC2">
        <w:rPr>
          <w:sz w:val="24"/>
          <w:szCs w:val="24"/>
        </w:rPr>
        <w:t xml:space="preserve"> separate and </w:t>
      </w:r>
      <w:r w:rsidR="00C64F26">
        <w:rPr>
          <w:sz w:val="24"/>
          <w:szCs w:val="24"/>
        </w:rPr>
        <w:t>distinct</w:t>
      </w:r>
      <w:r w:rsidR="00D87276">
        <w:rPr>
          <w:sz w:val="24"/>
          <w:szCs w:val="24"/>
        </w:rPr>
        <w:t xml:space="preserve"> </w:t>
      </w:r>
      <w:r w:rsidR="00C64F26">
        <w:rPr>
          <w:sz w:val="24"/>
          <w:szCs w:val="24"/>
        </w:rPr>
        <w:t>from its shareholders.</w:t>
      </w:r>
      <w:r w:rsidR="00D87276">
        <w:rPr>
          <w:sz w:val="24"/>
          <w:szCs w:val="24"/>
        </w:rPr>
        <w:t xml:space="preserve"> </w:t>
      </w:r>
      <w:r w:rsidR="00B95B99">
        <w:rPr>
          <w:sz w:val="24"/>
          <w:szCs w:val="24"/>
        </w:rPr>
        <w:t xml:space="preserve">As a juristic entity, a company can acquire enforceable rights and incur legal duties. The debts of company cannot be regarded as debts of its shareholders or directors. </w:t>
      </w:r>
      <w:r w:rsidR="00D87276">
        <w:rPr>
          <w:sz w:val="24"/>
          <w:szCs w:val="24"/>
        </w:rPr>
        <w:t>The directors of a company ad</w:t>
      </w:r>
      <w:r w:rsidR="00B95B99">
        <w:rPr>
          <w:sz w:val="24"/>
          <w:szCs w:val="24"/>
        </w:rPr>
        <w:t>minister and manage the company, subject to their common law and statutory fiduciary obligations.</w:t>
      </w:r>
    </w:p>
    <w:p w14:paraId="6CF32B6D" w14:textId="167CBF68" w:rsidR="00A76102" w:rsidRPr="003233F2" w:rsidRDefault="00C13936" w:rsidP="000F0532">
      <w:pPr>
        <w:spacing w:after="120"/>
        <w:rPr>
          <w:sz w:val="24"/>
          <w:szCs w:val="24"/>
        </w:rPr>
      </w:pPr>
      <w:r>
        <w:rPr>
          <w:sz w:val="24"/>
          <w:szCs w:val="24"/>
        </w:rPr>
        <w:t>[12]</w:t>
      </w:r>
      <w:r>
        <w:rPr>
          <w:sz w:val="24"/>
          <w:szCs w:val="24"/>
        </w:rPr>
        <w:tab/>
      </w:r>
      <w:r w:rsidR="00A76102">
        <w:rPr>
          <w:sz w:val="24"/>
          <w:szCs w:val="24"/>
        </w:rPr>
        <w:t xml:space="preserve">A director’s fiduciary obligations have </w:t>
      </w:r>
      <w:r w:rsidR="00030301">
        <w:rPr>
          <w:sz w:val="24"/>
          <w:szCs w:val="24"/>
        </w:rPr>
        <w:t xml:space="preserve">been partially </w:t>
      </w:r>
      <w:r w:rsidR="00A76102">
        <w:rPr>
          <w:sz w:val="24"/>
          <w:szCs w:val="24"/>
        </w:rPr>
        <w:t xml:space="preserve">codified by the Act. </w:t>
      </w:r>
      <w:r w:rsidR="00A76102" w:rsidRPr="003233F2">
        <w:rPr>
          <w:sz w:val="24"/>
          <w:szCs w:val="24"/>
        </w:rPr>
        <w:t>Section 76(3) of the Act states:</w:t>
      </w:r>
    </w:p>
    <w:p w14:paraId="47D5E7FD" w14:textId="166FE225" w:rsidR="00A76102" w:rsidRPr="003233F2" w:rsidRDefault="00A76102" w:rsidP="000F0532">
      <w:pPr>
        <w:spacing w:after="120"/>
        <w:rPr>
          <w:i/>
          <w:sz w:val="22"/>
        </w:rPr>
      </w:pPr>
      <w:r w:rsidRPr="003233F2">
        <w:rPr>
          <w:sz w:val="24"/>
          <w:szCs w:val="24"/>
        </w:rPr>
        <w:t xml:space="preserve"> </w:t>
      </w:r>
      <w:r>
        <w:rPr>
          <w:i/>
          <w:sz w:val="22"/>
        </w:rPr>
        <w:t>‘</w:t>
      </w:r>
      <w:r w:rsidRPr="003233F2">
        <w:rPr>
          <w:i/>
          <w:sz w:val="22"/>
        </w:rPr>
        <w:t>(3)</w:t>
      </w:r>
      <w:r w:rsidR="00667BC2">
        <w:rPr>
          <w:i/>
          <w:sz w:val="22"/>
        </w:rPr>
        <w:t xml:space="preserve"> …</w:t>
      </w:r>
      <w:r w:rsidRPr="003233F2">
        <w:rPr>
          <w:i/>
          <w:sz w:val="22"/>
        </w:rPr>
        <w:t xml:space="preserve"> a director of a company, when acting in that capacity, must exercise the powers and perform the functions of director:</w:t>
      </w:r>
    </w:p>
    <w:p w14:paraId="7431A442" w14:textId="77777777" w:rsidR="00A76102" w:rsidRPr="003233F2" w:rsidRDefault="00A76102" w:rsidP="000F0532">
      <w:pPr>
        <w:pStyle w:val="ListParagraph"/>
        <w:numPr>
          <w:ilvl w:val="0"/>
          <w:numId w:val="51"/>
        </w:numPr>
        <w:spacing w:after="120"/>
        <w:rPr>
          <w:i/>
          <w:sz w:val="22"/>
        </w:rPr>
      </w:pPr>
      <w:r w:rsidRPr="003233F2">
        <w:rPr>
          <w:i/>
          <w:sz w:val="22"/>
        </w:rPr>
        <w:t>in good faith and for a proper purpose;</w:t>
      </w:r>
    </w:p>
    <w:p w14:paraId="2F775F87" w14:textId="77777777" w:rsidR="00A76102" w:rsidRPr="003233F2" w:rsidRDefault="00A76102" w:rsidP="00A76102">
      <w:pPr>
        <w:pStyle w:val="ListParagraph"/>
        <w:numPr>
          <w:ilvl w:val="0"/>
          <w:numId w:val="51"/>
        </w:numPr>
        <w:rPr>
          <w:i/>
          <w:sz w:val="22"/>
        </w:rPr>
      </w:pPr>
      <w:r w:rsidRPr="003233F2">
        <w:rPr>
          <w:i/>
          <w:sz w:val="22"/>
        </w:rPr>
        <w:t xml:space="preserve">in the best interests of the company; and </w:t>
      </w:r>
    </w:p>
    <w:p w14:paraId="11989916" w14:textId="77777777" w:rsidR="00A76102" w:rsidRPr="003233F2" w:rsidRDefault="00A76102" w:rsidP="00A76102">
      <w:pPr>
        <w:pStyle w:val="ListParagraph"/>
        <w:numPr>
          <w:ilvl w:val="0"/>
          <w:numId w:val="51"/>
        </w:numPr>
        <w:rPr>
          <w:i/>
          <w:sz w:val="22"/>
        </w:rPr>
      </w:pPr>
      <w:r w:rsidRPr="003233F2">
        <w:rPr>
          <w:i/>
          <w:sz w:val="22"/>
        </w:rPr>
        <w:t>with the degree of care, skill and diligence that may reasonably be expected of a person—</w:t>
      </w:r>
    </w:p>
    <w:p w14:paraId="263588B5" w14:textId="77777777" w:rsidR="00A76102" w:rsidRPr="003233F2" w:rsidRDefault="00A76102" w:rsidP="00A76102">
      <w:pPr>
        <w:pStyle w:val="ListParagraph"/>
        <w:numPr>
          <w:ilvl w:val="0"/>
          <w:numId w:val="52"/>
        </w:numPr>
        <w:rPr>
          <w:i/>
          <w:sz w:val="22"/>
        </w:rPr>
      </w:pPr>
      <w:r w:rsidRPr="003233F2">
        <w:rPr>
          <w:i/>
          <w:sz w:val="22"/>
        </w:rPr>
        <w:t xml:space="preserve">carrying out the same functions in relation to the company as those carried out by that director; and </w:t>
      </w:r>
    </w:p>
    <w:p w14:paraId="6ECA4591" w14:textId="77777777" w:rsidR="00A76102" w:rsidRPr="003233F2" w:rsidRDefault="00A76102" w:rsidP="00A76102">
      <w:pPr>
        <w:pStyle w:val="ListParagraph"/>
        <w:numPr>
          <w:ilvl w:val="0"/>
          <w:numId w:val="52"/>
        </w:numPr>
        <w:rPr>
          <w:i/>
          <w:sz w:val="22"/>
        </w:rPr>
      </w:pPr>
      <w:r w:rsidRPr="003233F2">
        <w:rPr>
          <w:i/>
          <w:sz w:val="22"/>
        </w:rPr>
        <w:t>having the general knowledge, skill and experience of that director.</w:t>
      </w:r>
      <w:r>
        <w:rPr>
          <w:i/>
          <w:sz w:val="22"/>
        </w:rPr>
        <w:t>’</w:t>
      </w:r>
    </w:p>
    <w:p w14:paraId="7CF07615" w14:textId="33A3B835" w:rsidR="00955EAB" w:rsidRPr="000429D8" w:rsidRDefault="00C13936" w:rsidP="000F0532">
      <w:pPr>
        <w:spacing w:after="120"/>
        <w:rPr>
          <w:sz w:val="24"/>
          <w:szCs w:val="24"/>
        </w:rPr>
      </w:pPr>
      <w:r>
        <w:rPr>
          <w:sz w:val="24"/>
          <w:szCs w:val="24"/>
        </w:rPr>
        <w:t>[13]</w:t>
      </w:r>
      <w:r>
        <w:rPr>
          <w:sz w:val="24"/>
          <w:szCs w:val="24"/>
        </w:rPr>
        <w:tab/>
      </w:r>
      <w:r w:rsidR="009919F5">
        <w:rPr>
          <w:sz w:val="24"/>
          <w:szCs w:val="24"/>
        </w:rPr>
        <w:t>Section</w:t>
      </w:r>
      <w:r w:rsidR="00955EAB" w:rsidRPr="000429D8">
        <w:rPr>
          <w:sz w:val="24"/>
          <w:szCs w:val="24"/>
        </w:rPr>
        <w:t xml:space="preserve"> 20(9) </w:t>
      </w:r>
      <w:r w:rsidR="00955EAB">
        <w:rPr>
          <w:sz w:val="24"/>
          <w:szCs w:val="24"/>
        </w:rPr>
        <w:t xml:space="preserve">of the Act </w:t>
      </w:r>
      <w:r w:rsidR="00955EAB" w:rsidRPr="000429D8">
        <w:rPr>
          <w:sz w:val="24"/>
          <w:szCs w:val="24"/>
        </w:rPr>
        <w:t xml:space="preserve">provides the </w:t>
      </w:r>
      <w:r w:rsidR="00955EAB">
        <w:rPr>
          <w:sz w:val="24"/>
          <w:szCs w:val="24"/>
        </w:rPr>
        <w:t xml:space="preserve">court </w:t>
      </w:r>
      <w:r w:rsidR="00955EAB" w:rsidRPr="000429D8">
        <w:rPr>
          <w:sz w:val="24"/>
          <w:szCs w:val="24"/>
        </w:rPr>
        <w:t>with a statutory discretion to pierce the corporate veil.</w:t>
      </w:r>
      <w:r w:rsidR="00955EAB">
        <w:rPr>
          <w:sz w:val="24"/>
          <w:szCs w:val="24"/>
        </w:rPr>
        <w:t xml:space="preserve"> It provides as follows</w:t>
      </w:r>
      <w:r w:rsidR="00955EAB" w:rsidRPr="000429D8">
        <w:rPr>
          <w:sz w:val="24"/>
          <w:szCs w:val="24"/>
        </w:rPr>
        <w:t>:</w:t>
      </w:r>
    </w:p>
    <w:p w14:paraId="2FEF0A34" w14:textId="77777777" w:rsidR="00955EAB" w:rsidRPr="00955EAB" w:rsidRDefault="00955EAB" w:rsidP="000F0532">
      <w:pPr>
        <w:spacing w:after="120"/>
        <w:rPr>
          <w:i/>
          <w:sz w:val="22"/>
        </w:rPr>
      </w:pPr>
      <w:r w:rsidRPr="000429D8">
        <w:rPr>
          <w:sz w:val="24"/>
          <w:szCs w:val="24"/>
        </w:rPr>
        <w:t>‘</w:t>
      </w:r>
      <w:r w:rsidRPr="00955EAB">
        <w:rPr>
          <w:i/>
          <w:sz w:val="22"/>
        </w:rPr>
        <w:t xml:space="preserve">If, on application by an interested person or in any proceedings in which a company is involved, a court finds that the incorporation of the company, any use of the company, or any act by or on behalf of the company, constitutes an unconscionable abuse of the juristic personality of the company as a separate entity, the court may- </w:t>
      </w:r>
    </w:p>
    <w:p w14:paraId="00672910" w14:textId="77777777" w:rsidR="00955EAB" w:rsidRPr="00955EAB" w:rsidRDefault="00955EAB" w:rsidP="000F0532">
      <w:pPr>
        <w:spacing w:after="120"/>
        <w:rPr>
          <w:i/>
          <w:sz w:val="22"/>
        </w:rPr>
      </w:pPr>
      <w:r w:rsidRPr="00955EAB">
        <w:rPr>
          <w:i/>
          <w:sz w:val="22"/>
        </w:rPr>
        <w:t xml:space="preserve">(a) declare that the company is to be deemed not to be a juristic person in respect of any right, obligation or liability of the company or of a shareholder of the company or, in the case of a non-profit company, a member of the company, or of another person specified in the declaration; and </w:t>
      </w:r>
    </w:p>
    <w:p w14:paraId="109EF8D2" w14:textId="77777777" w:rsidR="00955EAB" w:rsidRPr="000429D8" w:rsidRDefault="00955EAB" w:rsidP="00955EAB">
      <w:pPr>
        <w:rPr>
          <w:sz w:val="24"/>
          <w:szCs w:val="24"/>
        </w:rPr>
      </w:pPr>
      <w:r w:rsidRPr="00955EAB">
        <w:rPr>
          <w:i/>
          <w:sz w:val="22"/>
        </w:rPr>
        <w:t>(b) make any further order the court considers appropriate to give effect to a declaration contemplated in paragraph (a).</w:t>
      </w:r>
      <w:r w:rsidRPr="000429D8">
        <w:rPr>
          <w:sz w:val="24"/>
          <w:szCs w:val="24"/>
        </w:rPr>
        <w:t>’</w:t>
      </w:r>
    </w:p>
    <w:p w14:paraId="7D88B352" w14:textId="36926E14" w:rsidR="00955EAB" w:rsidRDefault="00C13936" w:rsidP="000F0532">
      <w:pPr>
        <w:spacing w:after="120"/>
        <w:rPr>
          <w:sz w:val="24"/>
          <w:szCs w:val="24"/>
        </w:rPr>
      </w:pPr>
      <w:r>
        <w:rPr>
          <w:sz w:val="24"/>
          <w:szCs w:val="24"/>
        </w:rPr>
        <w:t>[14]</w:t>
      </w:r>
      <w:r>
        <w:rPr>
          <w:sz w:val="24"/>
          <w:szCs w:val="24"/>
        </w:rPr>
        <w:tab/>
      </w:r>
      <w:r w:rsidR="00311036">
        <w:rPr>
          <w:sz w:val="24"/>
          <w:szCs w:val="24"/>
        </w:rPr>
        <w:t>T</w:t>
      </w:r>
      <w:r w:rsidR="00FC17C2" w:rsidRPr="000429D8">
        <w:rPr>
          <w:sz w:val="24"/>
          <w:szCs w:val="24"/>
        </w:rPr>
        <w:t xml:space="preserve">he requirement for piercing the corporate veil under section 20(9) of the </w:t>
      </w:r>
      <w:r w:rsidR="00A76102" w:rsidRPr="000429D8">
        <w:rPr>
          <w:sz w:val="24"/>
          <w:szCs w:val="24"/>
        </w:rPr>
        <w:t>Act</w:t>
      </w:r>
      <w:r w:rsidR="00FC17C2" w:rsidRPr="000429D8">
        <w:rPr>
          <w:sz w:val="24"/>
          <w:szCs w:val="24"/>
        </w:rPr>
        <w:t xml:space="preserve"> </w:t>
      </w:r>
      <w:r w:rsidR="00FC17C2">
        <w:rPr>
          <w:sz w:val="24"/>
          <w:szCs w:val="24"/>
        </w:rPr>
        <w:t xml:space="preserve">is </w:t>
      </w:r>
      <w:r w:rsidR="00FC17C2" w:rsidRPr="000429D8">
        <w:rPr>
          <w:sz w:val="24"/>
          <w:szCs w:val="24"/>
        </w:rPr>
        <w:t xml:space="preserve">the </w:t>
      </w:r>
      <w:r w:rsidR="00311036" w:rsidRPr="000429D8">
        <w:rPr>
          <w:sz w:val="24"/>
          <w:szCs w:val="24"/>
        </w:rPr>
        <w:t xml:space="preserve">unconscionable </w:t>
      </w:r>
      <w:r w:rsidR="00FC17C2" w:rsidRPr="000429D8">
        <w:rPr>
          <w:sz w:val="24"/>
          <w:szCs w:val="24"/>
        </w:rPr>
        <w:t>abuse of the juristic personality of a company as a separate legal entity</w:t>
      </w:r>
      <w:r w:rsidR="00311036">
        <w:rPr>
          <w:sz w:val="24"/>
          <w:szCs w:val="24"/>
        </w:rPr>
        <w:t>.</w:t>
      </w:r>
      <w:r>
        <w:rPr>
          <w:sz w:val="24"/>
          <w:szCs w:val="24"/>
        </w:rPr>
        <w:t xml:space="preserve"> </w:t>
      </w:r>
      <w:r w:rsidR="009919F5">
        <w:rPr>
          <w:sz w:val="24"/>
          <w:szCs w:val="24"/>
        </w:rPr>
        <w:t>The locus classicus on s</w:t>
      </w:r>
      <w:r w:rsidR="00683A4D">
        <w:rPr>
          <w:sz w:val="24"/>
          <w:szCs w:val="24"/>
        </w:rPr>
        <w:t xml:space="preserve"> </w:t>
      </w:r>
      <w:r w:rsidR="009919F5">
        <w:rPr>
          <w:sz w:val="24"/>
          <w:szCs w:val="24"/>
        </w:rPr>
        <w:t>20(9) is</w:t>
      </w:r>
      <w:r w:rsidR="00A76102">
        <w:rPr>
          <w:sz w:val="24"/>
          <w:szCs w:val="24"/>
        </w:rPr>
        <w:t xml:space="preserve"> the judgment by Binns-Ward J in the case of </w:t>
      </w:r>
      <w:r w:rsidR="007130EC">
        <w:rPr>
          <w:i/>
          <w:sz w:val="24"/>
          <w:szCs w:val="24"/>
        </w:rPr>
        <w:t>Ex parte Gore</w:t>
      </w:r>
      <w:r w:rsidR="00A76102">
        <w:rPr>
          <w:i/>
          <w:sz w:val="24"/>
          <w:szCs w:val="24"/>
        </w:rPr>
        <w:t>.</w:t>
      </w:r>
      <w:r w:rsidR="007130EC" w:rsidRPr="007130EC">
        <w:rPr>
          <w:rStyle w:val="FootnoteReference"/>
          <w:rFonts w:ascii="Arial" w:hAnsi="Arial"/>
          <w:sz w:val="20"/>
        </w:rPr>
        <w:footnoteReference w:id="2"/>
      </w:r>
      <w:r w:rsidR="007130EC">
        <w:rPr>
          <w:sz w:val="24"/>
          <w:szCs w:val="24"/>
        </w:rPr>
        <w:t xml:space="preserve"> </w:t>
      </w:r>
      <w:r w:rsidR="00A76102">
        <w:rPr>
          <w:sz w:val="24"/>
          <w:szCs w:val="24"/>
        </w:rPr>
        <w:t xml:space="preserve">Although lengthy, the following </w:t>
      </w:r>
      <w:r w:rsidR="00BB5952">
        <w:rPr>
          <w:sz w:val="24"/>
          <w:szCs w:val="24"/>
        </w:rPr>
        <w:t>dictum from this judgment</w:t>
      </w:r>
      <w:r w:rsidR="00667BC2">
        <w:rPr>
          <w:sz w:val="24"/>
          <w:szCs w:val="24"/>
        </w:rPr>
        <w:t xml:space="preserve"> </w:t>
      </w:r>
      <w:r w:rsidR="00BB5952">
        <w:rPr>
          <w:sz w:val="24"/>
          <w:szCs w:val="24"/>
        </w:rPr>
        <w:t>is apposite</w:t>
      </w:r>
      <w:r w:rsidR="00667BC2">
        <w:rPr>
          <w:sz w:val="24"/>
          <w:szCs w:val="24"/>
        </w:rPr>
        <w:t>. I</w:t>
      </w:r>
      <w:r w:rsidR="00BB5952">
        <w:rPr>
          <w:sz w:val="24"/>
          <w:szCs w:val="24"/>
        </w:rPr>
        <w:t>t traverses all the key issues relevant to this matter. At para 34 the court held</w:t>
      </w:r>
      <w:r w:rsidR="00FC17C2">
        <w:rPr>
          <w:sz w:val="24"/>
          <w:szCs w:val="24"/>
        </w:rPr>
        <w:t>:</w:t>
      </w:r>
    </w:p>
    <w:p w14:paraId="00545378" w14:textId="77777777" w:rsidR="00FC17C2" w:rsidRPr="00FC17C2" w:rsidRDefault="00362887" w:rsidP="000F0532">
      <w:pPr>
        <w:shd w:val="clear" w:color="auto" w:fill="FFFFFF"/>
        <w:spacing w:after="120"/>
        <w:rPr>
          <w:sz w:val="22"/>
          <w:lang w:eastAsia="en-ZA"/>
        </w:rPr>
      </w:pPr>
      <w:r>
        <w:rPr>
          <w:sz w:val="22"/>
          <w:lang w:eastAsia="en-ZA"/>
        </w:rPr>
        <w:t>‘</w:t>
      </w:r>
      <w:r w:rsidR="00FC17C2" w:rsidRPr="00BB5952">
        <w:rPr>
          <w:i/>
          <w:sz w:val="22"/>
          <w:lang w:eastAsia="en-ZA"/>
        </w:rPr>
        <w:t>The newly introduced statutory provision affords a firm, albeit very flexibly defined, basis for the remedy, which will inevitably operate, I think, to erode the foundation of the philosophy that piercing the corporate veil should be approached with an </w:t>
      </w:r>
      <w:r w:rsidR="00FC17C2" w:rsidRPr="00BB5952">
        <w:rPr>
          <w:i/>
          <w:iCs/>
          <w:sz w:val="22"/>
          <w:lang w:eastAsia="en-ZA"/>
        </w:rPr>
        <w:t>à priori</w:t>
      </w:r>
      <w:r w:rsidR="00FC17C2" w:rsidRPr="00BB5952">
        <w:rPr>
          <w:i/>
          <w:sz w:val="22"/>
          <w:lang w:eastAsia="en-ZA"/>
        </w:rPr>
        <w:t> diffidence.</w:t>
      </w:r>
      <w:r w:rsidR="00FC17C2" w:rsidRPr="00FC17C2">
        <w:rPr>
          <w:sz w:val="22"/>
          <w:lang w:eastAsia="en-ZA"/>
        </w:rPr>
        <w:t xml:space="preserve"> </w:t>
      </w:r>
      <w:r w:rsidR="00FC17C2" w:rsidRPr="00BB5952">
        <w:rPr>
          <w:i/>
          <w:sz w:val="22"/>
          <w:lang w:eastAsia="en-ZA"/>
        </w:rPr>
        <w:t>By expressly establishing its availability simply when the facts of a case justify it, the provision detracts from the notion that the remedy should be regarded as exceptional, or ‘drastic’. This much seems to be underscored by the choice of the words ‘</w:t>
      </w:r>
      <w:r w:rsidR="00FC17C2" w:rsidRPr="00BB5952">
        <w:rPr>
          <w:i/>
          <w:iCs/>
          <w:sz w:val="22"/>
          <w:lang w:eastAsia="en-ZA"/>
        </w:rPr>
        <w:t>unconscionable abuse</w:t>
      </w:r>
      <w:r w:rsidR="00FC17C2" w:rsidRPr="00BB5952">
        <w:rPr>
          <w:i/>
          <w:sz w:val="22"/>
          <w:lang w:eastAsia="en-ZA"/>
        </w:rPr>
        <w:t>’ in preference to the term ‘</w:t>
      </w:r>
      <w:r w:rsidR="00FC17C2" w:rsidRPr="00BB5952">
        <w:rPr>
          <w:i/>
          <w:iCs/>
          <w:sz w:val="22"/>
          <w:lang w:eastAsia="en-ZA"/>
        </w:rPr>
        <w:t>gross abuse</w:t>
      </w:r>
      <w:r w:rsidR="00FC17C2" w:rsidRPr="00BB5952">
        <w:rPr>
          <w:i/>
          <w:sz w:val="22"/>
          <w:lang w:eastAsia="en-ZA"/>
        </w:rPr>
        <w:t>’ employed in the equivalent provision of the</w:t>
      </w:r>
      <w:r w:rsidRPr="00BB5952">
        <w:rPr>
          <w:i/>
          <w:sz w:val="22"/>
          <w:lang w:eastAsia="en-ZA"/>
        </w:rPr>
        <w:t xml:space="preserve"> Close Corporations Act; the</w:t>
      </w:r>
      <w:r w:rsidR="00FC17C2" w:rsidRPr="00BB5952">
        <w:rPr>
          <w:i/>
          <w:sz w:val="22"/>
          <w:lang w:eastAsia="en-ZA"/>
        </w:rPr>
        <w:t> latter term having a more extreme connotation than the former. The term ‘unconscionable abuse of the juristic personality of a company’ postulates conduct in relation to the formation and use of companies diverse enough to cover all the descriptive terms like ‘sham’, ‘device’, ‘stratagem’ and the like used in that connection in the earlier cases,</w:t>
      </w:r>
      <w:r w:rsidR="00FC17C2" w:rsidRPr="00FC17C2">
        <w:rPr>
          <w:sz w:val="22"/>
          <w:lang w:eastAsia="en-ZA"/>
        </w:rPr>
        <w:t xml:space="preserve"> </w:t>
      </w:r>
      <w:r w:rsidR="00FC17C2" w:rsidRPr="00BB5952">
        <w:rPr>
          <w:i/>
          <w:sz w:val="22"/>
          <w:lang w:eastAsia="en-ZA"/>
        </w:rPr>
        <w:t>and - as the current case illustrates - conceivably much more.</w:t>
      </w:r>
      <w:r w:rsidR="00FC17C2" w:rsidRPr="00FC17C2">
        <w:rPr>
          <w:sz w:val="22"/>
          <w:lang w:eastAsia="en-ZA"/>
        </w:rPr>
        <w:t xml:space="preserve"> </w:t>
      </w:r>
      <w:r w:rsidR="00FC17C2" w:rsidRPr="00BB5952">
        <w:rPr>
          <w:i/>
          <w:sz w:val="22"/>
          <w:lang w:eastAsia="en-ZA"/>
        </w:rPr>
        <w:t>The provision brings about that a remedy can be provided whenever the illegitimate use of the concept of juristic personality adversely affects a third party in a way that reasonably should not be countenanced. Having regard to the established predisposition against categorisation in this area of the law and the elusiveness of a convincing definition of the pertinent common law principles, it seems that it would be appropriate to regard</w:t>
      </w:r>
      <w:r w:rsidRPr="00BB5952">
        <w:rPr>
          <w:i/>
          <w:sz w:val="22"/>
          <w:lang w:eastAsia="en-ZA"/>
        </w:rPr>
        <w:t xml:space="preserve"> s 20(9)</w:t>
      </w:r>
      <w:r w:rsidR="00FC17C2" w:rsidRPr="00BB5952">
        <w:rPr>
          <w:i/>
          <w:sz w:val="22"/>
          <w:lang w:eastAsia="en-ZA"/>
        </w:rPr>
        <w:t> of the</w:t>
      </w:r>
      <w:r w:rsidRPr="00BB5952">
        <w:rPr>
          <w:i/>
          <w:sz w:val="22"/>
          <w:lang w:eastAsia="en-ZA"/>
        </w:rPr>
        <w:t xml:space="preserve"> Companies Act as</w:t>
      </w:r>
      <w:r w:rsidR="00FC17C2" w:rsidRPr="00BB5952">
        <w:rPr>
          <w:i/>
          <w:sz w:val="22"/>
          <w:lang w:eastAsia="en-ZA"/>
        </w:rPr>
        <w:t> supplemental to the common law, rather than substitutive. The unqualified availability of the remedy in terms of the statutory provision also militates against an approach that it should be granted only in the absence of any alternative remedy. Paragraph (b) of the subsection affords the court the very widest of powers to grant consequential relief. An order made in terms of paragraph (b) will always have the effect, however, of fixing the right, obligation or liability in issue of the company somewhere else.</w:t>
      </w:r>
      <w:r>
        <w:rPr>
          <w:sz w:val="22"/>
          <w:lang w:eastAsia="en-ZA"/>
        </w:rPr>
        <w:t>’</w:t>
      </w:r>
      <w:r w:rsidRPr="00362887">
        <w:rPr>
          <w:rStyle w:val="FootnoteReference"/>
          <w:rFonts w:ascii="Arial" w:hAnsi="Arial"/>
          <w:sz w:val="20"/>
          <w:lang w:eastAsia="en-ZA"/>
        </w:rPr>
        <w:footnoteReference w:id="3"/>
      </w:r>
      <w:r w:rsidR="00FC17C2" w:rsidRPr="00FC17C2">
        <w:rPr>
          <w:sz w:val="22"/>
          <w:lang w:eastAsia="en-ZA"/>
        </w:rPr>
        <w:t xml:space="preserve"> </w:t>
      </w:r>
    </w:p>
    <w:p w14:paraId="3E12CDAE" w14:textId="4419A21E" w:rsidR="00C81A15" w:rsidRDefault="00C13936" w:rsidP="00C81A15">
      <w:pPr>
        <w:rPr>
          <w:sz w:val="24"/>
          <w:szCs w:val="24"/>
        </w:rPr>
      </w:pPr>
      <w:r>
        <w:rPr>
          <w:sz w:val="24"/>
          <w:szCs w:val="24"/>
        </w:rPr>
        <w:t>[15]</w:t>
      </w:r>
      <w:r>
        <w:rPr>
          <w:sz w:val="24"/>
          <w:szCs w:val="24"/>
        </w:rPr>
        <w:tab/>
      </w:r>
      <w:r w:rsidR="00C81A15">
        <w:rPr>
          <w:sz w:val="24"/>
          <w:szCs w:val="24"/>
        </w:rPr>
        <w:t xml:space="preserve">The nub of the applicant’s contention </w:t>
      </w:r>
      <w:r w:rsidR="007E40DD">
        <w:rPr>
          <w:sz w:val="24"/>
          <w:szCs w:val="24"/>
        </w:rPr>
        <w:t xml:space="preserve">in support of the application is the director’s misrepresentation of </w:t>
      </w:r>
      <w:r w:rsidR="00C81A15">
        <w:rPr>
          <w:sz w:val="24"/>
          <w:szCs w:val="24"/>
        </w:rPr>
        <w:t>the details of the motor vehicle that induced</w:t>
      </w:r>
      <w:r w:rsidR="007E40DD">
        <w:rPr>
          <w:sz w:val="24"/>
          <w:szCs w:val="24"/>
        </w:rPr>
        <w:t xml:space="preserve"> her</w:t>
      </w:r>
      <w:r w:rsidR="00C81A15">
        <w:rPr>
          <w:sz w:val="24"/>
          <w:szCs w:val="24"/>
        </w:rPr>
        <w:t xml:space="preserve"> to purchase </w:t>
      </w:r>
      <w:r w:rsidR="007E40DD">
        <w:rPr>
          <w:sz w:val="24"/>
          <w:szCs w:val="24"/>
        </w:rPr>
        <w:t xml:space="preserve">it thereby </w:t>
      </w:r>
      <w:r w:rsidR="00C81A15">
        <w:rPr>
          <w:sz w:val="24"/>
          <w:szCs w:val="24"/>
        </w:rPr>
        <w:t xml:space="preserve">resulting in </w:t>
      </w:r>
      <w:r w:rsidR="007E40DD">
        <w:rPr>
          <w:sz w:val="24"/>
          <w:szCs w:val="24"/>
        </w:rPr>
        <w:t xml:space="preserve">her </w:t>
      </w:r>
      <w:r w:rsidR="00C81A15">
        <w:rPr>
          <w:sz w:val="24"/>
          <w:szCs w:val="24"/>
        </w:rPr>
        <w:t>loss of R177 560. The applicant contends that the director’s misrepresentation was deliberate such that it amounted to fraud, alternatively dishonesty, further alternatively improper conduct.</w:t>
      </w:r>
    </w:p>
    <w:p w14:paraId="4D49A5A3" w14:textId="68EBBBA9" w:rsidR="003035F1" w:rsidRDefault="00130DB5" w:rsidP="00C81A15">
      <w:pPr>
        <w:rPr>
          <w:sz w:val="24"/>
          <w:szCs w:val="24"/>
        </w:rPr>
      </w:pPr>
      <w:r>
        <w:rPr>
          <w:sz w:val="24"/>
          <w:szCs w:val="24"/>
        </w:rPr>
        <w:t>[16]</w:t>
      </w:r>
      <w:r>
        <w:rPr>
          <w:sz w:val="24"/>
          <w:szCs w:val="24"/>
        </w:rPr>
        <w:tab/>
      </w:r>
      <w:r w:rsidR="003035F1">
        <w:rPr>
          <w:sz w:val="24"/>
          <w:szCs w:val="24"/>
        </w:rPr>
        <w:t>It is common cause that the company</w:t>
      </w:r>
      <w:r w:rsidR="00F7689B">
        <w:rPr>
          <w:sz w:val="24"/>
          <w:szCs w:val="24"/>
        </w:rPr>
        <w:t xml:space="preserve"> has not discharged</w:t>
      </w:r>
      <w:r w:rsidR="00667BC2">
        <w:rPr>
          <w:sz w:val="24"/>
          <w:szCs w:val="24"/>
        </w:rPr>
        <w:t xml:space="preserve"> or settled </w:t>
      </w:r>
      <w:r w:rsidR="00F7689B">
        <w:rPr>
          <w:sz w:val="24"/>
          <w:szCs w:val="24"/>
        </w:rPr>
        <w:t>the judgment. The</w:t>
      </w:r>
      <w:r w:rsidR="00F914A9">
        <w:rPr>
          <w:sz w:val="24"/>
          <w:szCs w:val="24"/>
        </w:rPr>
        <w:t xml:space="preserve"> company’s </w:t>
      </w:r>
      <w:r w:rsidR="00F7689B">
        <w:rPr>
          <w:sz w:val="24"/>
          <w:szCs w:val="24"/>
        </w:rPr>
        <w:t>latest</w:t>
      </w:r>
      <w:r w:rsidR="00F914A9">
        <w:rPr>
          <w:sz w:val="24"/>
          <w:szCs w:val="24"/>
        </w:rPr>
        <w:t xml:space="preserve"> registered and business </w:t>
      </w:r>
      <w:r w:rsidR="00F7689B">
        <w:rPr>
          <w:sz w:val="24"/>
          <w:szCs w:val="24"/>
        </w:rPr>
        <w:t>address</w:t>
      </w:r>
      <w:r w:rsidR="00BB5952">
        <w:rPr>
          <w:sz w:val="24"/>
          <w:szCs w:val="24"/>
        </w:rPr>
        <w:t xml:space="preserve"> is in Cape Town and t</w:t>
      </w:r>
      <w:r w:rsidR="00F914A9">
        <w:rPr>
          <w:sz w:val="24"/>
          <w:szCs w:val="24"/>
        </w:rPr>
        <w:t>he sheriff has reported</w:t>
      </w:r>
      <w:r w:rsidR="009166F0">
        <w:rPr>
          <w:sz w:val="24"/>
          <w:szCs w:val="24"/>
        </w:rPr>
        <w:t xml:space="preserve"> that he is unable to execute against the company at</w:t>
      </w:r>
      <w:r w:rsidR="00FB6B53">
        <w:rPr>
          <w:sz w:val="24"/>
          <w:szCs w:val="24"/>
        </w:rPr>
        <w:t xml:space="preserve"> this </w:t>
      </w:r>
      <w:r w:rsidR="009166F0">
        <w:rPr>
          <w:sz w:val="24"/>
          <w:szCs w:val="24"/>
        </w:rPr>
        <w:t>business address because it does not exist, alternatively the sheriff is unable to locate the address.</w:t>
      </w:r>
    </w:p>
    <w:p w14:paraId="7F908D39" w14:textId="41208623" w:rsidR="00542CAC" w:rsidRDefault="00130DB5" w:rsidP="00683A4D">
      <w:pPr>
        <w:rPr>
          <w:sz w:val="24"/>
          <w:szCs w:val="24"/>
        </w:rPr>
      </w:pPr>
      <w:r>
        <w:rPr>
          <w:sz w:val="24"/>
          <w:szCs w:val="24"/>
        </w:rPr>
        <w:t>[17]</w:t>
      </w:r>
      <w:r>
        <w:rPr>
          <w:sz w:val="24"/>
          <w:szCs w:val="24"/>
        </w:rPr>
        <w:tab/>
      </w:r>
      <w:r w:rsidR="00683A4D">
        <w:rPr>
          <w:sz w:val="24"/>
          <w:szCs w:val="24"/>
        </w:rPr>
        <w:t>The director contends that relief sought in s 20(9) may only be granted where there is an unconscionable abuse of the juristic personality of the company as a separate entity</w:t>
      </w:r>
      <w:r w:rsidR="00667BC2">
        <w:rPr>
          <w:sz w:val="24"/>
          <w:szCs w:val="24"/>
        </w:rPr>
        <w:t>, namely the use of the company’s juristic personality ‘as a front’</w:t>
      </w:r>
      <w:r w:rsidR="00683A4D">
        <w:rPr>
          <w:sz w:val="24"/>
          <w:szCs w:val="24"/>
        </w:rPr>
        <w:t>. He avers that no evidence has been advanced to support such relief</w:t>
      </w:r>
      <w:r w:rsidR="00667BC2">
        <w:rPr>
          <w:sz w:val="24"/>
          <w:szCs w:val="24"/>
        </w:rPr>
        <w:t xml:space="preserve"> and </w:t>
      </w:r>
      <w:r w:rsidR="00683A4D">
        <w:rPr>
          <w:sz w:val="24"/>
          <w:szCs w:val="24"/>
        </w:rPr>
        <w:t xml:space="preserve">he specifically disputes any evidence being advanced to support a finding that he ‘made the alleged misrepresentations to the applicant whilst using the company’s juristic personality as a front’. </w:t>
      </w:r>
      <w:r w:rsidR="00FB6B53">
        <w:rPr>
          <w:sz w:val="24"/>
          <w:szCs w:val="24"/>
        </w:rPr>
        <w:t xml:space="preserve">This argument is </w:t>
      </w:r>
      <w:r w:rsidR="006E11E4">
        <w:rPr>
          <w:sz w:val="24"/>
          <w:szCs w:val="24"/>
        </w:rPr>
        <w:t>ill conceived</w:t>
      </w:r>
      <w:r w:rsidR="00FB6B53">
        <w:rPr>
          <w:sz w:val="24"/>
          <w:szCs w:val="24"/>
        </w:rPr>
        <w:t xml:space="preserve"> and is not supported by any authorities.</w:t>
      </w:r>
    </w:p>
    <w:p w14:paraId="3876A01C" w14:textId="51FFABE9" w:rsidR="00683A4D" w:rsidRDefault="00130DB5" w:rsidP="00683A4D">
      <w:pPr>
        <w:rPr>
          <w:sz w:val="24"/>
          <w:szCs w:val="24"/>
        </w:rPr>
      </w:pPr>
      <w:r>
        <w:rPr>
          <w:sz w:val="24"/>
          <w:szCs w:val="24"/>
        </w:rPr>
        <w:t>[18]</w:t>
      </w:r>
      <w:r>
        <w:rPr>
          <w:sz w:val="24"/>
          <w:szCs w:val="24"/>
        </w:rPr>
        <w:tab/>
      </w:r>
      <w:r w:rsidR="00542CAC">
        <w:rPr>
          <w:sz w:val="24"/>
          <w:szCs w:val="24"/>
        </w:rPr>
        <w:t>Fraud and the improper use of a company or conduct of the affai</w:t>
      </w:r>
      <w:r w:rsidR="00665600">
        <w:rPr>
          <w:sz w:val="24"/>
          <w:szCs w:val="24"/>
        </w:rPr>
        <w:t>rs of a company are</w:t>
      </w:r>
      <w:r w:rsidR="00542CAC">
        <w:rPr>
          <w:sz w:val="24"/>
          <w:szCs w:val="24"/>
        </w:rPr>
        <w:t xml:space="preserve"> regarded as sufficient reason to pierce the corporate veil in terms of the common law.</w:t>
      </w:r>
      <w:r w:rsidR="00542CAC" w:rsidRPr="003035F1">
        <w:rPr>
          <w:rStyle w:val="FootnoteReference"/>
          <w:rFonts w:ascii="Arial" w:hAnsi="Arial"/>
          <w:sz w:val="20"/>
        </w:rPr>
        <w:footnoteReference w:id="4"/>
      </w:r>
      <w:r w:rsidR="00542CAC">
        <w:rPr>
          <w:sz w:val="24"/>
          <w:szCs w:val="24"/>
        </w:rPr>
        <w:t xml:space="preserve"> </w:t>
      </w:r>
      <w:r w:rsidR="0037362B">
        <w:rPr>
          <w:sz w:val="24"/>
          <w:szCs w:val="24"/>
        </w:rPr>
        <w:t xml:space="preserve">It is </w:t>
      </w:r>
      <w:r w:rsidR="00257ECE">
        <w:rPr>
          <w:sz w:val="24"/>
          <w:szCs w:val="24"/>
        </w:rPr>
        <w:t xml:space="preserve">also </w:t>
      </w:r>
      <w:r w:rsidR="00542CAC">
        <w:rPr>
          <w:sz w:val="24"/>
          <w:szCs w:val="24"/>
        </w:rPr>
        <w:t>clear that s 20(9) is regarded as providing a statutory basis for piercing the corporate veil.</w:t>
      </w:r>
      <w:r w:rsidR="00542CAC" w:rsidRPr="00542CAC">
        <w:rPr>
          <w:rStyle w:val="FootnoteReference"/>
          <w:rFonts w:ascii="Arial" w:hAnsi="Arial"/>
          <w:sz w:val="20"/>
        </w:rPr>
        <w:footnoteReference w:id="5"/>
      </w:r>
      <w:r w:rsidR="00542CAC">
        <w:rPr>
          <w:sz w:val="24"/>
          <w:szCs w:val="24"/>
        </w:rPr>
        <w:t xml:space="preserve"> </w:t>
      </w:r>
      <w:r w:rsidR="00FB6B53">
        <w:rPr>
          <w:sz w:val="24"/>
          <w:szCs w:val="24"/>
        </w:rPr>
        <w:t>The plain wording of s 20(9) permits a court to disregard the separate juristic personality of a co</w:t>
      </w:r>
      <w:r w:rsidR="00257ECE">
        <w:rPr>
          <w:sz w:val="24"/>
          <w:szCs w:val="24"/>
        </w:rPr>
        <w:t xml:space="preserve">mpany where its incorporation, </w:t>
      </w:r>
      <w:r w:rsidR="00FB6B53" w:rsidRPr="00257ECE">
        <w:rPr>
          <w:sz w:val="24"/>
          <w:szCs w:val="24"/>
          <w:u w:val="single"/>
        </w:rPr>
        <w:t>use or an act performed by or on its behalf</w:t>
      </w:r>
      <w:r w:rsidR="00257ECE">
        <w:rPr>
          <w:sz w:val="24"/>
          <w:szCs w:val="24"/>
          <w:u w:val="single"/>
        </w:rPr>
        <w:t xml:space="preserve"> </w:t>
      </w:r>
      <w:r w:rsidR="00257ECE">
        <w:rPr>
          <w:sz w:val="24"/>
          <w:szCs w:val="24"/>
        </w:rPr>
        <w:t>(my underlining)</w:t>
      </w:r>
      <w:r w:rsidR="00FB6B53">
        <w:rPr>
          <w:sz w:val="24"/>
          <w:szCs w:val="24"/>
        </w:rPr>
        <w:t xml:space="preserve"> constitutes an unconscionable abuse of the juristic personality of the company as a separate entity.</w:t>
      </w:r>
      <w:r w:rsidR="00542CAC">
        <w:rPr>
          <w:sz w:val="24"/>
          <w:szCs w:val="24"/>
        </w:rPr>
        <w:t xml:space="preserve"> </w:t>
      </w:r>
      <w:r w:rsidR="00257ECE">
        <w:rPr>
          <w:sz w:val="24"/>
          <w:szCs w:val="24"/>
        </w:rPr>
        <w:t>In this matter, i</w:t>
      </w:r>
      <w:r w:rsidR="0037362B">
        <w:rPr>
          <w:sz w:val="24"/>
          <w:szCs w:val="24"/>
        </w:rPr>
        <w:t xml:space="preserve">t is the act performed by the director, by or on behalf of the company, which the applicant contends constitutes an unconscionable abuse of the juristic personality of the company, justifying the relief sought. That act is the </w:t>
      </w:r>
      <w:r w:rsidR="00257ECE">
        <w:rPr>
          <w:sz w:val="24"/>
          <w:szCs w:val="24"/>
        </w:rPr>
        <w:t>d</w:t>
      </w:r>
      <w:r w:rsidR="0037362B">
        <w:rPr>
          <w:sz w:val="24"/>
          <w:szCs w:val="24"/>
        </w:rPr>
        <w:t>irector’s misrepresentation regarding the year of the motor vehicle</w:t>
      </w:r>
      <w:r w:rsidR="00257ECE">
        <w:rPr>
          <w:sz w:val="24"/>
          <w:szCs w:val="24"/>
        </w:rPr>
        <w:t xml:space="preserve">, which </w:t>
      </w:r>
      <w:r w:rsidR="0037362B">
        <w:rPr>
          <w:sz w:val="24"/>
          <w:szCs w:val="24"/>
        </w:rPr>
        <w:t xml:space="preserve">induced </w:t>
      </w:r>
      <w:r w:rsidR="00257ECE">
        <w:rPr>
          <w:sz w:val="24"/>
          <w:szCs w:val="24"/>
        </w:rPr>
        <w:t xml:space="preserve">her </w:t>
      </w:r>
      <w:r w:rsidR="0037362B">
        <w:rPr>
          <w:sz w:val="24"/>
          <w:szCs w:val="24"/>
        </w:rPr>
        <w:t xml:space="preserve">to purchase the motor vehicle.    </w:t>
      </w:r>
    </w:p>
    <w:p w14:paraId="461F014D" w14:textId="1D79AF1B" w:rsidR="00257ECE" w:rsidRDefault="00130DB5" w:rsidP="00683A4D">
      <w:pPr>
        <w:rPr>
          <w:sz w:val="24"/>
          <w:szCs w:val="24"/>
        </w:rPr>
      </w:pPr>
      <w:r>
        <w:rPr>
          <w:sz w:val="24"/>
          <w:szCs w:val="24"/>
        </w:rPr>
        <w:t>[19]</w:t>
      </w:r>
      <w:r>
        <w:rPr>
          <w:sz w:val="24"/>
          <w:szCs w:val="24"/>
        </w:rPr>
        <w:tab/>
      </w:r>
      <w:r w:rsidR="00257ECE">
        <w:rPr>
          <w:sz w:val="24"/>
          <w:szCs w:val="24"/>
        </w:rPr>
        <w:t>This is the sum total of the director’s response on the merits of the application.</w:t>
      </w:r>
      <w:r w:rsidR="00B561A8">
        <w:rPr>
          <w:sz w:val="24"/>
          <w:szCs w:val="24"/>
        </w:rPr>
        <w:t xml:space="preserve"> He does not address or respond to the applicant’s averments regarding his misrepresentation on the papers at all. </w:t>
      </w:r>
      <w:r w:rsidR="00257ECE">
        <w:rPr>
          <w:sz w:val="24"/>
          <w:szCs w:val="24"/>
        </w:rPr>
        <w:t xml:space="preserve">In his argument that the claim is </w:t>
      </w:r>
      <w:r w:rsidR="00257ECE">
        <w:rPr>
          <w:i/>
          <w:sz w:val="24"/>
          <w:szCs w:val="24"/>
        </w:rPr>
        <w:t>res iudicat</w:t>
      </w:r>
      <w:r w:rsidR="002A4BC0">
        <w:rPr>
          <w:i/>
          <w:sz w:val="24"/>
          <w:szCs w:val="24"/>
        </w:rPr>
        <w:t>a</w:t>
      </w:r>
      <w:r w:rsidR="00257ECE">
        <w:rPr>
          <w:i/>
          <w:sz w:val="24"/>
          <w:szCs w:val="24"/>
        </w:rPr>
        <w:t xml:space="preserve">, </w:t>
      </w:r>
      <w:r w:rsidR="00257ECE">
        <w:rPr>
          <w:sz w:val="24"/>
          <w:szCs w:val="24"/>
        </w:rPr>
        <w:t>he</w:t>
      </w:r>
      <w:r w:rsidR="002A4BC0">
        <w:rPr>
          <w:sz w:val="24"/>
          <w:szCs w:val="24"/>
        </w:rPr>
        <w:t>,</w:t>
      </w:r>
      <w:r w:rsidR="00257ECE">
        <w:rPr>
          <w:sz w:val="24"/>
          <w:szCs w:val="24"/>
        </w:rPr>
        <w:t xml:space="preserve"> however accept</w:t>
      </w:r>
      <w:r w:rsidR="002A4BC0">
        <w:rPr>
          <w:sz w:val="24"/>
          <w:szCs w:val="24"/>
        </w:rPr>
        <w:t>s</w:t>
      </w:r>
      <w:r w:rsidR="00257ECE">
        <w:rPr>
          <w:sz w:val="24"/>
          <w:szCs w:val="24"/>
        </w:rPr>
        <w:t xml:space="preserve"> the judgment against the company and </w:t>
      </w:r>
      <w:r w:rsidR="002A4BC0">
        <w:rPr>
          <w:sz w:val="24"/>
          <w:szCs w:val="24"/>
        </w:rPr>
        <w:t xml:space="preserve">that </w:t>
      </w:r>
      <w:r w:rsidR="00257ECE">
        <w:rPr>
          <w:sz w:val="24"/>
          <w:szCs w:val="24"/>
        </w:rPr>
        <w:t>the cause of action for the judgment</w:t>
      </w:r>
      <w:r w:rsidR="002A4BC0">
        <w:rPr>
          <w:sz w:val="24"/>
          <w:szCs w:val="24"/>
        </w:rPr>
        <w:t xml:space="preserve"> is</w:t>
      </w:r>
      <w:r w:rsidR="00257ECE">
        <w:rPr>
          <w:sz w:val="24"/>
          <w:szCs w:val="24"/>
        </w:rPr>
        <w:t xml:space="preserve"> based upon his misrepresentation to the applicant. Accordingly, I am satisfied that the applicant has established that the director misrepresented </w:t>
      </w:r>
      <w:r w:rsidR="00B561A8">
        <w:rPr>
          <w:sz w:val="24"/>
          <w:szCs w:val="24"/>
        </w:rPr>
        <w:t xml:space="preserve">the details of the motor vehicle to her, that such misrepresentation was material and induced her to purchase the vehicle. Further that the director’s misrepresentation was deliberate such that it amounted to fraud, alternatively dishonesty, further alternatively improper conduct.  </w:t>
      </w:r>
      <w:r w:rsidR="00257ECE">
        <w:rPr>
          <w:sz w:val="24"/>
          <w:szCs w:val="24"/>
        </w:rPr>
        <w:t xml:space="preserve"> </w:t>
      </w:r>
    </w:p>
    <w:p w14:paraId="079137C2" w14:textId="2A9A269A" w:rsidR="003B141A" w:rsidRPr="003B141A" w:rsidRDefault="00130DB5" w:rsidP="00683A4D">
      <w:pPr>
        <w:rPr>
          <w:sz w:val="24"/>
          <w:szCs w:val="24"/>
        </w:rPr>
      </w:pPr>
      <w:r>
        <w:rPr>
          <w:sz w:val="24"/>
          <w:szCs w:val="24"/>
        </w:rPr>
        <w:t>[20]</w:t>
      </w:r>
      <w:r>
        <w:rPr>
          <w:sz w:val="24"/>
          <w:szCs w:val="24"/>
        </w:rPr>
        <w:tab/>
      </w:r>
      <w:r w:rsidR="00683A4D">
        <w:rPr>
          <w:sz w:val="24"/>
          <w:szCs w:val="24"/>
        </w:rPr>
        <w:t xml:space="preserve">The balance of the opposition by the director is formulistic in nature. </w:t>
      </w:r>
      <w:r w:rsidR="00B561A8">
        <w:rPr>
          <w:sz w:val="24"/>
          <w:szCs w:val="24"/>
        </w:rPr>
        <w:t xml:space="preserve">As mentioned earlier, he </w:t>
      </w:r>
      <w:r w:rsidR="00683A4D">
        <w:rPr>
          <w:sz w:val="24"/>
          <w:szCs w:val="24"/>
        </w:rPr>
        <w:t>contends that th</w:t>
      </w:r>
      <w:r w:rsidR="00B561A8">
        <w:rPr>
          <w:sz w:val="24"/>
          <w:szCs w:val="24"/>
        </w:rPr>
        <w:t xml:space="preserve">is </w:t>
      </w:r>
      <w:r w:rsidR="00683A4D">
        <w:rPr>
          <w:sz w:val="24"/>
          <w:szCs w:val="24"/>
        </w:rPr>
        <w:t xml:space="preserve">claim is </w:t>
      </w:r>
      <w:r w:rsidR="00683A4D">
        <w:rPr>
          <w:i/>
          <w:sz w:val="24"/>
          <w:szCs w:val="24"/>
        </w:rPr>
        <w:t xml:space="preserve">res iudicata </w:t>
      </w:r>
      <w:r w:rsidR="00683A4D">
        <w:rPr>
          <w:sz w:val="24"/>
          <w:szCs w:val="24"/>
        </w:rPr>
        <w:t xml:space="preserve">because it has </w:t>
      </w:r>
      <w:r w:rsidR="002A4BC0">
        <w:rPr>
          <w:sz w:val="24"/>
          <w:szCs w:val="24"/>
        </w:rPr>
        <w:t xml:space="preserve">already </w:t>
      </w:r>
      <w:r w:rsidR="00683A4D">
        <w:rPr>
          <w:sz w:val="24"/>
          <w:szCs w:val="24"/>
        </w:rPr>
        <w:t xml:space="preserve">been determined by the judgment that is premised on the same cause of action, namely </w:t>
      </w:r>
      <w:r w:rsidR="00B561A8">
        <w:rPr>
          <w:sz w:val="24"/>
          <w:szCs w:val="24"/>
        </w:rPr>
        <w:t xml:space="preserve">his </w:t>
      </w:r>
      <w:r w:rsidR="00683A4D">
        <w:rPr>
          <w:sz w:val="24"/>
          <w:szCs w:val="24"/>
        </w:rPr>
        <w:t xml:space="preserve">misrepresentation. He </w:t>
      </w:r>
      <w:r w:rsidR="00B561A8">
        <w:rPr>
          <w:sz w:val="24"/>
          <w:szCs w:val="24"/>
        </w:rPr>
        <w:t xml:space="preserve">also </w:t>
      </w:r>
      <w:r w:rsidR="00683A4D">
        <w:rPr>
          <w:sz w:val="24"/>
          <w:szCs w:val="24"/>
        </w:rPr>
        <w:t xml:space="preserve">contends that there is a risk of double compensation because the applicant has not </w:t>
      </w:r>
      <w:r w:rsidR="002A4BC0">
        <w:rPr>
          <w:sz w:val="24"/>
          <w:szCs w:val="24"/>
        </w:rPr>
        <w:t xml:space="preserve">attempted </w:t>
      </w:r>
      <w:r w:rsidR="00683A4D">
        <w:rPr>
          <w:sz w:val="24"/>
          <w:szCs w:val="24"/>
        </w:rPr>
        <w:t xml:space="preserve">to properly execute on the judgment against the company. </w:t>
      </w:r>
      <w:r w:rsidR="003B141A">
        <w:rPr>
          <w:sz w:val="24"/>
          <w:szCs w:val="24"/>
        </w:rPr>
        <w:t xml:space="preserve">These contentions  can be disposed of summarily. They are pertinently addressed </w:t>
      </w:r>
      <w:r w:rsidR="00B57271">
        <w:rPr>
          <w:sz w:val="24"/>
          <w:szCs w:val="24"/>
        </w:rPr>
        <w:t>in</w:t>
      </w:r>
      <w:r w:rsidR="003B141A">
        <w:rPr>
          <w:sz w:val="24"/>
          <w:szCs w:val="24"/>
        </w:rPr>
        <w:t xml:space="preserve"> </w:t>
      </w:r>
      <w:r w:rsidR="003B141A">
        <w:rPr>
          <w:i/>
          <w:sz w:val="24"/>
          <w:szCs w:val="24"/>
        </w:rPr>
        <w:t>Ex Parte Gore</w:t>
      </w:r>
      <w:r w:rsidR="003B141A" w:rsidRPr="003B141A">
        <w:rPr>
          <w:rStyle w:val="FootnoteReference"/>
          <w:rFonts w:ascii="Arial" w:hAnsi="Arial"/>
          <w:i/>
          <w:sz w:val="20"/>
        </w:rPr>
        <w:footnoteReference w:id="6"/>
      </w:r>
      <w:r w:rsidR="003B141A">
        <w:rPr>
          <w:i/>
          <w:sz w:val="24"/>
          <w:szCs w:val="24"/>
        </w:rPr>
        <w:t xml:space="preserve"> </w:t>
      </w:r>
      <w:r w:rsidR="003B141A">
        <w:rPr>
          <w:sz w:val="24"/>
          <w:szCs w:val="24"/>
        </w:rPr>
        <w:t>in the passage referred to</w:t>
      </w:r>
      <w:r w:rsidR="00B57271">
        <w:rPr>
          <w:sz w:val="24"/>
          <w:szCs w:val="24"/>
        </w:rPr>
        <w:t xml:space="preserve"> supra. </w:t>
      </w:r>
      <w:r w:rsidR="00C10BF4">
        <w:rPr>
          <w:sz w:val="24"/>
          <w:szCs w:val="24"/>
        </w:rPr>
        <w:t xml:space="preserve">An order in terms of </w:t>
      </w:r>
      <w:r w:rsidR="00B57271">
        <w:rPr>
          <w:sz w:val="24"/>
          <w:szCs w:val="24"/>
        </w:rPr>
        <w:t>s</w:t>
      </w:r>
      <w:r w:rsidR="008A3B96">
        <w:rPr>
          <w:sz w:val="24"/>
          <w:szCs w:val="24"/>
        </w:rPr>
        <w:t xml:space="preserve"> </w:t>
      </w:r>
      <w:r w:rsidR="00B57271">
        <w:rPr>
          <w:sz w:val="24"/>
          <w:szCs w:val="24"/>
        </w:rPr>
        <w:t xml:space="preserve">20(9)(b) </w:t>
      </w:r>
      <w:r w:rsidR="00C10BF4">
        <w:rPr>
          <w:sz w:val="24"/>
          <w:szCs w:val="24"/>
        </w:rPr>
        <w:t xml:space="preserve">will have the effect of </w:t>
      </w:r>
      <w:r w:rsidR="003B141A">
        <w:rPr>
          <w:sz w:val="24"/>
          <w:szCs w:val="24"/>
        </w:rPr>
        <w:t xml:space="preserve">fixing </w:t>
      </w:r>
      <w:r w:rsidR="00B57271">
        <w:rPr>
          <w:sz w:val="24"/>
          <w:szCs w:val="24"/>
        </w:rPr>
        <w:t>the</w:t>
      </w:r>
      <w:r w:rsidR="00C10BF4">
        <w:rPr>
          <w:sz w:val="24"/>
          <w:szCs w:val="24"/>
        </w:rPr>
        <w:t xml:space="preserve"> right, obligation or </w:t>
      </w:r>
      <w:r w:rsidR="00B57271">
        <w:rPr>
          <w:sz w:val="24"/>
          <w:szCs w:val="24"/>
        </w:rPr>
        <w:t>liability in issue of the company</w:t>
      </w:r>
      <w:r w:rsidR="005B1208">
        <w:rPr>
          <w:sz w:val="24"/>
          <w:szCs w:val="24"/>
        </w:rPr>
        <w:t xml:space="preserve"> somewhere else.</w:t>
      </w:r>
      <w:r w:rsidR="00BB503C">
        <w:rPr>
          <w:sz w:val="24"/>
          <w:szCs w:val="24"/>
        </w:rPr>
        <w:t xml:space="preserve"> In this </w:t>
      </w:r>
      <w:r w:rsidR="00B561A8">
        <w:rPr>
          <w:sz w:val="24"/>
          <w:szCs w:val="24"/>
        </w:rPr>
        <w:t>matter,</w:t>
      </w:r>
      <w:r w:rsidR="00BB503C">
        <w:rPr>
          <w:sz w:val="24"/>
          <w:szCs w:val="24"/>
        </w:rPr>
        <w:t xml:space="preserve"> the liability </w:t>
      </w:r>
      <w:r w:rsidR="00B561A8">
        <w:rPr>
          <w:sz w:val="24"/>
          <w:szCs w:val="24"/>
        </w:rPr>
        <w:t>is t</w:t>
      </w:r>
      <w:r w:rsidR="00BB503C">
        <w:rPr>
          <w:sz w:val="24"/>
          <w:szCs w:val="24"/>
        </w:rPr>
        <w:t xml:space="preserve">he </w:t>
      </w:r>
      <w:r w:rsidR="003B141A">
        <w:rPr>
          <w:sz w:val="24"/>
          <w:szCs w:val="24"/>
        </w:rPr>
        <w:t>judgment</w:t>
      </w:r>
      <w:r w:rsidR="00513BEE">
        <w:rPr>
          <w:sz w:val="24"/>
          <w:szCs w:val="24"/>
        </w:rPr>
        <w:t xml:space="preserve"> and t</w:t>
      </w:r>
      <w:r w:rsidR="00BB503C">
        <w:rPr>
          <w:sz w:val="24"/>
          <w:szCs w:val="24"/>
        </w:rPr>
        <w:t xml:space="preserve">hat liability is sought to be transferred to the director. </w:t>
      </w:r>
      <w:r w:rsidR="00513BEE">
        <w:rPr>
          <w:sz w:val="24"/>
          <w:szCs w:val="24"/>
        </w:rPr>
        <w:t xml:space="preserve"> The issue of double compensation therefore does not arise and </w:t>
      </w:r>
      <w:r w:rsidR="002A4BC0">
        <w:rPr>
          <w:sz w:val="24"/>
          <w:szCs w:val="24"/>
        </w:rPr>
        <w:t xml:space="preserve">I reject </w:t>
      </w:r>
      <w:r w:rsidR="00513BEE">
        <w:rPr>
          <w:sz w:val="24"/>
          <w:szCs w:val="24"/>
        </w:rPr>
        <w:t>these contentions as meritless.</w:t>
      </w:r>
    </w:p>
    <w:p w14:paraId="2CF82221" w14:textId="47DD0F1E" w:rsidR="00AC7798" w:rsidRDefault="00130DB5" w:rsidP="002E524B">
      <w:pPr>
        <w:rPr>
          <w:sz w:val="24"/>
          <w:szCs w:val="24"/>
        </w:rPr>
      </w:pPr>
      <w:r>
        <w:rPr>
          <w:sz w:val="24"/>
          <w:szCs w:val="24"/>
        </w:rPr>
        <w:t>[21]</w:t>
      </w:r>
      <w:r>
        <w:rPr>
          <w:sz w:val="24"/>
          <w:szCs w:val="24"/>
        </w:rPr>
        <w:tab/>
      </w:r>
      <w:r w:rsidR="00513BEE">
        <w:rPr>
          <w:sz w:val="24"/>
          <w:szCs w:val="24"/>
        </w:rPr>
        <w:t xml:space="preserve">The director </w:t>
      </w:r>
      <w:r w:rsidR="008A3B96">
        <w:rPr>
          <w:sz w:val="24"/>
          <w:szCs w:val="24"/>
        </w:rPr>
        <w:t xml:space="preserve">also </w:t>
      </w:r>
      <w:r w:rsidR="00DA09A6">
        <w:rPr>
          <w:sz w:val="24"/>
          <w:szCs w:val="24"/>
        </w:rPr>
        <w:t>contended that the company remained liable for the judgment and the applicant was obliged to exhaust her remedies against it before proceeding against him personally.</w:t>
      </w:r>
      <w:r w:rsidR="00843CE0">
        <w:rPr>
          <w:sz w:val="24"/>
          <w:szCs w:val="24"/>
        </w:rPr>
        <w:t xml:space="preserve"> This argument is</w:t>
      </w:r>
      <w:r w:rsidR="00513BEE">
        <w:rPr>
          <w:sz w:val="24"/>
          <w:szCs w:val="24"/>
        </w:rPr>
        <w:t xml:space="preserve"> also</w:t>
      </w:r>
      <w:r w:rsidR="00843CE0">
        <w:rPr>
          <w:sz w:val="24"/>
          <w:szCs w:val="24"/>
        </w:rPr>
        <w:t xml:space="preserve"> rejected as</w:t>
      </w:r>
      <w:r w:rsidR="00513BEE">
        <w:rPr>
          <w:sz w:val="24"/>
          <w:szCs w:val="24"/>
        </w:rPr>
        <w:t xml:space="preserve"> </w:t>
      </w:r>
      <w:r w:rsidR="00513BEE">
        <w:rPr>
          <w:i/>
          <w:sz w:val="24"/>
          <w:szCs w:val="24"/>
        </w:rPr>
        <w:t xml:space="preserve">Ex Parte Gore </w:t>
      </w:r>
      <w:r w:rsidR="00513BEE">
        <w:rPr>
          <w:sz w:val="24"/>
          <w:szCs w:val="24"/>
        </w:rPr>
        <w:t xml:space="preserve">clarified that </w:t>
      </w:r>
      <w:r w:rsidR="00843CE0">
        <w:rPr>
          <w:sz w:val="24"/>
          <w:szCs w:val="24"/>
        </w:rPr>
        <w:t xml:space="preserve">the remedy </w:t>
      </w:r>
      <w:r w:rsidR="00AC7798">
        <w:rPr>
          <w:sz w:val="24"/>
          <w:szCs w:val="24"/>
        </w:rPr>
        <w:t>provided by s</w:t>
      </w:r>
      <w:r w:rsidR="00513BEE">
        <w:rPr>
          <w:sz w:val="24"/>
          <w:szCs w:val="24"/>
        </w:rPr>
        <w:t xml:space="preserve"> </w:t>
      </w:r>
      <w:r w:rsidR="00AC7798">
        <w:rPr>
          <w:sz w:val="24"/>
          <w:szCs w:val="24"/>
        </w:rPr>
        <w:t>20(9) may be granted when the facts justify the relief sought</w:t>
      </w:r>
      <w:r w:rsidR="00513BEE">
        <w:rPr>
          <w:sz w:val="24"/>
          <w:szCs w:val="24"/>
        </w:rPr>
        <w:t xml:space="preserve"> and there is no requirement for a party to first exhaust all other forms of relief</w:t>
      </w:r>
      <w:r w:rsidR="00AC7798">
        <w:rPr>
          <w:sz w:val="24"/>
          <w:szCs w:val="24"/>
        </w:rPr>
        <w:t>.</w:t>
      </w:r>
      <w:r w:rsidR="00AC7798" w:rsidRPr="00AC7798">
        <w:rPr>
          <w:rStyle w:val="FootnoteReference"/>
          <w:rFonts w:ascii="Arial" w:hAnsi="Arial"/>
          <w:sz w:val="20"/>
        </w:rPr>
        <w:footnoteReference w:id="7"/>
      </w:r>
      <w:r w:rsidR="00AC7798">
        <w:rPr>
          <w:sz w:val="24"/>
          <w:szCs w:val="24"/>
        </w:rPr>
        <w:t xml:space="preserve">  </w:t>
      </w:r>
    </w:p>
    <w:p w14:paraId="28015F33" w14:textId="095A8572" w:rsidR="002E524B" w:rsidRDefault="00130DB5" w:rsidP="002E524B">
      <w:pPr>
        <w:rPr>
          <w:sz w:val="24"/>
          <w:szCs w:val="24"/>
        </w:rPr>
      </w:pPr>
      <w:r>
        <w:rPr>
          <w:sz w:val="24"/>
          <w:szCs w:val="24"/>
        </w:rPr>
        <w:t>[22]</w:t>
      </w:r>
      <w:r>
        <w:rPr>
          <w:sz w:val="24"/>
          <w:szCs w:val="24"/>
        </w:rPr>
        <w:tab/>
      </w:r>
      <w:r w:rsidR="008A3B96">
        <w:rPr>
          <w:sz w:val="24"/>
          <w:szCs w:val="24"/>
        </w:rPr>
        <w:t xml:space="preserve">He </w:t>
      </w:r>
      <w:r w:rsidR="00AC7798">
        <w:rPr>
          <w:sz w:val="24"/>
          <w:szCs w:val="24"/>
        </w:rPr>
        <w:t xml:space="preserve">also </w:t>
      </w:r>
      <w:r w:rsidR="00DA09A6">
        <w:rPr>
          <w:sz w:val="24"/>
          <w:szCs w:val="24"/>
        </w:rPr>
        <w:t>argued that the judgment was granted when the company was already owned by its new director, Lefuma</w:t>
      </w:r>
      <w:r w:rsidR="008A3B96">
        <w:rPr>
          <w:sz w:val="24"/>
          <w:szCs w:val="24"/>
        </w:rPr>
        <w:t xml:space="preserve"> and clause 6 of the agreement indemnified him in respect of any claims against the company.</w:t>
      </w:r>
      <w:r w:rsidR="00DA09A6">
        <w:rPr>
          <w:sz w:val="24"/>
          <w:szCs w:val="24"/>
        </w:rPr>
        <w:t xml:space="preserve"> </w:t>
      </w:r>
      <w:r w:rsidR="008A3B96">
        <w:rPr>
          <w:sz w:val="24"/>
          <w:szCs w:val="24"/>
        </w:rPr>
        <w:t>T</w:t>
      </w:r>
      <w:r w:rsidR="002E524B">
        <w:rPr>
          <w:sz w:val="24"/>
          <w:szCs w:val="24"/>
        </w:rPr>
        <w:t>he following glaring omissions were</w:t>
      </w:r>
      <w:r w:rsidR="008A3B96">
        <w:rPr>
          <w:sz w:val="24"/>
          <w:szCs w:val="24"/>
        </w:rPr>
        <w:t>, however</w:t>
      </w:r>
      <w:r w:rsidR="002E524B">
        <w:rPr>
          <w:sz w:val="24"/>
          <w:szCs w:val="24"/>
        </w:rPr>
        <w:t xml:space="preserve"> noted</w:t>
      </w:r>
      <w:r w:rsidR="008A3B96">
        <w:rPr>
          <w:sz w:val="24"/>
          <w:szCs w:val="24"/>
        </w:rPr>
        <w:t xml:space="preserve"> in respect of the agreement</w:t>
      </w:r>
      <w:r w:rsidR="002E524B">
        <w:rPr>
          <w:sz w:val="24"/>
          <w:szCs w:val="24"/>
        </w:rPr>
        <w:t>:</w:t>
      </w:r>
    </w:p>
    <w:p w14:paraId="57ADF4A1" w14:textId="5C9EE18F" w:rsidR="002E524B" w:rsidRDefault="002E524B" w:rsidP="002E524B">
      <w:pPr>
        <w:rPr>
          <w:sz w:val="24"/>
          <w:szCs w:val="24"/>
        </w:rPr>
      </w:pPr>
      <w:r>
        <w:rPr>
          <w:sz w:val="24"/>
          <w:szCs w:val="24"/>
        </w:rPr>
        <w:t>(a)</w:t>
      </w:r>
      <w:r>
        <w:rPr>
          <w:sz w:val="24"/>
          <w:szCs w:val="24"/>
        </w:rPr>
        <w:tab/>
      </w:r>
      <w:r w:rsidR="008A3B96">
        <w:rPr>
          <w:sz w:val="24"/>
          <w:szCs w:val="24"/>
        </w:rPr>
        <w:t xml:space="preserve">It </w:t>
      </w:r>
      <w:r>
        <w:rPr>
          <w:sz w:val="24"/>
          <w:szCs w:val="24"/>
        </w:rPr>
        <w:t xml:space="preserve">does not support the director’s contention of it being a partly oral and partly written </w:t>
      </w:r>
      <w:r w:rsidR="005B1208">
        <w:rPr>
          <w:sz w:val="24"/>
          <w:szCs w:val="24"/>
        </w:rPr>
        <w:t xml:space="preserve">one. It </w:t>
      </w:r>
      <w:r>
        <w:rPr>
          <w:sz w:val="24"/>
          <w:szCs w:val="24"/>
        </w:rPr>
        <w:t>has a clause specifically recording</w:t>
      </w:r>
      <w:r w:rsidR="005B1208">
        <w:rPr>
          <w:sz w:val="24"/>
          <w:szCs w:val="24"/>
        </w:rPr>
        <w:t xml:space="preserve"> that</w:t>
      </w:r>
      <w:r>
        <w:rPr>
          <w:sz w:val="24"/>
          <w:szCs w:val="24"/>
        </w:rPr>
        <w:t xml:space="preserve"> it constitutes the entire agreement between the parties. It also contains a non-variation clause </w:t>
      </w:r>
      <w:r w:rsidR="00513BEE">
        <w:rPr>
          <w:sz w:val="24"/>
          <w:szCs w:val="24"/>
        </w:rPr>
        <w:t xml:space="preserve">that </w:t>
      </w:r>
      <w:r>
        <w:rPr>
          <w:sz w:val="24"/>
          <w:szCs w:val="24"/>
        </w:rPr>
        <w:t>requir</w:t>
      </w:r>
      <w:r w:rsidR="00513BEE">
        <w:rPr>
          <w:sz w:val="24"/>
          <w:szCs w:val="24"/>
        </w:rPr>
        <w:t>es</w:t>
      </w:r>
      <w:r>
        <w:rPr>
          <w:sz w:val="24"/>
          <w:szCs w:val="24"/>
        </w:rPr>
        <w:t xml:space="preserve"> any changes or </w:t>
      </w:r>
      <w:r w:rsidR="00EA1ECD">
        <w:rPr>
          <w:sz w:val="24"/>
          <w:szCs w:val="24"/>
        </w:rPr>
        <w:t>amendments be</w:t>
      </w:r>
      <w:r>
        <w:rPr>
          <w:sz w:val="24"/>
          <w:szCs w:val="24"/>
        </w:rPr>
        <w:t xml:space="preserve"> effected in writing to be valid and binding. </w:t>
      </w:r>
    </w:p>
    <w:p w14:paraId="478E9ACE" w14:textId="07984ABB" w:rsidR="002E524B" w:rsidRDefault="002E524B" w:rsidP="002E524B">
      <w:pPr>
        <w:rPr>
          <w:sz w:val="24"/>
          <w:szCs w:val="24"/>
        </w:rPr>
      </w:pPr>
      <w:r>
        <w:rPr>
          <w:sz w:val="24"/>
          <w:szCs w:val="24"/>
        </w:rPr>
        <w:t>(b)</w:t>
      </w:r>
      <w:r>
        <w:rPr>
          <w:sz w:val="24"/>
          <w:szCs w:val="24"/>
        </w:rPr>
        <w:tab/>
      </w:r>
      <w:r w:rsidR="00513BEE">
        <w:rPr>
          <w:sz w:val="24"/>
          <w:szCs w:val="24"/>
        </w:rPr>
        <w:t xml:space="preserve">It </w:t>
      </w:r>
      <w:r>
        <w:rPr>
          <w:sz w:val="24"/>
          <w:szCs w:val="24"/>
        </w:rPr>
        <w:t xml:space="preserve">does not specify and/or describe the business conducted by the seller; the effective date; the premises that the business is conducted from; the name of the seller; the purchase price; the manner for payment of the purchase price and addresses for the service of notices. </w:t>
      </w:r>
    </w:p>
    <w:p w14:paraId="44D5B444" w14:textId="7664B6B7" w:rsidR="002E524B" w:rsidRDefault="002E524B" w:rsidP="002E524B">
      <w:pPr>
        <w:rPr>
          <w:sz w:val="24"/>
          <w:szCs w:val="24"/>
        </w:rPr>
      </w:pPr>
      <w:r>
        <w:rPr>
          <w:sz w:val="24"/>
          <w:szCs w:val="24"/>
        </w:rPr>
        <w:t>(c)</w:t>
      </w:r>
      <w:r>
        <w:rPr>
          <w:sz w:val="24"/>
          <w:szCs w:val="24"/>
        </w:rPr>
        <w:tab/>
        <w:t xml:space="preserve">Annexures referring to listed fixed assets, leased </w:t>
      </w:r>
      <w:r w:rsidR="00EA1ECD">
        <w:rPr>
          <w:sz w:val="24"/>
          <w:szCs w:val="24"/>
        </w:rPr>
        <w:t>assets, trademarks,</w:t>
      </w:r>
      <w:r>
        <w:rPr>
          <w:sz w:val="24"/>
          <w:szCs w:val="24"/>
        </w:rPr>
        <w:t xml:space="preserve"> and brands are not attached. </w:t>
      </w:r>
    </w:p>
    <w:p w14:paraId="55716FF7" w14:textId="05D37401" w:rsidR="002E524B" w:rsidRDefault="002E524B" w:rsidP="002E524B">
      <w:pPr>
        <w:rPr>
          <w:sz w:val="24"/>
          <w:szCs w:val="24"/>
        </w:rPr>
      </w:pPr>
      <w:r>
        <w:rPr>
          <w:sz w:val="24"/>
          <w:szCs w:val="24"/>
        </w:rPr>
        <w:t>(d)</w:t>
      </w:r>
      <w:r>
        <w:rPr>
          <w:sz w:val="24"/>
          <w:szCs w:val="24"/>
        </w:rPr>
        <w:tab/>
      </w:r>
      <w:r w:rsidR="000F0532">
        <w:rPr>
          <w:sz w:val="24"/>
          <w:szCs w:val="24"/>
        </w:rPr>
        <w:t>The agreement is signed by the director but</w:t>
      </w:r>
      <w:r>
        <w:rPr>
          <w:sz w:val="24"/>
          <w:szCs w:val="24"/>
        </w:rPr>
        <w:t xml:space="preserve"> there is no clarification on this document or beneath his signature of the capacity in which he sign</w:t>
      </w:r>
      <w:r w:rsidR="000F0532">
        <w:rPr>
          <w:sz w:val="24"/>
          <w:szCs w:val="24"/>
        </w:rPr>
        <w:t>s</w:t>
      </w:r>
      <w:r>
        <w:rPr>
          <w:sz w:val="24"/>
          <w:szCs w:val="24"/>
        </w:rPr>
        <w:t>.</w:t>
      </w:r>
    </w:p>
    <w:p w14:paraId="7BE139B5" w14:textId="3A378692" w:rsidR="002E524B" w:rsidRDefault="002E524B" w:rsidP="002E524B">
      <w:pPr>
        <w:rPr>
          <w:sz w:val="24"/>
          <w:szCs w:val="24"/>
        </w:rPr>
      </w:pPr>
      <w:r>
        <w:rPr>
          <w:sz w:val="24"/>
          <w:szCs w:val="24"/>
        </w:rPr>
        <w:t>(e)</w:t>
      </w:r>
      <w:r>
        <w:rPr>
          <w:sz w:val="24"/>
          <w:szCs w:val="24"/>
        </w:rPr>
        <w:tab/>
        <w:t>The covering page of the agreement records the agreement as being for the sale of a business between the director and Lefuma. The name of the company does not ap</w:t>
      </w:r>
      <w:r w:rsidR="00513BEE">
        <w:rPr>
          <w:sz w:val="24"/>
          <w:szCs w:val="24"/>
        </w:rPr>
        <w:t xml:space="preserve">pear on the covering page or anywhere in </w:t>
      </w:r>
      <w:r>
        <w:rPr>
          <w:sz w:val="24"/>
          <w:szCs w:val="24"/>
        </w:rPr>
        <w:t xml:space="preserve">the body of the agreement. </w:t>
      </w:r>
    </w:p>
    <w:p w14:paraId="0A6FD2F0" w14:textId="77777777" w:rsidR="002E524B" w:rsidRDefault="002E524B" w:rsidP="002E524B">
      <w:pPr>
        <w:rPr>
          <w:sz w:val="24"/>
          <w:szCs w:val="24"/>
        </w:rPr>
      </w:pPr>
      <w:r>
        <w:rPr>
          <w:sz w:val="24"/>
          <w:szCs w:val="24"/>
        </w:rPr>
        <w:t>(f)</w:t>
      </w:r>
      <w:r>
        <w:rPr>
          <w:sz w:val="24"/>
          <w:szCs w:val="24"/>
        </w:rPr>
        <w:tab/>
        <w:t>A confirmatory affidavit was not provided by Lefuma.</w:t>
      </w:r>
    </w:p>
    <w:p w14:paraId="78A66695" w14:textId="28EA935F" w:rsidR="005B1208" w:rsidRDefault="00130DB5" w:rsidP="002E524B">
      <w:pPr>
        <w:rPr>
          <w:sz w:val="24"/>
          <w:szCs w:val="24"/>
        </w:rPr>
      </w:pPr>
      <w:r>
        <w:rPr>
          <w:sz w:val="24"/>
          <w:szCs w:val="24"/>
        </w:rPr>
        <w:t>[23]</w:t>
      </w:r>
      <w:r>
        <w:rPr>
          <w:sz w:val="24"/>
          <w:szCs w:val="24"/>
        </w:rPr>
        <w:tab/>
      </w:r>
      <w:r w:rsidR="002E524B">
        <w:rPr>
          <w:sz w:val="24"/>
          <w:szCs w:val="24"/>
        </w:rPr>
        <w:t>In the circumstances,</w:t>
      </w:r>
      <w:r w:rsidR="0085530B">
        <w:rPr>
          <w:sz w:val="24"/>
          <w:szCs w:val="24"/>
        </w:rPr>
        <w:t xml:space="preserve"> </w:t>
      </w:r>
      <w:r w:rsidR="005B1208">
        <w:rPr>
          <w:sz w:val="24"/>
          <w:szCs w:val="24"/>
        </w:rPr>
        <w:t>the agreement is defective in</w:t>
      </w:r>
      <w:r w:rsidR="0085530B">
        <w:rPr>
          <w:sz w:val="24"/>
          <w:szCs w:val="24"/>
        </w:rPr>
        <w:t xml:space="preserve"> many material respects and I do not consider it as the agreement contended for by the director. </w:t>
      </w:r>
      <w:r w:rsidR="00513BEE">
        <w:rPr>
          <w:sz w:val="24"/>
          <w:szCs w:val="24"/>
        </w:rPr>
        <w:t xml:space="preserve">It is unlikely that the </w:t>
      </w:r>
      <w:r>
        <w:rPr>
          <w:sz w:val="24"/>
          <w:szCs w:val="24"/>
        </w:rPr>
        <w:t>director,</w:t>
      </w:r>
      <w:r w:rsidR="00513BEE">
        <w:rPr>
          <w:sz w:val="24"/>
          <w:szCs w:val="24"/>
        </w:rPr>
        <w:t xml:space="preserve"> involved in numerous companies in such capacity naively believed an agreement with these omissions </w:t>
      </w:r>
      <w:r>
        <w:rPr>
          <w:sz w:val="24"/>
          <w:szCs w:val="24"/>
        </w:rPr>
        <w:t>was</w:t>
      </w:r>
      <w:r w:rsidR="00513BEE">
        <w:rPr>
          <w:sz w:val="24"/>
          <w:szCs w:val="24"/>
        </w:rPr>
        <w:t xml:space="preserve"> valid and binding. </w:t>
      </w:r>
      <w:r w:rsidR="00AC7798">
        <w:rPr>
          <w:sz w:val="24"/>
          <w:szCs w:val="24"/>
        </w:rPr>
        <w:t xml:space="preserve">Instead, </w:t>
      </w:r>
      <w:r w:rsidR="00196D22">
        <w:rPr>
          <w:sz w:val="24"/>
          <w:szCs w:val="24"/>
        </w:rPr>
        <w:t>I</w:t>
      </w:r>
      <w:r w:rsidR="00AC7798">
        <w:rPr>
          <w:sz w:val="24"/>
          <w:szCs w:val="24"/>
        </w:rPr>
        <w:t xml:space="preserve"> </w:t>
      </w:r>
      <w:r w:rsidR="00196D22">
        <w:rPr>
          <w:sz w:val="24"/>
          <w:szCs w:val="24"/>
        </w:rPr>
        <w:t xml:space="preserve">consider the agreement a fabrication by the director. The purpose of the fabrication can only be for presentation to this court </w:t>
      </w:r>
      <w:r w:rsidR="00AC7798">
        <w:rPr>
          <w:sz w:val="24"/>
          <w:szCs w:val="24"/>
        </w:rPr>
        <w:t xml:space="preserve">to distances </w:t>
      </w:r>
      <w:r w:rsidR="00196D22">
        <w:rPr>
          <w:sz w:val="24"/>
          <w:szCs w:val="24"/>
        </w:rPr>
        <w:t>the director</w:t>
      </w:r>
      <w:r w:rsidR="00AC7798">
        <w:rPr>
          <w:sz w:val="24"/>
          <w:szCs w:val="24"/>
        </w:rPr>
        <w:t xml:space="preserve"> from any personal liability.</w:t>
      </w:r>
      <w:r w:rsidR="005B1208">
        <w:rPr>
          <w:sz w:val="24"/>
          <w:szCs w:val="24"/>
        </w:rPr>
        <w:t xml:space="preserve"> The director’s contention that </w:t>
      </w:r>
      <w:r w:rsidR="00F30849">
        <w:rPr>
          <w:sz w:val="24"/>
          <w:szCs w:val="24"/>
        </w:rPr>
        <w:t xml:space="preserve">he sold </w:t>
      </w:r>
      <w:r w:rsidR="005B1208">
        <w:rPr>
          <w:sz w:val="24"/>
          <w:szCs w:val="24"/>
        </w:rPr>
        <w:t xml:space="preserve">the company to Lefuma is accordingly rejected. </w:t>
      </w:r>
    </w:p>
    <w:p w14:paraId="6F49911B" w14:textId="6B232773" w:rsidR="00D74735" w:rsidRDefault="00130DB5" w:rsidP="002E524B">
      <w:pPr>
        <w:rPr>
          <w:sz w:val="24"/>
          <w:szCs w:val="24"/>
        </w:rPr>
      </w:pPr>
      <w:r>
        <w:rPr>
          <w:sz w:val="24"/>
          <w:szCs w:val="24"/>
        </w:rPr>
        <w:t>[24]</w:t>
      </w:r>
      <w:r>
        <w:rPr>
          <w:sz w:val="24"/>
          <w:szCs w:val="24"/>
        </w:rPr>
        <w:tab/>
      </w:r>
      <w:r w:rsidR="005B1208">
        <w:rPr>
          <w:sz w:val="24"/>
          <w:szCs w:val="24"/>
        </w:rPr>
        <w:t>Notwithstanding my rejection of the agreement, the</w:t>
      </w:r>
      <w:r w:rsidR="00D3623E">
        <w:rPr>
          <w:sz w:val="24"/>
          <w:szCs w:val="24"/>
        </w:rPr>
        <w:t xml:space="preserve"> manner in which </w:t>
      </w:r>
      <w:r w:rsidR="00D726E5">
        <w:rPr>
          <w:sz w:val="24"/>
          <w:szCs w:val="24"/>
        </w:rPr>
        <w:t xml:space="preserve">the director described his relationship with </w:t>
      </w:r>
      <w:r w:rsidR="007B5544">
        <w:rPr>
          <w:sz w:val="24"/>
          <w:szCs w:val="24"/>
        </w:rPr>
        <w:t xml:space="preserve">the </w:t>
      </w:r>
      <w:r w:rsidR="00D726E5">
        <w:rPr>
          <w:sz w:val="24"/>
          <w:szCs w:val="24"/>
        </w:rPr>
        <w:t xml:space="preserve">company and </w:t>
      </w:r>
      <w:r w:rsidR="0085530B">
        <w:rPr>
          <w:sz w:val="24"/>
          <w:szCs w:val="24"/>
        </w:rPr>
        <w:t>adduced</w:t>
      </w:r>
      <w:r w:rsidR="00D726E5">
        <w:rPr>
          <w:sz w:val="24"/>
          <w:szCs w:val="24"/>
        </w:rPr>
        <w:t xml:space="preserve"> his facts </w:t>
      </w:r>
      <w:r w:rsidR="005B1208">
        <w:rPr>
          <w:sz w:val="24"/>
          <w:szCs w:val="24"/>
        </w:rPr>
        <w:t xml:space="preserve">in support </w:t>
      </w:r>
      <w:r w:rsidR="007B5544">
        <w:rPr>
          <w:sz w:val="24"/>
          <w:szCs w:val="24"/>
        </w:rPr>
        <w:t xml:space="preserve">of </w:t>
      </w:r>
      <w:r w:rsidR="005B1208">
        <w:rPr>
          <w:sz w:val="24"/>
          <w:szCs w:val="24"/>
        </w:rPr>
        <w:t>his opposition</w:t>
      </w:r>
      <w:r w:rsidR="00D726E5">
        <w:rPr>
          <w:sz w:val="24"/>
          <w:szCs w:val="24"/>
        </w:rPr>
        <w:t xml:space="preserve"> to </w:t>
      </w:r>
      <w:r w:rsidR="005B1208">
        <w:rPr>
          <w:sz w:val="24"/>
          <w:szCs w:val="24"/>
        </w:rPr>
        <w:t xml:space="preserve">the application are significant. </w:t>
      </w:r>
      <w:r w:rsidR="00196D22">
        <w:rPr>
          <w:sz w:val="24"/>
          <w:szCs w:val="24"/>
        </w:rPr>
        <w:t xml:space="preserve">His version, although rejected, speaks to the manner in which he viewed the company and his role as a director. They </w:t>
      </w:r>
      <w:r w:rsidR="00D74735">
        <w:rPr>
          <w:sz w:val="24"/>
          <w:szCs w:val="24"/>
        </w:rPr>
        <w:t xml:space="preserve">lead me to the ineluctable conclusion </w:t>
      </w:r>
      <w:r w:rsidR="00D726E5">
        <w:rPr>
          <w:sz w:val="24"/>
          <w:szCs w:val="24"/>
        </w:rPr>
        <w:t xml:space="preserve">that he </w:t>
      </w:r>
      <w:r w:rsidR="0085530B">
        <w:rPr>
          <w:sz w:val="24"/>
          <w:szCs w:val="24"/>
        </w:rPr>
        <w:t xml:space="preserve">considered himself </w:t>
      </w:r>
      <w:r w:rsidR="00D726E5">
        <w:rPr>
          <w:sz w:val="24"/>
          <w:szCs w:val="24"/>
        </w:rPr>
        <w:t>the owner of the company</w:t>
      </w:r>
      <w:r w:rsidR="0085530B">
        <w:rPr>
          <w:sz w:val="24"/>
          <w:szCs w:val="24"/>
        </w:rPr>
        <w:t>. He</w:t>
      </w:r>
      <w:r w:rsidR="00D74735">
        <w:rPr>
          <w:sz w:val="24"/>
          <w:szCs w:val="24"/>
        </w:rPr>
        <w:t xml:space="preserve"> claimed </w:t>
      </w:r>
      <w:r w:rsidR="0085530B">
        <w:rPr>
          <w:sz w:val="24"/>
          <w:szCs w:val="24"/>
        </w:rPr>
        <w:t xml:space="preserve">that he sold the company to Lefuma and the indemnity </w:t>
      </w:r>
      <w:r w:rsidR="00D74735">
        <w:rPr>
          <w:sz w:val="24"/>
          <w:szCs w:val="24"/>
        </w:rPr>
        <w:t xml:space="preserve">provided for by </w:t>
      </w:r>
      <w:r w:rsidR="0085530B">
        <w:rPr>
          <w:sz w:val="24"/>
          <w:szCs w:val="24"/>
        </w:rPr>
        <w:t>clause 6</w:t>
      </w:r>
      <w:r w:rsidR="00B039E4">
        <w:rPr>
          <w:sz w:val="24"/>
          <w:szCs w:val="24"/>
        </w:rPr>
        <w:t xml:space="preserve">, which </w:t>
      </w:r>
      <w:r w:rsidR="0085530B">
        <w:rPr>
          <w:sz w:val="24"/>
          <w:szCs w:val="24"/>
        </w:rPr>
        <w:t xml:space="preserve">he contended for related to the seller </w:t>
      </w:r>
      <w:r w:rsidR="00D74735">
        <w:rPr>
          <w:sz w:val="24"/>
          <w:szCs w:val="24"/>
        </w:rPr>
        <w:t xml:space="preserve">and </w:t>
      </w:r>
      <w:r w:rsidR="0085530B">
        <w:rPr>
          <w:sz w:val="24"/>
          <w:szCs w:val="24"/>
        </w:rPr>
        <w:t>not a director</w:t>
      </w:r>
      <w:r w:rsidR="00D74735">
        <w:rPr>
          <w:sz w:val="24"/>
          <w:szCs w:val="24"/>
        </w:rPr>
        <w:t>.</w:t>
      </w:r>
      <w:r w:rsidR="0085530B">
        <w:rPr>
          <w:sz w:val="24"/>
          <w:szCs w:val="24"/>
        </w:rPr>
        <w:t xml:space="preserve"> </w:t>
      </w:r>
    </w:p>
    <w:p w14:paraId="4F9454DB" w14:textId="161FF2E8" w:rsidR="008338F7" w:rsidRDefault="00130DB5" w:rsidP="002E524B">
      <w:pPr>
        <w:rPr>
          <w:sz w:val="24"/>
          <w:szCs w:val="24"/>
        </w:rPr>
      </w:pPr>
      <w:r>
        <w:rPr>
          <w:sz w:val="24"/>
          <w:szCs w:val="24"/>
        </w:rPr>
        <w:t>[25]</w:t>
      </w:r>
      <w:r>
        <w:rPr>
          <w:sz w:val="24"/>
          <w:szCs w:val="24"/>
        </w:rPr>
        <w:tab/>
      </w:r>
      <w:r w:rsidR="0085530B">
        <w:rPr>
          <w:sz w:val="24"/>
          <w:szCs w:val="24"/>
        </w:rPr>
        <w:t xml:space="preserve">Additionally as the director and owner, he </w:t>
      </w:r>
      <w:r w:rsidR="008338F7">
        <w:rPr>
          <w:sz w:val="24"/>
          <w:szCs w:val="24"/>
        </w:rPr>
        <w:t>acted with</w:t>
      </w:r>
      <w:r w:rsidR="0085530B">
        <w:rPr>
          <w:sz w:val="24"/>
          <w:szCs w:val="24"/>
        </w:rPr>
        <w:t xml:space="preserve"> </w:t>
      </w:r>
      <w:r w:rsidR="00B039E4">
        <w:rPr>
          <w:sz w:val="24"/>
          <w:szCs w:val="24"/>
        </w:rPr>
        <w:t>cavalier d</w:t>
      </w:r>
      <w:r w:rsidR="0085530B">
        <w:rPr>
          <w:sz w:val="24"/>
          <w:szCs w:val="24"/>
        </w:rPr>
        <w:t>isregard for the interests of the company</w:t>
      </w:r>
      <w:r w:rsidR="00D74735">
        <w:rPr>
          <w:sz w:val="24"/>
          <w:szCs w:val="24"/>
        </w:rPr>
        <w:t>. H</w:t>
      </w:r>
      <w:r w:rsidR="0085530B">
        <w:rPr>
          <w:sz w:val="24"/>
          <w:szCs w:val="24"/>
        </w:rPr>
        <w:t>e allowed judgment to be taken against</w:t>
      </w:r>
      <w:r w:rsidR="00D74735">
        <w:rPr>
          <w:sz w:val="24"/>
          <w:szCs w:val="24"/>
        </w:rPr>
        <w:t xml:space="preserve"> the company </w:t>
      </w:r>
      <w:r w:rsidR="0085530B">
        <w:rPr>
          <w:sz w:val="24"/>
          <w:szCs w:val="24"/>
        </w:rPr>
        <w:t>by default</w:t>
      </w:r>
      <w:r w:rsidR="00DA09A6">
        <w:rPr>
          <w:sz w:val="24"/>
          <w:szCs w:val="24"/>
        </w:rPr>
        <w:t xml:space="preserve"> by failing to properly instruct </w:t>
      </w:r>
      <w:r w:rsidR="00B039E4">
        <w:rPr>
          <w:sz w:val="24"/>
          <w:szCs w:val="24"/>
        </w:rPr>
        <w:t xml:space="preserve">new </w:t>
      </w:r>
      <w:r w:rsidR="00DA09A6">
        <w:rPr>
          <w:sz w:val="24"/>
          <w:szCs w:val="24"/>
        </w:rPr>
        <w:t xml:space="preserve">attorneys or </w:t>
      </w:r>
      <w:r w:rsidR="00B039E4">
        <w:rPr>
          <w:sz w:val="24"/>
          <w:szCs w:val="24"/>
        </w:rPr>
        <w:t xml:space="preserve">himself </w:t>
      </w:r>
      <w:r w:rsidR="00DA09A6">
        <w:rPr>
          <w:sz w:val="24"/>
          <w:szCs w:val="24"/>
        </w:rPr>
        <w:t>continu</w:t>
      </w:r>
      <w:r w:rsidR="00B039E4">
        <w:rPr>
          <w:sz w:val="24"/>
          <w:szCs w:val="24"/>
        </w:rPr>
        <w:t xml:space="preserve">ing </w:t>
      </w:r>
      <w:r w:rsidR="00DA09A6">
        <w:rPr>
          <w:sz w:val="24"/>
          <w:szCs w:val="24"/>
        </w:rPr>
        <w:t>with the defence for the company</w:t>
      </w:r>
      <w:r w:rsidR="00B039E4">
        <w:rPr>
          <w:sz w:val="24"/>
          <w:szCs w:val="24"/>
        </w:rPr>
        <w:t xml:space="preserve"> after August 2018</w:t>
      </w:r>
      <w:r w:rsidR="00DA09A6">
        <w:rPr>
          <w:sz w:val="24"/>
          <w:szCs w:val="24"/>
        </w:rPr>
        <w:t>.</w:t>
      </w:r>
      <w:r w:rsidR="00F30849">
        <w:rPr>
          <w:sz w:val="24"/>
          <w:szCs w:val="24"/>
        </w:rPr>
        <w:t xml:space="preserve"> He provide</w:t>
      </w:r>
      <w:r w:rsidR="00B039E4">
        <w:rPr>
          <w:sz w:val="24"/>
          <w:szCs w:val="24"/>
        </w:rPr>
        <w:t>d</w:t>
      </w:r>
      <w:r w:rsidR="00F30849">
        <w:rPr>
          <w:sz w:val="24"/>
          <w:szCs w:val="24"/>
        </w:rPr>
        <w:t xml:space="preserve"> no explanation </w:t>
      </w:r>
      <w:r w:rsidR="00B039E4">
        <w:rPr>
          <w:sz w:val="24"/>
          <w:szCs w:val="24"/>
        </w:rPr>
        <w:t xml:space="preserve">or reason </w:t>
      </w:r>
      <w:r w:rsidR="00F30849">
        <w:rPr>
          <w:sz w:val="24"/>
          <w:szCs w:val="24"/>
        </w:rPr>
        <w:t>for his failure to do so.</w:t>
      </w:r>
      <w:r w:rsidR="0085530B">
        <w:rPr>
          <w:sz w:val="24"/>
          <w:szCs w:val="24"/>
        </w:rPr>
        <w:t xml:space="preserve"> </w:t>
      </w:r>
      <w:r w:rsidR="00D74735">
        <w:rPr>
          <w:sz w:val="24"/>
          <w:szCs w:val="24"/>
        </w:rPr>
        <w:t xml:space="preserve">He did </w:t>
      </w:r>
      <w:r w:rsidR="00DA09A6">
        <w:rPr>
          <w:sz w:val="24"/>
          <w:szCs w:val="24"/>
        </w:rPr>
        <w:t xml:space="preserve">not </w:t>
      </w:r>
      <w:r w:rsidR="0085530B">
        <w:rPr>
          <w:sz w:val="24"/>
          <w:szCs w:val="24"/>
        </w:rPr>
        <w:t xml:space="preserve">notify </w:t>
      </w:r>
      <w:r w:rsidR="00DA09A6">
        <w:rPr>
          <w:sz w:val="24"/>
          <w:szCs w:val="24"/>
        </w:rPr>
        <w:t xml:space="preserve">the </w:t>
      </w:r>
      <w:r w:rsidR="0085530B">
        <w:rPr>
          <w:sz w:val="24"/>
          <w:szCs w:val="24"/>
        </w:rPr>
        <w:t xml:space="preserve">purchaser of </w:t>
      </w:r>
      <w:r w:rsidR="008338F7">
        <w:rPr>
          <w:sz w:val="24"/>
          <w:szCs w:val="24"/>
        </w:rPr>
        <w:t>an existing legal action against the company and thereafter</w:t>
      </w:r>
      <w:r w:rsidR="00DA09A6">
        <w:rPr>
          <w:sz w:val="24"/>
          <w:szCs w:val="24"/>
        </w:rPr>
        <w:t xml:space="preserve"> sought </w:t>
      </w:r>
      <w:r w:rsidR="008338F7">
        <w:rPr>
          <w:sz w:val="24"/>
          <w:szCs w:val="24"/>
        </w:rPr>
        <w:t xml:space="preserve">to rely on an indemnity for himself in respect of that legal action. </w:t>
      </w:r>
      <w:r w:rsidR="00035F82">
        <w:rPr>
          <w:sz w:val="24"/>
          <w:szCs w:val="24"/>
        </w:rPr>
        <w:t xml:space="preserve">Such conduct is manifestly not in the best interest of the company and </w:t>
      </w:r>
      <w:r w:rsidR="00D1588B">
        <w:rPr>
          <w:sz w:val="24"/>
          <w:szCs w:val="24"/>
        </w:rPr>
        <w:t xml:space="preserve">may be considered reckless and dishonest. This conduct </w:t>
      </w:r>
      <w:r w:rsidR="00035F82">
        <w:rPr>
          <w:sz w:val="24"/>
          <w:szCs w:val="24"/>
        </w:rPr>
        <w:t xml:space="preserve">was </w:t>
      </w:r>
      <w:r w:rsidR="00D1588B">
        <w:rPr>
          <w:sz w:val="24"/>
          <w:szCs w:val="24"/>
        </w:rPr>
        <w:t>indubitably</w:t>
      </w:r>
      <w:r w:rsidR="00B039E4">
        <w:rPr>
          <w:sz w:val="24"/>
          <w:szCs w:val="24"/>
        </w:rPr>
        <w:t xml:space="preserve"> </w:t>
      </w:r>
      <w:r w:rsidR="008A3B96">
        <w:rPr>
          <w:sz w:val="24"/>
          <w:szCs w:val="24"/>
        </w:rPr>
        <w:t xml:space="preserve">with callous disregard for </w:t>
      </w:r>
      <w:r w:rsidR="00035F82">
        <w:rPr>
          <w:sz w:val="24"/>
          <w:szCs w:val="24"/>
        </w:rPr>
        <w:t>its e</w:t>
      </w:r>
      <w:r w:rsidR="008A3B96">
        <w:rPr>
          <w:sz w:val="24"/>
          <w:szCs w:val="24"/>
        </w:rPr>
        <w:t>ffect on the company</w:t>
      </w:r>
      <w:r w:rsidR="00B9576E">
        <w:rPr>
          <w:sz w:val="24"/>
          <w:szCs w:val="24"/>
        </w:rPr>
        <w:t xml:space="preserve"> as a separate legal entity and at a time when </w:t>
      </w:r>
      <w:r w:rsidR="00D1588B">
        <w:rPr>
          <w:sz w:val="24"/>
          <w:szCs w:val="24"/>
        </w:rPr>
        <w:t xml:space="preserve">he describes </w:t>
      </w:r>
      <w:r w:rsidR="00B9576E">
        <w:rPr>
          <w:sz w:val="24"/>
          <w:szCs w:val="24"/>
        </w:rPr>
        <w:t xml:space="preserve">its financial situation </w:t>
      </w:r>
      <w:r w:rsidR="00D1588B">
        <w:rPr>
          <w:sz w:val="24"/>
          <w:szCs w:val="24"/>
        </w:rPr>
        <w:t>as being</w:t>
      </w:r>
      <w:r w:rsidR="00B9576E">
        <w:rPr>
          <w:sz w:val="24"/>
          <w:szCs w:val="24"/>
        </w:rPr>
        <w:t xml:space="preserve"> parlous. </w:t>
      </w:r>
      <w:r w:rsidR="00035F82">
        <w:rPr>
          <w:sz w:val="24"/>
          <w:szCs w:val="24"/>
        </w:rPr>
        <w:t xml:space="preserve"> </w:t>
      </w:r>
      <w:r w:rsidR="00EA1ECD">
        <w:rPr>
          <w:sz w:val="24"/>
          <w:szCs w:val="24"/>
        </w:rPr>
        <w:t>Therefore,</w:t>
      </w:r>
      <w:r w:rsidR="00B039E4">
        <w:rPr>
          <w:sz w:val="24"/>
          <w:szCs w:val="24"/>
        </w:rPr>
        <w:t xml:space="preserve"> whilst </w:t>
      </w:r>
      <w:r w:rsidR="00DA09A6">
        <w:rPr>
          <w:sz w:val="24"/>
          <w:szCs w:val="24"/>
        </w:rPr>
        <w:t xml:space="preserve">a </w:t>
      </w:r>
      <w:r w:rsidR="00035F82">
        <w:rPr>
          <w:sz w:val="24"/>
          <w:szCs w:val="24"/>
        </w:rPr>
        <w:t>director is entitled to resi</w:t>
      </w:r>
      <w:r w:rsidR="00DA09A6">
        <w:rPr>
          <w:sz w:val="24"/>
          <w:szCs w:val="24"/>
        </w:rPr>
        <w:t xml:space="preserve">gn at any time, his </w:t>
      </w:r>
      <w:r w:rsidR="00035F82">
        <w:rPr>
          <w:sz w:val="24"/>
          <w:szCs w:val="24"/>
        </w:rPr>
        <w:t xml:space="preserve">resignation cannot be used as a means of evading </w:t>
      </w:r>
      <w:r w:rsidR="00DA09A6">
        <w:rPr>
          <w:sz w:val="24"/>
          <w:szCs w:val="24"/>
        </w:rPr>
        <w:t xml:space="preserve">his </w:t>
      </w:r>
      <w:r w:rsidR="00035F82">
        <w:rPr>
          <w:sz w:val="24"/>
          <w:szCs w:val="24"/>
        </w:rPr>
        <w:t>fiduciary duties</w:t>
      </w:r>
      <w:r w:rsidR="00DA09A6">
        <w:rPr>
          <w:sz w:val="24"/>
          <w:szCs w:val="24"/>
        </w:rPr>
        <w:t xml:space="preserve"> as a</w:t>
      </w:r>
      <w:r w:rsidR="00035F82">
        <w:rPr>
          <w:sz w:val="24"/>
          <w:szCs w:val="24"/>
        </w:rPr>
        <w:t xml:space="preserve"> director.</w:t>
      </w:r>
      <w:r w:rsidR="00035F82" w:rsidRPr="00035F82">
        <w:rPr>
          <w:rStyle w:val="FootnoteReference"/>
          <w:rFonts w:ascii="Arial" w:hAnsi="Arial"/>
          <w:sz w:val="20"/>
        </w:rPr>
        <w:footnoteReference w:id="8"/>
      </w:r>
      <w:r w:rsidR="00035F82">
        <w:rPr>
          <w:sz w:val="24"/>
          <w:szCs w:val="24"/>
        </w:rPr>
        <w:t xml:space="preserve"> </w:t>
      </w:r>
    </w:p>
    <w:p w14:paraId="1694E140" w14:textId="6E087B03" w:rsidR="00B25A2A" w:rsidRDefault="00130DB5" w:rsidP="000F0532">
      <w:pPr>
        <w:spacing w:after="120"/>
        <w:rPr>
          <w:sz w:val="24"/>
          <w:szCs w:val="24"/>
        </w:rPr>
      </w:pPr>
      <w:r>
        <w:rPr>
          <w:sz w:val="24"/>
          <w:szCs w:val="24"/>
        </w:rPr>
        <w:t>[26]</w:t>
      </w:r>
      <w:r>
        <w:rPr>
          <w:sz w:val="24"/>
          <w:szCs w:val="24"/>
        </w:rPr>
        <w:tab/>
      </w:r>
      <w:r w:rsidR="007557E8">
        <w:rPr>
          <w:sz w:val="24"/>
          <w:szCs w:val="24"/>
        </w:rPr>
        <w:t xml:space="preserve">The provisions of s 20(9) are similar to the provisions of s </w:t>
      </w:r>
      <w:r w:rsidR="00E52880">
        <w:rPr>
          <w:sz w:val="24"/>
          <w:szCs w:val="24"/>
        </w:rPr>
        <w:t xml:space="preserve">65 </w:t>
      </w:r>
      <w:r w:rsidR="00B25A2A">
        <w:rPr>
          <w:sz w:val="24"/>
          <w:szCs w:val="24"/>
        </w:rPr>
        <w:t xml:space="preserve">of the </w:t>
      </w:r>
      <w:r w:rsidR="00E52880">
        <w:rPr>
          <w:sz w:val="24"/>
          <w:szCs w:val="24"/>
        </w:rPr>
        <w:t>C</w:t>
      </w:r>
      <w:r w:rsidR="00B25A2A">
        <w:rPr>
          <w:sz w:val="24"/>
          <w:szCs w:val="24"/>
        </w:rPr>
        <w:t xml:space="preserve">lose </w:t>
      </w:r>
      <w:r w:rsidR="00E52880">
        <w:rPr>
          <w:sz w:val="24"/>
          <w:szCs w:val="24"/>
        </w:rPr>
        <w:t>C</w:t>
      </w:r>
      <w:r w:rsidR="00B25A2A">
        <w:rPr>
          <w:sz w:val="24"/>
          <w:szCs w:val="24"/>
        </w:rPr>
        <w:t>orporation</w:t>
      </w:r>
      <w:r w:rsidR="00E52880">
        <w:rPr>
          <w:sz w:val="24"/>
          <w:szCs w:val="24"/>
        </w:rPr>
        <w:t>s A</w:t>
      </w:r>
      <w:r w:rsidR="00B25A2A">
        <w:rPr>
          <w:sz w:val="24"/>
          <w:szCs w:val="24"/>
        </w:rPr>
        <w:t>ct 69 of 1984</w:t>
      </w:r>
      <w:r w:rsidR="00B039E4">
        <w:rPr>
          <w:sz w:val="24"/>
          <w:szCs w:val="24"/>
        </w:rPr>
        <w:t xml:space="preserve"> (the CC Act)</w:t>
      </w:r>
      <w:r>
        <w:rPr>
          <w:sz w:val="24"/>
          <w:szCs w:val="24"/>
        </w:rPr>
        <w:t>,</w:t>
      </w:r>
      <w:r w:rsidR="00B039E4">
        <w:rPr>
          <w:sz w:val="24"/>
          <w:szCs w:val="24"/>
        </w:rPr>
        <w:t xml:space="preserve"> which </w:t>
      </w:r>
      <w:r w:rsidR="00665600">
        <w:rPr>
          <w:sz w:val="24"/>
          <w:szCs w:val="24"/>
        </w:rPr>
        <w:t>enables a court in appropriate circumstances to disregard the separate legal personality of a close corporation in instances of ‘gross abuse of the juristic personality of the corporation as a separate entity.’</w:t>
      </w:r>
      <w:r w:rsidR="007557E8">
        <w:rPr>
          <w:sz w:val="24"/>
          <w:szCs w:val="24"/>
        </w:rPr>
        <w:t xml:space="preserve"> </w:t>
      </w:r>
      <w:r w:rsidR="00B25A2A">
        <w:rPr>
          <w:sz w:val="24"/>
          <w:szCs w:val="24"/>
        </w:rPr>
        <w:t>In</w:t>
      </w:r>
      <w:r w:rsidR="007B012B">
        <w:rPr>
          <w:sz w:val="24"/>
          <w:szCs w:val="24"/>
        </w:rPr>
        <w:t xml:space="preserve"> a case that addressed </w:t>
      </w:r>
      <w:r w:rsidR="00B25A2A">
        <w:rPr>
          <w:sz w:val="24"/>
          <w:szCs w:val="24"/>
        </w:rPr>
        <w:t>s</w:t>
      </w:r>
      <w:r w:rsidR="007B012B">
        <w:rPr>
          <w:sz w:val="24"/>
          <w:szCs w:val="24"/>
        </w:rPr>
        <w:t>s</w:t>
      </w:r>
      <w:r w:rsidR="00B25A2A">
        <w:rPr>
          <w:sz w:val="24"/>
          <w:szCs w:val="24"/>
        </w:rPr>
        <w:t xml:space="preserve"> 64</w:t>
      </w:r>
      <w:r w:rsidR="007B012B">
        <w:rPr>
          <w:sz w:val="24"/>
          <w:szCs w:val="24"/>
        </w:rPr>
        <w:t xml:space="preserve">(1) and s 65 </w:t>
      </w:r>
      <w:r w:rsidR="00B25A2A">
        <w:rPr>
          <w:sz w:val="24"/>
          <w:szCs w:val="24"/>
        </w:rPr>
        <w:t xml:space="preserve">of </w:t>
      </w:r>
      <w:r w:rsidR="00E52880">
        <w:rPr>
          <w:sz w:val="24"/>
          <w:szCs w:val="24"/>
        </w:rPr>
        <w:t>the CC Act</w:t>
      </w:r>
      <w:r w:rsidR="00B25A2A">
        <w:rPr>
          <w:sz w:val="24"/>
          <w:szCs w:val="24"/>
        </w:rPr>
        <w:t xml:space="preserve">, </w:t>
      </w:r>
      <w:r w:rsidR="00D726E5">
        <w:rPr>
          <w:i/>
          <w:sz w:val="24"/>
          <w:szCs w:val="24"/>
        </w:rPr>
        <w:t>Ebrahim and Another v Airport Cold Storage (Pty) Ltd</w:t>
      </w:r>
      <w:r w:rsidR="00E52880">
        <w:rPr>
          <w:i/>
          <w:sz w:val="24"/>
          <w:szCs w:val="24"/>
        </w:rPr>
        <w:t>,</w:t>
      </w:r>
      <w:r w:rsidR="00D726E5" w:rsidRPr="00D726E5">
        <w:rPr>
          <w:rStyle w:val="FootnoteReference"/>
          <w:rFonts w:ascii="Arial" w:hAnsi="Arial"/>
          <w:i/>
          <w:sz w:val="20"/>
        </w:rPr>
        <w:footnoteReference w:id="9"/>
      </w:r>
      <w:r w:rsidR="00D726E5">
        <w:rPr>
          <w:sz w:val="24"/>
          <w:szCs w:val="24"/>
        </w:rPr>
        <w:t xml:space="preserve"> </w:t>
      </w:r>
      <w:r w:rsidR="008629DF">
        <w:rPr>
          <w:sz w:val="24"/>
          <w:szCs w:val="24"/>
        </w:rPr>
        <w:t>Cameron JA</w:t>
      </w:r>
      <w:r w:rsidR="00F6247E">
        <w:rPr>
          <w:sz w:val="24"/>
          <w:szCs w:val="24"/>
        </w:rPr>
        <w:t xml:space="preserve"> </w:t>
      </w:r>
      <w:r w:rsidR="00D726E5">
        <w:rPr>
          <w:sz w:val="24"/>
          <w:szCs w:val="24"/>
        </w:rPr>
        <w:t>explained that</w:t>
      </w:r>
      <w:r w:rsidR="00B25A2A">
        <w:rPr>
          <w:sz w:val="24"/>
          <w:szCs w:val="24"/>
        </w:rPr>
        <w:t>:</w:t>
      </w:r>
    </w:p>
    <w:p w14:paraId="698B772F" w14:textId="2783C563" w:rsidR="00D726E5" w:rsidRPr="00B25A2A" w:rsidRDefault="00EF38FF" w:rsidP="000F0532">
      <w:pPr>
        <w:spacing w:after="120"/>
        <w:rPr>
          <w:i/>
          <w:sz w:val="22"/>
          <w:szCs w:val="22"/>
        </w:rPr>
      </w:pPr>
      <w:r>
        <w:rPr>
          <w:i/>
          <w:sz w:val="22"/>
          <w:szCs w:val="22"/>
        </w:rPr>
        <w:t>‘[i</w:t>
      </w:r>
      <w:r w:rsidR="00B25A2A" w:rsidRPr="00B25A2A">
        <w:rPr>
          <w:i/>
          <w:sz w:val="22"/>
          <w:szCs w:val="22"/>
        </w:rPr>
        <w:t>]</w:t>
      </w:r>
      <w:r>
        <w:rPr>
          <w:i/>
          <w:sz w:val="22"/>
          <w:szCs w:val="22"/>
        </w:rPr>
        <w:t>t is an apposite truism that close corporations and companies are imbued with identity only by virtue of statute. In this sense their separate existence remains a figment of law, liable to be curtailed or withdrawn when the objects of their creation are abused or thwarted. T</w:t>
      </w:r>
      <w:r w:rsidR="00B25A2A" w:rsidRPr="00B25A2A">
        <w:rPr>
          <w:i/>
          <w:sz w:val="22"/>
          <w:szCs w:val="22"/>
        </w:rPr>
        <w:t>he section retracts the fundamental attribute of corporate personality, namely separate legal existence, with its corollary of autonomous and independent liability for debts, when the level of mismanagement of the corporation’s affairs exceeds the merely inept or incompetent and becomes heedlessly gross or dishonest. The provision in effect exacts a quid pro quo: for the benefit of immunity from liability for its debts, those running the corporation may not use its formal identity to incur obligations recklessly, gross</w:t>
      </w:r>
      <w:r w:rsidR="008629DF">
        <w:rPr>
          <w:i/>
          <w:sz w:val="22"/>
          <w:szCs w:val="22"/>
        </w:rPr>
        <w:t>ly</w:t>
      </w:r>
      <w:r w:rsidR="00B25A2A" w:rsidRPr="00B25A2A">
        <w:rPr>
          <w:i/>
          <w:sz w:val="22"/>
          <w:szCs w:val="22"/>
        </w:rPr>
        <w:t xml:space="preserve"> negligently or fraudulently. If they do, they risk being made personally liable.’</w:t>
      </w:r>
      <w:r w:rsidR="00B9576E" w:rsidRPr="00B9576E">
        <w:rPr>
          <w:rStyle w:val="FootnoteReference"/>
          <w:rFonts w:ascii="Arial" w:hAnsi="Arial"/>
          <w:i/>
          <w:sz w:val="20"/>
        </w:rPr>
        <w:footnoteReference w:id="10"/>
      </w:r>
    </w:p>
    <w:p w14:paraId="249C1D11" w14:textId="47933600" w:rsidR="00C6072F" w:rsidRDefault="00130DB5" w:rsidP="00683A4D">
      <w:pPr>
        <w:rPr>
          <w:sz w:val="24"/>
          <w:szCs w:val="24"/>
        </w:rPr>
      </w:pPr>
      <w:r>
        <w:rPr>
          <w:sz w:val="24"/>
          <w:szCs w:val="24"/>
        </w:rPr>
        <w:t>[27]</w:t>
      </w:r>
      <w:r>
        <w:rPr>
          <w:sz w:val="24"/>
          <w:szCs w:val="24"/>
        </w:rPr>
        <w:tab/>
      </w:r>
      <w:r w:rsidR="00683A4D">
        <w:rPr>
          <w:sz w:val="24"/>
          <w:szCs w:val="24"/>
        </w:rPr>
        <w:t xml:space="preserve">The director also contends that reference to similar matters constitutes similar fact evidence, which is ordinarily inadmissible and should be ignored. </w:t>
      </w:r>
      <w:r w:rsidR="00AD47EC">
        <w:rPr>
          <w:sz w:val="24"/>
          <w:szCs w:val="24"/>
        </w:rPr>
        <w:t xml:space="preserve">He contends that reference to a court judgment in a matter in which the company was a </w:t>
      </w:r>
      <w:r w:rsidR="00B039E4">
        <w:rPr>
          <w:sz w:val="24"/>
          <w:szCs w:val="24"/>
        </w:rPr>
        <w:t xml:space="preserve">respondent </w:t>
      </w:r>
      <w:r w:rsidR="00AD47EC">
        <w:rPr>
          <w:sz w:val="24"/>
          <w:szCs w:val="24"/>
        </w:rPr>
        <w:t xml:space="preserve">should be ignored. The default </w:t>
      </w:r>
      <w:r w:rsidR="00EA1ECD">
        <w:rPr>
          <w:sz w:val="24"/>
          <w:szCs w:val="24"/>
        </w:rPr>
        <w:t>position</w:t>
      </w:r>
      <w:r w:rsidR="00B039E4">
        <w:rPr>
          <w:sz w:val="24"/>
          <w:szCs w:val="24"/>
        </w:rPr>
        <w:t xml:space="preserve"> however</w:t>
      </w:r>
      <w:r w:rsidR="00AD47EC">
        <w:rPr>
          <w:sz w:val="24"/>
          <w:szCs w:val="24"/>
        </w:rPr>
        <w:t xml:space="preserve"> is court proceedings and court documents are public.</w:t>
      </w:r>
      <w:r w:rsidR="00AD47EC" w:rsidRPr="00752E6E">
        <w:rPr>
          <w:rStyle w:val="FootnoteReference"/>
          <w:rFonts w:ascii="Arial" w:hAnsi="Arial"/>
          <w:sz w:val="20"/>
        </w:rPr>
        <w:footnoteReference w:id="11"/>
      </w:r>
      <w:r w:rsidR="00F6247E">
        <w:rPr>
          <w:sz w:val="24"/>
          <w:szCs w:val="24"/>
        </w:rPr>
        <w:t xml:space="preserve"> No reason has been advance</w:t>
      </w:r>
      <w:r w:rsidR="007B5544">
        <w:rPr>
          <w:sz w:val="24"/>
          <w:szCs w:val="24"/>
        </w:rPr>
        <w:t>d</w:t>
      </w:r>
      <w:r w:rsidR="00F6247E">
        <w:rPr>
          <w:sz w:val="24"/>
          <w:szCs w:val="24"/>
        </w:rPr>
        <w:t xml:space="preserve"> for</w:t>
      </w:r>
      <w:r w:rsidR="00EA0633">
        <w:rPr>
          <w:sz w:val="24"/>
          <w:szCs w:val="24"/>
        </w:rPr>
        <w:t xml:space="preserve"> this Court to deviate</w:t>
      </w:r>
      <w:r w:rsidR="00F6247E">
        <w:rPr>
          <w:sz w:val="24"/>
          <w:szCs w:val="24"/>
        </w:rPr>
        <w:t xml:space="preserve"> from this position</w:t>
      </w:r>
      <w:r w:rsidR="00B039E4">
        <w:rPr>
          <w:sz w:val="24"/>
          <w:szCs w:val="24"/>
        </w:rPr>
        <w:t xml:space="preserve"> in this matter</w:t>
      </w:r>
      <w:r w:rsidR="00F6247E">
        <w:rPr>
          <w:sz w:val="24"/>
          <w:szCs w:val="24"/>
        </w:rPr>
        <w:t xml:space="preserve">. </w:t>
      </w:r>
      <w:r w:rsidR="00E12151">
        <w:rPr>
          <w:sz w:val="24"/>
          <w:szCs w:val="24"/>
        </w:rPr>
        <w:t>Accordingly,</w:t>
      </w:r>
      <w:r w:rsidR="00F6247E">
        <w:rPr>
          <w:sz w:val="24"/>
          <w:szCs w:val="24"/>
        </w:rPr>
        <w:t xml:space="preserve"> </w:t>
      </w:r>
      <w:r w:rsidR="00E12151">
        <w:rPr>
          <w:sz w:val="24"/>
          <w:szCs w:val="24"/>
        </w:rPr>
        <w:t xml:space="preserve">I now </w:t>
      </w:r>
      <w:r w:rsidR="00B039E4">
        <w:rPr>
          <w:sz w:val="24"/>
          <w:szCs w:val="24"/>
        </w:rPr>
        <w:t>refer</w:t>
      </w:r>
      <w:r w:rsidR="00E12151">
        <w:rPr>
          <w:sz w:val="24"/>
          <w:szCs w:val="24"/>
        </w:rPr>
        <w:t xml:space="preserve"> to</w:t>
      </w:r>
      <w:r w:rsidR="00F6247E">
        <w:rPr>
          <w:sz w:val="24"/>
          <w:szCs w:val="24"/>
        </w:rPr>
        <w:t xml:space="preserve"> the unreported judgment </w:t>
      </w:r>
      <w:r w:rsidR="00C6072F">
        <w:rPr>
          <w:sz w:val="24"/>
          <w:szCs w:val="24"/>
        </w:rPr>
        <w:t xml:space="preserve">of </w:t>
      </w:r>
      <w:r w:rsidR="00E12151">
        <w:rPr>
          <w:sz w:val="24"/>
          <w:szCs w:val="24"/>
        </w:rPr>
        <w:t xml:space="preserve">Mudau J </w:t>
      </w:r>
      <w:r w:rsidR="00C6072F">
        <w:rPr>
          <w:sz w:val="24"/>
          <w:szCs w:val="24"/>
        </w:rPr>
        <w:t xml:space="preserve">in the matter </w:t>
      </w:r>
      <w:r w:rsidR="00E12151">
        <w:rPr>
          <w:sz w:val="24"/>
          <w:szCs w:val="24"/>
        </w:rPr>
        <w:t xml:space="preserve">of </w:t>
      </w:r>
      <w:r w:rsidR="00E12151">
        <w:rPr>
          <w:i/>
          <w:sz w:val="24"/>
          <w:szCs w:val="24"/>
        </w:rPr>
        <w:t>Rocker v Alegrand General Dealers and Auctioneers (Pty) Ltd t/a Grand Auctions.</w:t>
      </w:r>
      <w:r w:rsidR="00E12151" w:rsidRPr="00E12151">
        <w:rPr>
          <w:rStyle w:val="FootnoteReference"/>
          <w:rFonts w:ascii="Arial" w:hAnsi="Arial"/>
          <w:i/>
          <w:sz w:val="20"/>
        </w:rPr>
        <w:footnoteReference w:id="12"/>
      </w:r>
      <w:r w:rsidR="00F6247E">
        <w:rPr>
          <w:sz w:val="24"/>
          <w:szCs w:val="24"/>
        </w:rPr>
        <w:t xml:space="preserve"> </w:t>
      </w:r>
      <w:r w:rsidR="00E12151">
        <w:rPr>
          <w:sz w:val="24"/>
          <w:szCs w:val="24"/>
        </w:rPr>
        <w:t xml:space="preserve">In this matter, </w:t>
      </w:r>
      <w:r w:rsidR="00F6247E">
        <w:rPr>
          <w:sz w:val="24"/>
          <w:szCs w:val="24"/>
        </w:rPr>
        <w:t>the company was the respondent in an opposed application in which the applicant</w:t>
      </w:r>
      <w:r w:rsidR="00C6072F">
        <w:rPr>
          <w:sz w:val="24"/>
          <w:szCs w:val="24"/>
        </w:rPr>
        <w:t>, Rocker</w:t>
      </w:r>
      <w:r w:rsidR="00F6247E">
        <w:rPr>
          <w:sz w:val="24"/>
          <w:szCs w:val="24"/>
        </w:rPr>
        <w:t xml:space="preserve"> sought cancellation of a</w:t>
      </w:r>
      <w:r w:rsidR="00C6072F">
        <w:rPr>
          <w:sz w:val="24"/>
          <w:szCs w:val="24"/>
        </w:rPr>
        <w:t xml:space="preserve"> </w:t>
      </w:r>
      <w:r w:rsidR="00F6247E">
        <w:rPr>
          <w:sz w:val="24"/>
          <w:szCs w:val="24"/>
        </w:rPr>
        <w:t>sales agreement based on an alleged misrepresentation by the respondent. An order was sought, inter alia, compelling the respondent to refund the purchase price</w:t>
      </w:r>
      <w:r w:rsidR="00C6072F">
        <w:rPr>
          <w:sz w:val="24"/>
          <w:szCs w:val="24"/>
        </w:rPr>
        <w:t xml:space="preserve"> of the motor vehicle purchased under the sales agreement</w:t>
      </w:r>
      <w:r w:rsidR="00F6247E">
        <w:rPr>
          <w:sz w:val="24"/>
          <w:szCs w:val="24"/>
        </w:rPr>
        <w:t>.</w:t>
      </w:r>
      <w:r w:rsidR="00C6072F">
        <w:rPr>
          <w:sz w:val="24"/>
          <w:szCs w:val="24"/>
        </w:rPr>
        <w:t xml:space="preserve"> </w:t>
      </w:r>
    </w:p>
    <w:p w14:paraId="39E920D9" w14:textId="61B5E973" w:rsidR="00683A4D" w:rsidRDefault="00130DB5" w:rsidP="00683A4D">
      <w:pPr>
        <w:rPr>
          <w:sz w:val="24"/>
          <w:szCs w:val="24"/>
        </w:rPr>
      </w:pPr>
      <w:r>
        <w:rPr>
          <w:sz w:val="24"/>
          <w:szCs w:val="24"/>
        </w:rPr>
        <w:t>[28]</w:t>
      </w:r>
      <w:r>
        <w:rPr>
          <w:sz w:val="24"/>
          <w:szCs w:val="24"/>
        </w:rPr>
        <w:tab/>
      </w:r>
      <w:r w:rsidR="00E12151">
        <w:rPr>
          <w:sz w:val="24"/>
          <w:szCs w:val="24"/>
        </w:rPr>
        <w:t>Notably</w:t>
      </w:r>
      <w:r w:rsidR="00C6072F">
        <w:rPr>
          <w:sz w:val="24"/>
          <w:szCs w:val="24"/>
        </w:rPr>
        <w:t>,</w:t>
      </w:r>
      <w:r w:rsidR="00E12151">
        <w:rPr>
          <w:sz w:val="24"/>
          <w:szCs w:val="24"/>
        </w:rPr>
        <w:t xml:space="preserve"> the court recorded the crux of the respondent’s case </w:t>
      </w:r>
      <w:r w:rsidR="00174CE4">
        <w:rPr>
          <w:sz w:val="24"/>
          <w:szCs w:val="24"/>
        </w:rPr>
        <w:t xml:space="preserve">as being that </w:t>
      </w:r>
      <w:r w:rsidR="00D82983">
        <w:rPr>
          <w:sz w:val="24"/>
          <w:szCs w:val="24"/>
        </w:rPr>
        <w:t xml:space="preserve">the applicant </w:t>
      </w:r>
      <w:r w:rsidR="00E12151">
        <w:rPr>
          <w:sz w:val="24"/>
          <w:szCs w:val="24"/>
        </w:rPr>
        <w:t xml:space="preserve">purchased </w:t>
      </w:r>
      <w:r w:rsidR="00D82983">
        <w:rPr>
          <w:sz w:val="24"/>
          <w:szCs w:val="24"/>
        </w:rPr>
        <w:t xml:space="preserve">the </w:t>
      </w:r>
      <w:r w:rsidR="00C6072F">
        <w:rPr>
          <w:sz w:val="24"/>
          <w:szCs w:val="24"/>
        </w:rPr>
        <w:t xml:space="preserve">motor </w:t>
      </w:r>
      <w:r w:rsidR="00D82983">
        <w:rPr>
          <w:sz w:val="24"/>
          <w:szCs w:val="24"/>
        </w:rPr>
        <w:t xml:space="preserve">vehicle in question ‘as is’; that he inspected the vehicle prior to the auction; was aware of the terms and conditions attached to bidding for a vehicle at the company’s auctions and he bound himself </w:t>
      </w:r>
      <w:r w:rsidR="00174CE4">
        <w:rPr>
          <w:sz w:val="24"/>
          <w:szCs w:val="24"/>
        </w:rPr>
        <w:t xml:space="preserve">to </w:t>
      </w:r>
      <w:r w:rsidR="00D82983">
        <w:rPr>
          <w:sz w:val="24"/>
          <w:szCs w:val="24"/>
        </w:rPr>
        <w:t>these t</w:t>
      </w:r>
      <w:r w:rsidR="00C6072F">
        <w:rPr>
          <w:sz w:val="24"/>
          <w:szCs w:val="24"/>
        </w:rPr>
        <w:t>erms and conditions. Regardless and</w:t>
      </w:r>
      <w:r w:rsidR="00D82983">
        <w:rPr>
          <w:sz w:val="24"/>
          <w:szCs w:val="24"/>
        </w:rPr>
        <w:t xml:space="preserve"> </w:t>
      </w:r>
      <w:r w:rsidR="00174CE4">
        <w:rPr>
          <w:sz w:val="24"/>
          <w:szCs w:val="24"/>
        </w:rPr>
        <w:t xml:space="preserve">based on the facts, </w:t>
      </w:r>
      <w:r w:rsidR="00D82983">
        <w:rPr>
          <w:sz w:val="24"/>
          <w:szCs w:val="24"/>
        </w:rPr>
        <w:t>Mudua J concluded that the respondent accepted the misrepresentation with regard to the</w:t>
      </w:r>
      <w:r w:rsidR="00C6072F">
        <w:rPr>
          <w:sz w:val="24"/>
          <w:szCs w:val="24"/>
        </w:rPr>
        <w:t xml:space="preserve"> motor</w:t>
      </w:r>
      <w:r w:rsidR="00D82983">
        <w:rPr>
          <w:sz w:val="24"/>
          <w:szCs w:val="24"/>
        </w:rPr>
        <w:t xml:space="preserve"> vehicle’s engine capacity and that such misrepresentation was material when it accepted the return of the</w:t>
      </w:r>
      <w:r w:rsidR="00C6072F">
        <w:rPr>
          <w:sz w:val="24"/>
          <w:szCs w:val="24"/>
        </w:rPr>
        <w:t xml:space="preserve"> motor</w:t>
      </w:r>
      <w:r w:rsidR="00D82983">
        <w:rPr>
          <w:sz w:val="24"/>
          <w:szCs w:val="24"/>
        </w:rPr>
        <w:t xml:space="preserve"> vehicle</w:t>
      </w:r>
      <w:r w:rsidR="00174CE4">
        <w:rPr>
          <w:sz w:val="24"/>
          <w:szCs w:val="24"/>
        </w:rPr>
        <w:t>. The respondent was ordered to, inter alia, pay the applicant the purchase price</w:t>
      </w:r>
      <w:r w:rsidR="00C6072F">
        <w:rPr>
          <w:sz w:val="24"/>
          <w:szCs w:val="24"/>
        </w:rPr>
        <w:t xml:space="preserve"> of the motor vehicle</w:t>
      </w:r>
      <w:r w:rsidR="00174CE4">
        <w:rPr>
          <w:sz w:val="24"/>
          <w:szCs w:val="24"/>
        </w:rPr>
        <w:t xml:space="preserve">. </w:t>
      </w:r>
    </w:p>
    <w:p w14:paraId="123D84E0" w14:textId="3DADEE00" w:rsidR="002F2158" w:rsidRDefault="00130DB5" w:rsidP="00683A4D">
      <w:pPr>
        <w:rPr>
          <w:sz w:val="24"/>
          <w:szCs w:val="24"/>
        </w:rPr>
      </w:pPr>
      <w:r>
        <w:rPr>
          <w:sz w:val="24"/>
          <w:szCs w:val="24"/>
        </w:rPr>
        <w:t>[29]</w:t>
      </w:r>
      <w:r>
        <w:rPr>
          <w:sz w:val="24"/>
          <w:szCs w:val="24"/>
        </w:rPr>
        <w:tab/>
      </w:r>
      <w:r w:rsidR="00174CE4">
        <w:rPr>
          <w:sz w:val="24"/>
          <w:szCs w:val="24"/>
        </w:rPr>
        <w:t>This judgment was delivered on</w:t>
      </w:r>
      <w:r w:rsidR="007B5544">
        <w:rPr>
          <w:sz w:val="24"/>
          <w:szCs w:val="24"/>
        </w:rPr>
        <w:t xml:space="preserve"> </w:t>
      </w:r>
      <w:r w:rsidR="00174CE4">
        <w:rPr>
          <w:sz w:val="24"/>
          <w:szCs w:val="24"/>
        </w:rPr>
        <w:t xml:space="preserve">1 December 2017 and the </w:t>
      </w:r>
      <w:r w:rsidR="00EA1ECD">
        <w:rPr>
          <w:sz w:val="24"/>
          <w:szCs w:val="24"/>
        </w:rPr>
        <w:t>director’s current attorneys represented the company in this matter</w:t>
      </w:r>
      <w:r w:rsidR="00174CE4">
        <w:rPr>
          <w:sz w:val="24"/>
          <w:szCs w:val="24"/>
        </w:rPr>
        <w:t xml:space="preserve">. The director is </w:t>
      </w:r>
      <w:r w:rsidR="00DA4D1C">
        <w:rPr>
          <w:sz w:val="24"/>
          <w:szCs w:val="24"/>
        </w:rPr>
        <w:t xml:space="preserve">referred to in the judgment as the company’s </w:t>
      </w:r>
      <w:r w:rsidR="002F2158">
        <w:rPr>
          <w:sz w:val="24"/>
          <w:szCs w:val="24"/>
        </w:rPr>
        <w:t xml:space="preserve">representative. </w:t>
      </w:r>
      <w:r w:rsidR="00174CE4">
        <w:rPr>
          <w:sz w:val="24"/>
          <w:szCs w:val="24"/>
        </w:rPr>
        <w:t xml:space="preserve">The </w:t>
      </w:r>
      <w:r w:rsidR="00C6072F">
        <w:rPr>
          <w:sz w:val="24"/>
          <w:szCs w:val="24"/>
        </w:rPr>
        <w:t xml:space="preserve">company’s </w:t>
      </w:r>
      <w:r w:rsidR="00174CE4">
        <w:rPr>
          <w:sz w:val="24"/>
          <w:szCs w:val="24"/>
        </w:rPr>
        <w:t xml:space="preserve">defence </w:t>
      </w:r>
      <w:r w:rsidR="00C6072F">
        <w:rPr>
          <w:sz w:val="24"/>
          <w:szCs w:val="24"/>
        </w:rPr>
        <w:t xml:space="preserve">in the </w:t>
      </w:r>
      <w:r w:rsidR="00C6072F">
        <w:rPr>
          <w:i/>
          <w:sz w:val="24"/>
          <w:szCs w:val="24"/>
        </w:rPr>
        <w:t xml:space="preserve">Rocker </w:t>
      </w:r>
      <w:r w:rsidR="00C6072F">
        <w:rPr>
          <w:sz w:val="24"/>
          <w:szCs w:val="24"/>
        </w:rPr>
        <w:t xml:space="preserve">matter </w:t>
      </w:r>
      <w:r w:rsidR="00174CE4">
        <w:rPr>
          <w:sz w:val="24"/>
          <w:szCs w:val="24"/>
        </w:rPr>
        <w:t xml:space="preserve">is more </w:t>
      </w:r>
      <w:r w:rsidR="007B5544">
        <w:rPr>
          <w:sz w:val="24"/>
          <w:szCs w:val="24"/>
        </w:rPr>
        <w:t>or</w:t>
      </w:r>
      <w:r w:rsidR="00174CE4">
        <w:rPr>
          <w:sz w:val="24"/>
          <w:szCs w:val="24"/>
        </w:rPr>
        <w:t xml:space="preserve"> less similar to the defence raised </w:t>
      </w:r>
      <w:r w:rsidR="00C6072F">
        <w:rPr>
          <w:sz w:val="24"/>
          <w:szCs w:val="24"/>
        </w:rPr>
        <w:t xml:space="preserve">by the director </w:t>
      </w:r>
      <w:r w:rsidR="00174CE4">
        <w:rPr>
          <w:sz w:val="24"/>
          <w:szCs w:val="24"/>
        </w:rPr>
        <w:t>on behalf of the company in</w:t>
      </w:r>
      <w:r w:rsidR="00C6072F">
        <w:rPr>
          <w:sz w:val="24"/>
          <w:szCs w:val="24"/>
        </w:rPr>
        <w:t xml:space="preserve"> the</w:t>
      </w:r>
      <w:r w:rsidR="00174CE4">
        <w:rPr>
          <w:sz w:val="24"/>
          <w:szCs w:val="24"/>
        </w:rPr>
        <w:t xml:space="preserve"> </w:t>
      </w:r>
      <w:r w:rsidR="007B5544">
        <w:rPr>
          <w:sz w:val="24"/>
          <w:szCs w:val="24"/>
        </w:rPr>
        <w:t>Protea M</w:t>
      </w:r>
      <w:r w:rsidR="00174CE4">
        <w:rPr>
          <w:sz w:val="24"/>
          <w:szCs w:val="24"/>
        </w:rPr>
        <w:t>agistrate’</w:t>
      </w:r>
      <w:r w:rsidR="00DA4D1C">
        <w:rPr>
          <w:sz w:val="24"/>
          <w:szCs w:val="24"/>
        </w:rPr>
        <w:t xml:space="preserve">s </w:t>
      </w:r>
      <w:r w:rsidR="007B5544">
        <w:rPr>
          <w:sz w:val="24"/>
          <w:szCs w:val="24"/>
        </w:rPr>
        <w:t>C</w:t>
      </w:r>
      <w:r w:rsidR="00DA4D1C">
        <w:rPr>
          <w:sz w:val="24"/>
          <w:szCs w:val="24"/>
        </w:rPr>
        <w:t>ourt action.</w:t>
      </w:r>
      <w:r w:rsidR="00174CE4">
        <w:rPr>
          <w:sz w:val="24"/>
          <w:szCs w:val="24"/>
        </w:rPr>
        <w:t xml:space="preserve"> </w:t>
      </w:r>
      <w:r w:rsidR="00C6072F">
        <w:rPr>
          <w:sz w:val="24"/>
          <w:szCs w:val="24"/>
        </w:rPr>
        <w:t>When he tried to argue the merits of judgment in the application before this Court, t</w:t>
      </w:r>
      <w:r w:rsidR="00174CE4">
        <w:rPr>
          <w:sz w:val="24"/>
          <w:szCs w:val="24"/>
        </w:rPr>
        <w:t xml:space="preserve">he director </w:t>
      </w:r>
      <w:r w:rsidR="0053054A">
        <w:rPr>
          <w:sz w:val="24"/>
          <w:szCs w:val="24"/>
        </w:rPr>
        <w:t xml:space="preserve">similarly </w:t>
      </w:r>
      <w:r w:rsidR="00DA4D1C">
        <w:rPr>
          <w:sz w:val="24"/>
          <w:szCs w:val="24"/>
        </w:rPr>
        <w:t>argued that the company’s defence was essentially that the applicant signed the company’s terms and conditions to participate in a public auction; these terms and conditions stipulated that goods were sold as is; it was the applicant’s duty to inspect the motor vehicle; and the differences between a 2010 and 2012 model were cosmetic.</w:t>
      </w:r>
    </w:p>
    <w:p w14:paraId="0472AD45" w14:textId="63359843" w:rsidR="00174CE4" w:rsidRDefault="00130DB5" w:rsidP="00683A4D">
      <w:pPr>
        <w:rPr>
          <w:sz w:val="24"/>
          <w:szCs w:val="24"/>
        </w:rPr>
      </w:pPr>
      <w:r>
        <w:rPr>
          <w:sz w:val="24"/>
          <w:szCs w:val="24"/>
        </w:rPr>
        <w:t>[30]</w:t>
      </w:r>
      <w:r>
        <w:rPr>
          <w:sz w:val="24"/>
          <w:szCs w:val="24"/>
        </w:rPr>
        <w:tab/>
      </w:r>
      <w:r w:rsidR="0053054A">
        <w:rPr>
          <w:sz w:val="24"/>
          <w:szCs w:val="24"/>
        </w:rPr>
        <w:t>Therefore r</w:t>
      </w:r>
      <w:r w:rsidR="002F2158">
        <w:rPr>
          <w:sz w:val="24"/>
          <w:szCs w:val="24"/>
        </w:rPr>
        <w:t xml:space="preserve">egardless of whether the facts and circumstances of the </w:t>
      </w:r>
      <w:r w:rsidR="002F2158">
        <w:rPr>
          <w:i/>
          <w:sz w:val="24"/>
          <w:szCs w:val="24"/>
        </w:rPr>
        <w:t xml:space="preserve">Rocker </w:t>
      </w:r>
      <w:r w:rsidR="002F2158">
        <w:rPr>
          <w:sz w:val="24"/>
          <w:szCs w:val="24"/>
        </w:rPr>
        <w:t xml:space="preserve">matter constitute similar fact evidence, </w:t>
      </w:r>
      <w:r w:rsidR="0053054A">
        <w:rPr>
          <w:sz w:val="24"/>
          <w:szCs w:val="24"/>
        </w:rPr>
        <w:t xml:space="preserve">they </w:t>
      </w:r>
      <w:r w:rsidR="002F2158">
        <w:rPr>
          <w:sz w:val="24"/>
          <w:szCs w:val="24"/>
        </w:rPr>
        <w:t>lead me to conclude that the findings of this judgment</w:t>
      </w:r>
      <w:r w:rsidR="0053054A">
        <w:rPr>
          <w:sz w:val="24"/>
          <w:szCs w:val="24"/>
        </w:rPr>
        <w:t xml:space="preserve"> in all probability </w:t>
      </w:r>
      <w:r w:rsidR="002F2158">
        <w:rPr>
          <w:sz w:val="24"/>
          <w:szCs w:val="24"/>
        </w:rPr>
        <w:t xml:space="preserve">caused the director to form the view or conclude that the applicant’s action in the magistrate’s court </w:t>
      </w:r>
      <w:r w:rsidR="0053054A">
        <w:rPr>
          <w:sz w:val="24"/>
          <w:szCs w:val="24"/>
        </w:rPr>
        <w:t xml:space="preserve">would </w:t>
      </w:r>
      <w:r w:rsidR="002F2158">
        <w:rPr>
          <w:sz w:val="24"/>
          <w:szCs w:val="24"/>
        </w:rPr>
        <w:t xml:space="preserve">also be equally successful against the company. </w:t>
      </w:r>
      <w:r w:rsidR="00FB3887">
        <w:rPr>
          <w:sz w:val="24"/>
          <w:szCs w:val="24"/>
        </w:rPr>
        <w:t>That this is actually the reason why no further instructions were provided to the attorneys</w:t>
      </w:r>
      <w:r w:rsidR="0053054A">
        <w:rPr>
          <w:sz w:val="24"/>
          <w:szCs w:val="24"/>
        </w:rPr>
        <w:t xml:space="preserve"> resulting in their withdrawal in August 2018</w:t>
      </w:r>
      <w:r w:rsidR="00FB3887">
        <w:rPr>
          <w:sz w:val="24"/>
          <w:szCs w:val="24"/>
        </w:rPr>
        <w:t xml:space="preserve"> and why the director has sought to distance himself from the company and any claims for personal liability against him</w:t>
      </w:r>
      <w:r w:rsidR="0053054A">
        <w:rPr>
          <w:sz w:val="24"/>
          <w:szCs w:val="24"/>
        </w:rPr>
        <w:t>self</w:t>
      </w:r>
      <w:r w:rsidR="00FB3887">
        <w:rPr>
          <w:sz w:val="24"/>
          <w:szCs w:val="24"/>
        </w:rPr>
        <w:t xml:space="preserve">. It also exacerbates the dishonesty of his conduct when, on his version, he sold the company to Lefuma when this judgment had already been granted against the company. </w:t>
      </w:r>
    </w:p>
    <w:p w14:paraId="1D1DE40C" w14:textId="43D4B11A" w:rsidR="00C81A15" w:rsidRPr="00FB3887" w:rsidRDefault="00FB3887" w:rsidP="00C81A15">
      <w:pPr>
        <w:rPr>
          <w:b/>
          <w:sz w:val="24"/>
          <w:szCs w:val="24"/>
        </w:rPr>
      </w:pPr>
      <w:r>
        <w:rPr>
          <w:b/>
          <w:sz w:val="24"/>
          <w:szCs w:val="24"/>
        </w:rPr>
        <w:t>Conclusion and order</w:t>
      </w:r>
    </w:p>
    <w:p w14:paraId="20730647" w14:textId="1852A831" w:rsidR="00C333A8" w:rsidRDefault="00130DB5" w:rsidP="000352CB">
      <w:pPr>
        <w:rPr>
          <w:sz w:val="24"/>
          <w:szCs w:val="24"/>
        </w:rPr>
      </w:pPr>
      <w:r>
        <w:rPr>
          <w:sz w:val="24"/>
          <w:szCs w:val="24"/>
        </w:rPr>
        <w:t>[31]</w:t>
      </w:r>
      <w:r>
        <w:rPr>
          <w:sz w:val="24"/>
          <w:szCs w:val="24"/>
        </w:rPr>
        <w:tab/>
      </w:r>
      <w:r w:rsidR="00595B3E">
        <w:rPr>
          <w:sz w:val="24"/>
          <w:szCs w:val="24"/>
        </w:rPr>
        <w:t xml:space="preserve">On a conspectus of the evidence, </w:t>
      </w:r>
      <w:r w:rsidR="00D43BF7">
        <w:rPr>
          <w:sz w:val="24"/>
          <w:szCs w:val="24"/>
        </w:rPr>
        <w:t xml:space="preserve">I am satisfied </w:t>
      </w:r>
      <w:r w:rsidR="0092564E">
        <w:rPr>
          <w:sz w:val="24"/>
          <w:szCs w:val="24"/>
        </w:rPr>
        <w:t xml:space="preserve">the misrepresentation by the director to the applicant </w:t>
      </w:r>
      <w:r w:rsidR="00673DDA">
        <w:rPr>
          <w:sz w:val="24"/>
          <w:szCs w:val="24"/>
        </w:rPr>
        <w:t>was fraudulent</w:t>
      </w:r>
      <w:r w:rsidR="0092564E">
        <w:rPr>
          <w:sz w:val="24"/>
          <w:szCs w:val="24"/>
        </w:rPr>
        <w:t>, alternatively dishonest</w:t>
      </w:r>
      <w:r w:rsidR="0053054A">
        <w:rPr>
          <w:sz w:val="24"/>
          <w:szCs w:val="24"/>
        </w:rPr>
        <w:t>, further alternatively improper conduct and  it was</w:t>
      </w:r>
      <w:r w:rsidR="0092564E">
        <w:rPr>
          <w:sz w:val="24"/>
          <w:szCs w:val="24"/>
        </w:rPr>
        <w:t xml:space="preserve"> intended to</w:t>
      </w:r>
      <w:r w:rsidR="0053054A">
        <w:rPr>
          <w:sz w:val="24"/>
          <w:szCs w:val="24"/>
        </w:rPr>
        <w:t xml:space="preserve"> and did in fact</w:t>
      </w:r>
      <w:r w:rsidR="0092564E">
        <w:rPr>
          <w:sz w:val="24"/>
          <w:szCs w:val="24"/>
        </w:rPr>
        <w:t xml:space="preserve"> induce the applicant to purchase the motor vehicle. The director conducted himself, </w:t>
      </w:r>
      <w:r w:rsidR="00EF37B5">
        <w:rPr>
          <w:sz w:val="24"/>
          <w:szCs w:val="24"/>
        </w:rPr>
        <w:t xml:space="preserve">at all times </w:t>
      </w:r>
      <w:r w:rsidR="0092564E">
        <w:rPr>
          <w:sz w:val="24"/>
          <w:szCs w:val="24"/>
        </w:rPr>
        <w:t>in a manner</w:t>
      </w:r>
      <w:r w:rsidR="000F0532">
        <w:rPr>
          <w:sz w:val="24"/>
          <w:szCs w:val="24"/>
        </w:rPr>
        <w:t xml:space="preserve"> that was</w:t>
      </w:r>
      <w:r w:rsidR="0092564E">
        <w:rPr>
          <w:sz w:val="24"/>
          <w:szCs w:val="24"/>
        </w:rPr>
        <w:t xml:space="preserve"> </w:t>
      </w:r>
      <w:r w:rsidR="000F0532">
        <w:rPr>
          <w:sz w:val="24"/>
          <w:szCs w:val="24"/>
        </w:rPr>
        <w:t xml:space="preserve">not in the best interest of the company but rather </w:t>
      </w:r>
      <w:r w:rsidR="00EF37B5">
        <w:rPr>
          <w:sz w:val="24"/>
          <w:szCs w:val="24"/>
        </w:rPr>
        <w:t>designed to protect him</w:t>
      </w:r>
      <w:r w:rsidR="0092564E">
        <w:rPr>
          <w:sz w:val="24"/>
          <w:szCs w:val="24"/>
        </w:rPr>
        <w:t>self</w:t>
      </w:r>
      <w:r w:rsidR="00EF37B5">
        <w:rPr>
          <w:sz w:val="24"/>
          <w:szCs w:val="24"/>
        </w:rPr>
        <w:t xml:space="preserve"> from personal liability</w:t>
      </w:r>
      <w:r w:rsidR="0092564E">
        <w:rPr>
          <w:sz w:val="24"/>
          <w:szCs w:val="24"/>
        </w:rPr>
        <w:t xml:space="preserve">. This is evident by </w:t>
      </w:r>
      <w:r w:rsidR="00EF37B5">
        <w:rPr>
          <w:sz w:val="24"/>
          <w:szCs w:val="24"/>
        </w:rPr>
        <w:t xml:space="preserve">the manner in which he </w:t>
      </w:r>
      <w:r w:rsidR="00673DDA">
        <w:rPr>
          <w:sz w:val="24"/>
          <w:szCs w:val="24"/>
        </w:rPr>
        <w:t xml:space="preserve">acted on behalf of the company and /or </w:t>
      </w:r>
      <w:r w:rsidR="00EF37B5">
        <w:rPr>
          <w:sz w:val="24"/>
          <w:szCs w:val="24"/>
        </w:rPr>
        <w:t>used and /or managed the company. I am satisfied that the conduct of the director adversely affected the applicant in a way that reasonably</w:t>
      </w:r>
      <w:r w:rsidR="00673DDA">
        <w:rPr>
          <w:sz w:val="24"/>
          <w:szCs w:val="24"/>
        </w:rPr>
        <w:t xml:space="preserve"> should</w:t>
      </w:r>
      <w:r w:rsidR="00EF37B5">
        <w:rPr>
          <w:sz w:val="24"/>
          <w:szCs w:val="24"/>
        </w:rPr>
        <w:t xml:space="preserve"> </w:t>
      </w:r>
      <w:r w:rsidR="00673DDA">
        <w:rPr>
          <w:sz w:val="24"/>
          <w:szCs w:val="24"/>
        </w:rPr>
        <w:t>not be countenanced and</w:t>
      </w:r>
      <w:r w:rsidR="0053054A">
        <w:rPr>
          <w:sz w:val="24"/>
          <w:szCs w:val="24"/>
        </w:rPr>
        <w:t xml:space="preserve"> which</w:t>
      </w:r>
      <w:r w:rsidR="00673DDA">
        <w:rPr>
          <w:sz w:val="24"/>
          <w:szCs w:val="24"/>
        </w:rPr>
        <w:t xml:space="preserve"> constitutes an unconscionable abuse of the company’s juristic personality.</w:t>
      </w:r>
    </w:p>
    <w:p w14:paraId="0CFF94AD" w14:textId="61339748" w:rsidR="00EF37B5" w:rsidRDefault="00130DB5" w:rsidP="000352CB">
      <w:pPr>
        <w:rPr>
          <w:sz w:val="24"/>
          <w:szCs w:val="24"/>
        </w:rPr>
      </w:pPr>
      <w:r>
        <w:rPr>
          <w:sz w:val="24"/>
          <w:szCs w:val="24"/>
        </w:rPr>
        <w:t>[32]</w:t>
      </w:r>
      <w:r>
        <w:rPr>
          <w:sz w:val="24"/>
          <w:szCs w:val="24"/>
        </w:rPr>
        <w:tab/>
      </w:r>
      <w:r w:rsidR="00EF37B5">
        <w:rPr>
          <w:sz w:val="24"/>
          <w:szCs w:val="24"/>
        </w:rPr>
        <w:t>In the result</w:t>
      </w:r>
      <w:r w:rsidR="005E59CF">
        <w:rPr>
          <w:sz w:val="24"/>
          <w:szCs w:val="24"/>
        </w:rPr>
        <w:t>,</w:t>
      </w:r>
      <w:r w:rsidR="00EF37B5">
        <w:rPr>
          <w:sz w:val="24"/>
          <w:szCs w:val="24"/>
        </w:rPr>
        <w:t xml:space="preserve"> the following order is issued</w:t>
      </w:r>
      <w:r w:rsidR="00BB503C">
        <w:rPr>
          <w:sz w:val="24"/>
          <w:szCs w:val="24"/>
        </w:rPr>
        <w:t>:</w:t>
      </w:r>
    </w:p>
    <w:p w14:paraId="2F442C9A" w14:textId="06E1A3E5" w:rsidR="00BB503C" w:rsidRDefault="00BB503C" w:rsidP="000352CB">
      <w:pPr>
        <w:rPr>
          <w:sz w:val="24"/>
          <w:szCs w:val="24"/>
        </w:rPr>
      </w:pPr>
      <w:r>
        <w:rPr>
          <w:sz w:val="24"/>
          <w:szCs w:val="24"/>
        </w:rPr>
        <w:t>(a)</w:t>
      </w:r>
      <w:r>
        <w:rPr>
          <w:sz w:val="24"/>
          <w:szCs w:val="24"/>
        </w:rPr>
        <w:tab/>
        <w:t>It is hereby declared</w:t>
      </w:r>
      <w:r w:rsidR="00627CCD">
        <w:rPr>
          <w:sz w:val="24"/>
          <w:szCs w:val="24"/>
        </w:rPr>
        <w:t>,</w:t>
      </w:r>
      <w:r>
        <w:rPr>
          <w:sz w:val="24"/>
          <w:szCs w:val="24"/>
        </w:rPr>
        <w:t xml:space="preserve"> in terms of section 20(9) of the Companies Act 71 of 2008 (as amended), that </w:t>
      </w:r>
      <w:r w:rsidR="00EA0633">
        <w:rPr>
          <w:sz w:val="24"/>
          <w:szCs w:val="24"/>
        </w:rPr>
        <w:t xml:space="preserve">Alegrand General Dealers and Auctioneers (Pty) Ltd t/a Grand </w:t>
      </w:r>
      <w:r w:rsidR="00627CCD">
        <w:rPr>
          <w:sz w:val="24"/>
          <w:szCs w:val="24"/>
        </w:rPr>
        <w:t>Auctions,</w:t>
      </w:r>
      <w:r>
        <w:rPr>
          <w:sz w:val="24"/>
          <w:szCs w:val="24"/>
        </w:rPr>
        <w:t xml:space="preserve"> shall</w:t>
      </w:r>
      <w:r w:rsidR="00FB3887">
        <w:rPr>
          <w:sz w:val="24"/>
          <w:szCs w:val="24"/>
        </w:rPr>
        <w:t xml:space="preserve"> be deemed not to be a juristic</w:t>
      </w:r>
      <w:r>
        <w:rPr>
          <w:sz w:val="24"/>
          <w:szCs w:val="24"/>
        </w:rPr>
        <w:t xml:space="preserve"> person</w:t>
      </w:r>
      <w:r w:rsidR="00E36BAC">
        <w:rPr>
          <w:sz w:val="24"/>
          <w:szCs w:val="24"/>
        </w:rPr>
        <w:t xml:space="preserve">, but a venture of Ismail Dawood Jassat personally, </w:t>
      </w:r>
      <w:r>
        <w:rPr>
          <w:sz w:val="24"/>
          <w:szCs w:val="24"/>
        </w:rPr>
        <w:t xml:space="preserve">in respect of </w:t>
      </w:r>
      <w:r w:rsidR="00627CCD">
        <w:rPr>
          <w:sz w:val="24"/>
          <w:szCs w:val="24"/>
        </w:rPr>
        <w:t xml:space="preserve"> its </w:t>
      </w:r>
      <w:r w:rsidR="00FB3887">
        <w:rPr>
          <w:sz w:val="24"/>
          <w:szCs w:val="24"/>
        </w:rPr>
        <w:t>obligation</w:t>
      </w:r>
      <w:r w:rsidR="00D1373D">
        <w:rPr>
          <w:sz w:val="24"/>
          <w:szCs w:val="24"/>
        </w:rPr>
        <w:t>s</w:t>
      </w:r>
      <w:r w:rsidR="00FB3887">
        <w:rPr>
          <w:sz w:val="24"/>
          <w:szCs w:val="24"/>
        </w:rPr>
        <w:t xml:space="preserve"> </w:t>
      </w:r>
      <w:r w:rsidR="00627CCD">
        <w:rPr>
          <w:sz w:val="24"/>
          <w:szCs w:val="24"/>
        </w:rPr>
        <w:t>and/</w:t>
      </w:r>
      <w:r w:rsidR="00FB3887">
        <w:rPr>
          <w:sz w:val="24"/>
          <w:szCs w:val="24"/>
        </w:rPr>
        <w:t xml:space="preserve">or liability </w:t>
      </w:r>
      <w:r w:rsidR="00673DDA">
        <w:rPr>
          <w:sz w:val="24"/>
          <w:szCs w:val="24"/>
        </w:rPr>
        <w:t xml:space="preserve">to </w:t>
      </w:r>
      <w:r w:rsidR="00627CCD">
        <w:rPr>
          <w:sz w:val="24"/>
          <w:szCs w:val="24"/>
        </w:rPr>
        <w:t xml:space="preserve">Lebamang Octavia Kolisang pursuant to </w:t>
      </w:r>
      <w:r w:rsidR="00FB3887">
        <w:rPr>
          <w:sz w:val="24"/>
          <w:szCs w:val="24"/>
        </w:rPr>
        <w:t xml:space="preserve">the </w:t>
      </w:r>
      <w:r w:rsidR="00D43BF7">
        <w:rPr>
          <w:sz w:val="24"/>
          <w:szCs w:val="24"/>
        </w:rPr>
        <w:t xml:space="preserve">judgment </w:t>
      </w:r>
      <w:r w:rsidR="00EA0633">
        <w:rPr>
          <w:sz w:val="24"/>
          <w:szCs w:val="24"/>
        </w:rPr>
        <w:t>and order of the Protea Magistrate’s Court</w:t>
      </w:r>
      <w:r w:rsidR="00627CCD">
        <w:rPr>
          <w:sz w:val="24"/>
          <w:szCs w:val="24"/>
        </w:rPr>
        <w:t xml:space="preserve"> under</w:t>
      </w:r>
      <w:r w:rsidR="00EA0633">
        <w:rPr>
          <w:sz w:val="24"/>
          <w:szCs w:val="24"/>
        </w:rPr>
        <w:t xml:space="preserve"> case number 3542/2017 dated 14 June 2019 </w:t>
      </w:r>
      <w:r w:rsidR="00E36BAC">
        <w:rPr>
          <w:sz w:val="24"/>
          <w:szCs w:val="24"/>
        </w:rPr>
        <w:t xml:space="preserve">in the amount of R177 560.00 </w:t>
      </w:r>
      <w:r w:rsidR="00EA0633">
        <w:rPr>
          <w:sz w:val="24"/>
          <w:szCs w:val="24"/>
        </w:rPr>
        <w:t>(the Protea Court judgment debt)</w:t>
      </w:r>
      <w:r w:rsidR="00627CCD">
        <w:rPr>
          <w:sz w:val="24"/>
          <w:szCs w:val="24"/>
        </w:rPr>
        <w:t>;</w:t>
      </w:r>
    </w:p>
    <w:p w14:paraId="3AB6692F" w14:textId="4808CD1B" w:rsidR="00BB503C" w:rsidRDefault="00BB503C" w:rsidP="000352CB">
      <w:pPr>
        <w:rPr>
          <w:sz w:val="24"/>
          <w:szCs w:val="24"/>
        </w:rPr>
      </w:pPr>
      <w:r>
        <w:rPr>
          <w:sz w:val="24"/>
          <w:szCs w:val="24"/>
        </w:rPr>
        <w:t>(b)</w:t>
      </w:r>
      <w:r>
        <w:rPr>
          <w:sz w:val="24"/>
          <w:szCs w:val="24"/>
        </w:rPr>
        <w:tab/>
        <w:t xml:space="preserve">Pursuant to the declaration in paragraph (a), </w:t>
      </w:r>
      <w:r w:rsidR="00627CCD">
        <w:rPr>
          <w:sz w:val="24"/>
          <w:szCs w:val="24"/>
        </w:rPr>
        <w:t>Ismail Dawood Jassat is</w:t>
      </w:r>
      <w:r w:rsidR="00E36BAC">
        <w:rPr>
          <w:sz w:val="24"/>
          <w:szCs w:val="24"/>
        </w:rPr>
        <w:t xml:space="preserve"> declared </w:t>
      </w:r>
      <w:r w:rsidR="00627CCD">
        <w:rPr>
          <w:sz w:val="24"/>
          <w:szCs w:val="24"/>
        </w:rPr>
        <w:t xml:space="preserve"> </w:t>
      </w:r>
      <w:r w:rsidR="00EA1ECD">
        <w:rPr>
          <w:sz w:val="24"/>
          <w:szCs w:val="24"/>
        </w:rPr>
        <w:t>personally</w:t>
      </w:r>
      <w:r w:rsidR="00D43BF7">
        <w:rPr>
          <w:sz w:val="24"/>
          <w:szCs w:val="24"/>
        </w:rPr>
        <w:t xml:space="preserve"> liable to the </w:t>
      </w:r>
      <w:r w:rsidR="00627CCD">
        <w:rPr>
          <w:sz w:val="24"/>
          <w:szCs w:val="24"/>
        </w:rPr>
        <w:t>Lebamang Octavia Kolisang</w:t>
      </w:r>
      <w:r w:rsidR="00D43BF7">
        <w:rPr>
          <w:sz w:val="24"/>
          <w:szCs w:val="24"/>
        </w:rPr>
        <w:t xml:space="preserve"> for</w:t>
      </w:r>
      <w:r w:rsidR="00EA0633">
        <w:rPr>
          <w:sz w:val="24"/>
          <w:szCs w:val="24"/>
        </w:rPr>
        <w:t xml:space="preserve"> the Protea Court judgment debt</w:t>
      </w:r>
      <w:r w:rsidR="00627CCD">
        <w:rPr>
          <w:sz w:val="24"/>
          <w:szCs w:val="24"/>
        </w:rPr>
        <w:t>, including all interest and associated costs;</w:t>
      </w:r>
      <w:r w:rsidR="00EA0633">
        <w:rPr>
          <w:sz w:val="24"/>
          <w:szCs w:val="24"/>
        </w:rPr>
        <w:t xml:space="preserve"> </w:t>
      </w:r>
      <w:r w:rsidR="00D43BF7">
        <w:rPr>
          <w:sz w:val="24"/>
          <w:szCs w:val="24"/>
        </w:rPr>
        <w:t xml:space="preserve"> </w:t>
      </w:r>
    </w:p>
    <w:p w14:paraId="7AD8D7DC" w14:textId="77777777" w:rsidR="004476CA" w:rsidRDefault="00D43BF7" w:rsidP="00646E48">
      <w:pPr>
        <w:rPr>
          <w:sz w:val="24"/>
          <w:szCs w:val="24"/>
        </w:rPr>
      </w:pPr>
      <w:r>
        <w:rPr>
          <w:sz w:val="24"/>
          <w:szCs w:val="24"/>
        </w:rPr>
        <w:t>(c)</w:t>
      </w:r>
      <w:r>
        <w:rPr>
          <w:sz w:val="24"/>
          <w:szCs w:val="24"/>
        </w:rPr>
        <w:tab/>
      </w:r>
      <w:r w:rsidR="00627CCD">
        <w:rPr>
          <w:sz w:val="24"/>
          <w:szCs w:val="24"/>
        </w:rPr>
        <w:t xml:space="preserve">Ismail Dawood Jassat </w:t>
      </w:r>
      <w:r>
        <w:rPr>
          <w:sz w:val="24"/>
          <w:szCs w:val="24"/>
        </w:rPr>
        <w:t xml:space="preserve">is ordered </w:t>
      </w:r>
      <w:r w:rsidR="00627CCD">
        <w:rPr>
          <w:sz w:val="24"/>
          <w:szCs w:val="24"/>
        </w:rPr>
        <w:t>to</w:t>
      </w:r>
      <w:r w:rsidR="004476CA">
        <w:rPr>
          <w:sz w:val="24"/>
          <w:szCs w:val="24"/>
        </w:rPr>
        <w:t xml:space="preserve"> pay Lebamang Octavia Kolisang:</w:t>
      </w:r>
    </w:p>
    <w:p w14:paraId="7267D6F3" w14:textId="1321C91F" w:rsidR="004476CA" w:rsidRDefault="004476CA" w:rsidP="00646E48">
      <w:pPr>
        <w:rPr>
          <w:sz w:val="24"/>
          <w:szCs w:val="24"/>
        </w:rPr>
      </w:pPr>
      <w:r>
        <w:rPr>
          <w:sz w:val="24"/>
          <w:szCs w:val="24"/>
        </w:rPr>
        <w:t>(i)</w:t>
      </w:r>
      <w:r>
        <w:rPr>
          <w:sz w:val="24"/>
          <w:szCs w:val="24"/>
        </w:rPr>
        <w:tab/>
        <w:t>the sum of R177 560.00</w:t>
      </w:r>
      <w:r w:rsidR="004119A0">
        <w:rPr>
          <w:sz w:val="24"/>
          <w:szCs w:val="24"/>
        </w:rPr>
        <w:t>;</w:t>
      </w:r>
    </w:p>
    <w:p w14:paraId="0E6AF65F" w14:textId="77777777" w:rsidR="004476CA" w:rsidRDefault="004476CA" w:rsidP="00646E48">
      <w:pPr>
        <w:rPr>
          <w:sz w:val="24"/>
          <w:szCs w:val="24"/>
        </w:rPr>
      </w:pPr>
      <w:r>
        <w:rPr>
          <w:sz w:val="24"/>
          <w:szCs w:val="24"/>
        </w:rPr>
        <w:t>(ii)</w:t>
      </w:r>
      <w:r>
        <w:rPr>
          <w:sz w:val="24"/>
          <w:szCs w:val="24"/>
        </w:rPr>
        <w:tab/>
        <w:t>interest on the aforesaid amount at the prescribed rate calculated from 14 June 2019 to date of payment;</w:t>
      </w:r>
    </w:p>
    <w:p w14:paraId="2920A177" w14:textId="77777777" w:rsidR="004119A0" w:rsidRDefault="004476CA" w:rsidP="00646E48">
      <w:pPr>
        <w:rPr>
          <w:i/>
          <w:sz w:val="24"/>
          <w:szCs w:val="24"/>
        </w:rPr>
      </w:pPr>
      <w:r>
        <w:rPr>
          <w:sz w:val="24"/>
          <w:szCs w:val="24"/>
        </w:rPr>
        <w:t>(iii)</w:t>
      </w:r>
      <w:r>
        <w:rPr>
          <w:sz w:val="24"/>
          <w:szCs w:val="24"/>
        </w:rPr>
        <w:tab/>
        <w:t xml:space="preserve">all </w:t>
      </w:r>
      <w:r w:rsidR="004119A0">
        <w:rPr>
          <w:sz w:val="24"/>
          <w:szCs w:val="24"/>
        </w:rPr>
        <w:t>of her party and party costs, on the magistrate’s court scale for the Protea Court judgment</w:t>
      </w:r>
      <w:r w:rsidR="004119A0">
        <w:rPr>
          <w:i/>
          <w:sz w:val="24"/>
          <w:szCs w:val="24"/>
        </w:rPr>
        <w:t>.</w:t>
      </w:r>
    </w:p>
    <w:p w14:paraId="7AEF2C90" w14:textId="56497EBB" w:rsidR="00E522C4" w:rsidRPr="004119A0" w:rsidRDefault="004119A0" w:rsidP="004119A0">
      <w:pPr>
        <w:pStyle w:val="ListParagraph"/>
        <w:numPr>
          <w:ilvl w:val="0"/>
          <w:numId w:val="51"/>
        </w:numPr>
        <w:rPr>
          <w:sz w:val="24"/>
          <w:szCs w:val="24"/>
        </w:rPr>
      </w:pPr>
      <w:r>
        <w:rPr>
          <w:sz w:val="24"/>
          <w:szCs w:val="24"/>
        </w:rPr>
        <w:tab/>
        <w:t xml:space="preserve">Ismail Dawood Jassat is ordered to </w:t>
      </w:r>
      <w:r w:rsidR="00D43BF7" w:rsidRPr="004119A0">
        <w:rPr>
          <w:sz w:val="24"/>
          <w:szCs w:val="24"/>
        </w:rPr>
        <w:t>pay</w:t>
      </w:r>
      <w:r>
        <w:rPr>
          <w:sz w:val="24"/>
          <w:szCs w:val="24"/>
        </w:rPr>
        <w:t xml:space="preserve"> </w:t>
      </w:r>
      <w:r w:rsidR="00D43BF7" w:rsidRPr="004119A0">
        <w:rPr>
          <w:sz w:val="24"/>
          <w:szCs w:val="24"/>
        </w:rPr>
        <w:t>the costs of this application</w:t>
      </w:r>
      <w:r w:rsidR="00646E48" w:rsidRPr="004119A0">
        <w:rPr>
          <w:sz w:val="24"/>
          <w:szCs w:val="24"/>
        </w:rPr>
        <w:t>.</w:t>
      </w:r>
    </w:p>
    <w:p w14:paraId="448D960F" w14:textId="5CC082A4" w:rsidR="00E522C4" w:rsidRDefault="00E522C4" w:rsidP="00E522C4">
      <w:pPr>
        <w:autoSpaceDE w:val="0"/>
        <w:autoSpaceDN w:val="0"/>
        <w:adjustRightInd w:val="0"/>
        <w:spacing w:after="0" w:line="240" w:lineRule="auto"/>
        <w:ind w:firstLine="709"/>
        <w:jc w:val="right"/>
        <w:rPr>
          <w:sz w:val="24"/>
          <w:szCs w:val="24"/>
          <w:lang w:val="en-GB"/>
        </w:rPr>
      </w:pPr>
    </w:p>
    <w:p w14:paraId="06C2A022" w14:textId="7613F73C" w:rsidR="00E522C4" w:rsidRPr="00813029" w:rsidRDefault="00E522C4" w:rsidP="00E522C4">
      <w:pPr>
        <w:autoSpaceDE w:val="0"/>
        <w:autoSpaceDN w:val="0"/>
        <w:adjustRightInd w:val="0"/>
        <w:spacing w:after="0" w:line="240" w:lineRule="auto"/>
        <w:ind w:firstLine="709"/>
        <w:jc w:val="right"/>
        <w:rPr>
          <w:color w:val="000000"/>
          <w:sz w:val="24"/>
          <w:szCs w:val="24"/>
          <w:lang w:val="en-GB"/>
        </w:rPr>
      </w:pPr>
      <w:r w:rsidRPr="00813029">
        <w:rPr>
          <w:sz w:val="24"/>
          <w:szCs w:val="24"/>
          <w:lang w:val="en-GB"/>
        </w:rPr>
        <w:t xml:space="preserve">  </w:t>
      </w:r>
      <w:r w:rsidRPr="00813029">
        <w:rPr>
          <w:color w:val="000000"/>
          <w:sz w:val="24"/>
          <w:szCs w:val="24"/>
          <w:lang w:val="en-GB"/>
        </w:rPr>
        <w:t>_____________________________</w:t>
      </w:r>
    </w:p>
    <w:p w14:paraId="7385F44B" w14:textId="77777777" w:rsidR="00E522C4" w:rsidRPr="00813029" w:rsidRDefault="00E522C4" w:rsidP="00E522C4">
      <w:pPr>
        <w:autoSpaceDE w:val="0"/>
        <w:autoSpaceDN w:val="0"/>
        <w:adjustRightInd w:val="0"/>
        <w:spacing w:after="120" w:line="240" w:lineRule="auto"/>
        <w:ind w:left="709"/>
        <w:contextualSpacing/>
        <w:jc w:val="right"/>
        <w:rPr>
          <w:b/>
          <w:color w:val="000000"/>
          <w:sz w:val="24"/>
          <w:szCs w:val="24"/>
          <w:lang w:val="en-GB"/>
        </w:rPr>
      </w:pPr>
      <w:r w:rsidRPr="00813029">
        <w:rPr>
          <w:b/>
          <w:color w:val="000000"/>
          <w:sz w:val="24"/>
          <w:szCs w:val="24"/>
          <w:lang w:val="en-GB"/>
        </w:rPr>
        <w:t>T NICHOLS</w:t>
      </w:r>
    </w:p>
    <w:p w14:paraId="74F9C712" w14:textId="77777777" w:rsidR="00E522C4" w:rsidRPr="00813029" w:rsidRDefault="00E522C4" w:rsidP="00E522C4">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 xml:space="preserve">ACTING JUDGE OF THE HIGH COURT </w:t>
      </w:r>
    </w:p>
    <w:p w14:paraId="2D56F80C" w14:textId="77777777" w:rsidR="00E522C4" w:rsidRPr="00813029" w:rsidRDefault="00E522C4" w:rsidP="00E522C4">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GAUTENG LOCAL DIVISION, JOHANNESBURG</w:t>
      </w:r>
    </w:p>
    <w:p w14:paraId="7CD91FA0" w14:textId="77777777" w:rsidR="004119A0" w:rsidRDefault="004119A0" w:rsidP="00E522C4">
      <w:pPr>
        <w:spacing w:before="360" w:after="360"/>
        <w:rPr>
          <w:rFonts w:eastAsia="Calibri"/>
          <w:b/>
          <w:sz w:val="24"/>
          <w:szCs w:val="24"/>
          <w:lang w:val="en-GB"/>
        </w:rPr>
      </w:pPr>
    </w:p>
    <w:p w14:paraId="2E553AF1" w14:textId="7108E228" w:rsidR="00E522C4" w:rsidRPr="00813029" w:rsidRDefault="00E522C4" w:rsidP="00E522C4">
      <w:pPr>
        <w:spacing w:before="360" w:after="360"/>
        <w:rPr>
          <w:rFonts w:eastAsia="Calibri"/>
          <w:b/>
          <w:sz w:val="24"/>
          <w:szCs w:val="24"/>
          <w:lang w:val="en-GB"/>
        </w:rPr>
      </w:pPr>
      <w:r w:rsidRPr="00813029">
        <w:rPr>
          <w:rFonts w:eastAsia="Calibri"/>
          <w:b/>
          <w:sz w:val="24"/>
          <w:szCs w:val="24"/>
          <w:lang w:val="en-GB"/>
        </w:rPr>
        <w:t>Appearances:</w:t>
      </w:r>
    </w:p>
    <w:p w14:paraId="709749CA" w14:textId="7119320C" w:rsidR="002A4BC0" w:rsidRDefault="002A4BC0" w:rsidP="00E522C4">
      <w:pPr>
        <w:rPr>
          <w:rFonts w:eastAsia="Calibri"/>
          <w:sz w:val="24"/>
          <w:szCs w:val="24"/>
          <w:lang w:val="en-GB"/>
        </w:rPr>
      </w:pPr>
      <w:r>
        <w:rPr>
          <w:rFonts w:eastAsia="Calibri"/>
          <w:sz w:val="24"/>
          <w:szCs w:val="24"/>
          <w:lang w:val="en-GB"/>
        </w:rPr>
        <w:t>Date Heard:</w:t>
      </w:r>
      <w:r>
        <w:rPr>
          <w:rFonts w:eastAsia="Calibri"/>
          <w:sz w:val="24"/>
          <w:szCs w:val="24"/>
          <w:lang w:val="en-GB"/>
        </w:rPr>
        <w:tab/>
      </w:r>
      <w:r w:rsidR="00D1373D">
        <w:rPr>
          <w:rFonts w:eastAsia="Calibri"/>
          <w:sz w:val="24"/>
          <w:szCs w:val="24"/>
          <w:lang w:val="en-GB"/>
        </w:rPr>
        <w:tab/>
      </w:r>
      <w:r w:rsidR="00D1373D">
        <w:rPr>
          <w:rFonts w:eastAsia="Calibri"/>
          <w:sz w:val="24"/>
          <w:szCs w:val="24"/>
          <w:lang w:val="en-GB"/>
        </w:rPr>
        <w:tab/>
      </w:r>
      <w:r w:rsidR="00D1373D">
        <w:rPr>
          <w:rFonts w:eastAsia="Calibri"/>
          <w:sz w:val="24"/>
          <w:szCs w:val="24"/>
          <w:lang w:val="en-GB"/>
        </w:rPr>
        <w:tab/>
      </w:r>
      <w:r w:rsidR="00D1373D">
        <w:rPr>
          <w:rFonts w:eastAsia="Calibri"/>
          <w:sz w:val="24"/>
          <w:szCs w:val="24"/>
          <w:lang w:val="en-GB"/>
        </w:rPr>
        <w:tab/>
        <w:t>12 August 2021</w:t>
      </w:r>
      <w:r>
        <w:rPr>
          <w:rFonts w:eastAsia="Calibri"/>
          <w:sz w:val="24"/>
          <w:szCs w:val="24"/>
          <w:lang w:val="en-GB"/>
        </w:rPr>
        <w:tab/>
      </w:r>
      <w:r>
        <w:rPr>
          <w:rFonts w:eastAsia="Calibri"/>
          <w:sz w:val="24"/>
          <w:szCs w:val="24"/>
          <w:lang w:val="en-GB"/>
        </w:rPr>
        <w:tab/>
      </w:r>
    </w:p>
    <w:p w14:paraId="16C308CB" w14:textId="79B8ADE4" w:rsidR="00E522C4" w:rsidRPr="00813029" w:rsidRDefault="002A4BC0" w:rsidP="00E522C4">
      <w:pPr>
        <w:rPr>
          <w:rFonts w:eastAsia="Calibri"/>
          <w:sz w:val="24"/>
          <w:szCs w:val="24"/>
          <w:lang w:val="en-GB"/>
        </w:rPr>
      </w:pPr>
      <w:r>
        <w:rPr>
          <w:rFonts w:eastAsia="Calibri"/>
          <w:sz w:val="24"/>
          <w:szCs w:val="24"/>
          <w:lang w:val="en-GB"/>
        </w:rPr>
        <w:t xml:space="preserve">Counsel for </w:t>
      </w:r>
      <w:r w:rsidR="00E522C4">
        <w:rPr>
          <w:rFonts w:eastAsia="Calibri"/>
          <w:sz w:val="24"/>
          <w:szCs w:val="24"/>
          <w:lang w:val="en-GB"/>
        </w:rPr>
        <w:t>applicant</w:t>
      </w:r>
      <w:r w:rsidR="00E522C4" w:rsidRPr="00813029">
        <w:rPr>
          <w:rFonts w:eastAsia="Calibri"/>
          <w:sz w:val="24"/>
          <w:szCs w:val="24"/>
          <w:lang w:val="en-GB"/>
        </w:rPr>
        <w:t>:</w:t>
      </w:r>
      <w:r w:rsidR="00E522C4" w:rsidRPr="00813029">
        <w:rPr>
          <w:rFonts w:eastAsia="Calibri"/>
          <w:sz w:val="24"/>
          <w:szCs w:val="24"/>
          <w:lang w:val="en-GB"/>
        </w:rPr>
        <w:tab/>
      </w:r>
      <w:r w:rsidR="00E522C4" w:rsidRPr="00813029">
        <w:rPr>
          <w:rFonts w:eastAsia="Calibri"/>
          <w:sz w:val="24"/>
          <w:szCs w:val="24"/>
          <w:lang w:val="en-GB"/>
        </w:rPr>
        <w:tab/>
      </w:r>
      <w:r w:rsidR="00E522C4" w:rsidRPr="00813029">
        <w:rPr>
          <w:rFonts w:eastAsia="Calibri"/>
          <w:sz w:val="24"/>
          <w:szCs w:val="24"/>
          <w:lang w:val="en-GB"/>
        </w:rPr>
        <w:tab/>
        <w:t xml:space="preserve">Adv </w:t>
      </w:r>
      <w:r w:rsidR="00D1373D">
        <w:rPr>
          <w:rFonts w:eastAsia="Calibri"/>
          <w:sz w:val="24"/>
          <w:szCs w:val="24"/>
          <w:lang w:val="en-GB"/>
        </w:rPr>
        <w:t>K Mitchell</w:t>
      </w:r>
      <w:r w:rsidR="00E522C4" w:rsidRPr="00813029">
        <w:rPr>
          <w:rFonts w:eastAsia="Calibri"/>
          <w:sz w:val="24"/>
          <w:szCs w:val="24"/>
          <w:lang w:val="en-GB"/>
        </w:rPr>
        <w:t xml:space="preserve"> </w:t>
      </w:r>
    </w:p>
    <w:p w14:paraId="53351409" w14:textId="58791AE9" w:rsidR="00E522C4" w:rsidRDefault="00E522C4" w:rsidP="00E522C4">
      <w:pPr>
        <w:contextualSpacing/>
        <w:rPr>
          <w:rFonts w:eastAsia="Calibri"/>
          <w:sz w:val="24"/>
          <w:szCs w:val="24"/>
          <w:lang w:val="en-GB"/>
        </w:rPr>
      </w:pPr>
      <w:r w:rsidRPr="00813029">
        <w:rPr>
          <w:rFonts w:eastAsia="Calibri"/>
          <w:sz w:val="24"/>
          <w:szCs w:val="24"/>
          <w:lang w:val="en-GB"/>
        </w:rPr>
        <w:t xml:space="preserve">Attorney for the </w:t>
      </w:r>
      <w:r>
        <w:rPr>
          <w:rFonts w:eastAsia="Calibri"/>
          <w:sz w:val="24"/>
          <w:szCs w:val="24"/>
          <w:lang w:val="en-GB"/>
        </w:rPr>
        <w:t>applicant</w:t>
      </w:r>
      <w:r w:rsidRPr="00813029">
        <w:rPr>
          <w:rFonts w:eastAsia="Calibri"/>
          <w:sz w:val="24"/>
          <w:szCs w:val="24"/>
          <w:lang w:val="en-GB"/>
        </w:rPr>
        <w:t>:</w:t>
      </w: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r>
      <w:r>
        <w:rPr>
          <w:rFonts w:eastAsia="Calibri"/>
          <w:sz w:val="24"/>
          <w:szCs w:val="24"/>
          <w:lang w:val="en-GB"/>
        </w:rPr>
        <w:t>AJ Venter and Associates Inc</w:t>
      </w:r>
    </w:p>
    <w:p w14:paraId="364E7144" w14:textId="55731AD9" w:rsidR="00E522C4" w:rsidRDefault="00E522C4" w:rsidP="00E522C4">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Johannesburg</w:t>
      </w:r>
    </w:p>
    <w:p w14:paraId="7A5C08EE" w14:textId="54EC4AF9" w:rsidR="00E522C4" w:rsidRDefault="00E522C4" w:rsidP="00E522C4">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Ref: Mrs A Venter/PN</w:t>
      </w:r>
      <w:r w:rsidR="00EA1ECD">
        <w:rPr>
          <w:rFonts w:eastAsia="Calibri"/>
          <w:sz w:val="24"/>
          <w:szCs w:val="24"/>
          <w:lang w:val="en-GB"/>
        </w:rPr>
        <w:t>: 81017</w:t>
      </w:r>
      <w:r>
        <w:rPr>
          <w:rFonts w:eastAsia="Calibri"/>
          <w:sz w:val="24"/>
          <w:szCs w:val="24"/>
          <w:lang w:val="en-GB"/>
        </w:rPr>
        <w:t>/AV002</w:t>
      </w:r>
      <w:r w:rsidR="00D1373D">
        <w:rPr>
          <w:rFonts w:eastAsia="Calibri"/>
          <w:sz w:val="24"/>
          <w:szCs w:val="24"/>
          <w:lang w:val="en-GB"/>
        </w:rPr>
        <w:t>4</w:t>
      </w:r>
      <w:r>
        <w:rPr>
          <w:rFonts w:eastAsia="Calibri"/>
          <w:sz w:val="24"/>
          <w:szCs w:val="24"/>
          <w:lang w:val="en-GB"/>
        </w:rPr>
        <w:t>39</w:t>
      </w:r>
    </w:p>
    <w:p w14:paraId="37CF7A63" w14:textId="351EF9B0" w:rsidR="00E522C4" w:rsidRDefault="00E522C4" w:rsidP="00E522C4">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2" w:history="1">
        <w:r w:rsidRPr="001169AB">
          <w:rPr>
            <w:rStyle w:val="Hyperlink"/>
            <w:rFonts w:ascii="Arial" w:eastAsia="Calibri" w:hAnsi="Arial"/>
            <w:sz w:val="24"/>
            <w:szCs w:val="24"/>
            <w:lang w:val="en-GB"/>
          </w:rPr>
          <w:t>annelize@ajvinc.co.za</w:t>
        </w:r>
      </w:hyperlink>
    </w:p>
    <w:p w14:paraId="2D96FF68" w14:textId="54A93474" w:rsidR="00E522C4" w:rsidRPr="00813029" w:rsidRDefault="00E522C4" w:rsidP="00E522C4">
      <w:pPr>
        <w:spacing w:after="0"/>
        <w:rPr>
          <w:rFonts w:eastAsia="Calibri"/>
          <w:sz w:val="24"/>
          <w:szCs w:val="24"/>
          <w:lang w:val="en-GB"/>
        </w:rPr>
      </w:pP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r>
    </w:p>
    <w:p w14:paraId="14D111A6" w14:textId="782EE7CB" w:rsidR="00E522C4" w:rsidRDefault="00E522C4" w:rsidP="00E522C4">
      <w:pPr>
        <w:rPr>
          <w:rFonts w:eastAsia="Calibri"/>
          <w:sz w:val="24"/>
          <w:szCs w:val="24"/>
          <w:lang w:val="en-GB"/>
        </w:rPr>
      </w:pPr>
      <w:r w:rsidRPr="00813029">
        <w:rPr>
          <w:rFonts w:eastAsia="Calibri"/>
          <w:sz w:val="24"/>
          <w:szCs w:val="24"/>
          <w:lang w:val="en-GB"/>
        </w:rPr>
        <w:t xml:space="preserve">Counsel for the </w:t>
      </w:r>
      <w:r>
        <w:rPr>
          <w:rFonts w:eastAsia="Calibri"/>
          <w:sz w:val="24"/>
          <w:szCs w:val="24"/>
          <w:lang w:val="en-GB"/>
        </w:rPr>
        <w:t>second respondent</w:t>
      </w:r>
      <w:r w:rsidRPr="00813029">
        <w:rPr>
          <w:rFonts w:eastAsia="Calibri"/>
          <w:sz w:val="24"/>
          <w:szCs w:val="24"/>
          <w:lang w:val="en-GB"/>
        </w:rPr>
        <w:t>:</w:t>
      </w:r>
      <w:r>
        <w:rPr>
          <w:rFonts w:eastAsia="Calibri"/>
          <w:sz w:val="24"/>
          <w:szCs w:val="24"/>
          <w:lang w:val="en-GB"/>
        </w:rPr>
        <w:tab/>
        <w:t xml:space="preserve">Adv </w:t>
      </w:r>
      <w:r w:rsidR="00D1373D">
        <w:rPr>
          <w:rFonts w:eastAsia="Calibri"/>
          <w:sz w:val="24"/>
          <w:szCs w:val="24"/>
          <w:lang w:val="en-GB"/>
        </w:rPr>
        <w:t>AJJ Du Plooy</w:t>
      </w:r>
    </w:p>
    <w:p w14:paraId="339ED11E" w14:textId="189E160C" w:rsidR="00E522C4" w:rsidRDefault="00E522C4" w:rsidP="00E522C4">
      <w:pPr>
        <w:contextualSpacing/>
        <w:rPr>
          <w:rFonts w:eastAsia="Calibri"/>
          <w:sz w:val="24"/>
          <w:szCs w:val="24"/>
          <w:lang w:val="en-GB"/>
        </w:rPr>
      </w:pPr>
      <w:r>
        <w:rPr>
          <w:rFonts w:eastAsia="Calibri"/>
          <w:sz w:val="24"/>
          <w:szCs w:val="24"/>
          <w:lang w:val="en-GB"/>
        </w:rPr>
        <w:t>Attorney for the second respondent:</w:t>
      </w:r>
      <w:r>
        <w:rPr>
          <w:rFonts w:eastAsia="Calibri"/>
          <w:sz w:val="24"/>
          <w:szCs w:val="24"/>
          <w:lang w:val="en-GB"/>
        </w:rPr>
        <w:tab/>
        <w:t>A Le Roux Attorneys</w:t>
      </w:r>
    </w:p>
    <w:p w14:paraId="6EC92E22" w14:textId="77777777" w:rsidR="00E522C4" w:rsidRDefault="00E522C4" w:rsidP="00E522C4">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Johannesburg</w:t>
      </w:r>
    </w:p>
    <w:p w14:paraId="36FBBE12" w14:textId="79502B35" w:rsidR="00E522C4" w:rsidRDefault="00E522C4" w:rsidP="00E522C4">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Ref: Alegrand/Kolisang(ALR)</w:t>
      </w:r>
      <w:r>
        <w:rPr>
          <w:rFonts w:eastAsia="Calibri"/>
          <w:sz w:val="24"/>
          <w:szCs w:val="24"/>
          <w:lang w:val="en-GB"/>
        </w:rPr>
        <w:tab/>
      </w:r>
    </w:p>
    <w:p w14:paraId="4C641545" w14:textId="177A5BB1" w:rsidR="000352CB" w:rsidRDefault="00E522C4" w:rsidP="006561BA">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3" w:history="1">
        <w:r w:rsidRPr="001169AB">
          <w:rPr>
            <w:rStyle w:val="Hyperlink"/>
            <w:rFonts w:ascii="Arial" w:eastAsia="Calibri" w:hAnsi="Arial"/>
            <w:sz w:val="24"/>
            <w:szCs w:val="24"/>
            <w:lang w:val="en-GB"/>
          </w:rPr>
          <w:t>alrattorneys@mweb.co.za</w:t>
        </w:r>
      </w:hyperlink>
    </w:p>
    <w:p w14:paraId="209C8D8A" w14:textId="77777777" w:rsidR="00E522C4" w:rsidRPr="00743201" w:rsidRDefault="00E522C4" w:rsidP="006561BA">
      <w:pPr>
        <w:contextualSpacing/>
        <w:rPr>
          <w:sz w:val="24"/>
          <w:szCs w:val="24"/>
        </w:rPr>
      </w:pPr>
    </w:p>
    <w:sectPr w:rsidR="00E522C4" w:rsidRPr="00743201" w:rsidSect="00130DB5">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993"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66A6" w14:textId="77777777" w:rsidR="008C12DB" w:rsidRDefault="008C12DB">
      <w:pPr>
        <w:spacing w:after="0" w:line="240" w:lineRule="auto"/>
      </w:pPr>
      <w:r>
        <w:separator/>
      </w:r>
    </w:p>
  </w:endnote>
  <w:endnote w:type="continuationSeparator" w:id="0">
    <w:p w14:paraId="49317D4C" w14:textId="77777777" w:rsidR="008C12DB" w:rsidRDefault="008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D5A5" w14:textId="77777777" w:rsidR="00E12151" w:rsidRDefault="00E12151">
    <w:pPr>
      <w:pStyle w:val="Footer"/>
    </w:pPr>
  </w:p>
  <w:p w14:paraId="5E79C8CC" w14:textId="77777777" w:rsidR="00E12151" w:rsidRDefault="00E12151"/>
  <w:p w14:paraId="01191A3F" w14:textId="77777777" w:rsidR="00E12151" w:rsidRDefault="00E121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D3D7" w14:textId="104EE917" w:rsidR="00E12151" w:rsidRDefault="00E12151" w:rsidP="00130DB5">
    <w:pPr>
      <w:pStyle w:val="Footer"/>
      <w:tabs>
        <w:tab w:val="clear" w:pos="4513"/>
        <w:tab w:val="clear"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BBF3" w14:textId="77777777" w:rsidR="00E12151" w:rsidRDefault="00E12151"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7532" w14:textId="77777777" w:rsidR="008C12DB" w:rsidRDefault="008C12DB">
      <w:pPr>
        <w:spacing w:after="0" w:line="240" w:lineRule="auto"/>
      </w:pPr>
      <w:r>
        <w:separator/>
      </w:r>
    </w:p>
  </w:footnote>
  <w:footnote w:type="continuationSeparator" w:id="0">
    <w:p w14:paraId="6350C7CE" w14:textId="77777777" w:rsidR="008C12DB" w:rsidRDefault="008C12DB">
      <w:pPr>
        <w:spacing w:after="0" w:line="240" w:lineRule="auto"/>
      </w:pPr>
      <w:r>
        <w:continuationSeparator/>
      </w:r>
    </w:p>
  </w:footnote>
  <w:footnote w:id="1">
    <w:p w14:paraId="70917A0B" w14:textId="29FF500F" w:rsidR="00E12151" w:rsidRDefault="00E12151">
      <w:pPr>
        <w:pStyle w:val="FootnoteText"/>
      </w:pPr>
      <w:r w:rsidRPr="001C2D70">
        <w:rPr>
          <w:rStyle w:val="FootnoteReference"/>
          <w:rFonts w:ascii="Arial" w:hAnsi="Arial"/>
          <w:sz w:val="20"/>
        </w:rPr>
        <w:footnoteRef/>
      </w:r>
      <w:r w:rsidR="001C2D70" w:rsidRPr="001C2D70">
        <w:rPr>
          <w:sz w:val="20"/>
        </w:rPr>
        <w:t xml:space="preserve"> </w:t>
      </w:r>
      <w:r w:rsidR="001C2D70" w:rsidRPr="001C2D70">
        <w:rPr>
          <w:i/>
          <w:sz w:val="20"/>
        </w:rPr>
        <w:t>Department of Transport v Tasima (Pty) Ltd</w:t>
      </w:r>
      <w:r w:rsidR="001C2D70" w:rsidRPr="001C2D70">
        <w:rPr>
          <w:sz w:val="20"/>
        </w:rPr>
        <w:t xml:space="preserve"> </w:t>
      </w:r>
      <w:r w:rsidR="001C2D70">
        <w:rPr>
          <w:sz w:val="20"/>
        </w:rPr>
        <w:t>2017 (2) SA 622 (CC)</w:t>
      </w:r>
      <w:r w:rsidR="001C2D70" w:rsidRPr="001C2D70">
        <w:rPr>
          <w:sz w:val="20"/>
        </w:rPr>
        <w:t xml:space="preserve"> paras 180 </w:t>
      </w:r>
      <w:r w:rsidR="001C2D70">
        <w:rPr>
          <w:sz w:val="20"/>
        </w:rPr>
        <w:t>–</w:t>
      </w:r>
      <w:r w:rsidR="001C2D70" w:rsidRPr="001C2D70">
        <w:rPr>
          <w:sz w:val="20"/>
        </w:rPr>
        <w:t xml:space="preserve"> 188</w:t>
      </w:r>
      <w:r w:rsidR="001C2D70">
        <w:rPr>
          <w:sz w:val="20"/>
        </w:rPr>
        <w:t xml:space="preserve">; </w:t>
      </w:r>
      <w:r w:rsidRPr="001C2D70">
        <w:rPr>
          <w:sz w:val="20"/>
        </w:rPr>
        <w:t xml:space="preserve"> Section 165 (5) of the Constit</w:t>
      </w:r>
      <w:r w:rsidR="006E11E4" w:rsidRPr="001C2D70">
        <w:rPr>
          <w:sz w:val="20"/>
        </w:rPr>
        <w:t>ut</w:t>
      </w:r>
      <w:r w:rsidRPr="001C2D70">
        <w:rPr>
          <w:sz w:val="20"/>
        </w:rPr>
        <w:t>ion</w:t>
      </w:r>
      <w:r w:rsidR="007B5544">
        <w:rPr>
          <w:sz w:val="20"/>
        </w:rPr>
        <w:t>.</w:t>
      </w:r>
      <w:r>
        <w:t xml:space="preserve"> </w:t>
      </w:r>
    </w:p>
  </w:footnote>
  <w:footnote w:id="2">
    <w:p w14:paraId="2C859431" w14:textId="77777777" w:rsidR="00E12151" w:rsidRPr="007130EC" w:rsidRDefault="00E12151">
      <w:pPr>
        <w:pStyle w:val="FootnoteText"/>
        <w:rPr>
          <w:sz w:val="20"/>
        </w:rPr>
      </w:pPr>
      <w:r w:rsidRPr="007130EC">
        <w:rPr>
          <w:rStyle w:val="FootnoteReference"/>
          <w:rFonts w:ascii="Arial" w:hAnsi="Arial"/>
          <w:sz w:val="20"/>
        </w:rPr>
        <w:footnoteRef/>
      </w:r>
      <w:r w:rsidRPr="007130EC">
        <w:rPr>
          <w:sz w:val="20"/>
        </w:rPr>
        <w:t xml:space="preserve"> </w:t>
      </w:r>
      <w:r>
        <w:rPr>
          <w:i/>
          <w:sz w:val="20"/>
        </w:rPr>
        <w:t xml:space="preserve">Ex parte Gore NO and Others NNO (in their capacities as the liquidators of 41 companies comprising King Financial Holdings Ltd (in liquidation) and its subsidiaries) </w:t>
      </w:r>
      <w:r>
        <w:rPr>
          <w:sz w:val="20"/>
        </w:rPr>
        <w:t>[2013] 2 ALL SA 437 (WCC).</w:t>
      </w:r>
    </w:p>
  </w:footnote>
  <w:footnote w:id="3">
    <w:p w14:paraId="1B92E8D4" w14:textId="77777777" w:rsidR="00E12151" w:rsidRPr="00362887" w:rsidRDefault="00E12151">
      <w:pPr>
        <w:pStyle w:val="FootnoteText"/>
        <w:rPr>
          <w:sz w:val="20"/>
        </w:rPr>
      </w:pPr>
      <w:r w:rsidRPr="00362887">
        <w:rPr>
          <w:rStyle w:val="FootnoteReference"/>
          <w:rFonts w:ascii="Arial" w:hAnsi="Arial"/>
          <w:sz w:val="20"/>
        </w:rPr>
        <w:footnoteRef/>
      </w:r>
      <w:r w:rsidRPr="00362887">
        <w:rPr>
          <w:sz w:val="20"/>
        </w:rPr>
        <w:t xml:space="preserve"> </w:t>
      </w:r>
      <w:r>
        <w:rPr>
          <w:i/>
          <w:sz w:val="20"/>
        </w:rPr>
        <w:t xml:space="preserve">Ex parte Gore </w:t>
      </w:r>
      <w:r>
        <w:rPr>
          <w:sz w:val="20"/>
        </w:rPr>
        <w:t>ibid para 34.</w:t>
      </w:r>
    </w:p>
  </w:footnote>
  <w:footnote w:id="4">
    <w:p w14:paraId="79029689" w14:textId="77777777" w:rsidR="00E12151" w:rsidRPr="00F77CF3" w:rsidRDefault="00E12151" w:rsidP="00542CAC">
      <w:pPr>
        <w:pStyle w:val="FootnoteText"/>
        <w:rPr>
          <w:sz w:val="20"/>
        </w:rPr>
      </w:pPr>
      <w:r w:rsidRPr="00F77CF3">
        <w:rPr>
          <w:rStyle w:val="FootnoteReference"/>
          <w:rFonts w:ascii="Arial" w:hAnsi="Arial"/>
          <w:sz w:val="20"/>
        </w:rPr>
        <w:footnoteRef/>
      </w:r>
      <w:r w:rsidRPr="00F77CF3">
        <w:rPr>
          <w:sz w:val="20"/>
        </w:rPr>
        <w:t xml:space="preserve"> </w:t>
      </w:r>
      <w:r>
        <w:rPr>
          <w:i/>
          <w:sz w:val="20"/>
        </w:rPr>
        <w:t xml:space="preserve">The Shipping Corporation of India Ltd v Evdomon Corporation and Another </w:t>
      </w:r>
      <w:r>
        <w:rPr>
          <w:sz w:val="20"/>
        </w:rPr>
        <w:t>1994 (1) SA 550 (A) at 566C-F.</w:t>
      </w:r>
    </w:p>
  </w:footnote>
  <w:footnote w:id="5">
    <w:p w14:paraId="3E1B170C" w14:textId="48D746B8" w:rsidR="00E12151" w:rsidRPr="00542CAC" w:rsidRDefault="00E12151">
      <w:pPr>
        <w:pStyle w:val="FootnoteText"/>
        <w:rPr>
          <w:sz w:val="20"/>
        </w:rPr>
      </w:pPr>
      <w:r w:rsidRPr="00542CAC">
        <w:rPr>
          <w:rStyle w:val="FootnoteReference"/>
          <w:rFonts w:ascii="Arial" w:hAnsi="Arial"/>
          <w:sz w:val="20"/>
        </w:rPr>
        <w:footnoteRef/>
      </w:r>
      <w:r w:rsidRPr="00542CAC">
        <w:rPr>
          <w:sz w:val="20"/>
        </w:rPr>
        <w:t xml:space="preserve"> </w:t>
      </w:r>
      <w:r>
        <w:rPr>
          <w:i/>
          <w:sz w:val="20"/>
        </w:rPr>
        <w:t xml:space="preserve">City Capital SA Property Holdings Ltd v Chavonnes Badenhorst St Clair Cooper </w:t>
      </w:r>
      <w:r w:rsidR="006E11E4">
        <w:rPr>
          <w:i/>
          <w:sz w:val="20"/>
        </w:rPr>
        <w:t>NO) 85</w:t>
      </w:r>
      <w:r>
        <w:rPr>
          <w:sz w:val="20"/>
        </w:rPr>
        <w:t>/2017) [2017] ZASCA 177 (1 December 2017) para 28.</w:t>
      </w:r>
    </w:p>
  </w:footnote>
  <w:footnote w:id="6">
    <w:p w14:paraId="419B1528" w14:textId="2E974EBC" w:rsidR="00E12151" w:rsidRPr="003B141A" w:rsidRDefault="00E12151">
      <w:pPr>
        <w:pStyle w:val="FootnoteText"/>
        <w:rPr>
          <w:sz w:val="20"/>
        </w:rPr>
      </w:pPr>
      <w:r w:rsidRPr="003B141A">
        <w:rPr>
          <w:rStyle w:val="FootnoteReference"/>
          <w:rFonts w:ascii="Arial" w:hAnsi="Arial"/>
          <w:sz w:val="20"/>
        </w:rPr>
        <w:footnoteRef/>
      </w:r>
      <w:r w:rsidRPr="003B141A">
        <w:rPr>
          <w:sz w:val="20"/>
        </w:rPr>
        <w:t xml:space="preserve"> </w:t>
      </w:r>
      <w:r>
        <w:rPr>
          <w:i/>
          <w:sz w:val="20"/>
        </w:rPr>
        <w:t xml:space="preserve">Ex Parte Gore </w:t>
      </w:r>
      <w:r>
        <w:rPr>
          <w:sz w:val="20"/>
        </w:rPr>
        <w:t xml:space="preserve">fn </w:t>
      </w:r>
      <w:r w:rsidR="00EF38FF">
        <w:rPr>
          <w:sz w:val="20"/>
        </w:rPr>
        <w:t>3</w:t>
      </w:r>
      <w:r>
        <w:rPr>
          <w:sz w:val="20"/>
        </w:rPr>
        <w:t xml:space="preserve"> above. </w:t>
      </w:r>
    </w:p>
  </w:footnote>
  <w:footnote w:id="7">
    <w:p w14:paraId="17744361" w14:textId="72EE3DB7" w:rsidR="00E12151" w:rsidRPr="00AC7798" w:rsidRDefault="00E12151">
      <w:pPr>
        <w:pStyle w:val="FootnoteText"/>
        <w:rPr>
          <w:sz w:val="20"/>
        </w:rPr>
      </w:pPr>
      <w:r w:rsidRPr="00AC7798">
        <w:rPr>
          <w:rStyle w:val="FootnoteReference"/>
          <w:rFonts w:ascii="Arial" w:hAnsi="Arial"/>
          <w:sz w:val="20"/>
        </w:rPr>
        <w:footnoteRef/>
      </w:r>
      <w:r w:rsidRPr="00AC7798">
        <w:rPr>
          <w:sz w:val="20"/>
        </w:rPr>
        <w:t xml:space="preserve"> </w:t>
      </w:r>
      <w:r>
        <w:rPr>
          <w:i/>
          <w:sz w:val="20"/>
        </w:rPr>
        <w:t xml:space="preserve">Ex Parte Gore </w:t>
      </w:r>
      <w:r>
        <w:rPr>
          <w:sz w:val="20"/>
        </w:rPr>
        <w:t xml:space="preserve">fn </w:t>
      </w:r>
      <w:r w:rsidR="00EF38FF">
        <w:rPr>
          <w:sz w:val="20"/>
        </w:rPr>
        <w:t xml:space="preserve">3 </w:t>
      </w:r>
      <w:r>
        <w:rPr>
          <w:sz w:val="20"/>
        </w:rPr>
        <w:t>above</w:t>
      </w:r>
      <w:r w:rsidR="00EF38FF">
        <w:rPr>
          <w:sz w:val="20"/>
        </w:rPr>
        <w:t>.</w:t>
      </w:r>
    </w:p>
  </w:footnote>
  <w:footnote w:id="8">
    <w:p w14:paraId="02F00EB6" w14:textId="133B078F" w:rsidR="00E12151" w:rsidRPr="00035F82" w:rsidRDefault="00E12151">
      <w:pPr>
        <w:pStyle w:val="FootnoteText"/>
        <w:rPr>
          <w:sz w:val="20"/>
        </w:rPr>
      </w:pPr>
      <w:r w:rsidRPr="00035F82">
        <w:rPr>
          <w:rStyle w:val="FootnoteReference"/>
          <w:rFonts w:ascii="Arial" w:hAnsi="Arial"/>
          <w:sz w:val="20"/>
        </w:rPr>
        <w:footnoteRef/>
      </w:r>
      <w:r w:rsidRPr="00035F82">
        <w:rPr>
          <w:sz w:val="20"/>
        </w:rPr>
        <w:t xml:space="preserve"> </w:t>
      </w:r>
      <w:r w:rsidRPr="009E1B31">
        <w:rPr>
          <w:i/>
          <w:iCs/>
          <w:color w:val="000000"/>
          <w:sz w:val="20"/>
          <w:shd w:val="clear" w:color="auto" w:fill="FFFFFF"/>
        </w:rPr>
        <w:t>Findaload (Pty) Ltd v CMT Transport (Pty) Ltd </w:t>
      </w:r>
      <w:r w:rsidRPr="009E1B31">
        <w:rPr>
          <w:color w:val="000000"/>
          <w:sz w:val="20"/>
          <w:shd w:val="clear" w:color="auto" w:fill="FFFFFF"/>
        </w:rPr>
        <w:t xml:space="preserve">2019 JOL 46156 (FB) para 29. </w:t>
      </w:r>
      <w:r w:rsidRPr="009E1B31">
        <w:rPr>
          <w:color w:val="000000"/>
          <w:sz w:val="20"/>
        </w:rPr>
        <w:br/>
      </w:r>
    </w:p>
  </w:footnote>
  <w:footnote w:id="9">
    <w:p w14:paraId="1FD9B9AD" w14:textId="491E9661" w:rsidR="00E12151" w:rsidRPr="00D726E5" w:rsidRDefault="00E12151">
      <w:pPr>
        <w:pStyle w:val="FootnoteText"/>
        <w:rPr>
          <w:sz w:val="20"/>
        </w:rPr>
      </w:pPr>
      <w:r w:rsidRPr="00D726E5">
        <w:rPr>
          <w:rStyle w:val="FootnoteReference"/>
          <w:rFonts w:ascii="Arial" w:hAnsi="Arial"/>
          <w:sz w:val="20"/>
        </w:rPr>
        <w:footnoteRef/>
      </w:r>
      <w:r w:rsidRPr="00D726E5">
        <w:rPr>
          <w:sz w:val="20"/>
        </w:rPr>
        <w:t xml:space="preserve"> </w:t>
      </w:r>
      <w:r w:rsidRPr="00D726E5">
        <w:rPr>
          <w:i/>
          <w:sz w:val="20"/>
        </w:rPr>
        <w:t>Ebrahim and Another v Airport Cold Storage (Pty) Ltd</w:t>
      </w:r>
      <w:r>
        <w:rPr>
          <w:i/>
          <w:sz w:val="20"/>
        </w:rPr>
        <w:t xml:space="preserve"> </w:t>
      </w:r>
      <w:r>
        <w:rPr>
          <w:sz w:val="20"/>
        </w:rPr>
        <w:t>2008 (6) SA 585 (SCA).</w:t>
      </w:r>
    </w:p>
  </w:footnote>
  <w:footnote w:id="10">
    <w:p w14:paraId="70A5D490" w14:textId="39C44DA7" w:rsidR="00E12151" w:rsidRPr="00B9576E" w:rsidRDefault="00E12151">
      <w:pPr>
        <w:pStyle w:val="FootnoteText"/>
        <w:rPr>
          <w:sz w:val="20"/>
        </w:rPr>
      </w:pPr>
      <w:r w:rsidRPr="00B9576E">
        <w:rPr>
          <w:rStyle w:val="FootnoteReference"/>
          <w:rFonts w:ascii="Arial" w:hAnsi="Arial"/>
          <w:sz w:val="20"/>
        </w:rPr>
        <w:footnoteRef/>
      </w:r>
      <w:r w:rsidRPr="00B9576E">
        <w:rPr>
          <w:sz w:val="20"/>
        </w:rPr>
        <w:t xml:space="preserve"> </w:t>
      </w:r>
      <w:r w:rsidRPr="00D726E5">
        <w:rPr>
          <w:i/>
          <w:sz w:val="20"/>
        </w:rPr>
        <w:t>Airport Cold Storage</w:t>
      </w:r>
      <w:r w:rsidR="008629DF">
        <w:rPr>
          <w:i/>
          <w:sz w:val="20"/>
        </w:rPr>
        <w:t xml:space="preserve"> (Pty) </w:t>
      </w:r>
      <w:r w:rsidR="007B5544">
        <w:rPr>
          <w:i/>
          <w:sz w:val="20"/>
        </w:rPr>
        <w:t xml:space="preserve">Ltd </w:t>
      </w:r>
      <w:r w:rsidR="007B5544" w:rsidRPr="007B5544">
        <w:rPr>
          <w:sz w:val="20"/>
        </w:rPr>
        <w:t>ibid</w:t>
      </w:r>
      <w:r>
        <w:rPr>
          <w:sz w:val="20"/>
        </w:rPr>
        <w:t xml:space="preserve"> para 15.</w:t>
      </w:r>
    </w:p>
  </w:footnote>
  <w:footnote w:id="11">
    <w:p w14:paraId="74635834" w14:textId="2A72982B" w:rsidR="00E12151" w:rsidRPr="00752E6E" w:rsidRDefault="00E12151" w:rsidP="00752E6E">
      <w:pPr>
        <w:pStyle w:val="Heading2"/>
        <w:shd w:val="clear" w:color="auto" w:fill="FFFFFF"/>
        <w:spacing w:before="240" w:after="180" w:line="288" w:lineRule="atLeast"/>
        <w:rPr>
          <w:rFonts w:ascii="Arial" w:hAnsi="Arial" w:cs="Arial"/>
          <w:b w:val="0"/>
          <w:bCs w:val="0"/>
          <w:color w:val="auto"/>
          <w:sz w:val="20"/>
          <w:szCs w:val="20"/>
        </w:rPr>
      </w:pPr>
      <w:r w:rsidRPr="00752E6E">
        <w:rPr>
          <w:rStyle w:val="FootnoteReference"/>
          <w:rFonts w:ascii="Arial" w:hAnsi="Arial" w:cs="Arial"/>
          <w:b w:val="0"/>
          <w:color w:val="auto"/>
          <w:sz w:val="20"/>
        </w:rPr>
        <w:footnoteRef/>
      </w:r>
      <w:r w:rsidRPr="00752E6E">
        <w:rPr>
          <w:rFonts w:ascii="Arial" w:hAnsi="Arial" w:cs="Arial"/>
          <w:color w:val="auto"/>
          <w:sz w:val="20"/>
        </w:rPr>
        <w:t xml:space="preserve"> </w:t>
      </w:r>
      <w:r w:rsidRPr="00752E6E">
        <w:rPr>
          <w:rFonts w:ascii="Arial" w:hAnsi="Arial" w:cs="Arial"/>
          <w:b w:val="0"/>
          <w:bCs w:val="0"/>
          <w:i/>
          <w:color w:val="auto"/>
          <w:sz w:val="20"/>
          <w:szCs w:val="20"/>
        </w:rPr>
        <w:t>City of Cape Town v South African National Roads Authority Limited and Others</w:t>
      </w:r>
      <w:r w:rsidRPr="00752E6E">
        <w:rPr>
          <w:rFonts w:ascii="Arial" w:hAnsi="Arial" w:cs="Arial"/>
          <w:b w:val="0"/>
          <w:bCs w:val="0"/>
          <w:color w:val="auto"/>
          <w:sz w:val="20"/>
          <w:szCs w:val="20"/>
        </w:rPr>
        <w:t xml:space="preserve"> (20786/2014) [2015] ZASCA 58; 2015 (3) SA 386 (SCA); [2015] 2 All SA 517</w:t>
      </w:r>
      <w:r>
        <w:rPr>
          <w:rFonts w:ascii="Arial" w:hAnsi="Arial" w:cs="Arial"/>
          <w:b w:val="0"/>
          <w:bCs w:val="0"/>
          <w:color w:val="auto"/>
          <w:sz w:val="20"/>
          <w:szCs w:val="20"/>
        </w:rPr>
        <w:t xml:space="preserve"> (SCA); 2015 (5) BCLR 560 (SCA)</w:t>
      </w:r>
      <w:r w:rsidRPr="00752E6E">
        <w:rPr>
          <w:rFonts w:ascii="Arial" w:hAnsi="Arial" w:cs="Arial"/>
          <w:b w:val="0"/>
          <w:bCs w:val="0"/>
          <w:color w:val="auto"/>
          <w:sz w:val="20"/>
          <w:szCs w:val="20"/>
        </w:rPr>
        <w:t xml:space="preserve"> (30 March 2015)</w:t>
      </w:r>
      <w:r>
        <w:rPr>
          <w:rFonts w:ascii="Arial" w:hAnsi="Arial" w:cs="Arial"/>
          <w:b w:val="0"/>
          <w:bCs w:val="0"/>
          <w:color w:val="auto"/>
          <w:sz w:val="20"/>
          <w:szCs w:val="20"/>
        </w:rPr>
        <w:t xml:space="preserve"> para 19.</w:t>
      </w:r>
    </w:p>
    <w:p w14:paraId="519A7B1A" w14:textId="4F3C483A" w:rsidR="00E12151" w:rsidRPr="00AD47EC" w:rsidRDefault="00E12151">
      <w:pPr>
        <w:pStyle w:val="FootnoteText"/>
        <w:rPr>
          <w:sz w:val="20"/>
        </w:rPr>
      </w:pPr>
    </w:p>
  </w:footnote>
  <w:footnote w:id="12">
    <w:p w14:paraId="3B6B8A5E" w14:textId="5CE8C316" w:rsidR="00E12151" w:rsidRPr="00E12151" w:rsidRDefault="00E12151">
      <w:pPr>
        <w:pStyle w:val="FootnoteText"/>
        <w:rPr>
          <w:sz w:val="20"/>
        </w:rPr>
      </w:pPr>
      <w:r w:rsidRPr="00E12151">
        <w:rPr>
          <w:rStyle w:val="FootnoteReference"/>
          <w:rFonts w:ascii="Arial" w:hAnsi="Arial"/>
          <w:sz w:val="20"/>
        </w:rPr>
        <w:footnoteRef/>
      </w:r>
      <w:r w:rsidRPr="00E12151">
        <w:rPr>
          <w:sz w:val="20"/>
        </w:rPr>
        <w:t xml:space="preserve"> </w:t>
      </w:r>
      <w:r w:rsidRPr="00E12151">
        <w:rPr>
          <w:i/>
          <w:sz w:val="20"/>
          <w:szCs w:val="24"/>
        </w:rPr>
        <w:t>Rocker v Alegrand General Dealers and Auctioneers (Pty) Ltd t/a Grand Auctions</w:t>
      </w:r>
      <w:r>
        <w:rPr>
          <w:i/>
          <w:sz w:val="20"/>
          <w:szCs w:val="24"/>
        </w:rPr>
        <w:t xml:space="preserve"> </w:t>
      </w:r>
      <w:r>
        <w:rPr>
          <w:sz w:val="20"/>
          <w:szCs w:val="24"/>
        </w:rPr>
        <w:t>(93039/2016) [2017] ZAGPPHC 896 (1 December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FE3E" w14:textId="77777777" w:rsidR="00E12151" w:rsidRDefault="00E12151"/>
  <w:p w14:paraId="2E635815" w14:textId="77777777" w:rsidR="00E12151" w:rsidRDefault="00E12151"/>
  <w:p w14:paraId="3436E303" w14:textId="77777777" w:rsidR="00E12151" w:rsidRDefault="00E121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720"/>
      <w:docPartObj>
        <w:docPartGallery w:val="Page Numbers (Top of Page)"/>
        <w:docPartUnique/>
      </w:docPartObj>
    </w:sdtPr>
    <w:sdtEndPr>
      <w:rPr>
        <w:noProof/>
      </w:rPr>
    </w:sdtEndPr>
    <w:sdtContent>
      <w:p w14:paraId="46413705" w14:textId="5E66FEC0" w:rsidR="00130DB5" w:rsidRDefault="00130DB5">
        <w:pPr>
          <w:pStyle w:val="Header"/>
          <w:jc w:val="right"/>
        </w:pPr>
        <w:r>
          <w:fldChar w:fldCharType="begin"/>
        </w:r>
        <w:r>
          <w:instrText xml:space="preserve"> PAGE   \* MERGEFORMAT </w:instrText>
        </w:r>
        <w:r>
          <w:fldChar w:fldCharType="separate"/>
        </w:r>
        <w:r w:rsidR="004933DD">
          <w:rPr>
            <w:noProof/>
          </w:rPr>
          <w:t>12</w:t>
        </w:r>
        <w:r>
          <w:rPr>
            <w:noProof/>
          </w:rPr>
          <w:fldChar w:fldCharType="end"/>
        </w:r>
      </w:p>
    </w:sdtContent>
  </w:sdt>
  <w:p w14:paraId="601C4996" w14:textId="77777777" w:rsidR="00E12151" w:rsidRDefault="00E121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1E62" w14:textId="77777777" w:rsidR="00E12151" w:rsidRDefault="00E12151" w:rsidP="00384E22">
    <w:pPr>
      <w:pStyle w:val="Header"/>
      <w:jc w:val="left"/>
    </w:pPr>
  </w:p>
  <w:p w14:paraId="042566FA" w14:textId="77777777" w:rsidR="00E12151" w:rsidRDefault="00E121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7">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6766E2A"/>
    <w:multiLevelType w:val="multilevel"/>
    <w:tmpl w:val="1F1E4B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B224B80"/>
    <w:multiLevelType w:val="hybridMultilevel"/>
    <w:tmpl w:val="B2527AD6"/>
    <w:lvl w:ilvl="0" w:tplc="774ACB46">
      <w:start w:val="1"/>
      <w:numFmt w:val="lowerRoman"/>
      <w:lvlText w:val="(%1)"/>
      <w:lvlJc w:val="left"/>
      <w:pPr>
        <w:ind w:left="1130" w:hanging="72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43">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9">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C7E390E"/>
    <w:multiLevelType w:val="hybridMultilevel"/>
    <w:tmpl w:val="C54CA3B4"/>
    <w:lvl w:ilvl="0" w:tplc="7DF0F5A8">
      <w:start w:val="1"/>
      <w:numFmt w:val="lowerLetter"/>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52">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8"/>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3"/>
  </w:num>
  <w:num w:numId="10">
    <w:abstractNumId w:val="32"/>
  </w:num>
  <w:num w:numId="11">
    <w:abstractNumId w:val="45"/>
  </w:num>
  <w:num w:numId="12">
    <w:abstractNumId w:val="47"/>
  </w:num>
  <w:num w:numId="13">
    <w:abstractNumId w:val="3"/>
  </w:num>
  <w:num w:numId="14">
    <w:abstractNumId w:val="24"/>
  </w:num>
  <w:num w:numId="15">
    <w:abstractNumId w:val="16"/>
  </w:num>
  <w:num w:numId="16">
    <w:abstractNumId w:val="7"/>
  </w:num>
  <w:num w:numId="17">
    <w:abstractNumId w:val="4"/>
  </w:num>
  <w:num w:numId="18">
    <w:abstractNumId w:val="25"/>
  </w:num>
  <w:num w:numId="19">
    <w:abstractNumId w:val="43"/>
  </w:num>
  <w:num w:numId="20">
    <w:abstractNumId w:val="26"/>
  </w:num>
  <w:num w:numId="21">
    <w:abstractNumId w:val="30"/>
  </w:num>
  <w:num w:numId="22">
    <w:abstractNumId w:val="34"/>
  </w:num>
  <w:num w:numId="23">
    <w:abstractNumId w:val="22"/>
  </w:num>
  <w:num w:numId="24">
    <w:abstractNumId w:val="9"/>
  </w:num>
  <w:num w:numId="25">
    <w:abstractNumId w:val="35"/>
  </w:num>
  <w:num w:numId="26">
    <w:abstractNumId w:val="44"/>
  </w:num>
  <w:num w:numId="27">
    <w:abstractNumId w:val="52"/>
  </w:num>
  <w:num w:numId="28">
    <w:abstractNumId w:val="8"/>
  </w:num>
  <w:num w:numId="29">
    <w:abstractNumId w:val="21"/>
  </w:num>
  <w:num w:numId="30">
    <w:abstractNumId w:val="27"/>
  </w:num>
  <w:num w:numId="31">
    <w:abstractNumId w:val="36"/>
  </w:num>
  <w:num w:numId="32">
    <w:abstractNumId w:val="11"/>
  </w:num>
  <w:num w:numId="33">
    <w:abstractNumId w:val="37"/>
  </w:num>
  <w:num w:numId="34">
    <w:abstractNumId w:val="46"/>
  </w:num>
  <w:num w:numId="35">
    <w:abstractNumId w:val="31"/>
  </w:num>
  <w:num w:numId="36">
    <w:abstractNumId w:val="19"/>
  </w:num>
  <w:num w:numId="37">
    <w:abstractNumId w:val="39"/>
  </w:num>
  <w:num w:numId="38">
    <w:abstractNumId w:val="50"/>
  </w:num>
  <w:num w:numId="39">
    <w:abstractNumId w:val="38"/>
  </w:num>
  <w:num w:numId="40">
    <w:abstractNumId w:val="28"/>
  </w:num>
  <w:num w:numId="41">
    <w:abstractNumId w:val="41"/>
  </w:num>
  <w:num w:numId="42">
    <w:abstractNumId w:val="13"/>
  </w:num>
  <w:num w:numId="43">
    <w:abstractNumId w:val="17"/>
  </w:num>
  <w:num w:numId="44">
    <w:abstractNumId w:val="15"/>
  </w:num>
  <w:num w:numId="45">
    <w:abstractNumId w:val="49"/>
  </w:num>
  <w:num w:numId="46">
    <w:abstractNumId w:val="0"/>
  </w:num>
  <w:num w:numId="47">
    <w:abstractNumId w:val="29"/>
  </w:num>
  <w:num w:numId="48">
    <w:abstractNumId w:val="40"/>
  </w:num>
  <w:num w:numId="49">
    <w:abstractNumId w:val="18"/>
  </w:num>
  <w:num w:numId="50">
    <w:abstractNumId w:val="10"/>
  </w:num>
  <w:num w:numId="51">
    <w:abstractNumId w:val="51"/>
  </w:num>
  <w:num w:numId="52">
    <w:abstractNumId w:val="42"/>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743201"/>
    <w:rsid w:val="00014825"/>
    <w:rsid w:val="000164AB"/>
    <w:rsid w:val="0002034F"/>
    <w:rsid w:val="000260A7"/>
    <w:rsid w:val="00030301"/>
    <w:rsid w:val="00034762"/>
    <w:rsid w:val="000352CB"/>
    <w:rsid w:val="00035F82"/>
    <w:rsid w:val="00037514"/>
    <w:rsid w:val="00042B47"/>
    <w:rsid w:val="00045D47"/>
    <w:rsid w:val="0007023D"/>
    <w:rsid w:val="000732EF"/>
    <w:rsid w:val="000733C8"/>
    <w:rsid w:val="00082266"/>
    <w:rsid w:val="0009296D"/>
    <w:rsid w:val="00093F2D"/>
    <w:rsid w:val="000A2E93"/>
    <w:rsid w:val="000B7F03"/>
    <w:rsid w:val="000C7D51"/>
    <w:rsid w:val="000D4460"/>
    <w:rsid w:val="000E6988"/>
    <w:rsid w:val="000F0532"/>
    <w:rsid w:val="000F1ED4"/>
    <w:rsid w:val="000F2251"/>
    <w:rsid w:val="000F2FD9"/>
    <w:rsid w:val="000F4535"/>
    <w:rsid w:val="000F4812"/>
    <w:rsid w:val="000F5634"/>
    <w:rsid w:val="00106EF4"/>
    <w:rsid w:val="0011130F"/>
    <w:rsid w:val="00111BEF"/>
    <w:rsid w:val="00115024"/>
    <w:rsid w:val="00115C15"/>
    <w:rsid w:val="0011777D"/>
    <w:rsid w:val="001177E5"/>
    <w:rsid w:val="001201E5"/>
    <w:rsid w:val="00126263"/>
    <w:rsid w:val="00130DB5"/>
    <w:rsid w:val="001350D7"/>
    <w:rsid w:val="0013627B"/>
    <w:rsid w:val="001432BC"/>
    <w:rsid w:val="00156532"/>
    <w:rsid w:val="00161A8F"/>
    <w:rsid w:val="0017403A"/>
    <w:rsid w:val="00174CE4"/>
    <w:rsid w:val="00176D2E"/>
    <w:rsid w:val="00193B2F"/>
    <w:rsid w:val="00196D22"/>
    <w:rsid w:val="00197E89"/>
    <w:rsid w:val="001A23C2"/>
    <w:rsid w:val="001A2D31"/>
    <w:rsid w:val="001A3F4B"/>
    <w:rsid w:val="001A4A0F"/>
    <w:rsid w:val="001A704E"/>
    <w:rsid w:val="001C062C"/>
    <w:rsid w:val="001C19F9"/>
    <w:rsid w:val="001C2D70"/>
    <w:rsid w:val="001C6B40"/>
    <w:rsid w:val="001D01DF"/>
    <w:rsid w:val="001D04B2"/>
    <w:rsid w:val="001D3F77"/>
    <w:rsid w:val="001E44FC"/>
    <w:rsid w:val="001F393B"/>
    <w:rsid w:val="00200563"/>
    <w:rsid w:val="0020591D"/>
    <w:rsid w:val="002121AA"/>
    <w:rsid w:val="00215121"/>
    <w:rsid w:val="002159C9"/>
    <w:rsid w:val="002301E3"/>
    <w:rsid w:val="002444C0"/>
    <w:rsid w:val="002534E2"/>
    <w:rsid w:val="002540B5"/>
    <w:rsid w:val="00256BC8"/>
    <w:rsid w:val="00257ECE"/>
    <w:rsid w:val="00265D3B"/>
    <w:rsid w:val="00265D95"/>
    <w:rsid w:val="002753CC"/>
    <w:rsid w:val="00277601"/>
    <w:rsid w:val="00280860"/>
    <w:rsid w:val="002908B8"/>
    <w:rsid w:val="002912DA"/>
    <w:rsid w:val="00296E5E"/>
    <w:rsid w:val="002A0518"/>
    <w:rsid w:val="002A0711"/>
    <w:rsid w:val="002A4BC0"/>
    <w:rsid w:val="002B1873"/>
    <w:rsid w:val="002B2553"/>
    <w:rsid w:val="002B27CC"/>
    <w:rsid w:val="002C5551"/>
    <w:rsid w:val="002C59D0"/>
    <w:rsid w:val="002C5A38"/>
    <w:rsid w:val="002C6F84"/>
    <w:rsid w:val="002D053A"/>
    <w:rsid w:val="002D27BE"/>
    <w:rsid w:val="002D2E74"/>
    <w:rsid w:val="002D4510"/>
    <w:rsid w:val="002D6473"/>
    <w:rsid w:val="002D7BAD"/>
    <w:rsid w:val="002E524B"/>
    <w:rsid w:val="002F0B3A"/>
    <w:rsid w:val="002F1A56"/>
    <w:rsid w:val="002F2158"/>
    <w:rsid w:val="00300A2C"/>
    <w:rsid w:val="00303283"/>
    <w:rsid w:val="003035F1"/>
    <w:rsid w:val="003072E7"/>
    <w:rsid w:val="00311036"/>
    <w:rsid w:val="00316E14"/>
    <w:rsid w:val="003233F2"/>
    <w:rsid w:val="00336661"/>
    <w:rsid w:val="00360A53"/>
    <w:rsid w:val="00361CF2"/>
    <w:rsid w:val="00361FF0"/>
    <w:rsid w:val="00362887"/>
    <w:rsid w:val="003651A0"/>
    <w:rsid w:val="00370CF7"/>
    <w:rsid w:val="0037362B"/>
    <w:rsid w:val="00374C2F"/>
    <w:rsid w:val="00377914"/>
    <w:rsid w:val="00377FF1"/>
    <w:rsid w:val="00384557"/>
    <w:rsid w:val="00384E22"/>
    <w:rsid w:val="00391D43"/>
    <w:rsid w:val="003A024F"/>
    <w:rsid w:val="003B141A"/>
    <w:rsid w:val="003B7BD7"/>
    <w:rsid w:val="003C3503"/>
    <w:rsid w:val="003D0003"/>
    <w:rsid w:val="003D726C"/>
    <w:rsid w:val="003D7779"/>
    <w:rsid w:val="003E0994"/>
    <w:rsid w:val="003F57D5"/>
    <w:rsid w:val="0040231C"/>
    <w:rsid w:val="00405888"/>
    <w:rsid w:val="00405CCA"/>
    <w:rsid w:val="00407115"/>
    <w:rsid w:val="00411531"/>
    <w:rsid w:val="004119A0"/>
    <w:rsid w:val="00421AAF"/>
    <w:rsid w:val="004301D9"/>
    <w:rsid w:val="004336D5"/>
    <w:rsid w:val="0044084D"/>
    <w:rsid w:val="00441CAB"/>
    <w:rsid w:val="004476CA"/>
    <w:rsid w:val="00460C85"/>
    <w:rsid w:val="00467685"/>
    <w:rsid w:val="00467F4C"/>
    <w:rsid w:val="004718D5"/>
    <w:rsid w:val="00490EBB"/>
    <w:rsid w:val="004933DD"/>
    <w:rsid w:val="00494405"/>
    <w:rsid w:val="004A0D0F"/>
    <w:rsid w:val="004B13CA"/>
    <w:rsid w:val="004D047F"/>
    <w:rsid w:val="004D6732"/>
    <w:rsid w:val="004E3FF1"/>
    <w:rsid w:val="004F2DC4"/>
    <w:rsid w:val="004F6F48"/>
    <w:rsid w:val="005002E7"/>
    <w:rsid w:val="00504FB0"/>
    <w:rsid w:val="00511C72"/>
    <w:rsid w:val="00513BEE"/>
    <w:rsid w:val="00515275"/>
    <w:rsid w:val="005165DC"/>
    <w:rsid w:val="0051668C"/>
    <w:rsid w:val="00520D28"/>
    <w:rsid w:val="00520DB7"/>
    <w:rsid w:val="00520E4B"/>
    <w:rsid w:val="00522A33"/>
    <w:rsid w:val="00522EB2"/>
    <w:rsid w:val="0053054A"/>
    <w:rsid w:val="005371DC"/>
    <w:rsid w:val="00542C41"/>
    <w:rsid w:val="00542CAC"/>
    <w:rsid w:val="0054350D"/>
    <w:rsid w:val="00553250"/>
    <w:rsid w:val="00553AAD"/>
    <w:rsid w:val="00565BEB"/>
    <w:rsid w:val="00570967"/>
    <w:rsid w:val="00577216"/>
    <w:rsid w:val="00580F35"/>
    <w:rsid w:val="00595B3E"/>
    <w:rsid w:val="00596434"/>
    <w:rsid w:val="005A10E0"/>
    <w:rsid w:val="005A4188"/>
    <w:rsid w:val="005A64DB"/>
    <w:rsid w:val="005B1208"/>
    <w:rsid w:val="005B6659"/>
    <w:rsid w:val="005C1BDB"/>
    <w:rsid w:val="005C1D1D"/>
    <w:rsid w:val="005D46CF"/>
    <w:rsid w:val="005E0B5E"/>
    <w:rsid w:val="005E1DE4"/>
    <w:rsid w:val="005E59CF"/>
    <w:rsid w:val="005F392A"/>
    <w:rsid w:val="005F4CDD"/>
    <w:rsid w:val="00600109"/>
    <w:rsid w:val="006107E2"/>
    <w:rsid w:val="006200A3"/>
    <w:rsid w:val="00623505"/>
    <w:rsid w:val="006255E2"/>
    <w:rsid w:val="00625A2B"/>
    <w:rsid w:val="00627CCD"/>
    <w:rsid w:val="00646E48"/>
    <w:rsid w:val="00652544"/>
    <w:rsid w:val="006560CB"/>
    <w:rsid w:val="006561BA"/>
    <w:rsid w:val="00665600"/>
    <w:rsid w:val="00665B0F"/>
    <w:rsid w:val="00666169"/>
    <w:rsid w:val="00667BC2"/>
    <w:rsid w:val="00667C51"/>
    <w:rsid w:val="00673DDA"/>
    <w:rsid w:val="00683A4D"/>
    <w:rsid w:val="006A0C3B"/>
    <w:rsid w:val="006A37D8"/>
    <w:rsid w:val="006B12A8"/>
    <w:rsid w:val="006C15AD"/>
    <w:rsid w:val="006C1F17"/>
    <w:rsid w:val="006C373B"/>
    <w:rsid w:val="006C7406"/>
    <w:rsid w:val="006E11E4"/>
    <w:rsid w:val="006E1D0D"/>
    <w:rsid w:val="006E36B9"/>
    <w:rsid w:val="006F6782"/>
    <w:rsid w:val="00704D31"/>
    <w:rsid w:val="00707C31"/>
    <w:rsid w:val="007130EC"/>
    <w:rsid w:val="007149F1"/>
    <w:rsid w:val="00716C67"/>
    <w:rsid w:val="00721CBC"/>
    <w:rsid w:val="007357A6"/>
    <w:rsid w:val="007373FB"/>
    <w:rsid w:val="00743201"/>
    <w:rsid w:val="00744A1B"/>
    <w:rsid w:val="00745F15"/>
    <w:rsid w:val="00752E6E"/>
    <w:rsid w:val="007557E8"/>
    <w:rsid w:val="00763FC5"/>
    <w:rsid w:val="007902E3"/>
    <w:rsid w:val="00792F34"/>
    <w:rsid w:val="007B012B"/>
    <w:rsid w:val="007B0C6A"/>
    <w:rsid w:val="007B1849"/>
    <w:rsid w:val="007B5544"/>
    <w:rsid w:val="007C09AB"/>
    <w:rsid w:val="007C4D93"/>
    <w:rsid w:val="007C5CF9"/>
    <w:rsid w:val="007C7BA5"/>
    <w:rsid w:val="007D3484"/>
    <w:rsid w:val="007D54DA"/>
    <w:rsid w:val="007E0AFD"/>
    <w:rsid w:val="007E2208"/>
    <w:rsid w:val="007E40DD"/>
    <w:rsid w:val="007E70F3"/>
    <w:rsid w:val="007F10C7"/>
    <w:rsid w:val="007F5AFE"/>
    <w:rsid w:val="00807A8E"/>
    <w:rsid w:val="00814AF4"/>
    <w:rsid w:val="008245AA"/>
    <w:rsid w:val="00824983"/>
    <w:rsid w:val="00827FFD"/>
    <w:rsid w:val="008325C2"/>
    <w:rsid w:val="008329B2"/>
    <w:rsid w:val="008338F7"/>
    <w:rsid w:val="00835F34"/>
    <w:rsid w:val="0084049D"/>
    <w:rsid w:val="00842948"/>
    <w:rsid w:val="00843CE0"/>
    <w:rsid w:val="0085308A"/>
    <w:rsid w:val="0085530B"/>
    <w:rsid w:val="008558BF"/>
    <w:rsid w:val="00856D8C"/>
    <w:rsid w:val="008603E3"/>
    <w:rsid w:val="008629DF"/>
    <w:rsid w:val="0086633E"/>
    <w:rsid w:val="008672AA"/>
    <w:rsid w:val="00873619"/>
    <w:rsid w:val="008855A8"/>
    <w:rsid w:val="00891A3D"/>
    <w:rsid w:val="008A3B96"/>
    <w:rsid w:val="008A3D4F"/>
    <w:rsid w:val="008B1A86"/>
    <w:rsid w:val="008B4E78"/>
    <w:rsid w:val="008C0ADE"/>
    <w:rsid w:val="008C12DB"/>
    <w:rsid w:val="008C2C9A"/>
    <w:rsid w:val="008C3DBB"/>
    <w:rsid w:val="008D359F"/>
    <w:rsid w:val="008D519D"/>
    <w:rsid w:val="008E0A4F"/>
    <w:rsid w:val="008E0FEF"/>
    <w:rsid w:val="0090717C"/>
    <w:rsid w:val="00910069"/>
    <w:rsid w:val="00910BF1"/>
    <w:rsid w:val="009150CD"/>
    <w:rsid w:val="00916108"/>
    <w:rsid w:val="009166F0"/>
    <w:rsid w:val="0092197D"/>
    <w:rsid w:val="0092564E"/>
    <w:rsid w:val="00926953"/>
    <w:rsid w:val="009302C8"/>
    <w:rsid w:val="00942724"/>
    <w:rsid w:val="00943BEF"/>
    <w:rsid w:val="009520FF"/>
    <w:rsid w:val="00955EAB"/>
    <w:rsid w:val="00972559"/>
    <w:rsid w:val="00984118"/>
    <w:rsid w:val="00987891"/>
    <w:rsid w:val="00987B3A"/>
    <w:rsid w:val="00990533"/>
    <w:rsid w:val="0099081D"/>
    <w:rsid w:val="009919F5"/>
    <w:rsid w:val="00991B25"/>
    <w:rsid w:val="009B5D6F"/>
    <w:rsid w:val="009D78AA"/>
    <w:rsid w:val="009E6C5E"/>
    <w:rsid w:val="009F011F"/>
    <w:rsid w:val="009F7AF6"/>
    <w:rsid w:val="009F7BB8"/>
    <w:rsid w:val="00A04BA5"/>
    <w:rsid w:val="00A05F16"/>
    <w:rsid w:val="00A12477"/>
    <w:rsid w:val="00A142C3"/>
    <w:rsid w:val="00A21931"/>
    <w:rsid w:val="00A24E52"/>
    <w:rsid w:val="00A40140"/>
    <w:rsid w:val="00A41181"/>
    <w:rsid w:val="00A52A9E"/>
    <w:rsid w:val="00A63D25"/>
    <w:rsid w:val="00A63D45"/>
    <w:rsid w:val="00A71992"/>
    <w:rsid w:val="00A76102"/>
    <w:rsid w:val="00A776A4"/>
    <w:rsid w:val="00A85D6B"/>
    <w:rsid w:val="00AB492A"/>
    <w:rsid w:val="00AC3A5F"/>
    <w:rsid w:val="00AC4CD7"/>
    <w:rsid w:val="00AC7798"/>
    <w:rsid w:val="00AD1B2B"/>
    <w:rsid w:val="00AD47EC"/>
    <w:rsid w:val="00AD79F8"/>
    <w:rsid w:val="00AF3A62"/>
    <w:rsid w:val="00B026F7"/>
    <w:rsid w:val="00B039E4"/>
    <w:rsid w:val="00B11A7E"/>
    <w:rsid w:val="00B17906"/>
    <w:rsid w:val="00B20742"/>
    <w:rsid w:val="00B21294"/>
    <w:rsid w:val="00B24C0E"/>
    <w:rsid w:val="00B25A2A"/>
    <w:rsid w:val="00B27924"/>
    <w:rsid w:val="00B40636"/>
    <w:rsid w:val="00B45C6F"/>
    <w:rsid w:val="00B505D9"/>
    <w:rsid w:val="00B52E30"/>
    <w:rsid w:val="00B561A8"/>
    <w:rsid w:val="00B57271"/>
    <w:rsid w:val="00B57FE6"/>
    <w:rsid w:val="00B71086"/>
    <w:rsid w:val="00B85415"/>
    <w:rsid w:val="00B8718D"/>
    <w:rsid w:val="00B9576E"/>
    <w:rsid w:val="00B95B99"/>
    <w:rsid w:val="00B97A9A"/>
    <w:rsid w:val="00BB25E6"/>
    <w:rsid w:val="00BB503C"/>
    <w:rsid w:val="00BB5952"/>
    <w:rsid w:val="00BC5FE7"/>
    <w:rsid w:val="00BC6A0E"/>
    <w:rsid w:val="00BE4F6D"/>
    <w:rsid w:val="00BF2031"/>
    <w:rsid w:val="00BF7C21"/>
    <w:rsid w:val="00C10BF4"/>
    <w:rsid w:val="00C11405"/>
    <w:rsid w:val="00C13936"/>
    <w:rsid w:val="00C15393"/>
    <w:rsid w:val="00C1768E"/>
    <w:rsid w:val="00C2218D"/>
    <w:rsid w:val="00C2723C"/>
    <w:rsid w:val="00C333A8"/>
    <w:rsid w:val="00C371BF"/>
    <w:rsid w:val="00C37A55"/>
    <w:rsid w:val="00C417C7"/>
    <w:rsid w:val="00C426F1"/>
    <w:rsid w:val="00C52D6A"/>
    <w:rsid w:val="00C6072F"/>
    <w:rsid w:val="00C64F26"/>
    <w:rsid w:val="00C704B3"/>
    <w:rsid w:val="00C74308"/>
    <w:rsid w:val="00C81A15"/>
    <w:rsid w:val="00C81C41"/>
    <w:rsid w:val="00C832AF"/>
    <w:rsid w:val="00C93C9A"/>
    <w:rsid w:val="00C953B0"/>
    <w:rsid w:val="00C9605F"/>
    <w:rsid w:val="00CA2941"/>
    <w:rsid w:val="00CA6CAF"/>
    <w:rsid w:val="00CC7079"/>
    <w:rsid w:val="00CE1C4B"/>
    <w:rsid w:val="00CE693A"/>
    <w:rsid w:val="00CE6CEE"/>
    <w:rsid w:val="00CF0CEF"/>
    <w:rsid w:val="00CF2339"/>
    <w:rsid w:val="00CF3001"/>
    <w:rsid w:val="00CF42F6"/>
    <w:rsid w:val="00CF4C80"/>
    <w:rsid w:val="00D0268D"/>
    <w:rsid w:val="00D07741"/>
    <w:rsid w:val="00D1373D"/>
    <w:rsid w:val="00D14D64"/>
    <w:rsid w:val="00D1588B"/>
    <w:rsid w:val="00D158AD"/>
    <w:rsid w:val="00D168B8"/>
    <w:rsid w:val="00D3623E"/>
    <w:rsid w:val="00D41425"/>
    <w:rsid w:val="00D43BF7"/>
    <w:rsid w:val="00D47B52"/>
    <w:rsid w:val="00D523AE"/>
    <w:rsid w:val="00D52B9F"/>
    <w:rsid w:val="00D6090B"/>
    <w:rsid w:val="00D61B0A"/>
    <w:rsid w:val="00D726E5"/>
    <w:rsid w:val="00D74735"/>
    <w:rsid w:val="00D7569D"/>
    <w:rsid w:val="00D810ED"/>
    <w:rsid w:val="00D828CD"/>
    <w:rsid w:val="00D82983"/>
    <w:rsid w:val="00D84A15"/>
    <w:rsid w:val="00D87276"/>
    <w:rsid w:val="00D87DF2"/>
    <w:rsid w:val="00D9014F"/>
    <w:rsid w:val="00DA09A6"/>
    <w:rsid w:val="00DA4D1C"/>
    <w:rsid w:val="00DA7D73"/>
    <w:rsid w:val="00DB4177"/>
    <w:rsid w:val="00DC12F3"/>
    <w:rsid w:val="00DC3BD8"/>
    <w:rsid w:val="00DC6219"/>
    <w:rsid w:val="00DC7874"/>
    <w:rsid w:val="00DE2370"/>
    <w:rsid w:val="00DE70F1"/>
    <w:rsid w:val="00DF0EDF"/>
    <w:rsid w:val="00DF2CEC"/>
    <w:rsid w:val="00DF545E"/>
    <w:rsid w:val="00DF5532"/>
    <w:rsid w:val="00E05567"/>
    <w:rsid w:val="00E07A4C"/>
    <w:rsid w:val="00E11554"/>
    <w:rsid w:val="00E12151"/>
    <w:rsid w:val="00E20A1E"/>
    <w:rsid w:val="00E36BAC"/>
    <w:rsid w:val="00E522C4"/>
    <w:rsid w:val="00E52880"/>
    <w:rsid w:val="00E534F5"/>
    <w:rsid w:val="00E562D1"/>
    <w:rsid w:val="00E63C79"/>
    <w:rsid w:val="00E66F1F"/>
    <w:rsid w:val="00E76D05"/>
    <w:rsid w:val="00E81004"/>
    <w:rsid w:val="00E815F9"/>
    <w:rsid w:val="00E82F6E"/>
    <w:rsid w:val="00E946DA"/>
    <w:rsid w:val="00E95F62"/>
    <w:rsid w:val="00EA0633"/>
    <w:rsid w:val="00EA1ECD"/>
    <w:rsid w:val="00ED2C3C"/>
    <w:rsid w:val="00ED72E9"/>
    <w:rsid w:val="00EE2E4D"/>
    <w:rsid w:val="00EE692D"/>
    <w:rsid w:val="00EF1EDF"/>
    <w:rsid w:val="00EF37B5"/>
    <w:rsid w:val="00EF38FF"/>
    <w:rsid w:val="00EF5EB5"/>
    <w:rsid w:val="00F000E0"/>
    <w:rsid w:val="00F00166"/>
    <w:rsid w:val="00F016B7"/>
    <w:rsid w:val="00F1374C"/>
    <w:rsid w:val="00F15561"/>
    <w:rsid w:val="00F15CB9"/>
    <w:rsid w:val="00F22917"/>
    <w:rsid w:val="00F23EE7"/>
    <w:rsid w:val="00F24DFE"/>
    <w:rsid w:val="00F30849"/>
    <w:rsid w:val="00F353E0"/>
    <w:rsid w:val="00F40686"/>
    <w:rsid w:val="00F41892"/>
    <w:rsid w:val="00F454C4"/>
    <w:rsid w:val="00F46213"/>
    <w:rsid w:val="00F51E8C"/>
    <w:rsid w:val="00F6247E"/>
    <w:rsid w:val="00F63788"/>
    <w:rsid w:val="00F71D98"/>
    <w:rsid w:val="00F7308B"/>
    <w:rsid w:val="00F7689B"/>
    <w:rsid w:val="00F77CF3"/>
    <w:rsid w:val="00F86148"/>
    <w:rsid w:val="00F911BB"/>
    <w:rsid w:val="00F914A9"/>
    <w:rsid w:val="00F95457"/>
    <w:rsid w:val="00FB3887"/>
    <w:rsid w:val="00FB6B53"/>
    <w:rsid w:val="00FC17C2"/>
    <w:rsid w:val="00FC23BF"/>
    <w:rsid w:val="00FD53C3"/>
    <w:rsid w:val="00FF00DF"/>
    <w:rsid w:val="00FF0B38"/>
    <w:rsid w:val="00FF3A1E"/>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A420F"/>
  <w15:chartTrackingRefBased/>
  <w15:docId w15:val="{CB01072D-AB8E-47ED-B61F-35272AA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western">
    <w:name w:val="western"/>
    <w:basedOn w:val="Normal"/>
    <w:rsid w:val="00FC17C2"/>
    <w:pPr>
      <w:spacing w:before="100" w:beforeAutospacing="1" w:after="100" w:afterAutospacing="1" w:line="240" w:lineRule="auto"/>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1577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rattorneys@mweb.co.z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elize@ajvinc.co.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9D98-D11E-4B1E-B1EC-24A38EB97E46}">
  <ds:schemaRefs>
    <ds:schemaRef ds:uri="http://schemas.microsoft.com/sharepoint/v3/contenttype/forms"/>
  </ds:schemaRefs>
</ds:datastoreItem>
</file>

<file path=customXml/itemProps2.xml><?xml version="1.0" encoding="utf-8"?>
<ds:datastoreItem xmlns:ds="http://schemas.openxmlformats.org/officeDocument/2006/customXml" ds:itemID="{06EB5956-47B4-48A9-B652-E72EFFB72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7C8317-43F5-4872-9D49-B18761A4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36525-7D3B-4381-AE1F-EA6A7E12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25477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Mokone</cp:lastModifiedBy>
  <cp:revision>2</cp:revision>
  <cp:lastPrinted>2022-06-28T07:34:00Z</cp:lastPrinted>
  <dcterms:created xsi:type="dcterms:W3CDTF">2022-07-08T15:18:00Z</dcterms:created>
  <dcterms:modified xsi:type="dcterms:W3CDTF">2022-07-08T15:18:00Z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