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E6" w:rsidRPr="00013FC1" w:rsidRDefault="00DA415B" w:rsidP="002E29E6">
      <w:pPr>
        <w:tabs>
          <w:tab w:val="left" w:pos="851"/>
          <w:tab w:val="left" w:pos="1701"/>
          <w:tab w:val="left" w:pos="2694"/>
          <w:tab w:val="right" w:pos="8595"/>
        </w:tabs>
        <w:spacing w:before="360"/>
        <w:contextualSpacing/>
        <w:jc w:val="center"/>
        <w:rPr>
          <w:b/>
          <w:bCs w:val="0"/>
          <w:kern w:val="0"/>
          <w:sz w:val="25"/>
          <w:szCs w:val="25"/>
          <w:lang w:val="en-GB"/>
        </w:rPr>
      </w:pPr>
      <w:bookmarkStart w:id="0" w:name="_GoBack"/>
      <w:bookmarkEnd w:id="0"/>
      <w:r w:rsidRPr="00DA415B">
        <w:rPr>
          <w:noProof/>
          <w:kern w:val="0"/>
          <w:sz w:val="25"/>
          <w:lang w:val="en-US"/>
        </w:rPr>
        <w:drawing>
          <wp:inline distT="0" distB="0" distL="0" distR="0">
            <wp:extent cx="914400" cy="91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E6" w:rsidRDefault="002E29E6" w:rsidP="002E29E6">
      <w:pPr>
        <w:tabs>
          <w:tab w:val="left" w:pos="851"/>
          <w:tab w:val="left" w:pos="1701"/>
          <w:tab w:val="left" w:pos="2694"/>
          <w:tab w:val="right" w:pos="8595"/>
        </w:tabs>
        <w:spacing w:before="360"/>
        <w:contextualSpacing/>
        <w:jc w:val="center"/>
        <w:rPr>
          <w:b/>
          <w:bCs w:val="0"/>
          <w:kern w:val="0"/>
          <w:sz w:val="25"/>
          <w:szCs w:val="25"/>
          <w:lang w:val="en-GB"/>
        </w:rPr>
      </w:pPr>
    </w:p>
    <w:p w:rsidR="00875821" w:rsidRDefault="00875821" w:rsidP="00875821">
      <w:pPr>
        <w:autoSpaceDE w:val="0"/>
        <w:autoSpaceDN w:val="0"/>
        <w:adjustRightInd w:val="0"/>
        <w:rPr>
          <w:b/>
          <w:color w:val="000000"/>
          <w:kern w:val="0"/>
        </w:rPr>
      </w:pPr>
      <w:r>
        <w:rPr>
          <w:b/>
          <w:bCs w:val="0"/>
          <w:kern w:val="0"/>
          <w:sz w:val="25"/>
          <w:szCs w:val="25"/>
          <w:lang w:val="en-GB"/>
        </w:rPr>
        <w:t xml:space="preserve">                             </w:t>
      </w:r>
      <w:r>
        <w:rPr>
          <w:b/>
          <w:color w:val="000000"/>
          <w:kern w:val="0"/>
        </w:rPr>
        <w:t>IN THE HIGH COURT OF SOUTH AFRICA</w:t>
      </w:r>
    </w:p>
    <w:p w:rsidR="002E29E6" w:rsidRDefault="00875821" w:rsidP="00875821">
      <w:pPr>
        <w:autoSpaceDE w:val="0"/>
        <w:autoSpaceDN w:val="0"/>
        <w:adjustRightInd w:val="0"/>
        <w:rPr>
          <w:b/>
          <w:color w:val="000000"/>
          <w:kern w:val="0"/>
        </w:rPr>
      </w:pPr>
      <w:r>
        <w:rPr>
          <w:b/>
          <w:color w:val="000000"/>
          <w:kern w:val="0"/>
        </w:rPr>
        <w:t xml:space="preserve">                        (GAUTENG LOCAL DIVISION, JOHANNESBURG)</w:t>
      </w:r>
    </w:p>
    <w:p w:rsidR="00E2471F" w:rsidRDefault="00E2471F" w:rsidP="00875821">
      <w:pPr>
        <w:autoSpaceDE w:val="0"/>
        <w:autoSpaceDN w:val="0"/>
        <w:adjustRightInd w:val="0"/>
        <w:rPr>
          <w:b/>
          <w:color w:val="000000"/>
          <w:kern w:val="0"/>
        </w:rPr>
      </w:pPr>
    </w:p>
    <w:p w:rsidR="00E2471F" w:rsidRDefault="00E2471F" w:rsidP="00875821">
      <w:pPr>
        <w:autoSpaceDE w:val="0"/>
        <w:autoSpaceDN w:val="0"/>
        <w:adjustRightInd w:val="0"/>
        <w:rPr>
          <w:b/>
          <w:color w:val="000000"/>
          <w:kern w:val="0"/>
        </w:rPr>
      </w:pPr>
    </w:p>
    <w:p w:rsidR="00E2471F" w:rsidRDefault="004816F9" w:rsidP="00875821">
      <w:pPr>
        <w:autoSpaceDE w:val="0"/>
        <w:autoSpaceDN w:val="0"/>
        <w:adjustRightInd w:val="0"/>
        <w:rPr>
          <w:b/>
          <w:sz w:val="25"/>
          <w:szCs w:val="25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52705</wp:posOffset>
                </wp:positionV>
                <wp:extent cx="2707640" cy="93345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35" w:rsidRPr="00E2471F" w:rsidRDefault="004C1235" w:rsidP="00E2471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24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REPORTABLE: NO</w:t>
                            </w:r>
                          </w:p>
                          <w:p w:rsidR="004C1235" w:rsidRPr="00E2471F" w:rsidRDefault="004C1235" w:rsidP="00E2471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24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OF INTEREST TO OTHER JUDGES: NO</w:t>
                            </w:r>
                          </w:p>
                          <w:p w:rsidR="004C1235" w:rsidRPr="00E2471F" w:rsidRDefault="004C1235" w:rsidP="00E2471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24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REVISED. </w:t>
                            </w:r>
                            <w:r w:rsidRPr="00E2471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4C1235" w:rsidRPr="00E2471F" w:rsidRDefault="004C1235" w:rsidP="00E2471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C1235" w:rsidRPr="00E2471F" w:rsidRDefault="004C1235" w:rsidP="00E2471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E2471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   07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JU</w:t>
                            </w:r>
                            <w:r w:rsidRPr="00E2471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LY 2022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</w:p>
                          <w:p w:rsidR="004C1235" w:rsidRPr="00E2471F" w:rsidRDefault="004C1235" w:rsidP="00E2471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24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DATE</w:t>
                            </w:r>
                            <w:r w:rsidRPr="00E24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E24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65pt;margin-top:4.15pt;width:213.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">
                <v:textbox>
                  <w:txbxContent>
                    <w:p w:rsidR="004C1235" w:rsidRPr="00E2471F" w:rsidRDefault="004C1235" w:rsidP="00E2471F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24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REPORTABLE: NO</w:t>
                      </w:r>
                    </w:p>
                    <w:p w:rsidR="004C1235" w:rsidRPr="00E2471F" w:rsidRDefault="004C1235" w:rsidP="00E2471F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24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OF INTEREST TO OTHER JUDGES: NO</w:t>
                      </w:r>
                    </w:p>
                    <w:p w:rsidR="004C1235" w:rsidRPr="00E2471F" w:rsidRDefault="004C1235" w:rsidP="00E2471F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24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REVISED. </w:t>
                      </w:r>
                      <w:r w:rsidRPr="00E2471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YES</w:t>
                      </w:r>
                    </w:p>
                    <w:p w:rsidR="004C1235" w:rsidRPr="00E2471F" w:rsidRDefault="004C1235" w:rsidP="00E2471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4C1235" w:rsidRPr="00E2471F" w:rsidRDefault="004C1235" w:rsidP="00E2471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E2471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   07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 xml:space="preserve"> JU</w:t>
                      </w:r>
                      <w:r w:rsidRPr="00E2471F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LY 2022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 xml:space="preserve">       </w:t>
                      </w:r>
                    </w:p>
                    <w:p w:rsidR="004C1235" w:rsidRPr="00E2471F" w:rsidRDefault="004C1235" w:rsidP="00E2471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24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DATE</w:t>
                      </w:r>
                      <w:r w:rsidRPr="00E2471F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E2471F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2471F" w:rsidRDefault="00E2471F" w:rsidP="00875821">
      <w:pPr>
        <w:autoSpaceDE w:val="0"/>
        <w:autoSpaceDN w:val="0"/>
        <w:adjustRightInd w:val="0"/>
        <w:rPr>
          <w:b/>
          <w:sz w:val="25"/>
          <w:szCs w:val="25"/>
          <w:u w:val="single"/>
        </w:rPr>
      </w:pPr>
    </w:p>
    <w:p w:rsidR="00E2471F" w:rsidRDefault="00E2471F" w:rsidP="00875821">
      <w:pPr>
        <w:autoSpaceDE w:val="0"/>
        <w:autoSpaceDN w:val="0"/>
        <w:adjustRightInd w:val="0"/>
        <w:rPr>
          <w:b/>
          <w:sz w:val="25"/>
          <w:szCs w:val="25"/>
          <w:u w:val="single"/>
        </w:rPr>
      </w:pPr>
    </w:p>
    <w:p w:rsidR="00E2471F" w:rsidRDefault="00E2471F" w:rsidP="00875821">
      <w:pPr>
        <w:autoSpaceDE w:val="0"/>
        <w:autoSpaceDN w:val="0"/>
        <w:adjustRightInd w:val="0"/>
        <w:rPr>
          <w:b/>
          <w:sz w:val="25"/>
          <w:szCs w:val="25"/>
          <w:u w:val="single"/>
        </w:rPr>
      </w:pPr>
    </w:p>
    <w:p w:rsidR="00E2471F" w:rsidRDefault="00E2471F" w:rsidP="00875821">
      <w:pPr>
        <w:autoSpaceDE w:val="0"/>
        <w:autoSpaceDN w:val="0"/>
        <w:adjustRightInd w:val="0"/>
        <w:rPr>
          <w:b/>
          <w:sz w:val="25"/>
          <w:szCs w:val="25"/>
          <w:u w:val="single"/>
        </w:rPr>
      </w:pPr>
    </w:p>
    <w:p w:rsidR="002E29E6" w:rsidRPr="00653B7E" w:rsidRDefault="002E29E6" w:rsidP="002E29E6">
      <w:pPr>
        <w:jc w:val="center"/>
        <w:rPr>
          <w:b/>
          <w:sz w:val="25"/>
          <w:szCs w:val="25"/>
          <w:u w:val="single"/>
        </w:rPr>
      </w:pPr>
    </w:p>
    <w:p w:rsidR="002E29E6" w:rsidRPr="00653B7E" w:rsidRDefault="002E29E6" w:rsidP="002E29E6">
      <w:pPr>
        <w:widowControl w:val="0"/>
        <w:jc w:val="both"/>
        <w:rPr>
          <w:b/>
          <w:sz w:val="25"/>
          <w:szCs w:val="25"/>
          <w:u w:val="single"/>
        </w:rPr>
      </w:pPr>
    </w:p>
    <w:p w:rsidR="00E2471F" w:rsidRDefault="00875821" w:rsidP="00875821">
      <w:pPr>
        <w:autoSpaceDE w:val="0"/>
        <w:autoSpaceDN w:val="0"/>
        <w:adjustRightInd w:val="0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 xml:space="preserve">                                                                                     </w:t>
      </w:r>
    </w:p>
    <w:p w:rsidR="00875821" w:rsidRDefault="00E2471F" w:rsidP="00E2471F">
      <w:pPr>
        <w:autoSpaceDE w:val="0"/>
        <w:autoSpaceDN w:val="0"/>
        <w:adjustRightInd w:val="0"/>
        <w:spacing w:line="360" w:lineRule="auto"/>
        <w:rPr>
          <w:b/>
          <w:color w:val="000000"/>
          <w:kern w:val="0"/>
        </w:rPr>
      </w:pPr>
      <w:r>
        <w:rPr>
          <w:bCs w:val="0"/>
          <w:color w:val="000000"/>
          <w:kern w:val="0"/>
        </w:rPr>
        <w:t xml:space="preserve">                                                                                     </w:t>
      </w:r>
      <w:r w:rsidR="00875821">
        <w:rPr>
          <w:bCs w:val="0"/>
          <w:color w:val="000000"/>
          <w:kern w:val="0"/>
        </w:rPr>
        <w:t>Case No.</w:t>
      </w:r>
      <w:r w:rsidR="00875821">
        <w:rPr>
          <w:b/>
          <w:color w:val="000000"/>
          <w:kern w:val="0"/>
        </w:rPr>
        <w:t>: 17711/2020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In the matter between: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/>
          <w:color w:val="000000"/>
          <w:kern w:val="0"/>
        </w:rPr>
        <w:t xml:space="preserve">SOCIAL HOUSING REGULATORY AUTHORITY                           </w:t>
      </w:r>
      <w:r>
        <w:rPr>
          <w:bCs w:val="0"/>
          <w:color w:val="000000"/>
          <w:kern w:val="0"/>
        </w:rPr>
        <w:t>Applicant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And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/>
          <w:color w:val="000000"/>
          <w:kern w:val="0"/>
        </w:rPr>
        <w:t xml:space="preserve">TBGI HOLDINGS (PTY) LTD                                                </w:t>
      </w:r>
      <w:r>
        <w:rPr>
          <w:bCs w:val="0"/>
          <w:color w:val="000000"/>
          <w:kern w:val="0"/>
        </w:rPr>
        <w:t>First Respondent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/>
          <w:color w:val="000000"/>
          <w:kern w:val="0"/>
        </w:rPr>
        <w:t xml:space="preserve">SOWETO POWER STATION MALL (PTY) LTD             </w:t>
      </w:r>
      <w:r>
        <w:rPr>
          <w:bCs w:val="0"/>
          <w:color w:val="000000"/>
          <w:kern w:val="0"/>
        </w:rPr>
        <w:t>Second Respondent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/>
          <w:color w:val="000000"/>
          <w:kern w:val="0"/>
        </w:rPr>
        <w:t xml:space="preserve">CIVCON HOLDINGS (PTY) LTD                                         </w:t>
      </w:r>
      <w:r>
        <w:rPr>
          <w:bCs w:val="0"/>
          <w:color w:val="000000"/>
          <w:kern w:val="0"/>
        </w:rPr>
        <w:t>Third Respondent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/>
          <w:color w:val="000000"/>
          <w:kern w:val="0"/>
        </w:rPr>
      </w:pPr>
      <w:r>
        <w:rPr>
          <w:b/>
          <w:color w:val="000000"/>
          <w:kern w:val="0"/>
        </w:rPr>
        <w:t xml:space="preserve">MEC FOR DEPARTMENT OF HUMAN         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/>
          <w:color w:val="000000"/>
          <w:kern w:val="0"/>
        </w:rPr>
        <w:t xml:space="preserve">SETTLEMENTS, GAUTENG PROVINCE                         </w:t>
      </w:r>
      <w:r>
        <w:rPr>
          <w:bCs w:val="0"/>
          <w:color w:val="000000"/>
          <w:kern w:val="0"/>
        </w:rPr>
        <w:t>Fourth Respondent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/>
          <w:color w:val="000000"/>
          <w:kern w:val="0"/>
        </w:rPr>
      </w:pPr>
      <w:r>
        <w:rPr>
          <w:b/>
          <w:color w:val="000000"/>
          <w:kern w:val="0"/>
        </w:rPr>
        <w:t xml:space="preserve">THE CITY OF JOHANNESBURG 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bCs w:val="0"/>
          <w:color w:val="000000"/>
          <w:kern w:val="0"/>
        </w:rPr>
      </w:pPr>
      <w:r>
        <w:rPr>
          <w:b/>
          <w:color w:val="000000"/>
          <w:kern w:val="0"/>
        </w:rPr>
        <w:t xml:space="preserve">PROPERTY COMPANY SOC LTD                                      </w:t>
      </w:r>
      <w:r>
        <w:rPr>
          <w:bCs w:val="0"/>
          <w:color w:val="000000"/>
          <w:kern w:val="0"/>
        </w:rPr>
        <w:t>Fifth Respondent</w:t>
      </w: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color w:val="000000"/>
          <w:kern w:val="0"/>
        </w:rPr>
      </w:pPr>
    </w:p>
    <w:p w:rsidR="00875821" w:rsidRDefault="00875821" w:rsidP="00E2471F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color w:val="000000"/>
          <w:kern w:val="0"/>
        </w:rPr>
      </w:pPr>
    </w:p>
    <w:p w:rsidR="00875821" w:rsidRPr="00920BF4" w:rsidRDefault="00875821" w:rsidP="00E2471F">
      <w:pPr>
        <w:autoSpaceDE w:val="0"/>
        <w:autoSpaceDN w:val="0"/>
        <w:adjustRightInd w:val="0"/>
        <w:rPr>
          <w:rFonts w:ascii="Arial-BoldMT" w:hAnsi="Arial-BoldMT" w:cs="Arial-BoldMT"/>
          <w:b/>
          <w:color w:val="000000"/>
          <w:kern w:val="0"/>
          <w:u w:val="single"/>
        </w:rPr>
      </w:pPr>
      <w:r>
        <w:rPr>
          <w:rFonts w:ascii="Arial-BoldMT" w:hAnsi="Arial-BoldMT" w:cs="Arial-BoldMT"/>
          <w:b/>
          <w:color w:val="000000"/>
          <w:kern w:val="0"/>
        </w:rPr>
        <w:t>_____________________________________________________________</w:t>
      </w:r>
      <w:r w:rsidR="00920BF4">
        <w:rPr>
          <w:rFonts w:ascii="Arial-BoldMT" w:hAnsi="Arial-BoldMT" w:cs="Arial-BoldMT"/>
          <w:b/>
          <w:color w:val="000000"/>
          <w:kern w:val="0"/>
          <w:u w:val="single"/>
        </w:rPr>
        <w:tab/>
      </w:r>
    </w:p>
    <w:p w:rsidR="00875821" w:rsidRDefault="00875821" w:rsidP="00E2471F">
      <w:pPr>
        <w:autoSpaceDE w:val="0"/>
        <w:autoSpaceDN w:val="0"/>
        <w:adjustRightInd w:val="0"/>
        <w:rPr>
          <w:rFonts w:ascii="Arial-BoldMT" w:hAnsi="Arial-BoldMT" w:cs="Arial-BoldMT"/>
          <w:b/>
          <w:color w:val="000000"/>
          <w:kern w:val="0"/>
        </w:rPr>
      </w:pPr>
    </w:p>
    <w:p w:rsidR="00875821" w:rsidRPr="00E2471F" w:rsidRDefault="00875821" w:rsidP="00E2471F">
      <w:pPr>
        <w:autoSpaceDE w:val="0"/>
        <w:autoSpaceDN w:val="0"/>
        <w:adjustRightInd w:val="0"/>
        <w:rPr>
          <w:b/>
          <w:color w:val="000000"/>
          <w:kern w:val="0"/>
          <w:sz w:val="28"/>
          <w:szCs w:val="28"/>
        </w:rPr>
      </w:pPr>
      <w:r>
        <w:rPr>
          <w:rFonts w:ascii="Arial-BoldMT" w:hAnsi="Arial-BoldMT" w:cs="Arial-BoldMT"/>
          <w:b/>
          <w:color w:val="000000"/>
          <w:kern w:val="0"/>
        </w:rPr>
        <w:t xml:space="preserve">                                      JUDGEMENT</w:t>
      </w:r>
    </w:p>
    <w:p w:rsidR="00875821" w:rsidRPr="00920BF4" w:rsidRDefault="00875821" w:rsidP="00E2471F">
      <w:pPr>
        <w:autoSpaceDE w:val="0"/>
        <w:autoSpaceDN w:val="0"/>
        <w:adjustRightInd w:val="0"/>
        <w:rPr>
          <w:b/>
          <w:color w:val="000000"/>
          <w:kern w:val="0"/>
          <w:u w:val="single"/>
        </w:rPr>
      </w:pPr>
      <w:r>
        <w:rPr>
          <w:b/>
          <w:color w:val="000000"/>
          <w:kern w:val="0"/>
        </w:rPr>
        <w:t>_____________________________________________________________</w:t>
      </w:r>
      <w:r w:rsidR="00920BF4">
        <w:rPr>
          <w:b/>
          <w:color w:val="000000"/>
          <w:kern w:val="0"/>
          <w:u w:val="single"/>
        </w:rPr>
        <w:tab/>
      </w:r>
    </w:p>
    <w:p w:rsidR="00875821" w:rsidRPr="00405DBB" w:rsidRDefault="00875821" w:rsidP="00E2471F">
      <w:pPr>
        <w:autoSpaceDE w:val="0"/>
        <w:autoSpaceDN w:val="0"/>
        <w:adjustRightInd w:val="0"/>
        <w:spacing w:line="360" w:lineRule="auto"/>
        <w:rPr>
          <w:rFonts w:ascii="Courier" w:hAnsi="Courier" w:cs="Courier"/>
          <w:b/>
          <w:color w:val="FFFFFF"/>
          <w:kern w:val="0"/>
        </w:rPr>
      </w:pPr>
    </w:p>
    <w:p w:rsidR="00875821" w:rsidRDefault="00875821" w:rsidP="00875821">
      <w:pPr>
        <w:autoSpaceDE w:val="0"/>
        <w:autoSpaceDN w:val="0"/>
        <w:adjustRightInd w:val="0"/>
        <w:rPr>
          <w:rFonts w:ascii="Courier" w:hAnsi="Courier" w:cs="Courier"/>
          <w:b/>
          <w:color w:val="FFFFFF"/>
          <w:kern w:val="0"/>
          <w:sz w:val="20"/>
          <w:szCs w:val="20"/>
        </w:rPr>
      </w:pPr>
      <w:r>
        <w:rPr>
          <w:rFonts w:ascii="Courier" w:hAnsi="Courier" w:cs="Courier"/>
          <w:b/>
          <w:color w:val="FFFFFF"/>
          <w:kern w:val="0"/>
          <w:sz w:val="20"/>
          <w:szCs w:val="20"/>
        </w:rPr>
        <w:t>MMAATSE1f710916a5034235ab8892ab699b2bf8-2</w:t>
      </w:r>
    </w:p>
    <w:p w:rsidR="00D808AE" w:rsidRDefault="00D808AE" w:rsidP="00ED7EC4">
      <w:pPr>
        <w:autoSpaceDE w:val="0"/>
        <w:autoSpaceDN w:val="0"/>
        <w:adjustRightInd w:val="0"/>
        <w:jc w:val="both"/>
        <w:rPr>
          <w:b/>
          <w:bCs w:val="0"/>
          <w:color w:val="000000"/>
          <w:kern w:val="0"/>
        </w:rPr>
      </w:pPr>
      <w:r w:rsidRPr="00D808AE">
        <w:rPr>
          <w:b/>
          <w:bCs w:val="0"/>
          <w:color w:val="000000"/>
          <w:kern w:val="0"/>
        </w:rPr>
        <w:t xml:space="preserve">MATSEMELA AJ </w:t>
      </w:r>
    </w:p>
    <w:p w:rsidR="00D808AE" w:rsidRPr="00D808AE" w:rsidRDefault="00D808AE" w:rsidP="00ED7EC4">
      <w:pPr>
        <w:autoSpaceDE w:val="0"/>
        <w:autoSpaceDN w:val="0"/>
        <w:adjustRightInd w:val="0"/>
        <w:jc w:val="both"/>
        <w:rPr>
          <w:b/>
          <w:bCs w:val="0"/>
          <w:color w:val="000000"/>
          <w:kern w:val="0"/>
        </w:rPr>
      </w:pPr>
    </w:p>
    <w:p w:rsidR="00D808AE" w:rsidRPr="005A2F90" w:rsidRDefault="00B7630C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875821" w:rsidRPr="005A2F90">
        <w:rPr>
          <w:bCs w:val="0"/>
          <w:color w:val="000000"/>
          <w:kern w:val="0"/>
        </w:rPr>
        <w:t>1</w:t>
      </w:r>
      <w:r w:rsidR="00920BF4" w:rsidRPr="005A2F90">
        <w:rPr>
          <w:bCs w:val="0"/>
          <w:color w:val="000000"/>
          <w:kern w:val="0"/>
        </w:rPr>
        <w:t>]</w:t>
      </w:r>
      <w:r w:rsidR="00AB336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This is an opposed application for self-review of the decision of the Applicant to</w:t>
      </w:r>
      <w:r w:rsidR="00AB336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conclude a Consolidated Capital Grant (“</w:t>
      </w:r>
      <w:r w:rsidR="00875821" w:rsidRPr="005A2F90">
        <w:rPr>
          <w:b/>
          <w:color w:val="000000"/>
          <w:kern w:val="0"/>
        </w:rPr>
        <w:t>CCGA</w:t>
      </w:r>
      <w:r w:rsidR="00875821" w:rsidRPr="005A2F90">
        <w:rPr>
          <w:bCs w:val="0"/>
          <w:color w:val="000000"/>
          <w:kern w:val="0"/>
        </w:rPr>
        <w:t>”) agreement between itself and the First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Respondent. The Applicant brings this application on the basis of the principle of legality</w:t>
      </w:r>
      <w:r w:rsidR="00D808AE" w:rsidRPr="005A2F90">
        <w:rPr>
          <w:bCs w:val="0"/>
          <w:color w:val="000000"/>
          <w:kern w:val="0"/>
        </w:rPr>
        <w:t>.</w:t>
      </w:r>
    </w:p>
    <w:p w:rsidR="00B7630C" w:rsidRPr="005A2F90" w:rsidRDefault="00B7630C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D95E1B" w:rsidRPr="005A2F90" w:rsidRDefault="00B7630C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875821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Applicant seeks an order that</w:t>
      </w:r>
      <w:r w:rsidR="00D95E1B" w:rsidRPr="005A2F90">
        <w:rPr>
          <w:bCs w:val="0"/>
          <w:color w:val="000000"/>
          <w:kern w:val="0"/>
        </w:rPr>
        <w:t>:</w:t>
      </w:r>
    </w:p>
    <w:p w:rsidR="00416BF3" w:rsidRPr="005A2F90" w:rsidRDefault="00D95E1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2.1</w:t>
      </w:r>
      <w:r w:rsidR="00031172" w:rsidRPr="005A2F90">
        <w:rPr>
          <w:bCs w:val="0"/>
          <w:color w:val="000000"/>
          <w:kern w:val="0"/>
        </w:rPr>
        <w:t xml:space="preserve"> T</w:t>
      </w:r>
      <w:r w:rsidR="00875821" w:rsidRPr="005A2F90">
        <w:rPr>
          <w:bCs w:val="0"/>
          <w:color w:val="000000"/>
          <w:kern w:val="0"/>
        </w:rPr>
        <w:t>he decision to award grant funding to the First</w:t>
      </w:r>
      <w:r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 and enter into the CCGA, out of which funds were disbursed to the First</w:t>
      </w:r>
      <w:r w:rsidR="0003117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Respondent, be declared unlawful and set aside. </w:t>
      </w:r>
    </w:p>
    <w:p w:rsidR="00875821" w:rsidRPr="005A2F90" w:rsidRDefault="00031172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2.2 T</w:t>
      </w:r>
      <w:r w:rsidR="00875821" w:rsidRPr="005A2F90">
        <w:rPr>
          <w:bCs w:val="0"/>
          <w:color w:val="000000"/>
          <w:kern w:val="0"/>
        </w:rPr>
        <w:t>his Court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to exercise its just and equitable relief under section 172(1)(b) of the Constitution and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order that the First, Second and Third Respondents reimburse the Applicant for the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amounts paid to them consequent on the conclusion of this unlawful agreement.</w:t>
      </w:r>
      <w:r w:rsidR="00881BE4" w:rsidRPr="005A2F90">
        <w:rPr>
          <w:rStyle w:val="FootnoteReference"/>
          <w:rFonts w:cs="Arial"/>
          <w:bCs w:val="0"/>
          <w:color w:val="000000"/>
          <w:kern w:val="0"/>
        </w:rPr>
        <w:footnoteReference w:id="1"/>
      </w:r>
    </w:p>
    <w:p w:rsidR="00D808AE" w:rsidRPr="005A2F90" w:rsidRDefault="00D808A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FACTUAL BACKGROUND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D808AE" w:rsidRPr="005A2F90" w:rsidRDefault="00B7630C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[3]</w:t>
      </w:r>
      <w:r w:rsidR="00875821" w:rsidRPr="005A2F90">
        <w:rPr>
          <w:bCs w:val="0"/>
          <w:color w:val="000000"/>
          <w:kern w:val="0"/>
        </w:rPr>
        <w:t xml:space="preserve"> The First Respondent which had been hitherto a conditionally accredited social housing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institution in terms of the Social Housing Act, Act No. 16 Of 2008 (“the SHA”),</w:t>
      </w:r>
      <w:r w:rsidR="00881BE4" w:rsidRPr="005A2F90">
        <w:rPr>
          <w:rStyle w:val="FootnoteReference"/>
          <w:rFonts w:cs="Arial"/>
          <w:bCs w:val="0"/>
          <w:color w:val="000000"/>
          <w:kern w:val="0"/>
        </w:rPr>
        <w:footnoteReference w:id="2"/>
      </w:r>
      <w:r w:rsidR="00875821" w:rsidRPr="005A2F90">
        <w:rPr>
          <w:bCs w:val="0"/>
          <w:color w:val="000000"/>
          <w:kern w:val="0"/>
        </w:rPr>
        <w:t xml:space="preserve"> applied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for grant funding towards the development of social housing unit in respect of a property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Soweto.</w:t>
      </w:r>
      <w:r w:rsidR="00881BE4" w:rsidRPr="005A2F90">
        <w:rPr>
          <w:rStyle w:val="FootnoteReference"/>
          <w:rFonts w:cs="Arial"/>
          <w:bCs w:val="0"/>
          <w:color w:val="000000"/>
          <w:kern w:val="0"/>
        </w:rPr>
        <w:footnoteReference w:id="3"/>
      </w:r>
    </w:p>
    <w:p w:rsidR="00B7630C" w:rsidRPr="005A2F90" w:rsidRDefault="00B7630C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B7630C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0F0B85" w:rsidRPr="005A2F90">
        <w:rPr>
          <w:bCs w:val="0"/>
          <w:color w:val="000000"/>
          <w:kern w:val="0"/>
        </w:rPr>
        <w:t>4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Pursuant to deliberations and evaluation of the First Respondent’s application for grant</w:t>
      </w:r>
      <w:r w:rsidR="00D808A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funding in terms of the Applicant’s Investment Policy</w:t>
      </w:r>
      <w:r w:rsidR="00881BE4" w:rsidRPr="005A2F90">
        <w:rPr>
          <w:rStyle w:val="FootnoteReference"/>
          <w:rFonts w:cs="Arial"/>
          <w:bCs w:val="0"/>
          <w:color w:val="000000"/>
          <w:kern w:val="0"/>
        </w:rPr>
        <w:footnoteReference w:id="4"/>
      </w:r>
      <w:r w:rsidR="00875821" w:rsidRPr="005A2F90">
        <w:rPr>
          <w:bCs w:val="0"/>
          <w:color w:val="000000"/>
          <w:kern w:val="0"/>
        </w:rPr>
        <w:t>, the said application was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successful.</w:t>
      </w:r>
      <w:r w:rsidR="00881BE4" w:rsidRPr="005A2F90">
        <w:rPr>
          <w:rStyle w:val="FootnoteReference"/>
          <w:rFonts w:cs="Arial"/>
          <w:bCs w:val="0"/>
          <w:color w:val="000000"/>
          <w:kern w:val="0"/>
        </w:rPr>
        <w:footnoteReference w:id="5"/>
      </w:r>
      <w:r w:rsidR="000F0B85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 xml:space="preserve">Following the said successful </w:t>
      </w:r>
      <w:r w:rsidR="00031172" w:rsidRPr="005A2F90">
        <w:rPr>
          <w:bCs w:val="0"/>
          <w:color w:val="000000"/>
          <w:kern w:val="0"/>
        </w:rPr>
        <w:t xml:space="preserve">of the application, </w:t>
      </w:r>
      <w:r w:rsidRPr="005A2F90">
        <w:rPr>
          <w:bCs w:val="0"/>
          <w:color w:val="000000"/>
          <w:kern w:val="0"/>
        </w:rPr>
        <w:t>award of the grant funding, and during 22February 2018,</w:t>
      </w:r>
      <w:r w:rsidR="000A355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the Applicant and First Respondent concluded a Consolidated Capital Grant Agreement</w:t>
      </w:r>
      <w:r w:rsidR="00881BE4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(“CCGA”)</w:t>
      </w:r>
      <w:r w:rsidR="00881BE4" w:rsidRPr="005A2F90">
        <w:rPr>
          <w:rStyle w:val="FootnoteReference"/>
          <w:rFonts w:cs="Arial"/>
          <w:bCs w:val="0"/>
          <w:color w:val="000000"/>
          <w:kern w:val="0"/>
        </w:rPr>
        <w:footnoteReference w:id="6"/>
      </w:r>
      <w:r w:rsidRPr="005A2F90">
        <w:rPr>
          <w:bCs w:val="0"/>
          <w:color w:val="000000"/>
          <w:kern w:val="0"/>
        </w:rPr>
        <w:t xml:space="preserve"> for the development and construction of 507 social housing units at the value</w:t>
      </w:r>
      <w:r w:rsidR="004D4761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of R134 835 129.00</w:t>
      </w:r>
      <w:r w:rsidR="004D4761" w:rsidRPr="005A2F90">
        <w:rPr>
          <w:rStyle w:val="FootnoteReference"/>
          <w:rFonts w:cs="Arial"/>
          <w:bCs w:val="0"/>
          <w:color w:val="000000"/>
          <w:kern w:val="0"/>
        </w:rPr>
        <w:footnoteReference w:id="7"/>
      </w:r>
      <w:r w:rsidRPr="005A2F90">
        <w:rPr>
          <w:bCs w:val="0"/>
          <w:color w:val="000000"/>
          <w:kern w:val="0"/>
        </w:rPr>
        <w:t xml:space="preserve"> on some erven in Soweto.</w:t>
      </w:r>
    </w:p>
    <w:p w:rsidR="00875821" w:rsidRPr="005A2F90" w:rsidRDefault="00031172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4.1 </w:t>
      </w:r>
      <w:r w:rsidR="00875821" w:rsidRPr="005A2F90">
        <w:rPr>
          <w:bCs w:val="0"/>
          <w:color w:val="000000"/>
          <w:kern w:val="0"/>
        </w:rPr>
        <w:t>The material terms of the said CCGA were the conditions precedent contained in clause</w:t>
      </w:r>
      <w:r w:rsidR="00204FA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4. Relevant to this Agreement which provided that: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“4.1. The provisions of this Agreement are subject to the fulfilment, to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the SHRA’s satisfaction, by the Grant Recipient, or the waiver by the SHRA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in writing, of the Conditions Precedent (CP) set out in section 3.6 below.</w:t>
      </w:r>
      <w:r w:rsidR="004D4761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"/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 xml:space="preserve">4.4. If the Conditions Precedent </w:t>
      </w:r>
      <w:r w:rsidR="00031172" w:rsidRPr="005A2F90">
        <w:rPr>
          <w:bCs w:val="0"/>
          <w:i/>
          <w:iCs/>
          <w:color w:val="000000"/>
          <w:kern w:val="0"/>
        </w:rPr>
        <w:t>a</w:t>
      </w:r>
      <w:r w:rsidRPr="005A2F90">
        <w:rPr>
          <w:bCs w:val="0"/>
          <w:i/>
          <w:iCs/>
          <w:color w:val="000000"/>
          <w:kern w:val="0"/>
        </w:rPr>
        <w:t>re not fulfilled, or waived within sixty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Business days of the Signature Date, or the extended date(s) as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contemplated in clause 3.3. above, the provisions of this Agreement shall not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come into effect and the contract will become null and void. In such event,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the Grant Recipient shall not have any claim against the SHRA.</w:t>
      </w:r>
    </w:p>
    <w:p w:rsidR="005D01C6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4.6.13. the Grant Recipient submits proof of unconditional and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irrevocable real rights to the land, whether title deeds, sale agreement, land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availability agreement, lease agreement or any other document evidencing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real right to the Land, or unconditional and irrevocable right to develop the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Land for the purposes of the Project to the satisfaction of the SHRA, copies</w:t>
      </w:r>
      <w:r w:rsidR="004D4761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of which shall be annexed as Annexure A13”</w:t>
      </w:r>
      <w:r w:rsidR="00852BEF" w:rsidRPr="005A2F90">
        <w:rPr>
          <w:bCs w:val="0"/>
          <w:i/>
          <w:iCs/>
          <w:color w:val="000000"/>
          <w:kern w:val="0"/>
        </w:rPr>
        <w:t>.</w:t>
      </w:r>
      <w:r w:rsidR="000A3553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9"/>
      </w:r>
    </w:p>
    <w:p w:rsidR="00986DBB" w:rsidRPr="005A2F90" w:rsidRDefault="00986DBB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5D01C6" w:rsidRPr="005A2F90" w:rsidRDefault="00986DB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5D01C6" w:rsidRPr="005A2F90">
        <w:rPr>
          <w:bCs w:val="0"/>
          <w:color w:val="000000"/>
          <w:kern w:val="0"/>
        </w:rPr>
        <w:t>5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line with the draw down provisions of the CCGA, an amount of about R26 963 865.65</w:t>
      </w:r>
      <w:r w:rsidR="004D4761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was advanced to the First Respondent by the Applicant.</w:t>
      </w:r>
      <w:r w:rsidR="000A3553" w:rsidRPr="005A2F90">
        <w:rPr>
          <w:rStyle w:val="FootnoteReference"/>
          <w:rFonts w:cs="Arial"/>
          <w:bCs w:val="0"/>
          <w:color w:val="000000"/>
          <w:kern w:val="0"/>
        </w:rPr>
        <w:footnoteReference w:id="10"/>
      </w:r>
    </w:p>
    <w:p w:rsidR="00986DBB" w:rsidRPr="005A2F90" w:rsidRDefault="00986DBB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986DB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[6]</w:t>
      </w:r>
      <w:r w:rsidR="005D01C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It was then and after the facts brought to the Applicant’s attention, that the decision</w:t>
      </w:r>
      <w:r w:rsidR="004D4761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made to award the grant funding to the First Respondent was unlawful and contrary to</w:t>
      </w:r>
      <w:r w:rsidR="004D4761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Regulations on the basis that the First Respondent did not meet certain criteria for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successful granting of the grant funding.</w:t>
      </w:r>
      <w:r w:rsidR="000A3553" w:rsidRPr="005A2F90">
        <w:rPr>
          <w:rStyle w:val="FootnoteReference"/>
          <w:rFonts w:cs="Arial"/>
          <w:bCs w:val="0"/>
          <w:color w:val="000000"/>
          <w:kern w:val="0"/>
        </w:rPr>
        <w:footnoteReference w:id="11"/>
      </w:r>
    </w:p>
    <w:p w:rsidR="000A3553" w:rsidRPr="005A2F90" w:rsidRDefault="000A355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CC4984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 xml:space="preserve">FACTS RELATING TO </w:t>
      </w:r>
      <w:r w:rsidR="00875821" w:rsidRPr="005A2F90">
        <w:rPr>
          <w:b/>
          <w:color w:val="000000"/>
          <w:kern w:val="0"/>
        </w:rPr>
        <w:t>THE VALIDITY OF THE CCGA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700D6E" w:rsidRPr="005A2F90" w:rsidRDefault="00986DB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[7]</w:t>
      </w:r>
      <w:r w:rsidR="00875821" w:rsidRPr="005A2F90">
        <w:rPr>
          <w:bCs w:val="0"/>
          <w:color w:val="000000"/>
          <w:kern w:val="0"/>
        </w:rPr>
        <w:t xml:space="preserve"> The First Respondent appears to have been part of the Second and Third Respondents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by virtue, in the main, of having one common director who interchangeably used or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presided on the board of the three entities in the name of Mark Brown.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On 11 November 2011 the Second Respondent entered into a lease agreement with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Fifth Respondent, to wit Johannesburg Property Company (“JPC”) in terms of which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Second Respondent leased from the Fifth Respondent erven 31, 36 and 41 Orlando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eKhaya (“the erven”), on which it undertook to develop same in accordance with the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Site Plans approved by the JPC. This lease was for 30 years.</w:t>
      </w:r>
      <w:r w:rsidR="004B0480" w:rsidRPr="005A2F90">
        <w:rPr>
          <w:rStyle w:val="FootnoteReference"/>
          <w:rFonts w:cs="Arial"/>
          <w:bCs w:val="0"/>
          <w:color w:val="000000"/>
          <w:kern w:val="0"/>
        </w:rPr>
        <w:footnoteReference w:id="12"/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C2352D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[8]</w:t>
      </w:r>
      <w:r w:rsidR="00875821" w:rsidRPr="005A2F90">
        <w:rPr>
          <w:bCs w:val="0"/>
          <w:color w:val="000000"/>
          <w:kern w:val="0"/>
        </w:rPr>
        <w:t xml:space="preserve"> During 2015 the Second Respondent sought and was granted </w:t>
      </w:r>
      <w:r w:rsidR="002429D7" w:rsidRPr="005A2F90">
        <w:rPr>
          <w:bCs w:val="0"/>
          <w:color w:val="000000"/>
          <w:kern w:val="0"/>
        </w:rPr>
        <w:t>p</w:t>
      </w:r>
      <w:r w:rsidR="00875821" w:rsidRPr="005A2F90">
        <w:rPr>
          <w:bCs w:val="0"/>
          <w:color w:val="000000"/>
          <w:kern w:val="0"/>
        </w:rPr>
        <w:t>ermission</w:t>
      </w:r>
      <w:r w:rsidR="000B1466" w:rsidRPr="005A2F90">
        <w:rPr>
          <w:bCs w:val="0"/>
          <w:color w:val="000000"/>
          <w:kern w:val="0"/>
        </w:rPr>
        <w:t xml:space="preserve"> and/or </w:t>
      </w:r>
      <w:r w:rsidR="00875821" w:rsidRPr="005A2F90">
        <w:rPr>
          <w:bCs w:val="0"/>
          <w:color w:val="000000"/>
          <w:kern w:val="0"/>
        </w:rPr>
        <w:t>approval to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develop student accommodation in the erven from the JPC.</w:t>
      </w:r>
      <w:r w:rsidR="004B0480" w:rsidRPr="005A2F90">
        <w:rPr>
          <w:rStyle w:val="FootnoteReference"/>
          <w:rFonts w:cs="Arial"/>
          <w:bCs w:val="0"/>
          <w:color w:val="000000"/>
          <w:kern w:val="0"/>
        </w:rPr>
        <w:footnoteReference w:id="13"/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 On 16 January 2017, the Second and First Respondents concluded a sublease</w:t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agreement in terms of which the Second Respondent subleased to the First Respondent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erven 31 and 36 eKhaya Orlando, Soweto. These are two of the erven leased to the</w:t>
      </w:r>
      <w:r w:rsidR="000A355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Second Respondent by the Fifth Respondent. It further transferred development rights</w:t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it had on the said erven to the First Respondent.</w:t>
      </w:r>
      <w:r w:rsidR="004B0480" w:rsidRPr="005A2F90">
        <w:rPr>
          <w:rStyle w:val="FootnoteReference"/>
          <w:rFonts w:cs="Arial"/>
          <w:bCs w:val="0"/>
          <w:color w:val="000000"/>
          <w:kern w:val="0"/>
        </w:rPr>
        <w:footnoteReference w:id="14"/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C2352D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[9]</w:t>
      </w:r>
      <w:r w:rsidR="00875821" w:rsidRPr="005A2F90">
        <w:rPr>
          <w:bCs w:val="0"/>
          <w:color w:val="000000"/>
          <w:kern w:val="0"/>
        </w:rPr>
        <w:t xml:space="preserve"> The Applicant had suspicions relating to the status of the lease of the affected erven</w:t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which led to some preliminary investigations and which investigations revealed that the</w:t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Fifth Respondent did not have a lease agreement with the First Respondent but with</w:t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Second Respondent and that the said lease concluded with the Second Respondent</w:t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terminated on 12 August 2017.</w:t>
      </w:r>
      <w:r w:rsidR="00F01134" w:rsidRPr="005A2F90">
        <w:rPr>
          <w:rStyle w:val="FootnoteReference"/>
          <w:rFonts w:cs="Arial"/>
          <w:bCs w:val="0"/>
          <w:color w:val="000000"/>
          <w:kern w:val="0"/>
        </w:rPr>
        <w:footnoteReference w:id="15"/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[10]</w:t>
      </w:r>
      <w:r w:rsidR="00875821" w:rsidRPr="005A2F90">
        <w:rPr>
          <w:bCs w:val="0"/>
          <w:color w:val="000000"/>
          <w:kern w:val="0"/>
        </w:rPr>
        <w:t xml:space="preserve"> The findings made therein prompted the Applicant to engage the services of Ligwa</w:t>
      </w:r>
      <w:r w:rsidR="004B048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Advisory Services to conduct a forensic financial audit of the First Respondent.</w:t>
      </w:r>
      <w:r w:rsidR="00F01134" w:rsidRPr="005A2F90">
        <w:rPr>
          <w:rStyle w:val="FootnoteReference"/>
          <w:rFonts w:cs="Arial"/>
          <w:bCs w:val="0"/>
          <w:color w:val="000000"/>
          <w:kern w:val="0"/>
        </w:rPr>
        <w:footnoteReference w:id="16"/>
      </w:r>
      <w:r w:rsidR="00875821" w:rsidRPr="005A2F90">
        <w:rPr>
          <w:bCs w:val="0"/>
          <w:color w:val="000000"/>
          <w:kern w:val="0"/>
        </w:rPr>
        <w:t xml:space="preserve"> Ligwa</w:t>
      </w:r>
      <w:r w:rsidR="00F0113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produced an Audit Report which, inter alia, disclosed the fact that of the R26 million paid</w:t>
      </w:r>
      <w:r w:rsidR="00F0113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to it, the First Respondent paid an amount of R25 186 086 to the Second Respondent</w:t>
      </w:r>
      <w:r w:rsidR="00F0113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respect to a historic debt incurred by the Second Respondent prior to the</w:t>
      </w:r>
      <w:r w:rsidR="00F0113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incorporation of the First Respondent and the conclusion of the CCGA</w:t>
      </w:r>
      <w:r w:rsidR="00F01134" w:rsidRPr="005A2F90">
        <w:rPr>
          <w:rStyle w:val="FootnoteReference"/>
          <w:rFonts w:cs="Arial"/>
          <w:bCs w:val="0"/>
          <w:color w:val="000000"/>
          <w:kern w:val="0"/>
        </w:rPr>
        <w:footnoteReference w:id="17"/>
      </w:r>
      <w:r w:rsidR="00700D6E" w:rsidRPr="005A2F90">
        <w:rPr>
          <w:bCs w:val="0"/>
          <w:color w:val="000000"/>
          <w:kern w:val="0"/>
        </w:rPr>
        <w:t>.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[11]</w:t>
      </w:r>
      <w:r w:rsidR="00875821" w:rsidRPr="005A2F90">
        <w:rPr>
          <w:bCs w:val="0"/>
          <w:color w:val="000000"/>
          <w:kern w:val="0"/>
        </w:rPr>
        <w:t xml:space="preserve"> In essence, the Audit Report revealed that:</w:t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C2266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11</w:t>
      </w:r>
      <w:r w:rsidR="00875821" w:rsidRPr="005A2F90">
        <w:rPr>
          <w:bCs w:val="0"/>
          <w:color w:val="000000"/>
          <w:kern w:val="0"/>
        </w:rPr>
        <w:t>.1. A notarial sub-lease agreement submitted</w:t>
      </w:r>
      <w:r w:rsidR="00ED7EC4" w:rsidRPr="005A2F90">
        <w:rPr>
          <w:bCs w:val="0"/>
          <w:color w:val="000000"/>
          <w:kern w:val="0"/>
        </w:rPr>
        <w:t xml:space="preserve"> by the First Respondent to the </w:t>
      </w:r>
      <w:r w:rsidR="00875821" w:rsidRPr="005A2F90">
        <w:rPr>
          <w:bCs w:val="0"/>
          <w:color w:val="000000"/>
          <w:kern w:val="0"/>
        </w:rPr>
        <w:t>Applicant was neither endorsed nor lodged with the Regist</w:t>
      </w:r>
      <w:r w:rsidR="00ED7EC4" w:rsidRPr="005A2F90">
        <w:rPr>
          <w:bCs w:val="0"/>
          <w:color w:val="000000"/>
          <w:kern w:val="0"/>
        </w:rPr>
        <w:t xml:space="preserve">rar of Deeds in terms of the </w:t>
      </w:r>
      <w:r w:rsidR="00875821" w:rsidRPr="005A2F90">
        <w:rPr>
          <w:bCs w:val="0"/>
          <w:color w:val="000000"/>
          <w:kern w:val="0"/>
        </w:rPr>
        <w:t>Deeds Registration Act, Act 47 of 1937;</w:t>
      </w:r>
      <w:r w:rsidR="00F01134" w:rsidRPr="005A2F90">
        <w:rPr>
          <w:rStyle w:val="FootnoteReference"/>
          <w:rFonts w:cs="Arial"/>
          <w:bCs w:val="0"/>
          <w:color w:val="000000"/>
          <w:kern w:val="0"/>
        </w:rPr>
        <w:footnoteReference w:id="18"/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C2266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11</w:t>
      </w:r>
      <w:r w:rsidR="00875821" w:rsidRPr="005A2F90">
        <w:rPr>
          <w:bCs w:val="0"/>
          <w:color w:val="000000"/>
          <w:kern w:val="0"/>
        </w:rPr>
        <w:t>.2. The sub-lease agreement was concluded wi</w:t>
      </w:r>
      <w:r w:rsidR="00ED7EC4" w:rsidRPr="005A2F90">
        <w:rPr>
          <w:bCs w:val="0"/>
          <w:color w:val="000000"/>
          <w:kern w:val="0"/>
        </w:rPr>
        <w:t xml:space="preserve">th a private entity despite the </w:t>
      </w:r>
      <w:r w:rsidR="00875821" w:rsidRPr="005A2F90">
        <w:rPr>
          <w:bCs w:val="0"/>
          <w:color w:val="000000"/>
          <w:kern w:val="0"/>
        </w:rPr>
        <w:t>Regulations clearly providing that the lessor should be a public entity;</w:t>
      </w:r>
      <w:r w:rsidR="00343756" w:rsidRPr="005A2F90">
        <w:rPr>
          <w:rStyle w:val="FootnoteReference"/>
          <w:rFonts w:cs="Arial"/>
          <w:bCs w:val="0"/>
          <w:color w:val="000000"/>
          <w:kern w:val="0"/>
        </w:rPr>
        <w:footnoteReference w:id="19"/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EC2266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.3. That the Second Respondent required a written prior consent from the JPC to</w:t>
      </w:r>
      <w:r w:rsidR="00ED7EC4" w:rsidRPr="005A2F90">
        <w:rPr>
          <w:bCs w:val="0"/>
          <w:color w:val="000000"/>
          <w:kern w:val="0"/>
        </w:rPr>
        <w:t xml:space="preserve"> </w:t>
      </w:r>
      <w:r w:rsidR="00113199" w:rsidRPr="005A2F90">
        <w:rPr>
          <w:bCs w:val="0"/>
          <w:color w:val="000000"/>
          <w:kern w:val="0"/>
        </w:rPr>
        <w:t>S</w:t>
      </w:r>
      <w:r w:rsidRPr="005A2F90">
        <w:rPr>
          <w:bCs w:val="0"/>
          <w:color w:val="000000"/>
          <w:kern w:val="0"/>
        </w:rPr>
        <w:t>ub</w:t>
      </w:r>
      <w:r w:rsidR="00113199" w:rsidRPr="005A2F90">
        <w:rPr>
          <w:bCs w:val="0"/>
          <w:color w:val="000000"/>
          <w:kern w:val="0"/>
        </w:rPr>
        <w:t>-</w:t>
      </w:r>
      <w:r w:rsidRPr="005A2F90">
        <w:rPr>
          <w:bCs w:val="0"/>
          <w:color w:val="000000"/>
          <w:kern w:val="0"/>
        </w:rPr>
        <w:t>lease the property and this request was never sought and never granted;</w:t>
      </w:r>
      <w:r w:rsidR="00034607" w:rsidRPr="005A2F90">
        <w:rPr>
          <w:rStyle w:val="FootnoteReference"/>
          <w:rFonts w:cs="Arial"/>
          <w:bCs w:val="0"/>
          <w:color w:val="000000"/>
          <w:kern w:val="0"/>
        </w:rPr>
        <w:footnoteReference w:id="20"/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EC2266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.4. The main lease agreement between the Seco</w:t>
      </w:r>
      <w:r w:rsidR="00ED7EC4" w:rsidRPr="005A2F90">
        <w:rPr>
          <w:bCs w:val="0"/>
          <w:color w:val="000000"/>
          <w:kern w:val="0"/>
        </w:rPr>
        <w:t xml:space="preserve">nd and Fifth Respondents had by </w:t>
      </w:r>
      <w:r w:rsidRPr="005A2F90">
        <w:rPr>
          <w:bCs w:val="0"/>
          <w:color w:val="000000"/>
          <w:kern w:val="0"/>
        </w:rPr>
        <w:t>12 August 2017 been terminated, a date that is prior to the Applicant’s approval</w:t>
      </w:r>
      <w:r w:rsidR="00ED7EC4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o</w:t>
      </w:r>
      <w:r w:rsidR="00ED7EC4" w:rsidRPr="005A2F90">
        <w:rPr>
          <w:bCs w:val="0"/>
          <w:color w:val="000000"/>
          <w:kern w:val="0"/>
        </w:rPr>
        <w:t xml:space="preserve">f the </w:t>
      </w:r>
      <w:r w:rsidR="00113199" w:rsidRPr="005A2F90">
        <w:rPr>
          <w:bCs w:val="0"/>
          <w:color w:val="000000"/>
          <w:kern w:val="0"/>
        </w:rPr>
        <w:t>CCGA on 28 September 2017</w:t>
      </w:r>
      <w:r w:rsidR="00034607" w:rsidRPr="005A2F90">
        <w:rPr>
          <w:rStyle w:val="FootnoteReference"/>
          <w:rFonts w:cs="Arial"/>
          <w:bCs w:val="0"/>
          <w:color w:val="000000"/>
          <w:kern w:val="0"/>
        </w:rPr>
        <w:footnoteReference w:id="21"/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EC2266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.5. At the time of the conclusion of the CCGA, the Second Respondent did not have</w:t>
      </w:r>
      <w:r w:rsidR="00ED7EC4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 xml:space="preserve">the land required for the development of social </w:t>
      </w:r>
      <w:r w:rsidR="00ED7EC4" w:rsidRPr="005A2F90">
        <w:rPr>
          <w:bCs w:val="0"/>
          <w:color w:val="000000"/>
          <w:kern w:val="0"/>
        </w:rPr>
        <w:t xml:space="preserve">housing units for which funding </w:t>
      </w:r>
      <w:r w:rsidRPr="005A2F90">
        <w:rPr>
          <w:bCs w:val="0"/>
          <w:color w:val="000000"/>
          <w:kern w:val="0"/>
        </w:rPr>
        <w:t>was intended to be used;</w:t>
      </w:r>
      <w:r w:rsidR="00034607" w:rsidRPr="005A2F90">
        <w:rPr>
          <w:rStyle w:val="FootnoteReference"/>
          <w:rFonts w:cs="Arial"/>
          <w:bCs w:val="0"/>
          <w:color w:val="000000"/>
          <w:kern w:val="0"/>
        </w:rPr>
        <w:footnoteReference w:id="22"/>
      </w:r>
      <w:r w:rsidRPr="005A2F90">
        <w:rPr>
          <w:bCs w:val="0"/>
          <w:color w:val="000000"/>
          <w:kern w:val="0"/>
        </w:rPr>
        <w:t xml:space="preserve"> and</w:t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EC2266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.6. The Second Respondent failed to inform the Applicant of these material facts</w:t>
      </w:r>
      <w:r w:rsidR="00034607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thus leading to an unlawful decision being taken by the Applicant.</w:t>
      </w:r>
      <w:r w:rsidR="00034607" w:rsidRPr="005A2F90">
        <w:rPr>
          <w:rStyle w:val="FootnoteReference"/>
          <w:rFonts w:cs="Arial"/>
          <w:bCs w:val="0"/>
          <w:color w:val="000000"/>
          <w:kern w:val="0"/>
        </w:rPr>
        <w:footnoteReference w:id="23"/>
      </w:r>
    </w:p>
    <w:p w:rsidR="00034607" w:rsidRPr="005A2F90" w:rsidRDefault="0003460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76549B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POINTS IN LIMINE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[12]</w:t>
      </w:r>
      <w:r w:rsidR="00875821" w:rsidRPr="005A2F90">
        <w:rPr>
          <w:bCs w:val="0"/>
          <w:color w:val="000000"/>
          <w:kern w:val="0"/>
        </w:rPr>
        <w:t xml:space="preserve"> The First Respondent has raised </w:t>
      </w:r>
      <w:r w:rsidR="000B1466" w:rsidRPr="005A2F90">
        <w:rPr>
          <w:bCs w:val="0"/>
          <w:color w:val="000000"/>
          <w:kern w:val="0"/>
        </w:rPr>
        <w:t xml:space="preserve">the following </w:t>
      </w:r>
      <w:r w:rsidR="00875821" w:rsidRPr="005A2F90">
        <w:rPr>
          <w:bCs w:val="0"/>
          <w:color w:val="000000"/>
          <w:kern w:val="0"/>
        </w:rPr>
        <w:t xml:space="preserve">points </w:t>
      </w:r>
      <w:r w:rsidR="00875821" w:rsidRPr="005A2F90">
        <w:rPr>
          <w:bCs w:val="0"/>
          <w:i/>
          <w:iCs/>
          <w:color w:val="000000"/>
          <w:kern w:val="0"/>
        </w:rPr>
        <w:t xml:space="preserve">in limine </w:t>
      </w:r>
      <w:r w:rsidR="00875821" w:rsidRPr="005A2F90">
        <w:rPr>
          <w:bCs w:val="0"/>
          <w:color w:val="000000"/>
          <w:kern w:val="0"/>
        </w:rPr>
        <w:t>in its answering affidavit.</w:t>
      </w:r>
      <w:r w:rsidR="00B21A05" w:rsidRPr="005A2F90">
        <w:rPr>
          <w:rStyle w:val="FootnoteReference"/>
          <w:rFonts w:cs="Arial"/>
          <w:bCs w:val="0"/>
          <w:color w:val="000000"/>
          <w:kern w:val="0"/>
        </w:rPr>
        <w:footnoteReference w:id="24"/>
      </w:r>
    </w:p>
    <w:p w:rsidR="00875821" w:rsidRPr="005A2F90" w:rsidRDefault="0076549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(a) </w:t>
      </w:r>
      <w:r w:rsidR="00875821" w:rsidRPr="005A2F90">
        <w:rPr>
          <w:bCs w:val="0"/>
          <w:color w:val="000000"/>
          <w:kern w:val="0"/>
        </w:rPr>
        <w:t xml:space="preserve"> It contends that the conduct of the Applicant in approving its application was in</w:t>
      </w:r>
      <w:r w:rsidR="00ED7EC4" w:rsidRPr="005A2F90">
        <w:rPr>
          <w:b/>
          <w:bCs w:val="0"/>
          <w:color w:val="000000"/>
          <w:kern w:val="0"/>
        </w:rPr>
        <w:t xml:space="preserve"> </w:t>
      </w:r>
      <w:r w:rsidR="00EF4BC9" w:rsidRPr="005A2F90">
        <w:rPr>
          <w:bCs w:val="0"/>
          <w:color w:val="000000"/>
          <w:kern w:val="0"/>
        </w:rPr>
        <w:t>a</w:t>
      </w:r>
      <w:r w:rsidR="00875821" w:rsidRPr="005A2F90">
        <w:rPr>
          <w:bCs w:val="0"/>
          <w:color w:val="000000"/>
          <w:kern w:val="0"/>
        </w:rPr>
        <w:t>ccordance with the law.</w:t>
      </w:r>
      <w:r w:rsidR="00B21A05" w:rsidRPr="005A2F90">
        <w:rPr>
          <w:rStyle w:val="FootnoteReference"/>
          <w:rFonts w:cs="Arial"/>
          <w:bCs w:val="0"/>
          <w:color w:val="000000"/>
          <w:kern w:val="0"/>
        </w:rPr>
        <w:footnoteReference w:id="25"/>
      </w:r>
      <w:r w:rsidR="00875821" w:rsidRPr="005A2F90">
        <w:rPr>
          <w:bCs w:val="0"/>
          <w:color w:val="000000"/>
          <w:kern w:val="0"/>
        </w:rPr>
        <w:t xml:space="preserve"> It contends that it met </w:t>
      </w:r>
      <w:r w:rsidR="00ED7EC4" w:rsidRPr="005A2F90">
        <w:rPr>
          <w:bCs w:val="0"/>
          <w:color w:val="000000"/>
          <w:kern w:val="0"/>
        </w:rPr>
        <w:t xml:space="preserve">the Conditions Precedent of the </w:t>
      </w:r>
      <w:r w:rsidR="00875821" w:rsidRPr="005A2F90">
        <w:rPr>
          <w:bCs w:val="0"/>
          <w:color w:val="000000"/>
          <w:kern w:val="0"/>
        </w:rPr>
        <w:t>CCGA</w:t>
      </w:r>
      <w:r w:rsidR="00B21A0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and submitted a lease with the Second </w:t>
      </w:r>
      <w:r w:rsidR="00ED7EC4" w:rsidRPr="005A2F90">
        <w:rPr>
          <w:bCs w:val="0"/>
          <w:color w:val="000000"/>
          <w:kern w:val="0"/>
        </w:rPr>
        <w:t xml:space="preserve">Respondent in respect of eKhaya </w:t>
      </w:r>
      <w:r w:rsidR="00875821" w:rsidRPr="005A2F90">
        <w:rPr>
          <w:bCs w:val="0"/>
          <w:color w:val="000000"/>
          <w:kern w:val="0"/>
        </w:rPr>
        <w:t>Orlando,</w:t>
      </w:r>
      <w:r w:rsidR="00B21A0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Soweto.</w:t>
      </w:r>
      <w:r w:rsidR="00B21A05" w:rsidRPr="005A2F90">
        <w:rPr>
          <w:rStyle w:val="FootnoteReference"/>
          <w:rFonts w:cs="Arial"/>
          <w:bCs w:val="0"/>
          <w:color w:val="000000"/>
          <w:kern w:val="0"/>
        </w:rPr>
        <w:footnoteReference w:id="26"/>
      </w:r>
    </w:p>
    <w:p w:rsidR="00875821" w:rsidRPr="005A2F90" w:rsidRDefault="0076549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(b) </w:t>
      </w:r>
      <w:r w:rsidR="00875821" w:rsidRPr="005A2F90">
        <w:rPr>
          <w:bCs w:val="0"/>
          <w:color w:val="000000"/>
          <w:kern w:val="0"/>
        </w:rPr>
        <w:t>It denies that the Second Respondent did not have consent to sub</w:t>
      </w:r>
      <w:r w:rsidR="00113199" w:rsidRPr="005A2F90">
        <w:rPr>
          <w:bCs w:val="0"/>
          <w:color w:val="000000"/>
          <w:kern w:val="0"/>
        </w:rPr>
        <w:t>-</w:t>
      </w:r>
      <w:r w:rsidR="00ED7EC4" w:rsidRPr="005A2F90">
        <w:rPr>
          <w:bCs w:val="0"/>
          <w:color w:val="000000"/>
          <w:kern w:val="0"/>
        </w:rPr>
        <w:t xml:space="preserve">lease to the </w:t>
      </w:r>
      <w:r w:rsidR="00875821" w:rsidRPr="005A2F90">
        <w:rPr>
          <w:bCs w:val="0"/>
          <w:color w:val="000000"/>
          <w:kern w:val="0"/>
        </w:rPr>
        <w:t>First</w:t>
      </w:r>
      <w:r w:rsidR="00B21A0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 in respect of development of accommodation and relies on annexure</w:t>
      </w:r>
      <w:r w:rsidR="00ED7EC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/>
          <w:color w:val="000000"/>
          <w:kern w:val="0"/>
        </w:rPr>
        <w:t xml:space="preserve">SHRA8 </w:t>
      </w:r>
      <w:r w:rsidR="00875821" w:rsidRPr="005A2F90">
        <w:rPr>
          <w:bCs w:val="0"/>
          <w:color w:val="000000"/>
          <w:kern w:val="0"/>
        </w:rPr>
        <w:t xml:space="preserve">as proof of consent it received </w:t>
      </w:r>
      <w:r w:rsidR="00ED7EC4" w:rsidRPr="005A2F90">
        <w:rPr>
          <w:bCs w:val="0"/>
          <w:color w:val="000000"/>
          <w:kern w:val="0"/>
        </w:rPr>
        <w:t xml:space="preserve">from the JPC for development of </w:t>
      </w:r>
      <w:r w:rsidR="00807599" w:rsidRPr="005A2F90">
        <w:rPr>
          <w:bCs w:val="0"/>
          <w:color w:val="000000"/>
          <w:kern w:val="0"/>
        </w:rPr>
        <w:t>A</w:t>
      </w:r>
      <w:r w:rsidR="00875821" w:rsidRPr="005A2F90">
        <w:rPr>
          <w:bCs w:val="0"/>
          <w:color w:val="000000"/>
          <w:kern w:val="0"/>
        </w:rPr>
        <w:t>ccommodation</w:t>
      </w:r>
      <w:r w:rsidR="00807599" w:rsidRPr="005A2F90">
        <w:rPr>
          <w:bCs w:val="0"/>
          <w:color w:val="000000"/>
          <w:kern w:val="0"/>
        </w:rPr>
        <w:t>.</w:t>
      </w:r>
      <w:r w:rsidR="00B21A05" w:rsidRPr="005A2F90">
        <w:rPr>
          <w:rStyle w:val="FootnoteReference"/>
          <w:rFonts w:cs="Arial"/>
          <w:bCs w:val="0"/>
          <w:color w:val="000000"/>
          <w:kern w:val="0"/>
        </w:rPr>
        <w:footnoteReference w:id="27"/>
      </w:r>
    </w:p>
    <w:p w:rsidR="00875821" w:rsidRPr="005A2F90" w:rsidRDefault="0076549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(c)</w:t>
      </w:r>
      <w:r w:rsidR="00ED7EC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Respondents deny that the Regulations require notarised sub-lease.</w:t>
      </w:r>
      <w:r w:rsidR="0014019B" w:rsidRPr="005A2F90">
        <w:rPr>
          <w:rStyle w:val="FootnoteReference"/>
          <w:rFonts w:cs="Arial"/>
          <w:bCs w:val="0"/>
          <w:color w:val="000000"/>
          <w:kern w:val="0"/>
        </w:rPr>
        <w:footnoteReference w:id="28"/>
      </w:r>
    </w:p>
    <w:p w:rsidR="00004713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(d) </w:t>
      </w:r>
      <w:r w:rsidR="00004713" w:rsidRPr="005A2F90">
        <w:rPr>
          <w:bCs w:val="0"/>
          <w:color w:val="000000"/>
          <w:kern w:val="0"/>
        </w:rPr>
        <w:t>The Respondents allege that the Applicant has no authority to act in the Application</w:t>
      </w:r>
      <w:r w:rsidR="00113199" w:rsidRPr="005A2F90">
        <w:rPr>
          <w:bCs w:val="0"/>
          <w:color w:val="000000"/>
          <w:kern w:val="0"/>
        </w:rPr>
        <w:t>.</w:t>
      </w:r>
      <w:r w:rsidR="00004713" w:rsidRPr="005A2F90">
        <w:rPr>
          <w:b/>
          <w:bCs w:val="0"/>
          <w:color w:val="000000"/>
          <w:kern w:val="0"/>
        </w:rPr>
        <w:t xml:space="preserve"> 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</w:p>
    <w:p w:rsidR="00875821" w:rsidRPr="005A2F90" w:rsidRDefault="00110A17" w:rsidP="00ED7EC4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kern w:val="0"/>
        </w:rPr>
      </w:pPr>
      <w:r w:rsidRPr="005A2F90">
        <w:rPr>
          <w:b/>
          <w:color w:val="000000"/>
          <w:kern w:val="0"/>
        </w:rPr>
        <w:t xml:space="preserve">FACTS RELATING TO POINTS </w:t>
      </w:r>
      <w:r w:rsidRPr="005A2F90">
        <w:rPr>
          <w:b/>
          <w:i/>
          <w:color w:val="000000"/>
          <w:kern w:val="0"/>
        </w:rPr>
        <w:t>IN LIMINE</w:t>
      </w:r>
      <w:r w:rsidR="00875821" w:rsidRPr="005A2F90">
        <w:rPr>
          <w:b/>
          <w:i/>
          <w:color w:val="000000"/>
          <w:kern w:val="0"/>
        </w:rPr>
        <w:t xml:space="preserve"> 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[13]</w:t>
      </w:r>
      <w:r w:rsidR="00875821" w:rsidRPr="005A2F90">
        <w:rPr>
          <w:bCs w:val="0"/>
          <w:color w:val="000000"/>
          <w:kern w:val="0"/>
        </w:rPr>
        <w:t xml:space="preserve"> The Applicant is a public entity as defined in Schedule 3A of the Public Finance</w:t>
      </w:r>
    </w:p>
    <w:p w:rsidR="0076549B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Management Act 29 of 1999 and established in terms of section 7 of the Social Housing</w:t>
      </w:r>
      <w:r w:rsidR="0014019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Act whose primary goal is the provision of affordable, state subsidised rental social</w:t>
      </w:r>
      <w:r w:rsidR="0014019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housing targeted at low to medium income groups.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03366A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[14]</w:t>
      </w:r>
      <w:r w:rsidR="007654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fulfilment of this objective, the Applicant provides grant funding for the development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and construction of social housing units to accredited social housing institutions to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uphold the constitutional injunction under section 26(1) read with section 26(2) of the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Constitution of the Republic.</w:t>
      </w:r>
    </w:p>
    <w:p w:rsidR="001131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07599" w:rsidRPr="005A2F90" w:rsidRDefault="0011319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[15]</w:t>
      </w:r>
      <w:r w:rsidR="00875821" w:rsidRPr="005A2F90">
        <w:rPr>
          <w:bCs w:val="0"/>
          <w:color w:val="000000"/>
          <w:kern w:val="0"/>
        </w:rPr>
        <w:t xml:space="preserve"> The First Respondent applied for grant funding towards the development of such social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housing units. The funding application was made in respect of property situated in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Soweto to wit eKhaya, Orlando, Soweto. The funding application was successful (“</w:t>
      </w:r>
      <w:r w:rsidR="00875821" w:rsidRPr="005A2F90">
        <w:rPr>
          <w:color w:val="000000"/>
          <w:kern w:val="0"/>
        </w:rPr>
        <w:t>the</w:t>
      </w:r>
      <w:r w:rsidR="00B21A05" w:rsidRPr="005A2F90">
        <w:rPr>
          <w:color w:val="000000"/>
          <w:kern w:val="0"/>
        </w:rPr>
        <w:t xml:space="preserve"> </w:t>
      </w:r>
      <w:r w:rsidR="00875821" w:rsidRPr="005A2F90">
        <w:rPr>
          <w:color w:val="000000"/>
          <w:kern w:val="0"/>
        </w:rPr>
        <w:t>Approval</w:t>
      </w:r>
      <w:r w:rsidR="00875821" w:rsidRPr="005A2F90">
        <w:rPr>
          <w:bCs w:val="0"/>
          <w:color w:val="000000"/>
          <w:kern w:val="0"/>
        </w:rPr>
        <w:t>”).</w:t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A416EE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[16]</w:t>
      </w:r>
      <w:r w:rsidR="00875821" w:rsidRPr="005A2F90">
        <w:rPr>
          <w:b/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As pointed out above it was brought to light that the decision of the Applicant was, in</w:t>
      </w:r>
      <w:r w:rsidR="00B21A0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fact, unlawful in that the First Respondent did not meet certain criteria for the successful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grant funding, as laid down in Regulation 19 of the Social Housing Regulations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promulgated under section 19 of the Social Housing Act (“</w:t>
      </w:r>
      <w:r w:rsidR="00875821" w:rsidRPr="005A2F90">
        <w:rPr>
          <w:color w:val="000000"/>
          <w:kern w:val="0"/>
        </w:rPr>
        <w:t>SHRA</w:t>
      </w:r>
      <w:r w:rsidR="00875821" w:rsidRPr="005A2F90">
        <w:rPr>
          <w:b/>
          <w:color w:val="000000"/>
          <w:kern w:val="0"/>
        </w:rPr>
        <w:t xml:space="preserve"> </w:t>
      </w:r>
      <w:r w:rsidR="00875821" w:rsidRPr="005A2F90">
        <w:rPr>
          <w:color w:val="000000"/>
          <w:kern w:val="0"/>
        </w:rPr>
        <w:t>Regulations</w:t>
      </w:r>
      <w:r w:rsidR="00875821" w:rsidRPr="005A2F90">
        <w:rPr>
          <w:bCs w:val="0"/>
          <w:color w:val="000000"/>
          <w:kern w:val="0"/>
        </w:rPr>
        <w:t>”).</w:t>
      </w:r>
      <w:r w:rsidR="00295FC1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It is apparent that in approving the CCGA, the Applicant violated the law and the</w:t>
      </w:r>
      <w:r w:rsidR="00295FC1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regulations in that there was no way that it could have accepted the sub-lease</w:t>
      </w:r>
      <w:r w:rsidR="00295FC1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documents submitted by the First Respondent as evidence.</w:t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03366A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416EE" w:rsidRPr="005A2F90">
        <w:rPr>
          <w:bCs w:val="0"/>
          <w:color w:val="000000"/>
          <w:kern w:val="0"/>
        </w:rPr>
        <w:t>1</w:t>
      </w:r>
      <w:r w:rsidR="00295FC1" w:rsidRPr="005A2F90">
        <w:rPr>
          <w:bCs w:val="0"/>
          <w:color w:val="000000"/>
          <w:kern w:val="0"/>
        </w:rPr>
        <w:t>7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Applicant brings this</w:t>
      </w:r>
      <w:r w:rsidR="004158E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application as one of self-review in line with its duties as an organ of state, and in the</w:t>
      </w:r>
      <w:r w:rsidR="004158E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interests of transparency and accountability</w:t>
      </w:r>
      <w:r w:rsidR="00A416EE" w:rsidRPr="005A2F90">
        <w:rPr>
          <w:bCs w:val="0"/>
          <w:color w:val="000000"/>
          <w:kern w:val="0"/>
        </w:rPr>
        <w:t xml:space="preserve"> and it </w:t>
      </w:r>
      <w:r w:rsidR="00875821" w:rsidRPr="005A2F90">
        <w:rPr>
          <w:bCs w:val="0"/>
          <w:color w:val="000000"/>
          <w:kern w:val="0"/>
        </w:rPr>
        <w:t>approache</w:t>
      </w:r>
      <w:r w:rsidR="00A416EE" w:rsidRPr="005A2F90">
        <w:rPr>
          <w:bCs w:val="0"/>
          <w:color w:val="000000"/>
          <w:kern w:val="0"/>
        </w:rPr>
        <w:t xml:space="preserve">d </w:t>
      </w:r>
      <w:r w:rsidR="00875821" w:rsidRPr="005A2F90">
        <w:rPr>
          <w:bCs w:val="0"/>
          <w:color w:val="000000"/>
          <w:kern w:val="0"/>
        </w:rPr>
        <w:t>this Court to seek relief to this effect.</w:t>
      </w:r>
      <w:r w:rsidR="004158EA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Therefore,</w:t>
      </w:r>
      <w:r w:rsidR="004158EA" w:rsidRPr="005A2F90">
        <w:rPr>
          <w:bCs w:val="0"/>
          <w:color w:val="000000"/>
          <w:kern w:val="0"/>
        </w:rPr>
        <w:t xml:space="preserve"> the decision of the Applicant to approve grant funding to the First Respondent, stands to be declared unlawful and invalid.</w:t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416EE" w:rsidRPr="005A2F90">
        <w:rPr>
          <w:bCs w:val="0"/>
          <w:color w:val="000000"/>
          <w:kern w:val="0"/>
        </w:rPr>
        <w:t>1</w:t>
      </w:r>
      <w:r w:rsidR="00295FC1" w:rsidRPr="005A2F90">
        <w:rPr>
          <w:bCs w:val="0"/>
          <w:color w:val="000000"/>
          <w:kern w:val="0"/>
        </w:rPr>
        <w:t>8</w:t>
      </w:r>
      <w:r w:rsidRPr="005A2F90">
        <w:rPr>
          <w:bCs w:val="0"/>
          <w:color w:val="000000"/>
          <w:kern w:val="0"/>
        </w:rPr>
        <w:t>]</w:t>
      </w:r>
      <w:r w:rsidR="00A416E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As a result of the Approval, the Applicant proceeded to take certain subsequent acts.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Those acts were taken on the presumption that the Approval was lawful and valid, and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they depend on the legality of the Approval for their own validity. Because this</w:t>
      </w:r>
      <w:r w:rsidR="0014019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presumption is incorrect, it is </w:t>
      </w:r>
      <w:r w:rsidR="00A416EE" w:rsidRPr="005A2F90">
        <w:rPr>
          <w:bCs w:val="0"/>
          <w:color w:val="000000"/>
          <w:kern w:val="0"/>
        </w:rPr>
        <w:t xml:space="preserve">my view </w:t>
      </w:r>
      <w:r w:rsidR="00875821" w:rsidRPr="005A2F90">
        <w:rPr>
          <w:bCs w:val="0"/>
          <w:color w:val="000000"/>
          <w:kern w:val="0"/>
        </w:rPr>
        <w:t>that the Applicant’s subsequent acts must</w:t>
      </w:r>
      <w:r w:rsidR="0014019B" w:rsidRPr="005A2F90">
        <w:rPr>
          <w:bCs w:val="0"/>
          <w:color w:val="000000"/>
          <w:kern w:val="0"/>
        </w:rPr>
        <w:t xml:space="preserve"> </w:t>
      </w:r>
      <w:r w:rsidR="00BA39A3" w:rsidRPr="005A2F90">
        <w:rPr>
          <w:bCs w:val="0"/>
          <w:color w:val="000000"/>
          <w:kern w:val="0"/>
        </w:rPr>
        <w:t xml:space="preserve">also </w:t>
      </w:r>
      <w:r w:rsidR="00875821" w:rsidRPr="005A2F90">
        <w:rPr>
          <w:bCs w:val="0"/>
          <w:color w:val="000000"/>
          <w:kern w:val="0"/>
        </w:rPr>
        <w:t>be declared invalid as well.</w:t>
      </w:r>
    </w:p>
    <w:p w:rsidR="0014019B" w:rsidRPr="005A2F90" w:rsidRDefault="0014019B" w:rsidP="00ED7EC4">
      <w:pPr>
        <w:autoSpaceDE w:val="0"/>
        <w:autoSpaceDN w:val="0"/>
        <w:adjustRightInd w:val="0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pStyle w:val="NoSpacing"/>
        <w:spacing w:line="360" w:lineRule="auto"/>
        <w:jc w:val="both"/>
        <w:rPr>
          <w:b/>
        </w:rPr>
      </w:pPr>
      <w:r w:rsidRPr="005A2F90">
        <w:rPr>
          <w:b/>
        </w:rPr>
        <w:t>CONDONATION OF THE APPLICATION FOR SELF-REVIEW</w:t>
      </w:r>
    </w:p>
    <w:p w:rsidR="00ED7EC4" w:rsidRPr="005A2F90" w:rsidRDefault="00ED7EC4" w:rsidP="00ED7EC4">
      <w:pPr>
        <w:pStyle w:val="NoSpacing"/>
        <w:spacing w:line="360" w:lineRule="auto"/>
        <w:jc w:val="both"/>
        <w:rPr>
          <w:b/>
        </w:rPr>
      </w:pPr>
    </w:p>
    <w:p w:rsidR="00D50FD2" w:rsidRPr="005A2F90" w:rsidRDefault="00ED7EC4" w:rsidP="00ED7EC4">
      <w:pPr>
        <w:pStyle w:val="NoSpacing"/>
        <w:spacing w:line="360" w:lineRule="auto"/>
        <w:jc w:val="both"/>
      </w:pPr>
      <w:r w:rsidRPr="005A2F90">
        <w:t>[19]</w:t>
      </w:r>
      <w:r w:rsidR="00875821" w:rsidRPr="005A2F90">
        <w:t xml:space="preserve"> It is trite law that an application for self-review brought on the basis of legality must be</w:t>
      </w:r>
      <w:r w:rsidR="00593AC3" w:rsidRPr="005A2F90">
        <w:t xml:space="preserve"> </w:t>
      </w:r>
      <w:r w:rsidR="00875821" w:rsidRPr="005A2F90">
        <w:t>instituted expeditiously and without unreasonable delay.</w:t>
      </w:r>
      <w:r w:rsidR="00593AC3" w:rsidRPr="005A2F90">
        <w:rPr>
          <w:rStyle w:val="FootnoteReference"/>
          <w:rFonts w:cs="Arial"/>
          <w:bCs w:val="0"/>
          <w:color w:val="000000"/>
          <w:kern w:val="0"/>
        </w:rPr>
        <w:footnoteReference w:id="29"/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875821" w:rsidRPr="005A2F90">
        <w:rPr>
          <w:bCs w:val="0"/>
          <w:color w:val="000000"/>
          <w:kern w:val="0"/>
        </w:rPr>
        <w:t>2</w:t>
      </w:r>
      <w:r w:rsidR="00D50FD2" w:rsidRPr="005A2F90">
        <w:rPr>
          <w:bCs w:val="0"/>
          <w:color w:val="000000"/>
          <w:kern w:val="0"/>
        </w:rPr>
        <w:t>0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Applicant on becoming aware that there may h</w:t>
      </w:r>
      <w:r w:rsidRPr="005A2F90">
        <w:rPr>
          <w:bCs w:val="0"/>
          <w:color w:val="000000"/>
          <w:kern w:val="0"/>
        </w:rPr>
        <w:t xml:space="preserve">ave been an irregularity in the </w:t>
      </w:r>
      <w:r w:rsidR="00875821" w:rsidRPr="005A2F90">
        <w:rPr>
          <w:bCs w:val="0"/>
          <w:color w:val="000000"/>
          <w:kern w:val="0"/>
        </w:rPr>
        <w:t>process leading to the approval of the grant funding to the First Respondent and noncompliance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with conditions of the CCGA, made independent enquiries with the Fifth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 as to the status of the development lease agreement it had with the First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Respondent.</w:t>
      </w:r>
      <w:r w:rsidR="00593AC3" w:rsidRPr="005A2F90">
        <w:rPr>
          <w:rStyle w:val="FootnoteReference"/>
          <w:rFonts w:cs="Arial"/>
          <w:bCs w:val="0"/>
          <w:color w:val="000000"/>
          <w:kern w:val="0"/>
        </w:rPr>
        <w:footnoteReference w:id="30"/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6A6286" w:rsidRPr="005A2F90">
        <w:rPr>
          <w:bCs w:val="0"/>
          <w:color w:val="000000"/>
          <w:kern w:val="0"/>
        </w:rPr>
        <w:t>2</w:t>
      </w:r>
      <w:r w:rsidR="00D50FD2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Applicant received a response from the Fifth Respondent advising that the</w:t>
      </w:r>
      <w:r w:rsidR="00F45FC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development lease agreement entered between the latter and the Second Respondent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had been terminated on 12 August 2017 long before the CCGA was concluded on 22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February 2018.</w:t>
      </w:r>
      <w:r w:rsidR="00593AC3" w:rsidRPr="005A2F90">
        <w:rPr>
          <w:rStyle w:val="FootnoteReference"/>
          <w:rFonts w:cs="Arial"/>
          <w:bCs w:val="0"/>
          <w:color w:val="000000"/>
          <w:kern w:val="0"/>
        </w:rPr>
        <w:footnoteReference w:id="31"/>
      </w:r>
    </w:p>
    <w:p w:rsidR="00533D6E" w:rsidRPr="005A2F90" w:rsidRDefault="00533D6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3774DE" w:rsidRPr="005A2F90">
        <w:rPr>
          <w:bCs w:val="0"/>
          <w:color w:val="000000"/>
          <w:kern w:val="0"/>
        </w:rPr>
        <w:t>2</w:t>
      </w:r>
      <w:r w:rsidR="00D50FD2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It was after this that the Applicant exercised its powers in terms of section 12 of the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Social Housing Act and appointed Ligwa Advisory Services to conduct a forensic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financial audit on its behalf into the affairs and conduct of the First Respondent, on 3</w:t>
      </w:r>
    </w:p>
    <w:p w:rsidR="00533D6E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December 2018.</w:t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33D6E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3774DE" w:rsidRPr="005A2F90">
        <w:rPr>
          <w:bCs w:val="0"/>
          <w:color w:val="000000"/>
          <w:kern w:val="0"/>
        </w:rPr>
        <w:t>2</w:t>
      </w:r>
      <w:r w:rsidR="00D50FD2" w:rsidRPr="005A2F90">
        <w:rPr>
          <w:bCs w:val="0"/>
          <w:color w:val="000000"/>
          <w:kern w:val="0"/>
        </w:rPr>
        <w:t>3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It is common cause that Ligwa presented its report to the Applicant </w:t>
      </w:r>
      <w:r w:rsidR="00BA39A3" w:rsidRPr="005A2F90">
        <w:rPr>
          <w:bCs w:val="0"/>
          <w:color w:val="000000"/>
          <w:kern w:val="0"/>
        </w:rPr>
        <w:t>during September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2019 and that the Applicant considered the report through subjecting it to its internal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processes and approached counsel for legal advice before instituting these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proceedings.</w:t>
      </w:r>
      <w:r w:rsidR="00593AC3" w:rsidRPr="005A2F90">
        <w:rPr>
          <w:rStyle w:val="FootnoteReference"/>
          <w:rFonts w:cs="Arial"/>
          <w:bCs w:val="0"/>
          <w:color w:val="000000"/>
          <w:kern w:val="0"/>
        </w:rPr>
        <w:footnoteReference w:id="32"/>
      </w:r>
      <w:r w:rsidR="00593AC3" w:rsidRPr="005A2F90">
        <w:rPr>
          <w:bCs w:val="0"/>
          <w:color w:val="000000"/>
          <w:kern w:val="0"/>
        </w:rPr>
        <w:t xml:space="preserve"> </w:t>
      </w:r>
    </w:p>
    <w:p w:rsidR="009741B8" w:rsidRPr="005A2F90" w:rsidRDefault="009741B8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BA39A3" w:rsidRPr="005A2F90" w:rsidRDefault="00BA39A3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  <w:r w:rsidRPr="005A2F90">
        <w:rPr>
          <w:b/>
          <w:bCs w:val="0"/>
          <w:color w:val="000000"/>
          <w:kern w:val="0"/>
        </w:rPr>
        <w:t>THE LAW</w:t>
      </w:r>
    </w:p>
    <w:p w:rsidR="00ED7EC4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441513" w:rsidRPr="005A2F90" w:rsidRDefault="00ED7EC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3774DE" w:rsidRPr="005A2F90">
        <w:rPr>
          <w:bCs w:val="0"/>
          <w:color w:val="000000"/>
          <w:kern w:val="0"/>
        </w:rPr>
        <w:t>2</w:t>
      </w:r>
      <w:r w:rsidR="00D50FD2" w:rsidRPr="005A2F90">
        <w:rPr>
          <w:bCs w:val="0"/>
          <w:color w:val="000000"/>
          <w:kern w:val="0"/>
        </w:rPr>
        <w:t>4</w:t>
      </w:r>
      <w:r w:rsidRPr="005A2F90">
        <w:rPr>
          <w:bCs w:val="0"/>
          <w:color w:val="000000"/>
          <w:kern w:val="0"/>
        </w:rPr>
        <w:t>]</w:t>
      </w:r>
      <w:r w:rsidR="003774D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Supreme Court of Appeal has recently had occasion to reconsider and pronounce</w:t>
      </w:r>
      <w:r w:rsidR="00593A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on the test for unreasonable delay in respect of legality reviews.</w:t>
      </w:r>
      <w:r w:rsidR="002F76E4" w:rsidRPr="005A2F90">
        <w:rPr>
          <w:rStyle w:val="FootnoteReference"/>
          <w:rFonts w:cs="Arial"/>
          <w:bCs w:val="0"/>
          <w:color w:val="000000"/>
          <w:kern w:val="0"/>
        </w:rPr>
        <w:footnoteReference w:id="33"/>
      </w:r>
      <w:r w:rsidR="00875821" w:rsidRPr="005A2F90">
        <w:rPr>
          <w:bCs w:val="0"/>
          <w:color w:val="000000"/>
          <w:kern w:val="0"/>
        </w:rPr>
        <w:t xml:space="preserve"> It held as follows:</w:t>
      </w:r>
      <w:r w:rsidR="00441513" w:rsidRPr="005A2F90">
        <w:rPr>
          <w:bCs w:val="0"/>
          <w:color w:val="000000"/>
          <w:kern w:val="0"/>
        </w:rPr>
        <w:t xml:space="preserve"> 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 xml:space="preserve">“A legality review, unlike a PAJA review, does not have to </w:t>
      </w:r>
      <w:r w:rsidR="00985B35" w:rsidRPr="005A2F90">
        <w:rPr>
          <w:bCs w:val="0"/>
          <w:i/>
          <w:iCs/>
          <w:color w:val="000000"/>
          <w:kern w:val="0"/>
        </w:rPr>
        <w:t xml:space="preserve">be </w:t>
      </w:r>
      <w:r w:rsidRPr="005A2F90">
        <w:rPr>
          <w:bCs w:val="0"/>
          <w:i/>
          <w:iCs/>
          <w:color w:val="000000"/>
          <w:kern w:val="0"/>
        </w:rPr>
        <w:t>brought within a</w:t>
      </w:r>
      <w:r w:rsidR="003774D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fixed period. However</w:t>
      </w:r>
      <w:r w:rsidRPr="005A2F90">
        <w:rPr>
          <w:b/>
          <w:bCs w:val="0"/>
          <w:i/>
          <w:iCs/>
          <w:color w:val="000000"/>
          <w:kern w:val="0"/>
        </w:rPr>
        <w:t xml:space="preserve">, </w:t>
      </w:r>
      <w:r w:rsidRPr="005A2F90">
        <w:rPr>
          <w:bCs w:val="0"/>
          <w:i/>
          <w:iCs/>
          <w:color w:val="000000"/>
          <w:kern w:val="0"/>
        </w:rPr>
        <w:t>whilst the 180-day bar se</w:t>
      </w:r>
      <w:r w:rsidR="00D50FD2" w:rsidRPr="005A2F90">
        <w:rPr>
          <w:bCs w:val="0"/>
          <w:i/>
          <w:iCs/>
          <w:color w:val="000000"/>
          <w:kern w:val="0"/>
        </w:rPr>
        <w:t>t</w:t>
      </w:r>
      <w:r w:rsidRPr="005A2F90">
        <w:rPr>
          <w:bCs w:val="0"/>
          <w:i/>
          <w:iCs/>
          <w:color w:val="000000"/>
          <w:kern w:val="0"/>
        </w:rPr>
        <w:t xml:space="preserve"> by s7(1) of PAJA</w:t>
      </w:r>
      <w:r w:rsidRPr="005A2F90">
        <w:rPr>
          <w:b/>
          <w:bCs w:val="0"/>
          <w:i/>
          <w:iCs/>
          <w:color w:val="000000"/>
          <w:kern w:val="0"/>
        </w:rPr>
        <w:t xml:space="preserve"> …</w:t>
      </w:r>
      <w:r w:rsidRPr="005A2F90">
        <w:rPr>
          <w:bCs w:val="0"/>
          <w:i/>
          <w:iCs/>
          <w:color w:val="000000"/>
          <w:kern w:val="0"/>
        </w:rPr>
        <w:t>does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not apply, in both, the yardstick remains reasonableness. It is a long-standing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rule that a legality review must be initiated without undue delay and that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courts have the power (as part of their inherent jurisdiction to regulate their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own proceedings) to either overlook the delay or refuse a review application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in the face of an undue delay.</w:t>
      </w:r>
    </w:p>
    <w:p w:rsidR="00533D6E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The test for assessing undue delay in the bringing of a legality review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application is: first, it must be determined whether the delay is unreasonable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or undue (this is a factual inquiry upon which a value judgment is made,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having regard to the circumstances of the matter; and, second, if the delay is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unreasonable, whether the court’s discretion should nevertheless be</w:t>
      </w:r>
      <w:r w:rsidR="0044151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exercised to overlook the delay and entertain the application.”</w:t>
      </w:r>
    </w:p>
    <w:p w:rsidR="00985B35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BD43E5" w:rsidRPr="005A2F90">
        <w:rPr>
          <w:bCs w:val="0"/>
          <w:color w:val="000000"/>
          <w:kern w:val="0"/>
        </w:rPr>
        <w:t>2</w:t>
      </w:r>
      <w:r w:rsidR="00D50FD2" w:rsidRPr="005A2F90">
        <w:rPr>
          <w:bCs w:val="0"/>
          <w:color w:val="000000"/>
          <w:kern w:val="0"/>
        </w:rPr>
        <w:t>5</w:t>
      </w:r>
      <w:r w:rsidRPr="005A2F90">
        <w:rPr>
          <w:bCs w:val="0"/>
          <w:color w:val="000000"/>
          <w:kern w:val="0"/>
        </w:rPr>
        <w:t>]</w:t>
      </w:r>
      <w:r w:rsidR="00C24B66" w:rsidRPr="005A2F90">
        <w:rPr>
          <w:bCs w:val="0"/>
          <w:color w:val="000000"/>
          <w:kern w:val="0"/>
        </w:rPr>
        <w:t xml:space="preserve"> Therefore this court has to make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factual finding as to whether there was delay on the part of the Applicant in bringing this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application and secondly, whether such delay (if found to exist) was unreasonable in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circumstances of this matter.</w:t>
      </w:r>
      <w:r w:rsidR="002F76E4" w:rsidRPr="005A2F90">
        <w:rPr>
          <w:bCs w:val="0"/>
          <w:color w:val="000000"/>
          <w:kern w:val="0"/>
        </w:rPr>
        <w:t xml:space="preserve"> </w:t>
      </w:r>
    </w:p>
    <w:p w:rsidR="00985B35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BD43E5" w:rsidRPr="005A2F90">
        <w:rPr>
          <w:bCs w:val="0"/>
          <w:color w:val="000000"/>
          <w:kern w:val="0"/>
        </w:rPr>
        <w:t>2</w:t>
      </w:r>
      <w:r w:rsidR="00C24B66" w:rsidRPr="005A2F90">
        <w:rPr>
          <w:bCs w:val="0"/>
          <w:color w:val="000000"/>
          <w:kern w:val="0"/>
        </w:rPr>
        <w:t>6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another decision of the Supreme Court of Appeal</w:t>
      </w:r>
      <w:r w:rsidR="002F76E4" w:rsidRPr="005A2F90">
        <w:rPr>
          <w:rStyle w:val="FootnoteReference"/>
          <w:rFonts w:cs="Arial"/>
          <w:bCs w:val="0"/>
          <w:color w:val="000000"/>
          <w:kern w:val="0"/>
        </w:rPr>
        <w:footnoteReference w:id="34"/>
      </w:r>
      <w:r w:rsidR="00875821" w:rsidRPr="005A2F90">
        <w:rPr>
          <w:bCs w:val="0"/>
          <w:color w:val="000000"/>
          <w:kern w:val="0"/>
        </w:rPr>
        <w:t>, the Court pronounced itself in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regard to the enquiry to be undertaken where it is found that the delay has been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unreasonable.</w:t>
      </w:r>
      <w:r w:rsidR="00C24B6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Court held as follows:</w:t>
      </w:r>
    </w:p>
    <w:p w:rsidR="00BD43E5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“Whether a delay is unreasonable is a factual issue that involves the making of</w:t>
      </w:r>
      <w:r w:rsidR="002F76E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 value judgment. Whether, in the event of the delay being found to be</w:t>
      </w:r>
      <w:r w:rsidR="002F76E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unreasonable, condonation should be granted involves a ‘factual, multi-factor</w:t>
      </w:r>
      <w:r w:rsidR="002F76E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and context-sensitive” enquiry in which a range of factors - the length of the</w:t>
      </w:r>
      <w:r w:rsidR="002F76E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delay, the reasons for it, the prejudice to the parties that it may cause, the</w:t>
      </w:r>
      <w:r w:rsidR="002F76E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fullness of the explanation, the prospects of success on the merits – are all</w:t>
      </w:r>
      <w:r w:rsidR="002F76E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considered and weighed before a discretion is </w:t>
      </w:r>
      <w:r w:rsidR="00BD43E5" w:rsidRPr="005A2F90">
        <w:rPr>
          <w:bCs w:val="0"/>
          <w:i/>
          <w:iCs/>
          <w:color w:val="000000"/>
          <w:kern w:val="0"/>
        </w:rPr>
        <w:t>exercised”</w:t>
      </w:r>
      <w:r w:rsidRPr="005A2F90">
        <w:rPr>
          <w:bCs w:val="0"/>
          <w:i/>
          <w:iCs/>
          <w:color w:val="000000"/>
          <w:kern w:val="0"/>
        </w:rPr>
        <w:t>.</w:t>
      </w:r>
      <w:r w:rsidR="00070786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35"/>
      </w:r>
    </w:p>
    <w:p w:rsidR="00985B35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BD43E5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BD43E5" w:rsidRPr="005A2F90">
        <w:rPr>
          <w:bCs w:val="0"/>
          <w:color w:val="000000"/>
          <w:kern w:val="0"/>
        </w:rPr>
        <w:t>2</w:t>
      </w:r>
      <w:r w:rsidR="00C24B66" w:rsidRPr="005A2F90">
        <w:rPr>
          <w:bCs w:val="0"/>
          <w:color w:val="000000"/>
          <w:kern w:val="0"/>
        </w:rPr>
        <w:t>7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</w:t>
      </w:r>
      <w:r w:rsidR="00C24B66" w:rsidRPr="005A2F90">
        <w:rPr>
          <w:bCs w:val="0"/>
          <w:color w:val="000000"/>
          <w:kern w:val="0"/>
        </w:rPr>
        <w:t>I am satisfied that t</w:t>
      </w:r>
      <w:r w:rsidR="00875821" w:rsidRPr="005A2F90">
        <w:rPr>
          <w:bCs w:val="0"/>
          <w:color w:val="000000"/>
          <w:kern w:val="0"/>
        </w:rPr>
        <w:t>he Applicant has taken this Honourable Court into its confidence in regard to the steps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it took once information came to light about possible irregularities in the award of funding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to the First Respondent in terms of the CCG</w:t>
      </w:r>
      <w:r w:rsidR="005B02F5" w:rsidRPr="005A2F90">
        <w:rPr>
          <w:bCs w:val="0"/>
          <w:color w:val="000000"/>
          <w:kern w:val="0"/>
        </w:rPr>
        <w:t>A</w:t>
      </w:r>
      <w:r w:rsidR="00875821" w:rsidRPr="005A2F90">
        <w:rPr>
          <w:bCs w:val="0"/>
          <w:color w:val="000000"/>
          <w:kern w:val="0"/>
        </w:rPr>
        <w:t>.</w:t>
      </w:r>
      <w:r w:rsidR="00C24B6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Furthermore, the Applicant has conducted itself in good faith in investigating the</w:t>
      </w:r>
      <w:r w:rsidR="00C24B6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irregularities, obtaining legal advice and instituting these proceedings for the review of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decisions and the subsequent acts.</w:t>
      </w:r>
      <w:r w:rsidR="00070786" w:rsidRPr="005A2F90">
        <w:rPr>
          <w:rStyle w:val="FootnoteReference"/>
          <w:rFonts w:cs="Arial"/>
          <w:bCs w:val="0"/>
          <w:color w:val="000000"/>
          <w:kern w:val="0"/>
        </w:rPr>
        <w:footnoteReference w:id="36"/>
      </w:r>
    </w:p>
    <w:p w:rsidR="00985B35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91242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C24B66" w:rsidRPr="005A2F90">
        <w:rPr>
          <w:bCs w:val="0"/>
          <w:color w:val="000000"/>
          <w:kern w:val="0"/>
        </w:rPr>
        <w:t>28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length of the delay and the reasons for it have been fully explained</w:t>
      </w:r>
      <w:r w:rsidR="00C24B66" w:rsidRPr="005A2F90">
        <w:rPr>
          <w:bCs w:val="0"/>
          <w:color w:val="000000"/>
          <w:kern w:val="0"/>
        </w:rPr>
        <w:t>.</w:t>
      </w:r>
      <w:r w:rsidR="00DB1929" w:rsidRPr="005A2F90">
        <w:rPr>
          <w:bCs w:val="0"/>
          <w:color w:val="000000"/>
          <w:kern w:val="0"/>
        </w:rPr>
        <w:t xml:space="preserve"> </w:t>
      </w:r>
      <w:r w:rsidR="00C24B66" w:rsidRPr="005A2F90">
        <w:rPr>
          <w:bCs w:val="0"/>
          <w:color w:val="000000"/>
          <w:kern w:val="0"/>
        </w:rPr>
        <w:t>T</w:t>
      </w:r>
      <w:r w:rsidR="00875821" w:rsidRPr="005A2F90">
        <w:rPr>
          <w:bCs w:val="0"/>
          <w:color w:val="000000"/>
          <w:kern w:val="0"/>
        </w:rPr>
        <w:t>his</w:t>
      </w:r>
      <w:r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Court further take</w:t>
      </w:r>
      <w:r w:rsidR="00DB1929" w:rsidRPr="005A2F90">
        <w:rPr>
          <w:bCs w:val="0"/>
          <w:color w:val="000000"/>
          <w:kern w:val="0"/>
        </w:rPr>
        <w:t xml:space="preserve">s </w:t>
      </w:r>
      <w:r w:rsidR="00875821" w:rsidRPr="005A2F90">
        <w:rPr>
          <w:bCs w:val="0"/>
          <w:color w:val="000000"/>
          <w:kern w:val="0"/>
        </w:rPr>
        <w:t>judicial notice of the incidence of the global</w:t>
      </w:r>
      <w:r w:rsidR="00DB192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Covid-19 pandemic which caused the President of the Republic to declare a national</w:t>
      </w:r>
      <w:r w:rsidR="00DB192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state of disaster in terms of the Disaster Management Act and the attendant practice</w:t>
      </w:r>
      <w:r w:rsidR="00DB192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directives issued by the Chief Justice which had placed a moratorium on the institution</w:t>
      </w:r>
      <w:r w:rsidR="0007078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of new applications for some time at the start of the second quarter of 2020.</w:t>
      </w:r>
    </w:p>
    <w:p w:rsidR="00985B35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591242" w:rsidRPr="005A2F90" w:rsidRDefault="00985B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B1929" w:rsidRPr="005A2F90">
        <w:rPr>
          <w:bCs w:val="0"/>
          <w:color w:val="000000"/>
          <w:kern w:val="0"/>
        </w:rPr>
        <w:t>29</w:t>
      </w:r>
      <w:r w:rsidRPr="005A2F90">
        <w:rPr>
          <w:bCs w:val="0"/>
          <w:color w:val="000000"/>
          <w:kern w:val="0"/>
        </w:rPr>
        <w:t>]</w:t>
      </w:r>
      <w:r w:rsidR="0059124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 xml:space="preserve">Department of Transport and Others v Tasima (Pty) Ltd </w:t>
      </w:r>
      <w:r w:rsidR="00875821" w:rsidRPr="005A2F90">
        <w:rPr>
          <w:bCs w:val="0"/>
          <w:color w:val="000000"/>
          <w:kern w:val="0"/>
        </w:rPr>
        <w:t>(“Tasima I”)</w:t>
      </w:r>
      <w:r w:rsidR="00070786" w:rsidRPr="005A2F90">
        <w:rPr>
          <w:rStyle w:val="FootnoteReference"/>
          <w:rFonts w:cs="Arial"/>
          <w:bCs w:val="0"/>
          <w:color w:val="000000"/>
          <w:kern w:val="0"/>
        </w:rPr>
        <w:footnoteReference w:id="37"/>
      </w:r>
      <w:r w:rsidR="002F3D1D" w:rsidRPr="005A2F90">
        <w:rPr>
          <w:bCs w:val="0"/>
          <w:color w:val="000000"/>
          <w:kern w:val="0"/>
        </w:rPr>
        <w:t xml:space="preserve">, the </w:t>
      </w:r>
      <w:r w:rsidR="00875821" w:rsidRPr="005A2F90">
        <w:rPr>
          <w:bCs w:val="0"/>
          <w:color w:val="000000"/>
          <w:kern w:val="0"/>
        </w:rPr>
        <w:t>Constitutional Court has held that in determining the interrelationship between the delay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and the prejudice to be suffered by the parties, it is also a factor to be borne in mind that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where prejudice is found to exist, the courts may rely on their powers in terms of section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172(1)(b) to ameliorate the prejudice.</w:t>
      </w:r>
      <w:r w:rsidR="009741B8" w:rsidRPr="005A2F90">
        <w:rPr>
          <w:bCs w:val="0"/>
          <w:color w:val="000000"/>
          <w:kern w:val="0"/>
        </w:rPr>
        <w:t xml:space="preserve"> </w:t>
      </w:r>
    </w:p>
    <w:p w:rsidR="002F3D1D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91242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591242" w:rsidRPr="005A2F90">
        <w:rPr>
          <w:bCs w:val="0"/>
          <w:color w:val="000000"/>
          <w:kern w:val="0"/>
        </w:rPr>
        <w:t>3</w:t>
      </w:r>
      <w:r w:rsidR="00DB1929" w:rsidRPr="005A2F90">
        <w:rPr>
          <w:bCs w:val="0"/>
          <w:color w:val="000000"/>
          <w:kern w:val="0"/>
        </w:rPr>
        <w:t>0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>Buffalo City</w:t>
      </w:r>
      <w:r w:rsidR="00D419B5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38"/>
      </w:r>
      <w:r w:rsidR="00875821" w:rsidRPr="005A2F90">
        <w:rPr>
          <w:bCs w:val="0"/>
          <w:color w:val="000000"/>
          <w:kern w:val="0"/>
        </w:rPr>
        <w:t>, it was held that the nature of the i</w:t>
      </w:r>
      <w:r w:rsidRPr="005A2F90">
        <w:rPr>
          <w:bCs w:val="0"/>
          <w:color w:val="000000"/>
          <w:kern w:val="0"/>
        </w:rPr>
        <w:t xml:space="preserve">mpugned decision is relevant to </w:t>
      </w:r>
      <w:r w:rsidR="00875821" w:rsidRPr="005A2F90">
        <w:rPr>
          <w:bCs w:val="0"/>
          <w:color w:val="000000"/>
          <w:kern w:val="0"/>
        </w:rPr>
        <w:t>the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decision to overlook the delay and that this requires a consideration of the merits of the</w:t>
      </w:r>
      <w:r w:rsidR="002F76E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legal challenge against the decision.</w:t>
      </w:r>
    </w:p>
    <w:p w:rsidR="002F3D1D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91242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591242" w:rsidRPr="005A2F90">
        <w:rPr>
          <w:bCs w:val="0"/>
          <w:color w:val="000000"/>
          <w:kern w:val="0"/>
        </w:rPr>
        <w:t>3</w:t>
      </w:r>
      <w:r w:rsidR="009741B8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>Gijima</w:t>
      </w:r>
      <w:r w:rsidR="00875821" w:rsidRPr="005A2F90">
        <w:rPr>
          <w:bCs w:val="0"/>
          <w:color w:val="000000"/>
          <w:kern w:val="0"/>
        </w:rPr>
        <w:t>,</w:t>
      </w:r>
      <w:r w:rsidR="00D419B5" w:rsidRPr="005A2F90">
        <w:rPr>
          <w:rStyle w:val="FootnoteReference"/>
          <w:rFonts w:cs="Arial"/>
          <w:bCs w:val="0"/>
          <w:color w:val="000000"/>
          <w:kern w:val="0"/>
        </w:rPr>
        <w:footnoteReference w:id="39"/>
      </w:r>
      <w:r w:rsidR="00875821" w:rsidRPr="005A2F90">
        <w:rPr>
          <w:bCs w:val="0"/>
          <w:color w:val="000000"/>
          <w:kern w:val="0"/>
        </w:rPr>
        <w:t xml:space="preserve"> it was held that that where the unlawfulness of the impugned decision is</w:t>
      </w:r>
      <w:r w:rsidR="0007078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clear and undisputed, the impugned decision must be set aside. In other words, even</w:t>
      </w:r>
      <w:r w:rsidR="0007078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where there might be no basis for a court to overlook the delay, a court may</w:t>
      </w:r>
      <w:r w:rsidR="00D41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nevertheless be compelled to declare the impugned decision unlawful because section</w:t>
      </w:r>
      <w:r w:rsidR="0007078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172(1)(a) of the Constitution enjoins a court to declare </w:t>
      </w:r>
      <w:r w:rsidRPr="005A2F90">
        <w:rPr>
          <w:bCs w:val="0"/>
          <w:color w:val="000000"/>
          <w:kern w:val="0"/>
        </w:rPr>
        <w:t xml:space="preserve">invalid any law or conduct that </w:t>
      </w:r>
      <w:r w:rsidR="00875821" w:rsidRPr="005A2F90">
        <w:rPr>
          <w:bCs w:val="0"/>
          <w:color w:val="000000"/>
          <w:kern w:val="0"/>
        </w:rPr>
        <w:t>it</w:t>
      </w:r>
      <w:r w:rsidR="0007078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finds to be inconsistent with the Constitution.</w:t>
      </w:r>
    </w:p>
    <w:p w:rsidR="002F3D1D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D810D9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B32EC5" w:rsidRPr="005A2F90">
        <w:rPr>
          <w:bCs w:val="0"/>
          <w:color w:val="000000"/>
          <w:kern w:val="0"/>
        </w:rPr>
        <w:t>3</w:t>
      </w:r>
      <w:r w:rsidR="009741B8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It is </w:t>
      </w:r>
      <w:r w:rsidR="009A4E08" w:rsidRPr="005A2F90">
        <w:rPr>
          <w:bCs w:val="0"/>
          <w:color w:val="000000"/>
          <w:kern w:val="0"/>
        </w:rPr>
        <w:t xml:space="preserve">my view that </w:t>
      </w:r>
      <w:r w:rsidR="00875821" w:rsidRPr="005A2F90">
        <w:rPr>
          <w:bCs w:val="0"/>
          <w:color w:val="000000"/>
          <w:kern w:val="0"/>
        </w:rPr>
        <w:t>that there was no unreasonable or undue delay in the institution of</w:t>
      </w:r>
      <w:r w:rsidR="00D41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these proceedings in view of the full explanation proffered and the reasons for the delay</w:t>
      </w:r>
      <w:r w:rsidR="00DB371E" w:rsidRPr="005A2F90">
        <w:rPr>
          <w:bCs w:val="0"/>
          <w:color w:val="000000"/>
          <w:kern w:val="0"/>
        </w:rPr>
        <w:t>.</w:t>
      </w:r>
    </w:p>
    <w:p w:rsidR="009A4E08" w:rsidRPr="005A2F90" w:rsidRDefault="009A4E08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DISPUTE RESOLUTION CLAUSE</w:t>
      </w:r>
    </w:p>
    <w:p w:rsidR="002F3D1D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2E5D67" w:rsidRPr="005A2F90" w:rsidRDefault="002F3D1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9421B4" w:rsidRPr="005A2F90">
        <w:rPr>
          <w:bCs w:val="0"/>
          <w:color w:val="000000"/>
          <w:kern w:val="0"/>
        </w:rPr>
        <w:t>3</w:t>
      </w:r>
      <w:r w:rsidR="009741B8" w:rsidRPr="005A2F90">
        <w:rPr>
          <w:bCs w:val="0"/>
          <w:color w:val="000000"/>
          <w:kern w:val="0"/>
        </w:rPr>
        <w:t>3</w:t>
      </w:r>
      <w:r w:rsidRPr="005A2F90">
        <w:rPr>
          <w:bCs w:val="0"/>
          <w:color w:val="000000"/>
          <w:kern w:val="0"/>
        </w:rPr>
        <w:t xml:space="preserve">] </w:t>
      </w:r>
      <w:r w:rsidR="00875821" w:rsidRPr="005A2F90">
        <w:rPr>
          <w:bCs w:val="0"/>
          <w:color w:val="000000"/>
          <w:kern w:val="0"/>
        </w:rPr>
        <w:t>The First Respondent, in its application for grant funding from the Applicant, concealed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or failed to disclose that it was not in a position to ensure compliance with the provisions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of the regulations and misrepresented that it held rights to land albeit the sub-lease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agreement was not concluded with an entity within the public sector but the Second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 who is a private party.</w:t>
      </w:r>
      <w:r w:rsidR="006228F8" w:rsidRPr="005A2F90">
        <w:rPr>
          <w:rStyle w:val="FootnoteReference"/>
          <w:rFonts w:cs="Arial"/>
          <w:bCs w:val="0"/>
          <w:color w:val="000000"/>
          <w:kern w:val="0"/>
        </w:rPr>
        <w:footnoteReference w:id="40"/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2E5D67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B371E" w:rsidRPr="005A2F90">
        <w:rPr>
          <w:bCs w:val="0"/>
          <w:color w:val="000000"/>
          <w:kern w:val="0"/>
        </w:rPr>
        <w:t>3</w:t>
      </w:r>
      <w:r w:rsidR="00884F04" w:rsidRPr="005A2F90">
        <w:rPr>
          <w:bCs w:val="0"/>
          <w:color w:val="000000"/>
          <w:kern w:val="0"/>
        </w:rPr>
        <w:t>4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Supreme Court of Appeal has had occasion to revisit the principles which find</w:t>
      </w:r>
      <w:r w:rsidR="009421B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application in respect of the survival of a dispute resolution clause where the conclusion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of the agreement was induced by fraudulent misrepresentation.</w:t>
      </w:r>
      <w:r w:rsidR="006228F8" w:rsidRPr="005A2F90">
        <w:rPr>
          <w:rStyle w:val="FootnoteReference"/>
          <w:rFonts w:cs="Arial"/>
          <w:bCs w:val="0"/>
          <w:color w:val="000000"/>
          <w:kern w:val="0"/>
        </w:rPr>
        <w:footnoteReference w:id="41"/>
      </w:r>
      <w:r w:rsidR="009421B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Court held that a dispute resolution clause does not survive termination of contract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induced by fraud.</w:t>
      </w:r>
      <w:r w:rsidR="007D18F6" w:rsidRPr="005A2F90">
        <w:rPr>
          <w:rStyle w:val="FootnoteReference"/>
          <w:rFonts w:cs="Arial"/>
          <w:bCs w:val="0"/>
          <w:color w:val="000000"/>
          <w:kern w:val="0"/>
        </w:rPr>
        <w:footnoteReference w:id="42"/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B04F87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B371E" w:rsidRPr="005A2F90">
        <w:rPr>
          <w:bCs w:val="0"/>
          <w:color w:val="000000"/>
          <w:kern w:val="0"/>
        </w:rPr>
        <w:t>3</w:t>
      </w:r>
      <w:r w:rsidR="00884F04" w:rsidRPr="005A2F90">
        <w:rPr>
          <w:bCs w:val="0"/>
          <w:color w:val="000000"/>
          <w:kern w:val="0"/>
        </w:rPr>
        <w:t>5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>North East Finance</w:t>
      </w:r>
      <w:r w:rsidR="007D18F6" w:rsidRPr="005A2F90">
        <w:rPr>
          <w:rStyle w:val="FootnoteReference"/>
          <w:rFonts w:cs="Arial"/>
          <w:bCs w:val="0"/>
          <w:iCs/>
          <w:color w:val="000000"/>
          <w:kern w:val="0"/>
        </w:rPr>
        <w:footnoteReference w:id="43"/>
      </w:r>
      <w:r w:rsidR="00875821" w:rsidRPr="005A2F90">
        <w:rPr>
          <w:bCs w:val="0"/>
          <w:color w:val="000000"/>
          <w:kern w:val="0"/>
        </w:rPr>
        <w:t>, the Court held that a dispute resolution clause could not survive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the face of allegations of fraud by one party, even though it expressly included the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referral to alternative dispute resolution any question as to the enforceability of the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contract in question.</w:t>
      </w:r>
      <w:r w:rsidR="007D18F6" w:rsidRPr="005A2F90">
        <w:rPr>
          <w:rStyle w:val="FootnoteReference"/>
          <w:rFonts w:cs="Arial"/>
          <w:bCs w:val="0"/>
          <w:color w:val="000000"/>
          <w:kern w:val="0"/>
        </w:rPr>
        <w:footnoteReference w:id="44"/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9421B4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B371E" w:rsidRPr="005A2F90">
        <w:rPr>
          <w:bCs w:val="0"/>
          <w:color w:val="000000"/>
          <w:kern w:val="0"/>
        </w:rPr>
        <w:t>3</w:t>
      </w:r>
      <w:r w:rsidR="00884F04" w:rsidRPr="005A2F90">
        <w:rPr>
          <w:bCs w:val="0"/>
          <w:color w:val="000000"/>
          <w:kern w:val="0"/>
        </w:rPr>
        <w:t>6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>Bowditch</w:t>
      </w:r>
      <w:r w:rsidR="003E2432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45"/>
      </w:r>
      <w:r w:rsidR="00875821" w:rsidRPr="005A2F90">
        <w:rPr>
          <w:bCs w:val="0"/>
          <w:color w:val="000000"/>
          <w:kern w:val="0"/>
        </w:rPr>
        <w:t>, it was held that a person who has been induced to contract by the</w:t>
      </w:r>
      <w:r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material and fraudulent misrepresentation of the othe</w:t>
      </w:r>
      <w:r w:rsidRPr="005A2F90">
        <w:rPr>
          <w:bCs w:val="0"/>
          <w:color w:val="000000"/>
          <w:kern w:val="0"/>
        </w:rPr>
        <w:t xml:space="preserve">r party may either stand by the </w:t>
      </w:r>
      <w:r w:rsidR="00875821" w:rsidRPr="005A2F90">
        <w:rPr>
          <w:bCs w:val="0"/>
          <w:color w:val="000000"/>
          <w:kern w:val="0"/>
        </w:rPr>
        <w:t>contract or claim a rescission thereof.</w:t>
      </w:r>
      <w:r w:rsidR="00251BC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In </w:t>
      </w:r>
      <w:r w:rsidR="00875821" w:rsidRPr="005A2F90">
        <w:rPr>
          <w:bCs w:val="0"/>
          <w:i/>
          <w:iCs/>
          <w:color w:val="000000"/>
          <w:kern w:val="0"/>
        </w:rPr>
        <w:t>Scriven Bros</w:t>
      </w:r>
      <w:r w:rsidR="003E2432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46"/>
      </w:r>
      <w:r w:rsidRPr="005A2F90">
        <w:rPr>
          <w:bCs w:val="0"/>
          <w:color w:val="000000"/>
          <w:kern w:val="0"/>
        </w:rPr>
        <w:t xml:space="preserve">, it was suggested that where </w:t>
      </w:r>
      <w:r w:rsidR="00875821" w:rsidRPr="005A2F90">
        <w:rPr>
          <w:bCs w:val="0"/>
          <w:color w:val="000000"/>
          <w:kern w:val="0"/>
        </w:rPr>
        <w:t>the dispute between the parties is as to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whether </w:t>
      </w:r>
      <w:r w:rsidRPr="005A2F90">
        <w:rPr>
          <w:bCs w:val="0"/>
          <w:color w:val="000000"/>
          <w:kern w:val="0"/>
        </w:rPr>
        <w:t xml:space="preserve">the contract which contains the </w:t>
      </w:r>
      <w:r w:rsidR="00875821" w:rsidRPr="005A2F90">
        <w:rPr>
          <w:bCs w:val="0"/>
          <w:color w:val="000000"/>
          <w:kern w:val="0"/>
        </w:rPr>
        <w:t>dispute resolution clause has ever been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entered into at all, that </w:t>
      </w:r>
      <w:r w:rsidRPr="005A2F90">
        <w:rPr>
          <w:bCs w:val="0"/>
          <w:color w:val="000000"/>
          <w:kern w:val="0"/>
        </w:rPr>
        <w:t xml:space="preserve">issue cannot be subject </w:t>
      </w:r>
      <w:r w:rsidR="00875821" w:rsidRPr="005A2F90">
        <w:rPr>
          <w:bCs w:val="0"/>
          <w:color w:val="000000"/>
          <w:kern w:val="0"/>
        </w:rPr>
        <w:t>to the dispute resolution clause.</w:t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iCs/>
          <w:color w:val="000000"/>
          <w:kern w:val="0"/>
        </w:rPr>
      </w:pPr>
    </w:p>
    <w:p w:rsidR="00522E04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iCs/>
          <w:color w:val="000000"/>
          <w:kern w:val="0"/>
        </w:rPr>
        <w:t>[</w:t>
      </w:r>
      <w:r w:rsidR="00884F04" w:rsidRPr="005A2F90">
        <w:rPr>
          <w:bCs w:val="0"/>
          <w:iCs/>
          <w:color w:val="000000"/>
          <w:kern w:val="0"/>
        </w:rPr>
        <w:t>37</w:t>
      </w:r>
      <w:r w:rsidRPr="005A2F90">
        <w:rPr>
          <w:bCs w:val="0"/>
          <w:iCs/>
          <w:color w:val="000000"/>
          <w:kern w:val="0"/>
        </w:rPr>
        <w:t>]</w:t>
      </w:r>
      <w:r w:rsidR="00DB371E" w:rsidRPr="005A2F90">
        <w:rPr>
          <w:bCs w:val="0"/>
          <w:iCs/>
          <w:color w:val="000000"/>
          <w:kern w:val="0"/>
        </w:rPr>
        <w:t xml:space="preserve"> Therefore</w:t>
      </w:r>
      <w:r w:rsidR="005E0513" w:rsidRPr="005A2F90">
        <w:rPr>
          <w:bCs w:val="0"/>
          <w:iCs/>
          <w:color w:val="000000"/>
          <w:kern w:val="0"/>
        </w:rPr>
        <w:t xml:space="preserve"> it is my view that </w:t>
      </w:r>
      <w:r w:rsidR="005E0513" w:rsidRPr="005A2F90">
        <w:rPr>
          <w:bCs w:val="0"/>
          <w:i/>
          <w:iCs/>
          <w:color w:val="000000"/>
          <w:kern w:val="0"/>
        </w:rPr>
        <w:t>in casu</w:t>
      </w:r>
      <w:r w:rsidR="00DB371E" w:rsidRPr="005A2F90">
        <w:rPr>
          <w:bCs w:val="0"/>
          <w:i/>
          <w:iCs/>
          <w:color w:val="000000"/>
          <w:kern w:val="0"/>
        </w:rPr>
        <w:t>,</w:t>
      </w:r>
      <w:r w:rsidR="005E0513" w:rsidRPr="005A2F90">
        <w:rPr>
          <w:bCs w:val="0"/>
          <w:iCs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dispute res</w:t>
      </w:r>
      <w:r w:rsidRPr="005A2F90">
        <w:rPr>
          <w:bCs w:val="0"/>
          <w:color w:val="000000"/>
          <w:kern w:val="0"/>
        </w:rPr>
        <w:t xml:space="preserve">olution clause contained in the </w:t>
      </w:r>
      <w:r w:rsidR="00875821" w:rsidRPr="005A2F90">
        <w:rPr>
          <w:bCs w:val="0"/>
          <w:color w:val="000000"/>
          <w:kern w:val="0"/>
        </w:rPr>
        <w:t xml:space="preserve">CCGA does not avail </w:t>
      </w:r>
      <w:r w:rsidR="00177E6D" w:rsidRPr="005A2F90">
        <w:rPr>
          <w:bCs w:val="0"/>
          <w:color w:val="000000"/>
          <w:kern w:val="0"/>
        </w:rPr>
        <w:t xml:space="preserve">to </w:t>
      </w:r>
      <w:r w:rsidR="00875821" w:rsidRPr="005A2F90">
        <w:rPr>
          <w:bCs w:val="0"/>
          <w:color w:val="000000"/>
          <w:kern w:val="0"/>
        </w:rPr>
        <w:t>the First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 in this a</w:t>
      </w:r>
      <w:r w:rsidRPr="005A2F90">
        <w:rPr>
          <w:bCs w:val="0"/>
          <w:color w:val="000000"/>
          <w:kern w:val="0"/>
        </w:rPr>
        <w:t xml:space="preserve">pplication because the approval </w:t>
      </w:r>
      <w:r w:rsidR="00875821" w:rsidRPr="005A2F90">
        <w:rPr>
          <w:bCs w:val="0"/>
          <w:color w:val="000000"/>
          <w:kern w:val="0"/>
        </w:rPr>
        <w:t>of the grant funding and the</w:t>
      </w:r>
      <w:r w:rsidR="006228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conclusion of the CCGA, were induced by fraud.</w:t>
      </w:r>
      <w:r w:rsidR="009421B4" w:rsidRPr="005A2F90">
        <w:rPr>
          <w:bCs w:val="0"/>
          <w:color w:val="000000"/>
          <w:kern w:val="0"/>
        </w:rPr>
        <w:t xml:space="preserve"> </w:t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9421B4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884F04" w:rsidRPr="005A2F90">
        <w:rPr>
          <w:bCs w:val="0"/>
          <w:color w:val="000000"/>
          <w:kern w:val="0"/>
        </w:rPr>
        <w:t>38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/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Furthermore, it would not be sufficient for the App</w:t>
      </w:r>
      <w:r w:rsidRPr="005A2F90">
        <w:rPr>
          <w:bCs w:val="0"/>
          <w:color w:val="000000"/>
          <w:kern w:val="0"/>
        </w:rPr>
        <w:t xml:space="preserve">licant to content itself with a </w:t>
      </w:r>
      <w:r w:rsidR="00875821" w:rsidRPr="005A2F90">
        <w:rPr>
          <w:bCs w:val="0"/>
          <w:color w:val="000000"/>
          <w:kern w:val="0"/>
        </w:rPr>
        <w:t>termination of the CCGA when in its conclusion thereof, there was an exercise of public</w:t>
      </w:r>
      <w:r w:rsidR="003E243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power without the consideration of all the facts before it and outside the powers</w:t>
      </w:r>
      <w:r w:rsidR="003E243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conferred on it.</w:t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B2067B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884F04" w:rsidRPr="005A2F90">
        <w:rPr>
          <w:bCs w:val="0"/>
          <w:color w:val="000000"/>
          <w:kern w:val="0"/>
        </w:rPr>
        <w:t>39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>Khumalo</w:t>
      </w:r>
      <w:r w:rsidR="003E2432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47"/>
      </w:r>
      <w:r w:rsidR="00875821" w:rsidRPr="005A2F90">
        <w:rPr>
          <w:bCs w:val="0"/>
          <w:color w:val="000000"/>
          <w:kern w:val="0"/>
        </w:rPr>
        <w:t>, it was held that state functionaries are en</w:t>
      </w:r>
      <w:r w:rsidRPr="005A2F90">
        <w:rPr>
          <w:bCs w:val="0"/>
          <w:color w:val="000000"/>
          <w:kern w:val="0"/>
        </w:rPr>
        <w:t xml:space="preserve">joined to uphold and </w:t>
      </w:r>
      <w:r w:rsidR="00875821" w:rsidRPr="005A2F90">
        <w:rPr>
          <w:bCs w:val="0"/>
          <w:color w:val="000000"/>
          <w:kern w:val="0"/>
        </w:rPr>
        <w:t>protect the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rule of law through seeking the redress of t</w:t>
      </w:r>
      <w:r w:rsidRPr="005A2F90">
        <w:rPr>
          <w:bCs w:val="0"/>
          <w:color w:val="000000"/>
          <w:kern w:val="0"/>
        </w:rPr>
        <w:t xml:space="preserve">heir unlawful decisions because </w:t>
      </w:r>
      <w:r w:rsidR="00875821" w:rsidRPr="005A2F90">
        <w:rPr>
          <w:bCs w:val="0"/>
          <w:color w:val="000000"/>
          <w:kern w:val="0"/>
        </w:rPr>
        <w:t>it is the duty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of a state functionary to rectify unlawfulness.</w:t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B04F87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7979E4" w:rsidRPr="005A2F90">
        <w:rPr>
          <w:bCs w:val="0"/>
          <w:color w:val="000000"/>
          <w:kern w:val="0"/>
        </w:rPr>
        <w:t>4</w:t>
      </w:r>
      <w:r w:rsidR="00884F04" w:rsidRPr="005A2F90">
        <w:rPr>
          <w:bCs w:val="0"/>
          <w:color w:val="000000"/>
          <w:kern w:val="0"/>
        </w:rPr>
        <w:t>0</w:t>
      </w:r>
      <w:r w:rsidRPr="005A2F90">
        <w:rPr>
          <w:bCs w:val="0"/>
          <w:color w:val="000000"/>
          <w:kern w:val="0"/>
        </w:rPr>
        <w:t>]</w:t>
      </w:r>
      <w:r w:rsidR="00BA31CC" w:rsidRPr="005A2F90">
        <w:rPr>
          <w:bCs w:val="0"/>
          <w:color w:val="000000"/>
          <w:kern w:val="0"/>
        </w:rPr>
        <w:t xml:space="preserve"> Therefore</w:t>
      </w:r>
      <w:r w:rsidR="00875821" w:rsidRPr="005A2F90">
        <w:rPr>
          <w:bCs w:val="0"/>
          <w:color w:val="000000"/>
          <w:kern w:val="0"/>
        </w:rPr>
        <w:t xml:space="preserve"> it would not have been sufficient for the Applicant to terminate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CCGA. It had to seek the review and set aside of its unlawful decisions, as it has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done.</w:t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3E2432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7979E4" w:rsidRPr="005A2F90">
        <w:rPr>
          <w:bCs w:val="0"/>
          <w:color w:val="000000"/>
          <w:kern w:val="0"/>
        </w:rPr>
        <w:t>4</w:t>
      </w:r>
      <w:r w:rsidR="00884F04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]</w:t>
      </w:r>
      <w:r w:rsidR="00234409" w:rsidRPr="005A2F90">
        <w:rPr>
          <w:bCs w:val="0"/>
          <w:color w:val="000000"/>
          <w:kern w:val="0"/>
        </w:rPr>
        <w:t xml:space="preserve"> It is my view that</w:t>
      </w:r>
      <w:r w:rsidR="00234409" w:rsidRPr="005A2F90">
        <w:rPr>
          <w:b/>
          <w:bCs w:val="0"/>
          <w:color w:val="000000"/>
          <w:kern w:val="0"/>
        </w:rPr>
        <w:t xml:space="preserve"> </w:t>
      </w:r>
      <w:r w:rsidR="00234409" w:rsidRPr="005A2F90">
        <w:rPr>
          <w:bCs w:val="0"/>
          <w:color w:val="000000"/>
          <w:kern w:val="0"/>
        </w:rPr>
        <w:t>i</w:t>
      </w:r>
      <w:r w:rsidR="00BA31CC" w:rsidRPr="005A2F90">
        <w:rPr>
          <w:bCs w:val="0"/>
          <w:color w:val="000000"/>
          <w:kern w:val="0"/>
        </w:rPr>
        <w:t>n</w:t>
      </w:r>
      <w:r w:rsidR="00875821" w:rsidRPr="005A2F90">
        <w:rPr>
          <w:bCs w:val="0"/>
          <w:color w:val="000000"/>
          <w:kern w:val="0"/>
        </w:rPr>
        <w:t xml:space="preserve"> self-review, an applicant is not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required to first terminate the contract forming part of the impugned decision, where it</w:t>
      </w:r>
      <w:r w:rsidR="007D18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was induced by fraud, in order for the dispute resolution clause contained therein not to</w:t>
      </w:r>
      <w:r w:rsidR="003E243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operate against it because the dispute between the parties is as to whether the contract</w:t>
      </w:r>
      <w:r w:rsidR="003E243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which contains the dispute resolution clause has ever been entered into.</w:t>
      </w:r>
    </w:p>
    <w:p w:rsidR="00B04F87" w:rsidRPr="005A2F90" w:rsidRDefault="00B04F87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AUTHORITY OF THE DEPONENT TO INSTITUTE PROCEEDINGS ON BEHALF OF THE</w:t>
      </w:r>
      <w:r w:rsidR="00B2067B" w:rsidRPr="005A2F90">
        <w:rPr>
          <w:b/>
          <w:color w:val="000000"/>
          <w:kern w:val="0"/>
        </w:rPr>
        <w:t xml:space="preserve"> </w:t>
      </w:r>
      <w:r w:rsidRPr="005A2F90">
        <w:rPr>
          <w:b/>
          <w:color w:val="000000"/>
          <w:kern w:val="0"/>
        </w:rPr>
        <w:t>SHRA</w:t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004713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831089" w:rsidRPr="005A2F90">
        <w:rPr>
          <w:bCs w:val="0"/>
          <w:color w:val="000000"/>
          <w:kern w:val="0"/>
        </w:rPr>
        <w:t>4</w:t>
      </w:r>
      <w:r w:rsidR="00884F04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>]</w:t>
      </w:r>
      <w:r w:rsidRPr="005A2F90">
        <w:rPr>
          <w:b/>
          <w:bCs w:val="0"/>
          <w:color w:val="000000"/>
          <w:kern w:val="0"/>
        </w:rPr>
        <w:t xml:space="preserve"> </w:t>
      </w:r>
      <w:r w:rsidR="00EE490B" w:rsidRPr="005A2F90">
        <w:rPr>
          <w:bCs w:val="0"/>
          <w:color w:val="000000"/>
          <w:kern w:val="0"/>
        </w:rPr>
        <w:t>The Respondents allege</w:t>
      </w:r>
      <w:r w:rsidR="00EE490B" w:rsidRPr="005A2F90">
        <w:rPr>
          <w:b/>
          <w:bCs w:val="0"/>
          <w:color w:val="000000"/>
          <w:kern w:val="0"/>
        </w:rPr>
        <w:t xml:space="preserve"> </w:t>
      </w:r>
      <w:r w:rsidR="00EE490B" w:rsidRPr="005A2F90">
        <w:rPr>
          <w:bCs w:val="0"/>
          <w:color w:val="000000"/>
          <w:kern w:val="0"/>
        </w:rPr>
        <w:t>that</w:t>
      </w:r>
      <w:r w:rsidR="00EE490B" w:rsidRPr="005A2F90">
        <w:rPr>
          <w:b/>
          <w:bCs w:val="0"/>
          <w:color w:val="000000"/>
          <w:kern w:val="0"/>
        </w:rPr>
        <w:t xml:space="preserve"> </w:t>
      </w:r>
      <w:r w:rsidR="00004713" w:rsidRPr="005A2F90">
        <w:rPr>
          <w:bCs w:val="0"/>
          <w:color w:val="000000"/>
          <w:kern w:val="0"/>
        </w:rPr>
        <w:t>Mr Gallocher states that he is duly authorised to represent the Applicant in the application by virtue of his position. He provides no Council resolution to this effect.</w:t>
      </w:r>
      <w:r w:rsidR="00EE490B" w:rsidRPr="005A2F90">
        <w:rPr>
          <w:rStyle w:val="FootnoteReference"/>
          <w:rFonts w:cs="Arial"/>
          <w:bCs w:val="0"/>
          <w:color w:val="000000"/>
          <w:kern w:val="0"/>
        </w:rPr>
        <w:footnoteReference w:id="48"/>
      </w:r>
      <w:r w:rsidR="00004713" w:rsidRPr="005A2F90">
        <w:rPr>
          <w:bCs w:val="0"/>
          <w:color w:val="000000"/>
          <w:kern w:val="0"/>
        </w:rPr>
        <w:t xml:space="preserve"> </w:t>
      </w:r>
    </w:p>
    <w:p w:rsidR="00EE490B" w:rsidRPr="005A2F90" w:rsidRDefault="00EE490B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 xml:space="preserve">LEGAL PRINCIPLES </w:t>
      </w:r>
    </w:p>
    <w:p w:rsidR="00843E8D" w:rsidRPr="005A2F90" w:rsidRDefault="00843E8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6A07B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831089" w:rsidRPr="005A2F90">
        <w:rPr>
          <w:bCs w:val="0"/>
          <w:color w:val="000000"/>
          <w:kern w:val="0"/>
        </w:rPr>
        <w:t>4</w:t>
      </w:r>
      <w:r w:rsidR="00EE490B" w:rsidRPr="005A2F90">
        <w:rPr>
          <w:bCs w:val="0"/>
          <w:color w:val="000000"/>
          <w:kern w:val="0"/>
        </w:rPr>
        <w:t>3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Rule 7 of the Uniform Rules of Court provides that: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“7 Power of Attorney</w:t>
      </w:r>
    </w:p>
    <w:p w:rsidR="0045575D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(1) Subject to the provisions of subrules (2) and (3) a power of attorney to act</w:t>
      </w:r>
      <w:r w:rsidR="00810B9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need not be filed, but the authority of anyone acting on behalf of a party may,</w:t>
      </w:r>
      <w:r w:rsidR="00810B9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within 10 days after it has come to the notice of a party that such person is</w:t>
      </w:r>
      <w:r w:rsidR="00810B9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so acting, or with the leave of the court on good cause shown at any time</w:t>
      </w:r>
      <w:r w:rsidR="00810B9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before judgment, be disputed, </w:t>
      </w:r>
      <w:r w:rsidR="006A07B4" w:rsidRPr="005A2F90">
        <w:rPr>
          <w:bCs w:val="0"/>
          <w:i/>
          <w:iCs/>
          <w:color w:val="000000"/>
          <w:kern w:val="0"/>
        </w:rPr>
        <w:t>where after</w:t>
      </w:r>
      <w:r w:rsidRPr="005A2F90">
        <w:rPr>
          <w:bCs w:val="0"/>
          <w:i/>
          <w:iCs/>
          <w:color w:val="000000"/>
          <w:kern w:val="0"/>
        </w:rPr>
        <w:t xml:space="preserve"> such person may no longer act</w:t>
      </w:r>
      <w:r w:rsidR="00810B9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unless he satisfied the court that he is authorised so to act, and to enable</w:t>
      </w:r>
      <w:r w:rsidR="00810B9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him to do so the court may postpone the hearing of the action or application.”</w:t>
      </w:r>
    </w:p>
    <w:p w:rsidR="006A07B4" w:rsidRPr="005A2F90" w:rsidRDefault="006A07B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45575D" w:rsidRPr="005A2F90" w:rsidRDefault="003C4D6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9F364D" w:rsidRPr="005A2F90">
        <w:rPr>
          <w:bCs w:val="0"/>
          <w:color w:val="000000"/>
          <w:kern w:val="0"/>
        </w:rPr>
        <w:t>4</w:t>
      </w:r>
      <w:r w:rsidR="00EE490B" w:rsidRPr="005A2F90">
        <w:rPr>
          <w:bCs w:val="0"/>
          <w:color w:val="000000"/>
          <w:kern w:val="0"/>
        </w:rPr>
        <w:t>4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It is accepted as law that Rule 7 is the appropriate remedy to utilise when authority is</w:t>
      </w:r>
      <w:r w:rsidR="00810B9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challenged by a party. Rule 7(1) is the procedure a party may follow if it disputes the</w:t>
      </w:r>
      <w:r w:rsidR="00810B9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authority of anyone to act on behalf of a party.</w:t>
      </w:r>
      <w:r w:rsidR="00ED636F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It is also the law that Rule 7(1) query </w:t>
      </w:r>
      <w:r w:rsidR="00875821" w:rsidRPr="005A2F90">
        <w:rPr>
          <w:iCs/>
          <w:color w:val="000000"/>
          <w:kern w:val="0"/>
        </w:rPr>
        <w:t>can be invoked at any time before</w:t>
      </w:r>
      <w:r w:rsidR="00875821" w:rsidRPr="005A2F90">
        <w:rPr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judgment.</w:t>
      </w:r>
      <w:r w:rsidR="00B309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Applicant</w:t>
      </w:r>
      <w:r w:rsidR="00ED636F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invoked it before the review application could heard.</w:t>
      </w:r>
    </w:p>
    <w:p w:rsidR="003C4D65" w:rsidRPr="005A2F90" w:rsidRDefault="003C4D6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EE490B" w:rsidRPr="005A2F90" w:rsidRDefault="003C4D6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9F364D" w:rsidRPr="005A2F90">
        <w:rPr>
          <w:bCs w:val="0"/>
          <w:color w:val="000000"/>
          <w:kern w:val="0"/>
        </w:rPr>
        <w:t>4</w:t>
      </w:r>
      <w:r w:rsidR="00EE490B" w:rsidRPr="005A2F90">
        <w:rPr>
          <w:bCs w:val="0"/>
          <w:color w:val="000000"/>
          <w:kern w:val="0"/>
        </w:rPr>
        <w:t>5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Rule 7(1) Notice requires the court to be satisfied that the party whose authority is</w:t>
      </w:r>
      <w:r w:rsidR="00B309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disputed is authorised to act. The application in te</w:t>
      </w:r>
      <w:r w:rsidRPr="005A2F90">
        <w:rPr>
          <w:bCs w:val="0"/>
          <w:color w:val="000000"/>
          <w:kern w:val="0"/>
        </w:rPr>
        <w:t xml:space="preserve">rms of Rule 7(1) can be made in </w:t>
      </w:r>
      <w:r w:rsidR="00875821" w:rsidRPr="005A2F90">
        <w:rPr>
          <w:bCs w:val="0"/>
          <w:color w:val="000000"/>
          <w:kern w:val="0"/>
        </w:rPr>
        <w:t>court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so long as rule is activated before judgment.</w:t>
      </w:r>
    </w:p>
    <w:p w:rsidR="003C4D65" w:rsidRPr="005A2F90" w:rsidRDefault="003C4D6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45575D" w:rsidRPr="005A2F90" w:rsidRDefault="003C4D6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9F364D" w:rsidRPr="005A2F90">
        <w:rPr>
          <w:bCs w:val="0"/>
          <w:color w:val="000000"/>
          <w:kern w:val="0"/>
        </w:rPr>
        <w:t>4</w:t>
      </w:r>
      <w:r w:rsidR="00EE490B" w:rsidRPr="005A2F90">
        <w:rPr>
          <w:bCs w:val="0"/>
          <w:color w:val="000000"/>
          <w:kern w:val="0"/>
        </w:rPr>
        <w:t>6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Rule 7(1) requires a broad interpretation having reg</w:t>
      </w:r>
      <w:r w:rsidRPr="005A2F90">
        <w:rPr>
          <w:bCs w:val="0"/>
          <w:color w:val="000000"/>
          <w:kern w:val="0"/>
        </w:rPr>
        <w:t xml:space="preserve">ard to the purpose of the rule. </w:t>
      </w:r>
      <w:r w:rsidR="00875821" w:rsidRPr="005A2F90">
        <w:rPr>
          <w:bCs w:val="0"/>
          <w:color w:val="000000"/>
          <w:kern w:val="0"/>
        </w:rPr>
        <w:t>The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fact that it refers to the attorneys who must prov</w:t>
      </w:r>
      <w:r w:rsidRPr="005A2F90">
        <w:rPr>
          <w:bCs w:val="0"/>
          <w:color w:val="000000"/>
          <w:kern w:val="0"/>
        </w:rPr>
        <w:t xml:space="preserve">ide the Power of Attorney, does </w:t>
      </w:r>
      <w:r w:rsidR="00875821" w:rsidRPr="005A2F90">
        <w:rPr>
          <w:bCs w:val="0"/>
          <w:color w:val="000000"/>
          <w:kern w:val="0"/>
        </w:rPr>
        <w:t>not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detract from the fact that even the person instru</w:t>
      </w:r>
      <w:r w:rsidRPr="005A2F90">
        <w:rPr>
          <w:bCs w:val="0"/>
          <w:color w:val="000000"/>
          <w:kern w:val="0"/>
        </w:rPr>
        <w:t xml:space="preserve">cting the said attorney must be </w:t>
      </w:r>
      <w:r w:rsidR="00875821" w:rsidRPr="005A2F90">
        <w:rPr>
          <w:bCs w:val="0"/>
          <w:color w:val="000000"/>
          <w:kern w:val="0"/>
        </w:rPr>
        <w:t>authorised to do so, especially when acting for another person. The idea is to avoid the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client refuting the representatives’ claim that he or she authorised them.</w:t>
      </w:r>
    </w:p>
    <w:p w:rsidR="003C4D65" w:rsidRPr="005A2F90" w:rsidRDefault="003C4D6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EE490B" w:rsidRPr="005A2F90" w:rsidRDefault="003C4D6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EE490B" w:rsidRPr="005A2F90">
        <w:rPr>
          <w:bCs w:val="0"/>
          <w:color w:val="000000"/>
          <w:kern w:val="0"/>
        </w:rPr>
        <w:t>47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</w:t>
      </w:r>
      <w:r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the unanimous decision of </w:t>
      </w:r>
      <w:r w:rsidR="00875821" w:rsidRPr="005A2F90">
        <w:rPr>
          <w:bCs w:val="0"/>
          <w:i/>
          <w:iCs/>
          <w:color w:val="000000"/>
          <w:kern w:val="0"/>
        </w:rPr>
        <w:t>ANC Umvoti Council Caucus v Umvoti Municipality</w:t>
      </w:r>
      <w:r w:rsidR="00AE7E92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49"/>
      </w:r>
      <w:r w:rsidR="00875821" w:rsidRPr="005A2F90">
        <w:rPr>
          <w:bCs w:val="0"/>
          <w:i/>
          <w:iCs/>
          <w:color w:val="000000"/>
          <w:kern w:val="0"/>
        </w:rPr>
        <w:t>,</w:t>
      </w:r>
      <w:r w:rsidR="00875821" w:rsidRPr="005A2F90">
        <w:rPr>
          <w:bCs w:val="0"/>
          <w:color w:val="000000"/>
          <w:kern w:val="0"/>
        </w:rPr>
        <w:t xml:space="preserve"> full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bench observed that: </w:t>
      </w:r>
      <w:r w:rsidR="00875821" w:rsidRPr="005A2F90">
        <w:rPr>
          <w:bCs w:val="0"/>
          <w:i/>
          <w:iCs/>
          <w:color w:val="000000"/>
          <w:kern w:val="0"/>
        </w:rPr>
        <w:t>"The Legislature intended the authority of "anyone" who claimed</w:t>
      </w:r>
      <w:r w:rsidR="00AE7E92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to be acting on behalf of another in initiating proceedings and not only attorneys, to be</w:t>
      </w:r>
      <w:r w:rsidR="00B3092C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dealt under Rule 7(1)."</w:t>
      </w:r>
    </w:p>
    <w:p w:rsidR="00102BFB" w:rsidRPr="005A2F90" w:rsidRDefault="00102BFB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102BF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EE490B" w:rsidRPr="005A2F90">
        <w:rPr>
          <w:bCs w:val="0"/>
          <w:color w:val="000000"/>
          <w:kern w:val="0"/>
        </w:rPr>
        <w:t>48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Rule 7(1) requires a broad interpretation having regard to the purpose of the rule. The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purpose of the rule is, on one hand to avoid overburdening the pleadings unnecessarily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with correspondence between the parti</w:t>
      </w:r>
      <w:r w:rsidR="000A4ABF" w:rsidRPr="005A2F90">
        <w:rPr>
          <w:bCs w:val="0"/>
          <w:color w:val="000000"/>
          <w:kern w:val="0"/>
        </w:rPr>
        <w:t xml:space="preserve">es and power of attorney on the </w:t>
      </w:r>
      <w:r w:rsidR="00875821" w:rsidRPr="005A2F90">
        <w:rPr>
          <w:bCs w:val="0"/>
          <w:color w:val="000000"/>
          <w:kern w:val="0"/>
        </w:rPr>
        <w:t>other hand</w:t>
      </w:r>
      <w:r w:rsidR="00ED636F" w:rsidRPr="005A2F90">
        <w:rPr>
          <w:bCs w:val="0"/>
          <w:color w:val="000000"/>
          <w:kern w:val="0"/>
        </w:rPr>
        <w:t>. I</w:t>
      </w:r>
      <w:r w:rsidR="00875821" w:rsidRPr="005A2F90">
        <w:rPr>
          <w:bCs w:val="0"/>
          <w:color w:val="000000"/>
          <w:kern w:val="0"/>
        </w:rPr>
        <w:t>t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provides a safeguard to prevent a person who is cited from repudiating the process or</w:t>
      </w:r>
      <w:r w:rsidR="00AE7E9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denying his or her authority for issuing the process.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49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the matter of </w:t>
      </w:r>
      <w:r w:rsidR="00875821" w:rsidRPr="005A2F90">
        <w:rPr>
          <w:bCs w:val="0"/>
          <w:i/>
          <w:iCs/>
          <w:color w:val="000000"/>
          <w:kern w:val="0"/>
        </w:rPr>
        <w:t>Royal Bafokeng Nation v Minister of Land Affairs and 15 others,</w:t>
      </w:r>
      <w:r w:rsidR="00A14F8A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50"/>
      </w:r>
      <w:r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</w:t>
      </w:r>
      <w:r w:rsidR="00A14F8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court listed the following principles to be applicable </w:t>
      </w:r>
      <w:r w:rsidRPr="005A2F90">
        <w:rPr>
          <w:bCs w:val="0"/>
          <w:color w:val="000000"/>
          <w:kern w:val="0"/>
        </w:rPr>
        <w:t xml:space="preserve">where the authority of a person </w:t>
      </w:r>
      <w:r w:rsidR="00875821" w:rsidRPr="005A2F90">
        <w:rPr>
          <w:bCs w:val="0"/>
          <w:color w:val="000000"/>
          <w:kern w:val="0"/>
        </w:rPr>
        <w:t>to</w:t>
      </w:r>
      <w:r w:rsidR="00A14F8A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act is in</w:t>
      </w:r>
      <w:r w:rsidR="00875821" w:rsidRPr="005A2F90">
        <w:rPr>
          <w:bCs w:val="0"/>
          <w:color w:val="000000"/>
          <w:kern w:val="0"/>
        </w:rPr>
        <w:t xml:space="preserve"> dispute:</w:t>
      </w:r>
    </w:p>
    <w:p w:rsidR="00E54A94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A165A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49</w:t>
      </w:r>
      <w:r w:rsidR="00875821" w:rsidRPr="005A2F90">
        <w:rPr>
          <w:bCs w:val="0"/>
          <w:color w:val="000000"/>
          <w:kern w:val="0"/>
        </w:rPr>
        <w:t>.1 An artificial legal person is obliged to provide that i</w:t>
      </w:r>
      <w:r w:rsidR="00E54A94" w:rsidRPr="005A2F90">
        <w:rPr>
          <w:bCs w:val="0"/>
          <w:color w:val="000000"/>
          <w:kern w:val="0"/>
        </w:rPr>
        <w:t xml:space="preserve">t is authorised to initiate the </w:t>
      </w:r>
      <w:r w:rsidR="00875821" w:rsidRPr="005A2F90">
        <w:rPr>
          <w:bCs w:val="0"/>
          <w:color w:val="000000"/>
          <w:kern w:val="0"/>
        </w:rPr>
        <w:t>litigation in question;</w:t>
      </w:r>
    </w:p>
    <w:p w:rsidR="00E54A94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A165A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49</w:t>
      </w:r>
      <w:r w:rsidR="00875821" w:rsidRPr="005A2F90">
        <w:rPr>
          <w:bCs w:val="0"/>
          <w:color w:val="000000"/>
          <w:kern w:val="0"/>
        </w:rPr>
        <w:t>.2 Any challenge should be mounted in terms of Rule 7 (1);</w:t>
      </w:r>
    </w:p>
    <w:p w:rsidR="00E54A94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A165A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49</w:t>
      </w:r>
      <w:r w:rsidR="00875821" w:rsidRPr="005A2F90">
        <w:rPr>
          <w:bCs w:val="0"/>
          <w:color w:val="000000"/>
          <w:kern w:val="0"/>
        </w:rPr>
        <w:t>.3 Rule 7 can be invoked at any time before judgement; and</w:t>
      </w:r>
    </w:p>
    <w:p w:rsidR="00E54A94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A165A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49</w:t>
      </w:r>
      <w:r w:rsidR="00875821" w:rsidRPr="005A2F90">
        <w:rPr>
          <w:bCs w:val="0"/>
          <w:color w:val="000000"/>
          <w:kern w:val="0"/>
        </w:rPr>
        <w:t>.4 While it is a practical rule which mostly tu</w:t>
      </w:r>
      <w:r w:rsidR="00E54A94" w:rsidRPr="005A2F90">
        <w:rPr>
          <w:bCs w:val="0"/>
          <w:color w:val="000000"/>
          <w:kern w:val="0"/>
        </w:rPr>
        <w:t xml:space="preserve">rns out to be compliance with a </w:t>
      </w:r>
      <w:r w:rsidR="00875821" w:rsidRPr="005A2F90">
        <w:rPr>
          <w:bCs w:val="0"/>
          <w:color w:val="000000"/>
          <w:kern w:val="0"/>
        </w:rPr>
        <w:t>procedural formality, it can in some cases, impact substantially on the rights of</w:t>
      </w:r>
      <w:r w:rsidR="00E54A9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litigants.</w:t>
      </w:r>
    </w:p>
    <w:p w:rsidR="00E54A94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CE2E48" w:rsidRPr="005A2F90" w:rsidRDefault="00A165A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49</w:t>
      </w:r>
      <w:r w:rsidR="00875821" w:rsidRPr="005A2F90">
        <w:rPr>
          <w:bCs w:val="0"/>
          <w:color w:val="000000"/>
          <w:kern w:val="0"/>
        </w:rPr>
        <w:t>.5 The remedy for a person who wishes to chal</w:t>
      </w:r>
      <w:r w:rsidR="00E54A94" w:rsidRPr="005A2F90">
        <w:rPr>
          <w:bCs w:val="0"/>
          <w:color w:val="000000"/>
          <w:kern w:val="0"/>
        </w:rPr>
        <w:t xml:space="preserve">lenge the authority of a person </w:t>
      </w:r>
      <w:r w:rsidR="00875821" w:rsidRPr="005A2F90">
        <w:rPr>
          <w:bCs w:val="0"/>
          <w:color w:val="000000"/>
          <w:kern w:val="0"/>
        </w:rPr>
        <w:t>allegedly acting on behalf of the purported applicant is provided for in rule 7(1).</w:t>
      </w:r>
      <w:r w:rsidR="00A14F8A" w:rsidRPr="005A2F90">
        <w:rPr>
          <w:rStyle w:val="FootnoteReference"/>
          <w:rFonts w:cs="Arial"/>
          <w:bCs w:val="0"/>
          <w:color w:val="000000"/>
          <w:kern w:val="0"/>
        </w:rPr>
        <w:footnoteReference w:id="51"/>
      </w:r>
    </w:p>
    <w:p w:rsidR="00E54A94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E54A9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F61818" w:rsidRPr="005A2F90">
        <w:rPr>
          <w:bCs w:val="0"/>
          <w:color w:val="000000"/>
          <w:kern w:val="0"/>
        </w:rPr>
        <w:t>5</w:t>
      </w:r>
      <w:r w:rsidR="00A165AD" w:rsidRPr="005A2F90">
        <w:rPr>
          <w:bCs w:val="0"/>
          <w:color w:val="000000"/>
          <w:kern w:val="0"/>
        </w:rPr>
        <w:t>0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view of Gorven J, that Rule 7 is the appropriate remedy to utilise when authority is</w:t>
      </w:r>
      <w:r w:rsidR="00A14F8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challenged by a party has been stated by Flemming DJP in </w:t>
      </w:r>
      <w:r w:rsidR="00875821" w:rsidRPr="005A2F90">
        <w:rPr>
          <w:i/>
          <w:iCs/>
          <w:color w:val="000000"/>
          <w:kern w:val="0"/>
        </w:rPr>
        <w:t>Eskom v</w:t>
      </w:r>
      <w:r w:rsidR="00875821" w:rsidRPr="005A2F90">
        <w:rPr>
          <w:b/>
          <w:i/>
          <w:iCs/>
          <w:color w:val="000000"/>
          <w:kern w:val="0"/>
        </w:rPr>
        <w:t xml:space="preserve"> </w:t>
      </w:r>
      <w:r w:rsidR="00875821" w:rsidRPr="005A2F90">
        <w:rPr>
          <w:i/>
          <w:iCs/>
          <w:color w:val="000000"/>
          <w:kern w:val="0"/>
        </w:rPr>
        <w:t>Soweto City</w:t>
      </w:r>
      <w:r w:rsidR="00A14F8A" w:rsidRPr="005A2F90">
        <w:rPr>
          <w:i/>
          <w:iCs/>
          <w:color w:val="000000"/>
          <w:kern w:val="0"/>
        </w:rPr>
        <w:t xml:space="preserve"> </w:t>
      </w:r>
      <w:r w:rsidR="00875821" w:rsidRPr="005A2F90">
        <w:rPr>
          <w:i/>
          <w:iCs/>
          <w:color w:val="000000"/>
          <w:kern w:val="0"/>
        </w:rPr>
        <w:t>Council</w:t>
      </w:r>
      <w:r w:rsidR="00875821" w:rsidRPr="005A2F90">
        <w:rPr>
          <w:b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at 705E-H:</w:t>
      </w:r>
      <w:r w:rsidR="00A14F8A" w:rsidRPr="005A2F90">
        <w:rPr>
          <w:rStyle w:val="FootnoteReference"/>
          <w:rFonts w:cs="Arial"/>
          <w:bCs w:val="0"/>
          <w:color w:val="000000"/>
          <w:kern w:val="0"/>
        </w:rPr>
        <w:footnoteReference w:id="52"/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“The care displayed in the past about proof of authority was rational. It was</w:t>
      </w:r>
      <w:r w:rsidR="00CE2E4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inspired by the fear that a person may deny that he was party to litigation</w:t>
      </w:r>
      <w:r w:rsidR="00CE2E4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carried on in his name. His signature to the process, or when that does not</w:t>
      </w:r>
      <w:r w:rsidR="00CE2E4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eventuate, formal proof of authority would avoid undue risk to the opposite</w:t>
      </w:r>
      <w:r w:rsidR="00CE2E4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party, to the administration of justice and sometimes even to his own attorney. . . .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The developed view, adopted in Court Rule 7(1), is that the risk is adequately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managed on a different level. If the attorney is authorised to bring the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application on behalf of the applicant, the application necessarily is that of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the applicant. There is no need that any other person, whether he be a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witness or someone who becomes involved especially in the context of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authority, should additionally be authorised. It is therefore sufficient to know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whether or not the attorney acts with authority. As to when and how the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attorney’s authority should be proved, the Rule-maker made a policy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decision. Perhaps because the risk is minimal </w:t>
      </w:r>
      <w:r w:rsidR="0073602D" w:rsidRPr="005A2F90">
        <w:rPr>
          <w:bCs w:val="0"/>
          <w:i/>
          <w:iCs/>
          <w:color w:val="000000"/>
          <w:kern w:val="0"/>
        </w:rPr>
        <w:t xml:space="preserve">that an attorney will act for a </w:t>
      </w:r>
      <w:r w:rsidRPr="005A2F90">
        <w:rPr>
          <w:bCs w:val="0"/>
          <w:i/>
          <w:iCs/>
          <w:color w:val="000000"/>
          <w:kern w:val="0"/>
        </w:rPr>
        <w:t>person without authority to do so, proof is dispensed with except only if the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other party challenges the authority. See Rule 7(1). Courts should honour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that approach. Properly applied, that should lead to the elimination of the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many pages of resolutions, delegations and substitutions still attached to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applications by some litigants especially certain financial institutions.”</w:t>
      </w:r>
    </w:p>
    <w:p w:rsidR="00CE2E48" w:rsidRPr="005A2F90" w:rsidRDefault="00CE2E48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</w:p>
    <w:p w:rsidR="00875821" w:rsidRPr="005A2F90" w:rsidRDefault="0073602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79752C" w:rsidRPr="005A2F90">
        <w:rPr>
          <w:bCs w:val="0"/>
          <w:color w:val="000000"/>
          <w:kern w:val="0"/>
        </w:rPr>
        <w:t>5</w:t>
      </w:r>
      <w:r w:rsidR="00A165AD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SCA in </w:t>
      </w:r>
      <w:r w:rsidR="00875821" w:rsidRPr="005A2F90">
        <w:rPr>
          <w:bCs w:val="0"/>
          <w:i/>
          <w:iCs/>
          <w:color w:val="000000"/>
          <w:kern w:val="0"/>
        </w:rPr>
        <w:t>Unlawful Occupier of the School Site v City of Johannesburg</w:t>
      </w:r>
      <w:r w:rsidR="00405188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53"/>
      </w:r>
      <w:r w:rsidR="00875821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highlighted</w:t>
      </w:r>
      <w:r w:rsidR="00760D5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importance of the Eskom judgment, especially the fact that the remedy of a</w:t>
      </w:r>
      <w:r w:rsidR="00760D5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 who wishes to challenge the authority of a person allegedly acting on behalf</w:t>
      </w:r>
      <w:r w:rsidR="00760D5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of an applicant is provided for in Rule 7(1). Brand JA succinctly stated it as follows: The</w:t>
      </w:r>
      <w:r w:rsidR="00760D5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 xml:space="preserve">ratio decidendi </w:t>
      </w:r>
      <w:r w:rsidR="00875821" w:rsidRPr="005A2F90">
        <w:rPr>
          <w:bCs w:val="0"/>
          <w:color w:val="000000"/>
          <w:kern w:val="0"/>
        </w:rPr>
        <w:t>appears form the following dicta (at 705D-H):</w:t>
      </w:r>
    </w:p>
    <w:p w:rsidR="00875821" w:rsidRPr="005A2F90" w:rsidRDefault="00BB215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</w:t>
      </w:r>
      <w:r w:rsidR="00875821" w:rsidRPr="005A2F90">
        <w:rPr>
          <w:bCs w:val="0"/>
          <w:i/>
          <w:iCs/>
          <w:color w:val="000000"/>
          <w:kern w:val="0"/>
        </w:rPr>
        <w:t>The care displayed in the past about proof of authority was rational. It was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inspired by the fear that a person may deny that he was party to litigation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carried on in his name. His signature to the process, or when that does not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eventuate, formal proof of authority would avoid undue risk to the opposite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party, to the administration of justice and sometimes even to his own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attorney. . .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The developed view, adopted in Court Rule 7(1), is that the risk is adequately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managed on a different level. If the attorney is authorised to bring that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application on behalf of the applicant, the application necessarily is that of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the applicant. There is no need that any other person, whether he be a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witness or someone who becomes involved especially in the context of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authority, should additionally be authorised. It is therefore sufficient to know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whether or not the attorney acts with authority.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As to when and how the attorney’s authority should be proved, the Rule</w:t>
      </w:r>
      <w:r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maker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made a policy decision. Perhaps because the risk is minimal that an</w:t>
      </w:r>
      <w:r w:rsidR="00760D5E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attorney will act for a person without authority to do so, proof is dispensed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with except only if the other party challenge</w:t>
      </w:r>
      <w:r w:rsidRPr="005A2F90">
        <w:rPr>
          <w:bCs w:val="0"/>
          <w:i/>
          <w:iCs/>
          <w:color w:val="000000"/>
          <w:kern w:val="0"/>
        </w:rPr>
        <w:t>s the authority. See Rule 7(1).”</w:t>
      </w:r>
    </w:p>
    <w:p w:rsidR="00875821" w:rsidRPr="005A2F90" w:rsidRDefault="00CE2E48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61</w:t>
      </w:r>
      <w:r w:rsidR="00875821" w:rsidRPr="005A2F90">
        <w:rPr>
          <w:bCs w:val="0"/>
          <w:color w:val="000000"/>
          <w:kern w:val="0"/>
        </w:rPr>
        <w:t>.1 And (at 706B-D):</w:t>
      </w:r>
    </w:p>
    <w:p w:rsidR="002440B9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‘If then applicant had qualms about whether the ‘interlocutory application’ is</w:t>
      </w:r>
      <w:r w:rsidR="00BB215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authorised by respondent, that authority had to be challenged on the level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of whether [the respondent’s attorney] held empowerment. Apart from more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informal requests or enquiries, applicant’s remedy was to use Court Rule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7(1). It was not to hand up heads of argument, apply textual analysis and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make submissions about the adequacy of the words used by a deponent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about his own authority.’ </w:t>
      </w:r>
    </w:p>
    <w:p w:rsidR="00BB2153" w:rsidRPr="005A2F90" w:rsidRDefault="00BB2153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BB215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79752C" w:rsidRPr="005A2F90">
        <w:rPr>
          <w:bCs w:val="0"/>
          <w:color w:val="000000"/>
          <w:kern w:val="0"/>
        </w:rPr>
        <w:t>5</w:t>
      </w:r>
      <w:r w:rsidR="00A165AD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] </w:t>
      </w:r>
      <w:r w:rsidR="00875821" w:rsidRPr="005A2F90">
        <w:rPr>
          <w:bCs w:val="0"/>
          <w:color w:val="000000"/>
          <w:kern w:val="0"/>
        </w:rPr>
        <w:t xml:space="preserve">In </w:t>
      </w:r>
      <w:r w:rsidR="00875821" w:rsidRPr="005A2F90">
        <w:rPr>
          <w:bCs w:val="0"/>
          <w:i/>
          <w:iCs/>
          <w:color w:val="000000"/>
          <w:kern w:val="0"/>
        </w:rPr>
        <w:t>Eskom v Soweto City Council</w:t>
      </w:r>
      <w:r w:rsidR="00405188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54"/>
      </w:r>
      <w:r w:rsidR="00875821" w:rsidRPr="005A2F90">
        <w:rPr>
          <w:bCs w:val="0"/>
          <w:color w:val="000000"/>
          <w:kern w:val="0"/>
        </w:rPr>
        <w:t xml:space="preserve"> the Court stated:</w:t>
      </w:r>
    </w:p>
    <w:p w:rsidR="0079752C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“If the attorney is authorised to bring the application on behalf of the applicant, the</w:t>
      </w:r>
      <w:r w:rsidR="00BB215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application necessarily is that of the applicant … As to when and how the attorney’s</w:t>
      </w:r>
      <w:r w:rsidR="00BB215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authority should be proved, the Rule-maker made a policy decision. Perhaps because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="00BB2153" w:rsidRPr="005A2F90">
        <w:rPr>
          <w:bCs w:val="0"/>
          <w:i/>
          <w:iCs/>
          <w:color w:val="000000"/>
          <w:kern w:val="0"/>
        </w:rPr>
        <w:t xml:space="preserve">the risk is minimal </w:t>
      </w:r>
      <w:r w:rsidRPr="005A2F90">
        <w:rPr>
          <w:bCs w:val="0"/>
          <w:i/>
          <w:iCs/>
          <w:color w:val="000000"/>
          <w:kern w:val="0"/>
        </w:rPr>
        <w:t>that an attorney will act for a person without authority to do so,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proof is dispensed with except only if the other party challenges the authority. See rule</w:t>
      </w:r>
      <w:r w:rsidR="0040518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7(1). Courts should honour that approach.” </w:t>
      </w:r>
    </w:p>
    <w:p w:rsidR="00BB2153" w:rsidRPr="005A2F90" w:rsidRDefault="00BB2153" w:rsidP="00ED7EC4">
      <w:pPr>
        <w:autoSpaceDE w:val="0"/>
        <w:autoSpaceDN w:val="0"/>
        <w:adjustRightInd w:val="0"/>
        <w:jc w:val="both"/>
        <w:rPr>
          <w:bCs w:val="0"/>
          <w:color w:val="000000"/>
          <w:kern w:val="0"/>
        </w:rPr>
      </w:pPr>
    </w:p>
    <w:p w:rsidR="002440B9" w:rsidRPr="005A2F90" w:rsidRDefault="00BB2153" w:rsidP="00ED7EC4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53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This decision was cited with approval in </w:t>
      </w:r>
      <w:r w:rsidR="00875821" w:rsidRPr="005A2F90">
        <w:rPr>
          <w:bCs w:val="0"/>
          <w:i/>
          <w:iCs/>
          <w:color w:val="000000"/>
          <w:kern w:val="0"/>
        </w:rPr>
        <w:t>Ganes and Another v Telecom Namibia Ltd</w:t>
      </w:r>
      <w:r w:rsidR="002440B9" w:rsidRPr="005A2F90">
        <w:rPr>
          <w:bCs w:val="0"/>
          <w:i/>
          <w:iCs/>
          <w:color w:val="000000"/>
          <w:kern w:val="0"/>
        </w:rPr>
        <w:t xml:space="preserve">. </w:t>
      </w:r>
      <w:r w:rsidR="00344DF8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55"/>
      </w:r>
    </w:p>
    <w:p w:rsidR="00BB2153" w:rsidRPr="005A2F90" w:rsidRDefault="00BB215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BB215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54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 xml:space="preserve">South African Allied Workers’ Union v De Klerk </w:t>
      </w:r>
      <w:r w:rsidR="00875821" w:rsidRPr="005A2F90">
        <w:rPr>
          <w:bCs w:val="0"/>
          <w:color w:val="000000"/>
          <w:kern w:val="0"/>
        </w:rPr>
        <w:t>1990 (3) SA 425 (ECD) at 436F/J-</w:t>
      </w:r>
      <w:r w:rsidR="00344D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437B the Court stated:</w:t>
      </w:r>
    </w:p>
    <w:p w:rsidR="002440B9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“The power of attorney contemplated by Rule 7(1) is a power to take certain</w:t>
      </w:r>
      <w:r w:rsidR="00BB215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formal procedural steps, namely to issue process and to sign Court</w:t>
      </w:r>
      <w:r w:rsidR="00344DF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documentation such as a summons or notice of motion on behalf of a litigant.</w:t>
      </w:r>
      <w:r w:rsidR="00344DF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… Rule 7(1) is, in essence, merely a means of achieving production of the</w:t>
      </w:r>
      <w:r w:rsidR="00344DF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ordinary power of attorney in order to establish the authority of an attorney to</w:t>
      </w:r>
      <w:r w:rsidR="00344DF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act for his client. It may be called for simply by notice and without an</w:t>
      </w:r>
      <w:r w:rsidR="00344DF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evidentiary challenge to such authority. </w:t>
      </w:r>
      <w:r w:rsidR="00EB3DE0" w:rsidRPr="005A2F90">
        <w:rPr>
          <w:bCs w:val="0"/>
          <w:i/>
          <w:iCs/>
          <w:color w:val="000000"/>
          <w:kern w:val="0"/>
        </w:rPr>
        <w:t>Moreover,</w:t>
      </w:r>
      <w:r w:rsidRPr="005A2F90">
        <w:rPr>
          <w:bCs w:val="0"/>
          <w:i/>
          <w:iCs/>
          <w:color w:val="000000"/>
          <w:kern w:val="0"/>
        </w:rPr>
        <w:t xml:space="preserve"> the authority of a litigant’s</w:t>
      </w:r>
      <w:r w:rsidR="00344DF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attorney to represent him is not a fact which need be alleged in pleadings or</w:t>
      </w:r>
      <w:r w:rsidR="00344DF8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established at a trial …”</w:t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79752C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55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</w:t>
      </w:r>
      <w:r w:rsidR="005935A1" w:rsidRPr="005A2F90">
        <w:rPr>
          <w:bCs w:val="0"/>
          <w:color w:val="000000"/>
          <w:kern w:val="0"/>
        </w:rPr>
        <w:t>T</w:t>
      </w:r>
      <w:r w:rsidR="00875821" w:rsidRPr="005A2F90">
        <w:rPr>
          <w:bCs w:val="0"/>
          <w:color w:val="000000"/>
          <w:kern w:val="0"/>
        </w:rPr>
        <w:t>he Respondents were entitled to challenge the</w:t>
      </w:r>
      <w:r w:rsidR="00344D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authority of the Applicant’s deponent to act for the Applicant herein. Once the challenge</w:t>
      </w:r>
      <w:r w:rsidR="00344D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was put forth it was then for the First Respondent to use the correct tool that being Rule</w:t>
      </w:r>
      <w:r w:rsidR="00344D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7 of the Uniform Rules of Court. The Applicant would have had to satisfy the Court that</w:t>
      </w:r>
      <w:r w:rsidR="00344DF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deponent concerned did have the requisite authority so to act.</w:t>
      </w:r>
      <w:r w:rsidR="003C67F6" w:rsidRPr="005A2F90">
        <w:rPr>
          <w:rStyle w:val="FootnoteReference"/>
          <w:rFonts w:cs="Arial"/>
          <w:bCs w:val="0"/>
          <w:color w:val="000000"/>
          <w:kern w:val="0"/>
        </w:rPr>
        <w:footnoteReference w:id="56"/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56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Accordingly, the Respondents’ challenge in this regard falls to be</w:t>
      </w:r>
      <w:r w:rsidR="002440B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dismissed.</w:t>
      </w:r>
    </w:p>
    <w:p w:rsidR="001D52B7" w:rsidRPr="005A2F90" w:rsidRDefault="001D52B7" w:rsidP="00ED7EC4">
      <w:pPr>
        <w:autoSpaceDE w:val="0"/>
        <w:autoSpaceDN w:val="0"/>
        <w:adjustRightInd w:val="0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DIRECT AND SUBSTANTIAL INTEREST OF THE FIRST THREE RESPONDENTS</w:t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255D9A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57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</w:t>
      </w:r>
      <w:r w:rsidR="00875821" w:rsidRPr="005A2F90">
        <w:rPr>
          <w:bCs w:val="0"/>
          <w:i/>
          <w:iCs/>
          <w:color w:val="000000"/>
          <w:kern w:val="0"/>
        </w:rPr>
        <w:t>Snyders and Others</w:t>
      </w:r>
      <w:r w:rsidR="001D52B7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57"/>
      </w:r>
      <w:r w:rsidR="00875821" w:rsidRPr="005A2F90">
        <w:rPr>
          <w:bCs w:val="0"/>
          <w:color w:val="000000"/>
          <w:kern w:val="0"/>
        </w:rPr>
        <w:t>, it was held that a person has a direct and substantial interest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an order that is sought in proceedings if the order would directly affect such a person’s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rights or interest. If so, such a person should be joined in the proceedings.</w:t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255D9A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5935A1" w:rsidRPr="005A2F90">
        <w:rPr>
          <w:bCs w:val="0"/>
          <w:color w:val="000000"/>
          <w:kern w:val="0"/>
        </w:rPr>
        <w:t>5</w:t>
      </w:r>
      <w:r w:rsidR="00A165AD" w:rsidRPr="005A2F90">
        <w:rPr>
          <w:bCs w:val="0"/>
          <w:color w:val="000000"/>
          <w:kern w:val="0"/>
        </w:rPr>
        <w:t>8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Court proceeded to observe that if the person is not joined in circumstances in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which their rights or interests will be prejudicially affected by the ultimate judgment which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may result from the proceedings, then that would mean that a judgment affecting that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person’s rights or interests has been given without affording that person an opportunity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to be heard.</w:t>
      </w:r>
      <w:r w:rsidR="001D52B7" w:rsidRPr="005A2F90">
        <w:rPr>
          <w:rStyle w:val="FootnoteReference"/>
          <w:rFonts w:cs="Arial"/>
          <w:bCs w:val="0"/>
          <w:color w:val="000000"/>
          <w:kern w:val="0"/>
        </w:rPr>
        <w:footnoteReference w:id="58"/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59</w:t>
      </w:r>
      <w:r w:rsidRPr="005A2F90">
        <w:rPr>
          <w:bCs w:val="0"/>
          <w:color w:val="000000"/>
          <w:kern w:val="0"/>
        </w:rPr>
        <w:t>]</w:t>
      </w:r>
      <w:r w:rsidR="00255D9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This legality self-review has been brought to declare unlawful and set aside the CCGA</w:t>
      </w:r>
      <w:r w:rsidR="003C67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concluded between the Applicant and the First Respondent and recover the monies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paid to the First Respondent and in turn, the First Respondent paid to the Second and</w:t>
      </w:r>
      <w:r w:rsidR="003C67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Third Respondents.</w:t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255D9A" w:rsidRPr="005A2F90">
        <w:rPr>
          <w:bCs w:val="0"/>
          <w:color w:val="000000"/>
          <w:kern w:val="0"/>
        </w:rPr>
        <w:t>6</w:t>
      </w:r>
      <w:r w:rsidR="00A165AD" w:rsidRPr="005A2F90">
        <w:rPr>
          <w:bCs w:val="0"/>
          <w:color w:val="000000"/>
          <w:kern w:val="0"/>
        </w:rPr>
        <w:t>0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Therefore,</w:t>
      </w:r>
      <w:r w:rsidR="00FB3D23" w:rsidRPr="005A2F90">
        <w:rPr>
          <w:bCs w:val="0"/>
          <w:color w:val="000000"/>
          <w:kern w:val="0"/>
        </w:rPr>
        <w:t xml:space="preserve"> I am of the view </w:t>
      </w:r>
      <w:r w:rsidR="00875821" w:rsidRPr="005A2F90">
        <w:rPr>
          <w:bCs w:val="0"/>
          <w:color w:val="000000"/>
          <w:kern w:val="0"/>
        </w:rPr>
        <w:t>that the Second and Third Respondents have a direct</w:t>
      </w:r>
      <w:r w:rsidR="003C67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and substantial interest in the outcome of these proceedings and as such, it is proper</w:t>
      </w:r>
      <w:r w:rsidR="003C67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that they have been joined to these proceedings.</w:t>
      </w:r>
    </w:p>
    <w:p w:rsidR="001D52B7" w:rsidRPr="005A2F90" w:rsidRDefault="001D52B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SHRA STATUTORY AND REGULATORY FRAMEWORK</w:t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255D9A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5935A1" w:rsidRPr="005A2F90">
        <w:rPr>
          <w:bCs w:val="0"/>
          <w:color w:val="000000"/>
          <w:kern w:val="0"/>
        </w:rPr>
        <w:t>6</w:t>
      </w:r>
      <w:r w:rsidR="00A165AD" w:rsidRPr="005A2F90">
        <w:rPr>
          <w:bCs w:val="0"/>
          <w:color w:val="000000"/>
          <w:kern w:val="0"/>
        </w:rPr>
        <w:t>1</w:t>
      </w:r>
      <w:r w:rsidRPr="005A2F90">
        <w:rPr>
          <w:bCs w:val="0"/>
          <w:color w:val="000000"/>
          <w:kern w:val="0"/>
        </w:rPr>
        <w:t>]</w:t>
      </w:r>
      <w:r w:rsidR="00255D9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By its very nature, the magnitude of the relief sought herein, various</w:t>
      </w:r>
      <w:r w:rsidR="003C67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sections of the Constitution</w:t>
      </w:r>
      <w:r w:rsidR="00137D2B" w:rsidRPr="005A2F90">
        <w:rPr>
          <w:rStyle w:val="FootnoteReference"/>
          <w:rFonts w:cs="Arial"/>
          <w:bCs w:val="0"/>
          <w:color w:val="000000"/>
          <w:kern w:val="0"/>
        </w:rPr>
        <w:footnoteReference w:id="59"/>
      </w:r>
      <w:r w:rsidR="005935A1" w:rsidRPr="005A2F90">
        <w:rPr>
          <w:bCs w:val="0"/>
          <w:color w:val="000000"/>
          <w:kern w:val="0"/>
        </w:rPr>
        <w:t xml:space="preserve"> must be traversed </w:t>
      </w:r>
      <w:r w:rsidR="00875821" w:rsidRPr="005A2F90">
        <w:rPr>
          <w:bCs w:val="0"/>
          <w:color w:val="000000"/>
          <w:kern w:val="0"/>
        </w:rPr>
        <w:t>in order to contextualise the Applicant’s source of authority</w:t>
      </w:r>
      <w:r w:rsidR="003C67F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for its action herein.</w:t>
      </w:r>
      <w:r w:rsidR="002D310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 Sections 1 and 2 of the Constitution commence with </w:t>
      </w:r>
      <w:r w:rsidR="002D3105" w:rsidRPr="005A2F90">
        <w:rPr>
          <w:bCs w:val="0"/>
          <w:color w:val="000000"/>
          <w:kern w:val="0"/>
        </w:rPr>
        <w:t>recognition</w:t>
      </w:r>
      <w:r w:rsidR="00875821" w:rsidRPr="005A2F90">
        <w:rPr>
          <w:bCs w:val="0"/>
          <w:color w:val="000000"/>
          <w:kern w:val="0"/>
        </w:rPr>
        <w:t xml:space="preserve"> of the supremacy of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Constitution and states that</w:t>
      </w:r>
      <w:r w:rsidR="002D3105" w:rsidRPr="005A2F90">
        <w:rPr>
          <w:bCs w:val="0"/>
          <w:color w:val="000000"/>
          <w:kern w:val="0"/>
        </w:rPr>
        <w:t>;</w:t>
      </w:r>
    </w:p>
    <w:p w:rsidR="00FD5A22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“[T]his Constitution is the supreme law of the Republic, law</w:t>
      </w:r>
      <w:r w:rsidR="001D52B7" w:rsidRPr="005A2F90">
        <w:rPr>
          <w:bCs w:val="0"/>
          <w:i/>
          <w:iCs/>
          <w:color w:val="000000"/>
          <w:kern w:val="0"/>
        </w:rPr>
        <w:t xml:space="preserve"> </w:t>
      </w:r>
      <w:r w:rsidR="00EB3DE0" w:rsidRPr="005A2F90">
        <w:rPr>
          <w:bCs w:val="0"/>
          <w:i/>
          <w:iCs/>
          <w:color w:val="000000"/>
          <w:kern w:val="0"/>
        </w:rPr>
        <w:t xml:space="preserve">or conduct inconsistent </w:t>
      </w:r>
      <w:r w:rsidRPr="005A2F90">
        <w:rPr>
          <w:bCs w:val="0"/>
          <w:i/>
          <w:iCs/>
          <w:color w:val="000000"/>
          <w:kern w:val="0"/>
        </w:rPr>
        <w:t>with it is invalid, and the obligations imposed by it must be</w:t>
      </w:r>
      <w:r w:rsidR="001D52B7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fulfilled”, </w:t>
      </w:r>
      <w:r w:rsidRPr="005A2F90">
        <w:rPr>
          <w:bCs w:val="0"/>
          <w:color w:val="000000"/>
          <w:kern w:val="0"/>
        </w:rPr>
        <w:t>as well as stating the rule of law as one of its founding values.</w:t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5935A1" w:rsidRPr="005A2F90">
        <w:rPr>
          <w:bCs w:val="0"/>
          <w:color w:val="000000"/>
          <w:kern w:val="0"/>
        </w:rPr>
        <w:t>6</w:t>
      </w:r>
      <w:r w:rsidR="00A165AD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Constitution then affirms certain specific rights found in the Bill of Rights. It</w:t>
      </w:r>
    </w:p>
    <w:p w:rsidR="00137D2B" w:rsidRPr="009D55F1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proclaims in section 26 ther</w:t>
      </w:r>
      <w:r w:rsidR="009D55F1">
        <w:rPr>
          <w:bCs w:val="0"/>
          <w:color w:val="000000"/>
          <w:kern w:val="0"/>
        </w:rPr>
        <w:t xml:space="preserve">eof that: </w:t>
      </w:r>
      <w:r w:rsidR="00EB3DE0" w:rsidRPr="005A2F90">
        <w:rPr>
          <w:bCs w:val="0"/>
          <w:i/>
          <w:iCs/>
          <w:color w:val="000000"/>
          <w:kern w:val="0"/>
        </w:rPr>
        <w:t xml:space="preserve">“26 Housing: </w:t>
      </w:r>
      <w:r w:rsidRPr="005A2F90">
        <w:rPr>
          <w:bCs w:val="0"/>
          <w:i/>
          <w:iCs/>
          <w:color w:val="000000"/>
          <w:kern w:val="0"/>
        </w:rPr>
        <w:t>Everyone has the right to h</w:t>
      </w:r>
      <w:r w:rsidR="00EB3DE0" w:rsidRPr="005A2F90">
        <w:rPr>
          <w:bCs w:val="0"/>
          <w:i/>
          <w:iCs/>
          <w:color w:val="000000"/>
          <w:kern w:val="0"/>
        </w:rPr>
        <w:t xml:space="preserve">ave access to adequate housing. </w:t>
      </w:r>
      <w:r w:rsidRPr="005A2F90">
        <w:rPr>
          <w:bCs w:val="0"/>
          <w:i/>
          <w:iCs/>
          <w:color w:val="000000"/>
          <w:kern w:val="0"/>
        </w:rPr>
        <w:t>The state must take reasonable legislative</w:t>
      </w:r>
      <w:r w:rsidR="00EB3DE0" w:rsidRPr="005A2F90">
        <w:rPr>
          <w:bCs w:val="0"/>
          <w:i/>
          <w:iCs/>
          <w:color w:val="000000"/>
          <w:kern w:val="0"/>
        </w:rPr>
        <w:t xml:space="preserve"> and other measures, within its </w:t>
      </w:r>
      <w:r w:rsidRPr="005A2F90">
        <w:rPr>
          <w:bCs w:val="0"/>
          <w:i/>
          <w:iCs/>
          <w:color w:val="000000"/>
          <w:kern w:val="0"/>
        </w:rPr>
        <w:t>available resources, to achieve the progressive realisation of this right.”</w:t>
      </w:r>
    </w:p>
    <w:p w:rsidR="002D3105" w:rsidRPr="005A2F90" w:rsidRDefault="002D3105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THE SOCIAL HOUSING ACT, 16 OF 2008</w:t>
      </w:r>
    </w:p>
    <w:p w:rsidR="00EB3DE0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EB3DE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A165AD" w:rsidRPr="005A2F90">
        <w:rPr>
          <w:bCs w:val="0"/>
          <w:color w:val="000000"/>
          <w:kern w:val="0"/>
        </w:rPr>
        <w:t>63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complying with the above dictate, the Legislature enacted the Social Housing Act,</w:t>
      </w:r>
      <w:r w:rsidR="00137D2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Act 16 of 2008 (“SHA”). In its pre-amble, it proclaims its aims as:</w:t>
      </w:r>
    </w:p>
    <w:p w:rsidR="00875821" w:rsidRPr="005A2F90" w:rsidRDefault="00D64BD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63</w:t>
      </w:r>
      <w:r w:rsidR="00875821" w:rsidRPr="005A2F90">
        <w:rPr>
          <w:bCs w:val="0"/>
          <w:color w:val="000000"/>
          <w:kern w:val="0"/>
        </w:rPr>
        <w:t>.1. To establish and promote a sustainable housing environment;</w:t>
      </w:r>
    </w:p>
    <w:p w:rsidR="00875821" w:rsidRPr="005A2F90" w:rsidRDefault="00D64BD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63</w:t>
      </w:r>
      <w:r w:rsidR="00875821" w:rsidRPr="005A2F90">
        <w:rPr>
          <w:bCs w:val="0"/>
          <w:color w:val="000000"/>
          <w:kern w:val="0"/>
        </w:rPr>
        <w:t>.2. To define the functions of national, provincial a</w:t>
      </w:r>
      <w:r w:rsidR="00FD4C31" w:rsidRPr="005A2F90">
        <w:rPr>
          <w:bCs w:val="0"/>
          <w:color w:val="000000"/>
          <w:kern w:val="0"/>
        </w:rPr>
        <w:t xml:space="preserve">nd local governments in respect </w:t>
      </w:r>
      <w:r w:rsidR="00875821" w:rsidRPr="005A2F90">
        <w:rPr>
          <w:bCs w:val="0"/>
          <w:color w:val="000000"/>
          <w:kern w:val="0"/>
        </w:rPr>
        <w:t>of social housing;</w:t>
      </w:r>
    </w:p>
    <w:p w:rsidR="00875821" w:rsidRPr="005A2F90" w:rsidRDefault="00D64BD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63</w:t>
      </w:r>
      <w:r w:rsidR="00875821" w:rsidRPr="005A2F90">
        <w:rPr>
          <w:bCs w:val="0"/>
          <w:color w:val="000000"/>
          <w:kern w:val="0"/>
        </w:rPr>
        <w:t xml:space="preserve">.3. To provide for the establishment of the Social </w:t>
      </w:r>
      <w:r w:rsidR="00FD4C31" w:rsidRPr="005A2F90">
        <w:rPr>
          <w:bCs w:val="0"/>
          <w:color w:val="000000"/>
          <w:kern w:val="0"/>
        </w:rPr>
        <w:t xml:space="preserve">Housing Regulatory Authority in </w:t>
      </w:r>
      <w:r w:rsidR="00875821" w:rsidRPr="005A2F90">
        <w:rPr>
          <w:bCs w:val="0"/>
          <w:color w:val="000000"/>
          <w:kern w:val="0"/>
        </w:rPr>
        <w:t>order to regulate all social housing institutions obtaining or having obtained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public funds;</w:t>
      </w:r>
    </w:p>
    <w:p w:rsidR="00875821" w:rsidRPr="005A2F90" w:rsidRDefault="00D64BD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63</w:t>
      </w:r>
      <w:r w:rsidR="00875821" w:rsidRPr="005A2F90">
        <w:rPr>
          <w:bCs w:val="0"/>
          <w:color w:val="000000"/>
          <w:kern w:val="0"/>
        </w:rPr>
        <w:t>.4. To allow for the undertaking of approved project</w:t>
      </w:r>
      <w:r w:rsidR="00FD4C31" w:rsidRPr="005A2F90">
        <w:rPr>
          <w:bCs w:val="0"/>
          <w:color w:val="000000"/>
          <w:kern w:val="0"/>
        </w:rPr>
        <w:t xml:space="preserve">s by other delivery agents with </w:t>
      </w:r>
      <w:r w:rsidR="00875821" w:rsidRPr="005A2F90">
        <w:rPr>
          <w:bCs w:val="0"/>
          <w:color w:val="000000"/>
          <w:kern w:val="0"/>
        </w:rPr>
        <w:t>the benefit of public money;</w:t>
      </w:r>
    </w:p>
    <w:p w:rsidR="00875821" w:rsidRPr="005A2F90" w:rsidRDefault="00D64BD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63</w:t>
      </w:r>
      <w:r w:rsidR="00875821" w:rsidRPr="005A2F90">
        <w:rPr>
          <w:bCs w:val="0"/>
          <w:color w:val="000000"/>
          <w:kern w:val="0"/>
        </w:rPr>
        <w:t>.5. To give statutory recognition to social housing institutions; and</w:t>
      </w:r>
    </w:p>
    <w:p w:rsidR="00FD5A22" w:rsidRPr="005A2F90" w:rsidRDefault="00D64BD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63</w:t>
      </w:r>
      <w:r w:rsidR="00875821" w:rsidRPr="005A2F90">
        <w:rPr>
          <w:bCs w:val="0"/>
          <w:color w:val="000000"/>
          <w:kern w:val="0"/>
        </w:rPr>
        <w:t>.6. To provide for matters connected therewith.</w:t>
      </w:r>
    </w:p>
    <w:p w:rsidR="00FD4C31" w:rsidRPr="005A2F90" w:rsidRDefault="00FD4C31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FD5A22" w:rsidRPr="005A2F90" w:rsidRDefault="00FD4C3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64BDA" w:rsidRPr="005A2F90">
        <w:rPr>
          <w:bCs w:val="0"/>
          <w:color w:val="000000"/>
          <w:kern w:val="0"/>
        </w:rPr>
        <w:t>64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It further proclaims that in terms of section 2(1)(a) of the Housing Act, (Act No, 107 of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1997), National, provincial and local spheres of government must give priority to the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needs of the poor in respect of housing development.</w:t>
      </w:r>
    </w:p>
    <w:p w:rsidR="00541B9F" w:rsidRPr="005A2F90" w:rsidRDefault="00541B9F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FD5A22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64BDA" w:rsidRPr="005A2F90">
        <w:rPr>
          <w:bCs w:val="0"/>
          <w:color w:val="000000"/>
          <w:kern w:val="0"/>
        </w:rPr>
        <w:t>65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Further, all three spheres of government must, in terms of section 2(1)(e)(iii) of the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Housing Act, promote the establishment, development and maintenance of socially and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economically viable communities and of safe and healthy living conditions to ensure the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elimination of slums and slum conditions.</w:t>
      </w:r>
    </w:p>
    <w:p w:rsidR="00DE2785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64BDA" w:rsidRPr="005A2F90">
        <w:rPr>
          <w:bCs w:val="0"/>
          <w:color w:val="000000"/>
          <w:kern w:val="0"/>
        </w:rPr>
        <w:t>66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SHA also recognises that there is a need for social housing to be regulated and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that there is a dire need for affordable rental housing for low to medium income</w:t>
      </w:r>
    </w:p>
    <w:p w:rsidR="00FD5A22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household which can access rental housing in the open market.</w:t>
      </w:r>
    </w:p>
    <w:p w:rsidR="00DE2785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081497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64BDA" w:rsidRPr="005A2F90">
        <w:rPr>
          <w:bCs w:val="0"/>
          <w:color w:val="000000"/>
          <w:kern w:val="0"/>
        </w:rPr>
        <w:t>6</w:t>
      </w:r>
      <w:r w:rsidRPr="005A2F90">
        <w:rPr>
          <w:bCs w:val="0"/>
          <w:color w:val="000000"/>
          <w:kern w:val="0"/>
        </w:rPr>
        <w:t>7]</w:t>
      </w:r>
      <w:r w:rsidR="00875821" w:rsidRPr="005A2F90">
        <w:rPr>
          <w:bCs w:val="0"/>
          <w:color w:val="000000"/>
          <w:kern w:val="0"/>
        </w:rPr>
        <w:t xml:space="preserve"> </w:t>
      </w:r>
      <w:r w:rsidR="002D3105" w:rsidRPr="005A2F90">
        <w:rPr>
          <w:bCs w:val="0"/>
          <w:color w:val="000000"/>
          <w:kern w:val="0"/>
        </w:rPr>
        <w:t>T</w:t>
      </w:r>
      <w:r w:rsidR="00875821" w:rsidRPr="005A2F90">
        <w:rPr>
          <w:bCs w:val="0"/>
          <w:color w:val="000000"/>
          <w:kern w:val="0"/>
        </w:rPr>
        <w:t>he Act defines various critical concepts herein. Section 1 defines “</w:t>
      </w:r>
      <w:r w:rsidR="00875821" w:rsidRPr="005A2F90">
        <w:rPr>
          <w:bCs w:val="0"/>
          <w:i/>
          <w:iCs/>
          <w:color w:val="000000"/>
          <w:kern w:val="0"/>
        </w:rPr>
        <w:t>approved project</w:t>
      </w:r>
      <w:r w:rsidR="00875821" w:rsidRPr="005A2F90">
        <w:rPr>
          <w:bCs w:val="0"/>
          <w:color w:val="000000"/>
          <w:kern w:val="0"/>
        </w:rPr>
        <w:t>” as a social housing project in a</w:t>
      </w:r>
      <w:r w:rsidR="00FD5A2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restructuring zone approved by a provincial government pursuant to an application for</w:t>
      </w:r>
      <w:r w:rsidR="001D52B7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capital grant funding to undertake the acquisition, development, conversion or</w:t>
      </w:r>
      <w:r w:rsidR="00FD5A2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upgrading of building housing.”</w:t>
      </w:r>
    </w:p>
    <w:p w:rsidR="00DE2785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F95204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64BDA" w:rsidRPr="005A2F90">
        <w:rPr>
          <w:bCs w:val="0"/>
          <w:color w:val="000000"/>
          <w:kern w:val="0"/>
        </w:rPr>
        <w:t>68</w:t>
      </w:r>
      <w:r w:rsidRPr="005A2F90">
        <w:rPr>
          <w:bCs w:val="0"/>
          <w:color w:val="000000"/>
          <w:kern w:val="0"/>
        </w:rPr>
        <w:t>]</w:t>
      </w:r>
      <w:r w:rsidR="00FD5A2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“</w:t>
      </w:r>
      <w:r w:rsidR="00875821" w:rsidRPr="005A2F90">
        <w:rPr>
          <w:bCs w:val="0"/>
          <w:i/>
          <w:iCs/>
          <w:color w:val="000000"/>
          <w:kern w:val="0"/>
        </w:rPr>
        <w:t>Social Housing</w:t>
      </w:r>
      <w:r w:rsidR="00875821" w:rsidRPr="005A2F90">
        <w:rPr>
          <w:bCs w:val="0"/>
          <w:color w:val="000000"/>
          <w:kern w:val="0"/>
        </w:rPr>
        <w:t xml:space="preserve">” is defined as </w:t>
      </w:r>
      <w:r w:rsidR="00875821" w:rsidRPr="005A2F90">
        <w:rPr>
          <w:bCs w:val="0"/>
          <w:i/>
          <w:iCs/>
          <w:color w:val="000000"/>
          <w:kern w:val="0"/>
        </w:rPr>
        <w:t>“a rental or co-operative housing option for low to medium</w:t>
      </w:r>
      <w:r w:rsidR="00137D2B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income households at a level of scale and built from which requires institutionalised</w:t>
      </w:r>
      <w:r w:rsidR="00137D2B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management and which is provided by social housing institutions or other delivery</w:t>
      </w:r>
      <w:r w:rsidR="00137D2B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agents in approved projects in designed restructuring zones with the benefit of public</w:t>
      </w:r>
      <w:r w:rsidR="00137D2B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funding as contemplated in this Act.”</w:t>
      </w:r>
    </w:p>
    <w:p w:rsidR="00DE2785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743DD8" w:rsidRPr="005A2F90" w:rsidRDefault="00DE278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[</w:t>
      </w:r>
      <w:r w:rsidR="00D44180" w:rsidRPr="005A2F90">
        <w:rPr>
          <w:bCs w:val="0"/>
          <w:color w:val="000000"/>
          <w:kern w:val="0"/>
        </w:rPr>
        <w:t>6</w:t>
      </w:r>
      <w:r w:rsidR="00D64BDA" w:rsidRPr="005A2F90">
        <w:rPr>
          <w:bCs w:val="0"/>
          <w:color w:val="000000"/>
          <w:kern w:val="0"/>
        </w:rPr>
        <w:t>9</w:t>
      </w:r>
      <w:r w:rsidRPr="005A2F9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Section 2 of the SHA gives clarity to the principles that apply to social housing and those</w:t>
      </w:r>
      <w:r w:rsidR="00137D2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are to be applied in giving priority to the needs of low- and medium-income households</w:t>
      </w:r>
      <w:r w:rsidR="00137D2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respect of social housing development. The national, provincial and local spheres of</w:t>
      </w:r>
      <w:r w:rsidR="00137D2B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government must, </w:t>
      </w:r>
      <w:r w:rsidR="00875821" w:rsidRPr="005A2F90">
        <w:rPr>
          <w:bCs w:val="0"/>
          <w:i/>
          <w:iCs/>
          <w:color w:val="000000"/>
          <w:kern w:val="0"/>
        </w:rPr>
        <w:t>inter alia</w:t>
      </w:r>
      <w:r w:rsidR="00875821" w:rsidRPr="005A2F90">
        <w:rPr>
          <w:bCs w:val="0"/>
          <w:color w:val="000000"/>
          <w:kern w:val="0"/>
        </w:rPr>
        <w:t>,</w:t>
      </w:r>
    </w:p>
    <w:p w:rsidR="00137D2B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(a) ensure their respective housing programs are</w:t>
      </w:r>
      <w:r w:rsidR="00743DD8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responsive to local housing demands, and special priority must be given the needs of</w:t>
      </w:r>
      <w:r w:rsidR="00137D2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women, children, child-headed households, persons with disabilities and the elderly;</w:t>
      </w:r>
    </w:p>
    <w:p w:rsidR="00081497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(b)</w:t>
      </w:r>
      <w:r w:rsidR="00137D2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support the economic development o</w:t>
      </w:r>
      <w:r w:rsidR="0080258D">
        <w:rPr>
          <w:bCs w:val="0"/>
          <w:color w:val="000000"/>
          <w:kern w:val="0"/>
        </w:rPr>
        <w:t>f</w:t>
      </w:r>
      <w:r w:rsidRPr="005A2F90">
        <w:rPr>
          <w:bCs w:val="0"/>
          <w:color w:val="000000"/>
          <w:kern w:val="0"/>
        </w:rPr>
        <w:t xml:space="preserve"> low to medium income communities by providing</w:t>
      </w:r>
      <w:r w:rsidR="00137D2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housing close to jobs, markets and transport and by stimulating job opportunities to</w:t>
      </w:r>
      <w:r w:rsidR="00137D2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emerging entrepreneurs in the housing services and construction industries; and</w:t>
      </w:r>
    </w:p>
    <w:p w:rsidR="00AE4F5F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(c)</w:t>
      </w:r>
      <w:r w:rsidR="00137D2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afford residents the necessary dignity and privacy by providing the residents with a</w:t>
      </w:r>
      <w:r w:rsidR="00137D2B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clean, healthy and safe environment.</w:t>
      </w:r>
      <w:r w:rsidR="00743DD8" w:rsidRPr="005A2F90">
        <w:rPr>
          <w:rStyle w:val="FootnoteReference"/>
          <w:rFonts w:cs="Arial"/>
          <w:bCs w:val="0"/>
          <w:color w:val="000000"/>
          <w:kern w:val="0"/>
        </w:rPr>
        <w:footnoteReference w:id="60"/>
      </w:r>
    </w:p>
    <w:p w:rsidR="0080258D" w:rsidRDefault="0080258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82705A" w:rsidRDefault="008025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[</w:t>
      </w:r>
      <w:r w:rsidR="00AE4F5F" w:rsidRPr="0082705A">
        <w:rPr>
          <w:bCs w:val="0"/>
          <w:color w:val="000000"/>
          <w:kern w:val="0"/>
        </w:rPr>
        <w:t>7</w:t>
      </w:r>
      <w:r w:rsidR="00D64BDA" w:rsidRPr="0082705A">
        <w:rPr>
          <w:bCs w:val="0"/>
          <w:color w:val="000000"/>
          <w:kern w:val="0"/>
        </w:rPr>
        <w:t>0</w:t>
      </w:r>
      <w:r w:rsidRPr="0082705A">
        <w:rPr>
          <w:bCs w:val="0"/>
          <w:color w:val="000000"/>
          <w:kern w:val="0"/>
        </w:rPr>
        <w:t>]</w:t>
      </w:r>
      <w:r w:rsidR="00875821" w:rsidRPr="0082705A">
        <w:rPr>
          <w:bCs w:val="0"/>
          <w:color w:val="000000"/>
          <w:kern w:val="0"/>
        </w:rPr>
        <w:t xml:space="preserve"> Chapter 3 of the Act in section 7 thereof establishes t</w:t>
      </w:r>
      <w:r w:rsidRPr="0082705A">
        <w:rPr>
          <w:bCs w:val="0"/>
          <w:color w:val="000000"/>
          <w:kern w:val="0"/>
        </w:rPr>
        <w:t xml:space="preserve">he Applicant. It provides that: </w:t>
      </w:r>
      <w:r w:rsidR="00875821" w:rsidRPr="0082705A">
        <w:rPr>
          <w:bCs w:val="0"/>
          <w:i/>
          <w:iCs/>
          <w:color w:val="000000"/>
          <w:kern w:val="0"/>
        </w:rPr>
        <w:t>“7. (1) There is hereby established a juristic person to be known as the Social</w:t>
      </w:r>
      <w:r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i/>
          <w:iCs/>
          <w:color w:val="000000"/>
          <w:kern w:val="0"/>
        </w:rPr>
        <w:t>Housing Regulatory Authority.</w:t>
      </w:r>
    </w:p>
    <w:p w:rsidR="00875821" w:rsidRPr="0082705A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82705A">
        <w:rPr>
          <w:bCs w:val="0"/>
          <w:i/>
          <w:iCs/>
          <w:color w:val="000000"/>
          <w:kern w:val="0"/>
        </w:rPr>
        <w:t>(2) The Public Finance Management Act</w:t>
      </w:r>
      <w:r w:rsidR="0080258D" w:rsidRPr="0082705A">
        <w:rPr>
          <w:bCs w:val="0"/>
          <w:i/>
          <w:iCs/>
          <w:color w:val="000000"/>
          <w:kern w:val="0"/>
        </w:rPr>
        <w:t xml:space="preserve">, applies to the Social Housing </w:t>
      </w:r>
      <w:r w:rsidRPr="0082705A">
        <w:rPr>
          <w:bCs w:val="0"/>
          <w:i/>
          <w:iCs/>
          <w:color w:val="000000"/>
          <w:kern w:val="0"/>
        </w:rPr>
        <w:t>Regulatory Authority.</w:t>
      </w:r>
    </w:p>
    <w:p w:rsidR="00522868" w:rsidRPr="0082705A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82705A">
        <w:rPr>
          <w:bCs w:val="0"/>
          <w:i/>
          <w:iCs/>
          <w:color w:val="000000"/>
          <w:kern w:val="0"/>
        </w:rPr>
        <w:t>(3) The Social Housing Regulatory Authority</w:t>
      </w:r>
      <w:r w:rsidR="0080258D" w:rsidRPr="0082705A">
        <w:rPr>
          <w:bCs w:val="0"/>
          <w:i/>
          <w:iCs/>
          <w:color w:val="000000"/>
          <w:kern w:val="0"/>
        </w:rPr>
        <w:t xml:space="preserve"> is accountable to the Minister </w:t>
      </w:r>
      <w:r w:rsidRPr="0082705A">
        <w:rPr>
          <w:bCs w:val="0"/>
          <w:i/>
          <w:iCs/>
          <w:color w:val="000000"/>
          <w:kern w:val="0"/>
        </w:rPr>
        <w:t>and Parliament.”</w:t>
      </w:r>
    </w:p>
    <w:p w:rsidR="0080258D" w:rsidRPr="0082705A" w:rsidRDefault="008025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7E0E21" w:rsidRPr="0082705A" w:rsidRDefault="0080258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[</w:t>
      </w:r>
      <w:r w:rsidR="007E0E21" w:rsidRPr="0082705A">
        <w:rPr>
          <w:bCs w:val="0"/>
          <w:color w:val="000000"/>
          <w:kern w:val="0"/>
        </w:rPr>
        <w:t>7</w:t>
      </w:r>
      <w:r w:rsidR="00D64BDA" w:rsidRPr="0082705A">
        <w:rPr>
          <w:bCs w:val="0"/>
          <w:color w:val="000000"/>
          <w:kern w:val="0"/>
        </w:rPr>
        <w:t>1</w:t>
      </w:r>
      <w:r w:rsidRPr="0082705A">
        <w:rPr>
          <w:bCs w:val="0"/>
          <w:color w:val="000000"/>
          <w:kern w:val="0"/>
        </w:rPr>
        <w:t>]</w:t>
      </w:r>
      <w:r w:rsidR="00875821" w:rsidRPr="0082705A">
        <w:rPr>
          <w:bCs w:val="0"/>
          <w:color w:val="000000"/>
          <w:kern w:val="0"/>
        </w:rPr>
        <w:t xml:space="preserve"> Among its functions, the Applicant must, subject to the provisions of the SHA, provide</w:t>
      </w:r>
      <w:r w:rsidR="00137D2B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financial assistance to social housing institutions through grants to service providers</w:t>
      </w:r>
      <w:r w:rsidR="00743DD8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accredited by the Regulatory Authority to enable them to develop institutional capacity,</w:t>
      </w:r>
      <w:r w:rsidR="00743DD8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gain accreditation as social housing institutions, and to submit viable project</w:t>
      </w:r>
      <w:r w:rsidR="00743DD8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applications.</w:t>
      </w:r>
      <w:r w:rsidR="00743DD8" w:rsidRPr="0082705A">
        <w:rPr>
          <w:rStyle w:val="FootnoteReference"/>
          <w:rFonts w:cs="Arial"/>
          <w:bCs w:val="0"/>
          <w:color w:val="000000"/>
          <w:kern w:val="0"/>
        </w:rPr>
        <w:footnoteReference w:id="61"/>
      </w:r>
      <w:r w:rsidR="00522868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 xml:space="preserve"> It must also enter into suitable agreements with social housing</w:t>
      </w:r>
      <w:r w:rsidR="00743DD8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institutions and other delivery agents for the protection of the government’s investment</w:t>
      </w:r>
      <w:r w:rsidR="00743DD8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in social housing.</w:t>
      </w:r>
      <w:r w:rsidR="009E7CCA" w:rsidRPr="0082705A">
        <w:rPr>
          <w:rStyle w:val="FootnoteReference"/>
          <w:rFonts w:cs="Arial"/>
          <w:bCs w:val="0"/>
          <w:color w:val="000000"/>
          <w:kern w:val="0"/>
        </w:rPr>
        <w:footnoteReference w:id="62"/>
      </w:r>
    </w:p>
    <w:p w:rsidR="0082705A" w:rsidRPr="0082705A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22868" w:rsidRPr="005A2F90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[</w:t>
      </w:r>
      <w:r w:rsidR="00804B7E" w:rsidRPr="0082705A">
        <w:rPr>
          <w:bCs w:val="0"/>
          <w:color w:val="000000"/>
          <w:kern w:val="0"/>
        </w:rPr>
        <w:t>7</w:t>
      </w:r>
      <w:r w:rsidR="00136768" w:rsidRPr="0082705A">
        <w:rPr>
          <w:bCs w:val="0"/>
          <w:color w:val="000000"/>
          <w:kern w:val="0"/>
        </w:rPr>
        <w:t>2</w:t>
      </w:r>
      <w:r>
        <w:rPr>
          <w:bCs w:val="0"/>
          <w:color w:val="000000"/>
          <w:kern w:val="0"/>
        </w:rPr>
        <w:t>]</w:t>
      </w:r>
      <w:r w:rsidR="0052286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Section 12 of the Act provides extensive powers of the Applicant to intervene where</w:t>
      </w:r>
      <w:r w:rsidR="00743DD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evidence of maladministration is evident including the power to appoint, where possible</w:t>
      </w:r>
      <w:r w:rsidR="009E7CC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forensic auditors, and to approach the High Court for relevant relief pursuant to the</w:t>
      </w:r>
      <w:r w:rsidR="009E7CCA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findings of a forensic audit report.</w:t>
      </w:r>
    </w:p>
    <w:p w:rsidR="0082705A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[</w:t>
      </w:r>
      <w:r w:rsidR="00136768" w:rsidRPr="0082705A">
        <w:rPr>
          <w:bCs w:val="0"/>
          <w:color w:val="000000"/>
          <w:kern w:val="0"/>
        </w:rPr>
        <w:t>73</w:t>
      </w:r>
      <w:r w:rsidRPr="0082705A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Section 19 provides the Minister after consultation with Parliament to establish</w:t>
      </w:r>
    </w:p>
    <w:p w:rsidR="00875821" w:rsidRPr="005A2F90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 xml:space="preserve"> r</w:t>
      </w:r>
      <w:r w:rsidR="00875821" w:rsidRPr="005A2F90">
        <w:rPr>
          <w:bCs w:val="0"/>
          <w:color w:val="000000"/>
          <w:kern w:val="0"/>
        </w:rPr>
        <w:t>egulations prescribing, inter alia, a code of conduct, the investment criteria and the</w:t>
      </w:r>
    </w:p>
    <w:p w:rsidR="00522868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qualifying criteria for social housing institutions;</w:t>
      </w:r>
      <w:r w:rsidR="009E7CCA" w:rsidRPr="005A2F90">
        <w:rPr>
          <w:rStyle w:val="FootnoteReference"/>
          <w:rFonts w:cs="Arial"/>
          <w:bCs w:val="0"/>
          <w:color w:val="000000"/>
          <w:kern w:val="0"/>
        </w:rPr>
        <w:footnoteReference w:id="63"/>
      </w:r>
      <w:r w:rsidRPr="005A2F90">
        <w:rPr>
          <w:bCs w:val="0"/>
          <w:color w:val="000000"/>
          <w:kern w:val="0"/>
        </w:rPr>
        <w:t xml:space="preserve"> and may make regulations in respect</w:t>
      </w:r>
      <w:r w:rsidR="009E7CCA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of the provisions of the agreements between the Regulatory Authority and other service</w:t>
      </w:r>
      <w:r w:rsidR="009E7CCA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delivery agents.</w:t>
      </w:r>
      <w:r w:rsidR="009E7CCA" w:rsidRPr="005A2F90">
        <w:rPr>
          <w:rStyle w:val="FootnoteReference"/>
          <w:rFonts w:cs="Arial"/>
          <w:bCs w:val="0"/>
          <w:color w:val="000000"/>
          <w:kern w:val="0"/>
        </w:rPr>
        <w:footnoteReference w:id="64"/>
      </w:r>
    </w:p>
    <w:p w:rsidR="0082705A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67713B" w:rsidRPr="0082705A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[</w:t>
      </w:r>
      <w:r w:rsidR="00136768" w:rsidRPr="0082705A">
        <w:rPr>
          <w:bCs w:val="0"/>
          <w:color w:val="000000"/>
          <w:kern w:val="0"/>
        </w:rPr>
        <w:t>74</w:t>
      </w:r>
      <w:r w:rsidRPr="0082705A">
        <w:rPr>
          <w:bCs w:val="0"/>
          <w:color w:val="000000"/>
          <w:kern w:val="0"/>
        </w:rPr>
        <w:t>]</w:t>
      </w:r>
      <w:r w:rsidR="007E0E21" w:rsidRPr="0082705A">
        <w:rPr>
          <w:bCs w:val="0"/>
          <w:color w:val="000000"/>
          <w:kern w:val="0"/>
        </w:rPr>
        <w:t xml:space="preserve"> T</w:t>
      </w:r>
      <w:r w:rsidR="00875821" w:rsidRPr="0082705A">
        <w:rPr>
          <w:bCs w:val="0"/>
          <w:color w:val="000000"/>
          <w:kern w:val="0"/>
        </w:rPr>
        <w:t xml:space="preserve">he Regulations were enacted </w:t>
      </w:r>
      <w:r w:rsidR="0067713B" w:rsidRPr="0082705A">
        <w:rPr>
          <w:bCs w:val="0"/>
          <w:color w:val="000000"/>
          <w:kern w:val="0"/>
        </w:rPr>
        <w:t>to</w:t>
      </w:r>
      <w:r w:rsidR="00875821" w:rsidRPr="0082705A">
        <w:rPr>
          <w:bCs w:val="0"/>
          <w:color w:val="000000"/>
          <w:kern w:val="0"/>
        </w:rPr>
        <w:t xml:space="preserve"> provide</w:t>
      </w:r>
      <w:r w:rsidR="007E0E21" w:rsidRPr="0082705A">
        <w:rPr>
          <w:bCs w:val="0"/>
          <w:color w:val="000000"/>
          <w:kern w:val="0"/>
        </w:rPr>
        <w:t xml:space="preserve"> for </w:t>
      </w:r>
      <w:r w:rsidR="00875821" w:rsidRPr="0082705A">
        <w:rPr>
          <w:bCs w:val="0"/>
          <w:i/>
          <w:color w:val="000000"/>
          <w:kern w:val="0"/>
        </w:rPr>
        <w:t>inter alia</w:t>
      </w:r>
      <w:r w:rsidR="00875821" w:rsidRPr="0082705A">
        <w:rPr>
          <w:bCs w:val="0"/>
          <w:color w:val="000000"/>
          <w:kern w:val="0"/>
        </w:rPr>
        <w:t xml:space="preserve"> accreditation of</w:t>
      </w:r>
      <w:r w:rsidR="00804B7E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institutions that carries or intends to carry out business of social housing, with the</w:t>
      </w:r>
      <w:r w:rsidR="00804B7E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powers to stipulate reasonable conditions it may deem appropriate in the circumstances</w:t>
      </w:r>
      <w:r w:rsidR="009E7CCA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in order to ensure compliance with the Act, these regulations and the rules.</w:t>
      </w:r>
      <w:r w:rsidR="00550BF4" w:rsidRPr="0082705A">
        <w:rPr>
          <w:rStyle w:val="FootnoteReference"/>
          <w:rFonts w:cs="Arial"/>
          <w:bCs w:val="0"/>
          <w:color w:val="000000"/>
          <w:kern w:val="0"/>
        </w:rPr>
        <w:footnoteReference w:id="65"/>
      </w:r>
    </w:p>
    <w:p w:rsidR="0082705A" w:rsidRPr="0082705A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50BF4" w:rsidRPr="0082705A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[</w:t>
      </w:r>
      <w:r w:rsidR="00136768" w:rsidRPr="0082705A">
        <w:rPr>
          <w:bCs w:val="0"/>
          <w:color w:val="000000"/>
          <w:kern w:val="0"/>
        </w:rPr>
        <w:t>75</w:t>
      </w:r>
      <w:r w:rsidRPr="0082705A">
        <w:rPr>
          <w:bCs w:val="0"/>
          <w:color w:val="000000"/>
          <w:kern w:val="0"/>
        </w:rPr>
        <w:t>]</w:t>
      </w:r>
      <w:r w:rsidR="00575EB3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Article 18 in Chapter 5 of the Regulations deals with Investment Criteria of the Applicant.</w:t>
      </w:r>
      <w:r w:rsidR="00575EB3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It considers a number of areas that the Applicant must have regard to when investing</w:t>
      </w:r>
      <w:r w:rsidR="00575EB3" w:rsidRPr="0082705A">
        <w:rPr>
          <w:bCs w:val="0"/>
          <w:color w:val="000000"/>
          <w:kern w:val="0"/>
        </w:rPr>
        <w:t xml:space="preserve"> </w:t>
      </w:r>
      <w:r w:rsidR="00875821" w:rsidRPr="0082705A">
        <w:rPr>
          <w:bCs w:val="0"/>
          <w:color w:val="000000"/>
          <w:kern w:val="0"/>
        </w:rPr>
        <w:t>in a social housing project. Those covers fields like</w:t>
      </w:r>
      <w:r w:rsidR="00575EB3" w:rsidRPr="0082705A">
        <w:rPr>
          <w:bCs w:val="0"/>
          <w:color w:val="000000"/>
          <w:kern w:val="0"/>
        </w:rPr>
        <w:t>;</w:t>
      </w:r>
    </w:p>
    <w:p w:rsidR="00550BF4" w:rsidRPr="0082705A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(a)</w:t>
      </w:r>
      <w:r w:rsidR="009F5CA3">
        <w:rPr>
          <w:bCs w:val="0"/>
          <w:color w:val="000000"/>
          <w:kern w:val="0"/>
        </w:rPr>
        <w:t xml:space="preserve"> land and services criteria, as </w:t>
      </w:r>
      <w:r w:rsidRPr="0082705A">
        <w:rPr>
          <w:bCs w:val="0"/>
          <w:color w:val="000000"/>
          <w:kern w:val="0"/>
        </w:rPr>
        <w:t xml:space="preserve">specified in regulation 19; </w:t>
      </w:r>
    </w:p>
    <w:p w:rsidR="00550BF4" w:rsidRPr="0082705A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 xml:space="preserve">(b) housing design criteria as specified in regulation 20; </w:t>
      </w:r>
    </w:p>
    <w:p w:rsidR="00575EB3" w:rsidRPr="0082705A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(c)</w:t>
      </w:r>
      <w:r w:rsidR="00550BF4" w:rsidRPr="0082705A">
        <w:rPr>
          <w:bCs w:val="0"/>
          <w:color w:val="000000"/>
          <w:kern w:val="0"/>
        </w:rPr>
        <w:t xml:space="preserve"> </w:t>
      </w:r>
      <w:r w:rsidRPr="0082705A">
        <w:rPr>
          <w:bCs w:val="0"/>
          <w:color w:val="000000"/>
          <w:kern w:val="0"/>
        </w:rPr>
        <w:t xml:space="preserve">marketing arrangement criteria, specified in regulation 21; and </w:t>
      </w:r>
    </w:p>
    <w:p w:rsidR="00575EB3" w:rsidRPr="0082705A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82705A">
        <w:rPr>
          <w:bCs w:val="0"/>
          <w:color w:val="000000"/>
          <w:kern w:val="0"/>
        </w:rPr>
        <w:t>(d) end-user agreement,</w:t>
      </w:r>
      <w:r w:rsidR="00550BF4" w:rsidRPr="0082705A">
        <w:rPr>
          <w:bCs w:val="0"/>
          <w:color w:val="000000"/>
          <w:kern w:val="0"/>
        </w:rPr>
        <w:t xml:space="preserve"> </w:t>
      </w:r>
      <w:r w:rsidRPr="0082705A">
        <w:rPr>
          <w:bCs w:val="0"/>
          <w:color w:val="000000"/>
          <w:kern w:val="0"/>
        </w:rPr>
        <w:t>specified in regulation 22.</w:t>
      </w:r>
    </w:p>
    <w:p w:rsidR="0082705A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2705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9F5CA3">
        <w:rPr>
          <w:bCs w:val="0"/>
          <w:color w:val="000000"/>
          <w:kern w:val="0"/>
        </w:rPr>
        <w:t>[</w:t>
      </w:r>
      <w:r w:rsidR="00136768" w:rsidRPr="009F5CA3">
        <w:rPr>
          <w:bCs w:val="0"/>
          <w:color w:val="000000"/>
          <w:kern w:val="0"/>
        </w:rPr>
        <w:t>76</w:t>
      </w:r>
      <w:r w:rsidRPr="009F5CA3">
        <w:rPr>
          <w:bCs w:val="0"/>
          <w:color w:val="000000"/>
          <w:kern w:val="0"/>
        </w:rPr>
        <w:t>]</w:t>
      </w:r>
      <w:r w:rsidR="00875821" w:rsidRPr="005A2F90">
        <w:rPr>
          <w:b/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Regulation 19 specifically deals with land and services criteria. It provides as follows: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“19. (1) In order to comply with the land and service criteria, the social housing institution</w:t>
      </w:r>
      <w:r w:rsidR="00550BF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responsible for the housing stock during development must—</w:t>
      </w:r>
    </w:p>
    <w:p w:rsidR="00575EB3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(a) be the registered owner of the land to be uti</w:t>
      </w:r>
      <w:r w:rsidR="007402B3">
        <w:rPr>
          <w:bCs w:val="0"/>
          <w:i/>
          <w:iCs/>
          <w:color w:val="000000"/>
          <w:kern w:val="0"/>
        </w:rPr>
        <w:t xml:space="preserve">lized for development or have a </w:t>
      </w:r>
      <w:r w:rsidRPr="005A2F90">
        <w:rPr>
          <w:bCs w:val="0"/>
          <w:i/>
          <w:iCs/>
          <w:color w:val="000000"/>
          <w:kern w:val="0"/>
        </w:rPr>
        <w:t>minimum</w:t>
      </w:r>
      <w:r w:rsidR="00550BF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lease period of 30 years of the land with the public sector…”</w:t>
      </w:r>
    </w:p>
    <w:p w:rsidR="009F5CA3" w:rsidRDefault="009F5CA3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9F5CA3" w:rsidRDefault="009F5CA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9F5CA3">
        <w:rPr>
          <w:bCs w:val="0"/>
          <w:color w:val="000000"/>
          <w:kern w:val="0"/>
        </w:rPr>
        <w:t>[</w:t>
      </w:r>
      <w:r w:rsidR="00136768" w:rsidRPr="009F5CA3">
        <w:rPr>
          <w:bCs w:val="0"/>
          <w:color w:val="000000"/>
          <w:kern w:val="0"/>
        </w:rPr>
        <w:t>77</w:t>
      </w:r>
      <w:r w:rsidRPr="009F5CA3">
        <w:rPr>
          <w:bCs w:val="0"/>
          <w:color w:val="000000"/>
          <w:kern w:val="0"/>
        </w:rPr>
        <w:t>]</w:t>
      </w:r>
      <w:r w:rsidR="00875821" w:rsidRPr="009F5CA3">
        <w:rPr>
          <w:bCs w:val="0"/>
          <w:color w:val="000000"/>
          <w:kern w:val="0"/>
        </w:rPr>
        <w:t xml:space="preserve"> As indicated herein above, in order for a social ho</w:t>
      </w:r>
      <w:r w:rsidR="007402B3">
        <w:rPr>
          <w:bCs w:val="0"/>
          <w:color w:val="000000"/>
          <w:kern w:val="0"/>
        </w:rPr>
        <w:t xml:space="preserve">using institution (“SHI”) to be </w:t>
      </w:r>
      <w:r w:rsidR="00875821" w:rsidRPr="009F5CA3">
        <w:rPr>
          <w:bCs w:val="0"/>
          <w:color w:val="000000"/>
          <w:kern w:val="0"/>
        </w:rPr>
        <w:t>eligible</w:t>
      </w:r>
      <w:r w:rsidR="00550BF4" w:rsidRPr="009F5CA3">
        <w:rPr>
          <w:bCs w:val="0"/>
          <w:color w:val="000000"/>
          <w:kern w:val="0"/>
        </w:rPr>
        <w:t xml:space="preserve"> </w:t>
      </w:r>
      <w:r w:rsidR="00875821" w:rsidRPr="009F5CA3">
        <w:rPr>
          <w:bCs w:val="0"/>
          <w:color w:val="000000"/>
          <w:kern w:val="0"/>
        </w:rPr>
        <w:t>to apply for grant funding from the Applicant, the relevant SHI must have obtained either</w:t>
      </w:r>
      <w:r w:rsidR="00550BF4" w:rsidRPr="009F5CA3">
        <w:rPr>
          <w:bCs w:val="0"/>
          <w:color w:val="000000"/>
          <w:kern w:val="0"/>
        </w:rPr>
        <w:t xml:space="preserve"> </w:t>
      </w:r>
      <w:r w:rsidR="00875821" w:rsidRPr="009F5CA3">
        <w:rPr>
          <w:bCs w:val="0"/>
          <w:color w:val="000000"/>
          <w:kern w:val="0"/>
        </w:rPr>
        <w:t>conditional or full accreditation as an SHI from the SHRA</w:t>
      </w:r>
      <w:r w:rsidR="00575EB3" w:rsidRPr="009F5CA3">
        <w:rPr>
          <w:bCs w:val="0"/>
          <w:color w:val="000000"/>
          <w:kern w:val="0"/>
        </w:rPr>
        <w:t>.</w:t>
      </w:r>
      <w:r w:rsidR="00875821" w:rsidRPr="009F5CA3">
        <w:rPr>
          <w:bCs w:val="0"/>
          <w:color w:val="000000"/>
          <w:kern w:val="0"/>
        </w:rPr>
        <w:t xml:space="preserve"> </w:t>
      </w:r>
    </w:p>
    <w:p w:rsidR="009F5CA3" w:rsidRPr="009F5CA3" w:rsidRDefault="009F5CA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75EB3" w:rsidRDefault="009F5CA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9F5CA3">
        <w:rPr>
          <w:bCs w:val="0"/>
          <w:color w:val="000000"/>
          <w:kern w:val="0"/>
        </w:rPr>
        <w:t>[</w:t>
      </w:r>
      <w:r w:rsidR="00136768" w:rsidRPr="009F5CA3">
        <w:rPr>
          <w:bCs w:val="0"/>
          <w:color w:val="000000"/>
          <w:kern w:val="0"/>
        </w:rPr>
        <w:t>7</w:t>
      </w:r>
      <w:r w:rsidRPr="009F5CA3">
        <w:rPr>
          <w:bCs w:val="0"/>
          <w:color w:val="000000"/>
          <w:kern w:val="0"/>
        </w:rPr>
        <w:t>8]</w:t>
      </w:r>
      <w:r w:rsidR="00875821" w:rsidRPr="005A2F90">
        <w:rPr>
          <w:bCs w:val="0"/>
          <w:color w:val="000000"/>
          <w:kern w:val="0"/>
        </w:rPr>
        <w:t xml:space="preserve"> Conditional accreditation, on the one hand, wou</w:t>
      </w:r>
      <w:r w:rsidR="007402B3">
        <w:rPr>
          <w:bCs w:val="0"/>
          <w:color w:val="000000"/>
          <w:kern w:val="0"/>
        </w:rPr>
        <w:t xml:space="preserve">ld entitle an SHI to operate as </w:t>
      </w:r>
      <w:r w:rsidR="00875821" w:rsidRPr="005A2F90">
        <w:rPr>
          <w:bCs w:val="0"/>
          <w:color w:val="000000"/>
          <w:kern w:val="0"/>
        </w:rPr>
        <w:t xml:space="preserve">such under prescribed conditions set out in </w:t>
      </w:r>
      <w:r w:rsidR="007402B3">
        <w:rPr>
          <w:bCs w:val="0"/>
          <w:color w:val="000000"/>
          <w:kern w:val="0"/>
        </w:rPr>
        <w:t xml:space="preserve">a conditional compliance notice pending </w:t>
      </w:r>
      <w:r w:rsidR="00875821" w:rsidRPr="005A2F90">
        <w:rPr>
          <w:bCs w:val="0"/>
          <w:color w:val="000000"/>
          <w:kern w:val="0"/>
        </w:rPr>
        <w:t>the fulfilment of outstanding accreditation requirements for a period not</w:t>
      </w:r>
      <w:r w:rsidR="007402B3">
        <w:rPr>
          <w:bCs w:val="0"/>
          <w:color w:val="000000"/>
          <w:kern w:val="0"/>
        </w:rPr>
        <w:t xml:space="preserve"> exceeding two </w:t>
      </w:r>
      <w:r w:rsidR="00875821" w:rsidRPr="005A2F90">
        <w:rPr>
          <w:bCs w:val="0"/>
          <w:color w:val="000000"/>
          <w:kern w:val="0"/>
        </w:rPr>
        <w:t>years from the date of conditional accreditation</w:t>
      </w:r>
      <w:r w:rsidR="00575EB3" w:rsidRPr="005A2F90">
        <w:rPr>
          <w:bCs w:val="0"/>
          <w:color w:val="000000"/>
          <w:kern w:val="0"/>
        </w:rPr>
        <w:t>.</w:t>
      </w:r>
    </w:p>
    <w:p w:rsidR="007402B3" w:rsidRP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7402B3">
        <w:rPr>
          <w:bCs w:val="0"/>
          <w:color w:val="000000"/>
          <w:kern w:val="0"/>
        </w:rPr>
        <w:t>[</w:t>
      </w:r>
      <w:r w:rsidR="00136768" w:rsidRPr="007402B3">
        <w:rPr>
          <w:bCs w:val="0"/>
          <w:color w:val="000000"/>
          <w:kern w:val="0"/>
        </w:rPr>
        <w:t>79</w:t>
      </w:r>
      <w:r w:rsidRPr="007402B3">
        <w:rPr>
          <w:bCs w:val="0"/>
          <w:color w:val="000000"/>
          <w:kern w:val="0"/>
        </w:rPr>
        <w:t>]</w:t>
      </w:r>
      <w:r w:rsidR="00575EB3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Full accreditation, on the other, means the r</w:t>
      </w:r>
      <w:r>
        <w:rPr>
          <w:bCs w:val="0"/>
          <w:color w:val="000000"/>
          <w:kern w:val="0"/>
        </w:rPr>
        <w:t xml:space="preserve">elevant SHI would have complied with </w:t>
      </w:r>
      <w:r w:rsidR="00875821" w:rsidRPr="007402B3">
        <w:rPr>
          <w:bCs w:val="0"/>
          <w:color w:val="000000"/>
          <w:kern w:val="0"/>
        </w:rPr>
        <w:t>all of the Applicant’s prescribed accreditation requirements, cri</w:t>
      </w:r>
      <w:r>
        <w:rPr>
          <w:bCs w:val="0"/>
          <w:color w:val="000000"/>
          <w:kern w:val="0"/>
        </w:rPr>
        <w:t xml:space="preserve">teria and standards </w:t>
      </w:r>
      <w:r w:rsidR="00875821" w:rsidRPr="007402B3">
        <w:rPr>
          <w:bCs w:val="0"/>
          <w:color w:val="000000"/>
          <w:kern w:val="0"/>
        </w:rPr>
        <w:t xml:space="preserve">which would empower the relevant </w:t>
      </w:r>
      <w:r>
        <w:rPr>
          <w:bCs w:val="0"/>
          <w:color w:val="000000"/>
          <w:kern w:val="0"/>
        </w:rPr>
        <w:t xml:space="preserve">SHI to operate for a period not </w:t>
      </w:r>
      <w:r w:rsidR="00875821" w:rsidRPr="007402B3">
        <w:rPr>
          <w:bCs w:val="0"/>
          <w:color w:val="000000"/>
          <w:kern w:val="0"/>
        </w:rPr>
        <w:t>exceeding five years before applying for renewal of accreditation.</w:t>
      </w:r>
      <w:r w:rsidR="00550BF4" w:rsidRPr="007402B3">
        <w:rPr>
          <w:rStyle w:val="FootnoteReference"/>
          <w:rFonts w:cs="Arial"/>
          <w:bCs w:val="0"/>
          <w:color w:val="000000"/>
          <w:kern w:val="0"/>
        </w:rPr>
        <w:footnoteReference w:id="66"/>
      </w:r>
      <w:r w:rsidR="00875821" w:rsidRPr="007402B3">
        <w:rPr>
          <w:color w:val="FFFFFF"/>
          <w:kern w:val="0"/>
        </w:rPr>
        <w:t>1699b2bf8-34</w:t>
      </w:r>
    </w:p>
    <w:p w:rsid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7402B3">
        <w:rPr>
          <w:bCs w:val="0"/>
          <w:color w:val="000000"/>
          <w:kern w:val="0"/>
        </w:rPr>
        <w:t>[</w:t>
      </w:r>
      <w:r w:rsidR="00575EB3" w:rsidRPr="007402B3">
        <w:rPr>
          <w:bCs w:val="0"/>
          <w:color w:val="000000"/>
          <w:kern w:val="0"/>
        </w:rPr>
        <w:t>8</w:t>
      </w:r>
      <w:r w:rsidR="00136768" w:rsidRPr="007402B3">
        <w:rPr>
          <w:bCs w:val="0"/>
          <w:color w:val="000000"/>
          <w:kern w:val="0"/>
        </w:rPr>
        <w:t>0</w:t>
      </w:r>
      <w:r w:rsidRPr="007402B3">
        <w:rPr>
          <w:bCs w:val="0"/>
          <w:color w:val="000000"/>
          <w:kern w:val="0"/>
        </w:rPr>
        <w:t>]</w:t>
      </w:r>
      <w:r w:rsidR="00575EB3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The Applicant has an investment policy which sets out the process of application for an</w:t>
      </w:r>
      <w:r w:rsidR="00550BF4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SHI, as discussed,</w:t>
      </w:r>
      <w:r w:rsidR="00F9302F" w:rsidRPr="007402B3">
        <w:rPr>
          <w:bCs w:val="0"/>
          <w:color w:val="000000"/>
          <w:kern w:val="0"/>
        </w:rPr>
        <w:t xml:space="preserve"> if an entity </w:t>
      </w:r>
      <w:r w:rsidR="00875821" w:rsidRPr="007402B3">
        <w:rPr>
          <w:bCs w:val="0"/>
          <w:color w:val="000000"/>
          <w:kern w:val="0"/>
        </w:rPr>
        <w:t>seeks accreditation from the Applicant.</w:t>
      </w:r>
    </w:p>
    <w:p w:rsid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F9302F" w:rsidRP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7402B3">
        <w:rPr>
          <w:bCs w:val="0"/>
          <w:color w:val="000000"/>
          <w:kern w:val="0"/>
        </w:rPr>
        <w:t>[</w:t>
      </w:r>
      <w:r w:rsidR="00F9302F" w:rsidRPr="007402B3">
        <w:rPr>
          <w:bCs w:val="0"/>
          <w:color w:val="000000"/>
          <w:kern w:val="0"/>
        </w:rPr>
        <w:t>8</w:t>
      </w:r>
      <w:r w:rsidR="00136768" w:rsidRPr="007402B3">
        <w:rPr>
          <w:bCs w:val="0"/>
          <w:color w:val="000000"/>
          <w:kern w:val="0"/>
        </w:rPr>
        <w:t>1</w:t>
      </w:r>
      <w:r w:rsidRPr="007402B3">
        <w:rPr>
          <w:bCs w:val="0"/>
          <w:color w:val="000000"/>
          <w:kern w:val="0"/>
        </w:rPr>
        <w:t>]</w:t>
      </w:r>
      <w:r w:rsidR="00575EB3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It further sets out the process for the evaluation, consideration and approval of an</w:t>
      </w:r>
      <w:r w:rsidR="00550BF4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application from an SHI for project accreditation from the Applicant for grant funding,</w:t>
      </w:r>
      <w:r w:rsidR="00550BF4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with which compliance is mandatory.</w:t>
      </w:r>
    </w:p>
    <w:p w:rsid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EE7DD4" w:rsidRP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7402B3">
        <w:rPr>
          <w:bCs w:val="0"/>
          <w:color w:val="000000"/>
          <w:kern w:val="0"/>
        </w:rPr>
        <w:t>[</w:t>
      </w:r>
      <w:r w:rsidR="00114512" w:rsidRPr="007402B3">
        <w:rPr>
          <w:bCs w:val="0"/>
          <w:color w:val="000000"/>
          <w:kern w:val="0"/>
        </w:rPr>
        <w:t>8</w:t>
      </w:r>
      <w:r w:rsidR="00136768" w:rsidRPr="007402B3">
        <w:rPr>
          <w:bCs w:val="0"/>
          <w:color w:val="000000"/>
          <w:kern w:val="0"/>
        </w:rPr>
        <w:t>2</w:t>
      </w:r>
      <w:r w:rsidRPr="007402B3">
        <w:rPr>
          <w:bCs w:val="0"/>
          <w:color w:val="000000"/>
          <w:kern w:val="0"/>
        </w:rPr>
        <w:t>]</w:t>
      </w:r>
      <w:r w:rsidR="00875821" w:rsidRPr="007402B3">
        <w:rPr>
          <w:bCs w:val="0"/>
          <w:color w:val="000000"/>
          <w:kern w:val="0"/>
        </w:rPr>
        <w:t xml:space="preserve"> The Applicant’s investment policy is the Social Housing Investment Plan contemplated</w:t>
      </w:r>
      <w:r w:rsidR="00550BF4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in section 11(2) of the Social Housing Act. It is subject to the PFMA and approval by the</w:t>
      </w:r>
      <w:r w:rsidR="00550BF4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executive authority, under whose terms the approval, allocation and administration of</w:t>
      </w:r>
      <w:r w:rsidR="00550BF4" w:rsidRPr="007402B3">
        <w:rPr>
          <w:bCs w:val="0"/>
          <w:color w:val="000000"/>
          <w:kern w:val="0"/>
        </w:rPr>
        <w:t xml:space="preserve"> </w:t>
      </w:r>
      <w:r w:rsidR="00875821" w:rsidRPr="007402B3">
        <w:rPr>
          <w:bCs w:val="0"/>
          <w:color w:val="000000"/>
          <w:kern w:val="0"/>
        </w:rPr>
        <w:t>capital grants is made.</w:t>
      </w:r>
    </w:p>
    <w:p w:rsid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EE7DD4" w:rsidRPr="005A2F90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7402B3">
        <w:rPr>
          <w:bCs w:val="0"/>
          <w:color w:val="000000"/>
          <w:kern w:val="0"/>
        </w:rPr>
        <w:t>[</w:t>
      </w:r>
      <w:r w:rsidR="00136768" w:rsidRPr="007402B3">
        <w:rPr>
          <w:bCs w:val="0"/>
          <w:color w:val="000000"/>
          <w:kern w:val="0"/>
        </w:rPr>
        <w:t>83</w:t>
      </w:r>
      <w:r w:rsidRPr="007402B3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terms of Regulation 18 read with Regulation </w:t>
      </w:r>
      <w:r>
        <w:rPr>
          <w:bCs w:val="0"/>
          <w:color w:val="000000"/>
          <w:kern w:val="0"/>
        </w:rPr>
        <w:t xml:space="preserve">19 of the SHRA Regulations, the </w:t>
      </w:r>
      <w:r w:rsidR="00875821" w:rsidRPr="005A2F90">
        <w:rPr>
          <w:bCs w:val="0"/>
          <w:color w:val="000000"/>
          <w:kern w:val="0"/>
        </w:rPr>
        <w:t xml:space="preserve">Applicant may invest in SHI’s against set land and service </w:t>
      </w:r>
      <w:r w:rsidR="00114512" w:rsidRPr="005A2F90">
        <w:rPr>
          <w:bCs w:val="0"/>
          <w:color w:val="000000"/>
          <w:kern w:val="0"/>
        </w:rPr>
        <w:t>criteria which mean</w:t>
      </w:r>
      <w:r w:rsidR="00875821" w:rsidRPr="005A2F90">
        <w:rPr>
          <w:bCs w:val="0"/>
          <w:color w:val="000000"/>
          <w:kern w:val="0"/>
        </w:rPr>
        <w:t xml:space="preserve"> the SHI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being either the registered owner of the land to be used for development or having a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minimum lease period of 30 years of the land to be used for development, with the public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sector.</w:t>
      </w:r>
    </w:p>
    <w:p w:rsidR="007402B3" w:rsidRDefault="007402B3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F0137F" w:rsidRPr="005A2F9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[</w:t>
      </w:r>
      <w:r w:rsidR="00B1481A" w:rsidRPr="000067B0">
        <w:rPr>
          <w:bCs w:val="0"/>
          <w:color w:val="000000"/>
          <w:kern w:val="0"/>
        </w:rPr>
        <w:t>84</w:t>
      </w:r>
      <w:r w:rsidRPr="000067B0">
        <w:rPr>
          <w:bCs w:val="0"/>
          <w:color w:val="000000"/>
          <w:kern w:val="0"/>
        </w:rPr>
        <w:t>]</w:t>
      </w:r>
      <w:r w:rsidR="00875821" w:rsidRPr="000067B0">
        <w:rPr>
          <w:bCs w:val="0"/>
          <w:color w:val="000000"/>
          <w:kern w:val="0"/>
        </w:rPr>
        <w:t xml:space="preserve"> In</w:t>
      </w:r>
      <w:r w:rsidR="00875821" w:rsidRPr="005A2F90">
        <w:rPr>
          <w:bCs w:val="0"/>
          <w:color w:val="000000"/>
          <w:kern w:val="0"/>
        </w:rPr>
        <w:t xml:space="preserve"> order for an SHI to obtain project accreditation for the approval and allocation of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capital grant funding for the development of a social housing project, its application for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project application serves before the SHRA Technical Evaluation Committee (“TEC”)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which considers the application in terms of chapter 5 of the SHRA Regulations.</w:t>
      </w:r>
      <w:r w:rsidR="00AB59B5" w:rsidRPr="005A2F90">
        <w:rPr>
          <w:rStyle w:val="FootnoteReference"/>
          <w:rFonts w:cs="Arial"/>
          <w:bCs w:val="0"/>
          <w:color w:val="000000"/>
          <w:kern w:val="0"/>
        </w:rPr>
        <w:footnoteReference w:id="67"/>
      </w:r>
    </w:p>
    <w:p w:rsidR="000067B0" w:rsidRPr="000067B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0067B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[</w:t>
      </w:r>
      <w:r w:rsidR="00B1481A" w:rsidRPr="000067B0">
        <w:rPr>
          <w:bCs w:val="0"/>
          <w:color w:val="000000"/>
          <w:kern w:val="0"/>
        </w:rPr>
        <w:t>85</w:t>
      </w:r>
      <w:r w:rsidRPr="000067B0">
        <w:rPr>
          <w:bCs w:val="0"/>
          <w:color w:val="000000"/>
          <w:kern w:val="0"/>
        </w:rPr>
        <w:t>]</w:t>
      </w:r>
      <w:r w:rsidR="00875821" w:rsidRPr="000067B0">
        <w:rPr>
          <w:bCs w:val="0"/>
          <w:color w:val="000000"/>
          <w:kern w:val="0"/>
        </w:rPr>
        <w:t xml:space="preserve"> The First Respondent, at the time of its application for grant funding in 2017, had</w:t>
      </w:r>
    </w:p>
    <w:p w:rsidR="00F0137F" w:rsidRPr="000067B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obtained conditional accreditation subject to the prescribed accreditation requirements</w:t>
      </w:r>
      <w:r w:rsidR="00AB59B5" w:rsidRPr="000067B0">
        <w:rPr>
          <w:bCs w:val="0"/>
          <w:color w:val="000000"/>
          <w:kern w:val="0"/>
        </w:rPr>
        <w:t xml:space="preserve"> </w:t>
      </w:r>
      <w:r w:rsidRPr="000067B0">
        <w:rPr>
          <w:bCs w:val="0"/>
          <w:color w:val="000000"/>
          <w:kern w:val="0"/>
        </w:rPr>
        <w:t>set out in the conditional compliance notice i</w:t>
      </w:r>
      <w:r w:rsidR="00FA04E7">
        <w:rPr>
          <w:bCs w:val="0"/>
          <w:color w:val="000000"/>
          <w:kern w:val="0"/>
        </w:rPr>
        <w:t xml:space="preserve">ssued to it on 11 May 2017 with </w:t>
      </w:r>
      <w:r w:rsidRPr="000067B0">
        <w:rPr>
          <w:bCs w:val="0"/>
          <w:color w:val="000000"/>
          <w:kern w:val="0"/>
        </w:rPr>
        <w:t>compliance</w:t>
      </w:r>
      <w:r w:rsidR="00AB59B5" w:rsidRPr="000067B0">
        <w:rPr>
          <w:bCs w:val="0"/>
          <w:color w:val="000000"/>
          <w:kern w:val="0"/>
        </w:rPr>
        <w:t xml:space="preserve"> </w:t>
      </w:r>
      <w:r w:rsidRPr="000067B0">
        <w:rPr>
          <w:bCs w:val="0"/>
          <w:color w:val="000000"/>
          <w:kern w:val="0"/>
        </w:rPr>
        <w:t>therein to be attained by 31 October 2017.</w:t>
      </w:r>
      <w:r w:rsidR="00AB59B5" w:rsidRPr="000067B0">
        <w:rPr>
          <w:rStyle w:val="FootnoteReference"/>
          <w:rFonts w:cs="Arial"/>
          <w:bCs w:val="0"/>
          <w:color w:val="000000"/>
          <w:kern w:val="0"/>
        </w:rPr>
        <w:footnoteReference w:id="68"/>
      </w:r>
    </w:p>
    <w:p w:rsidR="00FA04E7" w:rsidRDefault="00FA04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F0137F" w:rsidRPr="000067B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[</w:t>
      </w:r>
      <w:r w:rsidR="00B1481A" w:rsidRPr="000067B0">
        <w:rPr>
          <w:bCs w:val="0"/>
          <w:color w:val="000000"/>
          <w:kern w:val="0"/>
        </w:rPr>
        <w:t>86</w:t>
      </w:r>
      <w:r w:rsidRPr="000067B0">
        <w:rPr>
          <w:bCs w:val="0"/>
          <w:color w:val="000000"/>
          <w:kern w:val="0"/>
        </w:rPr>
        <w:t>]</w:t>
      </w:r>
      <w:r w:rsidR="00875821" w:rsidRPr="000067B0">
        <w:rPr>
          <w:bCs w:val="0"/>
          <w:color w:val="000000"/>
          <w:kern w:val="0"/>
        </w:rPr>
        <w:t xml:space="preserve"> The minutes of this meeting show that the cost of the land on which the social housing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 xml:space="preserve">project of the First Respondent was </w:t>
      </w:r>
      <w:r w:rsidR="00FA04E7">
        <w:rPr>
          <w:bCs w:val="0"/>
          <w:color w:val="000000"/>
          <w:kern w:val="0"/>
        </w:rPr>
        <w:t xml:space="preserve">to be developed aroused serious </w:t>
      </w:r>
      <w:r w:rsidR="00875821" w:rsidRPr="000067B0">
        <w:rPr>
          <w:bCs w:val="0"/>
          <w:color w:val="000000"/>
          <w:kern w:val="0"/>
        </w:rPr>
        <w:t>discussion and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so too was the legal structure of the First Respondent.</w:t>
      </w:r>
      <w:r w:rsidR="00AB59B5" w:rsidRPr="000067B0">
        <w:rPr>
          <w:rStyle w:val="FootnoteReference"/>
          <w:rFonts w:cs="Arial"/>
          <w:bCs w:val="0"/>
          <w:color w:val="000000"/>
          <w:kern w:val="0"/>
        </w:rPr>
        <w:footnoteReference w:id="69"/>
      </w:r>
    </w:p>
    <w:p w:rsidR="00FA04E7" w:rsidRDefault="00FA04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6943D3" w:rsidRPr="000067B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[</w:t>
      </w:r>
      <w:r w:rsidR="00B1481A" w:rsidRPr="000067B0">
        <w:rPr>
          <w:bCs w:val="0"/>
          <w:color w:val="000000"/>
          <w:kern w:val="0"/>
        </w:rPr>
        <w:t>87</w:t>
      </w:r>
      <w:r w:rsidRPr="000067B0">
        <w:rPr>
          <w:bCs w:val="0"/>
          <w:color w:val="000000"/>
          <w:kern w:val="0"/>
        </w:rPr>
        <w:t>]</w:t>
      </w:r>
      <w:r w:rsidR="00F0137F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In terms of clause 4.4.3 of the Applicant’s Investment Policy, the evaluation report and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recommendations of the TEC are to be tabled before the Investment Committee of the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Applicant’s Council at the instance of the Applicant’s Company Secretary.</w:t>
      </w:r>
    </w:p>
    <w:p w:rsidR="00FA04E7" w:rsidRDefault="00FA04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F0137F" w:rsidRPr="000067B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[</w:t>
      </w:r>
      <w:r w:rsidR="00B1481A" w:rsidRPr="000067B0">
        <w:rPr>
          <w:bCs w:val="0"/>
          <w:color w:val="000000"/>
          <w:kern w:val="0"/>
        </w:rPr>
        <w:t>88</w:t>
      </w:r>
      <w:r w:rsidRPr="000067B0">
        <w:rPr>
          <w:bCs w:val="0"/>
          <w:color w:val="000000"/>
          <w:kern w:val="0"/>
        </w:rPr>
        <w:t>]</w:t>
      </w:r>
      <w:r w:rsidR="00875821" w:rsidRPr="000067B0">
        <w:rPr>
          <w:bCs w:val="0"/>
          <w:color w:val="000000"/>
          <w:kern w:val="0"/>
        </w:rPr>
        <w:t xml:space="preserve"> The Investment Committee of the Applicant’s Council convened to deliberate on and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consider the TEC evaluation report and the attendant recommendation for approval in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respect of the First Respondent and res</w:t>
      </w:r>
      <w:r w:rsidR="000E3634">
        <w:rPr>
          <w:bCs w:val="0"/>
          <w:color w:val="000000"/>
          <w:kern w:val="0"/>
        </w:rPr>
        <w:t xml:space="preserve">olved to recommend the approval </w:t>
      </w:r>
      <w:r w:rsidR="00875821" w:rsidRPr="000067B0">
        <w:rPr>
          <w:bCs w:val="0"/>
          <w:color w:val="000000"/>
          <w:kern w:val="0"/>
        </w:rPr>
        <w:t>of the First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Respondent’s application to the SHRA Council.</w:t>
      </w:r>
      <w:r w:rsidR="00AB59B5" w:rsidRPr="000067B0">
        <w:rPr>
          <w:rStyle w:val="FootnoteReference"/>
          <w:rFonts w:cs="Arial"/>
          <w:bCs w:val="0"/>
          <w:color w:val="000000"/>
          <w:kern w:val="0"/>
        </w:rPr>
        <w:footnoteReference w:id="70"/>
      </w:r>
    </w:p>
    <w:p w:rsid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F0137F" w:rsidRPr="000067B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[</w:t>
      </w:r>
      <w:r w:rsidR="00B1481A" w:rsidRPr="000067B0">
        <w:rPr>
          <w:bCs w:val="0"/>
          <w:color w:val="000000"/>
          <w:kern w:val="0"/>
        </w:rPr>
        <w:t>8</w:t>
      </w:r>
      <w:r w:rsidRPr="000067B0">
        <w:rPr>
          <w:bCs w:val="0"/>
          <w:color w:val="000000"/>
          <w:kern w:val="0"/>
        </w:rPr>
        <w:t>9]</w:t>
      </w:r>
      <w:r w:rsidR="00F0137F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In terms of clause 4.4.5 of the Applicant’s Inv</w:t>
      </w:r>
      <w:r w:rsidR="000E3634">
        <w:rPr>
          <w:bCs w:val="0"/>
          <w:color w:val="000000"/>
          <w:kern w:val="0"/>
        </w:rPr>
        <w:t xml:space="preserve">estment Policy, the Applicant’s </w:t>
      </w:r>
      <w:r w:rsidR="00875821" w:rsidRPr="000067B0">
        <w:rPr>
          <w:bCs w:val="0"/>
          <w:color w:val="000000"/>
          <w:kern w:val="0"/>
        </w:rPr>
        <w:t>Council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must, by way of resolution, approve or reject applications based on the report and</w:t>
      </w:r>
      <w:r w:rsidR="00AB59B5" w:rsidRPr="000067B0">
        <w:rPr>
          <w:bCs w:val="0"/>
          <w:color w:val="000000"/>
          <w:kern w:val="0"/>
        </w:rPr>
        <w:t xml:space="preserve"> </w:t>
      </w:r>
      <w:r w:rsidR="00875821" w:rsidRPr="000067B0">
        <w:rPr>
          <w:bCs w:val="0"/>
          <w:color w:val="000000"/>
          <w:kern w:val="0"/>
        </w:rPr>
        <w:t>recommendation of its Investment Committee.</w:t>
      </w:r>
    </w:p>
    <w:p w:rsid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F0137F" w:rsidRPr="005A2F90" w:rsidRDefault="00006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067B0">
        <w:rPr>
          <w:bCs w:val="0"/>
          <w:color w:val="000000"/>
          <w:kern w:val="0"/>
        </w:rPr>
        <w:t>[</w:t>
      </w:r>
      <w:r w:rsidR="00F0137F" w:rsidRPr="000067B0">
        <w:rPr>
          <w:bCs w:val="0"/>
          <w:color w:val="000000"/>
          <w:kern w:val="0"/>
        </w:rPr>
        <w:t>9</w:t>
      </w:r>
      <w:r w:rsidR="00B1481A" w:rsidRPr="000067B0">
        <w:rPr>
          <w:bCs w:val="0"/>
          <w:color w:val="000000"/>
          <w:kern w:val="0"/>
        </w:rPr>
        <w:t>0</w:t>
      </w:r>
      <w:r w:rsidRPr="000067B0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Applicant’s Council convened a special council meeting, on 28 September 2017. It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resolved to approve the development and construction of 507 social housing units in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respect of the First Respondent at R134 835 129.00 subject to conditions which</w:t>
      </w:r>
      <w:r w:rsidR="00AB59B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included the sudden and drastic reduction in the cost of land from R84 Million to R50</w:t>
      </w:r>
      <w:r w:rsidR="00CE0D1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Million.</w:t>
      </w:r>
      <w:r w:rsidR="00EF4BC9" w:rsidRPr="005A2F90">
        <w:rPr>
          <w:rStyle w:val="FootnoteReference"/>
          <w:rFonts w:cs="Arial"/>
          <w:bCs w:val="0"/>
          <w:color w:val="000000"/>
          <w:kern w:val="0"/>
        </w:rPr>
        <w:footnoteReference w:id="71"/>
      </w:r>
    </w:p>
    <w:p w:rsid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E3634">
        <w:rPr>
          <w:bCs w:val="0"/>
          <w:color w:val="000000"/>
          <w:kern w:val="0"/>
        </w:rPr>
        <w:t>[</w:t>
      </w:r>
      <w:r w:rsidR="000474CF" w:rsidRPr="000E3634">
        <w:rPr>
          <w:bCs w:val="0"/>
          <w:color w:val="000000"/>
          <w:kern w:val="0"/>
        </w:rPr>
        <w:t>9</w:t>
      </w:r>
      <w:r w:rsidR="00B1481A" w:rsidRPr="000E3634">
        <w:rPr>
          <w:bCs w:val="0"/>
          <w:color w:val="000000"/>
          <w:kern w:val="0"/>
        </w:rPr>
        <w:t>1</w:t>
      </w:r>
      <w:r w:rsidRPr="000E3634">
        <w:rPr>
          <w:bCs w:val="0"/>
          <w:color w:val="000000"/>
          <w:kern w:val="0"/>
        </w:rPr>
        <w:t>]</w:t>
      </w:r>
      <w:r w:rsidR="00875821" w:rsidRPr="000E3634">
        <w:rPr>
          <w:bCs w:val="0"/>
          <w:color w:val="000000"/>
          <w:kern w:val="0"/>
        </w:rPr>
        <w:t xml:space="preserve"> The</w:t>
      </w:r>
      <w:r w:rsidR="00875821" w:rsidRPr="005A2F90">
        <w:rPr>
          <w:bCs w:val="0"/>
          <w:color w:val="000000"/>
          <w:kern w:val="0"/>
        </w:rPr>
        <w:t xml:space="preserve"> Applicant and the First Respondent entered into and concluded the CCGA on 22</w:t>
      </w:r>
      <w:r w:rsidR="00CE0D1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February 2018 and clause 4.5.13 contained a condition precedent which provided that:</w:t>
      </w:r>
    </w:p>
    <w:p w:rsidR="00564617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“… the Grant Recipient submits proof of unconditional and irrevocable real</w:t>
      </w:r>
      <w:r w:rsidR="00564617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rights to the Land, where title deeds, sale agreements, land availability</w:t>
      </w:r>
      <w:r w:rsidR="00564617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agreement, lease agreement or any other document evidencing a real right</w:t>
      </w:r>
      <w:r w:rsidR="00564617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to the Land, or unconditional and irrevocable right to develop the Land for</w:t>
      </w:r>
      <w:r w:rsidR="00564617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the purposes of the SHRA, copies of which shall to [sic] be annexed as</w:t>
      </w:r>
      <w:r w:rsidR="00564617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annexure “A13”.</w:t>
      </w:r>
    </w:p>
    <w:p w:rsid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F0137F" w:rsidRPr="005A2F90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E3634">
        <w:rPr>
          <w:bCs w:val="0"/>
          <w:color w:val="000000"/>
          <w:kern w:val="0"/>
        </w:rPr>
        <w:t>[</w:t>
      </w:r>
      <w:r w:rsidR="00AD6F25" w:rsidRPr="000E3634">
        <w:rPr>
          <w:bCs w:val="0"/>
          <w:color w:val="000000"/>
          <w:kern w:val="0"/>
        </w:rPr>
        <w:t>9</w:t>
      </w:r>
      <w:r w:rsidR="00B1481A" w:rsidRPr="000E3634">
        <w:rPr>
          <w:bCs w:val="0"/>
          <w:color w:val="000000"/>
          <w:kern w:val="0"/>
        </w:rPr>
        <w:t>2</w:t>
      </w:r>
      <w:r w:rsidRPr="000E3634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seeking access to the above grant and with its attempt at meeting the requirement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for land and service criteria, the First Respondent provided the Applicant’s TEC with a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document purporting to be a sub-lease between itself and the Second Respondent</w:t>
      </w:r>
      <w:r w:rsidR="00F0137F" w:rsidRPr="005A2F90">
        <w:rPr>
          <w:bCs w:val="0"/>
          <w:color w:val="000000"/>
          <w:kern w:val="0"/>
        </w:rPr>
        <w:t>,</w:t>
      </w:r>
      <w:r w:rsidR="00875821" w:rsidRPr="005A2F90">
        <w:rPr>
          <w:bCs w:val="0"/>
          <w:color w:val="000000"/>
          <w:kern w:val="0"/>
        </w:rPr>
        <w:t xml:space="preserve"> a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private company.</w:t>
      </w:r>
      <w:r w:rsidR="00564617" w:rsidRPr="005A2F90">
        <w:rPr>
          <w:bCs w:val="0"/>
          <w:color w:val="000000"/>
          <w:kern w:val="0"/>
        </w:rPr>
        <w:t xml:space="preserve"> </w:t>
      </w:r>
    </w:p>
    <w:p w:rsid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F0137F" w:rsidRP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E3634">
        <w:rPr>
          <w:bCs w:val="0"/>
          <w:color w:val="000000"/>
          <w:kern w:val="0"/>
        </w:rPr>
        <w:t>[</w:t>
      </w:r>
      <w:r w:rsidR="00EB0875" w:rsidRPr="000E3634">
        <w:rPr>
          <w:bCs w:val="0"/>
          <w:color w:val="000000"/>
          <w:kern w:val="0"/>
        </w:rPr>
        <w:t>93</w:t>
      </w:r>
      <w:r w:rsidRPr="000E3634">
        <w:rPr>
          <w:bCs w:val="0"/>
          <w:color w:val="000000"/>
          <w:kern w:val="0"/>
        </w:rPr>
        <w:t>]</w:t>
      </w:r>
      <w:r w:rsidR="00875821" w:rsidRPr="000E3634">
        <w:rPr>
          <w:bCs w:val="0"/>
          <w:color w:val="000000"/>
          <w:kern w:val="0"/>
        </w:rPr>
        <w:t xml:space="preserve"> In terms of the said document, the First Respondent was to be a sub-lessee to the</w:t>
      </w:r>
      <w:r w:rsidR="00EF4BC9" w:rsidRPr="000E3634">
        <w:rPr>
          <w:bCs w:val="0"/>
          <w:color w:val="000000"/>
          <w:kern w:val="0"/>
        </w:rPr>
        <w:t xml:space="preserve"> </w:t>
      </w:r>
      <w:r w:rsidR="00875821" w:rsidRPr="000E3634">
        <w:rPr>
          <w:bCs w:val="0"/>
          <w:color w:val="000000"/>
          <w:kern w:val="0"/>
        </w:rPr>
        <w:t>Second Respondent who is the sub-lessor. The main lease agreement is between the</w:t>
      </w:r>
      <w:r w:rsidR="00EF4BC9" w:rsidRPr="000E3634">
        <w:rPr>
          <w:bCs w:val="0"/>
          <w:color w:val="000000"/>
          <w:kern w:val="0"/>
        </w:rPr>
        <w:t xml:space="preserve"> </w:t>
      </w:r>
      <w:r w:rsidR="00875821" w:rsidRPr="000E3634">
        <w:rPr>
          <w:bCs w:val="0"/>
          <w:color w:val="000000"/>
          <w:kern w:val="0"/>
        </w:rPr>
        <w:t>Fifth Respondent a metropolitan municipality and the Second Respondent.</w:t>
      </w:r>
    </w:p>
    <w:p w:rsidR="003037B0" w:rsidRDefault="00303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color w:val="FFFFFF"/>
          <w:kern w:val="0"/>
        </w:rPr>
      </w:pPr>
      <w:r w:rsidRPr="000E3634">
        <w:rPr>
          <w:bCs w:val="0"/>
          <w:color w:val="000000"/>
          <w:kern w:val="0"/>
        </w:rPr>
        <w:t>[</w:t>
      </w:r>
      <w:r w:rsidR="00EB0875" w:rsidRPr="000E3634">
        <w:rPr>
          <w:bCs w:val="0"/>
          <w:color w:val="000000"/>
          <w:kern w:val="0"/>
        </w:rPr>
        <w:t>94</w:t>
      </w:r>
      <w:r w:rsidRPr="000E3634">
        <w:rPr>
          <w:bCs w:val="0"/>
          <w:color w:val="000000"/>
          <w:kern w:val="0"/>
        </w:rPr>
        <w:t>]</w:t>
      </w:r>
      <w:r w:rsidR="00875821" w:rsidRPr="000E3634">
        <w:rPr>
          <w:bCs w:val="0"/>
          <w:color w:val="000000"/>
          <w:kern w:val="0"/>
        </w:rPr>
        <w:t xml:space="preserve"> In submitting this document, the First Respondent represented or misrepresented to the</w:t>
      </w:r>
      <w:r w:rsidR="00EF4BC9" w:rsidRPr="000E3634">
        <w:rPr>
          <w:bCs w:val="0"/>
          <w:color w:val="000000"/>
          <w:kern w:val="0"/>
        </w:rPr>
        <w:t xml:space="preserve"> </w:t>
      </w:r>
      <w:r w:rsidR="00875821" w:rsidRPr="000E3634">
        <w:rPr>
          <w:bCs w:val="0"/>
          <w:color w:val="000000"/>
          <w:kern w:val="0"/>
        </w:rPr>
        <w:t xml:space="preserve">Applicant that it has a lease for over 30 </w:t>
      </w:r>
      <w:r w:rsidRPr="000E3634">
        <w:rPr>
          <w:bCs w:val="0"/>
          <w:color w:val="000000"/>
          <w:kern w:val="0"/>
        </w:rPr>
        <w:t>years</w:t>
      </w:r>
      <w:r w:rsidR="00875821" w:rsidRPr="000E3634">
        <w:rPr>
          <w:bCs w:val="0"/>
          <w:color w:val="000000"/>
          <w:kern w:val="0"/>
        </w:rPr>
        <w:t xml:space="preserve"> on which it could develop the social housing</w:t>
      </w:r>
      <w:r w:rsidR="00EF4BC9" w:rsidRPr="000E3634">
        <w:rPr>
          <w:bCs w:val="0"/>
          <w:color w:val="000000"/>
          <w:kern w:val="0"/>
        </w:rPr>
        <w:t xml:space="preserve"> </w:t>
      </w:r>
      <w:r w:rsidR="00875821" w:rsidRPr="000E3634">
        <w:rPr>
          <w:bCs w:val="0"/>
          <w:color w:val="000000"/>
          <w:kern w:val="0"/>
        </w:rPr>
        <w:t xml:space="preserve">project in terms of which it was awarded </w:t>
      </w:r>
      <w:r w:rsidR="00A93A4E" w:rsidRPr="000E3634">
        <w:rPr>
          <w:bCs w:val="0"/>
          <w:color w:val="000000"/>
          <w:kern w:val="0"/>
        </w:rPr>
        <w:t>the CCG.</w:t>
      </w:r>
      <w:r w:rsidR="00875821" w:rsidRPr="000E3634">
        <w:rPr>
          <w:color w:val="FFFFFF"/>
          <w:kern w:val="0"/>
        </w:rPr>
        <w:t>37</w:t>
      </w:r>
    </w:p>
    <w:p w:rsidR="003037B0" w:rsidRDefault="00303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455416" w:rsidRPr="000E3634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E3634">
        <w:rPr>
          <w:bCs w:val="0"/>
          <w:color w:val="000000"/>
          <w:kern w:val="0"/>
        </w:rPr>
        <w:t>[</w:t>
      </w:r>
      <w:r w:rsidR="00A93A4E" w:rsidRPr="000E3634">
        <w:rPr>
          <w:bCs w:val="0"/>
          <w:color w:val="000000"/>
          <w:kern w:val="0"/>
        </w:rPr>
        <w:t>95</w:t>
      </w:r>
      <w:r w:rsidRPr="000E3634">
        <w:rPr>
          <w:bCs w:val="0"/>
          <w:color w:val="000000"/>
          <w:kern w:val="0"/>
        </w:rPr>
        <w:t>]</w:t>
      </w:r>
      <w:r w:rsidR="00875821" w:rsidRPr="000E3634">
        <w:rPr>
          <w:bCs w:val="0"/>
          <w:color w:val="000000"/>
          <w:kern w:val="0"/>
        </w:rPr>
        <w:t xml:space="preserve"> </w:t>
      </w:r>
      <w:r w:rsidR="00A93A4E" w:rsidRPr="000E3634">
        <w:rPr>
          <w:bCs w:val="0"/>
          <w:color w:val="000000"/>
          <w:kern w:val="0"/>
        </w:rPr>
        <w:t>T</w:t>
      </w:r>
      <w:r w:rsidR="00875821" w:rsidRPr="000E3634">
        <w:rPr>
          <w:bCs w:val="0"/>
          <w:color w:val="000000"/>
          <w:kern w:val="0"/>
        </w:rPr>
        <w:t>he main lease Agreement also had difficulties in that by the time the Applicant</w:t>
      </w:r>
      <w:r w:rsidR="00EF4BC9" w:rsidRPr="000E3634">
        <w:rPr>
          <w:bCs w:val="0"/>
          <w:color w:val="000000"/>
          <w:kern w:val="0"/>
        </w:rPr>
        <w:t xml:space="preserve"> </w:t>
      </w:r>
      <w:r w:rsidR="00875821" w:rsidRPr="000E3634">
        <w:rPr>
          <w:bCs w:val="0"/>
          <w:color w:val="000000"/>
          <w:kern w:val="0"/>
        </w:rPr>
        <w:t>awarded the First Respondent the CCG, the said lease agreement between the Second</w:t>
      </w:r>
      <w:r w:rsidR="00EF4BC9" w:rsidRPr="000E3634">
        <w:rPr>
          <w:bCs w:val="0"/>
          <w:color w:val="000000"/>
          <w:kern w:val="0"/>
        </w:rPr>
        <w:t xml:space="preserve"> </w:t>
      </w:r>
      <w:r w:rsidR="00875821" w:rsidRPr="000E3634">
        <w:rPr>
          <w:bCs w:val="0"/>
          <w:color w:val="000000"/>
          <w:kern w:val="0"/>
        </w:rPr>
        <w:t>and Fifth Respondents had come to an end.</w:t>
      </w:r>
      <w:r w:rsidR="00BF62AD" w:rsidRPr="000E3634">
        <w:rPr>
          <w:rStyle w:val="FootnoteReference"/>
          <w:rFonts w:cs="Arial"/>
          <w:bCs w:val="0"/>
          <w:color w:val="000000"/>
          <w:kern w:val="0"/>
        </w:rPr>
        <w:footnoteReference w:id="72"/>
      </w:r>
      <w:r w:rsidR="00875821" w:rsidRPr="000E3634">
        <w:rPr>
          <w:bCs w:val="0"/>
          <w:color w:val="000000"/>
          <w:kern w:val="0"/>
        </w:rPr>
        <w:t xml:space="preserve"> And this information was never disclosed</w:t>
      </w:r>
      <w:r w:rsidR="00EF4BC9" w:rsidRPr="000E3634">
        <w:rPr>
          <w:bCs w:val="0"/>
          <w:color w:val="000000"/>
          <w:kern w:val="0"/>
        </w:rPr>
        <w:t xml:space="preserve"> </w:t>
      </w:r>
      <w:r w:rsidR="00875821" w:rsidRPr="000E3634">
        <w:rPr>
          <w:bCs w:val="0"/>
          <w:color w:val="000000"/>
          <w:kern w:val="0"/>
        </w:rPr>
        <w:t>to the Applicant.</w:t>
      </w:r>
    </w:p>
    <w:p w:rsidR="003037B0" w:rsidRDefault="00303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742470" w:rsidRPr="005A2F90" w:rsidRDefault="000E363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E3634">
        <w:rPr>
          <w:bCs w:val="0"/>
          <w:color w:val="000000"/>
          <w:kern w:val="0"/>
        </w:rPr>
        <w:t>[</w:t>
      </w:r>
      <w:r w:rsidR="00A93A4E" w:rsidRPr="000E3634">
        <w:rPr>
          <w:bCs w:val="0"/>
          <w:color w:val="000000"/>
          <w:kern w:val="0"/>
        </w:rPr>
        <w:t>96</w:t>
      </w:r>
      <w:r w:rsidRPr="000E3634">
        <w:rPr>
          <w:bCs w:val="0"/>
          <w:color w:val="000000"/>
          <w:kern w:val="0"/>
        </w:rPr>
        <w:t>]</w:t>
      </w:r>
      <w:r w:rsidR="00455416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Furthermore, the main lease agreement was in respect of three erven that the Fifth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Respondent had ceded over to the Second Respondent for commercial development,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terms of the agreed Site Development Plans (SDPs) between the parties. Instead of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complying with the agreement with the Fifth Respondent, the Second Respondent subleased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two of the three erven to the First Respondent for the purposes of the planned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social housing project with the Applicant in plain contradiction to the SDPs.</w:t>
      </w:r>
    </w:p>
    <w:p w:rsidR="003037B0" w:rsidRDefault="003037B0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742470" w:rsidRPr="003037B0" w:rsidRDefault="00303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3037B0">
        <w:rPr>
          <w:bCs w:val="0"/>
          <w:color w:val="000000"/>
          <w:kern w:val="0"/>
        </w:rPr>
        <w:t>[</w:t>
      </w:r>
      <w:r w:rsidR="00A93A4E" w:rsidRPr="003037B0">
        <w:rPr>
          <w:bCs w:val="0"/>
          <w:color w:val="000000"/>
          <w:kern w:val="0"/>
        </w:rPr>
        <w:t>97</w:t>
      </w:r>
      <w:r w:rsidRPr="003037B0">
        <w:rPr>
          <w:bCs w:val="0"/>
          <w:color w:val="000000"/>
          <w:kern w:val="0"/>
        </w:rPr>
        <w:t>]</w:t>
      </w:r>
      <w:r w:rsidR="00875821" w:rsidRPr="003037B0">
        <w:rPr>
          <w:bCs w:val="0"/>
          <w:color w:val="000000"/>
          <w:kern w:val="0"/>
        </w:rPr>
        <w:t xml:space="preserve"> The Fifth Respondent appears to have repeate</w:t>
      </w:r>
      <w:r>
        <w:rPr>
          <w:bCs w:val="0"/>
          <w:color w:val="000000"/>
          <w:kern w:val="0"/>
        </w:rPr>
        <w:t xml:space="preserve">dly refused to allow the Second </w:t>
      </w:r>
      <w:r w:rsidR="00875821" w:rsidRPr="003037B0">
        <w:rPr>
          <w:bCs w:val="0"/>
          <w:color w:val="000000"/>
          <w:kern w:val="0"/>
        </w:rPr>
        <w:t>Respondent to incorporate social housing into their approve</w:t>
      </w:r>
      <w:r>
        <w:rPr>
          <w:bCs w:val="0"/>
          <w:color w:val="000000"/>
          <w:kern w:val="0"/>
        </w:rPr>
        <w:t xml:space="preserve">d and agreed SDPs with </w:t>
      </w:r>
      <w:r w:rsidR="00875821" w:rsidRPr="003037B0">
        <w:rPr>
          <w:bCs w:val="0"/>
          <w:color w:val="000000"/>
          <w:kern w:val="0"/>
        </w:rPr>
        <w:t>the serious consequences to the Applicant and the First Respondent’s social housing</w:t>
      </w:r>
      <w:r>
        <w:rPr>
          <w:bCs w:val="0"/>
          <w:color w:val="000000"/>
          <w:kern w:val="0"/>
        </w:rPr>
        <w:t xml:space="preserve"> </w:t>
      </w:r>
      <w:r w:rsidR="00875821" w:rsidRPr="003037B0">
        <w:rPr>
          <w:bCs w:val="0"/>
          <w:color w:val="000000"/>
          <w:kern w:val="0"/>
        </w:rPr>
        <w:t>project.</w:t>
      </w:r>
    </w:p>
    <w:p w:rsidR="003037B0" w:rsidRPr="003037B0" w:rsidRDefault="00303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742470" w:rsidRPr="003037B0" w:rsidRDefault="003037B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3037B0">
        <w:rPr>
          <w:bCs w:val="0"/>
          <w:color w:val="000000"/>
          <w:kern w:val="0"/>
        </w:rPr>
        <w:t>[</w:t>
      </w:r>
      <w:r w:rsidR="00A93A4E" w:rsidRPr="003037B0">
        <w:rPr>
          <w:bCs w:val="0"/>
          <w:color w:val="000000"/>
          <w:kern w:val="0"/>
        </w:rPr>
        <w:t>98</w:t>
      </w:r>
      <w:r w:rsidRPr="003037B0">
        <w:rPr>
          <w:bCs w:val="0"/>
          <w:color w:val="000000"/>
          <w:kern w:val="0"/>
        </w:rPr>
        <w:t>]</w:t>
      </w:r>
      <w:r w:rsidR="00875821" w:rsidRPr="003037B0">
        <w:rPr>
          <w:bCs w:val="0"/>
          <w:color w:val="000000"/>
          <w:kern w:val="0"/>
        </w:rPr>
        <w:t xml:space="preserve"> Accordingly, the Applicant contends that the criteria was not met because the sub-lease</w:t>
      </w:r>
      <w:r w:rsidR="00EF4BC9" w:rsidRPr="003037B0">
        <w:rPr>
          <w:bCs w:val="0"/>
          <w:color w:val="000000"/>
          <w:kern w:val="0"/>
        </w:rPr>
        <w:t xml:space="preserve"> </w:t>
      </w:r>
      <w:r w:rsidR="00875821" w:rsidRPr="003037B0">
        <w:rPr>
          <w:bCs w:val="0"/>
          <w:color w:val="000000"/>
          <w:kern w:val="0"/>
        </w:rPr>
        <w:t>submitted as proof of right to land was not compliant with Regulation 19 which requires</w:t>
      </w:r>
      <w:r w:rsidR="00EF4BC9" w:rsidRPr="003037B0">
        <w:rPr>
          <w:bCs w:val="0"/>
          <w:color w:val="000000"/>
          <w:kern w:val="0"/>
        </w:rPr>
        <w:t xml:space="preserve"> </w:t>
      </w:r>
      <w:r w:rsidR="00875821" w:rsidRPr="003037B0">
        <w:rPr>
          <w:bCs w:val="0"/>
          <w:color w:val="000000"/>
          <w:kern w:val="0"/>
        </w:rPr>
        <w:t>it to be entered into between a social housing institution (“SHI”), such as the First</w:t>
      </w:r>
      <w:r w:rsidR="00EF4BC9" w:rsidRPr="003037B0">
        <w:rPr>
          <w:bCs w:val="0"/>
          <w:color w:val="000000"/>
          <w:kern w:val="0"/>
        </w:rPr>
        <w:t xml:space="preserve"> </w:t>
      </w:r>
      <w:r w:rsidR="00875821" w:rsidRPr="003037B0">
        <w:rPr>
          <w:bCs w:val="0"/>
          <w:color w:val="000000"/>
          <w:kern w:val="0"/>
        </w:rPr>
        <w:t>Respondent, and the public sector.</w:t>
      </w:r>
    </w:p>
    <w:p w:rsidR="00E1326A" w:rsidRDefault="00E132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742470" w:rsidRPr="005A2F90" w:rsidRDefault="00E132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[</w:t>
      </w:r>
      <w:r w:rsidR="00A93A4E" w:rsidRPr="003037B0">
        <w:rPr>
          <w:bCs w:val="0"/>
          <w:color w:val="000000"/>
          <w:kern w:val="0"/>
        </w:rPr>
        <w:t>99</w:t>
      </w:r>
      <w:r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First Respondent entered into a sub-lease agreement with the Second Respondent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because the latter had concluded a lease agreement with the Fifth Respondent. The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agreement was not between the First Respondent and the Fifth Respondent thus, the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First Respondent did not have a lease agreement with the public sector. It is even more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concerning that the said lease had been terminated five months before the CCGA was</w:t>
      </w:r>
      <w:r w:rsidR="00EF4BC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concluded</w:t>
      </w:r>
      <w:r w:rsidR="00BD4657" w:rsidRPr="005A2F90">
        <w:rPr>
          <w:bCs w:val="0"/>
          <w:color w:val="000000"/>
          <w:kern w:val="0"/>
        </w:rPr>
        <w:t>,</w:t>
      </w:r>
      <w:r w:rsidR="009E2939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 fact the Applicant ought to have known prior to approving the CCGA.</w:t>
      </w:r>
    </w:p>
    <w:p w:rsidR="00E1326A" w:rsidRDefault="00E1326A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742470" w:rsidRPr="00E1326A" w:rsidRDefault="00E132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E1326A">
        <w:rPr>
          <w:bCs w:val="0"/>
          <w:color w:val="000000"/>
          <w:kern w:val="0"/>
        </w:rPr>
        <w:t>[</w:t>
      </w:r>
      <w:r w:rsidR="00742470" w:rsidRPr="00E1326A">
        <w:rPr>
          <w:bCs w:val="0"/>
          <w:color w:val="000000"/>
          <w:kern w:val="0"/>
        </w:rPr>
        <w:t>10</w:t>
      </w:r>
      <w:r w:rsidR="00A93A4E" w:rsidRPr="00E1326A">
        <w:rPr>
          <w:bCs w:val="0"/>
          <w:color w:val="000000"/>
          <w:kern w:val="0"/>
        </w:rPr>
        <w:t>0</w:t>
      </w:r>
      <w:r w:rsidRPr="00E1326A">
        <w:rPr>
          <w:bCs w:val="0"/>
          <w:color w:val="000000"/>
          <w:kern w:val="0"/>
        </w:rPr>
        <w:t>]</w:t>
      </w:r>
      <w:r w:rsidR="00875821" w:rsidRPr="00E1326A">
        <w:rPr>
          <w:bCs w:val="0"/>
          <w:color w:val="000000"/>
          <w:kern w:val="0"/>
        </w:rPr>
        <w:t xml:space="preserve"> In the paragraphs 76-78 of the Replying Affidavit, </w:t>
      </w:r>
      <w:r w:rsidRPr="00E1326A">
        <w:rPr>
          <w:bCs w:val="0"/>
          <w:color w:val="000000"/>
          <w:kern w:val="0"/>
        </w:rPr>
        <w:t xml:space="preserve">the Applicant asserted that the </w:t>
      </w:r>
      <w:r w:rsidR="00875821" w:rsidRPr="00E1326A">
        <w:rPr>
          <w:bCs w:val="0"/>
          <w:color w:val="000000"/>
          <w:kern w:val="0"/>
        </w:rPr>
        <w:t>criteria</w:t>
      </w:r>
      <w:r w:rsidR="00BF62AD" w:rsidRPr="00E1326A">
        <w:rPr>
          <w:bCs w:val="0"/>
          <w:color w:val="000000"/>
          <w:kern w:val="0"/>
        </w:rPr>
        <w:t xml:space="preserve"> </w:t>
      </w:r>
      <w:r w:rsidR="00875821" w:rsidRPr="00E1326A">
        <w:rPr>
          <w:bCs w:val="0"/>
          <w:color w:val="000000"/>
          <w:kern w:val="0"/>
        </w:rPr>
        <w:t>were not met because the sub-lease submitted as proof of right to land was not</w:t>
      </w:r>
      <w:r w:rsidR="00BF62AD" w:rsidRPr="00E1326A">
        <w:rPr>
          <w:bCs w:val="0"/>
          <w:color w:val="000000"/>
          <w:kern w:val="0"/>
        </w:rPr>
        <w:t xml:space="preserve"> </w:t>
      </w:r>
      <w:r w:rsidR="00875821" w:rsidRPr="00E1326A">
        <w:rPr>
          <w:bCs w:val="0"/>
          <w:color w:val="000000"/>
          <w:kern w:val="0"/>
        </w:rPr>
        <w:t>compliant with Regulation 19 which requires it to be entered into between a social</w:t>
      </w:r>
      <w:r w:rsidRPr="00E1326A">
        <w:rPr>
          <w:bCs w:val="0"/>
          <w:color w:val="000000"/>
          <w:kern w:val="0"/>
        </w:rPr>
        <w:t xml:space="preserve"> </w:t>
      </w:r>
      <w:r w:rsidR="00875821" w:rsidRPr="00E1326A">
        <w:rPr>
          <w:bCs w:val="0"/>
          <w:color w:val="000000"/>
          <w:kern w:val="0"/>
        </w:rPr>
        <w:t>housing institution (“SHI”), such as the First Respondent, and the public sector.</w:t>
      </w:r>
      <w:r w:rsidR="004B31D1" w:rsidRPr="00E1326A">
        <w:rPr>
          <w:bCs w:val="0"/>
          <w:color w:val="000000"/>
          <w:kern w:val="0"/>
        </w:rPr>
        <w:t xml:space="preserve"> </w:t>
      </w:r>
    </w:p>
    <w:p w:rsidR="00E1326A" w:rsidRPr="00E1326A" w:rsidRDefault="00E132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742470" w:rsidRPr="005A2F90" w:rsidRDefault="00E132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E1326A">
        <w:rPr>
          <w:bCs w:val="0"/>
          <w:color w:val="000000"/>
          <w:kern w:val="0"/>
        </w:rPr>
        <w:t>[</w:t>
      </w:r>
      <w:r w:rsidR="00875821" w:rsidRPr="00E1326A">
        <w:rPr>
          <w:bCs w:val="0"/>
          <w:color w:val="000000"/>
          <w:kern w:val="0"/>
        </w:rPr>
        <w:t>1</w:t>
      </w:r>
      <w:r w:rsidR="00742470" w:rsidRPr="00E1326A">
        <w:rPr>
          <w:bCs w:val="0"/>
          <w:color w:val="000000"/>
          <w:kern w:val="0"/>
        </w:rPr>
        <w:t>0</w:t>
      </w:r>
      <w:r w:rsidR="00A93A4E" w:rsidRPr="00E1326A">
        <w:rPr>
          <w:bCs w:val="0"/>
          <w:color w:val="000000"/>
          <w:kern w:val="0"/>
        </w:rPr>
        <w:t>1</w:t>
      </w:r>
      <w:r w:rsidRPr="00E1326A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Applicant asserted that the Fifth Respondent has, on more than one occasions,</w:t>
      </w:r>
      <w:r w:rsidR="00BF62AD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rejected the Respondents’ proposal to include Social Housing on the erven forming the</w:t>
      </w:r>
      <w:r w:rsidR="00BF62AD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main Lease Agreement between itself and the Second Respondent. And this land, is</w:t>
      </w:r>
      <w:r w:rsidR="00BF62AD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very same land that was sub-leased to the First Respondent for the purposes of</w:t>
      </w:r>
      <w:r w:rsidR="00BF62AD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developing the Social Housing project for which the CCGA was concluded and funded.</w:t>
      </w:r>
    </w:p>
    <w:p w:rsidR="00875821" w:rsidRPr="005A2F90" w:rsidRDefault="005220D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220DB">
        <w:rPr>
          <w:bCs w:val="0"/>
          <w:color w:val="000000"/>
          <w:kern w:val="0"/>
        </w:rPr>
        <w:t>[</w:t>
      </w:r>
      <w:r w:rsidR="00875821" w:rsidRPr="005220DB">
        <w:rPr>
          <w:bCs w:val="0"/>
          <w:color w:val="000000"/>
          <w:kern w:val="0"/>
        </w:rPr>
        <w:t>1</w:t>
      </w:r>
      <w:r w:rsidR="00BD4657" w:rsidRPr="005220DB">
        <w:rPr>
          <w:bCs w:val="0"/>
          <w:color w:val="000000"/>
          <w:kern w:val="0"/>
        </w:rPr>
        <w:t>0</w:t>
      </w:r>
      <w:r w:rsidR="00A93A4E" w:rsidRPr="005220DB">
        <w:rPr>
          <w:bCs w:val="0"/>
          <w:color w:val="000000"/>
          <w:kern w:val="0"/>
        </w:rPr>
        <w:t>2</w:t>
      </w:r>
      <w:r w:rsidRPr="005220DB">
        <w:rPr>
          <w:bCs w:val="0"/>
          <w:color w:val="000000"/>
          <w:kern w:val="0"/>
        </w:rPr>
        <w:t>]</w:t>
      </w:r>
      <w:r w:rsidR="0074247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 All these concerns resulted in the Applicant enga</w:t>
      </w:r>
      <w:r>
        <w:rPr>
          <w:bCs w:val="0"/>
          <w:color w:val="000000"/>
          <w:kern w:val="0"/>
        </w:rPr>
        <w:t xml:space="preserve">ging the services of a Forensic </w:t>
      </w:r>
      <w:r w:rsidR="00875821" w:rsidRPr="005A2F90">
        <w:rPr>
          <w:bCs w:val="0"/>
          <w:color w:val="000000"/>
          <w:kern w:val="0"/>
        </w:rPr>
        <w:t>Auditor</w:t>
      </w:r>
      <w:r w:rsidR="00BF62AD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whose report</w:t>
      </w:r>
      <w:r w:rsidR="00BF62AD" w:rsidRPr="005A2F90">
        <w:rPr>
          <w:rStyle w:val="FootnoteReference"/>
          <w:rFonts w:cs="Arial"/>
          <w:bCs w:val="0"/>
          <w:color w:val="000000"/>
          <w:kern w:val="0"/>
        </w:rPr>
        <w:footnoteReference w:id="73"/>
      </w:r>
      <w:r w:rsidR="00875821" w:rsidRPr="005A2F90">
        <w:rPr>
          <w:bCs w:val="0"/>
          <w:color w:val="000000"/>
          <w:kern w:val="0"/>
        </w:rPr>
        <w:t xml:space="preserve"> confirmed many of the above complaints.</w:t>
      </w:r>
      <w:r w:rsidR="004B31D1" w:rsidRPr="005A2F90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 xml:space="preserve">From the report of </w:t>
      </w:r>
      <w:r w:rsidR="00875821" w:rsidRPr="005A2F90">
        <w:rPr>
          <w:bCs w:val="0"/>
          <w:color w:val="000000"/>
          <w:kern w:val="0"/>
        </w:rPr>
        <w:t>Ligwa Forensic Report, it is evident that the Applicant should not</w:t>
      </w:r>
      <w:r w:rsidR="00BF62AD" w:rsidRPr="005A2F90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 xml:space="preserve">have approved and </w:t>
      </w:r>
      <w:r w:rsidR="00875821" w:rsidRPr="005A2F90">
        <w:rPr>
          <w:bCs w:val="0"/>
          <w:color w:val="000000"/>
          <w:kern w:val="0"/>
        </w:rPr>
        <w:t>awarded the CCG to the First Respondent. These are the reasons</w:t>
      </w:r>
      <w:r w:rsidR="00BF62AD" w:rsidRPr="005A2F90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 xml:space="preserve">and instances that </w:t>
      </w:r>
      <w:r w:rsidR="00875821" w:rsidRPr="005A2F90">
        <w:rPr>
          <w:bCs w:val="0"/>
          <w:color w:val="000000"/>
          <w:kern w:val="0"/>
        </w:rPr>
        <w:t>the Applicant ought to have been attuned to: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A93A4E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.1. </w:t>
      </w:r>
      <w:r w:rsidR="00D94E54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he findings which the Applicant ought to ha</w:t>
      </w:r>
      <w:r w:rsidR="005220DB">
        <w:rPr>
          <w:bCs w:val="0"/>
          <w:color w:val="000000"/>
          <w:kern w:val="0"/>
        </w:rPr>
        <w:t xml:space="preserve">ve known prior to approving the </w:t>
      </w:r>
      <w:r w:rsidRPr="005A2F90">
        <w:rPr>
          <w:bCs w:val="0"/>
          <w:color w:val="000000"/>
          <w:kern w:val="0"/>
        </w:rPr>
        <w:t>Consolidated Capital Grant Agreement (“CC</w:t>
      </w:r>
      <w:r w:rsidR="005220DB">
        <w:rPr>
          <w:bCs w:val="0"/>
          <w:color w:val="000000"/>
          <w:kern w:val="0"/>
        </w:rPr>
        <w:t xml:space="preserve">GA”), and which were peculiarly </w:t>
      </w:r>
      <w:r w:rsidRPr="005A2F90">
        <w:rPr>
          <w:bCs w:val="0"/>
          <w:color w:val="000000"/>
          <w:kern w:val="0"/>
        </w:rPr>
        <w:t>within his own (or the Respondents’ own) knowled</w:t>
      </w:r>
      <w:r w:rsidR="005220DB">
        <w:rPr>
          <w:bCs w:val="0"/>
          <w:color w:val="000000"/>
          <w:kern w:val="0"/>
        </w:rPr>
        <w:t xml:space="preserve">ge. Those include the fact that </w:t>
      </w:r>
      <w:r w:rsidRPr="005A2F90">
        <w:rPr>
          <w:bCs w:val="0"/>
          <w:color w:val="000000"/>
          <w:kern w:val="0"/>
        </w:rPr>
        <w:t>the le</w:t>
      </w:r>
      <w:r w:rsidR="005220DB">
        <w:rPr>
          <w:bCs w:val="0"/>
          <w:color w:val="000000"/>
          <w:kern w:val="0"/>
        </w:rPr>
        <w:t xml:space="preserve">ase </w:t>
      </w:r>
      <w:r w:rsidRPr="005A2F90">
        <w:rPr>
          <w:bCs w:val="0"/>
          <w:color w:val="000000"/>
          <w:kern w:val="0"/>
        </w:rPr>
        <w:t xml:space="preserve">Agreement between the </w:t>
      </w:r>
      <w:r w:rsidR="005220DB">
        <w:rPr>
          <w:bCs w:val="0"/>
          <w:color w:val="000000"/>
          <w:kern w:val="0"/>
        </w:rPr>
        <w:t xml:space="preserve">Fifth Respondent and the Second Respondent, and which it </w:t>
      </w:r>
      <w:r w:rsidRPr="005A2F90">
        <w:rPr>
          <w:bCs w:val="0"/>
          <w:color w:val="000000"/>
          <w:kern w:val="0"/>
        </w:rPr>
        <w:t>used as evidence that it</w:t>
      </w:r>
      <w:r w:rsidR="005220DB">
        <w:rPr>
          <w:bCs w:val="0"/>
          <w:color w:val="000000"/>
          <w:kern w:val="0"/>
        </w:rPr>
        <w:t xml:space="preserve"> had real rights to the land in </w:t>
      </w:r>
      <w:r w:rsidRPr="005A2F90">
        <w:rPr>
          <w:bCs w:val="0"/>
          <w:color w:val="000000"/>
          <w:kern w:val="0"/>
        </w:rPr>
        <w:t>question, had been cancelled five months prior</w:t>
      </w:r>
      <w:r w:rsidR="005220DB">
        <w:rPr>
          <w:bCs w:val="0"/>
          <w:color w:val="000000"/>
          <w:kern w:val="0"/>
        </w:rPr>
        <w:t xml:space="preserve"> to the conclusion of the CCGA; </w:t>
      </w:r>
      <w:r w:rsidRPr="005A2F90">
        <w:rPr>
          <w:bCs w:val="0"/>
          <w:color w:val="000000"/>
          <w:kern w:val="0"/>
        </w:rPr>
        <w:t>or was a subject of a cancellation dispute before an Arbitrator.</w:t>
      </w:r>
      <w:r w:rsidR="00BF62AD" w:rsidRPr="005A2F90">
        <w:rPr>
          <w:rStyle w:val="FootnoteReference"/>
          <w:rFonts w:cs="Arial"/>
          <w:bCs w:val="0"/>
          <w:color w:val="000000"/>
          <w:kern w:val="0"/>
        </w:rPr>
        <w:footnoteReference w:id="74"/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A93A4E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>.2. Furthermore, the Applicant accepts the finding</w:t>
      </w:r>
      <w:r w:rsidR="005220DB">
        <w:rPr>
          <w:bCs w:val="0"/>
          <w:color w:val="000000"/>
          <w:kern w:val="0"/>
        </w:rPr>
        <w:t xml:space="preserve">s of the forensic investigators </w:t>
      </w:r>
      <w:r w:rsidRPr="005A2F90">
        <w:rPr>
          <w:bCs w:val="0"/>
          <w:color w:val="000000"/>
          <w:kern w:val="0"/>
        </w:rPr>
        <w:t>that</w:t>
      </w:r>
      <w:r w:rsidR="00BF62AD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it violated the Regulation 19 of the Regulations of the SHA in that: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A93A4E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.2.1. </w:t>
      </w:r>
      <w:r w:rsidR="00D94E54" w:rsidRPr="005A2F90">
        <w:rPr>
          <w:bCs w:val="0"/>
          <w:color w:val="000000"/>
          <w:kern w:val="0"/>
        </w:rPr>
        <w:t>I</w:t>
      </w:r>
      <w:r w:rsidRPr="005A2F90">
        <w:rPr>
          <w:bCs w:val="0"/>
          <w:color w:val="000000"/>
          <w:kern w:val="0"/>
        </w:rPr>
        <w:t>t should not have accepted that the sub-lease agreement betw</w:t>
      </w:r>
      <w:r w:rsidR="005220DB">
        <w:rPr>
          <w:bCs w:val="0"/>
          <w:color w:val="000000"/>
          <w:kern w:val="0"/>
        </w:rPr>
        <w:t xml:space="preserve">een the </w:t>
      </w:r>
      <w:r w:rsidRPr="005A2F90">
        <w:rPr>
          <w:bCs w:val="0"/>
          <w:color w:val="000000"/>
          <w:kern w:val="0"/>
        </w:rPr>
        <w:t>First and Second Respondents was and could have met the Conditions</w:t>
      </w:r>
      <w:r w:rsidR="00A93A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Precedent set out in the CCGA;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A93A4E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.2.2. </w:t>
      </w:r>
      <w:r w:rsidR="00D94E54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hat the said sub</w:t>
      </w:r>
      <w:r w:rsidR="005220DB">
        <w:rPr>
          <w:bCs w:val="0"/>
          <w:color w:val="000000"/>
          <w:kern w:val="0"/>
        </w:rPr>
        <w:t>-</w:t>
      </w:r>
      <w:r w:rsidRPr="005A2F90">
        <w:rPr>
          <w:bCs w:val="0"/>
          <w:color w:val="000000"/>
          <w:kern w:val="0"/>
        </w:rPr>
        <w:t xml:space="preserve">lease was not notarised </w:t>
      </w:r>
      <w:r w:rsidR="005220DB">
        <w:rPr>
          <w:bCs w:val="0"/>
          <w:color w:val="000000"/>
          <w:kern w:val="0"/>
        </w:rPr>
        <w:t xml:space="preserve">and therefore not providing the </w:t>
      </w:r>
      <w:r w:rsidRPr="005A2F90">
        <w:rPr>
          <w:bCs w:val="0"/>
          <w:color w:val="000000"/>
          <w:kern w:val="0"/>
        </w:rPr>
        <w:t>comfort that the Applicant required in the Condition Precedent;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5C4546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.2.3. </w:t>
      </w:r>
      <w:r w:rsidR="00D94E54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hat the forensic investigators pointed to the fact that same was not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even signed and stamped;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5C4546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.2.4. </w:t>
      </w:r>
      <w:r w:rsidR="00D94E54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hat the said sub-lease was actually fo</w:t>
      </w:r>
      <w:r w:rsidR="005220DB">
        <w:rPr>
          <w:bCs w:val="0"/>
          <w:color w:val="000000"/>
          <w:kern w:val="0"/>
        </w:rPr>
        <w:t xml:space="preserve">r the development of the Social </w:t>
      </w:r>
      <w:r w:rsidRPr="005A2F90">
        <w:rPr>
          <w:bCs w:val="0"/>
          <w:color w:val="000000"/>
          <w:kern w:val="0"/>
        </w:rPr>
        <w:t>Housing Project by the Second Respondent and not the First</w:t>
      </w:r>
      <w:r w:rsidR="00BF62AD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Respondent;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5C4546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.2.5. </w:t>
      </w:r>
      <w:r w:rsidR="00D94E54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hat the Fifth Respondent which owned t</w:t>
      </w:r>
      <w:r w:rsidR="005220DB">
        <w:rPr>
          <w:bCs w:val="0"/>
          <w:color w:val="000000"/>
          <w:kern w:val="0"/>
        </w:rPr>
        <w:t xml:space="preserve">he land in issue, a substantial </w:t>
      </w:r>
      <w:r w:rsidRPr="005A2F90">
        <w:rPr>
          <w:bCs w:val="0"/>
          <w:color w:val="000000"/>
          <w:kern w:val="0"/>
        </w:rPr>
        <w:t>portion of which had been sub-leased to the First Respondent for the</w:t>
      </w:r>
      <w:r w:rsidR="00D036E8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Social Housing project in terms of the CCGA, had, on more than once,</w:t>
      </w:r>
      <w:r w:rsidR="00D036E8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asserted its rejection of the Respondents’ SDPs that included Social</w:t>
      </w:r>
      <w:r w:rsidR="00D036E8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Housing development;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0821B1" w:rsidRPr="005A2F90">
        <w:rPr>
          <w:bCs w:val="0"/>
          <w:color w:val="000000"/>
          <w:kern w:val="0"/>
        </w:rPr>
        <w:t>0</w:t>
      </w:r>
      <w:r w:rsidR="005C4546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.2.6. </w:t>
      </w:r>
      <w:r w:rsidR="000821B1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hat the said lease had been terminate</w:t>
      </w:r>
      <w:r w:rsidR="005220DB">
        <w:rPr>
          <w:bCs w:val="0"/>
          <w:color w:val="000000"/>
          <w:kern w:val="0"/>
        </w:rPr>
        <w:t xml:space="preserve">d five months prior to the CCGA </w:t>
      </w:r>
      <w:r w:rsidRPr="005A2F90">
        <w:rPr>
          <w:bCs w:val="0"/>
          <w:color w:val="000000"/>
          <w:kern w:val="0"/>
        </w:rPr>
        <w:t>being awarded to the First Respondent;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5C4546" w:rsidRPr="005A2F90">
        <w:rPr>
          <w:bCs w:val="0"/>
          <w:color w:val="000000"/>
          <w:kern w:val="0"/>
        </w:rPr>
        <w:t>2</w:t>
      </w:r>
      <w:r w:rsidRPr="005A2F90">
        <w:rPr>
          <w:bCs w:val="0"/>
          <w:color w:val="000000"/>
          <w:kern w:val="0"/>
        </w:rPr>
        <w:t xml:space="preserve">.2.7. </w:t>
      </w:r>
      <w:r w:rsidR="00D94E54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hat the sub-lessor on the contract to which it was to become a sub</w:t>
      </w:r>
      <w:r w:rsidR="004B31D1" w:rsidRPr="005A2F90">
        <w:rPr>
          <w:bCs w:val="0"/>
          <w:color w:val="000000"/>
          <w:kern w:val="0"/>
        </w:rPr>
        <w:t>-</w:t>
      </w:r>
      <w:r w:rsidR="005220DB">
        <w:rPr>
          <w:bCs w:val="0"/>
          <w:color w:val="000000"/>
          <w:kern w:val="0"/>
        </w:rPr>
        <w:t xml:space="preserve">lessee, </w:t>
      </w:r>
      <w:r w:rsidRPr="005A2F90">
        <w:rPr>
          <w:bCs w:val="0"/>
          <w:color w:val="000000"/>
          <w:kern w:val="0"/>
        </w:rPr>
        <w:t>the sub-lessor thereof was not a Public Sector Institution but a</w:t>
      </w:r>
      <w:r w:rsidR="00D036E8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private company; and</w:t>
      </w:r>
    </w:p>
    <w:p w:rsidR="00EF745B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D94E54" w:rsidRPr="005A2F90">
        <w:rPr>
          <w:bCs w:val="0"/>
          <w:color w:val="000000"/>
          <w:kern w:val="0"/>
        </w:rPr>
        <w:t>0</w:t>
      </w:r>
      <w:r w:rsidR="005C4546" w:rsidRPr="005A2F90">
        <w:rPr>
          <w:bCs w:val="0"/>
          <w:color w:val="000000"/>
          <w:kern w:val="0"/>
        </w:rPr>
        <w:t>3</w:t>
      </w:r>
      <w:r w:rsidRPr="005A2F90">
        <w:rPr>
          <w:bCs w:val="0"/>
          <w:color w:val="000000"/>
          <w:kern w:val="0"/>
        </w:rPr>
        <w:t xml:space="preserve">.2.8. </w:t>
      </w:r>
      <w:r w:rsidR="00D94E54" w:rsidRPr="005A2F90">
        <w:rPr>
          <w:bCs w:val="0"/>
          <w:color w:val="000000"/>
          <w:kern w:val="0"/>
        </w:rPr>
        <w:t>T</w:t>
      </w:r>
      <w:r w:rsidRPr="005A2F90">
        <w:rPr>
          <w:bCs w:val="0"/>
          <w:color w:val="000000"/>
          <w:kern w:val="0"/>
        </w:rPr>
        <w:t>hat under those irregular and unlawful circumstances the resultant</w:t>
      </w:r>
      <w:r w:rsidR="005220DB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payment of R26 million to the First Respondent was</w:t>
      </w:r>
      <w:r w:rsidR="005C4546" w:rsidRPr="005A2F90">
        <w:rPr>
          <w:bCs w:val="0"/>
          <w:color w:val="000000"/>
          <w:kern w:val="0"/>
        </w:rPr>
        <w:t xml:space="preserve"> therefore</w:t>
      </w:r>
      <w:r w:rsidRPr="005A2F90">
        <w:rPr>
          <w:bCs w:val="0"/>
          <w:color w:val="000000"/>
          <w:kern w:val="0"/>
        </w:rPr>
        <w:t xml:space="preserve"> irregular and</w:t>
      </w:r>
      <w:r w:rsidR="00D036E8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unlawful.</w:t>
      </w:r>
      <w:r w:rsidR="00BF62AD" w:rsidRPr="005A2F90">
        <w:rPr>
          <w:rStyle w:val="FootnoteReference"/>
          <w:rFonts w:cs="Arial"/>
          <w:bCs w:val="0"/>
          <w:color w:val="000000"/>
          <w:kern w:val="0"/>
        </w:rPr>
        <w:footnoteReference w:id="75"/>
      </w:r>
    </w:p>
    <w:p w:rsidR="005220DB" w:rsidRDefault="005220DB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544BCC" w:rsidRPr="005A2F90" w:rsidRDefault="005220D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220DB">
        <w:rPr>
          <w:bCs w:val="0"/>
          <w:color w:val="000000"/>
          <w:kern w:val="0"/>
        </w:rPr>
        <w:t>[</w:t>
      </w:r>
      <w:r w:rsidR="00875821" w:rsidRPr="005220DB">
        <w:rPr>
          <w:bCs w:val="0"/>
          <w:color w:val="000000"/>
          <w:kern w:val="0"/>
        </w:rPr>
        <w:t>1</w:t>
      </w:r>
      <w:r w:rsidR="00D94E54" w:rsidRPr="005220DB">
        <w:rPr>
          <w:bCs w:val="0"/>
          <w:color w:val="000000"/>
          <w:kern w:val="0"/>
        </w:rPr>
        <w:t>0</w:t>
      </w:r>
      <w:r w:rsidR="005C4546" w:rsidRPr="005220DB">
        <w:rPr>
          <w:bCs w:val="0"/>
          <w:color w:val="000000"/>
          <w:kern w:val="0"/>
        </w:rPr>
        <w:t>3</w:t>
      </w:r>
      <w:r w:rsidRPr="005220DB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</w:t>
      </w:r>
      <w:r w:rsidR="000821B1" w:rsidRPr="005A2F90">
        <w:rPr>
          <w:bCs w:val="0"/>
          <w:color w:val="000000"/>
          <w:kern w:val="0"/>
        </w:rPr>
        <w:t xml:space="preserve">I am of the view </w:t>
      </w:r>
      <w:r w:rsidR="00533CD0" w:rsidRPr="005A2F90">
        <w:rPr>
          <w:bCs w:val="0"/>
          <w:color w:val="000000"/>
          <w:kern w:val="0"/>
        </w:rPr>
        <w:t xml:space="preserve">that </w:t>
      </w:r>
      <w:r w:rsidR="000821B1" w:rsidRPr="005A2F90">
        <w:rPr>
          <w:bCs w:val="0"/>
          <w:color w:val="000000"/>
          <w:kern w:val="0"/>
        </w:rPr>
        <w:t>these</w:t>
      </w:r>
      <w:r w:rsidR="00875821" w:rsidRPr="005A2F90">
        <w:rPr>
          <w:b/>
          <w:bCs w:val="0"/>
          <w:color w:val="000000"/>
          <w:kern w:val="0"/>
        </w:rPr>
        <w:t>,</w:t>
      </w:r>
      <w:r w:rsidR="00875821" w:rsidRPr="005A2F90">
        <w:rPr>
          <w:bCs w:val="0"/>
          <w:color w:val="000000"/>
          <w:kern w:val="0"/>
        </w:rPr>
        <w:t xml:space="preserve"> are the material irregularities that the Applicant should</w:t>
      </w:r>
      <w:r w:rsidR="00040E9F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not have missed, when it awarded the CCG to the First Respondent. </w:t>
      </w:r>
    </w:p>
    <w:p w:rsidR="00F86459" w:rsidRPr="005A2F90" w:rsidRDefault="00F86459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D3647C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LEGAL FRAME WORK</w:t>
      </w:r>
      <w:r w:rsidR="00875821" w:rsidRPr="005A2F90">
        <w:rPr>
          <w:b/>
          <w:color w:val="000000"/>
          <w:kern w:val="0"/>
        </w:rPr>
        <w:t xml:space="preserve"> FOR SELF-REVIEW</w:t>
      </w:r>
    </w:p>
    <w:p w:rsidR="005220DB" w:rsidRDefault="005220DB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5220DB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220DB">
        <w:rPr>
          <w:bCs w:val="0"/>
          <w:color w:val="000000"/>
          <w:kern w:val="0"/>
        </w:rPr>
        <w:t>[</w:t>
      </w:r>
      <w:r w:rsidR="00875821" w:rsidRPr="005220DB">
        <w:rPr>
          <w:bCs w:val="0"/>
          <w:color w:val="000000"/>
          <w:kern w:val="0"/>
        </w:rPr>
        <w:t>1</w:t>
      </w:r>
      <w:r w:rsidR="005C4546" w:rsidRPr="005220DB">
        <w:rPr>
          <w:bCs w:val="0"/>
          <w:color w:val="000000"/>
          <w:kern w:val="0"/>
        </w:rPr>
        <w:t>04</w:t>
      </w:r>
      <w:r w:rsidRPr="005220DB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In general, the basic relevant principles in regard to self-review may </w:t>
      </w:r>
      <w:r>
        <w:rPr>
          <w:bCs w:val="0"/>
          <w:color w:val="000000"/>
          <w:kern w:val="0"/>
        </w:rPr>
        <w:t xml:space="preserve">be </w:t>
      </w:r>
      <w:r w:rsidR="00875821" w:rsidRPr="005A2F90">
        <w:rPr>
          <w:bCs w:val="0"/>
          <w:color w:val="000000"/>
          <w:kern w:val="0"/>
        </w:rPr>
        <w:t>summarised as</w:t>
      </w:r>
      <w:r w:rsidR="00040E9F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follows: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5C4546" w:rsidRPr="005A2F90">
        <w:rPr>
          <w:bCs w:val="0"/>
          <w:color w:val="000000"/>
          <w:kern w:val="0"/>
        </w:rPr>
        <w:t>04</w:t>
      </w:r>
      <w:r w:rsidRPr="005A2F90">
        <w:rPr>
          <w:bCs w:val="0"/>
          <w:color w:val="000000"/>
          <w:kern w:val="0"/>
        </w:rPr>
        <w:t>.1 It is central to the conception of our constitutional order that the Legislature and</w:t>
      </w:r>
      <w:r w:rsidR="005220DB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Executive in every sphere are constrained</w:t>
      </w:r>
      <w:r w:rsidR="005220DB">
        <w:rPr>
          <w:bCs w:val="0"/>
          <w:color w:val="000000"/>
          <w:kern w:val="0"/>
        </w:rPr>
        <w:t xml:space="preserve"> by the principle that they may exercise no </w:t>
      </w:r>
      <w:r w:rsidRPr="005A2F90">
        <w:rPr>
          <w:bCs w:val="0"/>
          <w:color w:val="000000"/>
          <w:kern w:val="0"/>
        </w:rPr>
        <w:t>power and perform no function beyond that conferred up</w:t>
      </w:r>
      <w:r w:rsidR="005220DB">
        <w:rPr>
          <w:bCs w:val="0"/>
          <w:color w:val="000000"/>
          <w:kern w:val="0"/>
        </w:rPr>
        <w:t xml:space="preserve">on them </w:t>
      </w:r>
      <w:r w:rsidRPr="005A2F90">
        <w:rPr>
          <w:bCs w:val="0"/>
          <w:color w:val="000000"/>
          <w:kern w:val="0"/>
        </w:rPr>
        <w:t>by law and that the common-law principles of u</w:t>
      </w:r>
      <w:r w:rsidR="005220DB">
        <w:rPr>
          <w:bCs w:val="0"/>
          <w:color w:val="000000"/>
          <w:kern w:val="0"/>
        </w:rPr>
        <w:t xml:space="preserve">ltra vires remain under the new </w:t>
      </w:r>
      <w:r w:rsidRPr="005A2F90">
        <w:rPr>
          <w:bCs w:val="0"/>
          <w:color w:val="000000"/>
          <w:kern w:val="0"/>
        </w:rPr>
        <w:t>constitutional order.</w:t>
      </w:r>
      <w:r w:rsidR="00040E9F" w:rsidRPr="005A2F90">
        <w:rPr>
          <w:rStyle w:val="FootnoteReference"/>
          <w:rFonts w:cs="Arial"/>
          <w:bCs w:val="0"/>
          <w:color w:val="000000"/>
          <w:kern w:val="0"/>
        </w:rPr>
        <w:footnoteReference w:id="76"/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5C4546" w:rsidRPr="005A2F90">
        <w:rPr>
          <w:bCs w:val="0"/>
          <w:color w:val="000000"/>
          <w:kern w:val="0"/>
        </w:rPr>
        <w:t>04</w:t>
      </w:r>
      <w:r w:rsidRPr="005A2F90">
        <w:rPr>
          <w:bCs w:val="0"/>
          <w:color w:val="000000"/>
          <w:kern w:val="0"/>
        </w:rPr>
        <w:t>.2 The principle of legality is applicable to all exercis</w:t>
      </w:r>
      <w:r w:rsidR="005220DB">
        <w:rPr>
          <w:bCs w:val="0"/>
          <w:color w:val="000000"/>
          <w:kern w:val="0"/>
        </w:rPr>
        <w:t xml:space="preserve">es of public power. It requires </w:t>
      </w:r>
      <w:r w:rsidRPr="005A2F90">
        <w:rPr>
          <w:bCs w:val="0"/>
          <w:color w:val="000000"/>
          <w:kern w:val="0"/>
        </w:rPr>
        <w:t>that all exercises of public power be, at a minimum, la</w:t>
      </w:r>
      <w:r w:rsidR="005220DB">
        <w:rPr>
          <w:bCs w:val="0"/>
          <w:color w:val="000000"/>
          <w:kern w:val="0"/>
        </w:rPr>
        <w:t xml:space="preserve">wful and rational. The </w:t>
      </w:r>
      <w:r w:rsidRPr="005A2F90">
        <w:rPr>
          <w:bCs w:val="0"/>
          <w:color w:val="000000"/>
          <w:kern w:val="0"/>
        </w:rPr>
        <w:t>Supremacy of the Constitution and the guarantees in the Bill of Rights require</w:t>
      </w:r>
      <w:r w:rsidR="00D3647C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that in upholding the rule of law, regard should not just be had to the strict terms</w:t>
      </w:r>
      <w:r w:rsidR="00D3647C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of regulatory provisions but to the values underlying the Bill of Rights.</w:t>
      </w:r>
      <w:r w:rsidR="00040E9F" w:rsidRPr="005A2F90">
        <w:rPr>
          <w:rStyle w:val="FootnoteReference"/>
          <w:rFonts w:cs="Arial"/>
          <w:bCs w:val="0"/>
          <w:color w:val="000000"/>
          <w:kern w:val="0"/>
        </w:rPr>
        <w:footnoteReference w:id="77"/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5C4546" w:rsidRPr="005A2F90">
        <w:rPr>
          <w:bCs w:val="0"/>
          <w:color w:val="000000"/>
          <w:kern w:val="0"/>
        </w:rPr>
        <w:t>04</w:t>
      </w:r>
      <w:r w:rsidRPr="005A2F90">
        <w:rPr>
          <w:bCs w:val="0"/>
          <w:color w:val="000000"/>
          <w:kern w:val="0"/>
        </w:rPr>
        <w:t>.3 The exercise of public power which is at variance with the principle of legality is</w:t>
      </w:r>
      <w:r w:rsidR="008A2689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inconsistent with the Constitution and invalid. The principle of legality is the</w:t>
      </w:r>
      <w:r w:rsidR="00D3647C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means by which an organ of state may seek the review of its own decision.</w:t>
      </w:r>
      <w:r w:rsidR="00763DA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Under section 172(1)(b) of the Constitution, a court deciding a constitutional</w:t>
      </w:r>
      <w:r w:rsidR="00D3647C" w:rsidRPr="005A2F90">
        <w:rPr>
          <w:bCs w:val="0"/>
          <w:color w:val="000000"/>
          <w:kern w:val="0"/>
        </w:rPr>
        <w:t xml:space="preserve"> </w:t>
      </w:r>
      <w:r w:rsidR="005220DB">
        <w:rPr>
          <w:bCs w:val="0"/>
          <w:color w:val="000000"/>
          <w:kern w:val="0"/>
        </w:rPr>
        <w:t xml:space="preserve">matter has a wide </w:t>
      </w:r>
      <w:r w:rsidRPr="005A2F90">
        <w:rPr>
          <w:bCs w:val="0"/>
          <w:color w:val="000000"/>
          <w:kern w:val="0"/>
        </w:rPr>
        <w:t>remedial power because it is empowered to make any order</w:t>
      </w:r>
      <w:r w:rsidR="00D3647C" w:rsidRPr="005A2F90">
        <w:rPr>
          <w:bCs w:val="0"/>
          <w:color w:val="000000"/>
          <w:kern w:val="0"/>
        </w:rPr>
        <w:t xml:space="preserve"> </w:t>
      </w:r>
      <w:r w:rsidR="005220DB">
        <w:rPr>
          <w:bCs w:val="0"/>
          <w:color w:val="000000"/>
          <w:kern w:val="0"/>
        </w:rPr>
        <w:t xml:space="preserve">that is just and equitable </w:t>
      </w:r>
      <w:r w:rsidRPr="005A2F90">
        <w:rPr>
          <w:bCs w:val="0"/>
          <w:color w:val="000000"/>
          <w:kern w:val="0"/>
        </w:rPr>
        <w:t>and this power is constrained only</w:t>
      </w:r>
      <w:r w:rsidR="00763DAE" w:rsidRPr="005A2F90">
        <w:rPr>
          <w:bCs w:val="0"/>
          <w:color w:val="000000"/>
          <w:kern w:val="0"/>
        </w:rPr>
        <w:t xml:space="preserve"> by</w:t>
      </w:r>
      <w:r w:rsidRPr="005A2F90">
        <w:rPr>
          <w:bCs w:val="0"/>
          <w:color w:val="000000"/>
          <w:kern w:val="0"/>
        </w:rPr>
        <w:t xml:space="preserve"> considerations of</w:t>
      </w:r>
      <w:r w:rsidR="00D3647C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justice and equity.</w:t>
      </w:r>
      <w:r w:rsidR="008A2689" w:rsidRPr="005A2F90">
        <w:rPr>
          <w:rStyle w:val="FootnoteReference"/>
          <w:rFonts w:cs="Arial"/>
          <w:bCs w:val="0"/>
          <w:color w:val="000000"/>
          <w:kern w:val="0"/>
        </w:rPr>
        <w:footnoteReference w:id="78"/>
      </w:r>
    </w:p>
    <w:p w:rsidR="00BA29D2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5C4546" w:rsidRPr="005A2F90">
        <w:rPr>
          <w:bCs w:val="0"/>
          <w:color w:val="000000"/>
          <w:kern w:val="0"/>
        </w:rPr>
        <w:t>04</w:t>
      </w:r>
      <w:r w:rsidRPr="005A2F90">
        <w:rPr>
          <w:bCs w:val="0"/>
          <w:color w:val="000000"/>
          <w:kern w:val="0"/>
        </w:rPr>
        <w:t>.4 A decision based on a material and established</w:t>
      </w:r>
      <w:r w:rsidR="005220DB">
        <w:rPr>
          <w:bCs w:val="0"/>
          <w:color w:val="000000"/>
          <w:kern w:val="0"/>
        </w:rPr>
        <w:t xml:space="preserve"> mistake of fact is reviewable. </w:t>
      </w:r>
      <w:r w:rsidRPr="005A2F90">
        <w:rPr>
          <w:bCs w:val="0"/>
          <w:color w:val="000000"/>
          <w:kern w:val="0"/>
        </w:rPr>
        <w:t>The holder of the power must act in good faith and must not have miscon</w:t>
      </w:r>
      <w:r w:rsidR="005220DB">
        <w:rPr>
          <w:bCs w:val="0"/>
          <w:color w:val="000000"/>
          <w:kern w:val="0"/>
        </w:rPr>
        <w:t xml:space="preserve">strued </w:t>
      </w:r>
      <w:r w:rsidRPr="005A2F90">
        <w:rPr>
          <w:bCs w:val="0"/>
          <w:color w:val="000000"/>
          <w:kern w:val="0"/>
        </w:rPr>
        <w:t>the power conferred nor may the power be exercised arbitrarily or irrationally.</w:t>
      </w:r>
      <w:r w:rsidR="00D3647C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The requirement of rationality is an incident of legality and encompasses</w:t>
      </w:r>
      <w:r w:rsidR="00D3647C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considerations of procedural fairness, the duty to give reasons and to take into</w:t>
      </w:r>
      <w:r w:rsidR="00D3647C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account relevant material in reaching a final decision.</w:t>
      </w:r>
      <w:r w:rsidR="008A2689" w:rsidRPr="005A2F90">
        <w:rPr>
          <w:rStyle w:val="FootnoteReference"/>
          <w:rFonts w:cs="Arial"/>
          <w:bCs w:val="0"/>
          <w:color w:val="000000"/>
          <w:kern w:val="0"/>
        </w:rPr>
        <w:footnoteReference w:id="79"/>
      </w:r>
    </w:p>
    <w:p w:rsidR="00681A04" w:rsidRDefault="00681A0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BA29D2" w:rsidRPr="005A2F90" w:rsidRDefault="00681A0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681A04">
        <w:rPr>
          <w:bCs w:val="0"/>
          <w:color w:val="000000"/>
          <w:kern w:val="0"/>
        </w:rPr>
        <w:t>[</w:t>
      </w:r>
      <w:r w:rsidR="00875821" w:rsidRPr="00681A04">
        <w:rPr>
          <w:bCs w:val="0"/>
          <w:color w:val="000000"/>
          <w:kern w:val="0"/>
        </w:rPr>
        <w:t>1</w:t>
      </w:r>
      <w:r w:rsidR="005C4546" w:rsidRPr="00681A04">
        <w:rPr>
          <w:bCs w:val="0"/>
          <w:color w:val="000000"/>
          <w:kern w:val="0"/>
        </w:rPr>
        <w:t>05</w:t>
      </w:r>
      <w:r w:rsidRPr="00681A04">
        <w:rPr>
          <w:bCs w:val="0"/>
          <w:color w:val="000000"/>
          <w:kern w:val="0"/>
        </w:rPr>
        <w:t>]</w:t>
      </w:r>
      <w:r w:rsidR="00875821" w:rsidRPr="00681A04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All these authorities derive their source against the backdrop of the Constitution. It is</w:t>
      </w:r>
      <w:r w:rsidR="007B0F5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worth noting that the Constitutional Court restated that South Africa is a constitutional</w:t>
      </w:r>
      <w:r w:rsidR="007B0F5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democracy with the Constitution being the supreme law of the country, with any law</w:t>
      </w:r>
      <w:r w:rsidR="007B0F5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inconsistent therewith being unconstitutional. The Court stated that </w:t>
      </w:r>
      <w:r w:rsidR="00875821" w:rsidRPr="005A2F90">
        <w:rPr>
          <w:bCs w:val="0"/>
          <w:i/>
          <w:iCs/>
          <w:color w:val="000000"/>
          <w:kern w:val="0"/>
        </w:rPr>
        <w:t>“[t]he commitment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of supremacy of the Constitution and the rule of law means that the exercise of public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power is now subject to constitutional control. The exercise of public power must comply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with the Constitution, which is the supreme law and the doctrine of legality which is part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of our law.”</w:t>
      </w:r>
      <w:r w:rsidR="007B0F55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0"/>
      </w:r>
      <w:r w:rsidR="00875821" w:rsidRPr="005A2F90">
        <w:rPr>
          <w:bCs w:val="0"/>
          <w:i/>
          <w:iCs/>
          <w:color w:val="000000"/>
          <w:kern w:val="0"/>
        </w:rPr>
        <w:t xml:space="preserve"> </w:t>
      </w:r>
    </w:p>
    <w:p w:rsidR="00681A04" w:rsidRDefault="00681A04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BA29D2" w:rsidRPr="005A2F90" w:rsidRDefault="00681A0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C539D6">
        <w:rPr>
          <w:bCs w:val="0"/>
          <w:color w:val="000000"/>
          <w:kern w:val="0"/>
        </w:rPr>
        <w:t>[</w:t>
      </w:r>
      <w:r w:rsidR="00875821" w:rsidRPr="00C539D6">
        <w:rPr>
          <w:bCs w:val="0"/>
          <w:color w:val="000000"/>
          <w:kern w:val="0"/>
        </w:rPr>
        <w:t>1</w:t>
      </w:r>
      <w:r w:rsidR="005C4546" w:rsidRPr="00C539D6">
        <w:rPr>
          <w:bCs w:val="0"/>
          <w:color w:val="000000"/>
          <w:kern w:val="0"/>
        </w:rPr>
        <w:t>06</w:t>
      </w:r>
      <w:r w:rsidRPr="00C539D6">
        <w:rPr>
          <w:bCs w:val="0"/>
          <w:color w:val="000000"/>
          <w:kern w:val="0"/>
        </w:rPr>
        <w:t>]</w:t>
      </w:r>
      <w:r w:rsidR="00BA29D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In </w:t>
      </w:r>
      <w:r w:rsidR="0017740D" w:rsidRPr="005A2F90">
        <w:rPr>
          <w:bCs w:val="0"/>
          <w:color w:val="000000"/>
          <w:kern w:val="0"/>
        </w:rPr>
        <w:t xml:space="preserve">linking </w:t>
      </w:r>
      <w:r w:rsidR="00875821" w:rsidRPr="005A2F90">
        <w:rPr>
          <w:bCs w:val="0"/>
          <w:color w:val="000000"/>
          <w:kern w:val="0"/>
        </w:rPr>
        <w:t xml:space="preserve">the points made above to the Constitution, the doctrine of legality was explained as follows: </w:t>
      </w:r>
      <w:r w:rsidR="00875821" w:rsidRPr="005A2F90">
        <w:rPr>
          <w:bCs w:val="0"/>
          <w:i/>
          <w:iCs/>
          <w:color w:val="000000"/>
          <w:kern w:val="0"/>
        </w:rPr>
        <w:t>“The doctrine of legality, which is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an incident of the rule of law, is one of the constitutional controls through which the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exercise of public power is regulated by the Constitution. It entails that both the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Legislature and the Executive “are constrained by the principle that they may exercise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no power and perform no function beyond that conferred upon them by law.” In this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sense the Constitution entrenches the principle of legality and provides the foundation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for the control of public power.”</w:t>
      </w:r>
      <w:r w:rsidR="007B0F55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1"/>
      </w:r>
    </w:p>
    <w:p w:rsidR="00C539D6" w:rsidRDefault="00C539D6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BA29D2" w:rsidRPr="005A2F90" w:rsidRDefault="00C539D6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[</w:t>
      </w:r>
      <w:r w:rsidR="00875821" w:rsidRPr="00C539D6">
        <w:rPr>
          <w:bCs w:val="0"/>
          <w:color w:val="000000"/>
          <w:kern w:val="0"/>
        </w:rPr>
        <w:t>1</w:t>
      </w:r>
      <w:r w:rsidR="005C4546" w:rsidRPr="00C539D6">
        <w:rPr>
          <w:bCs w:val="0"/>
          <w:color w:val="000000"/>
          <w:kern w:val="0"/>
        </w:rPr>
        <w:t>07</w:t>
      </w:r>
      <w:r>
        <w:rPr>
          <w:bCs w:val="0"/>
          <w:color w:val="000000"/>
          <w:kern w:val="0"/>
        </w:rPr>
        <w:t>]</w:t>
      </w:r>
      <w:r w:rsidR="00875821" w:rsidRPr="005A2F90">
        <w:rPr>
          <w:b/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The above principle enunciated in </w:t>
      </w:r>
      <w:r w:rsidR="00875821" w:rsidRPr="005A2F90">
        <w:rPr>
          <w:bCs w:val="0"/>
          <w:i/>
          <w:iCs/>
          <w:color w:val="000000"/>
          <w:kern w:val="0"/>
        </w:rPr>
        <w:t>Pharmaceutical</w:t>
      </w:r>
      <w:r w:rsidR="00875821" w:rsidRPr="005A2F90">
        <w:rPr>
          <w:bCs w:val="0"/>
          <w:color w:val="000000"/>
          <w:kern w:val="0"/>
        </w:rPr>
        <w:t>’s case was reaffirmed in</w:t>
      </w:r>
      <w:r w:rsidR="002D782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President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of the Republic of South Africa and Others v South African Rugby Football Union and</w:t>
      </w:r>
      <w:r w:rsidR="007B0F55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Others</w:t>
      </w:r>
      <w:r w:rsidR="00875821" w:rsidRPr="005A2F90">
        <w:rPr>
          <w:bCs w:val="0"/>
          <w:color w:val="000000"/>
          <w:kern w:val="0"/>
        </w:rPr>
        <w:t>,</w:t>
      </w:r>
      <w:r w:rsidR="00A043C4" w:rsidRPr="005A2F90">
        <w:rPr>
          <w:rStyle w:val="FootnoteReference"/>
          <w:rFonts w:cs="Arial"/>
          <w:bCs w:val="0"/>
          <w:color w:val="000000"/>
          <w:kern w:val="0"/>
        </w:rPr>
        <w:footnoteReference w:id="82"/>
      </w:r>
      <w:r w:rsidR="00875821" w:rsidRPr="005A2F90">
        <w:rPr>
          <w:bCs w:val="0"/>
          <w:color w:val="000000"/>
          <w:kern w:val="0"/>
        </w:rPr>
        <w:t xml:space="preserve"> (SARFU III) where the Constitutiona</w:t>
      </w:r>
      <w:r w:rsidR="001D6CE7">
        <w:rPr>
          <w:bCs w:val="0"/>
          <w:color w:val="000000"/>
          <w:kern w:val="0"/>
        </w:rPr>
        <w:t xml:space="preserve">l Court outlined different ways </w:t>
      </w:r>
      <w:r w:rsidR="00875821" w:rsidRPr="005A2F90">
        <w:rPr>
          <w:bCs w:val="0"/>
          <w:color w:val="000000"/>
          <w:kern w:val="0"/>
        </w:rPr>
        <w:t>in which</w:t>
      </w:r>
      <w:r w:rsidR="007B0F5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exercise of public power is regulated by the Constitution. One of the constitutional</w:t>
      </w:r>
      <w:r w:rsidR="007B0F55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controls referred to is that flowing from </w:t>
      </w:r>
      <w:r w:rsidR="00875821" w:rsidRPr="005A2F90">
        <w:rPr>
          <w:bCs w:val="0"/>
          <w:i/>
          <w:iCs/>
          <w:color w:val="000000"/>
          <w:kern w:val="0"/>
        </w:rPr>
        <w:t>the doctrine of legality</w:t>
      </w:r>
      <w:r w:rsidR="00875821" w:rsidRPr="005A2F90">
        <w:rPr>
          <w:bCs w:val="0"/>
          <w:color w:val="000000"/>
          <w:kern w:val="0"/>
        </w:rPr>
        <w:t>.</w:t>
      </w:r>
      <w:r w:rsidR="00A043C4" w:rsidRPr="005A2F90">
        <w:rPr>
          <w:rStyle w:val="FootnoteReference"/>
          <w:rFonts w:cs="Arial"/>
          <w:bCs w:val="0"/>
          <w:color w:val="000000"/>
          <w:kern w:val="0"/>
        </w:rPr>
        <w:footnoteReference w:id="83"/>
      </w:r>
    </w:p>
    <w:p w:rsidR="001D6CE7" w:rsidRDefault="001D6CE7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BA29D2" w:rsidRPr="005A2F90" w:rsidRDefault="001D6C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1D6CE7">
        <w:rPr>
          <w:bCs w:val="0"/>
          <w:color w:val="000000"/>
          <w:kern w:val="0"/>
        </w:rPr>
        <w:t>[</w:t>
      </w:r>
      <w:r w:rsidR="00875821" w:rsidRPr="001D6CE7">
        <w:rPr>
          <w:bCs w:val="0"/>
          <w:color w:val="000000"/>
          <w:kern w:val="0"/>
        </w:rPr>
        <w:t>1</w:t>
      </w:r>
      <w:r w:rsidR="00002E3E" w:rsidRPr="001D6CE7">
        <w:rPr>
          <w:bCs w:val="0"/>
          <w:color w:val="000000"/>
          <w:kern w:val="0"/>
        </w:rPr>
        <w:t>08</w:t>
      </w:r>
      <w:r w:rsidRPr="001D6CE7">
        <w:rPr>
          <w:bCs w:val="0"/>
          <w:color w:val="000000"/>
          <w:kern w:val="0"/>
        </w:rPr>
        <w:t>]</w:t>
      </w:r>
      <w:r w:rsidR="00BA29D2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Although </w:t>
      </w:r>
      <w:r w:rsidR="00875821" w:rsidRPr="005A2F90">
        <w:rPr>
          <w:bCs w:val="0"/>
          <w:i/>
          <w:iCs/>
          <w:color w:val="000000"/>
          <w:kern w:val="0"/>
        </w:rPr>
        <w:t>Fedsure</w:t>
      </w:r>
      <w:r w:rsidR="00B3441E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4"/>
      </w:r>
      <w:r w:rsidR="00875821" w:rsidRPr="005A2F90">
        <w:rPr>
          <w:b/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was decided under the interim Constitution, the decision is applicable</w:t>
      </w:r>
      <w:r w:rsidR="00A043C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to the exercise of public power under the 1996 Constitution, which in specific terms now</w:t>
      </w:r>
      <w:r w:rsidR="00A043C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declares that the rule of law is one of the foundational values of the Constitution.</w:t>
      </w:r>
      <w:r w:rsidR="00A043C4" w:rsidRPr="005A2F90">
        <w:rPr>
          <w:rStyle w:val="FootnoteReference"/>
          <w:rFonts w:cs="Arial"/>
          <w:bCs w:val="0"/>
          <w:color w:val="000000"/>
          <w:kern w:val="0"/>
        </w:rPr>
        <w:footnoteReference w:id="85"/>
      </w:r>
    </w:p>
    <w:p w:rsidR="0067640D" w:rsidRDefault="0067640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467028" w:rsidRPr="005A2F90" w:rsidRDefault="0067640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67640D">
        <w:rPr>
          <w:bCs w:val="0"/>
          <w:color w:val="000000"/>
          <w:kern w:val="0"/>
        </w:rPr>
        <w:t>[</w:t>
      </w:r>
      <w:r w:rsidR="00875821" w:rsidRPr="0067640D">
        <w:rPr>
          <w:bCs w:val="0"/>
          <w:color w:val="000000"/>
          <w:kern w:val="0"/>
        </w:rPr>
        <w:t>1</w:t>
      </w:r>
      <w:r w:rsidR="00002E3E" w:rsidRPr="0067640D">
        <w:rPr>
          <w:bCs w:val="0"/>
          <w:color w:val="000000"/>
          <w:kern w:val="0"/>
        </w:rPr>
        <w:t>09</w:t>
      </w:r>
      <w:r w:rsidRPr="0067640D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Ngcobo J (as he then was) held that </w:t>
      </w:r>
      <w:r w:rsidR="00467028" w:rsidRPr="005A2F90">
        <w:rPr>
          <w:bCs w:val="0"/>
          <w:color w:val="000000"/>
          <w:kern w:val="0"/>
        </w:rPr>
        <w:t>–</w:t>
      </w:r>
    </w:p>
    <w:p w:rsidR="0096711A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“[t]he exercise of all legislative power is subject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to at least two constitutional constraints. The first is that there must be a rational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connection between the legislation and the achievement of a legitimate government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purpose. The idea of constitutional state presupposes a system whose operation can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be rationally tested. Thus, when Parliament enacts legislation that differentiates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between groups and individuals, it is required to act in a rational manner.”</w:t>
      </w:r>
      <w:r w:rsidR="004F3E88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6"/>
      </w:r>
    </w:p>
    <w:p w:rsidR="0067640D" w:rsidRDefault="0067640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67640D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FFFFFF"/>
          <w:kern w:val="0"/>
        </w:rPr>
      </w:pPr>
      <w:r w:rsidRPr="0067640D">
        <w:rPr>
          <w:bCs w:val="0"/>
          <w:color w:val="000000"/>
          <w:kern w:val="0"/>
        </w:rPr>
        <w:t>[</w:t>
      </w:r>
      <w:r w:rsidR="00875821" w:rsidRPr="0067640D">
        <w:rPr>
          <w:bCs w:val="0"/>
          <w:color w:val="000000"/>
          <w:kern w:val="0"/>
        </w:rPr>
        <w:t>1</w:t>
      </w:r>
      <w:r w:rsidR="00544BCC" w:rsidRPr="0067640D">
        <w:rPr>
          <w:bCs w:val="0"/>
          <w:color w:val="000000"/>
          <w:kern w:val="0"/>
        </w:rPr>
        <w:t>1</w:t>
      </w:r>
      <w:r w:rsidR="00002E3E" w:rsidRPr="0067640D">
        <w:rPr>
          <w:bCs w:val="0"/>
          <w:color w:val="000000"/>
          <w:kern w:val="0"/>
        </w:rPr>
        <w:t>0</w:t>
      </w:r>
      <w:r w:rsidRPr="0067640D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Constitutional Court amplified the test thus: </w:t>
      </w:r>
      <w:r w:rsidR="00875821" w:rsidRPr="005A2F90">
        <w:rPr>
          <w:bCs w:val="0"/>
          <w:i/>
          <w:iCs/>
          <w:color w:val="000000"/>
          <w:kern w:val="0"/>
        </w:rPr>
        <w:t>“[I]t is a requirement of the rule of law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that the exercise of public power by the Executive and other functionaries should not be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arbitrary. Decisions must be rationally related to the purpose for which the power was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given; otherwise, they are in effect arbitrary and inconsistent with this requirement. It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follows that in order to pass the constitutional scrutiny the exercise of the public power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by the Executive and other functionaries must, at least, comply with this requirement. If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it does not, it falls short of the standards demanded by our Constitution.”</w:t>
      </w:r>
      <w:r w:rsidR="004F3E88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7"/>
      </w:r>
      <w:r w:rsidR="00875821" w:rsidRPr="005A2F90">
        <w:rPr>
          <w:b/>
          <w:color w:val="FFFFFF"/>
          <w:kern w:val="0"/>
        </w:rPr>
        <w:t>1f710916a5034235ab8892ab699b2bf8-45</w:t>
      </w:r>
    </w:p>
    <w:p w:rsidR="0067640D" w:rsidRDefault="0067640D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544BCC" w:rsidRPr="005A2F90" w:rsidRDefault="0067640D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67640D">
        <w:rPr>
          <w:bCs w:val="0"/>
          <w:color w:val="000000"/>
          <w:kern w:val="0"/>
        </w:rPr>
        <w:t>[</w:t>
      </w:r>
      <w:r w:rsidR="00875821" w:rsidRPr="0067640D">
        <w:rPr>
          <w:bCs w:val="0"/>
          <w:color w:val="000000"/>
          <w:kern w:val="0"/>
        </w:rPr>
        <w:t>1</w:t>
      </w:r>
      <w:r w:rsidR="0096711A" w:rsidRPr="0067640D">
        <w:rPr>
          <w:bCs w:val="0"/>
          <w:color w:val="000000"/>
          <w:kern w:val="0"/>
        </w:rPr>
        <w:t>1</w:t>
      </w:r>
      <w:r w:rsidR="00002E3E" w:rsidRPr="0067640D">
        <w:rPr>
          <w:bCs w:val="0"/>
          <w:color w:val="000000"/>
          <w:kern w:val="0"/>
        </w:rPr>
        <w:t>1</w:t>
      </w:r>
      <w:r w:rsidRPr="0067640D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Furthermore, the Constitutional Court restated that South Africa is a constitutional</w:t>
      </w:r>
      <w:r w:rsidR="00A043C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democracy with the Constitution being the supreme law of the country, with any law</w:t>
      </w:r>
      <w:r w:rsidR="00A043C4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inconsistent therewith being unconstitutional. The Court stated that </w:t>
      </w:r>
      <w:r w:rsidR="00875821" w:rsidRPr="005A2F90">
        <w:rPr>
          <w:bCs w:val="0"/>
          <w:i/>
          <w:iCs/>
          <w:color w:val="000000"/>
          <w:kern w:val="0"/>
        </w:rPr>
        <w:t>“[t]he commitment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of supremacy of the Constitution and the rule of law means that the exercise of public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power is now subject to constitutional control. The exercise of public power must comply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with the Constitution, which is the supreme law and the doctrine of legality which is part</w:t>
      </w:r>
      <w:r w:rsidR="00A043C4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of our law.”</w:t>
      </w:r>
      <w:r w:rsidR="004F3E88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8"/>
      </w:r>
    </w:p>
    <w:p w:rsidR="00565C6A" w:rsidRDefault="00565C6A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544BCC" w:rsidRPr="00565C6A" w:rsidRDefault="00565C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65C6A">
        <w:rPr>
          <w:bCs w:val="0"/>
          <w:color w:val="000000"/>
          <w:kern w:val="0"/>
        </w:rPr>
        <w:t>[</w:t>
      </w:r>
      <w:r w:rsidR="00875821" w:rsidRPr="00565C6A">
        <w:rPr>
          <w:bCs w:val="0"/>
          <w:color w:val="000000"/>
          <w:kern w:val="0"/>
        </w:rPr>
        <w:t>11</w:t>
      </w:r>
      <w:r w:rsidR="00002E3E" w:rsidRPr="00565C6A">
        <w:rPr>
          <w:bCs w:val="0"/>
          <w:color w:val="000000"/>
          <w:kern w:val="0"/>
        </w:rPr>
        <w:t>2</w:t>
      </w:r>
      <w:r w:rsidRPr="00565C6A">
        <w:rPr>
          <w:bCs w:val="0"/>
          <w:color w:val="000000"/>
          <w:kern w:val="0"/>
        </w:rPr>
        <w:t>]</w:t>
      </w:r>
      <w:r w:rsidR="00544BCC" w:rsidRPr="00565C6A">
        <w:rPr>
          <w:bCs w:val="0"/>
          <w:color w:val="000000"/>
          <w:kern w:val="0"/>
        </w:rPr>
        <w:t xml:space="preserve"> </w:t>
      </w:r>
      <w:r w:rsidR="00875821" w:rsidRPr="00565C6A">
        <w:rPr>
          <w:bCs w:val="0"/>
          <w:color w:val="000000"/>
          <w:kern w:val="0"/>
        </w:rPr>
        <w:t>The exercise of all public power must comply with the Constitution which is the supreme</w:t>
      </w:r>
      <w:r w:rsidR="00A043C4" w:rsidRPr="00565C6A">
        <w:rPr>
          <w:bCs w:val="0"/>
          <w:color w:val="000000"/>
          <w:kern w:val="0"/>
        </w:rPr>
        <w:t xml:space="preserve"> </w:t>
      </w:r>
      <w:r w:rsidR="00875821" w:rsidRPr="00565C6A">
        <w:rPr>
          <w:bCs w:val="0"/>
          <w:color w:val="000000"/>
          <w:kern w:val="0"/>
        </w:rPr>
        <w:t>law, and the doctrine of legality which is part of that law.</w:t>
      </w:r>
    </w:p>
    <w:p w:rsidR="00565C6A" w:rsidRPr="00565C6A" w:rsidRDefault="00565C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54C5D" w:rsidRPr="00565C6A" w:rsidRDefault="00565C6A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65C6A">
        <w:rPr>
          <w:bCs w:val="0"/>
          <w:color w:val="000000"/>
          <w:kern w:val="0"/>
        </w:rPr>
        <w:t>[</w:t>
      </w:r>
      <w:r w:rsidR="00875821" w:rsidRPr="00565C6A">
        <w:rPr>
          <w:bCs w:val="0"/>
          <w:color w:val="000000"/>
          <w:kern w:val="0"/>
        </w:rPr>
        <w:t>1</w:t>
      </w:r>
      <w:r w:rsidR="00002E3E" w:rsidRPr="00565C6A">
        <w:rPr>
          <w:bCs w:val="0"/>
          <w:color w:val="000000"/>
          <w:kern w:val="0"/>
        </w:rPr>
        <w:t>13</w:t>
      </w:r>
      <w:r w:rsidRPr="00565C6A">
        <w:rPr>
          <w:bCs w:val="0"/>
          <w:color w:val="000000"/>
          <w:kern w:val="0"/>
        </w:rPr>
        <w:t>]</w:t>
      </w:r>
      <w:r w:rsidR="00875821" w:rsidRPr="00565C6A">
        <w:rPr>
          <w:bCs w:val="0"/>
          <w:color w:val="000000"/>
          <w:kern w:val="0"/>
        </w:rPr>
        <w:t xml:space="preserve"> The</w:t>
      </w:r>
      <w:r w:rsidR="00875821" w:rsidRPr="005A2F90">
        <w:rPr>
          <w:bCs w:val="0"/>
          <w:color w:val="000000"/>
          <w:kern w:val="0"/>
        </w:rPr>
        <w:t xml:space="preserve"> </w:t>
      </w:r>
      <w:r w:rsidR="00E35B49" w:rsidRPr="005A2F90">
        <w:rPr>
          <w:bCs w:val="0"/>
          <w:color w:val="000000"/>
          <w:kern w:val="0"/>
        </w:rPr>
        <w:t>words of</w:t>
      </w:r>
      <w:r w:rsidR="00875821" w:rsidRPr="005A2F90">
        <w:rPr>
          <w:bCs w:val="0"/>
          <w:color w:val="000000"/>
          <w:kern w:val="0"/>
        </w:rPr>
        <w:t xml:space="preserve"> caution w</w:t>
      </w:r>
      <w:r w:rsidR="00E35B49" w:rsidRPr="005A2F90">
        <w:rPr>
          <w:bCs w:val="0"/>
          <w:color w:val="000000"/>
          <w:kern w:val="0"/>
        </w:rPr>
        <w:t>ere</w:t>
      </w:r>
      <w:r w:rsidR="00875821" w:rsidRPr="005A2F90">
        <w:rPr>
          <w:bCs w:val="0"/>
          <w:color w:val="000000"/>
          <w:kern w:val="0"/>
        </w:rPr>
        <w:t xml:space="preserve"> sounded by the court previously in </w:t>
      </w:r>
      <w:r w:rsidR="00875821" w:rsidRPr="005A2F90">
        <w:rPr>
          <w:bCs w:val="0"/>
          <w:i/>
          <w:iCs/>
          <w:color w:val="000000"/>
          <w:kern w:val="0"/>
        </w:rPr>
        <w:t>Bredenkamp &amp; others v</w:t>
      </w:r>
      <w:r w:rsidR="004F3E88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Standard Bank of South Africa Ltd</w:t>
      </w:r>
      <w:r w:rsidR="001722FF" w:rsidRPr="005A2F90">
        <w:rPr>
          <w:bCs w:val="0"/>
          <w:i/>
          <w:iCs/>
          <w:color w:val="000000"/>
          <w:kern w:val="0"/>
        </w:rPr>
        <w:t>.</w:t>
      </w:r>
      <w:r w:rsidR="004F3E88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89"/>
      </w:r>
      <w:r w:rsidR="00875821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After analysing the judgments of the Constitutional</w:t>
      </w:r>
      <w:r w:rsidR="004F3E8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Court in </w:t>
      </w:r>
      <w:r w:rsidR="00875821" w:rsidRPr="005A2F90">
        <w:rPr>
          <w:bCs w:val="0"/>
          <w:i/>
          <w:iCs/>
          <w:color w:val="000000"/>
          <w:kern w:val="0"/>
        </w:rPr>
        <w:t>Barkhuizen v Napier</w:t>
      </w:r>
      <w:r w:rsidR="007B11C3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90"/>
      </w:r>
      <w:r w:rsidR="00875821" w:rsidRPr="005A2F90">
        <w:rPr>
          <w:bCs w:val="0"/>
          <w:color w:val="000000"/>
          <w:kern w:val="0"/>
        </w:rPr>
        <w:t>, Harms DP s</w:t>
      </w:r>
      <w:r w:rsidR="00636DCB" w:rsidRPr="005A2F90">
        <w:rPr>
          <w:bCs w:val="0"/>
          <w:color w:val="000000"/>
          <w:kern w:val="0"/>
        </w:rPr>
        <w:t>ays the following</w:t>
      </w:r>
      <w:r w:rsidR="00875821" w:rsidRPr="005A2F90">
        <w:rPr>
          <w:bCs w:val="0"/>
          <w:color w:val="000000"/>
          <w:kern w:val="0"/>
        </w:rPr>
        <w:t xml:space="preserve"> in para 39:</w:t>
      </w:r>
      <w:r w:rsidR="004F3E88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‘A constitutional principle that tends to be overlooked, when generalized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resort to constitutional values is made, is the principle of legality. Making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rules of law discretionary or subject to value judgments may be destructive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of the rule of law.’</w:t>
      </w:r>
    </w:p>
    <w:p w:rsidR="00B40C08" w:rsidRDefault="00B40C08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B40C08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B40C08">
        <w:rPr>
          <w:bCs w:val="0"/>
          <w:color w:val="000000"/>
          <w:kern w:val="0"/>
        </w:rPr>
        <w:t>[</w:t>
      </w:r>
      <w:r w:rsidR="00875821" w:rsidRPr="00B40C08">
        <w:rPr>
          <w:bCs w:val="0"/>
          <w:color w:val="000000"/>
          <w:kern w:val="0"/>
        </w:rPr>
        <w:t>1</w:t>
      </w:r>
      <w:r w:rsidR="00854C5D" w:rsidRPr="00B40C08">
        <w:rPr>
          <w:bCs w:val="0"/>
          <w:color w:val="000000"/>
          <w:kern w:val="0"/>
        </w:rPr>
        <w:t>1</w:t>
      </w:r>
      <w:r w:rsidR="00002E3E" w:rsidRPr="00B40C08">
        <w:rPr>
          <w:bCs w:val="0"/>
          <w:color w:val="000000"/>
          <w:kern w:val="0"/>
        </w:rPr>
        <w:t>4</w:t>
      </w:r>
      <w:r w:rsidRPr="00B40C08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This principle was reinforced in </w:t>
      </w:r>
      <w:r w:rsidR="00875821" w:rsidRPr="005A2F90">
        <w:rPr>
          <w:bCs w:val="0"/>
          <w:i/>
          <w:iCs/>
          <w:color w:val="000000"/>
          <w:kern w:val="0"/>
        </w:rPr>
        <w:t>Potgieter v Potgieter NO</w:t>
      </w:r>
      <w:r w:rsidR="007B11C3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91"/>
      </w:r>
      <w:r w:rsidR="00875821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where Brand JA, after</w:t>
      </w:r>
      <w:r w:rsidR="007B11C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referring to </w:t>
      </w:r>
      <w:r w:rsidR="00875821" w:rsidRPr="005A2F90">
        <w:rPr>
          <w:bCs w:val="0"/>
          <w:i/>
          <w:iCs/>
          <w:color w:val="000000"/>
          <w:kern w:val="0"/>
        </w:rPr>
        <w:t xml:space="preserve">Bredenkamp </w:t>
      </w:r>
      <w:r w:rsidR="00875821" w:rsidRPr="005A2F90">
        <w:rPr>
          <w:bCs w:val="0"/>
          <w:color w:val="000000"/>
          <w:kern w:val="0"/>
        </w:rPr>
        <w:t>and other cases decided along these lines in this court, s</w:t>
      </w:r>
      <w:r w:rsidR="00763DAE" w:rsidRPr="005A2F90">
        <w:rPr>
          <w:bCs w:val="0"/>
          <w:color w:val="000000"/>
          <w:kern w:val="0"/>
        </w:rPr>
        <w:t xml:space="preserve">ays the following in </w:t>
      </w:r>
      <w:r w:rsidR="00875821" w:rsidRPr="005A2F90">
        <w:rPr>
          <w:bCs w:val="0"/>
          <w:color w:val="000000"/>
          <w:kern w:val="0"/>
        </w:rPr>
        <w:t>para</w:t>
      </w:r>
      <w:r w:rsidR="00763DAE" w:rsidRPr="005A2F90">
        <w:rPr>
          <w:bCs w:val="0"/>
          <w:color w:val="000000"/>
          <w:kern w:val="0"/>
        </w:rPr>
        <w:t>graph</w:t>
      </w:r>
      <w:r w:rsidR="00875821" w:rsidRPr="005A2F90">
        <w:rPr>
          <w:bCs w:val="0"/>
          <w:color w:val="000000"/>
          <w:kern w:val="0"/>
        </w:rPr>
        <w:t xml:space="preserve"> 34:</w:t>
      </w:r>
    </w:p>
    <w:p w:rsidR="0004134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‘[T]he reason why our law cannot endorse the notion that judges may decide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cases on the basis of what they regard as reasonable and fair, is essentially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that it will give rise to intolerable legal uncertainty. That much has been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illustrated by past experience. Reasonable people, including judges, may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often differ on what is equitable and fair. The outcome in any particular case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will thus depend on the personal idiosyncr</w:t>
      </w:r>
      <w:r w:rsidR="006F56A5">
        <w:rPr>
          <w:bCs w:val="0"/>
          <w:i/>
          <w:iCs/>
          <w:color w:val="000000"/>
          <w:kern w:val="0"/>
        </w:rPr>
        <w:t>asies of the individual judge. O</w:t>
      </w:r>
      <w:r w:rsidRPr="005A2F90">
        <w:rPr>
          <w:bCs w:val="0"/>
          <w:i/>
          <w:iCs/>
          <w:color w:val="000000"/>
          <w:kern w:val="0"/>
        </w:rPr>
        <w:t>r,as Van den Heever JA put it in Preller &amp; others v Jordaan 1956 (1) SA 483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(A) at 500, if judges are allowed to decide cases on the basis of what they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regard as reasonable and fair, the criterion will no longer be the law but the</w:t>
      </w:r>
      <w:r w:rsidR="0047672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judge.’</w:t>
      </w:r>
    </w:p>
    <w:p w:rsidR="006F56A5" w:rsidRDefault="006F56A5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6F56A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6F56A5">
        <w:rPr>
          <w:bCs w:val="0"/>
          <w:color w:val="000000"/>
          <w:kern w:val="0"/>
        </w:rPr>
        <w:t>[</w:t>
      </w:r>
      <w:r w:rsidR="00875821" w:rsidRPr="006F56A5">
        <w:rPr>
          <w:bCs w:val="0"/>
          <w:color w:val="000000"/>
          <w:kern w:val="0"/>
        </w:rPr>
        <w:t>1</w:t>
      </w:r>
      <w:r w:rsidRPr="006F56A5">
        <w:rPr>
          <w:bCs w:val="0"/>
          <w:color w:val="000000"/>
          <w:kern w:val="0"/>
        </w:rPr>
        <w:t>15]</w:t>
      </w:r>
      <w:r w:rsidR="00875821" w:rsidRPr="005A2F90">
        <w:rPr>
          <w:bCs w:val="0"/>
          <w:color w:val="000000"/>
          <w:kern w:val="0"/>
        </w:rPr>
        <w:t xml:space="preserve"> The decision to approve and award the grant funding to the First Respondent is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reviewable on the following grounds: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6F56A5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.1 First, the decision was (a) based upon a material error of fact; alternatively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(b) </w:t>
      </w:r>
      <w:r w:rsidRPr="005A2F90">
        <w:rPr>
          <w:bCs w:val="0"/>
          <w:i/>
          <w:iCs/>
          <w:color w:val="000000"/>
          <w:kern w:val="0"/>
        </w:rPr>
        <w:t>ultra vires</w:t>
      </w:r>
      <w:r w:rsidRPr="005A2F90">
        <w:rPr>
          <w:bCs w:val="0"/>
          <w:color w:val="000000"/>
          <w:kern w:val="0"/>
        </w:rPr>
        <w:t>; alternatively (c) arbitrary and irrational, in that: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.1.1 During the project accreditation process it had been accepted that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the land on which the 507 social housing units were to be built had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been purchased and there was proof of a title deed and or a sale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agreement. Instead of a title deed and or a sale agreement, a notarial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sub-lease agreement was submitted and it was neither endorsed nor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 xml:space="preserve">lodged with the Registrar of Deeds in </w:t>
      </w:r>
      <w:r w:rsidR="00AA2CF2">
        <w:rPr>
          <w:bCs w:val="0"/>
          <w:color w:val="000000"/>
          <w:kern w:val="0"/>
        </w:rPr>
        <w:t xml:space="preserve">terms of the Deeds Registration </w:t>
      </w:r>
      <w:r w:rsidRPr="005A2F90">
        <w:rPr>
          <w:bCs w:val="0"/>
          <w:color w:val="000000"/>
          <w:kern w:val="0"/>
        </w:rPr>
        <w:t>Act 47 of 1937.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.1.2 Consequently, the decision to approve</w:t>
      </w:r>
      <w:r w:rsidR="00AA2CF2">
        <w:rPr>
          <w:bCs w:val="0"/>
          <w:color w:val="000000"/>
          <w:kern w:val="0"/>
        </w:rPr>
        <w:t xml:space="preserve"> the grant funding to the First </w:t>
      </w:r>
      <w:r w:rsidRPr="005A2F90">
        <w:rPr>
          <w:bCs w:val="0"/>
          <w:color w:val="000000"/>
          <w:kern w:val="0"/>
        </w:rPr>
        <w:t>Respondent did not comply with Regulation 19(1)(a) which provides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that the social housing institution concerned must either “</w:t>
      </w:r>
      <w:r w:rsidRPr="005A2F90">
        <w:rPr>
          <w:bCs w:val="0"/>
          <w:i/>
          <w:iCs/>
          <w:color w:val="000000"/>
          <w:kern w:val="0"/>
        </w:rPr>
        <w:t>be the</w:t>
      </w:r>
      <w:r w:rsidR="007B11C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owner of the land to be utilised for development or have a minimum</w:t>
      </w:r>
      <w:r w:rsidR="007B11C3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lease period of 30 years of the land with the public sector</w:t>
      </w:r>
      <w:r w:rsidRPr="005A2F90">
        <w:rPr>
          <w:bCs w:val="0"/>
          <w:color w:val="000000"/>
          <w:kern w:val="0"/>
        </w:rPr>
        <w:t>”. The First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Respondent was not the owner of the land, the sub-lease of the land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which it proffered was not a lease agreement with a public sector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entity, but with a private company and furthermore, the sub-lease</w:t>
      </w:r>
      <w:r w:rsidR="007B11C3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agreement was not for a period of 30 (thirty) years.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.2 Second, the decision was (a) based upon a material error of fact; alternatively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(b) </w:t>
      </w:r>
      <w:r w:rsidRPr="005A2F90">
        <w:rPr>
          <w:bCs w:val="0"/>
          <w:i/>
          <w:iCs/>
          <w:color w:val="000000"/>
          <w:kern w:val="0"/>
        </w:rPr>
        <w:t>ultra vires</w:t>
      </w:r>
      <w:r w:rsidRPr="005A2F90">
        <w:rPr>
          <w:bCs w:val="0"/>
          <w:color w:val="000000"/>
          <w:kern w:val="0"/>
        </w:rPr>
        <w:t>, in that: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.2.1 The Second Respondent had entere</w:t>
      </w:r>
      <w:r w:rsidR="00AA2CF2">
        <w:rPr>
          <w:bCs w:val="0"/>
          <w:color w:val="000000"/>
          <w:kern w:val="0"/>
        </w:rPr>
        <w:t xml:space="preserve">d into the main lease agreement </w:t>
      </w:r>
      <w:r w:rsidRPr="005A2F90">
        <w:rPr>
          <w:bCs w:val="0"/>
          <w:color w:val="000000"/>
          <w:kern w:val="0"/>
        </w:rPr>
        <w:t>with the Fifth Respondent, an entity of the City of Johannesburg</w:t>
      </w:r>
      <w:r w:rsidR="00854C5D" w:rsidRPr="005A2F90">
        <w:rPr>
          <w:bCs w:val="0"/>
          <w:color w:val="000000"/>
          <w:kern w:val="0"/>
        </w:rPr>
        <w:t xml:space="preserve"> </w:t>
      </w:r>
      <w:r w:rsidR="00AA2CF2">
        <w:rPr>
          <w:bCs w:val="0"/>
          <w:color w:val="000000"/>
          <w:kern w:val="0"/>
        </w:rPr>
        <w:t xml:space="preserve">Metropolitan Municipality, </w:t>
      </w:r>
      <w:r w:rsidRPr="005A2F90">
        <w:rPr>
          <w:bCs w:val="0"/>
          <w:color w:val="000000"/>
          <w:kern w:val="0"/>
        </w:rPr>
        <w:t>which provided for prior consent for subletting</w:t>
      </w:r>
      <w:r w:rsidR="00854C5D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to be sought from the lessor.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.2.2 This prior consent for sub-letting was never sought and the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development lease agreement between the Second Respondent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and the Fifth Respondent was terminated on 12 August 2017 prior to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the SHRA Council approval of TBGI SHI application for grant funding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on 28 September 2017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.3 Third, the decision was (a) based upon a material error of fact; alternatively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(b) </w:t>
      </w:r>
      <w:r w:rsidRPr="005A2F90">
        <w:rPr>
          <w:bCs w:val="0"/>
          <w:i/>
          <w:iCs/>
          <w:color w:val="000000"/>
          <w:kern w:val="0"/>
        </w:rPr>
        <w:t>ultra vires</w:t>
      </w:r>
      <w:r w:rsidRPr="005A2F90">
        <w:rPr>
          <w:bCs w:val="0"/>
          <w:color w:val="000000"/>
          <w:kern w:val="0"/>
        </w:rPr>
        <w:t>, in that: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>.3.1 At the time of the conclusion of the CCGA between the First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Respondent and the Applicant, the First Respondent did not have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the land required for the development of social housing units for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which the funding was intended to be used; and</w:t>
      </w:r>
    </w:p>
    <w:p w:rsidR="000E2CAF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1</w:t>
      </w:r>
      <w:r w:rsidR="00AA2CF2">
        <w:rPr>
          <w:bCs w:val="0"/>
          <w:color w:val="000000"/>
          <w:kern w:val="0"/>
        </w:rPr>
        <w:t>15</w:t>
      </w:r>
      <w:r w:rsidRPr="005A2F90">
        <w:rPr>
          <w:bCs w:val="0"/>
          <w:color w:val="000000"/>
          <w:kern w:val="0"/>
        </w:rPr>
        <w:t xml:space="preserve">.3.2 The First Respondent failed to </w:t>
      </w:r>
      <w:r w:rsidR="000E2CAF" w:rsidRPr="005A2F90">
        <w:rPr>
          <w:bCs w:val="0"/>
          <w:color w:val="000000"/>
          <w:kern w:val="0"/>
        </w:rPr>
        <w:t xml:space="preserve">inform </w:t>
      </w:r>
      <w:r w:rsidRPr="005A2F90">
        <w:rPr>
          <w:bCs w:val="0"/>
          <w:color w:val="000000"/>
          <w:kern w:val="0"/>
        </w:rPr>
        <w:t>the A</w:t>
      </w:r>
      <w:r w:rsidR="00AA2CF2">
        <w:rPr>
          <w:bCs w:val="0"/>
          <w:color w:val="000000"/>
          <w:kern w:val="0"/>
        </w:rPr>
        <w:t xml:space="preserve">pplicant of such facts, and the </w:t>
      </w:r>
      <w:r w:rsidRPr="005A2F90">
        <w:rPr>
          <w:bCs w:val="0"/>
          <w:color w:val="000000"/>
          <w:kern w:val="0"/>
        </w:rPr>
        <w:t xml:space="preserve">Applicant made the decision on the flawed assumption that the </w:t>
      </w:r>
      <w:r w:rsidR="00AA2CF2">
        <w:rPr>
          <w:bCs w:val="0"/>
          <w:color w:val="000000"/>
          <w:kern w:val="0"/>
        </w:rPr>
        <w:t xml:space="preserve">First </w:t>
      </w:r>
      <w:r w:rsidRPr="005A2F90">
        <w:rPr>
          <w:bCs w:val="0"/>
          <w:color w:val="000000"/>
          <w:kern w:val="0"/>
        </w:rPr>
        <w:t>Respondent did indeed have the land, which it lacked.</w:t>
      </w:r>
    </w:p>
    <w:p w:rsidR="00AA2CF2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AA2CF2">
        <w:rPr>
          <w:bCs w:val="0"/>
          <w:color w:val="000000"/>
          <w:kern w:val="0"/>
        </w:rPr>
        <w:t>[</w:t>
      </w:r>
      <w:r w:rsidR="00875821" w:rsidRPr="00AA2CF2">
        <w:rPr>
          <w:bCs w:val="0"/>
          <w:color w:val="000000"/>
          <w:kern w:val="0"/>
        </w:rPr>
        <w:t>1</w:t>
      </w:r>
      <w:r w:rsidRPr="00AA2CF2">
        <w:rPr>
          <w:bCs w:val="0"/>
          <w:color w:val="000000"/>
          <w:kern w:val="0"/>
        </w:rPr>
        <w:t>16]</w:t>
      </w:r>
      <w:r w:rsidR="00875821" w:rsidRPr="005A2F90">
        <w:rPr>
          <w:bCs w:val="0"/>
          <w:color w:val="000000"/>
          <w:kern w:val="0"/>
        </w:rPr>
        <w:t xml:space="preserve"> At the time of the conclusion of the CCGA between the First Respondent and Applicant</w:t>
      </w:r>
      <w:r w:rsidR="000E2CAF" w:rsidRPr="005A2F90">
        <w:rPr>
          <w:bCs w:val="0"/>
          <w:color w:val="000000"/>
          <w:kern w:val="0"/>
        </w:rPr>
        <w:t xml:space="preserve"> t</w:t>
      </w:r>
      <w:r w:rsidR="00875821" w:rsidRPr="005A2F90">
        <w:rPr>
          <w:bCs w:val="0"/>
          <w:color w:val="000000"/>
          <w:kern w:val="0"/>
        </w:rPr>
        <w:t>he First Respondent failed to inform the Applicant of such facts, and the Applicant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made the decision on the flawed assumption that it was within its province to do so.</w:t>
      </w:r>
    </w:p>
    <w:p w:rsidR="00AA2CF2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AA2CF2">
        <w:rPr>
          <w:bCs w:val="0"/>
          <w:color w:val="000000"/>
          <w:kern w:val="0"/>
        </w:rPr>
        <w:t>[</w:t>
      </w:r>
      <w:r w:rsidR="00875821" w:rsidRPr="00AA2CF2">
        <w:rPr>
          <w:bCs w:val="0"/>
          <w:color w:val="000000"/>
          <w:kern w:val="0"/>
        </w:rPr>
        <w:t>1</w:t>
      </w:r>
      <w:r w:rsidRPr="00AA2CF2">
        <w:rPr>
          <w:bCs w:val="0"/>
          <w:color w:val="000000"/>
          <w:kern w:val="0"/>
        </w:rPr>
        <w:t>17]</w:t>
      </w:r>
      <w:r w:rsidR="00854C5D" w:rsidRPr="00AA2CF2">
        <w:rPr>
          <w:bCs w:val="0"/>
          <w:color w:val="000000"/>
          <w:kern w:val="0"/>
        </w:rPr>
        <w:t xml:space="preserve"> Accordingly </w:t>
      </w:r>
      <w:r w:rsidR="00C024BA" w:rsidRPr="00AA2CF2">
        <w:rPr>
          <w:bCs w:val="0"/>
          <w:color w:val="000000"/>
          <w:kern w:val="0"/>
        </w:rPr>
        <w:t>it is my view</w:t>
      </w:r>
      <w:r w:rsidR="00C024BA" w:rsidRPr="005A2F90">
        <w:rPr>
          <w:b/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that the Applicant has made out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 case for the review of the decision on the grounds set out above.</w:t>
      </w:r>
    </w:p>
    <w:p w:rsidR="00041341" w:rsidRPr="005A2F90" w:rsidRDefault="0004134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REMEDY</w:t>
      </w:r>
    </w:p>
    <w:p w:rsidR="00AA2CF2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AA2CF2">
        <w:rPr>
          <w:bCs w:val="0"/>
          <w:color w:val="000000"/>
          <w:kern w:val="0"/>
        </w:rPr>
        <w:t>[</w:t>
      </w:r>
      <w:r w:rsidR="00875821" w:rsidRPr="00AA2CF2">
        <w:rPr>
          <w:bCs w:val="0"/>
          <w:color w:val="000000"/>
          <w:kern w:val="0"/>
        </w:rPr>
        <w:t>1</w:t>
      </w:r>
      <w:r w:rsidRPr="00AA2CF2">
        <w:rPr>
          <w:bCs w:val="0"/>
          <w:color w:val="000000"/>
          <w:kern w:val="0"/>
        </w:rPr>
        <w:t>18]</w:t>
      </w:r>
      <w:r w:rsidR="00875821" w:rsidRPr="005A2F90">
        <w:rPr>
          <w:bCs w:val="0"/>
          <w:color w:val="000000"/>
          <w:kern w:val="0"/>
        </w:rPr>
        <w:t xml:space="preserve"> In terms of section 172(1)(b) of the Constitution, </w:t>
      </w:r>
      <w:r w:rsidR="00B750FC" w:rsidRPr="005A2F90">
        <w:rPr>
          <w:bCs w:val="0"/>
          <w:color w:val="000000"/>
          <w:kern w:val="0"/>
        </w:rPr>
        <w:t xml:space="preserve">this Court has a discretion in regard to the nature of the remedy that it orders which </w:t>
      </w:r>
      <w:r w:rsidR="00875821" w:rsidRPr="005A2F90">
        <w:rPr>
          <w:bCs w:val="0"/>
          <w:color w:val="000000"/>
          <w:kern w:val="0"/>
        </w:rPr>
        <w:t>remedy</w:t>
      </w:r>
      <w:r w:rsidR="00B750FC" w:rsidRPr="005A2F90">
        <w:rPr>
          <w:bCs w:val="0"/>
          <w:color w:val="000000"/>
          <w:kern w:val="0"/>
        </w:rPr>
        <w:t xml:space="preserve"> must be</w:t>
      </w:r>
      <w:r w:rsidR="0047672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appropriate, just and equitable. </w:t>
      </w:r>
      <w:r w:rsidR="0040146B" w:rsidRPr="005A2F90">
        <w:rPr>
          <w:bCs w:val="0"/>
          <w:color w:val="000000"/>
          <w:kern w:val="0"/>
        </w:rPr>
        <w:t>T</w:t>
      </w:r>
      <w:r w:rsidR="00875821" w:rsidRPr="005A2F90">
        <w:rPr>
          <w:bCs w:val="0"/>
          <w:color w:val="000000"/>
          <w:kern w:val="0"/>
        </w:rPr>
        <w:t>he Constitutional Court</w:t>
      </w:r>
      <w:r w:rsidR="00476723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upheld the view that:</w:t>
      </w:r>
    </w:p>
    <w:p w:rsidR="0004134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>‘Constitutionally-mandated remedies must be afforded for violations of the Constitution.</w:t>
      </w:r>
      <w:r w:rsidR="00B750FC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This means providing effective relief for infringements of constitutional rights. Relief</w:t>
      </w:r>
      <w:r w:rsidR="00B750FC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must also spring from breaches of the Constitution generally. There can therefore be</w:t>
      </w:r>
      <w:r w:rsidR="00B750FC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no doubt that upholding the High Court orders by enforcing the transfer management</w:t>
      </w:r>
      <w:r w:rsidR="00B750FC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provisions of the original contract is open to this Court. Not only has Tasima made</w:t>
      </w:r>
      <w:r w:rsidR="00B750FC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commercial decisions on the basis of the High Court orders, but doing so would also</w:t>
      </w:r>
      <w:r w:rsidR="00B750FC"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 xml:space="preserve">vindicate the high esteem the Constitution gives to the orders themselves.’ </w:t>
      </w:r>
      <w:r w:rsidR="00FF1E4E" w:rsidRPr="005A2F90">
        <w:rPr>
          <w:rStyle w:val="FootnoteReference"/>
          <w:rFonts w:cs="Arial"/>
          <w:bCs w:val="0"/>
          <w:i/>
          <w:iCs/>
          <w:color w:val="000000"/>
          <w:kern w:val="0"/>
        </w:rPr>
        <w:footnoteReference w:id="92"/>
      </w:r>
      <w:r w:rsidRPr="005A2F90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[Footnotes</w:t>
      </w:r>
      <w:r w:rsidR="00FF1E4E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omitted]</w:t>
      </w:r>
    </w:p>
    <w:p w:rsidR="00AA2CF2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AA2CF2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E91969">
        <w:rPr>
          <w:bCs w:val="0"/>
          <w:color w:val="000000"/>
          <w:kern w:val="0"/>
        </w:rPr>
        <w:t>[</w:t>
      </w:r>
      <w:r w:rsidR="00875821" w:rsidRPr="00E91969">
        <w:rPr>
          <w:bCs w:val="0"/>
          <w:color w:val="000000"/>
          <w:kern w:val="0"/>
        </w:rPr>
        <w:t>1</w:t>
      </w:r>
      <w:r w:rsidR="00E91969" w:rsidRPr="00E91969">
        <w:rPr>
          <w:bCs w:val="0"/>
          <w:color w:val="000000"/>
          <w:kern w:val="0"/>
        </w:rPr>
        <w:t>19</w:t>
      </w:r>
      <w:r w:rsidRPr="00E91969">
        <w:rPr>
          <w:bCs w:val="0"/>
          <w:color w:val="000000"/>
          <w:kern w:val="0"/>
        </w:rPr>
        <w:t>]</w:t>
      </w:r>
      <w:r w:rsidR="00875821" w:rsidRPr="005A2F90">
        <w:rPr>
          <w:bCs w:val="0"/>
          <w:color w:val="000000"/>
          <w:kern w:val="0"/>
        </w:rPr>
        <w:t xml:space="preserve"> The Constitutional Court </w:t>
      </w:r>
      <w:r w:rsidR="00B750FC" w:rsidRPr="005A2F90">
        <w:rPr>
          <w:bCs w:val="0"/>
          <w:color w:val="000000"/>
          <w:kern w:val="0"/>
        </w:rPr>
        <w:t>further said</w:t>
      </w:r>
      <w:r w:rsidR="00875821" w:rsidRPr="005A2F90">
        <w:rPr>
          <w:bCs w:val="0"/>
          <w:color w:val="000000"/>
          <w:kern w:val="0"/>
        </w:rPr>
        <w:t>:</w:t>
      </w:r>
    </w:p>
    <w:p w:rsidR="00041341" w:rsidRPr="00613FFE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5A2F90">
        <w:rPr>
          <w:bCs w:val="0"/>
          <w:i/>
          <w:iCs/>
          <w:color w:val="000000"/>
          <w:kern w:val="0"/>
        </w:rPr>
        <w:t xml:space="preserve">“In crafting an appropriate remedy, even where a </w:t>
      </w:r>
      <w:r w:rsidR="00613FFE">
        <w:rPr>
          <w:bCs w:val="0"/>
          <w:i/>
          <w:iCs/>
          <w:color w:val="000000"/>
          <w:kern w:val="0"/>
        </w:rPr>
        <w:t xml:space="preserve">range of court orders have been </w:t>
      </w:r>
      <w:r w:rsidRPr="005A2F90">
        <w:rPr>
          <w:bCs w:val="0"/>
          <w:i/>
          <w:iCs/>
          <w:color w:val="000000"/>
          <w:kern w:val="0"/>
        </w:rPr>
        <w:t>violated, the interests of the public must remain</w:t>
      </w:r>
      <w:r w:rsidR="00613FFE">
        <w:rPr>
          <w:bCs w:val="0"/>
          <w:i/>
          <w:iCs/>
          <w:color w:val="000000"/>
          <w:kern w:val="0"/>
        </w:rPr>
        <w:t xml:space="preserve"> paramount. This extends beyond </w:t>
      </w:r>
      <w:r w:rsidRPr="005A2F90">
        <w:rPr>
          <w:bCs w:val="0"/>
          <w:i/>
          <w:iCs/>
          <w:color w:val="000000"/>
          <w:kern w:val="0"/>
        </w:rPr>
        <w:t>considerations of the immediate consequences of inva</w:t>
      </w:r>
      <w:r w:rsidR="00613FFE">
        <w:rPr>
          <w:bCs w:val="0"/>
          <w:i/>
          <w:iCs/>
          <w:color w:val="000000"/>
          <w:kern w:val="0"/>
        </w:rPr>
        <w:t xml:space="preserve">lidity. As Allpay II expresses, </w:t>
      </w:r>
      <w:r w:rsidRPr="005A2F90">
        <w:rPr>
          <w:bCs w:val="0"/>
          <w:i/>
          <w:iCs/>
          <w:color w:val="000000"/>
          <w:kern w:val="0"/>
        </w:rPr>
        <w:t>primacy of the public interest in procurement matters “must also be taken into account</w:t>
      </w:r>
      <w:r w:rsidR="00613FFE">
        <w:rPr>
          <w:bCs w:val="0"/>
          <w:i/>
          <w:iCs/>
          <w:color w:val="000000"/>
          <w:kern w:val="0"/>
        </w:rPr>
        <w:t xml:space="preserve"> </w:t>
      </w:r>
      <w:r w:rsidRPr="005A2F90">
        <w:rPr>
          <w:bCs w:val="0"/>
          <w:i/>
          <w:iCs/>
          <w:color w:val="000000"/>
          <w:kern w:val="0"/>
        </w:rPr>
        <w:t>when the rights, responsibilities, and obligati</w:t>
      </w:r>
      <w:r w:rsidR="00613FFE">
        <w:rPr>
          <w:bCs w:val="0"/>
          <w:i/>
          <w:iCs/>
          <w:color w:val="000000"/>
          <w:kern w:val="0"/>
        </w:rPr>
        <w:t xml:space="preserve">ons of all affected persons are assessed. </w:t>
      </w:r>
      <w:r w:rsidRPr="005A2F90">
        <w:rPr>
          <w:bCs w:val="0"/>
          <w:i/>
          <w:iCs/>
          <w:color w:val="000000"/>
          <w:kern w:val="0"/>
        </w:rPr>
        <w:t xml:space="preserve">This means that the enquiry cannot be </w:t>
      </w:r>
      <w:r w:rsidR="00613FFE">
        <w:rPr>
          <w:bCs w:val="0"/>
          <w:i/>
          <w:iCs/>
          <w:color w:val="000000"/>
          <w:kern w:val="0"/>
        </w:rPr>
        <w:t xml:space="preserve">one-dimensional. It must have a </w:t>
      </w:r>
      <w:r w:rsidRPr="005A2F90">
        <w:rPr>
          <w:bCs w:val="0"/>
          <w:i/>
          <w:iCs/>
          <w:color w:val="000000"/>
          <w:kern w:val="0"/>
        </w:rPr>
        <w:t xml:space="preserve">broader range.” </w:t>
      </w:r>
      <w:r w:rsidRPr="005A2F90">
        <w:rPr>
          <w:bCs w:val="0"/>
          <w:color w:val="000000"/>
          <w:kern w:val="0"/>
        </w:rPr>
        <w:t>[Footnotes omitted]</w:t>
      </w:r>
    </w:p>
    <w:p w:rsidR="00613FFE" w:rsidRDefault="00613FFE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041341" w:rsidRPr="005A2F90" w:rsidRDefault="00613FF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4C1235">
        <w:rPr>
          <w:bCs w:val="0"/>
          <w:color w:val="000000"/>
          <w:kern w:val="0"/>
        </w:rPr>
        <w:t>[</w:t>
      </w:r>
      <w:r w:rsidR="00875821" w:rsidRPr="004C1235">
        <w:rPr>
          <w:bCs w:val="0"/>
          <w:color w:val="000000"/>
          <w:kern w:val="0"/>
        </w:rPr>
        <w:t>1</w:t>
      </w:r>
      <w:r w:rsidR="00041341" w:rsidRPr="004C1235">
        <w:rPr>
          <w:bCs w:val="0"/>
          <w:color w:val="000000"/>
          <w:kern w:val="0"/>
        </w:rPr>
        <w:t>2</w:t>
      </w:r>
      <w:r w:rsidRPr="004C1235">
        <w:rPr>
          <w:bCs w:val="0"/>
          <w:color w:val="000000"/>
          <w:kern w:val="0"/>
        </w:rPr>
        <w:t>0]</w:t>
      </w:r>
      <w:r w:rsidR="00041341" w:rsidRPr="005A2F90">
        <w:rPr>
          <w:bCs w:val="0"/>
          <w:color w:val="000000"/>
          <w:kern w:val="0"/>
        </w:rPr>
        <w:t xml:space="preserve"> </w:t>
      </w:r>
      <w:r w:rsidR="0040146B" w:rsidRPr="005A2F90">
        <w:rPr>
          <w:bCs w:val="0"/>
          <w:color w:val="000000"/>
          <w:kern w:val="0"/>
        </w:rPr>
        <w:t>T</w:t>
      </w:r>
      <w:r w:rsidR="00875821" w:rsidRPr="005A2F90">
        <w:rPr>
          <w:bCs w:val="0"/>
          <w:color w:val="000000"/>
          <w:kern w:val="0"/>
        </w:rPr>
        <w:t>he Applicant is an Organ of State charged with one of the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most important duty of the Constitution to wit, provision of adequate housing. SHA was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enacted to give the above constitutional mandate effect.</w:t>
      </w:r>
    </w:p>
    <w:p w:rsidR="004C1235" w:rsidRDefault="004C1235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914F3E" w:rsidRPr="005A2F90" w:rsidRDefault="004C1235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4C1235">
        <w:rPr>
          <w:bCs w:val="0"/>
          <w:color w:val="000000"/>
          <w:kern w:val="0"/>
        </w:rPr>
        <w:t>[</w:t>
      </w:r>
      <w:r w:rsidR="00041341" w:rsidRPr="004C1235">
        <w:rPr>
          <w:bCs w:val="0"/>
          <w:color w:val="000000"/>
          <w:kern w:val="0"/>
        </w:rPr>
        <w:t>12</w:t>
      </w:r>
      <w:r w:rsidRPr="004C1235">
        <w:rPr>
          <w:bCs w:val="0"/>
          <w:color w:val="000000"/>
          <w:kern w:val="0"/>
        </w:rPr>
        <w:t>1]</w:t>
      </w:r>
      <w:r w:rsidR="00041341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misleading the Applicant, the Respondents were able to achieve the unlawful in that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Applicant was led into approving the use of substantial amount of public money in a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project that is essentially still born. We have demonstrated that a material criteria of the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CCG was not met, and cannot be met. The First Respondent does not have land and/or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 lease that complies with the Regulation 19.</w:t>
      </w:r>
    </w:p>
    <w:p w:rsidR="004C1235" w:rsidRDefault="004C1235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C024BA" w:rsidRPr="005A2F90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B10E7">
        <w:rPr>
          <w:bCs w:val="0"/>
          <w:color w:val="000000"/>
          <w:kern w:val="0"/>
        </w:rPr>
        <w:t>[</w:t>
      </w:r>
      <w:r w:rsidR="00875821" w:rsidRPr="000B10E7">
        <w:rPr>
          <w:bCs w:val="0"/>
          <w:color w:val="000000"/>
          <w:kern w:val="0"/>
        </w:rPr>
        <w:t>1</w:t>
      </w:r>
      <w:r w:rsidRPr="000B10E7">
        <w:rPr>
          <w:bCs w:val="0"/>
          <w:color w:val="000000"/>
          <w:kern w:val="0"/>
        </w:rPr>
        <w:t>22]</w:t>
      </w:r>
      <w:r w:rsidR="00914F3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As matters stands, the main lease agreement betw</w:t>
      </w:r>
      <w:r>
        <w:rPr>
          <w:bCs w:val="0"/>
          <w:color w:val="000000"/>
          <w:kern w:val="0"/>
        </w:rPr>
        <w:t xml:space="preserve">een the Second and Fifth </w:t>
      </w:r>
      <w:r w:rsidR="00875821" w:rsidRPr="005A2F90">
        <w:rPr>
          <w:bCs w:val="0"/>
          <w:color w:val="000000"/>
          <w:kern w:val="0"/>
        </w:rPr>
        <w:t>Respondents is under threat with the parties thereto locked in an arbitration. In the event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that the Fifth Respondent succeeds, the lease would have been validly terminated. That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immediately, spells trouble for the First Respondent and the Applicant’s project. The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First Respondent will not meet the investment criteria on land and services.</w:t>
      </w:r>
    </w:p>
    <w:p w:rsidR="000B10E7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914F3E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B10E7">
        <w:rPr>
          <w:bCs w:val="0"/>
          <w:color w:val="000000"/>
          <w:kern w:val="0"/>
        </w:rPr>
        <w:t>[</w:t>
      </w:r>
      <w:r w:rsidR="00875821" w:rsidRPr="000B10E7">
        <w:rPr>
          <w:bCs w:val="0"/>
          <w:color w:val="000000"/>
          <w:kern w:val="0"/>
        </w:rPr>
        <w:t>1</w:t>
      </w:r>
      <w:r w:rsidRPr="000B10E7">
        <w:rPr>
          <w:bCs w:val="0"/>
          <w:color w:val="000000"/>
          <w:kern w:val="0"/>
        </w:rPr>
        <w:t>23]</w:t>
      </w:r>
      <w:r w:rsidR="00875821" w:rsidRPr="005A2F90">
        <w:rPr>
          <w:bCs w:val="0"/>
          <w:color w:val="000000"/>
          <w:kern w:val="0"/>
        </w:rPr>
        <w:t xml:space="preserve"> Even if the arbitration decision goes against the Fifth Respondent, the sub-lease is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contrary to the requirements of the CCGA and does not offer the security required by</w:t>
      </w:r>
      <w:r w:rsidR="00FF1E4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Applicant.</w:t>
      </w:r>
    </w:p>
    <w:p w:rsidR="000B10E7" w:rsidRPr="005A2F90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914F3E" w:rsidRPr="000B10E7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B10E7">
        <w:rPr>
          <w:bCs w:val="0"/>
          <w:color w:val="000000"/>
          <w:kern w:val="0"/>
        </w:rPr>
        <w:t>[124]</w:t>
      </w:r>
      <w:r w:rsidR="00914F3E" w:rsidRPr="000B10E7">
        <w:rPr>
          <w:bCs w:val="0"/>
          <w:color w:val="000000"/>
          <w:kern w:val="0"/>
        </w:rPr>
        <w:t xml:space="preserve"> </w:t>
      </w:r>
      <w:r w:rsidR="00875821" w:rsidRPr="000B10E7">
        <w:rPr>
          <w:bCs w:val="0"/>
          <w:color w:val="000000"/>
          <w:kern w:val="0"/>
        </w:rPr>
        <w:t>Most importantly, the Fifth Respondent has previously rejected any plans to include</w:t>
      </w:r>
      <w:r w:rsidR="00FF1E4E" w:rsidRPr="000B10E7">
        <w:rPr>
          <w:bCs w:val="0"/>
          <w:color w:val="000000"/>
          <w:kern w:val="0"/>
        </w:rPr>
        <w:t xml:space="preserve"> </w:t>
      </w:r>
      <w:r w:rsidR="00875821" w:rsidRPr="000B10E7">
        <w:rPr>
          <w:bCs w:val="0"/>
          <w:color w:val="000000"/>
          <w:kern w:val="0"/>
        </w:rPr>
        <w:t>social housing on its land which is earmarked for commercial development and student</w:t>
      </w:r>
      <w:r w:rsidR="00FF1E4E" w:rsidRPr="000B10E7">
        <w:rPr>
          <w:bCs w:val="0"/>
          <w:color w:val="000000"/>
          <w:kern w:val="0"/>
        </w:rPr>
        <w:t xml:space="preserve"> </w:t>
      </w:r>
      <w:r w:rsidR="00875821" w:rsidRPr="000B10E7">
        <w:rPr>
          <w:bCs w:val="0"/>
          <w:color w:val="000000"/>
          <w:kern w:val="0"/>
        </w:rPr>
        <w:t>accommodation. Accordingly, the Applicant and First Respondent’s social housing</w:t>
      </w:r>
      <w:r w:rsidR="00FF1E4E" w:rsidRPr="000B10E7">
        <w:rPr>
          <w:bCs w:val="0"/>
          <w:color w:val="000000"/>
          <w:kern w:val="0"/>
        </w:rPr>
        <w:t xml:space="preserve"> </w:t>
      </w:r>
      <w:r w:rsidR="00875821" w:rsidRPr="000B10E7">
        <w:rPr>
          <w:bCs w:val="0"/>
          <w:color w:val="000000"/>
          <w:kern w:val="0"/>
        </w:rPr>
        <w:t>project is doomed.</w:t>
      </w:r>
    </w:p>
    <w:p w:rsidR="000B10E7" w:rsidRPr="000B10E7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914F3E" w:rsidRPr="005A2F90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B10E7">
        <w:rPr>
          <w:bCs w:val="0"/>
          <w:color w:val="000000"/>
          <w:kern w:val="0"/>
        </w:rPr>
        <w:t>[</w:t>
      </w:r>
      <w:r w:rsidR="00875821" w:rsidRPr="000B10E7">
        <w:rPr>
          <w:bCs w:val="0"/>
          <w:color w:val="000000"/>
          <w:kern w:val="0"/>
        </w:rPr>
        <w:t>1</w:t>
      </w:r>
      <w:r w:rsidRPr="000B10E7">
        <w:rPr>
          <w:bCs w:val="0"/>
          <w:color w:val="000000"/>
          <w:kern w:val="0"/>
        </w:rPr>
        <w:t>25]</w:t>
      </w:r>
      <w:r w:rsidR="00875821" w:rsidRPr="005A2F90">
        <w:rPr>
          <w:b/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We contended that the First Respondent ought to have disclosed these material facts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to the Applicant so that an informed decision could be taken. Its failure to do so, resulted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in the Applicant violating the SHA and Regulations thereof.</w:t>
      </w:r>
    </w:p>
    <w:p w:rsidR="000B10E7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914F3E" w:rsidRPr="005A2F90" w:rsidRDefault="000B10E7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0B10E7">
        <w:rPr>
          <w:bCs w:val="0"/>
          <w:color w:val="000000"/>
          <w:kern w:val="0"/>
        </w:rPr>
        <w:t>[126]</w:t>
      </w:r>
      <w:r w:rsidR="00875821" w:rsidRPr="005A2F90">
        <w:rPr>
          <w:bCs w:val="0"/>
          <w:color w:val="000000"/>
          <w:kern w:val="0"/>
        </w:rPr>
        <w:t xml:space="preserve"> This Honourable Court has the power to set aside and should set aside, the decision of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Applicant’s Council to award grant funding to the First Respondent and conclude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the CCGA with the First Respondent and should order the repayment of money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advanced to the First Respondent in terms of the CCGA. The Applicant respectfully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submits that this Court should grant such relief.</w:t>
      </w:r>
    </w:p>
    <w:p w:rsidR="00FB2FDE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[127]</w:t>
      </w:r>
      <w:r w:rsidR="00875821" w:rsidRPr="005A2F90">
        <w:rPr>
          <w:bCs w:val="0"/>
          <w:color w:val="000000"/>
          <w:kern w:val="0"/>
        </w:rPr>
        <w:t xml:space="preserve"> We submit that the overarching consideration is the interests of justice. In the present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application, we submit that, in additio</w:t>
      </w:r>
      <w:r>
        <w:rPr>
          <w:bCs w:val="0"/>
          <w:color w:val="000000"/>
          <w:kern w:val="0"/>
        </w:rPr>
        <w:t xml:space="preserve">n to above, the relief would be </w:t>
      </w:r>
      <w:r w:rsidR="00875821" w:rsidRPr="005A2F90">
        <w:rPr>
          <w:bCs w:val="0"/>
          <w:color w:val="000000"/>
          <w:kern w:val="0"/>
        </w:rPr>
        <w:t>appropriate for the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following reasons:</w:t>
      </w:r>
    </w:p>
    <w:p w:rsidR="00875821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 xml:space="preserve">a) </w:t>
      </w:r>
      <w:r w:rsidR="00875821" w:rsidRPr="005A2F90">
        <w:rPr>
          <w:bCs w:val="0"/>
          <w:color w:val="000000"/>
          <w:kern w:val="0"/>
        </w:rPr>
        <w:t xml:space="preserve"> First, the First Respondent misrepresented to</w:t>
      </w:r>
      <w:r>
        <w:rPr>
          <w:bCs w:val="0"/>
          <w:color w:val="000000"/>
          <w:kern w:val="0"/>
        </w:rPr>
        <w:t xml:space="preserve"> SHRA that it, either owned the land </w:t>
      </w:r>
      <w:r w:rsidR="00875821" w:rsidRPr="005A2F90">
        <w:rPr>
          <w:bCs w:val="0"/>
          <w:color w:val="000000"/>
          <w:kern w:val="0"/>
        </w:rPr>
        <w:t>to be developed or had a valid sub-lease on th</w:t>
      </w:r>
      <w:r>
        <w:rPr>
          <w:bCs w:val="0"/>
          <w:color w:val="000000"/>
          <w:kern w:val="0"/>
        </w:rPr>
        <w:t xml:space="preserve">e land in question which complied with </w:t>
      </w:r>
      <w:r w:rsidR="00875821" w:rsidRPr="005A2F90">
        <w:rPr>
          <w:bCs w:val="0"/>
          <w:color w:val="000000"/>
          <w:kern w:val="0"/>
        </w:rPr>
        <w:t>the Social Housing Regulations</w:t>
      </w:r>
      <w:r>
        <w:rPr>
          <w:bCs w:val="0"/>
          <w:color w:val="000000"/>
          <w:kern w:val="0"/>
        </w:rPr>
        <w:t xml:space="preserve">. There was dishonesty or fraud in the First </w:t>
      </w:r>
      <w:r w:rsidR="00875821" w:rsidRPr="005A2F90">
        <w:rPr>
          <w:bCs w:val="0"/>
          <w:color w:val="000000"/>
          <w:kern w:val="0"/>
        </w:rPr>
        <w:t xml:space="preserve">Respondent’s representations </w:t>
      </w:r>
      <w:r>
        <w:rPr>
          <w:bCs w:val="0"/>
          <w:color w:val="000000"/>
          <w:kern w:val="0"/>
        </w:rPr>
        <w:t xml:space="preserve">or conduct to the Applicant and considerations of </w:t>
      </w:r>
      <w:r w:rsidR="00875821" w:rsidRPr="005A2F90">
        <w:rPr>
          <w:bCs w:val="0"/>
          <w:color w:val="000000"/>
          <w:kern w:val="0"/>
        </w:rPr>
        <w:t>turpitudity would arise.</w:t>
      </w:r>
    </w:p>
    <w:p w:rsidR="00875821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b)</w:t>
      </w:r>
      <w:r w:rsidR="00875821" w:rsidRPr="005A2F90">
        <w:rPr>
          <w:bCs w:val="0"/>
          <w:color w:val="000000"/>
          <w:kern w:val="0"/>
        </w:rPr>
        <w:t xml:space="preserve"> Second, the First Respondent proceeded with it</w:t>
      </w:r>
      <w:r>
        <w:rPr>
          <w:bCs w:val="0"/>
          <w:color w:val="000000"/>
          <w:kern w:val="0"/>
        </w:rPr>
        <w:t xml:space="preserve">s project application for grant </w:t>
      </w:r>
      <w:r w:rsidR="00875821" w:rsidRPr="005A2F90">
        <w:rPr>
          <w:bCs w:val="0"/>
          <w:color w:val="000000"/>
          <w:kern w:val="0"/>
        </w:rPr>
        <w:t>funding despite the termination of the deve</w:t>
      </w:r>
      <w:r>
        <w:rPr>
          <w:bCs w:val="0"/>
          <w:color w:val="000000"/>
          <w:kern w:val="0"/>
        </w:rPr>
        <w:t xml:space="preserve">lopment lease agreement between </w:t>
      </w:r>
      <w:r w:rsidR="00875821" w:rsidRPr="005A2F90">
        <w:rPr>
          <w:bCs w:val="0"/>
          <w:color w:val="000000"/>
          <w:kern w:val="0"/>
        </w:rPr>
        <w:t>the Fifth Respondent and the Second</w:t>
      </w:r>
      <w:r>
        <w:rPr>
          <w:bCs w:val="0"/>
          <w:color w:val="000000"/>
          <w:kern w:val="0"/>
        </w:rPr>
        <w:t xml:space="preserve"> Respondent, of which the First Respondent was aware, </w:t>
      </w:r>
      <w:r w:rsidR="00875821" w:rsidRPr="005A2F90">
        <w:rPr>
          <w:bCs w:val="0"/>
          <w:color w:val="000000"/>
          <w:kern w:val="0"/>
        </w:rPr>
        <w:t>which placed the performance of its obligations i</w:t>
      </w:r>
      <w:r>
        <w:rPr>
          <w:bCs w:val="0"/>
          <w:color w:val="000000"/>
          <w:kern w:val="0"/>
        </w:rPr>
        <w:t xml:space="preserve">n terms of the CCG agreement with </w:t>
      </w:r>
      <w:r w:rsidR="00875821" w:rsidRPr="005A2F90">
        <w:rPr>
          <w:bCs w:val="0"/>
          <w:color w:val="000000"/>
          <w:kern w:val="0"/>
        </w:rPr>
        <w:t>SHRA beyond the realm of possibility.</w:t>
      </w:r>
    </w:p>
    <w:p w:rsidR="00914F3E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c)</w:t>
      </w:r>
      <w:r w:rsidR="00875821" w:rsidRPr="005A2F90">
        <w:rPr>
          <w:bCs w:val="0"/>
          <w:color w:val="000000"/>
          <w:kern w:val="0"/>
        </w:rPr>
        <w:t xml:space="preserve"> This would render the CCGA void </w:t>
      </w:r>
      <w:r w:rsidR="00875821" w:rsidRPr="005A2F90">
        <w:rPr>
          <w:bCs w:val="0"/>
          <w:i/>
          <w:iCs/>
          <w:color w:val="000000"/>
          <w:kern w:val="0"/>
        </w:rPr>
        <w:t xml:space="preserve">ab initio </w:t>
      </w:r>
      <w:r w:rsidR="00875821" w:rsidRPr="005A2F90">
        <w:rPr>
          <w:bCs w:val="0"/>
          <w:color w:val="000000"/>
          <w:kern w:val="0"/>
        </w:rPr>
        <w:t>and h</w:t>
      </w:r>
      <w:r>
        <w:rPr>
          <w:bCs w:val="0"/>
          <w:color w:val="000000"/>
          <w:kern w:val="0"/>
        </w:rPr>
        <w:t xml:space="preserve">ave the result of a restoration </w:t>
      </w:r>
      <w:r w:rsidR="00875821" w:rsidRPr="005A2F90">
        <w:rPr>
          <w:bCs w:val="0"/>
          <w:color w:val="000000"/>
          <w:kern w:val="0"/>
        </w:rPr>
        <w:t xml:space="preserve">of the </w:t>
      </w:r>
      <w:r w:rsidR="00875821" w:rsidRPr="005A2F90">
        <w:rPr>
          <w:bCs w:val="0"/>
          <w:i/>
          <w:iCs/>
          <w:color w:val="000000"/>
          <w:kern w:val="0"/>
        </w:rPr>
        <w:t xml:space="preserve">status quo ante </w:t>
      </w:r>
      <w:r w:rsidR="00875821" w:rsidRPr="005A2F90">
        <w:rPr>
          <w:bCs w:val="0"/>
          <w:color w:val="000000"/>
          <w:kern w:val="0"/>
        </w:rPr>
        <w:t>which would necess</w:t>
      </w:r>
      <w:r>
        <w:rPr>
          <w:bCs w:val="0"/>
          <w:color w:val="000000"/>
          <w:kern w:val="0"/>
        </w:rPr>
        <w:t xml:space="preserve">itate the repayment of all sums </w:t>
      </w:r>
      <w:r w:rsidR="00875821" w:rsidRPr="005A2F90">
        <w:rPr>
          <w:bCs w:val="0"/>
          <w:color w:val="000000"/>
          <w:kern w:val="0"/>
        </w:rPr>
        <w:t>disbursed to TBGI in terms of the CCG agreement.</w:t>
      </w:r>
    </w:p>
    <w:p w:rsidR="00FB2FDE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[</w:t>
      </w:r>
      <w:r w:rsidR="00875821" w:rsidRPr="00FB2FDE">
        <w:rPr>
          <w:bCs w:val="0"/>
          <w:color w:val="000000"/>
          <w:kern w:val="0"/>
        </w:rPr>
        <w:t>1</w:t>
      </w:r>
      <w:r w:rsidRPr="00FB2FDE">
        <w:rPr>
          <w:bCs w:val="0"/>
          <w:color w:val="000000"/>
          <w:kern w:val="0"/>
        </w:rPr>
        <w:t>28]</w:t>
      </w:r>
      <w:r w:rsidR="00875821" w:rsidRPr="005A2F90">
        <w:rPr>
          <w:bCs w:val="0"/>
          <w:color w:val="000000"/>
          <w:kern w:val="0"/>
        </w:rPr>
        <w:t xml:space="preserve"> On condonation of the delay in bringing this application, </w:t>
      </w:r>
      <w:r w:rsidR="00A31175" w:rsidRPr="005A2F90">
        <w:rPr>
          <w:bCs w:val="0"/>
          <w:color w:val="000000"/>
          <w:kern w:val="0"/>
        </w:rPr>
        <w:t xml:space="preserve">the applicant </w:t>
      </w:r>
      <w:r>
        <w:rPr>
          <w:bCs w:val="0"/>
          <w:color w:val="000000"/>
          <w:kern w:val="0"/>
        </w:rPr>
        <w:t xml:space="preserve">also   </w:t>
      </w:r>
      <w:r w:rsidR="00875821" w:rsidRPr="005A2F90">
        <w:rPr>
          <w:bCs w:val="0"/>
          <w:color w:val="000000"/>
          <w:kern w:val="0"/>
        </w:rPr>
        <w:t>demonstrated that by virtue of the public interest of this matter, the amount of money</w:t>
      </w:r>
    </w:p>
    <w:p w:rsidR="00875821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>involved herein, and the constitutional rights that are implicated herein, this Court is</w:t>
      </w:r>
    </w:p>
    <w:p w:rsidR="00914F3E" w:rsidRPr="005A2F90" w:rsidRDefault="00875821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5A2F90">
        <w:rPr>
          <w:bCs w:val="0"/>
          <w:color w:val="000000"/>
          <w:kern w:val="0"/>
        </w:rPr>
        <w:t xml:space="preserve">empowered by the Constitutional </w:t>
      </w:r>
      <w:r w:rsidR="00FB2FDE" w:rsidRPr="005A2F90">
        <w:rPr>
          <w:bCs w:val="0"/>
          <w:color w:val="000000"/>
          <w:kern w:val="0"/>
        </w:rPr>
        <w:t>Court, (</w:t>
      </w:r>
      <w:r w:rsidR="003D6784" w:rsidRPr="005A2F90">
        <w:rPr>
          <w:bCs w:val="0"/>
          <w:color w:val="000000"/>
          <w:kern w:val="0"/>
        </w:rPr>
        <w:t>Tasima case)</w:t>
      </w:r>
      <w:r w:rsidRPr="005A2F90">
        <w:rPr>
          <w:bCs w:val="0"/>
          <w:color w:val="000000"/>
          <w:kern w:val="0"/>
        </w:rPr>
        <w:t xml:space="preserve"> to grant and/or overlook any condonation</w:t>
      </w:r>
      <w:r w:rsidR="003D6784" w:rsidRPr="005A2F90">
        <w:rPr>
          <w:bCs w:val="0"/>
          <w:color w:val="000000"/>
          <w:kern w:val="0"/>
        </w:rPr>
        <w:t xml:space="preserve"> </w:t>
      </w:r>
      <w:r w:rsidRPr="005A2F90">
        <w:rPr>
          <w:bCs w:val="0"/>
          <w:color w:val="000000"/>
          <w:kern w:val="0"/>
        </w:rPr>
        <w:t>sought herein.</w:t>
      </w:r>
    </w:p>
    <w:p w:rsidR="00FB2FDE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914F3E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i/>
          <w:iCs/>
          <w:color w:val="000000"/>
          <w:kern w:val="0"/>
        </w:rPr>
      </w:pPr>
      <w:r w:rsidRPr="00FB2FDE">
        <w:rPr>
          <w:bCs w:val="0"/>
          <w:color w:val="000000"/>
          <w:kern w:val="0"/>
        </w:rPr>
        <w:t>[129]</w:t>
      </w:r>
      <w:r w:rsidR="00914F3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Khampepe J in </w:t>
      </w:r>
      <w:r w:rsidR="00875821" w:rsidRPr="005A2F90">
        <w:rPr>
          <w:bCs w:val="0"/>
          <w:i/>
          <w:iCs/>
          <w:color w:val="000000"/>
          <w:kern w:val="0"/>
        </w:rPr>
        <w:t>Tasima</w:t>
      </w:r>
      <w:r w:rsidR="00875821" w:rsidRPr="005A2F90">
        <w:rPr>
          <w:bCs w:val="0"/>
          <w:color w:val="000000"/>
          <w:kern w:val="0"/>
        </w:rPr>
        <w:t xml:space="preserve">, held that </w:t>
      </w:r>
      <w:r w:rsidR="00875821" w:rsidRPr="005A2F90">
        <w:rPr>
          <w:bCs w:val="0"/>
          <w:i/>
          <w:iCs/>
          <w:color w:val="000000"/>
          <w:kern w:val="0"/>
        </w:rPr>
        <w:t xml:space="preserve">“In </w:t>
      </w:r>
      <w:r w:rsidR="00875821" w:rsidRPr="005A2F90">
        <w:rPr>
          <w:bCs w:val="0"/>
          <w:color w:val="000000"/>
          <w:kern w:val="0"/>
        </w:rPr>
        <w:t>Khumalo</w:t>
      </w:r>
      <w:r w:rsidR="00875821" w:rsidRPr="005A2F90">
        <w:rPr>
          <w:bCs w:val="0"/>
          <w:i/>
          <w:iCs/>
          <w:color w:val="000000"/>
          <w:kern w:val="0"/>
        </w:rPr>
        <w:t>, this Court emphasised that an important</w:t>
      </w:r>
      <w:r w:rsidR="003F462C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consideration in assessing whether a delay should be overlooked is the nature of the</w:t>
      </w:r>
      <w:r w:rsidR="003F462C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decision. This was said to require, “analysing the impugned decision within the legal</w:t>
      </w:r>
      <w:r w:rsidR="003F462C" w:rsidRPr="005A2F90">
        <w:rPr>
          <w:bCs w:val="0"/>
          <w:i/>
          <w:iCs/>
          <w:color w:val="000000"/>
          <w:kern w:val="0"/>
        </w:rPr>
        <w:t xml:space="preserve"> </w:t>
      </w:r>
      <w:r w:rsidR="00875821" w:rsidRPr="005A2F90">
        <w:rPr>
          <w:bCs w:val="0"/>
          <w:i/>
          <w:iCs/>
          <w:color w:val="000000"/>
          <w:kern w:val="0"/>
        </w:rPr>
        <w:t>challenge made against it and considering the merits of that challenge</w:t>
      </w:r>
      <w:r w:rsidRPr="005A2F90">
        <w:rPr>
          <w:bCs w:val="0"/>
          <w:i/>
          <w:iCs/>
          <w:color w:val="000000"/>
          <w:kern w:val="0"/>
        </w:rPr>
        <w:t>”. [</w:t>
      </w:r>
      <w:r w:rsidR="003D6784" w:rsidRPr="005A2F90">
        <w:rPr>
          <w:bCs w:val="0"/>
          <w:i/>
          <w:iCs/>
          <w:color w:val="000000"/>
          <w:kern w:val="0"/>
        </w:rPr>
        <w:t>Footnotes omitted]</w:t>
      </w:r>
    </w:p>
    <w:p w:rsidR="00FB2FDE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/>
          <w:bCs w:val="0"/>
          <w:color w:val="000000"/>
          <w:kern w:val="0"/>
        </w:rPr>
      </w:pPr>
    </w:p>
    <w:p w:rsidR="00875821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[</w:t>
      </w:r>
      <w:r w:rsidR="007036AD" w:rsidRPr="00FB2FDE">
        <w:rPr>
          <w:bCs w:val="0"/>
          <w:color w:val="000000"/>
          <w:kern w:val="0"/>
        </w:rPr>
        <w:t>13</w:t>
      </w:r>
      <w:r w:rsidRPr="00FB2FDE">
        <w:rPr>
          <w:bCs w:val="0"/>
          <w:color w:val="000000"/>
          <w:kern w:val="0"/>
        </w:rPr>
        <w:t>0]</w:t>
      </w:r>
      <w:r w:rsidR="00875821" w:rsidRPr="005A2F90">
        <w:rPr>
          <w:bCs w:val="0"/>
          <w:color w:val="000000"/>
          <w:kern w:val="0"/>
        </w:rPr>
        <w:t xml:space="preserve"> Further, the above Apex Court </w:t>
      </w:r>
      <w:r w:rsidR="003D6784" w:rsidRPr="005A2F90">
        <w:rPr>
          <w:bCs w:val="0"/>
          <w:color w:val="000000"/>
          <w:kern w:val="0"/>
        </w:rPr>
        <w:t xml:space="preserve">at paragraph 170 </w:t>
      </w:r>
      <w:r w:rsidR="00875821" w:rsidRPr="005A2F90">
        <w:rPr>
          <w:bCs w:val="0"/>
          <w:color w:val="000000"/>
          <w:kern w:val="0"/>
        </w:rPr>
        <w:t>considered the incidence of prejudice and came to a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conclusion that where such is too severe for the Organ of State, such must be taken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 xml:space="preserve">into account. </w:t>
      </w:r>
      <w:r w:rsidR="00BA4DCE" w:rsidRPr="005A2F90">
        <w:rPr>
          <w:bCs w:val="0"/>
          <w:color w:val="000000"/>
          <w:kern w:val="0"/>
        </w:rPr>
        <w:t xml:space="preserve">I am of the view that the </w:t>
      </w:r>
      <w:r w:rsidR="00875821" w:rsidRPr="005A2F90">
        <w:rPr>
          <w:bCs w:val="0"/>
          <w:color w:val="000000"/>
          <w:kern w:val="0"/>
        </w:rPr>
        <w:t>Applicant</w:t>
      </w:r>
      <w:r w:rsidR="00BA4DCE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stand</w:t>
      </w:r>
      <w:r w:rsidR="00BA4DCE" w:rsidRPr="005A2F90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 xml:space="preserve">to </w:t>
      </w:r>
      <w:r w:rsidR="00875821" w:rsidRPr="005A2F90">
        <w:rPr>
          <w:bCs w:val="0"/>
          <w:color w:val="000000"/>
          <w:kern w:val="0"/>
        </w:rPr>
        <w:t>suffer great prejudice should</w:t>
      </w:r>
      <w:r w:rsidR="003F462C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this application not be granted.</w:t>
      </w:r>
    </w:p>
    <w:p w:rsidR="005C0444" w:rsidRPr="005A2F90" w:rsidRDefault="005C0444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5C0444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[</w:t>
      </w:r>
      <w:r w:rsidR="005C0444" w:rsidRPr="00FB2FDE">
        <w:rPr>
          <w:bCs w:val="0"/>
          <w:color w:val="000000"/>
          <w:kern w:val="0"/>
        </w:rPr>
        <w:t>1</w:t>
      </w:r>
      <w:r w:rsidRPr="00FB2FDE">
        <w:rPr>
          <w:bCs w:val="0"/>
          <w:color w:val="000000"/>
          <w:kern w:val="0"/>
        </w:rPr>
        <w:t>31]</w:t>
      </w:r>
      <w:r w:rsidR="005C0444" w:rsidRPr="005A2F90">
        <w:rPr>
          <w:b/>
          <w:bCs w:val="0"/>
          <w:color w:val="000000"/>
          <w:kern w:val="0"/>
        </w:rPr>
        <w:t xml:space="preserve"> </w:t>
      </w:r>
      <w:r w:rsidR="005C0444" w:rsidRPr="005A2F90">
        <w:rPr>
          <w:bCs w:val="0"/>
          <w:color w:val="000000"/>
          <w:kern w:val="0"/>
        </w:rPr>
        <w:t>Having said that I therefore make the following order</w:t>
      </w:r>
    </w:p>
    <w:p w:rsidR="00A25A00" w:rsidRPr="005A2F90" w:rsidRDefault="00A25A00" w:rsidP="00ED7EC4">
      <w:pPr>
        <w:autoSpaceDE w:val="0"/>
        <w:autoSpaceDN w:val="0"/>
        <w:adjustRightInd w:val="0"/>
        <w:spacing w:line="360" w:lineRule="auto"/>
        <w:jc w:val="both"/>
        <w:rPr>
          <w:bCs w:val="0"/>
          <w:color w:val="000000"/>
          <w:kern w:val="0"/>
        </w:rPr>
      </w:pPr>
    </w:p>
    <w:p w:rsidR="00875821" w:rsidRPr="005A2F90" w:rsidRDefault="00FB2FDE" w:rsidP="00ED7E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kern w:val="0"/>
        </w:rPr>
      </w:pPr>
      <w:r w:rsidRPr="005A2F90">
        <w:rPr>
          <w:b/>
          <w:color w:val="000000"/>
          <w:kern w:val="0"/>
        </w:rPr>
        <w:t>ORDER</w:t>
      </w:r>
      <w:r>
        <w:rPr>
          <w:b/>
          <w:color w:val="000000"/>
          <w:kern w:val="0"/>
        </w:rPr>
        <w:t>:-</w:t>
      </w:r>
      <w:r w:rsidR="005C0444" w:rsidRPr="005A2F90">
        <w:rPr>
          <w:b/>
          <w:color w:val="000000"/>
          <w:kern w:val="0"/>
        </w:rPr>
        <w:t xml:space="preserve"> </w:t>
      </w:r>
    </w:p>
    <w:p w:rsidR="005C0444" w:rsidRPr="005A2F90" w:rsidRDefault="00F15C21" w:rsidP="00FB2FDE">
      <w:pPr>
        <w:pStyle w:val="NoSpacing"/>
        <w:spacing w:after="240" w:line="360" w:lineRule="auto"/>
        <w:jc w:val="both"/>
        <w:rPr>
          <w:color w:val="000000"/>
          <w:kern w:val="0"/>
        </w:rPr>
      </w:pPr>
      <w:r w:rsidRPr="00FB2FDE">
        <w:rPr>
          <w:color w:val="000000"/>
          <w:kern w:val="0"/>
        </w:rPr>
        <w:t>1</w:t>
      </w:r>
      <w:r w:rsidR="005C0444" w:rsidRPr="00FB2FDE">
        <w:rPr>
          <w:color w:val="000000"/>
          <w:kern w:val="0"/>
        </w:rPr>
        <w:t>.</w:t>
      </w:r>
      <w:r w:rsidR="005C0444" w:rsidRPr="005A2F90">
        <w:rPr>
          <w:b/>
          <w:color w:val="000000"/>
          <w:kern w:val="0"/>
        </w:rPr>
        <w:t xml:space="preserve"> </w:t>
      </w:r>
      <w:r w:rsidR="005C0444" w:rsidRPr="005A2F90">
        <w:rPr>
          <w:color w:val="000000"/>
          <w:kern w:val="0"/>
        </w:rPr>
        <w:t xml:space="preserve">The application by the applicant for condonation </w:t>
      </w:r>
      <w:r w:rsidRPr="005A2F90">
        <w:t>of the application for</w:t>
      </w:r>
      <w:r w:rsidRPr="005A2F90">
        <w:rPr>
          <w:b/>
        </w:rPr>
        <w:t xml:space="preserve"> </w:t>
      </w:r>
      <w:r w:rsidRPr="005A2F90">
        <w:t xml:space="preserve">self-review is granted. </w:t>
      </w:r>
    </w:p>
    <w:p w:rsidR="00875821" w:rsidRPr="005A2F90" w:rsidRDefault="00DC31E3" w:rsidP="00FB2FDE">
      <w:pPr>
        <w:autoSpaceDE w:val="0"/>
        <w:autoSpaceDN w:val="0"/>
        <w:adjustRightInd w:val="0"/>
        <w:spacing w:after="240"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2</w:t>
      </w:r>
      <w:r w:rsidR="00875821" w:rsidRPr="00FB2FDE">
        <w:rPr>
          <w:bCs w:val="0"/>
          <w:color w:val="000000"/>
          <w:kern w:val="0"/>
        </w:rPr>
        <w:t>.</w:t>
      </w:r>
      <w:r w:rsidR="00875821" w:rsidRPr="005A2F90">
        <w:rPr>
          <w:bCs w:val="0"/>
          <w:color w:val="000000"/>
          <w:kern w:val="0"/>
        </w:rPr>
        <w:t xml:space="preserve"> </w:t>
      </w:r>
      <w:r w:rsidR="00970637" w:rsidRPr="005A2F90">
        <w:rPr>
          <w:bCs w:val="0"/>
          <w:color w:val="000000"/>
          <w:kern w:val="0"/>
        </w:rPr>
        <w:t>A</w:t>
      </w:r>
      <w:r w:rsidR="00875821" w:rsidRPr="005A2F90">
        <w:rPr>
          <w:bCs w:val="0"/>
          <w:color w:val="000000"/>
          <w:kern w:val="0"/>
        </w:rPr>
        <w:t xml:space="preserve">ll points </w:t>
      </w:r>
      <w:r w:rsidR="00875821" w:rsidRPr="005A2F90">
        <w:rPr>
          <w:bCs w:val="0"/>
          <w:i/>
          <w:iCs/>
          <w:color w:val="000000"/>
          <w:kern w:val="0"/>
        </w:rPr>
        <w:t xml:space="preserve">in limine </w:t>
      </w:r>
      <w:r w:rsidR="00875821" w:rsidRPr="005A2F90">
        <w:rPr>
          <w:bCs w:val="0"/>
          <w:color w:val="000000"/>
          <w:kern w:val="0"/>
        </w:rPr>
        <w:t>raised by the Respondent</w:t>
      </w:r>
      <w:r w:rsidRPr="005A2F90">
        <w:rPr>
          <w:bCs w:val="0"/>
          <w:color w:val="000000"/>
          <w:kern w:val="0"/>
        </w:rPr>
        <w:t>s</w:t>
      </w:r>
      <w:r w:rsidR="00970637" w:rsidRPr="005A2F90">
        <w:rPr>
          <w:bCs w:val="0"/>
          <w:color w:val="000000"/>
          <w:kern w:val="0"/>
        </w:rPr>
        <w:t xml:space="preserve"> are </w:t>
      </w:r>
      <w:r w:rsidR="00875821" w:rsidRPr="005A2F90">
        <w:rPr>
          <w:bCs w:val="0"/>
          <w:color w:val="000000"/>
          <w:kern w:val="0"/>
        </w:rPr>
        <w:t>dismissed</w:t>
      </w:r>
      <w:r w:rsidR="00F15C21" w:rsidRPr="005A2F90">
        <w:rPr>
          <w:bCs w:val="0"/>
          <w:color w:val="000000"/>
          <w:kern w:val="0"/>
        </w:rPr>
        <w:t>.</w:t>
      </w:r>
    </w:p>
    <w:p w:rsidR="00542F70" w:rsidRPr="005A2F90" w:rsidRDefault="00DC31E3" w:rsidP="00FB2FDE">
      <w:pPr>
        <w:autoSpaceDE w:val="0"/>
        <w:autoSpaceDN w:val="0"/>
        <w:adjustRightInd w:val="0"/>
        <w:spacing w:after="240"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3</w:t>
      </w:r>
      <w:r w:rsidR="00875821" w:rsidRPr="00FB2FDE">
        <w:rPr>
          <w:bCs w:val="0"/>
          <w:color w:val="000000"/>
          <w:kern w:val="0"/>
        </w:rPr>
        <w:t>.</w:t>
      </w:r>
      <w:r w:rsidR="00875821" w:rsidRPr="005A2F90">
        <w:rPr>
          <w:bCs w:val="0"/>
          <w:color w:val="000000"/>
          <w:kern w:val="0"/>
        </w:rPr>
        <w:t xml:space="preserve"> </w:t>
      </w:r>
      <w:r w:rsidR="00C22930" w:rsidRPr="005A2F90">
        <w:rPr>
          <w:bCs w:val="0"/>
          <w:color w:val="000000"/>
          <w:kern w:val="0"/>
        </w:rPr>
        <w:t xml:space="preserve">The application for </w:t>
      </w:r>
      <w:r w:rsidR="00542F70" w:rsidRPr="005A2F90">
        <w:rPr>
          <w:bCs w:val="0"/>
          <w:color w:val="000000"/>
          <w:kern w:val="0"/>
        </w:rPr>
        <w:t>self-review</w:t>
      </w:r>
      <w:r w:rsidR="00C22930" w:rsidRPr="005A2F90">
        <w:rPr>
          <w:bCs w:val="0"/>
          <w:color w:val="000000"/>
          <w:kern w:val="0"/>
        </w:rPr>
        <w:t xml:space="preserve"> of the d</w:t>
      </w:r>
      <w:r w:rsidR="00875821" w:rsidRPr="005A2F90">
        <w:rPr>
          <w:bCs w:val="0"/>
          <w:color w:val="000000"/>
          <w:kern w:val="0"/>
        </w:rPr>
        <w:t>e</w:t>
      </w:r>
      <w:r w:rsidR="00C22930" w:rsidRPr="005A2F90">
        <w:rPr>
          <w:bCs w:val="0"/>
          <w:color w:val="000000"/>
          <w:kern w:val="0"/>
        </w:rPr>
        <w:t>cision of the Applicant to conclude</w:t>
      </w:r>
      <w:r w:rsidR="0063075A" w:rsidRPr="005A2F90">
        <w:rPr>
          <w:bCs w:val="0"/>
          <w:color w:val="000000"/>
          <w:kern w:val="0"/>
        </w:rPr>
        <w:t xml:space="preserve"> </w:t>
      </w:r>
      <w:r w:rsidR="00C22930" w:rsidRPr="005A2F90">
        <w:rPr>
          <w:color w:val="000000"/>
          <w:kern w:val="0"/>
        </w:rPr>
        <w:t>CCGA</w:t>
      </w:r>
      <w:r w:rsidR="00C22930" w:rsidRPr="005A2F90">
        <w:rPr>
          <w:bCs w:val="0"/>
          <w:color w:val="000000"/>
          <w:kern w:val="0"/>
        </w:rPr>
        <w:t xml:space="preserve"> agreement between itself and the First Respondent is granted. </w:t>
      </w:r>
      <w:r w:rsidR="00875821" w:rsidRPr="005A2F90">
        <w:rPr>
          <w:bCs w:val="0"/>
          <w:color w:val="000000"/>
          <w:kern w:val="0"/>
        </w:rPr>
        <w:t xml:space="preserve"> </w:t>
      </w:r>
    </w:p>
    <w:p w:rsidR="00542F70" w:rsidRPr="005A2F90" w:rsidRDefault="00DC31E3" w:rsidP="00FB2FDE">
      <w:pPr>
        <w:autoSpaceDE w:val="0"/>
        <w:autoSpaceDN w:val="0"/>
        <w:adjustRightInd w:val="0"/>
        <w:spacing w:after="240"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4</w:t>
      </w:r>
      <w:r w:rsidR="00542F70" w:rsidRPr="00FB2FDE">
        <w:rPr>
          <w:bCs w:val="0"/>
          <w:color w:val="000000"/>
          <w:kern w:val="0"/>
        </w:rPr>
        <w:t>.</w:t>
      </w:r>
      <w:r w:rsidR="00542F70" w:rsidRPr="005A2F90">
        <w:rPr>
          <w:b/>
          <w:bCs w:val="0"/>
          <w:color w:val="000000"/>
          <w:kern w:val="0"/>
        </w:rPr>
        <w:t xml:space="preserve"> </w:t>
      </w:r>
      <w:r w:rsidR="00542F70" w:rsidRPr="005A2F90">
        <w:rPr>
          <w:bCs w:val="0"/>
          <w:color w:val="000000"/>
          <w:kern w:val="0"/>
        </w:rPr>
        <w:t xml:space="preserve">The decision to award grant funding to the First Respondent and enter into the CCGA, out of which funds were disbursed to </w:t>
      </w:r>
      <w:r w:rsidR="00FB2FDE">
        <w:rPr>
          <w:bCs w:val="0"/>
          <w:color w:val="000000"/>
          <w:kern w:val="0"/>
        </w:rPr>
        <w:t>the First Respondent, is hereby</w:t>
      </w:r>
      <w:r w:rsidR="00542F70" w:rsidRPr="005A2F90">
        <w:rPr>
          <w:bCs w:val="0"/>
          <w:color w:val="000000"/>
          <w:kern w:val="0"/>
        </w:rPr>
        <w:t xml:space="preserve"> declared unlawful and set aside. </w:t>
      </w:r>
    </w:p>
    <w:p w:rsidR="00DB74F8" w:rsidRPr="005A2F90" w:rsidRDefault="00DC31E3" w:rsidP="00FB2FDE">
      <w:pPr>
        <w:autoSpaceDE w:val="0"/>
        <w:autoSpaceDN w:val="0"/>
        <w:adjustRightInd w:val="0"/>
        <w:spacing w:after="240"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5</w:t>
      </w:r>
      <w:r w:rsidR="00F15C21" w:rsidRPr="00FB2FDE">
        <w:rPr>
          <w:bCs w:val="0"/>
          <w:color w:val="000000"/>
          <w:kern w:val="0"/>
        </w:rPr>
        <w:t>.</w:t>
      </w:r>
      <w:r w:rsidR="00F15C21" w:rsidRPr="005A2F90">
        <w:rPr>
          <w:bCs w:val="0"/>
          <w:color w:val="000000"/>
          <w:kern w:val="0"/>
        </w:rPr>
        <w:t xml:space="preserve"> The</w:t>
      </w:r>
      <w:r w:rsidR="00DB74F8" w:rsidRPr="005A2F90">
        <w:rPr>
          <w:bCs w:val="0"/>
          <w:color w:val="000000"/>
          <w:kern w:val="0"/>
        </w:rPr>
        <w:t xml:space="preserve"> First, Second and Third Respondents are jointly and severally</w:t>
      </w:r>
      <w:r w:rsidR="0063075A" w:rsidRPr="005A2F90">
        <w:rPr>
          <w:bCs w:val="0"/>
          <w:color w:val="000000"/>
          <w:kern w:val="0"/>
        </w:rPr>
        <w:t xml:space="preserve"> one paying the other to be absolved</w:t>
      </w:r>
      <w:r w:rsidR="00B65035" w:rsidRPr="005A2F90">
        <w:rPr>
          <w:bCs w:val="0"/>
          <w:color w:val="000000"/>
          <w:kern w:val="0"/>
        </w:rPr>
        <w:t xml:space="preserve"> </w:t>
      </w:r>
      <w:r w:rsidR="00DB74F8" w:rsidRPr="005A2F90">
        <w:rPr>
          <w:bCs w:val="0"/>
          <w:color w:val="000000"/>
          <w:kern w:val="0"/>
        </w:rPr>
        <w:t>liable to reimburse Applicant an amount of R26 963 865.65 paid to the First Respondent on the conclusion of</w:t>
      </w:r>
      <w:r w:rsidR="0063075A" w:rsidRPr="005A2F90">
        <w:rPr>
          <w:bCs w:val="0"/>
          <w:color w:val="000000"/>
          <w:kern w:val="0"/>
        </w:rPr>
        <w:t xml:space="preserve"> </w:t>
      </w:r>
      <w:r w:rsidR="00DB74F8" w:rsidRPr="005A2F90">
        <w:rPr>
          <w:bCs w:val="0"/>
          <w:color w:val="000000"/>
          <w:kern w:val="0"/>
        </w:rPr>
        <w:t>unlawful</w:t>
      </w:r>
      <w:r w:rsidR="0063075A" w:rsidRPr="005A2F90">
        <w:rPr>
          <w:bCs w:val="0"/>
          <w:color w:val="000000"/>
          <w:kern w:val="0"/>
        </w:rPr>
        <w:t xml:space="preserve"> CCGA</w:t>
      </w:r>
      <w:r w:rsidR="00DB74F8" w:rsidRPr="005A2F90">
        <w:rPr>
          <w:bCs w:val="0"/>
          <w:color w:val="000000"/>
          <w:kern w:val="0"/>
        </w:rPr>
        <w:t xml:space="preserve"> agreement.</w:t>
      </w:r>
    </w:p>
    <w:p w:rsidR="00875821" w:rsidRPr="005A2F90" w:rsidRDefault="003D6784" w:rsidP="00FB2FDE">
      <w:pPr>
        <w:autoSpaceDE w:val="0"/>
        <w:autoSpaceDN w:val="0"/>
        <w:adjustRightInd w:val="0"/>
        <w:spacing w:after="240" w:line="360" w:lineRule="auto"/>
        <w:jc w:val="both"/>
        <w:rPr>
          <w:bCs w:val="0"/>
          <w:color w:val="000000"/>
          <w:kern w:val="0"/>
        </w:rPr>
      </w:pPr>
      <w:r w:rsidRPr="00FB2FDE">
        <w:rPr>
          <w:bCs w:val="0"/>
          <w:color w:val="000000"/>
          <w:kern w:val="0"/>
        </w:rPr>
        <w:t>6</w:t>
      </w:r>
      <w:r w:rsidR="00F15C21" w:rsidRPr="00FB2FDE">
        <w:rPr>
          <w:bCs w:val="0"/>
          <w:color w:val="000000"/>
          <w:kern w:val="0"/>
        </w:rPr>
        <w:t>.</w:t>
      </w:r>
      <w:r w:rsidR="00F15C21" w:rsidRPr="005A2F90">
        <w:rPr>
          <w:bCs w:val="0"/>
          <w:color w:val="000000"/>
          <w:kern w:val="0"/>
        </w:rPr>
        <w:t xml:space="preserve"> T</w:t>
      </w:r>
      <w:r w:rsidR="00875821" w:rsidRPr="005A2F90">
        <w:rPr>
          <w:bCs w:val="0"/>
          <w:color w:val="000000"/>
          <w:kern w:val="0"/>
        </w:rPr>
        <w:t>he First, Second and Third</w:t>
      </w:r>
      <w:r w:rsidR="00F15C21" w:rsidRPr="005A2F90">
        <w:rPr>
          <w:bCs w:val="0"/>
          <w:color w:val="000000"/>
          <w:kern w:val="0"/>
        </w:rPr>
        <w:t xml:space="preserve"> </w:t>
      </w:r>
      <w:r w:rsidR="0063075A" w:rsidRPr="005A2F90">
        <w:rPr>
          <w:bCs w:val="0"/>
          <w:color w:val="000000"/>
          <w:kern w:val="0"/>
        </w:rPr>
        <w:t xml:space="preserve">Respondents </w:t>
      </w:r>
      <w:r w:rsidR="00F15C21" w:rsidRPr="005A2F90">
        <w:rPr>
          <w:bCs w:val="0"/>
          <w:color w:val="000000"/>
          <w:kern w:val="0"/>
        </w:rPr>
        <w:t xml:space="preserve">are jointly and severally to pay </w:t>
      </w:r>
      <w:r w:rsidR="00970637" w:rsidRPr="005A2F90">
        <w:rPr>
          <w:bCs w:val="0"/>
          <w:color w:val="000000"/>
          <w:kern w:val="0"/>
        </w:rPr>
        <w:t xml:space="preserve">the costs of </w:t>
      </w:r>
      <w:r w:rsidR="00875821" w:rsidRPr="005A2F90">
        <w:rPr>
          <w:bCs w:val="0"/>
          <w:color w:val="000000"/>
          <w:kern w:val="0"/>
        </w:rPr>
        <w:t>application for self-review and such costs to include costs of two</w:t>
      </w:r>
      <w:r w:rsidR="00A25A00" w:rsidRPr="005A2F90">
        <w:rPr>
          <w:bCs w:val="0"/>
          <w:color w:val="000000"/>
          <w:kern w:val="0"/>
        </w:rPr>
        <w:t xml:space="preserve"> </w:t>
      </w:r>
      <w:r w:rsidR="00875821" w:rsidRPr="005A2F90">
        <w:rPr>
          <w:bCs w:val="0"/>
          <w:color w:val="000000"/>
          <w:kern w:val="0"/>
        </w:rPr>
        <w:t>counsel.</w:t>
      </w:r>
    </w:p>
    <w:p w:rsidR="004A18ED" w:rsidRPr="00D0777D" w:rsidRDefault="004A18ED" w:rsidP="004A18ED">
      <w:pPr>
        <w:spacing w:line="480" w:lineRule="auto"/>
        <w:jc w:val="both"/>
        <w:rPr>
          <w:bCs w:val="0"/>
          <w:color w:val="000000"/>
          <w:kern w:val="0"/>
          <w:lang w:eastAsia="en-ZA"/>
        </w:rPr>
      </w:pPr>
    </w:p>
    <w:p w:rsidR="00513D00" w:rsidRDefault="00513D00" w:rsidP="00035371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rPr>
          <w:bCs w:val="0"/>
          <w:i/>
          <w:color w:val="000000"/>
          <w:kern w:val="0"/>
          <w:lang w:eastAsia="en-ZA"/>
        </w:rPr>
      </w:pPr>
    </w:p>
    <w:p w:rsidR="00035371" w:rsidRDefault="00035371" w:rsidP="00035371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rPr>
          <w:sz w:val="25"/>
          <w:szCs w:val="25"/>
          <w:lang w:val="en-GB"/>
        </w:rPr>
      </w:pPr>
    </w:p>
    <w:p w:rsidR="004A18ED" w:rsidRPr="006250FD" w:rsidRDefault="004A18ED" w:rsidP="004A18ED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60"/>
        <w:jc w:val="right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______________</w:t>
      </w:r>
    </w:p>
    <w:p w:rsidR="004A18ED" w:rsidRDefault="00AA651A" w:rsidP="004A18ED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right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>MOLEFE MATSEMELA</w:t>
      </w:r>
    </w:p>
    <w:p w:rsidR="00AA651A" w:rsidRDefault="00BA4DCE" w:rsidP="004A18ED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right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>Acting Judge of the South Gauteng Local Division</w:t>
      </w:r>
    </w:p>
    <w:p w:rsidR="00BA4DCE" w:rsidRDefault="00BA4DCE" w:rsidP="004A18ED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right"/>
        <w:rPr>
          <w:b/>
          <w:sz w:val="25"/>
          <w:szCs w:val="25"/>
          <w:lang w:val="en-GB"/>
        </w:rPr>
      </w:pPr>
    </w:p>
    <w:p w:rsidR="00BA4DCE" w:rsidRDefault="00BA4DCE" w:rsidP="004A18ED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right"/>
        <w:rPr>
          <w:b/>
          <w:sz w:val="25"/>
          <w:szCs w:val="25"/>
          <w:lang w:val="en-GB"/>
        </w:rPr>
      </w:pPr>
    </w:p>
    <w:p w:rsidR="004A18ED" w:rsidRPr="00A86020" w:rsidRDefault="004A18ED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Date of hearing: 2 </w:t>
      </w:r>
      <w:r w:rsidR="00DC31E3">
        <w:rPr>
          <w:sz w:val="25"/>
          <w:szCs w:val="25"/>
          <w:lang w:val="en-GB"/>
        </w:rPr>
        <w:t xml:space="preserve">MAY </w:t>
      </w:r>
      <w:r>
        <w:rPr>
          <w:sz w:val="25"/>
          <w:szCs w:val="25"/>
          <w:lang w:val="en-GB"/>
        </w:rPr>
        <w:t>202</w:t>
      </w:r>
      <w:r w:rsidR="00DC31E3">
        <w:rPr>
          <w:sz w:val="25"/>
          <w:szCs w:val="25"/>
          <w:lang w:val="en-GB"/>
        </w:rPr>
        <w:t>2</w:t>
      </w:r>
    </w:p>
    <w:p w:rsidR="004A18ED" w:rsidRDefault="004A18ED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Date of judgment: </w:t>
      </w:r>
      <w:r w:rsidR="00DC31E3">
        <w:rPr>
          <w:sz w:val="25"/>
          <w:szCs w:val="25"/>
          <w:lang w:val="en-GB"/>
        </w:rPr>
        <w:t>05</w:t>
      </w:r>
      <w:r>
        <w:rPr>
          <w:sz w:val="25"/>
          <w:szCs w:val="25"/>
          <w:lang w:val="en-GB"/>
        </w:rPr>
        <w:t xml:space="preserve"> J</w:t>
      </w:r>
      <w:r w:rsidR="00DC31E3">
        <w:rPr>
          <w:sz w:val="25"/>
          <w:szCs w:val="25"/>
          <w:lang w:val="en-GB"/>
        </w:rPr>
        <w:t>ULY</w:t>
      </w:r>
      <w:r>
        <w:rPr>
          <w:sz w:val="25"/>
          <w:szCs w:val="25"/>
          <w:lang w:val="en-GB"/>
        </w:rPr>
        <w:t xml:space="preserve"> 202</w:t>
      </w:r>
      <w:r w:rsidR="00DC31E3">
        <w:rPr>
          <w:sz w:val="25"/>
          <w:szCs w:val="25"/>
          <w:lang w:val="en-GB"/>
        </w:rPr>
        <w:t>2</w:t>
      </w:r>
    </w:p>
    <w:p w:rsidR="00A31175" w:rsidRDefault="00A31175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</w:p>
    <w:p w:rsidR="00A31175" w:rsidRDefault="00A31175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For the Applicant                         </w:t>
      </w:r>
      <w:r w:rsidR="00D774D6">
        <w:rPr>
          <w:sz w:val="25"/>
          <w:szCs w:val="25"/>
          <w:lang w:val="en-GB"/>
        </w:rPr>
        <w:t xml:space="preserve">       </w:t>
      </w:r>
      <w:r>
        <w:rPr>
          <w:sz w:val="25"/>
          <w:szCs w:val="25"/>
          <w:lang w:val="en-GB"/>
        </w:rPr>
        <w:t xml:space="preserve"> </w:t>
      </w:r>
      <w:r w:rsidR="00D774D6">
        <w:rPr>
          <w:sz w:val="25"/>
          <w:szCs w:val="25"/>
          <w:lang w:val="en-GB"/>
        </w:rPr>
        <w:t xml:space="preserve">     </w:t>
      </w:r>
      <w:r>
        <w:rPr>
          <w:sz w:val="25"/>
          <w:szCs w:val="25"/>
          <w:lang w:val="en-GB"/>
        </w:rPr>
        <w:t>Adv TJ Machaba</w:t>
      </w:r>
      <w:r w:rsidR="00D774D6">
        <w:rPr>
          <w:sz w:val="25"/>
          <w:szCs w:val="25"/>
          <w:lang w:val="en-GB"/>
        </w:rPr>
        <w:t xml:space="preserve"> SC</w:t>
      </w:r>
    </w:p>
    <w:p w:rsidR="00A31175" w:rsidRDefault="00A31175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With him                                      </w:t>
      </w:r>
      <w:r w:rsidR="00D774D6">
        <w:rPr>
          <w:sz w:val="25"/>
          <w:szCs w:val="25"/>
          <w:lang w:val="en-GB"/>
        </w:rPr>
        <w:t xml:space="preserve">            </w:t>
      </w:r>
      <w:r w:rsidR="004B1648">
        <w:rPr>
          <w:sz w:val="25"/>
          <w:szCs w:val="25"/>
          <w:lang w:val="en-GB"/>
        </w:rPr>
        <w:t xml:space="preserve"> Adv</w:t>
      </w:r>
      <w:r>
        <w:rPr>
          <w:sz w:val="25"/>
          <w:szCs w:val="25"/>
          <w:lang w:val="en-GB"/>
        </w:rPr>
        <w:t xml:space="preserve"> IC Mokoena</w:t>
      </w:r>
    </w:p>
    <w:p w:rsidR="00A31175" w:rsidRDefault="00A31175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Instructed by </w:t>
      </w:r>
      <w:r w:rsidR="004B1648">
        <w:rPr>
          <w:sz w:val="25"/>
          <w:szCs w:val="25"/>
          <w:lang w:val="en-GB"/>
        </w:rPr>
        <w:t xml:space="preserve">                                           Galananhzele Sebela Attorneys</w:t>
      </w:r>
    </w:p>
    <w:p w:rsidR="00D774D6" w:rsidRDefault="00D774D6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For the First, Second and Third</w:t>
      </w:r>
    </w:p>
    <w:p w:rsidR="00D774D6" w:rsidRDefault="00D774D6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Respondents                                         </w:t>
      </w:r>
      <w:r w:rsidR="004B1648">
        <w:rPr>
          <w:sz w:val="25"/>
          <w:szCs w:val="25"/>
          <w:lang w:val="en-GB"/>
        </w:rPr>
        <w:t xml:space="preserve">   Mr</w:t>
      </w:r>
      <w:r>
        <w:rPr>
          <w:sz w:val="25"/>
          <w:szCs w:val="25"/>
          <w:lang w:val="en-GB"/>
        </w:rPr>
        <w:t xml:space="preserve">  IT ALLIS</w:t>
      </w:r>
    </w:p>
    <w:p w:rsidR="00D774D6" w:rsidRPr="006250FD" w:rsidRDefault="00D774D6" w:rsidP="00BA4DCE">
      <w:pPr>
        <w:widowControl w:val="0"/>
        <w:tabs>
          <w:tab w:val="left" w:pos="1701"/>
          <w:tab w:val="left" w:pos="2552"/>
          <w:tab w:val="left" w:pos="3402"/>
          <w:tab w:val="left" w:pos="4253"/>
        </w:tabs>
        <w:spacing w:line="480" w:lineRule="auto"/>
        <w:ind w:left="357"/>
        <w:jc w:val="both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Instructed by                                            Gerhold Van Wyk  Attorneys</w:t>
      </w:r>
    </w:p>
    <w:p w:rsidR="002E29E6" w:rsidRPr="006B34B3" w:rsidRDefault="002E29E6" w:rsidP="002E29E6">
      <w:pPr>
        <w:spacing w:line="480" w:lineRule="auto"/>
        <w:ind w:left="720" w:hanging="720"/>
      </w:pPr>
    </w:p>
    <w:p w:rsidR="002E29E6" w:rsidRDefault="002E29E6" w:rsidP="002E29E6">
      <w:pPr>
        <w:spacing w:line="480" w:lineRule="auto"/>
      </w:pPr>
    </w:p>
    <w:p w:rsidR="00D62BCD" w:rsidRDefault="00D62BCD">
      <w:pPr>
        <w:spacing w:line="480" w:lineRule="auto"/>
      </w:pPr>
    </w:p>
    <w:sectPr w:rsidR="00D62B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18" w:rsidRDefault="00732618" w:rsidP="00D04CE8">
      <w:r>
        <w:separator/>
      </w:r>
    </w:p>
  </w:endnote>
  <w:endnote w:type="continuationSeparator" w:id="0">
    <w:p w:rsidR="00732618" w:rsidRDefault="00732618" w:rsidP="00D0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18" w:rsidRDefault="00732618" w:rsidP="00D04CE8">
      <w:r>
        <w:separator/>
      </w:r>
    </w:p>
  </w:footnote>
  <w:footnote w:type="continuationSeparator" w:id="0">
    <w:p w:rsidR="00732618" w:rsidRDefault="00732618" w:rsidP="00D04CE8">
      <w:r>
        <w:continuationSeparator/>
      </w:r>
    </w:p>
  </w:footnote>
  <w:footnote w:id="1">
    <w:p w:rsidR="004C1235" w:rsidRPr="00B7630C" w:rsidRDefault="004C1235" w:rsidP="00B7630C">
      <w:pPr>
        <w:pStyle w:val="FootnoteText"/>
        <w:jc w:val="both"/>
      </w:pPr>
      <w:r w:rsidRPr="00B7630C">
        <w:rPr>
          <w:rStyle w:val="FootnoteReference"/>
          <w:rFonts w:cs="Arial"/>
        </w:rPr>
        <w:footnoteRef/>
      </w:r>
      <w:r>
        <w:t xml:space="preserve"> </w:t>
      </w:r>
      <w:r w:rsidRPr="00B7630C">
        <w:t xml:space="preserve">See Notice of Motion page 2 para 2 </w:t>
      </w:r>
    </w:p>
  </w:footnote>
  <w:footnote w:id="2">
    <w:p w:rsidR="004C1235" w:rsidRPr="00B7630C" w:rsidRDefault="004C1235" w:rsidP="00B763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30C">
        <w:rPr>
          <w:rStyle w:val="FootnoteReference"/>
          <w:rFonts w:cs="Arial"/>
          <w:sz w:val="20"/>
          <w:szCs w:val="20"/>
        </w:rPr>
        <w:footnoteRef/>
      </w:r>
      <w:r w:rsidRPr="00B7630C">
        <w:rPr>
          <w:bCs w:val="0"/>
          <w:color w:val="000000"/>
          <w:kern w:val="0"/>
          <w:sz w:val="20"/>
          <w:szCs w:val="20"/>
        </w:rPr>
        <w:t xml:space="preserve"> </w:t>
      </w:r>
      <w:r>
        <w:rPr>
          <w:bCs w:val="0"/>
          <w:color w:val="000000"/>
          <w:kern w:val="0"/>
          <w:sz w:val="20"/>
          <w:szCs w:val="20"/>
        </w:rPr>
        <w:t xml:space="preserve"> </w:t>
      </w:r>
      <w:r w:rsidRPr="00B7630C">
        <w:rPr>
          <w:bCs w:val="0"/>
          <w:color w:val="000000"/>
          <w:kern w:val="0"/>
          <w:sz w:val="20"/>
          <w:szCs w:val="20"/>
        </w:rPr>
        <w:t>See its certificate of notice thereof at annexure SHRA5, at page 68.</w:t>
      </w:r>
    </w:p>
  </w:footnote>
  <w:footnote w:id="3">
    <w:p w:rsidR="004C1235" w:rsidRPr="00B7630C" w:rsidRDefault="004C1235" w:rsidP="00B763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30C">
        <w:rPr>
          <w:rStyle w:val="FootnoteReference"/>
          <w:rFonts w:cs="Arial"/>
          <w:sz w:val="20"/>
          <w:szCs w:val="20"/>
        </w:rPr>
        <w:footnoteRef/>
      </w:r>
      <w:r w:rsidRPr="00B763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7630C">
        <w:rPr>
          <w:bCs w:val="0"/>
          <w:color w:val="000000"/>
          <w:kern w:val="0"/>
          <w:sz w:val="20"/>
          <w:szCs w:val="20"/>
        </w:rPr>
        <w:t>Founding Affidavit, para 13, page 10.</w:t>
      </w:r>
    </w:p>
  </w:footnote>
  <w:footnote w:id="4">
    <w:p w:rsidR="004C1235" w:rsidRPr="00B7630C" w:rsidRDefault="004C1235" w:rsidP="00B763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30C">
        <w:rPr>
          <w:rStyle w:val="FootnoteReference"/>
          <w:rFonts w:cs="Arial"/>
          <w:sz w:val="20"/>
          <w:szCs w:val="20"/>
        </w:rPr>
        <w:footnoteRef/>
      </w:r>
      <w:r w:rsidRPr="00B7630C">
        <w:rPr>
          <w:bCs w:val="0"/>
          <w:color w:val="000000"/>
          <w:kern w:val="0"/>
          <w:sz w:val="20"/>
          <w:szCs w:val="20"/>
        </w:rPr>
        <w:t xml:space="preserve"> See annexure SHR4, at page 44.</w:t>
      </w:r>
    </w:p>
  </w:footnote>
  <w:footnote w:id="5">
    <w:p w:rsidR="004C1235" w:rsidRPr="00B7630C" w:rsidRDefault="004C1235" w:rsidP="00B763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30C">
        <w:rPr>
          <w:rStyle w:val="FootnoteReference"/>
          <w:rFonts w:cs="Arial"/>
          <w:sz w:val="20"/>
          <w:szCs w:val="20"/>
        </w:rPr>
        <w:footnoteRef/>
      </w:r>
      <w:r w:rsidRPr="00B7630C">
        <w:rPr>
          <w:sz w:val="20"/>
          <w:szCs w:val="20"/>
        </w:rPr>
        <w:t xml:space="preserve"> </w:t>
      </w:r>
      <w:r w:rsidRPr="00B7630C">
        <w:rPr>
          <w:bCs w:val="0"/>
          <w:color w:val="000000"/>
          <w:kern w:val="0"/>
          <w:sz w:val="20"/>
          <w:szCs w:val="20"/>
        </w:rPr>
        <w:t>See the minutes of the Applicant’s Technical Evaluations Committee (“TEC”) dared 5 September 2017, annexure SHRA6, at page 71.</w:t>
      </w:r>
    </w:p>
  </w:footnote>
  <w:footnote w:id="6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bCs w:val="0"/>
          <w:color w:val="000000"/>
          <w:kern w:val="0"/>
          <w:sz w:val="20"/>
          <w:szCs w:val="20"/>
        </w:rPr>
        <w:t xml:space="preserve"> See annexure SHRA7, page 79 being the said CCGA.</w:t>
      </w:r>
    </w:p>
  </w:footnote>
  <w:footnote w:id="7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bCs w:val="0"/>
          <w:color w:val="000000"/>
          <w:kern w:val="0"/>
          <w:sz w:val="20"/>
          <w:szCs w:val="20"/>
        </w:rPr>
        <w:t xml:space="preserve"> Founding Affidavit, para 32 and the conditions contained therein.</w:t>
      </w:r>
    </w:p>
  </w:footnote>
  <w:footnote w:id="8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bCs w:val="0"/>
          <w:color w:val="000000"/>
          <w:kern w:val="0"/>
          <w:sz w:val="20"/>
          <w:szCs w:val="20"/>
        </w:rPr>
        <w:t xml:space="preserve"> It is intended to read section 4.6 which does contain the said Conditions Precedent.</w:t>
      </w:r>
    </w:p>
  </w:footnote>
  <w:footnote w:id="9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 xml:space="preserve"> See Founding Affidavit, para 33 – 34, and annexure SHRA 7 being the said CCGA, at page 79.</w:t>
      </w:r>
    </w:p>
  </w:footnote>
  <w:footnote w:id="10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 xml:space="preserve"> Founding Affidavit, ibid, para 43, page 20</w:t>
      </w:r>
    </w:p>
  </w:footnote>
  <w:footnote w:id="11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 xml:space="preserve"> Founding Affidavit, ibid, para 13, page 10.</w:t>
      </w:r>
    </w:p>
  </w:footnote>
  <w:footnote w:id="12">
    <w:p w:rsidR="004C1235" w:rsidRPr="00113199" w:rsidRDefault="004C1235" w:rsidP="004B0480">
      <w:pPr>
        <w:autoSpaceDE w:val="0"/>
        <w:autoSpaceDN w:val="0"/>
        <w:adjustRightInd w:val="0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bCs w:val="0"/>
          <w:color w:val="000000"/>
          <w:kern w:val="0"/>
          <w:sz w:val="20"/>
          <w:szCs w:val="20"/>
        </w:rPr>
        <w:t xml:space="preserve"> Founding Affidavit, at para 39, page 18.</w:t>
      </w:r>
      <w:r w:rsidRPr="00113199">
        <w:rPr>
          <w:sz w:val="20"/>
          <w:szCs w:val="20"/>
        </w:rPr>
        <w:t xml:space="preserve"> </w:t>
      </w:r>
    </w:p>
  </w:footnote>
  <w:footnote w:id="13">
    <w:p w:rsidR="004C1235" w:rsidRPr="00113199" w:rsidRDefault="004C1235" w:rsidP="004B0480">
      <w:pPr>
        <w:autoSpaceDE w:val="0"/>
        <w:autoSpaceDN w:val="0"/>
        <w:adjustRightInd w:val="0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 xml:space="preserve"> Ibid, para 41, page 19 and annexure SHRA8, at page 140.</w:t>
      </w:r>
    </w:p>
  </w:footnote>
  <w:footnote w:id="14">
    <w:p w:rsidR="004C1235" w:rsidRPr="00113199" w:rsidRDefault="004C1235" w:rsidP="00F01134">
      <w:pPr>
        <w:autoSpaceDE w:val="0"/>
        <w:autoSpaceDN w:val="0"/>
        <w:adjustRightInd w:val="0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bCs w:val="0"/>
          <w:color w:val="000000"/>
          <w:kern w:val="0"/>
          <w:sz w:val="20"/>
          <w:szCs w:val="20"/>
        </w:rPr>
        <w:t xml:space="preserve"> Ibid, para 42, page 19 and annexure SHRA9 at page 142.</w:t>
      </w:r>
      <w:r w:rsidRPr="00113199">
        <w:rPr>
          <w:sz w:val="20"/>
          <w:szCs w:val="20"/>
        </w:rPr>
        <w:t xml:space="preserve"> </w:t>
      </w:r>
    </w:p>
  </w:footnote>
  <w:footnote w:id="15">
    <w:p w:rsidR="004C1235" w:rsidRPr="00113199" w:rsidRDefault="004C1235" w:rsidP="00F01134">
      <w:pPr>
        <w:autoSpaceDE w:val="0"/>
        <w:autoSpaceDN w:val="0"/>
        <w:adjustRightInd w:val="0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Founding Affidavit, paras 44 – 46, page 20, and annexures SHRA10 and SHRA11, at pages 152 and 153.</w:t>
      </w:r>
    </w:p>
  </w:footnote>
  <w:footnote w:id="16">
    <w:p w:rsidR="004C1235" w:rsidRPr="00113199" w:rsidRDefault="004C1235" w:rsidP="00F01134">
      <w:pPr>
        <w:autoSpaceDE w:val="0"/>
        <w:autoSpaceDN w:val="0"/>
        <w:adjustRightInd w:val="0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Ibid, para 47, page 20 and annexure SHRA12 being an engagement letter, at page 155 and SHRA13 being the Audit Report.</w:t>
      </w:r>
    </w:p>
  </w:footnote>
  <w:footnote w:id="17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Ibid, para 48, page 21.</w:t>
      </w:r>
    </w:p>
  </w:footnote>
  <w:footnote w:id="18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Ibid, para 52.1.1. page 22</w:t>
      </w:r>
    </w:p>
  </w:footnote>
  <w:footnote w:id="19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rFonts w:cs="Arial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Founding Affidavit para 52.1.2, page 22.</w:t>
      </w:r>
    </w:p>
  </w:footnote>
  <w:footnote w:id="20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sz w:val="20"/>
          <w:szCs w:val="20"/>
        </w:rPr>
        <w:footnoteRef/>
      </w:r>
      <w:r w:rsidRPr="00113199">
        <w:rPr>
          <w:bCs w:val="0"/>
          <w:color w:val="000000"/>
          <w:kern w:val="0"/>
          <w:sz w:val="20"/>
          <w:szCs w:val="20"/>
        </w:rPr>
        <w:t xml:space="preserve"> Founding Affidavit, paras 52.2.1 and 52.2.2, and page 23.</w:t>
      </w:r>
    </w:p>
  </w:footnote>
  <w:footnote w:id="21">
    <w:p w:rsidR="004C1235" w:rsidRPr="00113199" w:rsidRDefault="004C1235" w:rsidP="00113199">
      <w:pPr>
        <w:pStyle w:val="FootnoteText"/>
        <w:jc w:val="both"/>
      </w:pPr>
      <w:r w:rsidRPr="00113199">
        <w:rPr>
          <w:rStyle w:val="FootnoteReference"/>
        </w:rPr>
        <w:footnoteRef/>
      </w:r>
      <w:r w:rsidRPr="00113199">
        <w:t xml:space="preserve"> </w:t>
      </w:r>
      <w:r w:rsidRPr="00113199">
        <w:rPr>
          <w:bCs w:val="0"/>
          <w:color w:val="000000"/>
          <w:kern w:val="0"/>
        </w:rPr>
        <w:t>Founding Affidavit, supra, para 52.2.2</w:t>
      </w:r>
    </w:p>
  </w:footnote>
  <w:footnote w:id="22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Ibid, para 52.3.1, at page 23.</w:t>
      </w:r>
    </w:p>
  </w:footnote>
  <w:footnote w:id="23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sz w:val="20"/>
          <w:szCs w:val="20"/>
        </w:rPr>
        <w:footnoteRef/>
      </w:r>
      <w:r w:rsidRPr="00113199">
        <w:rPr>
          <w:bCs w:val="0"/>
          <w:color w:val="000000"/>
          <w:kern w:val="0"/>
          <w:sz w:val="20"/>
          <w:szCs w:val="20"/>
        </w:rPr>
        <w:t xml:space="preserve"> Ibid, para 52.3.2.</w:t>
      </w:r>
    </w:p>
  </w:footnote>
  <w:footnote w:id="24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Pages 550 to 557.</w:t>
      </w:r>
    </w:p>
  </w:footnote>
  <w:footnote w:id="25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Answering Affidavit, para 57, page 559; paras 69, 71, 73 at pages 561 and 562</w:t>
      </w:r>
    </w:p>
  </w:footnote>
  <w:footnote w:id="26">
    <w:p w:rsidR="004C1235" w:rsidRPr="00113199" w:rsidRDefault="004C1235" w:rsidP="001131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3199">
        <w:rPr>
          <w:rStyle w:val="FootnoteReference"/>
          <w:sz w:val="20"/>
          <w:szCs w:val="20"/>
        </w:rPr>
        <w:footnoteRef/>
      </w:r>
      <w:r w:rsidRPr="00113199">
        <w:rPr>
          <w:sz w:val="20"/>
          <w:szCs w:val="20"/>
        </w:rPr>
        <w:t xml:space="preserve"> </w:t>
      </w:r>
      <w:r w:rsidRPr="00113199">
        <w:rPr>
          <w:bCs w:val="0"/>
          <w:color w:val="000000"/>
          <w:kern w:val="0"/>
          <w:sz w:val="20"/>
          <w:szCs w:val="20"/>
        </w:rPr>
        <w:t>Answering Affidavit, para 50, 78, at pages 558 and 563.</w:t>
      </w:r>
    </w:p>
  </w:footnote>
  <w:footnote w:id="27">
    <w:p w:rsidR="004C1235" w:rsidRDefault="004C1235" w:rsidP="0014019B">
      <w:pPr>
        <w:autoSpaceDE w:val="0"/>
        <w:autoSpaceDN w:val="0"/>
        <w:adjustRightInd w:val="0"/>
      </w:pPr>
      <w:r w:rsidRPr="00F45FCE">
        <w:rPr>
          <w:rStyle w:val="FootnoteReference"/>
          <w:sz w:val="20"/>
          <w:szCs w:val="20"/>
        </w:rPr>
        <w:footnoteRef/>
      </w:r>
      <w:r w:rsidRPr="00295FC1">
        <w:rPr>
          <w:sz w:val="16"/>
          <w:szCs w:val="16"/>
        </w:rPr>
        <w:t xml:space="preserve"> </w:t>
      </w:r>
      <w:r w:rsidRPr="00295FC1">
        <w:rPr>
          <w:bCs w:val="0"/>
          <w:color w:val="000000"/>
          <w:kern w:val="0"/>
          <w:sz w:val="16"/>
          <w:szCs w:val="16"/>
        </w:rPr>
        <w:t>Answering Affidavit, supra, para 82.1, page 563.</w:t>
      </w:r>
    </w:p>
  </w:footnote>
  <w:footnote w:id="28">
    <w:p w:rsidR="004C1235" w:rsidRPr="00295FC1" w:rsidRDefault="004C1235" w:rsidP="0014019B">
      <w:pPr>
        <w:autoSpaceDE w:val="0"/>
        <w:autoSpaceDN w:val="0"/>
        <w:adjustRightInd w:val="0"/>
        <w:rPr>
          <w:bCs w:val="0"/>
          <w:color w:val="000000"/>
          <w:kern w:val="0"/>
          <w:sz w:val="16"/>
          <w:szCs w:val="16"/>
        </w:rPr>
      </w:pPr>
      <w:r w:rsidRPr="00F45FCE">
        <w:rPr>
          <w:rStyle w:val="FootnoteReference"/>
          <w:sz w:val="20"/>
          <w:szCs w:val="20"/>
        </w:rPr>
        <w:footnoteRef/>
      </w:r>
      <w:r w:rsidRPr="00295FC1">
        <w:rPr>
          <w:sz w:val="16"/>
          <w:szCs w:val="16"/>
        </w:rPr>
        <w:t xml:space="preserve"> </w:t>
      </w:r>
      <w:r w:rsidRPr="00295FC1">
        <w:rPr>
          <w:bCs w:val="0"/>
          <w:color w:val="000000"/>
          <w:kern w:val="0"/>
          <w:sz w:val="16"/>
          <w:szCs w:val="16"/>
        </w:rPr>
        <w:t>Ibid, para 94, page 565.</w:t>
      </w:r>
    </w:p>
    <w:p w:rsidR="004C1235" w:rsidRDefault="004C1235" w:rsidP="0014019B">
      <w:pPr>
        <w:autoSpaceDE w:val="0"/>
        <w:autoSpaceDN w:val="0"/>
        <w:adjustRightInd w:val="0"/>
      </w:pPr>
    </w:p>
  </w:footnote>
  <w:footnote w:id="29">
    <w:p w:rsidR="004C1235" w:rsidRDefault="004C1235" w:rsidP="00593AC3">
      <w:pPr>
        <w:autoSpaceDE w:val="0"/>
        <w:autoSpaceDN w:val="0"/>
        <w:adjustRightInd w:val="0"/>
      </w:pPr>
      <w:r w:rsidRPr="006A6286">
        <w:rPr>
          <w:rStyle w:val="FootnoteReference"/>
          <w:sz w:val="16"/>
          <w:szCs w:val="16"/>
        </w:rPr>
        <w:footnoteRef/>
      </w:r>
      <w:r w:rsidRPr="006A6286">
        <w:rPr>
          <w:sz w:val="16"/>
          <w:szCs w:val="16"/>
        </w:rPr>
        <w:t xml:space="preserve"> </w:t>
      </w:r>
      <w:r w:rsidRPr="006A6286">
        <w:rPr>
          <w:bCs w:val="0"/>
          <w:color w:val="000000"/>
          <w:kern w:val="0"/>
          <w:sz w:val="16"/>
          <w:szCs w:val="16"/>
        </w:rPr>
        <w:t>See the two constitutional cases of Tasima, and Gijima v SITA. We will deal therewith herein below.</w:t>
      </w:r>
    </w:p>
  </w:footnote>
  <w:footnote w:id="30">
    <w:p w:rsidR="004C1235" w:rsidRPr="00985B35" w:rsidRDefault="004C1235" w:rsidP="00985B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B35">
        <w:rPr>
          <w:rStyle w:val="FootnoteReference"/>
          <w:rFonts w:cs="Arial"/>
          <w:sz w:val="20"/>
          <w:szCs w:val="20"/>
        </w:rPr>
        <w:footnoteRef/>
      </w:r>
      <w:r w:rsidRPr="00985B35">
        <w:rPr>
          <w:sz w:val="20"/>
          <w:szCs w:val="20"/>
        </w:rPr>
        <w:t xml:space="preserve"> </w:t>
      </w:r>
      <w:r w:rsidRPr="00985B35">
        <w:rPr>
          <w:bCs w:val="0"/>
          <w:color w:val="000000"/>
          <w:kern w:val="0"/>
          <w:sz w:val="20"/>
          <w:szCs w:val="20"/>
        </w:rPr>
        <w:t>Founding Affidavit, para 59, page 25.</w:t>
      </w:r>
    </w:p>
  </w:footnote>
  <w:footnote w:id="31">
    <w:p w:rsidR="004C1235" w:rsidRPr="00985B35" w:rsidRDefault="004C1235" w:rsidP="00985B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B35">
        <w:rPr>
          <w:rStyle w:val="FootnoteReference"/>
          <w:rFonts w:cs="Arial"/>
          <w:sz w:val="20"/>
          <w:szCs w:val="20"/>
        </w:rPr>
        <w:footnoteRef/>
      </w:r>
      <w:r w:rsidRPr="00985B35">
        <w:rPr>
          <w:sz w:val="20"/>
          <w:szCs w:val="20"/>
        </w:rPr>
        <w:t xml:space="preserve"> </w:t>
      </w:r>
      <w:r w:rsidRPr="00985B35">
        <w:rPr>
          <w:bCs w:val="0"/>
          <w:color w:val="000000"/>
          <w:kern w:val="0"/>
          <w:sz w:val="20"/>
          <w:szCs w:val="20"/>
        </w:rPr>
        <w:t>Ibid, para 60, page 25.</w:t>
      </w:r>
    </w:p>
  </w:footnote>
  <w:footnote w:id="32">
    <w:p w:rsidR="004C1235" w:rsidRPr="00985B35" w:rsidRDefault="004C1235" w:rsidP="00985B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B35">
        <w:rPr>
          <w:rStyle w:val="FootnoteReference"/>
          <w:rFonts w:cs="Arial"/>
          <w:sz w:val="20"/>
          <w:szCs w:val="20"/>
        </w:rPr>
        <w:footnoteRef/>
      </w:r>
      <w:r w:rsidRPr="00985B35">
        <w:rPr>
          <w:sz w:val="20"/>
          <w:szCs w:val="20"/>
        </w:rPr>
        <w:t xml:space="preserve"> </w:t>
      </w:r>
      <w:r w:rsidRPr="00985B35">
        <w:rPr>
          <w:bCs w:val="0"/>
          <w:color w:val="000000"/>
          <w:kern w:val="0"/>
          <w:sz w:val="20"/>
          <w:szCs w:val="20"/>
        </w:rPr>
        <w:t>Ibid, paras 61 – 62, page 25-26.</w:t>
      </w:r>
    </w:p>
  </w:footnote>
  <w:footnote w:id="33">
    <w:p w:rsidR="004C1235" w:rsidRPr="00985B35" w:rsidRDefault="004C1235" w:rsidP="00985B35">
      <w:pPr>
        <w:autoSpaceDE w:val="0"/>
        <w:autoSpaceDN w:val="0"/>
        <w:adjustRightInd w:val="0"/>
        <w:jc w:val="both"/>
        <w:rPr>
          <w:bCs w:val="0"/>
          <w:color w:val="000000"/>
          <w:kern w:val="0"/>
          <w:sz w:val="20"/>
          <w:szCs w:val="20"/>
        </w:rPr>
      </w:pPr>
      <w:r w:rsidRPr="00985B35">
        <w:rPr>
          <w:rStyle w:val="FootnoteReference"/>
          <w:rFonts w:cs="Arial"/>
          <w:sz w:val="20"/>
          <w:szCs w:val="20"/>
        </w:rPr>
        <w:footnoteRef/>
      </w:r>
      <w:r w:rsidRPr="00985B35">
        <w:rPr>
          <w:sz w:val="20"/>
          <w:szCs w:val="20"/>
        </w:rPr>
        <w:t xml:space="preserve"> </w:t>
      </w:r>
      <w:r w:rsidRPr="00985B35">
        <w:rPr>
          <w:bCs w:val="0"/>
          <w:color w:val="000000"/>
          <w:kern w:val="0"/>
          <w:sz w:val="20"/>
          <w:szCs w:val="20"/>
        </w:rPr>
        <w:t xml:space="preserve"> </w:t>
      </w:r>
      <w:r w:rsidRPr="00985B35">
        <w:rPr>
          <w:bCs w:val="0"/>
          <w:i/>
          <w:iCs/>
          <w:color w:val="000000"/>
          <w:kern w:val="0"/>
          <w:sz w:val="20"/>
          <w:szCs w:val="20"/>
        </w:rPr>
        <w:t xml:space="preserve">Altech Radio Holdings (Pty) Limited and Others v City of Tshwane Metropolitan Municipality </w:t>
      </w:r>
      <w:r w:rsidRPr="00985B35">
        <w:rPr>
          <w:bCs w:val="0"/>
          <w:color w:val="000000"/>
          <w:kern w:val="0"/>
          <w:sz w:val="20"/>
          <w:szCs w:val="20"/>
        </w:rPr>
        <w:t>[2020] ZASCA 122; 2020 JDR 2106 (SCA) paras 18 – 20.</w:t>
      </w:r>
    </w:p>
    <w:p w:rsidR="004C1235" w:rsidRPr="002F76E4" w:rsidRDefault="004C1235" w:rsidP="002F76E4">
      <w:pPr>
        <w:autoSpaceDE w:val="0"/>
        <w:autoSpaceDN w:val="0"/>
        <w:adjustRightInd w:val="0"/>
        <w:rPr>
          <w:bCs w:val="0"/>
          <w:color w:val="000000"/>
          <w:kern w:val="0"/>
          <w:sz w:val="16"/>
          <w:szCs w:val="16"/>
        </w:rPr>
      </w:pPr>
    </w:p>
    <w:p w:rsidR="004C1235" w:rsidRDefault="004C1235" w:rsidP="002F76E4">
      <w:pPr>
        <w:autoSpaceDE w:val="0"/>
        <w:autoSpaceDN w:val="0"/>
        <w:adjustRightInd w:val="0"/>
      </w:pPr>
    </w:p>
  </w:footnote>
  <w:footnote w:id="34">
    <w:p w:rsidR="004C1235" w:rsidRPr="00985B35" w:rsidRDefault="004C1235" w:rsidP="00985B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B35">
        <w:rPr>
          <w:rStyle w:val="FootnoteReference"/>
          <w:sz w:val="20"/>
          <w:szCs w:val="20"/>
        </w:rPr>
        <w:footnoteRef/>
      </w:r>
      <w:r w:rsidRPr="00985B35">
        <w:rPr>
          <w:sz w:val="20"/>
          <w:szCs w:val="20"/>
        </w:rPr>
        <w:t xml:space="preserve"> </w:t>
      </w:r>
      <w:r w:rsidRPr="00985B35">
        <w:rPr>
          <w:bCs w:val="0"/>
          <w:i/>
          <w:iCs/>
          <w:color w:val="000000"/>
          <w:kern w:val="0"/>
          <w:sz w:val="20"/>
          <w:szCs w:val="20"/>
        </w:rPr>
        <w:t xml:space="preserve">Valor IT v Premier, North West Province and Others </w:t>
      </w:r>
      <w:r w:rsidRPr="00985B35">
        <w:rPr>
          <w:bCs w:val="0"/>
          <w:color w:val="000000"/>
          <w:kern w:val="0"/>
          <w:sz w:val="20"/>
          <w:szCs w:val="20"/>
        </w:rPr>
        <w:t>[2020] ZASCA 62; [2020] All SA 397 (SCA) para 30.</w:t>
      </w:r>
    </w:p>
  </w:footnote>
  <w:footnote w:id="35">
    <w:p w:rsidR="004C1235" w:rsidRPr="00985B35" w:rsidRDefault="004C1235" w:rsidP="00985B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B35">
        <w:rPr>
          <w:rStyle w:val="FootnoteReference"/>
          <w:sz w:val="20"/>
          <w:szCs w:val="20"/>
        </w:rPr>
        <w:footnoteRef/>
      </w:r>
      <w:r w:rsidRPr="00985B35">
        <w:rPr>
          <w:sz w:val="20"/>
          <w:szCs w:val="20"/>
        </w:rPr>
        <w:t xml:space="preserve"> </w:t>
      </w:r>
      <w:r w:rsidRPr="00985B35">
        <w:rPr>
          <w:bCs w:val="0"/>
          <w:color w:val="000000"/>
          <w:kern w:val="0"/>
          <w:sz w:val="20"/>
          <w:szCs w:val="20"/>
        </w:rPr>
        <w:t>Ibid para 30.</w:t>
      </w:r>
    </w:p>
  </w:footnote>
  <w:footnote w:id="36">
    <w:p w:rsidR="004C1235" w:rsidRDefault="004C1235" w:rsidP="00985B35">
      <w:pPr>
        <w:autoSpaceDE w:val="0"/>
        <w:autoSpaceDN w:val="0"/>
        <w:adjustRightInd w:val="0"/>
        <w:jc w:val="both"/>
      </w:pPr>
      <w:r w:rsidRPr="00985B35">
        <w:rPr>
          <w:rStyle w:val="FootnoteReference"/>
          <w:sz w:val="20"/>
          <w:szCs w:val="20"/>
        </w:rPr>
        <w:footnoteRef/>
      </w:r>
      <w:r w:rsidRPr="00985B35">
        <w:rPr>
          <w:sz w:val="20"/>
          <w:szCs w:val="20"/>
        </w:rPr>
        <w:t xml:space="preserve"> </w:t>
      </w:r>
      <w:r w:rsidRPr="00985B35">
        <w:rPr>
          <w:bCs w:val="0"/>
          <w:color w:val="000000"/>
          <w:kern w:val="0"/>
          <w:sz w:val="20"/>
          <w:szCs w:val="20"/>
        </w:rPr>
        <w:t>Founding Affidavit, para 65, page 26.</w:t>
      </w:r>
    </w:p>
  </w:footnote>
  <w:footnote w:id="37">
    <w:p w:rsidR="004C1235" w:rsidRPr="009D55F1" w:rsidRDefault="004C1235" w:rsidP="009D55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55F1">
        <w:rPr>
          <w:rStyle w:val="FootnoteReference"/>
          <w:sz w:val="20"/>
          <w:szCs w:val="20"/>
        </w:rPr>
        <w:footnoteRef/>
      </w:r>
      <w:r w:rsidRPr="009D55F1">
        <w:rPr>
          <w:sz w:val="20"/>
          <w:szCs w:val="20"/>
        </w:rPr>
        <w:t xml:space="preserve"> </w:t>
      </w:r>
      <w:r w:rsidRPr="009D55F1">
        <w:rPr>
          <w:bCs w:val="0"/>
          <w:color w:val="000000"/>
          <w:kern w:val="0"/>
          <w:sz w:val="20"/>
          <w:szCs w:val="20"/>
        </w:rPr>
        <w:t>[2016] ZACC 39; 2017 (2) SA 622 (CC) para 170.</w:t>
      </w:r>
    </w:p>
  </w:footnote>
  <w:footnote w:id="38">
    <w:p w:rsidR="004C1235" w:rsidRPr="009D55F1" w:rsidRDefault="004C1235" w:rsidP="009D55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55F1">
        <w:rPr>
          <w:rStyle w:val="FootnoteReference"/>
          <w:sz w:val="20"/>
          <w:szCs w:val="20"/>
        </w:rPr>
        <w:footnoteRef/>
      </w:r>
      <w:r w:rsidRPr="009D55F1">
        <w:rPr>
          <w:sz w:val="20"/>
          <w:szCs w:val="20"/>
        </w:rPr>
        <w:t xml:space="preserve"> </w:t>
      </w:r>
      <w:r w:rsidRPr="009D55F1">
        <w:rPr>
          <w:bCs w:val="0"/>
          <w:i/>
          <w:iCs/>
          <w:color w:val="000000"/>
          <w:kern w:val="0"/>
          <w:sz w:val="20"/>
          <w:szCs w:val="20"/>
        </w:rPr>
        <w:t xml:space="preserve">Buffalo City Metropolitan Municipality v Asla Construction (Pty) Ltd </w:t>
      </w:r>
      <w:r w:rsidRPr="009D55F1">
        <w:rPr>
          <w:bCs w:val="0"/>
          <w:color w:val="000000"/>
          <w:kern w:val="0"/>
          <w:sz w:val="20"/>
          <w:szCs w:val="20"/>
        </w:rPr>
        <w:t>2019 (4) SA 331 (CC) para 55.</w:t>
      </w:r>
    </w:p>
  </w:footnote>
  <w:footnote w:id="39">
    <w:p w:rsidR="004C1235" w:rsidRPr="009D55F1" w:rsidRDefault="004C1235" w:rsidP="009D55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55F1">
        <w:rPr>
          <w:rStyle w:val="FootnoteReference"/>
          <w:sz w:val="20"/>
          <w:szCs w:val="20"/>
        </w:rPr>
        <w:footnoteRef/>
      </w:r>
      <w:r w:rsidRPr="009D55F1">
        <w:rPr>
          <w:sz w:val="20"/>
          <w:szCs w:val="20"/>
        </w:rPr>
        <w:t xml:space="preserve"> </w:t>
      </w:r>
      <w:r w:rsidRPr="009D55F1">
        <w:rPr>
          <w:bCs w:val="0"/>
          <w:i/>
          <w:iCs/>
          <w:color w:val="000000"/>
          <w:kern w:val="0"/>
          <w:sz w:val="20"/>
          <w:szCs w:val="20"/>
        </w:rPr>
        <w:t xml:space="preserve">State Information Technology Agency SOC Ltd v Gijima Holdings </w:t>
      </w:r>
      <w:r w:rsidRPr="009D55F1">
        <w:rPr>
          <w:bCs w:val="0"/>
          <w:color w:val="000000"/>
          <w:kern w:val="0"/>
          <w:sz w:val="20"/>
          <w:szCs w:val="20"/>
        </w:rPr>
        <w:t>[2017] ZACC 40; 2018 (2) SA 23 (CC) para</w:t>
      </w:r>
    </w:p>
  </w:footnote>
  <w:footnote w:id="40">
    <w:p w:rsidR="004C1235" w:rsidRPr="00843E8D" w:rsidRDefault="004C1235" w:rsidP="00843E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E8D">
        <w:rPr>
          <w:rStyle w:val="FootnoteReference"/>
          <w:rFonts w:cs="Arial"/>
          <w:sz w:val="20"/>
          <w:szCs w:val="20"/>
        </w:rPr>
        <w:footnoteRef/>
      </w:r>
      <w:r w:rsidRPr="00843E8D">
        <w:rPr>
          <w:sz w:val="20"/>
          <w:szCs w:val="20"/>
        </w:rPr>
        <w:t xml:space="preserve"> </w:t>
      </w:r>
      <w:r w:rsidRPr="00843E8D">
        <w:rPr>
          <w:bCs w:val="0"/>
          <w:color w:val="000000"/>
          <w:kern w:val="0"/>
          <w:sz w:val="20"/>
          <w:szCs w:val="20"/>
        </w:rPr>
        <w:t>Founding Affidavit, para 38 – 42 read with Replying Affidavit, para 64.</w:t>
      </w:r>
    </w:p>
  </w:footnote>
  <w:footnote w:id="41">
    <w:p w:rsidR="004C1235" w:rsidRPr="00843E8D" w:rsidRDefault="004C1235" w:rsidP="00843E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E8D">
        <w:rPr>
          <w:rStyle w:val="FootnoteReference"/>
          <w:rFonts w:cs="Arial"/>
          <w:sz w:val="20"/>
          <w:szCs w:val="20"/>
        </w:rPr>
        <w:footnoteRef/>
      </w:r>
      <w:r w:rsidRPr="00843E8D">
        <w:rPr>
          <w:sz w:val="20"/>
          <w:szCs w:val="20"/>
        </w:rPr>
        <w:t xml:space="preserve"> </w:t>
      </w:r>
      <w:r w:rsidRPr="00843E8D">
        <w:rPr>
          <w:bCs w:val="0"/>
          <w:color w:val="000000"/>
          <w:kern w:val="0"/>
          <w:sz w:val="20"/>
          <w:szCs w:val="20"/>
        </w:rPr>
        <w:t xml:space="preserve"> </w:t>
      </w:r>
      <w:r w:rsidRPr="00843E8D">
        <w:rPr>
          <w:bCs w:val="0"/>
          <w:i/>
          <w:iCs/>
          <w:color w:val="000000"/>
          <w:kern w:val="0"/>
          <w:sz w:val="20"/>
          <w:szCs w:val="20"/>
        </w:rPr>
        <w:t xml:space="preserve">Namasethu Electrical (Pty) Ltd v City of Cape Town and Another </w:t>
      </w:r>
      <w:r w:rsidRPr="00843E8D">
        <w:rPr>
          <w:bCs w:val="0"/>
          <w:color w:val="000000"/>
          <w:kern w:val="0"/>
          <w:sz w:val="20"/>
          <w:szCs w:val="20"/>
        </w:rPr>
        <w:t>[2020] ZASCA 74.</w:t>
      </w:r>
    </w:p>
  </w:footnote>
  <w:footnote w:id="42">
    <w:p w:rsidR="004C1235" w:rsidRPr="00843E8D" w:rsidRDefault="004C1235" w:rsidP="00843E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E8D">
        <w:rPr>
          <w:rStyle w:val="FootnoteReference"/>
          <w:rFonts w:cs="Arial"/>
          <w:sz w:val="20"/>
          <w:szCs w:val="20"/>
        </w:rPr>
        <w:footnoteRef/>
      </w:r>
      <w:r w:rsidRPr="00843E8D">
        <w:rPr>
          <w:sz w:val="20"/>
          <w:szCs w:val="20"/>
        </w:rPr>
        <w:t xml:space="preserve"> </w:t>
      </w:r>
      <w:r w:rsidRPr="00843E8D">
        <w:rPr>
          <w:bCs w:val="0"/>
          <w:color w:val="000000"/>
          <w:kern w:val="0"/>
          <w:sz w:val="20"/>
          <w:szCs w:val="20"/>
        </w:rPr>
        <w:t>Ibid, para 30.</w:t>
      </w:r>
    </w:p>
  </w:footnote>
  <w:footnote w:id="43">
    <w:p w:rsidR="004C1235" w:rsidRPr="00843E8D" w:rsidRDefault="004C1235" w:rsidP="00843E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E8D">
        <w:rPr>
          <w:rStyle w:val="FootnoteReference"/>
          <w:rFonts w:cs="Arial"/>
          <w:sz w:val="20"/>
          <w:szCs w:val="20"/>
        </w:rPr>
        <w:footnoteRef/>
      </w:r>
      <w:r w:rsidRPr="00843E8D">
        <w:rPr>
          <w:sz w:val="20"/>
          <w:szCs w:val="20"/>
        </w:rPr>
        <w:t xml:space="preserve"> </w:t>
      </w:r>
      <w:r w:rsidRPr="00843E8D">
        <w:rPr>
          <w:bCs w:val="0"/>
          <w:color w:val="000000"/>
          <w:kern w:val="0"/>
          <w:sz w:val="20"/>
          <w:szCs w:val="20"/>
        </w:rPr>
        <w:t xml:space="preserve">46 </w:t>
      </w:r>
      <w:r w:rsidRPr="00843E8D">
        <w:rPr>
          <w:bCs w:val="0"/>
          <w:i/>
          <w:iCs/>
          <w:color w:val="000000"/>
          <w:kern w:val="0"/>
          <w:sz w:val="20"/>
          <w:szCs w:val="20"/>
        </w:rPr>
        <w:t xml:space="preserve">North East Finance (Pty) Ltd v Standard Bank of South Africa </w:t>
      </w:r>
      <w:r w:rsidRPr="00843E8D">
        <w:rPr>
          <w:bCs w:val="0"/>
          <w:color w:val="000000"/>
          <w:kern w:val="0"/>
          <w:sz w:val="20"/>
          <w:szCs w:val="20"/>
        </w:rPr>
        <w:t>[2013] ZASCA 76; 2013 (5) SA 1 (SCA) para 26 – 30.</w:t>
      </w:r>
    </w:p>
  </w:footnote>
  <w:footnote w:id="44">
    <w:p w:rsidR="004C1235" w:rsidRPr="00843E8D" w:rsidRDefault="004C1235" w:rsidP="00843E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E8D">
        <w:rPr>
          <w:rStyle w:val="FootnoteReference"/>
          <w:rFonts w:cs="Arial"/>
          <w:sz w:val="20"/>
          <w:szCs w:val="20"/>
        </w:rPr>
        <w:footnoteRef/>
      </w:r>
      <w:r w:rsidRPr="00843E8D">
        <w:rPr>
          <w:sz w:val="20"/>
          <w:szCs w:val="20"/>
        </w:rPr>
        <w:t xml:space="preserve"> </w:t>
      </w:r>
      <w:r w:rsidRPr="00843E8D">
        <w:rPr>
          <w:bCs w:val="0"/>
          <w:color w:val="000000"/>
          <w:kern w:val="0"/>
          <w:sz w:val="20"/>
          <w:szCs w:val="20"/>
        </w:rPr>
        <w:t>47 Ibid.</w:t>
      </w:r>
    </w:p>
  </w:footnote>
  <w:footnote w:id="45">
    <w:p w:rsidR="004C1235" w:rsidRPr="00843E8D" w:rsidRDefault="004C1235" w:rsidP="00843E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E8D">
        <w:rPr>
          <w:rStyle w:val="FootnoteReference"/>
          <w:rFonts w:cs="Arial"/>
          <w:sz w:val="20"/>
          <w:szCs w:val="20"/>
        </w:rPr>
        <w:footnoteRef/>
      </w:r>
      <w:r w:rsidRPr="00843E8D">
        <w:rPr>
          <w:sz w:val="20"/>
          <w:szCs w:val="20"/>
        </w:rPr>
        <w:t xml:space="preserve"> </w:t>
      </w:r>
      <w:r w:rsidRPr="00843E8D">
        <w:rPr>
          <w:bCs w:val="0"/>
          <w:color w:val="000000"/>
          <w:kern w:val="0"/>
          <w:sz w:val="20"/>
          <w:szCs w:val="20"/>
        </w:rPr>
        <w:t xml:space="preserve">48 </w:t>
      </w:r>
      <w:r w:rsidRPr="00843E8D">
        <w:rPr>
          <w:bCs w:val="0"/>
          <w:i/>
          <w:iCs/>
          <w:color w:val="000000"/>
          <w:kern w:val="0"/>
          <w:sz w:val="20"/>
          <w:szCs w:val="20"/>
        </w:rPr>
        <w:t xml:space="preserve">Bowditch v Peel and Magill </w:t>
      </w:r>
      <w:r w:rsidRPr="00843E8D">
        <w:rPr>
          <w:bCs w:val="0"/>
          <w:color w:val="000000"/>
          <w:kern w:val="0"/>
          <w:sz w:val="20"/>
          <w:szCs w:val="20"/>
        </w:rPr>
        <w:t>1921 AD 561 para 572.</w:t>
      </w:r>
    </w:p>
  </w:footnote>
  <w:footnote w:id="46">
    <w:p w:rsidR="004C1235" w:rsidRPr="00843E8D" w:rsidRDefault="004C1235" w:rsidP="00843E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E8D">
        <w:rPr>
          <w:rStyle w:val="FootnoteReference"/>
          <w:rFonts w:cs="Arial"/>
          <w:sz w:val="20"/>
          <w:szCs w:val="20"/>
        </w:rPr>
        <w:footnoteRef/>
      </w:r>
      <w:r w:rsidRPr="00843E8D">
        <w:rPr>
          <w:sz w:val="20"/>
          <w:szCs w:val="20"/>
        </w:rPr>
        <w:t xml:space="preserve"> </w:t>
      </w:r>
      <w:r w:rsidRPr="00843E8D">
        <w:rPr>
          <w:bCs w:val="0"/>
          <w:color w:val="000000"/>
          <w:kern w:val="0"/>
          <w:sz w:val="20"/>
          <w:szCs w:val="20"/>
        </w:rPr>
        <w:t xml:space="preserve">49 </w:t>
      </w:r>
      <w:r w:rsidRPr="00843E8D">
        <w:rPr>
          <w:bCs w:val="0"/>
          <w:i/>
          <w:iCs/>
          <w:color w:val="000000"/>
          <w:kern w:val="0"/>
          <w:sz w:val="20"/>
          <w:szCs w:val="20"/>
        </w:rPr>
        <w:t xml:space="preserve">Scriven Bros v Rhodesian Hides &amp; Produce Co Ltd and Others </w:t>
      </w:r>
      <w:r w:rsidRPr="00843E8D">
        <w:rPr>
          <w:bCs w:val="0"/>
          <w:color w:val="000000"/>
          <w:kern w:val="0"/>
          <w:sz w:val="20"/>
          <w:szCs w:val="20"/>
        </w:rPr>
        <w:t>1943 AD 393.</w:t>
      </w:r>
    </w:p>
  </w:footnote>
  <w:footnote w:id="47">
    <w:p w:rsidR="004C1235" w:rsidRPr="006A07B4" w:rsidRDefault="004C1235" w:rsidP="006A07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07B4">
        <w:rPr>
          <w:rStyle w:val="FootnoteReference"/>
          <w:sz w:val="20"/>
          <w:szCs w:val="20"/>
        </w:rPr>
        <w:footnoteRef/>
      </w:r>
      <w:r w:rsidRPr="006A07B4">
        <w:rPr>
          <w:bCs w:val="0"/>
          <w:color w:val="000000"/>
          <w:kern w:val="0"/>
          <w:sz w:val="20"/>
          <w:szCs w:val="20"/>
        </w:rPr>
        <w:t xml:space="preserve"> </w:t>
      </w:r>
      <w:r w:rsidRPr="006A07B4">
        <w:rPr>
          <w:bCs w:val="0"/>
          <w:i/>
          <w:iCs/>
          <w:color w:val="000000"/>
          <w:kern w:val="0"/>
          <w:sz w:val="20"/>
          <w:szCs w:val="20"/>
        </w:rPr>
        <w:t xml:space="preserve">Khumalo and Another v MEC for Education, Kwa-Zulu Natal </w:t>
      </w:r>
      <w:r w:rsidRPr="006A07B4">
        <w:rPr>
          <w:bCs w:val="0"/>
          <w:color w:val="000000"/>
          <w:kern w:val="0"/>
          <w:sz w:val="20"/>
          <w:szCs w:val="20"/>
        </w:rPr>
        <w:t>[2013] ZACC 49; 2014 (5) SA 579 (CC).</w:t>
      </w:r>
      <w:r w:rsidRPr="006A07B4">
        <w:rPr>
          <w:sz w:val="20"/>
          <w:szCs w:val="20"/>
        </w:rPr>
        <w:t xml:space="preserve"> </w:t>
      </w:r>
    </w:p>
  </w:footnote>
  <w:footnote w:id="48">
    <w:p w:rsidR="004C1235" w:rsidRPr="006A07B4" w:rsidRDefault="004C1235" w:rsidP="006A07B4">
      <w:pPr>
        <w:pStyle w:val="FootnoteText"/>
        <w:jc w:val="both"/>
      </w:pPr>
      <w:r w:rsidRPr="006A07B4">
        <w:rPr>
          <w:rStyle w:val="FootnoteReference"/>
        </w:rPr>
        <w:footnoteRef/>
      </w:r>
      <w:r w:rsidRPr="006A07B4">
        <w:t xml:space="preserve"> Answering Affidavit para 15</w:t>
      </w:r>
    </w:p>
  </w:footnote>
  <w:footnote w:id="49">
    <w:p w:rsidR="004C1235" w:rsidRPr="000A4ABF" w:rsidRDefault="004C1235" w:rsidP="000A4ABF">
      <w:pPr>
        <w:pStyle w:val="FootnoteText"/>
        <w:jc w:val="both"/>
      </w:pPr>
      <w:r w:rsidRPr="000A4ABF">
        <w:rPr>
          <w:rStyle w:val="FootnoteReference"/>
        </w:rPr>
        <w:footnoteRef/>
      </w:r>
      <w:r w:rsidRPr="000A4ABF">
        <w:t xml:space="preserve"> </w:t>
      </w:r>
      <w:r w:rsidRPr="000A4ABF">
        <w:rPr>
          <w:bCs w:val="0"/>
          <w:color w:val="000000"/>
          <w:kern w:val="0"/>
        </w:rPr>
        <w:t xml:space="preserve">53 </w:t>
      </w:r>
      <w:r w:rsidRPr="000A4ABF">
        <w:rPr>
          <w:bCs w:val="0"/>
          <w:i/>
          <w:iCs/>
          <w:color w:val="000000"/>
          <w:kern w:val="0"/>
        </w:rPr>
        <w:t xml:space="preserve">ANC Umvoti Council Caucus v Umvoti Municipality </w:t>
      </w:r>
      <w:r w:rsidRPr="000A4ABF">
        <w:rPr>
          <w:bCs w:val="0"/>
          <w:color w:val="000000"/>
          <w:kern w:val="0"/>
        </w:rPr>
        <w:t xml:space="preserve">2010 (3) SA 31 (KZP) para 13·29. See also </w:t>
      </w:r>
      <w:r w:rsidRPr="000A4ABF">
        <w:rPr>
          <w:bCs w:val="0"/>
          <w:i/>
          <w:iCs/>
          <w:color w:val="000000"/>
          <w:kern w:val="0"/>
        </w:rPr>
        <w:t xml:space="preserve">Eskom v Soweto City Council </w:t>
      </w:r>
      <w:r w:rsidRPr="000A4ABF">
        <w:rPr>
          <w:bCs w:val="0"/>
          <w:color w:val="000000"/>
          <w:kern w:val="0"/>
        </w:rPr>
        <w:t xml:space="preserve">1992 (2) SA 703 (WLD) at 705 E-706 C and </w:t>
      </w:r>
      <w:r w:rsidRPr="000A4ABF">
        <w:rPr>
          <w:bCs w:val="0"/>
          <w:i/>
          <w:iCs/>
          <w:color w:val="000000"/>
          <w:kern w:val="0"/>
        </w:rPr>
        <w:t xml:space="preserve">Ganes and Another v Telecom </w:t>
      </w:r>
      <w:r w:rsidRPr="000A4ABF">
        <w:rPr>
          <w:bCs w:val="0"/>
          <w:color w:val="000000"/>
          <w:kern w:val="0"/>
        </w:rPr>
        <w:t>above</w:t>
      </w:r>
    </w:p>
  </w:footnote>
  <w:footnote w:id="50">
    <w:p w:rsidR="004C1235" w:rsidRPr="00E54A94" w:rsidRDefault="004C1235" w:rsidP="00E54A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4A94">
        <w:rPr>
          <w:rStyle w:val="FootnoteReference"/>
          <w:sz w:val="20"/>
          <w:szCs w:val="20"/>
        </w:rPr>
        <w:footnoteRef/>
      </w:r>
      <w:r w:rsidRPr="00E54A94">
        <w:rPr>
          <w:sz w:val="20"/>
          <w:szCs w:val="20"/>
        </w:rPr>
        <w:t xml:space="preserve"> </w:t>
      </w:r>
      <w:r w:rsidRPr="00E54A94">
        <w:rPr>
          <w:bCs w:val="0"/>
          <w:color w:val="000000"/>
          <w:kern w:val="0"/>
          <w:sz w:val="20"/>
          <w:szCs w:val="20"/>
        </w:rPr>
        <w:t>54 (2013) NWHC 999.</w:t>
      </w:r>
    </w:p>
  </w:footnote>
  <w:footnote w:id="51">
    <w:p w:rsidR="004C1235" w:rsidRPr="00E54A94" w:rsidRDefault="004C1235" w:rsidP="00E54A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4A94">
        <w:rPr>
          <w:rStyle w:val="FootnoteReference"/>
          <w:sz w:val="20"/>
          <w:szCs w:val="20"/>
        </w:rPr>
        <w:footnoteRef/>
      </w:r>
      <w:r w:rsidRPr="00E54A94">
        <w:rPr>
          <w:sz w:val="20"/>
          <w:szCs w:val="20"/>
        </w:rPr>
        <w:t xml:space="preserve"> </w:t>
      </w:r>
      <w:r w:rsidRPr="00E54A94">
        <w:rPr>
          <w:bCs w:val="0"/>
          <w:color w:val="000000"/>
          <w:kern w:val="0"/>
          <w:sz w:val="20"/>
          <w:szCs w:val="20"/>
        </w:rPr>
        <w:t>Unlawful Occupiers, School Site v City of Johannesburg 2005 (4) SA 199, para 14.</w:t>
      </w:r>
    </w:p>
  </w:footnote>
  <w:footnote w:id="52">
    <w:p w:rsidR="004C1235" w:rsidRPr="00E54A94" w:rsidRDefault="004C1235" w:rsidP="00E54A94">
      <w:pPr>
        <w:autoSpaceDE w:val="0"/>
        <w:autoSpaceDN w:val="0"/>
        <w:adjustRightInd w:val="0"/>
        <w:jc w:val="both"/>
        <w:rPr>
          <w:bCs w:val="0"/>
          <w:color w:val="000000"/>
          <w:kern w:val="0"/>
          <w:sz w:val="20"/>
          <w:szCs w:val="20"/>
        </w:rPr>
      </w:pPr>
      <w:r w:rsidRPr="00E54A94">
        <w:rPr>
          <w:rStyle w:val="FootnoteReference"/>
          <w:sz w:val="20"/>
          <w:szCs w:val="20"/>
        </w:rPr>
        <w:footnoteRef/>
      </w:r>
      <w:r w:rsidRPr="00E54A94">
        <w:rPr>
          <w:sz w:val="20"/>
          <w:szCs w:val="20"/>
        </w:rPr>
        <w:t xml:space="preserve"> </w:t>
      </w:r>
      <w:r w:rsidRPr="00E54A94">
        <w:rPr>
          <w:bCs w:val="0"/>
          <w:color w:val="000000"/>
          <w:kern w:val="0"/>
          <w:sz w:val="20"/>
          <w:szCs w:val="20"/>
        </w:rPr>
        <w:t xml:space="preserve">1992 (2) SA 703 (W); Also see </w:t>
      </w:r>
      <w:r w:rsidRPr="00E54A94">
        <w:rPr>
          <w:bCs w:val="0"/>
          <w:i/>
          <w:iCs/>
          <w:color w:val="000000"/>
          <w:kern w:val="0"/>
          <w:sz w:val="20"/>
          <w:szCs w:val="20"/>
        </w:rPr>
        <w:t xml:space="preserve">ANC Umvoti Council Caucus and Others v Umvoti Municipality </w:t>
      </w:r>
      <w:r w:rsidRPr="00E54A94">
        <w:rPr>
          <w:bCs w:val="0"/>
          <w:color w:val="000000"/>
          <w:kern w:val="0"/>
          <w:sz w:val="20"/>
          <w:szCs w:val="20"/>
        </w:rPr>
        <w:t>2010 (3) SA 31 (KZP) for a detailed review of the Rule and the relevant case law.</w:t>
      </w:r>
    </w:p>
    <w:p w:rsidR="004C1235" w:rsidRDefault="004C1235" w:rsidP="00A14F8A">
      <w:pPr>
        <w:autoSpaceDE w:val="0"/>
        <w:autoSpaceDN w:val="0"/>
        <w:adjustRightInd w:val="0"/>
      </w:pPr>
    </w:p>
  </w:footnote>
  <w:footnote w:id="53">
    <w:p w:rsidR="004C1235" w:rsidRPr="00BB2153" w:rsidRDefault="004C1235" w:rsidP="00BB21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2153">
        <w:rPr>
          <w:rStyle w:val="FootnoteReference"/>
          <w:sz w:val="20"/>
          <w:szCs w:val="20"/>
        </w:rPr>
        <w:footnoteRef/>
      </w:r>
      <w:r w:rsidRPr="00BB2153">
        <w:rPr>
          <w:sz w:val="20"/>
          <w:szCs w:val="20"/>
        </w:rPr>
        <w:t xml:space="preserve"> </w:t>
      </w:r>
      <w:r w:rsidRPr="00BB2153">
        <w:rPr>
          <w:bCs w:val="0"/>
          <w:color w:val="000000"/>
          <w:kern w:val="0"/>
          <w:sz w:val="20"/>
          <w:szCs w:val="20"/>
        </w:rPr>
        <w:t>[2005] All SA 108 (SCA).</w:t>
      </w:r>
    </w:p>
  </w:footnote>
  <w:footnote w:id="54">
    <w:p w:rsidR="004C1235" w:rsidRPr="00EB3DE0" w:rsidRDefault="004C1235" w:rsidP="00EB3D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3DE0">
        <w:rPr>
          <w:rStyle w:val="FootnoteReference"/>
          <w:sz w:val="20"/>
          <w:szCs w:val="20"/>
        </w:rPr>
        <w:footnoteRef/>
      </w:r>
      <w:r w:rsidRPr="00EB3DE0">
        <w:rPr>
          <w:sz w:val="20"/>
          <w:szCs w:val="20"/>
        </w:rPr>
        <w:t xml:space="preserve"> </w:t>
      </w:r>
      <w:r w:rsidRPr="00EB3DE0">
        <w:rPr>
          <w:bCs w:val="0"/>
          <w:color w:val="000000"/>
          <w:kern w:val="0"/>
          <w:sz w:val="20"/>
          <w:szCs w:val="20"/>
        </w:rPr>
        <w:t>1992 (2) SA 703 (WLD) at 705F.</w:t>
      </w:r>
    </w:p>
  </w:footnote>
  <w:footnote w:id="55">
    <w:p w:rsidR="004C1235" w:rsidRDefault="004C1235" w:rsidP="00EB3DE0">
      <w:pPr>
        <w:autoSpaceDE w:val="0"/>
        <w:autoSpaceDN w:val="0"/>
        <w:adjustRightInd w:val="0"/>
        <w:jc w:val="both"/>
      </w:pPr>
      <w:r w:rsidRPr="00EB3DE0">
        <w:rPr>
          <w:rStyle w:val="FootnoteReference"/>
          <w:sz w:val="20"/>
          <w:szCs w:val="20"/>
        </w:rPr>
        <w:footnoteRef/>
      </w:r>
      <w:r w:rsidRPr="00EB3DE0">
        <w:rPr>
          <w:sz w:val="20"/>
          <w:szCs w:val="20"/>
        </w:rPr>
        <w:t xml:space="preserve"> </w:t>
      </w:r>
      <w:r w:rsidRPr="00EB3DE0">
        <w:rPr>
          <w:bCs w:val="0"/>
          <w:color w:val="000000"/>
          <w:kern w:val="0"/>
          <w:sz w:val="20"/>
          <w:szCs w:val="20"/>
        </w:rPr>
        <w:t xml:space="preserve">2004 (3) SA 615 (SCA) at 624I-625A. See also </w:t>
      </w:r>
      <w:r w:rsidRPr="00EB3DE0">
        <w:rPr>
          <w:bCs w:val="0"/>
          <w:i/>
          <w:iCs/>
          <w:color w:val="000000"/>
          <w:kern w:val="0"/>
          <w:sz w:val="20"/>
          <w:szCs w:val="20"/>
        </w:rPr>
        <w:t>Un</w:t>
      </w:r>
      <w:r>
        <w:rPr>
          <w:bCs w:val="0"/>
          <w:i/>
          <w:iCs/>
          <w:color w:val="000000"/>
          <w:kern w:val="0"/>
          <w:sz w:val="20"/>
          <w:szCs w:val="20"/>
        </w:rPr>
        <w:t xml:space="preserve">lawful Occupiers, School Site v </w:t>
      </w:r>
      <w:r w:rsidRPr="00EB3DE0">
        <w:rPr>
          <w:bCs w:val="0"/>
          <w:i/>
          <w:iCs/>
          <w:color w:val="000000"/>
          <w:kern w:val="0"/>
          <w:sz w:val="20"/>
          <w:szCs w:val="20"/>
        </w:rPr>
        <w:t xml:space="preserve">City of Johannesburg </w:t>
      </w:r>
      <w:r w:rsidRPr="00EB3DE0">
        <w:rPr>
          <w:bCs w:val="0"/>
          <w:color w:val="000000"/>
          <w:kern w:val="0"/>
          <w:sz w:val="20"/>
          <w:szCs w:val="20"/>
        </w:rPr>
        <w:t>2005 (4) SA 199 at 206 G-H.</w:t>
      </w:r>
    </w:p>
  </w:footnote>
  <w:footnote w:id="56">
    <w:p w:rsidR="004C1235" w:rsidRPr="00EB3DE0" w:rsidRDefault="004C1235" w:rsidP="00EB3D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3DE0">
        <w:rPr>
          <w:rStyle w:val="FootnoteReference"/>
          <w:sz w:val="20"/>
          <w:szCs w:val="20"/>
        </w:rPr>
        <w:footnoteRef/>
      </w:r>
      <w:r w:rsidRPr="00EB3DE0">
        <w:rPr>
          <w:sz w:val="20"/>
          <w:szCs w:val="20"/>
        </w:rPr>
        <w:t xml:space="preserve"> </w:t>
      </w:r>
      <w:r w:rsidRPr="00EB3DE0">
        <w:rPr>
          <w:bCs w:val="0"/>
          <w:i/>
          <w:iCs/>
          <w:color w:val="000000"/>
          <w:kern w:val="0"/>
          <w:sz w:val="20"/>
          <w:szCs w:val="20"/>
        </w:rPr>
        <w:t xml:space="preserve">Gainsford and Others NNO v Hiab AB </w:t>
      </w:r>
      <w:r w:rsidRPr="00EB3DE0">
        <w:rPr>
          <w:bCs w:val="0"/>
          <w:color w:val="000000"/>
          <w:kern w:val="0"/>
          <w:sz w:val="20"/>
          <w:szCs w:val="20"/>
        </w:rPr>
        <w:t>2000 (3) SA 635 (WLD) at 640A.</w:t>
      </w:r>
    </w:p>
  </w:footnote>
  <w:footnote w:id="57">
    <w:p w:rsidR="004C1235" w:rsidRPr="00EB3DE0" w:rsidRDefault="004C1235" w:rsidP="00EB3D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3DE0">
        <w:rPr>
          <w:rStyle w:val="FootnoteReference"/>
          <w:sz w:val="20"/>
          <w:szCs w:val="20"/>
        </w:rPr>
        <w:footnoteRef/>
      </w:r>
      <w:r w:rsidRPr="00EB3DE0">
        <w:rPr>
          <w:sz w:val="20"/>
          <w:szCs w:val="20"/>
        </w:rPr>
        <w:t xml:space="preserve"> </w:t>
      </w:r>
      <w:r w:rsidRPr="00EB3DE0">
        <w:rPr>
          <w:bCs w:val="0"/>
          <w:color w:val="000000"/>
          <w:kern w:val="0"/>
          <w:sz w:val="20"/>
          <w:szCs w:val="20"/>
        </w:rPr>
        <w:t xml:space="preserve"> </w:t>
      </w:r>
      <w:r w:rsidRPr="00EB3DE0">
        <w:rPr>
          <w:bCs w:val="0"/>
          <w:i/>
          <w:iCs/>
          <w:color w:val="000000"/>
          <w:kern w:val="0"/>
          <w:sz w:val="20"/>
          <w:szCs w:val="20"/>
        </w:rPr>
        <w:t xml:space="preserve">Snyders and Others v De Jager </w:t>
      </w:r>
      <w:r w:rsidRPr="00EB3DE0">
        <w:rPr>
          <w:rFonts w:ascii="ArialMT" w:hAnsi="ArialMT" w:cs="ArialMT"/>
          <w:bCs w:val="0"/>
          <w:color w:val="000000"/>
          <w:kern w:val="0"/>
          <w:sz w:val="20"/>
          <w:szCs w:val="20"/>
        </w:rPr>
        <w:t>[2016] ZACC 54; 2017 (5) BCLR 604 (CC) para 9 (“the joinder judgment”).</w:t>
      </w:r>
    </w:p>
  </w:footnote>
  <w:footnote w:id="58">
    <w:p w:rsidR="004C1235" w:rsidRPr="00EB3DE0" w:rsidRDefault="004C1235" w:rsidP="00EB3D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3DE0">
        <w:rPr>
          <w:rStyle w:val="FootnoteReference"/>
          <w:sz w:val="20"/>
          <w:szCs w:val="20"/>
        </w:rPr>
        <w:footnoteRef/>
      </w:r>
      <w:r w:rsidRPr="00EB3DE0">
        <w:rPr>
          <w:sz w:val="20"/>
          <w:szCs w:val="20"/>
        </w:rPr>
        <w:t xml:space="preserve"> </w:t>
      </w:r>
      <w:r w:rsidRPr="00EB3DE0">
        <w:rPr>
          <w:bCs w:val="0"/>
          <w:color w:val="000000"/>
          <w:kern w:val="0"/>
          <w:sz w:val="20"/>
          <w:szCs w:val="20"/>
        </w:rPr>
        <w:t>Ibid.</w:t>
      </w:r>
    </w:p>
  </w:footnote>
  <w:footnote w:id="59">
    <w:p w:rsidR="004C1235" w:rsidRPr="00EB3DE0" w:rsidRDefault="004C1235" w:rsidP="00EB3DE0">
      <w:pPr>
        <w:autoSpaceDE w:val="0"/>
        <w:autoSpaceDN w:val="0"/>
        <w:adjustRightInd w:val="0"/>
        <w:jc w:val="both"/>
        <w:rPr>
          <w:bCs w:val="0"/>
          <w:color w:val="000000"/>
          <w:kern w:val="0"/>
          <w:sz w:val="20"/>
          <w:szCs w:val="20"/>
        </w:rPr>
      </w:pPr>
      <w:r w:rsidRPr="00EB3DE0">
        <w:rPr>
          <w:rStyle w:val="FootnoteReference"/>
          <w:sz w:val="20"/>
          <w:szCs w:val="20"/>
        </w:rPr>
        <w:footnoteRef/>
      </w:r>
      <w:r w:rsidRPr="00EB3DE0">
        <w:rPr>
          <w:sz w:val="20"/>
          <w:szCs w:val="20"/>
        </w:rPr>
        <w:t xml:space="preserve"> </w:t>
      </w:r>
      <w:r w:rsidRPr="00EB3DE0">
        <w:rPr>
          <w:bCs w:val="0"/>
          <w:color w:val="000000"/>
          <w:kern w:val="0"/>
          <w:sz w:val="20"/>
          <w:szCs w:val="20"/>
        </w:rPr>
        <w:t>Constitution of the Republic of South Africa Act, Act 108 of 1996.</w:t>
      </w:r>
    </w:p>
    <w:p w:rsidR="004C1235" w:rsidRDefault="004C1235" w:rsidP="00137D2B">
      <w:pPr>
        <w:autoSpaceDE w:val="0"/>
        <w:autoSpaceDN w:val="0"/>
        <w:adjustRightInd w:val="0"/>
      </w:pPr>
    </w:p>
  </w:footnote>
  <w:footnote w:id="60">
    <w:p w:rsidR="004C1235" w:rsidRPr="0082705A" w:rsidRDefault="004C1235" w:rsidP="008270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05A">
        <w:rPr>
          <w:rStyle w:val="FootnoteReference"/>
          <w:sz w:val="20"/>
          <w:szCs w:val="20"/>
        </w:rPr>
        <w:footnoteRef/>
      </w:r>
      <w:r w:rsidRPr="0082705A">
        <w:rPr>
          <w:bCs w:val="0"/>
          <w:color w:val="000000"/>
          <w:kern w:val="0"/>
          <w:sz w:val="20"/>
          <w:szCs w:val="20"/>
        </w:rPr>
        <w:t xml:space="preserve"> Section 2.</w:t>
      </w:r>
      <w:r w:rsidRPr="0082705A">
        <w:rPr>
          <w:sz w:val="20"/>
          <w:szCs w:val="20"/>
        </w:rPr>
        <w:t xml:space="preserve"> </w:t>
      </w:r>
    </w:p>
  </w:footnote>
  <w:footnote w:id="61">
    <w:p w:rsidR="004C1235" w:rsidRPr="0082705A" w:rsidRDefault="004C1235" w:rsidP="008270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05A">
        <w:rPr>
          <w:rStyle w:val="FootnoteReference"/>
          <w:sz w:val="20"/>
          <w:szCs w:val="20"/>
        </w:rPr>
        <w:footnoteRef/>
      </w:r>
      <w:r w:rsidRPr="0082705A">
        <w:rPr>
          <w:bCs w:val="0"/>
          <w:color w:val="000000"/>
          <w:kern w:val="0"/>
          <w:sz w:val="20"/>
          <w:szCs w:val="20"/>
        </w:rPr>
        <w:t xml:space="preserve"> See section 11(3)(a).</w:t>
      </w:r>
      <w:r w:rsidRPr="0082705A">
        <w:rPr>
          <w:sz w:val="20"/>
          <w:szCs w:val="20"/>
        </w:rPr>
        <w:t xml:space="preserve"> </w:t>
      </w:r>
    </w:p>
  </w:footnote>
  <w:footnote w:id="62">
    <w:p w:rsidR="004C1235" w:rsidRPr="0082705A" w:rsidRDefault="004C1235" w:rsidP="008270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05A">
        <w:rPr>
          <w:rStyle w:val="FootnoteReference"/>
          <w:sz w:val="20"/>
          <w:szCs w:val="20"/>
        </w:rPr>
        <w:footnoteRef/>
      </w:r>
      <w:r w:rsidRPr="0082705A">
        <w:rPr>
          <w:bCs w:val="0"/>
          <w:color w:val="000000"/>
          <w:kern w:val="0"/>
          <w:sz w:val="20"/>
          <w:szCs w:val="20"/>
        </w:rPr>
        <w:t>Section 11(3)(d).</w:t>
      </w:r>
    </w:p>
  </w:footnote>
  <w:footnote w:id="63">
    <w:p w:rsidR="004C1235" w:rsidRPr="007402B3" w:rsidRDefault="004C1235" w:rsidP="007402B3">
      <w:pPr>
        <w:pStyle w:val="FootnoteText"/>
        <w:jc w:val="both"/>
      </w:pPr>
      <w:r w:rsidRPr="007402B3">
        <w:rPr>
          <w:rStyle w:val="FootnoteReference"/>
        </w:rPr>
        <w:footnoteRef/>
      </w:r>
      <w:r w:rsidRPr="007402B3">
        <w:t xml:space="preserve"> Section 19(1)(a)(ii) </w:t>
      </w:r>
    </w:p>
  </w:footnote>
  <w:footnote w:id="64">
    <w:p w:rsidR="004C1235" w:rsidRPr="007402B3" w:rsidRDefault="004C1235" w:rsidP="00740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2B3">
        <w:rPr>
          <w:rStyle w:val="FootnoteReference"/>
          <w:sz w:val="20"/>
          <w:szCs w:val="20"/>
        </w:rPr>
        <w:footnoteRef/>
      </w:r>
      <w:r w:rsidRPr="007402B3">
        <w:rPr>
          <w:bCs w:val="0"/>
          <w:color w:val="000000"/>
          <w:kern w:val="0"/>
          <w:sz w:val="20"/>
          <w:szCs w:val="20"/>
        </w:rPr>
        <w:t xml:space="preserve"> Section 19(1)(b)(i).</w:t>
      </w:r>
    </w:p>
  </w:footnote>
  <w:footnote w:id="65">
    <w:p w:rsidR="004C1235" w:rsidRPr="007402B3" w:rsidRDefault="004C1235" w:rsidP="00740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2B3">
        <w:rPr>
          <w:rStyle w:val="FootnoteReference"/>
          <w:sz w:val="20"/>
          <w:szCs w:val="20"/>
        </w:rPr>
        <w:footnoteRef/>
      </w:r>
      <w:r w:rsidRPr="007402B3">
        <w:rPr>
          <w:bCs w:val="0"/>
          <w:color w:val="000000"/>
          <w:kern w:val="0"/>
          <w:sz w:val="20"/>
          <w:szCs w:val="20"/>
        </w:rPr>
        <w:t xml:space="preserve"> Regulation 2(1) and (4).</w:t>
      </w:r>
    </w:p>
  </w:footnote>
  <w:footnote w:id="66">
    <w:p w:rsidR="004C1235" w:rsidRPr="000067B0" w:rsidRDefault="004C1235" w:rsidP="000067B0">
      <w:pPr>
        <w:autoSpaceDE w:val="0"/>
        <w:autoSpaceDN w:val="0"/>
        <w:adjustRightInd w:val="0"/>
        <w:jc w:val="both"/>
        <w:rPr>
          <w:bCs w:val="0"/>
          <w:color w:val="000000"/>
          <w:kern w:val="0"/>
          <w:sz w:val="20"/>
          <w:szCs w:val="20"/>
        </w:rPr>
      </w:pPr>
      <w:r w:rsidRPr="000067B0">
        <w:rPr>
          <w:rStyle w:val="FootnoteReference"/>
          <w:sz w:val="20"/>
          <w:szCs w:val="20"/>
        </w:rPr>
        <w:footnoteRef/>
      </w:r>
      <w:r w:rsidRPr="000067B0">
        <w:rPr>
          <w:sz w:val="20"/>
          <w:szCs w:val="20"/>
        </w:rPr>
        <w:t xml:space="preserve"> </w:t>
      </w:r>
      <w:r w:rsidRPr="000067B0">
        <w:rPr>
          <w:bCs w:val="0"/>
          <w:color w:val="000000"/>
          <w:kern w:val="0"/>
          <w:sz w:val="20"/>
          <w:szCs w:val="20"/>
        </w:rPr>
        <w:t>Founding Affidavit, para 24, page 14.</w:t>
      </w:r>
    </w:p>
  </w:footnote>
  <w:footnote w:id="67">
    <w:p w:rsidR="004C1235" w:rsidRPr="000067B0" w:rsidRDefault="004C1235" w:rsidP="000067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67B0">
        <w:rPr>
          <w:rStyle w:val="FootnoteReference"/>
          <w:sz w:val="20"/>
          <w:szCs w:val="20"/>
        </w:rPr>
        <w:footnoteRef/>
      </w:r>
      <w:r w:rsidRPr="000067B0">
        <w:rPr>
          <w:sz w:val="20"/>
          <w:szCs w:val="20"/>
        </w:rPr>
        <w:t xml:space="preserve"> </w:t>
      </w:r>
      <w:r w:rsidRPr="000067B0">
        <w:rPr>
          <w:bCs w:val="0"/>
          <w:color w:val="000000"/>
          <w:kern w:val="0"/>
          <w:sz w:val="20"/>
          <w:szCs w:val="20"/>
        </w:rPr>
        <w:t>Founding Affidavit, para 26, page 15.</w:t>
      </w:r>
      <w:r w:rsidRPr="000067B0">
        <w:rPr>
          <w:sz w:val="20"/>
          <w:szCs w:val="20"/>
        </w:rPr>
        <w:t xml:space="preserve"> </w:t>
      </w:r>
    </w:p>
  </w:footnote>
  <w:footnote w:id="68">
    <w:p w:rsidR="004C1235" w:rsidRPr="000E3634" w:rsidRDefault="004C1235" w:rsidP="000E36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634">
        <w:rPr>
          <w:rStyle w:val="FootnoteReference"/>
          <w:sz w:val="20"/>
          <w:szCs w:val="20"/>
        </w:rPr>
        <w:footnoteRef/>
      </w:r>
      <w:r w:rsidRPr="000E3634">
        <w:rPr>
          <w:sz w:val="20"/>
          <w:szCs w:val="20"/>
        </w:rPr>
        <w:t xml:space="preserve"> </w:t>
      </w:r>
      <w:r w:rsidRPr="000E3634">
        <w:rPr>
          <w:bCs w:val="0"/>
          <w:color w:val="000000"/>
          <w:kern w:val="0"/>
          <w:sz w:val="20"/>
          <w:szCs w:val="20"/>
        </w:rPr>
        <w:t>Ibid, para 25, page 15.</w:t>
      </w:r>
    </w:p>
  </w:footnote>
  <w:footnote w:id="69">
    <w:p w:rsidR="004C1235" w:rsidRPr="000E3634" w:rsidRDefault="004C1235" w:rsidP="000E36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634">
        <w:rPr>
          <w:rStyle w:val="FootnoteReference"/>
          <w:sz w:val="20"/>
          <w:szCs w:val="20"/>
        </w:rPr>
        <w:footnoteRef/>
      </w:r>
      <w:r w:rsidRPr="000E3634">
        <w:rPr>
          <w:sz w:val="20"/>
          <w:szCs w:val="20"/>
        </w:rPr>
        <w:t xml:space="preserve"> </w:t>
      </w:r>
      <w:r w:rsidRPr="000E3634">
        <w:rPr>
          <w:bCs w:val="0"/>
          <w:color w:val="000000"/>
          <w:kern w:val="0"/>
          <w:sz w:val="20"/>
          <w:szCs w:val="20"/>
        </w:rPr>
        <w:t>Ibid, para 27, page 15.</w:t>
      </w:r>
      <w:r w:rsidRPr="000E3634">
        <w:rPr>
          <w:sz w:val="20"/>
          <w:szCs w:val="20"/>
        </w:rPr>
        <w:t xml:space="preserve"> </w:t>
      </w:r>
    </w:p>
  </w:footnote>
  <w:footnote w:id="70">
    <w:p w:rsidR="004C1235" w:rsidRPr="000E3634" w:rsidRDefault="004C1235" w:rsidP="000E36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634">
        <w:rPr>
          <w:rStyle w:val="FootnoteReference"/>
          <w:sz w:val="20"/>
          <w:szCs w:val="20"/>
        </w:rPr>
        <w:footnoteRef/>
      </w:r>
      <w:r w:rsidRPr="000E3634">
        <w:rPr>
          <w:sz w:val="20"/>
          <w:szCs w:val="20"/>
        </w:rPr>
        <w:t xml:space="preserve"> </w:t>
      </w:r>
      <w:r w:rsidRPr="000E3634">
        <w:rPr>
          <w:bCs w:val="0"/>
          <w:color w:val="000000"/>
          <w:kern w:val="0"/>
          <w:sz w:val="20"/>
          <w:szCs w:val="20"/>
        </w:rPr>
        <w:t>Ibid, para 30, page 16.</w:t>
      </w:r>
    </w:p>
  </w:footnote>
  <w:footnote w:id="71">
    <w:p w:rsidR="004C1235" w:rsidRPr="000E3634" w:rsidRDefault="004C1235" w:rsidP="000E36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634">
        <w:rPr>
          <w:rStyle w:val="FootnoteReference"/>
          <w:sz w:val="20"/>
          <w:szCs w:val="20"/>
        </w:rPr>
        <w:footnoteRef/>
      </w:r>
      <w:r w:rsidRPr="000E3634">
        <w:rPr>
          <w:sz w:val="20"/>
          <w:szCs w:val="20"/>
        </w:rPr>
        <w:t xml:space="preserve"> </w:t>
      </w:r>
      <w:r w:rsidRPr="000E3634">
        <w:rPr>
          <w:bCs w:val="0"/>
          <w:color w:val="000000"/>
          <w:kern w:val="0"/>
          <w:sz w:val="20"/>
          <w:szCs w:val="20"/>
        </w:rPr>
        <w:t>Founding Affidavit, op. cit., para 32, page 16.</w:t>
      </w:r>
    </w:p>
  </w:footnote>
  <w:footnote w:id="72">
    <w:p w:rsidR="004C1235" w:rsidRPr="003037B0" w:rsidRDefault="004C1235" w:rsidP="003037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37B0">
        <w:rPr>
          <w:rStyle w:val="FootnoteReference"/>
          <w:sz w:val="20"/>
          <w:szCs w:val="20"/>
        </w:rPr>
        <w:footnoteRef/>
      </w:r>
      <w:r w:rsidRPr="003037B0">
        <w:rPr>
          <w:sz w:val="20"/>
          <w:szCs w:val="20"/>
        </w:rPr>
        <w:t xml:space="preserve"> </w:t>
      </w:r>
      <w:r w:rsidRPr="003037B0">
        <w:rPr>
          <w:bCs w:val="0"/>
          <w:color w:val="000000"/>
          <w:kern w:val="0"/>
          <w:sz w:val="20"/>
          <w:szCs w:val="20"/>
        </w:rPr>
        <w:t>See Founding Affidavit, Ligwa Forensic Report etc., at page 171.</w:t>
      </w:r>
    </w:p>
  </w:footnote>
  <w:footnote w:id="73">
    <w:p w:rsidR="004C1235" w:rsidRPr="005220DB" w:rsidRDefault="004C1235" w:rsidP="005220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20DB">
        <w:rPr>
          <w:rStyle w:val="FootnoteReference"/>
          <w:sz w:val="20"/>
          <w:szCs w:val="20"/>
        </w:rPr>
        <w:footnoteRef/>
      </w:r>
      <w:r w:rsidRPr="005220DB">
        <w:rPr>
          <w:sz w:val="20"/>
          <w:szCs w:val="20"/>
        </w:rPr>
        <w:t xml:space="preserve"> </w:t>
      </w:r>
      <w:r w:rsidRPr="005220DB">
        <w:rPr>
          <w:bCs w:val="0"/>
          <w:color w:val="000000"/>
          <w:kern w:val="0"/>
          <w:sz w:val="20"/>
          <w:szCs w:val="20"/>
        </w:rPr>
        <w:t>See annexure SHRA 13, page 171.</w:t>
      </w:r>
    </w:p>
  </w:footnote>
  <w:footnote w:id="74">
    <w:p w:rsidR="004C1235" w:rsidRPr="005220DB" w:rsidRDefault="004C1235" w:rsidP="005220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20DB">
        <w:rPr>
          <w:rStyle w:val="FootnoteReference"/>
          <w:sz w:val="20"/>
          <w:szCs w:val="20"/>
        </w:rPr>
        <w:footnoteRef/>
      </w:r>
      <w:r w:rsidRPr="005220DB">
        <w:rPr>
          <w:sz w:val="20"/>
          <w:szCs w:val="20"/>
        </w:rPr>
        <w:t xml:space="preserve"> </w:t>
      </w:r>
      <w:r w:rsidRPr="005220DB">
        <w:rPr>
          <w:bCs w:val="0"/>
          <w:color w:val="000000"/>
          <w:kern w:val="0"/>
          <w:sz w:val="20"/>
          <w:szCs w:val="20"/>
        </w:rPr>
        <w:t>See Replying Affidavit, para 11, page 585.</w:t>
      </w:r>
    </w:p>
  </w:footnote>
  <w:footnote w:id="75">
    <w:p w:rsidR="004C1235" w:rsidRPr="005220DB" w:rsidRDefault="004C1235" w:rsidP="005220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20DB">
        <w:rPr>
          <w:rStyle w:val="FootnoteReference"/>
          <w:sz w:val="20"/>
          <w:szCs w:val="20"/>
        </w:rPr>
        <w:footnoteRef/>
      </w:r>
      <w:r w:rsidRPr="005220DB">
        <w:rPr>
          <w:bCs w:val="0"/>
          <w:color w:val="000000"/>
          <w:kern w:val="0"/>
          <w:sz w:val="20"/>
          <w:szCs w:val="20"/>
        </w:rPr>
        <w:t xml:space="preserve"> Replying Affidavit, para 12, page 585.</w:t>
      </w:r>
      <w:r w:rsidRPr="005220DB">
        <w:rPr>
          <w:sz w:val="20"/>
          <w:szCs w:val="20"/>
        </w:rPr>
        <w:t xml:space="preserve"> </w:t>
      </w:r>
    </w:p>
  </w:footnote>
  <w:footnote w:id="76">
    <w:p w:rsidR="004C1235" w:rsidRPr="005220DB" w:rsidRDefault="004C1235" w:rsidP="005220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20DB">
        <w:rPr>
          <w:rStyle w:val="FootnoteReference"/>
          <w:sz w:val="20"/>
          <w:szCs w:val="20"/>
        </w:rPr>
        <w:footnoteRef/>
      </w:r>
      <w:r w:rsidRPr="005220DB">
        <w:rPr>
          <w:sz w:val="20"/>
          <w:szCs w:val="20"/>
        </w:rPr>
        <w:t xml:space="preserve"> </w:t>
      </w:r>
      <w:r w:rsidRPr="005220DB">
        <w:rPr>
          <w:bCs w:val="0"/>
          <w:i/>
          <w:iCs/>
          <w:color w:val="000000"/>
          <w:kern w:val="0"/>
          <w:sz w:val="20"/>
          <w:szCs w:val="20"/>
        </w:rPr>
        <w:t xml:space="preserve">Fedsure Life Assurance Ltd and Others v Greater Johannesburg Transitional Metropolitan Council and Others </w:t>
      </w:r>
      <w:r w:rsidRPr="005220DB">
        <w:rPr>
          <w:bCs w:val="0"/>
          <w:color w:val="000000"/>
          <w:kern w:val="0"/>
          <w:sz w:val="20"/>
          <w:szCs w:val="20"/>
        </w:rPr>
        <w:t xml:space="preserve">1999 (1) SA            374 (CC) paras 58 </w:t>
      </w:r>
      <w:r w:rsidRPr="005220DB">
        <w:rPr>
          <w:rFonts w:ascii="ArialMT" w:hAnsi="ArialMT" w:cs="ArialMT"/>
          <w:bCs w:val="0"/>
          <w:color w:val="000000"/>
          <w:kern w:val="0"/>
          <w:sz w:val="20"/>
          <w:szCs w:val="20"/>
        </w:rPr>
        <w:t xml:space="preserve">– </w:t>
      </w:r>
      <w:r w:rsidRPr="005220DB">
        <w:rPr>
          <w:bCs w:val="0"/>
          <w:color w:val="000000"/>
          <w:kern w:val="0"/>
          <w:sz w:val="20"/>
          <w:szCs w:val="20"/>
        </w:rPr>
        <w:t>59.</w:t>
      </w:r>
    </w:p>
  </w:footnote>
  <w:footnote w:id="77">
    <w:p w:rsidR="004C1235" w:rsidRPr="005220DB" w:rsidRDefault="004C1235" w:rsidP="005220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20DB">
        <w:rPr>
          <w:rStyle w:val="FootnoteReference"/>
          <w:sz w:val="20"/>
          <w:szCs w:val="20"/>
        </w:rPr>
        <w:footnoteRef/>
      </w:r>
      <w:r w:rsidRPr="005220DB">
        <w:rPr>
          <w:bCs w:val="0"/>
          <w:color w:val="000000"/>
          <w:kern w:val="0"/>
          <w:sz w:val="20"/>
          <w:szCs w:val="20"/>
        </w:rPr>
        <w:t xml:space="preserve"> </w:t>
      </w:r>
      <w:r w:rsidRPr="005220DB">
        <w:rPr>
          <w:bCs w:val="0"/>
          <w:i/>
          <w:iCs/>
          <w:color w:val="000000"/>
          <w:kern w:val="0"/>
          <w:sz w:val="20"/>
          <w:szCs w:val="20"/>
        </w:rPr>
        <w:t>Khumalo</w:t>
      </w:r>
      <w:r w:rsidRPr="005220DB">
        <w:rPr>
          <w:bCs w:val="0"/>
          <w:color w:val="000000"/>
          <w:kern w:val="0"/>
          <w:sz w:val="20"/>
          <w:szCs w:val="20"/>
        </w:rPr>
        <w:t>, fn 47 above.</w:t>
      </w:r>
    </w:p>
  </w:footnote>
  <w:footnote w:id="78">
    <w:p w:rsidR="004C1235" w:rsidRDefault="004C1235" w:rsidP="005220DB">
      <w:pPr>
        <w:autoSpaceDE w:val="0"/>
        <w:autoSpaceDN w:val="0"/>
        <w:adjustRightInd w:val="0"/>
        <w:jc w:val="both"/>
      </w:pPr>
      <w:r w:rsidRPr="005220DB">
        <w:rPr>
          <w:rStyle w:val="FootnoteReference"/>
          <w:sz w:val="20"/>
          <w:szCs w:val="20"/>
        </w:rPr>
        <w:footnoteRef/>
      </w:r>
      <w:r w:rsidRPr="005220DB">
        <w:rPr>
          <w:bCs w:val="0"/>
          <w:color w:val="000000"/>
          <w:kern w:val="0"/>
          <w:sz w:val="20"/>
          <w:szCs w:val="20"/>
        </w:rPr>
        <w:t xml:space="preserve"> See State Information Information v </w:t>
      </w:r>
      <w:r w:rsidRPr="005220DB">
        <w:rPr>
          <w:bCs w:val="0"/>
          <w:iCs/>
          <w:color w:val="000000"/>
          <w:kern w:val="0"/>
          <w:sz w:val="20"/>
          <w:szCs w:val="20"/>
        </w:rPr>
        <w:t>Gijima (CCT254/16) [2017] ZACC 40 at para 53</w:t>
      </w:r>
      <w:r w:rsidRPr="00D74E22">
        <w:rPr>
          <w:sz w:val="16"/>
          <w:szCs w:val="16"/>
        </w:rPr>
        <w:t xml:space="preserve"> </w:t>
      </w:r>
    </w:p>
  </w:footnote>
  <w:footnote w:id="79">
    <w:p w:rsidR="004C1235" w:rsidRPr="001D6CE7" w:rsidRDefault="004C1235" w:rsidP="001D6C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CE7">
        <w:rPr>
          <w:rStyle w:val="FootnoteReference"/>
          <w:rFonts w:cs="Arial"/>
          <w:sz w:val="20"/>
          <w:szCs w:val="20"/>
        </w:rPr>
        <w:footnoteRef/>
      </w:r>
      <w:r w:rsidRPr="001D6CE7">
        <w:rPr>
          <w:sz w:val="20"/>
          <w:szCs w:val="20"/>
        </w:rPr>
        <w:t xml:space="preserve"> </w:t>
      </w:r>
      <w:r w:rsidRPr="001D6CE7">
        <w:rPr>
          <w:bCs w:val="0"/>
          <w:i/>
          <w:iCs/>
          <w:color w:val="000000"/>
          <w:kern w:val="0"/>
          <w:sz w:val="20"/>
          <w:szCs w:val="20"/>
        </w:rPr>
        <w:t xml:space="preserve">Airports Company South Africa v Tswelokgotso Trading Enterprises </w:t>
      </w:r>
      <w:r w:rsidRPr="001D6CE7">
        <w:rPr>
          <w:bCs w:val="0"/>
          <w:color w:val="000000"/>
          <w:kern w:val="0"/>
          <w:sz w:val="20"/>
          <w:szCs w:val="20"/>
        </w:rPr>
        <w:t>CC 2019 (1) SA 204 (GJ) paras 6 - 12.</w:t>
      </w:r>
    </w:p>
  </w:footnote>
  <w:footnote w:id="80">
    <w:p w:rsidR="004C1235" w:rsidRPr="001D6CE7" w:rsidRDefault="004C1235" w:rsidP="001D6C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CE7">
        <w:rPr>
          <w:rStyle w:val="FootnoteReference"/>
          <w:rFonts w:cs="Arial"/>
          <w:sz w:val="20"/>
          <w:szCs w:val="20"/>
        </w:rPr>
        <w:footnoteRef/>
      </w:r>
      <w:r w:rsidRPr="001D6CE7">
        <w:rPr>
          <w:bCs w:val="0"/>
          <w:color w:val="000000"/>
          <w:kern w:val="0"/>
          <w:sz w:val="20"/>
          <w:szCs w:val="20"/>
        </w:rPr>
        <w:t xml:space="preserve"> Affordable Medicines, supra, at paras [48] – [49]</w:t>
      </w:r>
      <w:r w:rsidRPr="001D6CE7">
        <w:rPr>
          <w:sz w:val="20"/>
          <w:szCs w:val="20"/>
        </w:rPr>
        <w:t xml:space="preserve"> </w:t>
      </w:r>
    </w:p>
  </w:footnote>
  <w:footnote w:id="81">
    <w:p w:rsidR="004C1235" w:rsidRPr="001D6CE7" w:rsidRDefault="004C1235" w:rsidP="001D6C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CE7">
        <w:rPr>
          <w:rStyle w:val="FootnoteReference"/>
          <w:rFonts w:cs="Arial"/>
          <w:sz w:val="20"/>
          <w:szCs w:val="20"/>
        </w:rPr>
        <w:footnoteRef/>
      </w:r>
      <w:r w:rsidRPr="001D6CE7">
        <w:rPr>
          <w:bCs w:val="0"/>
          <w:color w:val="000000"/>
          <w:kern w:val="0"/>
          <w:sz w:val="20"/>
          <w:szCs w:val="20"/>
        </w:rPr>
        <w:t xml:space="preserve"> See </w:t>
      </w:r>
      <w:r w:rsidRPr="001D6CE7">
        <w:rPr>
          <w:bCs w:val="0"/>
          <w:i/>
          <w:iCs/>
          <w:color w:val="000000"/>
          <w:kern w:val="0"/>
          <w:sz w:val="20"/>
          <w:szCs w:val="20"/>
        </w:rPr>
        <w:t xml:space="preserve">Pharmaceutical Manufacturers Association of South Africa and Another: In re Ex parte President of the Republic of South Africa and Others </w:t>
      </w:r>
      <w:r w:rsidRPr="001D6CE7">
        <w:rPr>
          <w:bCs w:val="0"/>
          <w:color w:val="000000"/>
          <w:kern w:val="0"/>
          <w:sz w:val="20"/>
          <w:szCs w:val="20"/>
        </w:rPr>
        <w:t xml:space="preserve">2000 (2) SA 674 (CC) (2000 (3) BCLR 241 (CC) at para [20]; </w:t>
      </w:r>
      <w:r w:rsidRPr="001D6CE7">
        <w:rPr>
          <w:bCs w:val="0"/>
          <w:i/>
          <w:iCs/>
          <w:color w:val="000000"/>
          <w:kern w:val="0"/>
          <w:sz w:val="20"/>
          <w:szCs w:val="20"/>
        </w:rPr>
        <w:t xml:space="preserve">Fedsure Life Assurance Ltd and Others v Greater Johannesburg Transitional Metropolitan Council and Others </w:t>
      </w:r>
      <w:r w:rsidRPr="001D6CE7">
        <w:rPr>
          <w:bCs w:val="0"/>
          <w:color w:val="000000"/>
          <w:kern w:val="0"/>
          <w:sz w:val="20"/>
          <w:szCs w:val="20"/>
        </w:rPr>
        <w:t>1999 (1) SA 374 (CC) (1998 (12) BCLR 1458 (CC)) at para 58.</w:t>
      </w:r>
    </w:p>
  </w:footnote>
  <w:footnote w:id="82">
    <w:p w:rsidR="004C1235" w:rsidRPr="001D6CE7" w:rsidRDefault="004C1235" w:rsidP="001D6C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CE7">
        <w:rPr>
          <w:rStyle w:val="FootnoteReference"/>
          <w:rFonts w:cs="Arial"/>
          <w:sz w:val="20"/>
          <w:szCs w:val="20"/>
        </w:rPr>
        <w:footnoteRef/>
      </w:r>
      <w:r w:rsidRPr="001D6CE7">
        <w:rPr>
          <w:bCs w:val="0"/>
          <w:color w:val="000000"/>
          <w:kern w:val="0"/>
          <w:sz w:val="20"/>
          <w:szCs w:val="20"/>
        </w:rPr>
        <w:t>2000 (1) SA 1 (CC); 1999 (10) BCLR 1059 (CC).</w:t>
      </w:r>
    </w:p>
  </w:footnote>
  <w:footnote w:id="83">
    <w:p w:rsidR="004C1235" w:rsidRPr="001D6CE7" w:rsidRDefault="004C1235" w:rsidP="001D6C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CE7">
        <w:rPr>
          <w:rStyle w:val="FootnoteReference"/>
          <w:rFonts w:cs="Arial"/>
          <w:sz w:val="20"/>
          <w:szCs w:val="20"/>
        </w:rPr>
        <w:footnoteRef/>
      </w:r>
      <w:r w:rsidRPr="001D6CE7">
        <w:rPr>
          <w:bCs w:val="0"/>
          <w:color w:val="000000"/>
          <w:kern w:val="0"/>
          <w:sz w:val="20"/>
          <w:szCs w:val="20"/>
        </w:rPr>
        <w:t xml:space="preserve"> Ibid, at para [148].</w:t>
      </w:r>
    </w:p>
  </w:footnote>
  <w:footnote w:id="84">
    <w:p w:rsidR="004C1235" w:rsidRPr="0067640D" w:rsidRDefault="004C1235" w:rsidP="0067640D">
      <w:pPr>
        <w:pStyle w:val="FootnoteText"/>
        <w:jc w:val="both"/>
      </w:pPr>
      <w:r w:rsidRPr="0067640D">
        <w:rPr>
          <w:rStyle w:val="FootnoteReference"/>
          <w:rFonts w:cs="Arial"/>
        </w:rPr>
        <w:footnoteRef/>
      </w:r>
      <w:r w:rsidRPr="0067640D">
        <w:rPr>
          <w:bCs w:val="0"/>
          <w:i/>
          <w:iCs/>
          <w:color w:val="000000"/>
          <w:kern w:val="0"/>
        </w:rPr>
        <w:t xml:space="preserve">Fedsure Life Assurance Ltd and Others v Greater Johannesburg Transitional Metropolitan Council and Others </w:t>
      </w:r>
      <w:r w:rsidRPr="0067640D">
        <w:rPr>
          <w:bCs w:val="0"/>
          <w:color w:val="000000"/>
          <w:kern w:val="0"/>
        </w:rPr>
        <w:t xml:space="preserve">1999 (1) SA 374 (CC) (1998 (12) BCLR 1458 (CC)) </w:t>
      </w:r>
      <w:r w:rsidRPr="0067640D">
        <w:t xml:space="preserve"> </w:t>
      </w:r>
    </w:p>
  </w:footnote>
  <w:footnote w:id="85">
    <w:p w:rsidR="004C1235" w:rsidRPr="0067640D" w:rsidRDefault="004C1235" w:rsidP="006764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640D">
        <w:rPr>
          <w:rStyle w:val="FootnoteReference"/>
          <w:sz w:val="20"/>
          <w:szCs w:val="20"/>
        </w:rPr>
        <w:footnoteRef/>
      </w:r>
      <w:r w:rsidRPr="0067640D">
        <w:rPr>
          <w:sz w:val="20"/>
          <w:szCs w:val="20"/>
        </w:rPr>
        <w:t xml:space="preserve"> </w:t>
      </w:r>
      <w:r w:rsidRPr="0067640D">
        <w:rPr>
          <w:bCs w:val="0"/>
          <w:color w:val="000000"/>
          <w:kern w:val="0"/>
          <w:sz w:val="20"/>
          <w:szCs w:val="20"/>
        </w:rPr>
        <w:t>Section 1(c) of the 1996 Constitution.</w:t>
      </w:r>
    </w:p>
  </w:footnote>
  <w:footnote w:id="86">
    <w:p w:rsidR="004C1235" w:rsidRPr="0067640D" w:rsidRDefault="004C1235" w:rsidP="006764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640D">
        <w:rPr>
          <w:rStyle w:val="FootnoteReference"/>
          <w:sz w:val="20"/>
          <w:szCs w:val="20"/>
        </w:rPr>
        <w:footnoteRef/>
      </w:r>
      <w:r w:rsidRPr="0067640D">
        <w:rPr>
          <w:sz w:val="20"/>
          <w:szCs w:val="20"/>
        </w:rPr>
        <w:t xml:space="preserve"> </w:t>
      </w:r>
      <w:r w:rsidRPr="0067640D">
        <w:rPr>
          <w:bCs w:val="0"/>
          <w:color w:val="000000"/>
          <w:kern w:val="0"/>
          <w:sz w:val="20"/>
          <w:szCs w:val="20"/>
        </w:rPr>
        <w:t xml:space="preserve"> Affordable Medicines Trusts v Minister of Health (CCT 24/04) [2005] ZACC 247, at para 74-79;See also </w:t>
      </w:r>
      <w:r w:rsidRPr="0067640D">
        <w:rPr>
          <w:bCs w:val="0"/>
          <w:i/>
          <w:iCs/>
          <w:color w:val="000000"/>
          <w:kern w:val="0"/>
          <w:sz w:val="20"/>
          <w:szCs w:val="20"/>
        </w:rPr>
        <w:t xml:space="preserve">S v Makwanyane and Another </w:t>
      </w:r>
      <w:r w:rsidRPr="0067640D">
        <w:rPr>
          <w:bCs w:val="0"/>
          <w:color w:val="000000"/>
          <w:kern w:val="0"/>
          <w:sz w:val="20"/>
          <w:szCs w:val="20"/>
        </w:rPr>
        <w:t xml:space="preserve">1995 (3) SA 391 (CC) (1995 (2) BCLR 489) at para [19]; </w:t>
      </w:r>
      <w:r w:rsidRPr="0067640D">
        <w:rPr>
          <w:bCs w:val="0"/>
          <w:i/>
          <w:iCs/>
          <w:color w:val="000000"/>
          <w:kern w:val="0"/>
          <w:sz w:val="20"/>
          <w:szCs w:val="20"/>
        </w:rPr>
        <w:t xml:space="preserve">Prinsloo v Van Der Linde and Another </w:t>
      </w:r>
      <w:r w:rsidRPr="0067640D">
        <w:rPr>
          <w:bCs w:val="0"/>
          <w:color w:val="000000"/>
          <w:kern w:val="0"/>
          <w:sz w:val="20"/>
          <w:szCs w:val="20"/>
        </w:rPr>
        <w:t>1997 (3) SA 1012 (CC) (1997 (6) BCLR 759) at para [25].</w:t>
      </w:r>
    </w:p>
  </w:footnote>
  <w:footnote w:id="87">
    <w:p w:rsidR="004C1235" w:rsidRPr="0067640D" w:rsidRDefault="004C1235" w:rsidP="006764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640D">
        <w:rPr>
          <w:rStyle w:val="FootnoteReference"/>
          <w:sz w:val="20"/>
          <w:szCs w:val="20"/>
        </w:rPr>
        <w:footnoteRef/>
      </w:r>
      <w:r w:rsidRPr="0067640D">
        <w:rPr>
          <w:sz w:val="20"/>
          <w:szCs w:val="20"/>
        </w:rPr>
        <w:t xml:space="preserve"> </w:t>
      </w:r>
      <w:r w:rsidRPr="0067640D">
        <w:rPr>
          <w:bCs w:val="0"/>
          <w:color w:val="000000"/>
          <w:kern w:val="0"/>
          <w:sz w:val="20"/>
          <w:szCs w:val="20"/>
        </w:rPr>
        <w:t xml:space="preserve"> See </w:t>
      </w:r>
      <w:r w:rsidRPr="0067640D">
        <w:rPr>
          <w:bCs w:val="0"/>
          <w:i/>
          <w:iCs/>
          <w:color w:val="000000"/>
          <w:kern w:val="0"/>
          <w:sz w:val="20"/>
          <w:szCs w:val="20"/>
        </w:rPr>
        <w:t xml:space="preserve">Pharmaceutical Manufacturers Association: in Re Ex Parte President of the Republic of South Africa </w:t>
      </w:r>
      <w:r w:rsidRPr="0067640D">
        <w:rPr>
          <w:bCs w:val="0"/>
          <w:color w:val="000000"/>
          <w:kern w:val="0"/>
          <w:sz w:val="20"/>
          <w:szCs w:val="20"/>
        </w:rPr>
        <w:t>2000 (2) SA 674 (CC) at para [85].</w:t>
      </w:r>
    </w:p>
  </w:footnote>
  <w:footnote w:id="88">
    <w:p w:rsidR="004C1235" w:rsidRPr="00AA2CF2" w:rsidRDefault="004C1235" w:rsidP="00AA2C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2CF2">
        <w:rPr>
          <w:rStyle w:val="FootnoteReference"/>
          <w:sz w:val="20"/>
          <w:szCs w:val="20"/>
        </w:rPr>
        <w:footnoteRef/>
      </w:r>
      <w:r w:rsidRPr="00AA2CF2">
        <w:rPr>
          <w:sz w:val="20"/>
          <w:szCs w:val="20"/>
        </w:rPr>
        <w:t xml:space="preserve"> </w:t>
      </w:r>
      <w:r w:rsidRPr="00AA2CF2">
        <w:rPr>
          <w:bCs w:val="0"/>
          <w:color w:val="000000"/>
          <w:kern w:val="0"/>
          <w:sz w:val="20"/>
          <w:szCs w:val="20"/>
        </w:rPr>
        <w:t xml:space="preserve"> Affordable Medicines, </w:t>
      </w:r>
      <w:r w:rsidRPr="00AA2CF2">
        <w:rPr>
          <w:bCs w:val="0"/>
          <w:i/>
          <w:iCs/>
          <w:color w:val="000000"/>
          <w:kern w:val="0"/>
          <w:sz w:val="20"/>
          <w:szCs w:val="20"/>
        </w:rPr>
        <w:t>supra</w:t>
      </w:r>
      <w:r w:rsidRPr="00AA2CF2">
        <w:rPr>
          <w:bCs w:val="0"/>
          <w:color w:val="000000"/>
          <w:kern w:val="0"/>
          <w:sz w:val="20"/>
          <w:szCs w:val="20"/>
        </w:rPr>
        <w:t xml:space="preserve">, at paras [48] </w:t>
      </w:r>
      <w:r w:rsidRPr="00AA2CF2">
        <w:rPr>
          <w:rFonts w:ascii="ArialMT" w:hAnsi="ArialMT" w:cs="ArialMT"/>
          <w:bCs w:val="0"/>
          <w:color w:val="000000"/>
          <w:kern w:val="0"/>
          <w:sz w:val="20"/>
          <w:szCs w:val="20"/>
        </w:rPr>
        <w:t xml:space="preserve">– </w:t>
      </w:r>
      <w:r w:rsidRPr="00AA2CF2">
        <w:rPr>
          <w:bCs w:val="0"/>
          <w:color w:val="000000"/>
          <w:kern w:val="0"/>
          <w:sz w:val="20"/>
          <w:szCs w:val="20"/>
        </w:rPr>
        <w:t>[49].</w:t>
      </w:r>
    </w:p>
  </w:footnote>
  <w:footnote w:id="89">
    <w:p w:rsidR="004C1235" w:rsidRPr="00AA2CF2" w:rsidRDefault="004C1235" w:rsidP="00AA2C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2CF2">
        <w:rPr>
          <w:rStyle w:val="FootnoteReference"/>
          <w:sz w:val="20"/>
          <w:szCs w:val="20"/>
        </w:rPr>
        <w:footnoteRef/>
      </w:r>
      <w:r w:rsidRPr="00AA2CF2">
        <w:rPr>
          <w:sz w:val="20"/>
          <w:szCs w:val="20"/>
        </w:rPr>
        <w:t xml:space="preserve"> </w:t>
      </w:r>
      <w:r w:rsidRPr="00AA2CF2">
        <w:rPr>
          <w:bCs w:val="0"/>
          <w:color w:val="000000"/>
          <w:kern w:val="0"/>
          <w:sz w:val="20"/>
          <w:szCs w:val="20"/>
        </w:rPr>
        <w:t xml:space="preserve"> [2010] ZASCA 75 (SCA); 2010 (4) SA 468 (SCA).</w:t>
      </w:r>
    </w:p>
  </w:footnote>
  <w:footnote w:id="90">
    <w:p w:rsidR="004C1235" w:rsidRPr="00AA2CF2" w:rsidRDefault="004C1235" w:rsidP="00AA2C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2CF2">
        <w:rPr>
          <w:rStyle w:val="FootnoteReference"/>
          <w:sz w:val="20"/>
          <w:szCs w:val="20"/>
        </w:rPr>
        <w:footnoteRef/>
      </w:r>
      <w:r w:rsidRPr="00AA2CF2">
        <w:rPr>
          <w:sz w:val="20"/>
          <w:szCs w:val="20"/>
        </w:rPr>
        <w:t xml:space="preserve"> </w:t>
      </w:r>
      <w:r w:rsidRPr="00AA2CF2">
        <w:rPr>
          <w:bCs w:val="0"/>
          <w:color w:val="000000"/>
          <w:kern w:val="0"/>
          <w:sz w:val="20"/>
          <w:szCs w:val="20"/>
        </w:rPr>
        <w:t>2007 (5) SA 323 (CC).</w:t>
      </w:r>
    </w:p>
  </w:footnote>
  <w:footnote w:id="91">
    <w:p w:rsidR="004C1235" w:rsidRPr="00AA2CF2" w:rsidRDefault="004C1235" w:rsidP="00AA2CF2">
      <w:pPr>
        <w:autoSpaceDE w:val="0"/>
        <w:autoSpaceDN w:val="0"/>
        <w:adjustRightInd w:val="0"/>
        <w:jc w:val="both"/>
        <w:rPr>
          <w:bCs w:val="0"/>
          <w:color w:val="000000"/>
          <w:kern w:val="0"/>
          <w:sz w:val="20"/>
          <w:szCs w:val="20"/>
        </w:rPr>
      </w:pPr>
      <w:r w:rsidRPr="00AA2CF2">
        <w:rPr>
          <w:rStyle w:val="FootnoteReference"/>
          <w:sz w:val="20"/>
          <w:szCs w:val="20"/>
        </w:rPr>
        <w:footnoteRef/>
      </w:r>
      <w:r w:rsidRPr="00AA2CF2">
        <w:rPr>
          <w:sz w:val="20"/>
          <w:szCs w:val="20"/>
        </w:rPr>
        <w:t xml:space="preserve"> </w:t>
      </w:r>
      <w:r w:rsidRPr="00AA2CF2">
        <w:rPr>
          <w:bCs w:val="0"/>
          <w:color w:val="000000"/>
          <w:kern w:val="0"/>
          <w:sz w:val="20"/>
          <w:szCs w:val="20"/>
        </w:rPr>
        <w:t>[2011] ZASCA 181; 2012 (1) SA 637 (SCA).</w:t>
      </w:r>
    </w:p>
    <w:p w:rsidR="004C1235" w:rsidRDefault="004C1235" w:rsidP="007B11C3">
      <w:pPr>
        <w:autoSpaceDE w:val="0"/>
        <w:autoSpaceDN w:val="0"/>
        <w:adjustRightInd w:val="0"/>
      </w:pPr>
    </w:p>
  </w:footnote>
  <w:footnote w:id="92">
    <w:p w:rsidR="004C1235" w:rsidRPr="00613FFE" w:rsidRDefault="004C1235" w:rsidP="00613FFE">
      <w:pPr>
        <w:autoSpaceDE w:val="0"/>
        <w:autoSpaceDN w:val="0"/>
        <w:adjustRightInd w:val="0"/>
        <w:jc w:val="both"/>
        <w:rPr>
          <w:bCs w:val="0"/>
          <w:color w:val="000000"/>
          <w:kern w:val="0"/>
          <w:sz w:val="20"/>
          <w:szCs w:val="20"/>
        </w:rPr>
      </w:pPr>
      <w:r w:rsidRPr="00613FFE">
        <w:rPr>
          <w:rStyle w:val="FootnoteReference"/>
          <w:sz w:val="20"/>
          <w:szCs w:val="20"/>
        </w:rPr>
        <w:footnoteRef/>
      </w:r>
      <w:r w:rsidRPr="00613FFE">
        <w:rPr>
          <w:bCs w:val="0"/>
          <w:color w:val="000000"/>
          <w:kern w:val="0"/>
          <w:sz w:val="20"/>
          <w:szCs w:val="20"/>
        </w:rPr>
        <w:t xml:space="preserve"> Tasima, para [200].</w:t>
      </w:r>
    </w:p>
    <w:p w:rsidR="004C1235" w:rsidRPr="00613FFE" w:rsidRDefault="004C1235" w:rsidP="00613FFE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35" w:rsidRDefault="004C123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5FFC">
      <w:rPr>
        <w:noProof/>
      </w:rPr>
      <w:t>21</w:t>
    </w:r>
    <w:r>
      <w:fldChar w:fldCharType="end"/>
    </w:r>
  </w:p>
  <w:p w:rsidR="004C1235" w:rsidRDefault="004C1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8F49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E24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782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D88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A06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24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C3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02A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EDE1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6"/>
    <w:rsid w:val="00002E3E"/>
    <w:rsid w:val="00004713"/>
    <w:rsid w:val="000067B0"/>
    <w:rsid w:val="00013FC1"/>
    <w:rsid w:val="0002563D"/>
    <w:rsid w:val="00031172"/>
    <w:rsid w:val="0003366A"/>
    <w:rsid w:val="00034607"/>
    <w:rsid w:val="00035371"/>
    <w:rsid w:val="00040E9F"/>
    <w:rsid w:val="00041341"/>
    <w:rsid w:val="000474CF"/>
    <w:rsid w:val="00047C76"/>
    <w:rsid w:val="00070786"/>
    <w:rsid w:val="00070F26"/>
    <w:rsid w:val="0007471F"/>
    <w:rsid w:val="00081497"/>
    <w:rsid w:val="000821B1"/>
    <w:rsid w:val="0008479C"/>
    <w:rsid w:val="000A3553"/>
    <w:rsid w:val="000A4ABF"/>
    <w:rsid w:val="000A557B"/>
    <w:rsid w:val="000A6A6E"/>
    <w:rsid w:val="000B10E7"/>
    <w:rsid w:val="000B1466"/>
    <w:rsid w:val="000E1F0D"/>
    <w:rsid w:val="000E2CAF"/>
    <w:rsid w:val="000E3634"/>
    <w:rsid w:val="000F0B85"/>
    <w:rsid w:val="00102BFB"/>
    <w:rsid w:val="00110A17"/>
    <w:rsid w:val="00113199"/>
    <w:rsid w:val="00114512"/>
    <w:rsid w:val="00125589"/>
    <w:rsid w:val="00125C20"/>
    <w:rsid w:val="00136768"/>
    <w:rsid w:val="00137D2B"/>
    <w:rsid w:val="0014019B"/>
    <w:rsid w:val="001722FF"/>
    <w:rsid w:val="0017740D"/>
    <w:rsid w:val="00177E6D"/>
    <w:rsid w:val="001A63BF"/>
    <w:rsid w:val="001B1DD0"/>
    <w:rsid w:val="001B61F0"/>
    <w:rsid w:val="001D52B7"/>
    <w:rsid w:val="001D6CE7"/>
    <w:rsid w:val="001E3EFC"/>
    <w:rsid w:val="001E7854"/>
    <w:rsid w:val="0020353E"/>
    <w:rsid w:val="00204FA3"/>
    <w:rsid w:val="00207582"/>
    <w:rsid w:val="00234409"/>
    <w:rsid w:val="002429D7"/>
    <w:rsid w:val="002440B9"/>
    <w:rsid w:val="00251BCA"/>
    <w:rsid w:val="00255D9A"/>
    <w:rsid w:val="00272A71"/>
    <w:rsid w:val="00282F33"/>
    <w:rsid w:val="00295FC1"/>
    <w:rsid w:val="00296417"/>
    <w:rsid w:val="002D3105"/>
    <w:rsid w:val="002D7822"/>
    <w:rsid w:val="002E29E6"/>
    <w:rsid w:val="002E5D67"/>
    <w:rsid w:val="002F3D1D"/>
    <w:rsid w:val="002F3D8D"/>
    <w:rsid w:val="002F76E4"/>
    <w:rsid w:val="003037B0"/>
    <w:rsid w:val="0032750A"/>
    <w:rsid w:val="00342F83"/>
    <w:rsid w:val="00343756"/>
    <w:rsid w:val="00344DF8"/>
    <w:rsid w:val="003774DE"/>
    <w:rsid w:val="00390C93"/>
    <w:rsid w:val="0039198F"/>
    <w:rsid w:val="00393968"/>
    <w:rsid w:val="00395BFA"/>
    <w:rsid w:val="003B2C19"/>
    <w:rsid w:val="003C2344"/>
    <w:rsid w:val="003C4D65"/>
    <w:rsid w:val="003C552C"/>
    <w:rsid w:val="003C67F6"/>
    <w:rsid w:val="003D6784"/>
    <w:rsid w:val="003E2432"/>
    <w:rsid w:val="003F462C"/>
    <w:rsid w:val="0040146B"/>
    <w:rsid w:val="00405188"/>
    <w:rsid w:val="00405DBB"/>
    <w:rsid w:val="004158EA"/>
    <w:rsid w:val="00416BF3"/>
    <w:rsid w:val="00424603"/>
    <w:rsid w:val="00441513"/>
    <w:rsid w:val="00455416"/>
    <w:rsid w:val="0045575D"/>
    <w:rsid w:val="00462FD8"/>
    <w:rsid w:val="00467028"/>
    <w:rsid w:val="00471634"/>
    <w:rsid w:val="00476723"/>
    <w:rsid w:val="004816F9"/>
    <w:rsid w:val="0048215D"/>
    <w:rsid w:val="00487F9D"/>
    <w:rsid w:val="00490743"/>
    <w:rsid w:val="004A18ED"/>
    <w:rsid w:val="004B0480"/>
    <w:rsid w:val="004B1648"/>
    <w:rsid w:val="004B31D1"/>
    <w:rsid w:val="004C1235"/>
    <w:rsid w:val="004D4761"/>
    <w:rsid w:val="004D5BE8"/>
    <w:rsid w:val="004F3E88"/>
    <w:rsid w:val="004F46C4"/>
    <w:rsid w:val="004F5208"/>
    <w:rsid w:val="00513D00"/>
    <w:rsid w:val="005220DB"/>
    <w:rsid w:val="00522868"/>
    <w:rsid w:val="00522E04"/>
    <w:rsid w:val="00527EC7"/>
    <w:rsid w:val="00533CD0"/>
    <w:rsid w:val="00533D6E"/>
    <w:rsid w:val="00536A18"/>
    <w:rsid w:val="00541B9F"/>
    <w:rsid w:val="00542F70"/>
    <w:rsid w:val="00544BCC"/>
    <w:rsid w:val="00550BF4"/>
    <w:rsid w:val="00564617"/>
    <w:rsid w:val="00565C6A"/>
    <w:rsid w:val="00575EB3"/>
    <w:rsid w:val="005767CD"/>
    <w:rsid w:val="00583F48"/>
    <w:rsid w:val="00591242"/>
    <w:rsid w:val="005935A1"/>
    <w:rsid w:val="00593AC3"/>
    <w:rsid w:val="005A2F90"/>
    <w:rsid w:val="005A6FE1"/>
    <w:rsid w:val="005B02F5"/>
    <w:rsid w:val="005C0444"/>
    <w:rsid w:val="005C4546"/>
    <w:rsid w:val="005D01C6"/>
    <w:rsid w:val="005D0D44"/>
    <w:rsid w:val="005D2C3A"/>
    <w:rsid w:val="005E0513"/>
    <w:rsid w:val="00613FFE"/>
    <w:rsid w:val="006228F8"/>
    <w:rsid w:val="006250FD"/>
    <w:rsid w:val="0063075A"/>
    <w:rsid w:val="00636DCB"/>
    <w:rsid w:val="00653B7E"/>
    <w:rsid w:val="00671233"/>
    <w:rsid w:val="0067640D"/>
    <w:rsid w:val="0067713B"/>
    <w:rsid w:val="00677F4A"/>
    <w:rsid w:val="00680C50"/>
    <w:rsid w:val="00681A04"/>
    <w:rsid w:val="006943D3"/>
    <w:rsid w:val="006A07B4"/>
    <w:rsid w:val="006A38BB"/>
    <w:rsid w:val="006A6286"/>
    <w:rsid w:val="006B34B3"/>
    <w:rsid w:val="006F56A5"/>
    <w:rsid w:val="006F67DF"/>
    <w:rsid w:val="00700D6E"/>
    <w:rsid w:val="007036AD"/>
    <w:rsid w:val="00724BF3"/>
    <w:rsid w:val="00732618"/>
    <w:rsid w:val="0073292C"/>
    <w:rsid w:val="0073602D"/>
    <w:rsid w:val="007402B3"/>
    <w:rsid w:val="00742470"/>
    <w:rsid w:val="00743DD8"/>
    <w:rsid w:val="00746E01"/>
    <w:rsid w:val="00760D5E"/>
    <w:rsid w:val="00761AAB"/>
    <w:rsid w:val="00763DAE"/>
    <w:rsid w:val="00764CC5"/>
    <w:rsid w:val="0076549B"/>
    <w:rsid w:val="0079752C"/>
    <w:rsid w:val="007979E4"/>
    <w:rsid w:val="00797FD9"/>
    <w:rsid w:val="007B0F55"/>
    <w:rsid w:val="007B11C3"/>
    <w:rsid w:val="007B5FFC"/>
    <w:rsid w:val="007D18F6"/>
    <w:rsid w:val="007E0E21"/>
    <w:rsid w:val="0080258D"/>
    <w:rsid w:val="00804B7E"/>
    <w:rsid w:val="00807599"/>
    <w:rsid w:val="00810B93"/>
    <w:rsid w:val="0081636B"/>
    <w:rsid w:val="00821EA5"/>
    <w:rsid w:val="0082705A"/>
    <w:rsid w:val="00831089"/>
    <w:rsid w:val="00843E8D"/>
    <w:rsid w:val="00852BEF"/>
    <w:rsid w:val="00854C5D"/>
    <w:rsid w:val="008735F0"/>
    <w:rsid w:val="00875821"/>
    <w:rsid w:val="00881BE4"/>
    <w:rsid w:val="00884F04"/>
    <w:rsid w:val="00885DD6"/>
    <w:rsid w:val="00886A46"/>
    <w:rsid w:val="008958CA"/>
    <w:rsid w:val="008A2689"/>
    <w:rsid w:val="008A2EB1"/>
    <w:rsid w:val="008A59DC"/>
    <w:rsid w:val="008B0C8C"/>
    <w:rsid w:val="008C2C68"/>
    <w:rsid w:val="008C4BB3"/>
    <w:rsid w:val="008E594F"/>
    <w:rsid w:val="00913739"/>
    <w:rsid w:val="00914F3E"/>
    <w:rsid w:val="00920BF4"/>
    <w:rsid w:val="009421B4"/>
    <w:rsid w:val="009461E2"/>
    <w:rsid w:val="0096711A"/>
    <w:rsid w:val="00970637"/>
    <w:rsid w:val="009741B8"/>
    <w:rsid w:val="0098180C"/>
    <w:rsid w:val="00985B35"/>
    <w:rsid w:val="00986DBB"/>
    <w:rsid w:val="009A4E08"/>
    <w:rsid w:val="009B12ED"/>
    <w:rsid w:val="009C27B3"/>
    <w:rsid w:val="009D55F1"/>
    <w:rsid w:val="009E2939"/>
    <w:rsid w:val="009E7CCA"/>
    <w:rsid w:val="009F364D"/>
    <w:rsid w:val="009F5CA3"/>
    <w:rsid w:val="00A043C4"/>
    <w:rsid w:val="00A14F8A"/>
    <w:rsid w:val="00A165AD"/>
    <w:rsid w:val="00A25A00"/>
    <w:rsid w:val="00A30323"/>
    <w:rsid w:val="00A30855"/>
    <w:rsid w:val="00A31175"/>
    <w:rsid w:val="00A319EB"/>
    <w:rsid w:val="00A416EE"/>
    <w:rsid w:val="00A55ECF"/>
    <w:rsid w:val="00A73196"/>
    <w:rsid w:val="00A86020"/>
    <w:rsid w:val="00A93A4E"/>
    <w:rsid w:val="00AA2CF2"/>
    <w:rsid w:val="00AA651A"/>
    <w:rsid w:val="00AA774D"/>
    <w:rsid w:val="00AB3369"/>
    <w:rsid w:val="00AB59B5"/>
    <w:rsid w:val="00AC0351"/>
    <w:rsid w:val="00AC4AEE"/>
    <w:rsid w:val="00AD6F25"/>
    <w:rsid w:val="00AE4F5F"/>
    <w:rsid w:val="00AE7E92"/>
    <w:rsid w:val="00B04F87"/>
    <w:rsid w:val="00B1481A"/>
    <w:rsid w:val="00B2067B"/>
    <w:rsid w:val="00B21A05"/>
    <w:rsid w:val="00B26244"/>
    <w:rsid w:val="00B3092C"/>
    <w:rsid w:val="00B32EC5"/>
    <w:rsid w:val="00B3441E"/>
    <w:rsid w:val="00B40B60"/>
    <w:rsid w:val="00B40C08"/>
    <w:rsid w:val="00B65035"/>
    <w:rsid w:val="00B71A92"/>
    <w:rsid w:val="00B7348F"/>
    <w:rsid w:val="00B750FC"/>
    <w:rsid w:val="00B7630C"/>
    <w:rsid w:val="00B93622"/>
    <w:rsid w:val="00B94520"/>
    <w:rsid w:val="00BA14D3"/>
    <w:rsid w:val="00BA29D2"/>
    <w:rsid w:val="00BA31CC"/>
    <w:rsid w:val="00BA39A3"/>
    <w:rsid w:val="00BA4DCE"/>
    <w:rsid w:val="00BB2153"/>
    <w:rsid w:val="00BD43E5"/>
    <w:rsid w:val="00BD4657"/>
    <w:rsid w:val="00BD5E04"/>
    <w:rsid w:val="00BF54FE"/>
    <w:rsid w:val="00BF5E04"/>
    <w:rsid w:val="00BF62AD"/>
    <w:rsid w:val="00C024BA"/>
    <w:rsid w:val="00C10845"/>
    <w:rsid w:val="00C1297F"/>
    <w:rsid w:val="00C22930"/>
    <w:rsid w:val="00C2352D"/>
    <w:rsid w:val="00C24B66"/>
    <w:rsid w:val="00C539D6"/>
    <w:rsid w:val="00C878A1"/>
    <w:rsid w:val="00CC372E"/>
    <w:rsid w:val="00CC4984"/>
    <w:rsid w:val="00CE0D1C"/>
    <w:rsid w:val="00CE2E48"/>
    <w:rsid w:val="00D036E8"/>
    <w:rsid w:val="00D04CE8"/>
    <w:rsid w:val="00D0777D"/>
    <w:rsid w:val="00D3647C"/>
    <w:rsid w:val="00D419B5"/>
    <w:rsid w:val="00D44180"/>
    <w:rsid w:val="00D457F4"/>
    <w:rsid w:val="00D50FD2"/>
    <w:rsid w:val="00D62BCD"/>
    <w:rsid w:val="00D64BDA"/>
    <w:rsid w:val="00D74E22"/>
    <w:rsid w:val="00D774D6"/>
    <w:rsid w:val="00D808AE"/>
    <w:rsid w:val="00D810D9"/>
    <w:rsid w:val="00D94E54"/>
    <w:rsid w:val="00D95E1B"/>
    <w:rsid w:val="00DA27A5"/>
    <w:rsid w:val="00DA415B"/>
    <w:rsid w:val="00DB1929"/>
    <w:rsid w:val="00DB371E"/>
    <w:rsid w:val="00DB74F8"/>
    <w:rsid w:val="00DC31E3"/>
    <w:rsid w:val="00DC486E"/>
    <w:rsid w:val="00DE2785"/>
    <w:rsid w:val="00E0356E"/>
    <w:rsid w:val="00E11E96"/>
    <w:rsid w:val="00E1326A"/>
    <w:rsid w:val="00E2471F"/>
    <w:rsid w:val="00E2684E"/>
    <w:rsid w:val="00E35B49"/>
    <w:rsid w:val="00E54A94"/>
    <w:rsid w:val="00E66A72"/>
    <w:rsid w:val="00E81DA5"/>
    <w:rsid w:val="00E91969"/>
    <w:rsid w:val="00EB0875"/>
    <w:rsid w:val="00EB3DE0"/>
    <w:rsid w:val="00EC2266"/>
    <w:rsid w:val="00ED636F"/>
    <w:rsid w:val="00ED7EC4"/>
    <w:rsid w:val="00EE490B"/>
    <w:rsid w:val="00EE7DD4"/>
    <w:rsid w:val="00EF4BC9"/>
    <w:rsid w:val="00EF745B"/>
    <w:rsid w:val="00F01134"/>
    <w:rsid w:val="00F0137F"/>
    <w:rsid w:val="00F15C21"/>
    <w:rsid w:val="00F33BA8"/>
    <w:rsid w:val="00F45FCE"/>
    <w:rsid w:val="00F46557"/>
    <w:rsid w:val="00F61818"/>
    <w:rsid w:val="00F61A36"/>
    <w:rsid w:val="00F86459"/>
    <w:rsid w:val="00F9302F"/>
    <w:rsid w:val="00F95204"/>
    <w:rsid w:val="00FA04E7"/>
    <w:rsid w:val="00FB2FDE"/>
    <w:rsid w:val="00FB3D23"/>
    <w:rsid w:val="00FD4C31"/>
    <w:rsid w:val="00FD5A22"/>
    <w:rsid w:val="00FD7CF9"/>
    <w:rsid w:val="00FE6D7E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00C39C-FEDF-4CF6-BF7D-DB4F8C1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E6"/>
    <w:pPr>
      <w:spacing w:after="0" w:line="240" w:lineRule="auto"/>
    </w:pPr>
    <w:rPr>
      <w:rFonts w:ascii="Arial" w:hAnsi="Arial" w:cs="Arial"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9E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CE8"/>
    <w:rPr>
      <w:rFonts w:ascii="Arial" w:hAnsi="Arial" w:cs="Arial"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CE8"/>
    <w:rPr>
      <w:rFonts w:ascii="Arial" w:hAnsi="Arial" w:cs="Arial"/>
      <w:bCs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821"/>
    <w:rPr>
      <w:rFonts w:ascii="Tahoma" w:hAnsi="Tahoma" w:cs="Tahoma"/>
      <w:bCs/>
      <w:kern w:val="2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B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1BE4"/>
    <w:rPr>
      <w:rFonts w:ascii="Arial" w:hAnsi="Arial" w:cs="Arial"/>
      <w:bCs/>
      <w:kern w:val="2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BE4"/>
    <w:rPr>
      <w:rFonts w:cs="Times New Roman"/>
      <w:vertAlign w:val="superscript"/>
    </w:rPr>
  </w:style>
  <w:style w:type="paragraph" w:styleId="NoSpacing">
    <w:name w:val="No Spacing"/>
    <w:uiPriority w:val="1"/>
    <w:qFormat/>
    <w:rsid w:val="00533D6E"/>
    <w:pPr>
      <w:spacing w:after="0" w:line="240" w:lineRule="auto"/>
    </w:pPr>
    <w:rPr>
      <w:rFonts w:ascii="Arial" w:hAnsi="Arial" w:cs="Arial"/>
      <w:bC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70B5-589B-4F90-8215-2DB0735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9522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Mokone</cp:lastModifiedBy>
  <cp:revision>2</cp:revision>
  <cp:lastPrinted>2022-07-06T11:31:00Z</cp:lastPrinted>
  <dcterms:created xsi:type="dcterms:W3CDTF">2022-07-11T12:36:00Z</dcterms:created>
  <dcterms:modified xsi:type="dcterms:W3CDTF">2022-07-11T12:36:00Z</dcterms:modified>
</cp:coreProperties>
</file>