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73779" w14:textId="77777777" w:rsidR="00A304E5" w:rsidRPr="00747DE6" w:rsidRDefault="00A304E5" w:rsidP="00A304E5">
      <w:pPr>
        <w:spacing w:after="240"/>
        <w:ind w:left="569" w:hangingChars="236" w:hanging="569"/>
        <w:jc w:val="center"/>
        <w:rPr>
          <w:b/>
          <w:sz w:val="24"/>
          <w:szCs w:val="24"/>
          <w:lang w:eastAsia="en-GB"/>
        </w:rPr>
      </w:pPr>
      <w:bookmarkStart w:id="0" w:name="_GoBack"/>
      <w:bookmarkEnd w:id="0"/>
      <w:r w:rsidRPr="00747DE6">
        <w:rPr>
          <w:b/>
          <w:sz w:val="24"/>
          <w:szCs w:val="24"/>
          <w:lang w:eastAsia="en-GB"/>
        </w:rPr>
        <w:t>REPUBLIC OF SOUTH AFRICA</w:t>
      </w:r>
    </w:p>
    <w:p w14:paraId="59A7E064" w14:textId="77777777" w:rsidR="00A304E5" w:rsidRPr="00D90525" w:rsidRDefault="00A304E5" w:rsidP="00A304E5">
      <w:pPr>
        <w:spacing w:after="240"/>
        <w:ind w:left="566" w:hangingChars="236" w:hanging="566"/>
        <w:jc w:val="center"/>
        <w:rPr>
          <w:sz w:val="24"/>
          <w:szCs w:val="24"/>
          <w:lang w:eastAsia="en-GB"/>
        </w:rPr>
      </w:pPr>
      <w:r w:rsidRPr="00D90525">
        <w:rPr>
          <w:rFonts w:cs="Helvetica"/>
          <w:noProof/>
          <w:sz w:val="24"/>
          <w:szCs w:val="24"/>
        </w:rPr>
        <w:drawing>
          <wp:inline distT="0" distB="0" distL="0" distR="0" wp14:anchorId="56A11C89" wp14:editId="7DD0AA3A">
            <wp:extent cx="1150993" cy="1087120"/>
            <wp:effectExtent l="0" t="0" r="0" b="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792" cy="1094486"/>
                    </a:xfrm>
                    <a:prstGeom prst="rect">
                      <a:avLst/>
                    </a:prstGeom>
                    <a:noFill/>
                    <a:ln>
                      <a:noFill/>
                    </a:ln>
                  </pic:spPr>
                </pic:pic>
              </a:graphicData>
            </a:graphic>
          </wp:inline>
        </w:drawing>
      </w:r>
    </w:p>
    <w:p w14:paraId="18584874" w14:textId="77777777" w:rsidR="00A304E5" w:rsidRPr="00747DE6" w:rsidRDefault="00A304E5" w:rsidP="00A304E5">
      <w:pPr>
        <w:spacing w:after="120"/>
        <w:ind w:left="569" w:hangingChars="236" w:hanging="569"/>
        <w:jc w:val="center"/>
        <w:rPr>
          <w:b/>
          <w:sz w:val="24"/>
          <w:szCs w:val="24"/>
          <w:lang w:eastAsia="en-GB"/>
        </w:rPr>
      </w:pPr>
      <w:r w:rsidRPr="00747DE6">
        <w:rPr>
          <w:b/>
          <w:sz w:val="24"/>
          <w:szCs w:val="24"/>
          <w:lang w:eastAsia="en-GB"/>
        </w:rPr>
        <w:t>IN THE HIGH COURT OF SOUTH AFRICA</w:t>
      </w:r>
    </w:p>
    <w:p w14:paraId="0DE041BE" w14:textId="77777777" w:rsidR="00A304E5" w:rsidRPr="00747DE6" w:rsidRDefault="00A304E5" w:rsidP="00A304E5">
      <w:pPr>
        <w:spacing w:after="120"/>
        <w:ind w:left="569" w:hangingChars="236" w:hanging="569"/>
        <w:jc w:val="center"/>
        <w:rPr>
          <w:b/>
          <w:sz w:val="28"/>
          <w:szCs w:val="28"/>
          <w:lang w:eastAsia="en-GB"/>
        </w:rPr>
      </w:pPr>
      <w:r w:rsidRPr="00747DE6">
        <w:rPr>
          <w:b/>
          <w:sz w:val="24"/>
          <w:szCs w:val="24"/>
          <w:lang w:eastAsia="en-GB"/>
        </w:rPr>
        <w:t>GAUTENG LOCAL DIVISION, JOHANNESBURG</w:t>
      </w:r>
    </w:p>
    <w:p w14:paraId="6F46C0F4" w14:textId="1E258091" w:rsidR="00A304E5" w:rsidRPr="00813029" w:rsidRDefault="00A304E5" w:rsidP="00A304E5">
      <w:pPr>
        <w:spacing w:before="120" w:after="120" w:line="240" w:lineRule="auto"/>
        <w:ind w:right="364"/>
        <w:jc w:val="right"/>
        <w:rPr>
          <w:b/>
          <w:sz w:val="24"/>
          <w:szCs w:val="24"/>
          <w:lang w:val="en-GB" w:eastAsia="en-GB"/>
        </w:rPr>
      </w:pPr>
      <w:r w:rsidRPr="00813029">
        <w:rPr>
          <w:b/>
          <w:noProof/>
          <w:szCs w:val="24"/>
        </w:rPr>
        <mc:AlternateContent>
          <mc:Choice Requires="wps">
            <w:drawing>
              <wp:anchor distT="0" distB="0" distL="114300" distR="114300" simplePos="0" relativeHeight="251658752" behindDoc="0" locked="0" layoutInCell="1" allowOverlap="1" wp14:anchorId="491F79F1" wp14:editId="5795EA97">
                <wp:simplePos x="0" y="0"/>
                <wp:positionH relativeFrom="margin">
                  <wp:posOffset>-34290</wp:posOffset>
                </wp:positionH>
                <wp:positionV relativeFrom="paragraph">
                  <wp:posOffset>283210</wp:posOffset>
                </wp:positionV>
                <wp:extent cx="2520950" cy="1441450"/>
                <wp:effectExtent l="0" t="0" r="1270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441450"/>
                        </a:xfrm>
                        <a:prstGeom prst="rect">
                          <a:avLst/>
                        </a:prstGeom>
                        <a:solidFill>
                          <a:srgbClr val="FFFFFF"/>
                        </a:solidFill>
                        <a:ln w="9525">
                          <a:solidFill>
                            <a:srgbClr val="000000"/>
                          </a:solidFill>
                          <a:miter lim="800000"/>
                          <a:headEnd/>
                          <a:tailEnd/>
                        </a:ln>
                      </wps:spPr>
                      <wps:txbx>
                        <w:txbxContent>
                          <w:p w14:paraId="6916D7C3" w14:textId="77777777" w:rsidR="00A304E5" w:rsidRPr="00781B6A" w:rsidRDefault="00A304E5" w:rsidP="00A304E5">
                            <w:pPr>
                              <w:numPr>
                                <w:ilvl w:val="0"/>
                                <w:numId w:val="50"/>
                              </w:numPr>
                              <w:spacing w:after="0" w:line="240" w:lineRule="auto"/>
                              <w:jc w:val="left"/>
                              <w:rPr>
                                <w:b/>
                                <w:bCs/>
                              </w:rPr>
                            </w:pPr>
                            <w:r w:rsidRPr="00781B6A">
                              <w:rPr>
                                <w:b/>
                                <w:bCs/>
                              </w:rPr>
                              <w:t>REPORTABLE: NO</w:t>
                            </w:r>
                          </w:p>
                          <w:p w14:paraId="2C604702" w14:textId="77777777" w:rsidR="00A304E5" w:rsidRDefault="00A304E5" w:rsidP="00A304E5">
                            <w:pPr>
                              <w:numPr>
                                <w:ilvl w:val="0"/>
                                <w:numId w:val="50"/>
                              </w:numPr>
                              <w:spacing w:after="0" w:line="240" w:lineRule="auto"/>
                              <w:jc w:val="left"/>
                              <w:rPr>
                                <w:b/>
                                <w:bCs/>
                              </w:rPr>
                            </w:pPr>
                            <w:r w:rsidRPr="00781B6A">
                              <w:rPr>
                                <w:b/>
                                <w:bCs/>
                              </w:rPr>
                              <w:t xml:space="preserve">OF INTEREST TO OTHER </w:t>
                            </w:r>
                          </w:p>
                          <w:p w14:paraId="0490D22D" w14:textId="77777777" w:rsidR="00A304E5" w:rsidRPr="00781B6A" w:rsidRDefault="00A304E5" w:rsidP="00A304E5">
                            <w:pPr>
                              <w:spacing w:after="0" w:line="240" w:lineRule="auto"/>
                              <w:ind w:left="900"/>
                              <w:jc w:val="left"/>
                              <w:rPr>
                                <w:b/>
                                <w:bCs/>
                              </w:rPr>
                            </w:pPr>
                            <w:r>
                              <w:rPr>
                                <w:b/>
                                <w:bCs/>
                              </w:rPr>
                              <w:t>JUDGES:</w:t>
                            </w:r>
                            <w:r w:rsidRPr="00781B6A">
                              <w:rPr>
                                <w:b/>
                                <w:bCs/>
                              </w:rPr>
                              <w:t xml:space="preserve"> </w:t>
                            </w:r>
                            <w:r>
                              <w:rPr>
                                <w:b/>
                                <w:bCs/>
                              </w:rPr>
                              <w:t>NO</w:t>
                            </w:r>
                          </w:p>
                          <w:p w14:paraId="42DBAF89" w14:textId="77777777" w:rsidR="00A304E5" w:rsidRPr="00781B6A" w:rsidRDefault="00A304E5" w:rsidP="00A304E5">
                            <w:pPr>
                              <w:numPr>
                                <w:ilvl w:val="0"/>
                                <w:numId w:val="50"/>
                              </w:numPr>
                              <w:spacing w:after="0" w:line="240" w:lineRule="auto"/>
                              <w:jc w:val="left"/>
                              <w:rPr>
                                <w:b/>
                                <w:bCs/>
                              </w:rPr>
                            </w:pPr>
                            <w:r w:rsidRPr="00781B6A">
                              <w:rPr>
                                <w:b/>
                                <w:bCs/>
                              </w:rPr>
                              <w:t>REVISED. NO</w:t>
                            </w:r>
                          </w:p>
                          <w:p w14:paraId="00E9F48A" w14:textId="747454A6" w:rsidR="00A304E5" w:rsidRPr="00781B6A" w:rsidRDefault="00A304E5" w:rsidP="00A304E5">
                            <w:pPr>
                              <w:spacing w:after="0"/>
                              <w:ind w:right="28"/>
                              <w:rPr>
                                <w:b/>
                                <w:bCs/>
                              </w:rPr>
                            </w:pPr>
                          </w:p>
                          <w:p w14:paraId="2A56F67A" w14:textId="2BB7C0F7" w:rsidR="00A304E5" w:rsidRPr="00781B6A" w:rsidRDefault="00A304E5" w:rsidP="00A304E5">
                            <w:pPr>
                              <w:ind w:right="28"/>
                              <w:rPr>
                                <w:b/>
                                <w:bCs/>
                              </w:rPr>
                            </w:pPr>
                            <w:r w:rsidRPr="00781B6A">
                              <w:rPr>
                                <w:b/>
                                <w:bCs/>
                              </w:rPr>
                              <w:t xml:space="preserve"> SIGNATURE          DATE:  </w:t>
                            </w:r>
                            <w:r>
                              <w:rPr>
                                <w:b/>
                                <w:bCs/>
                              </w:rPr>
                              <w:t>11 July</w:t>
                            </w:r>
                            <w:r w:rsidRPr="00781B6A">
                              <w:rPr>
                                <w:b/>
                                <w:bCs/>
                              </w:rPr>
                              <w:t xml:space="preserve"> 202</w:t>
                            </w:r>
                            <w:r>
                              <w:rPr>
                                <w:b/>
                                <w:bCs/>
                              </w:rPr>
                              <w:t>2</w:t>
                            </w:r>
                            <w:r w:rsidRPr="00781B6A">
                              <w:rPr>
                                <w:b/>
                                <w:bCs/>
                              </w:rPr>
                              <w:t xml:space="preserve"> </w:t>
                            </w:r>
                          </w:p>
                          <w:p w14:paraId="653A5D77" w14:textId="77777777" w:rsidR="00A304E5" w:rsidRPr="004120A8" w:rsidRDefault="00A304E5" w:rsidP="00A304E5">
                            <w:pPr>
                              <w:rPr>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1F79F1" id="_x0000_t202" coordsize="21600,21600" o:spt="202" path="m,l,21600r21600,l21600,xe">
                <v:stroke joinstyle="miter"/>
                <v:path gradientshapeok="t" o:connecttype="rect"/>
              </v:shapetype>
              <v:shape id="Text Box 2" o:spid="_x0000_s1026" type="#_x0000_t202" style="position:absolute;left:0;text-align:left;margin-left:-2.7pt;margin-top:22.3pt;width:198.5pt;height:1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">
                <v:textbox>
                  <w:txbxContent>
                    <w:p w14:paraId="6916D7C3" w14:textId="77777777" w:rsidR="00A304E5" w:rsidRPr="00781B6A" w:rsidRDefault="00A304E5" w:rsidP="00A304E5">
                      <w:pPr>
                        <w:numPr>
                          <w:ilvl w:val="0"/>
                          <w:numId w:val="50"/>
                        </w:numPr>
                        <w:spacing w:after="0" w:line="240" w:lineRule="auto"/>
                        <w:jc w:val="left"/>
                        <w:rPr>
                          <w:b/>
                          <w:bCs/>
                        </w:rPr>
                      </w:pPr>
                      <w:r w:rsidRPr="00781B6A">
                        <w:rPr>
                          <w:b/>
                          <w:bCs/>
                        </w:rPr>
                        <w:t>REPORTABLE: NO</w:t>
                      </w:r>
                    </w:p>
                    <w:p w14:paraId="2C604702" w14:textId="77777777" w:rsidR="00A304E5" w:rsidRDefault="00A304E5" w:rsidP="00A304E5">
                      <w:pPr>
                        <w:numPr>
                          <w:ilvl w:val="0"/>
                          <w:numId w:val="50"/>
                        </w:numPr>
                        <w:spacing w:after="0" w:line="240" w:lineRule="auto"/>
                        <w:jc w:val="left"/>
                        <w:rPr>
                          <w:b/>
                          <w:bCs/>
                        </w:rPr>
                      </w:pPr>
                      <w:r w:rsidRPr="00781B6A">
                        <w:rPr>
                          <w:b/>
                          <w:bCs/>
                        </w:rPr>
                        <w:t xml:space="preserve">OF INTEREST TO OTHER </w:t>
                      </w:r>
                    </w:p>
                    <w:p w14:paraId="0490D22D" w14:textId="77777777" w:rsidR="00A304E5" w:rsidRPr="00781B6A" w:rsidRDefault="00A304E5" w:rsidP="00A304E5">
                      <w:pPr>
                        <w:spacing w:after="0" w:line="240" w:lineRule="auto"/>
                        <w:ind w:left="900"/>
                        <w:jc w:val="left"/>
                        <w:rPr>
                          <w:b/>
                          <w:bCs/>
                        </w:rPr>
                      </w:pPr>
                      <w:r>
                        <w:rPr>
                          <w:b/>
                          <w:bCs/>
                        </w:rPr>
                        <w:t>JUDGES:</w:t>
                      </w:r>
                      <w:r w:rsidRPr="00781B6A">
                        <w:rPr>
                          <w:b/>
                          <w:bCs/>
                        </w:rPr>
                        <w:t xml:space="preserve"> </w:t>
                      </w:r>
                      <w:r>
                        <w:rPr>
                          <w:b/>
                          <w:bCs/>
                        </w:rPr>
                        <w:t>NO</w:t>
                      </w:r>
                    </w:p>
                    <w:p w14:paraId="42DBAF89" w14:textId="77777777" w:rsidR="00A304E5" w:rsidRPr="00781B6A" w:rsidRDefault="00A304E5" w:rsidP="00A304E5">
                      <w:pPr>
                        <w:numPr>
                          <w:ilvl w:val="0"/>
                          <w:numId w:val="50"/>
                        </w:numPr>
                        <w:spacing w:after="0" w:line="240" w:lineRule="auto"/>
                        <w:jc w:val="left"/>
                        <w:rPr>
                          <w:b/>
                          <w:bCs/>
                        </w:rPr>
                      </w:pPr>
                      <w:r w:rsidRPr="00781B6A">
                        <w:rPr>
                          <w:b/>
                          <w:bCs/>
                        </w:rPr>
                        <w:t>REVISED. NO</w:t>
                      </w:r>
                    </w:p>
                    <w:p w14:paraId="00E9F48A" w14:textId="747454A6" w:rsidR="00A304E5" w:rsidRPr="00781B6A" w:rsidRDefault="00A304E5" w:rsidP="00A304E5">
                      <w:pPr>
                        <w:spacing w:after="0"/>
                        <w:ind w:right="28"/>
                        <w:rPr>
                          <w:b/>
                          <w:bCs/>
                        </w:rPr>
                      </w:pPr>
                    </w:p>
                    <w:p w14:paraId="2A56F67A" w14:textId="2BB7C0F7" w:rsidR="00A304E5" w:rsidRPr="00781B6A" w:rsidRDefault="00A304E5" w:rsidP="00A304E5">
                      <w:pPr>
                        <w:ind w:right="28"/>
                        <w:rPr>
                          <w:b/>
                          <w:bCs/>
                        </w:rPr>
                      </w:pPr>
                      <w:r w:rsidRPr="00781B6A">
                        <w:rPr>
                          <w:b/>
                          <w:bCs/>
                        </w:rPr>
                        <w:t xml:space="preserve"> SIGNATURE          DATE:  </w:t>
                      </w:r>
                      <w:r>
                        <w:rPr>
                          <w:b/>
                          <w:bCs/>
                        </w:rPr>
                        <w:t>11 July</w:t>
                      </w:r>
                      <w:r w:rsidRPr="00781B6A">
                        <w:rPr>
                          <w:b/>
                          <w:bCs/>
                        </w:rPr>
                        <w:t xml:space="preserve"> 202</w:t>
                      </w:r>
                      <w:r>
                        <w:rPr>
                          <w:b/>
                          <w:bCs/>
                        </w:rPr>
                        <w:t>2</w:t>
                      </w:r>
                      <w:r w:rsidRPr="00781B6A">
                        <w:rPr>
                          <w:b/>
                          <w:bCs/>
                        </w:rPr>
                        <w:t xml:space="preserve"> </w:t>
                      </w:r>
                    </w:p>
                    <w:p w14:paraId="653A5D77" w14:textId="77777777" w:rsidR="00A304E5" w:rsidRPr="004120A8" w:rsidRDefault="00A304E5" w:rsidP="00A304E5">
                      <w:pPr>
                        <w:rPr>
                          <w:b/>
                          <w:sz w:val="2"/>
                        </w:rPr>
                      </w:pPr>
                    </w:p>
                  </w:txbxContent>
                </v:textbox>
                <w10:wrap type="topAndBottom" anchorx="margin"/>
              </v:shape>
            </w:pict>
          </mc:Fallback>
        </mc:AlternateContent>
      </w:r>
      <w:r w:rsidRPr="00813029">
        <w:rPr>
          <w:b/>
          <w:sz w:val="24"/>
          <w:szCs w:val="24"/>
          <w:lang w:val="en-GB" w:eastAsia="en-GB"/>
        </w:rPr>
        <w:t xml:space="preserve">CASE NO: </w:t>
      </w:r>
      <w:r>
        <w:rPr>
          <w:b/>
          <w:sz w:val="24"/>
          <w:szCs w:val="24"/>
          <w:lang w:val="en-GB" w:eastAsia="en-GB"/>
        </w:rPr>
        <w:t>41445</w:t>
      </w:r>
      <w:r w:rsidRPr="00813029">
        <w:rPr>
          <w:b/>
          <w:sz w:val="24"/>
          <w:szCs w:val="24"/>
          <w:lang w:val="en-GB" w:eastAsia="en-GB"/>
        </w:rPr>
        <w:t xml:space="preserve"> /20</w:t>
      </w:r>
      <w:r>
        <w:rPr>
          <w:b/>
          <w:sz w:val="24"/>
          <w:szCs w:val="24"/>
          <w:lang w:val="en-GB" w:eastAsia="en-GB"/>
        </w:rPr>
        <w:t>20</w:t>
      </w:r>
    </w:p>
    <w:tbl>
      <w:tblPr>
        <w:tblW w:w="9309" w:type="dxa"/>
        <w:tblInd w:w="-95" w:type="dxa"/>
        <w:tblLook w:val="04A0" w:firstRow="1" w:lastRow="0" w:firstColumn="1" w:lastColumn="0" w:noHBand="0" w:noVBand="1"/>
      </w:tblPr>
      <w:tblGrid>
        <w:gridCol w:w="5624"/>
        <w:gridCol w:w="3685"/>
      </w:tblGrid>
      <w:tr w:rsidR="00A304E5" w:rsidRPr="00813029" w14:paraId="6C7F73FB" w14:textId="77777777" w:rsidTr="00214178">
        <w:trPr>
          <w:trHeight w:val="819"/>
        </w:trPr>
        <w:tc>
          <w:tcPr>
            <w:tcW w:w="5624" w:type="dxa"/>
            <w:hideMark/>
          </w:tcPr>
          <w:p w14:paraId="086553EB" w14:textId="77777777" w:rsidR="00A304E5" w:rsidRPr="00813029" w:rsidRDefault="00A304E5" w:rsidP="00214178">
            <w:pPr>
              <w:spacing w:before="200" w:line="240" w:lineRule="exact"/>
              <w:ind w:right="28"/>
              <w:rPr>
                <w:sz w:val="24"/>
                <w:szCs w:val="24"/>
                <w:lang w:val="en-GB"/>
              </w:rPr>
            </w:pPr>
            <w:r w:rsidRPr="00813029">
              <w:rPr>
                <w:sz w:val="24"/>
                <w:szCs w:val="24"/>
                <w:lang w:val="en-GB"/>
              </w:rPr>
              <w:t>In the matter between:</w:t>
            </w:r>
          </w:p>
        </w:tc>
        <w:tc>
          <w:tcPr>
            <w:tcW w:w="3685" w:type="dxa"/>
          </w:tcPr>
          <w:p w14:paraId="32511AD7" w14:textId="77777777" w:rsidR="00A304E5" w:rsidRPr="00813029" w:rsidRDefault="00A304E5" w:rsidP="00214178">
            <w:pPr>
              <w:spacing w:before="200" w:line="240" w:lineRule="exact"/>
              <w:ind w:right="28"/>
              <w:rPr>
                <w:sz w:val="24"/>
                <w:szCs w:val="24"/>
                <w:lang w:val="en-GB"/>
              </w:rPr>
            </w:pPr>
          </w:p>
        </w:tc>
      </w:tr>
    </w:tbl>
    <w:p w14:paraId="70916821" w14:textId="66E7E0DC" w:rsidR="00A304E5" w:rsidRPr="00C13936" w:rsidRDefault="00A304E5" w:rsidP="00A304E5">
      <w:pPr>
        <w:spacing w:after="0"/>
        <w:rPr>
          <w:sz w:val="24"/>
          <w:szCs w:val="24"/>
        </w:rPr>
      </w:pPr>
      <w:r>
        <w:rPr>
          <w:b/>
          <w:sz w:val="24"/>
          <w:szCs w:val="24"/>
        </w:rPr>
        <w:t>TSHISEVHE GWINA RATSHIMBILANI INCORPORATED</w:t>
      </w:r>
      <w:r>
        <w:rPr>
          <w:b/>
          <w:sz w:val="24"/>
          <w:szCs w:val="24"/>
        </w:rPr>
        <w:tab/>
      </w:r>
      <w:r>
        <w:rPr>
          <w:b/>
          <w:sz w:val="24"/>
          <w:szCs w:val="24"/>
        </w:rPr>
        <w:tab/>
        <w:t xml:space="preserve">   </w:t>
      </w:r>
      <w:r w:rsidR="00F97A69">
        <w:rPr>
          <w:sz w:val="24"/>
          <w:szCs w:val="24"/>
        </w:rPr>
        <w:t xml:space="preserve">Plaintiff / </w:t>
      </w:r>
      <w:r>
        <w:rPr>
          <w:sz w:val="24"/>
          <w:szCs w:val="24"/>
        </w:rPr>
        <w:t>Applicant</w:t>
      </w:r>
    </w:p>
    <w:p w14:paraId="1554B540" w14:textId="1D67FD1F" w:rsidR="00A304E5" w:rsidRDefault="00A304E5" w:rsidP="00A304E5">
      <w:pPr>
        <w:spacing w:after="0"/>
        <w:rPr>
          <w:sz w:val="24"/>
          <w:szCs w:val="24"/>
        </w:rPr>
      </w:pPr>
      <w:r>
        <w:rPr>
          <w:sz w:val="24"/>
          <w:szCs w:val="24"/>
        </w:rPr>
        <w:t>(Registration Number</w:t>
      </w:r>
      <w:r w:rsidR="00360C56">
        <w:rPr>
          <w:sz w:val="24"/>
          <w:szCs w:val="24"/>
        </w:rPr>
        <w:t>: 2011</w:t>
      </w:r>
      <w:r>
        <w:rPr>
          <w:sz w:val="24"/>
          <w:szCs w:val="24"/>
        </w:rPr>
        <w:t>/0065</w:t>
      </w:r>
      <w:r w:rsidR="0084368A">
        <w:rPr>
          <w:sz w:val="24"/>
          <w:szCs w:val="24"/>
        </w:rPr>
        <w:t>6</w:t>
      </w:r>
      <w:r>
        <w:rPr>
          <w:sz w:val="24"/>
          <w:szCs w:val="24"/>
        </w:rPr>
        <w:t>3/21)</w:t>
      </w:r>
    </w:p>
    <w:p w14:paraId="5FDEE467" w14:textId="77777777" w:rsidR="00A304E5" w:rsidRDefault="00A304E5" w:rsidP="00A304E5">
      <w:pPr>
        <w:rPr>
          <w:sz w:val="24"/>
          <w:szCs w:val="24"/>
        </w:rPr>
      </w:pPr>
    </w:p>
    <w:p w14:paraId="6DBA0415" w14:textId="6EC03C86" w:rsidR="00A304E5" w:rsidRPr="00813029" w:rsidRDefault="00A304E5" w:rsidP="00A304E5">
      <w:pPr>
        <w:rPr>
          <w:sz w:val="24"/>
          <w:szCs w:val="24"/>
        </w:rPr>
      </w:pPr>
      <w:r w:rsidRPr="00813029">
        <w:rPr>
          <w:sz w:val="24"/>
          <w:szCs w:val="24"/>
        </w:rPr>
        <w:t xml:space="preserve">And </w:t>
      </w:r>
    </w:p>
    <w:p w14:paraId="143B7D70" w14:textId="5788EE7A" w:rsidR="00A304E5" w:rsidRPr="00C13936" w:rsidRDefault="00A304E5" w:rsidP="00A304E5">
      <w:pPr>
        <w:spacing w:after="0"/>
        <w:rPr>
          <w:sz w:val="24"/>
          <w:szCs w:val="24"/>
        </w:rPr>
      </w:pPr>
      <w:r>
        <w:rPr>
          <w:b/>
          <w:sz w:val="24"/>
          <w:szCs w:val="24"/>
        </w:rPr>
        <w:t xml:space="preserve">GIJIMA HOLDINGS (PTY) LTD </w:t>
      </w:r>
      <w:r w:rsidRPr="00813029">
        <w:rPr>
          <w:sz w:val="24"/>
          <w:szCs w:val="24"/>
        </w:rPr>
        <w:tab/>
        <w:t xml:space="preserve">                 </w:t>
      </w:r>
      <w:r>
        <w:rPr>
          <w:sz w:val="24"/>
          <w:szCs w:val="24"/>
        </w:rPr>
        <w:t xml:space="preserve">  </w:t>
      </w:r>
      <w:r w:rsidRPr="00813029">
        <w:rPr>
          <w:sz w:val="24"/>
          <w:szCs w:val="24"/>
        </w:rPr>
        <w:t xml:space="preserve"> </w:t>
      </w:r>
    </w:p>
    <w:p w14:paraId="4947E311" w14:textId="78E4F2E4" w:rsidR="00A304E5" w:rsidRDefault="00A304E5" w:rsidP="00A304E5">
      <w:pPr>
        <w:spacing w:after="0"/>
        <w:rPr>
          <w:sz w:val="24"/>
          <w:szCs w:val="24"/>
        </w:rPr>
      </w:pPr>
      <w:r>
        <w:rPr>
          <w:sz w:val="24"/>
          <w:szCs w:val="24"/>
        </w:rPr>
        <w:t>(Registration Number: 1998/021835/07)</w:t>
      </w:r>
      <w:r>
        <w:rPr>
          <w:b/>
          <w:sz w:val="24"/>
          <w:szCs w:val="24"/>
        </w:rPr>
        <w:tab/>
      </w:r>
      <w:r>
        <w:rPr>
          <w:b/>
          <w:sz w:val="24"/>
          <w:szCs w:val="24"/>
        </w:rPr>
        <w:tab/>
      </w:r>
      <w:r>
        <w:rPr>
          <w:b/>
          <w:sz w:val="24"/>
          <w:szCs w:val="24"/>
        </w:rPr>
        <w:tab/>
      </w:r>
      <w:r>
        <w:rPr>
          <w:b/>
          <w:sz w:val="24"/>
          <w:szCs w:val="24"/>
        </w:rPr>
        <w:tab/>
      </w:r>
      <w:r w:rsidR="00F97A69">
        <w:rPr>
          <w:b/>
          <w:sz w:val="24"/>
          <w:szCs w:val="24"/>
        </w:rPr>
        <w:t xml:space="preserve">       </w:t>
      </w:r>
      <w:r w:rsidR="00F97A69">
        <w:rPr>
          <w:sz w:val="24"/>
          <w:szCs w:val="24"/>
        </w:rPr>
        <w:t>Defendant/</w:t>
      </w:r>
      <w:r>
        <w:rPr>
          <w:b/>
          <w:sz w:val="24"/>
          <w:szCs w:val="24"/>
        </w:rPr>
        <w:t xml:space="preserve"> </w:t>
      </w:r>
      <w:r>
        <w:rPr>
          <w:sz w:val="24"/>
          <w:szCs w:val="24"/>
        </w:rPr>
        <w:t>Respondent</w:t>
      </w:r>
    </w:p>
    <w:p w14:paraId="65DED18C" w14:textId="77777777" w:rsidR="00A304E5" w:rsidRDefault="00A304E5" w:rsidP="00A304E5">
      <w:pPr>
        <w:spacing w:after="0"/>
        <w:rPr>
          <w:b/>
          <w:sz w:val="24"/>
          <w:szCs w:val="24"/>
        </w:rPr>
      </w:pPr>
    </w:p>
    <w:p w14:paraId="6CE2BFBE" w14:textId="77777777" w:rsidR="00A304E5" w:rsidRDefault="00A304E5" w:rsidP="00A304E5">
      <w:pPr>
        <w:spacing w:after="0"/>
        <w:rPr>
          <w:sz w:val="24"/>
          <w:szCs w:val="24"/>
        </w:rPr>
      </w:pPr>
      <w:r>
        <w:rPr>
          <w:b/>
          <w:sz w:val="24"/>
          <w:szCs w:val="24"/>
        </w:rPr>
        <w:t>Coram:</w:t>
      </w:r>
      <w:r>
        <w:rPr>
          <w:b/>
          <w:sz w:val="24"/>
          <w:szCs w:val="24"/>
        </w:rPr>
        <w:tab/>
      </w:r>
      <w:r>
        <w:rPr>
          <w:sz w:val="24"/>
          <w:szCs w:val="24"/>
        </w:rPr>
        <w:t>Nichols AJ</w:t>
      </w:r>
    </w:p>
    <w:p w14:paraId="51E2BDA7" w14:textId="1CA49258" w:rsidR="00A304E5" w:rsidRDefault="00A304E5" w:rsidP="00A304E5">
      <w:pPr>
        <w:spacing w:after="0"/>
        <w:ind w:left="1440" w:hanging="1440"/>
        <w:rPr>
          <w:sz w:val="24"/>
          <w:szCs w:val="24"/>
        </w:rPr>
      </w:pPr>
      <w:r>
        <w:rPr>
          <w:b/>
          <w:sz w:val="24"/>
          <w:szCs w:val="24"/>
        </w:rPr>
        <w:t>Delivered:</w:t>
      </w:r>
      <w:r>
        <w:rPr>
          <w:b/>
          <w:sz w:val="24"/>
          <w:szCs w:val="24"/>
        </w:rPr>
        <w:tab/>
      </w:r>
      <w:r w:rsidRPr="00A304E5">
        <w:rPr>
          <w:sz w:val="24"/>
          <w:szCs w:val="24"/>
        </w:rPr>
        <w:t>11</w:t>
      </w:r>
      <w:r>
        <w:rPr>
          <w:b/>
          <w:sz w:val="24"/>
          <w:szCs w:val="24"/>
        </w:rPr>
        <w:t xml:space="preserve"> </w:t>
      </w:r>
      <w:r>
        <w:rPr>
          <w:sz w:val="24"/>
          <w:szCs w:val="24"/>
        </w:rPr>
        <w:t xml:space="preserve">July 2022 – This judgment was handed down electronically by circulation to the parties’ representatives </w:t>
      </w:r>
      <w:r>
        <w:rPr>
          <w:i/>
          <w:sz w:val="24"/>
          <w:szCs w:val="24"/>
        </w:rPr>
        <w:t>via</w:t>
      </w:r>
      <w:r>
        <w:rPr>
          <w:sz w:val="24"/>
          <w:szCs w:val="24"/>
        </w:rPr>
        <w:t xml:space="preserve"> email, by being uploaded to </w:t>
      </w:r>
      <w:r>
        <w:rPr>
          <w:i/>
          <w:sz w:val="24"/>
          <w:szCs w:val="24"/>
        </w:rPr>
        <w:t xml:space="preserve">Caselines </w:t>
      </w:r>
      <w:r>
        <w:rPr>
          <w:sz w:val="24"/>
          <w:szCs w:val="24"/>
        </w:rPr>
        <w:t>and by release to SAFLII. The date and time for hand-down is deemed to be 12h00 on 11 July 2022.</w:t>
      </w:r>
    </w:p>
    <w:p w14:paraId="0292A396" w14:textId="77777777" w:rsidR="00A304E5" w:rsidRDefault="00A304E5" w:rsidP="00A304E5">
      <w:pPr>
        <w:pBdr>
          <w:top w:val="single" w:sz="12" w:space="1" w:color="auto"/>
          <w:bottom w:val="single" w:sz="12" w:space="1" w:color="auto"/>
        </w:pBdr>
        <w:spacing w:before="120" w:after="0" w:line="240" w:lineRule="auto"/>
        <w:jc w:val="center"/>
        <w:rPr>
          <w:b/>
          <w:bCs/>
          <w:sz w:val="24"/>
          <w:szCs w:val="24"/>
        </w:rPr>
      </w:pPr>
    </w:p>
    <w:p w14:paraId="4E9A64E4" w14:textId="77777777" w:rsidR="00A304E5" w:rsidRPr="00130DB5" w:rsidRDefault="00A304E5" w:rsidP="00A304E5">
      <w:pPr>
        <w:pBdr>
          <w:top w:val="single" w:sz="12" w:space="1" w:color="auto"/>
          <w:bottom w:val="single" w:sz="12" w:space="1" w:color="auto"/>
        </w:pBdr>
        <w:spacing w:before="120" w:after="0" w:line="240" w:lineRule="auto"/>
        <w:jc w:val="center"/>
        <w:rPr>
          <w:b/>
          <w:bCs/>
          <w:sz w:val="24"/>
          <w:szCs w:val="24"/>
        </w:rPr>
      </w:pPr>
      <w:r w:rsidRPr="00130DB5">
        <w:rPr>
          <w:b/>
          <w:bCs/>
          <w:sz w:val="24"/>
          <w:szCs w:val="24"/>
        </w:rPr>
        <w:t xml:space="preserve">JUDGMENT </w:t>
      </w:r>
    </w:p>
    <w:p w14:paraId="141D6FE6" w14:textId="77777777" w:rsidR="00A304E5" w:rsidRPr="00130DB5" w:rsidRDefault="00A304E5" w:rsidP="00A304E5">
      <w:pPr>
        <w:pBdr>
          <w:top w:val="single" w:sz="12" w:space="1" w:color="auto"/>
          <w:bottom w:val="single" w:sz="12" w:space="1" w:color="auto"/>
        </w:pBdr>
        <w:spacing w:before="120" w:after="240"/>
        <w:jc w:val="center"/>
        <w:rPr>
          <w:b/>
          <w:bCs/>
          <w:sz w:val="24"/>
          <w:szCs w:val="24"/>
        </w:rPr>
      </w:pPr>
    </w:p>
    <w:p w14:paraId="485A98B4" w14:textId="77777777" w:rsidR="00A304E5" w:rsidRDefault="00A304E5" w:rsidP="00A304E5">
      <w:pPr>
        <w:spacing w:after="120"/>
        <w:rPr>
          <w:b/>
          <w:sz w:val="24"/>
          <w:szCs w:val="24"/>
        </w:rPr>
      </w:pPr>
      <w:r>
        <w:rPr>
          <w:b/>
          <w:sz w:val="24"/>
          <w:szCs w:val="24"/>
        </w:rPr>
        <w:t>NICHOLS AJ</w:t>
      </w:r>
    </w:p>
    <w:p w14:paraId="6AC581CB" w14:textId="3B206382" w:rsidR="006B141D" w:rsidRDefault="006B141D" w:rsidP="006561BA">
      <w:pPr>
        <w:rPr>
          <w:sz w:val="24"/>
          <w:szCs w:val="24"/>
        </w:rPr>
      </w:pPr>
      <w:r>
        <w:rPr>
          <w:b/>
          <w:sz w:val="24"/>
          <w:szCs w:val="24"/>
        </w:rPr>
        <w:t>Introduction</w:t>
      </w:r>
    </w:p>
    <w:p w14:paraId="4BEAEE4B" w14:textId="46921B6F" w:rsidR="00B67CBD" w:rsidRDefault="009F7F7D" w:rsidP="006561BA">
      <w:pPr>
        <w:rPr>
          <w:sz w:val="24"/>
          <w:szCs w:val="24"/>
        </w:rPr>
      </w:pPr>
      <w:r>
        <w:rPr>
          <w:sz w:val="24"/>
          <w:szCs w:val="24"/>
        </w:rPr>
        <w:t>[1]</w:t>
      </w:r>
      <w:r>
        <w:rPr>
          <w:sz w:val="24"/>
          <w:szCs w:val="24"/>
        </w:rPr>
        <w:tab/>
      </w:r>
      <w:r w:rsidR="00B67CBD">
        <w:rPr>
          <w:sz w:val="24"/>
          <w:szCs w:val="24"/>
        </w:rPr>
        <w:t xml:space="preserve">This is a matter in which the plaintiff, Tshisevhe Gwina Ratshimbilani Inc, a law firm, instituted action </w:t>
      </w:r>
      <w:r w:rsidR="00E16CCE">
        <w:rPr>
          <w:sz w:val="24"/>
          <w:szCs w:val="24"/>
        </w:rPr>
        <w:t>against its</w:t>
      </w:r>
      <w:r w:rsidR="00B67CBD">
        <w:rPr>
          <w:sz w:val="24"/>
          <w:szCs w:val="24"/>
        </w:rPr>
        <w:t xml:space="preserve"> erstwhile client, Gijima Holdings (Pty) Ltd, for outstanding legal fees. For ease of </w:t>
      </w:r>
      <w:r w:rsidR="00E16CCE">
        <w:rPr>
          <w:sz w:val="24"/>
          <w:szCs w:val="24"/>
        </w:rPr>
        <w:t>reference,</w:t>
      </w:r>
      <w:r w:rsidR="00B67CBD">
        <w:rPr>
          <w:sz w:val="24"/>
          <w:szCs w:val="24"/>
        </w:rPr>
        <w:t xml:space="preserve"> I shall refer to the parties as the plaintiff and defendant respectively</w:t>
      </w:r>
      <w:r w:rsidR="00AE28F0">
        <w:rPr>
          <w:sz w:val="24"/>
          <w:szCs w:val="24"/>
        </w:rPr>
        <w:t>.</w:t>
      </w:r>
    </w:p>
    <w:p w14:paraId="0EC48A2B" w14:textId="7092D49B" w:rsidR="003345A4" w:rsidRDefault="009F7F7D" w:rsidP="006561BA">
      <w:pPr>
        <w:rPr>
          <w:sz w:val="24"/>
          <w:szCs w:val="24"/>
        </w:rPr>
      </w:pPr>
      <w:r>
        <w:rPr>
          <w:sz w:val="24"/>
          <w:szCs w:val="24"/>
        </w:rPr>
        <w:t>[2]</w:t>
      </w:r>
      <w:r>
        <w:rPr>
          <w:sz w:val="24"/>
          <w:szCs w:val="24"/>
        </w:rPr>
        <w:tab/>
      </w:r>
      <w:r w:rsidR="00B67CBD">
        <w:rPr>
          <w:sz w:val="24"/>
          <w:szCs w:val="24"/>
        </w:rPr>
        <w:t xml:space="preserve">The defendant </w:t>
      </w:r>
      <w:r w:rsidR="000408D2">
        <w:rPr>
          <w:sz w:val="24"/>
          <w:szCs w:val="24"/>
        </w:rPr>
        <w:t xml:space="preserve">raised </w:t>
      </w:r>
      <w:r w:rsidR="00B67CBD">
        <w:rPr>
          <w:sz w:val="24"/>
          <w:szCs w:val="24"/>
        </w:rPr>
        <w:t>exception</w:t>
      </w:r>
      <w:r w:rsidR="000408D2">
        <w:rPr>
          <w:sz w:val="24"/>
          <w:szCs w:val="24"/>
        </w:rPr>
        <w:t>s</w:t>
      </w:r>
      <w:r w:rsidR="00B67CBD">
        <w:rPr>
          <w:sz w:val="24"/>
          <w:szCs w:val="24"/>
        </w:rPr>
        <w:t xml:space="preserve"> to the plaintiff’s particulars of claim as disclosing no cause of action and being vague and embarrassing. The plaintiff instituted a formal application</w:t>
      </w:r>
      <w:r w:rsidR="009D5C7F">
        <w:rPr>
          <w:sz w:val="24"/>
          <w:szCs w:val="24"/>
        </w:rPr>
        <w:t xml:space="preserve"> </w:t>
      </w:r>
      <w:r w:rsidR="00B67CBD">
        <w:rPr>
          <w:sz w:val="24"/>
          <w:szCs w:val="24"/>
        </w:rPr>
        <w:t xml:space="preserve">in terms of </w:t>
      </w:r>
      <w:r w:rsidR="00A014F0">
        <w:rPr>
          <w:sz w:val="24"/>
          <w:szCs w:val="24"/>
        </w:rPr>
        <w:t>r</w:t>
      </w:r>
      <w:r w:rsidR="00B67CBD">
        <w:rPr>
          <w:sz w:val="24"/>
          <w:szCs w:val="24"/>
        </w:rPr>
        <w:t>ule</w:t>
      </w:r>
      <w:r w:rsidR="000408D2">
        <w:rPr>
          <w:sz w:val="24"/>
          <w:szCs w:val="24"/>
        </w:rPr>
        <w:t>s</w:t>
      </w:r>
      <w:r w:rsidR="00B67CBD">
        <w:rPr>
          <w:sz w:val="24"/>
          <w:szCs w:val="24"/>
        </w:rPr>
        <w:t xml:space="preserve"> 28(1)</w:t>
      </w:r>
      <w:r w:rsidR="009D5C7F">
        <w:rPr>
          <w:sz w:val="24"/>
          <w:szCs w:val="24"/>
        </w:rPr>
        <w:t xml:space="preserve"> and</w:t>
      </w:r>
      <w:r w:rsidR="004166E8">
        <w:rPr>
          <w:sz w:val="24"/>
          <w:szCs w:val="24"/>
        </w:rPr>
        <w:t xml:space="preserve"> </w:t>
      </w:r>
      <w:r w:rsidR="00B67CBD">
        <w:rPr>
          <w:sz w:val="24"/>
          <w:szCs w:val="24"/>
        </w:rPr>
        <w:t>28(4)</w:t>
      </w:r>
      <w:r w:rsidR="004166E8">
        <w:rPr>
          <w:sz w:val="24"/>
          <w:szCs w:val="24"/>
        </w:rPr>
        <w:t xml:space="preserve"> </w:t>
      </w:r>
      <w:r w:rsidR="00B67CBD">
        <w:rPr>
          <w:sz w:val="24"/>
          <w:szCs w:val="24"/>
        </w:rPr>
        <w:t>to amend its particulars of claim</w:t>
      </w:r>
      <w:r w:rsidR="003345A4">
        <w:rPr>
          <w:sz w:val="24"/>
          <w:szCs w:val="24"/>
        </w:rPr>
        <w:t xml:space="preserve"> following </w:t>
      </w:r>
      <w:r w:rsidR="00A014F0">
        <w:rPr>
          <w:sz w:val="24"/>
          <w:szCs w:val="24"/>
        </w:rPr>
        <w:t xml:space="preserve">delivery </w:t>
      </w:r>
      <w:r w:rsidR="003345A4">
        <w:rPr>
          <w:sz w:val="24"/>
          <w:szCs w:val="24"/>
        </w:rPr>
        <w:t xml:space="preserve">of the defendant’s notice of </w:t>
      </w:r>
      <w:r w:rsidR="00A014F0">
        <w:rPr>
          <w:sz w:val="24"/>
          <w:szCs w:val="24"/>
        </w:rPr>
        <w:t xml:space="preserve">objection to </w:t>
      </w:r>
      <w:r w:rsidR="00887C9D">
        <w:rPr>
          <w:sz w:val="24"/>
          <w:szCs w:val="24"/>
        </w:rPr>
        <w:t>its</w:t>
      </w:r>
      <w:r w:rsidR="00A014F0">
        <w:rPr>
          <w:sz w:val="24"/>
          <w:szCs w:val="24"/>
        </w:rPr>
        <w:t xml:space="preserve"> notice of intention to amend its particulars of claim</w:t>
      </w:r>
      <w:r w:rsidR="003345A4">
        <w:rPr>
          <w:sz w:val="24"/>
          <w:szCs w:val="24"/>
        </w:rPr>
        <w:t>.</w:t>
      </w:r>
      <w:r w:rsidR="000408D2">
        <w:rPr>
          <w:sz w:val="24"/>
          <w:szCs w:val="24"/>
        </w:rPr>
        <w:t xml:space="preserve"> The </w:t>
      </w:r>
      <w:r w:rsidR="00887C9D">
        <w:rPr>
          <w:sz w:val="24"/>
          <w:szCs w:val="24"/>
        </w:rPr>
        <w:t xml:space="preserve">defendant </w:t>
      </w:r>
      <w:r w:rsidR="009D5C7F">
        <w:rPr>
          <w:sz w:val="24"/>
          <w:szCs w:val="24"/>
        </w:rPr>
        <w:t xml:space="preserve">opposes this </w:t>
      </w:r>
      <w:r w:rsidR="000408D2">
        <w:rPr>
          <w:sz w:val="24"/>
          <w:szCs w:val="24"/>
        </w:rPr>
        <w:t xml:space="preserve">application to amend </w:t>
      </w:r>
      <w:r w:rsidR="009D5C7F">
        <w:rPr>
          <w:sz w:val="24"/>
          <w:szCs w:val="24"/>
        </w:rPr>
        <w:t xml:space="preserve">the </w:t>
      </w:r>
      <w:r w:rsidR="00887C9D">
        <w:rPr>
          <w:sz w:val="24"/>
          <w:szCs w:val="24"/>
        </w:rPr>
        <w:t>particulars of claim.</w:t>
      </w:r>
      <w:r w:rsidR="000408D2">
        <w:rPr>
          <w:sz w:val="24"/>
          <w:szCs w:val="24"/>
        </w:rPr>
        <w:t xml:space="preserve"> </w:t>
      </w:r>
    </w:p>
    <w:p w14:paraId="7EC922DE" w14:textId="56EB86F3" w:rsidR="009F05A9" w:rsidRDefault="009F7F7D" w:rsidP="009F05A9">
      <w:pPr>
        <w:rPr>
          <w:sz w:val="24"/>
          <w:szCs w:val="24"/>
        </w:rPr>
      </w:pPr>
      <w:r>
        <w:rPr>
          <w:sz w:val="24"/>
          <w:szCs w:val="24"/>
        </w:rPr>
        <w:t>[3]</w:t>
      </w:r>
      <w:r>
        <w:rPr>
          <w:sz w:val="24"/>
          <w:szCs w:val="24"/>
        </w:rPr>
        <w:tab/>
      </w:r>
      <w:r w:rsidR="003345A4">
        <w:rPr>
          <w:sz w:val="24"/>
          <w:szCs w:val="24"/>
        </w:rPr>
        <w:t xml:space="preserve">The parties have agreed that I adjudicate and determine the merits of both the plaintiff’s application </w:t>
      </w:r>
      <w:r w:rsidR="001E2EFB">
        <w:rPr>
          <w:sz w:val="24"/>
          <w:szCs w:val="24"/>
        </w:rPr>
        <w:t>to amend</w:t>
      </w:r>
      <w:r w:rsidR="003345A4">
        <w:rPr>
          <w:sz w:val="24"/>
          <w:szCs w:val="24"/>
        </w:rPr>
        <w:t xml:space="preserve"> its particulars of claim and the defendant’s exception</w:t>
      </w:r>
      <w:r w:rsidR="00887C9D">
        <w:rPr>
          <w:sz w:val="24"/>
          <w:szCs w:val="24"/>
        </w:rPr>
        <w:t>s</w:t>
      </w:r>
      <w:r w:rsidR="003345A4">
        <w:rPr>
          <w:sz w:val="24"/>
          <w:szCs w:val="24"/>
        </w:rPr>
        <w:t>.</w:t>
      </w:r>
      <w:r w:rsidR="009F05A9">
        <w:rPr>
          <w:sz w:val="24"/>
          <w:szCs w:val="24"/>
        </w:rPr>
        <w:t xml:space="preserve"> Amendments that have the effect of rendering pleadings excipiable, or which do not cure excipiable pleadings will not be allowed.</w:t>
      </w:r>
      <w:r w:rsidR="009F05A9" w:rsidRPr="001E2EFB">
        <w:rPr>
          <w:rStyle w:val="FootnoteReference"/>
          <w:rFonts w:ascii="Arial" w:hAnsi="Arial"/>
          <w:sz w:val="20"/>
        </w:rPr>
        <w:footnoteReference w:id="1"/>
      </w:r>
      <w:r w:rsidR="009F05A9">
        <w:rPr>
          <w:sz w:val="24"/>
          <w:szCs w:val="24"/>
        </w:rPr>
        <w:t xml:space="preserve"> I shall therefore consider the applications holistically</w:t>
      </w:r>
      <w:r w:rsidR="009D5C7F">
        <w:rPr>
          <w:sz w:val="24"/>
          <w:szCs w:val="24"/>
        </w:rPr>
        <w:t>;</w:t>
      </w:r>
      <w:r w:rsidR="009F05A9">
        <w:rPr>
          <w:sz w:val="24"/>
          <w:szCs w:val="24"/>
        </w:rPr>
        <w:t xml:space="preserve"> approach the application for leave to amend as if on exception and if the particulars of claim incorporating the amendment</w:t>
      </w:r>
      <w:r w:rsidR="009D5C7F">
        <w:rPr>
          <w:sz w:val="24"/>
          <w:szCs w:val="24"/>
        </w:rPr>
        <w:t>s</w:t>
      </w:r>
      <w:r w:rsidR="009F05A9">
        <w:rPr>
          <w:sz w:val="24"/>
          <w:szCs w:val="24"/>
        </w:rPr>
        <w:t xml:space="preserve"> are not excipiable, the application for leave to amend must be granted, and the exceptions dismissed.</w:t>
      </w:r>
    </w:p>
    <w:p w14:paraId="1B512195" w14:textId="60C40F94" w:rsidR="006B141D" w:rsidRDefault="006B141D" w:rsidP="006561BA">
      <w:pPr>
        <w:rPr>
          <w:sz w:val="24"/>
          <w:szCs w:val="24"/>
        </w:rPr>
      </w:pPr>
      <w:r>
        <w:rPr>
          <w:b/>
          <w:sz w:val="24"/>
          <w:szCs w:val="24"/>
        </w:rPr>
        <w:t>The issue</w:t>
      </w:r>
      <w:r w:rsidR="00887C9D">
        <w:rPr>
          <w:b/>
          <w:sz w:val="24"/>
          <w:szCs w:val="24"/>
        </w:rPr>
        <w:t>s</w:t>
      </w:r>
    </w:p>
    <w:p w14:paraId="42D3F56C" w14:textId="6FA3B675" w:rsidR="00A014F0" w:rsidRDefault="009F7F7D" w:rsidP="006561BA">
      <w:pPr>
        <w:rPr>
          <w:sz w:val="24"/>
          <w:szCs w:val="24"/>
        </w:rPr>
      </w:pPr>
      <w:r>
        <w:rPr>
          <w:sz w:val="24"/>
          <w:szCs w:val="24"/>
        </w:rPr>
        <w:t>[4]</w:t>
      </w:r>
      <w:r>
        <w:rPr>
          <w:sz w:val="24"/>
          <w:szCs w:val="24"/>
        </w:rPr>
        <w:tab/>
      </w:r>
      <w:r w:rsidR="001A73A7">
        <w:rPr>
          <w:sz w:val="24"/>
          <w:szCs w:val="24"/>
        </w:rPr>
        <w:t>The main issue for determination is whether the plaintiff</w:t>
      </w:r>
      <w:r w:rsidR="00887C9D">
        <w:rPr>
          <w:sz w:val="24"/>
          <w:szCs w:val="24"/>
        </w:rPr>
        <w:t xml:space="preserve">’s particulars of claim, as </w:t>
      </w:r>
      <w:r w:rsidR="00EE4FDC">
        <w:rPr>
          <w:sz w:val="24"/>
          <w:szCs w:val="24"/>
        </w:rPr>
        <w:t xml:space="preserve">sought to be </w:t>
      </w:r>
      <w:r w:rsidR="00887C9D">
        <w:rPr>
          <w:sz w:val="24"/>
          <w:szCs w:val="24"/>
        </w:rPr>
        <w:t xml:space="preserve">amended, discloses a cause of </w:t>
      </w:r>
      <w:r w:rsidR="00EE4FDC">
        <w:rPr>
          <w:sz w:val="24"/>
          <w:szCs w:val="24"/>
        </w:rPr>
        <w:t>action, which</w:t>
      </w:r>
      <w:r w:rsidR="00887C9D">
        <w:rPr>
          <w:sz w:val="24"/>
          <w:szCs w:val="24"/>
        </w:rPr>
        <w:t xml:space="preserve"> has been pleaded with sufficient particularity</w:t>
      </w:r>
      <w:r w:rsidR="009D5C7F">
        <w:rPr>
          <w:sz w:val="24"/>
          <w:szCs w:val="24"/>
        </w:rPr>
        <w:t xml:space="preserve"> and clarity </w:t>
      </w:r>
      <w:r w:rsidR="00EE4FDC">
        <w:rPr>
          <w:sz w:val="24"/>
          <w:szCs w:val="24"/>
        </w:rPr>
        <w:t>to sustain its cause of action for</w:t>
      </w:r>
      <w:r w:rsidR="009D5C7F">
        <w:rPr>
          <w:sz w:val="24"/>
          <w:szCs w:val="24"/>
        </w:rPr>
        <w:t xml:space="preserve"> the payment of </w:t>
      </w:r>
      <w:r w:rsidR="00EE4FDC">
        <w:rPr>
          <w:sz w:val="24"/>
          <w:szCs w:val="24"/>
        </w:rPr>
        <w:t>legal fees in terms of the written mandate concluded by the parties</w:t>
      </w:r>
      <w:r w:rsidR="00AE28F0">
        <w:rPr>
          <w:sz w:val="24"/>
          <w:szCs w:val="24"/>
        </w:rPr>
        <w:t>.</w:t>
      </w:r>
      <w:r w:rsidR="00F80ADF">
        <w:rPr>
          <w:sz w:val="24"/>
          <w:szCs w:val="24"/>
        </w:rPr>
        <w:t xml:space="preserve"> </w:t>
      </w:r>
    </w:p>
    <w:p w14:paraId="5C4DE7DA" w14:textId="57D97EF6" w:rsidR="006B141D" w:rsidRDefault="006B141D" w:rsidP="006561BA">
      <w:pPr>
        <w:rPr>
          <w:sz w:val="24"/>
          <w:szCs w:val="24"/>
        </w:rPr>
      </w:pPr>
      <w:r>
        <w:rPr>
          <w:b/>
          <w:sz w:val="24"/>
          <w:szCs w:val="24"/>
        </w:rPr>
        <w:t>The pleadings</w:t>
      </w:r>
      <w:r w:rsidR="009D5C7F">
        <w:rPr>
          <w:b/>
          <w:sz w:val="24"/>
          <w:szCs w:val="24"/>
        </w:rPr>
        <w:t xml:space="preserve"> and notices</w:t>
      </w:r>
    </w:p>
    <w:p w14:paraId="4B0FEDDC" w14:textId="1971CFC0" w:rsidR="00055D15" w:rsidRDefault="009F7F7D" w:rsidP="006561BA">
      <w:pPr>
        <w:rPr>
          <w:sz w:val="24"/>
          <w:szCs w:val="24"/>
        </w:rPr>
      </w:pPr>
      <w:r>
        <w:rPr>
          <w:sz w:val="24"/>
          <w:szCs w:val="24"/>
        </w:rPr>
        <w:t>[5]</w:t>
      </w:r>
      <w:r>
        <w:rPr>
          <w:sz w:val="24"/>
          <w:szCs w:val="24"/>
        </w:rPr>
        <w:tab/>
      </w:r>
      <w:r w:rsidR="003345A4">
        <w:rPr>
          <w:sz w:val="24"/>
          <w:szCs w:val="24"/>
        </w:rPr>
        <w:t xml:space="preserve">The plaintiff’s </w:t>
      </w:r>
      <w:r w:rsidR="00391409">
        <w:rPr>
          <w:sz w:val="24"/>
          <w:szCs w:val="24"/>
        </w:rPr>
        <w:t xml:space="preserve">amended </w:t>
      </w:r>
      <w:r w:rsidR="003345A4">
        <w:rPr>
          <w:sz w:val="24"/>
          <w:szCs w:val="24"/>
        </w:rPr>
        <w:t xml:space="preserve">particulars of claim </w:t>
      </w:r>
      <w:r w:rsidR="001B3A27">
        <w:rPr>
          <w:sz w:val="24"/>
          <w:szCs w:val="24"/>
        </w:rPr>
        <w:t>allege</w:t>
      </w:r>
      <w:r w:rsidR="00055D15">
        <w:rPr>
          <w:sz w:val="24"/>
          <w:szCs w:val="24"/>
        </w:rPr>
        <w:t>:</w:t>
      </w:r>
    </w:p>
    <w:p w14:paraId="06BD3D71" w14:textId="3DAA5EAB" w:rsidR="00055D15" w:rsidRDefault="00055D15" w:rsidP="006561BA">
      <w:pPr>
        <w:rPr>
          <w:sz w:val="24"/>
          <w:szCs w:val="24"/>
        </w:rPr>
      </w:pPr>
      <w:r>
        <w:rPr>
          <w:sz w:val="24"/>
          <w:szCs w:val="24"/>
        </w:rPr>
        <w:t>(a)</w:t>
      </w:r>
      <w:r>
        <w:rPr>
          <w:sz w:val="24"/>
          <w:szCs w:val="24"/>
        </w:rPr>
        <w:tab/>
      </w:r>
      <w:r w:rsidR="00A014F0">
        <w:rPr>
          <w:sz w:val="24"/>
          <w:szCs w:val="24"/>
        </w:rPr>
        <w:t>A</w:t>
      </w:r>
      <w:r w:rsidR="001B3A27">
        <w:rPr>
          <w:sz w:val="24"/>
          <w:szCs w:val="24"/>
        </w:rPr>
        <w:t xml:space="preserve"> written mandate between the parties </w:t>
      </w:r>
      <w:r w:rsidR="009D5C7F">
        <w:rPr>
          <w:sz w:val="24"/>
          <w:szCs w:val="24"/>
        </w:rPr>
        <w:t xml:space="preserve">regarding </w:t>
      </w:r>
      <w:r w:rsidR="00A072C5">
        <w:rPr>
          <w:sz w:val="24"/>
          <w:szCs w:val="24"/>
        </w:rPr>
        <w:t xml:space="preserve">the </w:t>
      </w:r>
      <w:r w:rsidR="001B3A27">
        <w:rPr>
          <w:sz w:val="24"/>
          <w:szCs w:val="24"/>
        </w:rPr>
        <w:t>provision of</w:t>
      </w:r>
      <w:r w:rsidR="009D5C7F">
        <w:rPr>
          <w:sz w:val="24"/>
          <w:szCs w:val="24"/>
        </w:rPr>
        <w:t xml:space="preserve"> specific professional</w:t>
      </w:r>
      <w:r w:rsidR="001B3A27">
        <w:rPr>
          <w:sz w:val="24"/>
          <w:szCs w:val="24"/>
        </w:rPr>
        <w:t xml:space="preserve"> </w:t>
      </w:r>
      <w:r w:rsidR="00A072C5">
        <w:rPr>
          <w:sz w:val="24"/>
          <w:szCs w:val="24"/>
        </w:rPr>
        <w:t xml:space="preserve">legal services to the defendant in relation to a specific </w:t>
      </w:r>
      <w:r w:rsidR="009D5C7F">
        <w:rPr>
          <w:sz w:val="24"/>
          <w:szCs w:val="24"/>
        </w:rPr>
        <w:t xml:space="preserve">and described </w:t>
      </w:r>
      <w:r w:rsidR="00A072C5">
        <w:rPr>
          <w:sz w:val="24"/>
          <w:szCs w:val="24"/>
        </w:rPr>
        <w:t>scope of work.</w:t>
      </w:r>
      <w:r w:rsidR="001B3A27">
        <w:rPr>
          <w:sz w:val="24"/>
          <w:szCs w:val="24"/>
        </w:rPr>
        <w:t xml:space="preserve"> A copy of the written mandate is annexed to the particulars of claim and the material express terms of the written mandate are set out in the particulars of claim</w:t>
      </w:r>
      <w:r w:rsidR="00E62D2E">
        <w:rPr>
          <w:sz w:val="24"/>
          <w:szCs w:val="24"/>
        </w:rPr>
        <w:t>.</w:t>
      </w:r>
    </w:p>
    <w:p w14:paraId="2EDDE4C3" w14:textId="0C808437" w:rsidR="003B381A" w:rsidRDefault="00055D15" w:rsidP="006561BA">
      <w:pPr>
        <w:rPr>
          <w:sz w:val="24"/>
          <w:szCs w:val="24"/>
        </w:rPr>
      </w:pPr>
      <w:r>
        <w:rPr>
          <w:sz w:val="24"/>
          <w:szCs w:val="24"/>
        </w:rPr>
        <w:t>(b)</w:t>
      </w:r>
      <w:r>
        <w:rPr>
          <w:sz w:val="24"/>
          <w:szCs w:val="24"/>
        </w:rPr>
        <w:tab/>
        <w:t xml:space="preserve">In accordance with </w:t>
      </w:r>
      <w:r w:rsidR="00391409">
        <w:rPr>
          <w:sz w:val="24"/>
          <w:szCs w:val="24"/>
        </w:rPr>
        <w:t>these material express terms</w:t>
      </w:r>
      <w:r>
        <w:rPr>
          <w:sz w:val="24"/>
          <w:szCs w:val="24"/>
        </w:rPr>
        <w:t xml:space="preserve">, the plaintiff alleges that it agreed to perform the due diligence investigation aspect of the scope of works </w:t>
      </w:r>
      <w:r w:rsidR="00A072C5">
        <w:rPr>
          <w:sz w:val="24"/>
          <w:szCs w:val="24"/>
        </w:rPr>
        <w:t xml:space="preserve">for </w:t>
      </w:r>
      <w:r>
        <w:rPr>
          <w:sz w:val="24"/>
          <w:szCs w:val="24"/>
        </w:rPr>
        <w:t xml:space="preserve">a capped fee of R850 000. Fees would be payable immediately upon presentation of an invoice. It would be entitled to increase its fee if requested to carry out additional tasks or </w:t>
      </w:r>
      <w:r w:rsidR="00360C56">
        <w:rPr>
          <w:sz w:val="24"/>
          <w:szCs w:val="24"/>
        </w:rPr>
        <w:t xml:space="preserve">if </w:t>
      </w:r>
      <w:r>
        <w:rPr>
          <w:sz w:val="24"/>
          <w:szCs w:val="24"/>
        </w:rPr>
        <w:t xml:space="preserve">forced to spend more time on the matter due to unforeseen factors beyond its control and </w:t>
      </w:r>
      <w:r w:rsidR="00A072C5">
        <w:rPr>
          <w:sz w:val="24"/>
          <w:szCs w:val="24"/>
        </w:rPr>
        <w:t xml:space="preserve">such increased fee was discussed </w:t>
      </w:r>
      <w:r>
        <w:rPr>
          <w:sz w:val="24"/>
          <w:szCs w:val="24"/>
        </w:rPr>
        <w:t>with</w:t>
      </w:r>
      <w:r w:rsidR="00A072C5">
        <w:rPr>
          <w:sz w:val="24"/>
          <w:szCs w:val="24"/>
        </w:rPr>
        <w:t xml:space="preserve"> the</w:t>
      </w:r>
      <w:r>
        <w:rPr>
          <w:sz w:val="24"/>
          <w:szCs w:val="24"/>
        </w:rPr>
        <w:t xml:space="preserve"> defendant.</w:t>
      </w:r>
    </w:p>
    <w:p w14:paraId="41DAC5BC" w14:textId="1D9C7D7C" w:rsidR="003B381A" w:rsidRDefault="003B381A" w:rsidP="006561BA">
      <w:pPr>
        <w:rPr>
          <w:sz w:val="24"/>
          <w:szCs w:val="24"/>
        </w:rPr>
      </w:pPr>
      <w:r>
        <w:rPr>
          <w:sz w:val="24"/>
          <w:szCs w:val="24"/>
        </w:rPr>
        <w:t>(c)</w:t>
      </w:r>
      <w:r>
        <w:rPr>
          <w:sz w:val="24"/>
          <w:szCs w:val="24"/>
        </w:rPr>
        <w:tab/>
      </w:r>
      <w:r w:rsidR="00A072C5">
        <w:rPr>
          <w:sz w:val="24"/>
          <w:szCs w:val="24"/>
        </w:rPr>
        <w:t>That the plaintiff</w:t>
      </w:r>
      <w:r>
        <w:rPr>
          <w:sz w:val="24"/>
          <w:szCs w:val="24"/>
        </w:rPr>
        <w:t xml:space="preserve"> was in fact required to </w:t>
      </w:r>
      <w:r w:rsidR="00A072C5">
        <w:rPr>
          <w:sz w:val="24"/>
          <w:szCs w:val="24"/>
        </w:rPr>
        <w:t xml:space="preserve">charge an </w:t>
      </w:r>
      <w:r>
        <w:rPr>
          <w:sz w:val="24"/>
          <w:szCs w:val="24"/>
        </w:rPr>
        <w:t>increase</w:t>
      </w:r>
      <w:r w:rsidR="00A072C5">
        <w:rPr>
          <w:sz w:val="24"/>
          <w:szCs w:val="24"/>
        </w:rPr>
        <w:t>d</w:t>
      </w:r>
      <w:r>
        <w:rPr>
          <w:sz w:val="24"/>
          <w:szCs w:val="24"/>
        </w:rPr>
        <w:t xml:space="preserve"> fee due to unforeseen factors beyond its control. These factors included, inter alia, an increase in the scope of services; outstanding information from the target group; and information being provided to it in separate data rooms. These factors resulted in the provision of additional</w:t>
      </w:r>
      <w:r w:rsidR="009D5C7F">
        <w:rPr>
          <w:sz w:val="24"/>
          <w:szCs w:val="24"/>
        </w:rPr>
        <w:t xml:space="preserve"> professional</w:t>
      </w:r>
      <w:r>
        <w:rPr>
          <w:sz w:val="24"/>
          <w:szCs w:val="24"/>
        </w:rPr>
        <w:t xml:space="preserve"> legal services and the concomitant increase in legal fees beyond the capped </w:t>
      </w:r>
      <w:r w:rsidR="00A072C5">
        <w:rPr>
          <w:sz w:val="24"/>
          <w:szCs w:val="24"/>
        </w:rPr>
        <w:t>fee</w:t>
      </w:r>
      <w:r>
        <w:rPr>
          <w:sz w:val="24"/>
          <w:szCs w:val="24"/>
        </w:rPr>
        <w:t xml:space="preserve"> amount</w:t>
      </w:r>
      <w:r w:rsidR="00E8634D">
        <w:rPr>
          <w:sz w:val="24"/>
          <w:szCs w:val="24"/>
        </w:rPr>
        <w:t xml:space="preserve"> for the due diligence investigation</w:t>
      </w:r>
      <w:r>
        <w:rPr>
          <w:sz w:val="24"/>
          <w:szCs w:val="24"/>
        </w:rPr>
        <w:t>.</w:t>
      </w:r>
    </w:p>
    <w:p w14:paraId="71A23AD5" w14:textId="40AEE469" w:rsidR="003B381A" w:rsidRDefault="003B381A" w:rsidP="006561BA">
      <w:pPr>
        <w:rPr>
          <w:sz w:val="24"/>
          <w:szCs w:val="24"/>
        </w:rPr>
      </w:pPr>
      <w:r>
        <w:rPr>
          <w:sz w:val="24"/>
          <w:szCs w:val="24"/>
        </w:rPr>
        <w:t>(d)</w:t>
      </w:r>
      <w:r>
        <w:rPr>
          <w:sz w:val="24"/>
          <w:szCs w:val="24"/>
        </w:rPr>
        <w:tab/>
      </w:r>
      <w:r w:rsidR="00A072C5">
        <w:rPr>
          <w:sz w:val="24"/>
          <w:szCs w:val="24"/>
        </w:rPr>
        <w:t>That</w:t>
      </w:r>
      <w:r>
        <w:rPr>
          <w:sz w:val="24"/>
          <w:szCs w:val="24"/>
        </w:rPr>
        <w:t xml:space="preserve"> in accordance with the written mandate, </w:t>
      </w:r>
      <w:r w:rsidR="00A072C5">
        <w:rPr>
          <w:sz w:val="24"/>
          <w:szCs w:val="24"/>
        </w:rPr>
        <w:t xml:space="preserve">the plaintiff </w:t>
      </w:r>
      <w:r>
        <w:rPr>
          <w:sz w:val="24"/>
          <w:szCs w:val="24"/>
        </w:rPr>
        <w:t xml:space="preserve">kept the defendant abreast of these developments </w:t>
      </w:r>
      <w:r w:rsidR="009D5C7F">
        <w:rPr>
          <w:sz w:val="24"/>
          <w:szCs w:val="24"/>
        </w:rPr>
        <w:t xml:space="preserve">as they occurred and the fact that it would result in the </w:t>
      </w:r>
      <w:r>
        <w:rPr>
          <w:sz w:val="24"/>
          <w:szCs w:val="24"/>
        </w:rPr>
        <w:t>unavoidable and necessary increase in its legal fees</w:t>
      </w:r>
      <w:r w:rsidR="009D5C7F">
        <w:rPr>
          <w:sz w:val="24"/>
          <w:szCs w:val="24"/>
        </w:rPr>
        <w:t>. Further that the defendant raised no objection in this regard.</w:t>
      </w:r>
    </w:p>
    <w:p w14:paraId="7ECE8857" w14:textId="585AA710" w:rsidR="00844EFE" w:rsidRDefault="003B381A" w:rsidP="006561BA">
      <w:pPr>
        <w:rPr>
          <w:sz w:val="24"/>
          <w:szCs w:val="24"/>
        </w:rPr>
      </w:pPr>
      <w:r>
        <w:rPr>
          <w:sz w:val="24"/>
          <w:szCs w:val="24"/>
        </w:rPr>
        <w:t>(e)</w:t>
      </w:r>
      <w:r>
        <w:rPr>
          <w:sz w:val="24"/>
          <w:szCs w:val="24"/>
        </w:rPr>
        <w:tab/>
        <w:t xml:space="preserve">Its tax </w:t>
      </w:r>
      <w:r w:rsidR="001B3A27">
        <w:rPr>
          <w:sz w:val="24"/>
          <w:szCs w:val="24"/>
        </w:rPr>
        <w:t>invoice</w:t>
      </w:r>
      <w:r>
        <w:rPr>
          <w:sz w:val="24"/>
          <w:szCs w:val="24"/>
        </w:rPr>
        <w:t xml:space="preserve"> dated 28 August 2020</w:t>
      </w:r>
      <w:r w:rsidR="004E4EBF">
        <w:rPr>
          <w:sz w:val="24"/>
          <w:szCs w:val="24"/>
        </w:rPr>
        <w:t>,</w:t>
      </w:r>
      <w:r w:rsidR="009F05A9">
        <w:rPr>
          <w:sz w:val="24"/>
          <w:szCs w:val="24"/>
        </w:rPr>
        <w:t xml:space="preserve"> </w:t>
      </w:r>
      <w:r w:rsidR="00285BF8">
        <w:rPr>
          <w:sz w:val="24"/>
          <w:szCs w:val="24"/>
        </w:rPr>
        <w:t>for</w:t>
      </w:r>
      <w:r w:rsidR="009F05A9">
        <w:rPr>
          <w:sz w:val="24"/>
          <w:szCs w:val="24"/>
        </w:rPr>
        <w:t xml:space="preserve"> R1 103 454.21 (incl vat)</w:t>
      </w:r>
      <w:r w:rsidR="004E4EBF">
        <w:rPr>
          <w:sz w:val="24"/>
          <w:szCs w:val="24"/>
        </w:rPr>
        <w:t xml:space="preserve">, included the increased fee amount in respect of the due diligence investigation. It </w:t>
      </w:r>
      <w:r w:rsidR="00725AE1">
        <w:rPr>
          <w:sz w:val="24"/>
          <w:szCs w:val="24"/>
        </w:rPr>
        <w:t xml:space="preserve">was presented for payment </w:t>
      </w:r>
      <w:r w:rsidR="004E4EBF">
        <w:rPr>
          <w:sz w:val="24"/>
          <w:szCs w:val="24"/>
        </w:rPr>
        <w:t xml:space="preserve">to the defendant </w:t>
      </w:r>
      <w:r w:rsidR="00725AE1">
        <w:rPr>
          <w:sz w:val="24"/>
          <w:szCs w:val="24"/>
        </w:rPr>
        <w:t>and dishonoured by non-payment.</w:t>
      </w:r>
      <w:r w:rsidR="009F05A9">
        <w:rPr>
          <w:sz w:val="24"/>
          <w:szCs w:val="24"/>
        </w:rPr>
        <w:t xml:space="preserve"> </w:t>
      </w:r>
      <w:r w:rsidR="00725AE1">
        <w:rPr>
          <w:sz w:val="24"/>
          <w:szCs w:val="24"/>
        </w:rPr>
        <w:t>A copy</w:t>
      </w:r>
      <w:r w:rsidR="001B3A27">
        <w:rPr>
          <w:sz w:val="24"/>
          <w:szCs w:val="24"/>
        </w:rPr>
        <w:t xml:space="preserve"> </w:t>
      </w:r>
      <w:r w:rsidR="004E4EBF">
        <w:rPr>
          <w:sz w:val="24"/>
          <w:szCs w:val="24"/>
        </w:rPr>
        <w:t xml:space="preserve">of this invoice </w:t>
      </w:r>
      <w:r w:rsidR="001B3A27">
        <w:rPr>
          <w:sz w:val="24"/>
          <w:szCs w:val="24"/>
        </w:rPr>
        <w:t xml:space="preserve">is annexed to the particulars of claim </w:t>
      </w:r>
      <w:r w:rsidR="004E4EBF">
        <w:rPr>
          <w:sz w:val="24"/>
          <w:szCs w:val="24"/>
        </w:rPr>
        <w:t xml:space="preserve">and </w:t>
      </w:r>
      <w:r w:rsidR="001B3A27">
        <w:rPr>
          <w:sz w:val="24"/>
          <w:szCs w:val="24"/>
        </w:rPr>
        <w:t>represent</w:t>
      </w:r>
      <w:r w:rsidR="004E4EBF">
        <w:rPr>
          <w:sz w:val="24"/>
          <w:szCs w:val="24"/>
        </w:rPr>
        <w:t xml:space="preserve">s </w:t>
      </w:r>
      <w:r w:rsidR="001B3A27">
        <w:rPr>
          <w:sz w:val="24"/>
          <w:szCs w:val="24"/>
        </w:rPr>
        <w:t xml:space="preserve">the amount claimed </w:t>
      </w:r>
      <w:r w:rsidR="00844EFE">
        <w:rPr>
          <w:sz w:val="24"/>
          <w:szCs w:val="24"/>
        </w:rPr>
        <w:t xml:space="preserve">from the defendant. </w:t>
      </w:r>
    </w:p>
    <w:p w14:paraId="4FE1E44B" w14:textId="02413CC9" w:rsidR="00725AE1" w:rsidRDefault="004E4EBF" w:rsidP="006561BA">
      <w:pPr>
        <w:rPr>
          <w:sz w:val="24"/>
          <w:szCs w:val="24"/>
        </w:rPr>
      </w:pPr>
      <w:r>
        <w:rPr>
          <w:sz w:val="24"/>
          <w:szCs w:val="24"/>
        </w:rPr>
        <w:t>(f)</w:t>
      </w:r>
      <w:r>
        <w:rPr>
          <w:sz w:val="24"/>
          <w:szCs w:val="24"/>
        </w:rPr>
        <w:tab/>
        <w:t>T</w:t>
      </w:r>
      <w:r w:rsidR="00725AE1">
        <w:rPr>
          <w:sz w:val="24"/>
          <w:szCs w:val="24"/>
        </w:rPr>
        <w:t xml:space="preserve">hat it complied with its obligations in terms of the written mandate </w:t>
      </w:r>
      <w:r w:rsidR="00725AE1" w:rsidRPr="00725AE1">
        <w:rPr>
          <w:sz w:val="24"/>
          <w:szCs w:val="24"/>
        </w:rPr>
        <w:t>by</w:t>
      </w:r>
      <w:r w:rsidR="00725AE1">
        <w:rPr>
          <w:sz w:val="24"/>
          <w:szCs w:val="24"/>
        </w:rPr>
        <w:t>,</w:t>
      </w:r>
      <w:r w:rsidR="00725AE1" w:rsidRPr="00725AE1">
        <w:rPr>
          <w:sz w:val="24"/>
          <w:szCs w:val="24"/>
        </w:rPr>
        <w:t xml:space="preserve"> inter alia</w:t>
      </w:r>
      <w:r w:rsidR="00725AE1">
        <w:rPr>
          <w:sz w:val="24"/>
          <w:szCs w:val="24"/>
        </w:rPr>
        <w:t>,</w:t>
      </w:r>
      <w:r w:rsidR="00725AE1" w:rsidRPr="00725AE1">
        <w:rPr>
          <w:sz w:val="24"/>
          <w:szCs w:val="24"/>
        </w:rPr>
        <w:t xml:space="preserve"> rendering its professional legal services to the</w:t>
      </w:r>
      <w:r w:rsidR="00725AE1">
        <w:rPr>
          <w:sz w:val="24"/>
          <w:szCs w:val="24"/>
        </w:rPr>
        <w:t xml:space="preserve"> d</w:t>
      </w:r>
      <w:r w:rsidR="00725AE1" w:rsidRPr="00725AE1">
        <w:rPr>
          <w:sz w:val="24"/>
          <w:szCs w:val="24"/>
        </w:rPr>
        <w:t xml:space="preserve">efendant in accordance with the scope of </w:t>
      </w:r>
      <w:r>
        <w:rPr>
          <w:sz w:val="24"/>
          <w:szCs w:val="24"/>
        </w:rPr>
        <w:t>work described in the agreement</w:t>
      </w:r>
      <w:r w:rsidR="00360C56">
        <w:rPr>
          <w:sz w:val="24"/>
          <w:szCs w:val="24"/>
        </w:rPr>
        <w:t>; describing</w:t>
      </w:r>
      <w:r>
        <w:rPr>
          <w:sz w:val="24"/>
          <w:szCs w:val="24"/>
        </w:rPr>
        <w:t xml:space="preserve"> the professional legal services rendered </w:t>
      </w:r>
      <w:r w:rsidR="00725AE1" w:rsidRPr="00725AE1">
        <w:rPr>
          <w:sz w:val="24"/>
          <w:szCs w:val="24"/>
        </w:rPr>
        <w:t xml:space="preserve">with sufficient particularity in the </w:t>
      </w:r>
      <w:r>
        <w:rPr>
          <w:sz w:val="24"/>
          <w:szCs w:val="24"/>
        </w:rPr>
        <w:t xml:space="preserve">narrative and </w:t>
      </w:r>
      <w:r w:rsidR="00725AE1" w:rsidRPr="00725AE1">
        <w:rPr>
          <w:sz w:val="24"/>
          <w:szCs w:val="24"/>
        </w:rPr>
        <w:t xml:space="preserve">descriptions in </w:t>
      </w:r>
      <w:r>
        <w:rPr>
          <w:sz w:val="24"/>
          <w:szCs w:val="24"/>
        </w:rPr>
        <w:t>its tax</w:t>
      </w:r>
      <w:r w:rsidR="00725AE1" w:rsidRPr="00725AE1">
        <w:rPr>
          <w:sz w:val="24"/>
          <w:szCs w:val="24"/>
        </w:rPr>
        <w:t xml:space="preserve"> invoice</w:t>
      </w:r>
      <w:r>
        <w:rPr>
          <w:sz w:val="24"/>
          <w:szCs w:val="24"/>
        </w:rPr>
        <w:t xml:space="preserve"> dated 28 August 2020</w:t>
      </w:r>
      <w:r w:rsidR="00285BF8">
        <w:rPr>
          <w:sz w:val="24"/>
          <w:szCs w:val="24"/>
        </w:rPr>
        <w:t xml:space="preserve">; </w:t>
      </w:r>
      <w:r w:rsidR="00725AE1" w:rsidRPr="00725AE1">
        <w:rPr>
          <w:sz w:val="24"/>
          <w:szCs w:val="24"/>
        </w:rPr>
        <w:t xml:space="preserve">and further informing the </w:t>
      </w:r>
      <w:r w:rsidR="00725AE1">
        <w:rPr>
          <w:sz w:val="24"/>
          <w:szCs w:val="24"/>
        </w:rPr>
        <w:t>d</w:t>
      </w:r>
      <w:r w:rsidR="00725AE1" w:rsidRPr="00725AE1">
        <w:rPr>
          <w:sz w:val="24"/>
          <w:szCs w:val="24"/>
        </w:rPr>
        <w:t xml:space="preserve">efendant of the </w:t>
      </w:r>
      <w:r w:rsidR="00285BF8">
        <w:rPr>
          <w:sz w:val="24"/>
          <w:szCs w:val="24"/>
        </w:rPr>
        <w:t xml:space="preserve">factors that necessitated the </w:t>
      </w:r>
      <w:r w:rsidR="00725AE1" w:rsidRPr="00725AE1">
        <w:rPr>
          <w:sz w:val="24"/>
          <w:szCs w:val="24"/>
        </w:rPr>
        <w:t xml:space="preserve">resultant increase in the </w:t>
      </w:r>
      <w:r w:rsidR="00285BF8">
        <w:rPr>
          <w:sz w:val="24"/>
          <w:szCs w:val="24"/>
        </w:rPr>
        <w:t>f</w:t>
      </w:r>
      <w:r w:rsidR="00725AE1" w:rsidRPr="00725AE1">
        <w:rPr>
          <w:sz w:val="24"/>
          <w:szCs w:val="24"/>
        </w:rPr>
        <w:t>ee</w:t>
      </w:r>
      <w:r w:rsidR="00285BF8">
        <w:rPr>
          <w:sz w:val="24"/>
          <w:szCs w:val="24"/>
        </w:rPr>
        <w:t>.</w:t>
      </w:r>
    </w:p>
    <w:p w14:paraId="5F2B3B7D" w14:textId="22F3440E" w:rsidR="003345A4" w:rsidRDefault="009F7F7D" w:rsidP="006561BA">
      <w:pPr>
        <w:rPr>
          <w:sz w:val="24"/>
          <w:szCs w:val="24"/>
        </w:rPr>
      </w:pPr>
      <w:r>
        <w:rPr>
          <w:sz w:val="24"/>
          <w:szCs w:val="24"/>
        </w:rPr>
        <w:t>[6]</w:t>
      </w:r>
      <w:r>
        <w:rPr>
          <w:sz w:val="24"/>
          <w:szCs w:val="24"/>
        </w:rPr>
        <w:tab/>
      </w:r>
      <w:r w:rsidR="00B203EB">
        <w:rPr>
          <w:sz w:val="24"/>
          <w:szCs w:val="24"/>
        </w:rPr>
        <w:t>The</w:t>
      </w:r>
      <w:r w:rsidR="00E33544">
        <w:rPr>
          <w:sz w:val="24"/>
          <w:szCs w:val="24"/>
        </w:rPr>
        <w:t xml:space="preserve"> purpose and </w:t>
      </w:r>
      <w:r w:rsidR="00B203EB">
        <w:rPr>
          <w:sz w:val="24"/>
          <w:szCs w:val="24"/>
        </w:rPr>
        <w:t>effect of the amendments</w:t>
      </w:r>
      <w:r w:rsidR="00E33544">
        <w:rPr>
          <w:sz w:val="24"/>
          <w:szCs w:val="24"/>
        </w:rPr>
        <w:t xml:space="preserve">, as explained by the plaintiff, </w:t>
      </w:r>
      <w:r w:rsidR="00B203EB">
        <w:rPr>
          <w:sz w:val="24"/>
          <w:szCs w:val="24"/>
        </w:rPr>
        <w:t>are to clarify the reasons for the plaintiff’s deviation from charging the agreed</w:t>
      </w:r>
      <w:r w:rsidR="00E8634D">
        <w:rPr>
          <w:sz w:val="24"/>
          <w:szCs w:val="24"/>
        </w:rPr>
        <w:t xml:space="preserve"> capped</w:t>
      </w:r>
      <w:r w:rsidR="00B203EB">
        <w:rPr>
          <w:sz w:val="24"/>
          <w:szCs w:val="24"/>
        </w:rPr>
        <w:t xml:space="preserve"> fee for the due diligence</w:t>
      </w:r>
      <w:r w:rsidR="00E33544">
        <w:rPr>
          <w:sz w:val="24"/>
          <w:szCs w:val="24"/>
        </w:rPr>
        <w:t xml:space="preserve"> investigation aspect </w:t>
      </w:r>
      <w:r w:rsidR="00B203EB">
        <w:rPr>
          <w:sz w:val="24"/>
          <w:szCs w:val="24"/>
        </w:rPr>
        <w:t xml:space="preserve">of the </w:t>
      </w:r>
      <w:r w:rsidR="00E33544">
        <w:rPr>
          <w:sz w:val="24"/>
          <w:szCs w:val="24"/>
        </w:rPr>
        <w:t xml:space="preserve">scope of works </w:t>
      </w:r>
      <w:r w:rsidR="00285BF8">
        <w:rPr>
          <w:sz w:val="24"/>
          <w:szCs w:val="24"/>
        </w:rPr>
        <w:t xml:space="preserve">for </w:t>
      </w:r>
      <w:r w:rsidR="00E33544">
        <w:rPr>
          <w:sz w:val="24"/>
          <w:szCs w:val="24"/>
        </w:rPr>
        <w:t xml:space="preserve">the </w:t>
      </w:r>
      <w:r w:rsidR="00285BF8">
        <w:rPr>
          <w:sz w:val="24"/>
          <w:szCs w:val="24"/>
        </w:rPr>
        <w:t xml:space="preserve">professional </w:t>
      </w:r>
      <w:r w:rsidR="00E33544">
        <w:rPr>
          <w:sz w:val="24"/>
          <w:szCs w:val="24"/>
        </w:rPr>
        <w:t>lega</w:t>
      </w:r>
      <w:r w:rsidR="00285BF8">
        <w:rPr>
          <w:sz w:val="24"/>
          <w:szCs w:val="24"/>
        </w:rPr>
        <w:t>l services rendered,</w:t>
      </w:r>
      <w:r w:rsidR="00B203EB">
        <w:rPr>
          <w:sz w:val="24"/>
          <w:szCs w:val="24"/>
        </w:rPr>
        <w:t xml:space="preserve"> </w:t>
      </w:r>
      <w:r w:rsidR="00023350">
        <w:rPr>
          <w:sz w:val="24"/>
          <w:szCs w:val="24"/>
        </w:rPr>
        <w:t>and to position such deviation within the terms and conditions of the written mandate.</w:t>
      </w:r>
      <w:r w:rsidR="001B3A27">
        <w:rPr>
          <w:sz w:val="24"/>
          <w:szCs w:val="24"/>
        </w:rPr>
        <w:t xml:space="preserve"> </w:t>
      </w:r>
      <w:r w:rsidR="003345A4">
        <w:rPr>
          <w:sz w:val="24"/>
          <w:szCs w:val="24"/>
        </w:rPr>
        <w:t xml:space="preserve"> </w:t>
      </w:r>
    </w:p>
    <w:p w14:paraId="25BC320D" w14:textId="40284503" w:rsidR="00586F56" w:rsidRDefault="009F7F7D" w:rsidP="006561BA">
      <w:pPr>
        <w:rPr>
          <w:sz w:val="24"/>
          <w:szCs w:val="24"/>
        </w:rPr>
      </w:pPr>
      <w:r>
        <w:rPr>
          <w:sz w:val="24"/>
          <w:szCs w:val="24"/>
        </w:rPr>
        <w:t>[7]</w:t>
      </w:r>
      <w:r>
        <w:rPr>
          <w:sz w:val="24"/>
          <w:szCs w:val="24"/>
        </w:rPr>
        <w:tab/>
      </w:r>
      <w:r w:rsidR="00586F56">
        <w:rPr>
          <w:sz w:val="24"/>
          <w:szCs w:val="24"/>
        </w:rPr>
        <w:t>The defendant has advanced essentially the same grounds for both the exception that the particulars of claim, do not disclose a cause of action and the exception that the particulars of claim are vague and embarrassing. It was contended that the exceptions, which where they overlap on the same point but seek different outcomes, are to be treated in the alternative. It argued that where the particulars of claim allege sufficient material to support the elements of a cause of action, but certain portions of that material are conclusions instead of factual allegations, then the particulars of claim will be excipiable.</w:t>
      </w:r>
    </w:p>
    <w:p w14:paraId="3C852676" w14:textId="17F72795" w:rsidR="0000036B" w:rsidRDefault="009F7F7D" w:rsidP="006561BA">
      <w:pPr>
        <w:rPr>
          <w:sz w:val="24"/>
          <w:szCs w:val="24"/>
        </w:rPr>
      </w:pPr>
      <w:r>
        <w:rPr>
          <w:sz w:val="24"/>
          <w:szCs w:val="24"/>
        </w:rPr>
        <w:t>[8]</w:t>
      </w:r>
      <w:r>
        <w:rPr>
          <w:sz w:val="24"/>
          <w:szCs w:val="24"/>
        </w:rPr>
        <w:tab/>
      </w:r>
      <w:r w:rsidR="00EB5D1C" w:rsidRPr="007A38AC">
        <w:rPr>
          <w:sz w:val="24"/>
          <w:szCs w:val="24"/>
        </w:rPr>
        <w:t>The defendant’s notice of exception</w:t>
      </w:r>
      <w:r w:rsidR="007A38AC">
        <w:rPr>
          <w:sz w:val="24"/>
          <w:szCs w:val="24"/>
        </w:rPr>
        <w:t xml:space="preserve"> </w:t>
      </w:r>
      <w:r w:rsidR="007A38AC" w:rsidRPr="007A38AC">
        <w:rPr>
          <w:sz w:val="24"/>
          <w:szCs w:val="24"/>
        </w:rPr>
        <w:t>on the ground that the particulars of claim lack averments to sustain a cause of action</w:t>
      </w:r>
      <w:r w:rsidR="00EB5D1C" w:rsidRPr="007A38AC">
        <w:rPr>
          <w:sz w:val="24"/>
          <w:szCs w:val="24"/>
        </w:rPr>
        <w:t xml:space="preserve"> was delivered on 5 February 2021. </w:t>
      </w:r>
      <w:r w:rsidR="00A84483">
        <w:rPr>
          <w:sz w:val="24"/>
          <w:szCs w:val="24"/>
        </w:rPr>
        <w:t>The relief sought is</w:t>
      </w:r>
      <w:r w:rsidR="00AF09B0">
        <w:rPr>
          <w:sz w:val="24"/>
          <w:szCs w:val="24"/>
        </w:rPr>
        <w:t xml:space="preserve"> for the </w:t>
      </w:r>
      <w:r w:rsidR="00A84483">
        <w:rPr>
          <w:sz w:val="24"/>
          <w:szCs w:val="24"/>
        </w:rPr>
        <w:t>plaintiff’s claim</w:t>
      </w:r>
      <w:r w:rsidR="00AF09B0">
        <w:rPr>
          <w:sz w:val="24"/>
          <w:szCs w:val="24"/>
        </w:rPr>
        <w:t xml:space="preserve"> to</w:t>
      </w:r>
      <w:r w:rsidR="00A84483">
        <w:rPr>
          <w:sz w:val="24"/>
          <w:szCs w:val="24"/>
        </w:rPr>
        <w:t xml:space="preserve"> be struck out. </w:t>
      </w:r>
    </w:p>
    <w:p w14:paraId="2BB0C520" w14:textId="4547C781" w:rsidR="00586F56" w:rsidRDefault="009F7F7D" w:rsidP="00A84483">
      <w:pPr>
        <w:rPr>
          <w:sz w:val="24"/>
          <w:szCs w:val="24"/>
        </w:rPr>
      </w:pPr>
      <w:r>
        <w:rPr>
          <w:sz w:val="24"/>
          <w:szCs w:val="24"/>
        </w:rPr>
        <w:t>[9]</w:t>
      </w:r>
      <w:r>
        <w:rPr>
          <w:sz w:val="24"/>
          <w:szCs w:val="24"/>
        </w:rPr>
        <w:tab/>
      </w:r>
      <w:r w:rsidR="00586F56">
        <w:rPr>
          <w:sz w:val="24"/>
          <w:szCs w:val="24"/>
        </w:rPr>
        <w:t>The defendant contends that t</w:t>
      </w:r>
      <w:r w:rsidR="00A84483">
        <w:rPr>
          <w:sz w:val="24"/>
          <w:szCs w:val="24"/>
        </w:rPr>
        <w:t xml:space="preserve">he plaintiff broadly alleges compliance with the written mandate when a deviation is envisaged but fails to allege the specific </w:t>
      </w:r>
      <w:r w:rsidR="00360C56">
        <w:rPr>
          <w:sz w:val="24"/>
          <w:szCs w:val="24"/>
        </w:rPr>
        <w:t>facts, terms,</w:t>
      </w:r>
      <w:r w:rsidR="00A84483">
        <w:rPr>
          <w:sz w:val="24"/>
          <w:szCs w:val="24"/>
        </w:rPr>
        <w:t xml:space="preserve"> and conditions that are required for compliance with clause 5.5 of the written mandate</w:t>
      </w:r>
      <w:r w:rsidR="00586F56">
        <w:rPr>
          <w:sz w:val="24"/>
          <w:szCs w:val="24"/>
        </w:rPr>
        <w:t xml:space="preserve">, which regulates the manner in which a party may deviate from the agreed fixed fee. </w:t>
      </w:r>
      <w:r w:rsidR="00BE2A08">
        <w:rPr>
          <w:sz w:val="24"/>
          <w:szCs w:val="24"/>
        </w:rPr>
        <w:t>Mr Clark, who appeared on behalf of t</w:t>
      </w:r>
      <w:r w:rsidR="00A84483">
        <w:rPr>
          <w:sz w:val="24"/>
          <w:szCs w:val="24"/>
        </w:rPr>
        <w:t>he defendant</w:t>
      </w:r>
      <w:r w:rsidR="00BE2A08">
        <w:rPr>
          <w:sz w:val="24"/>
          <w:szCs w:val="24"/>
        </w:rPr>
        <w:t>,</w:t>
      </w:r>
      <w:r w:rsidR="00A84483">
        <w:rPr>
          <w:sz w:val="24"/>
          <w:szCs w:val="24"/>
        </w:rPr>
        <w:t xml:space="preserve"> </w:t>
      </w:r>
      <w:r w:rsidR="00BE2A08">
        <w:rPr>
          <w:sz w:val="24"/>
          <w:szCs w:val="24"/>
        </w:rPr>
        <w:t xml:space="preserve">argued </w:t>
      </w:r>
      <w:r w:rsidR="00A84483">
        <w:rPr>
          <w:sz w:val="24"/>
          <w:szCs w:val="24"/>
        </w:rPr>
        <w:t>that</w:t>
      </w:r>
      <w:r w:rsidR="00586F56">
        <w:rPr>
          <w:sz w:val="24"/>
          <w:szCs w:val="24"/>
        </w:rPr>
        <w:t xml:space="preserve"> legal services </w:t>
      </w:r>
      <w:r w:rsidR="00A84483">
        <w:rPr>
          <w:sz w:val="24"/>
          <w:szCs w:val="24"/>
        </w:rPr>
        <w:t xml:space="preserve">involving an increase in </w:t>
      </w:r>
      <w:r w:rsidR="00586F56">
        <w:rPr>
          <w:sz w:val="24"/>
          <w:szCs w:val="24"/>
        </w:rPr>
        <w:t xml:space="preserve">fees could </w:t>
      </w:r>
      <w:r w:rsidR="00A84483">
        <w:rPr>
          <w:sz w:val="24"/>
          <w:szCs w:val="24"/>
        </w:rPr>
        <w:t xml:space="preserve">only be </w:t>
      </w:r>
      <w:r w:rsidR="00586F56">
        <w:rPr>
          <w:sz w:val="24"/>
          <w:szCs w:val="24"/>
        </w:rPr>
        <w:t xml:space="preserve">performed </w:t>
      </w:r>
      <w:r w:rsidR="00A84483">
        <w:rPr>
          <w:sz w:val="24"/>
          <w:szCs w:val="24"/>
        </w:rPr>
        <w:t xml:space="preserve">after discussion with the defendant and provided such </w:t>
      </w:r>
      <w:r w:rsidR="00360C56">
        <w:rPr>
          <w:sz w:val="24"/>
          <w:szCs w:val="24"/>
        </w:rPr>
        <w:t>discussion,</w:t>
      </w:r>
      <w:r w:rsidR="00586F56">
        <w:rPr>
          <w:sz w:val="24"/>
          <w:szCs w:val="24"/>
        </w:rPr>
        <w:t xml:space="preserve"> resulted</w:t>
      </w:r>
      <w:r w:rsidR="00A84483">
        <w:rPr>
          <w:sz w:val="24"/>
          <w:szCs w:val="24"/>
        </w:rPr>
        <w:t xml:space="preserve"> in newly agreed written arrangements. </w:t>
      </w:r>
    </w:p>
    <w:p w14:paraId="3F7EB8DC" w14:textId="07505D62" w:rsidR="00A84483" w:rsidRDefault="009F7F7D" w:rsidP="00A84483">
      <w:pPr>
        <w:rPr>
          <w:sz w:val="24"/>
          <w:szCs w:val="24"/>
        </w:rPr>
      </w:pPr>
      <w:r>
        <w:rPr>
          <w:sz w:val="24"/>
          <w:szCs w:val="24"/>
        </w:rPr>
        <w:t>[10]</w:t>
      </w:r>
      <w:r>
        <w:rPr>
          <w:sz w:val="24"/>
          <w:szCs w:val="24"/>
        </w:rPr>
        <w:tab/>
      </w:r>
      <w:r w:rsidR="00AF09B0">
        <w:rPr>
          <w:sz w:val="24"/>
          <w:szCs w:val="24"/>
        </w:rPr>
        <w:t>P</w:t>
      </w:r>
      <w:r w:rsidR="00A84483">
        <w:rPr>
          <w:sz w:val="24"/>
          <w:szCs w:val="24"/>
        </w:rPr>
        <w:t xml:space="preserve">aragraph 17 </w:t>
      </w:r>
      <w:r w:rsidR="00AF09B0">
        <w:rPr>
          <w:sz w:val="24"/>
          <w:szCs w:val="24"/>
        </w:rPr>
        <w:t xml:space="preserve">of the amended particulars of claim, </w:t>
      </w:r>
      <w:r w:rsidR="00A84483">
        <w:rPr>
          <w:sz w:val="24"/>
          <w:szCs w:val="24"/>
        </w:rPr>
        <w:t xml:space="preserve">is specifically attacked as </w:t>
      </w:r>
      <w:r w:rsidR="00AF09B0">
        <w:rPr>
          <w:sz w:val="24"/>
          <w:szCs w:val="24"/>
        </w:rPr>
        <w:t xml:space="preserve">failing to disclose </w:t>
      </w:r>
      <w:r w:rsidR="00C05659">
        <w:rPr>
          <w:sz w:val="24"/>
          <w:szCs w:val="24"/>
        </w:rPr>
        <w:t xml:space="preserve">facts </w:t>
      </w:r>
      <w:r w:rsidR="00A84483">
        <w:rPr>
          <w:sz w:val="24"/>
          <w:szCs w:val="24"/>
        </w:rPr>
        <w:t>necessary to sustain a cause of action</w:t>
      </w:r>
      <w:r w:rsidR="00C05659">
        <w:rPr>
          <w:sz w:val="24"/>
          <w:szCs w:val="24"/>
        </w:rPr>
        <w:t xml:space="preserve"> in compliance with clause 5.5 of the written mandate</w:t>
      </w:r>
      <w:r w:rsidR="00A84483">
        <w:rPr>
          <w:sz w:val="24"/>
          <w:szCs w:val="24"/>
        </w:rPr>
        <w:t xml:space="preserve">. </w:t>
      </w:r>
      <w:r w:rsidR="004A138E">
        <w:rPr>
          <w:sz w:val="24"/>
          <w:szCs w:val="24"/>
        </w:rPr>
        <w:t>Mr Clark</w:t>
      </w:r>
      <w:r w:rsidR="00226070">
        <w:rPr>
          <w:sz w:val="24"/>
          <w:szCs w:val="24"/>
        </w:rPr>
        <w:t xml:space="preserve"> contends that the </w:t>
      </w:r>
      <w:r w:rsidR="00AF09B0">
        <w:rPr>
          <w:sz w:val="24"/>
          <w:szCs w:val="24"/>
        </w:rPr>
        <w:t xml:space="preserve">bald </w:t>
      </w:r>
      <w:r w:rsidR="00226070">
        <w:rPr>
          <w:sz w:val="24"/>
          <w:szCs w:val="24"/>
        </w:rPr>
        <w:t>averment</w:t>
      </w:r>
      <w:r w:rsidR="004A138E">
        <w:rPr>
          <w:sz w:val="24"/>
          <w:szCs w:val="24"/>
        </w:rPr>
        <w:t xml:space="preserve"> </w:t>
      </w:r>
      <w:r w:rsidR="00226070">
        <w:rPr>
          <w:sz w:val="24"/>
          <w:szCs w:val="24"/>
        </w:rPr>
        <w:t>of compliance with clause 5.5</w:t>
      </w:r>
      <w:r w:rsidR="004A138E">
        <w:rPr>
          <w:sz w:val="24"/>
          <w:szCs w:val="24"/>
        </w:rPr>
        <w:t xml:space="preserve"> amount</w:t>
      </w:r>
      <w:r w:rsidR="00226070">
        <w:rPr>
          <w:sz w:val="24"/>
          <w:szCs w:val="24"/>
        </w:rPr>
        <w:t>s</w:t>
      </w:r>
      <w:r w:rsidR="004A138E">
        <w:rPr>
          <w:sz w:val="24"/>
          <w:szCs w:val="24"/>
        </w:rPr>
        <w:t xml:space="preserve"> to</w:t>
      </w:r>
      <w:r w:rsidR="00226070">
        <w:rPr>
          <w:sz w:val="24"/>
          <w:szCs w:val="24"/>
        </w:rPr>
        <w:t xml:space="preserve"> a</w:t>
      </w:r>
      <w:r w:rsidR="004A138E">
        <w:rPr>
          <w:sz w:val="24"/>
          <w:szCs w:val="24"/>
        </w:rPr>
        <w:t xml:space="preserve"> legal conclusion as opposed to facts that disclose a cause of action. </w:t>
      </w:r>
      <w:r w:rsidR="00A84483">
        <w:rPr>
          <w:sz w:val="24"/>
          <w:szCs w:val="24"/>
        </w:rPr>
        <w:t xml:space="preserve">Accordingly, </w:t>
      </w:r>
      <w:r w:rsidR="00BE2A08">
        <w:rPr>
          <w:sz w:val="24"/>
          <w:szCs w:val="24"/>
        </w:rPr>
        <w:t xml:space="preserve">Mr Clark submitted </w:t>
      </w:r>
      <w:r w:rsidR="00586F56">
        <w:rPr>
          <w:sz w:val="24"/>
          <w:szCs w:val="24"/>
        </w:rPr>
        <w:t xml:space="preserve">that the </w:t>
      </w:r>
      <w:r w:rsidR="00A84483">
        <w:rPr>
          <w:sz w:val="24"/>
          <w:szCs w:val="24"/>
        </w:rPr>
        <w:t>amendment will not cure the defect to the particulars of claim raised by the defendant’s exception that the particulars of claim do not disclose a cause of action.</w:t>
      </w:r>
    </w:p>
    <w:p w14:paraId="5CC95C51" w14:textId="2735859B" w:rsidR="002A0B05" w:rsidRDefault="00211414" w:rsidP="002A0B05">
      <w:pPr>
        <w:rPr>
          <w:b/>
          <w:sz w:val="24"/>
          <w:szCs w:val="24"/>
        </w:rPr>
      </w:pPr>
      <w:r>
        <w:rPr>
          <w:sz w:val="24"/>
          <w:szCs w:val="24"/>
        </w:rPr>
        <w:t>[11]</w:t>
      </w:r>
      <w:r>
        <w:rPr>
          <w:sz w:val="24"/>
          <w:szCs w:val="24"/>
        </w:rPr>
        <w:tab/>
      </w:r>
      <w:r w:rsidR="002A0B05" w:rsidRPr="00285BF8">
        <w:rPr>
          <w:sz w:val="24"/>
          <w:szCs w:val="24"/>
        </w:rPr>
        <w:t>The defendant’s</w:t>
      </w:r>
      <w:r w:rsidR="002A0B05">
        <w:rPr>
          <w:sz w:val="24"/>
          <w:szCs w:val="24"/>
        </w:rPr>
        <w:t xml:space="preserve"> </w:t>
      </w:r>
      <w:r w:rsidR="002A0B05" w:rsidRPr="00285BF8">
        <w:rPr>
          <w:sz w:val="24"/>
          <w:szCs w:val="24"/>
        </w:rPr>
        <w:t>notice</w:t>
      </w:r>
      <w:r w:rsidR="002A0B05">
        <w:rPr>
          <w:sz w:val="24"/>
          <w:szCs w:val="24"/>
        </w:rPr>
        <w:t xml:space="preserve"> </w:t>
      </w:r>
      <w:r w:rsidR="002A0B05" w:rsidRPr="00285BF8">
        <w:rPr>
          <w:sz w:val="24"/>
          <w:szCs w:val="24"/>
        </w:rPr>
        <w:t xml:space="preserve">in terms of rule 23(1)(a) to remove cause of complaint was delivered on 5 February 2021. </w:t>
      </w:r>
      <w:r w:rsidR="002A0B05">
        <w:rPr>
          <w:sz w:val="24"/>
          <w:szCs w:val="24"/>
        </w:rPr>
        <w:t xml:space="preserve">This notice </w:t>
      </w:r>
      <w:r w:rsidR="002A0B05" w:rsidRPr="00285BF8">
        <w:rPr>
          <w:sz w:val="24"/>
          <w:szCs w:val="24"/>
        </w:rPr>
        <w:t xml:space="preserve">informed the plaintiff of </w:t>
      </w:r>
      <w:r w:rsidR="002A0B05">
        <w:rPr>
          <w:sz w:val="24"/>
          <w:szCs w:val="24"/>
        </w:rPr>
        <w:t xml:space="preserve">the defendant’s </w:t>
      </w:r>
      <w:r w:rsidR="002A0B05" w:rsidRPr="00285BF8">
        <w:rPr>
          <w:sz w:val="24"/>
          <w:szCs w:val="24"/>
        </w:rPr>
        <w:t>intention to except on three identified grounds</w:t>
      </w:r>
      <w:r w:rsidR="002A0B05">
        <w:rPr>
          <w:sz w:val="24"/>
          <w:szCs w:val="24"/>
        </w:rPr>
        <w:t>,</w:t>
      </w:r>
      <w:r w:rsidR="002A0B05" w:rsidRPr="00285BF8">
        <w:rPr>
          <w:sz w:val="24"/>
          <w:szCs w:val="24"/>
        </w:rPr>
        <w:t xml:space="preserve"> which each assert that the particulars of claim are vague and embarrassing. It afforded the plaintiff an opportunity of removing these causes of complaint within 15 days. This notice is a precursor to an exception</w:t>
      </w:r>
      <w:r w:rsidR="002A0B05" w:rsidRPr="00E863D1">
        <w:rPr>
          <w:b/>
          <w:sz w:val="24"/>
          <w:szCs w:val="24"/>
        </w:rPr>
        <w:t>.</w:t>
      </w:r>
      <w:r w:rsidR="002A0B05" w:rsidRPr="00AE7F47">
        <w:rPr>
          <w:rStyle w:val="FootnoteReference"/>
          <w:rFonts w:ascii="Arial" w:hAnsi="Arial"/>
          <w:sz w:val="20"/>
        </w:rPr>
        <w:footnoteReference w:id="2"/>
      </w:r>
      <w:r w:rsidR="002A0B05" w:rsidRPr="00AE7F47">
        <w:rPr>
          <w:sz w:val="24"/>
          <w:szCs w:val="24"/>
        </w:rPr>
        <w:t xml:space="preserve"> </w:t>
      </w:r>
      <w:r w:rsidR="002A0B05" w:rsidRPr="00E863D1">
        <w:rPr>
          <w:b/>
          <w:sz w:val="24"/>
          <w:szCs w:val="24"/>
        </w:rPr>
        <w:t xml:space="preserve"> </w:t>
      </w:r>
    </w:p>
    <w:p w14:paraId="33E78391" w14:textId="168DC47C" w:rsidR="002A0B05" w:rsidRPr="00E863D1" w:rsidRDefault="00211414" w:rsidP="002A0B05">
      <w:pPr>
        <w:rPr>
          <w:b/>
          <w:sz w:val="24"/>
          <w:szCs w:val="24"/>
        </w:rPr>
      </w:pPr>
      <w:r>
        <w:rPr>
          <w:sz w:val="24"/>
          <w:szCs w:val="24"/>
        </w:rPr>
        <w:t>[12]</w:t>
      </w:r>
      <w:r>
        <w:rPr>
          <w:sz w:val="24"/>
          <w:szCs w:val="24"/>
        </w:rPr>
        <w:tab/>
      </w:r>
      <w:r w:rsidR="002A0B05">
        <w:rPr>
          <w:sz w:val="24"/>
          <w:szCs w:val="24"/>
        </w:rPr>
        <w:t>The defendant’s exception pursuant to this precursor was delivered on 6 April 2022 subsequent to the institution of the of plaintiff’s application to amend its particulars</w:t>
      </w:r>
      <w:r w:rsidR="00BE2A08">
        <w:rPr>
          <w:sz w:val="24"/>
          <w:szCs w:val="24"/>
        </w:rPr>
        <w:t xml:space="preserve"> of claim</w:t>
      </w:r>
      <w:r w:rsidR="002A0B05">
        <w:rPr>
          <w:sz w:val="24"/>
          <w:szCs w:val="24"/>
        </w:rPr>
        <w:t xml:space="preserve">. </w:t>
      </w:r>
      <w:r w:rsidR="002A0B05" w:rsidRPr="00285BF8">
        <w:rPr>
          <w:sz w:val="24"/>
          <w:szCs w:val="24"/>
        </w:rPr>
        <w:t>It avers that the plaintiff’s notice of intention to amend failed to remedy the</w:t>
      </w:r>
      <w:r w:rsidR="002A0B05">
        <w:rPr>
          <w:sz w:val="24"/>
          <w:szCs w:val="24"/>
        </w:rPr>
        <w:t xml:space="preserve"> </w:t>
      </w:r>
      <w:r w:rsidR="00BE2A08">
        <w:rPr>
          <w:sz w:val="24"/>
          <w:szCs w:val="24"/>
        </w:rPr>
        <w:t>identified causes of complaint and i</w:t>
      </w:r>
      <w:r w:rsidR="002A0B05">
        <w:rPr>
          <w:sz w:val="24"/>
          <w:szCs w:val="24"/>
        </w:rPr>
        <w:t xml:space="preserve">t is an exception upon the grounds set out in the defendant’s notice dated 5 February 2021. </w:t>
      </w:r>
      <w:r w:rsidR="002A0B05" w:rsidRPr="00285BF8">
        <w:rPr>
          <w:sz w:val="24"/>
          <w:szCs w:val="24"/>
        </w:rPr>
        <w:t xml:space="preserve">The relief sought is </w:t>
      </w:r>
      <w:r w:rsidR="00AF09B0">
        <w:rPr>
          <w:sz w:val="24"/>
          <w:szCs w:val="24"/>
        </w:rPr>
        <w:t xml:space="preserve">for the </w:t>
      </w:r>
      <w:r w:rsidR="002A0B05" w:rsidRPr="00285BF8">
        <w:rPr>
          <w:sz w:val="24"/>
          <w:szCs w:val="24"/>
        </w:rPr>
        <w:t xml:space="preserve">particulars of claim, alternatively such portions thereof that relate to charges contemplated by clause 5.5 of the written mandate </w:t>
      </w:r>
      <w:r w:rsidR="00AF09B0">
        <w:rPr>
          <w:sz w:val="24"/>
          <w:szCs w:val="24"/>
        </w:rPr>
        <w:t xml:space="preserve">to </w:t>
      </w:r>
      <w:r w:rsidR="002A0B05" w:rsidRPr="00285BF8">
        <w:rPr>
          <w:sz w:val="24"/>
          <w:szCs w:val="24"/>
        </w:rPr>
        <w:t>be struck out with the plaintiff to pay the costs</w:t>
      </w:r>
      <w:r w:rsidR="002A0B05">
        <w:rPr>
          <w:sz w:val="24"/>
          <w:szCs w:val="24"/>
        </w:rPr>
        <w:t>.</w:t>
      </w:r>
    </w:p>
    <w:p w14:paraId="081CC187" w14:textId="75FEAA1B" w:rsidR="002A0B05" w:rsidRDefault="00211414" w:rsidP="002A0B05">
      <w:pPr>
        <w:rPr>
          <w:sz w:val="24"/>
          <w:szCs w:val="24"/>
        </w:rPr>
      </w:pPr>
      <w:r>
        <w:rPr>
          <w:sz w:val="24"/>
          <w:szCs w:val="24"/>
        </w:rPr>
        <w:t>[13]</w:t>
      </w:r>
      <w:r>
        <w:rPr>
          <w:sz w:val="24"/>
          <w:szCs w:val="24"/>
        </w:rPr>
        <w:tab/>
      </w:r>
      <w:r w:rsidR="002A0B05">
        <w:rPr>
          <w:sz w:val="24"/>
          <w:szCs w:val="24"/>
        </w:rPr>
        <w:t>Although the defendant’s exception asserts that the proposed amendment will not remove its causes of complaint and the plaintiff’s particulars of claim will remain vague and embarrassing, it does not specify the grounds for this assertion vis-à-vis the proposed amended particulars claim.</w:t>
      </w:r>
    </w:p>
    <w:p w14:paraId="5CD0E580" w14:textId="6AC0FCFC" w:rsidR="002A0B05" w:rsidRDefault="00211414" w:rsidP="002A0B05">
      <w:pPr>
        <w:rPr>
          <w:sz w:val="24"/>
          <w:szCs w:val="24"/>
        </w:rPr>
      </w:pPr>
      <w:r>
        <w:rPr>
          <w:sz w:val="24"/>
          <w:szCs w:val="24"/>
        </w:rPr>
        <w:t>[14]</w:t>
      </w:r>
      <w:r>
        <w:rPr>
          <w:sz w:val="24"/>
          <w:szCs w:val="24"/>
        </w:rPr>
        <w:tab/>
      </w:r>
      <w:r w:rsidR="00BE2A08">
        <w:rPr>
          <w:sz w:val="24"/>
          <w:szCs w:val="24"/>
        </w:rPr>
        <w:t>However,</w:t>
      </w:r>
      <w:r w:rsidR="00684EB7">
        <w:rPr>
          <w:sz w:val="24"/>
          <w:szCs w:val="24"/>
        </w:rPr>
        <w:t xml:space="preserve"> I am enjoined to consider exceptions sensibly since they provide a useful mechanism to weed out cases lacking legal merit.</w:t>
      </w:r>
      <w:r w:rsidR="00684EB7" w:rsidRPr="00684EB7">
        <w:rPr>
          <w:rStyle w:val="FootnoteReference"/>
          <w:rFonts w:ascii="Arial" w:hAnsi="Arial"/>
          <w:sz w:val="20"/>
        </w:rPr>
        <w:footnoteReference w:id="3"/>
      </w:r>
      <w:r w:rsidR="00BE2A08" w:rsidRPr="00684EB7">
        <w:rPr>
          <w:szCs w:val="20"/>
        </w:rPr>
        <w:t xml:space="preserve"> </w:t>
      </w:r>
      <w:r w:rsidR="00AF09B0">
        <w:rPr>
          <w:szCs w:val="20"/>
        </w:rPr>
        <w:t xml:space="preserve"> </w:t>
      </w:r>
      <w:r w:rsidR="00823735" w:rsidRPr="00AF09B0">
        <w:rPr>
          <w:sz w:val="24"/>
          <w:szCs w:val="24"/>
        </w:rPr>
        <w:t>Therefore,</w:t>
      </w:r>
      <w:r w:rsidR="00AF09B0" w:rsidRPr="00AF09B0">
        <w:rPr>
          <w:sz w:val="24"/>
          <w:szCs w:val="24"/>
        </w:rPr>
        <w:t xml:space="preserve"> </w:t>
      </w:r>
      <w:r w:rsidR="00AF09B0">
        <w:rPr>
          <w:sz w:val="24"/>
          <w:szCs w:val="24"/>
        </w:rPr>
        <w:t xml:space="preserve">pursuant to </w:t>
      </w:r>
      <w:r w:rsidR="00BE2A08">
        <w:rPr>
          <w:sz w:val="24"/>
          <w:szCs w:val="24"/>
        </w:rPr>
        <w:t>the approach that I have adopted</w:t>
      </w:r>
      <w:r w:rsidR="00AF09B0">
        <w:rPr>
          <w:sz w:val="24"/>
          <w:szCs w:val="24"/>
        </w:rPr>
        <w:t>,</w:t>
      </w:r>
      <w:r w:rsidR="00BE2A08">
        <w:rPr>
          <w:sz w:val="24"/>
          <w:szCs w:val="24"/>
        </w:rPr>
        <w:t xml:space="preserve"> to </w:t>
      </w:r>
      <w:r w:rsidR="00B351CC">
        <w:rPr>
          <w:sz w:val="24"/>
          <w:szCs w:val="24"/>
        </w:rPr>
        <w:t xml:space="preserve">consider the application for amendment as if on exception, I </w:t>
      </w:r>
      <w:r w:rsidR="006F47AD">
        <w:rPr>
          <w:sz w:val="24"/>
          <w:szCs w:val="24"/>
        </w:rPr>
        <w:t xml:space="preserve">shall consider </w:t>
      </w:r>
      <w:r w:rsidR="00B351CC">
        <w:rPr>
          <w:sz w:val="24"/>
          <w:szCs w:val="24"/>
        </w:rPr>
        <w:t>t</w:t>
      </w:r>
      <w:r w:rsidR="001B0661">
        <w:rPr>
          <w:sz w:val="24"/>
          <w:szCs w:val="24"/>
        </w:rPr>
        <w:t>he defendant’s notice of objection to the plaintiff’s application to</w:t>
      </w:r>
      <w:r w:rsidR="00360C56">
        <w:rPr>
          <w:sz w:val="24"/>
          <w:szCs w:val="24"/>
        </w:rPr>
        <w:t xml:space="preserve"> amend</w:t>
      </w:r>
      <w:r w:rsidR="00AF09B0">
        <w:rPr>
          <w:sz w:val="24"/>
          <w:szCs w:val="24"/>
        </w:rPr>
        <w:t>, since t</w:t>
      </w:r>
      <w:r w:rsidR="00E34774">
        <w:rPr>
          <w:sz w:val="24"/>
          <w:szCs w:val="24"/>
        </w:rPr>
        <w:t xml:space="preserve">he objections from paragraph 6 to 11 </w:t>
      </w:r>
      <w:r w:rsidR="001B0661">
        <w:rPr>
          <w:sz w:val="24"/>
          <w:szCs w:val="24"/>
        </w:rPr>
        <w:t xml:space="preserve">encapsulate the </w:t>
      </w:r>
      <w:r w:rsidR="00E34774">
        <w:rPr>
          <w:sz w:val="24"/>
          <w:szCs w:val="24"/>
        </w:rPr>
        <w:t>defendant’s specific contentions that the amended particulars of claim will remain vague and embarrassing. These paragraphs read as follows:</w:t>
      </w:r>
      <w:r w:rsidR="001B0661">
        <w:rPr>
          <w:sz w:val="24"/>
          <w:szCs w:val="24"/>
        </w:rPr>
        <w:t xml:space="preserve">  </w:t>
      </w:r>
    </w:p>
    <w:p w14:paraId="5A216094" w14:textId="2C9B17B4" w:rsidR="00B351CC" w:rsidRPr="00B351CC" w:rsidRDefault="00B351CC" w:rsidP="00983390">
      <w:pPr>
        <w:spacing w:after="120"/>
        <w:rPr>
          <w:i/>
          <w:sz w:val="22"/>
        </w:rPr>
      </w:pPr>
      <w:r>
        <w:rPr>
          <w:sz w:val="24"/>
          <w:szCs w:val="24"/>
        </w:rPr>
        <w:t>‘</w:t>
      </w:r>
      <w:r w:rsidRPr="00B351CC">
        <w:rPr>
          <w:i/>
          <w:sz w:val="22"/>
        </w:rPr>
        <w:t>6.</w:t>
      </w:r>
      <w:r w:rsidRPr="00B351CC">
        <w:rPr>
          <w:i/>
          <w:sz w:val="22"/>
        </w:rPr>
        <w:tab/>
        <w:t xml:space="preserve">in proposed paragraph 16 of the plaintiffs notice of intention to amend, to be inserted by </w:t>
      </w:r>
      <w:r>
        <w:rPr>
          <w:i/>
          <w:sz w:val="22"/>
        </w:rPr>
        <w:tab/>
      </w:r>
      <w:r w:rsidRPr="00B351CC">
        <w:rPr>
          <w:i/>
          <w:sz w:val="22"/>
        </w:rPr>
        <w:t xml:space="preserve">paragraph 3 of such notice, the plaintiff alleges, insofar as is material, that:— </w:t>
      </w:r>
    </w:p>
    <w:p w14:paraId="4D82F923" w14:textId="00C362DE" w:rsidR="00B351CC" w:rsidRPr="00B351CC" w:rsidRDefault="00B351CC" w:rsidP="00983390">
      <w:pPr>
        <w:spacing w:after="120"/>
        <w:rPr>
          <w:i/>
          <w:sz w:val="22"/>
        </w:rPr>
      </w:pPr>
      <w:r w:rsidRPr="00B351CC">
        <w:rPr>
          <w:i/>
          <w:sz w:val="22"/>
        </w:rPr>
        <w:tab/>
        <w:t>"16</w:t>
      </w:r>
      <w:r w:rsidRPr="00B351CC">
        <w:rPr>
          <w:i/>
          <w:sz w:val="22"/>
        </w:rPr>
        <w:tab/>
        <w:t xml:space="preserve">the overrun constituted a deviation from the assumption set out in paragraph </w:t>
      </w:r>
      <w:r>
        <w:rPr>
          <w:i/>
          <w:sz w:val="22"/>
        </w:rPr>
        <w:tab/>
      </w:r>
      <w:r>
        <w:rPr>
          <w:i/>
          <w:sz w:val="22"/>
        </w:rPr>
        <w:tab/>
      </w:r>
      <w:r>
        <w:rPr>
          <w:i/>
          <w:sz w:val="22"/>
        </w:rPr>
        <w:tab/>
      </w:r>
      <w:r w:rsidRPr="00B351CC">
        <w:rPr>
          <w:i/>
          <w:sz w:val="22"/>
        </w:rPr>
        <w:t xml:space="preserve">5.7 of the agreement and resulted in the carrying out of additional tasks by the </w:t>
      </w:r>
      <w:r w:rsidRPr="00B351CC">
        <w:rPr>
          <w:i/>
          <w:sz w:val="22"/>
        </w:rPr>
        <w:tab/>
      </w:r>
      <w:r w:rsidRPr="00B351CC">
        <w:rPr>
          <w:i/>
          <w:sz w:val="22"/>
        </w:rPr>
        <w:tab/>
      </w:r>
      <w:r>
        <w:rPr>
          <w:i/>
          <w:sz w:val="22"/>
        </w:rPr>
        <w:tab/>
      </w:r>
      <w:r w:rsidRPr="00B351CC">
        <w:rPr>
          <w:i/>
          <w:sz w:val="22"/>
        </w:rPr>
        <w:t xml:space="preserve">plaintiff, an increase in the actual time spent by the plaintiff and ultimately an </w:t>
      </w:r>
      <w:r w:rsidRPr="00B351CC">
        <w:rPr>
          <w:i/>
          <w:sz w:val="22"/>
        </w:rPr>
        <w:tab/>
      </w:r>
      <w:r w:rsidRPr="00B351CC">
        <w:rPr>
          <w:i/>
          <w:sz w:val="22"/>
        </w:rPr>
        <w:tab/>
      </w:r>
      <w:r>
        <w:rPr>
          <w:i/>
          <w:sz w:val="22"/>
        </w:rPr>
        <w:tab/>
      </w:r>
      <w:r w:rsidRPr="00B351CC">
        <w:rPr>
          <w:i/>
          <w:sz w:val="22"/>
        </w:rPr>
        <w:t xml:space="preserve">increase of the plaintiff’s fees, due to unforeseen factors or factors beyond the </w:t>
      </w:r>
      <w:r w:rsidRPr="00B351CC">
        <w:rPr>
          <w:i/>
          <w:sz w:val="22"/>
        </w:rPr>
        <w:tab/>
      </w:r>
      <w:r w:rsidRPr="00B351CC">
        <w:rPr>
          <w:i/>
          <w:sz w:val="22"/>
        </w:rPr>
        <w:tab/>
      </w:r>
      <w:r>
        <w:rPr>
          <w:i/>
          <w:sz w:val="22"/>
        </w:rPr>
        <w:tab/>
      </w:r>
      <w:r w:rsidRPr="00B351CC">
        <w:rPr>
          <w:i/>
          <w:sz w:val="22"/>
        </w:rPr>
        <w:t xml:space="preserve">plaintiff's control, as envisaged by clause 5.5 of the agreement which additional tasks, </w:t>
      </w:r>
      <w:r>
        <w:rPr>
          <w:i/>
          <w:sz w:val="22"/>
        </w:rPr>
        <w:tab/>
      </w:r>
      <w:r>
        <w:rPr>
          <w:i/>
          <w:sz w:val="22"/>
        </w:rPr>
        <w:tab/>
      </w:r>
      <w:r w:rsidRPr="00B351CC">
        <w:rPr>
          <w:i/>
          <w:sz w:val="22"/>
        </w:rPr>
        <w:t>inter alia, consisted of the following ....",</w:t>
      </w:r>
    </w:p>
    <w:p w14:paraId="349C98B8" w14:textId="77777777" w:rsidR="00B351CC" w:rsidRDefault="00B351CC" w:rsidP="00983390">
      <w:pPr>
        <w:spacing w:after="120"/>
        <w:rPr>
          <w:sz w:val="24"/>
          <w:szCs w:val="24"/>
        </w:rPr>
      </w:pPr>
      <w:r w:rsidRPr="00B351CC">
        <w:rPr>
          <w:i/>
          <w:sz w:val="22"/>
        </w:rPr>
        <w:tab/>
        <w:t xml:space="preserve">whereafter, in proposed sub-paragraphs 16.1 to 16.5, the matters alleged to be </w:t>
      </w:r>
      <w:r w:rsidRPr="00B351CC">
        <w:rPr>
          <w:i/>
          <w:sz w:val="22"/>
        </w:rPr>
        <w:tab/>
        <w:t>envisaged under clause 5.5 of the agreement are set out</w:t>
      </w:r>
      <w:r>
        <w:rPr>
          <w:sz w:val="24"/>
          <w:szCs w:val="24"/>
        </w:rPr>
        <w:t xml:space="preserve">; </w:t>
      </w:r>
    </w:p>
    <w:p w14:paraId="6C6C16E9" w14:textId="3D013CBB" w:rsidR="002A0B05" w:rsidRPr="00B351CC" w:rsidRDefault="00B351CC" w:rsidP="00983390">
      <w:pPr>
        <w:spacing w:after="120"/>
        <w:rPr>
          <w:i/>
          <w:sz w:val="22"/>
        </w:rPr>
      </w:pPr>
      <w:r w:rsidRPr="00B351CC">
        <w:rPr>
          <w:i/>
          <w:sz w:val="22"/>
        </w:rPr>
        <w:t>7.</w:t>
      </w:r>
      <w:r w:rsidRPr="00B351CC">
        <w:rPr>
          <w:i/>
          <w:sz w:val="22"/>
        </w:rPr>
        <w:tab/>
        <w:t xml:space="preserve">proposed sub-paragraphs 16.1 to 16.5 does not profess to set out all of the relevant </w:t>
      </w:r>
      <w:r w:rsidRPr="00B351CC">
        <w:rPr>
          <w:i/>
          <w:sz w:val="22"/>
        </w:rPr>
        <w:tab/>
        <w:t>matters but, by use of the words "inter alia", only some of them;</w:t>
      </w:r>
    </w:p>
    <w:p w14:paraId="29B54D1B" w14:textId="54565599" w:rsidR="00B351CC" w:rsidRPr="00B351CC" w:rsidRDefault="00B351CC" w:rsidP="00983390">
      <w:pPr>
        <w:spacing w:after="120"/>
        <w:rPr>
          <w:i/>
          <w:sz w:val="22"/>
        </w:rPr>
      </w:pPr>
      <w:r w:rsidRPr="00B351CC">
        <w:rPr>
          <w:i/>
          <w:sz w:val="22"/>
        </w:rPr>
        <w:t>8.</w:t>
      </w:r>
      <w:r w:rsidRPr="00B351CC">
        <w:rPr>
          <w:i/>
          <w:sz w:val="22"/>
        </w:rPr>
        <w:tab/>
        <w:t>accordingly, the amendment will introduce vague and incomplete allegations;</w:t>
      </w:r>
    </w:p>
    <w:p w14:paraId="73422D9D" w14:textId="463891AC" w:rsidR="00B351CC" w:rsidRPr="00B351CC" w:rsidRDefault="00B351CC" w:rsidP="00983390">
      <w:pPr>
        <w:spacing w:after="120"/>
        <w:rPr>
          <w:i/>
          <w:sz w:val="22"/>
        </w:rPr>
      </w:pPr>
      <w:r w:rsidRPr="00B351CC">
        <w:rPr>
          <w:i/>
          <w:sz w:val="22"/>
        </w:rPr>
        <w:t>9.</w:t>
      </w:r>
      <w:r w:rsidRPr="00B351CC">
        <w:rPr>
          <w:i/>
          <w:sz w:val="22"/>
        </w:rPr>
        <w:tab/>
        <w:t xml:space="preserve">in proposed paragraph 22 of the particulars of claim, to be inserted by paragraph 7 of the </w:t>
      </w:r>
      <w:r>
        <w:rPr>
          <w:i/>
          <w:sz w:val="22"/>
        </w:rPr>
        <w:tab/>
      </w:r>
      <w:r w:rsidRPr="00B351CC">
        <w:rPr>
          <w:i/>
          <w:sz w:val="22"/>
        </w:rPr>
        <w:t xml:space="preserve">plaintiff's notice of intention to amend, the plaintiff alleges that it complied with its obligations </w:t>
      </w:r>
      <w:r>
        <w:rPr>
          <w:i/>
          <w:sz w:val="22"/>
        </w:rPr>
        <w:tab/>
      </w:r>
      <w:r w:rsidRPr="00B351CC">
        <w:rPr>
          <w:i/>
          <w:sz w:val="22"/>
        </w:rPr>
        <w:t xml:space="preserve">in terms of the agreement by, inter alia, rendering its professional legal services to the </w:t>
      </w:r>
      <w:r>
        <w:rPr>
          <w:i/>
          <w:sz w:val="22"/>
        </w:rPr>
        <w:tab/>
      </w:r>
      <w:r w:rsidRPr="00B351CC">
        <w:rPr>
          <w:i/>
          <w:sz w:val="22"/>
        </w:rPr>
        <w:t xml:space="preserve">defendant in accordance with the scope of works described in the </w:t>
      </w:r>
      <w:r w:rsidRPr="00B351CC">
        <w:rPr>
          <w:i/>
          <w:sz w:val="22"/>
        </w:rPr>
        <w:tab/>
        <w:t xml:space="preserve">agreement, as set out </w:t>
      </w:r>
      <w:r>
        <w:rPr>
          <w:i/>
          <w:sz w:val="22"/>
        </w:rPr>
        <w:tab/>
      </w:r>
      <w:r w:rsidRPr="00B351CC">
        <w:rPr>
          <w:i/>
          <w:sz w:val="22"/>
        </w:rPr>
        <w:t xml:space="preserve">with sufficient particularity in the descriptions in the invoice </w:t>
      </w:r>
      <w:r w:rsidRPr="00B351CC">
        <w:rPr>
          <w:i/>
          <w:sz w:val="22"/>
        </w:rPr>
        <w:tab/>
        <w:t xml:space="preserve">attached as annexure "TGR4", </w:t>
      </w:r>
      <w:r>
        <w:rPr>
          <w:i/>
          <w:sz w:val="22"/>
        </w:rPr>
        <w:tab/>
      </w:r>
      <w:r w:rsidRPr="00B351CC">
        <w:rPr>
          <w:i/>
          <w:sz w:val="22"/>
        </w:rPr>
        <w:t xml:space="preserve">and further informing the defendant of the overrun and the resultant increase in the estimated </w:t>
      </w:r>
      <w:r>
        <w:rPr>
          <w:i/>
          <w:sz w:val="22"/>
        </w:rPr>
        <w:tab/>
      </w:r>
      <w:r w:rsidRPr="00B351CC">
        <w:rPr>
          <w:i/>
          <w:sz w:val="22"/>
        </w:rPr>
        <w:t>fees;</w:t>
      </w:r>
    </w:p>
    <w:p w14:paraId="4CDCCC62" w14:textId="77777777" w:rsidR="00B351CC" w:rsidRPr="00B351CC" w:rsidRDefault="00B351CC" w:rsidP="00983390">
      <w:pPr>
        <w:spacing w:after="120"/>
        <w:rPr>
          <w:i/>
          <w:sz w:val="22"/>
        </w:rPr>
      </w:pPr>
      <w:r w:rsidRPr="00B351CC">
        <w:rPr>
          <w:i/>
          <w:sz w:val="22"/>
        </w:rPr>
        <w:t>10.</w:t>
      </w:r>
      <w:r w:rsidRPr="00B351CC">
        <w:rPr>
          <w:i/>
          <w:sz w:val="22"/>
        </w:rPr>
        <w:tab/>
        <w:t xml:space="preserve">the proposed paragraph 22 of the particulars of claim:- </w:t>
      </w:r>
    </w:p>
    <w:p w14:paraId="4D999841" w14:textId="5CDA3535" w:rsidR="00B351CC" w:rsidRPr="00B351CC" w:rsidRDefault="00B351CC" w:rsidP="00983390">
      <w:pPr>
        <w:spacing w:after="120"/>
        <w:rPr>
          <w:i/>
          <w:sz w:val="22"/>
        </w:rPr>
      </w:pPr>
      <w:r w:rsidRPr="00B351CC">
        <w:rPr>
          <w:i/>
          <w:sz w:val="22"/>
        </w:rPr>
        <w:tab/>
        <w:t>10.1</w:t>
      </w:r>
      <w:r w:rsidRPr="00B351CC">
        <w:rPr>
          <w:i/>
          <w:sz w:val="22"/>
        </w:rPr>
        <w:tab/>
        <w:t xml:space="preserve">by use of the words "inter alia" does not allege all of the matters relevant to </w:t>
      </w:r>
      <w:r w:rsidR="00DF6316">
        <w:rPr>
          <w:i/>
          <w:sz w:val="22"/>
        </w:rPr>
        <w:tab/>
      </w:r>
      <w:r>
        <w:rPr>
          <w:i/>
          <w:sz w:val="22"/>
        </w:rPr>
        <w:tab/>
      </w:r>
      <w:r w:rsidR="00DF6316">
        <w:rPr>
          <w:i/>
          <w:sz w:val="22"/>
        </w:rPr>
        <w:tab/>
      </w:r>
      <w:r w:rsidRPr="00B351CC">
        <w:rPr>
          <w:i/>
          <w:sz w:val="22"/>
        </w:rPr>
        <w:t xml:space="preserve">the claim by the plaintiff that it duly complied with its obligations; and </w:t>
      </w:r>
    </w:p>
    <w:p w14:paraId="1872C87D" w14:textId="0D197D7F" w:rsidR="00B351CC" w:rsidRPr="00B351CC" w:rsidRDefault="00B351CC" w:rsidP="00983390">
      <w:pPr>
        <w:spacing w:after="120"/>
        <w:rPr>
          <w:i/>
          <w:sz w:val="22"/>
        </w:rPr>
      </w:pPr>
      <w:r w:rsidRPr="00B351CC">
        <w:rPr>
          <w:i/>
          <w:sz w:val="22"/>
        </w:rPr>
        <w:tab/>
        <w:t>10.2</w:t>
      </w:r>
      <w:r w:rsidRPr="00B351CC">
        <w:rPr>
          <w:i/>
          <w:sz w:val="22"/>
        </w:rPr>
        <w:tab/>
        <w:t xml:space="preserve">fails to allege, as is required, that the fees were incurred in accordance with </w:t>
      </w:r>
      <w:r w:rsidRPr="00B351CC">
        <w:rPr>
          <w:i/>
          <w:sz w:val="22"/>
        </w:rPr>
        <w:tab/>
      </w:r>
      <w:r w:rsidRPr="00B351CC">
        <w:rPr>
          <w:i/>
          <w:sz w:val="22"/>
        </w:rPr>
        <w:tab/>
      </w:r>
      <w:r>
        <w:rPr>
          <w:i/>
          <w:sz w:val="22"/>
        </w:rPr>
        <w:tab/>
      </w:r>
      <w:r w:rsidRPr="00B351CC">
        <w:rPr>
          <w:i/>
          <w:sz w:val="22"/>
        </w:rPr>
        <w:t>newly agreed arrangements concluded between the parties; and</w:t>
      </w:r>
    </w:p>
    <w:p w14:paraId="703C7144" w14:textId="11BC5AC4" w:rsidR="00B351CC" w:rsidRPr="00B351CC" w:rsidRDefault="00B351CC" w:rsidP="00983390">
      <w:pPr>
        <w:spacing w:after="120"/>
        <w:rPr>
          <w:i/>
          <w:sz w:val="22"/>
        </w:rPr>
      </w:pPr>
      <w:r w:rsidRPr="00B351CC">
        <w:rPr>
          <w:i/>
          <w:sz w:val="22"/>
        </w:rPr>
        <w:t>11.</w:t>
      </w:r>
      <w:r w:rsidRPr="00B351CC">
        <w:rPr>
          <w:i/>
          <w:sz w:val="22"/>
        </w:rPr>
        <w:tab/>
        <w:t xml:space="preserve">accordingly, if the amendment is granted, the particulars of claim will be excipiable </w:t>
      </w:r>
      <w:r w:rsidRPr="00B351CC">
        <w:rPr>
          <w:i/>
          <w:sz w:val="22"/>
        </w:rPr>
        <w:tab/>
        <w:t>alternatively, vague and embarrassing.</w:t>
      </w:r>
      <w:r>
        <w:rPr>
          <w:i/>
          <w:sz w:val="22"/>
        </w:rPr>
        <w:t>’</w:t>
      </w:r>
    </w:p>
    <w:p w14:paraId="5C12006D" w14:textId="79F93697" w:rsidR="00C05659" w:rsidRDefault="00211414" w:rsidP="006561BA">
      <w:pPr>
        <w:rPr>
          <w:sz w:val="24"/>
          <w:szCs w:val="24"/>
        </w:rPr>
      </w:pPr>
      <w:r>
        <w:rPr>
          <w:sz w:val="24"/>
          <w:szCs w:val="24"/>
        </w:rPr>
        <w:t>[15]</w:t>
      </w:r>
      <w:r>
        <w:rPr>
          <w:sz w:val="24"/>
          <w:szCs w:val="24"/>
        </w:rPr>
        <w:tab/>
      </w:r>
      <w:r w:rsidR="00DF6316">
        <w:rPr>
          <w:sz w:val="24"/>
          <w:szCs w:val="24"/>
        </w:rPr>
        <w:t>Mr C</w:t>
      </w:r>
      <w:r w:rsidR="00C05659">
        <w:rPr>
          <w:sz w:val="24"/>
          <w:szCs w:val="24"/>
        </w:rPr>
        <w:t xml:space="preserve">lark </w:t>
      </w:r>
      <w:r w:rsidR="00823735">
        <w:rPr>
          <w:sz w:val="24"/>
          <w:szCs w:val="24"/>
        </w:rPr>
        <w:t>argued</w:t>
      </w:r>
      <w:r w:rsidR="00DF6316">
        <w:rPr>
          <w:sz w:val="24"/>
          <w:szCs w:val="24"/>
        </w:rPr>
        <w:t xml:space="preserve"> that even if granted, the proposed paragraphs 16 and 22 still have the effect of rendering the particulars of claim excipiable, alternatively vague and embarrassing. </w:t>
      </w:r>
      <w:r w:rsidR="00C05659">
        <w:rPr>
          <w:sz w:val="24"/>
          <w:szCs w:val="24"/>
        </w:rPr>
        <w:t>He contended that the purpose of the capped fee was to reduce the defendant’s legal costs. This Court</w:t>
      </w:r>
      <w:r>
        <w:rPr>
          <w:sz w:val="24"/>
          <w:szCs w:val="24"/>
        </w:rPr>
        <w:t xml:space="preserve"> is entitled to interpret the written mandate, on exception because the entire mandate is before the court.</w:t>
      </w:r>
      <w:r w:rsidR="00423E54">
        <w:rPr>
          <w:sz w:val="24"/>
          <w:szCs w:val="24"/>
        </w:rPr>
        <w:t xml:space="preserve"> Such exercise does not </w:t>
      </w:r>
      <w:r w:rsidR="00C05659">
        <w:rPr>
          <w:sz w:val="24"/>
          <w:szCs w:val="24"/>
        </w:rPr>
        <w:t>require additional evidence</w:t>
      </w:r>
      <w:r w:rsidR="00423E54">
        <w:rPr>
          <w:sz w:val="24"/>
          <w:szCs w:val="24"/>
        </w:rPr>
        <w:t xml:space="preserve"> and from a plain interpretation of clause 5.5, it is clear</w:t>
      </w:r>
      <w:r w:rsidR="004A138E">
        <w:rPr>
          <w:sz w:val="24"/>
          <w:szCs w:val="24"/>
        </w:rPr>
        <w:t>, he argued,</w:t>
      </w:r>
      <w:r w:rsidR="00423E54">
        <w:rPr>
          <w:sz w:val="24"/>
          <w:szCs w:val="24"/>
        </w:rPr>
        <w:t xml:space="preserve"> that the particulars of claim do not set out the factual requirements required to sustain a cause of action </w:t>
      </w:r>
      <w:r w:rsidR="004A138E">
        <w:rPr>
          <w:sz w:val="24"/>
          <w:szCs w:val="24"/>
        </w:rPr>
        <w:t>based on</w:t>
      </w:r>
      <w:r w:rsidR="00423E54">
        <w:rPr>
          <w:sz w:val="24"/>
          <w:szCs w:val="24"/>
        </w:rPr>
        <w:t xml:space="preserve"> an overrun. </w:t>
      </w:r>
      <w:r w:rsidR="00C05659">
        <w:rPr>
          <w:sz w:val="24"/>
          <w:szCs w:val="24"/>
        </w:rPr>
        <w:t xml:space="preserve"> </w:t>
      </w:r>
    </w:p>
    <w:p w14:paraId="71F8CC89" w14:textId="263B44C1" w:rsidR="008A3A39" w:rsidRDefault="00211414" w:rsidP="006561BA">
      <w:pPr>
        <w:rPr>
          <w:sz w:val="24"/>
          <w:szCs w:val="24"/>
        </w:rPr>
      </w:pPr>
      <w:r>
        <w:rPr>
          <w:sz w:val="24"/>
          <w:szCs w:val="24"/>
        </w:rPr>
        <w:t>[16]</w:t>
      </w:r>
      <w:r>
        <w:rPr>
          <w:sz w:val="24"/>
          <w:szCs w:val="24"/>
        </w:rPr>
        <w:tab/>
      </w:r>
      <w:r w:rsidR="00DF6316">
        <w:rPr>
          <w:sz w:val="24"/>
          <w:szCs w:val="24"/>
        </w:rPr>
        <w:t xml:space="preserve">He concluded by contending that </w:t>
      </w:r>
      <w:r w:rsidR="008A3A39">
        <w:rPr>
          <w:sz w:val="24"/>
          <w:szCs w:val="24"/>
        </w:rPr>
        <w:t xml:space="preserve">the defendant </w:t>
      </w:r>
      <w:r w:rsidR="00DF6316">
        <w:rPr>
          <w:sz w:val="24"/>
          <w:szCs w:val="24"/>
        </w:rPr>
        <w:t xml:space="preserve">would </w:t>
      </w:r>
      <w:r w:rsidR="008A3A39">
        <w:rPr>
          <w:sz w:val="24"/>
          <w:szCs w:val="24"/>
        </w:rPr>
        <w:t xml:space="preserve">be prejudiced if the amendment is granted. It will be forced to face a trial where the plaintiff has no claim, alternatively has evaded demonstrating the weakness of its claim by its vague and embarrassing particulars of claim. </w:t>
      </w:r>
    </w:p>
    <w:p w14:paraId="2F138626" w14:textId="056A0449" w:rsidR="003B05A0" w:rsidRDefault="00211414" w:rsidP="006561BA">
      <w:pPr>
        <w:rPr>
          <w:sz w:val="24"/>
          <w:szCs w:val="24"/>
        </w:rPr>
      </w:pPr>
      <w:r>
        <w:rPr>
          <w:sz w:val="24"/>
          <w:szCs w:val="24"/>
        </w:rPr>
        <w:t>[17]</w:t>
      </w:r>
      <w:r>
        <w:rPr>
          <w:sz w:val="24"/>
          <w:szCs w:val="24"/>
        </w:rPr>
        <w:tab/>
      </w:r>
      <w:r w:rsidR="00DF6316">
        <w:rPr>
          <w:sz w:val="24"/>
          <w:szCs w:val="24"/>
        </w:rPr>
        <w:t xml:space="preserve">Miss Olivier, who appeared for the </w:t>
      </w:r>
      <w:r w:rsidR="005271D0">
        <w:rPr>
          <w:sz w:val="24"/>
          <w:szCs w:val="24"/>
        </w:rPr>
        <w:t>plaintiff</w:t>
      </w:r>
      <w:r w:rsidR="00DF6316">
        <w:rPr>
          <w:sz w:val="24"/>
          <w:szCs w:val="24"/>
        </w:rPr>
        <w:t xml:space="preserve">, </w:t>
      </w:r>
      <w:r w:rsidR="00396F36">
        <w:rPr>
          <w:sz w:val="24"/>
          <w:szCs w:val="24"/>
        </w:rPr>
        <w:t xml:space="preserve">argued </w:t>
      </w:r>
      <w:r w:rsidR="005271D0">
        <w:rPr>
          <w:sz w:val="24"/>
          <w:szCs w:val="24"/>
        </w:rPr>
        <w:t>that the nub of defendant’s objections to</w:t>
      </w:r>
      <w:r w:rsidR="00396F36">
        <w:rPr>
          <w:sz w:val="24"/>
          <w:szCs w:val="24"/>
        </w:rPr>
        <w:t xml:space="preserve"> the plaintiff’s particulars of claim are </w:t>
      </w:r>
      <w:r w:rsidR="005271D0">
        <w:rPr>
          <w:sz w:val="24"/>
          <w:szCs w:val="24"/>
        </w:rPr>
        <w:t>matter</w:t>
      </w:r>
      <w:r w:rsidR="00396F36">
        <w:rPr>
          <w:sz w:val="24"/>
          <w:szCs w:val="24"/>
        </w:rPr>
        <w:t xml:space="preserve">s to be determined by </w:t>
      </w:r>
      <w:r w:rsidR="005271D0">
        <w:rPr>
          <w:sz w:val="24"/>
          <w:szCs w:val="24"/>
        </w:rPr>
        <w:t xml:space="preserve">evidence </w:t>
      </w:r>
      <w:r w:rsidR="00396F36">
        <w:rPr>
          <w:sz w:val="24"/>
          <w:szCs w:val="24"/>
        </w:rPr>
        <w:t xml:space="preserve">that do </w:t>
      </w:r>
      <w:r w:rsidR="005271D0">
        <w:rPr>
          <w:sz w:val="24"/>
          <w:szCs w:val="24"/>
        </w:rPr>
        <w:t>not pertain</w:t>
      </w:r>
      <w:r w:rsidR="00396F36">
        <w:rPr>
          <w:sz w:val="24"/>
          <w:szCs w:val="24"/>
        </w:rPr>
        <w:t xml:space="preserve"> to</w:t>
      </w:r>
      <w:r w:rsidR="005271D0">
        <w:rPr>
          <w:sz w:val="24"/>
          <w:szCs w:val="24"/>
        </w:rPr>
        <w:t xml:space="preserve"> cause of action</w:t>
      </w:r>
      <w:r w:rsidR="00396F36">
        <w:rPr>
          <w:sz w:val="24"/>
          <w:szCs w:val="24"/>
        </w:rPr>
        <w:t xml:space="preserve"> and </w:t>
      </w:r>
      <w:r w:rsidR="00FF6629">
        <w:rPr>
          <w:sz w:val="24"/>
          <w:szCs w:val="24"/>
        </w:rPr>
        <w:t>do not render the particulars of claim excipiable.</w:t>
      </w:r>
      <w:r w:rsidR="003B05A0">
        <w:rPr>
          <w:sz w:val="24"/>
          <w:szCs w:val="24"/>
        </w:rPr>
        <w:t xml:space="preserve"> </w:t>
      </w:r>
      <w:r w:rsidR="00396F36">
        <w:rPr>
          <w:sz w:val="24"/>
          <w:szCs w:val="24"/>
        </w:rPr>
        <w:t xml:space="preserve">She contended </w:t>
      </w:r>
      <w:r w:rsidR="00FF6629">
        <w:rPr>
          <w:sz w:val="24"/>
          <w:szCs w:val="24"/>
        </w:rPr>
        <w:t xml:space="preserve">that the defendant </w:t>
      </w:r>
      <w:r w:rsidR="00CF1A99">
        <w:rPr>
          <w:sz w:val="24"/>
          <w:szCs w:val="24"/>
        </w:rPr>
        <w:t xml:space="preserve">has incorrectly interpreted the </w:t>
      </w:r>
      <w:r w:rsidR="00396F36">
        <w:rPr>
          <w:sz w:val="24"/>
          <w:szCs w:val="24"/>
        </w:rPr>
        <w:t xml:space="preserve">written </w:t>
      </w:r>
      <w:r w:rsidR="00CF1A99">
        <w:rPr>
          <w:sz w:val="24"/>
          <w:szCs w:val="24"/>
        </w:rPr>
        <w:t xml:space="preserve">mandate and is now asking this Court to </w:t>
      </w:r>
      <w:r w:rsidR="007374B5">
        <w:rPr>
          <w:sz w:val="24"/>
          <w:szCs w:val="24"/>
        </w:rPr>
        <w:t xml:space="preserve">adjudicate </w:t>
      </w:r>
      <w:r w:rsidR="00396F36">
        <w:rPr>
          <w:sz w:val="24"/>
          <w:szCs w:val="24"/>
        </w:rPr>
        <w:t xml:space="preserve">upon and interpret </w:t>
      </w:r>
      <w:r w:rsidR="007374B5">
        <w:rPr>
          <w:sz w:val="24"/>
          <w:szCs w:val="24"/>
        </w:rPr>
        <w:t xml:space="preserve">clause 5.5 </w:t>
      </w:r>
      <w:r w:rsidR="00396F36">
        <w:rPr>
          <w:sz w:val="24"/>
          <w:szCs w:val="24"/>
        </w:rPr>
        <w:t xml:space="preserve">to determine whether a contract exists between the parties. </w:t>
      </w:r>
      <w:r w:rsidR="00226070">
        <w:rPr>
          <w:sz w:val="24"/>
          <w:szCs w:val="24"/>
        </w:rPr>
        <w:t xml:space="preserve"> </w:t>
      </w:r>
      <w:r w:rsidR="00396F36">
        <w:rPr>
          <w:sz w:val="24"/>
          <w:szCs w:val="24"/>
        </w:rPr>
        <w:t xml:space="preserve">It was submitted that the </w:t>
      </w:r>
      <w:r w:rsidR="00CF1A99">
        <w:rPr>
          <w:sz w:val="24"/>
          <w:szCs w:val="24"/>
        </w:rPr>
        <w:t xml:space="preserve">exception on cause of action does not </w:t>
      </w:r>
      <w:r w:rsidR="003B05A0">
        <w:rPr>
          <w:sz w:val="24"/>
          <w:szCs w:val="24"/>
        </w:rPr>
        <w:t>raise as a ground that a discussion and then written agreement was required for there to be compliance with</w:t>
      </w:r>
      <w:r w:rsidR="00396F36">
        <w:rPr>
          <w:sz w:val="24"/>
          <w:szCs w:val="24"/>
        </w:rPr>
        <w:t xml:space="preserve"> clause 5.5</w:t>
      </w:r>
      <w:r w:rsidR="003B05A0">
        <w:rPr>
          <w:sz w:val="24"/>
          <w:szCs w:val="24"/>
        </w:rPr>
        <w:t xml:space="preserve">. </w:t>
      </w:r>
      <w:r w:rsidR="00396F36">
        <w:rPr>
          <w:sz w:val="24"/>
          <w:szCs w:val="24"/>
        </w:rPr>
        <w:t xml:space="preserve"> Accordingly, the </w:t>
      </w:r>
      <w:r w:rsidR="003B05A0">
        <w:rPr>
          <w:sz w:val="24"/>
          <w:szCs w:val="24"/>
        </w:rPr>
        <w:t xml:space="preserve">necessary averments have been pleaded to sustain a cause of action. </w:t>
      </w:r>
    </w:p>
    <w:p w14:paraId="7FFC3D99" w14:textId="013F8672" w:rsidR="00586834" w:rsidRDefault="00211414" w:rsidP="006561BA">
      <w:pPr>
        <w:rPr>
          <w:sz w:val="24"/>
          <w:szCs w:val="24"/>
        </w:rPr>
      </w:pPr>
      <w:r>
        <w:rPr>
          <w:sz w:val="24"/>
          <w:szCs w:val="24"/>
        </w:rPr>
        <w:t>[18]</w:t>
      </w:r>
      <w:r>
        <w:rPr>
          <w:sz w:val="24"/>
          <w:szCs w:val="24"/>
        </w:rPr>
        <w:tab/>
      </w:r>
      <w:r w:rsidR="003B05A0">
        <w:rPr>
          <w:sz w:val="24"/>
          <w:szCs w:val="24"/>
        </w:rPr>
        <w:t xml:space="preserve">Miss Olivier </w:t>
      </w:r>
      <w:r w:rsidR="00A51E71">
        <w:rPr>
          <w:sz w:val="24"/>
          <w:szCs w:val="24"/>
        </w:rPr>
        <w:t xml:space="preserve">highlighted that neither the notice to remove the cause of complaint nor the exception on the ground of the particulars of claim being vague and embarrassing identify or raise any prejudice. She argued that the issue of prejudice was only addressed in response to query by this Court.  Even </w:t>
      </w:r>
      <w:r w:rsidR="008222BD">
        <w:rPr>
          <w:sz w:val="24"/>
          <w:szCs w:val="24"/>
        </w:rPr>
        <w:t>then,</w:t>
      </w:r>
      <w:r w:rsidR="00A51E71">
        <w:rPr>
          <w:sz w:val="24"/>
          <w:szCs w:val="24"/>
        </w:rPr>
        <w:t xml:space="preserve"> the only prejudice raised was that the defendant would be obliged to run the trial. She submitted that this hardly counted as proper or serious prejudice. </w:t>
      </w:r>
    </w:p>
    <w:p w14:paraId="70CB8C71" w14:textId="22496801" w:rsidR="005271D0" w:rsidRDefault="00211414" w:rsidP="006561BA">
      <w:pPr>
        <w:rPr>
          <w:sz w:val="24"/>
          <w:szCs w:val="24"/>
        </w:rPr>
      </w:pPr>
      <w:r>
        <w:rPr>
          <w:sz w:val="24"/>
          <w:szCs w:val="24"/>
        </w:rPr>
        <w:t>[19]</w:t>
      </w:r>
      <w:r>
        <w:rPr>
          <w:sz w:val="24"/>
          <w:szCs w:val="24"/>
        </w:rPr>
        <w:tab/>
      </w:r>
      <w:r w:rsidR="00586834">
        <w:rPr>
          <w:sz w:val="24"/>
          <w:szCs w:val="24"/>
        </w:rPr>
        <w:t xml:space="preserve">She contended that </w:t>
      </w:r>
      <w:r w:rsidR="00CF1A99">
        <w:rPr>
          <w:sz w:val="24"/>
          <w:szCs w:val="24"/>
        </w:rPr>
        <w:t xml:space="preserve">the </w:t>
      </w:r>
      <w:r w:rsidR="00586834">
        <w:rPr>
          <w:sz w:val="24"/>
          <w:szCs w:val="24"/>
        </w:rPr>
        <w:t xml:space="preserve">defendant </w:t>
      </w:r>
      <w:r w:rsidR="00FF6629">
        <w:rPr>
          <w:sz w:val="24"/>
          <w:szCs w:val="24"/>
        </w:rPr>
        <w:t xml:space="preserve">is simply trying to delay filing a plea and the finalization of the claim because it has no defence to </w:t>
      </w:r>
      <w:r w:rsidR="00983390">
        <w:rPr>
          <w:sz w:val="24"/>
          <w:szCs w:val="24"/>
        </w:rPr>
        <w:t xml:space="preserve">the </w:t>
      </w:r>
      <w:r w:rsidR="00FF6629">
        <w:rPr>
          <w:sz w:val="24"/>
          <w:szCs w:val="24"/>
        </w:rPr>
        <w:t>claim.</w:t>
      </w:r>
      <w:r w:rsidR="00586834">
        <w:rPr>
          <w:sz w:val="24"/>
          <w:szCs w:val="24"/>
        </w:rPr>
        <w:t xml:space="preserve"> The issues of whether there has been proper compliance with the provisions of clause 5.5</w:t>
      </w:r>
      <w:r w:rsidR="007374B5">
        <w:rPr>
          <w:sz w:val="24"/>
          <w:szCs w:val="24"/>
        </w:rPr>
        <w:t xml:space="preserve"> is a matter for evidence.</w:t>
      </w:r>
    </w:p>
    <w:p w14:paraId="0B3C734C" w14:textId="501DD9DD" w:rsidR="00EE1E80" w:rsidRDefault="00EE1E80" w:rsidP="006561BA">
      <w:pPr>
        <w:rPr>
          <w:sz w:val="24"/>
          <w:szCs w:val="24"/>
        </w:rPr>
      </w:pPr>
      <w:r>
        <w:rPr>
          <w:b/>
          <w:sz w:val="24"/>
          <w:szCs w:val="24"/>
        </w:rPr>
        <w:t>The law and discussion</w:t>
      </w:r>
    </w:p>
    <w:p w14:paraId="4BD7C1D0" w14:textId="140A8407" w:rsidR="00FF6629" w:rsidRDefault="00211414" w:rsidP="006561BA">
      <w:pPr>
        <w:rPr>
          <w:sz w:val="24"/>
          <w:szCs w:val="24"/>
        </w:rPr>
      </w:pPr>
      <w:r>
        <w:rPr>
          <w:sz w:val="24"/>
          <w:szCs w:val="24"/>
        </w:rPr>
        <w:t>[20]</w:t>
      </w:r>
      <w:r>
        <w:rPr>
          <w:sz w:val="24"/>
          <w:szCs w:val="24"/>
        </w:rPr>
        <w:tab/>
      </w:r>
      <w:r w:rsidR="00FF6629">
        <w:rPr>
          <w:sz w:val="24"/>
          <w:szCs w:val="24"/>
        </w:rPr>
        <w:t>The relevant portions of rule 28 provide as follows:</w:t>
      </w:r>
    </w:p>
    <w:p w14:paraId="2F331EA8" w14:textId="77777777" w:rsidR="00FC3FD1" w:rsidRPr="00FC3FD1" w:rsidRDefault="00FF6629" w:rsidP="006561BA">
      <w:pPr>
        <w:rPr>
          <w:i/>
          <w:sz w:val="22"/>
        </w:rPr>
      </w:pPr>
      <w:r>
        <w:rPr>
          <w:sz w:val="24"/>
          <w:szCs w:val="24"/>
        </w:rPr>
        <w:t>‘</w:t>
      </w:r>
      <w:r w:rsidRPr="00FC3FD1">
        <w:rPr>
          <w:i/>
          <w:sz w:val="22"/>
        </w:rPr>
        <w:t xml:space="preserve">28(1) Any party desiring to amend a pleading or document other than a sworn statement, filed in connection with any proceedings, shall notify all other parties of his intention to amend </w:t>
      </w:r>
      <w:r w:rsidR="00FC3FD1" w:rsidRPr="00FC3FD1">
        <w:rPr>
          <w:i/>
          <w:sz w:val="22"/>
        </w:rPr>
        <w:t>and shall furnish particulars of the amendment.</w:t>
      </w:r>
    </w:p>
    <w:p w14:paraId="572BE18E" w14:textId="77777777" w:rsidR="00FC3FD1" w:rsidRPr="00FC3FD1" w:rsidRDefault="00FC3FD1" w:rsidP="006561BA">
      <w:pPr>
        <w:rPr>
          <w:i/>
          <w:sz w:val="22"/>
        </w:rPr>
      </w:pPr>
      <w:r w:rsidRPr="00FC3FD1">
        <w:rPr>
          <w:i/>
          <w:sz w:val="22"/>
        </w:rPr>
        <w:t>(4) if an objection which complies with sub-rule (3) is delivered within the period referred to sub-rule (2), the party wishing to amend may, within 10 days, lodge an application for leave to amend.</w:t>
      </w:r>
    </w:p>
    <w:p w14:paraId="3F3443BA" w14:textId="3D6331AA" w:rsidR="001D698E" w:rsidRPr="001D698E" w:rsidRDefault="005C1419" w:rsidP="006561BA">
      <w:pPr>
        <w:rPr>
          <w:sz w:val="24"/>
          <w:szCs w:val="24"/>
        </w:rPr>
      </w:pPr>
      <w:r>
        <w:rPr>
          <w:sz w:val="24"/>
          <w:szCs w:val="24"/>
        </w:rPr>
        <w:t>[21]</w:t>
      </w:r>
      <w:r>
        <w:rPr>
          <w:sz w:val="24"/>
          <w:szCs w:val="24"/>
        </w:rPr>
        <w:tab/>
      </w:r>
      <w:r w:rsidR="00391409">
        <w:rPr>
          <w:sz w:val="24"/>
          <w:szCs w:val="24"/>
        </w:rPr>
        <w:t>It is trite that a party may seek to amend its pleadings at any time before judgme</w:t>
      </w:r>
      <w:r w:rsidR="00C61C81">
        <w:rPr>
          <w:sz w:val="24"/>
          <w:szCs w:val="24"/>
        </w:rPr>
        <w:t>nt has been granted in a matter</w:t>
      </w:r>
      <w:r w:rsidR="00EE1E80">
        <w:rPr>
          <w:sz w:val="24"/>
          <w:szCs w:val="24"/>
        </w:rPr>
        <w:t xml:space="preserve">. The </w:t>
      </w:r>
      <w:r w:rsidR="001D698E" w:rsidRPr="001D698E">
        <w:rPr>
          <w:sz w:val="24"/>
          <w:szCs w:val="24"/>
        </w:rPr>
        <w:t>party seeking an amendment bears the onus of showing that it is made bona fide and there is an absence of prejudice</w:t>
      </w:r>
      <w:r w:rsidR="001D698E">
        <w:rPr>
          <w:sz w:val="24"/>
          <w:szCs w:val="24"/>
        </w:rPr>
        <w:t>.</w:t>
      </w:r>
      <w:r w:rsidR="001D698E" w:rsidRPr="00B50467">
        <w:rPr>
          <w:rStyle w:val="FootnoteReference"/>
          <w:rFonts w:ascii="Arial" w:hAnsi="Arial"/>
          <w:sz w:val="20"/>
        </w:rPr>
        <w:footnoteReference w:id="4"/>
      </w:r>
      <w:r w:rsidR="00EE1E80">
        <w:rPr>
          <w:sz w:val="24"/>
          <w:szCs w:val="24"/>
        </w:rPr>
        <w:t xml:space="preserve"> The </w:t>
      </w:r>
      <w:r w:rsidR="00823735">
        <w:rPr>
          <w:sz w:val="24"/>
          <w:szCs w:val="24"/>
        </w:rPr>
        <w:t>tendency of our courts is to allow an</w:t>
      </w:r>
      <w:r w:rsidR="00FB74F6">
        <w:rPr>
          <w:sz w:val="24"/>
          <w:szCs w:val="24"/>
        </w:rPr>
        <w:t xml:space="preserve"> amendment</w:t>
      </w:r>
      <w:r w:rsidR="00983390">
        <w:rPr>
          <w:sz w:val="24"/>
          <w:szCs w:val="24"/>
        </w:rPr>
        <w:t xml:space="preserve"> </w:t>
      </w:r>
      <w:r w:rsidR="00EE1E80">
        <w:rPr>
          <w:sz w:val="24"/>
          <w:szCs w:val="24"/>
        </w:rPr>
        <w:t>unless it is mala fide or the amendment will cause an injustice to the other party that cannot be cured by an appropriate order for costs.</w:t>
      </w:r>
      <w:r w:rsidR="001D698E" w:rsidRPr="00FB74F6">
        <w:rPr>
          <w:rStyle w:val="FootnoteReference"/>
          <w:rFonts w:ascii="Arial" w:hAnsi="Arial"/>
          <w:sz w:val="20"/>
        </w:rPr>
        <w:footnoteReference w:id="5"/>
      </w:r>
      <w:r w:rsidR="00023350" w:rsidRPr="00FB74F6">
        <w:rPr>
          <w:szCs w:val="20"/>
        </w:rPr>
        <w:t xml:space="preserve"> </w:t>
      </w:r>
      <w:r w:rsidR="00023350" w:rsidRPr="001D698E">
        <w:rPr>
          <w:sz w:val="24"/>
          <w:szCs w:val="24"/>
        </w:rPr>
        <w:t xml:space="preserve"> </w:t>
      </w:r>
      <w:r w:rsidR="001D698E" w:rsidRPr="001D698E">
        <w:rPr>
          <w:sz w:val="24"/>
          <w:szCs w:val="24"/>
        </w:rPr>
        <w:t xml:space="preserve">A court </w:t>
      </w:r>
      <w:r w:rsidR="007517DD">
        <w:rPr>
          <w:sz w:val="24"/>
          <w:szCs w:val="24"/>
        </w:rPr>
        <w:t xml:space="preserve">considering </w:t>
      </w:r>
      <w:r w:rsidR="007517DD" w:rsidRPr="001D698E">
        <w:rPr>
          <w:sz w:val="24"/>
          <w:szCs w:val="24"/>
        </w:rPr>
        <w:t>an</w:t>
      </w:r>
      <w:r w:rsidR="001D698E" w:rsidRPr="001D698E">
        <w:rPr>
          <w:sz w:val="24"/>
          <w:szCs w:val="24"/>
        </w:rPr>
        <w:t xml:space="preserve"> application for an amendment </w:t>
      </w:r>
      <w:r w:rsidR="00823735">
        <w:rPr>
          <w:sz w:val="24"/>
          <w:szCs w:val="24"/>
        </w:rPr>
        <w:t xml:space="preserve">has a discretion whether to grant or refuse the application </w:t>
      </w:r>
      <w:r w:rsidR="007517DD">
        <w:rPr>
          <w:sz w:val="24"/>
          <w:szCs w:val="24"/>
        </w:rPr>
        <w:t xml:space="preserve">and </w:t>
      </w:r>
      <w:r w:rsidR="00983390">
        <w:rPr>
          <w:sz w:val="24"/>
          <w:szCs w:val="24"/>
        </w:rPr>
        <w:t xml:space="preserve">must exercise </w:t>
      </w:r>
      <w:r w:rsidR="007517DD">
        <w:rPr>
          <w:sz w:val="24"/>
          <w:szCs w:val="24"/>
        </w:rPr>
        <w:t xml:space="preserve">this </w:t>
      </w:r>
      <w:r w:rsidR="001D698E" w:rsidRPr="001D698E">
        <w:rPr>
          <w:sz w:val="24"/>
          <w:szCs w:val="24"/>
        </w:rPr>
        <w:t>discretion</w:t>
      </w:r>
      <w:r w:rsidR="007517DD">
        <w:rPr>
          <w:sz w:val="24"/>
          <w:szCs w:val="24"/>
        </w:rPr>
        <w:t xml:space="preserve"> judicially.</w:t>
      </w:r>
      <w:r w:rsidR="001D698E" w:rsidRPr="004F7601">
        <w:rPr>
          <w:rStyle w:val="FootnoteReference"/>
          <w:rFonts w:ascii="Arial" w:hAnsi="Arial"/>
          <w:sz w:val="20"/>
        </w:rPr>
        <w:footnoteReference w:id="6"/>
      </w:r>
      <w:r w:rsidR="004F7601">
        <w:rPr>
          <w:szCs w:val="20"/>
        </w:rPr>
        <w:t xml:space="preserve"> </w:t>
      </w:r>
      <w:r w:rsidR="00EF0DAB">
        <w:rPr>
          <w:szCs w:val="20"/>
        </w:rPr>
        <w:t xml:space="preserve"> </w:t>
      </w:r>
    </w:p>
    <w:p w14:paraId="01553AD7" w14:textId="2ED4EB23" w:rsidR="00135109" w:rsidRPr="00040510" w:rsidRDefault="005C1419">
      <w:pPr>
        <w:rPr>
          <w:sz w:val="24"/>
          <w:szCs w:val="24"/>
        </w:rPr>
      </w:pPr>
      <w:r>
        <w:rPr>
          <w:color w:val="242121"/>
          <w:sz w:val="24"/>
          <w:szCs w:val="24"/>
          <w:shd w:val="clear" w:color="auto" w:fill="FFFFFF"/>
        </w:rPr>
        <w:t>[22]</w:t>
      </w:r>
      <w:r>
        <w:rPr>
          <w:color w:val="242121"/>
          <w:sz w:val="24"/>
          <w:szCs w:val="24"/>
          <w:shd w:val="clear" w:color="auto" w:fill="FFFFFF"/>
        </w:rPr>
        <w:tab/>
      </w:r>
      <w:r w:rsidR="00EF0DAB">
        <w:rPr>
          <w:color w:val="242121"/>
          <w:sz w:val="24"/>
          <w:szCs w:val="24"/>
          <w:shd w:val="clear" w:color="auto" w:fill="FFFFFF"/>
        </w:rPr>
        <w:t>As mentioned at the outset</w:t>
      </w:r>
      <w:r w:rsidR="00983390">
        <w:rPr>
          <w:color w:val="242121"/>
          <w:sz w:val="24"/>
          <w:szCs w:val="24"/>
          <w:shd w:val="clear" w:color="auto" w:fill="FFFFFF"/>
        </w:rPr>
        <w:t>,</w:t>
      </w:r>
      <w:r w:rsidR="00EF0DAB">
        <w:rPr>
          <w:color w:val="242121"/>
          <w:sz w:val="24"/>
          <w:szCs w:val="24"/>
          <w:shd w:val="clear" w:color="auto" w:fill="FFFFFF"/>
        </w:rPr>
        <w:t xml:space="preserve"> amendments that have the effect of rendering such pleading excipiable or where it does not cure an excipiable pleading, will not be allowed. </w:t>
      </w:r>
      <w:r w:rsidR="005B3FA8">
        <w:rPr>
          <w:color w:val="242121"/>
          <w:sz w:val="24"/>
          <w:szCs w:val="24"/>
          <w:shd w:val="clear" w:color="auto" w:fill="FFFFFF"/>
        </w:rPr>
        <w:t xml:space="preserve">I turn therefore to consider the relevant principles governing </w:t>
      </w:r>
      <w:r w:rsidR="00983390">
        <w:rPr>
          <w:color w:val="242121"/>
          <w:sz w:val="24"/>
          <w:szCs w:val="24"/>
          <w:shd w:val="clear" w:color="auto" w:fill="FFFFFF"/>
        </w:rPr>
        <w:t>exceptions, which are relevant to an assessment of the grounds of objection to the amendments sought,</w:t>
      </w:r>
      <w:r w:rsidR="005B3FA8">
        <w:rPr>
          <w:color w:val="242121"/>
          <w:sz w:val="24"/>
          <w:szCs w:val="24"/>
          <w:shd w:val="clear" w:color="auto" w:fill="FFFFFF"/>
        </w:rPr>
        <w:t xml:space="preserve"> and the exceptions.</w:t>
      </w:r>
    </w:p>
    <w:p w14:paraId="66A4A359" w14:textId="19A048E8" w:rsidR="0037213D" w:rsidRDefault="005C1419">
      <w:r>
        <w:rPr>
          <w:sz w:val="24"/>
          <w:szCs w:val="24"/>
        </w:rPr>
        <w:t>[23]</w:t>
      </w:r>
      <w:r>
        <w:rPr>
          <w:sz w:val="24"/>
          <w:szCs w:val="24"/>
        </w:rPr>
        <w:tab/>
      </w:r>
      <w:r w:rsidR="005B3FA8">
        <w:rPr>
          <w:sz w:val="24"/>
          <w:szCs w:val="24"/>
        </w:rPr>
        <w:t>The starting point is t</w:t>
      </w:r>
      <w:r w:rsidR="0037213D" w:rsidRPr="004F7601">
        <w:rPr>
          <w:sz w:val="24"/>
          <w:szCs w:val="24"/>
        </w:rPr>
        <w:t xml:space="preserve">he court must accept as correct the allegations contained in the particulars of claim, incorporating the proposed amendment, and determine whether those allegations are capable of supporting a cause of action in respect of the </w:t>
      </w:r>
      <w:r w:rsidR="00E87492">
        <w:rPr>
          <w:sz w:val="24"/>
          <w:szCs w:val="24"/>
        </w:rPr>
        <w:t>plaintiff’s claim</w:t>
      </w:r>
      <w:r w:rsidR="0037213D" w:rsidRPr="004F7601">
        <w:rPr>
          <w:sz w:val="24"/>
          <w:szCs w:val="24"/>
        </w:rPr>
        <w:t>.</w:t>
      </w:r>
      <w:r w:rsidR="00E87492" w:rsidRPr="00E87492">
        <w:rPr>
          <w:rStyle w:val="FootnoteReference"/>
          <w:rFonts w:ascii="Arial" w:hAnsi="Arial"/>
          <w:sz w:val="20"/>
        </w:rPr>
        <w:footnoteReference w:id="7"/>
      </w:r>
      <w:r w:rsidR="00E87492">
        <w:t xml:space="preserve"> </w:t>
      </w:r>
    </w:p>
    <w:p w14:paraId="4CC23F3E" w14:textId="5E103112" w:rsidR="0037213D" w:rsidRDefault="005C1419">
      <w:pPr>
        <w:rPr>
          <w:sz w:val="24"/>
          <w:szCs w:val="24"/>
        </w:rPr>
      </w:pPr>
      <w:r>
        <w:rPr>
          <w:sz w:val="24"/>
          <w:szCs w:val="24"/>
        </w:rPr>
        <w:t>[24]</w:t>
      </w:r>
      <w:r>
        <w:rPr>
          <w:sz w:val="24"/>
          <w:szCs w:val="24"/>
        </w:rPr>
        <w:tab/>
      </w:r>
      <w:r w:rsidR="0037213D" w:rsidRPr="00E87492">
        <w:rPr>
          <w:sz w:val="24"/>
          <w:szCs w:val="24"/>
        </w:rPr>
        <w:t>The defect on the pleadings must appear ex facie the pleadings and no extraneous facts may be adduced to show that the pleading is excipiable</w:t>
      </w:r>
      <w:r w:rsidR="0037213D">
        <w:t>.</w:t>
      </w:r>
      <w:r w:rsidR="00E87492" w:rsidRPr="00E87492">
        <w:rPr>
          <w:rStyle w:val="FootnoteReference"/>
          <w:rFonts w:ascii="Arial" w:hAnsi="Arial"/>
          <w:sz w:val="20"/>
        </w:rPr>
        <w:footnoteReference w:id="8"/>
      </w:r>
      <w:r w:rsidR="0037213D">
        <w:t xml:space="preserve">  </w:t>
      </w:r>
      <w:r w:rsidR="006A0CC4">
        <w:rPr>
          <w:sz w:val="24"/>
          <w:szCs w:val="24"/>
        </w:rPr>
        <w:t xml:space="preserve">The onus rests on the excipient </w:t>
      </w:r>
      <w:r w:rsidR="003C2390">
        <w:rPr>
          <w:sz w:val="24"/>
          <w:szCs w:val="24"/>
        </w:rPr>
        <w:t>to show</w:t>
      </w:r>
      <w:r w:rsidR="006A0CC4">
        <w:rPr>
          <w:sz w:val="24"/>
          <w:szCs w:val="24"/>
        </w:rPr>
        <w:t xml:space="preserve"> that the pleading is excipiable on every possible interpretation that can reasonably be attached to it.</w:t>
      </w:r>
      <w:r w:rsidR="006A0CC4" w:rsidRPr="00401444">
        <w:rPr>
          <w:rStyle w:val="FootnoteReference"/>
          <w:rFonts w:ascii="Arial" w:hAnsi="Arial"/>
          <w:sz w:val="20"/>
        </w:rPr>
        <w:footnoteReference w:id="9"/>
      </w:r>
    </w:p>
    <w:p w14:paraId="57798D37" w14:textId="52AB8D04" w:rsidR="00401444" w:rsidRDefault="005C1419">
      <w:pPr>
        <w:rPr>
          <w:sz w:val="24"/>
          <w:szCs w:val="24"/>
        </w:rPr>
      </w:pPr>
      <w:r>
        <w:rPr>
          <w:sz w:val="24"/>
          <w:szCs w:val="24"/>
        </w:rPr>
        <w:t>[25]</w:t>
      </w:r>
      <w:r>
        <w:rPr>
          <w:sz w:val="24"/>
          <w:szCs w:val="24"/>
        </w:rPr>
        <w:tab/>
      </w:r>
      <w:r w:rsidR="00401444">
        <w:rPr>
          <w:sz w:val="24"/>
          <w:szCs w:val="24"/>
        </w:rPr>
        <w:t xml:space="preserve">It is common cause that the plaintiff is a law firm and that it seeks payments </w:t>
      </w:r>
      <w:r w:rsidR="0018080B">
        <w:rPr>
          <w:sz w:val="24"/>
          <w:szCs w:val="24"/>
        </w:rPr>
        <w:t>of its alleged outstanding fees pursuant to the written mandate concluded between the parties. The issue between the parties, as far as the exceptions are concerned, turns on the interpretation of the written mandate and particularly clause 5.5 of the mandate. The defendant contends that</w:t>
      </w:r>
      <w:r w:rsidR="0055621C">
        <w:rPr>
          <w:sz w:val="24"/>
          <w:szCs w:val="24"/>
        </w:rPr>
        <w:t xml:space="preserve"> the</w:t>
      </w:r>
      <w:r w:rsidR="0018080B">
        <w:rPr>
          <w:sz w:val="24"/>
          <w:szCs w:val="24"/>
        </w:rPr>
        <w:t xml:space="preserve"> </w:t>
      </w:r>
      <w:r w:rsidR="003C2390">
        <w:rPr>
          <w:sz w:val="24"/>
          <w:szCs w:val="24"/>
        </w:rPr>
        <w:t xml:space="preserve">amended </w:t>
      </w:r>
      <w:r w:rsidR="0018080B">
        <w:rPr>
          <w:sz w:val="24"/>
          <w:szCs w:val="24"/>
        </w:rPr>
        <w:t xml:space="preserve">particulars of claim discloses </w:t>
      </w:r>
      <w:r w:rsidR="0085364E">
        <w:rPr>
          <w:sz w:val="24"/>
          <w:szCs w:val="24"/>
        </w:rPr>
        <w:t>no cause of action alternatively is vague and embarrassing.</w:t>
      </w:r>
    </w:p>
    <w:p w14:paraId="18BD166D" w14:textId="029AA498" w:rsidR="005E0A2E" w:rsidRDefault="005C1419" w:rsidP="0018080B">
      <w:pPr>
        <w:rPr>
          <w:sz w:val="24"/>
          <w:szCs w:val="24"/>
        </w:rPr>
      </w:pPr>
      <w:r>
        <w:rPr>
          <w:sz w:val="24"/>
          <w:szCs w:val="24"/>
        </w:rPr>
        <w:t>[26]</w:t>
      </w:r>
      <w:r>
        <w:rPr>
          <w:sz w:val="24"/>
          <w:szCs w:val="24"/>
        </w:rPr>
        <w:tab/>
      </w:r>
      <w:r w:rsidR="0085364E">
        <w:rPr>
          <w:sz w:val="24"/>
          <w:szCs w:val="24"/>
        </w:rPr>
        <w:t>The defendant is therefore required to show that the plaintiff’s claim is bad in law on the pleadings as sought to be amended, and further that clause 5.5 of the written mandate cannot reasonably bear the meaning and interpretation contended for by the plaintiff.</w:t>
      </w:r>
      <w:r w:rsidR="0085364E" w:rsidRPr="0085364E">
        <w:rPr>
          <w:rStyle w:val="FootnoteReference"/>
          <w:rFonts w:ascii="Arial" w:hAnsi="Arial"/>
          <w:sz w:val="20"/>
        </w:rPr>
        <w:footnoteReference w:id="10"/>
      </w:r>
      <w:r w:rsidR="005E0A2E">
        <w:rPr>
          <w:sz w:val="24"/>
          <w:szCs w:val="24"/>
        </w:rPr>
        <w:t xml:space="preserve"> </w:t>
      </w:r>
    </w:p>
    <w:p w14:paraId="6817EF84" w14:textId="0178BE94" w:rsidR="0018080B" w:rsidRDefault="005C1419">
      <w:pPr>
        <w:rPr>
          <w:sz w:val="24"/>
          <w:szCs w:val="24"/>
        </w:rPr>
      </w:pPr>
      <w:r>
        <w:rPr>
          <w:sz w:val="24"/>
          <w:szCs w:val="24"/>
        </w:rPr>
        <w:t>[27]</w:t>
      </w:r>
      <w:r>
        <w:rPr>
          <w:sz w:val="24"/>
          <w:szCs w:val="24"/>
        </w:rPr>
        <w:tab/>
      </w:r>
      <w:r w:rsidR="0018080B">
        <w:rPr>
          <w:sz w:val="24"/>
          <w:szCs w:val="24"/>
        </w:rPr>
        <w:t>The factual requirements for a cause of action have been authoritatively stated as the facts required by a plaintiff, which it would be necessary to prove, in order to support its right to judgment.</w:t>
      </w:r>
      <w:r w:rsidR="0018080B" w:rsidRPr="00401444">
        <w:rPr>
          <w:rStyle w:val="FootnoteReference"/>
          <w:rFonts w:ascii="Arial" w:hAnsi="Arial"/>
          <w:sz w:val="20"/>
        </w:rPr>
        <w:footnoteReference w:id="11"/>
      </w:r>
      <w:r w:rsidR="0018080B">
        <w:rPr>
          <w:sz w:val="24"/>
          <w:szCs w:val="24"/>
        </w:rPr>
        <w:t xml:space="preserve"> </w:t>
      </w:r>
      <w:r w:rsidR="00EF7B7D">
        <w:rPr>
          <w:sz w:val="24"/>
          <w:szCs w:val="24"/>
        </w:rPr>
        <w:t>The relationship between an attorney and his client is one of mandate.</w:t>
      </w:r>
      <w:r w:rsidR="00EF7B7D" w:rsidRPr="00EF7B7D">
        <w:rPr>
          <w:rStyle w:val="FootnoteReference"/>
          <w:rFonts w:ascii="Arial" w:hAnsi="Arial"/>
          <w:sz w:val="20"/>
        </w:rPr>
        <w:footnoteReference w:id="12"/>
      </w:r>
      <w:r w:rsidR="00EF7B7D">
        <w:rPr>
          <w:sz w:val="24"/>
          <w:szCs w:val="24"/>
        </w:rPr>
        <w:t xml:space="preserve"> </w:t>
      </w:r>
      <w:r w:rsidR="00226CA8">
        <w:rPr>
          <w:sz w:val="24"/>
          <w:szCs w:val="24"/>
        </w:rPr>
        <w:t xml:space="preserve">In </w:t>
      </w:r>
      <w:r w:rsidR="00842B45">
        <w:rPr>
          <w:i/>
          <w:sz w:val="24"/>
          <w:szCs w:val="24"/>
        </w:rPr>
        <w:t>Mucavele v Health MEC Mpumalanga</w:t>
      </w:r>
      <w:r w:rsidR="00842B45" w:rsidRPr="00586FAA">
        <w:rPr>
          <w:rStyle w:val="FootnoteReference"/>
          <w:rFonts w:ascii="Arial" w:hAnsi="Arial"/>
          <w:i/>
          <w:sz w:val="20"/>
        </w:rPr>
        <w:footnoteReference w:id="13"/>
      </w:r>
      <w:r w:rsidR="00226CA8">
        <w:rPr>
          <w:sz w:val="24"/>
          <w:szCs w:val="24"/>
        </w:rPr>
        <w:t xml:space="preserve">, Legodi JP </w:t>
      </w:r>
      <w:r w:rsidR="00C13096">
        <w:rPr>
          <w:sz w:val="24"/>
          <w:szCs w:val="24"/>
        </w:rPr>
        <w:t xml:space="preserve">commented on </w:t>
      </w:r>
      <w:r w:rsidR="00226CA8">
        <w:rPr>
          <w:sz w:val="24"/>
          <w:szCs w:val="24"/>
        </w:rPr>
        <w:t>the longstanding norms and practices for the conclusion of a valid and enforceable mandate.</w:t>
      </w:r>
      <w:r w:rsidR="00226CA8" w:rsidRPr="00226CA8">
        <w:rPr>
          <w:szCs w:val="20"/>
        </w:rPr>
        <w:t xml:space="preserve"> </w:t>
      </w:r>
      <w:r w:rsidR="00226CA8">
        <w:rPr>
          <w:sz w:val="24"/>
          <w:szCs w:val="24"/>
        </w:rPr>
        <w:t>Th</w:t>
      </w:r>
      <w:r w:rsidR="00C13096">
        <w:rPr>
          <w:sz w:val="24"/>
          <w:szCs w:val="24"/>
        </w:rPr>
        <w:t xml:space="preserve">ese are that </w:t>
      </w:r>
      <w:r w:rsidR="00226CA8">
        <w:rPr>
          <w:sz w:val="24"/>
          <w:szCs w:val="24"/>
        </w:rPr>
        <w:t>a client should be informed of the scope of work to be undertaken by the attorney, the fee amount, hourly rate, payment terms and what would happen when a mandate is terminated.</w:t>
      </w:r>
      <w:r w:rsidR="00226CA8" w:rsidRPr="00226CA8">
        <w:rPr>
          <w:rStyle w:val="FootnoteReference"/>
          <w:rFonts w:ascii="Arial" w:hAnsi="Arial"/>
          <w:sz w:val="20"/>
        </w:rPr>
        <w:footnoteReference w:id="14"/>
      </w:r>
      <w:r w:rsidR="00226CA8">
        <w:rPr>
          <w:sz w:val="24"/>
          <w:szCs w:val="24"/>
        </w:rPr>
        <w:t xml:space="preserve">  </w:t>
      </w:r>
      <w:r w:rsidR="00457714">
        <w:rPr>
          <w:sz w:val="24"/>
          <w:szCs w:val="24"/>
        </w:rPr>
        <w:t>Unless agreed to otherwise, t</w:t>
      </w:r>
      <w:r w:rsidR="00EF7B7D">
        <w:rPr>
          <w:sz w:val="24"/>
          <w:szCs w:val="24"/>
        </w:rPr>
        <w:t>he attorney is not entitled to payment of his fees and/or disbursements until he has performed his mandate or until his services have been terminated</w:t>
      </w:r>
      <w:r w:rsidR="00457714">
        <w:rPr>
          <w:sz w:val="24"/>
          <w:szCs w:val="24"/>
        </w:rPr>
        <w:t>.</w:t>
      </w:r>
      <w:r w:rsidR="00457714" w:rsidRPr="00457714">
        <w:rPr>
          <w:rStyle w:val="FootnoteReference"/>
          <w:rFonts w:ascii="Arial" w:hAnsi="Arial"/>
          <w:sz w:val="20"/>
        </w:rPr>
        <w:footnoteReference w:id="15"/>
      </w:r>
    </w:p>
    <w:p w14:paraId="134C71A9" w14:textId="6984A211" w:rsidR="00DF23FB" w:rsidRDefault="005C1419" w:rsidP="00DF23FB">
      <w:pPr>
        <w:rPr>
          <w:sz w:val="24"/>
          <w:szCs w:val="24"/>
        </w:rPr>
      </w:pPr>
      <w:r>
        <w:rPr>
          <w:sz w:val="24"/>
          <w:szCs w:val="24"/>
        </w:rPr>
        <w:t>[28]</w:t>
      </w:r>
      <w:r>
        <w:rPr>
          <w:sz w:val="24"/>
          <w:szCs w:val="24"/>
        </w:rPr>
        <w:tab/>
      </w:r>
      <w:r w:rsidR="0055621C">
        <w:rPr>
          <w:sz w:val="24"/>
          <w:szCs w:val="24"/>
        </w:rPr>
        <w:t>A plaintiff is required to allege in the pleadings the material facts upon which it relies.</w:t>
      </w:r>
      <w:r w:rsidR="0055621C" w:rsidRPr="0055621C">
        <w:rPr>
          <w:rStyle w:val="FootnoteReference"/>
          <w:rFonts w:ascii="Arial" w:hAnsi="Arial"/>
          <w:sz w:val="20"/>
        </w:rPr>
        <w:footnoteReference w:id="16"/>
      </w:r>
      <w:r w:rsidR="0055621C">
        <w:rPr>
          <w:sz w:val="24"/>
          <w:szCs w:val="24"/>
        </w:rPr>
        <w:t xml:space="preserve"> </w:t>
      </w:r>
      <w:r w:rsidR="00F77244" w:rsidRPr="00DF23FB">
        <w:rPr>
          <w:sz w:val="24"/>
          <w:szCs w:val="24"/>
        </w:rPr>
        <w:t xml:space="preserve">For a claim based on a written agreement, the plaintiff is obliged by reference to all the clauses upon which it relies for its cause of action, to set out the terms that it relies upon to found </w:t>
      </w:r>
      <w:r w:rsidR="00DF23FB" w:rsidRPr="00DF23FB">
        <w:rPr>
          <w:sz w:val="24"/>
          <w:szCs w:val="24"/>
        </w:rPr>
        <w:t>its claim</w:t>
      </w:r>
      <w:r w:rsidR="00F77244" w:rsidRPr="00DF23FB">
        <w:rPr>
          <w:sz w:val="24"/>
          <w:szCs w:val="24"/>
        </w:rPr>
        <w:t xml:space="preserve"> against the defendant.</w:t>
      </w:r>
      <w:r w:rsidR="00F77244" w:rsidRPr="00DF23FB">
        <w:rPr>
          <w:rStyle w:val="FootnoteReference"/>
          <w:rFonts w:ascii="Arial" w:hAnsi="Arial"/>
          <w:sz w:val="20"/>
        </w:rPr>
        <w:footnoteReference w:id="17"/>
      </w:r>
      <w:r w:rsidR="00F77244" w:rsidRPr="00DF23FB">
        <w:rPr>
          <w:sz w:val="24"/>
          <w:szCs w:val="24"/>
        </w:rPr>
        <w:t xml:space="preserve"> An exception can only be granted where no cause of action is made out on every interpretation emanating from the pleading being excepted against.</w:t>
      </w:r>
      <w:r w:rsidR="00F77244">
        <w:rPr>
          <w:sz w:val="22"/>
        </w:rPr>
        <w:t xml:space="preserve">  </w:t>
      </w:r>
      <w:r w:rsidR="00DF23FB" w:rsidRPr="00E87492">
        <w:rPr>
          <w:sz w:val="24"/>
          <w:szCs w:val="24"/>
        </w:rPr>
        <w:t>It is for the excipient to satisfy the court that the conclusion of law pleaded by the plaintiff cannot be supported by any reasonable interpretation of the particulars of claim.</w:t>
      </w:r>
      <w:r w:rsidR="00DF23FB" w:rsidRPr="00DF23FB">
        <w:rPr>
          <w:rStyle w:val="FootnoteReference"/>
          <w:rFonts w:ascii="Arial" w:hAnsi="Arial"/>
          <w:sz w:val="20"/>
        </w:rPr>
        <w:footnoteReference w:id="18"/>
      </w:r>
      <w:r w:rsidR="00DF23FB">
        <w:rPr>
          <w:sz w:val="24"/>
          <w:szCs w:val="24"/>
        </w:rPr>
        <w:t xml:space="preserve"> </w:t>
      </w:r>
    </w:p>
    <w:p w14:paraId="153F858F" w14:textId="75AF0145" w:rsidR="005E0A2E" w:rsidRDefault="005C1419" w:rsidP="00DF23FB">
      <w:pPr>
        <w:rPr>
          <w:sz w:val="24"/>
          <w:szCs w:val="24"/>
        </w:rPr>
      </w:pPr>
      <w:r>
        <w:rPr>
          <w:sz w:val="24"/>
          <w:szCs w:val="24"/>
        </w:rPr>
        <w:t>[29]</w:t>
      </w:r>
      <w:r>
        <w:rPr>
          <w:sz w:val="24"/>
          <w:szCs w:val="24"/>
        </w:rPr>
        <w:tab/>
      </w:r>
      <w:r w:rsidR="005E0A2E">
        <w:rPr>
          <w:sz w:val="24"/>
          <w:szCs w:val="24"/>
        </w:rPr>
        <w:t xml:space="preserve">In this </w:t>
      </w:r>
      <w:r w:rsidR="00C13096">
        <w:rPr>
          <w:sz w:val="24"/>
          <w:szCs w:val="24"/>
        </w:rPr>
        <w:t>matter,</w:t>
      </w:r>
      <w:r w:rsidR="005E0A2E">
        <w:rPr>
          <w:sz w:val="24"/>
          <w:szCs w:val="24"/>
        </w:rPr>
        <w:t xml:space="preserve"> a copy of the written mandate is annexed to the particulars of claim. It runs to </w:t>
      </w:r>
      <w:r w:rsidR="00FE6056">
        <w:rPr>
          <w:sz w:val="24"/>
          <w:szCs w:val="24"/>
        </w:rPr>
        <w:t>13</w:t>
      </w:r>
      <w:r w:rsidR="005E0A2E">
        <w:rPr>
          <w:sz w:val="24"/>
          <w:szCs w:val="24"/>
        </w:rPr>
        <w:t xml:space="preserve"> pages and sets out in detail the scope of work to be undertaken by the plaintiff, the fee for its services and the hourly rates of the attorneys working on the transaction. The </w:t>
      </w:r>
      <w:r w:rsidR="003C2390">
        <w:rPr>
          <w:sz w:val="24"/>
          <w:szCs w:val="24"/>
        </w:rPr>
        <w:t xml:space="preserve">amended </w:t>
      </w:r>
      <w:r w:rsidR="005E0A2E">
        <w:rPr>
          <w:sz w:val="24"/>
          <w:szCs w:val="24"/>
        </w:rPr>
        <w:t>particulars of claim</w:t>
      </w:r>
      <w:r w:rsidR="007A1C7C">
        <w:rPr>
          <w:sz w:val="24"/>
          <w:szCs w:val="24"/>
        </w:rPr>
        <w:t xml:space="preserve"> also specifies</w:t>
      </w:r>
      <w:r w:rsidR="005E0A2E">
        <w:rPr>
          <w:sz w:val="24"/>
          <w:szCs w:val="24"/>
        </w:rPr>
        <w:t xml:space="preserve"> the material express terms from the written mandate in paragraphs </w:t>
      </w:r>
      <w:r w:rsidR="007A1C7C">
        <w:rPr>
          <w:sz w:val="24"/>
          <w:szCs w:val="24"/>
        </w:rPr>
        <w:t xml:space="preserve">8, 9, 11, 12 and 13. </w:t>
      </w:r>
      <w:r w:rsidR="005E0A2E">
        <w:rPr>
          <w:sz w:val="24"/>
          <w:szCs w:val="24"/>
        </w:rPr>
        <w:t xml:space="preserve">  </w:t>
      </w:r>
    </w:p>
    <w:p w14:paraId="0EBEF935" w14:textId="24642839" w:rsidR="007A1C7C" w:rsidRDefault="005C1419" w:rsidP="00DF23FB">
      <w:pPr>
        <w:rPr>
          <w:sz w:val="24"/>
          <w:szCs w:val="24"/>
        </w:rPr>
      </w:pPr>
      <w:r>
        <w:rPr>
          <w:sz w:val="24"/>
          <w:szCs w:val="24"/>
        </w:rPr>
        <w:t>[30]</w:t>
      </w:r>
      <w:r>
        <w:rPr>
          <w:sz w:val="24"/>
          <w:szCs w:val="24"/>
        </w:rPr>
        <w:tab/>
      </w:r>
      <w:r w:rsidR="007A1C7C">
        <w:rPr>
          <w:sz w:val="24"/>
          <w:szCs w:val="24"/>
        </w:rPr>
        <w:t xml:space="preserve">The allegations regarding the plaintiff’s compliance with the terms of the written mandate and the defendant’s breach have been pleaded </w:t>
      </w:r>
      <w:r w:rsidR="00FE6056">
        <w:rPr>
          <w:sz w:val="24"/>
          <w:szCs w:val="24"/>
        </w:rPr>
        <w:t>in a</w:t>
      </w:r>
      <w:r w:rsidR="0055621C">
        <w:rPr>
          <w:sz w:val="24"/>
          <w:szCs w:val="24"/>
        </w:rPr>
        <w:t xml:space="preserve"> lucid </w:t>
      </w:r>
      <w:r w:rsidR="00FE6056">
        <w:rPr>
          <w:sz w:val="24"/>
          <w:szCs w:val="24"/>
        </w:rPr>
        <w:t xml:space="preserve">and logical fashion. </w:t>
      </w:r>
      <w:r w:rsidR="00027B06">
        <w:rPr>
          <w:sz w:val="24"/>
          <w:szCs w:val="24"/>
        </w:rPr>
        <w:t>The plaintiff has set out the reasons for its deviation from the capped fee amount and these facts are prima facie in accordance with the written mandate</w:t>
      </w:r>
      <w:r w:rsidR="0055621C">
        <w:rPr>
          <w:sz w:val="24"/>
          <w:szCs w:val="24"/>
        </w:rPr>
        <w:t xml:space="preserve"> entitling it to claim the legal fees sought</w:t>
      </w:r>
      <w:r w:rsidR="00027B06">
        <w:rPr>
          <w:sz w:val="24"/>
          <w:szCs w:val="24"/>
        </w:rPr>
        <w:t xml:space="preserve">. The nature of the legal services provided is apparent from </w:t>
      </w:r>
      <w:r w:rsidR="003C2390">
        <w:rPr>
          <w:sz w:val="24"/>
          <w:szCs w:val="24"/>
        </w:rPr>
        <w:t xml:space="preserve">the </w:t>
      </w:r>
      <w:r w:rsidR="00027B06">
        <w:rPr>
          <w:sz w:val="24"/>
          <w:szCs w:val="24"/>
        </w:rPr>
        <w:t>narrative to the tax invoice, as are the details of the attorneys who rendered the services and the time spent by each.</w:t>
      </w:r>
      <w:r w:rsidR="00B2648F">
        <w:rPr>
          <w:sz w:val="24"/>
          <w:szCs w:val="24"/>
        </w:rPr>
        <w:t xml:space="preserve"> The plaintiff’s detailed allegations in the </w:t>
      </w:r>
      <w:r w:rsidR="003C2390">
        <w:rPr>
          <w:sz w:val="24"/>
          <w:szCs w:val="24"/>
        </w:rPr>
        <w:t xml:space="preserve">amended </w:t>
      </w:r>
      <w:r w:rsidR="00B2648F">
        <w:rPr>
          <w:sz w:val="24"/>
          <w:szCs w:val="24"/>
        </w:rPr>
        <w:t>particulars of claim</w:t>
      </w:r>
      <w:r w:rsidR="003C2390">
        <w:rPr>
          <w:sz w:val="24"/>
          <w:szCs w:val="24"/>
        </w:rPr>
        <w:t xml:space="preserve"> are</w:t>
      </w:r>
      <w:r w:rsidR="00B2648F">
        <w:rPr>
          <w:sz w:val="24"/>
          <w:szCs w:val="24"/>
        </w:rPr>
        <w:t xml:space="preserve"> amplified by the </w:t>
      </w:r>
      <w:r w:rsidR="00684EB7">
        <w:rPr>
          <w:sz w:val="24"/>
          <w:szCs w:val="24"/>
        </w:rPr>
        <w:t xml:space="preserve">factual averments reflected in the </w:t>
      </w:r>
      <w:r w:rsidR="00B2648F">
        <w:rPr>
          <w:sz w:val="24"/>
          <w:szCs w:val="24"/>
        </w:rPr>
        <w:t>annexures</w:t>
      </w:r>
      <w:r w:rsidR="00684EB7">
        <w:rPr>
          <w:sz w:val="24"/>
          <w:szCs w:val="24"/>
        </w:rPr>
        <w:t>.</w:t>
      </w:r>
      <w:r w:rsidR="00B2648F">
        <w:rPr>
          <w:sz w:val="24"/>
          <w:szCs w:val="24"/>
        </w:rPr>
        <w:t xml:space="preserve">  </w:t>
      </w:r>
    </w:p>
    <w:p w14:paraId="0B7025B0" w14:textId="35AE7384" w:rsidR="007A1C7C" w:rsidRDefault="005C1419" w:rsidP="00DF23FB">
      <w:pPr>
        <w:rPr>
          <w:sz w:val="24"/>
          <w:szCs w:val="24"/>
        </w:rPr>
      </w:pPr>
      <w:r>
        <w:rPr>
          <w:sz w:val="24"/>
          <w:szCs w:val="24"/>
        </w:rPr>
        <w:t>[31]</w:t>
      </w:r>
      <w:r>
        <w:rPr>
          <w:sz w:val="24"/>
          <w:szCs w:val="24"/>
        </w:rPr>
        <w:tab/>
      </w:r>
      <w:r w:rsidR="007A1C7C">
        <w:rPr>
          <w:sz w:val="24"/>
          <w:szCs w:val="24"/>
        </w:rPr>
        <w:t xml:space="preserve">I am </w:t>
      </w:r>
      <w:r w:rsidR="003C2390">
        <w:rPr>
          <w:sz w:val="24"/>
          <w:szCs w:val="24"/>
        </w:rPr>
        <w:t>accordingly,</w:t>
      </w:r>
      <w:r w:rsidR="00027B06">
        <w:rPr>
          <w:sz w:val="24"/>
          <w:szCs w:val="24"/>
        </w:rPr>
        <w:t xml:space="preserve"> of</w:t>
      </w:r>
      <w:r w:rsidR="007A1C7C">
        <w:rPr>
          <w:sz w:val="24"/>
          <w:szCs w:val="24"/>
        </w:rPr>
        <w:t xml:space="preserve"> the view that the</w:t>
      </w:r>
      <w:r w:rsidR="001B7D90">
        <w:rPr>
          <w:sz w:val="24"/>
          <w:szCs w:val="24"/>
        </w:rPr>
        <w:t xml:space="preserve"> defendant has not shown </w:t>
      </w:r>
      <w:r w:rsidR="00823735">
        <w:rPr>
          <w:sz w:val="24"/>
          <w:szCs w:val="24"/>
        </w:rPr>
        <w:t>that</w:t>
      </w:r>
      <w:r w:rsidR="0055621C">
        <w:rPr>
          <w:sz w:val="24"/>
          <w:szCs w:val="24"/>
        </w:rPr>
        <w:t xml:space="preserve"> the plaintiff’s claim is bad in law. </w:t>
      </w:r>
      <w:r w:rsidR="001B7D90">
        <w:rPr>
          <w:sz w:val="24"/>
          <w:szCs w:val="24"/>
        </w:rPr>
        <w:t xml:space="preserve">It has not dispelled, on exception, </w:t>
      </w:r>
      <w:r w:rsidR="0055621C">
        <w:rPr>
          <w:sz w:val="24"/>
          <w:szCs w:val="24"/>
        </w:rPr>
        <w:t xml:space="preserve">that the facts pleaded </w:t>
      </w:r>
      <w:r w:rsidR="006F47AD">
        <w:rPr>
          <w:sz w:val="24"/>
          <w:szCs w:val="24"/>
        </w:rPr>
        <w:t xml:space="preserve">do not </w:t>
      </w:r>
      <w:r w:rsidR="0055621C">
        <w:rPr>
          <w:sz w:val="24"/>
          <w:szCs w:val="24"/>
        </w:rPr>
        <w:t xml:space="preserve">bear the meaning contended for by the plaintiff </w:t>
      </w:r>
      <w:r w:rsidR="003C2390">
        <w:rPr>
          <w:sz w:val="24"/>
          <w:szCs w:val="24"/>
        </w:rPr>
        <w:t xml:space="preserve">which is </w:t>
      </w:r>
      <w:r w:rsidR="0055621C">
        <w:rPr>
          <w:sz w:val="24"/>
          <w:szCs w:val="24"/>
        </w:rPr>
        <w:t xml:space="preserve">that </w:t>
      </w:r>
      <w:r w:rsidR="007A1C7C">
        <w:rPr>
          <w:sz w:val="24"/>
          <w:szCs w:val="24"/>
        </w:rPr>
        <w:t>its cause of action i</w:t>
      </w:r>
      <w:r w:rsidR="001B7D90">
        <w:rPr>
          <w:sz w:val="24"/>
          <w:szCs w:val="24"/>
        </w:rPr>
        <w:t>s based on the written mandate</w:t>
      </w:r>
      <w:r w:rsidR="003C2390">
        <w:rPr>
          <w:sz w:val="24"/>
          <w:szCs w:val="24"/>
        </w:rPr>
        <w:t>;</w:t>
      </w:r>
      <w:r w:rsidR="001B7D90">
        <w:rPr>
          <w:sz w:val="24"/>
          <w:szCs w:val="24"/>
        </w:rPr>
        <w:t xml:space="preserve"> and that in order to claim fees </w:t>
      </w:r>
      <w:r w:rsidR="0055621C">
        <w:rPr>
          <w:sz w:val="24"/>
          <w:szCs w:val="24"/>
        </w:rPr>
        <w:t xml:space="preserve">over and above the agreed capped amounts, </w:t>
      </w:r>
      <w:r w:rsidR="001B7D90">
        <w:rPr>
          <w:sz w:val="24"/>
          <w:szCs w:val="24"/>
        </w:rPr>
        <w:t xml:space="preserve">it was required to inform the defendant of the unforeseen factors requiring </w:t>
      </w:r>
      <w:r w:rsidR="00760C29">
        <w:rPr>
          <w:sz w:val="24"/>
          <w:szCs w:val="24"/>
        </w:rPr>
        <w:t xml:space="preserve">additional </w:t>
      </w:r>
      <w:r w:rsidR="001B7D90">
        <w:rPr>
          <w:sz w:val="24"/>
          <w:szCs w:val="24"/>
        </w:rPr>
        <w:t xml:space="preserve">legal services and that such factors would result </w:t>
      </w:r>
      <w:r w:rsidR="00760C29">
        <w:rPr>
          <w:sz w:val="24"/>
          <w:szCs w:val="24"/>
        </w:rPr>
        <w:t xml:space="preserve">in an </w:t>
      </w:r>
      <w:r w:rsidR="001B7D90">
        <w:rPr>
          <w:sz w:val="24"/>
          <w:szCs w:val="24"/>
        </w:rPr>
        <w:t>increased legal</w:t>
      </w:r>
      <w:r w:rsidR="00760C29">
        <w:rPr>
          <w:sz w:val="24"/>
          <w:szCs w:val="24"/>
        </w:rPr>
        <w:t xml:space="preserve"> fee</w:t>
      </w:r>
      <w:r w:rsidR="001B7D90">
        <w:rPr>
          <w:sz w:val="24"/>
          <w:szCs w:val="24"/>
        </w:rPr>
        <w:t xml:space="preserve">. </w:t>
      </w:r>
    </w:p>
    <w:p w14:paraId="4F9E4613" w14:textId="520FCB2A" w:rsidR="00760C29" w:rsidRDefault="005C1419" w:rsidP="00C13096">
      <w:pPr>
        <w:autoSpaceDE w:val="0"/>
        <w:autoSpaceDN w:val="0"/>
        <w:adjustRightInd w:val="0"/>
        <w:rPr>
          <w:sz w:val="24"/>
          <w:szCs w:val="24"/>
        </w:rPr>
      </w:pPr>
      <w:r>
        <w:rPr>
          <w:sz w:val="24"/>
          <w:szCs w:val="24"/>
        </w:rPr>
        <w:t>[32]</w:t>
      </w:r>
      <w:r>
        <w:rPr>
          <w:sz w:val="24"/>
          <w:szCs w:val="24"/>
        </w:rPr>
        <w:tab/>
      </w:r>
      <w:r w:rsidR="00760C29">
        <w:rPr>
          <w:sz w:val="24"/>
          <w:szCs w:val="24"/>
        </w:rPr>
        <w:t>An exception is a pleading and the excipient is bound by the terms in which it is framed or by the issues it raises.</w:t>
      </w:r>
      <w:r w:rsidR="00760C29" w:rsidRPr="00760C29">
        <w:rPr>
          <w:rStyle w:val="FootnoteReference"/>
          <w:rFonts w:ascii="Arial" w:hAnsi="Arial"/>
          <w:sz w:val="20"/>
        </w:rPr>
        <w:footnoteReference w:id="19"/>
      </w:r>
      <w:r w:rsidR="00760C29">
        <w:rPr>
          <w:sz w:val="24"/>
          <w:szCs w:val="24"/>
        </w:rPr>
        <w:t xml:space="preserve"> The exception that the </w:t>
      </w:r>
      <w:r w:rsidR="003C2390">
        <w:rPr>
          <w:sz w:val="24"/>
          <w:szCs w:val="24"/>
        </w:rPr>
        <w:t xml:space="preserve">amended </w:t>
      </w:r>
      <w:r w:rsidR="00760C29">
        <w:rPr>
          <w:sz w:val="24"/>
          <w:szCs w:val="24"/>
        </w:rPr>
        <w:t>particulars of claim does not disclose a cause of action is premised on the basis that clause 5.5 required the plaintiff to discuss any increase in the fees with the defendant at the earliest opportunity, and thereafter proceed with the work on the basis of newly agreed arrangements.</w:t>
      </w:r>
    </w:p>
    <w:p w14:paraId="202522D7" w14:textId="5BF406D6" w:rsidR="00B2648F" w:rsidRDefault="005C1419" w:rsidP="00C13096">
      <w:pPr>
        <w:autoSpaceDE w:val="0"/>
        <w:autoSpaceDN w:val="0"/>
        <w:adjustRightInd w:val="0"/>
        <w:rPr>
          <w:sz w:val="24"/>
          <w:szCs w:val="24"/>
        </w:rPr>
      </w:pPr>
      <w:r>
        <w:rPr>
          <w:sz w:val="24"/>
          <w:szCs w:val="24"/>
        </w:rPr>
        <w:t>[33]</w:t>
      </w:r>
      <w:r>
        <w:rPr>
          <w:sz w:val="24"/>
          <w:szCs w:val="24"/>
        </w:rPr>
        <w:tab/>
      </w:r>
      <w:r w:rsidR="00760C29">
        <w:rPr>
          <w:sz w:val="24"/>
          <w:szCs w:val="24"/>
        </w:rPr>
        <w:t xml:space="preserve">Those averments are set out in the </w:t>
      </w:r>
      <w:r w:rsidR="000F19B4">
        <w:rPr>
          <w:sz w:val="24"/>
          <w:szCs w:val="24"/>
        </w:rPr>
        <w:t xml:space="preserve">amended </w:t>
      </w:r>
      <w:r w:rsidR="00760C29">
        <w:rPr>
          <w:sz w:val="24"/>
          <w:szCs w:val="24"/>
        </w:rPr>
        <w:t xml:space="preserve">particulars of claim. The argument that clause 5.5 required a new written agreement setting out the terms of the new arrangements was advanced for the first time in argument before this Court. Regardless, a plain reading of clause 5.5 in the context of the pleadings as a </w:t>
      </w:r>
      <w:r w:rsidR="00823735">
        <w:rPr>
          <w:sz w:val="24"/>
          <w:szCs w:val="24"/>
        </w:rPr>
        <w:t>whole</w:t>
      </w:r>
      <w:r w:rsidR="00760C29">
        <w:rPr>
          <w:sz w:val="24"/>
          <w:szCs w:val="24"/>
        </w:rPr>
        <w:t xml:space="preserve"> does not support the defendant’s argument that the only possible interpretation </w:t>
      </w:r>
      <w:r w:rsidR="006F3378">
        <w:rPr>
          <w:sz w:val="24"/>
          <w:szCs w:val="24"/>
        </w:rPr>
        <w:t xml:space="preserve">is the parties were required to conclude a new written agreement setting out the terms of the new arrangements. </w:t>
      </w:r>
    </w:p>
    <w:p w14:paraId="5686F34E" w14:textId="0A559C4B" w:rsidR="005E0A2E" w:rsidRDefault="005C1419" w:rsidP="00C13096">
      <w:pPr>
        <w:autoSpaceDE w:val="0"/>
        <w:autoSpaceDN w:val="0"/>
        <w:adjustRightInd w:val="0"/>
        <w:rPr>
          <w:sz w:val="22"/>
        </w:rPr>
      </w:pPr>
      <w:r>
        <w:rPr>
          <w:sz w:val="24"/>
          <w:szCs w:val="24"/>
        </w:rPr>
        <w:t>[34]</w:t>
      </w:r>
      <w:r>
        <w:rPr>
          <w:sz w:val="24"/>
          <w:szCs w:val="24"/>
        </w:rPr>
        <w:tab/>
      </w:r>
      <w:r w:rsidR="006F3378">
        <w:rPr>
          <w:sz w:val="24"/>
          <w:szCs w:val="24"/>
        </w:rPr>
        <w:t>Exception proceedings are not the correct proceedings for the defendant to advance and ventilate that argument since it is apparent that evidence will be required for a proper determination of that issue and whether or not the parties intended a new written agreement was required before the plaintiff could perform the additional legal services or claim its fees for those additional legal services.</w:t>
      </w:r>
      <w:r w:rsidR="00DF23FB" w:rsidRPr="00DF23FB">
        <w:rPr>
          <w:rStyle w:val="FootnoteReference"/>
          <w:rFonts w:ascii="Arial" w:hAnsi="Arial"/>
          <w:sz w:val="20"/>
        </w:rPr>
        <w:footnoteReference w:id="20"/>
      </w:r>
      <w:r w:rsidR="005E0A2E">
        <w:rPr>
          <w:sz w:val="24"/>
          <w:szCs w:val="24"/>
        </w:rPr>
        <w:t xml:space="preserve"> </w:t>
      </w:r>
      <w:r w:rsidR="006F3378">
        <w:rPr>
          <w:sz w:val="24"/>
          <w:szCs w:val="24"/>
        </w:rPr>
        <w:t>T</w:t>
      </w:r>
      <w:r w:rsidR="008207A5">
        <w:rPr>
          <w:sz w:val="24"/>
          <w:szCs w:val="24"/>
        </w:rPr>
        <w:t>hose issues are more appropriately to be determined by the trial court on evidence before it</w:t>
      </w:r>
      <w:r w:rsidR="005E0A2E">
        <w:rPr>
          <w:sz w:val="22"/>
        </w:rPr>
        <w:t>.</w:t>
      </w:r>
      <w:r w:rsidR="005E0A2E" w:rsidRPr="00DA4E3D">
        <w:rPr>
          <w:rStyle w:val="FootnoteReference"/>
          <w:rFonts w:ascii="Arial" w:hAnsi="Arial"/>
          <w:sz w:val="20"/>
        </w:rPr>
        <w:footnoteReference w:id="21"/>
      </w:r>
      <w:r w:rsidR="005E0A2E">
        <w:rPr>
          <w:sz w:val="22"/>
        </w:rPr>
        <w:t xml:space="preserve">  </w:t>
      </w:r>
    </w:p>
    <w:p w14:paraId="04E5BFF2" w14:textId="693F6C41" w:rsidR="00F77244" w:rsidRDefault="005C1419">
      <w:pPr>
        <w:rPr>
          <w:szCs w:val="20"/>
        </w:rPr>
      </w:pPr>
      <w:r>
        <w:rPr>
          <w:sz w:val="24"/>
          <w:szCs w:val="24"/>
        </w:rPr>
        <w:t>[35]</w:t>
      </w:r>
      <w:r>
        <w:rPr>
          <w:sz w:val="24"/>
          <w:szCs w:val="24"/>
        </w:rPr>
        <w:tab/>
      </w:r>
      <w:r w:rsidR="005B3FA8">
        <w:rPr>
          <w:sz w:val="24"/>
          <w:szCs w:val="24"/>
        </w:rPr>
        <w:t>An exception on the ground that a pleading is vague and embarrassing involves consideration whether it lacks particularity to the extent that it is vague; and whether the vagueness causes embarrassment to the extent that the excipient is prejudiced.</w:t>
      </w:r>
      <w:r w:rsidR="005B3FA8" w:rsidRPr="00A87BC5">
        <w:rPr>
          <w:rStyle w:val="FootnoteReference"/>
          <w:rFonts w:ascii="Arial" w:hAnsi="Arial"/>
          <w:sz w:val="20"/>
        </w:rPr>
        <w:footnoteReference w:id="22"/>
      </w:r>
      <w:r w:rsidR="002C32BE">
        <w:rPr>
          <w:sz w:val="24"/>
          <w:szCs w:val="24"/>
        </w:rPr>
        <w:t xml:space="preserve"> </w:t>
      </w:r>
      <w:r w:rsidR="00276324">
        <w:rPr>
          <w:sz w:val="24"/>
          <w:szCs w:val="24"/>
        </w:rPr>
        <w:t>The excipient must show a real point of law or real embarrassment and not mere conjec</w:t>
      </w:r>
      <w:r w:rsidR="002C32BE">
        <w:rPr>
          <w:sz w:val="24"/>
          <w:szCs w:val="24"/>
        </w:rPr>
        <w:t>ture of vague and embarrassment in order for the exception to be upheld.</w:t>
      </w:r>
      <w:r w:rsidR="00276324" w:rsidRPr="00276324">
        <w:rPr>
          <w:rStyle w:val="FootnoteReference"/>
          <w:rFonts w:ascii="Arial" w:hAnsi="Arial"/>
          <w:sz w:val="20"/>
        </w:rPr>
        <w:footnoteReference w:id="23"/>
      </w:r>
      <w:r w:rsidR="00276324" w:rsidRPr="00276324">
        <w:rPr>
          <w:szCs w:val="24"/>
        </w:rPr>
        <w:t xml:space="preserve"> </w:t>
      </w:r>
      <w:r w:rsidR="00276324" w:rsidRPr="00276324">
        <w:rPr>
          <w:sz w:val="24"/>
          <w:szCs w:val="24"/>
        </w:rPr>
        <w:t>An exception that a pleading</w:t>
      </w:r>
      <w:r w:rsidR="00276324">
        <w:rPr>
          <w:sz w:val="24"/>
          <w:szCs w:val="24"/>
        </w:rPr>
        <w:t xml:space="preserve"> is ambiguous cannot succeed unless, on every interpretation possible, no cause of action is disclosed.</w:t>
      </w:r>
      <w:r w:rsidR="00276324" w:rsidRPr="00EF4378">
        <w:rPr>
          <w:rStyle w:val="FootnoteReference"/>
          <w:rFonts w:ascii="Arial" w:hAnsi="Arial"/>
          <w:sz w:val="20"/>
        </w:rPr>
        <w:footnoteReference w:id="24"/>
      </w:r>
      <w:r w:rsidR="002C32BE">
        <w:rPr>
          <w:sz w:val="24"/>
          <w:szCs w:val="24"/>
        </w:rPr>
        <w:t xml:space="preserve"> </w:t>
      </w:r>
      <w:r w:rsidR="00EF4378" w:rsidRPr="006B141D">
        <w:rPr>
          <w:sz w:val="24"/>
          <w:szCs w:val="24"/>
        </w:rPr>
        <w:t>The onus is upon the excipient to show both vagueness amounting to embarrassment and embarrassment amounting to prejudice</w:t>
      </w:r>
      <w:r w:rsidR="00EF4378">
        <w:rPr>
          <w:sz w:val="22"/>
        </w:rPr>
        <w:t>.</w:t>
      </w:r>
      <w:r w:rsidR="00EF4378" w:rsidRPr="006B141D">
        <w:rPr>
          <w:rStyle w:val="FootnoteReference"/>
          <w:rFonts w:ascii="Arial" w:hAnsi="Arial"/>
          <w:sz w:val="20"/>
        </w:rPr>
        <w:footnoteReference w:id="25"/>
      </w:r>
      <w:r w:rsidR="00EF4378" w:rsidRPr="006B141D">
        <w:rPr>
          <w:szCs w:val="20"/>
        </w:rPr>
        <w:t xml:space="preserve"> </w:t>
      </w:r>
    </w:p>
    <w:p w14:paraId="6A6FD828" w14:textId="0F9C1C58" w:rsidR="006D490F" w:rsidRDefault="005C1419" w:rsidP="00F34BE7">
      <w:pPr>
        <w:autoSpaceDE w:val="0"/>
        <w:autoSpaceDN w:val="0"/>
        <w:adjustRightInd w:val="0"/>
        <w:rPr>
          <w:sz w:val="24"/>
          <w:szCs w:val="24"/>
          <w:lang w:val="en-ZA"/>
        </w:rPr>
      </w:pPr>
      <w:r>
        <w:rPr>
          <w:sz w:val="24"/>
          <w:szCs w:val="24"/>
          <w:lang w:val="en-ZA"/>
        </w:rPr>
        <w:t>[36]</w:t>
      </w:r>
      <w:r>
        <w:rPr>
          <w:sz w:val="24"/>
          <w:szCs w:val="24"/>
          <w:lang w:val="en-ZA"/>
        </w:rPr>
        <w:tab/>
      </w:r>
      <w:r w:rsidR="002C32BE">
        <w:rPr>
          <w:sz w:val="24"/>
          <w:szCs w:val="24"/>
          <w:lang w:val="en-ZA"/>
        </w:rPr>
        <w:t xml:space="preserve">The dicta of Heher J in </w:t>
      </w:r>
      <w:r w:rsidR="00F34BE7" w:rsidRPr="002C32BE">
        <w:rPr>
          <w:i/>
          <w:sz w:val="24"/>
          <w:szCs w:val="24"/>
          <w:lang w:val="en-ZA"/>
        </w:rPr>
        <w:t>Jowell</w:t>
      </w:r>
      <w:r w:rsidR="002C32BE" w:rsidRPr="002C32BE">
        <w:rPr>
          <w:i/>
          <w:sz w:val="24"/>
          <w:szCs w:val="24"/>
          <w:lang w:val="en-ZA"/>
        </w:rPr>
        <w:t xml:space="preserve"> v Bramwell-Jones</w:t>
      </w:r>
      <w:r w:rsidR="002C32BE" w:rsidRPr="002C32BE">
        <w:rPr>
          <w:rStyle w:val="FootnoteReference"/>
          <w:rFonts w:ascii="Arial" w:hAnsi="Arial"/>
          <w:i/>
          <w:sz w:val="20"/>
          <w:lang w:val="en-ZA"/>
        </w:rPr>
        <w:footnoteReference w:id="26"/>
      </w:r>
      <w:r w:rsidR="002C32BE">
        <w:rPr>
          <w:sz w:val="24"/>
          <w:szCs w:val="24"/>
          <w:lang w:val="en-ZA"/>
        </w:rPr>
        <w:t xml:space="preserve"> is apposite</w:t>
      </w:r>
      <w:r w:rsidR="00A0426F">
        <w:rPr>
          <w:sz w:val="24"/>
          <w:szCs w:val="24"/>
          <w:lang w:val="en-ZA"/>
        </w:rPr>
        <w:t>, where t</w:t>
      </w:r>
      <w:r w:rsidR="006D490F">
        <w:rPr>
          <w:sz w:val="24"/>
          <w:szCs w:val="24"/>
          <w:lang w:val="en-ZA"/>
        </w:rPr>
        <w:t xml:space="preserve">he court held: </w:t>
      </w:r>
      <w:r w:rsidR="00F34BE7">
        <w:rPr>
          <w:sz w:val="24"/>
          <w:szCs w:val="24"/>
          <w:lang w:val="en-ZA"/>
        </w:rPr>
        <w:t xml:space="preserve"> </w:t>
      </w:r>
    </w:p>
    <w:p w14:paraId="007B2EFB" w14:textId="162273C3" w:rsidR="006D490F" w:rsidRDefault="00F34BE7" w:rsidP="00F34BE7">
      <w:pPr>
        <w:autoSpaceDE w:val="0"/>
        <w:autoSpaceDN w:val="0"/>
        <w:adjustRightInd w:val="0"/>
        <w:rPr>
          <w:i/>
          <w:sz w:val="22"/>
          <w:lang w:val="en-ZA"/>
        </w:rPr>
      </w:pPr>
      <w:r w:rsidRPr="006D490F">
        <w:rPr>
          <w:i/>
          <w:sz w:val="22"/>
          <w:lang w:val="en-ZA"/>
        </w:rPr>
        <w:t>‘When the lack of particularity relates to mere detail, the remedy of the defendant is to plead to the averment made and to obtain the particularity he requires: (i) either by means of discovery/inspection of document procedure in terms of the Rules; or (ii) by means of a request for particulars for trial of those particulars which are strictly necessary to enable the defendant to prepare for trial</w:t>
      </w:r>
      <w:r w:rsidR="006D490F">
        <w:rPr>
          <w:i/>
          <w:sz w:val="22"/>
          <w:lang w:val="en-ZA"/>
        </w:rPr>
        <w:t>…</w:t>
      </w:r>
      <w:r w:rsidRPr="006D490F">
        <w:rPr>
          <w:i/>
          <w:sz w:val="22"/>
          <w:lang w:val="en-ZA"/>
        </w:rPr>
        <w:t xml:space="preserve"> </w:t>
      </w:r>
    </w:p>
    <w:p w14:paraId="10B1FD0D" w14:textId="399B2D76" w:rsidR="00F34BE7" w:rsidRDefault="006D490F" w:rsidP="00A0426F">
      <w:pPr>
        <w:autoSpaceDE w:val="0"/>
        <w:autoSpaceDN w:val="0"/>
        <w:adjustRightInd w:val="0"/>
        <w:rPr>
          <w:szCs w:val="20"/>
        </w:rPr>
      </w:pPr>
      <w:r>
        <w:rPr>
          <w:i/>
          <w:sz w:val="22"/>
          <w:lang w:val="en-ZA"/>
        </w:rPr>
        <w:t>[</w:t>
      </w:r>
      <w:r w:rsidR="00F34BE7" w:rsidRPr="006D490F">
        <w:rPr>
          <w:i/>
          <w:sz w:val="22"/>
          <w:lang w:val="en-ZA"/>
        </w:rPr>
        <w:t>a</w:t>
      </w:r>
      <w:r>
        <w:rPr>
          <w:i/>
          <w:sz w:val="22"/>
          <w:lang w:val="en-ZA"/>
        </w:rPr>
        <w:t>]</w:t>
      </w:r>
      <w:r w:rsidR="008207A5">
        <w:rPr>
          <w:i/>
          <w:sz w:val="22"/>
          <w:lang w:val="en-ZA"/>
        </w:rPr>
        <w:t xml:space="preserve"> a</w:t>
      </w:r>
      <w:r w:rsidR="00F34BE7" w:rsidRPr="006D490F">
        <w:rPr>
          <w:i/>
          <w:sz w:val="22"/>
          <w:lang w:val="en-ZA"/>
        </w:rPr>
        <w:t>n exception that the pleading is vague and embarrassing may only be taken when the vagueness and embarrassment strikes at the root of the cause of action as pleaded; whereas (b) Rule 30 may be invoked to strike out the claim pleaded when individual averments do not contain sufficient particularity; it is not necessary that the failure to plead material facts goes to the root of the cause of action. It is therefore incumbent upon a plaintiff only to plead a complete cause of action which identifies the issues upon which the plaintiff seeks to rely, and on which evidence will be led, in intelligible and lucid form and which allows the defendant to plead to it. The attacks mounted by the defendants that the particulars of claim are vague and embarrassing cannot found on the mere averment that they are lacking in particularity. This might, depending on the circumstances, allow an application in terms of Rule 30. An allegation that a pleading is vague and embarrassing is far more serious than a complaint about particulars. Furthermore, in approaching these exceptions, I shall bear in mind the following general principles: (a) minor blemishes are irrelevant; (b) pleadings must be read as a whole; no paragraph can be read in isolation; (c) a distinction must be drawn between the facta probanda, or primary factual allegations which every plaintiff must make, and the facta probantia, which are the secondary allegations upon which the plaintiff will rely in support of his primary factual allegations. Generally speaking, the latter are matters for particulars for trial and even then are limited. For the rest, the</w:t>
      </w:r>
      <w:r w:rsidR="00A0426F">
        <w:rPr>
          <w:i/>
          <w:sz w:val="22"/>
          <w:lang w:val="en-ZA"/>
        </w:rPr>
        <w:t>y are matters for evidence;</w:t>
      </w:r>
      <w:r w:rsidR="00823735">
        <w:rPr>
          <w:i/>
          <w:sz w:val="22"/>
          <w:lang w:val="en-ZA"/>
        </w:rPr>
        <w:t>…</w:t>
      </w:r>
      <w:r w:rsidR="00F34BE7" w:rsidRPr="006D490F">
        <w:rPr>
          <w:i/>
          <w:sz w:val="22"/>
          <w:lang w:val="en-ZA"/>
        </w:rPr>
        <w:t>’</w:t>
      </w:r>
      <w:r w:rsidR="00A0426F" w:rsidRPr="000F19B4">
        <w:rPr>
          <w:rStyle w:val="FootnoteReference"/>
          <w:rFonts w:ascii="Arial" w:hAnsi="Arial"/>
          <w:i/>
          <w:sz w:val="20"/>
          <w:lang w:val="en-ZA"/>
        </w:rPr>
        <w:footnoteReference w:id="27"/>
      </w:r>
      <w:r w:rsidR="00A0426F" w:rsidRPr="000F19B4">
        <w:rPr>
          <w:szCs w:val="20"/>
        </w:rPr>
        <w:t xml:space="preserve"> </w:t>
      </w:r>
    </w:p>
    <w:p w14:paraId="5D244404" w14:textId="54CA9922" w:rsidR="00CB212A" w:rsidRPr="00C13096" w:rsidRDefault="005C1419">
      <w:pPr>
        <w:rPr>
          <w:sz w:val="24"/>
          <w:szCs w:val="24"/>
        </w:rPr>
      </w:pPr>
      <w:r>
        <w:rPr>
          <w:sz w:val="24"/>
          <w:szCs w:val="24"/>
        </w:rPr>
        <w:t>[37]</w:t>
      </w:r>
      <w:r>
        <w:rPr>
          <w:sz w:val="24"/>
          <w:szCs w:val="24"/>
        </w:rPr>
        <w:tab/>
      </w:r>
      <w:r w:rsidR="00A0426F" w:rsidRPr="00C13096">
        <w:rPr>
          <w:sz w:val="24"/>
          <w:szCs w:val="24"/>
        </w:rPr>
        <w:t xml:space="preserve">This reasoning may be applied to the defendant’s contentions that the </w:t>
      </w:r>
      <w:r w:rsidR="000F19B4">
        <w:rPr>
          <w:sz w:val="24"/>
          <w:szCs w:val="24"/>
        </w:rPr>
        <w:t xml:space="preserve">amended </w:t>
      </w:r>
      <w:r w:rsidR="00A0426F" w:rsidRPr="00C13096">
        <w:rPr>
          <w:sz w:val="24"/>
          <w:szCs w:val="24"/>
        </w:rPr>
        <w:t>particulars of claim</w:t>
      </w:r>
      <w:r w:rsidR="000F19B4">
        <w:rPr>
          <w:sz w:val="24"/>
          <w:szCs w:val="24"/>
        </w:rPr>
        <w:t xml:space="preserve"> </w:t>
      </w:r>
      <w:r w:rsidR="00A0426F" w:rsidRPr="00C13096">
        <w:rPr>
          <w:sz w:val="24"/>
          <w:szCs w:val="24"/>
        </w:rPr>
        <w:t xml:space="preserve">are vague and embarrassing. The defendant’s criticism of paragraph 16 and 22 are without merit. The additional factual averments </w:t>
      </w:r>
      <w:r w:rsidR="000F19B4">
        <w:rPr>
          <w:sz w:val="24"/>
          <w:szCs w:val="24"/>
        </w:rPr>
        <w:t xml:space="preserve">sought </w:t>
      </w:r>
      <w:r w:rsidR="00A0426F" w:rsidRPr="00C13096">
        <w:rPr>
          <w:sz w:val="24"/>
          <w:szCs w:val="24"/>
        </w:rPr>
        <w:t>are firstly evident from the pleadings and the annexures to the pleadings.</w:t>
      </w:r>
      <w:r w:rsidR="000023B9">
        <w:rPr>
          <w:sz w:val="24"/>
          <w:szCs w:val="24"/>
        </w:rPr>
        <w:t xml:space="preserve"> Secondly, w</w:t>
      </w:r>
      <w:r w:rsidR="00CB212A" w:rsidRPr="00C13096">
        <w:rPr>
          <w:sz w:val="24"/>
          <w:szCs w:val="24"/>
        </w:rPr>
        <w:t>here</w:t>
      </w:r>
      <w:r w:rsidR="000023B9">
        <w:rPr>
          <w:sz w:val="24"/>
          <w:szCs w:val="24"/>
        </w:rPr>
        <w:t xml:space="preserve"> it contends that they are n</w:t>
      </w:r>
      <w:r w:rsidR="00A0426F" w:rsidRPr="00C13096">
        <w:rPr>
          <w:sz w:val="24"/>
          <w:szCs w:val="24"/>
        </w:rPr>
        <w:t>ot,</w:t>
      </w:r>
      <w:r w:rsidR="000023B9">
        <w:rPr>
          <w:sz w:val="24"/>
          <w:szCs w:val="24"/>
        </w:rPr>
        <w:t xml:space="preserve"> the failure to plead those factual averments does not strike at the root of the cause of action when the </w:t>
      </w:r>
      <w:r w:rsidR="000F19B4">
        <w:rPr>
          <w:sz w:val="24"/>
          <w:szCs w:val="24"/>
        </w:rPr>
        <w:t xml:space="preserve">amended </w:t>
      </w:r>
      <w:r w:rsidR="000023B9">
        <w:rPr>
          <w:sz w:val="24"/>
          <w:szCs w:val="24"/>
        </w:rPr>
        <w:t>particulars of claim</w:t>
      </w:r>
      <w:r w:rsidR="000F19B4">
        <w:rPr>
          <w:sz w:val="24"/>
          <w:szCs w:val="24"/>
        </w:rPr>
        <w:t xml:space="preserve"> </w:t>
      </w:r>
      <w:r w:rsidR="000023B9">
        <w:rPr>
          <w:sz w:val="24"/>
          <w:szCs w:val="24"/>
        </w:rPr>
        <w:t xml:space="preserve">are considered holistically. </w:t>
      </w:r>
      <w:r w:rsidR="009E48C7">
        <w:rPr>
          <w:sz w:val="24"/>
          <w:szCs w:val="24"/>
        </w:rPr>
        <w:t>The factual averments sought do not constitute the primary factual allegations required to sustain a cause of action.</w:t>
      </w:r>
      <w:r w:rsidR="001C2D06">
        <w:rPr>
          <w:sz w:val="24"/>
          <w:szCs w:val="24"/>
        </w:rPr>
        <w:t xml:space="preserve"> They are, properly considered, </w:t>
      </w:r>
      <w:r w:rsidR="009E48C7">
        <w:rPr>
          <w:sz w:val="24"/>
          <w:szCs w:val="24"/>
        </w:rPr>
        <w:t xml:space="preserve">the </w:t>
      </w:r>
      <w:r w:rsidR="009E48C7">
        <w:rPr>
          <w:i/>
          <w:sz w:val="24"/>
          <w:szCs w:val="24"/>
        </w:rPr>
        <w:t xml:space="preserve">facta </w:t>
      </w:r>
      <w:r w:rsidR="000F19B4">
        <w:rPr>
          <w:i/>
          <w:sz w:val="24"/>
          <w:szCs w:val="24"/>
        </w:rPr>
        <w:t>probantia, which</w:t>
      </w:r>
      <w:r w:rsidR="001C2D06">
        <w:rPr>
          <w:sz w:val="24"/>
          <w:szCs w:val="24"/>
        </w:rPr>
        <w:t xml:space="preserve"> are secondary allegations upon which the plaintiff </w:t>
      </w:r>
      <w:r w:rsidR="000F19B4">
        <w:rPr>
          <w:sz w:val="24"/>
          <w:szCs w:val="24"/>
        </w:rPr>
        <w:t>will rely</w:t>
      </w:r>
      <w:r w:rsidR="001C2D06">
        <w:rPr>
          <w:sz w:val="24"/>
          <w:szCs w:val="24"/>
        </w:rPr>
        <w:t xml:space="preserve"> in support of its primary allegations. </w:t>
      </w:r>
      <w:r w:rsidR="009E48C7">
        <w:rPr>
          <w:sz w:val="24"/>
          <w:szCs w:val="24"/>
        </w:rPr>
        <w:t xml:space="preserve">   </w:t>
      </w:r>
    </w:p>
    <w:p w14:paraId="74A34754" w14:textId="2BF36541" w:rsidR="006B141D" w:rsidRDefault="005C1419">
      <w:pPr>
        <w:rPr>
          <w:sz w:val="24"/>
          <w:szCs w:val="24"/>
        </w:rPr>
      </w:pPr>
      <w:r>
        <w:rPr>
          <w:sz w:val="24"/>
          <w:szCs w:val="24"/>
        </w:rPr>
        <w:t>[38]</w:t>
      </w:r>
      <w:r>
        <w:rPr>
          <w:sz w:val="24"/>
          <w:szCs w:val="24"/>
        </w:rPr>
        <w:tab/>
      </w:r>
      <w:r w:rsidR="00CB212A" w:rsidRPr="00C13096">
        <w:rPr>
          <w:sz w:val="24"/>
          <w:szCs w:val="24"/>
        </w:rPr>
        <w:t xml:space="preserve">I am of the view that the specific particularity required by the defendant does not affect </w:t>
      </w:r>
      <w:r w:rsidR="000023B9">
        <w:rPr>
          <w:sz w:val="24"/>
          <w:szCs w:val="24"/>
        </w:rPr>
        <w:t xml:space="preserve">its </w:t>
      </w:r>
      <w:r w:rsidR="00CB212A" w:rsidRPr="00C13096">
        <w:rPr>
          <w:sz w:val="24"/>
          <w:szCs w:val="24"/>
        </w:rPr>
        <w:t>ability to plead to the averments in the</w:t>
      </w:r>
      <w:r w:rsidR="000F19B4">
        <w:rPr>
          <w:sz w:val="24"/>
          <w:szCs w:val="24"/>
        </w:rPr>
        <w:t xml:space="preserve"> amended </w:t>
      </w:r>
      <w:r w:rsidR="00CB212A" w:rsidRPr="00C13096">
        <w:rPr>
          <w:sz w:val="24"/>
          <w:szCs w:val="24"/>
        </w:rPr>
        <w:t xml:space="preserve">particulars of claim. </w:t>
      </w:r>
      <w:r w:rsidR="000023B9">
        <w:rPr>
          <w:sz w:val="24"/>
          <w:szCs w:val="24"/>
        </w:rPr>
        <w:t>It has not advanced any reason that may be considered as constituting serious prejudice</w:t>
      </w:r>
      <w:r w:rsidR="001C2D06">
        <w:rPr>
          <w:sz w:val="24"/>
          <w:szCs w:val="24"/>
        </w:rPr>
        <w:t xml:space="preserve"> </w:t>
      </w:r>
      <w:r w:rsidR="000F19B4">
        <w:rPr>
          <w:sz w:val="24"/>
          <w:szCs w:val="24"/>
        </w:rPr>
        <w:t>thereby entitling</w:t>
      </w:r>
      <w:r w:rsidR="000023B9">
        <w:rPr>
          <w:sz w:val="24"/>
          <w:szCs w:val="24"/>
        </w:rPr>
        <w:t xml:space="preserve"> it </w:t>
      </w:r>
      <w:r w:rsidR="009E48C7">
        <w:rPr>
          <w:sz w:val="24"/>
          <w:szCs w:val="24"/>
        </w:rPr>
        <w:t>to an</w:t>
      </w:r>
      <w:r w:rsidR="000023B9">
        <w:rPr>
          <w:sz w:val="24"/>
          <w:szCs w:val="24"/>
        </w:rPr>
        <w:t xml:space="preserve"> expungement of the entire or part of the </w:t>
      </w:r>
      <w:r w:rsidR="000F19B4">
        <w:rPr>
          <w:sz w:val="24"/>
          <w:szCs w:val="24"/>
        </w:rPr>
        <w:t xml:space="preserve">amended </w:t>
      </w:r>
      <w:r w:rsidR="000023B9">
        <w:rPr>
          <w:sz w:val="24"/>
          <w:szCs w:val="24"/>
        </w:rPr>
        <w:t>particulars of claim.</w:t>
      </w:r>
      <w:r w:rsidR="00A0426F" w:rsidRPr="00C13096">
        <w:rPr>
          <w:sz w:val="24"/>
          <w:szCs w:val="24"/>
        </w:rPr>
        <w:t xml:space="preserve"> </w:t>
      </w:r>
      <w:r w:rsidR="001C2D06">
        <w:rPr>
          <w:sz w:val="24"/>
          <w:szCs w:val="24"/>
        </w:rPr>
        <w:t>The defendant retains its recourse in terms of the Uniform Rules of Court</w:t>
      </w:r>
      <w:r w:rsidR="001F538B">
        <w:rPr>
          <w:sz w:val="24"/>
          <w:szCs w:val="24"/>
        </w:rPr>
        <w:t xml:space="preserve"> to seek further particularity to enable it to prepare for trial. </w:t>
      </w:r>
    </w:p>
    <w:p w14:paraId="76D8A465" w14:textId="068C1301" w:rsidR="006B141D" w:rsidRDefault="006B141D">
      <w:pPr>
        <w:rPr>
          <w:b/>
          <w:sz w:val="22"/>
        </w:rPr>
      </w:pPr>
      <w:r>
        <w:rPr>
          <w:b/>
          <w:sz w:val="22"/>
        </w:rPr>
        <w:t>Conclusion and Order</w:t>
      </w:r>
    </w:p>
    <w:p w14:paraId="41D0FA30" w14:textId="77777777" w:rsidR="005C1419" w:rsidRDefault="005C1419" w:rsidP="00FB74F6">
      <w:pPr>
        <w:rPr>
          <w:sz w:val="24"/>
          <w:szCs w:val="24"/>
        </w:rPr>
      </w:pPr>
      <w:r>
        <w:rPr>
          <w:sz w:val="24"/>
          <w:szCs w:val="24"/>
        </w:rPr>
        <w:t>[39]</w:t>
      </w:r>
      <w:r>
        <w:rPr>
          <w:sz w:val="24"/>
          <w:szCs w:val="24"/>
        </w:rPr>
        <w:tab/>
      </w:r>
      <w:r w:rsidR="009E48C7">
        <w:rPr>
          <w:sz w:val="24"/>
          <w:szCs w:val="24"/>
        </w:rPr>
        <w:t xml:space="preserve">I am mindful that </w:t>
      </w:r>
      <w:r w:rsidR="00FB74F6" w:rsidRPr="00CB212A">
        <w:rPr>
          <w:sz w:val="24"/>
          <w:szCs w:val="24"/>
        </w:rPr>
        <w:t xml:space="preserve">the primary object of </w:t>
      </w:r>
      <w:r w:rsidR="009E48C7">
        <w:rPr>
          <w:sz w:val="24"/>
          <w:szCs w:val="24"/>
        </w:rPr>
        <w:t xml:space="preserve">allowing </w:t>
      </w:r>
      <w:r w:rsidR="00FB74F6" w:rsidRPr="00CB212A">
        <w:rPr>
          <w:sz w:val="24"/>
          <w:szCs w:val="24"/>
        </w:rPr>
        <w:t xml:space="preserve">an amendment </w:t>
      </w:r>
      <w:r w:rsidR="00FB74F6" w:rsidRPr="001D698E">
        <w:rPr>
          <w:sz w:val="24"/>
          <w:szCs w:val="24"/>
        </w:rPr>
        <w:t>is</w:t>
      </w:r>
      <w:r w:rsidR="009E48C7">
        <w:rPr>
          <w:sz w:val="24"/>
          <w:szCs w:val="24"/>
        </w:rPr>
        <w:t xml:space="preserve"> for the </w:t>
      </w:r>
      <w:r w:rsidR="00FB74F6" w:rsidRPr="001D698E">
        <w:rPr>
          <w:sz w:val="24"/>
          <w:szCs w:val="24"/>
        </w:rPr>
        <w:t>proper ventilation of the dispute between the parties</w:t>
      </w:r>
      <w:r w:rsidR="009E48C7">
        <w:rPr>
          <w:sz w:val="24"/>
          <w:szCs w:val="24"/>
        </w:rPr>
        <w:t xml:space="preserve"> in order </w:t>
      </w:r>
      <w:r w:rsidR="00FB74F6" w:rsidRPr="001D698E">
        <w:rPr>
          <w:sz w:val="24"/>
          <w:szCs w:val="24"/>
        </w:rPr>
        <w:t>to determine the real issues between them so that justice may be done</w:t>
      </w:r>
      <w:r w:rsidR="00FB74F6">
        <w:rPr>
          <w:sz w:val="24"/>
          <w:szCs w:val="24"/>
        </w:rPr>
        <w:t>.</w:t>
      </w:r>
      <w:r w:rsidR="00FB74F6" w:rsidRPr="004F7601">
        <w:rPr>
          <w:rStyle w:val="FootnoteReference"/>
          <w:rFonts w:ascii="Arial" w:hAnsi="Arial"/>
          <w:sz w:val="20"/>
        </w:rPr>
        <w:footnoteReference w:id="28"/>
      </w:r>
      <w:r w:rsidR="001F538B">
        <w:rPr>
          <w:sz w:val="24"/>
          <w:szCs w:val="24"/>
        </w:rPr>
        <w:t xml:space="preserve"> </w:t>
      </w:r>
    </w:p>
    <w:p w14:paraId="053AC8FC" w14:textId="7BC8F4C4" w:rsidR="001F538B" w:rsidRPr="001D698E" w:rsidRDefault="005C1419" w:rsidP="00FB74F6">
      <w:pPr>
        <w:rPr>
          <w:sz w:val="24"/>
          <w:szCs w:val="24"/>
        </w:rPr>
      </w:pPr>
      <w:r>
        <w:rPr>
          <w:sz w:val="24"/>
          <w:szCs w:val="24"/>
        </w:rPr>
        <w:t>[40]</w:t>
      </w:r>
      <w:r>
        <w:rPr>
          <w:sz w:val="24"/>
          <w:szCs w:val="24"/>
        </w:rPr>
        <w:tab/>
      </w:r>
      <w:r w:rsidR="001F538B">
        <w:rPr>
          <w:sz w:val="24"/>
          <w:szCs w:val="24"/>
        </w:rPr>
        <w:t xml:space="preserve">Having considered the pleadings as a whole, I am of the view that the plaintiff has pleaded a complete cause of </w:t>
      </w:r>
      <w:r w:rsidR="009C1DDF">
        <w:rPr>
          <w:sz w:val="24"/>
          <w:szCs w:val="24"/>
        </w:rPr>
        <w:t>action, which</w:t>
      </w:r>
      <w:r w:rsidR="001F538B">
        <w:rPr>
          <w:sz w:val="24"/>
          <w:szCs w:val="24"/>
        </w:rPr>
        <w:t xml:space="preserve"> identifies the issues it seeks to rely on, and on which evidence will be led.</w:t>
      </w:r>
      <w:r w:rsidR="00DA6BB0">
        <w:rPr>
          <w:sz w:val="24"/>
          <w:szCs w:val="24"/>
        </w:rPr>
        <w:t xml:space="preserve"> The defendant’s exceptions that the </w:t>
      </w:r>
      <w:r>
        <w:rPr>
          <w:sz w:val="24"/>
          <w:szCs w:val="24"/>
        </w:rPr>
        <w:t xml:space="preserve">amended </w:t>
      </w:r>
      <w:r w:rsidR="00DA6BB0">
        <w:rPr>
          <w:sz w:val="24"/>
          <w:szCs w:val="24"/>
        </w:rPr>
        <w:t xml:space="preserve">particulars of claim do not disclose a cause of action and /or are vague and embarrassing are without merit. </w:t>
      </w:r>
      <w:r w:rsidR="001F538B">
        <w:rPr>
          <w:sz w:val="24"/>
          <w:szCs w:val="24"/>
        </w:rPr>
        <w:t xml:space="preserve">The defendant has not established that it would be seriously prejudiced if its exceptions are not upheld. </w:t>
      </w:r>
    </w:p>
    <w:p w14:paraId="46C1B0CE" w14:textId="45A6FBA7" w:rsidR="00FB74F6" w:rsidRDefault="005C1419">
      <w:pPr>
        <w:rPr>
          <w:sz w:val="24"/>
          <w:szCs w:val="24"/>
        </w:rPr>
      </w:pPr>
      <w:r>
        <w:rPr>
          <w:sz w:val="24"/>
          <w:szCs w:val="24"/>
        </w:rPr>
        <w:t>[41]</w:t>
      </w:r>
      <w:r>
        <w:rPr>
          <w:sz w:val="24"/>
          <w:szCs w:val="24"/>
        </w:rPr>
        <w:tab/>
      </w:r>
      <w:r w:rsidR="009E48C7" w:rsidRPr="009E48C7">
        <w:rPr>
          <w:sz w:val="24"/>
          <w:szCs w:val="24"/>
        </w:rPr>
        <w:t>In the result, I make the following order:</w:t>
      </w:r>
    </w:p>
    <w:p w14:paraId="388633CB" w14:textId="32571B0D" w:rsidR="001F538B" w:rsidRDefault="001F538B">
      <w:pPr>
        <w:rPr>
          <w:sz w:val="24"/>
          <w:szCs w:val="24"/>
        </w:rPr>
      </w:pPr>
      <w:r>
        <w:rPr>
          <w:sz w:val="24"/>
          <w:szCs w:val="24"/>
        </w:rPr>
        <w:t>(a)</w:t>
      </w:r>
      <w:r>
        <w:rPr>
          <w:sz w:val="24"/>
          <w:szCs w:val="24"/>
        </w:rPr>
        <w:tab/>
      </w:r>
      <w:r w:rsidR="00842B45">
        <w:rPr>
          <w:sz w:val="24"/>
          <w:szCs w:val="24"/>
        </w:rPr>
        <w:t xml:space="preserve">the plaintiff’s application for leave to amend the </w:t>
      </w:r>
      <w:r w:rsidR="00DA6BB0">
        <w:rPr>
          <w:sz w:val="24"/>
          <w:szCs w:val="24"/>
        </w:rPr>
        <w:t xml:space="preserve">particulars of claim </w:t>
      </w:r>
      <w:r w:rsidR="00842B45">
        <w:rPr>
          <w:sz w:val="24"/>
          <w:szCs w:val="24"/>
        </w:rPr>
        <w:t xml:space="preserve">dated 1 April 2021, </w:t>
      </w:r>
      <w:r w:rsidR="00DA6BB0">
        <w:rPr>
          <w:sz w:val="24"/>
          <w:szCs w:val="24"/>
        </w:rPr>
        <w:t>is granted with costs.</w:t>
      </w:r>
    </w:p>
    <w:p w14:paraId="02D29687" w14:textId="1A7C2AD2" w:rsidR="00842B45" w:rsidRDefault="00DA6BB0">
      <w:pPr>
        <w:rPr>
          <w:sz w:val="24"/>
          <w:szCs w:val="24"/>
        </w:rPr>
      </w:pPr>
      <w:r>
        <w:rPr>
          <w:sz w:val="24"/>
          <w:szCs w:val="24"/>
        </w:rPr>
        <w:t>(b)</w:t>
      </w:r>
      <w:r w:rsidR="00842B45">
        <w:rPr>
          <w:sz w:val="24"/>
          <w:szCs w:val="24"/>
        </w:rPr>
        <w:tab/>
        <w:t xml:space="preserve">the plaintiff is directed to file the amended particulars of claim within ten days of the date of this order. </w:t>
      </w:r>
      <w:r>
        <w:rPr>
          <w:sz w:val="24"/>
          <w:szCs w:val="24"/>
        </w:rPr>
        <w:tab/>
      </w:r>
    </w:p>
    <w:p w14:paraId="4BBB7FC5" w14:textId="4CA26F84" w:rsidR="00DA6BB0" w:rsidRDefault="00842B45">
      <w:pPr>
        <w:rPr>
          <w:sz w:val="24"/>
          <w:szCs w:val="24"/>
        </w:rPr>
      </w:pPr>
      <w:r>
        <w:rPr>
          <w:sz w:val="24"/>
          <w:szCs w:val="24"/>
        </w:rPr>
        <w:t>(c)</w:t>
      </w:r>
      <w:r>
        <w:rPr>
          <w:sz w:val="24"/>
          <w:szCs w:val="24"/>
        </w:rPr>
        <w:tab/>
      </w:r>
      <w:r w:rsidR="00DA6BB0">
        <w:rPr>
          <w:sz w:val="24"/>
          <w:szCs w:val="24"/>
        </w:rPr>
        <w:t>the defendant</w:t>
      </w:r>
      <w:r>
        <w:rPr>
          <w:sz w:val="24"/>
          <w:szCs w:val="24"/>
        </w:rPr>
        <w:t>’</w:t>
      </w:r>
      <w:r w:rsidR="00DA6BB0">
        <w:rPr>
          <w:sz w:val="24"/>
          <w:szCs w:val="24"/>
        </w:rPr>
        <w:t>s exceptions are dismissed with costs.</w:t>
      </w:r>
    </w:p>
    <w:p w14:paraId="5E866656" w14:textId="28428850" w:rsidR="00A304E5" w:rsidRDefault="00A304E5">
      <w:pPr>
        <w:rPr>
          <w:sz w:val="24"/>
          <w:szCs w:val="24"/>
        </w:rPr>
      </w:pPr>
    </w:p>
    <w:p w14:paraId="6AEFE9F1" w14:textId="08A1852F" w:rsidR="00A304E5" w:rsidRDefault="00A304E5" w:rsidP="00A304E5">
      <w:pPr>
        <w:autoSpaceDE w:val="0"/>
        <w:autoSpaceDN w:val="0"/>
        <w:adjustRightInd w:val="0"/>
        <w:spacing w:after="0" w:line="240" w:lineRule="auto"/>
        <w:ind w:firstLine="709"/>
        <w:jc w:val="right"/>
        <w:rPr>
          <w:sz w:val="24"/>
          <w:szCs w:val="24"/>
          <w:lang w:val="en-GB"/>
        </w:rPr>
      </w:pPr>
    </w:p>
    <w:p w14:paraId="10EEB81E" w14:textId="77777777" w:rsidR="00A304E5" w:rsidRPr="00813029" w:rsidRDefault="00A304E5" w:rsidP="00A304E5">
      <w:pPr>
        <w:autoSpaceDE w:val="0"/>
        <w:autoSpaceDN w:val="0"/>
        <w:adjustRightInd w:val="0"/>
        <w:spacing w:after="0" w:line="240" w:lineRule="auto"/>
        <w:ind w:firstLine="709"/>
        <w:jc w:val="right"/>
        <w:rPr>
          <w:color w:val="000000"/>
          <w:sz w:val="24"/>
          <w:szCs w:val="24"/>
          <w:lang w:val="en-GB"/>
        </w:rPr>
      </w:pPr>
      <w:r w:rsidRPr="00813029">
        <w:rPr>
          <w:sz w:val="24"/>
          <w:szCs w:val="24"/>
          <w:lang w:val="en-GB"/>
        </w:rPr>
        <w:t xml:space="preserve">  </w:t>
      </w:r>
      <w:r w:rsidRPr="00813029">
        <w:rPr>
          <w:color w:val="000000"/>
          <w:sz w:val="24"/>
          <w:szCs w:val="24"/>
          <w:lang w:val="en-GB"/>
        </w:rPr>
        <w:t>_____________________________</w:t>
      </w:r>
    </w:p>
    <w:p w14:paraId="311A0A3A" w14:textId="77777777" w:rsidR="00A304E5" w:rsidRPr="00813029" w:rsidRDefault="00A304E5" w:rsidP="00A304E5">
      <w:pPr>
        <w:autoSpaceDE w:val="0"/>
        <w:autoSpaceDN w:val="0"/>
        <w:adjustRightInd w:val="0"/>
        <w:spacing w:after="120" w:line="240" w:lineRule="auto"/>
        <w:ind w:left="709"/>
        <w:contextualSpacing/>
        <w:jc w:val="right"/>
        <w:rPr>
          <w:b/>
          <w:color w:val="000000"/>
          <w:sz w:val="24"/>
          <w:szCs w:val="24"/>
          <w:lang w:val="en-GB"/>
        </w:rPr>
      </w:pPr>
      <w:r w:rsidRPr="00813029">
        <w:rPr>
          <w:b/>
          <w:color w:val="000000"/>
          <w:sz w:val="24"/>
          <w:szCs w:val="24"/>
          <w:lang w:val="en-GB"/>
        </w:rPr>
        <w:t>T NICHOLS</w:t>
      </w:r>
    </w:p>
    <w:p w14:paraId="4F0716CE" w14:textId="77777777" w:rsidR="00A304E5" w:rsidRPr="00813029" w:rsidRDefault="00A304E5" w:rsidP="00A304E5">
      <w:pPr>
        <w:autoSpaceDE w:val="0"/>
        <w:autoSpaceDN w:val="0"/>
        <w:adjustRightInd w:val="0"/>
        <w:spacing w:after="120" w:line="240" w:lineRule="auto"/>
        <w:ind w:left="709"/>
        <w:contextualSpacing/>
        <w:jc w:val="right"/>
        <w:rPr>
          <w:color w:val="000000"/>
          <w:sz w:val="24"/>
          <w:szCs w:val="24"/>
          <w:lang w:val="en-GB"/>
        </w:rPr>
      </w:pPr>
      <w:r w:rsidRPr="00813029">
        <w:rPr>
          <w:color w:val="000000"/>
          <w:sz w:val="24"/>
          <w:szCs w:val="24"/>
          <w:lang w:val="en-GB"/>
        </w:rPr>
        <w:t xml:space="preserve">ACTING JUDGE OF THE HIGH COURT </w:t>
      </w:r>
    </w:p>
    <w:p w14:paraId="5E02BE77" w14:textId="77777777" w:rsidR="00A304E5" w:rsidRPr="00813029" w:rsidRDefault="00A304E5" w:rsidP="00A304E5">
      <w:pPr>
        <w:autoSpaceDE w:val="0"/>
        <w:autoSpaceDN w:val="0"/>
        <w:adjustRightInd w:val="0"/>
        <w:spacing w:after="120" w:line="240" w:lineRule="auto"/>
        <w:ind w:left="709"/>
        <w:contextualSpacing/>
        <w:jc w:val="right"/>
        <w:rPr>
          <w:color w:val="000000"/>
          <w:sz w:val="24"/>
          <w:szCs w:val="24"/>
          <w:lang w:val="en-GB"/>
        </w:rPr>
      </w:pPr>
      <w:r w:rsidRPr="00813029">
        <w:rPr>
          <w:color w:val="000000"/>
          <w:sz w:val="24"/>
          <w:szCs w:val="24"/>
          <w:lang w:val="en-GB"/>
        </w:rPr>
        <w:t>GAUTENG LOCAL DIVISION, JOHANNESBURG</w:t>
      </w:r>
    </w:p>
    <w:p w14:paraId="2A51CF12" w14:textId="77777777" w:rsidR="00A304E5" w:rsidRDefault="00A304E5" w:rsidP="00A304E5">
      <w:pPr>
        <w:spacing w:before="360" w:after="360"/>
        <w:rPr>
          <w:rFonts w:eastAsia="Calibri"/>
          <w:b/>
          <w:sz w:val="24"/>
          <w:szCs w:val="24"/>
          <w:lang w:val="en-GB"/>
        </w:rPr>
      </w:pPr>
    </w:p>
    <w:p w14:paraId="1F81B856" w14:textId="77777777" w:rsidR="00A304E5" w:rsidRPr="00813029" w:rsidRDefault="00A304E5" w:rsidP="00A304E5">
      <w:pPr>
        <w:spacing w:before="360" w:after="360"/>
        <w:rPr>
          <w:rFonts w:eastAsia="Calibri"/>
          <w:b/>
          <w:sz w:val="24"/>
          <w:szCs w:val="24"/>
          <w:lang w:val="en-GB"/>
        </w:rPr>
      </w:pPr>
      <w:r w:rsidRPr="00813029">
        <w:rPr>
          <w:rFonts w:eastAsia="Calibri"/>
          <w:b/>
          <w:sz w:val="24"/>
          <w:szCs w:val="24"/>
          <w:lang w:val="en-GB"/>
        </w:rPr>
        <w:t>Appearances:</w:t>
      </w:r>
    </w:p>
    <w:p w14:paraId="4E898A11" w14:textId="77777777" w:rsidR="00A304E5" w:rsidRDefault="00A304E5" w:rsidP="00A304E5">
      <w:pPr>
        <w:rPr>
          <w:rFonts w:eastAsia="Calibri"/>
          <w:sz w:val="24"/>
          <w:szCs w:val="24"/>
          <w:lang w:val="en-GB"/>
        </w:rPr>
      </w:pPr>
      <w:r>
        <w:rPr>
          <w:rFonts w:eastAsia="Calibri"/>
          <w:sz w:val="24"/>
          <w:szCs w:val="24"/>
          <w:lang w:val="en-GB"/>
        </w:rPr>
        <w:t>Date Heard:</w:t>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12 August 2021</w:t>
      </w:r>
      <w:r>
        <w:rPr>
          <w:rFonts w:eastAsia="Calibri"/>
          <w:sz w:val="24"/>
          <w:szCs w:val="24"/>
          <w:lang w:val="en-GB"/>
        </w:rPr>
        <w:tab/>
      </w:r>
      <w:r>
        <w:rPr>
          <w:rFonts w:eastAsia="Calibri"/>
          <w:sz w:val="24"/>
          <w:szCs w:val="24"/>
          <w:lang w:val="en-GB"/>
        </w:rPr>
        <w:tab/>
      </w:r>
    </w:p>
    <w:p w14:paraId="0D828B51" w14:textId="0283DCF7" w:rsidR="00A304E5" w:rsidRPr="00813029" w:rsidRDefault="00A304E5" w:rsidP="00A304E5">
      <w:pPr>
        <w:rPr>
          <w:rFonts w:eastAsia="Calibri"/>
          <w:sz w:val="24"/>
          <w:szCs w:val="24"/>
          <w:lang w:val="en-GB"/>
        </w:rPr>
      </w:pPr>
      <w:r>
        <w:rPr>
          <w:rFonts w:eastAsia="Calibri"/>
          <w:sz w:val="24"/>
          <w:szCs w:val="24"/>
          <w:lang w:val="en-GB"/>
        </w:rPr>
        <w:t>Counsel for plaintiff</w:t>
      </w:r>
      <w:r>
        <w:rPr>
          <w:rFonts w:eastAsia="Calibri"/>
          <w:sz w:val="24"/>
          <w:szCs w:val="24"/>
          <w:lang w:val="en-GB"/>
        </w:rPr>
        <w:tab/>
      </w:r>
      <w:r w:rsidRPr="00813029">
        <w:rPr>
          <w:rFonts w:eastAsia="Calibri"/>
          <w:sz w:val="24"/>
          <w:szCs w:val="24"/>
          <w:lang w:val="en-GB"/>
        </w:rPr>
        <w:t>:</w:t>
      </w:r>
      <w:r w:rsidRPr="00813029">
        <w:rPr>
          <w:rFonts w:eastAsia="Calibri"/>
          <w:sz w:val="24"/>
          <w:szCs w:val="24"/>
          <w:lang w:val="en-GB"/>
        </w:rPr>
        <w:tab/>
      </w:r>
      <w:r w:rsidRPr="00813029">
        <w:rPr>
          <w:rFonts w:eastAsia="Calibri"/>
          <w:sz w:val="24"/>
          <w:szCs w:val="24"/>
          <w:lang w:val="en-GB"/>
        </w:rPr>
        <w:tab/>
      </w:r>
      <w:r w:rsidRPr="00813029">
        <w:rPr>
          <w:rFonts w:eastAsia="Calibri"/>
          <w:sz w:val="24"/>
          <w:szCs w:val="24"/>
          <w:lang w:val="en-GB"/>
        </w:rPr>
        <w:tab/>
        <w:t xml:space="preserve">Adv </w:t>
      </w:r>
      <w:r>
        <w:rPr>
          <w:rFonts w:eastAsia="Calibri"/>
          <w:sz w:val="24"/>
          <w:szCs w:val="24"/>
          <w:lang w:val="en-GB"/>
        </w:rPr>
        <w:t>Olivier</w:t>
      </w:r>
      <w:r w:rsidRPr="00813029">
        <w:rPr>
          <w:rFonts w:eastAsia="Calibri"/>
          <w:sz w:val="24"/>
          <w:szCs w:val="24"/>
          <w:lang w:val="en-GB"/>
        </w:rPr>
        <w:t xml:space="preserve"> </w:t>
      </w:r>
    </w:p>
    <w:p w14:paraId="64274D6F" w14:textId="229D1F18" w:rsidR="00A304E5" w:rsidRDefault="00A304E5" w:rsidP="00A304E5">
      <w:pPr>
        <w:contextualSpacing/>
        <w:rPr>
          <w:rFonts w:eastAsia="Calibri"/>
          <w:sz w:val="24"/>
          <w:szCs w:val="24"/>
          <w:lang w:val="en-GB"/>
        </w:rPr>
      </w:pPr>
      <w:r w:rsidRPr="00813029">
        <w:rPr>
          <w:rFonts w:eastAsia="Calibri"/>
          <w:sz w:val="24"/>
          <w:szCs w:val="24"/>
          <w:lang w:val="en-GB"/>
        </w:rPr>
        <w:t xml:space="preserve">Attorney for the </w:t>
      </w:r>
      <w:r>
        <w:rPr>
          <w:rFonts w:eastAsia="Calibri"/>
          <w:sz w:val="24"/>
          <w:szCs w:val="24"/>
          <w:lang w:val="en-GB"/>
        </w:rPr>
        <w:t>plaintiff</w:t>
      </w:r>
      <w:r w:rsidRPr="00813029">
        <w:rPr>
          <w:rFonts w:eastAsia="Calibri"/>
          <w:sz w:val="24"/>
          <w:szCs w:val="24"/>
          <w:lang w:val="en-GB"/>
        </w:rPr>
        <w:t>:</w:t>
      </w:r>
      <w:r w:rsidRPr="00813029">
        <w:rPr>
          <w:rFonts w:eastAsia="Calibri"/>
          <w:sz w:val="24"/>
          <w:szCs w:val="24"/>
          <w:lang w:val="en-GB"/>
        </w:rPr>
        <w:tab/>
      </w:r>
      <w:r w:rsidRPr="00813029">
        <w:rPr>
          <w:rFonts w:eastAsia="Calibri"/>
          <w:sz w:val="24"/>
          <w:szCs w:val="24"/>
          <w:lang w:val="en-GB"/>
        </w:rPr>
        <w:tab/>
      </w:r>
      <w:r w:rsidRPr="00813029">
        <w:rPr>
          <w:rFonts w:eastAsia="Calibri"/>
          <w:sz w:val="24"/>
          <w:szCs w:val="24"/>
          <w:lang w:val="en-GB"/>
        </w:rPr>
        <w:tab/>
      </w:r>
      <w:r>
        <w:rPr>
          <w:rFonts w:eastAsia="Calibri"/>
          <w:sz w:val="24"/>
          <w:szCs w:val="24"/>
          <w:lang w:val="en-GB"/>
        </w:rPr>
        <w:t>Tshisevhe Gwina Ratshimbilani Inc</w:t>
      </w:r>
    </w:p>
    <w:p w14:paraId="52D27F34" w14:textId="6A964349" w:rsidR="00A304E5" w:rsidRDefault="00AE28F0" w:rsidP="00A304E5">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Sandhurst</w:t>
      </w:r>
    </w:p>
    <w:p w14:paraId="7066CC99" w14:textId="19E91964" w:rsidR="00A304E5" w:rsidRDefault="00A304E5" w:rsidP="00A304E5">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Ref: </w:t>
      </w:r>
      <w:r w:rsidR="00AE28F0">
        <w:rPr>
          <w:rFonts w:eastAsia="Calibri"/>
          <w:sz w:val="24"/>
          <w:szCs w:val="24"/>
          <w:lang w:val="en-GB"/>
        </w:rPr>
        <w:t>P Tshisevhe/R Adams</w:t>
      </w:r>
      <w:r>
        <w:rPr>
          <w:rFonts w:eastAsia="Calibri"/>
          <w:sz w:val="24"/>
          <w:szCs w:val="24"/>
          <w:lang w:val="en-GB"/>
        </w:rPr>
        <w:t>/</w:t>
      </w:r>
      <w:r w:rsidR="00AE28F0">
        <w:rPr>
          <w:rFonts w:eastAsia="Calibri"/>
          <w:sz w:val="24"/>
          <w:szCs w:val="24"/>
          <w:lang w:val="en-GB"/>
        </w:rPr>
        <w:t>MAT3093</w:t>
      </w:r>
    </w:p>
    <w:p w14:paraId="4BEA8EE2" w14:textId="01175815" w:rsidR="00AE28F0" w:rsidRDefault="00A304E5" w:rsidP="00A304E5">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Email: </w:t>
      </w:r>
      <w:hyperlink r:id="rId12" w:history="1">
        <w:r w:rsidR="00AE28F0" w:rsidRPr="008C657A">
          <w:rPr>
            <w:rStyle w:val="Hyperlink"/>
            <w:rFonts w:ascii="Arial" w:eastAsia="Calibri" w:hAnsi="Arial"/>
            <w:sz w:val="24"/>
            <w:szCs w:val="24"/>
            <w:lang w:val="en-GB"/>
          </w:rPr>
          <w:t>p.tshisevhe@tgrattorneys.co.za</w:t>
        </w:r>
      </w:hyperlink>
    </w:p>
    <w:p w14:paraId="236250AB" w14:textId="69464A5E" w:rsidR="00A304E5" w:rsidRPr="00813029" w:rsidRDefault="00AE28F0" w:rsidP="00AE28F0">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hyperlink r:id="rId13" w:history="1">
        <w:r w:rsidRPr="008C657A">
          <w:rPr>
            <w:rStyle w:val="Hyperlink"/>
            <w:rFonts w:ascii="Arial" w:eastAsia="Calibri" w:hAnsi="Arial"/>
            <w:sz w:val="24"/>
            <w:szCs w:val="24"/>
            <w:lang w:val="en-GB"/>
          </w:rPr>
          <w:t>r.adams@tgrattorneys.co.za</w:t>
        </w:r>
      </w:hyperlink>
    </w:p>
    <w:p w14:paraId="0DBD774E" w14:textId="21E12D2B" w:rsidR="00A304E5" w:rsidRDefault="00A304E5" w:rsidP="00A304E5">
      <w:pPr>
        <w:rPr>
          <w:rFonts w:eastAsia="Calibri"/>
          <w:sz w:val="24"/>
          <w:szCs w:val="24"/>
          <w:lang w:val="en-GB"/>
        </w:rPr>
      </w:pPr>
      <w:r w:rsidRPr="00813029">
        <w:rPr>
          <w:rFonts w:eastAsia="Calibri"/>
          <w:sz w:val="24"/>
          <w:szCs w:val="24"/>
          <w:lang w:val="en-GB"/>
        </w:rPr>
        <w:t xml:space="preserve">Counsel for the </w:t>
      </w:r>
      <w:r>
        <w:rPr>
          <w:rFonts w:eastAsia="Calibri"/>
          <w:sz w:val="24"/>
          <w:szCs w:val="24"/>
          <w:lang w:val="en-GB"/>
        </w:rPr>
        <w:t>defendant</w:t>
      </w:r>
      <w:r w:rsidRPr="00813029">
        <w:rPr>
          <w:rFonts w:eastAsia="Calibri"/>
          <w:sz w:val="24"/>
          <w:szCs w:val="24"/>
          <w:lang w:val="en-GB"/>
        </w:rPr>
        <w:t>:</w:t>
      </w:r>
      <w:r>
        <w:rPr>
          <w:rFonts w:eastAsia="Calibri"/>
          <w:sz w:val="24"/>
          <w:szCs w:val="24"/>
          <w:lang w:val="en-GB"/>
        </w:rPr>
        <w:tab/>
      </w:r>
      <w:r>
        <w:rPr>
          <w:rFonts w:eastAsia="Calibri"/>
          <w:sz w:val="24"/>
          <w:szCs w:val="24"/>
          <w:lang w:val="en-GB"/>
        </w:rPr>
        <w:tab/>
      </w:r>
      <w:r>
        <w:rPr>
          <w:rFonts w:eastAsia="Calibri"/>
          <w:sz w:val="24"/>
          <w:szCs w:val="24"/>
          <w:lang w:val="en-GB"/>
        </w:rPr>
        <w:tab/>
        <w:t>Adv Clark</w:t>
      </w:r>
    </w:p>
    <w:p w14:paraId="3896B43E" w14:textId="750D5DEC" w:rsidR="00A304E5" w:rsidRDefault="00A304E5" w:rsidP="00A304E5">
      <w:pPr>
        <w:contextualSpacing/>
        <w:rPr>
          <w:rFonts w:eastAsia="Calibri"/>
          <w:sz w:val="24"/>
          <w:szCs w:val="24"/>
          <w:lang w:val="en-GB"/>
        </w:rPr>
      </w:pPr>
      <w:r>
        <w:rPr>
          <w:rFonts w:eastAsia="Calibri"/>
          <w:sz w:val="24"/>
          <w:szCs w:val="24"/>
          <w:lang w:val="en-GB"/>
        </w:rPr>
        <w:t>Attorney for the defendant:</w:t>
      </w:r>
      <w:r>
        <w:rPr>
          <w:rFonts w:eastAsia="Calibri"/>
          <w:sz w:val="24"/>
          <w:szCs w:val="24"/>
          <w:lang w:val="en-GB"/>
        </w:rPr>
        <w:tab/>
      </w:r>
      <w:r>
        <w:rPr>
          <w:rFonts w:eastAsia="Calibri"/>
          <w:sz w:val="24"/>
          <w:szCs w:val="24"/>
          <w:lang w:val="en-GB"/>
        </w:rPr>
        <w:tab/>
      </w:r>
      <w:r>
        <w:rPr>
          <w:rFonts w:eastAsia="Calibri"/>
          <w:sz w:val="24"/>
          <w:szCs w:val="24"/>
          <w:lang w:val="en-GB"/>
        </w:rPr>
        <w:tab/>
      </w:r>
      <w:r w:rsidR="00AE28F0">
        <w:rPr>
          <w:rFonts w:eastAsia="Calibri"/>
          <w:sz w:val="24"/>
          <w:szCs w:val="24"/>
          <w:lang w:val="en-GB"/>
        </w:rPr>
        <w:t>Brian Kahn Inc</w:t>
      </w:r>
    </w:p>
    <w:p w14:paraId="088D7E40" w14:textId="77777777" w:rsidR="00A304E5" w:rsidRDefault="00A304E5" w:rsidP="00A304E5">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Johannesburg</w:t>
      </w:r>
    </w:p>
    <w:p w14:paraId="37311AEB" w14:textId="6463B079" w:rsidR="00A304E5" w:rsidRDefault="00A304E5" w:rsidP="00A304E5">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Ref: </w:t>
      </w:r>
      <w:r w:rsidR="00AE28F0">
        <w:rPr>
          <w:rFonts w:eastAsia="Calibri"/>
          <w:sz w:val="24"/>
          <w:szCs w:val="24"/>
          <w:lang w:val="en-GB"/>
        </w:rPr>
        <w:t xml:space="preserve">B Kahn/ K Reddy/kr/G970 </w:t>
      </w:r>
      <w:r>
        <w:rPr>
          <w:rFonts w:eastAsia="Calibri"/>
          <w:sz w:val="24"/>
          <w:szCs w:val="24"/>
          <w:lang w:val="en-GB"/>
        </w:rPr>
        <w:tab/>
      </w:r>
    </w:p>
    <w:p w14:paraId="03E391E8" w14:textId="4567A030" w:rsidR="00AE28F0" w:rsidRDefault="00A304E5" w:rsidP="00A304E5">
      <w:pPr>
        <w:contextualSpacing/>
        <w:rPr>
          <w:rFonts w:eastAsia="Calibri"/>
          <w:sz w:val="24"/>
          <w:szCs w:val="24"/>
          <w:lang w:val="en-GB"/>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t xml:space="preserve">Email: </w:t>
      </w:r>
      <w:hyperlink r:id="rId14" w:history="1">
        <w:r w:rsidR="00AE28F0" w:rsidRPr="008C657A">
          <w:rPr>
            <w:rStyle w:val="Hyperlink"/>
            <w:rFonts w:ascii="Arial" w:eastAsia="Calibri" w:hAnsi="Arial"/>
            <w:sz w:val="24"/>
            <w:szCs w:val="24"/>
            <w:lang w:val="en-GB"/>
          </w:rPr>
          <w:t>brian@briankahn.co.za</w:t>
        </w:r>
      </w:hyperlink>
    </w:p>
    <w:p w14:paraId="16E2420C" w14:textId="233E2235" w:rsidR="00A304E5" w:rsidRPr="00743201" w:rsidRDefault="00AE28F0" w:rsidP="00A304E5">
      <w:pPr>
        <w:contextualSpacing/>
        <w:rPr>
          <w:sz w:val="24"/>
          <w:szCs w:val="24"/>
        </w:rPr>
      </w:pP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r>
        <w:rPr>
          <w:rFonts w:eastAsia="Calibri"/>
          <w:sz w:val="24"/>
          <w:szCs w:val="24"/>
          <w:lang w:val="en-GB"/>
        </w:rPr>
        <w:tab/>
      </w:r>
      <w:hyperlink r:id="rId15" w:history="1">
        <w:r w:rsidRPr="008C657A">
          <w:rPr>
            <w:rStyle w:val="Hyperlink"/>
            <w:rFonts w:ascii="Arial" w:eastAsia="Calibri" w:hAnsi="Arial"/>
            <w:sz w:val="24"/>
            <w:szCs w:val="24"/>
            <w:lang w:val="en-GB"/>
          </w:rPr>
          <w:t>keri@briankahn.co.za</w:t>
        </w:r>
      </w:hyperlink>
    </w:p>
    <w:p w14:paraId="1B74359D" w14:textId="77777777" w:rsidR="00A304E5" w:rsidRPr="009E48C7" w:rsidRDefault="00A304E5">
      <w:pPr>
        <w:rPr>
          <w:sz w:val="24"/>
          <w:szCs w:val="24"/>
        </w:rPr>
      </w:pPr>
    </w:p>
    <w:sectPr w:rsidR="00A304E5" w:rsidRPr="009E48C7" w:rsidSect="001B5BF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34" w:right="1134" w:bottom="1134" w:left="1134" w:header="680" w:footer="68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505A" w14:textId="77777777" w:rsidR="00B82D3F" w:rsidRDefault="00B82D3F">
      <w:pPr>
        <w:spacing w:after="0" w:line="240" w:lineRule="auto"/>
      </w:pPr>
      <w:r>
        <w:separator/>
      </w:r>
    </w:p>
  </w:endnote>
  <w:endnote w:type="continuationSeparator" w:id="0">
    <w:p w14:paraId="7C8B6A99" w14:textId="77777777" w:rsidR="00B82D3F" w:rsidRDefault="00B8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0BC2" w14:textId="77777777" w:rsidR="00A85D6B" w:rsidRDefault="00A85D6B">
    <w:pPr>
      <w:pStyle w:val="Footer"/>
    </w:pPr>
  </w:p>
  <w:p w14:paraId="08C3F848" w14:textId="77777777" w:rsidR="000B7F03" w:rsidRDefault="000B7F03"/>
  <w:p w14:paraId="61189DB9" w14:textId="77777777" w:rsidR="00F40686" w:rsidRDefault="00F40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4F44" w14:textId="6737080B" w:rsidR="00B8718D" w:rsidRPr="00B8718D" w:rsidRDefault="00B8718D" w:rsidP="00B8718D">
    <w:pPr>
      <w:pStyle w:val="Footer"/>
      <w:tabs>
        <w:tab w:val="clear" w:pos="4513"/>
        <w:tab w:val="clear" w:pos="9026"/>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8179"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8DBBA" w14:textId="77777777" w:rsidR="00B82D3F" w:rsidRDefault="00B82D3F">
      <w:pPr>
        <w:spacing w:after="0" w:line="240" w:lineRule="auto"/>
      </w:pPr>
      <w:r>
        <w:separator/>
      </w:r>
    </w:p>
  </w:footnote>
  <w:footnote w:type="continuationSeparator" w:id="0">
    <w:p w14:paraId="6E7BBD3E" w14:textId="77777777" w:rsidR="00B82D3F" w:rsidRDefault="00B82D3F">
      <w:pPr>
        <w:spacing w:after="0" w:line="240" w:lineRule="auto"/>
      </w:pPr>
      <w:r>
        <w:continuationSeparator/>
      </w:r>
    </w:p>
  </w:footnote>
  <w:footnote w:id="1">
    <w:p w14:paraId="054B9843" w14:textId="77777777" w:rsidR="009F05A9" w:rsidRPr="001E2EFB" w:rsidRDefault="009F05A9" w:rsidP="009F05A9">
      <w:pPr>
        <w:pStyle w:val="FootnoteText"/>
        <w:rPr>
          <w:sz w:val="20"/>
        </w:rPr>
      </w:pPr>
      <w:r w:rsidRPr="001E2EFB">
        <w:rPr>
          <w:rStyle w:val="FootnoteReference"/>
          <w:rFonts w:ascii="Arial" w:hAnsi="Arial"/>
          <w:sz w:val="20"/>
        </w:rPr>
        <w:footnoteRef/>
      </w:r>
      <w:r w:rsidRPr="001E2EFB">
        <w:rPr>
          <w:sz w:val="20"/>
        </w:rPr>
        <w:t xml:space="preserve">  </w:t>
      </w:r>
      <w:r w:rsidRPr="001E2EFB">
        <w:rPr>
          <w:i/>
          <w:sz w:val="20"/>
        </w:rPr>
        <w:t>YB v SB</w:t>
      </w:r>
      <w:r w:rsidRPr="001E2EFB">
        <w:rPr>
          <w:sz w:val="20"/>
        </w:rPr>
        <w:t xml:space="preserve"> 2016 (1) SA 47 (WCC) para</w:t>
      </w:r>
      <w:r>
        <w:rPr>
          <w:sz w:val="20"/>
        </w:rPr>
        <w:t xml:space="preserve"> 11.</w:t>
      </w:r>
    </w:p>
  </w:footnote>
  <w:footnote w:id="2">
    <w:p w14:paraId="53AF19FB" w14:textId="33D62ABE" w:rsidR="002A0B05" w:rsidRPr="008918A5" w:rsidRDefault="002A0B05" w:rsidP="002A0B05">
      <w:pPr>
        <w:pStyle w:val="FootnoteText"/>
        <w:rPr>
          <w:sz w:val="20"/>
        </w:rPr>
      </w:pPr>
      <w:r w:rsidRPr="008918A5">
        <w:rPr>
          <w:rStyle w:val="FootnoteReference"/>
          <w:rFonts w:ascii="Arial" w:hAnsi="Arial"/>
          <w:sz w:val="20"/>
        </w:rPr>
        <w:footnoteRef/>
      </w:r>
      <w:r w:rsidRPr="008918A5">
        <w:rPr>
          <w:sz w:val="20"/>
        </w:rPr>
        <w:t xml:space="preserve"> </w:t>
      </w:r>
      <w:r>
        <w:rPr>
          <w:i/>
          <w:sz w:val="20"/>
        </w:rPr>
        <w:t>Hill NO v Brown</w:t>
      </w:r>
      <w:r w:rsidR="00B85231">
        <w:rPr>
          <w:i/>
          <w:sz w:val="20"/>
        </w:rPr>
        <w:t xml:space="preserve"> </w:t>
      </w:r>
      <w:r w:rsidR="00B85231">
        <w:rPr>
          <w:sz w:val="20"/>
        </w:rPr>
        <w:t>(3069/20) [2020] ZAWCHC 61 (3 July 2020)</w:t>
      </w:r>
      <w:r>
        <w:rPr>
          <w:i/>
          <w:sz w:val="20"/>
        </w:rPr>
        <w:t xml:space="preserve"> </w:t>
      </w:r>
      <w:r>
        <w:rPr>
          <w:sz w:val="20"/>
        </w:rPr>
        <w:t>para 8.</w:t>
      </w:r>
    </w:p>
  </w:footnote>
  <w:footnote w:id="3">
    <w:p w14:paraId="07CCFE95" w14:textId="676CD188" w:rsidR="00684EB7" w:rsidRPr="00684EB7" w:rsidRDefault="00684EB7">
      <w:pPr>
        <w:pStyle w:val="FootnoteText"/>
        <w:rPr>
          <w:sz w:val="20"/>
        </w:rPr>
      </w:pPr>
      <w:r w:rsidRPr="00684EB7">
        <w:rPr>
          <w:rStyle w:val="FootnoteReference"/>
          <w:rFonts w:ascii="Arial" w:hAnsi="Arial"/>
          <w:sz w:val="20"/>
        </w:rPr>
        <w:footnoteRef/>
      </w:r>
      <w:r w:rsidRPr="00684EB7">
        <w:rPr>
          <w:sz w:val="20"/>
        </w:rPr>
        <w:t xml:space="preserve"> </w:t>
      </w:r>
      <w:r>
        <w:rPr>
          <w:i/>
          <w:sz w:val="20"/>
        </w:rPr>
        <w:t>Telematrix (Pty) Ltd v Advertising Standards Authority SA</w:t>
      </w:r>
      <w:r w:rsidR="00B85231">
        <w:rPr>
          <w:i/>
          <w:sz w:val="20"/>
        </w:rPr>
        <w:t xml:space="preserve"> </w:t>
      </w:r>
      <w:r w:rsidR="00B85231">
        <w:rPr>
          <w:sz w:val="20"/>
        </w:rPr>
        <w:t xml:space="preserve">(459/2004) [2005] ZASCA 73; [2006] 1 ALL SA 6 (SCA) (9 September 2005) </w:t>
      </w:r>
      <w:r>
        <w:rPr>
          <w:sz w:val="20"/>
        </w:rPr>
        <w:t>para 3.</w:t>
      </w:r>
    </w:p>
  </w:footnote>
  <w:footnote w:id="4">
    <w:p w14:paraId="065C3BC8" w14:textId="2617B3EE" w:rsidR="001D698E" w:rsidRPr="00FB74F6" w:rsidRDefault="001D698E">
      <w:pPr>
        <w:pStyle w:val="FootnoteText"/>
        <w:rPr>
          <w:sz w:val="20"/>
        </w:rPr>
      </w:pPr>
      <w:r w:rsidRPr="00FB74F6">
        <w:rPr>
          <w:rStyle w:val="FootnoteReference"/>
          <w:rFonts w:ascii="Arial" w:hAnsi="Arial"/>
          <w:sz w:val="20"/>
        </w:rPr>
        <w:footnoteRef/>
      </w:r>
      <w:r w:rsidRPr="00FB74F6">
        <w:rPr>
          <w:sz w:val="20"/>
        </w:rPr>
        <w:t xml:space="preserve"> </w:t>
      </w:r>
      <w:r w:rsidRPr="00FB74F6">
        <w:rPr>
          <w:i/>
          <w:sz w:val="20"/>
        </w:rPr>
        <w:t>Krische v Road Accident Fund</w:t>
      </w:r>
      <w:r w:rsidRPr="00FB74F6">
        <w:rPr>
          <w:sz w:val="20"/>
        </w:rPr>
        <w:t xml:space="preserve"> 2004 (4) SA 358 (W) at 363.</w:t>
      </w:r>
    </w:p>
  </w:footnote>
  <w:footnote w:id="5">
    <w:p w14:paraId="7AEA282F" w14:textId="471F7939" w:rsidR="001D698E" w:rsidRPr="00FB74F6" w:rsidRDefault="001D698E">
      <w:pPr>
        <w:pStyle w:val="FootnoteText"/>
        <w:rPr>
          <w:sz w:val="20"/>
        </w:rPr>
      </w:pPr>
      <w:r w:rsidRPr="00FB74F6">
        <w:rPr>
          <w:rStyle w:val="FootnoteReference"/>
          <w:rFonts w:ascii="Arial" w:hAnsi="Arial"/>
          <w:sz w:val="20"/>
        </w:rPr>
        <w:footnoteRef/>
      </w:r>
      <w:r w:rsidRPr="00FB74F6">
        <w:rPr>
          <w:sz w:val="20"/>
        </w:rPr>
        <w:t xml:space="preserve"> </w:t>
      </w:r>
      <w:r w:rsidR="00FB74F6" w:rsidRPr="00FB74F6">
        <w:rPr>
          <w:i/>
          <w:sz w:val="20"/>
        </w:rPr>
        <w:t>Ascendis Animal Health (Pty) Ltd v Merck Sharp Dohme Corporation and Others</w:t>
      </w:r>
      <w:r w:rsidR="00FB74F6" w:rsidRPr="00FB74F6">
        <w:rPr>
          <w:sz w:val="20"/>
        </w:rPr>
        <w:t xml:space="preserve"> 2020 (1) SA 327 (CC) </w:t>
      </w:r>
      <w:r w:rsidR="00EF0DAB">
        <w:rPr>
          <w:sz w:val="20"/>
        </w:rPr>
        <w:t xml:space="preserve">para </w:t>
      </w:r>
      <w:r w:rsidR="00FB74F6" w:rsidRPr="00FB74F6">
        <w:rPr>
          <w:sz w:val="20"/>
        </w:rPr>
        <w:t>89</w:t>
      </w:r>
      <w:r w:rsidR="00EF0DAB">
        <w:rPr>
          <w:sz w:val="20"/>
        </w:rPr>
        <w:t xml:space="preserve">; </w:t>
      </w:r>
      <w:r w:rsidRPr="00B85231">
        <w:rPr>
          <w:i/>
          <w:sz w:val="20"/>
        </w:rPr>
        <w:t>Affordable Medicines Trust v Minister of Health</w:t>
      </w:r>
      <w:r w:rsidRPr="00FB74F6">
        <w:rPr>
          <w:sz w:val="20"/>
        </w:rPr>
        <w:t xml:space="preserve"> 2006 (</w:t>
      </w:r>
      <w:r w:rsidR="00B85231">
        <w:rPr>
          <w:sz w:val="20"/>
        </w:rPr>
        <w:t>3) SA 247 (CC) at 261C–D</w:t>
      </w:r>
      <w:r w:rsidRPr="00FB74F6">
        <w:rPr>
          <w:sz w:val="20"/>
        </w:rPr>
        <w:t>.</w:t>
      </w:r>
    </w:p>
  </w:footnote>
  <w:footnote w:id="6">
    <w:p w14:paraId="6B00B3A5" w14:textId="6A1CDD6C" w:rsidR="001D698E" w:rsidRPr="00FB74F6" w:rsidRDefault="001D698E">
      <w:pPr>
        <w:pStyle w:val="FootnoteText"/>
        <w:rPr>
          <w:sz w:val="20"/>
        </w:rPr>
      </w:pPr>
      <w:r w:rsidRPr="00FB74F6">
        <w:rPr>
          <w:rStyle w:val="FootnoteReference"/>
          <w:rFonts w:ascii="Arial" w:hAnsi="Arial"/>
          <w:sz w:val="20"/>
        </w:rPr>
        <w:footnoteRef/>
      </w:r>
      <w:r w:rsidRPr="00FB74F6">
        <w:rPr>
          <w:sz w:val="20"/>
        </w:rPr>
        <w:t xml:space="preserve"> </w:t>
      </w:r>
      <w:r w:rsidRPr="00EF0DAB">
        <w:rPr>
          <w:i/>
          <w:sz w:val="20"/>
        </w:rPr>
        <w:t>YB v SB</w:t>
      </w:r>
      <w:r w:rsidRPr="00FB74F6">
        <w:rPr>
          <w:sz w:val="20"/>
        </w:rPr>
        <w:t xml:space="preserve"> 2016 (1) SA 47 (WCC) </w:t>
      </w:r>
      <w:r w:rsidR="00B85231">
        <w:rPr>
          <w:sz w:val="20"/>
        </w:rPr>
        <w:t>para 9.</w:t>
      </w:r>
    </w:p>
  </w:footnote>
  <w:footnote w:id="7">
    <w:p w14:paraId="166C71E7" w14:textId="72765148" w:rsidR="00E87492" w:rsidRPr="00FB74F6" w:rsidRDefault="00E87492">
      <w:pPr>
        <w:pStyle w:val="FootnoteText"/>
        <w:rPr>
          <w:sz w:val="20"/>
        </w:rPr>
      </w:pPr>
      <w:r w:rsidRPr="00FB74F6">
        <w:rPr>
          <w:rStyle w:val="FootnoteReference"/>
          <w:rFonts w:ascii="Arial" w:hAnsi="Arial"/>
          <w:sz w:val="20"/>
        </w:rPr>
        <w:footnoteRef/>
      </w:r>
      <w:r w:rsidRPr="00FB74F6">
        <w:rPr>
          <w:sz w:val="20"/>
        </w:rPr>
        <w:t xml:space="preserve"> </w:t>
      </w:r>
      <w:r w:rsidRPr="00360C56">
        <w:rPr>
          <w:i/>
          <w:sz w:val="20"/>
        </w:rPr>
        <w:t>Stewart and Another v Botha and Another</w:t>
      </w:r>
      <w:r w:rsidRPr="00FB74F6">
        <w:rPr>
          <w:sz w:val="20"/>
        </w:rPr>
        <w:t xml:space="preserve"> 2009(6) SA 310 (SCA) para 4.</w:t>
      </w:r>
    </w:p>
  </w:footnote>
  <w:footnote w:id="8">
    <w:p w14:paraId="1603DB48" w14:textId="0EEF77AF" w:rsidR="00E87492" w:rsidRDefault="00E87492" w:rsidP="00E87492">
      <w:r w:rsidRPr="00E87492">
        <w:rPr>
          <w:rStyle w:val="FootnoteReference"/>
          <w:rFonts w:ascii="Arial" w:hAnsi="Arial"/>
          <w:sz w:val="20"/>
        </w:rPr>
        <w:footnoteRef/>
      </w:r>
      <w:r w:rsidRPr="00E87492">
        <w:rPr>
          <w:szCs w:val="20"/>
        </w:rPr>
        <w:t xml:space="preserve"> </w:t>
      </w:r>
      <w:r w:rsidRPr="00E87492">
        <w:rPr>
          <w:i/>
        </w:rPr>
        <w:t>Barnard v Barnard</w:t>
      </w:r>
      <w:r>
        <w:t xml:space="preserve"> 2000(3) SA 741(C) para 10.</w:t>
      </w:r>
    </w:p>
    <w:p w14:paraId="21C240DB" w14:textId="6C526706" w:rsidR="00E87492" w:rsidRPr="00E87492" w:rsidRDefault="00E87492">
      <w:pPr>
        <w:pStyle w:val="FootnoteText"/>
        <w:rPr>
          <w:sz w:val="20"/>
        </w:rPr>
      </w:pPr>
    </w:p>
  </w:footnote>
  <w:footnote w:id="9">
    <w:p w14:paraId="1DDD4E5D" w14:textId="6A9AD99E" w:rsidR="006A0CC4" w:rsidRPr="006A0CC4" w:rsidRDefault="006A0CC4">
      <w:pPr>
        <w:pStyle w:val="FootnoteText"/>
        <w:rPr>
          <w:sz w:val="20"/>
        </w:rPr>
      </w:pPr>
      <w:r w:rsidRPr="006A0CC4">
        <w:rPr>
          <w:rStyle w:val="FootnoteReference"/>
          <w:rFonts w:ascii="Arial" w:hAnsi="Arial"/>
          <w:sz w:val="20"/>
        </w:rPr>
        <w:footnoteRef/>
      </w:r>
      <w:r w:rsidRPr="006A0CC4">
        <w:rPr>
          <w:sz w:val="20"/>
        </w:rPr>
        <w:t xml:space="preserve"> </w:t>
      </w:r>
      <w:r>
        <w:rPr>
          <w:i/>
          <w:sz w:val="20"/>
        </w:rPr>
        <w:t xml:space="preserve">First National Bank of Southern Africa Limited v Perry NO and others </w:t>
      </w:r>
      <w:r>
        <w:rPr>
          <w:sz w:val="20"/>
        </w:rPr>
        <w:t>2001 (3) SA 960 (SA) at 965 C-D.</w:t>
      </w:r>
    </w:p>
  </w:footnote>
  <w:footnote w:id="10">
    <w:p w14:paraId="2A8F78FE" w14:textId="603A0919" w:rsidR="0085364E" w:rsidRPr="0085364E" w:rsidRDefault="0085364E">
      <w:pPr>
        <w:pStyle w:val="FootnoteText"/>
        <w:rPr>
          <w:sz w:val="20"/>
        </w:rPr>
      </w:pPr>
      <w:r w:rsidRPr="0085364E">
        <w:rPr>
          <w:rStyle w:val="FootnoteReference"/>
          <w:rFonts w:ascii="Arial" w:hAnsi="Arial"/>
          <w:sz w:val="20"/>
        </w:rPr>
        <w:footnoteRef/>
      </w:r>
      <w:r w:rsidRPr="0085364E">
        <w:rPr>
          <w:sz w:val="20"/>
        </w:rPr>
        <w:t xml:space="preserve"> </w:t>
      </w:r>
      <w:r w:rsidRPr="00360C56">
        <w:rPr>
          <w:i/>
          <w:sz w:val="20"/>
          <w:lang w:val="en-ZA"/>
        </w:rPr>
        <w:t>Trustees, Bus Industry Restructuring Fund v Break Through Investments</w:t>
      </w:r>
      <w:r w:rsidRPr="0032105A">
        <w:rPr>
          <w:sz w:val="20"/>
          <w:lang w:val="en-ZA"/>
        </w:rPr>
        <w:t xml:space="preserve"> CC &amp; others 2008 (1) SA 67 (SCA) para 11</w:t>
      </w:r>
      <w:r>
        <w:rPr>
          <w:sz w:val="20"/>
          <w:lang w:val="en-ZA"/>
        </w:rPr>
        <w:t>.</w:t>
      </w:r>
    </w:p>
  </w:footnote>
  <w:footnote w:id="11">
    <w:p w14:paraId="55B0C239" w14:textId="77777777" w:rsidR="0018080B" w:rsidRPr="00401444" w:rsidRDefault="0018080B" w:rsidP="0018080B">
      <w:pPr>
        <w:pStyle w:val="FootnoteText"/>
        <w:rPr>
          <w:sz w:val="20"/>
        </w:rPr>
      </w:pPr>
      <w:r w:rsidRPr="00401444">
        <w:rPr>
          <w:rStyle w:val="FootnoteReference"/>
          <w:rFonts w:ascii="Arial" w:hAnsi="Arial"/>
          <w:sz w:val="20"/>
        </w:rPr>
        <w:footnoteRef/>
      </w:r>
      <w:r w:rsidRPr="00401444">
        <w:rPr>
          <w:sz w:val="20"/>
        </w:rPr>
        <w:t xml:space="preserve"> </w:t>
      </w:r>
      <w:r w:rsidRPr="00B85231">
        <w:rPr>
          <w:i/>
          <w:sz w:val="20"/>
        </w:rPr>
        <w:t>McKenzie v Farmers’ Cooperative Meat Industries Ltd</w:t>
      </w:r>
      <w:r w:rsidRPr="00401444">
        <w:rPr>
          <w:sz w:val="20"/>
        </w:rPr>
        <w:t xml:space="preserve"> 1922 AD 16 at 23</w:t>
      </w:r>
      <w:r>
        <w:rPr>
          <w:sz w:val="20"/>
        </w:rPr>
        <w:t xml:space="preserve">; </w:t>
      </w:r>
      <w:r w:rsidRPr="000047E3">
        <w:rPr>
          <w:i/>
          <w:sz w:val="22"/>
        </w:rPr>
        <w:t xml:space="preserve">Evins v Shield Insurance Co Ltd </w:t>
      </w:r>
      <w:r w:rsidRPr="00401444">
        <w:rPr>
          <w:sz w:val="22"/>
        </w:rPr>
        <w:t>1980 (2) 814 A at 825G</w:t>
      </w:r>
      <w:r>
        <w:rPr>
          <w:sz w:val="22"/>
        </w:rPr>
        <w:t>.</w:t>
      </w:r>
    </w:p>
  </w:footnote>
  <w:footnote w:id="12">
    <w:p w14:paraId="48FB0DEB" w14:textId="25E3BECC" w:rsidR="00EF7B7D" w:rsidRPr="00EF7B7D" w:rsidRDefault="00EF7B7D">
      <w:pPr>
        <w:pStyle w:val="FootnoteText"/>
        <w:rPr>
          <w:sz w:val="20"/>
        </w:rPr>
      </w:pPr>
      <w:r w:rsidRPr="00EF7B7D">
        <w:rPr>
          <w:rStyle w:val="FootnoteReference"/>
          <w:rFonts w:ascii="Arial" w:hAnsi="Arial"/>
          <w:sz w:val="20"/>
        </w:rPr>
        <w:footnoteRef/>
      </w:r>
      <w:r w:rsidRPr="00EF7B7D">
        <w:rPr>
          <w:sz w:val="20"/>
        </w:rPr>
        <w:t xml:space="preserve"> </w:t>
      </w:r>
      <w:r>
        <w:rPr>
          <w:i/>
          <w:sz w:val="20"/>
        </w:rPr>
        <w:t xml:space="preserve">Mort NO v Henry Shields-Chiad </w:t>
      </w:r>
      <w:r>
        <w:rPr>
          <w:sz w:val="20"/>
        </w:rPr>
        <w:t>2001 (1) SA 464 C.</w:t>
      </w:r>
    </w:p>
  </w:footnote>
  <w:footnote w:id="13">
    <w:p w14:paraId="06D0CD2F" w14:textId="36501DDF" w:rsidR="00842B45" w:rsidRPr="00842B45" w:rsidRDefault="00842B45">
      <w:pPr>
        <w:pStyle w:val="FootnoteText"/>
      </w:pPr>
      <w:r w:rsidRPr="00842B45">
        <w:rPr>
          <w:rStyle w:val="FootnoteReference"/>
          <w:rFonts w:ascii="Arial" w:hAnsi="Arial"/>
          <w:sz w:val="20"/>
        </w:rPr>
        <w:footnoteRef/>
      </w:r>
      <w:r w:rsidRPr="00842B45">
        <w:rPr>
          <w:sz w:val="20"/>
        </w:rPr>
        <w:t xml:space="preserve"> </w:t>
      </w:r>
      <w:r>
        <w:rPr>
          <w:i/>
          <w:sz w:val="20"/>
        </w:rPr>
        <w:t xml:space="preserve">Mucavele v Health MEC Mpumalanga </w:t>
      </w:r>
      <w:r w:rsidR="00586FAA">
        <w:rPr>
          <w:sz w:val="20"/>
        </w:rPr>
        <w:t>(3352/2016) [2022] ZAMPMBHC 33 (16 May 2022).</w:t>
      </w:r>
    </w:p>
  </w:footnote>
  <w:footnote w:id="14">
    <w:p w14:paraId="57D05388" w14:textId="283C9476" w:rsidR="00226CA8" w:rsidRPr="00226CA8" w:rsidRDefault="00226CA8">
      <w:pPr>
        <w:pStyle w:val="FootnoteText"/>
        <w:rPr>
          <w:sz w:val="20"/>
        </w:rPr>
      </w:pPr>
      <w:r w:rsidRPr="00226CA8">
        <w:rPr>
          <w:rStyle w:val="FootnoteReference"/>
          <w:rFonts w:ascii="Arial" w:hAnsi="Arial"/>
          <w:sz w:val="20"/>
        </w:rPr>
        <w:footnoteRef/>
      </w:r>
      <w:r w:rsidRPr="00226CA8">
        <w:rPr>
          <w:sz w:val="20"/>
        </w:rPr>
        <w:t xml:space="preserve"> </w:t>
      </w:r>
      <w:r>
        <w:rPr>
          <w:i/>
          <w:sz w:val="20"/>
        </w:rPr>
        <w:t xml:space="preserve">Mucavele </w:t>
      </w:r>
      <w:r>
        <w:rPr>
          <w:sz w:val="20"/>
        </w:rPr>
        <w:t>ibid at para 8.</w:t>
      </w:r>
    </w:p>
  </w:footnote>
  <w:footnote w:id="15">
    <w:p w14:paraId="34CF4041" w14:textId="3B6E5459" w:rsidR="00457714" w:rsidRPr="00457714" w:rsidRDefault="00457714">
      <w:pPr>
        <w:pStyle w:val="FootnoteText"/>
        <w:rPr>
          <w:sz w:val="20"/>
        </w:rPr>
      </w:pPr>
      <w:r w:rsidRPr="00457714">
        <w:rPr>
          <w:rStyle w:val="FootnoteReference"/>
          <w:rFonts w:ascii="Arial" w:hAnsi="Arial"/>
          <w:sz w:val="20"/>
        </w:rPr>
        <w:footnoteRef/>
      </w:r>
      <w:r w:rsidRPr="00457714">
        <w:rPr>
          <w:sz w:val="20"/>
        </w:rPr>
        <w:t xml:space="preserve"> </w:t>
      </w:r>
      <w:r>
        <w:rPr>
          <w:i/>
          <w:sz w:val="20"/>
        </w:rPr>
        <w:t xml:space="preserve">Goodricke &amp; Son v Auto Protection Insurance Co Ltd </w:t>
      </w:r>
      <w:r w:rsidR="00360C56">
        <w:rPr>
          <w:i/>
          <w:sz w:val="20"/>
        </w:rPr>
        <w:t>(in</w:t>
      </w:r>
      <w:r>
        <w:rPr>
          <w:i/>
          <w:sz w:val="20"/>
        </w:rPr>
        <w:t xml:space="preserve"> Liquidation) </w:t>
      </w:r>
      <w:r>
        <w:rPr>
          <w:sz w:val="20"/>
        </w:rPr>
        <w:t>1968 (1) SA 717 (A) at 722-723.</w:t>
      </w:r>
    </w:p>
  </w:footnote>
  <w:footnote w:id="16">
    <w:p w14:paraId="6A90117C" w14:textId="5B2D76DE" w:rsidR="0055621C" w:rsidRPr="0055621C" w:rsidRDefault="0055621C">
      <w:pPr>
        <w:pStyle w:val="FootnoteText"/>
        <w:rPr>
          <w:sz w:val="20"/>
        </w:rPr>
      </w:pPr>
      <w:r w:rsidRPr="0055621C">
        <w:rPr>
          <w:rStyle w:val="FootnoteReference"/>
          <w:rFonts w:ascii="Arial" w:hAnsi="Arial"/>
          <w:sz w:val="20"/>
        </w:rPr>
        <w:footnoteRef/>
      </w:r>
      <w:r w:rsidRPr="0055621C">
        <w:rPr>
          <w:sz w:val="20"/>
        </w:rPr>
        <w:t xml:space="preserve"> </w:t>
      </w:r>
      <w:r>
        <w:rPr>
          <w:i/>
          <w:sz w:val="20"/>
        </w:rPr>
        <w:t xml:space="preserve">Minister of Safety &amp; Security v Slabbert </w:t>
      </w:r>
      <w:r>
        <w:rPr>
          <w:sz w:val="20"/>
        </w:rPr>
        <w:t>[2009] ZASCA 163 [2010] 2 ALL SA 474 SCA para 11.</w:t>
      </w:r>
    </w:p>
  </w:footnote>
  <w:footnote w:id="17">
    <w:p w14:paraId="3841151E" w14:textId="73F45C6F" w:rsidR="00F77244" w:rsidRPr="00F77244" w:rsidRDefault="00F77244">
      <w:pPr>
        <w:pStyle w:val="FootnoteText"/>
        <w:rPr>
          <w:sz w:val="20"/>
        </w:rPr>
      </w:pPr>
      <w:r w:rsidRPr="00F77244">
        <w:rPr>
          <w:rStyle w:val="FootnoteReference"/>
          <w:rFonts w:ascii="Arial" w:hAnsi="Arial"/>
          <w:sz w:val="20"/>
        </w:rPr>
        <w:footnoteRef/>
      </w:r>
      <w:r w:rsidRPr="00F77244">
        <w:rPr>
          <w:sz w:val="20"/>
        </w:rPr>
        <w:t xml:space="preserve"> </w:t>
      </w:r>
      <w:r>
        <w:rPr>
          <w:i/>
          <w:sz w:val="20"/>
        </w:rPr>
        <w:t xml:space="preserve">Imprefed (Pty) Ltd v National Transport Commission </w:t>
      </w:r>
      <w:r>
        <w:rPr>
          <w:sz w:val="20"/>
        </w:rPr>
        <w:t>1993 (3) SA 94 (A) at 107 B-H.</w:t>
      </w:r>
    </w:p>
  </w:footnote>
  <w:footnote w:id="18">
    <w:p w14:paraId="76B120C1" w14:textId="77777777" w:rsidR="00DF23FB" w:rsidRPr="00DF23FB" w:rsidRDefault="00DF23FB" w:rsidP="00DF23FB">
      <w:pPr>
        <w:pStyle w:val="FootnoteText"/>
        <w:rPr>
          <w:sz w:val="20"/>
        </w:rPr>
      </w:pPr>
      <w:r w:rsidRPr="00F77244">
        <w:rPr>
          <w:rStyle w:val="FootnoteReference"/>
          <w:rFonts w:ascii="Arial" w:hAnsi="Arial"/>
          <w:sz w:val="20"/>
        </w:rPr>
        <w:footnoteRef/>
      </w:r>
      <w:r w:rsidRPr="00F77244">
        <w:rPr>
          <w:sz w:val="20"/>
        </w:rPr>
        <w:t xml:space="preserve"> </w:t>
      </w:r>
      <w:r>
        <w:rPr>
          <w:i/>
          <w:sz w:val="20"/>
        </w:rPr>
        <w:t xml:space="preserve">Trustees for the time being of the Childrens’ Resources Centre Trust &amp; Others v Pioneer Food (Pty) Ltd &amp; Others (Legal Resources Centre as Amicus Curiae) </w:t>
      </w:r>
      <w:r>
        <w:rPr>
          <w:sz w:val="20"/>
        </w:rPr>
        <w:t>[2013] 1 ALL SA 648 (SCA) para 36.</w:t>
      </w:r>
    </w:p>
  </w:footnote>
  <w:footnote w:id="19">
    <w:p w14:paraId="270F2B2D" w14:textId="5166E495" w:rsidR="00760C29" w:rsidRPr="00760C29" w:rsidRDefault="00760C29">
      <w:pPr>
        <w:pStyle w:val="FootnoteText"/>
        <w:rPr>
          <w:sz w:val="20"/>
        </w:rPr>
      </w:pPr>
      <w:r w:rsidRPr="00760C29">
        <w:rPr>
          <w:rStyle w:val="FootnoteReference"/>
          <w:rFonts w:ascii="Arial" w:hAnsi="Arial"/>
          <w:sz w:val="20"/>
        </w:rPr>
        <w:footnoteRef/>
      </w:r>
      <w:r w:rsidRPr="00760C29">
        <w:rPr>
          <w:sz w:val="20"/>
        </w:rPr>
        <w:t xml:space="preserve"> </w:t>
      </w:r>
      <w:r w:rsidR="00B85231">
        <w:rPr>
          <w:i/>
          <w:sz w:val="20"/>
        </w:rPr>
        <w:t xml:space="preserve">Jowell v Bramwell-Jones and Others </w:t>
      </w:r>
      <w:r w:rsidR="00B85231">
        <w:rPr>
          <w:sz w:val="20"/>
        </w:rPr>
        <w:t xml:space="preserve">1998 (1) SA 836 (W) </w:t>
      </w:r>
      <w:r w:rsidRPr="00B85231">
        <w:rPr>
          <w:sz w:val="20"/>
        </w:rPr>
        <w:t>at</w:t>
      </w:r>
      <w:r>
        <w:rPr>
          <w:i/>
          <w:sz w:val="20"/>
        </w:rPr>
        <w:t xml:space="preserve"> </w:t>
      </w:r>
      <w:r>
        <w:rPr>
          <w:sz w:val="20"/>
        </w:rPr>
        <w:t>898F – 899A.</w:t>
      </w:r>
    </w:p>
  </w:footnote>
  <w:footnote w:id="20">
    <w:p w14:paraId="364C6EC0" w14:textId="4D5161AF" w:rsidR="00DF23FB" w:rsidRPr="00DF23FB" w:rsidRDefault="00DF23FB">
      <w:pPr>
        <w:pStyle w:val="FootnoteText"/>
        <w:rPr>
          <w:sz w:val="20"/>
        </w:rPr>
      </w:pPr>
      <w:r w:rsidRPr="00DF23FB">
        <w:rPr>
          <w:rStyle w:val="FootnoteReference"/>
          <w:rFonts w:ascii="Arial" w:hAnsi="Arial"/>
          <w:sz w:val="20"/>
        </w:rPr>
        <w:footnoteRef/>
      </w:r>
      <w:r>
        <w:rPr>
          <w:sz w:val="20"/>
        </w:rPr>
        <w:t xml:space="preserve"> </w:t>
      </w:r>
      <w:r w:rsidR="006F3378">
        <w:rPr>
          <w:i/>
          <w:sz w:val="20"/>
        </w:rPr>
        <w:t xml:space="preserve">Gordon Lloyd Page and Associates v Riviera &amp; another </w:t>
      </w:r>
      <w:r w:rsidR="006F3378">
        <w:rPr>
          <w:sz w:val="20"/>
        </w:rPr>
        <w:t xml:space="preserve">2001 (1) SA 88 (SCA) 95J; </w:t>
      </w:r>
      <w:r>
        <w:rPr>
          <w:i/>
          <w:sz w:val="20"/>
        </w:rPr>
        <w:t xml:space="preserve">Picbel Groepvoororgfonds (in liquidation) v Somerville &amp; others </w:t>
      </w:r>
      <w:r>
        <w:rPr>
          <w:sz w:val="20"/>
        </w:rPr>
        <w:t>2013 (5) SA 496 (SCA) para 39.</w:t>
      </w:r>
      <w:r w:rsidRPr="00DF23FB">
        <w:rPr>
          <w:sz w:val="20"/>
        </w:rPr>
        <w:t xml:space="preserve"> </w:t>
      </w:r>
    </w:p>
  </w:footnote>
  <w:footnote w:id="21">
    <w:p w14:paraId="1230DFF0" w14:textId="716EDB41" w:rsidR="005E0A2E" w:rsidRPr="00DA4E3D" w:rsidRDefault="005E0A2E" w:rsidP="005E0A2E">
      <w:pPr>
        <w:pStyle w:val="FootnoteText"/>
        <w:rPr>
          <w:sz w:val="20"/>
        </w:rPr>
      </w:pPr>
      <w:r w:rsidRPr="00DA4E3D">
        <w:rPr>
          <w:rStyle w:val="FootnoteReference"/>
          <w:rFonts w:ascii="Arial" w:hAnsi="Arial"/>
          <w:sz w:val="20"/>
        </w:rPr>
        <w:footnoteRef/>
      </w:r>
      <w:r w:rsidRPr="00DA4E3D">
        <w:rPr>
          <w:sz w:val="20"/>
        </w:rPr>
        <w:t xml:space="preserve"> </w:t>
      </w:r>
      <w:r>
        <w:rPr>
          <w:i/>
          <w:sz w:val="20"/>
        </w:rPr>
        <w:t xml:space="preserve">Gordon Lloyd Page and Associates v Riviera &amp; another </w:t>
      </w:r>
      <w:r w:rsidR="006F3378">
        <w:rPr>
          <w:sz w:val="20"/>
        </w:rPr>
        <w:t xml:space="preserve">2001 (1) SA 88 (SCA) </w:t>
      </w:r>
      <w:r w:rsidR="00B85231">
        <w:rPr>
          <w:sz w:val="20"/>
        </w:rPr>
        <w:t xml:space="preserve">at </w:t>
      </w:r>
      <w:r w:rsidR="006F3378">
        <w:rPr>
          <w:sz w:val="20"/>
        </w:rPr>
        <w:t>95J;</w:t>
      </w:r>
    </w:p>
  </w:footnote>
  <w:footnote w:id="22">
    <w:p w14:paraId="030A9604" w14:textId="4361CB92" w:rsidR="005B3FA8" w:rsidRPr="00A87BC5" w:rsidRDefault="005B3FA8" w:rsidP="005B3FA8">
      <w:pPr>
        <w:pStyle w:val="FootnoteText"/>
        <w:rPr>
          <w:sz w:val="20"/>
        </w:rPr>
      </w:pPr>
      <w:r w:rsidRPr="00A87BC5">
        <w:rPr>
          <w:rStyle w:val="FootnoteReference"/>
          <w:rFonts w:ascii="Arial" w:hAnsi="Arial"/>
          <w:sz w:val="20"/>
        </w:rPr>
        <w:footnoteRef/>
      </w:r>
      <w:r>
        <w:rPr>
          <w:sz w:val="20"/>
        </w:rPr>
        <w:t xml:space="preserve"> </w:t>
      </w:r>
      <w:r>
        <w:rPr>
          <w:i/>
          <w:sz w:val="20"/>
        </w:rPr>
        <w:t xml:space="preserve">Steve’s Wrought Iron Works and </w:t>
      </w:r>
      <w:r w:rsidR="00B85231">
        <w:rPr>
          <w:i/>
          <w:sz w:val="20"/>
        </w:rPr>
        <w:t>O</w:t>
      </w:r>
      <w:r>
        <w:rPr>
          <w:i/>
          <w:sz w:val="20"/>
        </w:rPr>
        <w:t xml:space="preserve">thers v Nelson Mandela Metropolitan Municipality </w:t>
      </w:r>
      <w:r>
        <w:rPr>
          <w:sz w:val="20"/>
        </w:rPr>
        <w:t>para 24.</w:t>
      </w:r>
      <w:r w:rsidRPr="00A87BC5">
        <w:rPr>
          <w:sz w:val="20"/>
        </w:rPr>
        <w:t xml:space="preserve"> </w:t>
      </w:r>
    </w:p>
  </w:footnote>
  <w:footnote w:id="23">
    <w:p w14:paraId="09068829" w14:textId="3C9DD7FD" w:rsidR="00276324" w:rsidRPr="00276324" w:rsidRDefault="00276324">
      <w:pPr>
        <w:pStyle w:val="FootnoteText"/>
        <w:rPr>
          <w:sz w:val="20"/>
        </w:rPr>
      </w:pPr>
      <w:r w:rsidRPr="00276324">
        <w:rPr>
          <w:rStyle w:val="FootnoteReference"/>
          <w:rFonts w:ascii="Arial" w:hAnsi="Arial"/>
          <w:sz w:val="20"/>
        </w:rPr>
        <w:footnoteRef/>
      </w:r>
      <w:r>
        <w:rPr>
          <w:sz w:val="20"/>
        </w:rPr>
        <w:t xml:space="preserve"> </w:t>
      </w:r>
      <w:r>
        <w:rPr>
          <w:i/>
          <w:sz w:val="20"/>
        </w:rPr>
        <w:t xml:space="preserve">South African National Parks v Ras </w:t>
      </w:r>
      <w:r>
        <w:rPr>
          <w:sz w:val="20"/>
        </w:rPr>
        <w:t>2002 (2) SA 537 (C) at 542</w:t>
      </w:r>
      <w:r w:rsidR="00B85231">
        <w:rPr>
          <w:sz w:val="20"/>
        </w:rPr>
        <w:t>.</w:t>
      </w:r>
      <w:r w:rsidRPr="00276324">
        <w:rPr>
          <w:sz w:val="20"/>
        </w:rPr>
        <w:t xml:space="preserve"> </w:t>
      </w:r>
    </w:p>
  </w:footnote>
  <w:footnote w:id="24">
    <w:p w14:paraId="7EF0C315" w14:textId="7301B82E" w:rsidR="00276324" w:rsidRPr="00EF4378" w:rsidRDefault="00276324">
      <w:pPr>
        <w:pStyle w:val="FootnoteText"/>
        <w:rPr>
          <w:sz w:val="20"/>
        </w:rPr>
      </w:pPr>
      <w:r w:rsidRPr="00EF4378">
        <w:rPr>
          <w:rStyle w:val="FootnoteReference"/>
          <w:rFonts w:ascii="Arial" w:hAnsi="Arial"/>
          <w:sz w:val="20"/>
        </w:rPr>
        <w:footnoteRef/>
      </w:r>
      <w:r w:rsidRPr="00EF4378">
        <w:rPr>
          <w:sz w:val="20"/>
        </w:rPr>
        <w:t xml:space="preserve"> </w:t>
      </w:r>
      <w:r w:rsidR="00EF4378">
        <w:rPr>
          <w:i/>
          <w:sz w:val="20"/>
        </w:rPr>
        <w:t xml:space="preserve">South African National Parks </w:t>
      </w:r>
      <w:r w:rsidR="00B85231">
        <w:rPr>
          <w:sz w:val="20"/>
        </w:rPr>
        <w:t xml:space="preserve">ibid </w:t>
      </w:r>
      <w:r w:rsidR="00EF4378">
        <w:rPr>
          <w:sz w:val="20"/>
        </w:rPr>
        <w:t>at 540.</w:t>
      </w:r>
    </w:p>
  </w:footnote>
  <w:footnote w:id="25">
    <w:p w14:paraId="7D57B7FF" w14:textId="7521EEEA" w:rsidR="00EF4378" w:rsidRPr="008222BD" w:rsidRDefault="00EF4378">
      <w:pPr>
        <w:pStyle w:val="FootnoteText"/>
        <w:rPr>
          <w:sz w:val="20"/>
        </w:rPr>
      </w:pPr>
      <w:r w:rsidRPr="008222BD">
        <w:rPr>
          <w:rStyle w:val="FootnoteReference"/>
          <w:rFonts w:ascii="Arial" w:hAnsi="Arial"/>
          <w:sz w:val="20"/>
        </w:rPr>
        <w:footnoteRef/>
      </w:r>
      <w:r w:rsidRPr="008222BD">
        <w:rPr>
          <w:sz w:val="20"/>
        </w:rPr>
        <w:t xml:space="preserve"> </w:t>
      </w:r>
      <w:r w:rsidR="008222BD">
        <w:rPr>
          <w:i/>
          <w:sz w:val="20"/>
        </w:rPr>
        <w:t xml:space="preserve">Francis v Sharp and others </w:t>
      </w:r>
      <w:r w:rsidR="008222BD">
        <w:rPr>
          <w:sz w:val="20"/>
        </w:rPr>
        <w:t>2004 (3) SA 230 (C) at 240.</w:t>
      </w:r>
    </w:p>
  </w:footnote>
  <w:footnote w:id="26">
    <w:p w14:paraId="44F55363" w14:textId="5EC66199" w:rsidR="002C32BE" w:rsidRPr="002C32BE" w:rsidRDefault="002C32BE">
      <w:pPr>
        <w:pStyle w:val="FootnoteText"/>
        <w:rPr>
          <w:sz w:val="20"/>
        </w:rPr>
      </w:pPr>
      <w:r w:rsidRPr="002C32BE">
        <w:rPr>
          <w:rStyle w:val="FootnoteReference"/>
          <w:rFonts w:ascii="Arial" w:hAnsi="Arial"/>
          <w:sz w:val="20"/>
        </w:rPr>
        <w:footnoteRef/>
      </w:r>
      <w:r w:rsidRPr="002C32BE">
        <w:rPr>
          <w:sz w:val="20"/>
        </w:rPr>
        <w:t xml:space="preserve"> </w:t>
      </w:r>
      <w:r>
        <w:rPr>
          <w:i/>
          <w:sz w:val="20"/>
        </w:rPr>
        <w:t xml:space="preserve">Jowell v Bramwell-Jones and Others </w:t>
      </w:r>
      <w:r>
        <w:rPr>
          <w:sz w:val="20"/>
        </w:rPr>
        <w:t>1998 (1) SA 836 (W).</w:t>
      </w:r>
    </w:p>
  </w:footnote>
  <w:footnote w:id="27">
    <w:p w14:paraId="3E30A30D" w14:textId="024CFD30" w:rsidR="00A0426F" w:rsidRPr="00A0426F" w:rsidRDefault="00A0426F">
      <w:pPr>
        <w:pStyle w:val="FootnoteText"/>
        <w:rPr>
          <w:sz w:val="20"/>
        </w:rPr>
      </w:pPr>
      <w:r w:rsidRPr="00A0426F">
        <w:rPr>
          <w:rStyle w:val="FootnoteReference"/>
          <w:rFonts w:ascii="Arial" w:hAnsi="Arial"/>
          <w:sz w:val="20"/>
        </w:rPr>
        <w:footnoteRef/>
      </w:r>
      <w:r w:rsidRPr="00A0426F">
        <w:rPr>
          <w:sz w:val="20"/>
        </w:rPr>
        <w:t xml:space="preserve"> </w:t>
      </w:r>
      <w:r w:rsidR="00B85231">
        <w:rPr>
          <w:i/>
          <w:sz w:val="20"/>
        </w:rPr>
        <w:t xml:space="preserve">Jowell v Bramwell-Jones and Others </w:t>
      </w:r>
      <w:r w:rsidR="00B85231">
        <w:rPr>
          <w:sz w:val="20"/>
        </w:rPr>
        <w:t>1998 (1) SA 836 (W)</w:t>
      </w:r>
      <w:r>
        <w:rPr>
          <w:sz w:val="20"/>
        </w:rPr>
        <w:t xml:space="preserve"> at 902C-903A.</w:t>
      </w:r>
    </w:p>
  </w:footnote>
  <w:footnote w:id="28">
    <w:p w14:paraId="5F634AB5" w14:textId="39D68D56" w:rsidR="00FB74F6" w:rsidRPr="00684EB7" w:rsidRDefault="00FB74F6" w:rsidP="00FB74F6">
      <w:pPr>
        <w:pStyle w:val="FootnoteText"/>
        <w:rPr>
          <w:sz w:val="20"/>
        </w:rPr>
      </w:pPr>
      <w:r w:rsidRPr="00684EB7">
        <w:rPr>
          <w:rStyle w:val="FootnoteReference"/>
          <w:rFonts w:ascii="Arial" w:hAnsi="Arial"/>
          <w:sz w:val="20"/>
        </w:rPr>
        <w:footnoteRef/>
      </w:r>
      <w:r w:rsidRPr="00684EB7">
        <w:rPr>
          <w:sz w:val="20"/>
        </w:rPr>
        <w:t xml:space="preserve"> </w:t>
      </w:r>
      <w:r w:rsidRPr="00B85231">
        <w:rPr>
          <w:i/>
          <w:sz w:val="20"/>
        </w:rPr>
        <w:t>YB v SB</w:t>
      </w:r>
      <w:r w:rsidRPr="00684EB7">
        <w:rPr>
          <w:sz w:val="20"/>
        </w:rPr>
        <w:t xml:space="preserve"> 2016 (1) SA 47 (WCC) </w:t>
      </w:r>
      <w:r w:rsidR="00B85231">
        <w:rPr>
          <w:sz w:val="20"/>
        </w:rPr>
        <w:t>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0A10" w14:textId="77777777" w:rsidR="00A85D6B" w:rsidRDefault="00A85D6B"/>
  <w:p w14:paraId="0B0ADD02" w14:textId="77777777" w:rsidR="000B7F03" w:rsidRDefault="000B7F03"/>
  <w:p w14:paraId="3ACD5D5C" w14:textId="77777777" w:rsidR="00F40686" w:rsidRDefault="00F406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395915"/>
      <w:docPartObj>
        <w:docPartGallery w:val="Page Numbers (Top of Page)"/>
        <w:docPartUnique/>
      </w:docPartObj>
    </w:sdtPr>
    <w:sdtEndPr>
      <w:rPr>
        <w:noProof/>
      </w:rPr>
    </w:sdtEndPr>
    <w:sdtContent>
      <w:p w14:paraId="42E43D94" w14:textId="7B28E812" w:rsidR="001B5BF9" w:rsidRDefault="001B5BF9">
        <w:pPr>
          <w:pStyle w:val="Header"/>
          <w:jc w:val="right"/>
        </w:pPr>
        <w:r>
          <w:fldChar w:fldCharType="begin"/>
        </w:r>
        <w:r>
          <w:instrText xml:space="preserve"> PAGE   \* MERGEFORMAT </w:instrText>
        </w:r>
        <w:r>
          <w:fldChar w:fldCharType="separate"/>
        </w:r>
        <w:r w:rsidR="00D16745">
          <w:rPr>
            <w:noProof/>
          </w:rPr>
          <w:t>12</w:t>
        </w:r>
        <w:r>
          <w:rPr>
            <w:noProof/>
          </w:rPr>
          <w:fldChar w:fldCharType="end"/>
        </w:r>
      </w:p>
    </w:sdtContent>
  </w:sdt>
  <w:p w14:paraId="1A6C9050" w14:textId="77777777" w:rsidR="00F40686" w:rsidRDefault="00F406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1ADE1" w14:textId="77777777" w:rsidR="00384E22" w:rsidRDefault="00384E22" w:rsidP="00384E22">
    <w:pPr>
      <w:pStyle w:val="Header"/>
      <w:jc w:val="left"/>
    </w:pPr>
  </w:p>
  <w:p w14:paraId="62B855BF" w14:textId="77777777" w:rsidR="00F40686" w:rsidRDefault="00F40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7">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0">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0">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1">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47">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48">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6"/>
  </w:num>
  <w:num w:numId="2">
    <w:abstractNumId w:val="11"/>
  </w:num>
  <w:num w:numId="3">
    <w:abstractNumId w:val="5"/>
  </w:num>
  <w:num w:numId="4">
    <w:abstractNumId w:val="22"/>
  </w:num>
  <w:num w:numId="5">
    <w:abstractNumId w:val="2"/>
  </w:num>
  <w:num w:numId="6">
    <w:abstractNumId w:val="1"/>
  </w:num>
  <w:num w:numId="7">
    <w:abstractNumId w:val="19"/>
  </w:num>
  <w:num w:numId="8">
    <w:abstractNumId w:val="13"/>
  </w:num>
  <w:num w:numId="9">
    <w:abstractNumId w:val="32"/>
  </w:num>
  <w:num w:numId="10">
    <w:abstractNumId w:val="31"/>
  </w:num>
  <w:num w:numId="11">
    <w:abstractNumId w:val="43"/>
  </w:num>
  <w:num w:numId="12">
    <w:abstractNumId w:val="45"/>
  </w:num>
  <w:num w:numId="13">
    <w:abstractNumId w:val="3"/>
  </w:num>
  <w:num w:numId="14">
    <w:abstractNumId w:val="23"/>
  </w:num>
  <w:num w:numId="15">
    <w:abstractNumId w:val="15"/>
  </w:num>
  <w:num w:numId="16">
    <w:abstractNumId w:val="7"/>
  </w:num>
  <w:num w:numId="17">
    <w:abstractNumId w:val="4"/>
  </w:num>
  <w:num w:numId="18">
    <w:abstractNumId w:val="24"/>
  </w:num>
  <w:num w:numId="19">
    <w:abstractNumId w:val="41"/>
  </w:num>
  <w:num w:numId="20">
    <w:abstractNumId w:val="25"/>
  </w:num>
  <w:num w:numId="21">
    <w:abstractNumId w:val="29"/>
  </w:num>
  <w:num w:numId="22">
    <w:abstractNumId w:val="33"/>
  </w:num>
  <w:num w:numId="23">
    <w:abstractNumId w:val="21"/>
  </w:num>
  <w:num w:numId="24">
    <w:abstractNumId w:val="9"/>
  </w:num>
  <w:num w:numId="25">
    <w:abstractNumId w:val="34"/>
  </w:num>
  <w:num w:numId="26">
    <w:abstractNumId w:val="42"/>
  </w:num>
  <w:num w:numId="27">
    <w:abstractNumId w:val="49"/>
  </w:num>
  <w:num w:numId="28">
    <w:abstractNumId w:val="8"/>
  </w:num>
  <w:num w:numId="29">
    <w:abstractNumId w:val="20"/>
  </w:num>
  <w:num w:numId="30">
    <w:abstractNumId w:val="26"/>
  </w:num>
  <w:num w:numId="31">
    <w:abstractNumId w:val="35"/>
  </w:num>
  <w:num w:numId="32">
    <w:abstractNumId w:val="10"/>
  </w:num>
  <w:num w:numId="33">
    <w:abstractNumId w:val="36"/>
  </w:num>
  <w:num w:numId="34">
    <w:abstractNumId w:val="44"/>
  </w:num>
  <w:num w:numId="35">
    <w:abstractNumId w:val="30"/>
  </w:num>
  <w:num w:numId="36">
    <w:abstractNumId w:val="18"/>
  </w:num>
  <w:num w:numId="37">
    <w:abstractNumId w:val="38"/>
  </w:num>
  <w:num w:numId="38">
    <w:abstractNumId w:val="48"/>
  </w:num>
  <w:num w:numId="39">
    <w:abstractNumId w:val="37"/>
  </w:num>
  <w:num w:numId="40">
    <w:abstractNumId w:val="27"/>
  </w:num>
  <w:num w:numId="41">
    <w:abstractNumId w:val="40"/>
  </w:num>
  <w:num w:numId="42">
    <w:abstractNumId w:val="12"/>
  </w:num>
  <w:num w:numId="43">
    <w:abstractNumId w:val="16"/>
  </w:num>
  <w:num w:numId="44">
    <w:abstractNumId w:val="14"/>
  </w:num>
  <w:num w:numId="45">
    <w:abstractNumId w:val="47"/>
  </w:num>
  <w:num w:numId="46">
    <w:abstractNumId w:val="0"/>
  </w:num>
  <w:num w:numId="47">
    <w:abstractNumId w:val="28"/>
  </w:num>
  <w:num w:numId="48">
    <w:abstractNumId w:val="39"/>
  </w:num>
  <w:num w:numId="49">
    <w:abstractNumId w:val="17"/>
  </w:num>
  <w:num w:numId="50">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67CBD"/>
    <w:rsid w:val="0000036B"/>
    <w:rsid w:val="000023B9"/>
    <w:rsid w:val="000047E3"/>
    <w:rsid w:val="00010695"/>
    <w:rsid w:val="00014825"/>
    <w:rsid w:val="000164AB"/>
    <w:rsid w:val="0002034F"/>
    <w:rsid w:val="00023350"/>
    <w:rsid w:val="000260A7"/>
    <w:rsid w:val="00027B06"/>
    <w:rsid w:val="00034762"/>
    <w:rsid w:val="00040510"/>
    <w:rsid w:val="000408D2"/>
    <w:rsid w:val="00045226"/>
    <w:rsid w:val="00045D47"/>
    <w:rsid w:val="00055D15"/>
    <w:rsid w:val="0007023D"/>
    <w:rsid w:val="000732EF"/>
    <w:rsid w:val="000733C8"/>
    <w:rsid w:val="00082266"/>
    <w:rsid w:val="0009296D"/>
    <w:rsid w:val="00093F2D"/>
    <w:rsid w:val="000A2E93"/>
    <w:rsid w:val="000B7F03"/>
    <w:rsid w:val="000C7D51"/>
    <w:rsid w:val="000D4460"/>
    <w:rsid w:val="000E39E0"/>
    <w:rsid w:val="000E6988"/>
    <w:rsid w:val="000F19B4"/>
    <w:rsid w:val="000F1ED4"/>
    <w:rsid w:val="000F2251"/>
    <w:rsid w:val="000F2FD9"/>
    <w:rsid w:val="000F4535"/>
    <w:rsid w:val="000F4812"/>
    <w:rsid w:val="000F5634"/>
    <w:rsid w:val="00106EF4"/>
    <w:rsid w:val="0011130F"/>
    <w:rsid w:val="00115024"/>
    <w:rsid w:val="00115C15"/>
    <w:rsid w:val="0011777D"/>
    <w:rsid w:val="001177E5"/>
    <w:rsid w:val="001201E5"/>
    <w:rsid w:val="00126263"/>
    <w:rsid w:val="001350D7"/>
    <w:rsid w:val="00135109"/>
    <w:rsid w:val="0013627B"/>
    <w:rsid w:val="001432BC"/>
    <w:rsid w:val="00156532"/>
    <w:rsid w:val="00161A8F"/>
    <w:rsid w:val="0017403A"/>
    <w:rsid w:val="00176D2E"/>
    <w:rsid w:val="0018080B"/>
    <w:rsid w:val="00193B2F"/>
    <w:rsid w:val="0019556D"/>
    <w:rsid w:val="00197E89"/>
    <w:rsid w:val="001A1CFF"/>
    <w:rsid w:val="001A23C2"/>
    <w:rsid w:val="001A2D31"/>
    <w:rsid w:val="001A3F4B"/>
    <w:rsid w:val="001A4A0F"/>
    <w:rsid w:val="001A73A7"/>
    <w:rsid w:val="001B0661"/>
    <w:rsid w:val="001B3A27"/>
    <w:rsid w:val="001B5BF9"/>
    <w:rsid w:val="001B7D90"/>
    <w:rsid w:val="001C062C"/>
    <w:rsid w:val="001C19F9"/>
    <w:rsid w:val="001C2D06"/>
    <w:rsid w:val="001D01DF"/>
    <w:rsid w:val="001D04B2"/>
    <w:rsid w:val="001D698E"/>
    <w:rsid w:val="001E0C0E"/>
    <w:rsid w:val="001E2EFB"/>
    <w:rsid w:val="001E44FC"/>
    <w:rsid w:val="001F393B"/>
    <w:rsid w:val="001F538B"/>
    <w:rsid w:val="00200563"/>
    <w:rsid w:val="0020591D"/>
    <w:rsid w:val="00211414"/>
    <w:rsid w:val="00215121"/>
    <w:rsid w:val="00226070"/>
    <w:rsid w:val="00226CA8"/>
    <w:rsid w:val="002444C0"/>
    <w:rsid w:val="00253BE9"/>
    <w:rsid w:val="002540B5"/>
    <w:rsid w:val="00265D3B"/>
    <w:rsid w:val="00265D95"/>
    <w:rsid w:val="00276324"/>
    <w:rsid w:val="00277601"/>
    <w:rsid w:val="00280860"/>
    <w:rsid w:val="00285BF8"/>
    <w:rsid w:val="002908B8"/>
    <w:rsid w:val="00296E5E"/>
    <w:rsid w:val="002A0518"/>
    <w:rsid w:val="002A0711"/>
    <w:rsid w:val="002A0B05"/>
    <w:rsid w:val="002B1873"/>
    <w:rsid w:val="002B2553"/>
    <w:rsid w:val="002B27CC"/>
    <w:rsid w:val="002C32BE"/>
    <w:rsid w:val="002C5551"/>
    <w:rsid w:val="002C59D0"/>
    <w:rsid w:val="002C5A38"/>
    <w:rsid w:val="002C6F84"/>
    <w:rsid w:val="002D27BE"/>
    <w:rsid w:val="002D2E74"/>
    <w:rsid w:val="002D4510"/>
    <w:rsid w:val="002D5B7D"/>
    <w:rsid w:val="002D6473"/>
    <w:rsid w:val="002D7BAD"/>
    <w:rsid w:val="002F0B3A"/>
    <w:rsid w:val="00300A2C"/>
    <w:rsid w:val="00303283"/>
    <w:rsid w:val="00312F9D"/>
    <w:rsid w:val="003345A4"/>
    <w:rsid w:val="00336661"/>
    <w:rsid w:val="003525E7"/>
    <w:rsid w:val="00360A53"/>
    <w:rsid w:val="00360C56"/>
    <w:rsid w:val="00361FF0"/>
    <w:rsid w:val="003651A0"/>
    <w:rsid w:val="00370CF7"/>
    <w:rsid w:val="0037213D"/>
    <w:rsid w:val="00374C2F"/>
    <w:rsid w:val="00377914"/>
    <w:rsid w:val="003805F3"/>
    <w:rsid w:val="00384557"/>
    <w:rsid w:val="00384E22"/>
    <w:rsid w:val="00391409"/>
    <w:rsid w:val="00391D43"/>
    <w:rsid w:val="00396F36"/>
    <w:rsid w:val="003A024F"/>
    <w:rsid w:val="003B05A0"/>
    <w:rsid w:val="003B381A"/>
    <w:rsid w:val="003C12E3"/>
    <w:rsid w:val="003C2390"/>
    <w:rsid w:val="003C3503"/>
    <w:rsid w:val="003D0003"/>
    <w:rsid w:val="003D726C"/>
    <w:rsid w:val="003D7779"/>
    <w:rsid w:val="003F57D5"/>
    <w:rsid w:val="00400681"/>
    <w:rsid w:val="00401444"/>
    <w:rsid w:val="0040539E"/>
    <w:rsid w:val="00405888"/>
    <w:rsid w:val="00407115"/>
    <w:rsid w:val="00411531"/>
    <w:rsid w:val="004166E8"/>
    <w:rsid w:val="00421AAF"/>
    <w:rsid w:val="00423E54"/>
    <w:rsid w:val="004336D5"/>
    <w:rsid w:val="0044084D"/>
    <w:rsid w:val="00441CAB"/>
    <w:rsid w:val="00457714"/>
    <w:rsid w:val="00460C85"/>
    <w:rsid w:val="00467685"/>
    <w:rsid w:val="00467F4C"/>
    <w:rsid w:val="004718D5"/>
    <w:rsid w:val="00490EBB"/>
    <w:rsid w:val="00494405"/>
    <w:rsid w:val="004A0D0F"/>
    <w:rsid w:val="004A138E"/>
    <w:rsid w:val="004B13CA"/>
    <w:rsid w:val="004D047F"/>
    <w:rsid w:val="004E3FF1"/>
    <w:rsid w:val="004E4EBF"/>
    <w:rsid w:val="004F2DC4"/>
    <w:rsid w:val="004F7601"/>
    <w:rsid w:val="005002E7"/>
    <w:rsid w:val="005045F3"/>
    <w:rsid w:val="00504FB0"/>
    <w:rsid w:val="00511C72"/>
    <w:rsid w:val="00515275"/>
    <w:rsid w:val="0051668C"/>
    <w:rsid w:val="00520D28"/>
    <w:rsid w:val="00520DB7"/>
    <w:rsid w:val="00520E4B"/>
    <w:rsid w:val="00522A33"/>
    <w:rsid w:val="00522EB2"/>
    <w:rsid w:val="005271D0"/>
    <w:rsid w:val="005371DC"/>
    <w:rsid w:val="00542C41"/>
    <w:rsid w:val="0054350D"/>
    <w:rsid w:val="00553250"/>
    <w:rsid w:val="00553AAD"/>
    <w:rsid w:val="0055621C"/>
    <w:rsid w:val="00565BEB"/>
    <w:rsid w:val="00570967"/>
    <w:rsid w:val="00577216"/>
    <w:rsid w:val="00580F35"/>
    <w:rsid w:val="00586834"/>
    <w:rsid w:val="00586F56"/>
    <w:rsid w:val="00586FAA"/>
    <w:rsid w:val="005A10E0"/>
    <w:rsid w:val="005A4188"/>
    <w:rsid w:val="005A64DB"/>
    <w:rsid w:val="005B3FA8"/>
    <w:rsid w:val="005B6659"/>
    <w:rsid w:val="005C1419"/>
    <w:rsid w:val="005C1BDB"/>
    <w:rsid w:val="005C1D1D"/>
    <w:rsid w:val="005D70E7"/>
    <w:rsid w:val="005E0A2E"/>
    <w:rsid w:val="005E0B5E"/>
    <w:rsid w:val="005E1DE4"/>
    <w:rsid w:val="005F392A"/>
    <w:rsid w:val="005F4CDD"/>
    <w:rsid w:val="00600109"/>
    <w:rsid w:val="006107E2"/>
    <w:rsid w:val="006200A3"/>
    <w:rsid w:val="00623505"/>
    <w:rsid w:val="00652544"/>
    <w:rsid w:val="006560CB"/>
    <w:rsid w:val="006561BA"/>
    <w:rsid w:val="00665B0F"/>
    <w:rsid w:val="00666169"/>
    <w:rsid w:val="00667C51"/>
    <w:rsid w:val="0068160C"/>
    <w:rsid w:val="00684EB7"/>
    <w:rsid w:val="006A0CC4"/>
    <w:rsid w:val="006A37D8"/>
    <w:rsid w:val="006A7426"/>
    <w:rsid w:val="006B12A8"/>
    <w:rsid w:val="006B141D"/>
    <w:rsid w:val="006C15AD"/>
    <w:rsid w:val="006C1F17"/>
    <w:rsid w:val="006C373B"/>
    <w:rsid w:val="006C7406"/>
    <w:rsid w:val="006D490F"/>
    <w:rsid w:val="006E1D0D"/>
    <w:rsid w:val="006E36B9"/>
    <w:rsid w:val="006F3378"/>
    <w:rsid w:val="006F47AD"/>
    <w:rsid w:val="006F6782"/>
    <w:rsid w:val="006F7070"/>
    <w:rsid w:val="00716C67"/>
    <w:rsid w:val="00722349"/>
    <w:rsid w:val="00725AE1"/>
    <w:rsid w:val="007373FB"/>
    <w:rsid w:val="007374B5"/>
    <w:rsid w:val="00744A1B"/>
    <w:rsid w:val="00745F15"/>
    <w:rsid w:val="007517DD"/>
    <w:rsid w:val="00760C29"/>
    <w:rsid w:val="00763FC5"/>
    <w:rsid w:val="00783669"/>
    <w:rsid w:val="007902E3"/>
    <w:rsid w:val="00792F34"/>
    <w:rsid w:val="007A1C7C"/>
    <w:rsid w:val="007A38AC"/>
    <w:rsid w:val="007B0C6A"/>
    <w:rsid w:val="007B1849"/>
    <w:rsid w:val="007C09AB"/>
    <w:rsid w:val="007C4D93"/>
    <w:rsid w:val="007C5CF9"/>
    <w:rsid w:val="007C7BA5"/>
    <w:rsid w:val="007D3484"/>
    <w:rsid w:val="007E0AFD"/>
    <w:rsid w:val="007E2208"/>
    <w:rsid w:val="007E70F3"/>
    <w:rsid w:val="007F10C7"/>
    <w:rsid w:val="007F5AFE"/>
    <w:rsid w:val="00814AF4"/>
    <w:rsid w:val="008207A5"/>
    <w:rsid w:val="008222BD"/>
    <w:rsid w:val="00823735"/>
    <w:rsid w:val="008245AA"/>
    <w:rsid w:val="00824983"/>
    <w:rsid w:val="00827B98"/>
    <w:rsid w:val="00827FFD"/>
    <w:rsid w:val="008325C2"/>
    <w:rsid w:val="008329B2"/>
    <w:rsid w:val="00835F34"/>
    <w:rsid w:val="00842948"/>
    <w:rsid w:val="00842B45"/>
    <w:rsid w:val="0084368A"/>
    <w:rsid w:val="00844A70"/>
    <w:rsid w:val="00844EFE"/>
    <w:rsid w:val="0085308A"/>
    <w:rsid w:val="0085364E"/>
    <w:rsid w:val="008558BF"/>
    <w:rsid w:val="00856D8C"/>
    <w:rsid w:val="008603E3"/>
    <w:rsid w:val="008672AA"/>
    <w:rsid w:val="0087507C"/>
    <w:rsid w:val="00887C9D"/>
    <w:rsid w:val="008918A5"/>
    <w:rsid w:val="00891A3D"/>
    <w:rsid w:val="008A3A39"/>
    <w:rsid w:val="008A3D4F"/>
    <w:rsid w:val="008B1A86"/>
    <w:rsid w:val="008B4E78"/>
    <w:rsid w:val="008C0ADE"/>
    <w:rsid w:val="008C2C9A"/>
    <w:rsid w:val="008C3DBB"/>
    <w:rsid w:val="008D359F"/>
    <w:rsid w:val="008D519D"/>
    <w:rsid w:val="008E0A4F"/>
    <w:rsid w:val="008E0FEF"/>
    <w:rsid w:val="008F63F4"/>
    <w:rsid w:val="0090717C"/>
    <w:rsid w:val="00910069"/>
    <w:rsid w:val="00910BF1"/>
    <w:rsid w:val="00911914"/>
    <w:rsid w:val="00916108"/>
    <w:rsid w:val="0092197D"/>
    <w:rsid w:val="009302C8"/>
    <w:rsid w:val="00943BEF"/>
    <w:rsid w:val="009520FF"/>
    <w:rsid w:val="009571DA"/>
    <w:rsid w:val="00972559"/>
    <w:rsid w:val="00983390"/>
    <w:rsid w:val="00984118"/>
    <w:rsid w:val="00986B8F"/>
    <w:rsid w:val="00987891"/>
    <w:rsid w:val="00987B3A"/>
    <w:rsid w:val="00990533"/>
    <w:rsid w:val="00991B25"/>
    <w:rsid w:val="009B5D6F"/>
    <w:rsid w:val="009C1DDF"/>
    <w:rsid w:val="009C6E40"/>
    <w:rsid w:val="009D5C7F"/>
    <w:rsid w:val="009D78AA"/>
    <w:rsid w:val="009E48C7"/>
    <w:rsid w:val="009E6C5E"/>
    <w:rsid w:val="009F011F"/>
    <w:rsid w:val="009F05A9"/>
    <w:rsid w:val="009F7BB8"/>
    <w:rsid w:val="009F7F7D"/>
    <w:rsid w:val="009F7FB5"/>
    <w:rsid w:val="00A014F0"/>
    <w:rsid w:val="00A0426F"/>
    <w:rsid w:val="00A04BA5"/>
    <w:rsid w:val="00A072C5"/>
    <w:rsid w:val="00A12477"/>
    <w:rsid w:val="00A17941"/>
    <w:rsid w:val="00A21931"/>
    <w:rsid w:val="00A24E52"/>
    <w:rsid w:val="00A304E5"/>
    <w:rsid w:val="00A41181"/>
    <w:rsid w:val="00A51E71"/>
    <w:rsid w:val="00A52A9E"/>
    <w:rsid w:val="00A63D25"/>
    <w:rsid w:val="00A776A4"/>
    <w:rsid w:val="00A84483"/>
    <w:rsid w:val="00A85D6B"/>
    <w:rsid w:val="00A87BC5"/>
    <w:rsid w:val="00AC3A5F"/>
    <w:rsid w:val="00AD1B2B"/>
    <w:rsid w:val="00AD79F8"/>
    <w:rsid w:val="00AE28F0"/>
    <w:rsid w:val="00AE7AAC"/>
    <w:rsid w:val="00AE7F47"/>
    <w:rsid w:val="00AF09B0"/>
    <w:rsid w:val="00AF3A62"/>
    <w:rsid w:val="00AF7665"/>
    <w:rsid w:val="00B17906"/>
    <w:rsid w:val="00B203EB"/>
    <w:rsid w:val="00B20742"/>
    <w:rsid w:val="00B21294"/>
    <w:rsid w:val="00B24C0E"/>
    <w:rsid w:val="00B2648F"/>
    <w:rsid w:val="00B27924"/>
    <w:rsid w:val="00B351CC"/>
    <w:rsid w:val="00B37202"/>
    <w:rsid w:val="00B40636"/>
    <w:rsid w:val="00B413CF"/>
    <w:rsid w:val="00B45C6F"/>
    <w:rsid w:val="00B50467"/>
    <w:rsid w:val="00B505D9"/>
    <w:rsid w:val="00B52E30"/>
    <w:rsid w:val="00B57FE6"/>
    <w:rsid w:val="00B67CBD"/>
    <w:rsid w:val="00B71086"/>
    <w:rsid w:val="00B82D3F"/>
    <w:rsid w:val="00B85231"/>
    <w:rsid w:val="00B85415"/>
    <w:rsid w:val="00B8718D"/>
    <w:rsid w:val="00B97A9A"/>
    <w:rsid w:val="00BB25E6"/>
    <w:rsid w:val="00BB2C0E"/>
    <w:rsid w:val="00BC5FE7"/>
    <w:rsid w:val="00BC6A0E"/>
    <w:rsid w:val="00BE2A08"/>
    <w:rsid w:val="00BE4F6D"/>
    <w:rsid w:val="00BF2031"/>
    <w:rsid w:val="00BF7C21"/>
    <w:rsid w:val="00C05659"/>
    <w:rsid w:val="00C11405"/>
    <w:rsid w:val="00C13096"/>
    <w:rsid w:val="00C15393"/>
    <w:rsid w:val="00C1768E"/>
    <w:rsid w:val="00C2723C"/>
    <w:rsid w:val="00C371BF"/>
    <w:rsid w:val="00C37A55"/>
    <w:rsid w:val="00C417C7"/>
    <w:rsid w:val="00C426F1"/>
    <w:rsid w:val="00C52D6A"/>
    <w:rsid w:val="00C61C81"/>
    <w:rsid w:val="00C81C41"/>
    <w:rsid w:val="00C832AF"/>
    <w:rsid w:val="00C953B0"/>
    <w:rsid w:val="00C9605F"/>
    <w:rsid w:val="00CA2941"/>
    <w:rsid w:val="00CA6CAF"/>
    <w:rsid w:val="00CB212A"/>
    <w:rsid w:val="00CC7079"/>
    <w:rsid w:val="00CE1C4B"/>
    <w:rsid w:val="00CE693A"/>
    <w:rsid w:val="00CE6CEE"/>
    <w:rsid w:val="00CF0CEF"/>
    <w:rsid w:val="00CF1A99"/>
    <w:rsid w:val="00CF2339"/>
    <w:rsid w:val="00CF3001"/>
    <w:rsid w:val="00CF4C80"/>
    <w:rsid w:val="00CF4D46"/>
    <w:rsid w:val="00D0268D"/>
    <w:rsid w:val="00D07741"/>
    <w:rsid w:val="00D14D64"/>
    <w:rsid w:val="00D158AD"/>
    <w:rsid w:val="00D16745"/>
    <w:rsid w:val="00D168B8"/>
    <w:rsid w:val="00D41425"/>
    <w:rsid w:val="00D47B52"/>
    <w:rsid w:val="00D523AE"/>
    <w:rsid w:val="00D52B9F"/>
    <w:rsid w:val="00D6090B"/>
    <w:rsid w:val="00D61B0A"/>
    <w:rsid w:val="00D7569D"/>
    <w:rsid w:val="00D810ED"/>
    <w:rsid w:val="00D828CD"/>
    <w:rsid w:val="00D84A15"/>
    <w:rsid w:val="00D87DF2"/>
    <w:rsid w:val="00D9014F"/>
    <w:rsid w:val="00DA4E3D"/>
    <w:rsid w:val="00DA6BB0"/>
    <w:rsid w:val="00DA7D73"/>
    <w:rsid w:val="00DB4177"/>
    <w:rsid w:val="00DC12F3"/>
    <w:rsid w:val="00DC3BD8"/>
    <w:rsid w:val="00DC6219"/>
    <w:rsid w:val="00DE2370"/>
    <w:rsid w:val="00DE70F1"/>
    <w:rsid w:val="00DF0EDF"/>
    <w:rsid w:val="00DF23FB"/>
    <w:rsid w:val="00DF2CEC"/>
    <w:rsid w:val="00DF545E"/>
    <w:rsid w:val="00DF5532"/>
    <w:rsid w:val="00DF6316"/>
    <w:rsid w:val="00E05567"/>
    <w:rsid w:val="00E062B2"/>
    <w:rsid w:val="00E07A4C"/>
    <w:rsid w:val="00E11554"/>
    <w:rsid w:val="00E16CCE"/>
    <w:rsid w:val="00E20A1E"/>
    <w:rsid w:val="00E33544"/>
    <w:rsid w:val="00E34774"/>
    <w:rsid w:val="00E562D1"/>
    <w:rsid w:val="00E62D2E"/>
    <w:rsid w:val="00E63C79"/>
    <w:rsid w:val="00E66F1F"/>
    <w:rsid w:val="00E76D05"/>
    <w:rsid w:val="00E81004"/>
    <w:rsid w:val="00E82F6E"/>
    <w:rsid w:val="00E8634D"/>
    <w:rsid w:val="00E863D1"/>
    <w:rsid w:val="00E87492"/>
    <w:rsid w:val="00E94F4A"/>
    <w:rsid w:val="00E95F62"/>
    <w:rsid w:val="00EB5D1C"/>
    <w:rsid w:val="00ED2C3C"/>
    <w:rsid w:val="00EE1E80"/>
    <w:rsid w:val="00EE4FDC"/>
    <w:rsid w:val="00EE692D"/>
    <w:rsid w:val="00EF0DAB"/>
    <w:rsid w:val="00EF12AC"/>
    <w:rsid w:val="00EF1EDF"/>
    <w:rsid w:val="00EF4378"/>
    <w:rsid w:val="00EF7B7D"/>
    <w:rsid w:val="00F000E0"/>
    <w:rsid w:val="00F00166"/>
    <w:rsid w:val="00F016B7"/>
    <w:rsid w:val="00F11AD4"/>
    <w:rsid w:val="00F15561"/>
    <w:rsid w:val="00F22917"/>
    <w:rsid w:val="00F23EE7"/>
    <w:rsid w:val="00F34BE7"/>
    <w:rsid w:val="00F353E0"/>
    <w:rsid w:val="00F40686"/>
    <w:rsid w:val="00F454C4"/>
    <w:rsid w:val="00F46213"/>
    <w:rsid w:val="00F51E8C"/>
    <w:rsid w:val="00F63788"/>
    <w:rsid w:val="00F66FB1"/>
    <w:rsid w:val="00F677BB"/>
    <w:rsid w:val="00F71D98"/>
    <w:rsid w:val="00F77244"/>
    <w:rsid w:val="00F80ADF"/>
    <w:rsid w:val="00F911BB"/>
    <w:rsid w:val="00F95457"/>
    <w:rsid w:val="00F97A69"/>
    <w:rsid w:val="00FB3C0F"/>
    <w:rsid w:val="00FB74F6"/>
    <w:rsid w:val="00FC23BF"/>
    <w:rsid w:val="00FC3FD1"/>
    <w:rsid w:val="00FD53C3"/>
    <w:rsid w:val="00FE6056"/>
    <w:rsid w:val="00FF00DF"/>
    <w:rsid w:val="00FF0B38"/>
    <w:rsid w:val="00FF3A1E"/>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905C2"/>
  <w15:chartTrackingRefBased/>
  <w15:docId w15:val="{A0419177-CA75-46C6-BC04-022CCF13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22"/>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rPr>
  </w:style>
  <w:style w:type="paragraph" w:customStyle="1" w:styleId="BowUnnumberedHeading2Blue10">
    <w:name w:val="Bow_Unnumbered Heading 2 Blue 10"/>
    <w:basedOn w:val="Normal"/>
    <w:next w:val="BowIndentAlt"/>
    <w:rsid w:val="00377914"/>
    <w:pPr>
      <w:keepNext/>
    </w:pPr>
    <w:rPr>
      <w:b/>
      <w:color w:val="002854"/>
    </w:rPr>
  </w:style>
  <w:style w:type="paragraph" w:customStyle="1" w:styleId="BowUnnumberedHeading3Copper10">
    <w:name w:val="Bow_Unnumbered Heading 3 Copper 10"/>
    <w:basedOn w:val="Normal"/>
    <w:next w:val="BowIndentAlt"/>
    <w:rsid w:val="00377914"/>
    <w:pPr>
      <w:keepNext/>
    </w:pPr>
    <w:rPr>
      <w:b/>
      <w:color w:val="B5613F"/>
    </w:rPr>
  </w:style>
  <w:style w:type="paragraph" w:customStyle="1" w:styleId="BowUnnumberedHeading4Underline10">
    <w:name w:val="Bow_Unnumbered Heading 4 Underline 10"/>
    <w:basedOn w:val="Normal"/>
    <w:next w:val="BowIndentAlt"/>
    <w:rsid w:val="00377914"/>
    <w:pPr>
      <w:keepNext/>
    </w:pPr>
    <w:rPr>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semiHidden/>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rPr>
  </w:style>
  <w:style w:type="paragraph" w:styleId="Header">
    <w:name w:val="header"/>
    <w:basedOn w:val="Normal"/>
    <w:link w:val="HeaderChar"/>
    <w:uiPriority w:val="99"/>
    <w:rsid w:val="005F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sz w:val="24"/>
    </w:rPr>
  </w:style>
  <w:style w:type="paragraph" w:customStyle="1" w:styleId="BowHC2AltCtrlNum2">
    <w:name w:val="Bow_HC2 Alt+Ctrl+Num2"/>
    <w:basedOn w:val="BowAnnexList2AltShiftK"/>
    <w:qFormat/>
    <w:rsid w:val="00C832AF"/>
    <w:pPr>
      <w:spacing w:after="0" w:line="480" w:lineRule="auto"/>
    </w:pPr>
    <w:rPr>
      <w:sz w:val="24"/>
    </w:rPr>
  </w:style>
  <w:style w:type="paragraph" w:customStyle="1" w:styleId="BowHC3AltCtrlNum3">
    <w:name w:val="Bow_HC3 Alt+Ctrl+Num3"/>
    <w:basedOn w:val="BowAnnexList3AltShiftJ"/>
    <w:qFormat/>
    <w:rsid w:val="00C832AF"/>
    <w:pPr>
      <w:spacing w:after="0" w:line="480" w:lineRule="auto"/>
    </w:pPr>
    <w:rPr>
      <w:sz w:val="24"/>
    </w:rPr>
  </w:style>
  <w:style w:type="paragraph" w:customStyle="1" w:styleId="BowHC4AltCtrlNum4">
    <w:name w:val="Bow_HC4 Alt+Ctrl+Num4"/>
    <w:basedOn w:val="BowAnnexList4AltShiftH"/>
    <w:qFormat/>
    <w:rsid w:val="00C832AF"/>
    <w:pPr>
      <w:spacing w:after="0" w:line="480" w:lineRule="auto"/>
    </w:pPr>
    <w:rPr>
      <w:sz w:val="24"/>
    </w:rPr>
  </w:style>
  <w:style w:type="paragraph" w:customStyle="1" w:styleId="BowHC5AltCtrlNum5">
    <w:name w:val="Bow_HC5 Alt+Ctrl+Num5"/>
    <w:basedOn w:val="BowAnnexList5AltShiftG"/>
    <w:qFormat/>
    <w:rsid w:val="00C832AF"/>
    <w:pPr>
      <w:spacing w:after="0" w:line="480" w:lineRule="auto"/>
    </w:pPr>
    <w:rPr>
      <w:sz w:val="24"/>
    </w:rPr>
  </w:style>
  <w:style w:type="paragraph" w:customStyle="1" w:styleId="BowHC6AltCtrlNum6">
    <w:name w:val="Bow_HC6 Alt+Ctrl+Num6"/>
    <w:basedOn w:val="BowAnnexList6AltShiftF"/>
    <w:qFormat/>
    <w:rsid w:val="00C832AF"/>
    <w:pPr>
      <w:spacing w:after="0" w:line="480" w:lineRule="auto"/>
    </w:pPr>
    <w:rPr>
      <w:sz w:val="24"/>
    </w:rPr>
  </w:style>
  <w:style w:type="paragraph" w:customStyle="1" w:styleId="BowHC7AltCtrlNum7">
    <w:name w:val="Bow_HC7 Alt+Ctrl+Num7"/>
    <w:basedOn w:val="BowAnnexList7AltShiftD"/>
    <w:qFormat/>
    <w:rsid w:val="00C832AF"/>
    <w:pPr>
      <w:spacing w:after="0" w:line="480" w:lineRule="auto"/>
    </w:pPr>
    <w:rPr>
      <w:sz w:val="24"/>
    </w:rPr>
  </w:style>
  <w:style w:type="paragraph" w:customStyle="1" w:styleId="BowHCNormalCrlNum0">
    <w:name w:val="Bow_HC Normal Crl+Num0"/>
    <w:basedOn w:val="BowIndentAlt"/>
    <w:qFormat/>
    <w:rsid w:val="00652544"/>
    <w:pPr>
      <w:spacing w:after="0" w:line="480" w:lineRule="auto"/>
    </w:pPr>
    <w:rPr>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1296">
      <w:bodyDiv w:val="1"/>
      <w:marLeft w:val="0"/>
      <w:marRight w:val="0"/>
      <w:marTop w:val="0"/>
      <w:marBottom w:val="0"/>
      <w:divBdr>
        <w:top w:val="none" w:sz="0" w:space="0" w:color="auto"/>
        <w:left w:val="none" w:sz="0" w:space="0" w:color="auto"/>
        <w:bottom w:val="none" w:sz="0" w:space="0" w:color="auto"/>
        <w:right w:val="none" w:sz="0" w:space="0" w:color="auto"/>
      </w:divBdr>
    </w:div>
    <w:div w:id="1254506645">
      <w:bodyDiv w:val="1"/>
      <w:marLeft w:val="0"/>
      <w:marRight w:val="0"/>
      <w:marTop w:val="0"/>
      <w:marBottom w:val="0"/>
      <w:divBdr>
        <w:top w:val="none" w:sz="0" w:space="0" w:color="auto"/>
        <w:left w:val="none" w:sz="0" w:space="0" w:color="auto"/>
        <w:bottom w:val="none" w:sz="0" w:space="0" w:color="auto"/>
        <w:right w:val="none" w:sz="0" w:space="0" w:color="auto"/>
      </w:divBdr>
    </w:div>
    <w:div w:id="18346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ams@tgrattorneys.co.z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tshisevhe@tgrattorneys.co.z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ri@briankahn.co.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an@briankahn.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079461837D643A417C2ABDC1C206F" ma:contentTypeVersion="10" ma:contentTypeDescription="Create a new document." ma:contentTypeScope="" ma:versionID="5a637bf6321eb9ad4d7243949bbfb968">
  <xsd:schema xmlns:xsd="http://www.w3.org/2001/XMLSchema" xmlns:xs="http://www.w3.org/2001/XMLSchema" xmlns:p="http://schemas.microsoft.com/office/2006/metadata/properties" xmlns:ns3="a85d9592-f38f-4da4-8777-0cdec97478ee" targetNamespace="http://schemas.microsoft.com/office/2006/metadata/properties" ma:root="true" ma:fieldsID="71259b4240b46da5140d4aa0a4550f39" ns3:_="">
    <xsd:import namespace="a85d9592-f38f-4da4-8777-0cdec97478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9592-f38f-4da4-8777-0cdec9747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2EEB-4E3C-4AFE-B5FD-1ED45F6C89AF}">
  <ds:schemaRefs>
    <ds:schemaRef ds:uri="http://schemas.microsoft.com/sharepoint/v3/contenttype/forms"/>
  </ds:schemaRefs>
</ds:datastoreItem>
</file>

<file path=customXml/itemProps2.xml><?xml version="1.0" encoding="utf-8"?>
<ds:datastoreItem xmlns:ds="http://schemas.openxmlformats.org/officeDocument/2006/customXml" ds:itemID="{458E0D9C-9D0C-4555-B63F-B9D20DFA9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60ACE-47F8-4F32-9E1D-7FA6C9CF5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9592-f38f-4da4-8777-0cdec9747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680E3-7B7E-4D89-A770-CE175D4A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Bowmans</Company>
  <LinksUpToDate>false</LinksUpToDate>
  <CharactersWithSpaces>26964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Nichols</dc:creator>
  <cp:keywords/>
  <dc:description/>
  <cp:lastModifiedBy>Mokone</cp:lastModifiedBy>
  <cp:revision>2</cp:revision>
  <cp:lastPrinted>2022-07-11T09:07:00Z</cp:lastPrinted>
  <dcterms:created xsi:type="dcterms:W3CDTF">2022-07-14T09:26:00Z</dcterms:created>
  <dcterms:modified xsi:type="dcterms:W3CDTF">2022-07-14T09:26:00Z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0x01010027B079461837D643A417C2ABDC1C206F</vt:lpwstr>
  </property>
</Properties>
</file>