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9F" w:rsidRDefault="00036B9F" w:rsidP="00036B9F">
      <w:pPr>
        <w:spacing w:line="360" w:lineRule="auto"/>
        <w:ind w:left="292" w:hangingChars="127" w:hanging="292"/>
        <w:jc w:val="center"/>
        <w:rPr>
          <w:rFonts w:cs="Arial"/>
          <w:bCs/>
          <w:color w:val="1D1C1D"/>
          <w:sz w:val="23"/>
          <w:szCs w:val="23"/>
          <w:shd w:val="clear" w:color="auto" w:fill="F8F8F8"/>
        </w:rPr>
      </w:pPr>
      <w:r>
        <w:rPr>
          <w:rFonts w:cs="Arial"/>
          <w:bCs/>
          <w:color w:val="1D1C1D"/>
          <w:sz w:val="23"/>
          <w:szCs w:val="23"/>
          <w:shd w:val="clear" w:color="auto" w:fill="F8F8F8"/>
        </w:rPr>
        <w:t>Editorial note: Certain information has been redacted from this judgment in compliance with the law.</w:t>
      </w:r>
    </w:p>
    <w:p w:rsidR="00F93013" w:rsidRDefault="00F93013" w:rsidP="00F93013">
      <w:pPr>
        <w:spacing w:line="480" w:lineRule="auto"/>
        <w:ind w:left="720" w:hanging="720"/>
        <w:jc w:val="center"/>
        <w:rPr>
          <w:rFonts w:ascii="Arial" w:hAnsi="Arial" w:cs="Arial"/>
          <w:b/>
          <w:bCs/>
          <w:sz w:val="24"/>
          <w:lang w:val="en-GB"/>
        </w:rPr>
      </w:pPr>
      <w:r>
        <w:rPr>
          <w:rFonts w:ascii="Arial" w:hAnsi="Arial" w:cs="Arial"/>
          <w:b/>
          <w:bCs/>
          <w:sz w:val="24"/>
          <w:lang w:val="en-GB"/>
        </w:rPr>
        <w:t>REPUBLIC OF SOUTH AFRICA</w:t>
      </w:r>
    </w:p>
    <w:p w:rsidR="00F93013" w:rsidRDefault="000F54AC" w:rsidP="00F93013">
      <w:pPr>
        <w:spacing w:line="480" w:lineRule="auto"/>
        <w:ind w:left="720" w:hanging="720"/>
        <w:jc w:val="center"/>
        <w:rPr>
          <w:rFonts w:ascii="Arial" w:hAnsi="Arial" w:cs="Arial"/>
          <w:b/>
          <w:bCs/>
          <w:sz w:val="24"/>
          <w:lang w:val="en-GB"/>
        </w:rPr>
      </w:pPr>
      <w:r>
        <w:rPr>
          <w:noProof/>
          <w:lang w:val="en-US"/>
        </w:rPr>
        <w:drawing>
          <wp:inline distT="0" distB="0" distL="0" distR="0" wp14:anchorId="76D677A9" wp14:editId="09A1163E">
            <wp:extent cx="1438275" cy="1438275"/>
            <wp:effectExtent l="0" t="0" r="9525" b="9525"/>
            <wp:docPr id="2"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93013" w:rsidRPr="00547E1D" w:rsidRDefault="00F93013" w:rsidP="00F93013">
      <w:pPr>
        <w:spacing w:line="480" w:lineRule="auto"/>
        <w:ind w:left="720" w:hanging="720"/>
        <w:jc w:val="center"/>
        <w:rPr>
          <w:rFonts w:ascii="Arial" w:hAnsi="Arial" w:cs="Arial"/>
          <w:b/>
          <w:bCs/>
          <w:sz w:val="24"/>
          <w:lang w:val="en-GB"/>
        </w:rPr>
      </w:pPr>
      <w:r>
        <w:rPr>
          <w:rFonts w:ascii="Arial" w:hAnsi="Arial" w:cs="Arial"/>
          <w:b/>
          <w:bCs/>
          <w:sz w:val="24"/>
          <w:lang w:val="en-GB"/>
        </w:rPr>
        <w:t>I</w:t>
      </w:r>
      <w:r w:rsidRPr="00547E1D">
        <w:rPr>
          <w:rFonts w:ascii="Arial" w:hAnsi="Arial" w:cs="Arial"/>
          <w:b/>
          <w:bCs/>
          <w:sz w:val="24"/>
          <w:lang w:val="en-GB"/>
        </w:rPr>
        <w:t>N THE HIGH COURT OF SOUTH AFRICA</w:t>
      </w:r>
    </w:p>
    <w:p w:rsidR="00F93013" w:rsidRDefault="00F93013" w:rsidP="00F93013">
      <w:pPr>
        <w:tabs>
          <w:tab w:val="right" w:pos="8364"/>
        </w:tabs>
        <w:spacing w:line="480" w:lineRule="auto"/>
        <w:jc w:val="center"/>
        <w:rPr>
          <w:rFonts w:ascii="Arial" w:hAnsi="Arial" w:cs="Arial"/>
          <w:b/>
          <w:bCs/>
          <w:sz w:val="24"/>
          <w:lang w:val="en-GB"/>
        </w:rPr>
      </w:pPr>
      <w:r>
        <w:rPr>
          <w:rFonts w:ascii="Arial" w:hAnsi="Arial" w:cs="Arial"/>
          <w:b/>
          <w:bCs/>
          <w:sz w:val="24"/>
          <w:lang w:val="en-GB"/>
        </w:rPr>
        <w:t>(GAUTENG DIVISION, JOHANNESBURG)</w:t>
      </w:r>
    </w:p>
    <w:p w:rsidR="00E04001" w:rsidRDefault="00E04001" w:rsidP="00396235">
      <w:pPr>
        <w:tabs>
          <w:tab w:val="right" w:pos="8364"/>
        </w:tabs>
        <w:spacing w:after="0" w:line="240" w:lineRule="auto"/>
        <w:jc w:val="center"/>
        <w:rPr>
          <w:rFonts w:ascii="Arial" w:hAnsi="Arial" w:cs="Arial"/>
          <w:b/>
          <w:bCs/>
          <w:sz w:val="24"/>
          <w:lang w:val="en-GB"/>
        </w:rPr>
      </w:pPr>
    </w:p>
    <w:p w:rsidR="002F3B69" w:rsidRPr="00396235" w:rsidRDefault="002F3B69" w:rsidP="00396235">
      <w:pPr>
        <w:spacing w:after="0" w:line="480" w:lineRule="auto"/>
        <w:jc w:val="right"/>
        <w:rPr>
          <w:rFonts w:ascii="Arial" w:hAnsi="Arial" w:cs="Arial"/>
          <w:b/>
          <w:sz w:val="24"/>
          <w:szCs w:val="24"/>
        </w:rPr>
      </w:pPr>
      <w:r w:rsidRPr="00396235">
        <w:rPr>
          <w:rFonts w:ascii="Arial" w:hAnsi="Arial" w:cs="Arial"/>
          <w:b/>
          <w:sz w:val="24"/>
          <w:szCs w:val="24"/>
        </w:rPr>
        <w:t xml:space="preserve">Case no: </w:t>
      </w:r>
      <w:r w:rsidR="000B238F">
        <w:rPr>
          <w:rFonts w:ascii="Arial" w:hAnsi="Arial" w:cs="Arial"/>
          <w:b/>
          <w:sz w:val="24"/>
          <w:szCs w:val="24"/>
        </w:rPr>
        <w:t>2019/35600</w:t>
      </w:r>
    </w:p>
    <w:p w:rsidR="00E04001" w:rsidRDefault="002F4AD5" w:rsidP="00E04001">
      <w:pPr>
        <w:spacing w:line="480" w:lineRule="auto"/>
        <w:rPr>
          <w:rFonts w:ascii="Arial" w:hAnsi="Arial" w:cs="Arial"/>
          <w:sz w:val="24"/>
          <w:szCs w:val="24"/>
        </w:rPr>
      </w:pPr>
      <w:r>
        <w:rPr>
          <w:noProof/>
          <w:lang w:val="en-US"/>
        </w:rPr>
        <mc:AlternateContent>
          <mc:Choice Requires="wps">
            <w:drawing>
              <wp:anchor distT="0" distB="0" distL="114300" distR="114300" simplePos="0" relativeHeight="251659264" behindDoc="0" locked="0" layoutInCell="1" allowOverlap="1" wp14:anchorId="21212691">
                <wp:simplePos x="0" y="0"/>
                <wp:positionH relativeFrom="column">
                  <wp:posOffset>-9525</wp:posOffset>
                </wp:positionH>
                <wp:positionV relativeFrom="paragraph">
                  <wp:posOffset>45085</wp:posOffset>
                </wp:positionV>
                <wp:extent cx="3314700" cy="1562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62100"/>
                        </a:xfrm>
                        <a:prstGeom prst="rect">
                          <a:avLst/>
                        </a:prstGeom>
                        <a:solidFill>
                          <a:srgbClr val="FFFFFF"/>
                        </a:solidFill>
                        <a:ln w="9525">
                          <a:solidFill>
                            <a:srgbClr val="000000"/>
                          </a:solidFill>
                          <a:miter lim="800000"/>
                          <a:headEnd/>
                          <a:tailEnd/>
                        </a:ln>
                      </wps:spPr>
                      <wps:txbx>
                        <w:txbxContent>
                          <w:p w:rsidR="000A2A57" w:rsidRPr="00913F95" w:rsidRDefault="000A2A57" w:rsidP="00E04001">
                            <w:pPr>
                              <w:jc w:val="center"/>
                              <w:rPr>
                                <w:rFonts w:ascii="Century Gothic" w:hAnsi="Century Gothic"/>
                                <w:b/>
                                <w:sz w:val="20"/>
                                <w:szCs w:val="20"/>
                              </w:rPr>
                            </w:pPr>
                          </w:p>
                          <w:p w:rsidR="000A2A57" w:rsidRDefault="000A2A57" w:rsidP="00E04001">
                            <w:pPr>
                              <w:numPr>
                                <w:ilvl w:val="0"/>
                                <w:numId w:val="5"/>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Pr="00316F0E">
                              <w:rPr>
                                <w:rFonts w:ascii="Century Gothic" w:hAnsi="Century Gothic"/>
                                <w:strike/>
                                <w:sz w:val="20"/>
                                <w:szCs w:val="20"/>
                              </w:rPr>
                              <w:t>YES</w:t>
                            </w:r>
                            <w:r>
                              <w:rPr>
                                <w:rFonts w:ascii="Century Gothic" w:hAnsi="Century Gothic"/>
                                <w:sz w:val="20"/>
                                <w:szCs w:val="20"/>
                              </w:rPr>
                              <w:t xml:space="preserve"> / NO</w:t>
                            </w:r>
                          </w:p>
                          <w:p w:rsidR="000A2A57" w:rsidRPr="00913F95" w:rsidRDefault="000A2A57" w:rsidP="00E04001">
                            <w:pPr>
                              <w:numPr>
                                <w:ilvl w:val="0"/>
                                <w:numId w:val="5"/>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316F0E">
                              <w:rPr>
                                <w:rFonts w:ascii="Century Gothic" w:hAnsi="Century Gothic"/>
                                <w:strike/>
                                <w:sz w:val="20"/>
                                <w:szCs w:val="20"/>
                              </w:rPr>
                              <w:t>YES</w:t>
                            </w:r>
                            <w:r>
                              <w:rPr>
                                <w:rFonts w:ascii="Century Gothic" w:hAnsi="Century Gothic"/>
                                <w:sz w:val="20"/>
                                <w:szCs w:val="20"/>
                              </w:rPr>
                              <w:t>/</w:t>
                            </w:r>
                            <w:r w:rsidRPr="00913F95">
                              <w:rPr>
                                <w:rFonts w:ascii="Century Gothic" w:hAnsi="Century Gothic"/>
                                <w:sz w:val="20"/>
                                <w:szCs w:val="20"/>
                              </w:rPr>
                              <w:t>NO</w:t>
                            </w:r>
                          </w:p>
                          <w:p w:rsidR="000A2A57" w:rsidRPr="00913F95" w:rsidRDefault="000A2A57" w:rsidP="00E04001">
                            <w:pPr>
                              <w:numPr>
                                <w:ilvl w:val="0"/>
                                <w:numId w:val="5"/>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0A2A57" w:rsidRDefault="000A2A57" w:rsidP="00E04001">
                            <w:pPr>
                              <w:rPr>
                                <w:rFonts w:ascii="Century Gothic" w:hAnsi="Century Gothic"/>
                                <w:b/>
                                <w:sz w:val="18"/>
                                <w:szCs w:val="18"/>
                              </w:rPr>
                            </w:pPr>
                          </w:p>
                          <w:p w:rsidR="000A2A57" w:rsidRDefault="000A2A57" w:rsidP="00E04001">
                            <w:pPr>
                              <w:spacing w:line="240" w:lineRule="auto"/>
                              <w:rPr>
                                <w:rFonts w:ascii="Century Gothic" w:hAnsi="Century Gothic"/>
                                <w:b/>
                                <w:sz w:val="18"/>
                                <w:szCs w:val="18"/>
                              </w:rPr>
                            </w:pPr>
                            <w:r w:rsidRPr="00084341">
                              <w:rPr>
                                <w:rFonts w:ascii="Century Gothic" w:hAnsi="Century Gothic"/>
                                <w:b/>
                                <w:sz w:val="18"/>
                                <w:szCs w:val="18"/>
                              </w:rPr>
                              <w:t xml:space="preserve">         </w:t>
                            </w:r>
                            <w:r w:rsidR="0005156F">
                              <w:rPr>
                                <w:rFonts w:ascii="Century Gothic" w:hAnsi="Century Gothic"/>
                                <w:b/>
                                <w:sz w:val="18"/>
                                <w:szCs w:val="18"/>
                              </w:rPr>
                              <w:t>9</w:t>
                            </w:r>
                            <w:r w:rsidR="006436AD">
                              <w:rPr>
                                <w:rFonts w:ascii="Century Gothic" w:hAnsi="Century Gothic"/>
                                <w:b/>
                                <w:sz w:val="18"/>
                                <w:szCs w:val="18"/>
                              </w:rPr>
                              <w:t xml:space="preserve"> </w:t>
                            </w:r>
                            <w:r w:rsidR="00607CDA">
                              <w:rPr>
                                <w:rFonts w:ascii="Century Gothic" w:hAnsi="Century Gothic"/>
                                <w:b/>
                                <w:sz w:val="18"/>
                                <w:szCs w:val="18"/>
                              </w:rPr>
                              <w:t>Februar</w:t>
                            </w:r>
                            <w:r w:rsidR="000C0052">
                              <w:rPr>
                                <w:rFonts w:ascii="Century Gothic" w:hAnsi="Century Gothic"/>
                                <w:b/>
                                <w:sz w:val="18"/>
                                <w:szCs w:val="18"/>
                              </w:rPr>
                              <w:t>y 2022</w:t>
                            </w:r>
                            <w:r w:rsidRPr="00084341">
                              <w:rPr>
                                <w:rFonts w:ascii="Century Gothic" w:hAnsi="Century Gothic"/>
                                <w:b/>
                                <w:sz w:val="18"/>
                                <w:szCs w:val="18"/>
                              </w:rPr>
                              <w:tab/>
                            </w:r>
                            <w:r w:rsidRPr="00084341">
                              <w:rPr>
                                <w:rFonts w:ascii="Century Gothic" w:hAnsi="Century Gothic"/>
                                <w:b/>
                                <w:sz w:val="18"/>
                                <w:szCs w:val="18"/>
                              </w:rPr>
                              <w:tab/>
                              <w:t>………………………...</w:t>
                            </w:r>
                          </w:p>
                          <w:p w:rsidR="000A2A57" w:rsidRDefault="000A2A57" w:rsidP="00E04001">
                            <w:pPr>
                              <w:rPr>
                                <w:rFonts w:ascii="Century Gothic" w:hAnsi="Century Gothic"/>
                                <w:b/>
                                <w:sz w:val="18"/>
                                <w:szCs w:val="18"/>
                              </w:rPr>
                            </w:pPr>
                            <w:r>
                              <w:rPr>
                                <w:rFonts w:ascii="Century Gothic" w:hAnsi="Century Gothic"/>
                                <w:b/>
                                <w:sz w:val="18"/>
                                <w:szCs w:val="18"/>
                              </w:rPr>
                              <w:t xml:space="preserve">         DATE                                        SIGNATURE</w:t>
                            </w:r>
                          </w:p>
                          <w:p w:rsidR="000A2A57" w:rsidRPr="00084341" w:rsidRDefault="000A2A57" w:rsidP="00E04001">
                            <w:pPr>
                              <w:rPr>
                                <w:rFonts w:ascii="Century Gothic" w:hAnsi="Century Gothic"/>
                                <w:b/>
                                <w:sz w:val="18"/>
                                <w:szCs w:val="18"/>
                              </w:rPr>
                            </w:pPr>
                          </w:p>
                          <w:p w:rsidR="000A2A57" w:rsidRPr="00084341" w:rsidRDefault="000A2A57" w:rsidP="00E04001">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1212691" id="_x0000_t202" coordsize="21600,21600" o:spt="202" path="m,l,21600r21600,l21600,xe">
                <v:stroke joinstyle="miter"/>
                <v:path gradientshapeok="t" o:connecttype="rect"/>
              </v:shapetype>
              <v:shape id="Text Box 1" o:spid="_x0000_s1026" type="#_x0000_t202" style="position:absolute;margin-left:-.75pt;margin-top:3.55pt;width:261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">
                <v:textbox>
                  <w:txbxContent>
                    <w:p w:rsidR="000A2A57" w:rsidRPr="00913F95" w:rsidRDefault="000A2A57" w:rsidP="00E04001">
                      <w:pPr>
                        <w:jc w:val="center"/>
                        <w:rPr>
                          <w:rFonts w:ascii="Century Gothic" w:hAnsi="Century Gothic"/>
                          <w:b/>
                          <w:sz w:val="20"/>
                          <w:szCs w:val="20"/>
                        </w:rPr>
                      </w:pPr>
                    </w:p>
                    <w:p w:rsidR="000A2A57" w:rsidRDefault="000A2A57" w:rsidP="00E04001">
                      <w:pPr>
                        <w:numPr>
                          <w:ilvl w:val="0"/>
                          <w:numId w:val="5"/>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Pr="00316F0E">
                        <w:rPr>
                          <w:rFonts w:ascii="Century Gothic" w:hAnsi="Century Gothic"/>
                          <w:strike/>
                          <w:sz w:val="20"/>
                          <w:szCs w:val="20"/>
                        </w:rPr>
                        <w:t>YES</w:t>
                      </w:r>
                      <w:r>
                        <w:rPr>
                          <w:rFonts w:ascii="Century Gothic" w:hAnsi="Century Gothic"/>
                          <w:sz w:val="20"/>
                          <w:szCs w:val="20"/>
                        </w:rPr>
                        <w:t xml:space="preserve"> / NO</w:t>
                      </w:r>
                    </w:p>
                    <w:p w:rsidR="000A2A57" w:rsidRPr="00913F95" w:rsidRDefault="000A2A57" w:rsidP="00E04001">
                      <w:pPr>
                        <w:numPr>
                          <w:ilvl w:val="0"/>
                          <w:numId w:val="5"/>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316F0E">
                        <w:rPr>
                          <w:rFonts w:ascii="Century Gothic" w:hAnsi="Century Gothic"/>
                          <w:strike/>
                          <w:sz w:val="20"/>
                          <w:szCs w:val="20"/>
                        </w:rPr>
                        <w:t>YES</w:t>
                      </w:r>
                      <w:r>
                        <w:rPr>
                          <w:rFonts w:ascii="Century Gothic" w:hAnsi="Century Gothic"/>
                          <w:sz w:val="20"/>
                          <w:szCs w:val="20"/>
                        </w:rPr>
                        <w:t>/</w:t>
                      </w:r>
                      <w:r w:rsidRPr="00913F95">
                        <w:rPr>
                          <w:rFonts w:ascii="Century Gothic" w:hAnsi="Century Gothic"/>
                          <w:sz w:val="20"/>
                          <w:szCs w:val="20"/>
                        </w:rPr>
                        <w:t>NO</w:t>
                      </w:r>
                    </w:p>
                    <w:p w:rsidR="000A2A57" w:rsidRPr="00913F95" w:rsidRDefault="000A2A57" w:rsidP="00E04001">
                      <w:pPr>
                        <w:numPr>
                          <w:ilvl w:val="0"/>
                          <w:numId w:val="5"/>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0A2A57" w:rsidRDefault="000A2A57" w:rsidP="00E04001">
                      <w:pPr>
                        <w:rPr>
                          <w:rFonts w:ascii="Century Gothic" w:hAnsi="Century Gothic"/>
                          <w:b/>
                          <w:sz w:val="18"/>
                          <w:szCs w:val="18"/>
                        </w:rPr>
                      </w:pPr>
                    </w:p>
                    <w:p w:rsidR="000A2A57" w:rsidRDefault="000A2A57" w:rsidP="00E04001">
                      <w:pPr>
                        <w:spacing w:line="240" w:lineRule="auto"/>
                        <w:rPr>
                          <w:rFonts w:ascii="Century Gothic" w:hAnsi="Century Gothic"/>
                          <w:b/>
                          <w:sz w:val="18"/>
                          <w:szCs w:val="18"/>
                        </w:rPr>
                      </w:pPr>
                      <w:r w:rsidRPr="00084341">
                        <w:rPr>
                          <w:rFonts w:ascii="Century Gothic" w:hAnsi="Century Gothic"/>
                          <w:b/>
                          <w:sz w:val="18"/>
                          <w:szCs w:val="18"/>
                        </w:rPr>
                        <w:t xml:space="preserve">         </w:t>
                      </w:r>
                      <w:r w:rsidR="0005156F">
                        <w:rPr>
                          <w:rFonts w:ascii="Century Gothic" w:hAnsi="Century Gothic"/>
                          <w:b/>
                          <w:sz w:val="18"/>
                          <w:szCs w:val="18"/>
                        </w:rPr>
                        <w:t>9</w:t>
                      </w:r>
                      <w:r w:rsidR="006436AD">
                        <w:rPr>
                          <w:rFonts w:ascii="Century Gothic" w:hAnsi="Century Gothic"/>
                          <w:b/>
                          <w:sz w:val="18"/>
                          <w:szCs w:val="18"/>
                        </w:rPr>
                        <w:t xml:space="preserve"> </w:t>
                      </w:r>
                      <w:r w:rsidR="00607CDA">
                        <w:rPr>
                          <w:rFonts w:ascii="Century Gothic" w:hAnsi="Century Gothic"/>
                          <w:b/>
                          <w:sz w:val="18"/>
                          <w:szCs w:val="18"/>
                        </w:rPr>
                        <w:t>Februar</w:t>
                      </w:r>
                      <w:r w:rsidR="000C0052">
                        <w:rPr>
                          <w:rFonts w:ascii="Century Gothic" w:hAnsi="Century Gothic"/>
                          <w:b/>
                          <w:sz w:val="18"/>
                          <w:szCs w:val="18"/>
                        </w:rPr>
                        <w:t>y 2022</w:t>
                      </w:r>
                      <w:r w:rsidRPr="00084341">
                        <w:rPr>
                          <w:rFonts w:ascii="Century Gothic" w:hAnsi="Century Gothic"/>
                          <w:b/>
                          <w:sz w:val="18"/>
                          <w:szCs w:val="18"/>
                        </w:rPr>
                        <w:tab/>
                      </w:r>
                      <w:r w:rsidRPr="00084341">
                        <w:rPr>
                          <w:rFonts w:ascii="Century Gothic" w:hAnsi="Century Gothic"/>
                          <w:b/>
                          <w:sz w:val="18"/>
                          <w:szCs w:val="18"/>
                        </w:rPr>
                        <w:tab/>
                        <w:t>………………………...</w:t>
                      </w:r>
                    </w:p>
                    <w:p w:rsidR="000A2A57" w:rsidRDefault="000A2A57" w:rsidP="00E04001">
                      <w:pPr>
                        <w:rPr>
                          <w:rFonts w:ascii="Century Gothic" w:hAnsi="Century Gothic"/>
                          <w:b/>
                          <w:sz w:val="18"/>
                          <w:szCs w:val="18"/>
                        </w:rPr>
                      </w:pPr>
                      <w:r>
                        <w:rPr>
                          <w:rFonts w:ascii="Century Gothic" w:hAnsi="Century Gothic"/>
                          <w:b/>
                          <w:sz w:val="18"/>
                          <w:szCs w:val="18"/>
                        </w:rPr>
                        <w:t xml:space="preserve">         DATE                                        SIGNATURE</w:t>
                      </w:r>
                    </w:p>
                    <w:p w:rsidR="000A2A57" w:rsidRPr="00084341" w:rsidRDefault="000A2A57" w:rsidP="00E04001">
                      <w:pPr>
                        <w:rPr>
                          <w:rFonts w:ascii="Century Gothic" w:hAnsi="Century Gothic"/>
                          <w:b/>
                          <w:sz w:val="18"/>
                          <w:szCs w:val="18"/>
                        </w:rPr>
                      </w:pPr>
                    </w:p>
                    <w:p w:rsidR="000A2A57" w:rsidRPr="00084341" w:rsidRDefault="000A2A57" w:rsidP="00E04001">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E04001" w:rsidRPr="002F3B69" w:rsidRDefault="00E04001" w:rsidP="00E04001">
      <w:pPr>
        <w:spacing w:line="480" w:lineRule="auto"/>
        <w:rPr>
          <w:rFonts w:ascii="Arial" w:hAnsi="Arial" w:cs="Arial"/>
          <w:sz w:val="24"/>
          <w:szCs w:val="24"/>
        </w:rPr>
      </w:pPr>
    </w:p>
    <w:p w:rsidR="00E04001" w:rsidRDefault="00E04001" w:rsidP="002F3B69">
      <w:pPr>
        <w:spacing w:line="480" w:lineRule="auto"/>
        <w:jc w:val="both"/>
        <w:rPr>
          <w:rFonts w:ascii="Arial" w:hAnsi="Arial" w:cs="Arial"/>
          <w:sz w:val="24"/>
          <w:szCs w:val="24"/>
        </w:rPr>
      </w:pPr>
    </w:p>
    <w:p w:rsidR="00E04001" w:rsidRDefault="00E04001" w:rsidP="002F3B69">
      <w:pPr>
        <w:spacing w:line="480" w:lineRule="auto"/>
        <w:jc w:val="both"/>
        <w:rPr>
          <w:rFonts w:ascii="Arial" w:hAnsi="Arial" w:cs="Arial"/>
          <w:sz w:val="24"/>
          <w:szCs w:val="24"/>
        </w:rPr>
      </w:pPr>
    </w:p>
    <w:p w:rsidR="00316F0E" w:rsidRPr="00ED5198" w:rsidRDefault="00316F0E" w:rsidP="00316F0E">
      <w:pPr>
        <w:spacing w:line="480" w:lineRule="auto"/>
        <w:jc w:val="both"/>
        <w:rPr>
          <w:rFonts w:ascii="Arial" w:hAnsi="Arial" w:cs="Arial"/>
          <w:sz w:val="24"/>
          <w:szCs w:val="24"/>
        </w:rPr>
      </w:pPr>
      <w:r w:rsidRPr="00ED5198">
        <w:rPr>
          <w:rFonts w:ascii="Arial" w:hAnsi="Arial" w:cs="Arial"/>
          <w:sz w:val="24"/>
          <w:szCs w:val="24"/>
        </w:rPr>
        <w:t>In the matter between:</w:t>
      </w:r>
    </w:p>
    <w:p w:rsidR="00316F0E" w:rsidRDefault="000B238F" w:rsidP="00316F0E">
      <w:pPr>
        <w:spacing w:line="480" w:lineRule="auto"/>
        <w:jc w:val="both"/>
        <w:rPr>
          <w:rFonts w:ascii="Arial" w:hAnsi="Arial" w:cs="Arial"/>
          <w:sz w:val="24"/>
          <w:szCs w:val="24"/>
        </w:rPr>
      </w:pPr>
      <w:r>
        <w:rPr>
          <w:rFonts w:ascii="Arial" w:hAnsi="Arial" w:cs="Arial"/>
          <w:b/>
          <w:bCs/>
          <w:sz w:val="24"/>
          <w:szCs w:val="24"/>
        </w:rPr>
        <w:t>JOYCE KETLELE N.O.</w:t>
      </w:r>
      <w:r w:rsidR="00C577CA">
        <w:rPr>
          <w:rFonts w:ascii="Arial" w:hAnsi="Arial" w:cs="Arial"/>
          <w:b/>
          <w:bCs/>
          <w:sz w:val="24"/>
          <w:szCs w:val="24"/>
        </w:rPr>
        <w:tab/>
      </w:r>
      <w:r w:rsidR="00C577CA">
        <w:rPr>
          <w:rFonts w:ascii="Arial" w:hAnsi="Arial" w:cs="Arial"/>
          <w:b/>
          <w:bCs/>
          <w:sz w:val="24"/>
          <w:szCs w:val="24"/>
        </w:rPr>
        <w:tab/>
      </w:r>
      <w:r>
        <w:rPr>
          <w:rFonts w:ascii="Arial" w:hAnsi="Arial" w:cs="Arial"/>
          <w:b/>
          <w:bCs/>
          <w:sz w:val="24"/>
          <w:szCs w:val="24"/>
        </w:rPr>
        <w:tab/>
      </w:r>
      <w:r w:rsidR="000F54AC">
        <w:rPr>
          <w:rFonts w:ascii="Arial" w:hAnsi="Arial" w:cs="Arial"/>
          <w:b/>
          <w:bCs/>
          <w:sz w:val="24"/>
          <w:szCs w:val="24"/>
        </w:rPr>
        <w:t xml:space="preserve"> </w:t>
      </w:r>
      <w:r w:rsidR="000F54AC">
        <w:rPr>
          <w:rFonts w:ascii="Arial" w:hAnsi="Arial" w:cs="Arial"/>
          <w:b/>
          <w:bCs/>
          <w:sz w:val="24"/>
          <w:szCs w:val="24"/>
        </w:rPr>
        <w:tab/>
      </w:r>
      <w:r w:rsidR="00316F0E">
        <w:rPr>
          <w:rFonts w:ascii="Arial" w:hAnsi="Arial" w:cs="Arial"/>
          <w:sz w:val="24"/>
          <w:szCs w:val="24"/>
        </w:rPr>
        <w:tab/>
      </w:r>
      <w:r w:rsidR="00316F0E">
        <w:rPr>
          <w:rFonts w:ascii="Arial" w:hAnsi="Arial" w:cs="Arial"/>
          <w:sz w:val="24"/>
          <w:szCs w:val="24"/>
        </w:rPr>
        <w:tab/>
      </w:r>
      <w:r w:rsidR="00DD0854">
        <w:rPr>
          <w:rFonts w:ascii="Arial" w:hAnsi="Arial" w:cs="Arial"/>
          <w:sz w:val="24"/>
          <w:szCs w:val="24"/>
        </w:rPr>
        <w:t>1</w:t>
      </w:r>
      <w:r w:rsidR="00DD0854" w:rsidRPr="00DD0854">
        <w:rPr>
          <w:rFonts w:ascii="Arial" w:hAnsi="Arial" w:cs="Arial"/>
          <w:sz w:val="24"/>
          <w:szCs w:val="24"/>
          <w:vertAlign w:val="superscript"/>
        </w:rPr>
        <w:t>st</w:t>
      </w:r>
      <w:r w:rsidR="00DD0854">
        <w:rPr>
          <w:rFonts w:ascii="Arial" w:hAnsi="Arial" w:cs="Arial"/>
          <w:sz w:val="24"/>
          <w:szCs w:val="24"/>
        </w:rPr>
        <w:t xml:space="preserve"> </w:t>
      </w:r>
      <w:r w:rsidR="00316F0E" w:rsidRPr="00ED5198">
        <w:rPr>
          <w:rFonts w:ascii="Arial" w:hAnsi="Arial" w:cs="Arial"/>
          <w:sz w:val="24"/>
          <w:szCs w:val="24"/>
        </w:rPr>
        <w:t>Applicant</w:t>
      </w:r>
    </w:p>
    <w:p w:rsidR="000B238F" w:rsidRDefault="000B238F" w:rsidP="00316F0E">
      <w:pPr>
        <w:spacing w:line="480" w:lineRule="auto"/>
        <w:jc w:val="both"/>
        <w:rPr>
          <w:rFonts w:ascii="Arial" w:hAnsi="Arial" w:cs="Arial"/>
          <w:sz w:val="24"/>
          <w:szCs w:val="24"/>
        </w:rPr>
      </w:pPr>
      <w:r>
        <w:rPr>
          <w:rFonts w:ascii="Arial" w:hAnsi="Arial" w:cs="Arial"/>
          <w:sz w:val="24"/>
          <w:szCs w:val="24"/>
        </w:rPr>
        <w:t>(In her capacity as Executrix of the Estate Late</w:t>
      </w:r>
    </w:p>
    <w:p w:rsidR="000B238F" w:rsidRDefault="000B238F" w:rsidP="00316F0E">
      <w:pPr>
        <w:spacing w:line="480" w:lineRule="auto"/>
        <w:jc w:val="both"/>
        <w:rPr>
          <w:rFonts w:ascii="Arial" w:hAnsi="Arial" w:cs="Arial"/>
          <w:sz w:val="24"/>
          <w:szCs w:val="24"/>
        </w:rPr>
      </w:pPr>
      <w:r w:rsidRPr="000B238F">
        <w:rPr>
          <w:rFonts w:ascii="Arial" w:hAnsi="Arial" w:cs="Arial"/>
          <w:b/>
          <w:bCs/>
          <w:sz w:val="24"/>
          <w:szCs w:val="24"/>
        </w:rPr>
        <w:t>MALEFETSANE KETLELE</w:t>
      </w:r>
      <w:r w:rsidR="00036B9F">
        <w:rPr>
          <w:rFonts w:ascii="Arial" w:hAnsi="Arial" w:cs="Arial"/>
          <w:sz w:val="24"/>
          <w:szCs w:val="24"/>
        </w:rPr>
        <w:t>, ID NO […]</w:t>
      </w:r>
      <w:r>
        <w:rPr>
          <w:rFonts w:ascii="Arial" w:hAnsi="Arial" w:cs="Arial"/>
          <w:sz w:val="24"/>
          <w:szCs w:val="24"/>
        </w:rPr>
        <w:t>)</w:t>
      </w:r>
    </w:p>
    <w:p w:rsidR="00DD0854" w:rsidRPr="00ED5198" w:rsidRDefault="00DD0854" w:rsidP="00316F0E">
      <w:pPr>
        <w:spacing w:line="480" w:lineRule="auto"/>
        <w:jc w:val="both"/>
        <w:rPr>
          <w:rFonts w:ascii="Arial" w:hAnsi="Arial" w:cs="Arial"/>
          <w:sz w:val="24"/>
          <w:szCs w:val="24"/>
        </w:rPr>
      </w:pPr>
      <w:r w:rsidRPr="00DD0854">
        <w:rPr>
          <w:rFonts w:ascii="Arial" w:hAnsi="Arial" w:cs="Arial"/>
          <w:b/>
          <w:bCs/>
          <w:sz w:val="24"/>
          <w:szCs w:val="24"/>
        </w:rPr>
        <w:t>JOYCE KETLELE (Born RADEBE)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Pr="00DD0854">
        <w:rPr>
          <w:rFonts w:ascii="Arial" w:hAnsi="Arial" w:cs="Arial"/>
          <w:sz w:val="24"/>
          <w:szCs w:val="24"/>
          <w:vertAlign w:val="superscript"/>
        </w:rPr>
        <w:t>nd</w:t>
      </w:r>
      <w:r>
        <w:rPr>
          <w:rFonts w:ascii="Arial" w:hAnsi="Arial" w:cs="Arial"/>
          <w:sz w:val="24"/>
          <w:szCs w:val="24"/>
        </w:rPr>
        <w:t xml:space="preserve"> Applicant </w:t>
      </w:r>
    </w:p>
    <w:p w:rsidR="00316F0E" w:rsidRPr="00ED5198" w:rsidRDefault="00316F0E" w:rsidP="00316F0E">
      <w:pPr>
        <w:spacing w:line="480" w:lineRule="auto"/>
        <w:jc w:val="both"/>
        <w:rPr>
          <w:rFonts w:ascii="Arial" w:hAnsi="Arial" w:cs="Arial"/>
          <w:sz w:val="24"/>
          <w:szCs w:val="24"/>
        </w:rPr>
      </w:pPr>
      <w:r w:rsidRPr="00ED5198">
        <w:rPr>
          <w:rFonts w:ascii="Arial" w:hAnsi="Arial" w:cs="Arial"/>
          <w:sz w:val="24"/>
          <w:szCs w:val="24"/>
        </w:rPr>
        <w:t>And</w:t>
      </w:r>
    </w:p>
    <w:p w:rsidR="00316F0E" w:rsidRDefault="000B238F" w:rsidP="00316F0E">
      <w:pPr>
        <w:spacing w:line="480" w:lineRule="auto"/>
        <w:jc w:val="both"/>
        <w:rPr>
          <w:rFonts w:ascii="Arial" w:hAnsi="Arial" w:cs="Arial"/>
          <w:sz w:val="24"/>
          <w:szCs w:val="24"/>
        </w:rPr>
      </w:pPr>
      <w:r>
        <w:rPr>
          <w:rFonts w:ascii="Arial" w:hAnsi="Arial" w:cs="Arial"/>
          <w:b/>
          <w:bCs/>
          <w:sz w:val="24"/>
          <w:szCs w:val="24"/>
        </w:rPr>
        <w:lastRenderedPageBreak/>
        <w:t>AMOS KETLELE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316F0E">
        <w:rPr>
          <w:rFonts w:ascii="Arial" w:hAnsi="Arial" w:cs="Arial"/>
          <w:sz w:val="24"/>
          <w:szCs w:val="24"/>
        </w:rPr>
        <w:tab/>
      </w:r>
      <w:r w:rsidR="00316F0E">
        <w:rPr>
          <w:rFonts w:ascii="Arial" w:hAnsi="Arial" w:cs="Arial"/>
          <w:sz w:val="24"/>
          <w:szCs w:val="24"/>
        </w:rPr>
        <w:tab/>
      </w:r>
      <w:r w:rsidR="00316F0E">
        <w:rPr>
          <w:rFonts w:ascii="Arial" w:hAnsi="Arial" w:cs="Arial"/>
          <w:sz w:val="24"/>
          <w:szCs w:val="24"/>
        </w:rPr>
        <w:tab/>
      </w:r>
      <w:r w:rsidR="00316F0E">
        <w:rPr>
          <w:rFonts w:ascii="Arial" w:hAnsi="Arial" w:cs="Arial"/>
          <w:sz w:val="24"/>
          <w:szCs w:val="24"/>
        </w:rPr>
        <w:tab/>
      </w:r>
      <w:r>
        <w:rPr>
          <w:rFonts w:ascii="Arial" w:hAnsi="Arial" w:cs="Arial"/>
          <w:sz w:val="24"/>
          <w:szCs w:val="24"/>
        </w:rPr>
        <w:t>1</w:t>
      </w:r>
      <w:r w:rsidRPr="000B238F">
        <w:rPr>
          <w:rFonts w:ascii="Arial" w:hAnsi="Arial" w:cs="Arial"/>
          <w:sz w:val="24"/>
          <w:szCs w:val="24"/>
          <w:vertAlign w:val="superscript"/>
        </w:rPr>
        <w:t>st</w:t>
      </w:r>
      <w:r>
        <w:rPr>
          <w:rFonts w:ascii="Arial" w:hAnsi="Arial" w:cs="Arial"/>
          <w:sz w:val="24"/>
          <w:szCs w:val="24"/>
        </w:rPr>
        <w:t xml:space="preserve"> </w:t>
      </w:r>
      <w:r w:rsidR="00316F0E" w:rsidRPr="00ED5198">
        <w:rPr>
          <w:rFonts w:ascii="Arial" w:hAnsi="Arial" w:cs="Arial"/>
          <w:sz w:val="24"/>
          <w:szCs w:val="24"/>
        </w:rPr>
        <w:t>Respondent</w:t>
      </w:r>
    </w:p>
    <w:p w:rsidR="000B238F" w:rsidRDefault="000B238F" w:rsidP="00316F0E">
      <w:pPr>
        <w:spacing w:line="480" w:lineRule="auto"/>
        <w:jc w:val="both"/>
        <w:rPr>
          <w:rFonts w:ascii="Arial" w:hAnsi="Arial" w:cs="Arial"/>
          <w:sz w:val="24"/>
          <w:szCs w:val="24"/>
        </w:rPr>
      </w:pPr>
      <w:r w:rsidRPr="000B238F">
        <w:rPr>
          <w:rFonts w:ascii="Arial" w:hAnsi="Arial" w:cs="Arial"/>
          <w:b/>
          <w:bCs/>
          <w:sz w:val="24"/>
          <w:szCs w:val="24"/>
        </w:rPr>
        <w:t>THE DIRECTOR GENERAL OF THE DEPARTMENT</w:t>
      </w:r>
      <w:r>
        <w:rPr>
          <w:rFonts w:ascii="Arial" w:hAnsi="Arial" w:cs="Arial"/>
          <w:sz w:val="24"/>
          <w:szCs w:val="24"/>
        </w:rPr>
        <w:tab/>
      </w:r>
      <w:r>
        <w:rPr>
          <w:rFonts w:ascii="Arial" w:hAnsi="Arial" w:cs="Arial"/>
          <w:sz w:val="24"/>
          <w:szCs w:val="24"/>
        </w:rPr>
        <w:tab/>
        <w:t>2</w:t>
      </w:r>
      <w:r w:rsidRPr="000B238F">
        <w:rPr>
          <w:rFonts w:ascii="Arial" w:hAnsi="Arial" w:cs="Arial"/>
          <w:sz w:val="24"/>
          <w:szCs w:val="24"/>
          <w:vertAlign w:val="superscript"/>
        </w:rPr>
        <w:t>nd</w:t>
      </w:r>
      <w:r>
        <w:rPr>
          <w:rFonts w:ascii="Arial" w:hAnsi="Arial" w:cs="Arial"/>
          <w:sz w:val="24"/>
          <w:szCs w:val="24"/>
        </w:rPr>
        <w:t xml:space="preserve"> Respondent</w:t>
      </w:r>
    </w:p>
    <w:p w:rsidR="000B238F" w:rsidRPr="000B238F" w:rsidRDefault="000B238F" w:rsidP="00316F0E">
      <w:pPr>
        <w:spacing w:line="480" w:lineRule="auto"/>
        <w:jc w:val="both"/>
        <w:rPr>
          <w:rFonts w:ascii="Arial" w:hAnsi="Arial" w:cs="Arial"/>
          <w:b/>
          <w:bCs/>
          <w:sz w:val="24"/>
          <w:szCs w:val="24"/>
        </w:rPr>
      </w:pPr>
      <w:r w:rsidRPr="000B238F">
        <w:rPr>
          <w:rFonts w:ascii="Arial" w:hAnsi="Arial" w:cs="Arial"/>
          <w:b/>
          <w:bCs/>
          <w:sz w:val="24"/>
          <w:szCs w:val="24"/>
        </w:rPr>
        <w:t>OF HOUSING, GAUTENG PROVINCE</w:t>
      </w:r>
    </w:p>
    <w:p w:rsidR="000B238F" w:rsidRDefault="000B238F" w:rsidP="00316F0E">
      <w:pPr>
        <w:spacing w:line="480" w:lineRule="auto"/>
        <w:jc w:val="both"/>
        <w:rPr>
          <w:rFonts w:ascii="Arial" w:hAnsi="Arial" w:cs="Arial"/>
          <w:sz w:val="24"/>
          <w:szCs w:val="24"/>
        </w:rPr>
      </w:pPr>
      <w:r w:rsidRPr="000B238F">
        <w:rPr>
          <w:rFonts w:ascii="Arial" w:hAnsi="Arial" w:cs="Arial"/>
          <w:b/>
          <w:bCs/>
          <w:sz w:val="24"/>
          <w:szCs w:val="24"/>
        </w:rPr>
        <w:t>REGISTRAR OF DEEDS, JOHANNESBURG</w:t>
      </w:r>
      <w:r>
        <w:rPr>
          <w:rFonts w:ascii="Arial" w:hAnsi="Arial" w:cs="Arial"/>
          <w:sz w:val="24"/>
          <w:szCs w:val="24"/>
        </w:rPr>
        <w:tab/>
      </w:r>
      <w:r>
        <w:rPr>
          <w:rFonts w:ascii="Arial" w:hAnsi="Arial" w:cs="Arial"/>
          <w:sz w:val="24"/>
          <w:szCs w:val="24"/>
        </w:rPr>
        <w:tab/>
      </w:r>
      <w:r>
        <w:rPr>
          <w:rFonts w:ascii="Arial" w:hAnsi="Arial" w:cs="Arial"/>
          <w:sz w:val="24"/>
          <w:szCs w:val="24"/>
        </w:rPr>
        <w:tab/>
        <w:t>3</w:t>
      </w:r>
      <w:r w:rsidRPr="000B238F">
        <w:rPr>
          <w:rFonts w:ascii="Arial" w:hAnsi="Arial" w:cs="Arial"/>
          <w:sz w:val="24"/>
          <w:szCs w:val="24"/>
          <w:vertAlign w:val="superscript"/>
        </w:rPr>
        <w:t>rd</w:t>
      </w:r>
      <w:r>
        <w:rPr>
          <w:rFonts w:ascii="Arial" w:hAnsi="Arial" w:cs="Arial"/>
          <w:sz w:val="24"/>
          <w:szCs w:val="24"/>
        </w:rPr>
        <w:t xml:space="preserve"> Respondent</w:t>
      </w:r>
    </w:p>
    <w:p w:rsidR="00C93716" w:rsidRPr="00C93716" w:rsidRDefault="00C93716" w:rsidP="00C93716">
      <w:pPr>
        <w:pStyle w:val="ListParagraph"/>
        <w:spacing w:after="200" w:line="480" w:lineRule="auto"/>
        <w:ind w:left="0"/>
        <w:jc w:val="both"/>
        <w:rPr>
          <w:rFonts w:ascii="Arial" w:hAnsi="Arial" w:cs="Arial"/>
          <w:b/>
          <w:i/>
          <w:iCs/>
          <w:sz w:val="24"/>
          <w:szCs w:val="24"/>
        </w:rPr>
      </w:pPr>
      <w:proofErr w:type="gramStart"/>
      <w:r w:rsidRPr="00C93716">
        <w:rPr>
          <w:rFonts w:ascii="Arial" w:eastAsia="Arial Unicode MS" w:hAnsi="Arial" w:cs="Arial"/>
          <w:bCs/>
          <w:sz w:val="24"/>
          <w:szCs w:val="24"/>
        </w:rPr>
        <w:t xml:space="preserve">Delivered:  This judgement was prepared and authored by the Judge whose name is reflected </w:t>
      </w:r>
      <w:r>
        <w:rPr>
          <w:rFonts w:ascii="Arial" w:eastAsia="Arial Unicode MS" w:hAnsi="Arial" w:cs="Arial"/>
          <w:bCs/>
          <w:sz w:val="24"/>
          <w:szCs w:val="24"/>
        </w:rPr>
        <w:t xml:space="preserve">herein </w:t>
      </w:r>
      <w:r w:rsidRPr="00C93716">
        <w:rPr>
          <w:rFonts w:ascii="Arial" w:eastAsia="Arial Unicode MS" w:hAnsi="Arial" w:cs="Arial"/>
          <w:bCs/>
          <w:sz w:val="24"/>
          <w:szCs w:val="24"/>
        </w:rPr>
        <w:t xml:space="preserve">and is handed down electronically by circulation to the Parties/their legal representatives by email and by uploading it to the electronic file of this matter on </w:t>
      </w:r>
      <w:proofErr w:type="spellStart"/>
      <w:r w:rsidRPr="00C93716">
        <w:rPr>
          <w:rFonts w:ascii="Arial" w:eastAsia="Arial Unicode MS" w:hAnsi="Arial" w:cs="Arial"/>
          <w:bCs/>
          <w:sz w:val="24"/>
          <w:szCs w:val="24"/>
        </w:rPr>
        <w:t>CaseLines</w:t>
      </w:r>
      <w:proofErr w:type="spellEnd"/>
      <w:r w:rsidRPr="00C93716">
        <w:rPr>
          <w:rFonts w:ascii="Arial" w:eastAsia="Arial Unicode MS" w:hAnsi="Arial" w:cs="Arial"/>
          <w:bCs/>
          <w:sz w:val="24"/>
          <w:szCs w:val="24"/>
        </w:rPr>
        <w:t>.</w:t>
      </w:r>
      <w:proofErr w:type="gramEnd"/>
      <w:r w:rsidRPr="00C93716">
        <w:rPr>
          <w:rFonts w:ascii="Arial" w:eastAsia="Arial Unicode MS" w:hAnsi="Arial" w:cs="Arial"/>
          <w:bCs/>
          <w:sz w:val="24"/>
          <w:szCs w:val="24"/>
        </w:rPr>
        <w:t xml:space="preserve">  The date for hand-down is deemed to be </w:t>
      </w:r>
      <w:r w:rsidR="0005156F">
        <w:rPr>
          <w:rFonts w:ascii="Arial" w:eastAsia="Arial Unicode MS" w:hAnsi="Arial" w:cs="Arial"/>
          <w:bCs/>
          <w:sz w:val="24"/>
          <w:szCs w:val="24"/>
        </w:rPr>
        <w:t>9</w:t>
      </w:r>
      <w:r w:rsidR="00014624">
        <w:rPr>
          <w:rFonts w:ascii="Arial" w:eastAsia="Arial Unicode MS" w:hAnsi="Arial" w:cs="Arial"/>
          <w:bCs/>
          <w:sz w:val="24"/>
          <w:szCs w:val="24"/>
        </w:rPr>
        <w:t xml:space="preserve"> </w:t>
      </w:r>
      <w:r w:rsidR="00607CDA">
        <w:rPr>
          <w:rFonts w:ascii="Arial" w:eastAsia="Arial Unicode MS" w:hAnsi="Arial" w:cs="Arial"/>
          <w:bCs/>
          <w:sz w:val="24"/>
          <w:szCs w:val="24"/>
        </w:rPr>
        <w:t>February</w:t>
      </w:r>
      <w:r w:rsidR="000C0052">
        <w:rPr>
          <w:rFonts w:ascii="Arial" w:eastAsia="Arial Unicode MS" w:hAnsi="Arial" w:cs="Arial"/>
          <w:bCs/>
          <w:sz w:val="24"/>
          <w:szCs w:val="24"/>
        </w:rPr>
        <w:t xml:space="preserve"> 2022</w:t>
      </w:r>
      <w:r w:rsidRPr="00C93716">
        <w:rPr>
          <w:rFonts w:ascii="Arial" w:eastAsia="Arial Unicode MS" w:hAnsi="Arial" w:cs="Arial"/>
          <w:bCs/>
          <w:sz w:val="24"/>
          <w:szCs w:val="24"/>
        </w:rPr>
        <w:t>.</w:t>
      </w:r>
    </w:p>
    <w:p w:rsidR="004C5AE8" w:rsidRDefault="004C5AE8" w:rsidP="004C5AE8">
      <w:pPr>
        <w:pBdr>
          <w:top w:val="single" w:sz="12" w:space="1" w:color="auto"/>
          <w:bottom w:val="single" w:sz="12" w:space="1" w:color="auto"/>
        </w:pBdr>
        <w:spacing w:after="0" w:line="240" w:lineRule="auto"/>
        <w:jc w:val="center"/>
        <w:rPr>
          <w:rFonts w:ascii="Arial" w:hAnsi="Arial" w:cs="Arial"/>
          <w:b/>
          <w:bCs/>
          <w:sz w:val="24"/>
          <w:szCs w:val="24"/>
        </w:rPr>
      </w:pPr>
    </w:p>
    <w:p w:rsidR="00316F0E" w:rsidRDefault="00316F0E" w:rsidP="004C5AE8">
      <w:pPr>
        <w:pBdr>
          <w:top w:val="single" w:sz="12" w:space="1" w:color="auto"/>
          <w:bottom w:val="single" w:sz="12" w:space="1" w:color="auto"/>
        </w:pBdr>
        <w:spacing w:after="0" w:line="240" w:lineRule="auto"/>
        <w:jc w:val="center"/>
        <w:rPr>
          <w:rFonts w:ascii="Arial" w:hAnsi="Arial" w:cs="Arial"/>
          <w:b/>
          <w:bCs/>
          <w:sz w:val="24"/>
          <w:szCs w:val="24"/>
        </w:rPr>
      </w:pPr>
      <w:r w:rsidRPr="00ED5198">
        <w:rPr>
          <w:rFonts w:ascii="Arial" w:hAnsi="Arial" w:cs="Arial"/>
          <w:b/>
          <w:bCs/>
          <w:sz w:val="24"/>
          <w:szCs w:val="24"/>
        </w:rPr>
        <w:t>JUDGMENT</w:t>
      </w:r>
    </w:p>
    <w:p w:rsidR="004C5AE8" w:rsidRPr="00ED5198" w:rsidRDefault="004C5AE8" w:rsidP="004C5AE8">
      <w:pPr>
        <w:pBdr>
          <w:top w:val="single" w:sz="12" w:space="1" w:color="auto"/>
          <w:bottom w:val="single" w:sz="12" w:space="1" w:color="auto"/>
        </w:pBdr>
        <w:spacing w:after="0" w:line="360" w:lineRule="auto"/>
        <w:jc w:val="center"/>
        <w:rPr>
          <w:rFonts w:ascii="Arial" w:hAnsi="Arial" w:cs="Arial"/>
          <w:b/>
          <w:bCs/>
          <w:sz w:val="24"/>
          <w:szCs w:val="24"/>
        </w:rPr>
      </w:pPr>
    </w:p>
    <w:p w:rsidR="004C5AE8" w:rsidRDefault="004C5AE8" w:rsidP="004C5AE8">
      <w:pPr>
        <w:spacing w:after="0" w:line="480" w:lineRule="auto"/>
        <w:jc w:val="both"/>
        <w:rPr>
          <w:rFonts w:ascii="Arial" w:hAnsi="Arial" w:cs="Arial"/>
          <w:sz w:val="24"/>
          <w:szCs w:val="24"/>
        </w:rPr>
      </w:pPr>
    </w:p>
    <w:p w:rsidR="004C5AE8" w:rsidRPr="004C5AE8" w:rsidRDefault="004C5AE8" w:rsidP="004C5AE8">
      <w:pPr>
        <w:spacing w:after="0" w:line="480" w:lineRule="auto"/>
        <w:jc w:val="both"/>
        <w:rPr>
          <w:rFonts w:ascii="Arial" w:hAnsi="Arial" w:cs="Arial"/>
          <w:b/>
          <w:sz w:val="24"/>
          <w:szCs w:val="24"/>
          <w:u w:val="single"/>
        </w:rPr>
      </w:pPr>
      <w:r>
        <w:rPr>
          <w:rFonts w:ascii="Arial" w:hAnsi="Arial" w:cs="Arial"/>
          <w:b/>
          <w:sz w:val="24"/>
          <w:szCs w:val="24"/>
          <w:u w:val="single"/>
        </w:rPr>
        <w:t>BEZUIDENHOUT AJ:</w:t>
      </w:r>
    </w:p>
    <w:p w:rsidR="004C5AE8" w:rsidRPr="004C5AE8" w:rsidRDefault="004C5AE8" w:rsidP="004C5AE8">
      <w:pPr>
        <w:spacing w:after="0" w:line="480" w:lineRule="auto"/>
        <w:jc w:val="both"/>
        <w:rPr>
          <w:rFonts w:ascii="Arial" w:hAnsi="Arial" w:cs="Arial"/>
          <w:sz w:val="24"/>
          <w:szCs w:val="24"/>
        </w:rPr>
      </w:pPr>
    </w:p>
    <w:p w:rsidR="005D324F" w:rsidRDefault="00F03D4D" w:rsidP="00BA1CB8">
      <w:pPr>
        <w:spacing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w:t>
      </w:r>
      <w:r w:rsidR="005712EC">
        <w:rPr>
          <w:rFonts w:ascii="Arial" w:hAnsi="Arial" w:cs="Arial"/>
          <w:sz w:val="24"/>
          <w:szCs w:val="24"/>
        </w:rPr>
        <w:t>1</w:t>
      </w:r>
      <w:r w:rsidR="005712EC" w:rsidRPr="005712EC">
        <w:rPr>
          <w:rFonts w:ascii="Arial" w:hAnsi="Arial" w:cs="Arial"/>
          <w:sz w:val="24"/>
          <w:szCs w:val="24"/>
          <w:vertAlign w:val="superscript"/>
        </w:rPr>
        <w:t>st</w:t>
      </w:r>
      <w:r w:rsidR="005712EC">
        <w:rPr>
          <w:rFonts w:ascii="Arial" w:hAnsi="Arial" w:cs="Arial"/>
          <w:sz w:val="24"/>
          <w:szCs w:val="24"/>
        </w:rPr>
        <w:t xml:space="preserve"> and 2</w:t>
      </w:r>
      <w:r w:rsidR="005712EC" w:rsidRPr="005712EC">
        <w:rPr>
          <w:rFonts w:ascii="Arial" w:hAnsi="Arial" w:cs="Arial"/>
          <w:sz w:val="24"/>
          <w:szCs w:val="24"/>
          <w:vertAlign w:val="superscript"/>
        </w:rPr>
        <w:t>nd</w:t>
      </w:r>
      <w:r w:rsidR="005712EC">
        <w:rPr>
          <w:rFonts w:ascii="Arial" w:hAnsi="Arial" w:cs="Arial"/>
          <w:sz w:val="24"/>
          <w:szCs w:val="24"/>
        </w:rPr>
        <w:t xml:space="preserve"> </w:t>
      </w:r>
      <w:r>
        <w:rPr>
          <w:rFonts w:ascii="Arial" w:hAnsi="Arial" w:cs="Arial"/>
          <w:sz w:val="24"/>
          <w:szCs w:val="24"/>
        </w:rPr>
        <w:t>applicant</w:t>
      </w:r>
      <w:r w:rsidR="005712EC">
        <w:rPr>
          <w:rFonts w:ascii="Arial" w:hAnsi="Arial" w:cs="Arial"/>
          <w:sz w:val="24"/>
          <w:szCs w:val="24"/>
        </w:rPr>
        <w:t>s</w:t>
      </w:r>
      <w:r>
        <w:rPr>
          <w:rFonts w:ascii="Arial" w:hAnsi="Arial" w:cs="Arial"/>
          <w:sz w:val="24"/>
          <w:szCs w:val="24"/>
        </w:rPr>
        <w:t xml:space="preserve"> </w:t>
      </w:r>
      <w:r w:rsidR="005712EC">
        <w:rPr>
          <w:rFonts w:ascii="Arial" w:hAnsi="Arial" w:cs="Arial"/>
          <w:sz w:val="24"/>
          <w:szCs w:val="24"/>
        </w:rPr>
        <w:t>lodged the current application wherein they seek</w:t>
      </w:r>
      <w:r w:rsidR="0076483E">
        <w:rPr>
          <w:rFonts w:ascii="Arial" w:hAnsi="Arial" w:cs="Arial"/>
          <w:sz w:val="24"/>
          <w:szCs w:val="24"/>
        </w:rPr>
        <w:t xml:space="preserve"> to review a judgment </w:t>
      </w:r>
      <w:r w:rsidR="005712EC">
        <w:rPr>
          <w:rFonts w:ascii="Arial" w:hAnsi="Arial" w:cs="Arial"/>
          <w:sz w:val="24"/>
          <w:szCs w:val="24"/>
        </w:rPr>
        <w:t>issued</w:t>
      </w:r>
      <w:r w:rsidR="0076483E">
        <w:rPr>
          <w:rFonts w:ascii="Arial" w:hAnsi="Arial" w:cs="Arial"/>
          <w:sz w:val="24"/>
          <w:szCs w:val="24"/>
        </w:rPr>
        <w:t xml:space="preserve"> by the housing appeal panel in 2003, in which </w:t>
      </w:r>
      <w:r w:rsidR="005712EC">
        <w:rPr>
          <w:rFonts w:ascii="Arial" w:hAnsi="Arial" w:cs="Arial"/>
          <w:sz w:val="24"/>
          <w:szCs w:val="24"/>
        </w:rPr>
        <w:t xml:space="preserve">the appeal panel </w:t>
      </w:r>
      <w:r w:rsidR="0076483E">
        <w:rPr>
          <w:rFonts w:ascii="Arial" w:hAnsi="Arial" w:cs="Arial"/>
          <w:sz w:val="24"/>
          <w:szCs w:val="24"/>
        </w:rPr>
        <w:t xml:space="preserve">confirmed the ruling made by the housing bureau to award </w:t>
      </w:r>
      <w:r w:rsidR="00E56B05">
        <w:rPr>
          <w:rFonts w:ascii="Arial" w:hAnsi="Arial" w:cs="Arial"/>
          <w:sz w:val="24"/>
          <w:szCs w:val="24"/>
        </w:rPr>
        <w:t xml:space="preserve">no </w:t>
      </w:r>
      <w:r w:rsidR="00036B9F">
        <w:rPr>
          <w:rFonts w:ascii="Arial" w:hAnsi="Arial" w:cs="Arial"/>
          <w:sz w:val="24"/>
          <w:szCs w:val="24"/>
        </w:rPr>
        <w:t>[…]</w:t>
      </w:r>
      <w:r w:rsidR="00E56B05">
        <w:rPr>
          <w:rFonts w:ascii="Arial" w:hAnsi="Arial" w:cs="Arial"/>
          <w:sz w:val="24"/>
          <w:szCs w:val="24"/>
        </w:rPr>
        <w:t>, Soweto, Gauteng (the immovable property)</w:t>
      </w:r>
      <w:r w:rsidR="0076483E">
        <w:rPr>
          <w:rFonts w:ascii="Arial" w:hAnsi="Arial" w:cs="Arial"/>
          <w:sz w:val="24"/>
          <w:szCs w:val="24"/>
        </w:rPr>
        <w:t xml:space="preserve"> to the </w:t>
      </w:r>
      <w:r w:rsidR="00B913A0">
        <w:rPr>
          <w:rFonts w:ascii="Arial" w:hAnsi="Arial" w:cs="Arial"/>
          <w:sz w:val="24"/>
          <w:szCs w:val="24"/>
        </w:rPr>
        <w:t>1</w:t>
      </w:r>
      <w:r w:rsidR="00B913A0" w:rsidRPr="00B913A0">
        <w:rPr>
          <w:rFonts w:ascii="Arial" w:hAnsi="Arial" w:cs="Arial"/>
          <w:sz w:val="24"/>
          <w:szCs w:val="24"/>
          <w:vertAlign w:val="superscript"/>
        </w:rPr>
        <w:t>st</w:t>
      </w:r>
      <w:r w:rsidR="00B913A0">
        <w:rPr>
          <w:rFonts w:ascii="Arial" w:hAnsi="Arial" w:cs="Arial"/>
          <w:sz w:val="24"/>
          <w:szCs w:val="24"/>
        </w:rPr>
        <w:t xml:space="preserve"> </w:t>
      </w:r>
      <w:r w:rsidR="0076483E">
        <w:rPr>
          <w:rFonts w:ascii="Arial" w:hAnsi="Arial" w:cs="Arial"/>
          <w:sz w:val="24"/>
          <w:szCs w:val="24"/>
        </w:rPr>
        <w:t>respondent.</w:t>
      </w:r>
    </w:p>
    <w:p w:rsidR="000C0052" w:rsidRDefault="000C0052" w:rsidP="00F03D4D">
      <w:pPr>
        <w:spacing w:line="480" w:lineRule="auto"/>
        <w:jc w:val="both"/>
        <w:rPr>
          <w:rFonts w:ascii="Arial" w:hAnsi="Arial" w:cs="Arial"/>
          <w:sz w:val="24"/>
          <w:szCs w:val="24"/>
        </w:rPr>
      </w:pPr>
    </w:p>
    <w:p w:rsidR="005D324F" w:rsidRDefault="00E56B05" w:rsidP="00BA1CB8">
      <w:pPr>
        <w:spacing w:line="480" w:lineRule="auto"/>
        <w:ind w:left="720" w:hanging="720"/>
        <w:jc w:val="both"/>
        <w:rPr>
          <w:rFonts w:ascii="Arial" w:hAnsi="Arial" w:cs="Arial"/>
          <w:sz w:val="24"/>
          <w:szCs w:val="24"/>
        </w:rPr>
      </w:pPr>
      <w:r>
        <w:rPr>
          <w:rFonts w:ascii="Arial" w:hAnsi="Arial" w:cs="Arial"/>
          <w:sz w:val="24"/>
          <w:szCs w:val="24"/>
        </w:rPr>
        <w:t>[</w:t>
      </w:r>
      <w:r w:rsidR="00E304DA">
        <w:rPr>
          <w:rFonts w:ascii="Arial" w:hAnsi="Arial" w:cs="Arial"/>
          <w:sz w:val="24"/>
          <w:szCs w:val="24"/>
        </w:rPr>
        <w:t>2</w:t>
      </w:r>
      <w:r>
        <w:rPr>
          <w:rFonts w:ascii="Arial" w:hAnsi="Arial" w:cs="Arial"/>
          <w:sz w:val="24"/>
          <w:szCs w:val="24"/>
        </w:rPr>
        <w:t>]</w:t>
      </w:r>
      <w:r>
        <w:rPr>
          <w:rFonts w:ascii="Arial" w:hAnsi="Arial" w:cs="Arial"/>
          <w:sz w:val="24"/>
          <w:szCs w:val="24"/>
        </w:rPr>
        <w:tab/>
      </w:r>
      <w:r w:rsidR="00F03D4D">
        <w:rPr>
          <w:rFonts w:ascii="Arial" w:hAnsi="Arial" w:cs="Arial"/>
          <w:sz w:val="24"/>
          <w:szCs w:val="24"/>
        </w:rPr>
        <w:t xml:space="preserve">The applicants furthermore want the immovable property to be retransferred into the </w:t>
      </w:r>
      <w:r w:rsidR="00D84C9F">
        <w:rPr>
          <w:rFonts w:ascii="Arial" w:hAnsi="Arial" w:cs="Arial"/>
          <w:sz w:val="24"/>
          <w:szCs w:val="24"/>
        </w:rPr>
        <w:t>previous owner’s name</w:t>
      </w:r>
      <w:r w:rsidR="00F03D4D">
        <w:rPr>
          <w:rFonts w:ascii="Arial" w:hAnsi="Arial" w:cs="Arial"/>
          <w:sz w:val="24"/>
          <w:szCs w:val="24"/>
        </w:rPr>
        <w:t xml:space="preserve"> </w:t>
      </w:r>
      <w:r w:rsidR="00185BF7">
        <w:rPr>
          <w:rFonts w:ascii="Arial" w:hAnsi="Arial" w:cs="Arial"/>
          <w:sz w:val="24"/>
          <w:szCs w:val="24"/>
        </w:rPr>
        <w:t xml:space="preserve">(The City Council) </w:t>
      </w:r>
      <w:r w:rsidR="00F03D4D">
        <w:rPr>
          <w:rFonts w:ascii="Arial" w:hAnsi="Arial" w:cs="Arial"/>
          <w:sz w:val="24"/>
          <w:szCs w:val="24"/>
        </w:rPr>
        <w:t xml:space="preserve">and seek costs against any respondent who opposes the relief sought. </w:t>
      </w:r>
    </w:p>
    <w:p w:rsidR="005D324F" w:rsidRDefault="005D324F" w:rsidP="00F03D4D">
      <w:pPr>
        <w:spacing w:line="480" w:lineRule="auto"/>
        <w:jc w:val="both"/>
        <w:rPr>
          <w:rFonts w:ascii="Arial" w:hAnsi="Arial" w:cs="Arial"/>
          <w:sz w:val="24"/>
          <w:szCs w:val="24"/>
        </w:rPr>
      </w:pPr>
    </w:p>
    <w:p w:rsidR="00F03D4D" w:rsidRDefault="00E56B05" w:rsidP="00BA1CB8">
      <w:pPr>
        <w:spacing w:line="480" w:lineRule="auto"/>
        <w:ind w:left="720" w:hanging="720"/>
        <w:jc w:val="both"/>
        <w:rPr>
          <w:rFonts w:ascii="Arial" w:hAnsi="Arial" w:cs="Arial"/>
          <w:sz w:val="24"/>
          <w:szCs w:val="24"/>
        </w:rPr>
      </w:pPr>
      <w:r>
        <w:rPr>
          <w:rFonts w:ascii="Arial" w:hAnsi="Arial" w:cs="Arial"/>
          <w:sz w:val="24"/>
          <w:szCs w:val="24"/>
        </w:rPr>
        <w:lastRenderedPageBreak/>
        <w:t>[</w:t>
      </w:r>
      <w:r w:rsidR="00E304DA">
        <w:rPr>
          <w:rFonts w:ascii="Arial" w:hAnsi="Arial" w:cs="Arial"/>
          <w:sz w:val="24"/>
          <w:szCs w:val="24"/>
        </w:rPr>
        <w:t>3</w:t>
      </w:r>
      <w:r>
        <w:rPr>
          <w:rFonts w:ascii="Arial" w:hAnsi="Arial" w:cs="Arial"/>
          <w:sz w:val="24"/>
          <w:szCs w:val="24"/>
        </w:rPr>
        <w:t>]</w:t>
      </w:r>
      <w:r>
        <w:rPr>
          <w:rFonts w:ascii="Arial" w:hAnsi="Arial" w:cs="Arial"/>
          <w:sz w:val="24"/>
          <w:szCs w:val="24"/>
        </w:rPr>
        <w:tab/>
      </w:r>
      <w:r w:rsidR="00F03D4D">
        <w:rPr>
          <w:rFonts w:ascii="Arial" w:hAnsi="Arial" w:cs="Arial"/>
          <w:sz w:val="24"/>
          <w:szCs w:val="24"/>
        </w:rPr>
        <w:t xml:space="preserve">The review application was lodged late, and the applicants seek </w:t>
      </w:r>
      <w:proofErr w:type="spellStart"/>
      <w:r w:rsidR="00F03D4D">
        <w:rPr>
          <w:rFonts w:ascii="Arial" w:hAnsi="Arial" w:cs="Arial"/>
          <w:sz w:val="24"/>
          <w:szCs w:val="24"/>
        </w:rPr>
        <w:t>condonation</w:t>
      </w:r>
      <w:proofErr w:type="spellEnd"/>
      <w:r w:rsidR="00F03D4D">
        <w:rPr>
          <w:rFonts w:ascii="Arial" w:hAnsi="Arial" w:cs="Arial"/>
          <w:sz w:val="24"/>
          <w:szCs w:val="24"/>
        </w:rPr>
        <w:t xml:space="preserve"> for the late filing of the review application.</w:t>
      </w:r>
    </w:p>
    <w:p w:rsidR="005E4ABD" w:rsidRPr="00CD5141" w:rsidRDefault="00552B40" w:rsidP="004C5AE8">
      <w:pPr>
        <w:spacing w:line="480" w:lineRule="auto"/>
        <w:jc w:val="both"/>
        <w:rPr>
          <w:rFonts w:ascii="Arial" w:hAnsi="Arial" w:cs="Arial"/>
          <w:b/>
          <w:bCs/>
          <w:sz w:val="24"/>
          <w:szCs w:val="24"/>
        </w:rPr>
      </w:pPr>
      <w:r>
        <w:rPr>
          <w:rFonts w:ascii="Arial" w:hAnsi="Arial" w:cs="Arial"/>
          <w:b/>
          <w:bCs/>
          <w:sz w:val="24"/>
          <w:szCs w:val="24"/>
        </w:rPr>
        <w:t>HISTORY</w:t>
      </w:r>
    </w:p>
    <w:p w:rsidR="00EA3E7E" w:rsidRDefault="00463820" w:rsidP="00BA1CB8">
      <w:pPr>
        <w:spacing w:line="480" w:lineRule="auto"/>
        <w:ind w:left="720" w:hanging="720"/>
        <w:jc w:val="both"/>
        <w:rPr>
          <w:rFonts w:ascii="Arial" w:hAnsi="Arial" w:cs="Arial"/>
          <w:sz w:val="24"/>
          <w:szCs w:val="24"/>
        </w:rPr>
      </w:pPr>
      <w:r>
        <w:rPr>
          <w:rFonts w:ascii="Arial" w:hAnsi="Arial" w:cs="Arial"/>
          <w:sz w:val="24"/>
          <w:szCs w:val="24"/>
        </w:rPr>
        <w:t>[</w:t>
      </w:r>
      <w:r w:rsidR="00E304DA">
        <w:rPr>
          <w:rFonts w:ascii="Arial" w:hAnsi="Arial" w:cs="Arial"/>
          <w:sz w:val="24"/>
          <w:szCs w:val="24"/>
        </w:rPr>
        <w:t>4</w:t>
      </w:r>
      <w:r>
        <w:rPr>
          <w:rFonts w:ascii="Arial" w:hAnsi="Arial" w:cs="Arial"/>
          <w:sz w:val="24"/>
          <w:szCs w:val="24"/>
        </w:rPr>
        <w:t>]</w:t>
      </w:r>
      <w:r>
        <w:rPr>
          <w:rFonts w:ascii="Arial" w:hAnsi="Arial" w:cs="Arial"/>
          <w:sz w:val="24"/>
          <w:szCs w:val="24"/>
        </w:rPr>
        <w:tab/>
      </w:r>
      <w:r w:rsidR="00E872B7">
        <w:rPr>
          <w:rFonts w:ascii="Arial" w:hAnsi="Arial" w:cs="Arial"/>
          <w:sz w:val="24"/>
          <w:szCs w:val="24"/>
        </w:rPr>
        <w:t xml:space="preserve">Mr NS and </w:t>
      </w:r>
      <w:r w:rsidR="00A113A4">
        <w:rPr>
          <w:rFonts w:ascii="Arial" w:hAnsi="Arial" w:cs="Arial"/>
          <w:sz w:val="24"/>
          <w:szCs w:val="24"/>
        </w:rPr>
        <w:t xml:space="preserve">Mrs EM </w:t>
      </w:r>
      <w:proofErr w:type="spellStart"/>
      <w:r w:rsidR="00A113A4">
        <w:rPr>
          <w:rFonts w:ascii="Arial" w:hAnsi="Arial" w:cs="Arial"/>
          <w:sz w:val="24"/>
          <w:szCs w:val="24"/>
        </w:rPr>
        <w:t>Ketlele</w:t>
      </w:r>
      <w:proofErr w:type="spellEnd"/>
      <w:r w:rsidR="00A113A4">
        <w:rPr>
          <w:rFonts w:ascii="Arial" w:hAnsi="Arial" w:cs="Arial"/>
          <w:sz w:val="24"/>
          <w:szCs w:val="24"/>
        </w:rPr>
        <w:t xml:space="preserve"> occupied the immovable property </w:t>
      </w:r>
      <w:r w:rsidR="00AF3ABB">
        <w:rPr>
          <w:rFonts w:ascii="Arial" w:hAnsi="Arial" w:cs="Arial"/>
          <w:sz w:val="24"/>
          <w:szCs w:val="24"/>
        </w:rPr>
        <w:t xml:space="preserve">with their </w:t>
      </w:r>
      <w:r w:rsidR="008E38BC">
        <w:rPr>
          <w:rFonts w:ascii="Arial" w:hAnsi="Arial" w:cs="Arial"/>
          <w:sz w:val="24"/>
          <w:szCs w:val="24"/>
        </w:rPr>
        <w:t xml:space="preserve">three </w:t>
      </w:r>
      <w:r w:rsidR="00D8111F">
        <w:rPr>
          <w:rFonts w:ascii="Arial" w:hAnsi="Arial" w:cs="Arial"/>
          <w:sz w:val="24"/>
          <w:szCs w:val="24"/>
        </w:rPr>
        <w:t>children:</w:t>
      </w:r>
      <w:r w:rsidR="008E38BC">
        <w:rPr>
          <w:rFonts w:ascii="Arial" w:hAnsi="Arial" w:cs="Arial"/>
          <w:sz w:val="24"/>
          <w:szCs w:val="24"/>
        </w:rPr>
        <w:t xml:space="preserve"> </w:t>
      </w:r>
      <w:proofErr w:type="spellStart"/>
      <w:r w:rsidR="008E38BC">
        <w:rPr>
          <w:rFonts w:ascii="Arial" w:hAnsi="Arial" w:cs="Arial"/>
          <w:sz w:val="24"/>
          <w:szCs w:val="24"/>
        </w:rPr>
        <w:t>Mankoe</w:t>
      </w:r>
      <w:proofErr w:type="spellEnd"/>
      <w:r w:rsidR="00E76BC6">
        <w:rPr>
          <w:rFonts w:ascii="Arial" w:hAnsi="Arial" w:cs="Arial"/>
          <w:sz w:val="24"/>
          <w:szCs w:val="24"/>
        </w:rPr>
        <w:t xml:space="preserve"> (born 1949)</w:t>
      </w:r>
      <w:r w:rsidR="008E38BC">
        <w:rPr>
          <w:rFonts w:ascii="Arial" w:hAnsi="Arial" w:cs="Arial"/>
          <w:sz w:val="24"/>
          <w:szCs w:val="24"/>
        </w:rPr>
        <w:t xml:space="preserve">, </w:t>
      </w:r>
      <w:proofErr w:type="spellStart"/>
      <w:r w:rsidR="00E76BC6" w:rsidRPr="00014624">
        <w:rPr>
          <w:rFonts w:ascii="Arial" w:hAnsi="Arial" w:cs="Arial"/>
          <w:sz w:val="24"/>
          <w:szCs w:val="24"/>
        </w:rPr>
        <w:t>Malefetsane</w:t>
      </w:r>
      <w:proofErr w:type="spellEnd"/>
      <w:r w:rsidR="00E76BC6">
        <w:rPr>
          <w:rFonts w:ascii="Arial" w:hAnsi="Arial" w:cs="Arial"/>
          <w:sz w:val="24"/>
          <w:szCs w:val="24"/>
        </w:rPr>
        <w:t xml:space="preserve"> (born 1954) and </w:t>
      </w:r>
      <w:proofErr w:type="spellStart"/>
      <w:r w:rsidR="008E38BC">
        <w:rPr>
          <w:rFonts w:ascii="Arial" w:hAnsi="Arial" w:cs="Arial"/>
          <w:sz w:val="24"/>
          <w:szCs w:val="24"/>
        </w:rPr>
        <w:t>Frans</w:t>
      </w:r>
      <w:proofErr w:type="spellEnd"/>
      <w:r w:rsidR="00E76BC6">
        <w:rPr>
          <w:rFonts w:ascii="Arial" w:hAnsi="Arial" w:cs="Arial"/>
          <w:sz w:val="24"/>
          <w:szCs w:val="24"/>
        </w:rPr>
        <w:t xml:space="preserve"> (born 1958).</w:t>
      </w:r>
      <w:r w:rsidR="00607CDA">
        <w:rPr>
          <w:rFonts w:ascii="Arial" w:hAnsi="Arial" w:cs="Arial"/>
          <w:sz w:val="24"/>
          <w:szCs w:val="24"/>
        </w:rPr>
        <w:t xml:space="preserve"> </w:t>
      </w:r>
      <w:r w:rsidR="00330931">
        <w:rPr>
          <w:rFonts w:ascii="Arial" w:hAnsi="Arial" w:cs="Arial"/>
          <w:sz w:val="24"/>
          <w:szCs w:val="24"/>
        </w:rPr>
        <w:t xml:space="preserve">It is unknown when Mr and Mrs </w:t>
      </w:r>
      <w:proofErr w:type="spellStart"/>
      <w:r w:rsidR="00330931">
        <w:rPr>
          <w:rFonts w:ascii="Arial" w:hAnsi="Arial" w:cs="Arial"/>
          <w:sz w:val="24"/>
          <w:szCs w:val="24"/>
        </w:rPr>
        <w:t>Ketlele</w:t>
      </w:r>
      <w:proofErr w:type="spellEnd"/>
      <w:r w:rsidR="00330931">
        <w:rPr>
          <w:rFonts w:ascii="Arial" w:hAnsi="Arial" w:cs="Arial"/>
          <w:sz w:val="24"/>
          <w:szCs w:val="24"/>
        </w:rPr>
        <w:t xml:space="preserve"> took occupation of the immovable property. </w:t>
      </w:r>
      <w:r w:rsidR="008E38BC">
        <w:rPr>
          <w:rFonts w:ascii="Arial" w:hAnsi="Arial" w:cs="Arial"/>
          <w:sz w:val="24"/>
          <w:szCs w:val="24"/>
        </w:rPr>
        <w:t xml:space="preserve">In 1967 </w:t>
      </w:r>
      <w:proofErr w:type="spellStart"/>
      <w:r w:rsidR="008E38BC">
        <w:rPr>
          <w:rFonts w:ascii="Arial" w:hAnsi="Arial" w:cs="Arial"/>
          <w:sz w:val="24"/>
          <w:szCs w:val="24"/>
        </w:rPr>
        <w:t>Mankoe</w:t>
      </w:r>
      <w:proofErr w:type="spellEnd"/>
      <w:r w:rsidR="008E38BC">
        <w:rPr>
          <w:rFonts w:ascii="Arial" w:hAnsi="Arial" w:cs="Arial"/>
          <w:sz w:val="24"/>
          <w:szCs w:val="24"/>
        </w:rPr>
        <w:t xml:space="preserve"> gave birth to the 1</w:t>
      </w:r>
      <w:r w:rsidR="008E38BC" w:rsidRPr="008E38BC">
        <w:rPr>
          <w:rFonts w:ascii="Arial" w:hAnsi="Arial" w:cs="Arial"/>
          <w:sz w:val="24"/>
          <w:szCs w:val="24"/>
          <w:vertAlign w:val="superscript"/>
        </w:rPr>
        <w:t>st</w:t>
      </w:r>
      <w:r w:rsidR="008E38BC">
        <w:rPr>
          <w:rFonts w:ascii="Arial" w:hAnsi="Arial" w:cs="Arial"/>
          <w:sz w:val="24"/>
          <w:szCs w:val="24"/>
        </w:rPr>
        <w:t xml:space="preserve"> respondent. </w:t>
      </w:r>
      <w:r w:rsidR="00A113A4">
        <w:rPr>
          <w:rFonts w:ascii="Arial" w:hAnsi="Arial" w:cs="Arial"/>
          <w:sz w:val="24"/>
          <w:szCs w:val="24"/>
        </w:rPr>
        <w:t>In 1975</w:t>
      </w:r>
      <w:r w:rsidR="00806531">
        <w:rPr>
          <w:rFonts w:ascii="Arial" w:hAnsi="Arial" w:cs="Arial"/>
          <w:sz w:val="24"/>
          <w:szCs w:val="24"/>
        </w:rPr>
        <w:t>,</w:t>
      </w:r>
      <w:r w:rsidR="0027733E">
        <w:rPr>
          <w:rFonts w:ascii="Arial" w:hAnsi="Arial" w:cs="Arial"/>
          <w:sz w:val="24"/>
          <w:szCs w:val="24"/>
        </w:rPr>
        <w:t xml:space="preserve"> Mr </w:t>
      </w:r>
      <w:proofErr w:type="spellStart"/>
      <w:r w:rsidR="0027733E">
        <w:rPr>
          <w:rFonts w:ascii="Arial" w:hAnsi="Arial" w:cs="Arial"/>
          <w:sz w:val="24"/>
          <w:szCs w:val="24"/>
        </w:rPr>
        <w:t>Ketlele</w:t>
      </w:r>
      <w:proofErr w:type="spellEnd"/>
      <w:r w:rsidR="0027733E">
        <w:rPr>
          <w:rFonts w:ascii="Arial" w:hAnsi="Arial" w:cs="Arial"/>
          <w:sz w:val="24"/>
          <w:szCs w:val="24"/>
        </w:rPr>
        <w:t xml:space="preserve"> passed away</w:t>
      </w:r>
      <w:r w:rsidR="00AF3ABB">
        <w:rPr>
          <w:rFonts w:ascii="Arial" w:hAnsi="Arial" w:cs="Arial"/>
          <w:sz w:val="24"/>
          <w:szCs w:val="24"/>
        </w:rPr>
        <w:t xml:space="preserve"> and </w:t>
      </w:r>
      <w:r w:rsidR="00BE43B6" w:rsidRPr="00BE43B6">
        <w:rPr>
          <w:rFonts w:ascii="Arial" w:hAnsi="Arial" w:cs="Arial"/>
          <w:sz w:val="24"/>
          <w:szCs w:val="24"/>
        </w:rPr>
        <w:t xml:space="preserve">Mrs </w:t>
      </w:r>
      <w:proofErr w:type="spellStart"/>
      <w:r w:rsidR="00BE43B6" w:rsidRPr="00BE43B6">
        <w:rPr>
          <w:rFonts w:ascii="Arial" w:hAnsi="Arial" w:cs="Arial"/>
          <w:sz w:val="24"/>
          <w:szCs w:val="24"/>
        </w:rPr>
        <w:t>Ketlele</w:t>
      </w:r>
      <w:proofErr w:type="spellEnd"/>
      <w:r w:rsidR="00BE43B6" w:rsidRPr="00BE43B6">
        <w:rPr>
          <w:rFonts w:ascii="Arial" w:hAnsi="Arial" w:cs="Arial"/>
          <w:sz w:val="24"/>
          <w:szCs w:val="24"/>
        </w:rPr>
        <w:t xml:space="preserve"> </w:t>
      </w:r>
      <w:r w:rsidR="00806531">
        <w:rPr>
          <w:rFonts w:ascii="Arial" w:hAnsi="Arial" w:cs="Arial"/>
          <w:sz w:val="24"/>
          <w:szCs w:val="24"/>
        </w:rPr>
        <w:t xml:space="preserve">obtained </w:t>
      </w:r>
      <w:r w:rsidR="00BE43B6" w:rsidRPr="00BE43B6">
        <w:rPr>
          <w:rFonts w:ascii="Arial" w:hAnsi="Arial" w:cs="Arial"/>
          <w:sz w:val="24"/>
          <w:szCs w:val="24"/>
        </w:rPr>
        <w:t xml:space="preserve">a </w:t>
      </w:r>
      <w:r w:rsidR="00BE43B6">
        <w:rPr>
          <w:rFonts w:ascii="Arial" w:hAnsi="Arial" w:cs="Arial"/>
          <w:sz w:val="24"/>
          <w:szCs w:val="24"/>
        </w:rPr>
        <w:t>residen</w:t>
      </w:r>
      <w:r w:rsidR="008566DD">
        <w:rPr>
          <w:rFonts w:ascii="Arial" w:hAnsi="Arial" w:cs="Arial"/>
          <w:sz w:val="24"/>
          <w:szCs w:val="24"/>
        </w:rPr>
        <w:t>tial</w:t>
      </w:r>
      <w:r w:rsidR="00BE43B6">
        <w:rPr>
          <w:rFonts w:ascii="Arial" w:hAnsi="Arial" w:cs="Arial"/>
          <w:sz w:val="24"/>
          <w:szCs w:val="24"/>
        </w:rPr>
        <w:t xml:space="preserve"> </w:t>
      </w:r>
      <w:r w:rsidR="00BE43B6" w:rsidRPr="00BE43B6">
        <w:rPr>
          <w:rFonts w:ascii="Arial" w:hAnsi="Arial" w:cs="Arial"/>
          <w:sz w:val="24"/>
          <w:szCs w:val="24"/>
        </w:rPr>
        <w:t>permit</w:t>
      </w:r>
      <w:r w:rsidR="00806531">
        <w:rPr>
          <w:rFonts w:ascii="Arial" w:hAnsi="Arial" w:cs="Arial"/>
          <w:sz w:val="24"/>
          <w:szCs w:val="24"/>
        </w:rPr>
        <w:t xml:space="preserve"> which allowed her</w:t>
      </w:r>
      <w:r w:rsidR="00EA3E7E">
        <w:rPr>
          <w:rFonts w:ascii="Arial" w:hAnsi="Arial" w:cs="Arial"/>
          <w:sz w:val="24"/>
          <w:szCs w:val="24"/>
        </w:rPr>
        <w:t xml:space="preserve">, </w:t>
      </w:r>
      <w:r w:rsidR="00BE43B6" w:rsidRPr="00BE43B6">
        <w:rPr>
          <w:rFonts w:ascii="Arial" w:hAnsi="Arial" w:cs="Arial"/>
          <w:sz w:val="24"/>
          <w:szCs w:val="24"/>
        </w:rPr>
        <w:t xml:space="preserve">her </w:t>
      </w:r>
      <w:r w:rsidR="00EA3E7E">
        <w:rPr>
          <w:rFonts w:ascii="Arial" w:hAnsi="Arial" w:cs="Arial"/>
          <w:sz w:val="24"/>
          <w:szCs w:val="24"/>
        </w:rPr>
        <w:t xml:space="preserve">3 </w:t>
      </w:r>
      <w:r w:rsidR="00BE43B6" w:rsidRPr="00BE43B6">
        <w:rPr>
          <w:rFonts w:ascii="Arial" w:hAnsi="Arial" w:cs="Arial"/>
          <w:sz w:val="24"/>
          <w:szCs w:val="24"/>
        </w:rPr>
        <w:t xml:space="preserve">children </w:t>
      </w:r>
      <w:r w:rsidR="0027733E">
        <w:rPr>
          <w:rFonts w:ascii="Arial" w:hAnsi="Arial" w:cs="Arial"/>
          <w:sz w:val="24"/>
          <w:szCs w:val="24"/>
        </w:rPr>
        <w:t>and grandchild</w:t>
      </w:r>
      <w:r w:rsidR="00EA3E7E">
        <w:rPr>
          <w:rFonts w:ascii="Arial" w:hAnsi="Arial" w:cs="Arial"/>
          <w:sz w:val="24"/>
          <w:szCs w:val="24"/>
        </w:rPr>
        <w:t xml:space="preserve"> (1</w:t>
      </w:r>
      <w:r w:rsidR="00EA3E7E" w:rsidRPr="00EA3E7E">
        <w:rPr>
          <w:rFonts w:ascii="Arial" w:hAnsi="Arial" w:cs="Arial"/>
          <w:sz w:val="24"/>
          <w:szCs w:val="24"/>
          <w:vertAlign w:val="superscript"/>
        </w:rPr>
        <w:t>st</w:t>
      </w:r>
      <w:r w:rsidR="00EA3E7E">
        <w:rPr>
          <w:rFonts w:ascii="Arial" w:hAnsi="Arial" w:cs="Arial"/>
          <w:sz w:val="24"/>
          <w:szCs w:val="24"/>
        </w:rPr>
        <w:t xml:space="preserve"> respondent) </w:t>
      </w:r>
      <w:r w:rsidR="00806531">
        <w:rPr>
          <w:rFonts w:ascii="Arial" w:hAnsi="Arial" w:cs="Arial"/>
          <w:sz w:val="24"/>
          <w:szCs w:val="24"/>
        </w:rPr>
        <w:t xml:space="preserve">to </w:t>
      </w:r>
      <w:r w:rsidR="00BE43B6" w:rsidRPr="00BE43B6">
        <w:rPr>
          <w:rFonts w:ascii="Arial" w:hAnsi="Arial" w:cs="Arial"/>
          <w:sz w:val="24"/>
          <w:szCs w:val="24"/>
        </w:rPr>
        <w:t>remain in occupation of the immovable property</w:t>
      </w:r>
      <w:r w:rsidR="00806531">
        <w:rPr>
          <w:rFonts w:ascii="Arial" w:hAnsi="Arial" w:cs="Arial"/>
          <w:sz w:val="24"/>
          <w:szCs w:val="24"/>
        </w:rPr>
        <w:t xml:space="preserve">. Mrs </w:t>
      </w:r>
      <w:proofErr w:type="spellStart"/>
      <w:r w:rsidR="00806531">
        <w:rPr>
          <w:rFonts w:ascii="Arial" w:hAnsi="Arial" w:cs="Arial"/>
          <w:sz w:val="24"/>
          <w:szCs w:val="24"/>
        </w:rPr>
        <w:t>Ketlele</w:t>
      </w:r>
      <w:proofErr w:type="spellEnd"/>
      <w:r w:rsidR="00BE43B6" w:rsidRPr="00BE43B6">
        <w:rPr>
          <w:rFonts w:ascii="Arial" w:hAnsi="Arial" w:cs="Arial"/>
          <w:sz w:val="24"/>
          <w:szCs w:val="24"/>
        </w:rPr>
        <w:t xml:space="preserve"> passed away</w:t>
      </w:r>
      <w:r w:rsidR="002374CE">
        <w:rPr>
          <w:rFonts w:ascii="Arial" w:hAnsi="Arial" w:cs="Arial"/>
          <w:sz w:val="24"/>
          <w:szCs w:val="24"/>
        </w:rPr>
        <w:t xml:space="preserve"> in</w:t>
      </w:r>
      <w:r w:rsidR="000473EA">
        <w:rPr>
          <w:rFonts w:ascii="Arial" w:hAnsi="Arial" w:cs="Arial"/>
          <w:sz w:val="24"/>
          <w:szCs w:val="24"/>
        </w:rPr>
        <w:t xml:space="preserve"> 1976</w:t>
      </w:r>
      <w:r w:rsidR="00BE43B6" w:rsidRPr="00BE43B6">
        <w:rPr>
          <w:rFonts w:ascii="Arial" w:hAnsi="Arial" w:cs="Arial"/>
          <w:sz w:val="24"/>
          <w:szCs w:val="24"/>
        </w:rPr>
        <w:t>.</w:t>
      </w:r>
      <w:r w:rsidR="0013527E" w:rsidRPr="0013527E">
        <w:rPr>
          <w:rFonts w:ascii="Arial" w:hAnsi="Arial" w:cs="Arial"/>
          <w:sz w:val="24"/>
          <w:szCs w:val="24"/>
        </w:rPr>
        <w:t xml:space="preserve"> </w:t>
      </w:r>
      <w:proofErr w:type="spellStart"/>
      <w:r w:rsidR="008F26E3">
        <w:rPr>
          <w:rFonts w:ascii="Arial" w:hAnsi="Arial" w:cs="Arial"/>
          <w:sz w:val="24"/>
          <w:szCs w:val="24"/>
        </w:rPr>
        <w:t>Frans</w:t>
      </w:r>
      <w:proofErr w:type="spellEnd"/>
      <w:r w:rsidR="008F26E3">
        <w:rPr>
          <w:rFonts w:ascii="Arial" w:hAnsi="Arial" w:cs="Arial"/>
          <w:sz w:val="24"/>
          <w:szCs w:val="24"/>
        </w:rPr>
        <w:t xml:space="preserve"> was born with disabilities which made him dependent on others for his daily care.</w:t>
      </w:r>
    </w:p>
    <w:p w:rsidR="00401F67" w:rsidRDefault="00401F67" w:rsidP="004C5AE8">
      <w:pPr>
        <w:spacing w:line="480" w:lineRule="auto"/>
        <w:jc w:val="both"/>
        <w:rPr>
          <w:rFonts w:ascii="Arial" w:hAnsi="Arial" w:cs="Arial"/>
          <w:sz w:val="24"/>
          <w:szCs w:val="24"/>
        </w:rPr>
      </w:pPr>
    </w:p>
    <w:p w:rsidR="007D487E" w:rsidRDefault="004C43EE" w:rsidP="00BA1CB8">
      <w:pPr>
        <w:spacing w:line="480" w:lineRule="auto"/>
        <w:ind w:left="720" w:hanging="720"/>
        <w:jc w:val="both"/>
        <w:rPr>
          <w:rFonts w:ascii="Arial" w:hAnsi="Arial" w:cs="Arial"/>
          <w:sz w:val="24"/>
          <w:szCs w:val="24"/>
        </w:rPr>
      </w:pPr>
      <w:r>
        <w:rPr>
          <w:rFonts w:ascii="Arial" w:hAnsi="Arial" w:cs="Arial"/>
          <w:sz w:val="24"/>
          <w:szCs w:val="24"/>
        </w:rPr>
        <w:t>[</w:t>
      </w:r>
      <w:r w:rsidR="00E304DA">
        <w:rPr>
          <w:rFonts w:ascii="Arial" w:hAnsi="Arial" w:cs="Arial"/>
          <w:sz w:val="24"/>
          <w:szCs w:val="24"/>
        </w:rPr>
        <w:t>5</w:t>
      </w:r>
      <w:r>
        <w:rPr>
          <w:rFonts w:ascii="Arial" w:hAnsi="Arial" w:cs="Arial"/>
          <w:sz w:val="24"/>
          <w:szCs w:val="24"/>
        </w:rPr>
        <w:t>]</w:t>
      </w:r>
      <w:r>
        <w:rPr>
          <w:rFonts w:ascii="Arial" w:hAnsi="Arial" w:cs="Arial"/>
          <w:sz w:val="24"/>
          <w:szCs w:val="24"/>
        </w:rPr>
        <w:tab/>
      </w:r>
      <w:r w:rsidR="000473EA">
        <w:rPr>
          <w:rFonts w:ascii="Arial" w:hAnsi="Arial" w:cs="Arial"/>
          <w:sz w:val="24"/>
          <w:szCs w:val="24"/>
        </w:rPr>
        <w:t xml:space="preserve">In 1977 </w:t>
      </w:r>
      <w:proofErr w:type="spellStart"/>
      <w:r w:rsidR="008E38BC">
        <w:rPr>
          <w:rFonts w:ascii="Arial" w:hAnsi="Arial" w:cs="Arial"/>
          <w:sz w:val="24"/>
          <w:szCs w:val="24"/>
        </w:rPr>
        <w:t>Mankoe</w:t>
      </w:r>
      <w:proofErr w:type="spellEnd"/>
      <w:r w:rsidR="008E38BC">
        <w:rPr>
          <w:rFonts w:ascii="Arial" w:hAnsi="Arial" w:cs="Arial"/>
          <w:sz w:val="24"/>
          <w:szCs w:val="24"/>
        </w:rPr>
        <w:t xml:space="preserve"> </w:t>
      </w:r>
      <w:r w:rsidR="00231AA9">
        <w:rPr>
          <w:rFonts w:ascii="Arial" w:hAnsi="Arial" w:cs="Arial"/>
          <w:sz w:val="24"/>
          <w:szCs w:val="24"/>
        </w:rPr>
        <w:t xml:space="preserve">applied for an was issued with </w:t>
      </w:r>
      <w:r w:rsidR="00D72259">
        <w:rPr>
          <w:rFonts w:ascii="Arial" w:hAnsi="Arial" w:cs="Arial"/>
          <w:sz w:val="24"/>
          <w:szCs w:val="24"/>
        </w:rPr>
        <w:t>a residen</w:t>
      </w:r>
      <w:r w:rsidR="00CD2C93">
        <w:rPr>
          <w:rFonts w:ascii="Arial" w:hAnsi="Arial" w:cs="Arial"/>
          <w:sz w:val="24"/>
          <w:szCs w:val="24"/>
        </w:rPr>
        <w:t>t</w:t>
      </w:r>
      <w:r w:rsidR="008566DD">
        <w:rPr>
          <w:rFonts w:ascii="Arial" w:hAnsi="Arial" w:cs="Arial"/>
          <w:sz w:val="24"/>
          <w:szCs w:val="24"/>
        </w:rPr>
        <w:t>ial</w:t>
      </w:r>
      <w:r w:rsidR="00D72259">
        <w:rPr>
          <w:rFonts w:ascii="Arial" w:hAnsi="Arial" w:cs="Arial"/>
          <w:sz w:val="24"/>
          <w:szCs w:val="24"/>
        </w:rPr>
        <w:t xml:space="preserve"> permit </w:t>
      </w:r>
      <w:r w:rsidR="00325E5F">
        <w:rPr>
          <w:rFonts w:ascii="Arial" w:hAnsi="Arial" w:cs="Arial"/>
          <w:sz w:val="24"/>
          <w:szCs w:val="24"/>
        </w:rPr>
        <w:t>under</w:t>
      </w:r>
      <w:r w:rsidR="00EA3E7E">
        <w:rPr>
          <w:rFonts w:ascii="Arial" w:hAnsi="Arial" w:cs="Arial"/>
          <w:sz w:val="24"/>
          <w:szCs w:val="24"/>
        </w:rPr>
        <w:t xml:space="preserve"> </w:t>
      </w:r>
      <w:r w:rsidR="00BE022B">
        <w:rPr>
          <w:rFonts w:ascii="Arial" w:hAnsi="Arial" w:cs="Arial"/>
          <w:sz w:val="24"/>
          <w:szCs w:val="24"/>
        </w:rPr>
        <w:t xml:space="preserve">sub section 4 of </w:t>
      </w:r>
      <w:r w:rsidR="00F3033A">
        <w:rPr>
          <w:rFonts w:ascii="Arial" w:hAnsi="Arial" w:cs="Arial"/>
          <w:sz w:val="24"/>
          <w:szCs w:val="24"/>
        </w:rPr>
        <w:t>regulation</w:t>
      </w:r>
      <w:r w:rsidR="00325E5F">
        <w:rPr>
          <w:rFonts w:ascii="Arial" w:hAnsi="Arial" w:cs="Arial"/>
          <w:sz w:val="24"/>
          <w:szCs w:val="24"/>
        </w:rPr>
        <w:t xml:space="preserve"> 7</w:t>
      </w:r>
      <w:r w:rsidR="00BE0591">
        <w:rPr>
          <w:rFonts w:ascii="Arial" w:hAnsi="Arial" w:cs="Arial"/>
          <w:sz w:val="24"/>
          <w:szCs w:val="24"/>
        </w:rPr>
        <w:t>,</w:t>
      </w:r>
      <w:r w:rsidR="00325E5F">
        <w:rPr>
          <w:rFonts w:ascii="Arial" w:hAnsi="Arial" w:cs="Arial"/>
          <w:sz w:val="24"/>
          <w:szCs w:val="24"/>
        </w:rPr>
        <w:t xml:space="preserve"> </w:t>
      </w:r>
      <w:r w:rsidR="00766B3F">
        <w:rPr>
          <w:rFonts w:ascii="Arial" w:hAnsi="Arial" w:cs="Arial"/>
          <w:sz w:val="24"/>
          <w:szCs w:val="24"/>
        </w:rPr>
        <w:t>chapter 2</w:t>
      </w:r>
      <w:r w:rsidR="00BE0591">
        <w:rPr>
          <w:rFonts w:ascii="Arial" w:hAnsi="Arial" w:cs="Arial"/>
          <w:sz w:val="24"/>
          <w:szCs w:val="24"/>
        </w:rPr>
        <w:t>,</w:t>
      </w:r>
      <w:r w:rsidR="00766B3F">
        <w:rPr>
          <w:rFonts w:ascii="Arial" w:hAnsi="Arial" w:cs="Arial"/>
          <w:sz w:val="24"/>
          <w:szCs w:val="24"/>
        </w:rPr>
        <w:t xml:space="preserve"> </w:t>
      </w:r>
      <w:r w:rsidR="00806531">
        <w:rPr>
          <w:rFonts w:ascii="Arial" w:hAnsi="Arial" w:cs="Arial"/>
          <w:sz w:val="24"/>
          <w:szCs w:val="24"/>
        </w:rPr>
        <w:t xml:space="preserve">of the now repealed Regulations Governing the Control and Supervision of Urban Black Residential Area and Relevant Matters G.N. 1036 dated 14 June 1968 (the regulations). </w:t>
      </w:r>
      <w:proofErr w:type="spellStart"/>
      <w:r w:rsidR="00A67A10">
        <w:rPr>
          <w:rFonts w:ascii="Arial" w:hAnsi="Arial" w:cs="Arial"/>
          <w:sz w:val="24"/>
          <w:szCs w:val="24"/>
        </w:rPr>
        <w:t>Mankoe</w:t>
      </w:r>
      <w:proofErr w:type="spellEnd"/>
      <w:r w:rsidR="00A67A10">
        <w:rPr>
          <w:rFonts w:ascii="Arial" w:hAnsi="Arial" w:cs="Arial"/>
          <w:sz w:val="24"/>
          <w:szCs w:val="24"/>
        </w:rPr>
        <w:t xml:space="preserve"> was named as the holder of the </w:t>
      </w:r>
      <w:r w:rsidR="0027733E">
        <w:rPr>
          <w:rFonts w:ascii="Arial" w:hAnsi="Arial" w:cs="Arial"/>
          <w:sz w:val="24"/>
          <w:szCs w:val="24"/>
        </w:rPr>
        <w:t>resident</w:t>
      </w:r>
      <w:r w:rsidR="008566DD">
        <w:rPr>
          <w:rFonts w:ascii="Arial" w:hAnsi="Arial" w:cs="Arial"/>
          <w:sz w:val="24"/>
          <w:szCs w:val="24"/>
        </w:rPr>
        <w:t>ial</w:t>
      </w:r>
      <w:r w:rsidR="0027733E">
        <w:rPr>
          <w:rFonts w:ascii="Arial" w:hAnsi="Arial" w:cs="Arial"/>
          <w:sz w:val="24"/>
          <w:szCs w:val="24"/>
        </w:rPr>
        <w:t xml:space="preserve"> </w:t>
      </w:r>
      <w:r w:rsidR="00A67A10">
        <w:rPr>
          <w:rFonts w:ascii="Arial" w:hAnsi="Arial" w:cs="Arial"/>
          <w:sz w:val="24"/>
          <w:szCs w:val="24"/>
        </w:rPr>
        <w:t xml:space="preserve">permit and </w:t>
      </w:r>
      <w:proofErr w:type="spellStart"/>
      <w:r w:rsidR="007A5C28">
        <w:rPr>
          <w:rFonts w:ascii="Arial" w:hAnsi="Arial" w:cs="Arial"/>
          <w:sz w:val="24"/>
          <w:szCs w:val="24"/>
        </w:rPr>
        <w:t>Malefetsane</w:t>
      </w:r>
      <w:proofErr w:type="spellEnd"/>
      <w:r w:rsidR="00A67A10">
        <w:rPr>
          <w:rFonts w:ascii="Arial" w:hAnsi="Arial" w:cs="Arial"/>
          <w:sz w:val="24"/>
          <w:szCs w:val="24"/>
        </w:rPr>
        <w:t xml:space="preserve">, </w:t>
      </w:r>
      <w:proofErr w:type="spellStart"/>
      <w:r w:rsidR="00AE048E">
        <w:rPr>
          <w:rFonts w:ascii="Arial" w:hAnsi="Arial" w:cs="Arial"/>
          <w:sz w:val="24"/>
          <w:szCs w:val="24"/>
        </w:rPr>
        <w:t>Frans</w:t>
      </w:r>
      <w:proofErr w:type="spellEnd"/>
      <w:r w:rsidR="00AE048E">
        <w:rPr>
          <w:rFonts w:ascii="Arial" w:hAnsi="Arial" w:cs="Arial"/>
          <w:sz w:val="24"/>
          <w:szCs w:val="24"/>
        </w:rPr>
        <w:t xml:space="preserve"> </w:t>
      </w:r>
      <w:r w:rsidR="00A67A10">
        <w:rPr>
          <w:rFonts w:ascii="Arial" w:hAnsi="Arial" w:cs="Arial"/>
          <w:sz w:val="24"/>
          <w:szCs w:val="24"/>
        </w:rPr>
        <w:t>and Amos (the 1</w:t>
      </w:r>
      <w:r w:rsidR="00A67A10" w:rsidRPr="00A67A10">
        <w:rPr>
          <w:rFonts w:ascii="Arial" w:hAnsi="Arial" w:cs="Arial"/>
          <w:sz w:val="24"/>
          <w:szCs w:val="24"/>
          <w:vertAlign w:val="superscript"/>
        </w:rPr>
        <w:t>st</w:t>
      </w:r>
      <w:r w:rsidR="00A67A10">
        <w:rPr>
          <w:rFonts w:ascii="Arial" w:hAnsi="Arial" w:cs="Arial"/>
          <w:sz w:val="24"/>
          <w:szCs w:val="24"/>
        </w:rPr>
        <w:t xml:space="preserve"> respondent) were indicated to be </w:t>
      </w:r>
      <w:proofErr w:type="spellStart"/>
      <w:r w:rsidR="00A67A10">
        <w:rPr>
          <w:rFonts w:ascii="Arial" w:hAnsi="Arial" w:cs="Arial"/>
          <w:sz w:val="24"/>
          <w:szCs w:val="24"/>
        </w:rPr>
        <w:t>Mankoe’s</w:t>
      </w:r>
      <w:proofErr w:type="spellEnd"/>
      <w:r w:rsidR="00A67A10">
        <w:rPr>
          <w:rFonts w:ascii="Arial" w:hAnsi="Arial" w:cs="Arial"/>
          <w:sz w:val="24"/>
          <w:szCs w:val="24"/>
        </w:rPr>
        <w:t xml:space="preserve"> dependants who were entitled to reside with her at the immovable property.  </w:t>
      </w:r>
    </w:p>
    <w:p w:rsidR="007A5C28" w:rsidRDefault="007A5C28" w:rsidP="004C5AE8">
      <w:pPr>
        <w:spacing w:line="480" w:lineRule="auto"/>
        <w:jc w:val="both"/>
        <w:rPr>
          <w:rFonts w:ascii="Arial" w:hAnsi="Arial" w:cs="Arial"/>
          <w:sz w:val="24"/>
          <w:szCs w:val="24"/>
        </w:rPr>
      </w:pPr>
    </w:p>
    <w:p w:rsidR="007A5C28" w:rsidRDefault="007A5C28" w:rsidP="00BA1CB8">
      <w:pPr>
        <w:spacing w:line="480" w:lineRule="auto"/>
        <w:ind w:left="720" w:hanging="720"/>
        <w:jc w:val="both"/>
        <w:rPr>
          <w:rFonts w:ascii="Arial" w:hAnsi="Arial" w:cs="Arial"/>
          <w:sz w:val="24"/>
          <w:szCs w:val="24"/>
        </w:rPr>
      </w:pPr>
      <w:r>
        <w:rPr>
          <w:rFonts w:ascii="Arial" w:hAnsi="Arial" w:cs="Arial"/>
          <w:sz w:val="24"/>
          <w:szCs w:val="24"/>
        </w:rPr>
        <w:t>[</w:t>
      </w:r>
      <w:r w:rsidR="00E304DA">
        <w:rPr>
          <w:rFonts w:ascii="Arial" w:hAnsi="Arial" w:cs="Arial"/>
          <w:sz w:val="24"/>
          <w:szCs w:val="24"/>
        </w:rPr>
        <w:t>6</w:t>
      </w:r>
      <w:r>
        <w:rPr>
          <w:rFonts w:ascii="Arial" w:hAnsi="Arial" w:cs="Arial"/>
          <w:sz w:val="24"/>
          <w:szCs w:val="24"/>
        </w:rPr>
        <w:t>]</w:t>
      </w:r>
      <w:r>
        <w:rPr>
          <w:rFonts w:ascii="Arial" w:hAnsi="Arial" w:cs="Arial"/>
          <w:sz w:val="24"/>
          <w:szCs w:val="24"/>
        </w:rPr>
        <w:tab/>
        <w:t xml:space="preserve">In June 1979, </w:t>
      </w:r>
      <w:proofErr w:type="spellStart"/>
      <w:r>
        <w:rPr>
          <w:rFonts w:ascii="Arial" w:hAnsi="Arial" w:cs="Arial"/>
          <w:sz w:val="24"/>
          <w:szCs w:val="24"/>
        </w:rPr>
        <w:t>Malefetsane</w:t>
      </w:r>
      <w:proofErr w:type="spellEnd"/>
      <w:r>
        <w:rPr>
          <w:rFonts w:ascii="Arial" w:hAnsi="Arial" w:cs="Arial"/>
          <w:sz w:val="24"/>
          <w:szCs w:val="24"/>
        </w:rPr>
        <w:t xml:space="preserve"> and </w:t>
      </w:r>
      <w:r w:rsidR="00DD0854">
        <w:rPr>
          <w:rFonts w:ascii="Arial" w:hAnsi="Arial" w:cs="Arial"/>
          <w:sz w:val="24"/>
          <w:szCs w:val="24"/>
        </w:rPr>
        <w:t>the 2</w:t>
      </w:r>
      <w:r w:rsidR="00DD0854" w:rsidRPr="00DD0854">
        <w:rPr>
          <w:rFonts w:ascii="Arial" w:hAnsi="Arial" w:cs="Arial"/>
          <w:sz w:val="24"/>
          <w:szCs w:val="24"/>
          <w:vertAlign w:val="superscript"/>
        </w:rPr>
        <w:t>nd</w:t>
      </w:r>
      <w:r w:rsidR="00DD0854">
        <w:rPr>
          <w:rFonts w:ascii="Arial" w:hAnsi="Arial" w:cs="Arial"/>
          <w:sz w:val="24"/>
          <w:szCs w:val="24"/>
        </w:rPr>
        <w:t xml:space="preserve"> </w:t>
      </w:r>
      <w:r>
        <w:rPr>
          <w:rFonts w:ascii="Arial" w:hAnsi="Arial" w:cs="Arial"/>
          <w:sz w:val="24"/>
          <w:szCs w:val="24"/>
        </w:rPr>
        <w:t xml:space="preserve">applicant were married to each other in community of property. </w:t>
      </w:r>
      <w:r w:rsidR="00657864">
        <w:rPr>
          <w:rFonts w:ascii="Arial" w:hAnsi="Arial" w:cs="Arial"/>
          <w:sz w:val="24"/>
          <w:szCs w:val="24"/>
        </w:rPr>
        <w:t>I</w:t>
      </w:r>
      <w:r>
        <w:rPr>
          <w:rFonts w:ascii="Arial" w:hAnsi="Arial" w:cs="Arial"/>
          <w:sz w:val="24"/>
          <w:szCs w:val="24"/>
        </w:rPr>
        <w:t xml:space="preserve">n </w:t>
      </w:r>
      <w:r w:rsidR="00657864">
        <w:rPr>
          <w:rFonts w:ascii="Arial" w:hAnsi="Arial" w:cs="Arial"/>
          <w:sz w:val="24"/>
          <w:szCs w:val="24"/>
        </w:rPr>
        <w:t>May 1980,</w:t>
      </w:r>
      <w:r>
        <w:rPr>
          <w:rFonts w:ascii="Arial" w:hAnsi="Arial" w:cs="Arial"/>
          <w:sz w:val="24"/>
          <w:szCs w:val="24"/>
        </w:rPr>
        <w:t xml:space="preserve"> </w:t>
      </w:r>
      <w:proofErr w:type="spellStart"/>
      <w:r>
        <w:rPr>
          <w:rFonts w:ascii="Arial" w:hAnsi="Arial" w:cs="Arial"/>
          <w:sz w:val="24"/>
          <w:szCs w:val="24"/>
        </w:rPr>
        <w:t>Malefetsane</w:t>
      </w:r>
      <w:proofErr w:type="spellEnd"/>
      <w:r>
        <w:rPr>
          <w:rFonts w:ascii="Arial" w:hAnsi="Arial" w:cs="Arial"/>
          <w:sz w:val="24"/>
          <w:szCs w:val="24"/>
        </w:rPr>
        <w:t xml:space="preserve"> was issued with a lodger’s permit</w:t>
      </w:r>
      <w:r w:rsidR="00CD2C93">
        <w:rPr>
          <w:rFonts w:ascii="Arial" w:hAnsi="Arial" w:cs="Arial"/>
          <w:sz w:val="24"/>
          <w:szCs w:val="24"/>
        </w:rPr>
        <w:t xml:space="preserve"> under</w:t>
      </w:r>
      <w:r w:rsidR="0077722A">
        <w:rPr>
          <w:rFonts w:ascii="Arial" w:hAnsi="Arial" w:cs="Arial"/>
          <w:sz w:val="24"/>
          <w:szCs w:val="24"/>
        </w:rPr>
        <w:t xml:space="preserve"> Regulation 20, chapter 2, of</w:t>
      </w:r>
      <w:r w:rsidR="00CD2C93">
        <w:rPr>
          <w:rFonts w:ascii="Arial" w:hAnsi="Arial" w:cs="Arial"/>
          <w:sz w:val="24"/>
          <w:szCs w:val="24"/>
        </w:rPr>
        <w:t xml:space="preserve"> the regulations</w:t>
      </w:r>
      <w:r>
        <w:rPr>
          <w:rFonts w:ascii="Arial" w:hAnsi="Arial" w:cs="Arial"/>
          <w:sz w:val="24"/>
          <w:szCs w:val="24"/>
        </w:rPr>
        <w:t>.</w:t>
      </w:r>
    </w:p>
    <w:p w:rsidR="00AC2AE1" w:rsidRDefault="00AC2AE1" w:rsidP="00AC2AE1">
      <w:pPr>
        <w:spacing w:line="480" w:lineRule="auto"/>
        <w:jc w:val="both"/>
        <w:rPr>
          <w:rFonts w:ascii="Arial" w:hAnsi="Arial" w:cs="Arial"/>
          <w:sz w:val="24"/>
          <w:szCs w:val="24"/>
        </w:rPr>
      </w:pPr>
    </w:p>
    <w:p w:rsidR="00FA3BCB" w:rsidRDefault="00AC2AE1" w:rsidP="00BA1CB8">
      <w:pPr>
        <w:spacing w:line="480" w:lineRule="auto"/>
        <w:ind w:left="720" w:hanging="720"/>
        <w:jc w:val="both"/>
        <w:rPr>
          <w:rFonts w:ascii="Arial" w:hAnsi="Arial" w:cs="Arial"/>
          <w:sz w:val="24"/>
          <w:szCs w:val="24"/>
        </w:rPr>
      </w:pPr>
      <w:r>
        <w:rPr>
          <w:rFonts w:ascii="Arial" w:hAnsi="Arial" w:cs="Arial"/>
          <w:sz w:val="24"/>
          <w:szCs w:val="24"/>
        </w:rPr>
        <w:t>[</w:t>
      </w:r>
      <w:r w:rsidR="00E304DA">
        <w:rPr>
          <w:rFonts w:ascii="Arial" w:hAnsi="Arial" w:cs="Arial"/>
          <w:sz w:val="24"/>
          <w:szCs w:val="24"/>
        </w:rPr>
        <w:t>7</w:t>
      </w:r>
      <w:r>
        <w:rPr>
          <w:rFonts w:ascii="Arial" w:hAnsi="Arial" w:cs="Arial"/>
          <w:sz w:val="24"/>
          <w:szCs w:val="24"/>
        </w:rPr>
        <w:t>]</w:t>
      </w:r>
      <w:r w:rsidR="00FA3BCB">
        <w:rPr>
          <w:rFonts w:ascii="Arial" w:hAnsi="Arial" w:cs="Arial"/>
          <w:sz w:val="24"/>
          <w:szCs w:val="24"/>
        </w:rPr>
        <w:tab/>
      </w:r>
      <w:proofErr w:type="spellStart"/>
      <w:r w:rsidR="00305C6E">
        <w:rPr>
          <w:rFonts w:ascii="Arial" w:hAnsi="Arial" w:cs="Arial"/>
          <w:sz w:val="24"/>
          <w:szCs w:val="24"/>
        </w:rPr>
        <w:t>Mankoe</w:t>
      </w:r>
      <w:proofErr w:type="spellEnd"/>
      <w:r w:rsidR="00305C6E">
        <w:rPr>
          <w:rFonts w:ascii="Arial" w:hAnsi="Arial" w:cs="Arial"/>
          <w:sz w:val="24"/>
          <w:szCs w:val="24"/>
        </w:rPr>
        <w:t xml:space="preserve"> co-habited with Mr </w:t>
      </w:r>
      <w:proofErr w:type="spellStart"/>
      <w:r w:rsidR="00305C6E">
        <w:rPr>
          <w:rFonts w:ascii="Arial" w:hAnsi="Arial" w:cs="Arial"/>
          <w:sz w:val="24"/>
          <w:szCs w:val="24"/>
        </w:rPr>
        <w:t>Lumkwana</w:t>
      </w:r>
      <w:proofErr w:type="spellEnd"/>
      <w:r w:rsidR="00AE048E">
        <w:rPr>
          <w:rFonts w:ascii="Arial" w:hAnsi="Arial" w:cs="Arial"/>
          <w:sz w:val="24"/>
          <w:szCs w:val="24"/>
        </w:rPr>
        <w:t xml:space="preserve"> </w:t>
      </w:r>
      <w:r w:rsidR="007A5C28">
        <w:rPr>
          <w:rFonts w:ascii="Arial" w:hAnsi="Arial" w:cs="Arial"/>
          <w:sz w:val="24"/>
          <w:szCs w:val="24"/>
        </w:rPr>
        <w:t xml:space="preserve">at the immovable property </w:t>
      </w:r>
      <w:r w:rsidR="002374CE">
        <w:rPr>
          <w:rFonts w:ascii="Arial" w:hAnsi="Arial" w:cs="Arial"/>
          <w:sz w:val="24"/>
          <w:szCs w:val="24"/>
        </w:rPr>
        <w:t xml:space="preserve">and she </w:t>
      </w:r>
      <w:r w:rsidR="00305C6E">
        <w:rPr>
          <w:rFonts w:ascii="Arial" w:hAnsi="Arial" w:cs="Arial"/>
          <w:sz w:val="24"/>
          <w:szCs w:val="24"/>
        </w:rPr>
        <w:t xml:space="preserve">passed away in February 2000. </w:t>
      </w:r>
    </w:p>
    <w:p w:rsidR="003C32E3" w:rsidRDefault="003C32E3" w:rsidP="00AC2AE1">
      <w:pPr>
        <w:spacing w:line="480" w:lineRule="auto"/>
        <w:jc w:val="both"/>
        <w:rPr>
          <w:rFonts w:ascii="Arial" w:hAnsi="Arial" w:cs="Arial"/>
          <w:sz w:val="24"/>
          <w:szCs w:val="24"/>
        </w:rPr>
      </w:pPr>
    </w:p>
    <w:p w:rsidR="00912F86" w:rsidRDefault="003C32E3" w:rsidP="00BA1CB8">
      <w:pPr>
        <w:spacing w:line="480" w:lineRule="auto"/>
        <w:ind w:left="720" w:hanging="720"/>
        <w:jc w:val="both"/>
        <w:rPr>
          <w:rFonts w:ascii="Arial" w:hAnsi="Arial" w:cs="Arial"/>
          <w:sz w:val="24"/>
          <w:szCs w:val="24"/>
        </w:rPr>
      </w:pPr>
      <w:r>
        <w:rPr>
          <w:rFonts w:ascii="Arial" w:hAnsi="Arial" w:cs="Arial"/>
          <w:sz w:val="24"/>
          <w:szCs w:val="24"/>
        </w:rPr>
        <w:t>[</w:t>
      </w:r>
      <w:r w:rsidR="00E304DA">
        <w:rPr>
          <w:rFonts w:ascii="Arial" w:hAnsi="Arial" w:cs="Arial"/>
          <w:sz w:val="24"/>
          <w:szCs w:val="24"/>
        </w:rPr>
        <w:t>8</w:t>
      </w:r>
      <w:r>
        <w:rPr>
          <w:rFonts w:ascii="Arial" w:hAnsi="Arial" w:cs="Arial"/>
          <w:sz w:val="24"/>
          <w:szCs w:val="24"/>
        </w:rPr>
        <w:t>]</w:t>
      </w:r>
      <w:r>
        <w:rPr>
          <w:rFonts w:ascii="Arial" w:hAnsi="Arial" w:cs="Arial"/>
          <w:sz w:val="24"/>
          <w:szCs w:val="24"/>
        </w:rPr>
        <w:tab/>
      </w:r>
      <w:r w:rsidR="0090546D">
        <w:rPr>
          <w:rFonts w:ascii="Arial" w:hAnsi="Arial" w:cs="Arial"/>
          <w:sz w:val="24"/>
          <w:szCs w:val="24"/>
        </w:rPr>
        <w:t xml:space="preserve">After </w:t>
      </w:r>
      <w:proofErr w:type="spellStart"/>
      <w:r w:rsidR="0030397B">
        <w:rPr>
          <w:rFonts w:ascii="Arial" w:hAnsi="Arial" w:cs="Arial"/>
          <w:sz w:val="24"/>
          <w:szCs w:val="24"/>
        </w:rPr>
        <w:t>Mankoe</w:t>
      </w:r>
      <w:proofErr w:type="spellEnd"/>
      <w:r w:rsidR="0030397B">
        <w:rPr>
          <w:rFonts w:ascii="Arial" w:hAnsi="Arial" w:cs="Arial"/>
          <w:sz w:val="24"/>
          <w:szCs w:val="24"/>
        </w:rPr>
        <w:t xml:space="preserve"> passed away</w:t>
      </w:r>
      <w:r w:rsidR="0090546D">
        <w:rPr>
          <w:rFonts w:ascii="Arial" w:hAnsi="Arial" w:cs="Arial"/>
          <w:sz w:val="24"/>
          <w:szCs w:val="24"/>
        </w:rPr>
        <w:t xml:space="preserve"> t</w:t>
      </w:r>
      <w:r w:rsidR="00305C6E">
        <w:rPr>
          <w:rFonts w:ascii="Arial" w:hAnsi="Arial" w:cs="Arial"/>
          <w:sz w:val="24"/>
          <w:szCs w:val="24"/>
        </w:rPr>
        <w:t>he 1</w:t>
      </w:r>
      <w:r w:rsidR="00305C6E" w:rsidRPr="00305C6E">
        <w:rPr>
          <w:rFonts w:ascii="Arial" w:hAnsi="Arial" w:cs="Arial"/>
          <w:sz w:val="24"/>
          <w:szCs w:val="24"/>
          <w:vertAlign w:val="superscript"/>
        </w:rPr>
        <w:t>st</w:t>
      </w:r>
      <w:r w:rsidR="00305C6E">
        <w:rPr>
          <w:rFonts w:ascii="Arial" w:hAnsi="Arial" w:cs="Arial"/>
          <w:sz w:val="24"/>
          <w:szCs w:val="24"/>
        </w:rPr>
        <w:t xml:space="preserve"> </w:t>
      </w:r>
      <w:r w:rsidR="00AC2AE1">
        <w:rPr>
          <w:rFonts w:ascii="Arial" w:hAnsi="Arial" w:cs="Arial"/>
          <w:sz w:val="24"/>
          <w:szCs w:val="24"/>
        </w:rPr>
        <w:t xml:space="preserve">respondent </w:t>
      </w:r>
      <w:r w:rsidR="00305C6E">
        <w:rPr>
          <w:rFonts w:ascii="Arial" w:hAnsi="Arial" w:cs="Arial"/>
          <w:sz w:val="24"/>
          <w:szCs w:val="24"/>
        </w:rPr>
        <w:t>app</w:t>
      </w:r>
      <w:r w:rsidR="00014624">
        <w:rPr>
          <w:rFonts w:ascii="Arial" w:hAnsi="Arial" w:cs="Arial"/>
          <w:sz w:val="24"/>
          <w:szCs w:val="24"/>
        </w:rPr>
        <w:t>roached</w:t>
      </w:r>
      <w:r w:rsidR="00305C6E">
        <w:rPr>
          <w:rFonts w:ascii="Arial" w:hAnsi="Arial" w:cs="Arial"/>
          <w:sz w:val="24"/>
          <w:szCs w:val="24"/>
        </w:rPr>
        <w:t xml:space="preserve"> the housing </w:t>
      </w:r>
      <w:r w:rsidR="000E03D7">
        <w:rPr>
          <w:rFonts w:ascii="Arial" w:hAnsi="Arial" w:cs="Arial"/>
          <w:sz w:val="24"/>
          <w:szCs w:val="24"/>
        </w:rPr>
        <w:t>bureau</w:t>
      </w:r>
      <w:r w:rsidR="00305C6E">
        <w:rPr>
          <w:rFonts w:ascii="Arial" w:hAnsi="Arial" w:cs="Arial"/>
          <w:sz w:val="24"/>
          <w:szCs w:val="24"/>
        </w:rPr>
        <w:t xml:space="preserve"> </w:t>
      </w:r>
      <w:r w:rsidR="00014624">
        <w:rPr>
          <w:rFonts w:ascii="Arial" w:hAnsi="Arial" w:cs="Arial"/>
          <w:sz w:val="24"/>
          <w:szCs w:val="24"/>
        </w:rPr>
        <w:t xml:space="preserve">with an application that </w:t>
      </w:r>
      <w:r w:rsidR="00305C6E">
        <w:rPr>
          <w:rFonts w:ascii="Arial" w:hAnsi="Arial" w:cs="Arial"/>
          <w:sz w:val="24"/>
          <w:szCs w:val="24"/>
        </w:rPr>
        <w:t xml:space="preserve">the </w:t>
      </w:r>
      <w:r w:rsidR="00912F86">
        <w:rPr>
          <w:rFonts w:ascii="Arial" w:hAnsi="Arial" w:cs="Arial"/>
          <w:sz w:val="24"/>
          <w:szCs w:val="24"/>
        </w:rPr>
        <w:t>right to occupy the immovable property be awarded to him</w:t>
      </w:r>
      <w:r w:rsidR="005712EC">
        <w:rPr>
          <w:rFonts w:ascii="Arial" w:hAnsi="Arial" w:cs="Arial"/>
          <w:sz w:val="24"/>
          <w:szCs w:val="24"/>
        </w:rPr>
        <w:t xml:space="preserve"> a</w:t>
      </w:r>
      <w:r w:rsidR="00903C69">
        <w:rPr>
          <w:rFonts w:ascii="Arial" w:hAnsi="Arial" w:cs="Arial"/>
          <w:sz w:val="24"/>
          <w:szCs w:val="24"/>
        </w:rPr>
        <w:t xml:space="preserve">s </w:t>
      </w:r>
      <w:proofErr w:type="spellStart"/>
      <w:r w:rsidR="00903C69">
        <w:rPr>
          <w:rFonts w:ascii="Arial" w:hAnsi="Arial" w:cs="Arial"/>
          <w:sz w:val="24"/>
          <w:szCs w:val="24"/>
        </w:rPr>
        <w:t>Mankoe’s</w:t>
      </w:r>
      <w:proofErr w:type="spellEnd"/>
      <w:r w:rsidR="00903C69">
        <w:rPr>
          <w:rFonts w:ascii="Arial" w:hAnsi="Arial" w:cs="Arial"/>
          <w:sz w:val="24"/>
          <w:szCs w:val="24"/>
        </w:rPr>
        <w:t xml:space="preserve"> only intestate heir</w:t>
      </w:r>
      <w:r w:rsidR="00912F86">
        <w:rPr>
          <w:rFonts w:ascii="Arial" w:hAnsi="Arial" w:cs="Arial"/>
          <w:sz w:val="24"/>
          <w:szCs w:val="24"/>
        </w:rPr>
        <w:t xml:space="preserve">. </w:t>
      </w:r>
      <w:r w:rsidR="003D160C">
        <w:rPr>
          <w:rFonts w:ascii="Arial" w:hAnsi="Arial" w:cs="Arial"/>
          <w:sz w:val="24"/>
          <w:szCs w:val="24"/>
        </w:rPr>
        <w:t>Case number 1690</w:t>
      </w:r>
      <w:r w:rsidR="00182CF3">
        <w:rPr>
          <w:rFonts w:ascii="Arial" w:hAnsi="Arial" w:cs="Arial"/>
          <w:sz w:val="24"/>
          <w:szCs w:val="24"/>
        </w:rPr>
        <w:t xml:space="preserve"> </w:t>
      </w:r>
      <w:r w:rsidR="003D160C">
        <w:rPr>
          <w:rFonts w:ascii="Arial" w:hAnsi="Arial" w:cs="Arial"/>
          <w:sz w:val="24"/>
          <w:szCs w:val="24"/>
        </w:rPr>
        <w:t xml:space="preserve">was assigned to the application. </w:t>
      </w:r>
      <w:r w:rsidR="00914C16">
        <w:rPr>
          <w:rFonts w:ascii="Arial" w:hAnsi="Arial" w:cs="Arial"/>
          <w:sz w:val="24"/>
          <w:szCs w:val="24"/>
        </w:rPr>
        <w:t xml:space="preserve">Initially </w:t>
      </w:r>
      <w:r w:rsidR="0077745D">
        <w:rPr>
          <w:rFonts w:ascii="Arial" w:hAnsi="Arial" w:cs="Arial"/>
          <w:sz w:val="24"/>
          <w:szCs w:val="24"/>
        </w:rPr>
        <w:t xml:space="preserve">Mr </w:t>
      </w:r>
      <w:proofErr w:type="spellStart"/>
      <w:r w:rsidR="0077745D">
        <w:rPr>
          <w:rFonts w:ascii="Arial" w:hAnsi="Arial" w:cs="Arial"/>
          <w:sz w:val="24"/>
          <w:szCs w:val="24"/>
        </w:rPr>
        <w:t>Lumkwana</w:t>
      </w:r>
      <w:proofErr w:type="spellEnd"/>
      <w:r w:rsidR="0077745D">
        <w:rPr>
          <w:rFonts w:ascii="Arial" w:hAnsi="Arial" w:cs="Arial"/>
          <w:sz w:val="24"/>
          <w:szCs w:val="24"/>
        </w:rPr>
        <w:t xml:space="preserve"> </w:t>
      </w:r>
      <w:r w:rsidR="0090546D">
        <w:rPr>
          <w:rFonts w:ascii="Arial" w:hAnsi="Arial" w:cs="Arial"/>
          <w:sz w:val="24"/>
          <w:szCs w:val="24"/>
        </w:rPr>
        <w:t>opposed the 1</w:t>
      </w:r>
      <w:r w:rsidR="0077745D" w:rsidRPr="0077745D">
        <w:rPr>
          <w:rFonts w:ascii="Arial" w:hAnsi="Arial" w:cs="Arial"/>
          <w:sz w:val="24"/>
          <w:szCs w:val="24"/>
          <w:vertAlign w:val="superscript"/>
        </w:rPr>
        <w:t>st</w:t>
      </w:r>
      <w:r w:rsidR="0077745D">
        <w:rPr>
          <w:rFonts w:ascii="Arial" w:hAnsi="Arial" w:cs="Arial"/>
          <w:sz w:val="24"/>
          <w:szCs w:val="24"/>
        </w:rPr>
        <w:t xml:space="preserve"> respondent’s application </w:t>
      </w:r>
      <w:proofErr w:type="gramStart"/>
      <w:r w:rsidR="0077745D">
        <w:rPr>
          <w:rFonts w:ascii="Arial" w:hAnsi="Arial" w:cs="Arial"/>
          <w:sz w:val="24"/>
          <w:szCs w:val="24"/>
        </w:rPr>
        <w:t>however</w:t>
      </w:r>
      <w:r w:rsidR="00914C16">
        <w:rPr>
          <w:rFonts w:ascii="Arial" w:hAnsi="Arial" w:cs="Arial"/>
          <w:sz w:val="24"/>
          <w:szCs w:val="24"/>
        </w:rPr>
        <w:t>,</w:t>
      </w:r>
      <w:proofErr w:type="gramEnd"/>
      <w:r w:rsidR="0077745D">
        <w:rPr>
          <w:rFonts w:ascii="Arial" w:hAnsi="Arial" w:cs="Arial"/>
          <w:sz w:val="24"/>
          <w:szCs w:val="24"/>
        </w:rPr>
        <w:t xml:space="preserve"> </w:t>
      </w:r>
      <w:r w:rsidR="00570973">
        <w:rPr>
          <w:rFonts w:ascii="Arial" w:hAnsi="Arial" w:cs="Arial"/>
          <w:sz w:val="24"/>
          <w:szCs w:val="24"/>
        </w:rPr>
        <w:t>they</w:t>
      </w:r>
      <w:r w:rsidR="00912F86">
        <w:rPr>
          <w:rFonts w:ascii="Arial" w:hAnsi="Arial" w:cs="Arial"/>
          <w:sz w:val="24"/>
          <w:szCs w:val="24"/>
        </w:rPr>
        <w:t xml:space="preserve"> settled their dispute </w:t>
      </w:r>
      <w:r w:rsidR="00570973">
        <w:rPr>
          <w:rFonts w:ascii="Arial" w:hAnsi="Arial" w:cs="Arial"/>
          <w:sz w:val="24"/>
          <w:szCs w:val="24"/>
        </w:rPr>
        <w:t xml:space="preserve">and Mr </w:t>
      </w:r>
      <w:proofErr w:type="spellStart"/>
      <w:r w:rsidR="00570973">
        <w:rPr>
          <w:rFonts w:ascii="Arial" w:hAnsi="Arial" w:cs="Arial"/>
          <w:sz w:val="24"/>
          <w:szCs w:val="24"/>
        </w:rPr>
        <w:t>Lumkwana</w:t>
      </w:r>
      <w:proofErr w:type="spellEnd"/>
      <w:r w:rsidR="00570973">
        <w:rPr>
          <w:rFonts w:ascii="Arial" w:hAnsi="Arial" w:cs="Arial"/>
          <w:sz w:val="24"/>
          <w:szCs w:val="24"/>
        </w:rPr>
        <w:t xml:space="preserve"> withdrew </w:t>
      </w:r>
      <w:r w:rsidR="00552B40">
        <w:rPr>
          <w:rFonts w:ascii="Arial" w:hAnsi="Arial" w:cs="Arial"/>
          <w:sz w:val="24"/>
          <w:szCs w:val="24"/>
        </w:rPr>
        <w:t xml:space="preserve">his </w:t>
      </w:r>
      <w:r w:rsidR="0077745D">
        <w:rPr>
          <w:rFonts w:ascii="Arial" w:hAnsi="Arial" w:cs="Arial"/>
          <w:sz w:val="24"/>
          <w:szCs w:val="24"/>
        </w:rPr>
        <w:t>opposition</w:t>
      </w:r>
      <w:r w:rsidR="008F0524">
        <w:rPr>
          <w:rFonts w:ascii="Arial" w:hAnsi="Arial" w:cs="Arial"/>
          <w:sz w:val="24"/>
          <w:szCs w:val="24"/>
        </w:rPr>
        <w:t xml:space="preserve"> </w:t>
      </w:r>
      <w:r w:rsidR="00552B40">
        <w:rPr>
          <w:rFonts w:ascii="Arial" w:hAnsi="Arial" w:cs="Arial"/>
          <w:sz w:val="24"/>
          <w:szCs w:val="24"/>
        </w:rPr>
        <w:t xml:space="preserve">to the application </w:t>
      </w:r>
      <w:r w:rsidR="008F0524">
        <w:rPr>
          <w:rFonts w:ascii="Arial" w:hAnsi="Arial" w:cs="Arial"/>
          <w:sz w:val="24"/>
          <w:szCs w:val="24"/>
        </w:rPr>
        <w:t>in favour of the 1</w:t>
      </w:r>
      <w:r w:rsidR="008F0524" w:rsidRPr="008F0524">
        <w:rPr>
          <w:rFonts w:ascii="Arial" w:hAnsi="Arial" w:cs="Arial"/>
          <w:sz w:val="24"/>
          <w:szCs w:val="24"/>
          <w:vertAlign w:val="superscript"/>
        </w:rPr>
        <w:t>st</w:t>
      </w:r>
      <w:r w:rsidR="008F0524">
        <w:rPr>
          <w:rFonts w:ascii="Arial" w:hAnsi="Arial" w:cs="Arial"/>
          <w:sz w:val="24"/>
          <w:szCs w:val="24"/>
        </w:rPr>
        <w:t xml:space="preserve"> respondent</w:t>
      </w:r>
      <w:r w:rsidR="0090546D">
        <w:rPr>
          <w:rFonts w:ascii="Arial" w:hAnsi="Arial" w:cs="Arial"/>
          <w:sz w:val="24"/>
          <w:szCs w:val="24"/>
        </w:rPr>
        <w:t xml:space="preserve">. </w:t>
      </w:r>
    </w:p>
    <w:p w:rsidR="00912F86" w:rsidRDefault="00912F86" w:rsidP="00AC2AE1">
      <w:pPr>
        <w:spacing w:line="480" w:lineRule="auto"/>
        <w:jc w:val="both"/>
        <w:rPr>
          <w:rFonts w:ascii="Arial" w:hAnsi="Arial" w:cs="Arial"/>
          <w:sz w:val="24"/>
          <w:szCs w:val="24"/>
        </w:rPr>
      </w:pPr>
    </w:p>
    <w:p w:rsidR="00AC2AE1" w:rsidRDefault="0037095A" w:rsidP="00BA1CB8">
      <w:pPr>
        <w:spacing w:line="480" w:lineRule="auto"/>
        <w:ind w:left="720" w:hanging="720"/>
        <w:jc w:val="both"/>
        <w:rPr>
          <w:rFonts w:ascii="Arial" w:hAnsi="Arial" w:cs="Arial"/>
          <w:sz w:val="24"/>
          <w:szCs w:val="24"/>
        </w:rPr>
      </w:pPr>
      <w:r>
        <w:rPr>
          <w:rFonts w:ascii="Arial" w:hAnsi="Arial" w:cs="Arial"/>
          <w:sz w:val="24"/>
          <w:szCs w:val="24"/>
        </w:rPr>
        <w:t>[</w:t>
      </w:r>
      <w:r w:rsidR="00E304DA">
        <w:rPr>
          <w:rFonts w:ascii="Arial" w:hAnsi="Arial" w:cs="Arial"/>
          <w:sz w:val="24"/>
          <w:szCs w:val="24"/>
        </w:rPr>
        <w:t>9</w:t>
      </w:r>
      <w:r>
        <w:rPr>
          <w:rFonts w:ascii="Arial" w:hAnsi="Arial" w:cs="Arial"/>
          <w:sz w:val="24"/>
          <w:szCs w:val="24"/>
        </w:rPr>
        <w:t>]</w:t>
      </w:r>
      <w:r>
        <w:rPr>
          <w:rFonts w:ascii="Arial" w:hAnsi="Arial" w:cs="Arial"/>
          <w:sz w:val="24"/>
          <w:szCs w:val="24"/>
        </w:rPr>
        <w:tab/>
      </w:r>
      <w:r w:rsidR="007F1784">
        <w:rPr>
          <w:rFonts w:ascii="Arial" w:hAnsi="Arial" w:cs="Arial"/>
          <w:sz w:val="24"/>
          <w:szCs w:val="24"/>
        </w:rPr>
        <w:t>On 23</w:t>
      </w:r>
      <w:r w:rsidR="0090546D">
        <w:rPr>
          <w:rFonts w:ascii="Arial" w:hAnsi="Arial" w:cs="Arial"/>
          <w:sz w:val="24"/>
          <w:szCs w:val="24"/>
        </w:rPr>
        <w:t xml:space="preserve"> </w:t>
      </w:r>
      <w:r w:rsidR="00453AA6">
        <w:rPr>
          <w:rFonts w:ascii="Arial" w:hAnsi="Arial" w:cs="Arial"/>
          <w:sz w:val="24"/>
          <w:szCs w:val="24"/>
        </w:rPr>
        <w:t>July 2001</w:t>
      </w:r>
      <w:r w:rsidR="0090546D">
        <w:rPr>
          <w:rFonts w:ascii="Arial" w:hAnsi="Arial" w:cs="Arial"/>
          <w:sz w:val="24"/>
          <w:szCs w:val="24"/>
        </w:rPr>
        <w:t>,</w:t>
      </w:r>
      <w:r w:rsidR="00453AA6">
        <w:rPr>
          <w:rFonts w:ascii="Arial" w:hAnsi="Arial" w:cs="Arial"/>
          <w:sz w:val="24"/>
          <w:szCs w:val="24"/>
        </w:rPr>
        <w:t xml:space="preserve"> the </w:t>
      </w:r>
      <w:r w:rsidR="009F6B7D">
        <w:rPr>
          <w:rFonts w:ascii="Arial" w:hAnsi="Arial" w:cs="Arial"/>
          <w:sz w:val="24"/>
          <w:szCs w:val="24"/>
        </w:rPr>
        <w:t xml:space="preserve">housing </w:t>
      </w:r>
      <w:r w:rsidR="003D160C">
        <w:rPr>
          <w:rFonts w:ascii="Arial" w:hAnsi="Arial" w:cs="Arial"/>
          <w:sz w:val="24"/>
          <w:szCs w:val="24"/>
        </w:rPr>
        <w:t>bureau</w:t>
      </w:r>
      <w:r w:rsidR="00067899">
        <w:rPr>
          <w:rFonts w:ascii="Arial" w:hAnsi="Arial" w:cs="Arial"/>
          <w:sz w:val="24"/>
          <w:szCs w:val="24"/>
        </w:rPr>
        <w:t xml:space="preserve"> </w:t>
      </w:r>
      <w:r w:rsidR="007F1784">
        <w:rPr>
          <w:rFonts w:ascii="Arial" w:hAnsi="Arial" w:cs="Arial"/>
          <w:sz w:val="24"/>
          <w:szCs w:val="24"/>
        </w:rPr>
        <w:t>found that the 1</w:t>
      </w:r>
      <w:r w:rsidR="007F1784" w:rsidRPr="007F1784">
        <w:rPr>
          <w:rFonts w:ascii="Arial" w:hAnsi="Arial" w:cs="Arial"/>
          <w:sz w:val="24"/>
          <w:szCs w:val="24"/>
          <w:vertAlign w:val="superscript"/>
        </w:rPr>
        <w:t>st</w:t>
      </w:r>
      <w:r w:rsidR="007F1784">
        <w:rPr>
          <w:rFonts w:ascii="Arial" w:hAnsi="Arial" w:cs="Arial"/>
          <w:sz w:val="24"/>
          <w:szCs w:val="24"/>
        </w:rPr>
        <w:t xml:space="preserve"> respondent was entitled to inherit the right </w:t>
      </w:r>
      <w:r w:rsidR="00912F86">
        <w:rPr>
          <w:rFonts w:ascii="Arial" w:hAnsi="Arial" w:cs="Arial"/>
          <w:sz w:val="24"/>
          <w:szCs w:val="24"/>
        </w:rPr>
        <w:t>of</w:t>
      </w:r>
      <w:r w:rsidR="007F1784">
        <w:rPr>
          <w:rFonts w:ascii="Arial" w:hAnsi="Arial" w:cs="Arial"/>
          <w:sz w:val="24"/>
          <w:szCs w:val="24"/>
        </w:rPr>
        <w:t xml:space="preserve"> occupancy of the immovable property by virtue of the laws of intestate succession</w:t>
      </w:r>
      <w:r w:rsidR="00912F86">
        <w:rPr>
          <w:rFonts w:ascii="Arial" w:hAnsi="Arial" w:cs="Arial"/>
          <w:sz w:val="24"/>
          <w:szCs w:val="24"/>
        </w:rPr>
        <w:t xml:space="preserve"> and ruled that the immovable property be registered in the 1</w:t>
      </w:r>
      <w:r w:rsidR="00912F86" w:rsidRPr="00912F86">
        <w:rPr>
          <w:rFonts w:ascii="Arial" w:hAnsi="Arial" w:cs="Arial"/>
          <w:sz w:val="24"/>
          <w:szCs w:val="24"/>
          <w:vertAlign w:val="superscript"/>
        </w:rPr>
        <w:t>st</w:t>
      </w:r>
      <w:r w:rsidR="00912F86">
        <w:rPr>
          <w:rFonts w:ascii="Arial" w:hAnsi="Arial" w:cs="Arial"/>
          <w:sz w:val="24"/>
          <w:szCs w:val="24"/>
        </w:rPr>
        <w:t xml:space="preserve"> respondent’s name. </w:t>
      </w:r>
      <w:r w:rsidR="007F1784">
        <w:rPr>
          <w:rFonts w:ascii="Arial" w:hAnsi="Arial" w:cs="Arial"/>
          <w:sz w:val="24"/>
          <w:szCs w:val="24"/>
        </w:rPr>
        <w:t xml:space="preserve"> </w:t>
      </w:r>
      <w:r w:rsidR="00453AA6">
        <w:rPr>
          <w:rFonts w:ascii="Arial" w:hAnsi="Arial" w:cs="Arial"/>
          <w:sz w:val="24"/>
          <w:szCs w:val="24"/>
        </w:rPr>
        <w:t xml:space="preserve"> </w:t>
      </w:r>
      <w:r w:rsidR="0077745D">
        <w:rPr>
          <w:rFonts w:ascii="Arial" w:hAnsi="Arial" w:cs="Arial"/>
          <w:sz w:val="24"/>
          <w:szCs w:val="24"/>
        </w:rPr>
        <w:t xml:space="preserve"> </w:t>
      </w:r>
      <w:r w:rsidR="005E4ABD">
        <w:rPr>
          <w:rFonts w:ascii="Arial" w:hAnsi="Arial" w:cs="Arial"/>
          <w:sz w:val="24"/>
          <w:szCs w:val="24"/>
        </w:rPr>
        <w:t xml:space="preserve"> </w:t>
      </w:r>
      <w:r w:rsidR="00AC2AE1">
        <w:rPr>
          <w:rFonts w:ascii="Arial" w:hAnsi="Arial" w:cs="Arial"/>
          <w:sz w:val="24"/>
          <w:szCs w:val="24"/>
        </w:rPr>
        <w:t xml:space="preserve"> </w:t>
      </w:r>
    </w:p>
    <w:p w:rsidR="008F0524" w:rsidRDefault="008F0524" w:rsidP="00AC2AE1">
      <w:pPr>
        <w:spacing w:line="480" w:lineRule="auto"/>
        <w:jc w:val="both"/>
        <w:rPr>
          <w:rFonts w:ascii="Arial" w:hAnsi="Arial" w:cs="Arial"/>
          <w:sz w:val="24"/>
          <w:szCs w:val="24"/>
        </w:rPr>
      </w:pPr>
    </w:p>
    <w:p w:rsidR="00204844" w:rsidRDefault="008F0524" w:rsidP="00BA1CB8">
      <w:pPr>
        <w:spacing w:line="480" w:lineRule="auto"/>
        <w:ind w:left="720" w:hanging="720"/>
        <w:jc w:val="both"/>
        <w:rPr>
          <w:rFonts w:ascii="Arial" w:hAnsi="Arial" w:cs="Arial"/>
          <w:sz w:val="24"/>
          <w:szCs w:val="24"/>
        </w:rPr>
      </w:pPr>
      <w:r>
        <w:rPr>
          <w:rFonts w:ascii="Arial" w:hAnsi="Arial" w:cs="Arial"/>
          <w:sz w:val="24"/>
          <w:szCs w:val="24"/>
        </w:rPr>
        <w:t>[</w:t>
      </w:r>
      <w:r w:rsidR="005F0E3A">
        <w:rPr>
          <w:rFonts w:ascii="Arial" w:hAnsi="Arial" w:cs="Arial"/>
          <w:sz w:val="24"/>
          <w:szCs w:val="24"/>
        </w:rPr>
        <w:t>1</w:t>
      </w:r>
      <w:r w:rsidR="00E304DA">
        <w:rPr>
          <w:rFonts w:ascii="Arial" w:hAnsi="Arial" w:cs="Arial"/>
          <w:sz w:val="24"/>
          <w:szCs w:val="24"/>
        </w:rPr>
        <w:t>0</w:t>
      </w:r>
      <w:r>
        <w:rPr>
          <w:rFonts w:ascii="Arial" w:hAnsi="Arial" w:cs="Arial"/>
          <w:sz w:val="24"/>
          <w:szCs w:val="24"/>
        </w:rPr>
        <w:t>]</w:t>
      </w:r>
      <w:r>
        <w:rPr>
          <w:rFonts w:ascii="Arial" w:hAnsi="Arial" w:cs="Arial"/>
          <w:sz w:val="24"/>
          <w:szCs w:val="24"/>
        </w:rPr>
        <w:tab/>
      </w:r>
      <w:r w:rsidR="003531E7">
        <w:rPr>
          <w:rFonts w:ascii="Arial" w:hAnsi="Arial" w:cs="Arial"/>
          <w:sz w:val="24"/>
          <w:szCs w:val="24"/>
        </w:rPr>
        <w:t xml:space="preserve">An appeal was lodged </w:t>
      </w:r>
      <w:r w:rsidR="00067899">
        <w:rPr>
          <w:rFonts w:ascii="Arial" w:hAnsi="Arial" w:cs="Arial"/>
          <w:sz w:val="24"/>
          <w:szCs w:val="24"/>
        </w:rPr>
        <w:t>under case number 15962</w:t>
      </w:r>
      <w:r w:rsidR="00067899">
        <w:rPr>
          <w:rStyle w:val="FootnoteReference"/>
          <w:rFonts w:ascii="Arial" w:hAnsi="Arial" w:cs="Arial"/>
          <w:sz w:val="24"/>
          <w:szCs w:val="24"/>
        </w:rPr>
        <w:footnoteReference w:id="1"/>
      </w:r>
      <w:r w:rsidR="00067899">
        <w:rPr>
          <w:rFonts w:ascii="Arial" w:hAnsi="Arial" w:cs="Arial"/>
          <w:sz w:val="24"/>
          <w:szCs w:val="24"/>
        </w:rPr>
        <w:t xml:space="preserve"> </w:t>
      </w:r>
      <w:r w:rsidR="003531E7">
        <w:rPr>
          <w:rFonts w:ascii="Arial" w:hAnsi="Arial" w:cs="Arial"/>
          <w:sz w:val="24"/>
          <w:szCs w:val="24"/>
        </w:rPr>
        <w:t xml:space="preserve">against the </w:t>
      </w:r>
      <w:r w:rsidR="00FB2096">
        <w:rPr>
          <w:rFonts w:ascii="Arial" w:hAnsi="Arial" w:cs="Arial"/>
          <w:sz w:val="24"/>
          <w:szCs w:val="24"/>
        </w:rPr>
        <w:t>ruling that</w:t>
      </w:r>
      <w:r w:rsidR="003531E7">
        <w:rPr>
          <w:rFonts w:ascii="Arial" w:hAnsi="Arial" w:cs="Arial"/>
          <w:sz w:val="24"/>
          <w:szCs w:val="24"/>
        </w:rPr>
        <w:t xml:space="preserve"> the immovable property </w:t>
      </w:r>
      <w:r w:rsidR="00FB2096">
        <w:rPr>
          <w:rFonts w:ascii="Arial" w:hAnsi="Arial" w:cs="Arial"/>
          <w:sz w:val="24"/>
          <w:szCs w:val="24"/>
        </w:rPr>
        <w:t>be registered in</w:t>
      </w:r>
      <w:r w:rsidR="003531E7">
        <w:rPr>
          <w:rFonts w:ascii="Arial" w:hAnsi="Arial" w:cs="Arial"/>
          <w:sz w:val="24"/>
          <w:szCs w:val="24"/>
        </w:rPr>
        <w:t>to the 1</w:t>
      </w:r>
      <w:r w:rsidR="003531E7" w:rsidRPr="003531E7">
        <w:rPr>
          <w:rFonts w:ascii="Arial" w:hAnsi="Arial" w:cs="Arial"/>
          <w:sz w:val="24"/>
          <w:szCs w:val="24"/>
          <w:vertAlign w:val="superscript"/>
        </w:rPr>
        <w:t>st</w:t>
      </w:r>
      <w:r w:rsidR="003531E7">
        <w:rPr>
          <w:rFonts w:ascii="Arial" w:hAnsi="Arial" w:cs="Arial"/>
          <w:sz w:val="24"/>
          <w:szCs w:val="24"/>
        </w:rPr>
        <w:t xml:space="preserve"> respondent</w:t>
      </w:r>
      <w:r w:rsidR="00FB2096">
        <w:rPr>
          <w:rFonts w:ascii="Arial" w:hAnsi="Arial" w:cs="Arial"/>
          <w:sz w:val="24"/>
          <w:szCs w:val="24"/>
        </w:rPr>
        <w:t>’s name</w:t>
      </w:r>
      <w:r w:rsidR="003D160C">
        <w:rPr>
          <w:rStyle w:val="FootnoteReference"/>
          <w:rFonts w:ascii="Arial" w:hAnsi="Arial" w:cs="Arial"/>
          <w:sz w:val="24"/>
          <w:szCs w:val="24"/>
        </w:rPr>
        <w:footnoteReference w:id="2"/>
      </w:r>
      <w:r w:rsidR="009635CA">
        <w:rPr>
          <w:rFonts w:ascii="Arial" w:hAnsi="Arial" w:cs="Arial"/>
          <w:sz w:val="24"/>
          <w:szCs w:val="24"/>
        </w:rPr>
        <w:t>. I</w:t>
      </w:r>
      <w:r w:rsidR="007A5C28">
        <w:rPr>
          <w:rFonts w:ascii="Arial" w:hAnsi="Arial" w:cs="Arial"/>
          <w:sz w:val="24"/>
          <w:szCs w:val="24"/>
        </w:rPr>
        <w:t>n March</w:t>
      </w:r>
      <w:r w:rsidR="003531E7">
        <w:rPr>
          <w:rFonts w:ascii="Arial" w:hAnsi="Arial" w:cs="Arial"/>
          <w:sz w:val="24"/>
          <w:szCs w:val="24"/>
        </w:rPr>
        <w:t xml:space="preserve"> 2003</w:t>
      </w:r>
      <w:r w:rsidR="00014624">
        <w:rPr>
          <w:rFonts w:ascii="Arial" w:hAnsi="Arial" w:cs="Arial"/>
          <w:sz w:val="24"/>
          <w:szCs w:val="24"/>
        </w:rPr>
        <w:t>,</w:t>
      </w:r>
      <w:r w:rsidR="003531E7">
        <w:rPr>
          <w:rFonts w:ascii="Arial" w:hAnsi="Arial" w:cs="Arial"/>
          <w:sz w:val="24"/>
          <w:szCs w:val="24"/>
        </w:rPr>
        <w:t xml:space="preserve"> </w:t>
      </w:r>
      <w:r w:rsidR="009635CA">
        <w:rPr>
          <w:rFonts w:ascii="Arial" w:hAnsi="Arial" w:cs="Arial"/>
          <w:sz w:val="24"/>
          <w:szCs w:val="24"/>
        </w:rPr>
        <w:t>t</w:t>
      </w:r>
      <w:r w:rsidR="007E5553">
        <w:rPr>
          <w:rFonts w:ascii="Arial" w:hAnsi="Arial" w:cs="Arial"/>
          <w:sz w:val="24"/>
          <w:szCs w:val="24"/>
        </w:rPr>
        <w:t xml:space="preserve">he appeal </w:t>
      </w:r>
      <w:r w:rsidR="00C70C69">
        <w:rPr>
          <w:rFonts w:ascii="Arial" w:hAnsi="Arial" w:cs="Arial"/>
          <w:sz w:val="24"/>
          <w:szCs w:val="24"/>
        </w:rPr>
        <w:t>panel consisting of three adjudicators</w:t>
      </w:r>
      <w:r w:rsidR="007E5553">
        <w:rPr>
          <w:rFonts w:ascii="Arial" w:hAnsi="Arial" w:cs="Arial"/>
          <w:sz w:val="24"/>
          <w:szCs w:val="24"/>
        </w:rPr>
        <w:t xml:space="preserve"> </w:t>
      </w:r>
      <w:r w:rsidR="007A5C0E">
        <w:rPr>
          <w:rFonts w:ascii="Arial" w:hAnsi="Arial" w:cs="Arial"/>
          <w:sz w:val="24"/>
          <w:szCs w:val="24"/>
        </w:rPr>
        <w:t xml:space="preserve">indicated that the appellant made the following submissions: that he was a lodger at the </w:t>
      </w:r>
      <w:r w:rsidR="007A5C0E">
        <w:rPr>
          <w:rFonts w:ascii="Arial" w:hAnsi="Arial" w:cs="Arial"/>
          <w:sz w:val="24"/>
          <w:szCs w:val="24"/>
        </w:rPr>
        <w:lastRenderedPageBreak/>
        <w:t xml:space="preserve">immovable </w:t>
      </w:r>
      <w:proofErr w:type="gramStart"/>
      <w:r w:rsidR="007A5C0E">
        <w:rPr>
          <w:rFonts w:ascii="Arial" w:hAnsi="Arial" w:cs="Arial"/>
          <w:sz w:val="24"/>
          <w:szCs w:val="24"/>
        </w:rPr>
        <w:t>property, that</w:t>
      </w:r>
      <w:proofErr w:type="gramEnd"/>
      <w:r w:rsidR="007A5C0E">
        <w:rPr>
          <w:rFonts w:ascii="Arial" w:hAnsi="Arial" w:cs="Arial"/>
          <w:sz w:val="24"/>
          <w:szCs w:val="24"/>
        </w:rPr>
        <w:t xml:space="preserve"> he wants the immovable property to be a family home, </w:t>
      </w:r>
      <w:r w:rsidR="00382CCF">
        <w:rPr>
          <w:rFonts w:ascii="Arial" w:hAnsi="Arial" w:cs="Arial"/>
          <w:sz w:val="24"/>
          <w:szCs w:val="24"/>
        </w:rPr>
        <w:t xml:space="preserve">that he </w:t>
      </w:r>
      <w:r w:rsidR="007A5C0E">
        <w:rPr>
          <w:rFonts w:ascii="Arial" w:hAnsi="Arial" w:cs="Arial"/>
          <w:sz w:val="24"/>
          <w:szCs w:val="24"/>
        </w:rPr>
        <w:t>was married to Joyce</w:t>
      </w:r>
      <w:r w:rsidR="00382CCF">
        <w:rPr>
          <w:rFonts w:ascii="Arial" w:hAnsi="Arial" w:cs="Arial"/>
          <w:sz w:val="24"/>
          <w:szCs w:val="24"/>
        </w:rPr>
        <w:t xml:space="preserve"> and that they resided at the house of Florence </w:t>
      </w:r>
      <w:proofErr w:type="spellStart"/>
      <w:r w:rsidR="00382CCF">
        <w:rPr>
          <w:rFonts w:ascii="Arial" w:hAnsi="Arial" w:cs="Arial"/>
          <w:sz w:val="24"/>
          <w:szCs w:val="24"/>
        </w:rPr>
        <w:t>Mokoena</w:t>
      </w:r>
      <w:proofErr w:type="spellEnd"/>
      <w:r w:rsidR="00382CCF">
        <w:rPr>
          <w:rFonts w:ascii="Arial" w:hAnsi="Arial" w:cs="Arial"/>
          <w:sz w:val="24"/>
          <w:szCs w:val="24"/>
        </w:rPr>
        <w:t xml:space="preserve">. </w:t>
      </w:r>
    </w:p>
    <w:p w:rsidR="00204844" w:rsidRDefault="00204844" w:rsidP="00AC2AE1">
      <w:pPr>
        <w:spacing w:line="480" w:lineRule="auto"/>
        <w:jc w:val="both"/>
        <w:rPr>
          <w:rFonts w:ascii="Arial" w:hAnsi="Arial" w:cs="Arial"/>
          <w:sz w:val="24"/>
          <w:szCs w:val="24"/>
        </w:rPr>
      </w:pPr>
    </w:p>
    <w:p w:rsidR="00204844" w:rsidRDefault="00204844" w:rsidP="00BA1CB8">
      <w:pPr>
        <w:spacing w:line="480" w:lineRule="auto"/>
        <w:ind w:left="720" w:hanging="720"/>
        <w:jc w:val="both"/>
        <w:rPr>
          <w:rFonts w:ascii="Arial" w:hAnsi="Arial" w:cs="Arial"/>
          <w:sz w:val="24"/>
          <w:szCs w:val="24"/>
        </w:rPr>
      </w:pPr>
      <w:r>
        <w:rPr>
          <w:rFonts w:ascii="Arial" w:hAnsi="Arial" w:cs="Arial"/>
          <w:sz w:val="24"/>
          <w:szCs w:val="24"/>
        </w:rPr>
        <w:t>[1</w:t>
      </w:r>
      <w:r w:rsidR="00E304DA">
        <w:rPr>
          <w:rFonts w:ascii="Arial" w:hAnsi="Arial" w:cs="Arial"/>
          <w:sz w:val="24"/>
          <w:szCs w:val="24"/>
        </w:rPr>
        <w:t>1</w:t>
      </w:r>
      <w:r>
        <w:rPr>
          <w:rFonts w:ascii="Arial" w:hAnsi="Arial" w:cs="Arial"/>
          <w:sz w:val="24"/>
          <w:szCs w:val="24"/>
        </w:rPr>
        <w:t>]</w:t>
      </w:r>
      <w:r>
        <w:rPr>
          <w:rFonts w:ascii="Arial" w:hAnsi="Arial" w:cs="Arial"/>
          <w:sz w:val="24"/>
          <w:szCs w:val="24"/>
        </w:rPr>
        <w:tab/>
      </w:r>
      <w:r w:rsidR="00382CCF">
        <w:rPr>
          <w:rFonts w:ascii="Arial" w:hAnsi="Arial" w:cs="Arial"/>
          <w:sz w:val="24"/>
          <w:szCs w:val="24"/>
        </w:rPr>
        <w:t>The</w:t>
      </w:r>
      <w:r w:rsidR="00570973">
        <w:rPr>
          <w:rFonts w:ascii="Arial" w:hAnsi="Arial" w:cs="Arial"/>
          <w:sz w:val="24"/>
          <w:szCs w:val="24"/>
        </w:rPr>
        <w:t xml:space="preserve"> appeal panel further </w:t>
      </w:r>
      <w:r w:rsidR="00382CCF">
        <w:rPr>
          <w:rFonts w:ascii="Arial" w:hAnsi="Arial" w:cs="Arial"/>
          <w:sz w:val="24"/>
          <w:szCs w:val="24"/>
        </w:rPr>
        <w:t xml:space="preserve">recorded that the </w:t>
      </w:r>
      <w:r w:rsidR="007C2112">
        <w:rPr>
          <w:rFonts w:ascii="Arial" w:hAnsi="Arial" w:cs="Arial"/>
          <w:sz w:val="24"/>
          <w:szCs w:val="24"/>
        </w:rPr>
        <w:t>(1</w:t>
      </w:r>
      <w:r w:rsidR="007C2112" w:rsidRPr="007C2112">
        <w:rPr>
          <w:rFonts w:ascii="Arial" w:hAnsi="Arial" w:cs="Arial"/>
          <w:sz w:val="24"/>
          <w:szCs w:val="24"/>
          <w:vertAlign w:val="superscript"/>
        </w:rPr>
        <w:t>st</w:t>
      </w:r>
      <w:r w:rsidR="007C2112">
        <w:rPr>
          <w:rFonts w:ascii="Arial" w:hAnsi="Arial" w:cs="Arial"/>
          <w:sz w:val="24"/>
          <w:szCs w:val="24"/>
        </w:rPr>
        <w:t xml:space="preserve">) </w:t>
      </w:r>
      <w:r w:rsidR="00382CCF">
        <w:rPr>
          <w:rFonts w:ascii="Arial" w:hAnsi="Arial" w:cs="Arial"/>
          <w:sz w:val="24"/>
          <w:szCs w:val="24"/>
        </w:rPr>
        <w:t>respondent stated that: the house cannot be a family house as the appellant fought with his mother before he left the immovable property and the only reason the appellant want</w:t>
      </w:r>
      <w:r w:rsidR="00570973">
        <w:rPr>
          <w:rFonts w:ascii="Arial" w:hAnsi="Arial" w:cs="Arial"/>
          <w:sz w:val="24"/>
          <w:szCs w:val="24"/>
        </w:rPr>
        <w:t>ed</w:t>
      </w:r>
      <w:r w:rsidR="00382CCF">
        <w:rPr>
          <w:rFonts w:ascii="Arial" w:hAnsi="Arial" w:cs="Arial"/>
          <w:sz w:val="24"/>
          <w:szCs w:val="24"/>
        </w:rPr>
        <w:t xml:space="preserve"> to move back </w:t>
      </w:r>
      <w:r w:rsidR="00570973">
        <w:rPr>
          <w:rFonts w:ascii="Arial" w:hAnsi="Arial" w:cs="Arial"/>
          <w:sz w:val="24"/>
          <w:szCs w:val="24"/>
        </w:rPr>
        <w:t xml:space="preserve">onto the immovable property </w:t>
      </w:r>
      <w:r w:rsidR="00ED6012">
        <w:rPr>
          <w:rFonts w:ascii="Arial" w:hAnsi="Arial" w:cs="Arial"/>
          <w:sz w:val="24"/>
          <w:szCs w:val="24"/>
        </w:rPr>
        <w:t>wa</w:t>
      </w:r>
      <w:r w:rsidR="00382CCF">
        <w:rPr>
          <w:rFonts w:ascii="Arial" w:hAnsi="Arial" w:cs="Arial"/>
          <w:sz w:val="24"/>
          <w:szCs w:val="24"/>
        </w:rPr>
        <w:t xml:space="preserve">s because his mother passed away. </w:t>
      </w:r>
    </w:p>
    <w:p w:rsidR="00204844" w:rsidRDefault="00204844" w:rsidP="00AC2AE1">
      <w:pPr>
        <w:spacing w:line="480" w:lineRule="auto"/>
        <w:jc w:val="both"/>
        <w:rPr>
          <w:rFonts w:ascii="Arial" w:hAnsi="Arial" w:cs="Arial"/>
          <w:sz w:val="24"/>
          <w:szCs w:val="24"/>
        </w:rPr>
      </w:pPr>
    </w:p>
    <w:p w:rsidR="00204844" w:rsidRDefault="00204844" w:rsidP="00BA1CB8">
      <w:pPr>
        <w:spacing w:line="480" w:lineRule="auto"/>
        <w:ind w:left="720" w:hanging="720"/>
        <w:jc w:val="both"/>
        <w:rPr>
          <w:rFonts w:ascii="Arial" w:hAnsi="Arial" w:cs="Arial"/>
          <w:sz w:val="24"/>
          <w:szCs w:val="24"/>
        </w:rPr>
      </w:pPr>
      <w:r>
        <w:rPr>
          <w:rFonts w:ascii="Arial" w:hAnsi="Arial" w:cs="Arial"/>
          <w:sz w:val="24"/>
          <w:szCs w:val="24"/>
        </w:rPr>
        <w:t>[1</w:t>
      </w:r>
      <w:r w:rsidR="00E304DA">
        <w:rPr>
          <w:rFonts w:ascii="Arial" w:hAnsi="Arial" w:cs="Arial"/>
          <w:sz w:val="24"/>
          <w:szCs w:val="24"/>
        </w:rPr>
        <w:t>2</w:t>
      </w:r>
      <w:r>
        <w:rPr>
          <w:rFonts w:ascii="Arial" w:hAnsi="Arial" w:cs="Arial"/>
          <w:sz w:val="24"/>
          <w:szCs w:val="24"/>
        </w:rPr>
        <w:t>]</w:t>
      </w:r>
      <w:r>
        <w:rPr>
          <w:rFonts w:ascii="Arial" w:hAnsi="Arial" w:cs="Arial"/>
          <w:sz w:val="24"/>
          <w:szCs w:val="24"/>
        </w:rPr>
        <w:tab/>
      </w:r>
      <w:r w:rsidR="00C564B7">
        <w:rPr>
          <w:rFonts w:ascii="Arial" w:hAnsi="Arial" w:cs="Arial"/>
          <w:sz w:val="24"/>
          <w:szCs w:val="24"/>
        </w:rPr>
        <w:t>Under the heading facts proved</w:t>
      </w:r>
      <w:r w:rsidR="008F26E3">
        <w:rPr>
          <w:rFonts w:ascii="Arial" w:hAnsi="Arial" w:cs="Arial"/>
          <w:sz w:val="24"/>
          <w:szCs w:val="24"/>
        </w:rPr>
        <w:t>,</w:t>
      </w:r>
      <w:r w:rsidR="00C564B7">
        <w:rPr>
          <w:rFonts w:ascii="Arial" w:hAnsi="Arial" w:cs="Arial"/>
          <w:sz w:val="24"/>
          <w:szCs w:val="24"/>
        </w:rPr>
        <w:t xml:space="preserve"> the tribunal found that a permit was issued on 19 April 1977 in </w:t>
      </w:r>
      <w:proofErr w:type="spellStart"/>
      <w:r w:rsidR="00C564B7">
        <w:rPr>
          <w:rFonts w:ascii="Arial" w:hAnsi="Arial" w:cs="Arial"/>
          <w:sz w:val="24"/>
          <w:szCs w:val="24"/>
        </w:rPr>
        <w:t>Mankoe’s</w:t>
      </w:r>
      <w:proofErr w:type="spellEnd"/>
      <w:r w:rsidR="00C564B7">
        <w:rPr>
          <w:rFonts w:ascii="Arial" w:hAnsi="Arial" w:cs="Arial"/>
          <w:sz w:val="24"/>
          <w:szCs w:val="24"/>
        </w:rPr>
        <w:t xml:space="preserve"> </w:t>
      </w:r>
      <w:r w:rsidR="00D8111F">
        <w:rPr>
          <w:rFonts w:ascii="Arial" w:hAnsi="Arial" w:cs="Arial"/>
          <w:sz w:val="24"/>
          <w:szCs w:val="24"/>
        </w:rPr>
        <w:t>name,</w:t>
      </w:r>
      <w:r w:rsidR="00C564B7">
        <w:rPr>
          <w:rFonts w:ascii="Arial" w:hAnsi="Arial" w:cs="Arial"/>
          <w:sz w:val="24"/>
          <w:szCs w:val="24"/>
        </w:rPr>
        <w:t xml:space="preserve"> and a certificate of tenancy was issued on 1 May 1977 again in </w:t>
      </w:r>
      <w:proofErr w:type="spellStart"/>
      <w:r w:rsidR="00C564B7">
        <w:rPr>
          <w:rFonts w:ascii="Arial" w:hAnsi="Arial" w:cs="Arial"/>
          <w:sz w:val="24"/>
          <w:szCs w:val="24"/>
        </w:rPr>
        <w:t>Mankoe’s</w:t>
      </w:r>
      <w:proofErr w:type="spellEnd"/>
      <w:r w:rsidR="00C564B7">
        <w:rPr>
          <w:rFonts w:ascii="Arial" w:hAnsi="Arial" w:cs="Arial"/>
          <w:sz w:val="24"/>
          <w:szCs w:val="24"/>
        </w:rPr>
        <w:t xml:space="preserve"> name. </w:t>
      </w:r>
      <w:proofErr w:type="spellStart"/>
      <w:r w:rsidR="00C564B7">
        <w:rPr>
          <w:rFonts w:ascii="Arial" w:hAnsi="Arial" w:cs="Arial"/>
          <w:sz w:val="24"/>
          <w:szCs w:val="24"/>
        </w:rPr>
        <w:t>Mankoe</w:t>
      </w:r>
      <w:proofErr w:type="spellEnd"/>
      <w:r w:rsidR="00C564B7">
        <w:rPr>
          <w:rFonts w:ascii="Arial" w:hAnsi="Arial" w:cs="Arial"/>
          <w:sz w:val="24"/>
          <w:szCs w:val="24"/>
        </w:rPr>
        <w:t xml:space="preserve"> passed away on 21 February 2000. </w:t>
      </w:r>
    </w:p>
    <w:p w:rsidR="00204844" w:rsidRDefault="00204844" w:rsidP="00AC2AE1">
      <w:pPr>
        <w:spacing w:line="480" w:lineRule="auto"/>
        <w:jc w:val="both"/>
        <w:rPr>
          <w:rFonts w:ascii="Arial" w:hAnsi="Arial" w:cs="Arial"/>
          <w:sz w:val="24"/>
          <w:szCs w:val="24"/>
        </w:rPr>
      </w:pPr>
    </w:p>
    <w:p w:rsidR="003531E7" w:rsidRDefault="00204844" w:rsidP="00BA1CB8">
      <w:pPr>
        <w:spacing w:line="480" w:lineRule="auto"/>
        <w:ind w:left="720" w:hanging="720"/>
        <w:jc w:val="both"/>
        <w:rPr>
          <w:rFonts w:ascii="Arial" w:hAnsi="Arial" w:cs="Arial"/>
          <w:sz w:val="24"/>
          <w:szCs w:val="24"/>
        </w:rPr>
      </w:pPr>
      <w:r>
        <w:rPr>
          <w:rFonts w:ascii="Arial" w:hAnsi="Arial" w:cs="Arial"/>
          <w:sz w:val="24"/>
          <w:szCs w:val="24"/>
        </w:rPr>
        <w:t>[1</w:t>
      </w:r>
      <w:r w:rsidR="00E304DA">
        <w:rPr>
          <w:rFonts w:ascii="Arial" w:hAnsi="Arial" w:cs="Arial"/>
          <w:sz w:val="24"/>
          <w:szCs w:val="24"/>
        </w:rPr>
        <w:t>3</w:t>
      </w:r>
      <w:r>
        <w:rPr>
          <w:rFonts w:ascii="Arial" w:hAnsi="Arial" w:cs="Arial"/>
          <w:sz w:val="24"/>
          <w:szCs w:val="24"/>
        </w:rPr>
        <w:t>]</w:t>
      </w:r>
      <w:r>
        <w:rPr>
          <w:rFonts w:ascii="Arial" w:hAnsi="Arial" w:cs="Arial"/>
          <w:sz w:val="24"/>
          <w:szCs w:val="24"/>
        </w:rPr>
        <w:tab/>
      </w:r>
      <w:r w:rsidR="00C564B7">
        <w:rPr>
          <w:rFonts w:ascii="Arial" w:hAnsi="Arial" w:cs="Arial"/>
          <w:sz w:val="24"/>
          <w:szCs w:val="24"/>
        </w:rPr>
        <w:t xml:space="preserve">Under the heading Legal Position and Equity the panel recorded that they explained to the appellant what his rights were under the Conversion Act and that he could apply for an RDP house. </w:t>
      </w:r>
      <w:r w:rsidR="00A3283E">
        <w:rPr>
          <w:rFonts w:ascii="Arial" w:hAnsi="Arial" w:cs="Arial"/>
          <w:sz w:val="24"/>
          <w:szCs w:val="24"/>
        </w:rPr>
        <w:t>The panel was unanimous in their view that the adjudicator a quo</w:t>
      </w:r>
      <w:r w:rsidR="007C2112">
        <w:rPr>
          <w:rFonts w:ascii="Arial" w:hAnsi="Arial" w:cs="Arial"/>
          <w:sz w:val="24"/>
          <w:szCs w:val="24"/>
        </w:rPr>
        <w:t>’s ruling</w:t>
      </w:r>
      <w:r w:rsidR="00A3283E">
        <w:rPr>
          <w:rFonts w:ascii="Arial" w:hAnsi="Arial" w:cs="Arial"/>
          <w:sz w:val="24"/>
          <w:szCs w:val="24"/>
        </w:rPr>
        <w:t xml:space="preserve"> was sound in law and equity, they found that t</w:t>
      </w:r>
      <w:r w:rsidR="007E5553">
        <w:rPr>
          <w:rFonts w:ascii="Arial" w:hAnsi="Arial" w:cs="Arial"/>
          <w:sz w:val="24"/>
          <w:szCs w:val="24"/>
        </w:rPr>
        <w:t xml:space="preserve">he </w:t>
      </w:r>
      <w:r w:rsidR="007C2112">
        <w:rPr>
          <w:rFonts w:ascii="Arial" w:hAnsi="Arial" w:cs="Arial"/>
          <w:sz w:val="24"/>
          <w:szCs w:val="24"/>
        </w:rPr>
        <w:t>(</w:t>
      </w:r>
      <w:r w:rsidR="007E5553">
        <w:rPr>
          <w:rFonts w:ascii="Arial" w:hAnsi="Arial" w:cs="Arial"/>
          <w:sz w:val="24"/>
          <w:szCs w:val="24"/>
        </w:rPr>
        <w:t>1</w:t>
      </w:r>
      <w:r w:rsidR="007E5553" w:rsidRPr="007E5553">
        <w:rPr>
          <w:rFonts w:ascii="Arial" w:hAnsi="Arial" w:cs="Arial"/>
          <w:sz w:val="24"/>
          <w:szCs w:val="24"/>
          <w:vertAlign w:val="superscript"/>
        </w:rPr>
        <w:t>st</w:t>
      </w:r>
      <w:r w:rsidR="007C2112">
        <w:rPr>
          <w:rFonts w:ascii="Arial" w:hAnsi="Arial" w:cs="Arial"/>
          <w:sz w:val="24"/>
          <w:szCs w:val="24"/>
        </w:rPr>
        <w:t xml:space="preserve">) </w:t>
      </w:r>
      <w:r w:rsidR="007E5553">
        <w:rPr>
          <w:rFonts w:ascii="Arial" w:hAnsi="Arial" w:cs="Arial"/>
          <w:sz w:val="24"/>
          <w:szCs w:val="24"/>
        </w:rPr>
        <w:t>respondent continuously resided at the immovable property and continued to reside at the immovable property</w:t>
      </w:r>
      <w:r w:rsidR="007D5B39">
        <w:rPr>
          <w:rFonts w:ascii="Arial" w:hAnsi="Arial" w:cs="Arial"/>
          <w:sz w:val="24"/>
          <w:szCs w:val="24"/>
        </w:rPr>
        <w:t xml:space="preserve"> after </w:t>
      </w:r>
      <w:proofErr w:type="spellStart"/>
      <w:r w:rsidR="007D5B39">
        <w:rPr>
          <w:rFonts w:ascii="Arial" w:hAnsi="Arial" w:cs="Arial"/>
          <w:sz w:val="24"/>
          <w:szCs w:val="24"/>
        </w:rPr>
        <w:t>Mankoe’s</w:t>
      </w:r>
      <w:proofErr w:type="spellEnd"/>
      <w:r w:rsidR="007D5B39">
        <w:rPr>
          <w:rFonts w:ascii="Arial" w:hAnsi="Arial" w:cs="Arial"/>
          <w:sz w:val="24"/>
          <w:szCs w:val="24"/>
        </w:rPr>
        <w:t xml:space="preserve"> death</w:t>
      </w:r>
      <w:r w:rsidR="00A3283E">
        <w:rPr>
          <w:rFonts w:ascii="Arial" w:hAnsi="Arial" w:cs="Arial"/>
          <w:sz w:val="24"/>
          <w:szCs w:val="24"/>
        </w:rPr>
        <w:t xml:space="preserve"> and </w:t>
      </w:r>
      <w:r w:rsidR="007E5553">
        <w:rPr>
          <w:rFonts w:ascii="Arial" w:hAnsi="Arial" w:cs="Arial"/>
          <w:sz w:val="24"/>
          <w:szCs w:val="24"/>
        </w:rPr>
        <w:t xml:space="preserve">that the </w:t>
      </w:r>
      <w:r>
        <w:rPr>
          <w:rFonts w:ascii="Arial" w:hAnsi="Arial" w:cs="Arial"/>
          <w:sz w:val="24"/>
          <w:szCs w:val="24"/>
        </w:rPr>
        <w:t>(</w:t>
      </w:r>
      <w:r w:rsidR="007E5553">
        <w:rPr>
          <w:rFonts w:ascii="Arial" w:hAnsi="Arial" w:cs="Arial"/>
          <w:sz w:val="24"/>
          <w:szCs w:val="24"/>
        </w:rPr>
        <w:t>1</w:t>
      </w:r>
      <w:r w:rsidR="007E5553" w:rsidRPr="007E5553">
        <w:rPr>
          <w:rFonts w:ascii="Arial" w:hAnsi="Arial" w:cs="Arial"/>
          <w:sz w:val="24"/>
          <w:szCs w:val="24"/>
          <w:vertAlign w:val="superscript"/>
        </w:rPr>
        <w:t>st</w:t>
      </w:r>
      <w:r>
        <w:rPr>
          <w:rFonts w:ascii="Arial" w:hAnsi="Arial" w:cs="Arial"/>
          <w:sz w:val="24"/>
          <w:szCs w:val="24"/>
        </w:rPr>
        <w:t xml:space="preserve">) </w:t>
      </w:r>
      <w:r w:rsidR="007E5553">
        <w:rPr>
          <w:rFonts w:ascii="Arial" w:hAnsi="Arial" w:cs="Arial"/>
          <w:sz w:val="24"/>
          <w:szCs w:val="24"/>
        </w:rPr>
        <w:t xml:space="preserve">respondent cared for </w:t>
      </w:r>
      <w:proofErr w:type="spellStart"/>
      <w:r w:rsidR="007E5553">
        <w:rPr>
          <w:rFonts w:ascii="Arial" w:hAnsi="Arial" w:cs="Arial"/>
          <w:sz w:val="24"/>
          <w:szCs w:val="24"/>
        </w:rPr>
        <w:t>Frans</w:t>
      </w:r>
      <w:proofErr w:type="spellEnd"/>
      <w:r w:rsidR="00145BAA">
        <w:rPr>
          <w:rFonts w:ascii="Arial" w:hAnsi="Arial" w:cs="Arial"/>
          <w:sz w:val="24"/>
          <w:szCs w:val="24"/>
        </w:rPr>
        <w:t xml:space="preserve"> and that </w:t>
      </w:r>
      <w:proofErr w:type="spellStart"/>
      <w:r w:rsidR="00145BAA">
        <w:rPr>
          <w:rFonts w:ascii="Arial" w:hAnsi="Arial" w:cs="Arial"/>
          <w:sz w:val="24"/>
          <w:szCs w:val="24"/>
        </w:rPr>
        <w:t>Frans</w:t>
      </w:r>
      <w:proofErr w:type="spellEnd"/>
      <w:r w:rsidR="00145BAA">
        <w:rPr>
          <w:rFonts w:ascii="Arial" w:hAnsi="Arial" w:cs="Arial"/>
          <w:sz w:val="24"/>
          <w:szCs w:val="24"/>
        </w:rPr>
        <w:t xml:space="preserve"> resided at the immovable property with the </w:t>
      </w:r>
      <w:r>
        <w:rPr>
          <w:rFonts w:ascii="Arial" w:hAnsi="Arial" w:cs="Arial"/>
          <w:sz w:val="24"/>
          <w:szCs w:val="24"/>
        </w:rPr>
        <w:t>(</w:t>
      </w:r>
      <w:r w:rsidR="00145BAA">
        <w:rPr>
          <w:rFonts w:ascii="Arial" w:hAnsi="Arial" w:cs="Arial"/>
          <w:sz w:val="24"/>
          <w:szCs w:val="24"/>
        </w:rPr>
        <w:t>1</w:t>
      </w:r>
      <w:r w:rsidR="00145BAA" w:rsidRPr="00145BAA">
        <w:rPr>
          <w:rFonts w:ascii="Arial" w:hAnsi="Arial" w:cs="Arial"/>
          <w:sz w:val="24"/>
          <w:szCs w:val="24"/>
          <w:vertAlign w:val="superscript"/>
        </w:rPr>
        <w:t>st</w:t>
      </w:r>
      <w:r>
        <w:rPr>
          <w:rFonts w:ascii="Arial" w:hAnsi="Arial" w:cs="Arial"/>
          <w:sz w:val="24"/>
          <w:szCs w:val="24"/>
        </w:rPr>
        <w:t xml:space="preserve">) </w:t>
      </w:r>
      <w:r w:rsidR="00145BAA">
        <w:rPr>
          <w:rFonts w:ascii="Arial" w:hAnsi="Arial" w:cs="Arial"/>
          <w:sz w:val="24"/>
          <w:szCs w:val="24"/>
        </w:rPr>
        <w:t xml:space="preserve">respondent. </w:t>
      </w:r>
      <w:r w:rsidR="009635CA">
        <w:rPr>
          <w:rFonts w:ascii="Arial" w:hAnsi="Arial" w:cs="Arial"/>
          <w:sz w:val="24"/>
          <w:szCs w:val="24"/>
        </w:rPr>
        <w:t xml:space="preserve">The appeal </w:t>
      </w:r>
      <w:r w:rsidR="003D160C">
        <w:rPr>
          <w:rFonts w:ascii="Arial" w:hAnsi="Arial" w:cs="Arial"/>
          <w:sz w:val="24"/>
          <w:szCs w:val="24"/>
        </w:rPr>
        <w:t>panel</w:t>
      </w:r>
      <w:r w:rsidR="009635CA">
        <w:rPr>
          <w:rFonts w:ascii="Arial" w:hAnsi="Arial" w:cs="Arial"/>
          <w:sz w:val="24"/>
          <w:szCs w:val="24"/>
        </w:rPr>
        <w:t xml:space="preserve"> </w:t>
      </w:r>
      <w:r w:rsidR="007D5B39">
        <w:rPr>
          <w:rFonts w:ascii="Arial" w:hAnsi="Arial" w:cs="Arial"/>
          <w:sz w:val="24"/>
          <w:szCs w:val="24"/>
        </w:rPr>
        <w:t xml:space="preserve">upheld the original </w:t>
      </w:r>
      <w:r w:rsidR="007D5B39">
        <w:rPr>
          <w:rFonts w:ascii="Arial" w:hAnsi="Arial" w:cs="Arial"/>
          <w:sz w:val="24"/>
          <w:szCs w:val="24"/>
        </w:rPr>
        <w:lastRenderedPageBreak/>
        <w:t xml:space="preserve">decision of the </w:t>
      </w:r>
      <w:r w:rsidR="00FB2096">
        <w:rPr>
          <w:rFonts w:ascii="Arial" w:hAnsi="Arial" w:cs="Arial"/>
          <w:sz w:val="24"/>
          <w:szCs w:val="24"/>
        </w:rPr>
        <w:t xml:space="preserve">housing </w:t>
      </w:r>
      <w:r w:rsidR="00067899">
        <w:rPr>
          <w:rFonts w:ascii="Arial" w:hAnsi="Arial" w:cs="Arial"/>
          <w:sz w:val="24"/>
          <w:szCs w:val="24"/>
        </w:rPr>
        <w:t>bur</w:t>
      </w:r>
      <w:r w:rsidR="000E03D7">
        <w:rPr>
          <w:rFonts w:ascii="Arial" w:hAnsi="Arial" w:cs="Arial"/>
          <w:sz w:val="24"/>
          <w:szCs w:val="24"/>
        </w:rPr>
        <w:t xml:space="preserve">eau </w:t>
      </w:r>
      <w:r w:rsidR="007D5B39">
        <w:rPr>
          <w:rFonts w:ascii="Arial" w:hAnsi="Arial" w:cs="Arial"/>
          <w:sz w:val="24"/>
          <w:szCs w:val="24"/>
        </w:rPr>
        <w:t xml:space="preserve">to award the immovable property to the </w:t>
      </w:r>
      <w:r>
        <w:rPr>
          <w:rFonts w:ascii="Arial" w:hAnsi="Arial" w:cs="Arial"/>
          <w:sz w:val="24"/>
          <w:szCs w:val="24"/>
        </w:rPr>
        <w:t>(</w:t>
      </w:r>
      <w:r w:rsidR="007D5B39">
        <w:rPr>
          <w:rFonts w:ascii="Arial" w:hAnsi="Arial" w:cs="Arial"/>
          <w:sz w:val="24"/>
          <w:szCs w:val="24"/>
        </w:rPr>
        <w:t>1</w:t>
      </w:r>
      <w:r w:rsidR="007D5B39" w:rsidRPr="007D5B39">
        <w:rPr>
          <w:rFonts w:ascii="Arial" w:hAnsi="Arial" w:cs="Arial"/>
          <w:sz w:val="24"/>
          <w:szCs w:val="24"/>
          <w:vertAlign w:val="superscript"/>
        </w:rPr>
        <w:t>st</w:t>
      </w:r>
      <w:r>
        <w:rPr>
          <w:rFonts w:ascii="Arial" w:hAnsi="Arial" w:cs="Arial"/>
          <w:sz w:val="24"/>
          <w:szCs w:val="24"/>
        </w:rPr>
        <w:t xml:space="preserve">) </w:t>
      </w:r>
      <w:r w:rsidR="007D5B39">
        <w:rPr>
          <w:rFonts w:ascii="Arial" w:hAnsi="Arial" w:cs="Arial"/>
          <w:sz w:val="24"/>
          <w:szCs w:val="24"/>
        </w:rPr>
        <w:t xml:space="preserve">respondent and dismissed the appeal. </w:t>
      </w:r>
    </w:p>
    <w:p w:rsidR="004C43EE" w:rsidRDefault="004C43EE" w:rsidP="004C5AE8">
      <w:pPr>
        <w:spacing w:line="480" w:lineRule="auto"/>
        <w:jc w:val="both"/>
        <w:rPr>
          <w:rFonts w:ascii="Arial" w:hAnsi="Arial" w:cs="Arial"/>
          <w:sz w:val="24"/>
          <w:szCs w:val="24"/>
        </w:rPr>
      </w:pPr>
    </w:p>
    <w:p w:rsidR="0090546D" w:rsidRDefault="00AC2AE1" w:rsidP="00BA1CB8">
      <w:pPr>
        <w:spacing w:line="480" w:lineRule="auto"/>
        <w:ind w:left="720" w:hanging="720"/>
        <w:jc w:val="both"/>
        <w:rPr>
          <w:rFonts w:ascii="Arial" w:hAnsi="Arial" w:cs="Arial"/>
          <w:sz w:val="24"/>
          <w:szCs w:val="24"/>
        </w:rPr>
      </w:pPr>
      <w:r>
        <w:rPr>
          <w:rFonts w:ascii="Arial" w:hAnsi="Arial" w:cs="Arial"/>
          <w:sz w:val="24"/>
          <w:szCs w:val="24"/>
        </w:rPr>
        <w:t>[</w:t>
      </w:r>
      <w:r w:rsidR="00914C16">
        <w:rPr>
          <w:rFonts w:ascii="Arial" w:hAnsi="Arial" w:cs="Arial"/>
          <w:sz w:val="24"/>
          <w:szCs w:val="24"/>
        </w:rPr>
        <w:t>1</w:t>
      </w:r>
      <w:r w:rsidR="00E304DA">
        <w:rPr>
          <w:rFonts w:ascii="Arial" w:hAnsi="Arial" w:cs="Arial"/>
          <w:sz w:val="24"/>
          <w:szCs w:val="24"/>
        </w:rPr>
        <w:t>4</w:t>
      </w:r>
      <w:r>
        <w:rPr>
          <w:rFonts w:ascii="Arial" w:hAnsi="Arial" w:cs="Arial"/>
          <w:sz w:val="24"/>
          <w:szCs w:val="24"/>
        </w:rPr>
        <w:t>]</w:t>
      </w:r>
      <w:r>
        <w:rPr>
          <w:rFonts w:ascii="Arial" w:hAnsi="Arial" w:cs="Arial"/>
          <w:sz w:val="24"/>
          <w:szCs w:val="24"/>
        </w:rPr>
        <w:tab/>
      </w:r>
      <w:r w:rsidR="00C8157B">
        <w:rPr>
          <w:rFonts w:ascii="Arial" w:hAnsi="Arial" w:cs="Arial"/>
          <w:sz w:val="24"/>
          <w:szCs w:val="24"/>
        </w:rPr>
        <w:t>In 2009</w:t>
      </w:r>
      <w:r w:rsidR="00E14D03">
        <w:rPr>
          <w:rFonts w:ascii="Arial" w:hAnsi="Arial" w:cs="Arial"/>
          <w:sz w:val="24"/>
          <w:szCs w:val="24"/>
        </w:rPr>
        <w:t>,</w:t>
      </w:r>
      <w:r w:rsidR="00C8157B">
        <w:rPr>
          <w:rFonts w:ascii="Arial" w:hAnsi="Arial" w:cs="Arial"/>
          <w:sz w:val="24"/>
          <w:szCs w:val="24"/>
        </w:rPr>
        <w:t xml:space="preserve"> the 1</w:t>
      </w:r>
      <w:r w:rsidR="00C8157B" w:rsidRPr="00C8157B">
        <w:rPr>
          <w:rFonts w:ascii="Arial" w:hAnsi="Arial" w:cs="Arial"/>
          <w:sz w:val="24"/>
          <w:szCs w:val="24"/>
          <w:vertAlign w:val="superscript"/>
        </w:rPr>
        <w:t>st</w:t>
      </w:r>
      <w:r w:rsidR="00C8157B">
        <w:rPr>
          <w:rFonts w:ascii="Arial" w:hAnsi="Arial" w:cs="Arial"/>
          <w:sz w:val="24"/>
          <w:szCs w:val="24"/>
        </w:rPr>
        <w:t xml:space="preserve"> Respondent b</w:t>
      </w:r>
      <w:r w:rsidR="008C2841">
        <w:rPr>
          <w:rFonts w:ascii="Arial" w:hAnsi="Arial" w:cs="Arial"/>
          <w:sz w:val="24"/>
          <w:szCs w:val="24"/>
        </w:rPr>
        <w:t>r</w:t>
      </w:r>
      <w:r w:rsidR="00C8157B">
        <w:rPr>
          <w:rFonts w:ascii="Arial" w:hAnsi="Arial" w:cs="Arial"/>
          <w:sz w:val="24"/>
          <w:szCs w:val="24"/>
        </w:rPr>
        <w:t xml:space="preserve">ought </w:t>
      </w:r>
      <w:r w:rsidR="00F8600A">
        <w:rPr>
          <w:rFonts w:ascii="Arial" w:hAnsi="Arial" w:cs="Arial"/>
          <w:sz w:val="24"/>
          <w:szCs w:val="24"/>
        </w:rPr>
        <w:t xml:space="preserve">an application </w:t>
      </w:r>
      <w:r w:rsidR="003D160C">
        <w:rPr>
          <w:rFonts w:ascii="Arial" w:hAnsi="Arial" w:cs="Arial"/>
          <w:sz w:val="24"/>
          <w:szCs w:val="24"/>
        </w:rPr>
        <w:t xml:space="preserve">in the Magistrates Court </w:t>
      </w:r>
      <w:r w:rsidR="008C2841">
        <w:rPr>
          <w:rFonts w:ascii="Arial" w:hAnsi="Arial" w:cs="Arial"/>
          <w:sz w:val="24"/>
          <w:szCs w:val="24"/>
        </w:rPr>
        <w:t xml:space="preserve">seeking </w:t>
      </w:r>
      <w:r w:rsidR="00C8157B">
        <w:rPr>
          <w:rFonts w:ascii="Arial" w:hAnsi="Arial" w:cs="Arial"/>
          <w:sz w:val="24"/>
          <w:szCs w:val="24"/>
        </w:rPr>
        <w:t>t</w:t>
      </w:r>
      <w:r w:rsidR="00182CF3">
        <w:rPr>
          <w:rFonts w:ascii="Arial" w:hAnsi="Arial" w:cs="Arial"/>
          <w:sz w:val="24"/>
          <w:szCs w:val="24"/>
        </w:rPr>
        <w:t>o evict</w:t>
      </w:r>
      <w:r w:rsidR="00C8157B">
        <w:rPr>
          <w:rFonts w:ascii="Arial" w:hAnsi="Arial" w:cs="Arial"/>
          <w:sz w:val="24"/>
          <w:szCs w:val="24"/>
        </w:rPr>
        <w:t xml:space="preserve"> </w:t>
      </w:r>
      <w:proofErr w:type="spellStart"/>
      <w:r w:rsidR="006E1B94">
        <w:rPr>
          <w:rFonts w:ascii="Arial" w:hAnsi="Arial" w:cs="Arial"/>
          <w:sz w:val="24"/>
          <w:szCs w:val="24"/>
        </w:rPr>
        <w:t>Malefetsane</w:t>
      </w:r>
      <w:proofErr w:type="spellEnd"/>
      <w:r w:rsidR="00C8157B">
        <w:rPr>
          <w:rFonts w:ascii="Arial" w:hAnsi="Arial" w:cs="Arial"/>
          <w:sz w:val="24"/>
          <w:szCs w:val="24"/>
        </w:rPr>
        <w:t xml:space="preserve"> and all occupying the property through or under him. </w:t>
      </w:r>
      <w:proofErr w:type="spellStart"/>
      <w:r w:rsidR="006E1B94">
        <w:rPr>
          <w:rFonts w:ascii="Arial" w:hAnsi="Arial" w:cs="Arial"/>
          <w:sz w:val="24"/>
          <w:szCs w:val="24"/>
        </w:rPr>
        <w:t>Malefetsane</w:t>
      </w:r>
      <w:proofErr w:type="spellEnd"/>
      <w:r w:rsidR="00C8157B">
        <w:rPr>
          <w:rFonts w:ascii="Arial" w:hAnsi="Arial" w:cs="Arial"/>
          <w:sz w:val="24"/>
          <w:szCs w:val="24"/>
        </w:rPr>
        <w:t xml:space="preserve"> defended this application and </w:t>
      </w:r>
      <w:r w:rsidR="004C19C5">
        <w:rPr>
          <w:rFonts w:ascii="Arial" w:hAnsi="Arial" w:cs="Arial"/>
          <w:sz w:val="24"/>
          <w:szCs w:val="24"/>
        </w:rPr>
        <w:t xml:space="preserve">brought a separate application in </w:t>
      </w:r>
      <w:r w:rsidR="003D160C">
        <w:rPr>
          <w:rFonts w:ascii="Arial" w:hAnsi="Arial" w:cs="Arial"/>
          <w:sz w:val="24"/>
          <w:szCs w:val="24"/>
        </w:rPr>
        <w:t xml:space="preserve">this Court wherein </w:t>
      </w:r>
      <w:r w:rsidR="004C19C5">
        <w:rPr>
          <w:rFonts w:ascii="Arial" w:hAnsi="Arial" w:cs="Arial"/>
          <w:sz w:val="24"/>
          <w:szCs w:val="24"/>
        </w:rPr>
        <w:t xml:space="preserve">he sought to review and set aside the </w:t>
      </w:r>
      <w:r w:rsidR="00914C16">
        <w:rPr>
          <w:rFonts w:ascii="Arial" w:hAnsi="Arial" w:cs="Arial"/>
          <w:sz w:val="24"/>
          <w:szCs w:val="24"/>
        </w:rPr>
        <w:t xml:space="preserve">appeal </w:t>
      </w:r>
      <w:r w:rsidR="003D160C">
        <w:rPr>
          <w:rFonts w:ascii="Arial" w:hAnsi="Arial" w:cs="Arial"/>
          <w:sz w:val="24"/>
          <w:szCs w:val="24"/>
        </w:rPr>
        <w:t>panel’s</w:t>
      </w:r>
      <w:r w:rsidR="00914C16">
        <w:rPr>
          <w:rFonts w:ascii="Arial" w:hAnsi="Arial" w:cs="Arial"/>
          <w:sz w:val="24"/>
          <w:szCs w:val="24"/>
        </w:rPr>
        <w:t xml:space="preserve"> </w:t>
      </w:r>
      <w:r w:rsidR="004C19C5">
        <w:rPr>
          <w:rFonts w:ascii="Arial" w:hAnsi="Arial" w:cs="Arial"/>
          <w:sz w:val="24"/>
          <w:szCs w:val="24"/>
        </w:rPr>
        <w:t>judgment</w:t>
      </w:r>
      <w:r w:rsidR="00914C16">
        <w:rPr>
          <w:rFonts w:ascii="Arial" w:hAnsi="Arial" w:cs="Arial"/>
          <w:sz w:val="24"/>
          <w:szCs w:val="24"/>
        </w:rPr>
        <w:t xml:space="preserve">. </w:t>
      </w:r>
      <w:r w:rsidR="00F30E47">
        <w:rPr>
          <w:rFonts w:ascii="Arial" w:hAnsi="Arial" w:cs="Arial"/>
          <w:sz w:val="24"/>
          <w:szCs w:val="24"/>
        </w:rPr>
        <w:t xml:space="preserve">The application being lodged late included an application for </w:t>
      </w:r>
      <w:proofErr w:type="spellStart"/>
      <w:r w:rsidR="00F30E47">
        <w:rPr>
          <w:rFonts w:ascii="Arial" w:hAnsi="Arial" w:cs="Arial"/>
          <w:sz w:val="24"/>
          <w:szCs w:val="24"/>
        </w:rPr>
        <w:t>condonation</w:t>
      </w:r>
      <w:proofErr w:type="spellEnd"/>
      <w:r w:rsidR="00F30E47">
        <w:rPr>
          <w:rFonts w:ascii="Arial" w:hAnsi="Arial" w:cs="Arial"/>
          <w:sz w:val="24"/>
          <w:szCs w:val="24"/>
        </w:rPr>
        <w:t xml:space="preserve">. </w:t>
      </w:r>
      <w:r w:rsidR="004C19C5">
        <w:rPr>
          <w:rFonts w:ascii="Arial" w:hAnsi="Arial" w:cs="Arial"/>
          <w:sz w:val="24"/>
          <w:szCs w:val="24"/>
        </w:rPr>
        <w:t xml:space="preserve">Both </w:t>
      </w:r>
      <w:proofErr w:type="spellStart"/>
      <w:r w:rsidR="004C19C5">
        <w:rPr>
          <w:rFonts w:ascii="Arial" w:hAnsi="Arial" w:cs="Arial"/>
          <w:sz w:val="24"/>
          <w:szCs w:val="24"/>
        </w:rPr>
        <w:t>Malefetsane</w:t>
      </w:r>
      <w:proofErr w:type="spellEnd"/>
      <w:r w:rsidR="004C19C5">
        <w:rPr>
          <w:rFonts w:ascii="Arial" w:hAnsi="Arial" w:cs="Arial"/>
          <w:sz w:val="24"/>
          <w:szCs w:val="24"/>
        </w:rPr>
        <w:t xml:space="preserve"> and the </w:t>
      </w:r>
      <w:r w:rsidR="00BE43B6">
        <w:rPr>
          <w:rFonts w:ascii="Arial" w:hAnsi="Arial" w:cs="Arial"/>
          <w:sz w:val="24"/>
          <w:szCs w:val="24"/>
        </w:rPr>
        <w:t>1</w:t>
      </w:r>
      <w:r w:rsidR="00BE43B6" w:rsidRPr="00BE43B6">
        <w:rPr>
          <w:rFonts w:ascii="Arial" w:hAnsi="Arial" w:cs="Arial"/>
          <w:sz w:val="24"/>
          <w:szCs w:val="24"/>
          <w:vertAlign w:val="superscript"/>
        </w:rPr>
        <w:t>st</w:t>
      </w:r>
      <w:r w:rsidR="00BE43B6">
        <w:rPr>
          <w:rFonts w:ascii="Arial" w:hAnsi="Arial" w:cs="Arial"/>
          <w:sz w:val="24"/>
          <w:szCs w:val="24"/>
        </w:rPr>
        <w:t xml:space="preserve"> respondent </w:t>
      </w:r>
      <w:r w:rsidR="004C19C5">
        <w:rPr>
          <w:rFonts w:ascii="Arial" w:hAnsi="Arial" w:cs="Arial"/>
          <w:sz w:val="24"/>
          <w:szCs w:val="24"/>
        </w:rPr>
        <w:t>withdrew their applications as they settled the dispute between them</w:t>
      </w:r>
      <w:r w:rsidR="003D160C">
        <w:rPr>
          <w:rStyle w:val="FootnoteReference"/>
          <w:rFonts w:ascii="Arial" w:hAnsi="Arial" w:cs="Arial"/>
          <w:sz w:val="24"/>
          <w:szCs w:val="24"/>
        </w:rPr>
        <w:footnoteReference w:id="3"/>
      </w:r>
      <w:r w:rsidR="004C19C5">
        <w:rPr>
          <w:rFonts w:ascii="Arial" w:hAnsi="Arial" w:cs="Arial"/>
          <w:sz w:val="24"/>
          <w:szCs w:val="24"/>
        </w:rPr>
        <w:t xml:space="preserve">. </w:t>
      </w:r>
    </w:p>
    <w:p w:rsidR="00E304DA" w:rsidRDefault="00E304DA" w:rsidP="00AC2AE1">
      <w:pPr>
        <w:spacing w:line="480" w:lineRule="auto"/>
        <w:jc w:val="both"/>
        <w:rPr>
          <w:rFonts w:ascii="Arial" w:hAnsi="Arial" w:cs="Arial"/>
          <w:sz w:val="24"/>
          <w:szCs w:val="24"/>
        </w:rPr>
      </w:pPr>
    </w:p>
    <w:p w:rsidR="00914C16" w:rsidRDefault="0090546D" w:rsidP="00BA1CB8">
      <w:pPr>
        <w:spacing w:line="480" w:lineRule="auto"/>
        <w:ind w:left="720" w:hanging="720"/>
        <w:jc w:val="both"/>
        <w:rPr>
          <w:rFonts w:ascii="Arial" w:hAnsi="Arial" w:cs="Arial"/>
          <w:sz w:val="24"/>
          <w:szCs w:val="24"/>
        </w:rPr>
      </w:pPr>
      <w:r>
        <w:rPr>
          <w:rFonts w:ascii="Arial" w:hAnsi="Arial" w:cs="Arial"/>
          <w:sz w:val="24"/>
          <w:szCs w:val="24"/>
        </w:rPr>
        <w:t>[</w:t>
      </w:r>
      <w:r w:rsidR="00914C16">
        <w:rPr>
          <w:rFonts w:ascii="Arial" w:hAnsi="Arial" w:cs="Arial"/>
          <w:sz w:val="24"/>
          <w:szCs w:val="24"/>
        </w:rPr>
        <w:t>1</w:t>
      </w:r>
      <w:r w:rsidR="00E304DA">
        <w:rPr>
          <w:rFonts w:ascii="Arial" w:hAnsi="Arial" w:cs="Arial"/>
          <w:sz w:val="24"/>
          <w:szCs w:val="24"/>
        </w:rPr>
        <w:t>5</w:t>
      </w:r>
      <w:r>
        <w:rPr>
          <w:rFonts w:ascii="Arial" w:hAnsi="Arial" w:cs="Arial"/>
          <w:sz w:val="24"/>
          <w:szCs w:val="24"/>
        </w:rPr>
        <w:t>]</w:t>
      </w:r>
      <w:r>
        <w:rPr>
          <w:rFonts w:ascii="Arial" w:hAnsi="Arial" w:cs="Arial"/>
          <w:sz w:val="24"/>
          <w:szCs w:val="24"/>
        </w:rPr>
        <w:tab/>
      </w:r>
      <w:r w:rsidR="00914C16">
        <w:rPr>
          <w:rFonts w:ascii="Arial" w:hAnsi="Arial" w:cs="Arial"/>
          <w:sz w:val="24"/>
          <w:szCs w:val="24"/>
        </w:rPr>
        <w:t xml:space="preserve">In 2014 / 2015 </w:t>
      </w:r>
      <w:proofErr w:type="spellStart"/>
      <w:r w:rsidR="00914C16">
        <w:rPr>
          <w:rFonts w:ascii="Arial" w:hAnsi="Arial" w:cs="Arial"/>
          <w:sz w:val="24"/>
          <w:szCs w:val="24"/>
        </w:rPr>
        <w:t>Malefetsane</w:t>
      </w:r>
      <w:proofErr w:type="spellEnd"/>
      <w:r w:rsidR="00914C16">
        <w:rPr>
          <w:rFonts w:ascii="Arial" w:hAnsi="Arial" w:cs="Arial"/>
          <w:sz w:val="24"/>
          <w:szCs w:val="24"/>
        </w:rPr>
        <w:t xml:space="preserve"> and his children build a second house on the immovable property</w:t>
      </w:r>
      <w:r w:rsidR="00510935">
        <w:rPr>
          <w:rFonts w:ascii="Arial" w:hAnsi="Arial" w:cs="Arial"/>
          <w:sz w:val="24"/>
          <w:szCs w:val="24"/>
        </w:rPr>
        <w:t xml:space="preserve"> and carried the costs thereof</w:t>
      </w:r>
      <w:r w:rsidR="00F03EC7">
        <w:rPr>
          <w:rStyle w:val="FootnoteReference"/>
          <w:rFonts w:ascii="Arial" w:hAnsi="Arial" w:cs="Arial"/>
          <w:sz w:val="24"/>
          <w:szCs w:val="24"/>
        </w:rPr>
        <w:footnoteReference w:id="4"/>
      </w:r>
      <w:r w:rsidR="00914C16">
        <w:rPr>
          <w:rFonts w:ascii="Arial" w:hAnsi="Arial" w:cs="Arial"/>
          <w:sz w:val="24"/>
          <w:szCs w:val="24"/>
        </w:rPr>
        <w:t xml:space="preserve">. </w:t>
      </w:r>
    </w:p>
    <w:p w:rsidR="00914C16" w:rsidRDefault="00914C16" w:rsidP="00AC2AE1">
      <w:pPr>
        <w:spacing w:line="480" w:lineRule="auto"/>
        <w:jc w:val="both"/>
        <w:rPr>
          <w:rFonts w:ascii="Arial" w:hAnsi="Arial" w:cs="Arial"/>
          <w:sz w:val="24"/>
          <w:szCs w:val="24"/>
        </w:rPr>
      </w:pPr>
    </w:p>
    <w:p w:rsidR="00AC2AE1" w:rsidRDefault="00914C16" w:rsidP="00BA1CB8">
      <w:pPr>
        <w:spacing w:line="480" w:lineRule="auto"/>
        <w:ind w:left="720" w:hanging="720"/>
        <w:jc w:val="both"/>
        <w:rPr>
          <w:rFonts w:ascii="Arial" w:hAnsi="Arial" w:cs="Arial"/>
          <w:sz w:val="24"/>
          <w:szCs w:val="24"/>
        </w:rPr>
      </w:pPr>
      <w:r>
        <w:rPr>
          <w:rFonts w:ascii="Arial" w:hAnsi="Arial" w:cs="Arial"/>
          <w:sz w:val="24"/>
          <w:szCs w:val="24"/>
        </w:rPr>
        <w:t>[1</w:t>
      </w:r>
      <w:r w:rsidR="00E304DA">
        <w:rPr>
          <w:rFonts w:ascii="Arial" w:hAnsi="Arial" w:cs="Arial"/>
          <w:sz w:val="24"/>
          <w:szCs w:val="24"/>
        </w:rPr>
        <w:t>6</w:t>
      </w:r>
      <w:r>
        <w:rPr>
          <w:rFonts w:ascii="Arial" w:hAnsi="Arial" w:cs="Arial"/>
          <w:sz w:val="24"/>
          <w:szCs w:val="24"/>
        </w:rPr>
        <w:t>]</w:t>
      </w:r>
      <w:r>
        <w:rPr>
          <w:rFonts w:ascii="Arial" w:hAnsi="Arial" w:cs="Arial"/>
          <w:sz w:val="24"/>
          <w:szCs w:val="24"/>
        </w:rPr>
        <w:tab/>
      </w:r>
      <w:r w:rsidR="003531E7">
        <w:rPr>
          <w:rFonts w:ascii="Arial" w:hAnsi="Arial" w:cs="Arial"/>
          <w:sz w:val="24"/>
          <w:szCs w:val="24"/>
        </w:rPr>
        <w:t xml:space="preserve">In </w:t>
      </w:r>
      <w:r w:rsidR="00B13647">
        <w:rPr>
          <w:rFonts w:ascii="Arial" w:hAnsi="Arial" w:cs="Arial"/>
          <w:sz w:val="24"/>
          <w:szCs w:val="24"/>
        </w:rPr>
        <w:t xml:space="preserve">2015 / </w:t>
      </w:r>
      <w:r w:rsidR="003531E7">
        <w:rPr>
          <w:rFonts w:ascii="Arial" w:hAnsi="Arial" w:cs="Arial"/>
          <w:sz w:val="24"/>
          <w:szCs w:val="24"/>
        </w:rPr>
        <w:t>2016</w:t>
      </w:r>
      <w:r w:rsidR="006E1B94">
        <w:rPr>
          <w:rFonts w:ascii="Arial" w:hAnsi="Arial" w:cs="Arial"/>
          <w:sz w:val="24"/>
          <w:szCs w:val="24"/>
        </w:rPr>
        <w:t>,</w:t>
      </w:r>
      <w:r w:rsidR="003531E7">
        <w:rPr>
          <w:rFonts w:ascii="Arial" w:hAnsi="Arial" w:cs="Arial"/>
          <w:sz w:val="24"/>
          <w:szCs w:val="24"/>
        </w:rPr>
        <w:t xml:space="preserve"> the 1</w:t>
      </w:r>
      <w:r w:rsidR="003531E7" w:rsidRPr="003531E7">
        <w:rPr>
          <w:rFonts w:ascii="Arial" w:hAnsi="Arial" w:cs="Arial"/>
          <w:sz w:val="24"/>
          <w:szCs w:val="24"/>
          <w:vertAlign w:val="superscript"/>
        </w:rPr>
        <w:t>st</w:t>
      </w:r>
      <w:r w:rsidR="003531E7">
        <w:rPr>
          <w:rFonts w:ascii="Arial" w:hAnsi="Arial" w:cs="Arial"/>
          <w:sz w:val="24"/>
          <w:szCs w:val="24"/>
        </w:rPr>
        <w:t xml:space="preserve"> respondent brought another application for the eviction of </w:t>
      </w:r>
      <w:proofErr w:type="spellStart"/>
      <w:r w:rsidR="006E1B94">
        <w:rPr>
          <w:rFonts w:ascii="Arial" w:hAnsi="Arial" w:cs="Arial"/>
          <w:sz w:val="24"/>
          <w:szCs w:val="24"/>
        </w:rPr>
        <w:t>Malefetsane</w:t>
      </w:r>
      <w:proofErr w:type="spellEnd"/>
      <w:r w:rsidR="003531E7">
        <w:rPr>
          <w:rFonts w:ascii="Arial" w:hAnsi="Arial" w:cs="Arial"/>
          <w:sz w:val="24"/>
          <w:szCs w:val="24"/>
        </w:rPr>
        <w:t xml:space="preserve"> and </w:t>
      </w:r>
      <w:r w:rsidR="006E1B94">
        <w:rPr>
          <w:rFonts w:ascii="Arial" w:hAnsi="Arial" w:cs="Arial"/>
          <w:sz w:val="24"/>
          <w:szCs w:val="24"/>
        </w:rPr>
        <w:t>a</w:t>
      </w:r>
      <w:r w:rsidR="003531E7">
        <w:rPr>
          <w:rFonts w:ascii="Arial" w:hAnsi="Arial" w:cs="Arial"/>
          <w:sz w:val="24"/>
          <w:szCs w:val="24"/>
        </w:rPr>
        <w:t>ll person</w:t>
      </w:r>
      <w:r w:rsidR="006E1B94">
        <w:rPr>
          <w:rFonts w:ascii="Arial" w:hAnsi="Arial" w:cs="Arial"/>
          <w:sz w:val="24"/>
          <w:szCs w:val="24"/>
        </w:rPr>
        <w:t>s</w:t>
      </w:r>
      <w:r w:rsidR="003531E7">
        <w:rPr>
          <w:rFonts w:ascii="Arial" w:hAnsi="Arial" w:cs="Arial"/>
          <w:sz w:val="24"/>
          <w:szCs w:val="24"/>
        </w:rPr>
        <w:t xml:space="preserve"> occupying by or through </w:t>
      </w:r>
      <w:r w:rsidR="006E1B94">
        <w:rPr>
          <w:rFonts w:ascii="Arial" w:hAnsi="Arial" w:cs="Arial"/>
          <w:sz w:val="24"/>
          <w:szCs w:val="24"/>
        </w:rPr>
        <w:t>him</w:t>
      </w:r>
      <w:r w:rsidR="007C2112">
        <w:rPr>
          <w:rFonts w:ascii="Arial" w:hAnsi="Arial" w:cs="Arial"/>
          <w:sz w:val="24"/>
          <w:szCs w:val="24"/>
        </w:rPr>
        <w:t>, which application the 1</w:t>
      </w:r>
      <w:r w:rsidR="007C2112" w:rsidRPr="007C2112">
        <w:rPr>
          <w:rFonts w:ascii="Arial" w:hAnsi="Arial" w:cs="Arial"/>
          <w:sz w:val="24"/>
          <w:szCs w:val="24"/>
          <w:vertAlign w:val="superscript"/>
        </w:rPr>
        <w:t>st</w:t>
      </w:r>
      <w:r w:rsidR="007C2112">
        <w:rPr>
          <w:rFonts w:ascii="Arial" w:hAnsi="Arial" w:cs="Arial"/>
          <w:sz w:val="24"/>
          <w:szCs w:val="24"/>
        </w:rPr>
        <w:t xml:space="preserve"> respondent withdrew</w:t>
      </w:r>
      <w:r w:rsidR="00903C69">
        <w:rPr>
          <w:rFonts w:ascii="Arial" w:hAnsi="Arial" w:cs="Arial"/>
          <w:sz w:val="24"/>
          <w:szCs w:val="24"/>
        </w:rPr>
        <w:t>.</w:t>
      </w:r>
    </w:p>
    <w:p w:rsidR="00AC2AE1" w:rsidRDefault="00AC2AE1" w:rsidP="004C5AE8">
      <w:pPr>
        <w:spacing w:line="480" w:lineRule="auto"/>
        <w:jc w:val="both"/>
        <w:rPr>
          <w:rFonts w:ascii="Arial" w:hAnsi="Arial" w:cs="Arial"/>
          <w:sz w:val="24"/>
          <w:szCs w:val="24"/>
        </w:rPr>
      </w:pPr>
    </w:p>
    <w:p w:rsidR="007D487E" w:rsidRDefault="00AC2AE1" w:rsidP="004C5AE8">
      <w:pPr>
        <w:spacing w:line="480" w:lineRule="auto"/>
        <w:jc w:val="both"/>
        <w:rPr>
          <w:rFonts w:ascii="Arial" w:hAnsi="Arial" w:cs="Arial"/>
          <w:sz w:val="24"/>
          <w:szCs w:val="24"/>
        </w:rPr>
      </w:pPr>
      <w:r>
        <w:rPr>
          <w:rFonts w:ascii="Arial" w:hAnsi="Arial" w:cs="Arial"/>
          <w:sz w:val="24"/>
          <w:szCs w:val="24"/>
        </w:rPr>
        <w:t>[</w:t>
      </w:r>
      <w:r w:rsidR="00B13647">
        <w:rPr>
          <w:rFonts w:ascii="Arial" w:hAnsi="Arial" w:cs="Arial"/>
          <w:sz w:val="24"/>
          <w:szCs w:val="24"/>
        </w:rPr>
        <w:t>1</w:t>
      </w:r>
      <w:r w:rsidR="00E304DA">
        <w:rPr>
          <w:rFonts w:ascii="Arial" w:hAnsi="Arial" w:cs="Arial"/>
          <w:sz w:val="24"/>
          <w:szCs w:val="24"/>
        </w:rPr>
        <w:t>7</w:t>
      </w:r>
      <w:r w:rsidR="004C43EE">
        <w:rPr>
          <w:rFonts w:ascii="Arial" w:hAnsi="Arial" w:cs="Arial"/>
          <w:sz w:val="24"/>
          <w:szCs w:val="24"/>
        </w:rPr>
        <w:t xml:space="preserve">] </w:t>
      </w:r>
      <w:r>
        <w:rPr>
          <w:rFonts w:ascii="Arial" w:hAnsi="Arial" w:cs="Arial"/>
          <w:sz w:val="24"/>
          <w:szCs w:val="24"/>
        </w:rPr>
        <w:tab/>
      </w:r>
      <w:proofErr w:type="spellStart"/>
      <w:r w:rsidR="004C19C5">
        <w:rPr>
          <w:rFonts w:ascii="Arial" w:hAnsi="Arial" w:cs="Arial"/>
          <w:sz w:val="24"/>
          <w:szCs w:val="24"/>
        </w:rPr>
        <w:t>Malefetsane</w:t>
      </w:r>
      <w:proofErr w:type="spellEnd"/>
      <w:r w:rsidR="00C8157B">
        <w:rPr>
          <w:rFonts w:ascii="Arial" w:hAnsi="Arial" w:cs="Arial"/>
          <w:sz w:val="24"/>
          <w:szCs w:val="24"/>
        </w:rPr>
        <w:t xml:space="preserve"> passed away </w:t>
      </w:r>
      <w:r w:rsidR="00C852EB">
        <w:rPr>
          <w:rFonts w:ascii="Arial" w:hAnsi="Arial" w:cs="Arial"/>
          <w:sz w:val="24"/>
          <w:szCs w:val="24"/>
        </w:rPr>
        <w:t>on 22</w:t>
      </w:r>
      <w:r w:rsidR="00C8157B">
        <w:rPr>
          <w:rFonts w:ascii="Arial" w:hAnsi="Arial" w:cs="Arial"/>
          <w:sz w:val="24"/>
          <w:szCs w:val="24"/>
        </w:rPr>
        <w:t xml:space="preserve"> </w:t>
      </w:r>
      <w:r w:rsidR="00657864">
        <w:rPr>
          <w:rFonts w:ascii="Arial" w:hAnsi="Arial" w:cs="Arial"/>
          <w:sz w:val="24"/>
          <w:szCs w:val="24"/>
        </w:rPr>
        <w:t>March 2017</w:t>
      </w:r>
      <w:r w:rsidR="00C8157B">
        <w:rPr>
          <w:rFonts w:ascii="Arial" w:hAnsi="Arial" w:cs="Arial"/>
          <w:sz w:val="24"/>
          <w:szCs w:val="24"/>
        </w:rPr>
        <w:t>.</w:t>
      </w:r>
    </w:p>
    <w:p w:rsidR="004C43EE" w:rsidRDefault="004C43EE" w:rsidP="004C5AE8">
      <w:pPr>
        <w:spacing w:line="480" w:lineRule="auto"/>
        <w:jc w:val="both"/>
        <w:rPr>
          <w:rFonts w:ascii="Arial" w:hAnsi="Arial" w:cs="Arial"/>
          <w:sz w:val="24"/>
          <w:szCs w:val="24"/>
        </w:rPr>
      </w:pPr>
    </w:p>
    <w:p w:rsidR="00FA3BCB" w:rsidRDefault="004C43EE" w:rsidP="00BA1CB8">
      <w:pPr>
        <w:spacing w:line="480" w:lineRule="auto"/>
        <w:ind w:left="720" w:hanging="720"/>
        <w:jc w:val="both"/>
        <w:rPr>
          <w:rFonts w:ascii="Arial" w:hAnsi="Arial" w:cs="Arial"/>
          <w:sz w:val="24"/>
          <w:szCs w:val="24"/>
        </w:rPr>
      </w:pPr>
      <w:r>
        <w:rPr>
          <w:rFonts w:ascii="Arial" w:hAnsi="Arial" w:cs="Arial"/>
          <w:sz w:val="24"/>
          <w:szCs w:val="24"/>
        </w:rPr>
        <w:lastRenderedPageBreak/>
        <w:t>[</w:t>
      </w:r>
      <w:r w:rsidR="00B13647">
        <w:rPr>
          <w:rFonts w:ascii="Arial" w:hAnsi="Arial" w:cs="Arial"/>
          <w:sz w:val="24"/>
          <w:szCs w:val="24"/>
        </w:rPr>
        <w:t>1</w:t>
      </w:r>
      <w:r w:rsidR="00E304DA">
        <w:rPr>
          <w:rFonts w:ascii="Arial" w:hAnsi="Arial" w:cs="Arial"/>
          <w:sz w:val="24"/>
          <w:szCs w:val="24"/>
        </w:rPr>
        <w:t>8</w:t>
      </w:r>
      <w:r>
        <w:rPr>
          <w:rFonts w:ascii="Arial" w:hAnsi="Arial" w:cs="Arial"/>
          <w:sz w:val="24"/>
          <w:szCs w:val="24"/>
        </w:rPr>
        <w:t>]</w:t>
      </w:r>
      <w:r>
        <w:rPr>
          <w:rFonts w:ascii="Arial" w:hAnsi="Arial" w:cs="Arial"/>
          <w:sz w:val="24"/>
          <w:szCs w:val="24"/>
        </w:rPr>
        <w:tab/>
      </w:r>
      <w:r w:rsidR="00C852EB">
        <w:rPr>
          <w:rFonts w:ascii="Arial" w:hAnsi="Arial" w:cs="Arial"/>
          <w:sz w:val="24"/>
          <w:szCs w:val="24"/>
        </w:rPr>
        <w:t xml:space="preserve">On 11 </w:t>
      </w:r>
      <w:r w:rsidR="00453AA6">
        <w:rPr>
          <w:rFonts w:ascii="Arial" w:hAnsi="Arial" w:cs="Arial"/>
          <w:sz w:val="24"/>
          <w:szCs w:val="24"/>
        </w:rPr>
        <w:t>M</w:t>
      </w:r>
      <w:r w:rsidR="0077745D">
        <w:rPr>
          <w:rFonts w:ascii="Arial" w:hAnsi="Arial" w:cs="Arial"/>
          <w:sz w:val="24"/>
          <w:szCs w:val="24"/>
        </w:rPr>
        <w:t>ay 2017</w:t>
      </w:r>
      <w:r w:rsidR="00453AA6">
        <w:rPr>
          <w:rFonts w:ascii="Arial" w:hAnsi="Arial" w:cs="Arial"/>
          <w:sz w:val="24"/>
          <w:szCs w:val="24"/>
        </w:rPr>
        <w:t>,</w:t>
      </w:r>
      <w:r w:rsidR="0077745D">
        <w:rPr>
          <w:rFonts w:ascii="Arial" w:hAnsi="Arial" w:cs="Arial"/>
          <w:sz w:val="24"/>
          <w:szCs w:val="24"/>
        </w:rPr>
        <w:t xml:space="preserve"> the </w:t>
      </w:r>
      <w:r w:rsidR="00D329A9">
        <w:rPr>
          <w:rFonts w:ascii="Arial" w:hAnsi="Arial" w:cs="Arial"/>
          <w:sz w:val="24"/>
          <w:szCs w:val="24"/>
        </w:rPr>
        <w:t>2</w:t>
      </w:r>
      <w:r w:rsidR="00D329A9" w:rsidRPr="00D329A9">
        <w:rPr>
          <w:rFonts w:ascii="Arial" w:hAnsi="Arial" w:cs="Arial"/>
          <w:sz w:val="24"/>
          <w:szCs w:val="24"/>
          <w:vertAlign w:val="superscript"/>
        </w:rPr>
        <w:t>nd</w:t>
      </w:r>
      <w:r w:rsidR="00D329A9">
        <w:rPr>
          <w:rFonts w:ascii="Arial" w:hAnsi="Arial" w:cs="Arial"/>
          <w:sz w:val="24"/>
          <w:szCs w:val="24"/>
        </w:rPr>
        <w:t xml:space="preserve"> </w:t>
      </w:r>
      <w:r w:rsidR="0077745D">
        <w:rPr>
          <w:rFonts w:ascii="Arial" w:hAnsi="Arial" w:cs="Arial"/>
          <w:sz w:val="24"/>
          <w:szCs w:val="24"/>
        </w:rPr>
        <w:t>applicant was appointed as exec</w:t>
      </w:r>
      <w:r w:rsidR="00A524BF">
        <w:rPr>
          <w:rFonts w:ascii="Arial" w:hAnsi="Arial" w:cs="Arial"/>
          <w:sz w:val="24"/>
          <w:szCs w:val="24"/>
        </w:rPr>
        <w:t>u</w:t>
      </w:r>
      <w:r w:rsidR="0077745D">
        <w:rPr>
          <w:rFonts w:ascii="Arial" w:hAnsi="Arial" w:cs="Arial"/>
          <w:sz w:val="24"/>
          <w:szCs w:val="24"/>
        </w:rPr>
        <w:t xml:space="preserve">trix to </w:t>
      </w:r>
      <w:proofErr w:type="spellStart"/>
      <w:r w:rsidR="004C19C5">
        <w:rPr>
          <w:rFonts w:ascii="Arial" w:hAnsi="Arial" w:cs="Arial"/>
          <w:sz w:val="24"/>
          <w:szCs w:val="24"/>
        </w:rPr>
        <w:t>Malefetsane’s</w:t>
      </w:r>
      <w:proofErr w:type="spellEnd"/>
      <w:r w:rsidR="004C19C5">
        <w:rPr>
          <w:rFonts w:ascii="Arial" w:hAnsi="Arial" w:cs="Arial"/>
          <w:sz w:val="24"/>
          <w:szCs w:val="24"/>
        </w:rPr>
        <w:t xml:space="preserve"> estate</w:t>
      </w:r>
      <w:r w:rsidR="0077745D">
        <w:rPr>
          <w:rFonts w:ascii="Arial" w:hAnsi="Arial" w:cs="Arial"/>
          <w:sz w:val="24"/>
          <w:szCs w:val="24"/>
        </w:rPr>
        <w:t xml:space="preserve">. </w:t>
      </w:r>
    </w:p>
    <w:p w:rsidR="003C32E3" w:rsidRDefault="003C32E3" w:rsidP="004C5AE8">
      <w:pPr>
        <w:spacing w:line="480" w:lineRule="auto"/>
        <w:jc w:val="both"/>
        <w:rPr>
          <w:rFonts w:ascii="Arial" w:hAnsi="Arial" w:cs="Arial"/>
          <w:sz w:val="24"/>
          <w:szCs w:val="24"/>
        </w:rPr>
      </w:pPr>
    </w:p>
    <w:p w:rsidR="00FA3BCB" w:rsidRDefault="00FA3BCB" w:rsidP="00BA1CB8">
      <w:pPr>
        <w:spacing w:line="480" w:lineRule="auto"/>
        <w:ind w:left="720" w:hanging="720"/>
        <w:jc w:val="both"/>
        <w:rPr>
          <w:rFonts w:ascii="Arial" w:hAnsi="Arial" w:cs="Arial"/>
          <w:sz w:val="24"/>
          <w:szCs w:val="24"/>
        </w:rPr>
      </w:pPr>
      <w:r>
        <w:rPr>
          <w:rFonts w:ascii="Arial" w:hAnsi="Arial" w:cs="Arial"/>
          <w:sz w:val="24"/>
          <w:szCs w:val="24"/>
        </w:rPr>
        <w:t>[</w:t>
      </w:r>
      <w:r w:rsidR="00E304DA">
        <w:rPr>
          <w:rFonts w:ascii="Arial" w:hAnsi="Arial" w:cs="Arial"/>
          <w:sz w:val="24"/>
          <w:szCs w:val="24"/>
        </w:rPr>
        <w:t>19</w:t>
      </w:r>
      <w:r>
        <w:rPr>
          <w:rFonts w:ascii="Arial" w:hAnsi="Arial" w:cs="Arial"/>
          <w:sz w:val="24"/>
          <w:szCs w:val="24"/>
        </w:rPr>
        <w:t xml:space="preserve">] </w:t>
      </w:r>
      <w:r w:rsidR="003C32E3">
        <w:rPr>
          <w:rFonts w:ascii="Arial" w:hAnsi="Arial" w:cs="Arial"/>
          <w:sz w:val="24"/>
          <w:szCs w:val="24"/>
        </w:rPr>
        <w:tab/>
      </w:r>
      <w:r w:rsidR="00A524BF">
        <w:rPr>
          <w:rFonts w:ascii="Arial" w:hAnsi="Arial" w:cs="Arial"/>
          <w:sz w:val="24"/>
          <w:szCs w:val="24"/>
        </w:rPr>
        <w:t>In March 2018, the 1</w:t>
      </w:r>
      <w:r w:rsidR="00A524BF" w:rsidRPr="00453AA6">
        <w:rPr>
          <w:rFonts w:ascii="Arial" w:hAnsi="Arial" w:cs="Arial"/>
          <w:sz w:val="24"/>
          <w:szCs w:val="24"/>
          <w:vertAlign w:val="superscript"/>
        </w:rPr>
        <w:t>st</w:t>
      </w:r>
      <w:r w:rsidR="00A524BF">
        <w:rPr>
          <w:rFonts w:ascii="Arial" w:hAnsi="Arial" w:cs="Arial"/>
          <w:sz w:val="24"/>
          <w:szCs w:val="24"/>
        </w:rPr>
        <w:t xml:space="preserve"> respondent issued an</w:t>
      </w:r>
      <w:r w:rsidR="00C10A6A">
        <w:rPr>
          <w:rFonts w:ascii="Arial" w:hAnsi="Arial" w:cs="Arial"/>
          <w:sz w:val="24"/>
          <w:szCs w:val="24"/>
        </w:rPr>
        <w:t>other</w:t>
      </w:r>
      <w:r w:rsidR="00A524BF">
        <w:rPr>
          <w:rFonts w:ascii="Arial" w:hAnsi="Arial" w:cs="Arial"/>
          <w:sz w:val="24"/>
          <w:szCs w:val="24"/>
        </w:rPr>
        <w:t xml:space="preserve"> eviction application out of the Magistrates Court for the district of Soweto, </w:t>
      </w:r>
      <w:r w:rsidR="00D329A9">
        <w:rPr>
          <w:rFonts w:ascii="Arial" w:hAnsi="Arial" w:cs="Arial"/>
          <w:sz w:val="24"/>
          <w:szCs w:val="24"/>
        </w:rPr>
        <w:t xml:space="preserve">seeking to evict </w:t>
      </w:r>
      <w:r w:rsidR="00A524BF">
        <w:rPr>
          <w:rFonts w:ascii="Arial" w:hAnsi="Arial" w:cs="Arial"/>
          <w:sz w:val="24"/>
          <w:szCs w:val="24"/>
        </w:rPr>
        <w:t xml:space="preserve">the </w:t>
      </w:r>
      <w:r w:rsidR="00D329A9">
        <w:rPr>
          <w:rFonts w:ascii="Arial" w:hAnsi="Arial" w:cs="Arial"/>
          <w:sz w:val="24"/>
          <w:szCs w:val="24"/>
        </w:rPr>
        <w:t>2</w:t>
      </w:r>
      <w:r w:rsidR="00D329A9" w:rsidRPr="00D329A9">
        <w:rPr>
          <w:rFonts w:ascii="Arial" w:hAnsi="Arial" w:cs="Arial"/>
          <w:sz w:val="24"/>
          <w:szCs w:val="24"/>
          <w:vertAlign w:val="superscript"/>
        </w:rPr>
        <w:t>nd</w:t>
      </w:r>
      <w:r w:rsidR="00D329A9">
        <w:rPr>
          <w:rFonts w:ascii="Arial" w:hAnsi="Arial" w:cs="Arial"/>
          <w:sz w:val="24"/>
          <w:szCs w:val="24"/>
        </w:rPr>
        <w:t xml:space="preserve"> </w:t>
      </w:r>
      <w:r w:rsidR="00A524BF">
        <w:rPr>
          <w:rFonts w:ascii="Arial" w:hAnsi="Arial" w:cs="Arial"/>
          <w:sz w:val="24"/>
          <w:szCs w:val="24"/>
        </w:rPr>
        <w:t>applicant and all person</w:t>
      </w:r>
      <w:r w:rsidR="00C10A6A">
        <w:rPr>
          <w:rFonts w:ascii="Arial" w:hAnsi="Arial" w:cs="Arial"/>
          <w:sz w:val="24"/>
          <w:szCs w:val="24"/>
        </w:rPr>
        <w:t>s</w:t>
      </w:r>
      <w:r w:rsidR="00A524BF">
        <w:rPr>
          <w:rFonts w:ascii="Arial" w:hAnsi="Arial" w:cs="Arial"/>
          <w:sz w:val="24"/>
          <w:szCs w:val="24"/>
        </w:rPr>
        <w:t xml:space="preserve"> claiming occupa</w:t>
      </w:r>
      <w:r w:rsidR="007B3429">
        <w:rPr>
          <w:rFonts w:ascii="Arial" w:hAnsi="Arial" w:cs="Arial"/>
          <w:sz w:val="24"/>
          <w:szCs w:val="24"/>
        </w:rPr>
        <w:t xml:space="preserve">tion </w:t>
      </w:r>
      <w:r w:rsidR="00A524BF">
        <w:rPr>
          <w:rFonts w:ascii="Arial" w:hAnsi="Arial" w:cs="Arial"/>
          <w:sz w:val="24"/>
          <w:szCs w:val="24"/>
        </w:rPr>
        <w:t xml:space="preserve">through or under her. The </w:t>
      </w:r>
      <w:r w:rsidR="00D329A9">
        <w:rPr>
          <w:rFonts w:ascii="Arial" w:hAnsi="Arial" w:cs="Arial"/>
          <w:sz w:val="24"/>
          <w:szCs w:val="24"/>
        </w:rPr>
        <w:t>2</w:t>
      </w:r>
      <w:r w:rsidR="00D329A9" w:rsidRPr="00D329A9">
        <w:rPr>
          <w:rFonts w:ascii="Arial" w:hAnsi="Arial" w:cs="Arial"/>
          <w:sz w:val="24"/>
          <w:szCs w:val="24"/>
          <w:vertAlign w:val="superscript"/>
        </w:rPr>
        <w:t>nd</w:t>
      </w:r>
      <w:r w:rsidR="00D329A9">
        <w:rPr>
          <w:rFonts w:ascii="Arial" w:hAnsi="Arial" w:cs="Arial"/>
          <w:sz w:val="24"/>
          <w:szCs w:val="24"/>
        </w:rPr>
        <w:t xml:space="preserve"> </w:t>
      </w:r>
      <w:r w:rsidR="00A524BF">
        <w:rPr>
          <w:rFonts w:ascii="Arial" w:hAnsi="Arial" w:cs="Arial"/>
          <w:sz w:val="24"/>
          <w:szCs w:val="24"/>
        </w:rPr>
        <w:t>applicant defended the application</w:t>
      </w:r>
      <w:r w:rsidR="004C19C5">
        <w:rPr>
          <w:rFonts w:ascii="Arial" w:hAnsi="Arial" w:cs="Arial"/>
          <w:sz w:val="24"/>
          <w:szCs w:val="24"/>
        </w:rPr>
        <w:t>,</w:t>
      </w:r>
      <w:r w:rsidR="00A524BF">
        <w:rPr>
          <w:rFonts w:ascii="Arial" w:hAnsi="Arial" w:cs="Arial"/>
          <w:sz w:val="24"/>
          <w:szCs w:val="24"/>
        </w:rPr>
        <w:t xml:space="preserve"> and the application </w:t>
      </w:r>
      <w:r w:rsidR="00C560BE">
        <w:rPr>
          <w:rFonts w:ascii="Arial" w:hAnsi="Arial" w:cs="Arial"/>
          <w:sz w:val="24"/>
          <w:szCs w:val="24"/>
        </w:rPr>
        <w:t xml:space="preserve">was </w:t>
      </w:r>
      <w:r w:rsidR="00A524BF">
        <w:rPr>
          <w:rFonts w:ascii="Arial" w:hAnsi="Arial" w:cs="Arial"/>
          <w:sz w:val="24"/>
          <w:szCs w:val="24"/>
        </w:rPr>
        <w:t>still pending</w:t>
      </w:r>
      <w:r w:rsidR="00C560BE">
        <w:rPr>
          <w:rFonts w:ascii="Arial" w:hAnsi="Arial" w:cs="Arial"/>
          <w:sz w:val="24"/>
          <w:szCs w:val="24"/>
        </w:rPr>
        <w:t xml:space="preserve"> when this application was argued</w:t>
      </w:r>
      <w:r w:rsidR="00A524BF">
        <w:rPr>
          <w:rFonts w:ascii="Arial" w:hAnsi="Arial" w:cs="Arial"/>
          <w:sz w:val="24"/>
          <w:szCs w:val="24"/>
        </w:rPr>
        <w:t xml:space="preserve">. </w:t>
      </w:r>
    </w:p>
    <w:p w:rsidR="005E4ABD" w:rsidRDefault="005E4ABD" w:rsidP="004C5AE8">
      <w:pPr>
        <w:spacing w:line="480" w:lineRule="auto"/>
        <w:jc w:val="both"/>
        <w:rPr>
          <w:rFonts w:ascii="Arial" w:hAnsi="Arial" w:cs="Arial"/>
          <w:sz w:val="24"/>
          <w:szCs w:val="24"/>
        </w:rPr>
      </w:pPr>
    </w:p>
    <w:p w:rsidR="00921740" w:rsidRDefault="005E4ABD" w:rsidP="00BA1CB8">
      <w:pPr>
        <w:spacing w:line="480" w:lineRule="auto"/>
        <w:ind w:left="720" w:hanging="720"/>
        <w:jc w:val="both"/>
        <w:rPr>
          <w:rFonts w:ascii="Arial" w:hAnsi="Arial" w:cs="Arial"/>
          <w:sz w:val="24"/>
          <w:szCs w:val="24"/>
        </w:rPr>
      </w:pPr>
      <w:r>
        <w:rPr>
          <w:rFonts w:ascii="Arial" w:hAnsi="Arial" w:cs="Arial"/>
          <w:sz w:val="24"/>
          <w:szCs w:val="24"/>
        </w:rPr>
        <w:t>[</w:t>
      </w:r>
      <w:r w:rsidR="00E304DA">
        <w:rPr>
          <w:rFonts w:ascii="Arial" w:hAnsi="Arial" w:cs="Arial"/>
          <w:sz w:val="24"/>
          <w:szCs w:val="24"/>
        </w:rPr>
        <w:t>20</w:t>
      </w:r>
      <w:r>
        <w:rPr>
          <w:rFonts w:ascii="Arial" w:hAnsi="Arial" w:cs="Arial"/>
          <w:sz w:val="24"/>
          <w:szCs w:val="24"/>
        </w:rPr>
        <w:t>]</w:t>
      </w:r>
      <w:r>
        <w:rPr>
          <w:rFonts w:ascii="Arial" w:hAnsi="Arial" w:cs="Arial"/>
          <w:sz w:val="24"/>
          <w:szCs w:val="24"/>
        </w:rPr>
        <w:tab/>
      </w:r>
      <w:r w:rsidR="00A524BF">
        <w:rPr>
          <w:rFonts w:ascii="Arial" w:hAnsi="Arial" w:cs="Arial"/>
          <w:sz w:val="24"/>
          <w:szCs w:val="24"/>
        </w:rPr>
        <w:t>In October 2019, the applicant</w:t>
      </w:r>
      <w:r w:rsidR="008E718C">
        <w:rPr>
          <w:rFonts w:ascii="Arial" w:hAnsi="Arial" w:cs="Arial"/>
          <w:sz w:val="24"/>
          <w:szCs w:val="24"/>
        </w:rPr>
        <w:t>s</w:t>
      </w:r>
      <w:r w:rsidR="00A524BF">
        <w:rPr>
          <w:rFonts w:ascii="Arial" w:hAnsi="Arial" w:cs="Arial"/>
          <w:sz w:val="24"/>
          <w:szCs w:val="24"/>
        </w:rPr>
        <w:t xml:space="preserve"> issued the current application.</w:t>
      </w:r>
      <w:r w:rsidR="00602FE4">
        <w:rPr>
          <w:rFonts w:ascii="Arial" w:hAnsi="Arial" w:cs="Arial"/>
          <w:sz w:val="24"/>
          <w:szCs w:val="24"/>
        </w:rPr>
        <w:t xml:space="preserve"> I have been informed form the bar that </w:t>
      </w:r>
      <w:proofErr w:type="spellStart"/>
      <w:r w:rsidR="00602FE4">
        <w:rPr>
          <w:rFonts w:ascii="Arial" w:hAnsi="Arial" w:cs="Arial"/>
          <w:sz w:val="24"/>
          <w:szCs w:val="24"/>
        </w:rPr>
        <w:t>Frans</w:t>
      </w:r>
      <w:proofErr w:type="spellEnd"/>
      <w:r w:rsidR="00602FE4">
        <w:rPr>
          <w:rFonts w:ascii="Arial" w:hAnsi="Arial" w:cs="Arial"/>
          <w:sz w:val="24"/>
          <w:szCs w:val="24"/>
        </w:rPr>
        <w:t xml:space="preserve"> had passed away and he left no offspring. </w:t>
      </w:r>
      <w:r w:rsidR="00A524BF">
        <w:rPr>
          <w:rFonts w:ascii="Arial" w:hAnsi="Arial" w:cs="Arial"/>
          <w:sz w:val="24"/>
          <w:szCs w:val="24"/>
        </w:rPr>
        <w:t xml:space="preserve"> </w:t>
      </w:r>
    </w:p>
    <w:p w:rsidR="008C2841" w:rsidRDefault="008C2841" w:rsidP="00AC2AE1">
      <w:pPr>
        <w:spacing w:line="480" w:lineRule="auto"/>
        <w:jc w:val="both"/>
        <w:rPr>
          <w:rFonts w:ascii="Arial" w:hAnsi="Arial" w:cs="Arial"/>
          <w:b/>
          <w:bCs/>
          <w:sz w:val="24"/>
          <w:szCs w:val="24"/>
        </w:rPr>
      </w:pPr>
    </w:p>
    <w:p w:rsidR="00950A31" w:rsidRPr="006C1869" w:rsidRDefault="007B3429" w:rsidP="00AC2AE1">
      <w:pPr>
        <w:spacing w:line="480" w:lineRule="auto"/>
        <w:jc w:val="both"/>
        <w:rPr>
          <w:rFonts w:ascii="Arial" w:hAnsi="Arial" w:cs="Arial"/>
          <w:b/>
          <w:bCs/>
          <w:sz w:val="24"/>
          <w:szCs w:val="24"/>
        </w:rPr>
      </w:pPr>
      <w:r w:rsidRPr="006C1869">
        <w:rPr>
          <w:rFonts w:ascii="Arial" w:hAnsi="Arial" w:cs="Arial"/>
          <w:b/>
          <w:bCs/>
          <w:sz w:val="24"/>
          <w:szCs w:val="24"/>
        </w:rPr>
        <w:t>GROUNDS FOR REVIEW</w:t>
      </w:r>
    </w:p>
    <w:p w:rsidR="00106389" w:rsidRDefault="00950A31" w:rsidP="00BA1CB8">
      <w:pPr>
        <w:spacing w:line="480" w:lineRule="auto"/>
        <w:ind w:left="720" w:hanging="720"/>
        <w:jc w:val="both"/>
        <w:rPr>
          <w:rFonts w:ascii="Arial" w:hAnsi="Arial" w:cs="Arial"/>
          <w:sz w:val="24"/>
          <w:szCs w:val="24"/>
        </w:rPr>
      </w:pPr>
      <w:r>
        <w:rPr>
          <w:rFonts w:ascii="Arial" w:hAnsi="Arial" w:cs="Arial"/>
          <w:sz w:val="24"/>
          <w:szCs w:val="24"/>
        </w:rPr>
        <w:t>[</w:t>
      </w:r>
      <w:r w:rsidR="00E304DA">
        <w:rPr>
          <w:rFonts w:ascii="Arial" w:hAnsi="Arial" w:cs="Arial"/>
          <w:sz w:val="24"/>
          <w:szCs w:val="24"/>
        </w:rPr>
        <w:t>21</w:t>
      </w:r>
      <w:r>
        <w:rPr>
          <w:rFonts w:ascii="Arial" w:hAnsi="Arial" w:cs="Arial"/>
          <w:sz w:val="24"/>
          <w:szCs w:val="24"/>
        </w:rPr>
        <w:t>]</w:t>
      </w:r>
      <w:r>
        <w:rPr>
          <w:rFonts w:ascii="Arial" w:hAnsi="Arial" w:cs="Arial"/>
          <w:sz w:val="24"/>
          <w:szCs w:val="24"/>
        </w:rPr>
        <w:tab/>
      </w:r>
      <w:r w:rsidR="001570DA">
        <w:rPr>
          <w:rFonts w:ascii="Arial" w:hAnsi="Arial" w:cs="Arial"/>
          <w:sz w:val="24"/>
          <w:szCs w:val="24"/>
        </w:rPr>
        <w:t>T</w:t>
      </w:r>
      <w:r w:rsidR="001768B3">
        <w:rPr>
          <w:rFonts w:ascii="Arial" w:hAnsi="Arial" w:cs="Arial"/>
          <w:sz w:val="24"/>
          <w:szCs w:val="24"/>
        </w:rPr>
        <w:t>he applicant</w:t>
      </w:r>
      <w:r w:rsidR="00AF2E68">
        <w:rPr>
          <w:rFonts w:ascii="Arial" w:hAnsi="Arial" w:cs="Arial"/>
          <w:sz w:val="24"/>
          <w:szCs w:val="24"/>
        </w:rPr>
        <w:t>s</w:t>
      </w:r>
      <w:r w:rsidR="001768B3">
        <w:rPr>
          <w:rFonts w:ascii="Arial" w:hAnsi="Arial" w:cs="Arial"/>
          <w:sz w:val="24"/>
          <w:szCs w:val="24"/>
        </w:rPr>
        <w:t xml:space="preserve"> claim</w:t>
      </w:r>
      <w:r w:rsidR="00AF2E68">
        <w:rPr>
          <w:rFonts w:ascii="Arial" w:hAnsi="Arial" w:cs="Arial"/>
          <w:sz w:val="24"/>
          <w:szCs w:val="24"/>
        </w:rPr>
        <w:t>ed</w:t>
      </w:r>
      <w:r w:rsidR="001768B3">
        <w:rPr>
          <w:rFonts w:ascii="Arial" w:hAnsi="Arial" w:cs="Arial"/>
          <w:sz w:val="24"/>
          <w:szCs w:val="24"/>
        </w:rPr>
        <w:t xml:space="preserve"> that the </w:t>
      </w:r>
      <w:r w:rsidR="00FB2096">
        <w:rPr>
          <w:rFonts w:ascii="Arial" w:hAnsi="Arial" w:cs="Arial"/>
          <w:sz w:val="24"/>
          <w:szCs w:val="24"/>
        </w:rPr>
        <w:t xml:space="preserve">housing </w:t>
      </w:r>
      <w:r w:rsidR="00C560BE">
        <w:rPr>
          <w:rFonts w:ascii="Arial" w:hAnsi="Arial" w:cs="Arial"/>
          <w:sz w:val="24"/>
          <w:szCs w:val="24"/>
        </w:rPr>
        <w:t>bureau</w:t>
      </w:r>
      <w:r w:rsidR="00254B54">
        <w:rPr>
          <w:rFonts w:ascii="Arial" w:hAnsi="Arial" w:cs="Arial"/>
          <w:sz w:val="24"/>
          <w:szCs w:val="24"/>
        </w:rPr>
        <w:t xml:space="preserve"> did not </w:t>
      </w:r>
      <w:r w:rsidR="003E28CB">
        <w:rPr>
          <w:rFonts w:ascii="Arial" w:hAnsi="Arial" w:cs="Arial"/>
          <w:sz w:val="24"/>
          <w:szCs w:val="24"/>
        </w:rPr>
        <w:t>properly investigate the claim filed by the 1</w:t>
      </w:r>
      <w:r w:rsidR="003E28CB" w:rsidRPr="003E28CB">
        <w:rPr>
          <w:rFonts w:ascii="Arial" w:hAnsi="Arial" w:cs="Arial"/>
          <w:sz w:val="24"/>
          <w:szCs w:val="24"/>
          <w:vertAlign w:val="superscript"/>
        </w:rPr>
        <w:t>st</w:t>
      </w:r>
      <w:r w:rsidR="003E28CB">
        <w:rPr>
          <w:rFonts w:ascii="Arial" w:hAnsi="Arial" w:cs="Arial"/>
          <w:sz w:val="24"/>
          <w:szCs w:val="24"/>
        </w:rPr>
        <w:t xml:space="preserve"> respondent and had they done so they would have noted that the immovable property was a family home.</w:t>
      </w:r>
      <w:r w:rsidR="00254B54">
        <w:rPr>
          <w:rFonts w:ascii="Arial" w:hAnsi="Arial" w:cs="Arial"/>
          <w:sz w:val="24"/>
          <w:szCs w:val="24"/>
        </w:rPr>
        <w:t xml:space="preserve"> This omission negatively affected </w:t>
      </w:r>
      <w:proofErr w:type="spellStart"/>
      <w:r w:rsidR="00254B54">
        <w:rPr>
          <w:rFonts w:ascii="Arial" w:hAnsi="Arial" w:cs="Arial"/>
          <w:sz w:val="24"/>
          <w:szCs w:val="24"/>
        </w:rPr>
        <w:t>Frans</w:t>
      </w:r>
      <w:proofErr w:type="spellEnd"/>
      <w:r w:rsidR="00254B54">
        <w:rPr>
          <w:rFonts w:ascii="Arial" w:hAnsi="Arial" w:cs="Arial"/>
          <w:sz w:val="24"/>
          <w:szCs w:val="24"/>
        </w:rPr>
        <w:t xml:space="preserve"> and </w:t>
      </w:r>
      <w:proofErr w:type="spellStart"/>
      <w:r w:rsidR="00254B54">
        <w:rPr>
          <w:rFonts w:ascii="Arial" w:hAnsi="Arial" w:cs="Arial"/>
          <w:sz w:val="24"/>
          <w:szCs w:val="24"/>
        </w:rPr>
        <w:t>Malefetsane</w:t>
      </w:r>
      <w:proofErr w:type="spellEnd"/>
      <w:r w:rsidR="00254B54">
        <w:rPr>
          <w:rFonts w:ascii="Arial" w:hAnsi="Arial" w:cs="Arial"/>
          <w:sz w:val="24"/>
          <w:szCs w:val="24"/>
        </w:rPr>
        <w:t xml:space="preserve"> as the immovable prop</w:t>
      </w:r>
      <w:r w:rsidR="00E924CC">
        <w:rPr>
          <w:rFonts w:ascii="Arial" w:hAnsi="Arial" w:cs="Arial"/>
          <w:sz w:val="24"/>
          <w:szCs w:val="24"/>
        </w:rPr>
        <w:t>erty was awarded to the 1</w:t>
      </w:r>
      <w:r w:rsidR="00E924CC" w:rsidRPr="00E924CC">
        <w:rPr>
          <w:rFonts w:ascii="Arial" w:hAnsi="Arial" w:cs="Arial"/>
          <w:sz w:val="24"/>
          <w:szCs w:val="24"/>
          <w:vertAlign w:val="superscript"/>
        </w:rPr>
        <w:t>st</w:t>
      </w:r>
      <w:r w:rsidR="00E924CC">
        <w:rPr>
          <w:rFonts w:ascii="Arial" w:hAnsi="Arial" w:cs="Arial"/>
          <w:sz w:val="24"/>
          <w:szCs w:val="24"/>
        </w:rPr>
        <w:t xml:space="preserve"> respondent based solely on his version and </w:t>
      </w:r>
      <w:proofErr w:type="spellStart"/>
      <w:r w:rsidR="00106389">
        <w:rPr>
          <w:rFonts w:ascii="Arial" w:hAnsi="Arial" w:cs="Arial"/>
          <w:sz w:val="24"/>
          <w:szCs w:val="24"/>
        </w:rPr>
        <w:t>Frans</w:t>
      </w:r>
      <w:proofErr w:type="spellEnd"/>
      <w:r w:rsidR="00106389">
        <w:rPr>
          <w:rFonts w:ascii="Arial" w:hAnsi="Arial" w:cs="Arial"/>
          <w:sz w:val="24"/>
          <w:szCs w:val="24"/>
        </w:rPr>
        <w:t xml:space="preserve"> and </w:t>
      </w:r>
      <w:proofErr w:type="spellStart"/>
      <w:r w:rsidR="00106389">
        <w:rPr>
          <w:rFonts w:ascii="Arial" w:hAnsi="Arial" w:cs="Arial"/>
          <w:sz w:val="24"/>
          <w:szCs w:val="24"/>
        </w:rPr>
        <w:t>Malefetsane</w:t>
      </w:r>
      <w:proofErr w:type="spellEnd"/>
      <w:r w:rsidR="00106389">
        <w:rPr>
          <w:rFonts w:ascii="Arial" w:hAnsi="Arial" w:cs="Arial"/>
          <w:sz w:val="24"/>
          <w:szCs w:val="24"/>
        </w:rPr>
        <w:t xml:space="preserve"> never had an opportunity to place their versions before the </w:t>
      </w:r>
      <w:r w:rsidR="00FB2096">
        <w:rPr>
          <w:rFonts w:ascii="Arial" w:hAnsi="Arial" w:cs="Arial"/>
          <w:sz w:val="24"/>
          <w:szCs w:val="24"/>
        </w:rPr>
        <w:t xml:space="preserve">housing </w:t>
      </w:r>
      <w:r w:rsidR="00C70C69">
        <w:rPr>
          <w:rFonts w:ascii="Arial" w:hAnsi="Arial" w:cs="Arial"/>
          <w:sz w:val="24"/>
          <w:szCs w:val="24"/>
        </w:rPr>
        <w:t xml:space="preserve">bureau and appeal panel </w:t>
      </w:r>
      <w:r w:rsidR="00106389">
        <w:rPr>
          <w:rFonts w:ascii="Arial" w:hAnsi="Arial" w:cs="Arial"/>
          <w:sz w:val="24"/>
          <w:szCs w:val="24"/>
        </w:rPr>
        <w:t xml:space="preserve">for consideration. </w:t>
      </w:r>
    </w:p>
    <w:p w:rsidR="00106389" w:rsidRDefault="00106389" w:rsidP="00AC2AE1">
      <w:pPr>
        <w:spacing w:line="480" w:lineRule="auto"/>
        <w:jc w:val="both"/>
        <w:rPr>
          <w:rFonts w:ascii="Arial" w:hAnsi="Arial" w:cs="Arial"/>
          <w:sz w:val="24"/>
          <w:szCs w:val="24"/>
        </w:rPr>
      </w:pPr>
    </w:p>
    <w:p w:rsidR="00EF55EC" w:rsidRDefault="00CB6CD1" w:rsidP="00BA1CB8">
      <w:pPr>
        <w:spacing w:line="480" w:lineRule="auto"/>
        <w:ind w:left="720" w:hanging="720"/>
        <w:jc w:val="both"/>
        <w:rPr>
          <w:rFonts w:ascii="Arial" w:hAnsi="Arial" w:cs="Arial"/>
          <w:sz w:val="24"/>
          <w:szCs w:val="24"/>
        </w:rPr>
      </w:pPr>
      <w:r>
        <w:rPr>
          <w:rFonts w:ascii="Arial" w:hAnsi="Arial" w:cs="Arial"/>
          <w:sz w:val="24"/>
          <w:szCs w:val="24"/>
        </w:rPr>
        <w:lastRenderedPageBreak/>
        <w:t>[2</w:t>
      </w:r>
      <w:r w:rsidR="00E304DA">
        <w:rPr>
          <w:rFonts w:ascii="Arial" w:hAnsi="Arial" w:cs="Arial"/>
          <w:sz w:val="24"/>
          <w:szCs w:val="24"/>
        </w:rPr>
        <w:t>2</w:t>
      </w:r>
      <w:r>
        <w:rPr>
          <w:rFonts w:ascii="Arial" w:hAnsi="Arial" w:cs="Arial"/>
          <w:sz w:val="24"/>
          <w:szCs w:val="24"/>
        </w:rPr>
        <w:t>]</w:t>
      </w:r>
      <w:r>
        <w:rPr>
          <w:rFonts w:ascii="Arial" w:hAnsi="Arial" w:cs="Arial"/>
          <w:sz w:val="24"/>
          <w:szCs w:val="24"/>
        </w:rPr>
        <w:tab/>
      </w:r>
      <w:r w:rsidR="00CC5EE9">
        <w:rPr>
          <w:rFonts w:ascii="Arial" w:hAnsi="Arial" w:cs="Arial"/>
          <w:sz w:val="24"/>
          <w:szCs w:val="24"/>
        </w:rPr>
        <w:t>According to the applicants t</w:t>
      </w:r>
      <w:r w:rsidR="005A3091">
        <w:rPr>
          <w:rFonts w:ascii="Arial" w:hAnsi="Arial" w:cs="Arial"/>
          <w:sz w:val="24"/>
          <w:szCs w:val="24"/>
        </w:rPr>
        <w:t>he</w:t>
      </w:r>
      <w:r w:rsidR="00AF2E68">
        <w:rPr>
          <w:rFonts w:ascii="Arial" w:hAnsi="Arial" w:cs="Arial"/>
          <w:sz w:val="24"/>
          <w:szCs w:val="24"/>
        </w:rPr>
        <w:t xml:space="preserve"> immovable </w:t>
      </w:r>
      <w:r w:rsidR="005A3091">
        <w:rPr>
          <w:rFonts w:ascii="Arial" w:hAnsi="Arial" w:cs="Arial"/>
          <w:sz w:val="24"/>
          <w:szCs w:val="24"/>
        </w:rPr>
        <w:t xml:space="preserve">property should not have been awarded to one family member </w:t>
      </w:r>
      <w:r w:rsidR="00CC5EE9">
        <w:rPr>
          <w:rFonts w:ascii="Arial" w:hAnsi="Arial" w:cs="Arial"/>
          <w:sz w:val="24"/>
          <w:szCs w:val="24"/>
        </w:rPr>
        <w:t>only</w:t>
      </w:r>
      <w:r w:rsidR="005704DE">
        <w:rPr>
          <w:rFonts w:ascii="Arial" w:hAnsi="Arial" w:cs="Arial"/>
          <w:sz w:val="24"/>
          <w:szCs w:val="24"/>
        </w:rPr>
        <w:t xml:space="preserve"> as </w:t>
      </w:r>
      <w:r w:rsidR="00B13647">
        <w:rPr>
          <w:rFonts w:ascii="Arial" w:hAnsi="Arial" w:cs="Arial"/>
          <w:sz w:val="24"/>
          <w:szCs w:val="24"/>
        </w:rPr>
        <w:t>it was inherited by all three children from their parents.</w:t>
      </w:r>
      <w:r w:rsidR="008E1230">
        <w:rPr>
          <w:rFonts w:ascii="Arial" w:hAnsi="Arial" w:cs="Arial"/>
          <w:sz w:val="24"/>
          <w:szCs w:val="24"/>
        </w:rPr>
        <w:t xml:space="preserve"> </w:t>
      </w:r>
    </w:p>
    <w:p w:rsidR="0095155C" w:rsidRDefault="0095155C" w:rsidP="0095155C">
      <w:pPr>
        <w:spacing w:line="480" w:lineRule="auto"/>
        <w:jc w:val="both"/>
        <w:rPr>
          <w:rFonts w:ascii="Arial" w:hAnsi="Arial" w:cs="Arial"/>
          <w:b/>
          <w:bCs/>
          <w:sz w:val="24"/>
          <w:szCs w:val="24"/>
        </w:rPr>
      </w:pPr>
    </w:p>
    <w:p w:rsidR="0095155C" w:rsidRPr="004C19C5" w:rsidRDefault="0095155C" w:rsidP="0095155C">
      <w:pPr>
        <w:spacing w:line="480" w:lineRule="auto"/>
        <w:jc w:val="both"/>
        <w:rPr>
          <w:rFonts w:ascii="Arial" w:hAnsi="Arial" w:cs="Arial"/>
          <w:b/>
          <w:bCs/>
          <w:sz w:val="24"/>
          <w:szCs w:val="24"/>
        </w:rPr>
      </w:pPr>
      <w:r>
        <w:rPr>
          <w:rFonts w:ascii="Arial" w:hAnsi="Arial" w:cs="Arial"/>
          <w:b/>
          <w:bCs/>
          <w:sz w:val="24"/>
          <w:szCs w:val="24"/>
        </w:rPr>
        <w:t>ISSUES FOR DETERMINATION</w:t>
      </w:r>
    </w:p>
    <w:p w:rsidR="0095155C" w:rsidRDefault="0095155C" w:rsidP="00BA1CB8">
      <w:pPr>
        <w:spacing w:line="480" w:lineRule="auto"/>
        <w:ind w:left="720" w:hanging="720"/>
        <w:jc w:val="both"/>
        <w:rPr>
          <w:rFonts w:ascii="Arial" w:hAnsi="Arial" w:cs="Arial"/>
          <w:sz w:val="24"/>
          <w:szCs w:val="24"/>
        </w:rPr>
      </w:pPr>
      <w:r>
        <w:rPr>
          <w:rFonts w:ascii="Arial" w:hAnsi="Arial" w:cs="Arial"/>
          <w:sz w:val="24"/>
          <w:szCs w:val="24"/>
        </w:rPr>
        <w:t>[</w:t>
      </w:r>
      <w:r w:rsidR="005F0E3A">
        <w:rPr>
          <w:rFonts w:ascii="Arial" w:hAnsi="Arial" w:cs="Arial"/>
          <w:sz w:val="24"/>
          <w:szCs w:val="24"/>
        </w:rPr>
        <w:t>23</w:t>
      </w:r>
      <w:r>
        <w:rPr>
          <w:rFonts w:ascii="Arial" w:hAnsi="Arial" w:cs="Arial"/>
          <w:sz w:val="24"/>
          <w:szCs w:val="24"/>
        </w:rPr>
        <w:t>]</w:t>
      </w:r>
      <w:r>
        <w:rPr>
          <w:rFonts w:ascii="Arial" w:hAnsi="Arial" w:cs="Arial"/>
          <w:sz w:val="24"/>
          <w:szCs w:val="24"/>
        </w:rPr>
        <w:tab/>
        <w:t xml:space="preserve">Whether the applicants’ failure to lodge the review application timeously should be condoned. </w:t>
      </w:r>
    </w:p>
    <w:p w:rsidR="0095155C" w:rsidRDefault="0095155C" w:rsidP="0095155C">
      <w:pPr>
        <w:spacing w:line="480" w:lineRule="auto"/>
        <w:jc w:val="both"/>
        <w:rPr>
          <w:rFonts w:ascii="Arial" w:hAnsi="Arial" w:cs="Arial"/>
          <w:sz w:val="24"/>
          <w:szCs w:val="24"/>
        </w:rPr>
      </w:pPr>
    </w:p>
    <w:p w:rsidR="00EA55DC" w:rsidRDefault="0095155C" w:rsidP="00BA1CB8">
      <w:pPr>
        <w:spacing w:line="480" w:lineRule="auto"/>
        <w:ind w:left="720" w:hanging="720"/>
        <w:jc w:val="both"/>
        <w:rPr>
          <w:rFonts w:ascii="Arial" w:hAnsi="Arial" w:cs="Arial"/>
          <w:sz w:val="24"/>
          <w:szCs w:val="24"/>
        </w:rPr>
      </w:pPr>
      <w:r>
        <w:rPr>
          <w:rFonts w:ascii="Arial" w:hAnsi="Arial" w:cs="Arial"/>
          <w:sz w:val="24"/>
          <w:szCs w:val="24"/>
        </w:rPr>
        <w:t>[</w:t>
      </w:r>
      <w:r w:rsidR="005F0E3A">
        <w:rPr>
          <w:rFonts w:ascii="Arial" w:hAnsi="Arial" w:cs="Arial"/>
          <w:sz w:val="24"/>
          <w:szCs w:val="24"/>
        </w:rPr>
        <w:t>24</w:t>
      </w:r>
      <w:r>
        <w:rPr>
          <w:rFonts w:ascii="Arial" w:hAnsi="Arial" w:cs="Arial"/>
          <w:sz w:val="24"/>
          <w:szCs w:val="24"/>
        </w:rPr>
        <w:t>]</w:t>
      </w:r>
      <w:r>
        <w:rPr>
          <w:rFonts w:ascii="Arial" w:hAnsi="Arial" w:cs="Arial"/>
          <w:sz w:val="24"/>
          <w:szCs w:val="24"/>
        </w:rPr>
        <w:tab/>
        <w:t xml:space="preserve">Whether </w:t>
      </w:r>
      <w:proofErr w:type="spellStart"/>
      <w:r>
        <w:rPr>
          <w:rFonts w:ascii="Arial" w:hAnsi="Arial" w:cs="Arial"/>
          <w:sz w:val="24"/>
          <w:szCs w:val="24"/>
        </w:rPr>
        <w:t>Malefetsane</w:t>
      </w:r>
      <w:proofErr w:type="spellEnd"/>
      <w:r>
        <w:rPr>
          <w:rFonts w:ascii="Arial" w:hAnsi="Arial" w:cs="Arial"/>
          <w:sz w:val="24"/>
          <w:szCs w:val="24"/>
        </w:rPr>
        <w:t xml:space="preserve"> and </w:t>
      </w:r>
      <w:proofErr w:type="spellStart"/>
      <w:r>
        <w:rPr>
          <w:rFonts w:ascii="Arial" w:hAnsi="Arial" w:cs="Arial"/>
          <w:sz w:val="24"/>
          <w:szCs w:val="24"/>
        </w:rPr>
        <w:t>Frans</w:t>
      </w:r>
      <w:proofErr w:type="spellEnd"/>
      <w:r>
        <w:rPr>
          <w:rFonts w:ascii="Arial" w:hAnsi="Arial" w:cs="Arial"/>
          <w:sz w:val="24"/>
          <w:szCs w:val="24"/>
        </w:rPr>
        <w:t xml:space="preserve"> were denied the right to participate in the proceedings and place their versions before the housing tribunal and the appeal </w:t>
      </w:r>
      <w:r w:rsidR="00F30E47">
        <w:rPr>
          <w:rFonts w:ascii="Arial" w:hAnsi="Arial" w:cs="Arial"/>
          <w:sz w:val="24"/>
          <w:szCs w:val="24"/>
        </w:rPr>
        <w:t xml:space="preserve">panel </w:t>
      </w:r>
      <w:r>
        <w:rPr>
          <w:rFonts w:ascii="Arial" w:hAnsi="Arial" w:cs="Arial"/>
          <w:sz w:val="24"/>
          <w:szCs w:val="24"/>
        </w:rPr>
        <w:t>for consideration.</w:t>
      </w:r>
    </w:p>
    <w:p w:rsidR="0086271B" w:rsidRDefault="0086271B" w:rsidP="00950A31">
      <w:pPr>
        <w:spacing w:line="480" w:lineRule="auto"/>
        <w:jc w:val="both"/>
        <w:rPr>
          <w:rFonts w:ascii="Arial" w:hAnsi="Arial" w:cs="Arial"/>
          <w:b/>
          <w:bCs/>
          <w:sz w:val="24"/>
          <w:szCs w:val="24"/>
        </w:rPr>
      </w:pPr>
    </w:p>
    <w:p w:rsidR="00281723" w:rsidRDefault="00A078A6" w:rsidP="00950A31">
      <w:pPr>
        <w:spacing w:line="480" w:lineRule="auto"/>
        <w:jc w:val="both"/>
        <w:rPr>
          <w:rFonts w:ascii="Arial" w:hAnsi="Arial" w:cs="Arial"/>
          <w:b/>
          <w:bCs/>
          <w:sz w:val="24"/>
          <w:szCs w:val="24"/>
        </w:rPr>
      </w:pPr>
      <w:r>
        <w:rPr>
          <w:rFonts w:ascii="Arial" w:hAnsi="Arial" w:cs="Arial"/>
          <w:b/>
          <w:bCs/>
          <w:sz w:val="24"/>
          <w:szCs w:val="24"/>
        </w:rPr>
        <w:t>THE LAW</w:t>
      </w:r>
    </w:p>
    <w:p w:rsidR="00A078A6" w:rsidRDefault="00A078A6" w:rsidP="00BA1CB8">
      <w:pPr>
        <w:spacing w:line="480" w:lineRule="auto"/>
        <w:ind w:left="720" w:hanging="720"/>
        <w:jc w:val="both"/>
        <w:rPr>
          <w:rFonts w:ascii="Arial" w:hAnsi="Arial" w:cs="Arial"/>
          <w:sz w:val="24"/>
          <w:szCs w:val="24"/>
        </w:rPr>
      </w:pPr>
      <w:r>
        <w:rPr>
          <w:rFonts w:ascii="Arial" w:hAnsi="Arial" w:cs="Arial"/>
          <w:sz w:val="24"/>
          <w:szCs w:val="24"/>
        </w:rPr>
        <w:t>[2</w:t>
      </w:r>
      <w:r w:rsidR="00586B59">
        <w:rPr>
          <w:rFonts w:ascii="Arial" w:hAnsi="Arial" w:cs="Arial"/>
          <w:sz w:val="24"/>
          <w:szCs w:val="24"/>
        </w:rPr>
        <w:t>5</w:t>
      </w:r>
      <w:r>
        <w:rPr>
          <w:rFonts w:ascii="Arial" w:hAnsi="Arial" w:cs="Arial"/>
          <w:sz w:val="24"/>
          <w:szCs w:val="24"/>
        </w:rPr>
        <w:t>]</w:t>
      </w:r>
      <w:r>
        <w:rPr>
          <w:rFonts w:ascii="Arial" w:hAnsi="Arial" w:cs="Arial"/>
          <w:sz w:val="24"/>
          <w:szCs w:val="24"/>
        </w:rPr>
        <w:tab/>
        <w:t xml:space="preserve">The applicants legal representative referred </w:t>
      </w:r>
      <w:r w:rsidR="003A2789">
        <w:rPr>
          <w:rFonts w:ascii="Arial" w:hAnsi="Arial" w:cs="Arial"/>
          <w:sz w:val="24"/>
          <w:szCs w:val="24"/>
        </w:rPr>
        <w:t xml:space="preserve">me </w:t>
      </w:r>
      <w:r>
        <w:rPr>
          <w:rFonts w:ascii="Arial" w:hAnsi="Arial" w:cs="Arial"/>
          <w:sz w:val="24"/>
          <w:szCs w:val="24"/>
        </w:rPr>
        <w:t xml:space="preserve">to </w:t>
      </w:r>
      <w:r w:rsidR="00F202F7">
        <w:rPr>
          <w:rFonts w:ascii="Arial" w:hAnsi="Arial" w:cs="Arial"/>
          <w:sz w:val="24"/>
          <w:szCs w:val="24"/>
        </w:rPr>
        <w:t xml:space="preserve">the well-known case of </w:t>
      </w:r>
      <w:proofErr w:type="spellStart"/>
      <w:r>
        <w:rPr>
          <w:rFonts w:ascii="Arial" w:hAnsi="Arial" w:cs="Arial"/>
          <w:sz w:val="24"/>
          <w:szCs w:val="24"/>
        </w:rPr>
        <w:t>Melane</w:t>
      </w:r>
      <w:proofErr w:type="spellEnd"/>
      <w:r>
        <w:rPr>
          <w:rFonts w:ascii="Arial" w:hAnsi="Arial" w:cs="Arial"/>
          <w:sz w:val="24"/>
          <w:szCs w:val="24"/>
        </w:rPr>
        <w:t xml:space="preserve"> v </w:t>
      </w:r>
      <w:proofErr w:type="spellStart"/>
      <w:r>
        <w:rPr>
          <w:rFonts w:ascii="Arial" w:hAnsi="Arial" w:cs="Arial"/>
          <w:sz w:val="24"/>
          <w:szCs w:val="24"/>
        </w:rPr>
        <w:t>Santam</w:t>
      </w:r>
      <w:proofErr w:type="spellEnd"/>
      <w:r>
        <w:rPr>
          <w:rFonts w:ascii="Arial" w:hAnsi="Arial" w:cs="Arial"/>
          <w:sz w:val="24"/>
          <w:szCs w:val="24"/>
        </w:rPr>
        <w:t xml:space="preserve"> Insurance Co Ltd 1962 (4) SA 531 (A) and the factors which a Court would </w:t>
      </w:r>
      <w:r w:rsidR="003A2789">
        <w:rPr>
          <w:rFonts w:ascii="Arial" w:hAnsi="Arial" w:cs="Arial"/>
          <w:sz w:val="24"/>
          <w:szCs w:val="24"/>
        </w:rPr>
        <w:t>take</w:t>
      </w:r>
      <w:r>
        <w:rPr>
          <w:rFonts w:ascii="Arial" w:hAnsi="Arial" w:cs="Arial"/>
          <w:sz w:val="24"/>
          <w:szCs w:val="24"/>
        </w:rPr>
        <w:t xml:space="preserve"> into consideration i</w:t>
      </w:r>
      <w:bookmarkStart w:id="0" w:name="_GoBack"/>
      <w:bookmarkEnd w:id="0"/>
      <w:r>
        <w:rPr>
          <w:rFonts w:ascii="Arial" w:hAnsi="Arial" w:cs="Arial"/>
          <w:sz w:val="24"/>
          <w:szCs w:val="24"/>
        </w:rPr>
        <w:t>n exercising its d</w:t>
      </w:r>
      <w:r w:rsidR="003A2789">
        <w:rPr>
          <w:rFonts w:ascii="Arial" w:hAnsi="Arial" w:cs="Arial"/>
          <w:sz w:val="24"/>
          <w:szCs w:val="24"/>
        </w:rPr>
        <w:t>iscretion</w:t>
      </w:r>
      <w:r>
        <w:rPr>
          <w:rFonts w:ascii="Arial" w:hAnsi="Arial" w:cs="Arial"/>
          <w:sz w:val="24"/>
          <w:szCs w:val="24"/>
        </w:rPr>
        <w:t xml:space="preserve"> </w:t>
      </w:r>
      <w:r w:rsidR="003B64C3">
        <w:rPr>
          <w:rFonts w:ascii="Arial" w:hAnsi="Arial" w:cs="Arial"/>
          <w:sz w:val="24"/>
          <w:szCs w:val="24"/>
        </w:rPr>
        <w:t>whether</w:t>
      </w:r>
      <w:r>
        <w:rPr>
          <w:rFonts w:ascii="Arial" w:hAnsi="Arial" w:cs="Arial"/>
          <w:sz w:val="24"/>
          <w:szCs w:val="24"/>
        </w:rPr>
        <w:t xml:space="preserve"> to grant </w:t>
      </w:r>
      <w:proofErr w:type="spellStart"/>
      <w:r>
        <w:rPr>
          <w:rFonts w:ascii="Arial" w:hAnsi="Arial" w:cs="Arial"/>
          <w:sz w:val="24"/>
          <w:szCs w:val="24"/>
        </w:rPr>
        <w:t>condonation</w:t>
      </w:r>
      <w:proofErr w:type="spellEnd"/>
      <w:r>
        <w:rPr>
          <w:rFonts w:ascii="Arial" w:hAnsi="Arial" w:cs="Arial"/>
          <w:sz w:val="24"/>
          <w:szCs w:val="24"/>
        </w:rPr>
        <w:t xml:space="preserve"> to a litigant. </w:t>
      </w:r>
    </w:p>
    <w:p w:rsidR="00A078A6" w:rsidRDefault="00A078A6" w:rsidP="00A078A6">
      <w:pPr>
        <w:spacing w:line="480" w:lineRule="auto"/>
        <w:jc w:val="both"/>
        <w:rPr>
          <w:rFonts w:ascii="Arial" w:hAnsi="Arial" w:cs="Arial"/>
          <w:sz w:val="24"/>
          <w:szCs w:val="24"/>
        </w:rPr>
      </w:pPr>
    </w:p>
    <w:p w:rsidR="00A078A6" w:rsidRDefault="00A078A6" w:rsidP="00BA1CB8">
      <w:pPr>
        <w:spacing w:line="480" w:lineRule="auto"/>
        <w:ind w:left="720" w:hanging="720"/>
        <w:jc w:val="both"/>
        <w:rPr>
          <w:rFonts w:ascii="Arial" w:hAnsi="Arial" w:cs="Arial"/>
          <w:sz w:val="24"/>
          <w:szCs w:val="24"/>
        </w:rPr>
      </w:pPr>
      <w:r>
        <w:rPr>
          <w:rFonts w:ascii="Arial" w:hAnsi="Arial" w:cs="Arial"/>
          <w:sz w:val="24"/>
          <w:szCs w:val="24"/>
        </w:rPr>
        <w:t>[2</w:t>
      </w:r>
      <w:r w:rsidR="00586B59">
        <w:rPr>
          <w:rFonts w:ascii="Arial" w:hAnsi="Arial" w:cs="Arial"/>
          <w:sz w:val="24"/>
          <w:szCs w:val="24"/>
        </w:rPr>
        <w:t>6</w:t>
      </w:r>
      <w:r>
        <w:rPr>
          <w:rFonts w:ascii="Arial" w:hAnsi="Arial" w:cs="Arial"/>
          <w:sz w:val="24"/>
          <w:szCs w:val="24"/>
        </w:rPr>
        <w:t>]</w:t>
      </w:r>
      <w:r>
        <w:rPr>
          <w:rFonts w:ascii="Arial" w:hAnsi="Arial" w:cs="Arial"/>
          <w:sz w:val="24"/>
          <w:szCs w:val="24"/>
        </w:rPr>
        <w:tab/>
        <w:t xml:space="preserve">In its heads of argument the applicants’ legal representative also referred me to the matter of the </w:t>
      </w:r>
      <w:r w:rsidRPr="004B4FB8">
        <w:rPr>
          <w:rFonts w:ascii="Arial" w:hAnsi="Arial" w:cs="Arial"/>
          <w:sz w:val="24"/>
          <w:szCs w:val="24"/>
        </w:rPr>
        <w:t>Academic and Professional Staff Association v Pretorius NO and Others</w:t>
      </w:r>
      <w:r>
        <w:rPr>
          <w:rFonts w:ascii="Arial" w:hAnsi="Arial" w:cs="Arial"/>
          <w:sz w:val="24"/>
          <w:szCs w:val="24"/>
        </w:rPr>
        <w:t xml:space="preserve"> </w:t>
      </w:r>
      <w:r w:rsidRPr="004B4FB8">
        <w:rPr>
          <w:rFonts w:ascii="Arial" w:hAnsi="Arial" w:cs="Arial"/>
          <w:sz w:val="24"/>
          <w:szCs w:val="24"/>
        </w:rPr>
        <w:t>(2008) 29 ILJ 318 (LC)</w:t>
      </w:r>
      <w:r>
        <w:rPr>
          <w:rFonts w:ascii="Arial" w:hAnsi="Arial" w:cs="Arial"/>
          <w:sz w:val="24"/>
          <w:szCs w:val="24"/>
        </w:rPr>
        <w:t>, where the Labour Court</w:t>
      </w:r>
      <w:r w:rsidRPr="007A2393">
        <w:rPr>
          <w:rFonts w:ascii="Arial" w:hAnsi="Arial" w:cs="Arial"/>
          <w:sz w:val="24"/>
          <w:szCs w:val="24"/>
        </w:rPr>
        <w:t xml:space="preserve"> </w:t>
      </w:r>
      <w:r w:rsidRPr="004B4FB8">
        <w:rPr>
          <w:rFonts w:ascii="Arial" w:hAnsi="Arial" w:cs="Arial"/>
          <w:sz w:val="24"/>
          <w:szCs w:val="24"/>
        </w:rPr>
        <w:t>at para</w:t>
      </w:r>
      <w:r>
        <w:rPr>
          <w:rFonts w:ascii="Arial" w:hAnsi="Arial" w:cs="Arial"/>
          <w:sz w:val="24"/>
          <w:szCs w:val="24"/>
        </w:rPr>
        <w:t>graph</w:t>
      </w:r>
      <w:r w:rsidRPr="004B4FB8">
        <w:rPr>
          <w:rFonts w:ascii="Arial" w:hAnsi="Arial" w:cs="Arial"/>
          <w:sz w:val="24"/>
          <w:szCs w:val="24"/>
        </w:rPr>
        <w:t>s 17–18</w:t>
      </w:r>
      <w:r>
        <w:rPr>
          <w:rFonts w:ascii="Arial" w:hAnsi="Arial" w:cs="Arial"/>
          <w:sz w:val="24"/>
          <w:szCs w:val="24"/>
        </w:rPr>
        <w:t xml:space="preserve"> indicated that</w:t>
      </w:r>
      <w:r w:rsidRPr="004B4FB8">
        <w:rPr>
          <w:rFonts w:ascii="Arial" w:hAnsi="Arial" w:cs="Arial"/>
          <w:sz w:val="24"/>
          <w:szCs w:val="24"/>
        </w:rPr>
        <w:t xml:space="preserve">: ‘The factors which the court takes into consideration in </w:t>
      </w:r>
      <w:r w:rsidRPr="004B4FB8">
        <w:rPr>
          <w:rFonts w:ascii="Arial" w:hAnsi="Arial" w:cs="Arial"/>
          <w:sz w:val="24"/>
          <w:szCs w:val="24"/>
        </w:rPr>
        <w:lastRenderedPageBreak/>
        <w:t xml:space="preserve">assessing whether or not to grant </w:t>
      </w:r>
      <w:proofErr w:type="spellStart"/>
      <w:r w:rsidRPr="004B4FB8">
        <w:rPr>
          <w:rFonts w:ascii="Arial" w:hAnsi="Arial" w:cs="Arial"/>
          <w:sz w:val="24"/>
          <w:szCs w:val="24"/>
        </w:rPr>
        <w:t>condonation</w:t>
      </w:r>
      <w:proofErr w:type="spellEnd"/>
      <w:r w:rsidRPr="004B4FB8">
        <w:rPr>
          <w:rFonts w:ascii="Arial" w:hAnsi="Arial" w:cs="Arial"/>
          <w:sz w:val="24"/>
          <w:szCs w:val="24"/>
        </w:rPr>
        <w:t xml:space="preserve"> are: (a) the degree of lateness or non – compliance with the prescribed time frame; (b)</w:t>
      </w:r>
      <w:r>
        <w:rPr>
          <w:rFonts w:ascii="Arial" w:hAnsi="Arial" w:cs="Arial"/>
          <w:sz w:val="24"/>
          <w:szCs w:val="24"/>
        </w:rPr>
        <w:t xml:space="preserve"> </w:t>
      </w:r>
      <w:r w:rsidRPr="004B4FB8">
        <w:rPr>
          <w:rFonts w:ascii="Arial" w:hAnsi="Arial" w:cs="Arial"/>
          <w:sz w:val="24"/>
          <w:szCs w:val="24"/>
        </w:rPr>
        <w:t>the explanation for the lateness or the failure to comply with time frame;</w:t>
      </w:r>
      <w:r w:rsidR="007706A0">
        <w:rPr>
          <w:rFonts w:ascii="Arial" w:hAnsi="Arial" w:cs="Arial"/>
          <w:sz w:val="24"/>
          <w:szCs w:val="24"/>
        </w:rPr>
        <w:t xml:space="preserve"> </w:t>
      </w:r>
      <w:r w:rsidRPr="004B4FB8">
        <w:rPr>
          <w:rFonts w:ascii="Arial" w:hAnsi="Arial" w:cs="Arial"/>
          <w:sz w:val="24"/>
          <w:szCs w:val="24"/>
        </w:rPr>
        <w:t>(c)</w:t>
      </w:r>
      <w:r>
        <w:rPr>
          <w:rFonts w:ascii="Arial" w:hAnsi="Arial" w:cs="Arial"/>
          <w:sz w:val="24"/>
          <w:szCs w:val="24"/>
        </w:rPr>
        <w:t xml:space="preserve"> </w:t>
      </w:r>
      <w:r w:rsidRPr="004B4FB8">
        <w:rPr>
          <w:rFonts w:ascii="Arial" w:hAnsi="Arial" w:cs="Arial"/>
          <w:sz w:val="24"/>
          <w:szCs w:val="24"/>
        </w:rPr>
        <w:t>prospects of success or bona fide defence in the main case; (d) the importance of the case;</w:t>
      </w:r>
      <w:r w:rsidR="007706A0">
        <w:rPr>
          <w:rFonts w:ascii="Arial" w:hAnsi="Arial" w:cs="Arial"/>
          <w:sz w:val="24"/>
          <w:szCs w:val="24"/>
        </w:rPr>
        <w:t xml:space="preserve"> </w:t>
      </w:r>
      <w:r w:rsidRPr="004B4FB8">
        <w:rPr>
          <w:rFonts w:ascii="Arial" w:hAnsi="Arial" w:cs="Arial"/>
          <w:sz w:val="24"/>
          <w:szCs w:val="24"/>
        </w:rPr>
        <w:t>(e) the respondent's interest in the finality of the judgment; (f) the convenience of the court; and (g)</w:t>
      </w:r>
      <w:r>
        <w:rPr>
          <w:rFonts w:ascii="Arial" w:hAnsi="Arial" w:cs="Arial"/>
          <w:sz w:val="24"/>
          <w:szCs w:val="24"/>
        </w:rPr>
        <w:t xml:space="preserve"> </w:t>
      </w:r>
      <w:r w:rsidRPr="004B4FB8">
        <w:rPr>
          <w:rFonts w:ascii="Arial" w:hAnsi="Arial" w:cs="Arial"/>
          <w:sz w:val="24"/>
          <w:szCs w:val="24"/>
        </w:rPr>
        <w:t xml:space="preserve">avoidance of unnecessary delay in the administration of justice. </w:t>
      </w:r>
    </w:p>
    <w:p w:rsidR="00A078A6" w:rsidRDefault="00A078A6" w:rsidP="00A078A6">
      <w:pPr>
        <w:spacing w:line="480" w:lineRule="auto"/>
        <w:jc w:val="both"/>
        <w:rPr>
          <w:rFonts w:ascii="Arial" w:hAnsi="Arial" w:cs="Arial"/>
          <w:sz w:val="24"/>
          <w:szCs w:val="24"/>
        </w:rPr>
      </w:pPr>
    </w:p>
    <w:p w:rsidR="00A078A6" w:rsidRDefault="00A078A6" w:rsidP="00BA1CB8">
      <w:pPr>
        <w:spacing w:line="480" w:lineRule="auto"/>
        <w:ind w:left="720" w:hanging="720"/>
        <w:jc w:val="both"/>
        <w:rPr>
          <w:rFonts w:ascii="Arial" w:hAnsi="Arial" w:cs="Arial"/>
          <w:sz w:val="24"/>
          <w:szCs w:val="24"/>
        </w:rPr>
      </w:pPr>
      <w:r>
        <w:rPr>
          <w:rFonts w:ascii="Arial" w:hAnsi="Arial" w:cs="Arial"/>
          <w:sz w:val="24"/>
          <w:szCs w:val="24"/>
        </w:rPr>
        <w:t>[2</w:t>
      </w:r>
      <w:r w:rsidR="00586B59">
        <w:rPr>
          <w:rFonts w:ascii="Arial" w:hAnsi="Arial" w:cs="Arial"/>
          <w:sz w:val="24"/>
          <w:szCs w:val="24"/>
        </w:rPr>
        <w:t>7</w:t>
      </w:r>
      <w:r>
        <w:rPr>
          <w:rFonts w:ascii="Arial" w:hAnsi="Arial" w:cs="Arial"/>
          <w:sz w:val="24"/>
          <w:szCs w:val="24"/>
        </w:rPr>
        <w:t>]</w:t>
      </w:r>
      <w:r>
        <w:rPr>
          <w:rFonts w:ascii="Arial" w:hAnsi="Arial" w:cs="Arial"/>
          <w:sz w:val="24"/>
          <w:szCs w:val="24"/>
        </w:rPr>
        <w:tab/>
        <w:t xml:space="preserve">Further to the above, the applicant’s legal representative also referred me to </w:t>
      </w:r>
      <w:r w:rsidRPr="004B4FB8">
        <w:rPr>
          <w:rFonts w:ascii="Arial" w:hAnsi="Arial" w:cs="Arial"/>
          <w:sz w:val="24"/>
          <w:szCs w:val="24"/>
        </w:rPr>
        <w:t>Foster v Stewart Scott Inc. (1997) 18 ILJ 367 (LAC)</w:t>
      </w:r>
      <w:r>
        <w:rPr>
          <w:rFonts w:ascii="Arial" w:hAnsi="Arial" w:cs="Arial"/>
          <w:sz w:val="24"/>
          <w:szCs w:val="24"/>
        </w:rPr>
        <w:t xml:space="preserve"> where it was held that: ‘</w:t>
      </w:r>
      <w:r w:rsidRPr="004B4FB8">
        <w:rPr>
          <w:rFonts w:ascii="Arial" w:hAnsi="Arial" w:cs="Arial"/>
          <w:sz w:val="24"/>
          <w:szCs w:val="24"/>
        </w:rPr>
        <w:t xml:space="preserve">It is trite law that these factors </w:t>
      </w:r>
      <w:r w:rsidR="00680244">
        <w:rPr>
          <w:rFonts w:ascii="Arial" w:hAnsi="Arial" w:cs="Arial"/>
          <w:sz w:val="24"/>
          <w:szCs w:val="24"/>
        </w:rPr>
        <w:t xml:space="preserve">are </w:t>
      </w:r>
      <w:r w:rsidRPr="004B4FB8">
        <w:rPr>
          <w:rFonts w:ascii="Arial" w:hAnsi="Arial" w:cs="Arial"/>
          <w:sz w:val="24"/>
          <w:szCs w:val="24"/>
        </w:rPr>
        <w:t>not individually decisive but are interrelated and must be weighed against each other. In weighing these factors for instance, a good explanation for the lateness may assist the applicant in compensating for weak prospects of success. Similarly, strong prospects of success may compensate the inadequate explanation and long delay.’</w:t>
      </w:r>
    </w:p>
    <w:p w:rsidR="00A078A6" w:rsidRDefault="00A078A6" w:rsidP="00A078A6">
      <w:pPr>
        <w:spacing w:line="480" w:lineRule="auto"/>
        <w:jc w:val="both"/>
        <w:rPr>
          <w:rFonts w:ascii="Arial" w:hAnsi="Arial" w:cs="Arial"/>
          <w:sz w:val="24"/>
          <w:szCs w:val="24"/>
        </w:rPr>
      </w:pPr>
    </w:p>
    <w:p w:rsidR="00A078A6" w:rsidRDefault="00A078A6" w:rsidP="00BA1CB8">
      <w:pPr>
        <w:spacing w:line="480" w:lineRule="auto"/>
        <w:ind w:left="720" w:hanging="720"/>
        <w:jc w:val="both"/>
        <w:rPr>
          <w:rFonts w:ascii="Arial" w:hAnsi="Arial" w:cs="Arial"/>
          <w:sz w:val="24"/>
          <w:szCs w:val="24"/>
        </w:rPr>
      </w:pPr>
      <w:r>
        <w:rPr>
          <w:rFonts w:ascii="Arial" w:hAnsi="Arial" w:cs="Arial"/>
          <w:sz w:val="24"/>
          <w:szCs w:val="24"/>
        </w:rPr>
        <w:t>[</w:t>
      </w:r>
      <w:r w:rsidR="005F0E3A">
        <w:rPr>
          <w:rFonts w:ascii="Arial" w:hAnsi="Arial" w:cs="Arial"/>
          <w:sz w:val="24"/>
          <w:szCs w:val="24"/>
        </w:rPr>
        <w:t>2</w:t>
      </w:r>
      <w:r w:rsidR="00586B59">
        <w:rPr>
          <w:rFonts w:ascii="Arial" w:hAnsi="Arial" w:cs="Arial"/>
          <w:sz w:val="24"/>
          <w:szCs w:val="24"/>
        </w:rPr>
        <w:t>8</w:t>
      </w:r>
      <w:r>
        <w:rPr>
          <w:rFonts w:ascii="Arial" w:hAnsi="Arial" w:cs="Arial"/>
          <w:sz w:val="24"/>
          <w:szCs w:val="24"/>
        </w:rPr>
        <w:t>]</w:t>
      </w:r>
      <w:r>
        <w:rPr>
          <w:rFonts w:ascii="Arial" w:hAnsi="Arial" w:cs="Arial"/>
          <w:sz w:val="24"/>
          <w:szCs w:val="24"/>
        </w:rPr>
        <w:tab/>
        <w:t>The 1</w:t>
      </w:r>
      <w:r w:rsidRPr="00E92FD1">
        <w:rPr>
          <w:rFonts w:ascii="Arial" w:hAnsi="Arial" w:cs="Arial"/>
          <w:sz w:val="24"/>
          <w:szCs w:val="24"/>
          <w:vertAlign w:val="superscript"/>
        </w:rPr>
        <w:t>st</w:t>
      </w:r>
      <w:r>
        <w:rPr>
          <w:rFonts w:ascii="Arial" w:hAnsi="Arial" w:cs="Arial"/>
          <w:sz w:val="24"/>
          <w:szCs w:val="24"/>
        </w:rPr>
        <w:t xml:space="preserve"> respondents legal representative referred me to section 7 of the Promotion of Administrative Justice Act 3 of 2000 where it is stipulated that any proceedings for judicial review in terms of section 6(1) must be instituted without unreasonable delay and not later than 180 of </w:t>
      </w:r>
      <w:r w:rsidR="00D412FD">
        <w:rPr>
          <w:rFonts w:ascii="Arial" w:hAnsi="Arial" w:cs="Arial"/>
          <w:sz w:val="24"/>
          <w:szCs w:val="24"/>
        </w:rPr>
        <w:t xml:space="preserve">the person </w:t>
      </w:r>
      <w:r>
        <w:rPr>
          <w:rFonts w:ascii="Arial" w:hAnsi="Arial" w:cs="Arial"/>
          <w:sz w:val="24"/>
          <w:szCs w:val="24"/>
        </w:rPr>
        <w:t>bec</w:t>
      </w:r>
      <w:r w:rsidR="00D412FD">
        <w:rPr>
          <w:rFonts w:ascii="Arial" w:hAnsi="Arial" w:cs="Arial"/>
          <w:sz w:val="24"/>
          <w:szCs w:val="24"/>
        </w:rPr>
        <w:t>o</w:t>
      </w:r>
      <w:r>
        <w:rPr>
          <w:rFonts w:ascii="Arial" w:hAnsi="Arial" w:cs="Arial"/>
          <w:sz w:val="24"/>
          <w:szCs w:val="24"/>
        </w:rPr>
        <w:t>m</w:t>
      </w:r>
      <w:r w:rsidR="00D412FD">
        <w:rPr>
          <w:rFonts w:ascii="Arial" w:hAnsi="Arial" w:cs="Arial"/>
          <w:sz w:val="24"/>
          <w:szCs w:val="24"/>
        </w:rPr>
        <w:t>ing</w:t>
      </w:r>
      <w:r>
        <w:rPr>
          <w:rFonts w:ascii="Arial" w:hAnsi="Arial" w:cs="Arial"/>
          <w:sz w:val="24"/>
          <w:szCs w:val="24"/>
        </w:rPr>
        <w:t xml:space="preserve"> aware that the proceedings instituted were concluded, or when th</w:t>
      </w:r>
      <w:r w:rsidR="00D412FD">
        <w:rPr>
          <w:rFonts w:ascii="Arial" w:hAnsi="Arial" w:cs="Arial"/>
          <w:sz w:val="24"/>
          <w:szCs w:val="24"/>
        </w:rPr>
        <w:t>at</w:t>
      </w:r>
      <w:r>
        <w:rPr>
          <w:rFonts w:ascii="Arial" w:hAnsi="Arial" w:cs="Arial"/>
          <w:sz w:val="24"/>
          <w:szCs w:val="24"/>
        </w:rPr>
        <w:t xml:space="preserve"> person had been informed of the administrative action</w:t>
      </w:r>
      <w:r w:rsidR="00D412FD">
        <w:rPr>
          <w:rFonts w:ascii="Arial" w:hAnsi="Arial" w:cs="Arial"/>
          <w:sz w:val="24"/>
          <w:szCs w:val="24"/>
        </w:rPr>
        <w:t xml:space="preserve"> or </w:t>
      </w:r>
      <w:r>
        <w:rPr>
          <w:rFonts w:ascii="Arial" w:hAnsi="Arial" w:cs="Arial"/>
          <w:sz w:val="24"/>
          <w:szCs w:val="24"/>
        </w:rPr>
        <w:t xml:space="preserve">became aware of the administrative action and the reasons therefore and so forth. </w:t>
      </w:r>
    </w:p>
    <w:p w:rsidR="00D412FD" w:rsidRDefault="00D412FD" w:rsidP="00A078A6">
      <w:pPr>
        <w:spacing w:line="480" w:lineRule="auto"/>
        <w:jc w:val="both"/>
        <w:rPr>
          <w:rFonts w:ascii="Arial" w:hAnsi="Arial" w:cs="Arial"/>
          <w:sz w:val="24"/>
          <w:szCs w:val="24"/>
        </w:rPr>
      </w:pPr>
    </w:p>
    <w:p w:rsidR="00A078A6" w:rsidRDefault="00D412FD" w:rsidP="00BA1CB8">
      <w:pPr>
        <w:spacing w:line="480" w:lineRule="auto"/>
        <w:ind w:left="720" w:hanging="720"/>
        <w:jc w:val="both"/>
        <w:rPr>
          <w:rFonts w:ascii="Arial" w:hAnsi="Arial" w:cs="Arial"/>
          <w:sz w:val="24"/>
          <w:szCs w:val="24"/>
        </w:rPr>
      </w:pPr>
      <w:r>
        <w:rPr>
          <w:rFonts w:ascii="Arial" w:hAnsi="Arial" w:cs="Arial"/>
          <w:sz w:val="24"/>
          <w:szCs w:val="24"/>
        </w:rPr>
        <w:lastRenderedPageBreak/>
        <w:t>[</w:t>
      </w:r>
      <w:r w:rsidR="00586B59">
        <w:rPr>
          <w:rFonts w:ascii="Arial" w:hAnsi="Arial" w:cs="Arial"/>
          <w:sz w:val="24"/>
          <w:szCs w:val="24"/>
        </w:rPr>
        <w:t>29</w:t>
      </w:r>
      <w:r>
        <w:rPr>
          <w:rFonts w:ascii="Arial" w:hAnsi="Arial" w:cs="Arial"/>
          <w:sz w:val="24"/>
          <w:szCs w:val="24"/>
        </w:rPr>
        <w:t xml:space="preserve">] </w:t>
      </w:r>
      <w:r w:rsidR="00BA1CB8">
        <w:rPr>
          <w:rFonts w:ascii="Arial" w:hAnsi="Arial" w:cs="Arial"/>
          <w:sz w:val="24"/>
          <w:szCs w:val="24"/>
        </w:rPr>
        <w:tab/>
      </w:r>
      <w:r w:rsidR="00A078A6">
        <w:rPr>
          <w:rFonts w:ascii="Arial" w:hAnsi="Arial" w:cs="Arial"/>
          <w:sz w:val="24"/>
          <w:szCs w:val="24"/>
        </w:rPr>
        <w:t>The 1</w:t>
      </w:r>
      <w:r w:rsidR="00A078A6" w:rsidRPr="00E92FD1">
        <w:rPr>
          <w:rFonts w:ascii="Arial" w:hAnsi="Arial" w:cs="Arial"/>
          <w:sz w:val="24"/>
          <w:szCs w:val="24"/>
          <w:vertAlign w:val="superscript"/>
        </w:rPr>
        <w:t>st</w:t>
      </w:r>
      <w:r w:rsidR="00A078A6">
        <w:rPr>
          <w:rFonts w:ascii="Arial" w:hAnsi="Arial" w:cs="Arial"/>
          <w:sz w:val="24"/>
          <w:szCs w:val="24"/>
        </w:rPr>
        <w:t xml:space="preserve"> respondents legal representative </w:t>
      </w:r>
      <w:r w:rsidR="00F202F7">
        <w:rPr>
          <w:rFonts w:ascii="Arial" w:hAnsi="Arial" w:cs="Arial"/>
          <w:sz w:val="24"/>
          <w:szCs w:val="24"/>
        </w:rPr>
        <w:t xml:space="preserve">furthermore </w:t>
      </w:r>
      <w:r w:rsidR="00A078A6">
        <w:rPr>
          <w:rFonts w:ascii="Arial" w:hAnsi="Arial" w:cs="Arial"/>
          <w:sz w:val="24"/>
          <w:szCs w:val="24"/>
        </w:rPr>
        <w:t xml:space="preserve">referred me to the </w:t>
      </w:r>
      <w:r w:rsidR="00BA1CB8">
        <w:rPr>
          <w:rFonts w:ascii="Arial" w:hAnsi="Arial" w:cs="Arial"/>
          <w:sz w:val="24"/>
          <w:szCs w:val="24"/>
        </w:rPr>
        <w:t xml:space="preserve">matter of </w:t>
      </w:r>
      <w:proofErr w:type="spellStart"/>
      <w:r w:rsidR="00A078A6">
        <w:rPr>
          <w:rFonts w:ascii="Arial" w:hAnsi="Arial" w:cs="Arial"/>
          <w:sz w:val="24"/>
          <w:szCs w:val="24"/>
        </w:rPr>
        <w:t>Brummer</w:t>
      </w:r>
      <w:proofErr w:type="spellEnd"/>
      <w:r w:rsidR="00A078A6">
        <w:rPr>
          <w:rFonts w:ascii="Arial" w:hAnsi="Arial" w:cs="Arial"/>
          <w:sz w:val="24"/>
          <w:szCs w:val="24"/>
        </w:rPr>
        <w:t xml:space="preserve"> v </w:t>
      </w:r>
      <w:proofErr w:type="spellStart"/>
      <w:r w:rsidR="00A078A6">
        <w:rPr>
          <w:rFonts w:ascii="Arial" w:hAnsi="Arial" w:cs="Arial"/>
          <w:sz w:val="24"/>
          <w:szCs w:val="24"/>
        </w:rPr>
        <w:t>Gorfil</w:t>
      </w:r>
      <w:proofErr w:type="spellEnd"/>
      <w:r w:rsidR="00A078A6">
        <w:rPr>
          <w:rFonts w:ascii="Arial" w:hAnsi="Arial" w:cs="Arial"/>
          <w:sz w:val="24"/>
          <w:szCs w:val="24"/>
        </w:rPr>
        <w:t xml:space="preserve"> Brothers Investments (Pty) Ltd and others 2000 (2) SA 837 (CC) where the Court in the context of </w:t>
      </w:r>
      <w:proofErr w:type="spellStart"/>
      <w:r w:rsidR="00A078A6">
        <w:rPr>
          <w:rFonts w:ascii="Arial" w:hAnsi="Arial" w:cs="Arial"/>
          <w:sz w:val="24"/>
          <w:szCs w:val="24"/>
        </w:rPr>
        <w:t>condonation</w:t>
      </w:r>
      <w:proofErr w:type="spellEnd"/>
      <w:r w:rsidR="00A078A6">
        <w:rPr>
          <w:rFonts w:ascii="Arial" w:hAnsi="Arial" w:cs="Arial"/>
          <w:sz w:val="24"/>
          <w:szCs w:val="24"/>
        </w:rPr>
        <w:t xml:space="preserve"> held the following: “factors that are relevant to this enquiry include but are not limited to the nature of the relief sought, the extent and cause of the delay, the effect of the delay on the administration of justice and other litigants, the reasonableness of the explanation for the delay, the importance of the issue to be raised in the intended appeal and the prospects of success.”</w:t>
      </w:r>
    </w:p>
    <w:p w:rsidR="00473B65" w:rsidRDefault="00473B65" w:rsidP="00A078A6">
      <w:pPr>
        <w:spacing w:line="480" w:lineRule="auto"/>
        <w:jc w:val="both"/>
        <w:rPr>
          <w:rFonts w:ascii="Arial" w:hAnsi="Arial" w:cs="Arial"/>
          <w:sz w:val="24"/>
          <w:szCs w:val="24"/>
        </w:rPr>
      </w:pPr>
    </w:p>
    <w:p w:rsidR="00A078A6" w:rsidRPr="00132902" w:rsidRDefault="00D412FD" w:rsidP="00BA1CB8">
      <w:pPr>
        <w:spacing w:line="480" w:lineRule="auto"/>
        <w:ind w:left="720" w:hanging="720"/>
        <w:jc w:val="both"/>
        <w:rPr>
          <w:rFonts w:ascii="Arial" w:hAnsi="Arial" w:cs="Arial"/>
          <w:sz w:val="24"/>
          <w:szCs w:val="24"/>
        </w:rPr>
      </w:pPr>
      <w:r>
        <w:rPr>
          <w:rFonts w:ascii="Arial" w:hAnsi="Arial" w:cs="Arial"/>
          <w:sz w:val="24"/>
          <w:szCs w:val="24"/>
        </w:rPr>
        <w:t>[3</w:t>
      </w:r>
      <w:r w:rsidR="00586B59">
        <w:rPr>
          <w:rFonts w:ascii="Arial" w:hAnsi="Arial" w:cs="Arial"/>
          <w:sz w:val="24"/>
          <w:szCs w:val="24"/>
        </w:rPr>
        <w:t>0</w:t>
      </w:r>
      <w:r>
        <w:rPr>
          <w:rFonts w:ascii="Arial" w:hAnsi="Arial" w:cs="Arial"/>
          <w:sz w:val="24"/>
          <w:szCs w:val="24"/>
        </w:rPr>
        <w:t>]</w:t>
      </w:r>
      <w:r>
        <w:rPr>
          <w:rFonts w:ascii="Arial" w:hAnsi="Arial" w:cs="Arial"/>
          <w:sz w:val="24"/>
          <w:szCs w:val="24"/>
        </w:rPr>
        <w:tab/>
      </w:r>
      <w:r w:rsidR="00A078A6" w:rsidRPr="00132902">
        <w:rPr>
          <w:rFonts w:ascii="Arial" w:hAnsi="Arial" w:cs="Arial"/>
          <w:sz w:val="24"/>
          <w:szCs w:val="24"/>
        </w:rPr>
        <w:t>The 1</w:t>
      </w:r>
      <w:r w:rsidR="00A078A6" w:rsidRPr="00132902">
        <w:rPr>
          <w:rFonts w:ascii="Arial" w:hAnsi="Arial" w:cs="Arial"/>
          <w:sz w:val="24"/>
          <w:szCs w:val="24"/>
          <w:vertAlign w:val="superscript"/>
        </w:rPr>
        <w:t>st</w:t>
      </w:r>
      <w:r w:rsidR="00A078A6" w:rsidRPr="00132902">
        <w:rPr>
          <w:rFonts w:ascii="Arial" w:hAnsi="Arial" w:cs="Arial"/>
          <w:sz w:val="24"/>
          <w:szCs w:val="24"/>
        </w:rPr>
        <w:t xml:space="preserve"> respondent</w:t>
      </w:r>
      <w:r>
        <w:rPr>
          <w:rFonts w:ascii="Arial" w:hAnsi="Arial" w:cs="Arial"/>
          <w:sz w:val="24"/>
          <w:szCs w:val="24"/>
        </w:rPr>
        <w:t>’</w:t>
      </w:r>
      <w:r w:rsidR="00A078A6" w:rsidRPr="00132902">
        <w:rPr>
          <w:rFonts w:ascii="Arial" w:hAnsi="Arial" w:cs="Arial"/>
          <w:sz w:val="24"/>
          <w:szCs w:val="24"/>
        </w:rPr>
        <w:t>s legal representative referred me to the matter of: Opposition to Urban Tolling Alliance v The South African National Roads Agency Limited (90/2013) [2013] ZASCA 148 (9 October 2013)</w:t>
      </w:r>
      <w:r w:rsidR="00CD3C06">
        <w:rPr>
          <w:rFonts w:ascii="Arial" w:hAnsi="Arial" w:cs="Arial"/>
          <w:sz w:val="24"/>
          <w:szCs w:val="24"/>
        </w:rPr>
        <w:t xml:space="preserve">. I quote the relevant portion of the judgment here below: </w:t>
      </w:r>
      <w:r>
        <w:rPr>
          <w:rFonts w:ascii="Arial" w:hAnsi="Arial" w:cs="Arial"/>
          <w:sz w:val="24"/>
          <w:szCs w:val="24"/>
        </w:rPr>
        <w:t xml:space="preserve"> </w:t>
      </w:r>
    </w:p>
    <w:p w:rsidR="00A078A6" w:rsidRPr="00010E2C" w:rsidRDefault="00010E2C" w:rsidP="00D412FD">
      <w:pPr>
        <w:spacing w:line="480" w:lineRule="auto"/>
        <w:ind w:left="720"/>
        <w:jc w:val="both"/>
        <w:rPr>
          <w:rFonts w:ascii="Arial" w:hAnsi="Arial" w:cs="Arial"/>
          <w:sz w:val="24"/>
          <w:szCs w:val="24"/>
        </w:rPr>
      </w:pPr>
      <w:r>
        <w:rPr>
          <w:rFonts w:ascii="Arial" w:hAnsi="Arial" w:cs="Arial"/>
          <w:sz w:val="24"/>
          <w:szCs w:val="24"/>
        </w:rPr>
        <w:t>“</w:t>
      </w:r>
      <w:r w:rsidR="00A078A6" w:rsidRPr="00010E2C">
        <w:rPr>
          <w:rFonts w:ascii="Arial" w:hAnsi="Arial" w:cs="Arial"/>
          <w:sz w:val="24"/>
          <w:szCs w:val="24"/>
        </w:rPr>
        <w:t xml:space="preserve">[22] Apart from contesting the appellants’ challenge to the impugned decisions on its merits, the respondents relied on what has become known as the delay rule. Despite the appellants’ contentions to the contrary and for reasons that will become apparent soon, I believe we are compelled to follow the example set by this court in </w:t>
      </w:r>
      <w:proofErr w:type="spellStart"/>
      <w:r w:rsidR="00A078A6" w:rsidRPr="00010E2C">
        <w:rPr>
          <w:rFonts w:ascii="Arial" w:hAnsi="Arial" w:cs="Arial"/>
          <w:sz w:val="24"/>
          <w:szCs w:val="24"/>
        </w:rPr>
        <w:t>Beweging</w:t>
      </w:r>
      <w:proofErr w:type="spellEnd"/>
      <w:r w:rsidR="00A078A6" w:rsidRPr="00010E2C">
        <w:rPr>
          <w:rFonts w:ascii="Arial" w:hAnsi="Arial" w:cs="Arial"/>
          <w:sz w:val="24"/>
          <w:szCs w:val="24"/>
        </w:rPr>
        <w:t xml:space="preserve"> </w:t>
      </w:r>
      <w:proofErr w:type="spellStart"/>
      <w:r w:rsidR="00A078A6" w:rsidRPr="00010E2C">
        <w:rPr>
          <w:rFonts w:ascii="Arial" w:hAnsi="Arial" w:cs="Arial"/>
          <w:sz w:val="24"/>
          <w:szCs w:val="24"/>
        </w:rPr>
        <w:t>vir</w:t>
      </w:r>
      <w:proofErr w:type="spellEnd"/>
      <w:r w:rsidR="00A078A6" w:rsidRPr="00010E2C">
        <w:rPr>
          <w:rFonts w:ascii="Arial" w:hAnsi="Arial" w:cs="Arial"/>
          <w:sz w:val="24"/>
          <w:szCs w:val="24"/>
        </w:rPr>
        <w:t xml:space="preserve"> </w:t>
      </w:r>
      <w:proofErr w:type="spellStart"/>
      <w:r w:rsidR="00A078A6" w:rsidRPr="00010E2C">
        <w:rPr>
          <w:rFonts w:ascii="Arial" w:hAnsi="Arial" w:cs="Arial"/>
          <w:sz w:val="24"/>
          <w:szCs w:val="24"/>
        </w:rPr>
        <w:t>Christelik</w:t>
      </w:r>
      <w:proofErr w:type="spellEnd"/>
      <w:r w:rsidR="00A078A6" w:rsidRPr="00010E2C">
        <w:rPr>
          <w:rFonts w:ascii="Arial" w:hAnsi="Arial" w:cs="Arial"/>
          <w:sz w:val="24"/>
          <w:szCs w:val="24"/>
        </w:rPr>
        <w:t xml:space="preserve"> </w:t>
      </w:r>
      <w:proofErr w:type="spellStart"/>
      <w:r w:rsidR="00A078A6" w:rsidRPr="00010E2C">
        <w:rPr>
          <w:rFonts w:ascii="Arial" w:hAnsi="Arial" w:cs="Arial"/>
          <w:sz w:val="24"/>
          <w:szCs w:val="24"/>
        </w:rPr>
        <w:t>Volkseie</w:t>
      </w:r>
      <w:proofErr w:type="spellEnd"/>
      <w:r w:rsidR="00A078A6" w:rsidRPr="00010E2C">
        <w:rPr>
          <w:rFonts w:ascii="Arial" w:hAnsi="Arial" w:cs="Arial"/>
          <w:sz w:val="24"/>
          <w:szCs w:val="24"/>
        </w:rPr>
        <w:t xml:space="preserve"> </w:t>
      </w:r>
      <w:proofErr w:type="spellStart"/>
      <w:r w:rsidR="00A078A6" w:rsidRPr="00010E2C">
        <w:rPr>
          <w:rFonts w:ascii="Arial" w:hAnsi="Arial" w:cs="Arial"/>
          <w:sz w:val="24"/>
          <w:szCs w:val="24"/>
        </w:rPr>
        <w:t>Onderwys</w:t>
      </w:r>
      <w:proofErr w:type="spellEnd"/>
      <w:r w:rsidR="00A078A6" w:rsidRPr="00010E2C">
        <w:rPr>
          <w:rFonts w:ascii="Arial" w:hAnsi="Arial" w:cs="Arial"/>
          <w:sz w:val="24"/>
          <w:szCs w:val="24"/>
        </w:rPr>
        <w:t xml:space="preserve"> and others v Minister of Education and others [2012] 2 All SA 462 (SCA) </w:t>
      </w:r>
      <w:proofErr w:type="spellStart"/>
      <w:r w:rsidR="00A078A6" w:rsidRPr="00010E2C">
        <w:rPr>
          <w:rFonts w:ascii="Arial" w:hAnsi="Arial" w:cs="Arial"/>
          <w:sz w:val="24"/>
          <w:szCs w:val="24"/>
        </w:rPr>
        <w:t>para</w:t>
      </w:r>
      <w:proofErr w:type="spellEnd"/>
      <w:r w:rsidR="00A078A6" w:rsidRPr="00010E2C">
        <w:rPr>
          <w:rFonts w:ascii="Arial" w:hAnsi="Arial" w:cs="Arial"/>
          <w:sz w:val="24"/>
          <w:szCs w:val="24"/>
        </w:rPr>
        <w:t xml:space="preserve"> 44, by dealing with the delay rule first. </w:t>
      </w:r>
    </w:p>
    <w:p w:rsidR="00A078A6" w:rsidRPr="00010E2C" w:rsidRDefault="00A078A6" w:rsidP="00D412FD">
      <w:pPr>
        <w:spacing w:line="480" w:lineRule="auto"/>
        <w:ind w:left="720"/>
        <w:jc w:val="both"/>
        <w:rPr>
          <w:rFonts w:ascii="Arial" w:hAnsi="Arial" w:cs="Arial"/>
          <w:sz w:val="24"/>
          <w:szCs w:val="24"/>
        </w:rPr>
      </w:pPr>
      <w:r w:rsidRPr="00010E2C">
        <w:rPr>
          <w:rFonts w:ascii="Arial" w:hAnsi="Arial" w:cs="Arial"/>
          <w:sz w:val="24"/>
          <w:szCs w:val="24"/>
        </w:rPr>
        <w:t xml:space="preserve">[23] Although the delay rule has its origin in common law, it now finds its basis in s 7(1) of PAJA which provides in relevant part: ‘1. Any proceedings for judicial review in terms of section 6(1) must be instituted without unreasonable delay and not later than 180 days after the date – (a) . . . (b) . . . on which the </w:t>
      </w:r>
      <w:r w:rsidRPr="00010E2C">
        <w:rPr>
          <w:rFonts w:ascii="Arial" w:hAnsi="Arial" w:cs="Arial"/>
          <w:sz w:val="24"/>
          <w:szCs w:val="24"/>
        </w:rPr>
        <w:lastRenderedPageBreak/>
        <w:t xml:space="preserve">person concerned was informed of the administrative action, became aware of the action and the reasons for it or might reasonably have been expected to have become aware of the action and the reasons.’ </w:t>
      </w:r>
    </w:p>
    <w:p w:rsidR="00A078A6" w:rsidRPr="00010E2C" w:rsidRDefault="00A078A6" w:rsidP="00D412FD">
      <w:pPr>
        <w:spacing w:line="480" w:lineRule="auto"/>
        <w:ind w:left="720"/>
        <w:jc w:val="both"/>
        <w:rPr>
          <w:rFonts w:ascii="Arial" w:hAnsi="Arial" w:cs="Arial"/>
          <w:sz w:val="24"/>
          <w:szCs w:val="24"/>
        </w:rPr>
      </w:pPr>
      <w:r w:rsidRPr="00010E2C">
        <w:rPr>
          <w:rFonts w:ascii="Arial" w:hAnsi="Arial" w:cs="Arial"/>
          <w:sz w:val="24"/>
          <w:szCs w:val="24"/>
        </w:rPr>
        <w:t xml:space="preserve">[24] Section 9(1) provides, however, that the 180-day period ‘may be extended for a fixed period, by agreement between the parties or, failing such agreement, by a court or tribunal, on application by the person or administrator concerned’. Section 9(2) provides that such an application may be granted ‘where the interests of justice so require’. </w:t>
      </w:r>
    </w:p>
    <w:p w:rsidR="00A078A6" w:rsidRPr="00010E2C" w:rsidRDefault="00A078A6" w:rsidP="00D412FD">
      <w:pPr>
        <w:spacing w:line="480" w:lineRule="auto"/>
        <w:ind w:left="720"/>
        <w:jc w:val="both"/>
        <w:rPr>
          <w:rFonts w:ascii="Arial" w:hAnsi="Arial" w:cs="Arial"/>
          <w:sz w:val="24"/>
          <w:szCs w:val="24"/>
        </w:rPr>
      </w:pPr>
      <w:r w:rsidRPr="00010E2C">
        <w:rPr>
          <w:rFonts w:ascii="Arial" w:hAnsi="Arial" w:cs="Arial"/>
          <w:sz w:val="24"/>
          <w:szCs w:val="24"/>
        </w:rPr>
        <w:t xml:space="preserve">[25] As to the purpose and function of the delay rule under s 7(1) of PAJA and its common law predecessor, Nugent JA explained in </w:t>
      </w:r>
      <w:proofErr w:type="spellStart"/>
      <w:r w:rsidRPr="00010E2C">
        <w:rPr>
          <w:rFonts w:ascii="Arial" w:hAnsi="Arial" w:cs="Arial"/>
          <w:sz w:val="24"/>
          <w:szCs w:val="24"/>
        </w:rPr>
        <w:t>Gqwetha</w:t>
      </w:r>
      <w:proofErr w:type="spellEnd"/>
      <w:r w:rsidRPr="00010E2C">
        <w:rPr>
          <w:rFonts w:ascii="Arial" w:hAnsi="Arial" w:cs="Arial"/>
          <w:sz w:val="24"/>
          <w:szCs w:val="24"/>
        </w:rPr>
        <w:t xml:space="preserve"> v Transkei Development Corporation Ltd and others 2006 (2) SA 603 (SCA) </w:t>
      </w:r>
      <w:proofErr w:type="spellStart"/>
      <w:r w:rsidRPr="00010E2C">
        <w:rPr>
          <w:rFonts w:ascii="Arial" w:hAnsi="Arial" w:cs="Arial"/>
          <w:sz w:val="24"/>
          <w:szCs w:val="24"/>
        </w:rPr>
        <w:t>paras</w:t>
      </w:r>
      <w:proofErr w:type="spellEnd"/>
      <w:r w:rsidRPr="00010E2C">
        <w:rPr>
          <w:rFonts w:ascii="Arial" w:hAnsi="Arial" w:cs="Arial"/>
          <w:sz w:val="24"/>
          <w:szCs w:val="24"/>
        </w:rPr>
        <w:t xml:space="preserve"> 22-23: 14 ‘[22] It is important for the efficient functioning of public bodies . . . that a challenge to the validity of their decisions by proceedings for judicial review should be initiated without undue delay. The rationale for that longstanding rule . . . is twofold: First, the failure to bring a review within a reasonable time may cause prejudice to the respondent. Secondly, and in my view more importantly, there is a public interest element in the finality of administrative decisions and the exercise of administrative functions. As pointed out by Miller JA in </w:t>
      </w:r>
      <w:proofErr w:type="spellStart"/>
      <w:r w:rsidRPr="00010E2C">
        <w:rPr>
          <w:rFonts w:ascii="Arial" w:hAnsi="Arial" w:cs="Arial"/>
          <w:sz w:val="24"/>
          <w:szCs w:val="24"/>
        </w:rPr>
        <w:t>Wolgroeiers</w:t>
      </w:r>
      <w:proofErr w:type="spellEnd"/>
      <w:r w:rsidRPr="00010E2C">
        <w:rPr>
          <w:rFonts w:ascii="Arial" w:hAnsi="Arial" w:cs="Arial"/>
          <w:sz w:val="24"/>
          <w:szCs w:val="24"/>
        </w:rPr>
        <w:t xml:space="preserve"> </w:t>
      </w:r>
      <w:proofErr w:type="spellStart"/>
      <w:r w:rsidRPr="00010E2C">
        <w:rPr>
          <w:rFonts w:ascii="Arial" w:hAnsi="Arial" w:cs="Arial"/>
          <w:sz w:val="24"/>
          <w:szCs w:val="24"/>
        </w:rPr>
        <w:t>Afslaers</w:t>
      </w:r>
      <w:proofErr w:type="spellEnd"/>
      <w:r w:rsidRPr="00010E2C">
        <w:rPr>
          <w:rFonts w:ascii="Arial" w:hAnsi="Arial" w:cs="Arial"/>
          <w:sz w:val="24"/>
          <w:szCs w:val="24"/>
        </w:rPr>
        <w:t xml:space="preserve"> (</w:t>
      </w:r>
      <w:proofErr w:type="spellStart"/>
      <w:r w:rsidRPr="00010E2C">
        <w:rPr>
          <w:rFonts w:ascii="Arial" w:hAnsi="Arial" w:cs="Arial"/>
          <w:sz w:val="24"/>
          <w:szCs w:val="24"/>
        </w:rPr>
        <w:t>Edms</w:t>
      </w:r>
      <w:proofErr w:type="spellEnd"/>
      <w:r w:rsidRPr="00010E2C">
        <w:rPr>
          <w:rFonts w:ascii="Arial" w:hAnsi="Arial" w:cs="Arial"/>
          <w:sz w:val="24"/>
          <w:szCs w:val="24"/>
        </w:rPr>
        <w:t xml:space="preserve">) </w:t>
      </w:r>
      <w:proofErr w:type="spellStart"/>
      <w:r w:rsidRPr="00010E2C">
        <w:rPr>
          <w:rFonts w:ascii="Arial" w:hAnsi="Arial" w:cs="Arial"/>
          <w:sz w:val="24"/>
          <w:szCs w:val="24"/>
        </w:rPr>
        <w:t>Bpk</w:t>
      </w:r>
      <w:proofErr w:type="spellEnd"/>
      <w:r w:rsidRPr="00010E2C">
        <w:rPr>
          <w:rFonts w:ascii="Arial" w:hAnsi="Arial" w:cs="Arial"/>
          <w:sz w:val="24"/>
          <w:szCs w:val="24"/>
        </w:rPr>
        <w:t xml:space="preserve"> v </w:t>
      </w:r>
      <w:proofErr w:type="spellStart"/>
      <w:r w:rsidRPr="00010E2C">
        <w:rPr>
          <w:rFonts w:ascii="Arial" w:hAnsi="Arial" w:cs="Arial"/>
          <w:sz w:val="24"/>
          <w:szCs w:val="24"/>
        </w:rPr>
        <w:t>Munisipaliteit</w:t>
      </w:r>
      <w:proofErr w:type="spellEnd"/>
      <w:r w:rsidRPr="00010E2C">
        <w:rPr>
          <w:rFonts w:ascii="Arial" w:hAnsi="Arial" w:cs="Arial"/>
          <w:sz w:val="24"/>
          <w:szCs w:val="24"/>
        </w:rPr>
        <w:t xml:space="preserve"> van </w:t>
      </w:r>
      <w:proofErr w:type="spellStart"/>
      <w:r w:rsidRPr="00010E2C">
        <w:rPr>
          <w:rFonts w:ascii="Arial" w:hAnsi="Arial" w:cs="Arial"/>
          <w:sz w:val="24"/>
          <w:szCs w:val="24"/>
        </w:rPr>
        <w:t>Kaapstad</w:t>
      </w:r>
      <w:proofErr w:type="spellEnd"/>
      <w:r w:rsidRPr="00010E2C">
        <w:rPr>
          <w:rFonts w:ascii="Arial" w:hAnsi="Arial" w:cs="Arial"/>
          <w:sz w:val="24"/>
          <w:szCs w:val="24"/>
        </w:rPr>
        <w:t xml:space="preserve"> 1978 (1) SA 13 (A) at 41E-F (my translation): “It is desirable and important that finality should be arrived at within a reasonable time in relation to judicial and administrative decisions or acts. It can be contrary to the administration of justice and the public interest to allow such decisions or acts to be set aside after an unreasonably long period of time has elapsed - interest </w:t>
      </w:r>
      <w:proofErr w:type="spellStart"/>
      <w:r w:rsidRPr="00010E2C">
        <w:rPr>
          <w:rFonts w:ascii="Arial" w:hAnsi="Arial" w:cs="Arial"/>
          <w:sz w:val="24"/>
          <w:szCs w:val="24"/>
        </w:rPr>
        <w:t>reipublicae</w:t>
      </w:r>
      <w:proofErr w:type="spellEnd"/>
      <w:r w:rsidRPr="00010E2C">
        <w:rPr>
          <w:rFonts w:ascii="Arial" w:hAnsi="Arial" w:cs="Arial"/>
          <w:sz w:val="24"/>
          <w:szCs w:val="24"/>
        </w:rPr>
        <w:t xml:space="preserve"> </w:t>
      </w:r>
      <w:proofErr w:type="spellStart"/>
      <w:r w:rsidRPr="00010E2C">
        <w:rPr>
          <w:rFonts w:ascii="Arial" w:hAnsi="Arial" w:cs="Arial"/>
          <w:sz w:val="24"/>
          <w:szCs w:val="24"/>
        </w:rPr>
        <w:t>ut</w:t>
      </w:r>
      <w:proofErr w:type="spellEnd"/>
      <w:r w:rsidRPr="00010E2C">
        <w:rPr>
          <w:rFonts w:ascii="Arial" w:hAnsi="Arial" w:cs="Arial"/>
          <w:sz w:val="24"/>
          <w:szCs w:val="24"/>
        </w:rPr>
        <w:t xml:space="preserve"> sit finis </w:t>
      </w:r>
      <w:proofErr w:type="spellStart"/>
      <w:proofErr w:type="gramStart"/>
      <w:r w:rsidRPr="00010E2C">
        <w:rPr>
          <w:rFonts w:ascii="Arial" w:hAnsi="Arial" w:cs="Arial"/>
          <w:sz w:val="24"/>
          <w:szCs w:val="24"/>
        </w:rPr>
        <w:t>litium</w:t>
      </w:r>
      <w:proofErr w:type="spellEnd"/>
      <w:r w:rsidRPr="00010E2C">
        <w:rPr>
          <w:rFonts w:ascii="Arial" w:hAnsi="Arial" w:cs="Arial"/>
          <w:sz w:val="24"/>
          <w:szCs w:val="24"/>
        </w:rPr>
        <w:t>. . . .</w:t>
      </w:r>
      <w:proofErr w:type="gramEnd"/>
      <w:r w:rsidRPr="00010E2C">
        <w:rPr>
          <w:rFonts w:ascii="Arial" w:hAnsi="Arial" w:cs="Arial"/>
          <w:sz w:val="24"/>
          <w:szCs w:val="24"/>
        </w:rPr>
        <w:t xml:space="preserve"> Considerations of this kind undoubtedly constitute part of </w:t>
      </w:r>
      <w:r w:rsidRPr="00010E2C">
        <w:rPr>
          <w:rFonts w:ascii="Arial" w:hAnsi="Arial" w:cs="Arial"/>
          <w:sz w:val="24"/>
          <w:szCs w:val="24"/>
        </w:rPr>
        <w:lastRenderedPageBreak/>
        <w:t>the underlying reasons for the existence of this rule.” [23] Underlying that latter aspect of the rationale is the inherent potential for prejudice, both to the efficient functioning of the public body and to those who rely upon its decisions, if the validity of its decisions remains uncertain. It is for that reason in particular that proof of actual prejudice to the respondent is not a precondition for refusing to entertain review proceedings by reason of undue delay, although the extent to which prejudice has been shown is a relevant consideration that might even be decisive where the delay has been relatively slight (</w:t>
      </w:r>
      <w:proofErr w:type="spellStart"/>
      <w:r w:rsidRPr="00010E2C">
        <w:rPr>
          <w:rFonts w:ascii="Arial" w:hAnsi="Arial" w:cs="Arial"/>
          <w:sz w:val="24"/>
          <w:szCs w:val="24"/>
        </w:rPr>
        <w:t>Wolgroeiers</w:t>
      </w:r>
      <w:proofErr w:type="spellEnd"/>
      <w:r w:rsidRPr="00010E2C">
        <w:rPr>
          <w:rFonts w:ascii="Arial" w:hAnsi="Arial" w:cs="Arial"/>
          <w:sz w:val="24"/>
          <w:szCs w:val="24"/>
        </w:rPr>
        <w:t xml:space="preserve"> </w:t>
      </w:r>
      <w:proofErr w:type="spellStart"/>
      <w:r w:rsidRPr="00010E2C">
        <w:rPr>
          <w:rFonts w:ascii="Arial" w:hAnsi="Arial" w:cs="Arial"/>
          <w:sz w:val="24"/>
          <w:szCs w:val="24"/>
        </w:rPr>
        <w:t>Afslaers</w:t>
      </w:r>
      <w:proofErr w:type="spellEnd"/>
      <w:r w:rsidRPr="00010E2C">
        <w:rPr>
          <w:rFonts w:ascii="Arial" w:hAnsi="Arial" w:cs="Arial"/>
          <w:sz w:val="24"/>
          <w:szCs w:val="24"/>
        </w:rPr>
        <w:t xml:space="preserve">, above, at 42C).’ </w:t>
      </w:r>
    </w:p>
    <w:p w:rsidR="00A078A6" w:rsidRPr="00010E2C" w:rsidRDefault="00A078A6" w:rsidP="00BA1CB8">
      <w:pPr>
        <w:spacing w:line="480" w:lineRule="auto"/>
        <w:ind w:left="720" w:hanging="720"/>
        <w:jc w:val="both"/>
        <w:rPr>
          <w:rFonts w:ascii="Arial" w:hAnsi="Arial" w:cs="Arial"/>
          <w:sz w:val="24"/>
          <w:szCs w:val="24"/>
        </w:rPr>
      </w:pPr>
      <w:r w:rsidRPr="00010E2C">
        <w:rPr>
          <w:rFonts w:ascii="Arial" w:hAnsi="Arial" w:cs="Arial"/>
          <w:sz w:val="24"/>
          <w:szCs w:val="24"/>
        </w:rPr>
        <w:t xml:space="preserve">[26] </w:t>
      </w:r>
      <w:r w:rsidR="00BA1CB8">
        <w:rPr>
          <w:rFonts w:ascii="Arial" w:hAnsi="Arial" w:cs="Arial"/>
          <w:sz w:val="24"/>
          <w:szCs w:val="24"/>
        </w:rPr>
        <w:tab/>
      </w:r>
      <w:r w:rsidRPr="00010E2C">
        <w:rPr>
          <w:rFonts w:ascii="Arial" w:hAnsi="Arial" w:cs="Arial"/>
          <w:sz w:val="24"/>
          <w:szCs w:val="24"/>
        </w:rPr>
        <w:t xml:space="preserve">At common law application of the undue delay rule required a </w:t>
      </w:r>
      <w:r w:rsidR="00415676" w:rsidRPr="00010E2C">
        <w:rPr>
          <w:rFonts w:ascii="Arial" w:hAnsi="Arial" w:cs="Arial"/>
          <w:sz w:val="24"/>
          <w:szCs w:val="24"/>
        </w:rPr>
        <w:t>two-stage</w:t>
      </w:r>
      <w:r w:rsidRPr="00010E2C">
        <w:rPr>
          <w:rFonts w:ascii="Arial" w:hAnsi="Arial" w:cs="Arial"/>
          <w:sz w:val="24"/>
          <w:szCs w:val="24"/>
        </w:rPr>
        <w:t xml:space="preserve"> enquiry. First, whether there was an unreasonable delay and, second, if so, whether the delay should in all the circumstances be condoned (see </w:t>
      </w:r>
      <w:r w:rsidR="00415676" w:rsidRPr="00010E2C">
        <w:rPr>
          <w:rFonts w:ascii="Arial" w:hAnsi="Arial" w:cs="Arial"/>
          <w:sz w:val="24"/>
          <w:szCs w:val="24"/>
        </w:rPr>
        <w:t>e.g.</w:t>
      </w:r>
      <w:r w:rsidRPr="00010E2C">
        <w:rPr>
          <w:rFonts w:ascii="Arial" w:hAnsi="Arial" w:cs="Arial"/>
          <w:sz w:val="24"/>
          <w:szCs w:val="24"/>
        </w:rPr>
        <w:t xml:space="preserve"> Associated Institutions Pension Fund and others v Van </w:t>
      </w:r>
      <w:proofErr w:type="spellStart"/>
      <w:r w:rsidRPr="00010E2C">
        <w:rPr>
          <w:rFonts w:ascii="Arial" w:hAnsi="Arial" w:cs="Arial"/>
          <w:sz w:val="24"/>
          <w:szCs w:val="24"/>
        </w:rPr>
        <w:t>Zyl</w:t>
      </w:r>
      <w:proofErr w:type="spellEnd"/>
      <w:r w:rsidRPr="00010E2C">
        <w:rPr>
          <w:rFonts w:ascii="Arial" w:hAnsi="Arial" w:cs="Arial"/>
          <w:sz w:val="24"/>
          <w:szCs w:val="24"/>
        </w:rPr>
        <w:t xml:space="preserve"> and others 2005 (2) SA 302 (SCA) </w:t>
      </w:r>
      <w:proofErr w:type="spellStart"/>
      <w:r w:rsidRPr="00010E2C">
        <w:rPr>
          <w:rFonts w:ascii="Arial" w:hAnsi="Arial" w:cs="Arial"/>
          <w:sz w:val="24"/>
          <w:szCs w:val="24"/>
        </w:rPr>
        <w:t>para</w:t>
      </w:r>
      <w:proofErr w:type="spellEnd"/>
      <w:r w:rsidRPr="00010E2C">
        <w:rPr>
          <w:rFonts w:ascii="Arial" w:hAnsi="Arial" w:cs="Arial"/>
          <w:sz w:val="24"/>
          <w:szCs w:val="24"/>
        </w:rPr>
        <w:t xml:space="preserve"> 47). Up to a point, I think, s 7(1) of PAJA requires the same two stage approach. The difference lies, as I see it, in the legislature’s determination of a delay exceeding 180 days as per se unreasonable. Before the </w:t>
      </w:r>
      <w:proofErr w:type="spellStart"/>
      <w:r w:rsidRPr="00010E2C">
        <w:rPr>
          <w:rFonts w:ascii="Arial" w:hAnsi="Arial" w:cs="Arial"/>
          <w:sz w:val="24"/>
          <w:szCs w:val="24"/>
        </w:rPr>
        <w:t>effluxion</w:t>
      </w:r>
      <w:proofErr w:type="spellEnd"/>
      <w:r w:rsidRPr="00010E2C">
        <w:rPr>
          <w:rFonts w:ascii="Arial" w:hAnsi="Arial" w:cs="Arial"/>
          <w:sz w:val="24"/>
          <w:szCs w:val="24"/>
        </w:rPr>
        <w:t xml:space="preserve"> of 180 days, the first enquiry in applying s 7(1) is still whether the delay (if any) was unreasonable. But after the </w:t>
      </w:r>
      <w:r w:rsidR="00415676" w:rsidRPr="00010E2C">
        <w:rPr>
          <w:rFonts w:ascii="Arial" w:hAnsi="Arial" w:cs="Arial"/>
          <w:sz w:val="24"/>
          <w:szCs w:val="24"/>
        </w:rPr>
        <w:t>180-day</w:t>
      </w:r>
      <w:r w:rsidRPr="00010E2C">
        <w:rPr>
          <w:rFonts w:ascii="Arial" w:hAnsi="Arial" w:cs="Arial"/>
          <w:sz w:val="24"/>
          <w:szCs w:val="24"/>
        </w:rPr>
        <w:t xml:space="preserve"> period the issue of unreasonableness is pre-determined by the legislature; it is unreasonable per se. It follows that the court is only empowered to entertain the review application if the interest of justice dictates an extension in terms of s 9. Absent such extension the court has no authority to entertain the review application at all. Whether or not the decision was unlawful no longer matters. The decision has been ‘validated’ by the delay (see </w:t>
      </w:r>
      <w:proofErr w:type="spellStart"/>
      <w:r w:rsidRPr="00010E2C">
        <w:rPr>
          <w:rFonts w:ascii="Arial" w:hAnsi="Arial" w:cs="Arial"/>
          <w:sz w:val="24"/>
          <w:szCs w:val="24"/>
        </w:rPr>
        <w:t>eg</w:t>
      </w:r>
      <w:proofErr w:type="spellEnd"/>
      <w:r w:rsidRPr="00010E2C">
        <w:rPr>
          <w:rFonts w:ascii="Arial" w:hAnsi="Arial" w:cs="Arial"/>
          <w:sz w:val="24"/>
          <w:szCs w:val="24"/>
        </w:rPr>
        <w:t xml:space="preserve"> Associated Institutions Pension Fund </w:t>
      </w:r>
      <w:proofErr w:type="spellStart"/>
      <w:r w:rsidRPr="00010E2C">
        <w:rPr>
          <w:rFonts w:ascii="Arial" w:hAnsi="Arial" w:cs="Arial"/>
          <w:sz w:val="24"/>
          <w:szCs w:val="24"/>
        </w:rPr>
        <w:t>para</w:t>
      </w:r>
      <w:proofErr w:type="spellEnd"/>
      <w:r w:rsidRPr="00010E2C">
        <w:rPr>
          <w:rFonts w:ascii="Arial" w:hAnsi="Arial" w:cs="Arial"/>
          <w:sz w:val="24"/>
          <w:szCs w:val="24"/>
        </w:rPr>
        <w:t xml:space="preserve"> 46). That of course does not mean that, after the </w:t>
      </w:r>
      <w:r w:rsidR="00415676" w:rsidRPr="00010E2C">
        <w:rPr>
          <w:rFonts w:ascii="Arial" w:hAnsi="Arial" w:cs="Arial"/>
          <w:sz w:val="24"/>
          <w:szCs w:val="24"/>
        </w:rPr>
        <w:t>180-day</w:t>
      </w:r>
      <w:r w:rsidRPr="00010E2C">
        <w:rPr>
          <w:rFonts w:ascii="Arial" w:hAnsi="Arial" w:cs="Arial"/>
          <w:sz w:val="24"/>
          <w:szCs w:val="24"/>
        </w:rPr>
        <w:t xml:space="preserve"> </w:t>
      </w:r>
      <w:r w:rsidRPr="00010E2C">
        <w:rPr>
          <w:rFonts w:ascii="Arial" w:hAnsi="Arial" w:cs="Arial"/>
          <w:sz w:val="24"/>
          <w:szCs w:val="24"/>
        </w:rPr>
        <w:lastRenderedPageBreak/>
        <w:t xml:space="preserve">period, an enquiry into the reasonableness of the applicant’s conduct becomes entirely irrelevant. Whether or not the delay was unreasonable and, if so, the extent of that unreasonableness is still a factor to be taken into account in determining whether an extension should be granted or not (see </w:t>
      </w:r>
      <w:proofErr w:type="spellStart"/>
      <w:r w:rsidRPr="00010E2C">
        <w:rPr>
          <w:rFonts w:ascii="Arial" w:hAnsi="Arial" w:cs="Arial"/>
          <w:sz w:val="24"/>
          <w:szCs w:val="24"/>
        </w:rPr>
        <w:t>eg</w:t>
      </w:r>
      <w:proofErr w:type="spellEnd"/>
      <w:r w:rsidRPr="00010E2C">
        <w:rPr>
          <w:rFonts w:ascii="Arial" w:hAnsi="Arial" w:cs="Arial"/>
          <w:sz w:val="24"/>
          <w:szCs w:val="24"/>
        </w:rPr>
        <w:t xml:space="preserve"> Camps Bay Ratepayers’ and Residents’ Association v Harrison [2010] 2 All SA 519 (SCA) </w:t>
      </w:r>
      <w:proofErr w:type="spellStart"/>
      <w:r w:rsidRPr="00010E2C">
        <w:rPr>
          <w:rFonts w:ascii="Arial" w:hAnsi="Arial" w:cs="Arial"/>
          <w:sz w:val="24"/>
          <w:szCs w:val="24"/>
        </w:rPr>
        <w:t>para</w:t>
      </w:r>
      <w:proofErr w:type="spellEnd"/>
      <w:r w:rsidRPr="00010E2C">
        <w:rPr>
          <w:rFonts w:ascii="Arial" w:hAnsi="Arial" w:cs="Arial"/>
          <w:sz w:val="24"/>
          <w:szCs w:val="24"/>
        </w:rPr>
        <w:t xml:space="preserve"> 54). </w:t>
      </w:r>
    </w:p>
    <w:p w:rsidR="00A078A6" w:rsidRPr="00010E2C" w:rsidRDefault="00A078A6" w:rsidP="00BA1CB8">
      <w:pPr>
        <w:spacing w:line="480" w:lineRule="auto"/>
        <w:ind w:left="720" w:hanging="720"/>
        <w:jc w:val="both"/>
        <w:rPr>
          <w:rFonts w:ascii="Arial" w:hAnsi="Arial" w:cs="Arial"/>
          <w:sz w:val="24"/>
          <w:szCs w:val="24"/>
        </w:rPr>
      </w:pPr>
      <w:r w:rsidRPr="00010E2C">
        <w:rPr>
          <w:rFonts w:ascii="Arial" w:hAnsi="Arial" w:cs="Arial"/>
          <w:sz w:val="24"/>
          <w:szCs w:val="24"/>
        </w:rPr>
        <w:t xml:space="preserve">[27] </w:t>
      </w:r>
      <w:r w:rsidR="00BA1CB8">
        <w:rPr>
          <w:rFonts w:ascii="Arial" w:hAnsi="Arial" w:cs="Arial"/>
          <w:sz w:val="24"/>
          <w:szCs w:val="24"/>
        </w:rPr>
        <w:tab/>
      </w:r>
      <w:r w:rsidRPr="00010E2C">
        <w:rPr>
          <w:rFonts w:ascii="Arial" w:hAnsi="Arial" w:cs="Arial"/>
          <w:sz w:val="24"/>
          <w:szCs w:val="24"/>
        </w:rPr>
        <w:t xml:space="preserve">In its terms s 7(1) envisages asking when ‘the person concerned’ was informed, or became aware, or might reasonably be expected to have become aware, of the administrative action.” </w:t>
      </w:r>
    </w:p>
    <w:p w:rsidR="00E06E89" w:rsidRDefault="00E06E89" w:rsidP="00E06E89">
      <w:pPr>
        <w:spacing w:line="480" w:lineRule="auto"/>
        <w:jc w:val="both"/>
        <w:rPr>
          <w:rFonts w:ascii="Arial" w:hAnsi="Arial" w:cs="Arial"/>
          <w:sz w:val="24"/>
          <w:szCs w:val="24"/>
        </w:rPr>
      </w:pPr>
    </w:p>
    <w:p w:rsidR="00E06E89" w:rsidRDefault="00E06E89" w:rsidP="00BA1CB8">
      <w:pPr>
        <w:spacing w:line="480" w:lineRule="auto"/>
        <w:ind w:left="720" w:hanging="720"/>
        <w:jc w:val="both"/>
        <w:rPr>
          <w:rFonts w:ascii="Arial" w:hAnsi="Arial" w:cs="Arial"/>
          <w:sz w:val="24"/>
          <w:szCs w:val="24"/>
        </w:rPr>
      </w:pPr>
      <w:r>
        <w:rPr>
          <w:rFonts w:ascii="Arial" w:hAnsi="Arial" w:cs="Arial"/>
          <w:sz w:val="24"/>
          <w:szCs w:val="24"/>
        </w:rPr>
        <w:t>[</w:t>
      </w:r>
      <w:r w:rsidR="00586B59">
        <w:rPr>
          <w:rFonts w:ascii="Arial" w:hAnsi="Arial" w:cs="Arial"/>
          <w:sz w:val="24"/>
          <w:szCs w:val="24"/>
        </w:rPr>
        <w:t>31</w:t>
      </w:r>
      <w:r>
        <w:rPr>
          <w:rFonts w:ascii="Arial" w:hAnsi="Arial" w:cs="Arial"/>
          <w:sz w:val="24"/>
          <w:szCs w:val="24"/>
        </w:rPr>
        <w:t>]</w:t>
      </w:r>
      <w:r>
        <w:rPr>
          <w:rFonts w:ascii="Arial" w:hAnsi="Arial" w:cs="Arial"/>
          <w:sz w:val="24"/>
          <w:szCs w:val="24"/>
        </w:rPr>
        <w:tab/>
      </w:r>
      <w:r w:rsidR="00010E2C">
        <w:rPr>
          <w:rFonts w:ascii="Arial" w:hAnsi="Arial" w:cs="Arial"/>
          <w:sz w:val="24"/>
          <w:szCs w:val="24"/>
        </w:rPr>
        <w:t xml:space="preserve">On the review side of the application, the applicants referred me to the </w:t>
      </w:r>
      <w:r w:rsidRPr="00F30107">
        <w:rPr>
          <w:rFonts w:ascii="Arial" w:hAnsi="Arial" w:cs="Arial"/>
          <w:sz w:val="24"/>
          <w:szCs w:val="24"/>
        </w:rPr>
        <w:t xml:space="preserve">matter of </w:t>
      </w:r>
      <w:proofErr w:type="spellStart"/>
      <w:r w:rsidRPr="00F30107">
        <w:rPr>
          <w:rFonts w:ascii="Arial" w:hAnsi="Arial" w:cs="Arial"/>
          <w:sz w:val="24"/>
          <w:szCs w:val="24"/>
        </w:rPr>
        <w:t>Nzimande</w:t>
      </w:r>
      <w:proofErr w:type="spellEnd"/>
      <w:r w:rsidRPr="00F30107">
        <w:rPr>
          <w:rFonts w:ascii="Arial" w:hAnsi="Arial" w:cs="Arial"/>
          <w:sz w:val="24"/>
          <w:szCs w:val="24"/>
        </w:rPr>
        <w:t xml:space="preserve"> v </w:t>
      </w:r>
      <w:proofErr w:type="spellStart"/>
      <w:r w:rsidRPr="00F30107">
        <w:rPr>
          <w:rFonts w:ascii="Arial" w:hAnsi="Arial" w:cs="Arial"/>
          <w:sz w:val="24"/>
          <w:szCs w:val="24"/>
        </w:rPr>
        <w:t>Nzimande</w:t>
      </w:r>
      <w:proofErr w:type="spellEnd"/>
      <w:r w:rsidRPr="00F30107">
        <w:rPr>
          <w:rFonts w:ascii="Arial" w:hAnsi="Arial" w:cs="Arial"/>
          <w:sz w:val="24"/>
          <w:szCs w:val="24"/>
        </w:rPr>
        <w:t xml:space="preserve"> &amp; Another 2005 (1) SA 83 (W), and specifically the portion where it was held that: ‘it was not intended to automatically convert rights held under the R1036 regulations to more effective common law rights of leasehold or ownership without considering the availability, or lack thereof of new houses in the area, the need for family members’ occupation rights to be recognized and protected and the need not to increase homelessness but to decrease it in the defined area.’</w:t>
      </w:r>
      <w:r>
        <w:rPr>
          <w:rFonts w:ascii="Arial" w:hAnsi="Arial" w:cs="Arial"/>
          <w:sz w:val="24"/>
          <w:szCs w:val="24"/>
        </w:rPr>
        <w:t xml:space="preserve"> </w:t>
      </w:r>
    </w:p>
    <w:p w:rsidR="00574CBB" w:rsidRPr="005E21B4" w:rsidRDefault="00574CBB" w:rsidP="00950A31">
      <w:pPr>
        <w:spacing w:line="480" w:lineRule="auto"/>
        <w:jc w:val="both"/>
        <w:rPr>
          <w:rFonts w:ascii="Arial" w:hAnsi="Arial" w:cs="Arial"/>
          <w:b/>
          <w:bCs/>
          <w:sz w:val="24"/>
          <w:szCs w:val="24"/>
        </w:rPr>
      </w:pPr>
    </w:p>
    <w:p w:rsidR="00DA242D" w:rsidRPr="00AB01D9" w:rsidRDefault="00EA55DC" w:rsidP="00DA242D">
      <w:pPr>
        <w:spacing w:line="480" w:lineRule="auto"/>
        <w:jc w:val="both"/>
        <w:rPr>
          <w:rFonts w:ascii="Arial" w:hAnsi="Arial" w:cs="Arial"/>
          <w:b/>
          <w:bCs/>
          <w:sz w:val="24"/>
          <w:szCs w:val="24"/>
        </w:rPr>
      </w:pPr>
      <w:r>
        <w:rPr>
          <w:rFonts w:ascii="Arial" w:hAnsi="Arial" w:cs="Arial"/>
          <w:b/>
          <w:bCs/>
          <w:sz w:val="24"/>
          <w:szCs w:val="24"/>
        </w:rPr>
        <w:t>CONDONATION</w:t>
      </w:r>
    </w:p>
    <w:p w:rsidR="007E33CC" w:rsidRDefault="00586B59" w:rsidP="00BA1CB8">
      <w:pPr>
        <w:spacing w:line="48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7E33CC">
        <w:rPr>
          <w:rFonts w:ascii="Arial" w:hAnsi="Arial" w:cs="Arial"/>
          <w:sz w:val="24"/>
          <w:szCs w:val="24"/>
        </w:rPr>
        <w:t xml:space="preserve">When regard is had to the portion of the founding affidavit which deals with </w:t>
      </w:r>
      <w:proofErr w:type="spellStart"/>
      <w:r w:rsidR="007E33CC">
        <w:rPr>
          <w:rFonts w:ascii="Arial" w:hAnsi="Arial" w:cs="Arial"/>
          <w:sz w:val="24"/>
          <w:szCs w:val="24"/>
        </w:rPr>
        <w:t>condonation</w:t>
      </w:r>
      <w:proofErr w:type="spellEnd"/>
      <w:r w:rsidR="007E33CC">
        <w:rPr>
          <w:rFonts w:ascii="Arial" w:hAnsi="Arial" w:cs="Arial"/>
          <w:sz w:val="24"/>
          <w:szCs w:val="24"/>
        </w:rPr>
        <w:t xml:space="preserve"> the 2</w:t>
      </w:r>
      <w:r w:rsidR="007E33CC" w:rsidRPr="00083752">
        <w:rPr>
          <w:rFonts w:ascii="Arial" w:hAnsi="Arial" w:cs="Arial"/>
          <w:sz w:val="24"/>
          <w:szCs w:val="24"/>
          <w:vertAlign w:val="superscript"/>
        </w:rPr>
        <w:t>nd</w:t>
      </w:r>
      <w:r w:rsidR="007E33CC">
        <w:rPr>
          <w:rFonts w:ascii="Arial" w:hAnsi="Arial" w:cs="Arial"/>
          <w:sz w:val="24"/>
          <w:szCs w:val="24"/>
        </w:rPr>
        <w:t xml:space="preserve"> applicant indicated that she has been advised that the review application: “could have been filed late as her husband passed away in 2017”. </w:t>
      </w:r>
    </w:p>
    <w:p w:rsidR="007E33CC" w:rsidRDefault="007E33CC" w:rsidP="00457069">
      <w:pPr>
        <w:spacing w:line="480" w:lineRule="auto"/>
        <w:jc w:val="both"/>
        <w:rPr>
          <w:rFonts w:ascii="Arial" w:hAnsi="Arial" w:cs="Arial"/>
          <w:sz w:val="24"/>
          <w:szCs w:val="24"/>
        </w:rPr>
      </w:pPr>
    </w:p>
    <w:p w:rsidR="00EB6FA8" w:rsidRDefault="00586B59" w:rsidP="00BA1CB8">
      <w:pPr>
        <w:spacing w:line="480" w:lineRule="auto"/>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r w:rsidR="00457069">
        <w:rPr>
          <w:rFonts w:ascii="Arial" w:hAnsi="Arial" w:cs="Arial"/>
          <w:sz w:val="24"/>
          <w:szCs w:val="24"/>
        </w:rPr>
        <w:t>From the founding affidavit it appears that the 2</w:t>
      </w:r>
      <w:r w:rsidR="00457069" w:rsidRPr="00D96878">
        <w:rPr>
          <w:rFonts w:ascii="Arial" w:hAnsi="Arial" w:cs="Arial"/>
          <w:sz w:val="24"/>
          <w:szCs w:val="24"/>
          <w:vertAlign w:val="superscript"/>
        </w:rPr>
        <w:t>nd</w:t>
      </w:r>
      <w:r w:rsidR="00457069">
        <w:rPr>
          <w:rFonts w:ascii="Arial" w:hAnsi="Arial" w:cs="Arial"/>
          <w:sz w:val="24"/>
          <w:szCs w:val="24"/>
        </w:rPr>
        <w:t xml:space="preserve"> applicant </w:t>
      </w:r>
      <w:r w:rsidR="0095066B">
        <w:rPr>
          <w:rFonts w:ascii="Arial" w:hAnsi="Arial" w:cs="Arial"/>
          <w:sz w:val="24"/>
          <w:szCs w:val="24"/>
        </w:rPr>
        <w:t xml:space="preserve">only </w:t>
      </w:r>
      <w:r w:rsidR="00457069">
        <w:rPr>
          <w:rFonts w:ascii="Arial" w:hAnsi="Arial" w:cs="Arial"/>
          <w:sz w:val="24"/>
          <w:szCs w:val="24"/>
        </w:rPr>
        <w:t xml:space="preserve">in July 2019 decided to launch the </w:t>
      </w:r>
      <w:r w:rsidR="00C444B8">
        <w:rPr>
          <w:rFonts w:ascii="Arial" w:hAnsi="Arial" w:cs="Arial"/>
          <w:sz w:val="24"/>
          <w:szCs w:val="24"/>
        </w:rPr>
        <w:t xml:space="preserve">current </w:t>
      </w:r>
      <w:r w:rsidR="00457069">
        <w:rPr>
          <w:rFonts w:ascii="Arial" w:hAnsi="Arial" w:cs="Arial"/>
          <w:sz w:val="24"/>
          <w:szCs w:val="24"/>
        </w:rPr>
        <w:t xml:space="preserve">review application </w:t>
      </w:r>
      <w:r w:rsidR="007E33CC">
        <w:rPr>
          <w:rFonts w:ascii="Arial" w:hAnsi="Arial" w:cs="Arial"/>
          <w:sz w:val="24"/>
          <w:szCs w:val="24"/>
        </w:rPr>
        <w:t xml:space="preserve">and that she then </w:t>
      </w:r>
      <w:r w:rsidR="00BE0538">
        <w:rPr>
          <w:rFonts w:ascii="Arial" w:hAnsi="Arial" w:cs="Arial"/>
          <w:sz w:val="24"/>
          <w:szCs w:val="24"/>
        </w:rPr>
        <w:t>contacted</w:t>
      </w:r>
      <w:r w:rsidR="007E33CC">
        <w:rPr>
          <w:rFonts w:ascii="Arial" w:hAnsi="Arial" w:cs="Arial"/>
          <w:sz w:val="24"/>
          <w:szCs w:val="24"/>
        </w:rPr>
        <w:t xml:space="preserve"> attorney </w:t>
      </w:r>
      <w:proofErr w:type="spellStart"/>
      <w:r w:rsidR="007E33CC">
        <w:rPr>
          <w:rFonts w:ascii="Arial" w:hAnsi="Arial" w:cs="Arial"/>
          <w:sz w:val="24"/>
          <w:szCs w:val="24"/>
        </w:rPr>
        <w:t>Selamolela</w:t>
      </w:r>
      <w:proofErr w:type="spellEnd"/>
      <w:r w:rsidR="007E33CC">
        <w:rPr>
          <w:rFonts w:ascii="Arial" w:hAnsi="Arial" w:cs="Arial"/>
          <w:sz w:val="24"/>
          <w:szCs w:val="24"/>
        </w:rPr>
        <w:t xml:space="preserve"> whom informed her that she could no longer assist her</w:t>
      </w:r>
      <w:r w:rsidR="00457069">
        <w:rPr>
          <w:rStyle w:val="FootnoteReference"/>
          <w:rFonts w:ascii="Arial" w:hAnsi="Arial" w:cs="Arial"/>
          <w:sz w:val="24"/>
          <w:szCs w:val="24"/>
        </w:rPr>
        <w:footnoteReference w:id="5"/>
      </w:r>
      <w:r w:rsidR="00457069">
        <w:rPr>
          <w:rFonts w:ascii="Arial" w:hAnsi="Arial" w:cs="Arial"/>
          <w:sz w:val="24"/>
          <w:szCs w:val="24"/>
        </w:rPr>
        <w:t xml:space="preserve">. </w:t>
      </w:r>
      <w:r w:rsidR="00C444B8">
        <w:rPr>
          <w:rFonts w:ascii="Arial" w:hAnsi="Arial" w:cs="Arial"/>
          <w:sz w:val="24"/>
          <w:szCs w:val="24"/>
        </w:rPr>
        <w:t xml:space="preserve">She then briefed attorney </w:t>
      </w:r>
      <w:proofErr w:type="spellStart"/>
      <w:r w:rsidR="00C444B8">
        <w:rPr>
          <w:rFonts w:ascii="Arial" w:hAnsi="Arial" w:cs="Arial"/>
          <w:sz w:val="24"/>
          <w:szCs w:val="24"/>
        </w:rPr>
        <w:t>Hadebe</w:t>
      </w:r>
      <w:proofErr w:type="spellEnd"/>
      <w:r w:rsidR="00C444B8">
        <w:rPr>
          <w:rFonts w:ascii="Arial" w:hAnsi="Arial" w:cs="Arial"/>
          <w:sz w:val="24"/>
          <w:szCs w:val="24"/>
        </w:rPr>
        <w:t xml:space="preserve"> to launch the current review application in July 2019. </w:t>
      </w:r>
    </w:p>
    <w:p w:rsidR="00457069" w:rsidRDefault="00457069" w:rsidP="00457069">
      <w:pPr>
        <w:spacing w:line="480" w:lineRule="auto"/>
        <w:jc w:val="both"/>
        <w:rPr>
          <w:rFonts w:ascii="Arial" w:hAnsi="Arial" w:cs="Arial"/>
          <w:sz w:val="24"/>
          <w:szCs w:val="24"/>
        </w:rPr>
      </w:pPr>
    </w:p>
    <w:p w:rsidR="00583D3B" w:rsidRDefault="00586B59" w:rsidP="00BA1CB8">
      <w:pPr>
        <w:spacing w:line="480" w:lineRule="auto"/>
        <w:ind w:left="72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[34]</w:t>
      </w:r>
      <w:r>
        <w:rPr>
          <w:rFonts w:ascii="Arial" w:hAnsi="Arial" w:cs="Arial"/>
          <w:color w:val="242121"/>
          <w:sz w:val="24"/>
          <w:szCs w:val="24"/>
          <w:shd w:val="clear" w:color="auto" w:fill="FFFFFF"/>
        </w:rPr>
        <w:tab/>
      </w:r>
      <w:r w:rsidR="00583D3B">
        <w:rPr>
          <w:rFonts w:ascii="Arial" w:hAnsi="Arial" w:cs="Arial"/>
          <w:color w:val="242121"/>
          <w:sz w:val="24"/>
          <w:szCs w:val="24"/>
          <w:shd w:val="clear" w:color="auto" w:fill="FFFFFF"/>
        </w:rPr>
        <w:t xml:space="preserve">In the matter of Van </w:t>
      </w:r>
      <w:proofErr w:type="spellStart"/>
      <w:r w:rsidR="00583D3B">
        <w:rPr>
          <w:rFonts w:ascii="Arial" w:hAnsi="Arial" w:cs="Arial"/>
          <w:color w:val="242121"/>
          <w:sz w:val="24"/>
          <w:szCs w:val="24"/>
          <w:shd w:val="clear" w:color="auto" w:fill="FFFFFF"/>
        </w:rPr>
        <w:t>Wyk</w:t>
      </w:r>
      <w:proofErr w:type="spellEnd"/>
      <w:r w:rsidR="00583D3B">
        <w:rPr>
          <w:rStyle w:val="FootnoteReference"/>
          <w:rFonts w:ascii="Arial" w:hAnsi="Arial" w:cs="Arial"/>
          <w:color w:val="242121"/>
          <w:sz w:val="24"/>
          <w:szCs w:val="24"/>
          <w:shd w:val="clear" w:color="auto" w:fill="FFFFFF"/>
        </w:rPr>
        <w:footnoteReference w:id="6"/>
      </w:r>
      <w:r w:rsidR="00583D3B">
        <w:rPr>
          <w:rFonts w:ascii="Arial" w:hAnsi="Arial" w:cs="Arial"/>
          <w:color w:val="242121"/>
          <w:sz w:val="24"/>
          <w:szCs w:val="24"/>
          <w:shd w:val="clear" w:color="auto" w:fill="FFFFFF"/>
        </w:rPr>
        <w:t xml:space="preserve"> the Constitutional Court expressed the following:</w:t>
      </w:r>
      <w:r w:rsidR="00583D3B" w:rsidRPr="005E6537">
        <w:rPr>
          <w:rFonts w:ascii="Arial" w:hAnsi="Arial" w:cs="Arial"/>
          <w:color w:val="242121"/>
          <w:sz w:val="24"/>
          <w:szCs w:val="24"/>
          <w:shd w:val="clear" w:color="auto" w:fill="FFFFFF"/>
        </w:rPr>
        <w:t xml:space="preserve"> An applicant for </w:t>
      </w:r>
      <w:proofErr w:type="spellStart"/>
      <w:r w:rsidR="00583D3B" w:rsidRPr="005E6537">
        <w:rPr>
          <w:rFonts w:ascii="Arial" w:hAnsi="Arial" w:cs="Arial"/>
          <w:color w:val="242121"/>
          <w:sz w:val="24"/>
          <w:szCs w:val="24"/>
          <w:shd w:val="clear" w:color="auto" w:fill="FFFFFF"/>
        </w:rPr>
        <w:t>condonation</w:t>
      </w:r>
      <w:proofErr w:type="spellEnd"/>
      <w:r w:rsidR="00583D3B" w:rsidRPr="005E6537">
        <w:rPr>
          <w:rFonts w:ascii="Arial" w:hAnsi="Arial" w:cs="Arial"/>
          <w:color w:val="242121"/>
          <w:sz w:val="24"/>
          <w:szCs w:val="24"/>
          <w:shd w:val="clear" w:color="auto" w:fill="FFFFFF"/>
        </w:rPr>
        <w:t xml:space="preserve"> must give a full explanation for the delay.  In addition, the explanation must cover the entire period of delay.  And, what is more, the explanation given must be reasonable.</w:t>
      </w:r>
    </w:p>
    <w:p w:rsidR="00583D3B" w:rsidRDefault="00583D3B" w:rsidP="00457069">
      <w:pPr>
        <w:spacing w:line="480" w:lineRule="auto"/>
        <w:jc w:val="both"/>
        <w:rPr>
          <w:rFonts w:ascii="Arial" w:hAnsi="Arial" w:cs="Arial"/>
          <w:sz w:val="24"/>
          <w:szCs w:val="24"/>
        </w:rPr>
      </w:pPr>
    </w:p>
    <w:p w:rsidR="00697A8F" w:rsidRDefault="00586B59" w:rsidP="00BA1CB8">
      <w:pPr>
        <w:spacing w:line="480" w:lineRule="auto"/>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r>
      <w:r w:rsidR="00D61962">
        <w:rPr>
          <w:rFonts w:ascii="Arial" w:hAnsi="Arial" w:cs="Arial"/>
          <w:sz w:val="24"/>
          <w:szCs w:val="24"/>
        </w:rPr>
        <w:t xml:space="preserve">The </w:t>
      </w:r>
      <w:r w:rsidR="001771AC">
        <w:rPr>
          <w:rFonts w:ascii="Arial" w:hAnsi="Arial" w:cs="Arial"/>
          <w:sz w:val="24"/>
          <w:szCs w:val="24"/>
        </w:rPr>
        <w:t>period the 2</w:t>
      </w:r>
      <w:r w:rsidR="001771AC" w:rsidRPr="001771AC">
        <w:rPr>
          <w:rFonts w:ascii="Arial" w:hAnsi="Arial" w:cs="Arial"/>
          <w:sz w:val="24"/>
          <w:szCs w:val="24"/>
          <w:vertAlign w:val="superscript"/>
        </w:rPr>
        <w:t>nd</w:t>
      </w:r>
      <w:r w:rsidR="001771AC">
        <w:rPr>
          <w:rFonts w:ascii="Arial" w:hAnsi="Arial" w:cs="Arial"/>
          <w:sz w:val="24"/>
          <w:szCs w:val="24"/>
        </w:rPr>
        <w:t xml:space="preserve"> applicant was required to provide an explanation for</w:t>
      </w:r>
      <w:r w:rsidR="009B278B">
        <w:rPr>
          <w:rFonts w:ascii="Arial" w:hAnsi="Arial" w:cs="Arial"/>
          <w:sz w:val="24"/>
          <w:szCs w:val="24"/>
        </w:rPr>
        <w:t>,</w:t>
      </w:r>
      <w:r w:rsidR="001771AC">
        <w:rPr>
          <w:rFonts w:ascii="Arial" w:hAnsi="Arial" w:cs="Arial"/>
          <w:sz w:val="24"/>
          <w:szCs w:val="24"/>
        </w:rPr>
        <w:t xml:space="preserve"> </w:t>
      </w:r>
      <w:r w:rsidR="00BB06D1">
        <w:rPr>
          <w:rFonts w:ascii="Arial" w:hAnsi="Arial" w:cs="Arial"/>
          <w:sz w:val="24"/>
          <w:szCs w:val="24"/>
        </w:rPr>
        <w:t xml:space="preserve">started </w:t>
      </w:r>
      <w:r w:rsidR="001771AC">
        <w:rPr>
          <w:rFonts w:ascii="Arial" w:hAnsi="Arial" w:cs="Arial"/>
          <w:sz w:val="24"/>
          <w:szCs w:val="24"/>
        </w:rPr>
        <w:t xml:space="preserve">from the </w:t>
      </w:r>
      <w:r w:rsidR="00BB06D1">
        <w:rPr>
          <w:rFonts w:ascii="Arial" w:hAnsi="Arial" w:cs="Arial"/>
          <w:sz w:val="24"/>
          <w:szCs w:val="24"/>
        </w:rPr>
        <w:t xml:space="preserve">date </w:t>
      </w:r>
      <w:r w:rsidR="001771AC">
        <w:rPr>
          <w:rFonts w:ascii="Arial" w:hAnsi="Arial" w:cs="Arial"/>
          <w:sz w:val="24"/>
          <w:szCs w:val="24"/>
        </w:rPr>
        <w:t xml:space="preserve">she and </w:t>
      </w:r>
      <w:proofErr w:type="spellStart"/>
      <w:r w:rsidR="001771AC">
        <w:rPr>
          <w:rFonts w:ascii="Arial" w:hAnsi="Arial" w:cs="Arial"/>
          <w:sz w:val="24"/>
          <w:szCs w:val="24"/>
        </w:rPr>
        <w:t>Malefetsane</w:t>
      </w:r>
      <w:proofErr w:type="spellEnd"/>
      <w:r w:rsidR="001771AC">
        <w:rPr>
          <w:rFonts w:ascii="Arial" w:hAnsi="Arial" w:cs="Arial"/>
          <w:sz w:val="24"/>
          <w:szCs w:val="24"/>
        </w:rPr>
        <w:t xml:space="preserve"> became aware of the appeal tribunal</w:t>
      </w:r>
      <w:r w:rsidR="009B278B">
        <w:rPr>
          <w:rFonts w:ascii="Arial" w:hAnsi="Arial" w:cs="Arial"/>
          <w:sz w:val="24"/>
          <w:szCs w:val="24"/>
        </w:rPr>
        <w:t xml:space="preserve">’s </w:t>
      </w:r>
      <w:r w:rsidR="001771AC">
        <w:rPr>
          <w:rFonts w:ascii="Arial" w:hAnsi="Arial" w:cs="Arial"/>
          <w:sz w:val="24"/>
          <w:szCs w:val="24"/>
        </w:rPr>
        <w:t>decision</w:t>
      </w:r>
      <w:r w:rsidR="009B278B">
        <w:rPr>
          <w:rFonts w:ascii="Arial" w:hAnsi="Arial" w:cs="Arial"/>
          <w:sz w:val="24"/>
          <w:szCs w:val="24"/>
        </w:rPr>
        <w:t>,</w:t>
      </w:r>
      <w:r w:rsidR="001771AC">
        <w:rPr>
          <w:rFonts w:ascii="Arial" w:hAnsi="Arial" w:cs="Arial"/>
          <w:sz w:val="24"/>
          <w:szCs w:val="24"/>
        </w:rPr>
        <w:t xml:space="preserve"> </w:t>
      </w:r>
      <w:r w:rsidR="009B278B">
        <w:rPr>
          <w:rFonts w:ascii="Arial" w:hAnsi="Arial" w:cs="Arial"/>
          <w:sz w:val="24"/>
          <w:szCs w:val="24"/>
        </w:rPr>
        <w:t xml:space="preserve">and it must cover the entire period </w:t>
      </w:r>
      <w:r w:rsidR="001771AC">
        <w:rPr>
          <w:rFonts w:ascii="Arial" w:hAnsi="Arial" w:cs="Arial"/>
          <w:sz w:val="24"/>
          <w:szCs w:val="24"/>
        </w:rPr>
        <w:t>until she lodged th</w:t>
      </w:r>
      <w:r w:rsidR="00602FE4">
        <w:rPr>
          <w:rFonts w:ascii="Arial" w:hAnsi="Arial" w:cs="Arial"/>
          <w:sz w:val="24"/>
          <w:szCs w:val="24"/>
        </w:rPr>
        <w:t>e current</w:t>
      </w:r>
      <w:r w:rsidR="001771AC">
        <w:rPr>
          <w:rFonts w:ascii="Arial" w:hAnsi="Arial" w:cs="Arial"/>
          <w:sz w:val="24"/>
          <w:szCs w:val="24"/>
        </w:rPr>
        <w:t xml:space="preserve"> review application. </w:t>
      </w:r>
      <w:proofErr w:type="spellStart"/>
      <w:r w:rsidR="001771AC">
        <w:rPr>
          <w:rFonts w:ascii="Arial" w:hAnsi="Arial" w:cs="Arial"/>
          <w:sz w:val="24"/>
          <w:szCs w:val="24"/>
        </w:rPr>
        <w:t>Malefetsane</w:t>
      </w:r>
      <w:proofErr w:type="spellEnd"/>
      <w:r w:rsidR="001771AC">
        <w:rPr>
          <w:rFonts w:ascii="Arial" w:hAnsi="Arial" w:cs="Arial"/>
          <w:sz w:val="24"/>
          <w:szCs w:val="24"/>
        </w:rPr>
        <w:t xml:space="preserve"> </w:t>
      </w:r>
      <w:r w:rsidR="00010E2C">
        <w:rPr>
          <w:rFonts w:ascii="Arial" w:hAnsi="Arial" w:cs="Arial"/>
          <w:sz w:val="24"/>
          <w:szCs w:val="24"/>
        </w:rPr>
        <w:t>and the 2</w:t>
      </w:r>
      <w:r w:rsidR="00010E2C" w:rsidRPr="00010E2C">
        <w:rPr>
          <w:rFonts w:ascii="Arial" w:hAnsi="Arial" w:cs="Arial"/>
          <w:sz w:val="24"/>
          <w:szCs w:val="24"/>
          <w:vertAlign w:val="superscript"/>
        </w:rPr>
        <w:t>nd</w:t>
      </w:r>
      <w:r w:rsidR="00010E2C">
        <w:rPr>
          <w:rFonts w:ascii="Arial" w:hAnsi="Arial" w:cs="Arial"/>
          <w:sz w:val="24"/>
          <w:szCs w:val="24"/>
        </w:rPr>
        <w:t xml:space="preserve"> applicant </w:t>
      </w:r>
      <w:proofErr w:type="gramStart"/>
      <w:r w:rsidR="00010E2C">
        <w:rPr>
          <w:rFonts w:ascii="Arial" w:hAnsi="Arial" w:cs="Arial"/>
          <w:sz w:val="24"/>
          <w:szCs w:val="24"/>
        </w:rPr>
        <w:t>was</w:t>
      </w:r>
      <w:proofErr w:type="gramEnd"/>
      <w:r w:rsidR="00010E2C">
        <w:rPr>
          <w:rFonts w:ascii="Arial" w:hAnsi="Arial" w:cs="Arial"/>
          <w:sz w:val="24"/>
          <w:szCs w:val="24"/>
        </w:rPr>
        <w:t xml:space="preserve"> married in community of property and thus the interest in the immovable property fell into the joint estate. </w:t>
      </w:r>
      <w:proofErr w:type="spellStart"/>
      <w:r w:rsidR="00010E2C">
        <w:rPr>
          <w:rFonts w:ascii="Arial" w:hAnsi="Arial" w:cs="Arial"/>
          <w:sz w:val="24"/>
          <w:szCs w:val="24"/>
        </w:rPr>
        <w:t>Malefetsane</w:t>
      </w:r>
      <w:proofErr w:type="spellEnd"/>
      <w:r w:rsidR="00010E2C">
        <w:rPr>
          <w:rFonts w:ascii="Arial" w:hAnsi="Arial" w:cs="Arial"/>
          <w:sz w:val="24"/>
          <w:szCs w:val="24"/>
        </w:rPr>
        <w:t xml:space="preserve"> </w:t>
      </w:r>
      <w:r w:rsidR="001771AC">
        <w:rPr>
          <w:rFonts w:ascii="Arial" w:hAnsi="Arial" w:cs="Arial"/>
          <w:sz w:val="24"/>
          <w:szCs w:val="24"/>
        </w:rPr>
        <w:t>has been aware of the appeal tribunal’s decision as from 2003 / 2005 as on his version</w:t>
      </w:r>
      <w:r w:rsidR="009B278B">
        <w:rPr>
          <w:rStyle w:val="FootnoteReference"/>
          <w:rFonts w:ascii="Arial" w:hAnsi="Arial" w:cs="Arial"/>
          <w:sz w:val="24"/>
          <w:szCs w:val="24"/>
        </w:rPr>
        <w:footnoteReference w:id="7"/>
      </w:r>
      <w:r w:rsidR="009B278B">
        <w:rPr>
          <w:rFonts w:ascii="Arial" w:hAnsi="Arial" w:cs="Arial"/>
          <w:sz w:val="24"/>
          <w:szCs w:val="24"/>
        </w:rPr>
        <w:t>,</w:t>
      </w:r>
      <w:r w:rsidR="00010E2C">
        <w:rPr>
          <w:rFonts w:ascii="Arial" w:hAnsi="Arial" w:cs="Arial"/>
          <w:sz w:val="24"/>
          <w:szCs w:val="24"/>
        </w:rPr>
        <w:t xml:space="preserve"> </w:t>
      </w:r>
      <w:r w:rsidR="001771AC">
        <w:rPr>
          <w:rFonts w:ascii="Arial" w:hAnsi="Arial" w:cs="Arial"/>
          <w:sz w:val="24"/>
          <w:szCs w:val="24"/>
        </w:rPr>
        <w:t xml:space="preserve">he tried to resolve the issue </w:t>
      </w:r>
      <w:r w:rsidR="009B278B">
        <w:rPr>
          <w:rFonts w:ascii="Arial" w:hAnsi="Arial" w:cs="Arial"/>
          <w:sz w:val="24"/>
          <w:szCs w:val="24"/>
        </w:rPr>
        <w:t xml:space="preserve">surrounding the immovable property being awarded </w:t>
      </w:r>
      <w:r w:rsidR="00E220EB">
        <w:rPr>
          <w:rFonts w:ascii="Arial" w:hAnsi="Arial" w:cs="Arial"/>
          <w:sz w:val="24"/>
          <w:szCs w:val="24"/>
        </w:rPr>
        <w:t>to the 1</w:t>
      </w:r>
      <w:r w:rsidR="00E220EB" w:rsidRPr="00E220EB">
        <w:rPr>
          <w:rFonts w:ascii="Arial" w:hAnsi="Arial" w:cs="Arial"/>
          <w:sz w:val="24"/>
          <w:szCs w:val="24"/>
          <w:vertAlign w:val="superscript"/>
        </w:rPr>
        <w:t>st</w:t>
      </w:r>
      <w:r w:rsidR="00E220EB">
        <w:rPr>
          <w:rFonts w:ascii="Arial" w:hAnsi="Arial" w:cs="Arial"/>
          <w:sz w:val="24"/>
          <w:szCs w:val="24"/>
        </w:rPr>
        <w:t xml:space="preserve"> respondent, </w:t>
      </w:r>
      <w:r w:rsidR="001771AC">
        <w:rPr>
          <w:rFonts w:ascii="Arial" w:hAnsi="Arial" w:cs="Arial"/>
          <w:sz w:val="24"/>
          <w:szCs w:val="24"/>
        </w:rPr>
        <w:t xml:space="preserve">with </w:t>
      </w:r>
      <w:r w:rsidR="001771AC">
        <w:rPr>
          <w:rFonts w:ascii="Arial" w:hAnsi="Arial" w:cs="Arial"/>
          <w:sz w:val="24"/>
          <w:szCs w:val="24"/>
        </w:rPr>
        <w:lastRenderedPageBreak/>
        <w:t>the 1</w:t>
      </w:r>
      <w:r w:rsidR="001771AC" w:rsidRPr="001771AC">
        <w:rPr>
          <w:rFonts w:ascii="Arial" w:hAnsi="Arial" w:cs="Arial"/>
          <w:sz w:val="24"/>
          <w:szCs w:val="24"/>
          <w:vertAlign w:val="superscript"/>
        </w:rPr>
        <w:t>st</w:t>
      </w:r>
      <w:r w:rsidR="001771AC">
        <w:rPr>
          <w:rFonts w:ascii="Arial" w:hAnsi="Arial" w:cs="Arial"/>
          <w:sz w:val="24"/>
          <w:szCs w:val="24"/>
        </w:rPr>
        <w:t xml:space="preserve"> respondent though various informal structures like the street </w:t>
      </w:r>
      <w:r w:rsidR="00502538">
        <w:rPr>
          <w:rFonts w:ascii="Arial" w:hAnsi="Arial" w:cs="Arial"/>
          <w:sz w:val="24"/>
          <w:szCs w:val="24"/>
        </w:rPr>
        <w:t>committees</w:t>
      </w:r>
      <w:r w:rsidR="001771AC">
        <w:rPr>
          <w:rFonts w:ascii="Arial" w:hAnsi="Arial" w:cs="Arial"/>
          <w:sz w:val="24"/>
          <w:szCs w:val="24"/>
        </w:rPr>
        <w:t xml:space="preserve">, the ANC, the Local Municipality and </w:t>
      </w:r>
      <w:r w:rsidR="00F01DDC">
        <w:rPr>
          <w:rFonts w:ascii="Arial" w:hAnsi="Arial" w:cs="Arial"/>
          <w:sz w:val="24"/>
          <w:szCs w:val="24"/>
        </w:rPr>
        <w:t xml:space="preserve">family meetings. </w:t>
      </w:r>
      <w:r w:rsidR="00697A8F">
        <w:rPr>
          <w:rFonts w:ascii="Arial" w:hAnsi="Arial" w:cs="Arial"/>
          <w:sz w:val="24"/>
          <w:szCs w:val="24"/>
        </w:rPr>
        <w:t>T</w:t>
      </w:r>
      <w:r w:rsidR="00295697">
        <w:rPr>
          <w:rFonts w:ascii="Arial" w:hAnsi="Arial" w:cs="Arial"/>
          <w:sz w:val="24"/>
          <w:szCs w:val="24"/>
        </w:rPr>
        <w:t>he 2</w:t>
      </w:r>
      <w:r w:rsidR="00295697" w:rsidRPr="00295697">
        <w:rPr>
          <w:rFonts w:ascii="Arial" w:hAnsi="Arial" w:cs="Arial"/>
          <w:sz w:val="24"/>
          <w:szCs w:val="24"/>
          <w:vertAlign w:val="superscript"/>
        </w:rPr>
        <w:t>nd</w:t>
      </w:r>
      <w:r w:rsidR="00295697">
        <w:rPr>
          <w:rFonts w:ascii="Arial" w:hAnsi="Arial" w:cs="Arial"/>
          <w:sz w:val="24"/>
          <w:szCs w:val="24"/>
        </w:rPr>
        <w:t xml:space="preserve"> applicant in her answering affidavit </w:t>
      </w:r>
      <w:r w:rsidR="00697A8F">
        <w:rPr>
          <w:rFonts w:ascii="Arial" w:hAnsi="Arial" w:cs="Arial"/>
          <w:sz w:val="24"/>
          <w:szCs w:val="24"/>
        </w:rPr>
        <w:t xml:space="preserve">then confirmed that </w:t>
      </w:r>
      <w:proofErr w:type="spellStart"/>
      <w:r w:rsidR="00697A8F">
        <w:rPr>
          <w:rFonts w:ascii="Arial" w:hAnsi="Arial" w:cs="Arial"/>
          <w:sz w:val="24"/>
          <w:szCs w:val="24"/>
        </w:rPr>
        <w:t>Malefetsane</w:t>
      </w:r>
      <w:proofErr w:type="spellEnd"/>
      <w:r w:rsidR="00697A8F">
        <w:rPr>
          <w:rFonts w:ascii="Arial" w:hAnsi="Arial" w:cs="Arial"/>
          <w:sz w:val="24"/>
          <w:szCs w:val="24"/>
        </w:rPr>
        <w:t xml:space="preserve"> involved the street committee and so forth </w:t>
      </w:r>
      <w:r w:rsidR="00295697">
        <w:rPr>
          <w:rFonts w:ascii="Arial" w:hAnsi="Arial" w:cs="Arial"/>
          <w:sz w:val="24"/>
          <w:szCs w:val="24"/>
        </w:rPr>
        <w:t xml:space="preserve">and from her response it is evident that she knew </w:t>
      </w:r>
      <w:proofErr w:type="spellStart"/>
      <w:r w:rsidR="00BB06D1">
        <w:rPr>
          <w:rFonts w:ascii="Arial" w:hAnsi="Arial" w:cs="Arial"/>
          <w:sz w:val="24"/>
          <w:szCs w:val="24"/>
        </w:rPr>
        <w:t>Malefetsane</w:t>
      </w:r>
      <w:proofErr w:type="spellEnd"/>
      <w:r w:rsidR="00BB06D1">
        <w:rPr>
          <w:rFonts w:ascii="Arial" w:hAnsi="Arial" w:cs="Arial"/>
          <w:sz w:val="24"/>
          <w:szCs w:val="24"/>
        </w:rPr>
        <w:t xml:space="preserve"> engaged the street committees, ANC and so forth as he was trying to </w:t>
      </w:r>
      <w:r w:rsidR="00E220EB">
        <w:rPr>
          <w:rFonts w:ascii="Arial" w:hAnsi="Arial" w:cs="Arial"/>
          <w:sz w:val="24"/>
          <w:szCs w:val="24"/>
        </w:rPr>
        <w:t xml:space="preserve">get the </w:t>
      </w:r>
      <w:r w:rsidR="00BB06D1">
        <w:rPr>
          <w:rFonts w:ascii="Arial" w:hAnsi="Arial" w:cs="Arial"/>
          <w:sz w:val="24"/>
          <w:szCs w:val="24"/>
        </w:rPr>
        <w:t>1</w:t>
      </w:r>
      <w:r w:rsidR="00BB06D1" w:rsidRPr="00BB06D1">
        <w:rPr>
          <w:rFonts w:ascii="Arial" w:hAnsi="Arial" w:cs="Arial"/>
          <w:sz w:val="24"/>
          <w:szCs w:val="24"/>
          <w:vertAlign w:val="superscript"/>
        </w:rPr>
        <w:t>st</w:t>
      </w:r>
      <w:r w:rsidR="00BB06D1">
        <w:rPr>
          <w:rFonts w:ascii="Arial" w:hAnsi="Arial" w:cs="Arial"/>
          <w:sz w:val="24"/>
          <w:szCs w:val="24"/>
        </w:rPr>
        <w:t xml:space="preserve"> respondent</w:t>
      </w:r>
      <w:r w:rsidR="00E220EB">
        <w:rPr>
          <w:rFonts w:ascii="Arial" w:hAnsi="Arial" w:cs="Arial"/>
          <w:sz w:val="24"/>
          <w:szCs w:val="24"/>
        </w:rPr>
        <w:t xml:space="preserve"> to relinquish his title to the immovable property</w:t>
      </w:r>
      <w:r w:rsidR="00BB06D1">
        <w:rPr>
          <w:rFonts w:ascii="Arial" w:hAnsi="Arial" w:cs="Arial"/>
          <w:sz w:val="24"/>
          <w:szCs w:val="24"/>
        </w:rPr>
        <w:t xml:space="preserve">. </w:t>
      </w:r>
      <w:r w:rsidR="00697A8F">
        <w:rPr>
          <w:rFonts w:ascii="Arial" w:hAnsi="Arial" w:cs="Arial"/>
          <w:sz w:val="24"/>
          <w:szCs w:val="24"/>
        </w:rPr>
        <w:t>The 2</w:t>
      </w:r>
      <w:r w:rsidR="00697A8F" w:rsidRPr="00697A8F">
        <w:rPr>
          <w:rFonts w:ascii="Arial" w:hAnsi="Arial" w:cs="Arial"/>
          <w:sz w:val="24"/>
          <w:szCs w:val="24"/>
          <w:vertAlign w:val="superscript"/>
        </w:rPr>
        <w:t>nd</w:t>
      </w:r>
      <w:r w:rsidR="00697A8F">
        <w:rPr>
          <w:rFonts w:ascii="Arial" w:hAnsi="Arial" w:cs="Arial"/>
          <w:sz w:val="24"/>
          <w:szCs w:val="24"/>
        </w:rPr>
        <w:t xml:space="preserve"> application </w:t>
      </w:r>
      <w:r w:rsidR="00C444B8">
        <w:rPr>
          <w:rFonts w:ascii="Arial" w:hAnsi="Arial" w:cs="Arial"/>
          <w:sz w:val="24"/>
          <w:szCs w:val="24"/>
        </w:rPr>
        <w:t>is</w:t>
      </w:r>
      <w:r w:rsidR="00E220EB">
        <w:rPr>
          <w:rFonts w:ascii="Arial" w:hAnsi="Arial" w:cs="Arial"/>
          <w:sz w:val="24"/>
          <w:szCs w:val="24"/>
        </w:rPr>
        <w:t xml:space="preserve"> </w:t>
      </w:r>
      <w:r w:rsidR="00697A8F">
        <w:rPr>
          <w:rFonts w:ascii="Arial" w:hAnsi="Arial" w:cs="Arial"/>
          <w:sz w:val="24"/>
          <w:szCs w:val="24"/>
        </w:rPr>
        <w:t xml:space="preserve">thus </w:t>
      </w:r>
      <w:r w:rsidR="00E220EB">
        <w:rPr>
          <w:rFonts w:ascii="Arial" w:hAnsi="Arial" w:cs="Arial"/>
          <w:sz w:val="24"/>
          <w:szCs w:val="24"/>
        </w:rPr>
        <w:t xml:space="preserve">required </w:t>
      </w:r>
      <w:r w:rsidR="00414079">
        <w:rPr>
          <w:rFonts w:ascii="Arial" w:hAnsi="Arial" w:cs="Arial"/>
          <w:sz w:val="24"/>
          <w:szCs w:val="24"/>
        </w:rPr>
        <w:t xml:space="preserve">to </w:t>
      </w:r>
      <w:r w:rsidR="00C344D8">
        <w:rPr>
          <w:rFonts w:ascii="Arial" w:hAnsi="Arial" w:cs="Arial"/>
          <w:sz w:val="24"/>
          <w:szCs w:val="24"/>
        </w:rPr>
        <w:t xml:space="preserve">provide </w:t>
      </w:r>
      <w:proofErr w:type="gramStart"/>
      <w:r w:rsidR="00C344D8">
        <w:rPr>
          <w:rFonts w:ascii="Arial" w:hAnsi="Arial" w:cs="Arial"/>
          <w:sz w:val="24"/>
          <w:szCs w:val="24"/>
        </w:rPr>
        <w:t xml:space="preserve">an </w:t>
      </w:r>
      <w:r w:rsidR="00414079">
        <w:rPr>
          <w:rFonts w:ascii="Arial" w:hAnsi="Arial" w:cs="Arial"/>
          <w:sz w:val="24"/>
          <w:szCs w:val="24"/>
        </w:rPr>
        <w:t>explain</w:t>
      </w:r>
      <w:proofErr w:type="gramEnd"/>
      <w:r w:rsidR="00414079">
        <w:rPr>
          <w:rFonts w:ascii="Arial" w:hAnsi="Arial" w:cs="Arial"/>
          <w:sz w:val="24"/>
          <w:szCs w:val="24"/>
        </w:rPr>
        <w:t xml:space="preserve"> </w:t>
      </w:r>
      <w:r w:rsidR="00C344D8">
        <w:rPr>
          <w:rFonts w:ascii="Arial" w:hAnsi="Arial" w:cs="Arial"/>
          <w:sz w:val="24"/>
          <w:szCs w:val="24"/>
        </w:rPr>
        <w:t xml:space="preserve">for the </w:t>
      </w:r>
      <w:r w:rsidR="00414079">
        <w:rPr>
          <w:rFonts w:ascii="Arial" w:hAnsi="Arial" w:cs="Arial"/>
          <w:sz w:val="24"/>
          <w:szCs w:val="24"/>
        </w:rPr>
        <w:t xml:space="preserve">delay </w:t>
      </w:r>
      <w:r w:rsidR="00C344D8">
        <w:rPr>
          <w:rFonts w:ascii="Arial" w:hAnsi="Arial" w:cs="Arial"/>
          <w:sz w:val="24"/>
          <w:szCs w:val="24"/>
        </w:rPr>
        <w:t xml:space="preserve">in instituting the review application as </w:t>
      </w:r>
      <w:r w:rsidR="00414079">
        <w:rPr>
          <w:rFonts w:ascii="Arial" w:hAnsi="Arial" w:cs="Arial"/>
          <w:sz w:val="24"/>
          <w:szCs w:val="24"/>
        </w:rPr>
        <w:t>from 2003</w:t>
      </w:r>
      <w:r w:rsidR="00C344D8">
        <w:rPr>
          <w:rFonts w:ascii="Arial" w:hAnsi="Arial" w:cs="Arial"/>
          <w:sz w:val="24"/>
          <w:szCs w:val="24"/>
        </w:rPr>
        <w:t xml:space="preserve"> </w:t>
      </w:r>
      <w:r w:rsidR="00414079">
        <w:rPr>
          <w:rFonts w:ascii="Arial" w:hAnsi="Arial" w:cs="Arial"/>
          <w:sz w:val="24"/>
          <w:szCs w:val="24"/>
        </w:rPr>
        <w:t>/</w:t>
      </w:r>
      <w:r w:rsidR="00C344D8">
        <w:rPr>
          <w:rFonts w:ascii="Arial" w:hAnsi="Arial" w:cs="Arial"/>
          <w:sz w:val="24"/>
          <w:szCs w:val="24"/>
        </w:rPr>
        <w:t xml:space="preserve"> </w:t>
      </w:r>
      <w:r w:rsidR="00414079">
        <w:rPr>
          <w:rFonts w:ascii="Arial" w:hAnsi="Arial" w:cs="Arial"/>
          <w:sz w:val="24"/>
          <w:szCs w:val="24"/>
        </w:rPr>
        <w:t>2005</w:t>
      </w:r>
      <w:r w:rsidR="00E220EB">
        <w:rPr>
          <w:rFonts w:ascii="Arial" w:hAnsi="Arial" w:cs="Arial"/>
          <w:sz w:val="24"/>
          <w:szCs w:val="24"/>
        </w:rPr>
        <w:t xml:space="preserve"> to October 2019</w:t>
      </w:r>
      <w:r w:rsidR="00414079">
        <w:rPr>
          <w:rFonts w:ascii="Arial" w:hAnsi="Arial" w:cs="Arial"/>
          <w:sz w:val="24"/>
          <w:szCs w:val="24"/>
        </w:rPr>
        <w:t xml:space="preserve">. </w:t>
      </w:r>
    </w:p>
    <w:p w:rsidR="00755D05" w:rsidRDefault="00755D05" w:rsidP="00457069">
      <w:pPr>
        <w:spacing w:line="480" w:lineRule="auto"/>
        <w:jc w:val="both"/>
        <w:rPr>
          <w:rFonts w:ascii="Arial" w:hAnsi="Arial" w:cs="Arial"/>
          <w:sz w:val="24"/>
          <w:szCs w:val="24"/>
        </w:rPr>
      </w:pPr>
    </w:p>
    <w:p w:rsidR="00697A8F" w:rsidRDefault="00586B59" w:rsidP="00BA1CB8">
      <w:pPr>
        <w:spacing w:line="480" w:lineRule="auto"/>
        <w:ind w:left="720" w:hanging="720"/>
        <w:jc w:val="both"/>
        <w:rPr>
          <w:rFonts w:ascii="Arial" w:hAnsi="Arial" w:cs="Arial"/>
          <w:sz w:val="24"/>
          <w:szCs w:val="24"/>
        </w:rPr>
      </w:pPr>
      <w:r>
        <w:rPr>
          <w:rFonts w:ascii="Arial" w:hAnsi="Arial" w:cs="Arial"/>
          <w:sz w:val="24"/>
          <w:szCs w:val="24"/>
        </w:rPr>
        <w:t>[36]</w:t>
      </w:r>
      <w:r>
        <w:rPr>
          <w:rFonts w:ascii="Arial" w:hAnsi="Arial" w:cs="Arial"/>
          <w:sz w:val="24"/>
          <w:szCs w:val="24"/>
        </w:rPr>
        <w:tab/>
      </w:r>
      <w:r w:rsidR="00D07E1A">
        <w:rPr>
          <w:rFonts w:ascii="Arial" w:hAnsi="Arial" w:cs="Arial"/>
          <w:sz w:val="24"/>
          <w:szCs w:val="24"/>
        </w:rPr>
        <w:t>T</w:t>
      </w:r>
      <w:r w:rsidR="00414079">
        <w:rPr>
          <w:rFonts w:ascii="Arial" w:hAnsi="Arial" w:cs="Arial"/>
          <w:sz w:val="24"/>
          <w:szCs w:val="24"/>
        </w:rPr>
        <w:t>he 2</w:t>
      </w:r>
      <w:r w:rsidR="00414079" w:rsidRPr="00414079">
        <w:rPr>
          <w:rFonts w:ascii="Arial" w:hAnsi="Arial" w:cs="Arial"/>
          <w:sz w:val="24"/>
          <w:szCs w:val="24"/>
          <w:vertAlign w:val="superscript"/>
        </w:rPr>
        <w:t>nd</w:t>
      </w:r>
      <w:r w:rsidR="00414079">
        <w:rPr>
          <w:rFonts w:ascii="Arial" w:hAnsi="Arial" w:cs="Arial"/>
          <w:sz w:val="24"/>
          <w:szCs w:val="24"/>
        </w:rPr>
        <w:t xml:space="preserve"> applicant</w:t>
      </w:r>
      <w:r w:rsidR="00D07E1A">
        <w:rPr>
          <w:rFonts w:ascii="Arial" w:hAnsi="Arial" w:cs="Arial"/>
          <w:sz w:val="24"/>
          <w:szCs w:val="24"/>
        </w:rPr>
        <w:t xml:space="preserve"> however</w:t>
      </w:r>
      <w:r w:rsidR="00697A8F">
        <w:rPr>
          <w:rFonts w:ascii="Arial" w:hAnsi="Arial" w:cs="Arial"/>
          <w:sz w:val="24"/>
          <w:szCs w:val="24"/>
        </w:rPr>
        <w:t xml:space="preserve"> pleaded that she only became aware of the 1</w:t>
      </w:r>
      <w:r w:rsidR="00697A8F" w:rsidRPr="00697A8F">
        <w:rPr>
          <w:rFonts w:ascii="Arial" w:hAnsi="Arial" w:cs="Arial"/>
          <w:sz w:val="24"/>
          <w:szCs w:val="24"/>
          <w:vertAlign w:val="superscript"/>
        </w:rPr>
        <w:t>st</w:t>
      </w:r>
      <w:r w:rsidR="00697A8F">
        <w:rPr>
          <w:rFonts w:ascii="Arial" w:hAnsi="Arial" w:cs="Arial"/>
          <w:sz w:val="24"/>
          <w:szCs w:val="24"/>
        </w:rPr>
        <w:t xml:space="preserve"> respondents title to the immovable property in 2009 when he launched the eviction application. As I have already indicated this statement is open to serious doubt but giving the 2</w:t>
      </w:r>
      <w:r w:rsidR="00697A8F" w:rsidRPr="00697A8F">
        <w:rPr>
          <w:rFonts w:ascii="Arial" w:hAnsi="Arial" w:cs="Arial"/>
          <w:sz w:val="24"/>
          <w:szCs w:val="24"/>
          <w:vertAlign w:val="superscript"/>
        </w:rPr>
        <w:t>nd</w:t>
      </w:r>
      <w:r w:rsidR="00697A8F">
        <w:rPr>
          <w:rFonts w:ascii="Arial" w:hAnsi="Arial" w:cs="Arial"/>
          <w:sz w:val="24"/>
          <w:szCs w:val="24"/>
        </w:rPr>
        <w:t xml:space="preserve"> applicant the benefit of the doubt, she thus had to explain the delay in launching the review application </w:t>
      </w:r>
      <w:r w:rsidR="00414079">
        <w:rPr>
          <w:rFonts w:ascii="Arial" w:hAnsi="Arial" w:cs="Arial"/>
          <w:sz w:val="24"/>
          <w:szCs w:val="24"/>
        </w:rPr>
        <w:t xml:space="preserve">for the period </w:t>
      </w:r>
      <w:r w:rsidR="00697A8F">
        <w:rPr>
          <w:rFonts w:ascii="Arial" w:hAnsi="Arial" w:cs="Arial"/>
          <w:sz w:val="24"/>
          <w:szCs w:val="24"/>
        </w:rPr>
        <w:t xml:space="preserve">2009 to 2019. </w:t>
      </w:r>
    </w:p>
    <w:p w:rsidR="00F01DDC" w:rsidRDefault="00F01DDC" w:rsidP="00457069">
      <w:pPr>
        <w:spacing w:line="480" w:lineRule="auto"/>
        <w:jc w:val="both"/>
        <w:rPr>
          <w:rFonts w:ascii="Arial" w:hAnsi="Arial" w:cs="Arial"/>
          <w:sz w:val="24"/>
          <w:szCs w:val="24"/>
        </w:rPr>
      </w:pPr>
    </w:p>
    <w:p w:rsidR="00961C77" w:rsidRDefault="00586B59" w:rsidP="00BA1CB8">
      <w:pPr>
        <w:spacing w:line="480" w:lineRule="auto"/>
        <w:ind w:left="720" w:hanging="720"/>
        <w:jc w:val="both"/>
        <w:rPr>
          <w:rFonts w:ascii="Arial" w:hAnsi="Arial" w:cs="Arial"/>
          <w:sz w:val="24"/>
          <w:szCs w:val="24"/>
        </w:rPr>
      </w:pPr>
      <w:r>
        <w:rPr>
          <w:rFonts w:ascii="Arial" w:hAnsi="Arial" w:cs="Arial"/>
          <w:sz w:val="24"/>
          <w:szCs w:val="24"/>
        </w:rPr>
        <w:t>[37]</w:t>
      </w:r>
      <w:r>
        <w:rPr>
          <w:rFonts w:ascii="Arial" w:hAnsi="Arial" w:cs="Arial"/>
          <w:sz w:val="24"/>
          <w:szCs w:val="24"/>
        </w:rPr>
        <w:tab/>
      </w:r>
      <w:r w:rsidR="00C344D8">
        <w:rPr>
          <w:rFonts w:ascii="Arial" w:hAnsi="Arial" w:cs="Arial"/>
          <w:sz w:val="24"/>
          <w:szCs w:val="24"/>
        </w:rPr>
        <w:t>In her founding affidavit, t</w:t>
      </w:r>
      <w:r w:rsidR="00755D05">
        <w:rPr>
          <w:rFonts w:ascii="Arial" w:hAnsi="Arial" w:cs="Arial"/>
          <w:sz w:val="24"/>
          <w:szCs w:val="24"/>
        </w:rPr>
        <w:t>he 2</w:t>
      </w:r>
      <w:r w:rsidR="00755D05" w:rsidRPr="00586B59">
        <w:rPr>
          <w:rFonts w:ascii="Arial" w:hAnsi="Arial" w:cs="Arial"/>
          <w:sz w:val="24"/>
          <w:szCs w:val="24"/>
          <w:vertAlign w:val="superscript"/>
        </w:rPr>
        <w:t>nd</w:t>
      </w:r>
      <w:r>
        <w:rPr>
          <w:rFonts w:ascii="Arial" w:hAnsi="Arial" w:cs="Arial"/>
          <w:sz w:val="24"/>
          <w:szCs w:val="24"/>
        </w:rPr>
        <w:t xml:space="preserve"> </w:t>
      </w:r>
      <w:r w:rsidR="00755D05">
        <w:rPr>
          <w:rFonts w:ascii="Arial" w:hAnsi="Arial" w:cs="Arial"/>
          <w:sz w:val="24"/>
          <w:szCs w:val="24"/>
        </w:rPr>
        <w:t xml:space="preserve">applicant </w:t>
      </w:r>
      <w:r w:rsidR="00D61962">
        <w:rPr>
          <w:rFonts w:ascii="Arial" w:hAnsi="Arial" w:cs="Arial"/>
          <w:sz w:val="24"/>
          <w:szCs w:val="24"/>
        </w:rPr>
        <w:t xml:space="preserve">has not dealt chronologically with the dates and times she interacted with attorney </w:t>
      </w:r>
      <w:proofErr w:type="spellStart"/>
      <w:r w:rsidR="00D61962">
        <w:rPr>
          <w:rFonts w:ascii="Arial" w:hAnsi="Arial" w:cs="Arial"/>
          <w:sz w:val="24"/>
          <w:szCs w:val="24"/>
        </w:rPr>
        <w:t>Hadebe</w:t>
      </w:r>
      <w:proofErr w:type="spellEnd"/>
      <w:r w:rsidR="00D61962">
        <w:rPr>
          <w:rFonts w:ascii="Arial" w:hAnsi="Arial" w:cs="Arial"/>
          <w:sz w:val="24"/>
          <w:szCs w:val="24"/>
        </w:rPr>
        <w:t xml:space="preserve"> or </w:t>
      </w:r>
      <w:proofErr w:type="spellStart"/>
      <w:r w:rsidR="00D61962">
        <w:rPr>
          <w:rFonts w:ascii="Arial" w:hAnsi="Arial" w:cs="Arial"/>
          <w:sz w:val="24"/>
          <w:szCs w:val="24"/>
        </w:rPr>
        <w:t>Selamolela</w:t>
      </w:r>
      <w:proofErr w:type="spellEnd"/>
      <w:r w:rsidR="00D61962">
        <w:rPr>
          <w:rFonts w:ascii="Arial" w:hAnsi="Arial" w:cs="Arial"/>
          <w:sz w:val="24"/>
          <w:szCs w:val="24"/>
        </w:rPr>
        <w:t xml:space="preserve"> over the period </w:t>
      </w:r>
      <w:r w:rsidR="00755D05">
        <w:rPr>
          <w:rFonts w:ascii="Arial" w:hAnsi="Arial" w:cs="Arial"/>
          <w:sz w:val="24"/>
          <w:szCs w:val="24"/>
        </w:rPr>
        <w:t>2009</w:t>
      </w:r>
      <w:r w:rsidR="00D61962">
        <w:rPr>
          <w:rFonts w:ascii="Arial" w:hAnsi="Arial" w:cs="Arial"/>
          <w:sz w:val="24"/>
          <w:szCs w:val="24"/>
        </w:rPr>
        <w:t xml:space="preserve"> to 2019. </w:t>
      </w:r>
      <w:r w:rsidR="00C344D8">
        <w:rPr>
          <w:rFonts w:ascii="Arial" w:hAnsi="Arial" w:cs="Arial"/>
          <w:sz w:val="24"/>
          <w:szCs w:val="24"/>
        </w:rPr>
        <w:t>The 2</w:t>
      </w:r>
      <w:r w:rsidR="00C344D8" w:rsidRPr="00C344D8">
        <w:rPr>
          <w:rFonts w:ascii="Arial" w:hAnsi="Arial" w:cs="Arial"/>
          <w:sz w:val="24"/>
          <w:szCs w:val="24"/>
          <w:vertAlign w:val="superscript"/>
        </w:rPr>
        <w:t>nd</w:t>
      </w:r>
      <w:r w:rsidR="00C344D8">
        <w:rPr>
          <w:rFonts w:ascii="Arial" w:hAnsi="Arial" w:cs="Arial"/>
          <w:sz w:val="24"/>
          <w:szCs w:val="24"/>
        </w:rPr>
        <w:t xml:space="preserve"> applicant averred that </w:t>
      </w:r>
      <w:proofErr w:type="spellStart"/>
      <w:r w:rsidR="00C344D8">
        <w:rPr>
          <w:rFonts w:ascii="Arial" w:hAnsi="Arial" w:cs="Arial"/>
          <w:sz w:val="24"/>
          <w:szCs w:val="24"/>
        </w:rPr>
        <w:t>Malefetsane</w:t>
      </w:r>
      <w:proofErr w:type="spellEnd"/>
      <w:r w:rsidR="00C344D8">
        <w:rPr>
          <w:rFonts w:ascii="Arial" w:hAnsi="Arial" w:cs="Arial"/>
          <w:sz w:val="24"/>
          <w:szCs w:val="24"/>
        </w:rPr>
        <w:t xml:space="preserve"> gave instructions to attorney </w:t>
      </w:r>
      <w:proofErr w:type="spellStart"/>
      <w:r w:rsidR="00C344D8">
        <w:rPr>
          <w:rFonts w:ascii="Arial" w:hAnsi="Arial" w:cs="Arial"/>
          <w:sz w:val="24"/>
          <w:szCs w:val="24"/>
        </w:rPr>
        <w:t>Selamolela</w:t>
      </w:r>
      <w:proofErr w:type="spellEnd"/>
      <w:r w:rsidR="00C344D8">
        <w:rPr>
          <w:rFonts w:ascii="Arial" w:hAnsi="Arial" w:cs="Arial"/>
          <w:sz w:val="24"/>
          <w:szCs w:val="24"/>
        </w:rPr>
        <w:t xml:space="preserve"> to launch a </w:t>
      </w:r>
      <w:r w:rsidR="00C444B8">
        <w:rPr>
          <w:rFonts w:ascii="Arial" w:hAnsi="Arial" w:cs="Arial"/>
          <w:sz w:val="24"/>
          <w:szCs w:val="24"/>
        </w:rPr>
        <w:t>2</w:t>
      </w:r>
      <w:r w:rsidR="00C444B8" w:rsidRPr="00C444B8">
        <w:rPr>
          <w:rFonts w:ascii="Arial" w:hAnsi="Arial" w:cs="Arial"/>
          <w:sz w:val="24"/>
          <w:szCs w:val="24"/>
          <w:vertAlign w:val="superscript"/>
        </w:rPr>
        <w:t>nd</w:t>
      </w:r>
      <w:r w:rsidR="00C444B8">
        <w:rPr>
          <w:rFonts w:ascii="Arial" w:hAnsi="Arial" w:cs="Arial"/>
          <w:sz w:val="24"/>
          <w:szCs w:val="24"/>
        </w:rPr>
        <w:t xml:space="preserve"> </w:t>
      </w:r>
      <w:r w:rsidR="00C344D8">
        <w:rPr>
          <w:rFonts w:ascii="Arial" w:hAnsi="Arial" w:cs="Arial"/>
          <w:sz w:val="24"/>
          <w:szCs w:val="24"/>
        </w:rPr>
        <w:t>review application however the 2</w:t>
      </w:r>
      <w:r w:rsidR="00C344D8" w:rsidRPr="00C344D8">
        <w:rPr>
          <w:rFonts w:ascii="Arial" w:hAnsi="Arial" w:cs="Arial"/>
          <w:sz w:val="24"/>
          <w:szCs w:val="24"/>
          <w:vertAlign w:val="superscript"/>
        </w:rPr>
        <w:t>nd</w:t>
      </w:r>
      <w:r w:rsidR="00C344D8">
        <w:rPr>
          <w:rFonts w:ascii="Arial" w:hAnsi="Arial" w:cs="Arial"/>
          <w:sz w:val="24"/>
          <w:szCs w:val="24"/>
        </w:rPr>
        <w:t xml:space="preserve"> applicant </w:t>
      </w:r>
      <w:r w:rsidR="00502538">
        <w:rPr>
          <w:rFonts w:ascii="Arial" w:hAnsi="Arial" w:cs="Arial"/>
          <w:sz w:val="24"/>
          <w:szCs w:val="24"/>
        </w:rPr>
        <w:t>did not plead</w:t>
      </w:r>
      <w:r w:rsidR="00C344D8">
        <w:rPr>
          <w:rFonts w:ascii="Arial" w:hAnsi="Arial" w:cs="Arial"/>
          <w:sz w:val="24"/>
          <w:szCs w:val="24"/>
        </w:rPr>
        <w:t xml:space="preserve"> </w:t>
      </w:r>
      <w:r w:rsidR="00755D05">
        <w:rPr>
          <w:rFonts w:ascii="Arial" w:hAnsi="Arial" w:cs="Arial"/>
          <w:sz w:val="24"/>
          <w:szCs w:val="24"/>
        </w:rPr>
        <w:t xml:space="preserve">the dates on which she or </w:t>
      </w:r>
      <w:proofErr w:type="spellStart"/>
      <w:r w:rsidR="00755D05">
        <w:rPr>
          <w:rFonts w:ascii="Arial" w:hAnsi="Arial" w:cs="Arial"/>
          <w:sz w:val="24"/>
          <w:szCs w:val="24"/>
        </w:rPr>
        <w:t>Malefetsane</w:t>
      </w:r>
      <w:proofErr w:type="spellEnd"/>
      <w:r w:rsidR="00755D05">
        <w:rPr>
          <w:rFonts w:ascii="Arial" w:hAnsi="Arial" w:cs="Arial"/>
          <w:sz w:val="24"/>
          <w:szCs w:val="24"/>
        </w:rPr>
        <w:t xml:space="preserve"> would have given attorney </w:t>
      </w:r>
      <w:proofErr w:type="spellStart"/>
      <w:r w:rsidR="00755D05">
        <w:rPr>
          <w:rFonts w:ascii="Arial" w:hAnsi="Arial" w:cs="Arial"/>
          <w:sz w:val="24"/>
          <w:szCs w:val="24"/>
        </w:rPr>
        <w:t>Selamolela</w:t>
      </w:r>
      <w:proofErr w:type="spellEnd"/>
      <w:r w:rsidR="00755D05">
        <w:rPr>
          <w:rFonts w:ascii="Arial" w:hAnsi="Arial" w:cs="Arial"/>
          <w:sz w:val="24"/>
          <w:szCs w:val="24"/>
        </w:rPr>
        <w:t xml:space="preserve"> instructions to launch the 2</w:t>
      </w:r>
      <w:r w:rsidR="00755D05" w:rsidRPr="00755D05">
        <w:rPr>
          <w:rFonts w:ascii="Arial" w:hAnsi="Arial" w:cs="Arial"/>
          <w:sz w:val="24"/>
          <w:szCs w:val="24"/>
          <w:vertAlign w:val="superscript"/>
        </w:rPr>
        <w:t>nd</w:t>
      </w:r>
      <w:r w:rsidR="00755D05">
        <w:rPr>
          <w:rFonts w:ascii="Arial" w:hAnsi="Arial" w:cs="Arial"/>
          <w:sz w:val="24"/>
          <w:szCs w:val="24"/>
        </w:rPr>
        <w:t xml:space="preserve"> review application </w:t>
      </w:r>
      <w:r w:rsidR="00E47D6E">
        <w:rPr>
          <w:rFonts w:ascii="Arial" w:hAnsi="Arial" w:cs="Arial"/>
          <w:sz w:val="24"/>
          <w:szCs w:val="24"/>
        </w:rPr>
        <w:t xml:space="preserve">nor mentioned the dates on which they followed up with attorney </w:t>
      </w:r>
      <w:proofErr w:type="spellStart"/>
      <w:r w:rsidR="00E47D6E">
        <w:rPr>
          <w:rFonts w:ascii="Arial" w:hAnsi="Arial" w:cs="Arial"/>
          <w:sz w:val="24"/>
          <w:szCs w:val="24"/>
        </w:rPr>
        <w:lastRenderedPageBreak/>
        <w:t>Selamolela</w:t>
      </w:r>
      <w:proofErr w:type="spellEnd"/>
      <w:r w:rsidR="00C344D8">
        <w:rPr>
          <w:rFonts w:ascii="Arial" w:hAnsi="Arial" w:cs="Arial"/>
          <w:sz w:val="24"/>
          <w:szCs w:val="24"/>
        </w:rPr>
        <w:t xml:space="preserve"> on the execution </w:t>
      </w:r>
      <w:r w:rsidR="00961C77">
        <w:rPr>
          <w:rFonts w:ascii="Arial" w:hAnsi="Arial" w:cs="Arial"/>
          <w:sz w:val="24"/>
          <w:szCs w:val="24"/>
        </w:rPr>
        <w:t>o</w:t>
      </w:r>
      <w:r w:rsidR="00C344D8">
        <w:rPr>
          <w:rFonts w:ascii="Arial" w:hAnsi="Arial" w:cs="Arial"/>
          <w:sz w:val="24"/>
          <w:szCs w:val="24"/>
        </w:rPr>
        <w:t>f their instructions to her</w:t>
      </w:r>
      <w:r w:rsidR="00E47D6E">
        <w:rPr>
          <w:rFonts w:ascii="Arial" w:hAnsi="Arial" w:cs="Arial"/>
          <w:sz w:val="24"/>
          <w:szCs w:val="24"/>
        </w:rPr>
        <w:t xml:space="preserve">. There is also no confirmatory affidavit from attorney </w:t>
      </w:r>
      <w:proofErr w:type="spellStart"/>
      <w:r w:rsidR="00E47D6E">
        <w:rPr>
          <w:rFonts w:ascii="Arial" w:hAnsi="Arial" w:cs="Arial"/>
          <w:sz w:val="24"/>
          <w:szCs w:val="24"/>
        </w:rPr>
        <w:t>Selamolela</w:t>
      </w:r>
      <w:proofErr w:type="spellEnd"/>
      <w:r w:rsidR="00E47D6E">
        <w:rPr>
          <w:rFonts w:ascii="Arial" w:hAnsi="Arial" w:cs="Arial"/>
          <w:sz w:val="24"/>
          <w:szCs w:val="24"/>
        </w:rPr>
        <w:t xml:space="preserve"> attached to the founding or replying affidavits</w:t>
      </w:r>
      <w:r w:rsidR="00961C77">
        <w:rPr>
          <w:rFonts w:ascii="Arial" w:hAnsi="Arial" w:cs="Arial"/>
          <w:sz w:val="24"/>
          <w:szCs w:val="24"/>
        </w:rPr>
        <w:t xml:space="preserve"> confirming the instructions</w:t>
      </w:r>
      <w:r w:rsidR="00E47D6E">
        <w:rPr>
          <w:rFonts w:ascii="Arial" w:hAnsi="Arial" w:cs="Arial"/>
          <w:sz w:val="24"/>
          <w:szCs w:val="24"/>
        </w:rPr>
        <w:t xml:space="preserve">. </w:t>
      </w:r>
    </w:p>
    <w:p w:rsidR="00961C77" w:rsidRDefault="00961C77" w:rsidP="00457069">
      <w:pPr>
        <w:spacing w:line="480" w:lineRule="auto"/>
        <w:jc w:val="both"/>
        <w:rPr>
          <w:rFonts w:ascii="Arial" w:hAnsi="Arial" w:cs="Arial"/>
          <w:sz w:val="24"/>
          <w:szCs w:val="24"/>
        </w:rPr>
      </w:pPr>
    </w:p>
    <w:p w:rsidR="00961C77" w:rsidRDefault="00961C77" w:rsidP="00BA1CB8">
      <w:pPr>
        <w:spacing w:line="480" w:lineRule="auto"/>
        <w:ind w:left="720" w:hanging="720"/>
        <w:jc w:val="both"/>
        <w:rPr>
          <w:rFonts w:ascii="Arial" w:hAnsi="Arial" w:cs="Arial"/>
          <w:sz w:val="24"/>
          <w:szCs w:val="24"/>
        </w:rPr>
      </w:pPr>
      <w:r>
        <w:rPr>
          <w:rFonts w:ascii="Arial" w:hAnsi="Arial" w:cs="Arial"/>
          <w:sz w:val="24"/>
          <w:szCs w:val="24"/>
        </w:rPr>
        <w:t>]38]</w:t>
      </w:r>
      <w:r>
        <w:rPr>
          <w:rFonts w:ascii="Arial" w:hAnsi="Arial" w:cs="Arial"/>
          <w:sz w:val="24"/>
          <w:szCs w:val="24"/>
        </w:rPr>
        <w:tab/>
      </w:r>
      <w:r w:rsidR="00583D3B">
        <w:rPr>
          <w:rFonts w:ascii="Arial" w:hAnsi="Arial" w:cs="Arial"/>
          <w:sz w:val="24"/>
          <w:szCs w:val="24"/>
        </w:rPr>
        <w:t>The period between the 2</w:t>
      </w:r>
      <w:r w:rsidR="00583D3B" w:rsidRPr="00583D3B">
        <w:rPr>
          <w:rFonts w:ascii="Arial" w:hAnsi="Arial" w:cs="Arial"/>
          <w:sz w:val="24"/>
          <w:szCs w:val="24"/>
          <w:vertAlign w:val="superscript"/>
        </w:rPr>
        <w:t>nd</w:t>
      </w:r>
      <w:r w:rsidR="00583D3B">
        <w:rPr>
          <w:rFonts w:ascii="Arial" w:hAnsi="Arial" w:cs="Arial"/>
          <w:sz w:val="24"/>
          <w:szCs w:val="24"/>
        </w:rPr>
        <w:t xml:space="preserve"> applicant’s appointment as executrix in May 2017 to July 2019 </w:t>
      </w:r>
      <w:r w:rsidR="00587827">
        <w:rPr>
          <w:rFonts w:ascii="Arial" w:hAnsi="Arial" w:cs="Arial"/>
          <w:sz w:val="24"/>
          <w:szCs w:val="24"/>
        </w:rPr>
        <w:t xml:space="preserve">is similarly vague and again there is no chronological </w:t>
      </w:r>
      <w:r>
        <w:rPr>
          <w:rFonts w:ascii="Arial" w:hAnsi="Arial" w:cs="Arial"/>
          <w:sz w:val="24"/>
          <w:szCs w:val="24"/>
        </w:rPr>
        <w:t xml:space="preserve">pleading of </w:t>
      </w:r>
      <w:r w:rsidR="00587827">
        <w:rPr>
          <w:rFonts w:ascii="Arial" w:hAnsi="Arial" w:cs="Arial"/>
          <w:sz w:val="24"/>
          <w:szCs w:val="24"/>
        </w:rPr>
        <w:t>dates and times where the 2</w:t>
      </w:r>
      <w:r w:rsidR="00587827" w:rsidRPr="00587827">
        <w:rPr>
          <w:rFonts w:ascii="Arial" w:hAnsi="Arial" w:cs="Arial"/>
          <w:sz w:val="24"/>
          <w:szCs w:val="24"/>
          <w:vertAlign w:val="superscript"/>
        </w:rPr>
        <w:t>nd</w:t>
      </w:r>
      <w:r w:rsidR="00587827">
        <w:rPr>
          <w:rFonts w:ascii="Arial" w:hAnsi="Arial" w:cs="Arial"/>
          <w:sz w:val="24"/>
          <w:szCs w:val="24"/>
        </w:rPr>
        <w:t xml:space="preserve"> applicant would have given instructions and followed up on the execution of her instructions, if any. </w:t>
      </w:r>
    </w:p>
    <w:p w:rsidR="00961C77" w:rsidRDefault="00961C77" w:rsidP="00457069">
      <w:pPr>
        <w:spacing w:line="480" w:lineRule="auto"/>
        <w:jc w:val="both"/>
        <w:rPr>
          <w:rFonts w:ascii="Arial" w:hAnsi="Arial" w:cs="Arial"/>
          <w:sz w:val="24"/>
          <w:szCs w:val="24"/>
        </w:rPr>
      </w:pPr>
    </w:p>
    <w:p w:rsidR="00961C77" w:rsidRDefault="00961C77" w:rsidP="00BA1CB8">
      <w:pPr>
        <w:spacing w:line="480" w:lineRule="auto"/>
        <w:ind w:left="720" w:hanging="720"/>
        <w:jc w:val="both"/>
        <w:rPr>
          <w:rFonts w:ascii="Arial" w:hAnsi="Arial" w:cs="Arial"/>
          <w:sz w:val="24"/>
          <w:szCs w:val="24"/>
        </w:rPr>
      </w:pPr>
      <w:r>
        <w:rPr>
          <w:rFonts w:ascii="Arial" w:hAnsi="Arial" w:cs="Arial"/>
          <w:sz w:val="24"/>
          <w:szCs w:val="24"/>
        </w:rPr>
        <w:t>[39]</w:t>
      </w:r>
      <w:r>
        <w:rPr>
          <w:rFonts w:ascii="Arial" w:hAnsi="Arial" w:cs="Arial"/>
          <w:sz w:val="24"/>
          <w:szCs w:val="24"/>
        </w:rPr>
        <w:tab/>
      </w:r>
      <w:r w:rsidR="00E47D6E">
        <w:rPr>
          <w:rFonts w:ascii="Arial" w:hAnsi="Arial" w:cs="Arial"/>
          <w:sz w:val="24"/>
          <w:szCs w:val="24"/>
        </w:rPr>
        <w:t>T</w:t>
      </w:r>
      <w:r w:rsidR="00BE0538">
        <w:rPr>
          <w:rFonts w:ascii="Arial" w:hAnsi="Arial" w:cs="Arial"/>
          <w:sz w:val="24"/>
          <w:szCs w:val="24"/>
        </w:rPr>
        <w:t xml:space="preserve">he </w:t>
      </w:r>
      <w:r w:rsidR="00E47D6E">
        <w:rPr>
          <w:rFonts w:ascii="Arial" w:hAnsi="Arial" w:cs="Arial"/>
          <w:sz w:val="24"/>
          <w:szCs w:val="24"/>
        </w:rPr>
        <w:t>2</w:t>
      </w:r>
      <w:r w:rsidR="00E47D6E" w:rsidRPr="00E47D6E">
        <w:rPr>
          <w:rFonts w:ascii="Arial" w:hAnsi="Arial" w:cs="Arial"/>
          <w:sz w:val="24"/>
          <w:szCs w:val="24"/>
          <w:vertAlign w:val="superscript"/>
        </w:rPr>
        <w:t>nd</w:t>
      </w:r>
      <w:r w:rsidR="00E47D6E">
        <w:rPr>
          <w:rFonts w:ascii="Arial" w:hAnsi="Arial" w:cs="Arial"/>
          <w:sz w:val="24"/>
          <w:szCs w:val="24"/>
        </w:rPr>
        <w:t xml:space="preserve"> </w:t>
      </w:r>
      <w:r w:rsidR="00BE0538">
        <w:rPr>
          <w:rFonts w:ascii="Arial" w:hAnsi="Arial" w:cs="Arial"/>
          <w:sz w:val="24"/>
          <w:szCs w:val="24"/>
        </w:rPr>
        <w:t xml:space="preserve">applicant </w:t>
      </w:r>
      <w:r w:rsidR="009B77D4">
        <w:rPr>
          <w:rFonts w:ascii="Arial" w:hAnsi="Arial" w:cs="Arial"/>
          <w:sz w:val="24"/>
          <w:szCs w:val="24"/>
        </w:rPr>
        <w:t xml:space="preserve">acknowledged that she </w:t>
      </w:r>
      <w:r w:rsidR="00BE0538">
        <w:rPr>
          <w:rFonts w:ascii="Arial" w:hAnsi="Arial" w:cs="Arial"/>
          <w:sz w:val="24"/>
          <w:szCs w:val="24"/>
        </w:rPr>
        <w:t xml:space="preserve">was served with the third eviction application in 2018 and </w:t>
      </w:r>
      <w:r w:rsidR="00587827">
        <w:rPr>
          <w:rFonts w:ascii="Arial" w:hAnsi="Arial" w:cs="Arial"/>
          <w:sz w:val="24"/>
          <w:szCs w:val="24"/>
        </w:rPr>
        <w:t xml:space="preserve">stated that she </w:t>
      </w:r>
      <w:r w:rsidR="00BE0538">
        <w:rPr>
          <w:rFonts w:ascii="Arial" w:hAnsi="Arial" w:cs="Arial"/>
          <w:sz w:val="24"/>
          <w:szCs w:val="24"/>
        </w:rPr>
        <w:t xml:space="preserve">briefed attorney </w:t>
      </w:r>
      <w:proofErr w:type="spellStart"/>
      <w:r w:rsidR="00BE0538">
        <w:rPr>
          <w:rFonts w:ascii="Arial" w:hAnsi="Arial" w:cs="Arial"/>
          <w:sz w:val="24"/>
          <w:szCs w:val="24"/>
        </w:rPr>
        <w:t>Hadebe</w:t>
      </w:r>
      <w:proofErr w:type="spellEnd"/>
      <w:r w:rsidR="00BE0538">
        <w:rPr>
          <w:rFonts w:ascii="Arial" w:hAnsi="Arial" w:cs="Arial"/>
          <w:sz w:val="24"/>
          <w:szCs w:val="24"/>
        </w:rPr>
        <w:t xml:space="preserve"> to represent her in that matter</w:t>
      </w:r>
      <w:r w:rsidR="00E47D6E">
        <w:rPr>
          <w:rFonts w:ascii="Arial" w:hAnsi="Arial" w:cs="Arial"/>
          <w:sz w:val="24"/>
          <w:szCs w:val="24"/>
        </w:rPr>
        <w:t xml:space="preserve"> </w:t>
      </w:r>
      <w:r w:rsidR="009B77D4">
        <w:rPr>
          <w:rFonts w:ascii="Arial" w:hAnsi="Arial" w:cs="Arial"/>
          <w:sz w:val="24"/>
          <w:szCs w:val="24"/>
        </w:rPr>
        <w:t xml:space="preserve">however, </w:t>
      </w:r>
      <w:r w:rsidR="00E47D6E">
        <w:rPr>
          <w:rFonts w:ascii="Arial" w:hAnsi="Arial" w:cs="Arial"/>
          <w:sz w:val="24"/>
          <w:szCs w:val="24"/>
        </w:rPr>
        <w:t>no explanation was tendered as to why the 2</w:t>
      </w:r>
      <w:r w:rsidR="00E47D6E" w:rsidRPr="00E47D6E">
        <w:rPr>
          <w:rFonts w:ascii="Arial" w:hAnsi="Arial" w:cs="Arial"/>
          <w:sz w:val="24"/>
          <w:szCs w:val="24"/>
          <w:vertAlign w:val="superscript"/>
        </w:rPr>
        <w:t>nd</w:t>
      </w:r>
      <w:r w:rsidR="00E47D6E">
        <w:rPr>
          <w:rFonts w:ascii="Arial" w:hAnsi="Arial" w:cs="Arial"/>
          <w:sz w:val="24"/>
          <w:szCs w:val="24"/>
        </w:rPr>
        <w:t xml:space="preserve"> applicant did not brief attorney </w:t>
      </w:r>
      <w:proofErr w:type="spellStart"/>
      <w:r w:rsidR="00E47D6E">
        <w:rPr>
          <w:rFonts w:ascii="Arial" w:hAnsi="Arial" w:cs="Arial"/>
          <w:sz w:val="24"/>
          <w:szCs w:val="24"/>
        </w:rPr>
        <w:t>Hadebe</w:t>
      </w:r>
      <w:proofErr w:type="spellEnd"/>
      <w:r w:rsidR="00E47D6E">
        <w:rPr>
          <w:rFonts w:ascii="Arial" w:hAnsi="Arial" w:cs="Arial"/>
          <w:sz w:val="24"/>
          <w:szCs w:val="24"/>
        </w:rPr>
        <w:t xml:space="preserve"> to launch a review application at that stage or any sooner. </w:t>
      </w:r>
      <w:r w:rsidR="003155D5">
        <w:rPr>
          <w:rFonts w:ascii="Arial" w:hAnsi="Arial" w:cs="Arial"/>
          <w:sz w:val="24"/>
          <w:szCs w:val="24"/>
        </w:rPr>
        <w:t>In her replying affidavit the 2</w:t>
      </w:r>
      <w:r w:rsidR="003155D5" w:rsidRPr="003155D5">
        <w:rPr>
          <w:rFonts w:ascii="Arial" w:hAnsi="Arial" w:cs="Arial"/>
          <w:sz w:val="24"/>
          <w:szCs w:val="24"/>
          <w:vertAlign w:val="superscript"/>
        </w:rPr>
        <w:t>nd</w:t>
      </w:r>
      <w:r w:rsidR="003155D5">
        <w:rPr>
          <w:rFonts w:ascii="Arial" w:hAnsi="Arial" w:cs="Arial"/>
          <w:sz w:val="24"/>
          <w:szCs w:val="24"/>
        </w:rPr>
        <w:t xml:space="preserve"> applicant claimed that she did not have funds to brief attorney </w:t>
      </w:r>
      <w:proofErr w:type="spellStart"/>
      <w:r w:rsidR="003155D5">
        <w:rPr>
          <w:rFonts w:ascii="Arial" w:hAnsi="Arial" w:cs="Arial"/>
          <w:sz w:val="24"/>
          <w:szCs w:val="24"/>
        </w:rPr>
        <w:t>Hadebe</w:t>
      </w:r>
      <w:proofErr w:type="spellEnd"/>
      <w:r w:rsidR="003155D5">
        <w:rPr>
          <w:rFonts w:ascii="Arial" w:hAnsi="Arial" w:cs="Arial"/>
          <w:sz w:val="24"/>
          <w:szCs w:val="24"/>
        </w:rPr>
        <w:t xml:space="preserve"> earlier. Safe for this bald allegation the 2</w:t>
      </w:r>
      <w:r w:rsidR="003155D5" w:rsidRPr="003155D5">
        <w:rPr>
          <w:rFonts w:ascii="Arial" w:hAnsi="Arial" w:cs="Arial"/>
          <w:sz w:val="24"/>
          <w:szCs w:val="24"/>
          <w:vertAlign w:val="superscript"/>
        </w:rPr>
        <w:t>nd</w:t>
      </w:r>
      <w:r w:rsidR="003155D5">
        <w:rPr>
          <w:rFonts w:ascii="Arial" w:hAnsi="Arial" w:cs="Arial"/>
          <w:sz w:val="24"/>
          <w:szCs w:val="24"/>
        </w:rPr>
        <w:t xml:space="preserve"> applicant had not explained why she had </w:t>
      </w:r>
      <w:r w:rsidR="0043772D">
        <w:rPr>
          <w:rFonts w:ascii="Arial" w:hAnsi="Arial" w:cs="Arial"/>
          <w:sz w:val="24"/>
          <w:szCs w:val="24"/>
        </w:rPr>
        <w:t>funds</w:t>
      </w:r>
      <w:r w:rsidR="003155D5">
        <w:rPr>
          <w:rFonts w:ascii="Arial" w:hAnsi="Arial" w:cs="Arial"/>
          <w:sz w:val="24"/>
          <w:szCs w:val="24"/>
        </w:rPr>
        <w:t xml:space="preserve"> to brief attorney </w:t>
      </w:r>
      <w:proofErr w:type="spellStart"/>
      <w:r w:rsidR="003155D5">
        <w:rPr>
          <w:rFonts w:ascii="Arial" w:hAnsi="Arial" w:cs="Arial"/>
          <w:sz w:val="24"/>
          <w:szCs w:val="24"/>
        </w:rPr>
        <w:t>Hadebe</w:t>
      </w:r>
      <w:proofErr w:type="spellEnd"/>
      <w:r w:rsidR="003155D5">
        <w:rPr>
          <w:rFonts w:ascii="Arial" w:hAnsi="Arial" w:cs="Arial"/>
          <w:sz w:val="24"/>
          <w:szCs w:val="24"/>
        </w:rPr>
        <w:t xml:space="preserve"> in the eviction application but not </w:t>
      </w:r>
      <w:r w:rsidR="0043772D">
        <w:rPr>
          <w:rFonts w:ascii="Arial" w:hAnsi="Arial" w:cs="Arial"/>
          <w:sz w:val="24"/>
          <w:szCs w:val="24"/>
        </w:rPr>
        <w:t>to issue a</w:t>
      </w:r>
      <w:r w:rsidR="003155D5">
        <w:rPr>
          <w:rFonts w:ascii="Arial" w:hAnsi="Arial" w:cs="Arial"/>
          <w:sz w:val="24"/>
          <w:szCs w:val="24"/>
        </w:rPr>
        <w:t xml:space="preserve"> review application, where she got funds from to eventually launch the review application and had not attached any proof that would support her lack of funds plea. </w:t>
      </w:r>
      <w:r w:rsidR="0043772D">
        <w:rPr>
          <w:rFonts w:ascii="Arial" w:hAnsi="Arial" w:cs="Arial"/>
          <w:sz w:val="24"/>
          <w:szCs w:val="24"/>
        </w:rPr>
        <w:t>The 2</w:t>
      </w:r>
      <w:r w:rsidR="0043772D" w:rsidRPr="0043772D">
        <w:rPr>
          <w:rFonts w:ascii="Arial" w:hAnsi="Arial" w:cs="Arial"/>
          <w:sz w:val="24"/>
          <w:szCs w:val="24"/>
          <w:vertAlign w:val="superscript"/>
        </w:rPr>
        <w:t>nd</w:t>
      </w:r>
      <w:r w:rsidR="0043772D">
        <w:rPr>
          <w:rFonts w:ascii="Arial" w:hAnsi="Arial" w:cs="Arial"/>
          <w:sz w:val="24"/>
          <w:szCs w:val="24"/>
        </w:rPr>
        <w:t xml:space="preserve"> applicant should also have dealt with these facts in her founding affidavit and not raise it in reply for the first time. </w:t>
      </w:r>
    </w:p>
    <w:p w:rsidR="00961C77" w:rsidRDefault="00961C77" w:rsidP="00457069">
      <w:pPr>
        <w:spacing w:line="480" w:lineRule="auto"/>
        <w:jc w:val="both"/>
        <w:rPr>
          <w:rFonts w:ascii="Arial" w:hAnsi="Arial" w:cs="Arial"/>
          <w:sz w:val="24"/>
          <w:szCs w:val="24"/>
        </w:rPr>
      </w:pPr>
    </w:p>
    <w:p w:rsidR="007E33CC" w:rsidRDefault="00961C77" w:rsidP="00BA1CB8">
      <w:pPr>
        <w:spacing w:line="480" w:lineRule="auto"/>
        <w:ind w:left="720" w:hanging="720"/>
        <w:jc w:val="both"/>
        <w:rPr>
          <w:rFonts w:ascii="Arial" w:hAnsi="Arial" w:cs="Arial"/>
          <w:sz w:val="24"/>
          <w:szCs w:val="24"/>
        </w:rPr>
      </w:pPr>
      <w:r>
        <w:rPr>
          <w:rFonts w:ascii="Arial" w:hAnsi="Arial" w:cs="Arial"/>
          <w:sz w:val="24"/>
          <w:szCs w:val="24"/>
        </w:rPr>
        <w:t>[40]</w:t>
      </w:r>
      <w:r>
        <w:rPr>
          <w:rFonts w:ascii="Arial" w:hAnsi="Arial" w:cs="Arial"/>
          <w:sz w:val="24"/>
          <w:szCs w:val="24"/>
        </w:rPr>
        <w:tab/>
      </w:r>
      <w:r w:rsidR="00EB6FA8">
        <w:rPr>
          <w:rFonts w:ascii="Arial" w:hAnsi="Arial" w:cs="Arial"/>
          <w:sz w:val="24"/>
          <w:szCs w:val="24"/>
        </w:rPr>
        <w:t>The 2</w:t>
      </w:r>
      <w:r w:rsidR="00EB6FA8" w:rsidRPr="007104BB">
        <w:rPr>
          <w:rFonts w:ascii="Arial" w:hAnsi="Arial" w:cs="Arial"/>
          <w:sz w:val="24"/>
          <w:szCs w:val="24"/>
          <w:vertAlign w:val="superscript"/>
        </w:rPr>
        <w:t>nd</w:t>
      </w:r>
      <w:r w:rsidR="00EB6FA8">
        <w:rPr>
          <w:rFonts w:ascii="Arial" w:hAnsi="Arial" w:cs="Arial"/>
          <w:sz w:val="24"/>
          <w:szCs w:val="24"/>
        </w:rPr>
        <w:t xml:space="preserve"> applicant attested to the founding affidavit on 19 October 2019, it took the applicants </w:t>
      </w:r>
      <w:r w:rsidR="0042026A">
        <w:rPr>
          <w:rFonts w:ascii="Arial" w:hAnsi="Arial" w:cs="Arial"/>
          <w:sz w:val="24"/>
          <w:szCs w:val="24"/>
        </w:rPr>
        <w:t xml:space="preserve">from July 2019 to October 2019, </w:t>
      </w:r>
      <w:r w:rsidR="00EB6FA8">
        <w:rPr>
          <w:rFonts w:ascii="Arial" w:hAnsi="Arial" w:cs="Arial"/>
          <w:sz w:val="24"/>
          <w:szCs w:val="24"/>
        </w:rPr>
        <w:t>a further</w:t>
      </w:r>
      <w:r w:rsidR="008E7DC6">
        <w:rPr>
          <w:rFonts w:ascii="Arial" w:hAnsi="Arial" w:cs="Arial"/>
          <w:sz w:val="24"/>
          <w:szCs w:val="24"/>
        </w:rPr>
        <w:t xml:space="preserve"> three months to </w:t>
      </w:r>
      <w:r w:rsidR="008E7DC6">
        <w:rPr>
          <w:rFonts w:ascii="Arial" w:hAnsi="Arial" w:cs="Arial"/>
          <w:sz w:val="24"/>
          <w:szCs w:val="24"/>
        </w:rPr>
        <w:lastRenderedPageBreak/>
        <w:t>lodge the current review application</w:t>
      </w:r>
      <w:r w:rsidR="00EB6FA8">
        <w:rPr>
          <w:rFonts w:ascii="Arial" w:hAnsi="Arial" w:cs="Arial"/>
          <w:sz w:val="24"/>
          <w:szCs w:val="24"/>
        </w:rPr>
        <w:t>.</w:t>
      </w:r>
      <w:r w:rsidR="008E7DC6">
        <w:rPr>
          <w:rFonts w:ascii="Arial" w:hAnsi="Arial" w:cs="Arial"/>
          <w:sz w:val="24"/>
          <w:szCs w:val="24"/>
        </w:rPr>
        <w:t xml:space="preserve"> </w:t>
      </w:r>
      <w:r w:rsidR="009B77D4">
        <w:rPr>
          <w:rFonts w:ascii="Arial" w:hAnsi="Arial" w:cs="Arial"/>
          <w:sz w:val="24"/>
          <w:szCs w:val="24"/>
        </w:rPr>
        <w:t xml:space="preserve"> </w:t>
      </w:r>
      <w:r w:rsidR="00E220EB">
        <w:rPr>
          <w:rFonts w:ascii="Arial" w:hAnsi="Arial" w:cs="Arial"/>
          <w:sz w:val="24"/>
          <w:szCs w:val="24"/>
        </w:rPr>
        <w:t>What steps were taken over this period to expedite the filing of the review application was not included in the founding affidavit nor addressed in reply.</w:t>
      </w:r>
    </w:p>
    <w:p w:rsidR="0045146F" w:rsidRDefault="0045146F" w:rsidP="0045146F">
      <w:pPr>
        <w:spacing w:line="480" w:lineRule="auto"/>
        <w:jc w:val="both"/>
        <w:rPr>
          <w:rFonts w:ascii="Arial" w:hAnsi="Arial" w:cs="Arial"/>
          <w:color w:val="242121"/>
          <w:sz w:val="24"/>
          <w:szCs w:val="24"/>
          <w:shd w:val="clear" w:color="auto" w:fill="FFFFFF"/>
        </w:rPr>
      </w:pPr>
    </w:p>
    <w:p w:rsidR="00755D05" w:rsidRDefault="00961C77" w:rsidP="00BA1CB8">
      <w:pPr>
        <w:spacing w:line="48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915D38">
        <w:rPr>
          <w:rFonts w:ascii="Arial" w:hAnsi="Arial" w:cs="Arial"/>
          <w:sz w:val="24"/>
          <w:szCs w:val="24"/>
        </w:rPr>
        <w:t>The 2</w:t>
      </w:r>
      <w:r w:rsidR="00915D38" w:rsidRPr="00915D38">
        <w:rPr>
          <w:rFonts w:ascii="Arial" w:hAnsi="Arial" w:cs="Arial"/>
          <w:sz w:val="24"/>
          <w:szCs w:val="24"/>
          <w:vertAlign w:val="superscript"/>
        </w:rPr>
        <w:t>nd</w:t>
      </w:r>
      <w:r w:rsidR="00915D38">
        <w:rPr>
          <w:rFonts w:ascii="Arial" w:hAnsi="Arial" w:cs="Arial"/>
          <w:sz w:val="24"/>
          <w:szCs w:val="24"/>
        </w:rPr>
        <w:t xml:space="preserve"> applicant seems to suggest that the settlement agreement reached between the 1</w:t>
      </w:r>
      <w:r w:rsidR="00915D38" w:rsidRPr="00915D38">
        <w:rPr>
          <w:rFonts w:ascii="Arial" w:hAnsi="Arial" w:cs="Arial"/>
          <w:sz w:val="24"/>
          <w:szCs w:val="24"/>
          <w:vertAlign w:val="superscript"/>
        </w:rPr>
        <w:t>st</w:t>
      </w:r>
      <w:r w:rsidR="00915D38">
        <w:rPr>
          <w:rFonts w:ascii="Arial" w:hAnsi="Arial" w:cs="Arial"/>
          <w:sz w:val="24"/>
          <w:szCs w:val="24"/>
        </w:rPr>
        <w:t xml:space="preserve"> respondent and </w:t>
      </w:r>
      <w:proofErr w:type="spellStart"/>
      <w:r w:rsidR="00915D38">
        <w:rPr>
          <w:rFonts w:ascii="Arial" w:hAnsi="Arial" w:cs="Arial"/>
          <w:sz w:val="24"/>
          <w:szCs w:val="24"/>
        </w:rPr>
        <w:t>Malefetsane</w:t>
      </w:r>
      <w:proofErr w:type="spellEnd"/>
      <w:r w:rsidR="00915D38">
        <w:rPr>
          <w:rFonts w:ascii="Arial" w:hAnsi="Arial" w:cs="Arial"/>
          <w:sz w:val="24"/>
          <w:szCs w:val="24"/>
        </w:rPr>
        <w:t xml:space="preserve"> </w:t>
      </w:r>
      <w:r w:rsidR="00C5727C">
        <w:rPr>
          <w:rFonts w:ascii="Arial" w:hAnsi="Arial" w:cs="Arial"/>
          <w:sz w:val="24"/>
          <w:szCs w:val="24"/>
        </w:rPr>
        <w:t xml:space="preserve">and the litigation that ensued over the years </w:t>
      </w:r>
      <w:r w:rsidR="00127E29">
        <w:rPr>
          <w:rFonts w:ascii="Arial" w:hAnsi="Arial" w:cs="Arial"/>
          <w:sz w:val="24"/>
          <w:szCs w:val="24"/>
        </w:rPr>
        <w:t>must also serve as mitigation for them not actively pursuing a review application.</w:t>
      </w:r>
      <w:r w:rsidR="00915D38">
        <w:rPr>
          <w:rFonts w:ascii="Arial" w:hAnsi="Arial" w:cs="Arial"/>
          <w:sz w:val="24"/>
          <w:szCs w:val="24"/>
        </w:rPr>
        <w:t xml:space="preserve"> </w:t>
      </w:r>
      <w:r w:rsidR="00C5727C">
        <w:rPr>
          <w:rFonts w:ascii="Arial" w:hAnsi="Arial" w:cs="Arial"/>
          <w:sz w:val="24"/>
          <w:szCs w:val="24"/>
        </w:rPr>
        <w:t>However, if regard is had to the litigation history, it appears that the 2</w:t>
      </w:r>
      <w:r w:rsidR="00C5727C" w:rsidRPr="00C5727C">
        <w:rPr>
          <w:rFonts w:ascii="Arial" w:hAnsi="Arial" w:cs="Arial"/>
          <w:sz w:val="24"/>
          <w:szCs w:val="24"/>
          <w:vertAlign w:val="superscript"/>
        </w:rPr>
        <w:t>nd</w:t>
      </w:r>
      <w:r w:rsidR="00C5727C">
        <w:rPr>
          <w:rFonts w:ascii="Arial" w:hAnsi="Arial" w:cs="Arial"/>
          <w:sz w:val="24"/>
          <w:szCs w:val="24"/>
        </w:rPr>
        <w:t xml:space="preserve"> applicant and </w:t>
      </w:r>
      <w:proofErr w:type="spellStart"/>
      <w:r w:rsidR="00C5727C">
        <w:rPr>
          <w:rFonts w:ascii="Arial" w:hAnsi="Arial" w:cs="Arial"/>
          <w:sz w:val="24"/>
          <w:szCs w:val="24"/>
        </w:rPr>
        <w:t>Malefetsane</w:t>
      </w:r>
      <w:proofErr w:type="spellEnd"/>
      <w:r w:rsidR="00C5727C">
        <w:rPr>
          <w:rFonts w:ascii="Arial" w:hAnsi="Arial" w:cs="Arial"/>
          <w:sz w:val="24"/>
          <w:szCs w:val="24"/>
        </w:rPr>
        <w:t xml:space="preserve"> only reacted to the eviction applications launched by the 1</w:t>
      </w:r>
      <w:r w:rsidR="00C5727C" w:rsidRPr="00C5727C">
        <w:rPr>
          <w:rFonts w:ascii="Arial" w:hAnsi="Arial" w:cs="Arial"/>
          <w:sz w:val="24"/>
          <w:szCs w:val="24"/>
          <w:vertAlign w:val="superscript"/>
        </w:rPr>
        <w:t>st</w:t>
      </w:r>
      <w:r w:rsidR="00C5727C">
        <w:rPr>
          <w:rFonts w:ascii="Arial" w:hAnsi="Arial" w:cs="Arial"/>
          <w:sz w:val="24"/>
          <w:szCs w:val="24"/>
        </w:rPr>
        <w:t xml:space="preserve"> respondent and on their own</w:t>
      </w:r>
      <w:r>
        <w:rPr>
          <w:rFonts w:ascii="Arial" w:hAnsi="Arial" w:cs="Arial"/>
          <w:sz w:val="24"/>
          <w:szCs w:val="24"/>
        </w:rPr>
        <w:t>,</w:t>
      </w:r>
      <w:r w:rsidR="00C5727C">
        <w:rPr>
          <w:rFonts w:ascii="Arial" w:hAnsi="Arial" w:cs="Arial"/>
          <w:sz w:val="24"/>
          <w:szCs w:val="24"/>
        </w:rPr>
        <w:t xml:space="preserve"> evidenced no independent desire to approach the Courts with a review application</w:t>
      </w:r>
      <w:r w:rsidR="0080421D">
        <w:rPr>
          <w:rFonts w:ascii="Arial" w:hAnsi="Arial" w:cs="Arial"/>
          <w:sz w:val="24"/>
          <w:szCs w:val="24"/>
        </w:rPr>
        <w:t xml:space="preserve"> or to enforce the disputed settlement agreement</w:t>
      </w:r>
      <w:r w:rsidR="00C5727C">
        <w:rPr>
          <w:rFonts w:ascii="Arial" w:hAnsi="Arial" w:cs="Arial"/>
          <w:sz w:val="24"/>
          <w:szCs w:val="24"/>
        </w:rPr>
        <w:t xml:space="preserve">. </w:t>
      </w:r>
      <w:r w:rsidR="0032502E">
        <w:rPr>
          <w:rFonts w:ascii="Arial" w:hAnsi="Arial" w:cs="Arial"/>
          <w:sz w:val="24"/>
          <w:szCs w:val="24"/>
        </w:rPr>
        <w:t>On the 2</w:t>
      </w:r>
      <w:r w:rsidR="0032502E" w:rsidRPr="0032502E">
        <w:rPr>
          <w:rFonts w:ascii="Arial" w:hAnsi="Arial" w:cs="Arial"/>
          <w:sz w:val="24"/>
          <w:szCs w:val="24"/>
          <w:vertAlign w:val="superscript"/>
        </w:rPr>
        <w:t>nd</w:t>
      </w:r>
      <w:r w:rsidR="0032502E">
        <w:rPr>
          <w:rFonts w:ascii="Arial" w:hAnsi="Arial" w:cs="Arial"/>
          <w:sz w:val="24"/>
          <w:szCs w:val="24"/>
        </w:rPr>
        <w:t xml:space="preserve"> applicant</w:t>
      </w:r>
      <w:r w:rsidR="006436AD">
        <w:rPr>
          <w:rFonts w:ascii="Arial" w:hAnsi="Arial" w:cs="Arial"/>
          <w:sz w:val="24"/>
          <w:szCs w:val="24"/>
        </w:rPr>
        <w:t>’</w:t>
      </w:r>
      <w:r w:rsidR="0032502E">
        <w:rPr>
          <w:rFonts w:ascii="Arial" w:hAnsi="Arial" w:cs="Arial"/>
          <w:sz w:val="24"/>
          <w:szCs w:val="24"/>
        </w:rPr>
        <w:t xml:space="preserve">s version </w:t>
      </w:r>
      <w:proofErr w:type="spellStart"/>
      <w:r w:rsidR="0032502E">
        <w:rPr>
          <w:rFonts w:ascii="Arial" w:hAnsi="Arial" w:cs="Arial"/>
          <w:sz w:val="24"/>
          <w:szCs w:val="24"/>
        </w:rPr>
        <w:t>Malefetsane</w:t>
      </w:r>
      <w:proofErr w:type="spellEnd"/>
      <w:r w:rsidR="0032502E">
        <w:rPr>
          <w:rFonts w:ascii="Arial" w:hAnsi="Arial" w:cs="Arial"/>
          <w:sz w:val="24"/>
          <w:szCs w:val="24"/>
        </w:rPr>
        <w:t xml:space="preserve"> gave instructions for a </w:t>
      </w:r>
      <w:r w:rsidR="0080421D">
        <w:rPr>
          <w:rFonts w:ascii="Arial" w:hAnsi="Arial" w:cs="Arial"/>
          <w:sz w:val="24"/>
          <w:szCs w:val="24"/>
        </w:rPr>
        <w:t>2</w:t>
      </w:r>
      <w:r w:rsidR="0080421D" w:rsidRPr="0080421D">
        <w:rPr>
          <w:rFonts w:ascii="Arial" w:hAnsi="Arial" w:cs="Arial"/>
          <w:sz w:val="24"/>
          <w:szCs w:val="24"/>
          <w:vertAlign w:val="superscript"/>
        </w:rPr>
        <w:t>nd</w:t>
      </w:r>
      <w:r w:rsidR="0080421D">
        <w:rPr>
          <w:rFonts w:ascii="Arial" w:hAnsi="Arial" w:cs="Arial"/>
          <w:sz w:val="24"/>
          <w:szCs w:val="24"/>
        </w:rPr>
        <w:t xml:space="preserve"> </w:t>
      </w:r>
      <w:r w:rsidR="0032502E">
        <w:rPr>
          <w:rFonts w:ascii="Arial" w:hAnsi="Arial" w:cs="Arial"/>
          <w:sz w:val="24"/>
          <w:szCs w:val="24"/>
        </w:rPr>
        <w:t xml:space="preserve">review application to be filed </w:t>
      </w:r>
      <w:r w:rsidR="009B2E6E">
        <w:rPr>
          <w:rFonts w:ascii="Arial" w:hAnsi="Arial" w:cs="Arial"/>
          <w:sz w:val="24"/>
          <w:szCs w:val="24"/>
        </w:rPr>
        <w:t>yet</w:t>
      </w:r>
      <w:r w:rsidR="0032502E">
        <w:rPr>
          <w:rFonts w:ascii="Arial" w:hAnsi="Arial" w:cs="Arial"/>
          <w:sz w:val="24"/>
          <w:szCs w:val="24"/>
        </w:rPr>
        <w:t xml:space="preserve"> no action was taken in that regard until July 2019, when the 2</w:t>
      </w:r>
      <w:r w:rsidR="0032502E" w:rsidRPr="0032502E">
        <w:rPr>
          <w:rFonts w:ascii="Arial" w:hAnsi="Arial" w:cs="Arial"/>
          <w:sz w:val="24"/>
          <w:szCs w:val="24"/>
          <w:vertAlign w:val="superscript"/>
        </w:rPr>
        <w:t>nd</w:t>
      </w:r>
      <w:r w:rsidR="0032502E">
        <w:rPr>
          <w:rFonts w:ascii="Arial" w:hAnsi="Arial" w:cs="Arial"/>
          <w:sz w:val="24"/>
          <w:szCs w:val="24"/>
        </w:rPr>
        <w:t xml:space="preserve"> applicant issued instructions to attorney </w:t>
      </w:r>
      <w:proofErr w:type="spellStart"/>
      <w:r w:rsidR="0032502E">
        <w:rPr>
          <w:rFonts w:ascii="Arial" w:hAnsi="Arial" w:cs="Arial"/>
          <w:sz w:val="24"/>
          <w:szCs w:val="24"/>
        </w:rPr>
        <w:t>Hadebe</w:t>
      </w:r>
      <w:proofErr w:type="spellEnd"/>
      <w:r w:rsidR="0032502E">
        <w:rPr>
          <w:rFonts w:ascii="Arial" w:hAnsi="Arial" w:cs="Arial"/>
          <w:sz w:val="24"/>
          <w:szCs w:val="24"/>
        </w:rPr>
        <w:t xml:space="preserve"> to launch the current review application</w:t>
      </w:r>
      <w:r w:rsidR="009B2E6E">
        <w:rPr>
          <w:rFonts w:ascii="Arial" w:hAnsi="Arial" w:cs="Arial"/>
          <w:sz w:val="24"/>
          <w:szCs w:val="24"/>
        </w:rPr>
        <w:t xml:space="preserve"> after attorney </w:t>
      </w:r>
      <w:proofErr w:type="spellStart"/>
      <w:r w:rsidR="009B2E6E">
        <w:rPr>
          <w:rFonts w:ascii="Arial" w:hAnsi="Arial" w:cs="Arial"/>
          <w:sz w:val="24"/>
          <w:szCs w:val="24"/>
        </w:rPr>
        <w:t>Selamolela</w:t>
      </w:r>
      <w:proofErr w:type="spellEnd"/>
      <w:r w:rsidR="009B2E6E">
        <w:rPr>
          <w:rFonts w:ascii="Arial" w:hAnsi="Arial" w:cs="Arial"/>
          <w:sz w:val="24"/>
          <w:szCs w:val="24"/>
        </w:rPr>
        <w:t xml:space="preserve"> informed the 2</w:t>
      </w:r>
      <w:r w:rsidR="009B2E6E" w:rsidRPr="009B2E6E">
        <w:rPr>
          <w:rFonts w:ascii="Arial" w:hAnsi="Arial" w:cs="Arial"/>
          <w:sz w:val="24"/>
          <w:szCs w:val="24"/>
          <w:vertAlign w:val="superscript"/>
        </w:rPr>
        <w:t>nd</w:t>
      </w:r>
      <w:r w:rsidR="009B2E6E">
        <w:rPr>
          <w:rFonts w:ascii="Arial" w:hAnsi="Arial" w:cs="Arial"/>
          <w:sz w:val="24"/>
          <w:szCs w:val="24"/>
        </w:rPr>
        <w:t xml:space="preserve"> applicant that she could no longer assist her</w:t>
      </w:r>
      <w:r w:rsidR="0032502E">
        <w:rPr>
          <w:rFonts w:ascii="Arial" w:hAnsi="Arial" w:cs="Arial"/>
          <w:sz w:val="24"/>
          <w:szCs w:val="24"/>
        </w:rPr>
        <w:t xml:space="preserve">. </w:t>
      </w:r>
      <w:r w:rsidR="006220C5">
        <w:rPr>
          <w:rFonts w:ascii="Arial" w:hAnsi="Arial" w:cs="Arial"/>
          <w:sz w:val="24"/>
          <w:szCs w:val="24"/>
        </w:rPr>
        <w:t xml:space="preserve"> </w:t>
      </w:r>
    </w:p>
    <w:p w:rsidR="00755D05" w:rsidRDefault="00755D05" w:rsidP="00755D05">
      <w:pPr>
        <w:spacing w:line="480" w:lineRule="auto"/>
        <w:jc w:val="both"/>
        <w:rPr>
          <w:rFonts w:ascii="Arial" w:hAnsi="Arial" w:cs="Arial"/>
          <w:sz w:val="24"/>
          <w:szCs w:val="24"/>
        </w:rPr>
      </w:pPr>
    </w:p>
    <w:p w:rsidR="004F18B8" w:rsidRDefault="00127E29" w:rsidP="00BA1CB8">
      <w:pPr>
        <w:spacing w:line="480" w:lineRule="auto"/>
        <w:ind w:left="72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[42]</w:t>
      </w:r>
      <w:r>
        <w:rPr>
          <w:rFonts w:ascii="Arial" w:hAnsi="Arial" w:cs="Arial"/>
          <w:color w:val="242121"/>
          <w:sz w:val="24"/>
          <w:szCs w:val="24"/>
          <w:shd w:val="clear" w:color="auto" w:fill="FFFFFF"/>
        </w:rPr>
        <w:tab/>
      </w:r>
      <w:r w:rsidR="0045146F">
        <w:rPr>
          <w:rFonts w:ascii="Arial" w:hAnsi="Arial" w:cs="Arial"/>
          <w:color w:val="242121"/>
          <w:sz w:val="24"/>
          <w:szCs w:val="24"/>
          <w:shd w:val="clear" w:color="auto" w:fill="FFFFFF"/>
        </w:rPr>
        <w:t>The 2</w:t>
      </w:r>
      <w:r w:rsidR="0045146F" w:rsidRPr="007B525D">
        <w:rPr>
          <w:rFonts w:ascii="Arial" w:hAnsi="Arial" w:cs="Arial"/>
          <w:color w:val="242121"/>
          <w:sz w:val="24"/>
          <w:szCs w:val="24"/>
          <w:shd w:val="clear" w:color="auto" w:fill="FFFFFF"/>
          <w:vertAlign w:val="superscript"/>
        </w:rPr>
        <w:t>nd</w:t>
      </w:r>
      <w:r w:rsidR="0045146F">
        <w:rPr>
          <w:rFonts w:ascii="Arial" w:hAnsi="Arial" w:cs="Arial"/>
          <w:color w:val="242121"/>
          <w:sz w:val="24"/>
          <w:szCs w:val="24"/>
          <w:shd w:val="clear" w:color="auto" w:fill="FFFFFF"/>
        </w:rPr>
        <w:t xml:space="preserve"> applicant alleged that it was in the interest of justice to allow the review as </w:t>
      </w:r>
      <w:proofErr w:type="spellStart"/>
      <w:r w:rsidR="0045146F">
        <w:rPr>
          <w:rFonts w:ascii="Arial" w:hAnsi="Arial" w:cs="Arial"/>
          <w:color w:val="242121"/>
          <w:sz w:val="24"/>
          <w:szCs w:val="24"/>
          <w:shd w:val="clear" w:color="auto" w:fill="FFFFFF"/>
        </w:rPr>
        <w:t>Malefetsane</w:t>
      </w:r>
      <w:proofErr w:type="spellEnd"/>
      <w:r w:rsidR="0045146F">
        <w:rPr>
          <w:rFonts w:ascii="Arial" w:hAnsi="Arial" w:cs="Arial"/>
          <w:color w:val="242121"/>
          <w:sz w:val="24"/>
          <w:szCs w:val="24"/>
          <w:shd w:val="clear" w:color="auto" w:fill="FFFFFF"/>
        </w:rPr>
        <w:t xml:space="preserve"> was never given the opportunity to state his case before the appeal tribunal</w:t>
      </w:r>
      <w:r w:rsidR="00226BB8">
        <w:rPr>
          <w:rFonts w:ascii="Arial" w:hAnsi="Arial" w:cs="Arial"/>
          <w:color w:val="242121"/>
          <w:sz w:val="24"/>
          <w:szCs w:val="24"/>
          <w:shd w:val="clear" w:color="auto" w:fill="FFFFFF"/>
        </w:rPr>
        <w:t xml:space="preserve"> and thus an injustice had occurred</w:t>
      </w:r>
      <w:r w:rsidR="0045146F">
        <w:rPr>
          <w:rFonts w:ascii="Arial" w:hAnsi="Arial" w:cs="Arial"/>
          <w:color w:val="242121"/>
          <w:sz w:val="24"/>
          <w:szCs w:val="24"/>
          <w:shd w:val="clear" w:color="auto" w:fill="FFFFFF"/>
        </w:rPr>
        <w:t xml:space="preserve">. </w:t>
      </w:r>
      <w:r w:rsidR="00226BB8">
        <w:rPr>
          <w:rFonts w:ascii="Arial" w:hAnsi="Arial" w:cs="Arial"/>
          <w:color w:val="242121"/>
          <w:sz w:val="24"/>
          <w:szCs w:val="24"/>
          <w:shd w:val="clear" w:color="auto" w:fill="FFFFFF"/>
        </w:rPr>
        <w:t xml:space="preserve">Whether </w:t>
      </w:r>
      <w:proofErr w:type="spellStart"/>
      <w:r w:rsidR="00226BB8">
        <w:rPr>
          <w:rFonts w:ascii="Arial" w:hAnsi="Arial" w:cs="Arial"/>
          <w:color w:val="242121"/>
          <w:sz w:val="24"/>
          <w:szCs w:val="24"/>
          <w:shd w:val="clear" w:color="auto" w:fill="FFFFFF"/>
        </w:rPr>
        <w:t>Malefetsane</w:t>
      </w:r>
      <w:proofErr w:type="spellEnd"/>
      <w:r w:rsidR="00226BB8">
        <w:rPr>
          <w:rFonts w:ascii="Arial" w:hAnsi="Arial" w:cs="Arial"/>
          <w:color w:val="242121"/>
          <w:sz w:val="24"/>
          <w:szCs w:val="24"/>
          <w:shd w:val="clear" w:color="auto" w:fill="FFFFFF"/>
        </w:rPr>
        <w:t xml:space="preserve"> w</w:t>
      </w:r>
      <w:r w:rsidR="00024945">
        <w:rPr>
          <w:rFonts w:ascii="Arial" w:hAnsi="Arial" w:cs="Arial"/>
          <w:color w:val="242121"/>
          <w:sz w:val="24"/>
          <w:szCs w:val="24"/>
          <w:shd w:val="clear" w:color="auto" w:fill="FFFFFF"/>
        </w:rPr>
        <w:t>as</w:t>
      </w:r>
      <w:r w:rsidR="00226BB8">
        <w:rPr>
          <w:rFonts w:ascii="Arial" w:hAnsi="Arial" w:cs="Arial"/>
          <w:color w:val="242121"/>
          <w:sz w:val="24"/>
          <w:szCs w:val="24"/>
          <w:shd w:val="clear" w:color="auto" w:fill="FFFFFF"/>
        </w:rPr>
        <w:t xml:space="preserve"> afforded an opportunity to place his </w:t>
      </w:r>
      <w:r w:rsidR="0080421D">
        <w:rPr>
          <w:rFonts w:ascii="Arial" w:hAnsi="Arial" w:cs="Arial"/>
          <w:color w:val="242121"/>
          <w:sz w:val="24"/>
          <w:szCs w:val="24"/>
          <w:shd w:val="clear" w:color="auto" w:fill="FFFFFF"/>
        </w:rPr>
        <w:t xml:space="preserve">version or </w:t>
      </w:r>
      <w:r w:rsidR="00226BB8">
        <w:rPr>
          <w:rFonts w:ascii="Arial" w:hAnsi="Arial" w:cs="Arial"/>
          <w:color w:val="242121"/>
          <w:sz w:val="24"/>
          <w:szCs w:val="24"/>
          <w:shd w:val="clear" w:color="auto" w:fill="FFFFFF"/>
        </w:rPr>
        <w:t xml:space="preserve">case before the appeal tribunal and had them consider </w:t>
      </w:r>
      <w:proofErr w:type="gramStart"/>
      <w:r w:rsidR="00226BB8">
        <w:rPr>
          <w:rFonts w:ascii="Arial" w:hAnsi="Arial" w:cs="Arial"/>
          <w:color w:val="242121"/>
          <w:sz w:val="24"/>
          <w:szCs w:val="24"/>
          <w:shd w:val="clear" w:color="auto" w:fill="FFFFFF"/>
        </w:rPr>
        <w:t>it</w:t>
      </w:r>
      <w:r w:rsidR="00024945">
        <w:rPr>
          <w:rFonts w:ascii="Arial" w:hAnsi="Arial" w:cs="Arial"/>
          <w:color w:val="242121"/>
          <w:sz w:val="24"/>
          <w:szCs w:val="24"/>
          <w:shd w:val="clear" w:color="auto" w:fill="FFFFFF"/>
        </w:rPr>
        <w:t>,</w:t>
      </w:r>
      <w:proofErr w:type="gramEnd"/>
      <w:r w:rsidR="00226BB8">
        <w:rPr>
          <w:rFonts w:ascii="Arial" w:hAnsi="Arial" w:cs="Arial"/>
          <w:color w:val="242121"/>
          <w:sz w:val="24"/>
          <w:szCs w:val="24"/>
          <w:shd w:val="clear" w:color="auto" w:fill="FFFFFF"/>
        </w:rPr>
        <w:t xml:space="preserve"> </w:t>
      </w:r>
      <w:r w:rsidR="0080421D">
        <w:rPr>
          <w:rFonts w:ascii="Arial" w:hAnsi="Arial" w:cs="Arial"/>
          <w:color w:val="242121"/>
          <w:sz w:val="24"/>
          <w:szCs w:val="24"/>
          <w:shd w:val="clear" w:color="auto" w:fill="FFFFFF"/>
        </w:rPr>
        <w:t xml:space="preserve">also forms the basis for the review application. </w:t>
      </w:r>
      <w:r w:rsidR="00226BB8">
        <w:rPr>
          <w:rFonts w:ascii="Arial" w:hAnsi="Arial" w:cs="Arial"/>
          <w:color w:val="242121"/>
          <w:sz w:val="24"/>
          <w:szCs w:val="24"/>
          <w:shd w:val="clear" w:color="auto" w:fill="FFFFFF"/>
        </w:rPr>
        <w:t xml:space="preserve"> </w:t>
      </w:r>
    </w:p>
    <w:p w:rsidR="004F18B8" w:rsidRDefault="004F18B8" w:rsidP="0045146F">
      <w:pPr>
        <w:spacing w:line="480" w:lineRule="auto"/>
        <w:jc w:val="both"/>
        <w:rPr>
          <w:rFonts w:ascii="Arial" w:hAnsi="Arial" w:cs="Arial"/>
          <w:color w:val="242121"/>
          <w:sz w:val="24"/>
          <w:szCs w:val="24"/>
          <w:shd w:val="clear" w:color="auto" w:fill="FFFFFF"/>
        </w:rPr>
      </w:pPr>
    </w:p>
    <w:p w:rsidR="005F48F7" w:rsidRDefault="00127E29" w:rsidP="00BA1CB8">
      <w:pPr>
        <w:spacing w:line="480" w:lineRule="auto"/>
        <w:ind w:left="72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lastRenderedPageBreak/>
        <w:t>[43]</w:t>
      </w:r>
      <w:r>
        <w:rPr>
          <w:rFonts w:ascii="Arial" w:hAnsi="Arial" w:cs="Arial"/>
          <w:color w:val="242121"/>
          <w:sz w:val="24"/>
          <w:szCs w:val="24"/>
          <w:shd w:val="clear" w:color="auto" w:fill="FFFFFF"/>
        </w:rPr>
        <w:tab/>
        <w:t xml:space="preserve">In this regard, </w:t>
      </w:r>
      <w:r w:rsidR="007642B5">
        <w:rPr>
          <w:rFonts w:ascii="Arial" w:hAnsi="Arial" w:cs="Arial"/>
          <w:color w:val="242121"/>
          <w:sz w:val="24"/>
          <w:szCs w:val="24"/>
          <w:shd w:val="clear" w:color="auto" w:fill="FFFFFF"/>
        </w:rPr>
        <w:t>the 1</w:t>
      </w:r>
      <w:r w:rsidR="007642B5" w:rsidRPr="007642B5">
        <w:rPr>
          <w:rFonts w:ascii="Arial" w:hAnsi="Arial" w:cs="Arial"/>
          <w:color w:val="242121"/>
          <w:sz w:val="24"/>
          <w:szCs w:val="24"/>
          <w:shd w:val="clear" w:color="auto" w:fill="FFFFFF"/>
          <w:vertAlign w:val="superscript"/>
        </w:rPr>
        <w:t>st</w:t>
      </w:r>
      <w:r w:rsidR="007642B5">
        <w:rPr>
          <w:rFonts w:ascii="Arial" w:hAnsi="Arial" w:cs="Arial"/>
          <w:color w:val="242121"/>
          <w:sz w:val="24"/>
          <w:szCs w:val="24"/>
          <w:shd w:val="clear" w:color="auto" w:fill="FFFFFF"/>
        </w:rPr>
        <w:t xml:space="preserve"> respondent</w:t>
      </w:r>
      <w:r w:rsidR="004F18B8">
        <w:rPr>
          <w:rFonts w:ascii="Arial" w:hAnsi="Arial" w:cs="Arial"/>
          <w:color w:val="242121"/>
          <w:sz w:val="24"/>
          <w:szCs w:val="24"/>
          <w:shd w:val="clear" w:color="auto" w:fill="FFFFFF"/>
        </w:rPr>
        <w:t>’</w:t>
      </w:r>
      <w:r w:rsidR="007642B5">
        <w:rPr>
          <w:rFonts w:ascii="Arial" w:hAnsi="Arial" w:cs="Arial"/>
          <w:color w:val="242121"/>
          <w:sz w:val="24"/>
          <w:szCs w:val="24"/>
          <w:shd w:val="clear" w:color="auto" w:fill="FFFFFF"/>
        </w:rPr>
        <w:t>s version</w:t>
      </w:r>
      <w:r>
        <w:rPr>
          <w:rFonts w:ascii="Arial" w:hAnsi="Arial" w:cs="Arial"/>
          <w:color w:val="242121"/>
          <w:sz w:val="24"/>
          <w:szCs w:val="24"/>
          <w:shd w:val="clear" w:color="auto" w:fill="FFFFFF"/>
        </w:rPr>
        <w:t xml:space="preserve"> is that</w:t>
      </w:r>
      <w:r w:rsidR="007642B5">
        <w:rPr>
          <w:rFonts w:ascii="Arial" w:hAnsi="Arial" w:cs="Arial"/>
          <w:color w:val="242121"/>
          <w:sz w:val="24"/>
          <w:szCs w:val="24"/>
          <w:shd w:val="clear" w:color="auto" w:fill="FFFFFF"/>
        </w:rPr>
        <w:t xml:space="preserve"> he filed his claim against Mr </w:t>
      </w:r>
      <w:proofErr w:type="spellStart"/>
      <w:r w:rsidR="007642B5">
        <w:rPr>
          <w:rFonts w:ascii="Arial" w:hAnsi="Arial" w:cs="Arial"/>
          <w:color w:val="242121"/>
          <w:sz w:val="24"/>
          <w:szCs w:val="24"/>
          <w:shd w:val="clear" w:color="auto" w:fill="FFFFFF"/>
        </w:rPr>
        <w:t>Lumkwana</w:t>
      </w:r>
      <w:proofErr w:type="spellEnd"/>
      <w:r w:rsidR="007642B5">
        <w:rPr>
          <w:rFonts w:ascii="Arial" w:hAnsi="Arial" w:cs="Arial"/>
          <w:color w:val="242121"/>
          <w:sz w:val="24"/>
          <w:szCs w:val="24"/>
          <w:shd w:val="clear" w:color="auto" w:fill="FFFFFF"/>
        </w:rPr>
        <w:t xml:space="preserve"> under case number 1690 </w:t>
      </w:r>
      <w:r w:rsidR="004F18B8">
        <w:rPr>
          <w:rFonts w:ascii="Arial" w:hAnsi="Arial" w:cs="Arial"/>
          <w:color w:val="242121"/>
          <w:sz w:val="24"/>
          <w:szCs w:val="24"/>
          <w:shd w:val="clear" w:color="auto" w:fill="FFFFFF"/>
        </w:rPr>
        <w:t xml:space="preserve">however </w:t>
      </w:r>
      <w:r w:rsidR="007642B5">
        <w:rPr>
          <w:rFonts w:ascii="Arial" w:hAnsi="Arial" w:cs="Arial"/>
          <w:color w:val="242121"/>
          <w:sz w:val="24"/>
          <w:szCs w:val="24"/>
          <w:shd w:val="clear" w:color="auto" w:fill="FFFFFF"/>
        </w:rPr>
        <w:t xml:space="preserve">he and Mr </w:t>
      </w:r>
      <w:proofErr w:type="spellStart"/>
      <w:r w:rsidR="007642B5">
        <w:rPr>
          <w:rFonts w:ascii="Arial" w:hAnsi="Arial" w:cs="Arial"/>
          <w:color w:val="242121"/>
          <w:sz w:val="24"/>
          <w:szCs w:val="24"/>
          <w:shd w:val="clear" w:color="auto" w:fill="FFFFFF"/>
        </w:rPr>
        <w:t>Lumkwana</w:t>
      </w:r>
      <w:proofErr w:type="spellEnd"/>
      <w:r w:rsidR="007642B5">
        <w:rPr>
          <w:rFonts w:ascii="Arial" w:hAnsi="Arial" w:cs="Arial"/>
          <w:color w:val="242121"/>
          <w:sz w:val="24"/>
          <w:szCs w:val="24"/>
          <w:shd w:val="clear" w:color="auto" w:fill="FFFFFF"/>
        </w:rPr>
        <w:t xml:space="preserve"> settled their dispute. </w:t>
      </w:r>
      <w:r w:rsidR="005F48F7">
        <w:rPr>
          <w:rFonts w:ascii="Arial" w:hAnsi="Arial" w:cs="Arial"/>
          <w:color w:val="242121"/>
          <w:sz w:val="24"/>
          <w:szCs w:val="24"/>
          <w:shd w:val="clear" w:color="auto" w:fill="FFFFFF"/>
        </w:rPr>
        <w:t xml:space="preserve">The </w:t>
      </w:r>
      <w:r w:rsidR="004F18B8">
        <w:rPr>
          <w:rFonts w:ascii="Arial" w:hAnsi="Arial" w:cs="Arial"/>
          <w:color w:val="242121"/>
          <w:sz w:val="24"/>
          <w:szCs w:val="24"/>
          <w:shd w:val="clear" w:color="auto" w:fill="FFFFFF"/>
        </w:rPr>
        <w:t>1</w:t>
      </w:r>
      <w:r w:rsidR="004F18B8" w:rsidRPr="004F18B8">
        <w:rPr>
          <w:rFonts w:ascii="Arial" w:hAnsi="Arial" w:cs="Arial"/>
          <w:color w:val="242121"/>
          <w:sz w:val="24"/>
          <w:szCs w:val="24"/>
          <w:shd w:val="clear" w:color="auto" w:fill="FFFFFF"/>
          <w:vertAlign w:val="superscript"/>
        </w:rPr>
        <w:t>st</w:t>
      </w:r>
      <w:r w:rsidR="004F18B8">
        <w:rPr>
          <w:rFonts w:ascii="Arial" w:hAnsi="Arial" w:cs="Arial"/>
          <w:color w:val="242121"/>
          <w:sz w:val="24"/>
          <w:szCs w:val="24"/>
          <w:shd w:val="clear" w:color="auto" w:fill="FFFFFF"/>
        </w:rPr>
        <w:t xml:space="preserve"> respondent attached as annexure </w:t>
      </w:r>
      <w:r w:rsidR="009A6243">
        <w:rPr>
          <w:rFonts w:ascii="Arial" w:hAnsi="Arial" w:cs="Arial"/>
          <w:color w:val="242121"/>
          <w:sz w:val="24"/>
          <w:szCs w:val="24"/>
          <w:shd w:val="clear" w:color="auto" w:fill="FFFFFF"/>
        </w:rPr>
        <w:t>AK 1</w:t>
      </w:r>
      <w:r w:rsidR="000C7A12">
        <w:rPr>
          <w:rFonts w:ascii="Arial" w:hAnsi="Arial" w:cs="Arial"/>
          <w:color w:val="242121"/>
          <w:sz w:val="24"/>
          <w:szCs w:val="24"/>
          <w:shd w:val="clear" w:color="auto" w:fill="FFFFFF"/>
        </w:rPr>
        <w:t>,</w:t>
      </w:r>
      <w:r w:rsidR="009A6243">
        <w:rPr>
          <w:rFonts w:ascii="Arial" w:hAnsi="Arial" w:cs="Arial"/>
          <w:color w:val="242121"/>
          <w:sz w:val="24"/>
          <w:szCs w:val="24"/>
          <w:shd w:val="clear" w:color="auto" w:fill="FFFFFF"/>
        </w:rPr>
        <w:t xml:space="preserve"> </w:t>
      </w:r>
      <w:r w:rsidR="000C7A12">
        <w:rPr>
          <w:rFonts w:ascii="Arial" w:hAnsi="Arial" w:cs="Arial"/>
          <w:color w:val="242121"/>
          <w:sz w:val="24"/>
          <w:szCs w:val="24"/>
          <w:shd w:val="clear" w:color="auto" w:fill="FFFFFF"/>
        </w:rPr>
        <w:t xml:space="preserve">a </w:t>
      </w:r>
      <w:r>
        <w:rPr>
          <w:rFonts w:ascii="Arial" w:hAnsi="Arial" w:cs="Arial"/>
          <w:color w:val="242121"/>
          <w:sz w:val="24"/>
          <w:szCs w:val="24"/>
          <w:shd w:val="clear" w:color="auto" w:fill="FFFFFF"/>
        </w:rPr>
        <w:t xml:space="preserve">judgment by consent </w:t>
      </w:r>
      <w:r w:rsidR="009A6243">
        <w:rPr>
          <w:rFonts w:ascii="Arial" w:hAnsi="Arial" w:cs="Arial"/>
          <w:color w:val="242121"/>
          <w:sz w:val="24"/>
          <w:szCs w:val="24"/>
          <w:shd w:val="clear" w:color="auto" w:fill="FFFFFF"/>
        </w:rPr>
        <w:t>to his answering affidavit</w:t>
      </w:r>
      <w:r w:rsidR="000C7A12">
        <w:rPr>
          <w:rFonts w:ascii="Arial" w:hAnsi="Arial" w:cs="Arial"/>
          <w:color w:val="242121"/>
          <w:sz w:val="24"/>
          <w:szCs w:val="24"/>
          <w:shd w:val="clear" w:color="auto" w:fill="FFFFFF"/>
        </w:rPr>
        <w:t xml:space="preserve">. This judgment </w:t>
      </w:r>
      <w:r w:rsidR="005F48F7">
        <w:rPr>
          <w:rFonts w:ascii="Arial" w:hAnsi="Arial" w:cs="Arial"/>
          <w:color w:val="242121"/>
          <w:sz w:val="24"/>
          <w:szCs w:val="24"/>
          <w:shd w:val="clear" w:color="auto" w:fill="FFFFFF"/>
        </w:rPr>
        <w:t>accords with the 1</w:t>
      </w:r>
      <w:r w:rsidR="005F48F7" w:rsidRPr="005F48F7">
        <w:rPr>
          <w:rFonts w:ascii="Arial" w:hAnsi="Arial" w:cs="Arial"/>
          <w:color w:val="242121"/>
          <w:sz w:val="24"/>
          <w:szCs w:val="24"/>
          <w:shd w:val="clear" w:color="auto" w:fill="FFFFFF"/>
          <w:vertAlign w:val="superscript"/>
        </w:rPr>
        <w:t>st</w:t>
      </w:r>
      <w:r w:rsidR="005F48F7">
        <w:rPr>
          <w:rFonts w:ascii="Arial" w:hAnsi="Arial" w:cs="Arial"/>
          <w:color w:val="242121"/>
          <w:sz w:val="24"/>
          <w:szCs w:val="24"/>
          <w:shd w:val="clear" w:color="auto" w:fill="FFFFFF"/>
        </w:rPr>
        <w:t xml:space="preserve"> respondent’s version as it indicate</w:t>
      </w:r>
      <w:r w:rsidR="000C7A12">
        <w:rPr>
          <w:rFonts w:ascii="Arial" w:hAnsi="Arial" w:cs="Arial"/>
          <w:color w:val="242121"/>
          <w:sz w:val="24"/>
          <w:szCs w:val="24"/>
          <w:shd w:val="clear" w:color="auto" w:fill="FFFFFF"/>
        </w:rPr>
        <w:t>d</w:t>
      </w:r>
      <w:r w:rsidR="005F48F7">
        <w:rPr>
          <w:rFonts w:ascii="Arial" w:hAnsi="Arial" w:cs="Arial"/>
          <w:color w:val="242121"/>
          <w:sz w:val="24"/>
          <w:szCs w:val="24"/>
          <w:shd w:val="clear" w:color="auto" w:fill="FFFFFF"/>
        </w:rPr>
        <w:t xml:space="preserve"> that the 1</w:t>
      </w:r>
      <w:r w:rsidR="005F48F7" w:rsidRPr="005F48F7">
        <w:rPr>
          <w:rFonts w:ascii="Arial" w:hAnsi="Arial" w:cs="Arial"/>
          <w:color w:val="242121"/>
          <w:sz w:val="24"/>
          <w:szCs w:val="24"/>
          <w:shd w:val="clear" w:color="auto" w:fill="FFFFFF"/>
          <w:vertAlign w:val="superscript"/>
        </w:rPr>
        <w:t>st</w:t>
      </w:r>
      <w:r w:rsidR="005F48F7">
        <w:rPr>
          <w:rFonts w:ascii="Arial" w:hAnsi="Arial" w:cs="Arial"/>
          <w:color w:val="242121"/>
          <w:sz w:val="24"/>
          <w:szCs w:val="24"/>
          <w:shd w:val="clear" w:color="auto" w:fill="FFFFFF"/>
        </w:rPr>
        <w:t xml:space="preserve"> respondent and Mr </w:t>
      </w:r>
      <w:proofErr w:type="spellStart"/>
      <w:r w:rsidR="005F48F7">
        <w:rPr>
          <w:rFonts w:ascii="Arial" w:hAnsi="Arial" w:cs="Arial"/>
          <w:color w:val="242121"/>
          <w:sz w:val="24"/>
          <w:szCs w:val="24"/>
          <w:shd w:val="clear" w:color="auto" w:fill="FFFFFF"/>
        </w:rPr>
        <w:t>Lumkwana</w:t>
      </w:r>
      <w:proofErr w:type="spellEnd"/>
      <w:r w:rsidR="005F48F7">
        <w:rPr>
          <w:rFonts w:ascii="Arial" w:hAnsi="Arial" w:cs="Arial"/>
          <w:color w:val="242121"/>
          <w:sz w:val="24"/>
          <w:szCs w:val="24"/>
          <w:shd w:val="clear" w:color="auto" w:fill="FFFFFF"/>
        </w:rPr>
        <w:t xml:space="preserve"> settled their dispute in that Mr </w:t>
      </w:r>
      <w:proofErr w:type="spellStart"/>
      <w:r w:rsidR="005F48F7">
        <w:rPr>
          <w:rFonts w:ascii="Arial" w:hAnsi="Arial" w:cs="Arial"/>
          <w:color w:val="242121"/>
          <w:sz w:val="24"/>
          <w:szCs w:val="24"/>
          <w:shd w:val="clear" w:color="auto" w:fill="FFFFFF"/>
        </w:rPr>
        <w:t>Lumkwana</w:t>
      </w:r>
      <w:proofErr w:type="spellEnd"/>
      <w:r w:rsidR="005F48F7">
        <w:rPr>
          <w:rFonts w:ascii="Arial" w:hAnsi="Arial" w:cs="Arial"/>
          <w:color w:val="242121"/>
          <w:sz w:val="24"/>
          <w:szCs w:val="24"/>
          <w:shd w:val="clear" w:color="auto" w:fill="FFFFFF"/>
        </w:rPr>
        <w:t xml:space="preserve"> withdrew his dispute in favour of the 1</w:t>
      </w:r>
      <w:r w:rsidR="005F48F7" w:rsidRPr="005F48F7">
        <w:rPr>
          <w:rFonts w:ascii="Arial" w:hAnsi="Arial" w:cs="Arial"/>
          <w:color w:val="242121"/>
          <w:sz w:val="24"/>
          <w:szCs w:val="24"/>
          <w:shd w:val="clear" w:color="auto" w:fill="FFFFFF"/>
          <w:vertAlign w:val="superscript"/>
        </w:rPr>
        <w:t>st</w:t>
      </w:r>
      <w:r w:rsidR="005F48F7">
        <w:rPr>
          <w:rFonts w:ascii="Arial" w:hAnsi="Arial" w:cs="Arial"/>
          <w:color w:val="242121"/>
          <w:sz w:val="24"/>
          <w:szCs w:val="24"/>
          <w:shd w:val="clear" w:color="auto" w:fill="FFFFFF"/>
        </w:rPr>
        <w:t xml:space="preserve"> respondent </w:t>
      </w:r>
      <w:r w:rsidR="009A6243">
        <w:rPr>
          <w:rFonts w:ascii="Arial" w:hAnsi="Arial" w:cs="Arial"/>
          <w:color w:val="242121"/>
          <w:sz w:val="24"/>
          <w:szCs w:val="24"/>
          <w:shd w:val="clear" w:color="auto" w:fill="FFFFFF"/>
        </w:rPr>
        <w:t>and the 1</w:t>
      </w:r>
      <w:r w:rsidR="009A6243" w:rsidRPr="009A6243">
        <w:rPr>
          <w:rFonts w:ascii="Arial" w:hAnsi="Arial" w:cs="Arial"/>
          <w:color w:val="242121"/>
          <w:sz w:val="24"/>
          <w:szCs w:val="24"/>
          <w:shd w:val="clear" w:color="auto" w:fill="FFFFFF"/>
          <w:vertAlign w:val="superscript"/>
        </w:rPr>
        <w:t>st</w:t>
      </w:r>
      <w:r w:rsidR="009A6243">
        <w:rPr>
          <w:rFonts w:ascii="Arial" w:hAnsi="Arial" w:cs="Arial"/>
          <w:color w:val="242121"/>
          <w:sz w:val="24"/>
          <w:szCs w:val="24"/>
          <w:shd w:val="clear" w:color="auto" w:fill="FFFFFF"/>
        </w:rPr>
        <w:t xml:space="preserve"> respondent is entitled to inherit the immovable property by virtue of interstate succession. </w:t>
      </w:r>
      <w:r w:rsidR="006A49B2">
        <w:rPr>
          <w:rFonts w:ascii="Arial" w:hAnsi="Arial" w:cs="Arial"/>
          <w:color w:val="242121"/>
          <w:sz w:val="24"/>
          <w:szCs w:val="24"/>
          <w:shd w:val="clear" w:color="auto" w:fill="FFFFFF"/>
        </w:rPr>
        <w:t>The 2</w:t>
      </w:r>
      <w:r w:rsidR="006A49B2" w:rsidRPr="006A49B2">
        <w:rPr>
          <w:rFonts w:ascii="Arial" w:hAnsi="Arial" w:cs="Arial"/>
          <w:color w:val="242121"/>
          <w:sz w:val="24"/>
          <w:szCs w:val="24"/>
          <w:shd w:val="clear" w:color="auto" w:fill="FFFFFF"/>
          <w:vertAlign w:val="superscript"/>
        </w:rPr>
        <w:t>nd</w:t>
      </w:r>
      <w:r w:rsidR="006A49B2">
        <w:rPr>
          <w:rFonts w:ascii="Arial" w:hAnsi="Arial" w:cs="Arial"/>
          <w:color w:val="242121"/>
          <w:sz w:val="24"/>
          <w:szCs w:val="24"/>
          <w:shd w:val="clear" w:color="auto" w:fill="FFFFFF"/>
        </w:rPr>
        <w:t xml:space="preserve"> applicant does not dispute this portion of the 1</w:t>
      </w:r>
      <w:r w:rsidR="006A49B2" w:rsidRPr="006A49B2">
        <w:rPr>
          <w:rFonts w:ascii="Arial" w:hAnsi="Arial" w:cs="Arial"/>
          <w:color w:val="242121"/>
          <w:sz w:val="24"/>
          <w:szCs w:val="24"/>
          <w:shd w:val="clear" w:color="auto" w:fill="FFFFFF"/>
          <w:vertAlign w:val="superscript"/>
        </w:rPr>
        <w:t>st</w:t>
      </w:r>
      <w:r w:rsidR="006A49B2">
        <w:rPr>
          <w:rFonts w:ascii="Arial" w:hAnsi="Arial" w:cs="Arial"/>
          <w:color w:val="242121"/>
          <w:sz w:val="24"/>
          <w:szCs w:val="24"/>
          <w:shd w:val="clear" w:color="auto" w:fill="FFFFFF"/>
        </w:rPr>
        <w:t xml:space="preserve"> respondent’s version</w:t>
      </w:r>
      <w:r w:rsidR="00CB394D">
        <w:rPr>
          <w:rFonts w:ascii="Arial" w:hAnsi="Arial" w:cs="Arial"/>
          <w:color w:val="242121"/>
          <w:sz w:val="24"/>
          <w:szCs w:val="24"/>
          <w:shd w:val="clear" w:color="auto" w:fill="FFFFFF"/>
        </w:rPr>
        <w:t xml:space="preserve">. </w:t>
      </w:r>
      <w:r w:rsidR="006A49B2">
        <w:rPr>
          <w:rFonts w:ascii="Arial" w:hAnsi="Arial" w:cs="Arial"/>
          <w:color w:val="242121"/>
          <w:sz w:val="24"/>
          <w:szCs w:val="24"/>
          <w:shd w:val="clear" w:color="auto" w:fill="FFFFFF"/>
        </w:rPr>
        <w:t xml:space="preserve"> </w:t>
      </w:r>
    </w:p>
    <w:p w:rsidR="005F48F7" w:rsidRDefault="005F48F7" w:rsidP="0045146F">
      <w:pPr>
        <w:spacing w:line="480" w:lineRule="auto"/>
        <w:jc w:val="both"/>
        <w:rPr>
          <w:rFonts w:ascii="Arial" w:hAnsi="Arial" w:cs="Arial"/>
          <w:color w:val="242121"/>
          <w:sz w:val="24"/>
          <w:szCs w:val="24"/>
          <w:shd w:val="clear" w:color="auto" w:fill="FFFFFF"/>
        </w:rPr>
      </w:pPr>
    </w:p>
    <w:p w:rsidR="004F18B8" w:rsidRDefault="000C7A12" w:rsidP="00BA1CB8">
      <w:pPr>
        <w:spacing w:line="480" w:lineRule="auto"/>
        <w:ind w:left="72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[44]</w:t>
      </w:r>
      <w:r>
        <w:rPr>
          <w:rFonts w:ascii="Arial" w:hAnsi="Arial" w:cs="Arial"/>
          <w:color w:val="242121"/>
          <w:sz w:val="24"/>
          <w:szCs w:val="24"/>
          <w:shd w:val="clear" w:color="auto" w:fill="FFFFFF"/>
        </w:rPr>
        <w:tab/>
      </w:r>
      <w:r w:rsidR="004F18B8">
        <w:rPr>
          <w:rFonts w:ascii="Arial" w:hAnsi="Arial" w:cs="Arial"/>
          <w:color w:val="242121"/>
          <w:sz w:val="24"/>
          <w:szCs w:val="24"/>
          <w:shd w:val="clear" w:color="auto" w:fill="FFFFFF"/>
        </w:rPr>
        <w:t>On the 1</w:t>
      </w:r>
      <w:r w:rsidR="004F18B8" w:rsidRPr="00BE6806">
        <w:rPr>
          <w:rFonts w:ascii="Arial" w:hAnsi="Arial" w:cs="Arial"/>
          <w:color w:val="242121"/>
          <w:sz w:val="24"/>
          <w:szCs w:val="24"/>
          <w:shd w:val="clear" w:color="auto" w:fill="FFFFFF"/>
          <w:vertAlign w:val="superscript"/>
        </w:rPr>
        <w:t>st</w:t>
      </w:r>
      <w:r w:rsidR="004F18B8">
        <w:rPr>
          <w:rFonts w:ascii="Arial" w:hAnsi="Arial" w:cs="Arial"/>
          <w:color w:val="242121"/>
          <w:sz w:val="24"/>
          <w:szCs w:val="24"/>
          <w:shd w:val="clear" w:color="auto" w:fill="FFFFFF"/>
        </w:rPr>
        <w:t xml:space="preserve"> respondent’s version </w:t>
      </w:r>
      <w:proofErr w:type="spellStart"/>
      <w:r w:rsidR="004F18B8">
        <w:rPr>
          <w:rFonts w:ascii="Arial" w:hAnsi="Arial" w:cs="Arial"/>
          <w:color w:val="242121"/>
          <w:sz w:val="24"/>
          <w:szCs w:val="24"/>
          <w:shd w:val="clear" w:color="auto" w:fill="FFFFFF"/>
        </w:rPr>
        <w:t>Malefetsane</w:t>
      </w:r>
      <w:proofErr w:type="spellEnd"/>
      <w:r w:rsidR="004F18B8">
        <w:rPr>
          <w:rFonts w:ascii="Arial" w:hAnsi="Arial" w:cs="Arial"/>
          <w:color w:val="242121"/>
          <w:sz w:val="24"/>
          <w:szCs w:val="24"/>
          <w:shd w:val="clear" w:color="auto" w:fill="FFFFFF"/>
        </w:rPr>
        <w:t xml:space="preserve"> filed an application under case number 19562 which was dismissed, </w:t>
      </w:r>
      <w:proofErr w:type="spellStart"/>
      <w:r w:rsidR="004F18B8">
        <w:rPr>
          <w:rFonts w:ascii="Arial" w:hAnsi="Arial" w:cs="Arial"/>
          <w:color w:val="242121"/>
          <w:sz w:val="24"/>
          <w:szCs w:val="24"/>
          <w:shd w:val="clear" w:color="auto" w:fill="FFFFFF"/>
        </w:rPr>
        <w:t>Malefetsane</w:t>
      </w:r>
      <w:proofErr w:type="spellEnd"/>
      <w:r w:rsidR="004F18B8">
        <w:rPr>
          <w:rFonts w:ascii="Arial" w:hAnsi="Arial" w:cs="Arial"/>
          <w:color w:val="242121"/>
          <w:sz w:val="24"/>
          <w:szCs w:val="24"/>
          <w:shd w:val="clear" w:color="auto" w:fill="FFFFFF"/>
        </w:rPr>
        <w:t xml:space="preserve"> then appealed that decision which appeal was unsuccessful</w:t>
      </w:r>
      <w:r w:rsidR="00CB394D">
        <w:rPr>
          <w:rFonts w:ascii="Arial" w:hAnsi="Arial" w:cs="Arial"/>
          <w:color w:val="242121"/>
          <w:sz w:val="24"/>
          <w:szCs w:val="24"/>
          <w:shd w:val="clear" w:color="auto" w:fill="FFFFFF"/>
        </w:rPr>
        <w:t>. The 1</w:t>
      </w:r>
      <w:r w:rsidR="00CB394D" w:rsidRPr="00CB394D">
        <w:rPr>
          <w:rFonts w:ascii="Arial" w:hAnsi="Arial" w:cs="Arial"/>
          <w:color w:val="242121"/>
          <w:sz w:val="24"/>
          <w:szCs w:val="24"/>
          <w:shd w:val="clear" w:color="auto" w:fill="FFFFFF"/>
          <w:vertAlign w:val="superscript"/>
        </w:rPr>
        <w:t>st</w:t>
      </w:r>
      <w:r w:rsidR="00CB394D">
        <w:rPr>
          <w:rFonts w:ascii="Arial" w:hAnsi="Arial" w:cs="Arial"/>
          <w:color w:val="242121"/>
          <w:sz w:val="24"/>
          <w:szCs w:val="24"/>
          <w:shd w:val="clear" w:color="auto" w:fill="FFFFFF"/>
        </w:rPr>
        <w:t xml:space="preserve"> respondent pleaded that </w:t>
      </w:r>
      <w:r w:rsidR="004F18B8">
        <w:rPr>
          <w:rFonts w:ascii="Arial" w:hAnsi="Arial" w:cs="Arial"/>
          <w:color w:val="242121"/>
          <w:sz w:val="24"/>
          <w:szCs w:val="24"/>
          <w:shd w:val="clear" w:color="auto" w:fill="FFFFFF"/>
        </w:rPr>
        <w:t xml:space="preserve">it is only the citation </w:t>
      </w:r>
      <w:r w:rsidR="00CB394D">
        <w:rPr>
          <w:rFonts w:ascii="Arial" w:hAnsi="Arial" w:cs="Arial"/>
          <w:color w:val="242121"/>
          <w:sz w:val="24"/>
          <w:szCs w:val="24"/>
          <w:shd w:val="clear" w:color="auto" w:fill="FFFFFF"/>
        </w:rPr>
        <w:t xml:space="preserve">of the applicant and respondent </w:t>
      </w:r>
      <w:r w:rsidR="004F18B8">
        <w:rPr>
          <w:rFonts w:ascii="Arial" w:hAnsi="Arial" w:cs="Arial"/>
          <w:color w:val="242121"/>
          <w:sz w:val="24"/>
          <w:szCs w:val="24"/>
          <w:shd w:val="clear" w:color="auto" w:fill="FFFFFF"/>
        </w:rPr>
        <w:t>on the 1</w:t>
      </w:r>
      <w:r w:rsidR="004F18B8" w:rsidRPr="004F18B8">
        <w:rPr>
          <w:rFonts w:ascii="Arial" w:hAnsi="Arial" w:cs="Arial"/>
          <w:color w:val="242121"/>
          <w:sz w:val="24"/>
          <w:szCs w:val="24"/>
          <w:shd w:val="clear" w:color="auto" w:fill="FFFFFF"/>
          <w:vertAlign w:val="superscript"/>
        </w:rPr>
        <w:t>st</w:t>
      </w:r>
      <w:r w:rsidR="004F18B8">
        <w:rPr>
          <w:rFonts w:ascii="Arial" w:hAnsi="Arial" w:cs="Arial"/>
          <w:color w:val="242121"/>
          <w:sz w:val="24"/>
          <w:szCs w:val="24"/>
          <w:shd w:val="clear" w:color="auto" w:fill="FFFFFF"/>
        </w:rPr>
        <w:t xml:space="preserve"> page of the judgment which is incorrect. </w:t>
      </w:r>
      <w:r w:rsidR="00CB394D">
        <w:rPr>
          <w:rFonts w:ascii="Arial" w:hAnsi="Arial" w:cs="Arial"/>
          <w:color w:val="242121"/>
          <w:sz w:val="24"/>
          <w:szCs w:val="24"/>
          <w:shd w:val="clear" w:color="auto" w:fill="FFFFFF"/>
        </w:rPr>
        <w:t xml:space="preserve">The file cover and the rest of the judgment </w:t>
      </w:r>
      <w:proofErr w:type="gramStart"/>
      <w:r w:rsidR="00CB394D">
        <w:rPr>
          <w:rFonts w:ascii="Arial" w:hAnsi="Arial" w:cs="Arial"/>
          <w:color w:val="242121"/>
          <w:sz w:val="24"/>
          <w:szCs w:val="24"/>
          <w:shd w:val="clear" w:color="auto" w:fill="FFFFFF"/>
        </w:rPr>
        <w:t>is</w:t>
      </w:r>
      <w:proofErr w:type="gramEnd"/>
      <w:r w:rsidR="00CB394D">
        <w:rPr>
          <w:rFonts w:ascii="Arial" w:hAnsi="Arial" w:cs="Arial"/>
          <w:color w:val="242121"/>
          <w:sz w:val="24"/>
          <w:szCs w:val="24"/>
          <w:shd w:val="clear" w:color="auto" w:fill="FFFFFF"/>
        </w:rPr>
        <w:t xml:space="preserve"> unaffected. </w:t>
      </w:r>
      <w:r w:rsidR="006A49B2">
        <w:rPr>
          <w:rFonts w:ascii="Arial" w:hAnsi="Arial" w:cs="Arial"/>
          <w:color w:val="242121"/>
          <w:sz w:val="24"/>
          <w:szCs w:val="24"/>
          <w:shd w:val="clear" w:color="auto" w:fill="FFFFFF"/>
        </w:rPr>
        <w:t>The 2</w:t>
      </w:r>
      <w:r w:rsidR="006A49B2" w:rsidRPr="006A49B2">
        <w:rPr>
          <w:rFonts w:ascii="Arial" w:hAnsi="Arial" w:cs="Arial"/>
          <w:color w:val="242121"/>
          <w:sz w:val="24"/>
          <w:szCs w:val="24"/>
          <w:shd w:val="clear" w:color="auto" w:fill="FFFFFF"/>
          <w:vertAlign w:val="superscript"/>
        </w:rPr>
        <w:t>nd</w:t>
      </w:r>
      <w:r w:rsidR="006A49B2">
        <w:rPr>
          <w:rFonts w:ascii="Arial" w:hAnsi="Arial" w:cs="Arial"/>
          <w:color w:val="242121"/>
          <w:sz w:val="24"/>
          <w:szCs w:val="24"/>
          <w:shd w:val="clear" w:color="auto" w:fill="FFFFFF"/>
        </w:rPr>
        <w:t xml:space="preserve"> applicant deny that </w:t>
      </w:r>
      <w:proofErr w:type="spellStart"/>
      <w:r w:rsidR="006A49B2">
        <w:rPr>
          <w:rFonts w:ascii="Arial" w:hAnsi="Arial" w:cs="Arial"/>
          <w:color w:val="242121"/>
          <w:sz w:val="24"/>
          <w:szCs w:val="24"/>
          <w:shd w:val="clear" w:color="auto" w:fill="FFFFFF"/>
        </w:rPr>
        <w:t>Malefetsane</w:t>
      </w:r>
      <w:proofErr w:type="spellEnd"/>
      <w:r w:rsidR="006A49B2">
        <w:rPr>
          <w:rFonts w:ascii="Arial" w:hAnsi="Arial" w:cs="Arial"/>
          <w:color w:val="242121"/>
          <w:sz w:val="24"/>
          <w:szCs w:val="24"/>
          <w:shd w:val="clear" w:color="auto" w:fill="FFFFFF"/>
        </w:rPr>
        <w:t xml:space="preserve"> filed an application with the tribunal, that </w:t>
      </w:r>
      <w:proofErr w:type="spellStart"/>
      <w:r w:rsidR="006A49B2">
        <w:rPr>
          <w:rFonts w:ascii="Arial" w:hAnsi="Arial" w:cs="Arial"/>
          <w:color w:val="242121"/>
          <w:sz w:val="24"/>
          <w:szCs w:val="24"/>
          <w:shd w:val="clear" w:color="auto" w:fill="FFFFFF"/>
        </w:rPr>
        <w:t>M</w:t>
      </w:r>
      <w:r w:rsidR="00CB394D">
        <w:rPr>
          <w:rFonts w:ascii="Arial" w:hAnsi="Arial" w:cs="Arial"/>
          <w:color w:val="242121"/>
          <w:sz w:val="24"/>
          <w:szCs w:val="24"/>
          <w:shd w:val="clear" w:color="auto" w:fill="FFFFFF"/>
        </w:rPr>
        <w:t>a</w:t>
      </w:r>
      <w:r w:rsidR="006A49B2">
        <w:rPr>
          <w:rFonts w:ascii="Arial" w:hAnsi="Arial" w:cs="Arial"/>
          <w:color w:val="242121"/>
          <w:sz w:val="24"/>
          <w:szCs w:val="24"/>
          <w:shd w:val="clear" w:color="auto" w:fill="FFFFFF"/>
        </w:rPr>
        <w:t>lefetsane</w:t>
      </w:r>
      <w:proofErr w:type="spellEnd"/>
      <w:r w:rsidR="00CB394D">
        <w:rPr>
          <w:rFonts w:ascii="Arial" w:hAnsi="Arial" w:cs="Arial"/>
          <w:color w:val="242121"/>
          <w:sz w:val="24"/>
          <w:szCs w:val="24"/>
          <w:shd w:val="clear" w:color="auto" w:fill="FFFFFF"/>
        </w:rPr>
        <w:t xml:space="preserve"> </w:t>
      </w:r>
      <w:r w:rsidR="006A49B2">
        <w:rPr>
          <w:rFonts w:ascii="Arial" w:hAnsi="Arial" w:cs="Arial"/>
          <w:color w:val="242121"/>
          <w:sz w:val="24"/>
          <w:szCs w:val="24"/>
          <w:shd w:val="clear" w:color="auto" w:fill="FFFFFF"/>
        </w:rPr>
        <w:t xml:space="preserve">filed an appeal application or partook in any proceedings before the housing bureau or appeal panel. </w:t>
      </w:r>
    </w:p>
    <w:p w:rsidR="006A49B2" w:rsidRDefault="006A49B2" w:rsidP="0045146F">
      <w:pPr>
        <w:spacing w:line="480" w:lineRule="auto"/>
        <w:jc w:val="both"/>
        <w:rPr>
          <w:rFonts w:ascii="Arial" w:hAnsi="Arial" w:cs="Arial"/>
          <w:color w:val="242121"/>
          <w:sz w:val="24"/>
          <w:szCs w:val="24"/>
          <w:shd w:val="clear" w:color="auto" w:fill="FFFFFF"/>
        </w:rPr>
      </w:pPr>
    </w:p>
    <w:p w:rsidR="0026627E" w:rsidRDefault="000C7A12" w:rsidP="00BA1CB8">
      <w:pPr>
        <w:spacing w:line="480" w:lineRule="auto"/>
        <w:ind w:left="72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[45]</w:t>
      </w:r>
      <w:r>
        <w:rPr>
          <w:rFonts w:ascii="Arial" w:hAnsi="Arial" w:cs="Arial"/>
          <w:color w:val="242121"/>
          <w:sz w:val="24"/>
          <w:szCs w:val="24"/>
          <w:shd w:val="clear" w:color="auto" w:fill="FFFFFF"/>
        </w:rPr>
        <w:tab/>
      </w:r>
      <w:r w:rsidR="0045146F">
        <w:rPr>
          <w:rFonts w:ascii="Arial" w:hAnsi="Arial" w:cs="Arial"/>
          <w:color w:val="242121"/>
          <w:sz w:val="24"/>
          <w:szCs w:val="24"/>
          <w:shd w:val="clear" w:color="auto" w:fill="FFFFFF"/>
        </w:rPr>
        <w:t xml:space="preserve">Having regard to the body of the judgment </w:t>
      </w:r>
      <w:r w:rsidR="005F48F7">
        <w:rPr>
          <w:rFonts w:ascii="Arial" w:hAnsi="Arial" w:cs="Arial"/>
          <w:color w:val="242121"/>
          <w:sz w:val="24"/>
          <w:szCs w:val="24"/>
          <w:shd w:val="clear" w:color="auto" w:fill="FFFFFF"/>
        </w:rPr>
        <w:t>under case number 19562</w:t>
      </w:r>
      <w:r w:rsidR="004F18B8">
        <w:rPr>
          <w:rFonts w:ascii="Arial" w:hAnsi="Arial" w:cs="Arial"/>
          <w:color w:val="242121"/>
          <w:sz w:val="24"/>
          <w:szCs w:val="24"/>
          <w:shd w:val="clear" w:color="auto" w:fill="FFFFFF"/>
        </w:rPr>
        <w:t>,</w:t>
      </w:r>
      <w:r w:rsidR="005F48F7">
        <w:rPr>
          <w:rFonts w:ascii="Arial" w:hAnsi="Arial" w:cs="Arial"/>
          <w:color w:val="242121"/>
          <w:sz w:val="24"/>
          <w:szCs w:val="24"/>
          <w:shd w:val="clear" w:color="auto" w:fill="FFFFFF"/>
        </w:rPr>
        <w:t xml:space="preserve"> </w:t>
      </w:r>
      <w:r w:rsidR="0045146F">
        <w:rPr>
          <w:rFonts w:ascii="Arial" w:hAnsi="Arial" w:cs="Arial"/>
          <w:color w:val="242121"/>
          <w:sz w:val="24"/>
          <w:szCs w:val="24"/>
          <w:shd w:val="clear" w:color="auto" w:fill="FFFFFF"/>
        </w:rPr>
        <w:t>it supports the 1</w:t>
      </w:r>
      <w:r w:rsidR="0045146F" w:rsidRPr="0045146F">
        <w:rPr>
          <w:rFonts w:ascii="Arial" w:hAnsi="Arial" w:cs="Arial"/>
          <w:color w:val="242121"/>
          <w:sz w:val="24"/>
          <w:szCs w:val="24"/>
          <w:shd w:val="clear" w:color="auto" w:fill="FFFFFF"/>
          <w:vertAlign w:val="superscript"/>
        </w:rPr>
        <w:t>st</w:t>
      </w:r>
      <w:r w:rsidR="0045146F">
        <w:rPr>
          <w:rFonts w:ascii="Arial" w:hAnsi="Arial" w:cs="Arial"/>
          <w:color w:val="242121"/>
          <w:sz w:val="24"/>
          <w:szCs w:val="24"/>
          <w:shd w:val="clear" w:color="auto" w:fill="FFFFFF"/>
        </w:rPr>
        <w:t xml:space="preserve"> respondent</w:t>
      </w:r>
      <w:r w:rsidR="00BD22A2">
        <w:rPr>
          <w:rFonts w:ascii="Arial" w:hAnsi="Arial" w:cs="Arial"/>
          <w:color w:val="242121"/>
          <w:sz w:val="24"/>
          <w:szCs w:val="24"/>
          <w:shd w:val="clear" w:color="auto" w:fill="FFFFFF"/>
        </w:rPr>
        <w:t>’</w:t>
      </w:r>
      <w:r w:rsidR="0045146F">
        <w:rPr>
          <w:rFonts w:ascii="Arial" w:hAnsi="Arial" w:cs="Arial"/>
          <w:color w:val="242121"/>
          <w:sz w:val="24"/>
          <w:szCs w:val="24"/>
          <w:shd w:val="clear" w:color="auto" w:fill="FFFFFF"/>
        </w:rPr>
        <w:t>s version</w:t>
      </w:r>
      <w:r w:rsidR="00BD22A2">
        <w:rPr>
          <w:rFonts w:ascii="Arial" w:hAnsi="Arial" w:cs="Arial"/>
          <w:color w:val="242121"/>
          <w:sz w:val="24"/>
          <w:szCs w:val="24"/>
          <w:shd w:val="clear" w:color="auto" w:fill="FFFFFF"/>
        </w:rPr>
        <w:t xml:space="preserve"> rather than the 2</w:t>
      </w:r>
      <w:r w:rsidR="00BD22A2" w:rsidRPr="00BD22A2">
        <w:rPr>
          <w:rFonts w:ascii="Arial" w:hAnsi="Arial" w:cs="Arial"/>
          <w:color w:val="242121"/>
          <w:sz w:val="24"/>
          <w:szCs w:val="24"/>
          <w:shd w:val="clear" w:color="auto" w:fill="FFFFFF"/>
          <w:vertAlign w:val="superscript"/>
        </w:rPr>
        <w:t>nd</w:t>
      </w:r>
      <w:r w:rsidR="00BD22A2">
        <w:rPr>
          <w:rFonts w:ascii="Arial" w:hAnsi="Arial" w:cs="Arial"/>
          <w:color w:val="242121"/>
          <w:sz w:val="24"/>
          <w:szCs w:val="24"/>
          <w:shd w:val="clear" w:color="auto" w:fill="FFFFFF"/>
        </w:rPr>
        <w:t xml:space="preserve"> applicant’s version as it refers to the appellant as being the lodger (</w:t>
      </w:r>
      <w:proofErr w:type="spellStart"/>
      <w:r w:rsidR="00BD22A2">
        <w:rPr>
          <w:rFonts w:ascii="Arial" w:hAnsi="Arial" w:cs="Arial"/>
          <w:color w:val="242121"/>
          <w:sz w:val="24"/>
          <w:szCs w:val="24"/>
          <w:shd w:val="clear" w:color="auto" w:fill="FFFFFF"/>
        </w:rPr>
        <w:t>Malefetsane</w:t>
      </w:r>
      <w:proofErr w:type="spellEnd"/>
      <w:r w:rsidR="00BD22A2">
        <w:rPr>
          <w:rFonts w:ascii="Arial" w:hAnsi="Arial" w:cs="Arial"/>
          <w:color w:val="242121"/>
          <w:sz w:val="24"/>
          <w:szCs w:val="24"/>
          <w:shd w:val="clear" w:color="auto" w:fill="FFFFFF"/>
        </w:rPr>
        <w:t xml:space="preserve"> held a </w:t>
      </w:r>
      <w:r w:rsidR="006436AD">
        <w:rPr>
          <w:rFonts w:ascii="Arial" w:hAnsi="Arial" w:cs="Arial"/>
          <w:color w:val="242121"/>
          <w:sz w:val="24"/>
          <w:szCs w:val="24"/>
          <w:shd w:val="clear" w:color="auto" w:fill="FFFFFF"/>
        </w:rPr>
        <w:t>lodger’s</w:t>
      </w:r>
      <w:r w:rsidR="00BD22A2">
        <w:rPr>
          <w:rFonts w:ascii="Arial" w:hAnsi="Arial" w:cs="Arial"/>
          <w:color w:val="242121"/>
          <w:sz w:val="24"/>
          <w:szCs w:val="24"/>
          <w:shd w:val="clear" w:color="auto" w:fill="FFFFFF"/>
        </w:rPr>
        <w:t xml:space="preserve"> permit) who was married to Joyce (the 2</w:t>
      </w:r>
      <w:r w:rsidR="00BD22A2" w:rsidRPr="00BD22A2">
        <w:rPr>
          <w:rFonts w:ascii="Arial" w:hAnsi="Arial" w:cs="Arial"/>
          <w:color w:val="242121"/>
          <w:sz w:val="24"/>
          <w:szCs w:val="24"/>
          <w:shd w:val="clear" w:color="auto" w:fill="FFFFFF"/>
          <w:vertAlign w:val="superscript"/>
        </w:rPr>
        <w:t>nd</w:t>
      </w:r>
      <w:r w:rsidR="00BD22A2">
        <w:rPr>
          <w:rFonts w:ascii="Arial" w:hAnsi="Arial" w:cs="Arial"/>
          <w:color w:val="242121"/>
          <w:sz w:val="24"/>
          <w:szCs w:val="24"/>
          <w:shd w:val="clear" w:color="auto" w:fill="FFFFFF"/>
        </w:rPr>
        <w:t xml:space="preserve"> applicant) and who wanted the immovable property to be a family home (</w:t>
      </w:r>
      <w:proofErr w:type="spellStart"/>
      <w:r w:rsidR="00BD22A2">
        <w:rPr>
          <w:rFonts w:ascii="Arial" w:hAnsi="Arial" w:cs="Arial"/>
          <w:color w:val="242121"/>
          <w:sz w:val="24"/>
          <w:szCs w:val="24"/>
          <w:shd w:val="clear" w:color="auto" w:fill="FFFFFF"/>
        </w:rPr>
        <w:t>Malefetsane</w:t>
      </w:r>
      <w:proofErr w:type="spellEnd"/>
      <w:r w:rsidR="00BD22A2">
        <w:rPr>
          <w:rFonts w:ascii="Arial" w:hAnsi="Arial" w:cs="Arial"/>
          <w:color w:val="242121"/>
          <w:sz w:val="24"/>
          <w:szCs w:val="24"/>
          <w:shd w:val="clear" w:color="auto" w:fill="FFFFFF"/>
        </w:rPr>
        <w:t xml:space="preserve"> wanted the immovable </w:t>
      </w:r>
      <w:r w:rsidR="00BD22A2">
        <w:rPr>
          <w:rFonts w:ascii="Arial" w:hAnsi="Arial" w:cs="Arial"/>
          <w:color w:val="242121"/>
          <w:sz w:val="24"/>
          <w:szCs w:val="24"/>
          <w:shd w:val="clear" w:color="auto" w:fill="FFFFFF"/>
        </w:rPr>
        <w:lastRenderedPageBreak/>
        <w:t>property to be a family home)</w:t>
      </w:r>
      <w:r w:rsidR="0045146F">
        <w:rPr>
          <w:rFonts w:ascii="Arial" w:hAnsi="Arial" w:cs="Arial"/>
          <w:color w:val="242121"/>
          <w:sz w:val="24"/>
          <w:szCs w:val="24"/>
          <w:shd w:val="clear" w:color="auto" w:fill="FFFFFF"/>
        </w:rPr>
        <w:t>.</w:t>
      </w:r>
      <w:r w:rsidR="005652A7">
        <w:rPr>
          <w:rFonts w:ascii="Arial" w:hAnsi="Arial" w:cs="Arial"/>
          <w:color w:val="242121"/>
          <w:sz w:val="24"/>
          <w:szCs w:val="24"/>
          <w:shd w:val="clear" w:color="auto" w:fill="FFFFFF"/>
        </w:rPr>
        <w:t xml:space="preserve"> On the file cover </w:t>
      </w:r>
      <w:proofErr w:type="spellStart"/>
      <w:r w:rsidR="005652A7">
        <w:rPr>
          <w:rFonts w:ascii="Arial" w:hAnsi="Arial" w:cs="Arial"/>
          <w:color w:val="242121"/>
          <w:sz w:val="24"/>
          <w:szCs w:val="24"/>
          <w:shd w:val="clear" w:color="auto" w:fill="FFFFFF"/>
        </w:rPr>
        <w:t>Malefetsane</w:t>
      </w:r>
      <w:proofErr w:type="spellEnd"/>
      <w:r w:rsidR="005652A7">
        <w:rPr>
          <w:rFonts w:ascii="Arial" w:hAnsi="Arial" w:cs="Arial"/>
          <w:color w:val="242121"/>
          <w:sz w:val="24"/>
          <w:szCs w:val="24"/>
          <w:shd w:val="clear" w:color="auto" w:fill="FFFFFF"/>
        </w:rPr>
        <w:t xml:space="preserve"> is also indicated as a claimant. The 2</w:t>
      </w:r>
      <w:r w:rsidR="005652A7" w:rsidRPr="005652A7">
        <w:rPr>
          <w:rFonts w:ascii="Arial" w:hAnsi="Arial" w:cs="Arial"/>
          <w:color w:val="242121"/>
          <w:sz w:val="24"/>
          <w:szCs w:val="24"/>
          <w:shd w:val="clear" w:color="auto" w:fill="FFFFFF"/>
          <w:vertAlign w:val="superscript"/>
        </w:rPr>
        <w:t>nd</w:t>
      </w:r>
      <w:r w:rsidR="005652A7">
        <w:rPr>
          <w:rFonts w:ascii="Arial" w:hAnsi="Arial" w:cs="Arial"/>
          <w:color w:val="242121"/>
          <w:sz w:val="24"/>
          <w:szCs w:val="24"/>
          <w:shd w:val="clear" w:color="auto" w:fill="FFFFFF"/>
        </w:rPr>
        <w:t xml:space="preserve"> applicant, in reply did not explain why </w:t>
      </w:r>
      <w:proofErr w:type="spellStart"/>
      <w:r w:rsidR="005652A7">
        <w:rPr>
          <w:rFonts w:ascii="Arial" w:hAnsi="Arial" w:cs="Arial"/>
          <w:color w:val="242121"/>
          <w:sz w:val="24"/>
          <w:szCs w:val="24"/>
          <w:shd w:val="clear" w:color="auto" w:fill="FFFFFF"/>
        </w:rPr>
        <w:t>Malefetsane’s</w:t>
      </w:r>
      <w:proofErr w:type="spellEnd"/>
      <w:r w:rsidR="005652A7">
        <w:rPr>
          <w:rFonts w:ascii="Arial" w:hAnsi="Arial" w:cs="Arial"/>
          <w:color w:val="242121"/>
          <w:sz w:val="24"/>
          <w:szCs w:val="24"/>
          <w:shd w:val="clear" w:color="auto" w:fill="FFFFFF"/>
        </w:rPr>
        <w:t xml:space="preserve"> details would appear as a claimant if he was not part of the</w:t>
      </w:r>
      <w:r w:rsidR="00D67F81">
        <w:rPr>
          <w:rFonts w:ascii="Arial" w:hAnsi="Arial" w:cs="Arial"/>
          <w:color w:val="242121"/>
          <w:sz w:val="24"/>
          <w:szCs w:val="24"/>
          <w:shd w:val="clear" w:color="auto" w:fill="FFFFFF"/>
        </w:rPr>
        <w:t xml:space="preserve"> process and why all the details included in the body of the judgements accords with what is known about him and his position. </w:t>
      </w:r>
      <w:r w:rsidR="00024945">
        <w:rPr>
          <w:rFonts w:ascii="Arial" w:hAnsi="Arial" w:cs="Arial"/>
          <w:color w:val="242121"/>
          <w:sz w:val="24"/>
          <w:szCs w:val="24"/>
          <w:shd w:val="clear" w:color="auto" w:fill="FFFFFF"/>
        </w:rPr>
        <w:t xml:space="preserve">In annexure F, </w:t>
      </w:r>
      <w:r>
        <w:rPr>
          <w:rFonts w:ascii="Arial" w:hAnsi="Arial" w:cs="Arial"/>
          <w:color w:val="242121"/>
          <w:sz w:val="24"/>
          <w:szCs w:val="24"/>
          <w:shd w:val="clear" w:color="auto" w:fill="FFFFFF"/>
        </w:rPr>
        <w:t xml:space="preserve">attached to the founding affidavit, </w:t>
      </w:r>
      <w:proofErr w:type="spellStart"/>
      <w:r w:rsidR="00024945">
        <w:rPr>
          <w:rFonts w:ascii="Arial" w:hAnsi="Arial" w:cs="Arial"/>
          <w:color w:val="242121"/>
          <w:sz w:val="24"/>
          <w:szCs w:val="24"/>
          <w:shd w:val="clear" w:color="auto" w:fill="FFFFFF"/>
        </w:rPr>
        <w:t>Malefetsane</w:t>
      </w:r>
      <w:proofErr w:type="spellEnd"/>
      <w:r w:rsidR="00024945">
        <w:rPr>
          <w:rFonts w:ascii="Arial" w:hAnsi="Arial" w:cs="Arial"/>
          <w:color w:val="242121"/>
          <w:sz w:val="24"/>
          <w:szCs w:val="24"/>
          <w:shd w:val="clear" w:color="auto" w:fill="FFFFFF"/>
        </w:rPr>
        <w:t xml:space="preserve"> also indicated that he filed </w:t>
      </w:r>
      <w:r w:rsidR="00CB082F">
        <w:rPr>
          <w:rFonts w:ascii="Arial" w:hAnsi="Arial" w:cs="Arial"/>
          <w:color w:val="242121"/>
          <w:sz w:val="24"/>
          <w:szCs w:val="24"/>
          <w:shd w:val="clear" w:color="auto" w:fill="FFFFFF"/>
        </w:rPr>
        <w:t xml:space="preserve">his own </w:t>
      </w:r>
      <w:r w:rsidR="00024945">
        <w:rPr>
          <w:rFonts w:ascii="Arial" w:hAnsi="Arial" w:cs="Arial"/>
          <w:color w:val="242121"/>
          <w:sz w:val="24"/>
          <w:szCs w:val="24"/>
          <w:shd w:val="clear" w:color="auto" w:fill="FFFFFF"/>
        </w:rPr>
        <w:t xml:space="preserve">application with the housing tribunal although no case number was </w:t>
      </w:r>
      <w:r w:rsidR="009B2E6E">
        <w:rPr>
          <w:rFonts w:ascii="Arial" w:hAnsi="Arial" w:cs="Arial"/>
          <w:color w:val="242121"/>
          <w:sz w:val="24"/>
          <w:szCs w:val="24"/>
          <w:shd w:val="clear" w:color="auto" w:fill="FFFFFF"/>
        </w:rPr>
        <w:t>pleaded</w:t>
      </w:r>
      <w:r w:rsidR="00024945">
        <w:rPr>
          <w:rFonts w:ascii="Arial" w:hAnsi="Arial" w:cs="Arial"/>
          <w:color w:val="242121"/>
          <w:sz w:val="24"/>
          <w:szCs w:val="24"/>
          <w:shd w:val="clear" w:color="auto" w:fill="FFFFFF"/>
        </w:rPr>
        <w:t xml:space="preserve">. </w:t>
      </w:r>
      <w:r w:rsidR="00DF7D17">
        <w:rPr>
          <w:rFonts w:ascii="Arial" w:hAnsi="Arial" w:cs="Arial"/>
          <w:color w:val="242121"/>
          <w:sz w:val="24"/>
          <w:szCs w:val="24"/>
          <w:shd w:val="clear" w:color="auto" w:fill="FFFFFF"/>
        </w:rPr>
        <w:t xml:space="preserve"> </w:t>
      </w:r>
    </w:p>
    <w:p w:rsidR="009E1A44" w:rsidRDefault="009E1A44" w:rsidP="00766CFA">
      <w:pPr>
        <w:spacing w:line="480" w:lineRule="auto"/>
        <w:jc w:val="both"/>
        <w:rPr>
          <w:rFonts w:ascii="Arial" w:hAnsi="Arial" w:cs="Arial"/>
          <w:color w:val="242121"/>
          <w:sz w:val="24"/>
          <w:szCs w:val="24"/>
          <w:shd w:val="clear" w:color="auto" w:fill="FFFFFF"/>
        </w:rPr>
      </w:pPr>
    </w:p>
    <w:p w:rsidR="00D012CE" w:rsidRDefault="009E1A44" w:rsidP="00BA1CB8">
      <w:pPr>
        <w:spacing w:line="480" w:lineRule="auto"/>
        <w:ind w:left="72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w:t>
      </w:r>
      <w:r w:rsidR="00881376">
        <w:rPr>
          <w:rFonts w:ascii="Arial" w:hAnsi="Arial" w:cs="Arial"/>
          <w:color w:val="242121"/>
          <w:sz w:val="24"/>
          <w:szCs w:val="24"/>
          <w:shd w:val="clear" w:color="auto" w:fill="FFFFFF"/>
        </w:rPr>
        <w:t>6</w:t>
      </w:r>
      <w:r>
        <w:rPr>
          <w:rFonts w:ascii="Arial" w:hAnsi="Arial" w:cs="Arial"/>
          <w:color w:val="242121"/>
          <w:sz w:val="24"/>
          <w:szCs w:val="24"/>
          <w:shd w:val="clear" w:color="auto" w:fill="FFFFFF"/>
        </w:rPr>
        <w:t>]</w:t>
      </w:r>
      <w:r>
        <w:rPr>
          <w:rFonts w:ascii="Arial" w:hAnsi="Arial" w:cs="Arial"/>
          <w:color w:val="242121"/>
          <w:sz w:val="24"/>
          <w:szCs w:val="24"/>
          <w:shd w:val="clear" w:color="auto" w:fill="FFFFFF"/>
        </w:rPr>
        <w:tab/>
      </w:r>
      <w:r w:rsidR="00305194">
        <w:rPr>
          <w:rFonts w:ascii="Arial" w:hAnsi="Arial" w:cs="Arial"/>
          <w:color w:val="242121"/>
          <w:sz w:val="24"/>
          <w:szCs w:val="24"/>
          <w:shd w:val="clear" w:color="auto" w:fill="FFFFFF"/>
        </w:rPr>
        <w:t>The 1</w:t>
      </w:r>
      <w:r w:rsidR="00305194" w:rsidRPr="00305194">
        <w:rPr>
          <w:rFonts w:ascii="Arial" w:hAnsi="Arial" w:cs="Arial"/>
          <w:color w:val="242121"/>
          <w:sz w:val="24"/>
          <w:szCs w:val="24"/>
          <w:shd w:val="clear" w:color="auto" w:fill="FFFFFF"/>
          <w:vertAlign w:val="superscript"/>
        </w:rPr>
        <w:t>st</w:t>
      </w:r>
      <w:r w:rsidR="00305194">
        <w:rPr>
          <w:rFonts w:ascii="Arial" w:hAnsi="Arial" w:cs="Arial"/>
          <w:color w:val="242121"/>
          <w:sz w:val="24"/>
          <w:szCs w:val="24"/>
          <w:shd w:val="clear" w:color="auto" w:fill="FFFFFF"/>
        </w:rPr>
        <w:t xml:space="preserve"> respondent </w:t>
      </w:r>
      <w:r w:rsidR="00881376">
        <w:rPr>
          <w:rFonts w:ascii="Arial" w:hAnsi="Arial" w:cs="Arial"/>
          <w:color w:val="242121"/>
          <w:sz w:val="24"/>
          <w:szCs w:val="24"/>
          <w:shd w:val="clear" w:color="auto" w:fill="FFFFFF"/>
        </w:rPr>
        <w:t xml:space="preserve">pleaded that </w:t>
      </w:r>
      <w:r w:rsidR="009B2E6E">
        <w:rPr>
          <w:rFonts w:ascii="Arial" w:hAnsi="Arial" w:cs="Arial"/>
          <w:color w:val="242121"/>
          <w:sz w:val="24"/>
          <w:szCs w:val="24"/>
          <w:shd w:val="clear" w:color="auto" w:fill="FFFFFF"/>
        </w:rPr>
        <w:t>regard must be had to his prejudice</w:t>
      </w:r>
      <w:r w:rsidR="00163BBD">
        <w:rPr>
          <w:rFonts w:ascii="Arial" w:hAnsi="Arial" w:cs="Arial"/>
          <w:color w:val="242121"/>
          <w:sz w:val="24"/>
          <w:szCs w:val="24"/>
          <w:shd w:val="clear" w:color="auto" w:fill="FFFFFF"/>
        </w:rPr>
        <w:t xml:space="preserve"> when </w:t>
      </w:r>
      <w:proofErr w:type="spellStart"/>
      <w:r w:rsidR="00163BBD">
        <w:rPr>
          <w:rFonts w:ascii="Arial" w:hAnsi="Arial" w:cs="Arial"/>
          <w:color w:val="242121"/>
          <w:sz w:val="24"/>
          <w:szCs w:val="24"/>
          <w:shd w:val="clear" w:color="auto" w:fill="FFFFFF"/>
        </w:rPr>
        <w:t>condonation</w:t>
      </w:r>
      <w:proofErr w:type="spellEnd"/>
      <w:r w:rsidR="00163BBD">
        <w:rPr>
          <w:rFonts w:ascii="Arial" w:hAnsi="Arial" w:cs="Arial"/>
          <w:color w:val="242121"/>
          <w:sz w:val="24"/>
          <w:szCs w:val="24"/>
          <w:shd w:val="clear" w:color="auto" w:fill="FFFFFF"/>
        </w:rPr>
        <w:t xml:space="preserve"> is considered. According to the 1</w:t>
      </w:r>
      <w:r w:rsidR="00163BBD" w:rsidRPr="00163BBD">
        <w:rPr>
          <w:rFonts w:ascii="Arial" w:hAnsi="Arial" w:cs="Arial"/>
          <w:color w:val="242121"/>
          <w:sz w:val="24"/>
          <w:szCs w:val="24"/>
          <w:shd w:val="clear" w:color="auto" w:fill="FFFFFF"/>
          <w:vertAlign w:val="superscript"/>
        </w:rPr>
        <w:t>st</w:t>
      </w:r>
      <w:r w:rsidR="00163BBD">
        <w:rPr>
          <w:rFonts w:ascii="Arial" w:hAnsi="Arial" w:cs="Arial"/>
          <w:color w:val="242121"/>
          <w:sz w:val="24"/>
          <w:szCs w:val="24"/>
          <w:shd w:val="clear" w:color="auto" w:fill="FFFFFF"/>
        </w:rPr>
        <w:t xml:space="preserve"> respondent the 2</w:t>
      </w:r>
      <w:r w:rsidR="00163BBD" w:rsidRPr="00163BBD">
        <w:rPr>
          <w:rFonts w:ascii="Arial" w:hAnsi="Arial" w:cs="Arial"/>
          <w:color w:val="242121"/>
          <w:sz w:val="24"/>
          <w:szCs w:val="24"/>
          <w:shd w:val="clear" w:color="auto" w:fill="FFFFFF"/>
          <w:vertAlign w:val="superscript"/>
        </w:rPr>
        <w:t>nd</w:t>
      </w:r>
      <w:r w:rsidR="00163BBD">
        <w:rPr>
          <w:rFonts w:ascii="Arial" w:hAnsi="Arial" w:cs="Arial"/>
          <w:color w:val="242121"/>
          <w:sz w:val="24"/>
          <w:szCs w:val="24"/>
          <w:shd w:val="clear" w:color="auto" w:fill="FFFFFF"/>
        </w:rPr>
        <w:t xml:space="preserve"> applicant attended all the hearings before the housing bureau and appeal tribunal and knew as from 2003 that the immovable property has been awarded to him. He has a right to finality and </w:t>
      </w:r>
      <w:r w:rsidR="00A11A05">
        <w:rPr>
          <w:rFonts w:ascii="Arial" w:hAnsi="Arial" w:cs="Arial"/>
          <w:color w:val="242121"/>
          <w:sz w:val="24"/>
          <w:szCs w:val="24"/>
          <w:shd w:val="clear" w:color="auto" w:fill="FFFFFF"/>
        </w:rPr>
        <w:t xml:space="preserve">his rights must also be considered and respected. </w:t>
      </w:r>
      <w:r w:rsidR="00163BBD">
        <w:rPr>
          <w:rFonts w:ascii="Arial" w:hAnsi="Arial" w:cs="Arial"/>
          <w:color w:val="242121"/>
          <w:sz w:val="24"/>
          <w:szCs w:val="24"/>
          <w:shd w:val="clear" w:color="auto" w:fill="FFFFFF"/>
        </w:rPr>
        <w:t xml:space="preserve">He </w:t>
      </w:r>
      <w:r w:rsidR="00881376">
        <w:rPr>
          <w:rFonts w:ascii="Arial" w:hAnsi="Arial" w:cs="Arial"/>
          <w:color w:val="242121"/>
          <w:sz w:val="24"/>
          <w:szCs w:val="24"/>
          <w:shd w:val="clear" w:color="auto" w:fill="FFFFFF"/>
        </w:rPr>
        <w:t xml:space="preserve">and </w:t>
      </w:r>
      <w:proofErr w:type="spellStart"/>
      <w:r w:rsidR="00881376">
        <w:rPr>
          <w:rFonts w:ascii="Arial" w:hAnsi="Arial" w:cs="Arial"/>
          <w:color w:val="242121"/>
          <w:sz w:val="24"/>
          <w:szCs w:val="24"/>
          <w:shd w:val="clear" w:color="auto" w:fill="FFFFFF"/>
        </w:rPr>
        <w:t>Frans</w:t>
      </w:r>
      <w:proofErr w:type="spellEnd"/>
      <w:r w:rsidR="00881376">
        <w:rPr>
          <w:rFonts w:ascii="Arial" w:hAnsi="Arial" w:cs="Arial"/>
          <w:color w:val="242121"/>
          <w:sz w:val="24"/>
          <w:szCs w:val="24"/>
          <w:shd w:val="clear" w:color="auto" w:fill="FFFFFF"/>
        </w:rPr>
        <w:t xml:space="preserve"> </w:t>
      </w:r>
      <w:r w:rsidR="00305194">
        <w:rPr>
          <w:rFonts w:ascii="Arial" w:hAnsi="Arial" w:cs="Arial"/>
          <w:color w:val="242121"/>
          <w:sz w:val="24"/>
          <w:szCs w:val="24"/>
          <w:shd w:val="clear" w:color="auto" w:fill="FFFFFF"/>
        </w:rPr>
        <w:t>had to vacate the immovable property due to the acrimony between the 2</w:t>
      </w:r>
      <w:r w:rsidR="00305194" w:rsidRPr="00305194">
        <w:rPr>
          <w:rFonts w:ascii="Arial" w:hAnsi="Arial" w:cs="Arial"/>
          <w:color w:val="242121"/>
          <w:sz w:val="24"/>
          <w:szCs w:val="24"/>
          <w:shd w:val="clear" w:color="auto" w:fill="FFFFFF"/>
          <w:vertAlign w:val="superscript"/>
        </w:rPr>
        <w:t>nd</w:t>
      </w:r>
      <w:r w:rsidR="00305194">
        <w:rPr>
          <w:rFonts w:ascii="Arial" w:hAnsi="Arial" w:cs="Arial"/>
          <w:color w:val="242121"/>
          <w:sz w:val="24"/>
          <w:szCs w:val="24"/>
          <w:shd w:val="clear" w:color="auto" w:fill="FFFFFF"/>
        </w:rPr>
        <w:t xml:space="preserve"> applicant’s family and </w:t>
      </w:r>
      <w:r w:rsidR="00CF2D81">
        <w:rPr>
          <w:rFonts w:ascii="Arial" w:hAnsi="Arial" w:cs="Arial"/>
          <w:color w:val="242121"/>
          <w:sz w:val="24"/>
          <w:szCs w:val="24"/>
          <w:shd w:val="clear" w:color="auto" w:fill="FFFFFF"/>
        </w:rPr>
        <w:t xml:space="preserve">him, and the two of them </w:t>
      </w:r>
      <w:r w:rsidR="00881376">
        <w:rPr>
          <w:rFonts w:ascii="Arial" w:hAnsi="Arial" w:cs="Arial"/>
          <w:color w:val="242121"/>
          <w:sz w:val="24"/>
          <w:szCs w:val="24"/>
          <w:shd w:val="clear" w:color="auto" w:fill="FFFFFF"/>
        </w:rPr>
        <w:t xml:space="preserve">had to </w:t>
      </w:r>
      <w:r w:rsidR="00305194">
        <w:rPr>
          <w:rFonts w:ascii="Arial" w:hAnsi="Arial" w:cs="Arial"/>
          <w:color w:val="242121"/>
          <w:sz w:val="24"/>
          <w:szCs w:val="24"/>
          <w:shd w:val="clear" w:color="auto" w:fill="FFFFFF"/>
        </w:rPr>
        <w:t>rent other suitable accommodation</w:t>
      </w:r>
      <w:r w:rsidR="00CF2D81">
        <w:rPr>
          <w:rFonts w:ascii="Arial" w:hAnsi="Arial" w:cs="Arial"/>
          <w:color w:val="242121"/>
          <w:sz w:val="24"/>
          <w:szCs w:val="24"/>
          <w:shd w:val="clear" w:color="auto" w:fill="FFFFFF"/>
        </w:rPr>
        <w:t xml:space="preserve">. </w:t>
      </w:r>
      <w:r w:rsidR="00305194">
        <w:rPr>
          <w:rFonts w:ascii="Arial" w:hAnsi="Arial" w:cs="Arial"/>
          <w:color w:val="242121"/>
          <w:sz w:val="24"/>
          <w:szCs w:val="24"/>
          <w:shd w:val="clear" w:color="auto" w:fill="FFFFFF"/>
        </w:rPr>
        <w:t>The 1</w:t>
      </w:r>
      <w:r w:rsidR="00305194" w:rsidRPr="00305194">
        <w:rPr>
          <w:rFonts w:ascii="Arial" w:hAnsi="Arial" w:cs="Arial"/>
          <w:color w:val="242121"/>
          <w:sz w:val="24"/>
          <w:szCs w:val="24"/>
          <w:shd w:val="clear" w:color="auto" w:fill="FFFFFF"/>
          <w:vertAlign w:val="superscript"/>
        </w:rPr>
        <w:t>st</w:t>
      </w:r>
      <w:r w:rsidR="00305194">
        <w:rPr>
          <w:rFonts w:ascii="Arial" w:hAnsi="Arial" w:cs="Arial"/>
          <w:color w:val="242121"/>
          <w:sz w:val="24"/>
          <w:szCs w:val="24"/>
          <w:shd w:val="clear" w:color="auto" w:fill="FFFFFF"/>
        </w:rPr>
        <w:t xml:space="preserve"> respondent </w:t>
      </w:r>
      <w:r>
        <w:rPr>
          <w:rFonts w:ascii="Arial" w:hAnsi="Arial" w:cs="Arial"/>
          <w:color w:val="242121"/>
          <w:sz w:val="24"/>
          <w:szCs w:val="24"/>
          <w:shd w:val="clear" w:color="auto" w:fill="FFFFFF"/>
        </w:rPr>
        <w:t>wanted to sell the immovable property</w:t>
      </w:r>
      <w:r w:rsidR="00D012CE">
        <w:rPr>
          <w:rFonts w:ascii="Arial" w:hAnsi="Arial" w:cs="Arial"/>
          <w:color w:val="242121"/>
          <w:sz w:val="24"/>
          <w:szCs w:val="24"/>
          <w:shd w:val="clear" w:color="auto" w:fill="FFFFFF"/>
        </w:rPr>
        <w:t>,</w:t>
      </w:r>
      <w:r w:rsidR="00305194">
        <w:rPr>
          <w:rFonts w:ascii="Arial" w:hAnsi="Arial" w:cs="Arial"/>
          <w:color w:val="242121"/>
          <w:sz w:val="24"/>
          <w:szCs w:val="24"/>
          <w:shd w:val="clear" w:color="auto" w:fill="FFFFFF"/>
        </w:rPr>
        <w:t xml:space="preserve"> yet the 2</w:t>
      </w:r>
      <w:r w:rsidR="00305194" w:rsidRPr="00305194">
        <w:rPr>
          <w:rFonts w:ascii="Arial" w:hAnsi="Arial" w:cs="Arial"/>
          <w:color w:val="242121"/>
          <w:sz w:val="24"/>
          <w:szCs w:val="24"/>
          <w:shd w:val="clear" w:color="auto" w:fill="FFFFFF"/>
          <w:vertAlign w:val="superscript"/>
        </w:rPr>
        <w:t>nd</w:t>
      </w:r>
      <w:r w:rsidR="00305194">
        <w:rPr>
          <w:rFonts w:ascii="Arial" w:hAnsi="Arial" w:cs="Arial"/>
          <w:color w:val="242121"/>
          <w:sz w:val="24"/>
          <w:szCs w:val="24"/>
          <w:shd w:val="clear" w:color="auto" w:fill="FFFFFF"/>
        </w:rPr>
        <w:t xml:space="preserve"> applicant and her family’s continued occupation of the immovable property made it impossible for him to do so. </w:t>
      </w:r>
      <w:r w:rsidR="00CF2D81">
        <w:rPr>
          <w:rFonts w:ascii="Arial" w:hAnsi="Arial" w:cs="Arial"/>
          <w:color w:val="242121"/>
          <w:sz w:val="24"/>
          <w:szCs w:val="24"/>
          <w:shd w:val="clear" w:color="auto" w:fill="FFFFFF"/>
        </w:rPr>
        <w:t>The 2</w:t>
      </w:r>
      <w:r w:rsidR="00CF2D81" w:rsidRPr="00CF2D81">
        <w:rPr>
          <w:rFonts w:ascii="Arial" w:hAnsi="Arial" w:cs="Arial"/>
          <w:color w:val="242121"/>
          <w:sz w:val="24"/>
          <w:szCs w:val="24"/>
          <w:shd w:val="clear" w:color="auto" w:fill="FFFFFF"/>
          <w:vertAlign w:val="superscript"/>
        </w:rPr>
        <w:t>nd</w:t>
      </w:r>
      <w:r w:rsidR="00CF2D81">
        <w:rPr>
          <w:rFonts w:ascii="Arial" w:hAnsi="Arial" w:cs="Arial"/>
          <w:color w:val="242121"/>
          <w:sz w:val="24"/>
          <w:szCs w:val="24"/>
          <w:shd w:val="clear" w:color="auto" w:fill="FFFFFF"/>
        </w:rPr>
        <w:t xml:space="preserve"> applicant and her family build another house on the immovable property without the 1</w:t>
      </w:r>
      <w:r w:rsidR="00CF2D81" w:rsidRPr="00CF2D81">
        <w:rPr>
          <w:rFonts w:ascii="Arial" w:hAnsi="Arial" w:cs="Arial"/>
          <w:color w:val="242121"/>
          <w:sz w:val="24"/>
          <w:szCs w:val="24"/>
          <w:shd w:val="clear" w:color="auto" w:fill="FFFFFF"/>
          <w:vertAlign w:val="superscript"/>
        </w:rPr>
        <w:t>st</w:t>
      </w:r>
      <w:r w:rsidR="00CF2D81">
        <w:rPr>
          <w:rFonts w:ascii="Arial" w:hAnsi="Arial" w:cs="Arial"/>
          <w:color w:val="242121"/>
          <w:sz w:val="24"/>
          <w:szCs w:val="24"/>
          <w:shd w:val="clear" w:color="auto" w:fill="FFFFFF"/>
        </w:rPr>
        <w:t xml:space="preserve"> respondent’s consent. </w:t>
      </w:r>
      <w:r w:rsidR="00305194">
        <w:rPr>
          <w:rFonts w:ascii="Arial" w:hAnsi="Arial" w:cs="Arial"/>
          <w:color w:val="242121"/>
          <w:sz w:val="24"/>
          <w:szCs w:val="24"/>
          <w:shd w:val="clear" w:color="auto" w:fill="FFFFFF"/>
        </w:rPr>
        <w:t>The 1</w:t>
      </w:r>
      <w:r w:rsidR="00305194" w:rsidRPr="00305194">
        <w:rPr>
          <w:rFonts w:ascii="Arial" w:hAnsi="Arial" w:cs="Arial"/>
          <w:color w:val="242121"/>
          <w:sz w:val="24"/>
          <w:szCs w:val="24"/>
          <w:shd w:val="clear" w:color="auto" w:fill="FFFFFF"/>
          <w:vertAlign w:val="superscript"/>
        </w:rPr>
        <w:t>st</w:t>
      </w:r>
      <w:r w:rsidR="00305194">
        <w:rPr>
          <w:rFonts w:ascii="Arial" w:hAnsi="Arial" w:cs="Arial"/>
          <w:color w:val="242121"/>
          <w:sz w:val="24"/>
          <w:szCs w:val="24"/>
          <w:shd w:val="clear" w:color="auto" w:fill="FFFFFF"/>
        </w:rPr>
        <w:t xml:space="preserve"> respondent </w:t>
      </w:r>
      <w:r w:rsidR="00147783">
        <w:rPr>
          <w:rFonts w:ascii="Arial" w:hAnsi="Arial" w:cs="Arial"/>
          <w:color w:val="242121"/>
          <w:sz w:val="24"/>
          <w:szCs w:val="24"/>
          <w:shd w:val="clear" w:color="auto" w:fill="FFFFFF"/>
        </w:rPr>
        <w:t xml:space="preserve">incurred the costs of </w:t>
      </w:r>
      <w:r w:rsidR="00305194">
        <w:rPr>
          <w:rFonts w:ascii="Arial" w:hAnsi="Arial" w:cs="Arial"/>
          <w:color w:val="242121"/>
          <w:sz w:val="24"/>
          <w:szCs w:val="24"/>
          <w:shd w:val="clear" w:color="auto" w:fill="FFFFFF"/>
        </w:rPr>
        <w:t>3 eviction applications</w:t>
      </w:r>
      <w:r w:rsidR="00881376">
        <w:rPr>
          <w:rFonts w:ascii="Arial" w:hAnsi="Arial" w:cs="Arial"/>
          <w:color w:val="242121"/>
          <w:sz w:val="24"/>
          <w:szCs w:val="24"/>
          <w:shd w:val="clear" w:color="auto" w:fill="FFFFFF"/>
        </w:rPr>
        <w:t xml:space="preserve"> </w:t>
      </w:r>
      <w:r w:rsidR="00147783">
        <w:rPr>
          <w:rFonts w:ascii="Arial" w:hAnsi="Arial" w:cs="Arial"/>
          <w:color w:val="242121"/>
          <w:sz w:val="24"/>
          <w:szCs w:val="24"/>
          <w:shd w:val="clear" w:color="auto" w:fill="FFFFFF"/>
        </w:rPr>
        <w:t xml:space="preserve">seeking to enforce his right to the immovable property that has been awarded to him after he lodged his claim to the immovable property. </w:t>
      </w:r>
      <w:r w:rsidR="000A5589">
        <w:rPr>
          <w:rFonts w:ascii="Arial" w:hAnsi="Arial" w:cs="Arial"/>
          <w:color w:val="242121"/>
          <w:sz w:val="24"/>
          <w:szCs w:val="24"/>
          <w:shd w:val="clear" w:color="auto" w:fill="FFFFFF"/>
        </w:rPr>
        <w:t>The 1</w:t>
      </w:r>
      <w:r w:rsidR="000A5589" w:rsidRPr="000A5589">
        <w:rPr>
          <w:rFonts w:ascii="Arial" w:hAnsi="Arial" w:cs="Arial"/>
          <w:color w:val="242121"/>
          <w:sz w:val="24"/>
          <w:szCs w:val="24"/>
          <w:shd w:val="clear" w:color="auto" w:fill="FFFFFF"/>
          <w:vertAlign w:val="superscript"/>
        </w:rPr>
        <w:t>st</w:t>
      </w:r>
      <w:r w:rsidR="000A5589">
        <w:rPr>
          <w:rFonts w:ascii="Arial" w:hAnsi="Arial" w:cs="Arial"/>
          <w:color w:val="242121"/>
          <w:sz w:val="24"/>
          <w:szCs w:val="24"/>
          <w:shd w:val="clear" w:color="auto" w:fill="FFFFFF"/>
        </w:rPr>
        <w:t xml:space="preserve"> respondent indicated that the 2</w:t>
      </w:r>
      <w:r w:rsidR="000A5589" w:rsidRPr="000A5589">
        <w:rPr>
          <w:rFonts w:ascii="Arial" w:hAnsi="Arial" w:cs="Arial"/>
          <w:color w:val="242121"/>
          <w:sz w:val="24"/>
          <w:szCs w:val="24"/>
          <w:shd w:val="clear" w:color="auto" w:fill="FFFFFF"/>
          <w:vertAlign w:val="superscript"/>
        </w:rPr>
        <w:t>nd</w:t>
      </w:r>
      <w:r w:rsidR="000A5589">
        <w:rPr>
          <w:rFonts w:ascii="Arial" w:hAnsi="Arial" w:cs="Arial"/>
          <w:color w:val="242121"/>
          <w:sz w:val="24"/>
          <w:szCs w:val="24"/>
          <w:shd w:val="clear" w:color="auto" w:fill="FFFFFF"/>
        </w:rPr>
        <w:t xml:space="preserve"> applicant and her family had had ample time and opportunity to challenge the appeal </w:t>
      </w:r>
      <w:proofErr w:type="gramStart"/>
      <w:r w:rsidR="000A5589">
        <w:rPr>
          <w:rFonts w:ascii="Arial" w:hAnsi="Arial" w:cs="Arial"/>
          <w:color w:val="242121"/>
          <w:sz w:val="24"/>
          <w:szCs w:val="24"/>
          <w:shd w:val="clear" w:color="auto" w:fill="FFFFFF"/>
        </w:rPr>
        <w:t>panel</w:t>
      </w:r>
      <w:r w:rsidR="004223F5">
        <w:rPr>
          <w:rFonts w:ascii="Arial" w:hAnsi="Arial" w:cs="Arial"/>
          <w:color w:val="242121"/>
          <w:sz w:val="24"/>
          <w:szCs w:val="24"/>
          <w:shd w:val="clear" w:color="auto" w:fill="FFFFFF"/>
        </w:rPr>
        <w:t>s</w:t>
      </w:r>
      <w:proofErr w:type="gramEnd"/>
      <w:r w:rsidR="004223F5">
        <w:rPr>
          <w:rFonts w:ascii="Arial" w:hAnsi="Arial" w:cs="Arial"/>
          <w:color w:val="242121"/>
          <w:sz w:val="24"/>
          <w:szCs w:val="24"/>
          <w:shd w:val="clear" w:color="auto" w:fill="FFFFFF"/>
        </w:rPr>
        <w:t xml:space="preserve"> judgment</w:t>
      </w:r>
      <w:r w:rsidR="00C711CA">
        <w:rPr>
          <w:rFonts w:ascii="Arial" w:hAnsi="Arial" w:cs="Arial"/>
          <w:color w:val="242121"/>
          <w:sz w:val="24"/>
          <w:szCs w:val="24"/>
          <w:shd w:val="clear" w:color="auto" w:fill="FFFFFF"/>
        </w:rPr>
        <w:t>,</w:t>
      </w:r>
      <w:r w:rsidR="004223F5">
        <w:rPr>
          <w:rFonts w:ascii="Arial" w:hAnsi="Arial" w:cs="Arial"/>
          <w:color w:val="242121"/>
          <w:sz w:val="24"/>
          <w:szCs w:val="24"/>
          <w:shd w:val="clear" w:color="auto" w:fill="FFFFFF"/>
        </w:rPr>
        <w:t xml:space="preserve"> </w:t>
      </w:r>
      <w:r w:rsidR="00A11A05">
        <w:rPr>
          <w:rFonts w:ascii="Arial" w:hAnsi="Arial" w:cs="Arial"/>
          <w:color w:val="242121"/>
          <w:sz w:val="24"/>
          <w:szCs w:val="24"/>
          <w:shd w:val="clear" w:color="auto" w:fill="FFFFFF"/>
        </w:rPr>
        <w:t>yet</w:t>
      </w:r>
      <w:r w:rsidR="00C711CA">
        <w:rPr>
          <w:rFonts w:ascii="Arial" w:hAnsi="Arial" w:cs="Arial"/>
          <w:color w:val="242121"/>
          <w:sz w:val="24"/>
          <w:szCs w:val="24"/>
          <w:shd w:val="clear" w:color="auto" w:fill="FFFFFF"/>
        </w:rPr>
        <w:t xml:space="preserve"> they had failed to do so. </w:t>
      </w:r>
    </w:p>
    <w:p w:rsidR="00D012CE" w:rsidRDefault="00D012CE" w:rsidP="00766CFA">
      <w:pPr>
        <w:spacing w:line="480" w:lineRule="auto"/>
        <w:jc w:val="both"/>
        <w:rPr>
          <w:rFonts w:ascii="Arial" w:hAnsi="Arial" w:cs="Arial"/>
          <w:color w:val="242121"/>
          <w:sz w:val="24"/>
          <w:szCs w:val="24"/>
          <w:shd w:val="clear" w:color="auto" w:fill="FFFFFF"/>
        </w:rPr>
      </w:pPr>
    </w:p>
    <w:p w:rsidR="00D012CE" w:rsidRDefault="00D012CE" w:rsidP="00BA1CB8">
      <w:pPr>
        <w:spacing w:line="480" w:lineRule="auto"/>
        <w:ind w:left="72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w:t>
      </w:r>
      <w:r w:rsidR="000A5589">
        <w:rPr>
          <w:rFonts w:ascii="Arial" w:hAnsi="Arial" w:cs="Arial"/>
          <w:color w:val="242121"/>
          <w:sz w:val="24"/>
          <w:szCs w:val="24"/>
          <w:shd w:val="clear" w:color="auto" w:fill="FFFFFF"/>
        </w:rPr>
        <w:t>7</w:t>
      </w:r>
      <w:r>
        <w:rPr>
          <w:rFonts w:ascii="Arial" w:hAnsi="Arial" w:cs="Arial"/>
          <w:color w:val="242121"/>
          <w:sz w:val="24"/>
          <w:szCs w:val="24"/>
          <w:shd w:val="clear" w:color="auto" w:fill="FFFFFF"/>
        </w:rPr>
        <w:t>]</w:t>
      </w:r>
      <w:r>
        <w:rPr>
          <w:rFonts w:ascii="Arial" w:hAnsi="Arial" w:cs="Arial"/>
          <w:color w:val="242121"/>
          <w:sz w:val="24"/>
          <w:szCs w:val="24"/>
          <w:shd w:val="clear" w:color="auto" w:fill="FFFFFF"/>
        </w:rPr>
        <w:tab/>
        <w:t xml:space="preserve">The option to take the decision of the appeal panel on review was </w:t>
      </w:r>
      <w:r w:rsidR="001E4D43">
        <w:rPr>
          <w:rFonts w:ascii="Arial" w:hAnsi="Arial" w:cs="Arial"/>
          <w:color w:val="242121"/>
          <w:sz w:val="24"/>
          <w:szCs w:val="24"/>
          <w:shd w:val="clear" w:color="auto" w:fill="FFFFFF"/>
        </w:rPr>
        <w:t xml:space="preserve">there </w:t>
      </w:r>
      <w:r>
        <w:rPr>
          <w:rFonts w:ascii="Arial" w:hAnsi="Arial" w:cs="Arial"/>
          <w:color w:val="242121"/>
          <w:sz w:val="24"/>
          <w:szCs w:val="24"/>
          <w:shd w:val="clear" w:color="auto" w:fill="FFFFFF"/>
        </w:rPr>
        <w:t>for the 2</w:t>
      </w:r>
      <w:r w:rsidRPr="00D012CE">
        <w:rPr>
          <w:rFonts w:ascii="Arial" w:hAnsi="Arial" w:cs="Arial"/>
          <w:color w:val="242121"/>
          <w:sz w:val="24"/>
          <w:szCs w:val="24"/>
          <w:shd w:val="clear" w:color="auto" w:fill="FFFFFF"/>
          <w:vertAlign w:val="superscript"/>
        </w:rPr>
        <w:t>nd</w:t>
      </w:r>
      <w:r>
        <w:rPr>
          <w:rFonts w:ascii="Arial" w:hAnsi="Arial" w:cs="Arial"/>
          <w:color w:val="242121"/>
          <w:sz w:val="24"/>
          <w:szCs w:val="24"/>
          <w:shd w:val="clear" w:color="auto" w:fill="FFFFFF"/>
        </w:rPr>
        <w:t xml:space="preserve"> applicant and her family to </w:t>
      </w:r>
      <w:r w:rsidR="00147783">
        <w:rPr>
          <w:rFonts w:ascii="Arial" w:hAnsi="Arial" w:cs="Arial"/>
          <w:color w:val="242121"/>
          <w:sz w:val="24"/>
          <w:szCs w:val="24"/>
          <w:shd w:val="clear" w:color="auto" w:fill="FFFFFF"/>
        </w:rPr>
        <w:t xml:space="preserve">exercise if </w:t>
      </w:r>
      <w:r>
        <w:rPr>
          <w:rFonts w:ascii="Arial" w:hAnsi="Arial" w:cs="Arial"/>
          <w:color w:val="242121"/>
          <w:sz w:val="24"/>
          <w:szCs w:val="24"/>
          <w:shd w:val="clear" w:color="auto" w:fill="FFFFFF"/>
        </w:rPr>
        <w:t>they felt aggrieved by</w:t>
      </w:r>
      <w:r w:rsidR="00147783">
        <w:rPr>
          <w:rFonts w:ascii="Arial" w:hAnsi="Arial" w:cs="Arial"/>
          <w:color w:val="242121"/>
          <w:sz w:val="24"/>
          <w:szCs w:val="24"/>
          <w:shd w:val="clear" w:color="auto" w:fill="FFFFFF"/>
        </w:rPr>
        <w:t xml:space="preserve"> the appeal panel’s decision</w:t>
      </w:r>
      <w:r w:rsidR="001E4D43">
        <w:rPr>
          <w:rFonts w:ascii="Arial" w:hAnsi="Arial" w:cs="Arial"/>
          <w:color w:val="242121"/>
          <w:sz w:val="24"/>
          <w:szCs w:val="24"/>
          <w:shd w:val="clear" w:color="auto" w:fill="FFFFFF"/>
        </w:rPr>
        <w:t xml:space="preserve"> however </w:t>
      </w:r>
      <w:r w:rsidR="00F04D98">
        <w:rPr>
          <w:rFonts w:ascii="Arial" w:hAnsi="Arial" w:cs="Arial"/>
          <w:color w:val="242121"/>
          <w:sz w:val="24"/>
          <w:szCs w:val="24"/>
          <w:shd w:val="clear" w:color="auto" w:fill="FFFFFF"/>
        </w:rPr>
        <w:t>this</w:t>
      </w:r>
      <w:r w:rsidR="001E4D43">
        <w:rPr>
          <w:rFonts w:ascii="Arial" w:hAnsi="Arial" w:cs="Arial"/>
          <w:color w:val="242121"/>
          <w:sz w:val="24"/>
          <w:szCs w:val="24"/>
          <w:shd w:val="clear" w:color="auto" w:fill="FFFFFF"/>
        </w:rPr>
        <w:t xml:space="preserve"> option </w:t>
      </w:r>
      <w:r w:rsidR="00CB082F">
        <w:rPr>
          <w:rFonts w:ascii="Arial" w:hAnsi="Arial" w:cs="Arial"/>
          <w:color w:val="242121"/>
          <w:sz w:val="24"/>
          <w:szCs w:val="24"/>
          <w:shd w:val="clear" w:color="auto" w:fill="FFFFFF"/>
        </w:rPr>
        <w:t xml:space="preserve">must be exercised within a reasonable time. </w:t>
      </w:r>
      <w:r w:rsidR="00F04D98">
        <w:rPr>
          <w:rFonts w:ascii="Arial" w:hAnsi="Arial" w:cs="Arial"/>
          <w:color w:val="242121"/>
          <w:sz w:val="24"/>
          <w:szCs w:val="24"/>
          <w:shd w:val="clear" w:color="auto" w:fill="FFFFFF"/>
        </w:rPr>
        <w:t>The 2</w:t>
      </w:r>
      <w:r w:rsidR="00F04D98" w:rsidRPr="00F04D98">
        <w:rPr>
          <w:rFonts w:ascii="Arial" w:hAnsi="Arial" w:cs="Arial"/>
          <w:color w:val="242121"/>
          <w:sz w:val="24"/>
          <w:szCs w:val="24"/>
          <w:shd w:val="clear" w:color="auto" w:fill="FFFFFF"/>
          <w:vertAlign w:val="superscript"/>
        </w:rPr>
        <w:t>nd</w:t>
      </w:r>
      <w:r w:rsidR="00F04D98">
        <w:rPr>
          <w:rFonts w:ascii="Arial" w:hAnsi="Arial" w:cs="Arial"/>
          <w:color w:val="242121"/>
          <w:sz w:val="24"/>
          <w:szCs w:val="24"/>
          <w:shd w:val="clear" w:color="auto" w:fill="FFFFFF"/>
        </w:rPr>
        <w:t xml:space="preserve"> applicant was aware of the time limits imposed on review applications as she and </w:t>
      </w:r>
      <w:proofErr w:type="spellStart"/>
      <w:r w:rsidR="00F04D98">
        <w:rPr>
          <w:rFonts w:ascii="Arial" w:hAnsi="Arial" w:cs="Arial"/>
          <w:color w:val="242121"/>
          <w:sz w:val="24"/>
          <w:szCs w:val="24"/>
          <w:shd w:val="clear" w:color="auto" w:fill="FFFFFF"/>
        </w:rPr>
        <w:t>Malefetsane</w:t>
      </w:r>
      <w:proofErr w:type="spellEnd"/>
      <w:r w:rsidR="00F04D98">
        <w:rPr>
          <w:rFonts w:ascii="Arial" w:hAnsi="Arial" w:cs="Arial"/>
          <w:color w:val="242121"/>
          <w:sz w:val="24"/>
          <w:szCs w:val="24"/>
          <w:shd w:val="clear" w:color="auto" w:fill="FFFFFF"/>
        </w:rPr>
        <w:t xml:space="preserve"> had to address </w:t>
      </w:r>
      <w:r w:rsidR="00CF2D81">
        <w:rPr>
          <w:rFonts w:ascii="Arial" w:hAnsi="Arial" w:cs="Arial"/>
          <w:color w:val="242121"/>
          <w:sz w:val="24"/>
          <w:szCs w:val="24"/>
          <w:shd w:val="clear" w:color="auto" w:fill="FFFFFF"/>
        </w:rPr>
        <w:t xml:space="preserve">the aspect of </w:t>
      </w:r>
      <w:proofErr w:type="spellStart"/>
      <w:r w:rsidR="00F04D98">
        <w:rPr>
          <w:rFonts w:ascii="Arial" w:hAnsi="Arial" w:cs="Arial"/>
          <w:color w:val="242121"/>
          <w:sz w:val="24"/>
          <w:szCs w:val="24"/>
          <w:shd w:val="clear" w:color="auto" w:fill="FFFFFF"/>
        </w:rPr>
        <w:t>condonation</w:t>
      </w:r>
      <w:proofErr w:type="spellEnd"/>
      <w:r w:rsidR="00633D6D">
        <w:rPr>
          <w:rFonts w:ascii="Arial" w:hAnsi="Arial" w:cs="Arial"/>
          <w:color w:val="242121"/>
          <w:sz w:val="24"/>
          <w:szCs w:val="24"/>
          <w:shd w:val="clear" w:color="auto" w:fill="FFFFFF"/>
        </w:rPr>
        <w:t xml:space="preserve"> in the </w:t>
      </w:r>
      <w:r w:rsidR="00CB082F">
        <w:rPr>
          <w:rFonts w:ascii="Arial" w:hAnsi="Arial" w:cs="Arial"/>
          <w:color w:val="242121"/>
          <w:sz w:val="24"/>
          <w:szCs w:val="24"/>
          <w:shd w:val="clear" w:color="auto" w:fill="FFFFFF"/>
        </w:rPr>
        <w:t>1</w:t>
      </w:r>
      <w:r w:rsidR="00CB082F" w:rsidRPr="00CB082F">
        <w:rPr>
          <w:rFonts w:ascii="Arial" w:hAnsi="Arial" w:cs="Arial"/>
          <w:color w:val="242121"/>
          <w:sz w:val="24"/>
          <w:szCs w:val="24"/>
          <w:shd w:val="clear" w:color="auto" w:fill="FFFFFF"/>
          <w:vertAlign w:val="superscript"/>
        </w:rPr>
        <w:t>st</w:t>
      </w:r>
      <w:r w:rsidR="00CB082F">
        <w:rPr>
          <w:rFonts w:ascii="Arial" w:hAnsi="Arial" w:cs="Arial"/>
          <w:color w:val="242121"/>
          <w:sz w:val="24"/>
          <w:szCs w:val="24"/>
          <w:shd w:val="clear" w:color="auto" w:fill="FFFFFF"/>
        </w:rPr>
        <w:t xml:space="preserve"> </w:t>
      </w:r>
      <w:r w:rsidR="00633D6D">
        <w:rPr>
          <w:rFonts w:ascii="Arial" w:hAnsi="Arial" w:cs="Arial"/>
          <w:color w:val="242121"/>
          <w:sz w:val="24"/>
          <w:szCs w:val="24"/>
          <w:shd w:val="clear" w:color="auto" w:fill="FFFFFF"/>
        </w:rPr>
        <w:t>review application</w:t>
      </w:r>
      <w:r w:rsidR="00CB082F">
        <w:rPr>
          <w:rFonts w:ascii="Arial" w:hAnsi="Arial" w:cs="Arial"/>
          <w:color w:val="242121"/>
          <w:sz w:val="24"/>
          <w:szCs w:val="24"/>
          <w:shd w:val="clear" w:color="auto" w:fill="FFFFFF"/>
        </w:rPr>
        <w:t xml:space="preserve"> brought in 2009</w:t>
      </w:r>
      <w:r w:rsidR="00F04D98">
        <w:rPr>
          <w:rFonts w:ascii="Arial" w:hAnsi="Arial" w:cs="Arial"/>
          <w:color w:val="242121"/>
          <w:sz w:val="24"/>
          <w:szCs w:val="24"/>
          <w:shd w:val="clear" w:color="auto" w:fill="FFFFFF"/>
        </w:rPr>
        <w:t xml:space="preserve">. </w:t>
      </w:r>
      <w:r w:rsidR="00633D6D">
        <w:rPr>
          <w:rFonts w:ascii="Arial" w:hAnsi="Arial" w:cs="Arial"/>
          <w:color w:val="242121"/>
          <w:sz w:val="24"/>
          <w:szCs w:val="24"/>
          <w:shd w:val="clear" w:color="auto" w:fill="FFFFFF"/>
        </w:rPr>
        <w:t>The 2</w:t>
      </w:r>
      <w:r w:rsidR="00633D6D" w:rsidRPr="00633D6D">
        <w:rPr>
          <w:rFonts w:ascii="Arial" w:hAnsi="Arial" w:cs="Arial"/>
          <w:color w:val="242121"/>
          <w:sz w:val="24"/>
          <w:szCs w:val="24"/>
          <w:shd w:val="clear" w:color="auto" w:fill="FFFFFF"/>
          <w:vertAlign w:val="superscript"/>
        </w:rPr>
        <w:t>nd</w:t>
      </w:r>
      <w:r w:rsidR="00633D6D">
        <w:rPr>
          <w:rFonts w:ascii="Arial" w:hAnsi="Arial" w:cs="Arial"/>
          <w:color w:val="242121"/>
          <w:sz w:val="24"/>
          <w:szCs w:val="24"/>
          <w:shd w:val="clear" w:color="auto" w:fill="FFFFFF"/>
        </w:rPr>
        <w:t xml:space="preserve"> applicant has failed to </w:t>
      </w:r>
      <w:r w:rsidR="00CF2D81">
        <w:rPr>
          <w:rFonts w:ascii="Arial" w:hAnsi="Arial" w:cs="Arial"/>
          <w:color w:val="242121"/>
          <w:sz w:val="24"/>
          <w:szCs w:val="24"/>
          <w:shd w:val="clear" w:color="auto" w:fill="FFFFFF"/>
        </w:rPr>
        <w:t xml:space="preserve">adequately </w:t>
      </w:r>
      <w:r w:rsidR="00633D6D">
        <w:rPr>
          <w:rFonts w:ascii="Arial" w:hAnsi="Arial" w:cs="Arial"/>
          <w:color w:val="242121"/>
          <w:sz w:val="24"/>
          <w:szCs w:val="24"/>
          <w:shd w:val="clear" w:color="auto" w:fill="FFFFFF"/>
        </w:rPr>
        <w:t>explain why, when it became evident that the 1</w:t>
      </w:r>
      <w:r w:rsidR="00633D6D" w:rsidRPr="00633D6D">
        <w:rPr>
          <w:rFonts w:ascii="Arial" w:hAnsi="Arial" w:cs="Arial"/>
          <w:color w:val="242121"/>
          <w:sz w:val="24"/>
          <w:szCs w:val="24"/>
          <w:shd w:val="clear" w:color="auto" w:fill="FFFFFF"/>
          <w:vertAlign w:val="superscript"/>
        </w:rPr>
        <w:t>st</w:t>
      </w:r>
      <w:r w:rsidR="00633D6D">
        <w:rPr>
          <w:rFonts w:ascii="Arial" w:hAnsi="Arial" w:cs="Arial"/>
          <w:color w:val="242121"/>
          <w:sz w:val="24"/>
          <w:szCs w:val="24"/>
          <w:shd w:val="clear" w:color="auto" w:fill="FFFFFF"/>
        </w:rPr>
        <w:t xml:space="preserve"> respondent was not going to abide by the terms of the </w:t>
      </w:r>
      <w:r w:rsidR="00CB082F">
        <w:rPr>
          <w:rFonts w:ascii="Arial" w:hAnsi="Arial" w:cs="Arial"/>
          <w:color w:val="242121"/>
          <w:sz w:val="24"/>
          <w:szCs w:val="24"/>
          <w:shd w:val="clear" w:color="auto" w:fill="FFFFFF"/>
        </w:rPr>
        <w:t xml:space="preserve">disputed </w:t>
      </w:r>
      <w:r w:rsidR="00633D6D">
        <w:rPr>
          <w:rFonts w:ascii="Arial" w:hAnsi="Arial" w:cs="Arial"/>
          <w:color w:val="242121"/>
          <w:sz w:val="24"/>
          <w:szCs w:val="24"/>
          <w:shd w:val="clear" w:color="auto" w:fill="FFFFFF"/>
        </w:rPr>
        <w:t xml:space="preserve">settlement agreement, did they not </w:t>
      </w:r>
      <w:r w:rsidR="00806BF3">
        <w:rPr>
          <w:rFonts w:ascii="Arial" w:hAnsi="Arial" w:cs="Arial"/>
          <w:color w:val="242121"/>
          <w:sz w:val="24"/>
          <w:szCs w:val="24"/>
          <w:shd w:val="clear" w:color="auto" w:fill="FFFFFF"/>
        </w:rPr>
        <w:t xml:space="preserve">see to it that their instructions to proceed with the </w:t>
      </w:r>
      <w:r w:rsidR="00CB082F">
        <w:rPr>
          <w:rFonts w:ascii="Arial" w:hAnsi="Arial" w:cs="Arial"/>
          <w:color w:val="242121"/>
          <w:sz w:val="24"/>
          <w:szCs w:val="24"/>
          <w:shd w:val="clear" w:color="auto" w:fill="FFFFFF"/>
        </w:rPr>
        <w:t>2</w:t>
      </w:r>
      <w:r w:rsidR="00CB082F" w:rsidRPr="00CB082F">
        <w:rPr>
          <w:rFonts w:ascii="Arial" w:hAnsi="Arial" w:cs="Arial"/>
          <w:color w:val="242121"/>
          <w:sz w:val="24"/>
          <w:szCs w:val="24"/>
          <w:shd w:val="clear" w:color="auto" w:fill="FFFFFF"/>
          <w:vertAlign w:val="superscript"/>
        </w:rPr>
        <w:t>nd</w:t>
      </w:r>
      <w:r w:rsidR="00CB082F">
        <w:rPr>
          <w:rFonts w:ascii="Arial" w:hAnsi="Arial" w:cs="Arial"/>
          <w:color w:val="242121"/>
          <w:sz w:val="24"/>
          <w:szCs w:val="24"/>
          <w:shd w:val="clear" w:color="auto" w:fill="FFFFFF"/>
        </w:rPr>
        <w:t xml:space="preserve"> </w:t>
      </w:r>
      <w:r w:rsidR="00633D6D">
        <w:rPr>
          <w:rFonts w:ascii="Arial" w:hAnsi="Arial" w:cs="Arial"/>
          <w:color w:val="242121"/>
          <w:sz w:val="24"/>
          <w:szCs w:val="24"/>
          <w:shd w:val="clear" w:color="auto" w:fill="FFFFFF"/>
        </w:rPr>
        <w:t xml:space="preserve">review application </w:t>
      </w:r>
      <w:r w:rsidR="00806BF3">
        <w:rPr>
          <w:rFonts w:ascii="Arial" w:hAnsi="Arial" w:cs="Arial"/>
          <w:color w:val="242121"/>
          <w:sz w:val="24"/>
          <w:szCs w:val="24"/>
          <w:shd w:val="clear" w:color="auto" w:fill="FFFFFF"/>
        </w:rPr>
        <w:t xml:space="preserve">was properly executed </w:t>
      </w:r>
      <w:r w:rsidR="00633D6D">
        <w:rPr>
          <w:rFonts w:ascii="Arial" w:hAnsi="Arial" w:cs="Arial"/>
          <w:color w:val="242121"/>
          <w:sz w:val="24"/>
          <w:szCs w:val="24"/>
          <w:shd w:val="clear" w:color="auto" w:fill="FFFFFF"/>
        </w:rPr>
        <w:t xml:space="preserve">or an order to enforce the </w:t>
      </w:r>
      <w:r w:rsidR="00806BF3">
        <w:rPr>
          <w:rFonts w:ascii="Arial" w:hAnsi="Arial" w:cs="Arial"/>
          <w:color w:val="242121"/>
          <w:sz w:val="24"/>
          <w:szCs w:val="24"/>
          <w:shd w:val="clear" w:color="auto" w:fill="FFFFFF"/>
        </w:rPr>
        <w:t>disputed</w:t>
      </w:r>
      <w:r w:rsidR="00633D6D">
        <w:rPr>
          <w:rFonts w:ascii="Arial" w:hAnsi="Arial" w:cs="Arial"/>
          <w:color w:val="242121"/>
          <w:sz w:val="24"/>
          <w:szCs w:val="24"/>
          <w:shd w:val="clear" w:color="auto" w:fill="FFFFFF"/>
        </w:rPr>
        <w:t xml:space="preserve"> settlement agreement</w:t>
      </w:r>
      <w:r w:rsidR="00806BF3">
        <w:rPr>
          <w:rFonts w:ascii="Arial" w:hAnsi="Arial" w:cs="Arial"/>
          <w:color w:val="242121"/>
          <w:sz w:val="24"/>
          <w:szCs w:val="24"/>
          <w:shd w:val="clear" w:color="auto" w:fill="FFFFFF"/>
        </w:rPr>
        <w:t xml:space="preserve"> was obtained</w:t>
      </w:r>
      <w:r w:rsidR="00633D6D">
        <w:rPr>
          <w:rFonts w:ascii="Arial" w:hAnsi="Arial" w:cs="Arial"/>
          <w:color w:val="242121"/>
          <w:sz w:val="24"/>
          <w:szCs w:val="24"/>
          <w:shd w:val="clear" w:color="auto" w:fill="FFFFFF"/>
        </w:rPr>
        <w:t xml:space="preserve">. </w:t>
      </w:r>
      <w:r w:rsidR="00F04D98">
        <w:rPr>
          <w:rFonts w:ascii="Arial" w:hAnsi="Arial" w:cs="Arial"/>
          <w:color w:val="242121"/>
          <w:sz w:val="24"/>
          <w:szCs w:val="24"/>
          <w:shd w:val="clear" w:color="auto" w:fill="FFFFFF"/>
        </w:rPr>
        <w:t xml:space="preserve"> </w:t>
      </w:r>
      <w:r w:rsidR="001E4D43">
        <w:rPr>
          <w:rFonts w:ascii="Arial" w:hAnsi="Arial" w:cs="Arial"/>
          <w:color w:val="242121"/>
          <w:sz w:val="24"/>
          <w:szCs w:val="24"/>
          <w:shd w:val="clear" w:color="auto" w:fill="FFFFFF"/>
        </w:rPr>
        <w:t xml:space="preserve"> </w:t>
      </w:r>
    </w:p>
    <w:p w:rsidR="0026627E" w:rsidRDefault="0026627E" w:rsidP="00766CFA">
      <w:pPr>
        <w:spacing w:line="480" w:lineRule="auto"/>
        <w:jc w:val="both"/>
        <w:rPr>
          <w:rFonts w:ascii="Arial" w:hAnsi="Arial" w:cs="Arial"/>
          <w:color w:val="242121"/>
          <w:sz w:val="24"/>
          <w:szCs w:val="24"/>
          <w:shd w:val="clear" w:color="auto" w:fill="FFFFFF"/>
        </w:rPr>
      </w:pPr>
    </w:p>
    <w:p w:rsidR="0026627E" w:rsidRPr="002474F0" w:rsidRDefault="00241595" w:rsidP="00BA1CB8">
      <w:pPr>
        <w:spacing w:line="480" w:lineRule="auto"/>
        <w:ind w:left="72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w:t>
      </w:r>
      <w:r w:rsidR="000A5589">
        <w:rPr>
          <w:rFonts w:ascii="Arial" w:hAnsi="Arial" w:cs="Arial"/>
          <w:color w:val="242121"/>
          <w:sz w:val="24"/>
          <w:szCs w:val="24"/>
          <w:shd w:val="clear" w:color="auto" w:fill="FFFFFF"/>
        </w:rPr>
        <w:t>8</w:t>
      </w:r>
      <w:r>
        <w:rPr>
          <w:rFonts w:ascii="Arial" w:hAnsi="Arial" w:cs="Arial"/>
          <w:color w:val="242121"/>
          <w:sz w:val="24"/>
          <w:szCs w:val="24"/>
          <w:shd w:val="clear" w:color="auto" w:fill="FFFFFF"/>
        </w:rPr>
        <w:t>]</w:t>
      </w:r>
      <w:r>
        <w:rPr>
          <w:rFonts w:ascii="Arial" w:hAnsi="Arial" w:cs="Arial"/>
          <w:color w:val="242121"/>
          <w:sz w:val="24"/>
          <w:szCs w:val="24"/>
          <w:shd w:val="clear" w:color="auto" w:fill="FFFFFF"/>
        </w:rPr>
        <w:tab/>
      </w:r>
      <w:r w:rsidR="00217A43">
        <w:rPr>
          <w:rFonts w:ascii="Arial" w:hAnsi="Arial" w:cs="Arial"/>
          <w:color w:val="242121"/>
          <w:sz w:val="24"/>
          <w:szCs w:val="24"/>
          <w:shd w:val="clear" w:color="auto" w:fill="FFFFFF"/>
        </w:rPr>
        <w:t xml:space="preserve">As was alluded to by Nugent JA in the </w:t>
      </w:r>
      <w:proofErr w:type="spellStart"/>
      <w:r w:rsidR="00217A43">
        <w:rPr>
          <w:rFonts w:ascii="Arial" w:hAnsi="Arial" w:cs="Arial"/>
          <w:color w:val="242121"/>
          <w:sz w:val="24"/>
          <w:szCs w:val="24"/>
          <w:shd w:val="clear" w:color="auto" w:fill="FFFFFF"/>
        </w:rPr>
        <w:t>Gqwetha</w:t>
      </w:r>
      <w:proofErr w:type="spellEnd"/>
      <w:r w:rsidR="00217A43">
        <w:rPr>
          <w:rFonts w:ascii="Arial" w:hAnsi="Arial" w:cs="Arial"/>
          <w:color w:val="242121"/>
          <w:sz w:val="24"/>
          <w:szCs w:val="24"/>
          <w:shd w:val="clear" w:color="auto" w:fill="FFFFFF"/>
        </w:rPr>
        <w:t xml:space="preserve"> matter, the decision </w:t>
      </w:r>
      <w:r w:rsidR="00475F8F">
        <w:rPr>
          <w:rFonts w:ascii="Arial" w:hAnsi="Arial" w:cs="Arial"/>
          <w:color w:val="242121"/>
          <w:sz w:val="24"/>
          <w:szCs w:val="24"/>
          <w:shd w:val="clear" w:color="auto" w:fill="FFFFFF"/>
        </w:rPr>
        <w:t xml:space="preserve">to take public bodies decisions on review must be done </w:t>
      </w:r>
      <w:r w:rsidR="00217A43">
        <w:rPr>
          <w:rFonts w:ascii="Arial" w:hAnsi="Arial" w:cs="Arial"/>
          <w:color w:val="242121"/>
          <w:sz w:val="24"/>
          <w:szCs w:val="24"/>
          <w:shd w:val="clear" w:color="auto" w:fill="FFFFFF"/>
        </w:rPr>
        <w:t>without undue delay as it has the potential to cause prejudice</w:t>
      </w:r>
      <w:r w:rsidR="003F50F8">
        <w:rPr>
          <w:rFonts w:ascii="Arial" w:hAnsi="Arial" w:cs="Arial"/>
          <w:color w:val="242121"/>
          <w:sz w:val="24"/>
          <w:szCs w:val="24"/>
          <w:shd w:val="clear" w:color="auto" w:fill="FFFFFF"/>
        </w:rPr>
        <w:t>.</w:t>
      </w:r>
      <w:r w:rsidR="00475F8F">
        <w:rPr>
          <w:rFonts w:ascii="Arial" w:hAnsi="Arial" w:cs="Arial"/>
          <w:color w:val="242121"/>
          <w:sz w:val="24"/>
          <w:szCs w:val="24"/>
          <w:shd w:val="clear" w:color="auto" w:fill="FFFFFF"/>
        </w:rPr>
        <w:t xml:space="preserve"> </w:t>
      </w:r>
    </w:p>
    <w:p w:rsidR="00766CFA" w:rsidRDefault="00942EF0" w:rsidP="00DA242D">
      <w:pPr>
        <w:spacing w:line="480" w:lineRule="auto"/>
        <w:jc w:val="both"/>
        <w:rPr>
          <w:rFonts w:ascii="Arial" w:hAnsi="Arial" w:cs="Arial"/>
          <w:sz w:val="24"/>
          <w:szCs w:val="24"/>
        </w:rPr>
      </w:pPr>
      <w:r>
        <w:rPr>
          <w:rFonts w:ascii="Arial" w:hAnsi="Arial" w:cs="Arial"/>
          <w:color w:val="242121"/>
          <w:sz w:val="24"/>
          <w:szCs w:val="24"/>
          <w:shd w:val="clear" w:color="auto" w:fill="FFFFFF"/>
        </w:rPr>
        <w:t xml:space="preserve"> </w:t>
      </w:r>
    </w:p>
    <w:p w:rsidR="00766CFA" w:rsidRDefault="00E85227" w:rsidP="00BA1CB8">
      <w:pPr>
        <w:spacing w:line="480" w:lineRule="auto"/>
        <w:ind w:left="720" w:hanging="720"/>
        <w:jc w:val="both"/>
        <w:rPr>
          <w:rFonts w:ascii="Arial" w:hAnsi="Arial" w:cs="Arial"/>
          <w:sz w:val="24"/>
          <w:szCs w:val="24"/>
        </w:rPr>
      </w:pPr>
      <w:r>
        <w:rPr>
          <w:rFonts w:ascii="Arial" w:hAnsi="Arial" w:cs="Arial"/>
          <w:sz w:val="24"/>
          <w:szCs w:val="24"/>
        </w:rPr>
        <w:t>[</w:t>
      </w:r>
      <w:r w:rsidR="000A5589">
        <w:rPr>
          <w:rFonts w:ascii="Arial" w:hAnsi="Arial" w:cs="Arial"/>
          <w:sz w:val="24"/>
          <w:szCs w:val="24"/>
        </w:rPr>
        <w:t>49</w:t>
      </w:r>
      <w:r>
        <w:rPr>
          <w:rFonts w:ascii="Arial" w:hAnsi="Arial" w:cs="Arial"/>
          <w:sz w:val="24"/>
          <w:szCs w:val="24"/>
        </w:rPr>
        <w:t>]</w:t>
      </w:r>
      <w:r>
        <w:rPr>
          <w:rFonts w:ascii="Arial" w:hAnsi="Arial" w:cs="Arial"/>
          <w:sz w:val="24"/>
          <w:szCs w:val="24"/>
        </w:rPr>
        <w:tab/>
      </w:r>
      <w:r w:rsidR="00766CFA">
        <w:rPr>
          <w:rFonts w:ascii="Arial" w:hAnsi="Arial" w:cs="Arial"/>
          <w:sz w:val="24"/>
          <w:szCs w:val="24"/>
        </w:rPr>
        <w:t xml:space="preserve">As was pointed out by the applicant’s legal representative </w:t>
      </w:r>
      <w:r w:rsidR="001414C7">
        <w:rPr>
          <w:rFonts w:ascii="Arial" w:hAnsi="Arial" w:cs="Arial"/>
          <w:sz w:val="24"/>
          <w:szCs w:val="24"/>
        </w:rPr>
        <w:t xml:space="preserve">in the </w:t>
      </w:r>
      <w:r w:rsidR="00766CFA" w:rsidRPr="004B4FB8">
        <w:rPr>
          <w:rFonts w:ascii="Arial" w:hAnsi="Arial" w:cs="Arial"/>
          <w:sz w:val="24"/>
          <w:szCs w:val="24"/>
        </w:rPr>
        <w:t xml:space="preserve">Foster v Stewart </w:t>
      </w:r>
      <w:r w:rsidR="001414C7">
        <w:rPr>
          <w:rFonts w:ascii="Arial" w:hAnsi="Arial" w:cs="Arial"/>
          <w:sz w:val="24"/>
          <w:szCs w:val="24"/>
        </w:rPr>
        <w:t xml:space="preserve">matter. The </w:t>
      </w:r>
      <w:r w:rsidR="00766CFA" w:rsidRPr="004B4FB8">
        <w:rPr>
          <w:rFonts w:ascii="Arial" w:hAnsi="Arial" w:cs="Arial"/>
          <w:sz w:val="24"/>
          <w:szCs w:val="24"/>
        </w:rPr>
        <w:t xml:space="preserve">factors </w:t>
      </w:r>
      <w:r w:rsidR="001414C7">
        <w:rPr>
          <w:rFonts w:ascii="Arial" w:hAnsi="Arial" w:cs="Arial"/>
          <w:sz w:val="24"/>
          <w:szCs w:val="24"/>
        </w:rPr>
        <w:t xml:space="preserve">a court needs to weigh </w:t>
      </w:r>
      <w:r w:rsidR="00766CFA">
        <w:rPr>
          <w:rFonts w:ascii="Arial" w:hAnsi="Arial" w:cs="Arial"/>
          <w:sz w:val="24"/>
          <w:szCs w:val="24"/>
        </w:rPr>
        <w:t xml:space="preserve">are </w:t>
      </w:r>
      <w:r w:rsidR="00766CFA" w:rsidRPr="004B4FB8">
        <w:rPr>
          <w:rFonts w:ascii="Arial" w:hAnsi="Arial" w:cs="Arial"/>
          <w:sz w:val="24"/>
          <w:szCs w:val="24"/>
        </w:rPr>
        <w:t>not individually decisive but are interrelated and must be weighed against each other</w:t>
      </w:r>
      <w:r w:rsidR="001414C7">
        <w:rPr>
          <w:rFonts w:ascii="Arial" w:hAnsi="Arial" w:cs="Arial"/>
          <w:sz w:val="24"/>
          <w:szCs w:val="24"/>
        </w:rPr>
        <w:t xml:space="preserve"> and i</w:t>
      </w:r>
      <w:r w:rsidR="00766CFA" w:rsidRPr="004B4FB8">
        <w:rPr>
          <w:rFonts w:ascii="Arial" w:hAnsi="Arial" w:cs="Arial"/>
          <w:sz w:val="24"/>
          <w:szCs w:val="24"/>
        </w:rPr>
        <w:t xml:space="preserve">n weighing these factors for </w:t>
      </w:r>
      <w:proofErr w:type="gramStart"/>
      <w:r w:rsidR="00766CFA" w:rsidRPr="004B4FB8">
        <w:rPr>
          <w:rFonts w:ascii="Arial" w:hAnsi="Arial" w:cs="Arial"/>
          <w:sz w:val="24"/>
          <w:szCs w:val="24"/>
        </w:rPr>
        <w:t>instance,</w:t>
      </w:r>
      <w:proofErr w:type="gramEnd"/>
      <w:r w:rsidR="00766CFA" w:rsidRPr="004B4FB8">
        <w:rPr>
          <w:rFonts w:ascii="Arial" w:hAnsi="Arial" w:cs="Arial"/>
          <w:sz w:val="24"/>
          <w:szCs w:val="24"/>
        </w:rPr>
        <w:t xml:space="preserve"> a good explanation for the lateness may assist the applicant in compensating for weak prospects of success. Similarly, strong prospects of success may compensate the inadequate explanation and long delay.</w:t>
      </w:r>
      <w:r w:rsidR="001414C7">
        <w:rPr>
          <w:rFonts w:ascii="Arial" w:hAnsi="Arial" w:cs="Arial"/>
          <w:sz w:val="24"/>
          <w:szCs w:val="24"/>
        </w:rPr>
        <w:t xml:space="preserve"> </w:t>
      </w:r>
    </w:p>
    <w:p w:rsidR="004D30E6" w:rsidRDefault="004D30E6" w:rsidP="00DA242D">
      <w:pPr>
        <w:spacing w:line="480" w:lineRule="auto"/>
        <w:jc w:val="both"/>
        <w:rPr>
          <w:rFonts w:ascii="Arial" w:hAnsi="Arial" w:cs="Arial"/>
          <w:sz w:val="24"/>
          <w:szCs w:val="24"/>
        </w:rPr>
      </w:pPr>
    </w:p>
    <w:p w:rsidR="004D30E6" w:rsidRDefault="00096E62" w:rsidP="00BA1CB8">
      <w:pPr>
        <w:spacing w:line="480" w:lineRule="auto"/>
        <w:ind w:left="720" w:hanging="720"/>
        <w:jc w:val="both"/>
        <w:rPr>
          <w:rFonts w:ascii="Arial" w:hAnsi="Arial" w:cs="Arial"/>
          <w:sz w:val="24"/>
          <w:szCs w:val="24"/>
        </w:rPr>
      </w:pPr>
      <w:r>
        <w:rPr>
          <w:rFonts w:ascii="Arial" w:hAnsi="Arial" w:cs="Arial"/>
          <w:sz w:val="24"/>
          <w:szCs w:val="24"/>
        </w:rPr>
        <w:t>[50]</w:t>
      </w:r>
      <w:r>
        <w:rPr>
          <w:rFonts w:ascii="Arial" w:hAnsi="Arial" w:cs="Arial"/>
          <w:sz w:val="24"/>
          <w:szCs w:val="24"/>
        </w:rPr>
        <w:tab/>
      </w:r>
      <w:r w:rsidR="004D30E6">
        <w:rPr>
          <w:rFonts w:ascii="Arial" w:hAnsi="Arial" w:cs="Arial"/>
          <w:sz w:val="24"/>
          <w:szCs w:val="24"/>
        </w:rPr>
        <w:t xml:space="preserve">The appeal in this matter has been finalised in 2003. </w:t>
      </w:r>
      <w:r w:rsidR="009032B0">
        <w:rPr>
          <w:rFonts w:ascii="Arial" w:hAnsi="Arial" w:cs="Arial"/>
          <w:sz w:val="24"/>
          <w:szCs w:val="24"/>
        </w:rPr>
        <w:t>At the very least the 2</w:t>
      </w:r>
      <w:r w:rsidR="009032B0" w:rsidRPr="009032B0">
        <w:rPr>
          <w:rFonts w:ascii="Arial" w:hAnsi="Arial" w:cs="Arial"/>
          <w:sz w:val="24"/>
          <w:szCs w:val="24"/>
          <w:vertAlign w:val="superscript"/>
        </w:rPr>
        <w:t>nd</w:t>
      </w:r>
      <w:r w:rsidR="009032B0">
        <w:rPr>
          <w:rFonts w:ascii="Arial" w:hAnsi="Arial" w:cs="Arial"/>
          <w:sz w:val="24"/>
          <w:szCs w:val="24"/>
        </w:rPr>
        <w:t xml:space="preserve"> applicant had been aware of the 1</w:t>
      </w:r>
      <w:r w:rsidR="009032B0" w:rsidRPr="009032B0">
        <w:rPr>
          <w:rFonts w:ascii="Arial" w:hAnsi="Arial" w:cs="Arial"/>
          <w:sz w:val="24"/>
          <w:szCs w:val="24"/>
          <w:vertAlign w:val="superscript"/>
        </w:rPr>
        <w:t>st</w:t>
      </w:r>
      <w:r w:rsidR="009032B0">
        <w:rPr>
          <w:rFonts w:ascii="Arial" w:hAnsi="Arial" w:cs="Arial"/>
          <w:sz w:val="24"/>
          <w:szCs w:val="24"/>
        </w:rPr>
        <w:t xml:space="preserve"> </w:t>
      </w:r>
      <w:proofErr w:type="gramStart"/>
      <w:r w:rsidR="009032B0">
        <w:rPr>
          <w:rFonts w:ascii="Arial" w:hAnsi="Arial" w:cs="Arial"/>
          <w:sz w:val="24"/>
          <w:szCs w:val="24"/>
        </w:rPr>
        <w:t>respondents</w:t>
      </w:r>
      <w:proofErr w:type="gramEnd"/>
      <w:r w:rsidR="009032B0">
        <w:rPr>
          <w:rFonts w:ascii="Arial" w:hAnsi="Arial" w:cs="Arial"/>
          <w:sz w:val="24"/>
          <w:szCs w:val="24"/>
        </w:rPr>
        <w:t xml:space="preserve"> title to the immovable property since 2009 when the 1</w:t>
      </w:r>
      <w:r w:rsidR="009032B0" w:rsidRPr="009032B0">
        <w:rPr>
          <w:rFonts w:ascii="Arial" w:hAnsi="Arial" w:cs="Arial"/>
          <w:sz w:val="24"/>
          <w:szCs w:val="24"/>
          <w:vertAlign w:val="superscript"/>
        </w:rPr>
        <w:t>st</w:t>
      </w:r>
      <w:r w:rsidR="009032B0">
        <w:rPr>
          <w:rFonts w:ascii="Arial" w:hAnsi="Arial" w:cs="Arial"/>
          <w:sz w:val="24"/>
          <w:szCs w:val="24"/>
        </w:rPr>
        <w:t xml:space="preserve"> respondent launched the first eviction application. In 2017 </w:t>
      </w:r>
      <w:proofErr w:type="spellStart"/>
      <w:r w:rsidR="009032B0">
        <w:rPr>
          <w:rFonts w:ascii="Arial" w:hAnsi="Arial" w:cs="Arial"/>
          <w:sz w:val="24"/>
          <w:szCs w:val="24"/>
        </w:rPr>
        <w:t>Malefetsane</w:t>
      </w:r>
      <w:proofErr w:type="spellEnd"/>
      <w:r w:rsidR="009032B0">
        <w:rPr>
          <w:rFonts w:ascii="Arial" w:hAnsi="Arial" w:cs="Arial"/>
          <w:sz w:val="24"/>
          <w:szCs w:val="24"/>
        </w:rPr>
        <w:t xml:space="preserve"> passed away and the 2</w:t>
      </w:r>
      <w:r w:rsidR="009032B0" w:rsidRPr="009032B0">
        <w:rPr>
          <w:rFonts w:ascii="Arial" w:hAnsi="Arial" w:cs="Arial"/>
          <w:sz w:val="24"/>
          <w:szCs w:val="24"/>
          <w:vertAlign w:val="superscript"/>
        </w:rPr>
        <w:t>nd</w:t>
      </w:r>
      <w:r w:rsidR="009032B0">
        <w:rPr>
          <w:rFonts w:ascii="Arial" w:hAnsi="Arial" w:cs="Arial"/>
          <w:sz w:val="24"/>
          <w:szCs w:val="24"/>
        </w:rPr>
        <w:t xml:space="preserve"> applicant was appointed as executrix in May 2017. </w:t>
      </w:r>
      <w:r w:rsidR="00942EF0">
        <w:rPr>
          <w:rFonts w:ascii="Arial" w:hAnsi="Arial" w:cs="Arial"/>
          <w:sz w:val="24"/>
          <w:szCs w:val="24"/>
        </w:rPr>
        <w:t>The 2</w:t>
      </w:r>
      <w:r w:rsidR="00942EF0" w:rsidRPr="00942EF0">
        <w:rPr>
          <w:rFonts w:ascii="Arial" w:hAnsi="Arial" w:cs="Arial"/>
          <w:sz w:val="24"/>
          <w:szCs w:val="24"/>
          <w:vertAlign w:val="superscript"/>
        </w:rPr>
        <w:t>nd</w:t>
      </w:r>
      <w:r w:rsidR="00942EF0">
        <w:rPr>
          <w:rFonts w:ascii="Arial" w:hAnsi="Arial" w:cs="Arial"/>
          <w:sz w:val="24"/>
          <w:szCs w:val="24"/>
        </w:rPr>
        <w:t xml:space="preserve"> applicant signed her affidavit in October 2019. </w:t>
      </w:r>
    </w:p>
    <w:p w:rsidR="009032B0" w:rsidRDefault="009032B0" w:rsidP="00DA242D">
      <w:pPr>
        <w:spacing w:line="480" w:lineRule="auto"/>
        <w:jc w:val="both"/>
        <w:rPr>
          <w:rFonts w:ascii="Arial" w:hAnsi="Arial" w:cs="Arial"/>
          <w:sz w:val="24"/>
          <w:szCs w:val="24"/>
        </w:rPr>
      </w:pPr>
    </w:p>
    <w:p w:rsidR="00C80433" w:rsidRDefault="00C80433" w:rsidP="00BA1CB8">
      <w:pPr>
        <w:spacing w:line="480" w:lineRule="auto"/>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t xml:space="preserve">The delay in lodging the review application is excessive and the reasons advanced in explaining the delay are poor to say the very least. The </w:t>
      </w:r>
      <w:r w:rsidR="005E2CDC">
        <w:rPr>
          <w:rFonts w:ascii="Arial" w:hAnsi="Arial" w:cs="Arial"/>
          <w:sz w:val="24"/>
          <w:szCs w:val="24"/>
        </w:rPr>
        <w:t>applicants’</w:t>
      </w:r>
      <w:r>
        <w:rPr>
          <w:rFonts w:ascii="Arial" w:hAnsi="Arial" w:cs="Arial"/>
          <w:sz w:val="24"/>
          <w:szCs w:val="24"/>
        </w:rPr>
        <w:t xml:space="preserve"> prospects of success with the review </w:t>
      </w:r>
      <w:r w:rsidR="007449AB">
        <w:rPr>
          <w:rFonts w:ascii="Arial" w:hAnsi="Arial" w:cs="Arial"/>
          <w:sz w:val="24"/>
          <w:szCs w:val="24"/>
        </w:rPr>
        <w:t>are</w:t>
      </w:r>
      <w:r>
        <w:rPr>
          <w:rFonts w:ascii="Arial" w:hAnsi="Arial" w:cs="Arial"/>
          <w:sz w:val="24"/>
          <w:szCs w:val="24"/>
        </w:rPr>
        <w:t xml:space="preserve"> slight as prima facie it would appear that </w:t>
      </w:r>
      <w:proofErr w:type="spellStart"/>
      <w:r>
        <w:rPr>
          <w:rFonts w:ascii="Arial" w:hAnsi="Arial" w:cs="Arial"/>
          <w:sz w:val="24"/>
          <w:szCs w:val="24"/>
        </w:rPr>
        <w:t>Malefetsane</w:t>
      </w:r>
      <w:proofErr w:type="spellEnd"/>
      <w:r>
        <w:rPr>
          <w:rFonts w:ascii="Arial" w:hAnsi="Arial" w:cs="Arial"/>
          <w:sz w:val="24"/>
          <w:szCs w:val="24"/>
        </w:rPr>
        <w:t xml:space="preserve"> did have an opportunity to present his case to the appeal tribunal and same was considered. </w:t>
      </w:r>
    </w:p>
    <w:p w:rsidR="00C80433" w:rsidRDefault="00C80433" w:rsidP="00B05DBA">
      <w:pPr>
        <w:spacing w:line="480" w:lineRule="auto"/>
        <w:jc w:val="both"/>
        <w:rPr>
          <w:rFonts w:ascii="Arial" w:hAnsi="Arial" w:cs="Arial"/>
          <w:color w:val="242121"/>
          <w:sz w:val="24"/>
          <w:szCs w:val="24"/>
          <w:shd w:val="clear" w:color="auto" w:fill="FFFFFF"/>
        </w:rPr>
      </w:pPr>
    </w:p>
    <w:p w:rsidR="00C80433" w:rsidRDefault="00C80433" w:rsidP="00BA1CB8">
      <w:pPr>
        <w:spacing w:line="480" w:lineRule="auto"/>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t>Weighing all the fact</w:t>
      </w:r>
      <w:r w:rsidR="005E2CDC">
        <w:rPr>
          <w:rFonts w:ascii="Arial" w:hAnsi="Arial" w:cs="Arial"/>
          <w:sz w:val="24"/>
          <w:szCs w:val="24"/>
        </w:rPr>
        <w:t>or</w:t>
      </w:r>
      <w:r>
        <w:rPr>
          <w:rFonts w:ascii="Arial" w:hAnsi="Arial" w:cs="Arial"/>
          <w:sz w:val="24"/>
          <w:szCs w:val="24"/>
        </w:rPr>
        <w:t xml:space="preserve">s, the applicants have failed to make out a proper case for </w:t>
      </w:r>
      <w:proofErr w:type="spellStart"/>
      <w:r>
        <w:rPr>
          <w:rFonts w:ascii="Arial" w:hAnsi="Arial" w:cs="Arial"/>
          <w:sz w:val="24"/>
          <w:szCs w:val="24"/>
        </w:rPr>
        <w:t>condonation</w:t>
      </w:r>
      <w:proofErr w:type="spellEnd"/>
      <w:r>
        <w:rPr>
          <w:rFonts w:ascii="Arial" w:hAnsi="Arial" w:cs="Arial"/>
          <w:sz w:val="24"/>
          <w:szCs w:val="24"/>
        </w:rPr>
        <w:t xml:space="preserve"> and </w:t>
      </w:r>
      <w:proofErr w:type="spellStart"/>
      <w:r>
        <w:rPr>
          <w:rFonts w:ascii="Arial" w:hAnsi="Arial" w:cs="Arial"/>
          <w:sz w:val="24"/>
          <w:szCs w:val="24"/>
        </w:rPr>
        <w:t>condonation</w:t>
      </w:r>
      <w:proofErr w:type="spellEnd"/>
      <w:r>
        <w:rPr>
          <w:rFonts w:ascii="Arial" w:hAnsi="Arial" w:cs="Arial"/>
          <w:sz w:val="24"/>
          <w:szCs w:val="24"/>
        </w:rPr>
        <w:t xml:space="preserve"> is therefore refused. </w:t>
      </w:r>
    </w:p>
    <w:p w:rsidR="00C80433" w:rsidRDefault="00C80433" w:rsidP="00B05DBA">
      <w:pPr>
        <w:spacing w:line="480" w:lineRule="auto"/>
        <w:jc w:val="both"/>
        <w:rPr>
          <w:rFonts w:ascii="Arial" w:hAnsi="Arial" w:cs="Arial"/>
          <w:color w:val="242121"/>
          <w:sz w:val="24"/>
          <w:szCs w:val="24"/>
          <w:shd w:val="clear" w:color="auto" w:fill="FFFFFF"/>
        </w:rPr>
      </w:pPr>
    </w:p>
    <w:p w:rsidR="00316F0E" w:rsidRPr="009C3BC9" w:rsidRDefault="00316F0E" w:rsidP="00316F0E">
      <w:pPr>
        <w:spacing w:line="480" w:lineRule="auto"/>
        <w:jc w:val="both"/>
        <w:rPr>
          <w:rFonts w:ascii="Arial" w:hAnsi="Arial" w:cs="Arial"/>
          <w:b/>
          <w:bCs/>
          <w:sz w:val="24"/>
          <w:szCs w:val="24"/>
        </w:rPr>
      </w:pPr>
      <w:r w:rsidRPr="009C3BC9">
        <w:rPr>
          <w:rFonts w:ascii="Arial" w:hAnsi="Arial" w:cs="Arial"/>
          <w:b/>
          <w:bCs/>
          <w:sz w:val="24"/>
          <w:szCs w:val="24"/>
        </w:rPr>
        <w:t>WHEREFORE THE COURT ORDERS</w:t>
      </w:r>
      <w:r w:rsidR="00D637C6">
        <w:rPr>
          <w:rFonts w:ascii="Arial" w:hAnsi="Arial" w:cs="Arial"/>
          <w:b/>
          <w:bCs/>
          <w:sz w:val="24"/>
          <w:szCs w:val="24"/>
        </w:rPr>
        <w:t xml:space="preserve"> THAT</w:t>
      </w:r>
      <w:r w:rsidRPr="009C3BC9">
        <w:rPr>
          <w:rFonts w:ascii="Arial" w:hAnsi="Arial" w:cs="Arial"/>
          <w:b/>
          <w:bCs/>
          <w:sz w:val="24"/>
          <w:szCs w:val="24"/>
        </w:rPr>
        <w:t>:</w:t>
      </w:r>
    </w:p>
    <w:p w:rsidR="00776003" w:rsidRPr="00EB0B72" w:rsidRDefault="002E7E90" w:rsidP="00EB0B72">
      <w:pPr>
        <w:pStyle w:val="ListParagraph"/>
        <w:numPr>
          <w:ilvl w:val="0"/>
          <w:numId w:val="9"/>
        </w:numPr>
        <w:spacing w:line="480" w:lineRule="auto"/>
        <w:jc w:val="both"/>
        <w:rPr>
          <w:rFonts w:ascii="Arial" w:hAnsi="Arial" w:cs="Arial"/>
          <w:sz w:val="24"/>
          <w:szCs w:val="24"/>
        </w:rPr>
      </w:pPr>
      <w:r>
        <w:rPr>
          <w:rFonts w:ascii="Arial" w:hAnsi="Arial" w:cs="Arial"/>
          <w:sz w:val="24"/>
          <w:szCs w:val="24"/>
        </w:rPr>
        <w:t>T</w:t>
      </w:r>
      <w:r w:rsidR="00EB0B72">
        <w:rPr>
          <w:rFonts w:ascii="Arial" w:hAnsi="Arial" w:cs="Arial"/>
          <w:sz w:val="24"/>
          <w:szCs w:val="24"/>
        </w:rPr>
        <w:t xml:space="preserve">he application is dismissed, with costs. </w:t>
      </w:r>
    </w:p>
    <w:p w:rsidR="00BA0CBC" w:rsidRDefault="00BA0CBC" w:rsidP="00BA0CBC">
      <w:pPr>
        <w:pStyle w:val="ListParagraph"/>
        <w:spacing w:line="480" w:lineRule="auto"/>
        <w:jc w:val="both"/>
        <w:rPr>
          <w:rFonts w:ascii="Arial" w:hAnsi="Arial" w:cs="Arial"/>
          <w:sz w:val="24"/>
          <w:szCs w:val="24"/>
        </w:rPr>
      </w:pPr>
    </w:p>
    <w:p w:rsidR="00EB3BD0" w:rsidRPr="00642B9B" w:rsidRDefault="00EB3BD0" w:rsidP="00642B9B">
      <w:pPr>
        <w:pStyle w:val="ListParagraph"/>
        <w:rPr>
          <w:rFonts w:ascii="Arial" w:hAnsi="Arial" w:cs="Arial"/>
          <w:sz w:val="24"/>
          <w:szCs w:val="24"/>
        </w:rPr>
      </w:pPr>
    </w:p>
    <w:p w:rsidR="00460242" w:rsidRPr="00460242" w:rsidRDefault="00460242" w:rsidP="00793237">
      <w:pPr>
        <w:spacing w:after="0" w:line="360" w:lineRule="auto"/>
        <w:jc w:val="both"/>
        <w:rPr>
          <w:rFonts w:ascii="Arial" w:hAnsi="Arial" w:cs="Arial"/>
          <w:sz w:val="24"/>
          <w:szCs w:val="24"/>
        </w:rPr>
      </w:pPr>
      <w:r w:rsidRPr="00460242">
        <w:rPr>
          <w:rFonts w:ascii="Arial" w:hAnsi="Arial" w:cs="Arial"/>
          <w:sz w:val="24"/>
          <w:szCs w:val="24"/>
        </w:rPr>
        <w:t>__________________</w:t>
      </w:r>
      <w:r w:rsidR="00793237">
        <w:rPr>
          <w:rFonts w:ascii="Arial" w:hAnsi="Arial" w:cs="Arial"/>
          <w:sz w:val="24"/>
          <w:szCs w:val="24"/>
        </w:rPr>
        <w:t>___</w:t>
      </w:r>
      <w:r w:rsidRPr="00460242">
        <w:rPr>
          <w:rFonts w:ascii="Arial" w:hAnsi="Arial" w:cs="Arial"/>
          <w:sz w:val="24"/>
          <w:szCs w:val="24"/>
        </w:rPr>
        <w:t>_</w:t>
      </w:r>
    </w:p>
    <w:p w:rsidR="00460242" w:rsidRDefault="00460242" w:rsidP="00793237">
      <w:pPr>
        <w:spacing w:after="0" w:line="360" w:lineRule="auto"/>
        <w:jc w:val="both"/>
        <w:rPr>
          <w:rFonts w:ascii="Arial" w:hAnsi="Arial" w:cs="Arial"/>
          <w:b/>
          <w:sz w:val="24"/>
          <w:szCs w:val="24"/>
        </w:rPr>
      </w:pPr>
      <w:r w:rsidRPr="00460242">
        <w:rPr>
          <w:rFonts w:ascii="Arial" w:hAnsi="Arial" w:cs="Arial"/>
          <w:b/>
          <w:sz w:val="24"/>
          <w:szCs w:val="24"/>
        </w:rPr>
        <w:t>J M BEZUIDENHOUT AJ</w:t>
      </w:r>
    </w:p>
    <w:p w:rsidR="00793237" w:rsidRPr="00460242" w:rsidRDefault="00793237" w:rsidP="00793237">
      <w:pPr>
        <w:spacing w:after="0" w:line="360" w:lineRule="auto"/>
        <w:jc w:val="both"/>
        <w:rPr>
          <w:rFonts w:ascii="Arial" w:hAnsi="Arial" w:cs="Arial"/>
          <w:b/>
          <w:sz w:val="24"/>
          <w:szCs w:val="24"/>
        </w:rPr>
      </w:pPr>
      <w:r>
        <w:rPr>
          <w:rFonts w:ascii="Arial" w:hAnsi="Arial" w:cs="Arial"/>
          <w:b/>
          <w:sz w:val="24"/>
          <w:szCs w:val="24"/>
        </w:rPr>
        <w:t>Acting Judge of the High Court</w:t>
      </w:r>
    </w:p>
    <w:p w:rsidR="00460242" w:rsidRDefault="00460242" w:rsidP="00460242">
      <w:pPr>
        <w:spacing w:line="480" w:lineRule="auto"/>
        <w:jc w:val="both"/>
        <w:rPr>
          <w:rFonts w:ascii="Arial" w:hAnsi="Arial" w:cs="Arial"/>
          <w:sz w:val="24"/>
          <w:szCs w:val="24"/>
        </w:rPr>
      </w:pPr>
    </w:p>
    <w:p w:rsidR="004E4D32" w:rsidRPr="00460242" w:rsidRDefault="004E4D32" w:rsidP="00460242">
      <w:pPr>
        <w:spacing w:line="480" w:lineRule="auto"/>
        <w:jc w:val="both"/>
        <w:rPr>
          <w:rFonts w:ascii="Arial" w:hAnsi="Arial" w:cs="Arial"/>
          <w:sz w:val="24"/>
          <w:szCs w:val="24"/>
        </w:rPr>
      </w:pPr>
    </w:p>
    <w:p w:rsidR="00460242" w:rsidRPr="00793237" w:rsidRDefault="00460242" w:rsidP="00460242">
      <w:pPr>
        <w:tabs>
          <w:tab w:val="left" w:pos="4253"/>
        </w:tabs>
        <w:spacing w:after="0" w:line="240" w:lineRule="auto"/>
        <w:jc w:val="both"/>
        <w:rPr>
          <w:rFonts w:ascii="Arial" w:hAnsi="Arial" w:cs="Arial"/>
          <w:i/>
          <w:sz w:val="24"/>
          <w:szCs w:val="24"/>
          <w:lang w:val="en-GB"/>
        </w:rPr>
      </w:pPr>
      <w:r w:rsidRPr="00793237">
        <w:rPr>
          <w:rFonts w:ascii="Arial" w:hAnsi="Arial" w:cs="Arial"/>
          <w:i/>
          <w:sz w:val="24"/>
          <w:szCs w:val="24"/>
          <w:lang w:val="en-GB"/>
        </w:rPr>
        <w:t>DATE OF HEARING:</w:t>
      </w:r>
      <w:r w:rsidRPr="00793237">
        <w:rPr>
          <w:rFonts w:ascii="Arial" w:hAnsi="Arial" w:cs="Arial"/>
          <w:i/>
          <w:sz w:val="24"/>
          <w:szCs w:val="24"/>
          <w:lang w:val="en-GB"/>
        </w:rPr>
        <w:tab/>
        <w:t xml:space="preserve"> </w:t>
      </w:r>
      <w:r w:rsidR="006436AD">
        <w:rPr>
          <w:rFonts w:ascii="Arial" w:hAnsi="Arial" w:cs="Arial"/>
          <w:i/>
          <w:sz w:val="24"/>
          <w:szCs w:val="24"/>
          <w:lang w:val="en-GB"/>
        </w:rPr>
        <w:t xml:space="preserve">19 </w:t>
      </w:r>
      <w:r w:rsidR="002E7E90">
        <w:rPr>
          <w:rFonts w:ascii="Arial" w:hAnsi="Arial" w:cs="Arial"/>
          <w:i/>
          <w:sz w:val="24"/>
          <w:szCs w:val="24"/>
          <w:lang w:val="en-GB"/>
        </w:rPr>
        <w:t>October</w:t>
      </w:r>
      <w:r w:rsidR="00F66995">
        <w:rPr>
          <w:rFonts w:ascii="Arial" w:hAnsi="Arial" w:cs="Arial"/>
          <w:i/>
          <w:sz w:val="24"/>
          <w:szCs w:val="24"/>
          <w:lang w:val="en-GB"/>
        </w:rPr>
        <w:t xml:space="preserve"> </w:t>
      </w:r>
      <w:r w:rsidR="00316F0E" w:rsidRPr="00793237">
        <w:rPr>
          <w:rFonts w:ascii="Arial" w:hAnsi="Arial" w:cs="Arial"/>
          <w:i/>
          <w:sz w:val="24"/>
          <w:szCs w:val="24"/>
          <w:lang w:val="en-GB"/>
        </w:rPr>
        <w:t>202</w:t>
      </w:r>
      <w:r w:rsidR="00F66995">
        <w:rPr>
          <w:rFonts w:ascii="Arial" w:hAnsi="Arial" w:cs="Arial"/>
          <w:i/>
          <w:sz w:val="24"/>
          <w:szCs w:val="24"/>
          <w:lang w:val="en-GB"/>
        </w:rPr>
        <w:t>1</w:t>
      </w:r>
    </w:p>
    <w:p w:rsidR="00460242" w:rsidRPr="00793237" w:rsidRDefault="00460242" w:rsidP="00460242">
      <w:pPr>
        <w:spacing w:after="0" w:line="240" w:lineRule="auto"/>
        <w:jc w:val="both"/>
        <w:rPr>
          <w:rFonts w:ascii="Arial" w:hAnsi="Arial" w:cs="Arial"/>
          <w:i/>
          <w:sz w:val="24"/>
          <w:szCs w:val="24"/>
          <w:lang w:val="en-GB"/>
        </w:rPr>
      </w:pPr>
      <w:r w:rsidRPr="00793237">
        <w:rPr>
          <w:rFonts w:ascii="Arial" w:hAnsi="Arial" w:cs="Arial"/>
          <w:i/>
          <w:sz w:val="24"/>
          <w:szCs w:val="24"/>
          <w:lang w:val="en-GB"/>
        </w:rPr>
        <w:tab/>
      </w:r>
      <w:r w:rsidRPr="00793237">
        <w:rPr>
          <w:rFonts w:ascii="Arial" w:hAnsi="Arial" w:cs="Arial"/>
          <w:i/>
          <w:sz w:val="24"/>
          <w:szCs w:val="24"/>
          <w:lang w:val="en-GB"/>
        </w:rPr>
        <w:tab/>
        <w:t xml:space="preserve"> </w:t>
      </w:r>
    </w:p>
    <w:p w:rsidR="00460242" w:rsidRDefault="00460242" w:rsidP="00460242">
      <w:pPr>
        <w:tabs>
          <w:tab w:val="left" w:pos="4253"/>
        </w:tabs>
        <w:spacing w:after="0" w:line="240" w:lineRule="auto"/>
        <w:jc w:val="both"/>
        <w:rPr>
          <w:rFonts w:ascii="Arial" w:hAnsi="Arial" w:cs="Arial"/>
          <w:i/>
          <w:sz w:val="24"/>
          <w:szCs w:val="24"/>
          <w:lang w:val="en-GB"/>
        </w:rPr>
      </w:pPr>
      <w:r w:rsidRPr="00793237">
        <w:rPr>
          <w:rFonts w:ascii="Arial" w:hAnsi="Arial" w:cs="Arial"/>
          <w:i/>
          <w:sz w:val="24"/>
          <w:szCs w:val="24"/>
          <w:lang w:val="en-GB"/>
        </w:rPr>
        <w:t>DATE OF JUDGMENT:</w:t>
      </w:r>
      <w:r w:rsidR="0032588C" w:rsidRPr="00793237">
        <w:rPr>
          <w:rFonts w:ascii="Arial" w:hAnsi="Arial" w:cs="Arial"/>
          <w:i/>
          <w:sz w:val="24"/>
          <w:szCs w:val="24"/>
          <w:lang w:val="en-GB"/>
        </w:rPr>
        <w:tab/>
      </w:r>
      <w:r w:rsidRPr="00793237">
        <w:rPr>
          <w:rFonts w:ascii="Arial" w:hAnsi="Arial" w:cs="Arial"/>
          <w:i/>
          <w:sz w:val="24"/>
          <w:szCs w:val="24"/>
          <w:lang w:val="en-GB"/>
        </w:rPr>
        <w:t xml:space="preserve"> </w:t>
      </w:r>
      <w:r w:rsidR="0005156F">
        <w:rPr>
          <w:rFonts w:ascii="Arial" w:hAnsi="Arial" w:cs="Arial"/>
          <w:i/>
          <w:sz w:val="24"/>
          <w:szCs w:val="24"/>
          <w:lang w:val="en-GB"/>
        </w:rPr>
        <w:t>9</w:t>
      </w:r>
      <w:r w:rsidR="00153988">
        <w:rPr>
          <w:rFonts w:ascii="Arial" w:hAnsi="Arial" w:cs="Arial"/>
          <w:i/>
          <w:sz w:val="24"/>
          <w:szCs w:val="24"/>
          <w:lang w:val="en-GB"/>
        </w:rPr>
        <w:t xml:space="preserve"> February</w:t>
      </w:r>
      <w:r w:rsidR="00C93716">
        <w:rPr>
          <w:rFonts w:ascii="Arial" w:hAnsi="Arial" w:cs="Arial"/>
          <w:i/>
          <w:sz w:val="24"/>
          <w:szCs w:val="24"/>
          <w:lang w:val="en-GB"/>
        </w:rPr>
        <w:t xml:space="preserve"> 202</w:t>
      </w:r>
      <w:r w:rsidR="00153988">
        <w:rPr>
          <w:rFonts w:ascii="Arial" w:hAnsi="Arial" w:cs="Arial"/>
          <w:i/>
          <w:sz w:val="24"/>
          <w:szCs w:val="24"/>
          <w:lang w:val="en-GB"/>
        </w:rPr>
        <w:t>2</w:t>
      </w:r>
    </w:p>
    <w:p w:rsidR="00793237" w:rsidRPr="00793237" w:rsidRDefault="00793237" w:rsidP="00460242">
      <w:pPr>
        <w:tabs>
          <w:tab w:val="left" w:pos="4253"/>
        </w:tabs>
        <w:spacing w:after="0" w:line="240" w:lineRule="auto"/>
        <w:jc w:val="both"/>
        <w:rPr>
          <w:rFonts w:ascii="Arial" w:hAnsi="Arial" w:cs="Arial"/>
          <w:i/>
          <w:sz w:val="24"/>
          <w:szCs w:val="24"/>
          <w:lang w:val="en-GB"/>
        </w:rPr>
      </w:pPr>
    </w:p>
    <w:p w:rsidR="00460242" w:rsidRDefault="006436AD" w:rsidP="00460242">
      <w:pPr>
        <w:spacing w:after="0" w:line="240" w:lineRule="auto"/>
        <w:jc w:val="both"/>
        <w:rPr>
          <w:rFonts w:ascii="Arial" w:hAnsi="Arial" w:cs="Arial"/>
          <w:i/>
          <w:sz w:val="24"/>
          <w:szCs w:val="24"/>
          <w:lang w:val="en-GB"/>
        </w:rPr>
      </w:pPr>
      <w:r>
        <w:rPr>
          <w:rFonts w:ascii="Arial" w:hAnsi="Arial" w:cs="Arial"/>
          <w:i/>
          <w:sz w:val="24"/>
          <w:szCs w:val="24"/>
          <w:lang w:val="en-GB"/>
        </w:rPr>
        <w:t>For the Applicant:</w:t>
      </w:r>
      <w:r>
        <w:rPr>
          <w:rFonts w:ascii="Arial" w:hAnsi="Arial" w:cs="Arial"/>
          <w:i/>
          <w:sz w:val="24"/>
          <w:szCs w:val="24"/>
          <w:lang w:val="en-GB"/>
        </w:rPr>
        <w:tab/>
      </w:r>
      <w:r>
        <w:rPr>
          <w:rFonts w:ascii="Arial" w:hAnsi="Arial" w:cs="Arial"/>
          <w:i/>
          <w:sz w:val="24"/>
          <w:szCs w:val="24"/>
          <w:lang w:val="en-GB"/>
        </w:rPr>
        <w:tab/>
      </w:r>
      <w:r>
        <w:rPr>
          <w:rFonts w:ascii="Arial" w:hAnsi="Arial" w:cs="Arial"/>
          <w:i/>
          <w:sz w:val="24"/>
          <w:szCs w:val="24"/>
          <w:lang w:val="en-GB"/>
        </w:rPr>
        <w:tab/>
      </w:r>
      <w:r>
        <w:rPr>
          <w:rFonts w:ascii="Arial" w:hAnsi="Arial" w:cs="Arial"/>
          <w:i/>
          <w:sz w:val="24"/>
          <w:szCs w:val="24"/>
          <w:lang w:val="en-GB"/>
        </w:rPr>
        <w:tab/>
        <w:t xml:space="preserve">T </w:t>
      </w:r>
      <w:proofErr w:type="spellStart"/>
      <w:r>
        <w:rPr>
          <w:rFonts w:ascii="Arial" w:hAnsi="Arial" w:cs="Arial"/>
          <w:i/>
          <w:sz w:val="24"/>
          <w:szCs w:val="24"/>
          <w:lang w:val="en-GB"/>
        </w:rPr>
        <w:t>Radebe</w:t>
      </w:r>
      <w:proofErr w:type="spellEnd"/>
    </w:p>
    <w:p w:rsidR="006436AD" w:rsidRDefault="006436AD" w:rsidP="00460242">
      <w:pPr>
        <w:spacing w:after="0" w:line="240" w:lineRule="auto"/>
        <w:jc w:val="both"/>
        <w:rPr>
          <w:rFonts w:ascii="Arial" w:hAnsi="Arial" w:cs="Arial"/>
          <w:i/>
          <w:sz w:val="24"/>
          <w:szCs w:val="24"/>
          <w:lang w:val="en-GB"/>
        </w:rPr>
      </w:pPr>
    </w:p>
    <w:p w:rsidR="006436AD" w:rsidRPr="00793237" w:rsidRDefault="006436AD" w:rsidP="00460242">
      <w:pPr>
        <w:spacing w:after="0" w:line="240" w:lineRule="auto"/>
        <w:jc w:val="both"/>
        <w:rPr>
          <w:rFonts w:ascii="Arial" w:hAnsi="Arial" w:cs="Arial"/>
          <w:i/>
          <w:sz w:val="24"/>
          <w:szCs w:val="24"/>
          <w:lang w:val="en-GB"/>
        </w:rPr>
      </w:pPr>
      <w:r>
        <w:rPr>
          <w:rFonts w:ascii="Arial" w:hAnsi="Arial" w:cs="Arial"/>
          <w:i/>
          <w:sz w:val="24"/>
          <w:szCs w:val="24"/>
          <w:lang w:val="en-GB"/>
        </w:rPr>
        <w:t>For the Respondent:</w:t>
      </w:r>
      <w:r>
        <w:rPr>
          <w:rFonts w:ascii="Arial" w:hAnsi="Arial" w:cs="Arial"/>
          <w:i/>
          <w:sz w:val="24"/>
          <w:szCs w:val="24"/>
          <w:lang w:val="en-GB"/>
        </w:rPr>
        <w:tab/>
      </w:r>
      <w:r>
        <w:rPr>
          <w:rFonts w:ascii="Arial" w:hAnsi="Arial" w:cs="Arial"/>
          <w:i/>
          <w:sz w:val="24"/>
          <w:szCs w:val="24"/>
          <w:lang w:val="en-GB"/>
        </w:rPr>
        <w:tab/>
      </w:r>
      <w:r>
        <w:rPr>
          <w:rFonts w:ascii="Arial" w:hAnsi="Arial" w:cs="Arial"/>
          <w:i/>
          <w:sz w:val="24"/>
          <w:szCs w:val="24"/>
          <w:lang w:val="en-GB"/>
        </w:rPr>
        <w:tab/>
        <w:t xml:space="preserve">WB </w:t>
      </w:r>
      <w:proofErr w:type="spellStart"/>
      <w:r>
        <w:rPr>
          <w:rFonts w:ascii="Arial" w:hAnsi="Arial" w:cs="Arial"/>
          <w:i/>
          <w:sz w:val="24"/>
          <w:szCs w:val="24"/>
          <w:lang w:val="en-GB"/>
        </w:rPr>
        <w:t>Ndlovu</w:t>
      </w:r>
      <w:proofErr w:type="spellEnd"/>
    </w:p>
    <w:sectPr w:rsidR="006436AD" w:rsidRPr="0079323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F0" w:rsidRDefault="00BC2EF0" w:rsidP="00E450CA">
      <w:pPr>
        <w:spacing w:after="0" w:line="240" w:lineRule="auto"/>
      </w:pPr>
      <w:r>
        <w:separator/>
      </w:r>
    </w:p>
  </w:endnote>
  <w:endnote w:type="continuationSeparator" w:id="0">
    <w:p w:rsidR="00BC2EF0" w:rsidRDefault="00BC2EF0" w:rsidP="00E4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061451"/>
      <w:docPartObj>
        <w:docPartGallery w:val="Page Numbers (Bottom of Page)"/>
        <w:docPartUnique/>
      </w:docPartObj>
    </w:sdtPr>
    <w:sdtEndPr>
      <w:rPr>
        <w:noProof/>
      </w:rPr>
    </w:sdtEndPr>
    <w:sdtContent>
      <w:p w:rsidR="000A2A57" w:rsidRDefault="000A2A57">
        <w:pPr>
          <w:pStyle w:val="Footer"/>
          <w:jc w:val="right"/>
        </w:pPr>
        <w:r>
          <w:fldChar w:fldCharType="begin"/>
        </w:r>
        <w:r>
          <w:instrText xml:space="preserve"> PAGE   \* MERGEFORMAT </w:instrText>
        </w:r>
        <w:r>
          <w:fldChar w:fldCharType="separate"/>
        </w:r>
        <w:r w:rsidR="00036B9F">
          <w:rPr>
            <w:noProof/>
          </w:rPr>
          <w:t>1</w:t>
        </w:r>
        <w:r>
          <w:rPr>
            <w:noProof/>
          </w:rPr>
          <w:fldChar w:fldCharType="end"/>
        </w:r>
      </w:p>
    </w:sdtContent>
  </w:sdt>
  <w:p w:rsidR="000A2A57" w:rsidRDefault="000A2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F0" w:rsidRDefault="00BC2EF0" w:rsidP="00E450CA">
      <w:pPr>
        <w:spacing w:after="0" w:line="240" w:lineRule="auto"/>
      </w:pPr>
      <w:r>
        <w:separator/>
      </w:r>
    </w:p>
  </w:footnote>
  <w:footnote w:type="continuationSeparator" w:id="0">
    <w:p w:rsidR="00BC2EF0" w:rsidRDefault="00BC2EF0" w:rsidP="00E450CA">
      <w:pPr>
        <w:spacing w:after="0" w:line="240" w:lineRule="auto"/>
      </w:pPr>
      <w:r>
        <w:continuationSeparator/>
      </w:r>
    </w:p>
  </w:footnote>
  <w:footnote w:id="1">
    <w:p w:rsidR="00067899" w:rsidRDefault="00067899">
      <w:pPr>
        <w:pStyle w:val="FootnoteText"/>
      </w:pPr>
      <w:r>
        <w:rPr>
          <w:rStyle w:val="FootnoteReference"/>
        </w:rPr>
        <w:footnoteRef/>
      </w:r>
      <w:r>
        <w:t xml:space="preserve"> The 1</w:t>
      </w:r>
      <w:r w:rsidRPr="00067899">
        <w:rPr>
          <w:vertAlign w:val="superscript"/>
        </w:rPr>
        <w:t>st</w:t>
      </w:r>
      <w:r>
        <w:t xml:space="preserve"> respondent claimed that he opened the case under case number 1690 and </w:t>
      </w:r>
      <w:proofErr w:type="spellStart"/>
      <w:r>
        <w:t>Malefestane</w:t>
      </w:r>
      <w:proofErr w:type="spellEnd"/>
      <w:r>
        <w:t xml:space="preserve"> opened a case at the housing tribunal under case number 15962, hence the two case numbers.</w:t>
      </w:r>
      <w:r w:rsidR="000E7167">
        <w:t xml:space="preserve"> The 2</w:t>
      </w:r>
      <w:r w:rsidR="000E7167" w:rsidRPr="000E7167">
        <w:rPr>
          <w:vertAlign w:val="superscript"/>
        </w:rPr>
        <w:t>nd</w:t>
      </w:r>
      <w:r w:rsidR="000E7167">
        <w:t xml:space="preserve"> applicant did not deal specifically with the two case numbers and denied </w:t>
      </w:r>
      <w:r w:rsidR="007A5C0E">
        <w:t xml:space="preserve">that </w:t>
      </w:r>
      <w:proofErr w:type="spellStart"/>
      <w:r w:rsidR="007A5C0E">
        <w:t>Malefetsane</w:t>
      </w:r>
      <w:proofErr w:type="spellEnd"/>
      <w:r w:rsidR="007A5C0E">
        <w:t xml:space="preserve"> filed the appeal. </w:t>
      </w:r>
      <w:r>
        <w:t xml:space="preserve"> </w:t>
      </w:r>
    </w:p>
  </w:footnote>
  <w:footnote w:id="2">
    <w:p w:rsidR="003D160C" w:rsidRDefault="003D160C">
      <w:pPr>
        <w:pStyle w:val="FootnoteText"/>
      </w:pPr>
      <w:r>
        <w:rPr>
          <w:rStyle w:val="FootnoteReference"/>
        </w:rPr>
        <w:footnoteRef/>
      </w:r>
      <w:r>
        <w:t xml:space="preserve"> The 1</w:t>
      </w:r>
      <w:r w:rsidRPr="003D160C">
        <w:rPr>
          <w:vertAlign w:val="superscript"/>
        </w:rPr>
        <w:t>st</w:t>
      </w:r>
      <w:r>
        <w:t xml:space="preserve"> respondent alleged that </w:t>
      </w:r>
      <w:proofErr w:type="spellStart"/>
      <w:r>
        <w:t>Malefetsane</w:t>
      </w:r>
      <w:proofErr w:type="spellEnd"/>
      <w:r>
        <w:t xml:space="preserve"> lodged the appeal however the 2</w:t>
      </w:r>
      <w:r w:rsidRPr="003D160C">
        <w:rPr>
          <w:vertAlign w:val="superscript"/>
        </w:rPr>
        <w:t>nd</w:t>
      </w:r>
      <w:r>
        <w:t xml:space="preserve"> applicant dispute</w:t>
      </w:r>
      <w:r w:rsidR="00ED6012">
        <w:t>d</w:t>
      </w:r>
      <w:r>
        <w:t xml:space="preserve"> this.</w:t>
      </w:r>
    </w:p>
  </w:footnote>
  <w:footnote w:id="3">
    <w:p w:rsidR="003D160C" w:rsidRDefault="003D160C">
      <w:pPr>
        <w:pStyle w:val="FootnoteText"/>
      </w:pPr>
      <w:r>
        <w:rPr>
          <w:rStyle w:val="FootnoteReference"/>
        </w:rPr>
        <w:footnoteRef/>
      </w:r>
      <w:r>
        <w:t xml:space="preserve"> The terms on which the parties settled the dispute are in dispute.</w:t>
      </w:r>
    </w:p>
  </w:footnote>
  <w:footnote w:id="4">
    <w:p w:rsidR="00F03EC7" w:rsidRDefault="00F03EC7">
      <w:pPr>
        <w:pStyle w:val="FootnoteText"/>
      </w:pPr>
      <w:r>
        <w:rPr>
          <w:rStyle w:val="FootnoteReference"/>
        </w:rPr>
        <w:footnoteRef/>
      </w:r>
      <w:r>
        <w:t xml:space="preserve"> The 1</w:t>
      </w:r>
      <w:r w:rsidRPr="00F03EC7">
        <w:rPr>
          <w:vertAlign w:val="superscript"/>
        </w:rPr>
        <w:t>st</w:t>
      </w:r>
      <w:r>
        <w:t xml:space="preserve"> respondent claimed that he </w:t>
      </w:r>
      <w:r w:rsidR="00E06E89">
        <w:t>did not give his approval for this house to be build.</w:t>
      </w:r>
    </w:p>
  </w:footnote>
  <w:footnote w:id="5">
    <w:p w:rsidR="00457069" w:rsidRDefault="00457069" w:rsidP="00457069">
      <w:pPr>
        <w:pStyle w:val="FootnoteText"/>
      </w:pPr>
      <w:r>
        <w:rPr>
          <w:rStyle w:val="FootnoteReference"/>
        </w:rPr>
        <w:footnoteRef/>
      </w:r>
      <w:r>
        <w:t xml:space="preserve"> See paragraph 98</w:t>
      </w:r>
    </w:p>
  </w:footnote>
  <w:footnote w:id="6">
    <w:p w:rsidR="00583D3B" w:rsidRPr="006C6C9E" w:rsidRDefault="00583D3B" w:rsidP="00583D3B">
      <w:pPr>
        <w:pStyle w:val="Heading2"/>
        <w:shd w:val="clear" w:color="auto" w:fill="FFFFFF"/>
        <w:spacing w:before="240" w:beforeAutospacing="0" w:after="180" w:afterAutospacing="0" w:line="288" w:lineRule="atLeast"/>
        <w:rPr>
          <w:rFonts w:ascii="Arial" w:hAnsi="Arial" w:cs="Arial"/>
          <w:b w:val="0"/>
          <w:bCs w:val="0"/>
          <w:color w:val="64473A"/>
          <w:sz w:val="18"/>
          <w:szCs w:val="18"/>
        </w:rPr>
      </w:pPr>
      <w:r w:rsidRPr="006C6C9E">
        <w:rPr>
          <w:rStyle w:val="FootnoteReference"/>
          <w:rFonts w:ascii="Arial" w:hAnsi="Arial" w:cs="Arial"/>
          <w:b w:val="0"/>
          <w:bCs w:val="0"/>
          <w:sz w:val="18"/>
          <w:szCs w:val="18"/>
        </w:rPr>
        <w:footnoteRef/>
      </w:r>
      <w:r w:rsidRPr="006C6C9E">
        <w:rPr>
          <w:rFonts w:ascii="Arial" w:hAnsi="Arial" w:cs="Arial"/>
          <w:b w:val="0"/>
          <w:bCs w:val="0"/>
          <w:sz w:val="18"/>
          <w:szCs w:val="18"/>
        </w:rPr>
        <w:t xml:space="preserve"> </w:t>
      </w:r>
      <w:r w:rsidRPr="006C6C9E">
        <w:rPr>
          <w:rFonts w:ascii="Arial" w:hAnsi="Arial" w:cs="Arial"/>
          <w:b w:val="0"/>
          <w:bCs w:val="0"/>
          <w:color w:val="64473A"/>
          <w:sz w:val="18"/>
          <w:szCs w:val="18"/>
        </w:rPr>
        <w:t xml:space="preserve">Van </w:t>
      </w:r>
      <w:proofErr w:type="spellStart"/>
      <w:r w:rsidRPr="006C6C9E">
        <w:rPr>
          <w:rFonts w:ascii="Arial" w:hAnsi="Arial" w:cs="Arial"/>
          <w:b w:val="0"/>
          <w:bCs w:val="0"/>
          <w:color w:val="64473A"/>
          <w:sz w:val="18"/>
          <w:szCs w:val="18"/>
        </w:rPr>
        <w:t>Wyk</w:t>
      </w:r>
      <w:proofErr w:type="spellEnd"/>
      <w:r w:rsidRPr="006C6C9E">
        <w:rPr>
          <w:rFonts w:ascii="Arial" w:hAnsi="Arial" w:cs="Arial"/>
          <w:b w:val="0"/>
          <w:bCs w:val="0"/>
          <w:color w:val="64473A"/>
          <w:sz w:val="18"/>
          <w:szCs w:val="18"/>
        </w:rPr>
        <w:t xml:space="preserve"> v </w:t>
      </w:r>
      <w:proofErr w:type="spellStart"/>
      <w:r w:rsidRPr="006C6C9E">
        <w:rPr>
          <w:rFonts w:ascii="Arial" w:hAnsi="Arial" w:cs="Arial"/>
          <w:b w:val="0"/>
          <w:bCs w:val="0"/>
          <w:color w:val="64473A"/>
          <w:sz w:val="18"/>
          <w:szCs w:val="18"/>
        </w:rPr>
        <w:t>Unitas</w:t>
      </w:r>
      <w:proofErr w:type="spellEnd"/>
      <w:r w:rsidRPr="006C6C9E">
        <w:rPr>
          <w:rFonts w:ascii="Arial" w:hAnsi="Arial" w:cs="Arial"/>
          <w:b w:val="0"/>
          <w:bCs w:val="0"/>
          <w:color w:val="64473A"/>
          <w:sz w:val="18"/>
          <w:szCs w:val="18"/>
        </w:rPr>
        <w:t xml:space="preserve"> Hospital and </w:t>
      </w:r>
      <w:proofErr w:type="gramStart"/>
      <w:r w:rsidRPr="006C6C9E">
        <w:rPr>
          <w:rFonts w:ascii="Arial" w:hAnsi="Arial" w:cs="Arial"/>
          <w:b w:val="0"/>
          <w:bCs w:val="0"/>
          <w:color w:val="64473A"/>
          <w:sz w:val="18"/>
          <w:szCs w:val="18"/>
        </w:rPr>
        <w:t>Another</w:t>
      </w:r>
      <w:proofErr w:type="gramEnd"/>
      <w:r w:rsidRPr="006C6C9E">
        <w:rPr>
          <w:rFonts w:ascii="Arial" w:hAnsi="Arial" w:cs="Arial"/>
          <w:b w:val="0"/>
          <w:bCs w:val="0"/>
          <w:color w:val="64473A"/>
          <w:sz w:val="18"/>
          <w:szCs w:val="18"/>
        </w:rPr>
        <w:t xml:space="preserve"> (CCT 12/07) [2007] ZACC 24; 2008 (2) SA 472 (CC); 2008 (4) BCLR 442 (CC)</w:t>
      </w:r>
    </w:p>
    <w:p w:rsidR="00583D3B" w:rsidRDefault="00583D3B" w:rsidP="00583D3B">
      <w:pPr>
        <w:pStyle w:val="FootnoteText"/>
      </w:pPr>
    </w:p>
  </w:footnote>
  <w:footnote w:id="7">
    <w:p w:rsidR="009B278B" w:rsidRPr="009B278B" w:rsidRDefault="009B278B">
      <w:pPr>
        <w:pStyle w:val="FootnoteText"/>
        <w:rPr>
          <w:rFonts w:ascii="Arial" w:hAnsi="Arial" w:cs="Arial"/>
          <w:sz w:val="18"/>
          <w:szCs w:val="18"/>
        </w:rPr>
      </w:pPr>
      <w:r w:rsidRPr="009B278B">
        <w:rPr>
          <w:rStyle w:val="FootnoteReference"/>
          <w:rFonts w:ascii="Arial" w:hAnsi="Arial" w:cs="Arial"/>
          <w:sz w:val="18"/>
          <w:szCs w:val="18"/>
        </w:rPr>
        <w:footnoteRef/>
      </w:r>
      <w:r w:rsidRPr="009B278B">
        <w:rPr>
          <w:rFonts w:ascii="Arial" w:hAnsi="Arial" w:cs="Arial"/>
          <w:sz w:val="18"/>
          <w:szCs w:val="18"/>
        </w:rPr>
        <w:t xml:space="preserve"> which can be found as annexure F to the founding affidavit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49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43097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2486721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F7508C"/>
    <w:multiLevelType w:val="hybridMultilevel"/>
    <w:tmpl w:val="098222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756060"/>
    <w:multiLevelType w:val="hybridMultilevel"/>
    <w:tmpl w:val="C49286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B9053AB"/>
    <w:multiLevelType w:val="hybridMultilevel"/>
    <w:tmpl w:val="0B840E3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E842C81"/>
    <w:multiLevelType w:val="hybridMultilevel"/>
    <w:tmpl w:val="A3405992"/>
    <w:lvl w:ilvl="0" w:tplc="6BC4955E">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7066CEB"/>
    <w:multiLevelType w:val="hybridMultilevel"/>
    <w:tmpl w:val="E586FC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8"/>
  </w:num>
  <w:num w:numId="5">
    <w:abstractNumId w:val="2"/>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31B80EE-7849-49C6-A24D-12F2480C1E41}"/>
    <w:docVar w:name="dgnword-eventsink" w:val="1990219002976"/>
  </w:docVars>
  <w:rsids>
    <w:rsidRoot w:val="00124E6A"/>
    <w:rsid w:val="00001079"/>
    <w:rsid w:val="00006677"/>
    <w:rsid w:val="00007C17"/>
    <w:rsid w:val="00010E2C"/>
    <w:rsid w:val="00011E68"/>
    <w:rsid w:val="00012F43"/>
    <w:rsid w:val="000136D5"/>
    <w:rsid w:val="00014624"/>
    <w:rsid w:val="00017CE4"/>
    <w:rsid w:val="00020132"/>
    <w:rsid w:val="000206B2"/>
    <w:rsid w:val="00021499"/>
    <w:rsid w:val="000225E8"/>
    <w:rsid w:val="0002330C"/>
    <w:rsid w:val="00024945"/>
    <w:rsid w:val="00025594"/>
    <w:rsid w:val="00026C47"/>
    <w:rsid w:val="00027BD3"/>
    <w:rsid w:val="00036615"/>
    <w:rsid w:val="00036B9F"/>
    <w:rsid w:val="00046BA7"/>
    <w:rsid w:val="000473EA"/>
    <w:rsid w:val="0005156F"/>
    <w:rsid w:val="00051666"/>
    <w:rsid w:val="00054004"/>
    <w:rsid w:val="00055212"/>
    <w:rsid w:val="000553C4"/>
    <w:rsid w:val="0006268A"/>
    <w:rsid w:val="000626A7"/>
    <w:rsid w:val="000631D4"/>
    <w:rsid w:val="00063BF1"/>
    <w:rsid w:val="0006457D"/>
    <w:rsid w:val="00064AB0"/>
    <w:rsid w:val="00066BC4"/>
    <w:rsid w:val="0006732C"/>
    <w:rsid w:val="000674CE"/>
    <w:rsid w:val="00067899"/>
    <w:rsid w:val="0007154D"/>
    <w:rsid w:val="000816DA"/>
    <w:rsid w:val="000831D1"/>
    <w:rsid w:val="00083752"/>
    <w:rsid w:val="000843B3"/>
    <w:rsid w:val="0009015E"/>
    <w:rsid w:val="00096313"/>
    <w:rsid w:val="00096E62"/>
    <w:rsid w:val="000A169E"/>
    <w:rsid w:val="000A2A57"/>
    <w:rsid w:val="000A48BB"/>
    <w:rsid w:val="000A5589"/>
    <w:rsid w:val="000A6490"/>
    <w:rsid w:val="000B238F"/>
    <w:rsid w:val="000B3F28"/>
    <w:rsid w:val="000B4374"/>
    <w:rsid w:val="000B7035"/>
    <w:rsid w:val="000C0052"/>
    <w:rsid w:val="000C3D37"/>
    <w:rsid w:val="000C4B23"/>
    <w:rsid w:val="000C7A12"/>
    <w:rsid w:val="000D229A"/>
    <w:rsid w:val="000D33CA"/>
    <w:rsid w:val="000D544E"/>
    <w:rsid w:val="000E03D7"/>
    <w:rsid w:val="000E1563"/>
    <w:rsid w:val="000E7167"/>
    <w:rsid w:val="000E7951"/>
    <w:rsid w:val="000F1530"/>
    <w:rsid w:val="000F29D8"/>
    <w:rsid w:val="000F54AC"/>
    <w:rsid w:val="000F745F"/>
    <w:rsid w:val="000F7882"/>
    <w:rsid w:val="0010046D"/>
    <w:rsid w:val="00106389"/>
    <w:rsid w:val="00107612"/>
    <w:rsid w:val="0010780F"/>
    <w:rsid w:val="001109FE"/>
    <w:rsid w:val="001113DF"/>
    <w:rsid w:val="0011179C"/>
    <w:rsid w:val="0011243F"/>
    <w:rsid w:val="00113C97"/>
    <w:rsid w:val="00115251"/>
    <w:rsid w:val="00116F7A"/>
    <w:rsid w:val="001175A1"/>
    <w:rsid w:val="00123B0A"/>
    <w:rsid w:val="00124E6A"/>
    <w:rsid w:val="001263E1"/>
    <w:rsid w:val="00127E29"/>
    <w:rsid w:val="001307E8"/>
    <w:rsid w:val="00132902"/>
    <w:rsid w:val="0013515E"/>
    <w:rsid w:val="0013527E"/>
    <w:rsid w:val="00135EC9"/>
    <w:rsid w:val="00135F76"/>
    <w:rsid w:val="00137610"/>
    <w:rsid w:val="001414C7"/>
    <w:rsid w:val="00142B9D"/>
    <w:rsid w:val="00145BAA"/>
    <w:rsid w:val="00147783"/>
    <w:rsid w:val="00151921"/>
    <w:rsid w:val="00153988"/>
    <w:rsid w:val="00153CC2"/>
    <w:rsid w:val="00153DC8"/>
    <w:rsid w:val="00153EAC"/>
    <w:rsid w:val="00155E94"/>
    <w:rsid w:val="00156503"/>
    <w:rsid w:val="001570DA"/>
    <w:rsid w:val="001602FE"/>
    <w:rsid w:val="00161072"/>
    <w:rsid w:val="00163BBD"/>
    <w:rsid w:val="001659DA"/>
    <w:rsid w:val="00170F09"/>
    <w:rsid w:val="00170F23"/>
    <w:rsid w:val="001768B3"/>
    <w:rsid w:val="001771AC"/>
    <w:rsid w:val="001816B5"/>
    <w:rsid w:val="00181ADA"/>
    <w:rsid w:val="00181CE1"/>
    <w:rsid w:val="00182ACC"/>
    <w:rsid w:val="00182CF3"/>
    <w:rsid w:val="00185BF7"/>
    <w:rsid w:val="001876D3"/>
    <w:rsid w:val="00191A7B"/>
    <w:rsid w:val="00191FF1"/>
    <w:rsid w:val="0019303B"/>
    <w:rsid w:val="00193B28"/>
    <w:rsid w:val="0019550F"/>
    <w:rsid w:val="00196B97"/>
    <w:rsid w:val="00197120"/>
    <w:rsid w:val="001A1028"/>
    <w:rsid w:val="001A3743"/>
    <w:rsid w:val="001A4A5E"/>
    <w:rsid w:val="001B320B"/>
    <w:rsid w:val="001B3824"/>
    <w:rsid w:val="001B3D84"/>
    <w:rsid w:val="001B6034"/>
    <w:rsid w:val="001C0587"/>
    <w:rsid w:val="001C2CEA"/>
    <w:rsid w:val="001C6269"/>
    <w:rsid w:val="001C6CE4"/>
    <w:rsid w:val="001C7A8B"/>
    <w:rsid w:val="001D231E"/>
    <w:rsid w:val="001D247B"/>
    <w:rsid w:val="001D4A37"/>
    <w:rsid w:val="001D4CB0"/>
    <w:rsid w:val="001E391B"/>
    <w:rsid w:val="001E4D43"/>
    <w:rsid w:val="0020380F"/>
    <w:rsid w:val="00204844"/>
    <w:rsid w:val="0021547E"/>
    <w:rsid w:val="002166AC"/>
    <w:rsid w:val="002176A5"/>
    <w:rsid w:val="00217A43"/>
    <w:rsid w:val="0022176C"/>
    <w:rsid w:val="00221C7A"/>
    <w:rsid w:val="002225C5"/>
    <w:rsid w:val="002265AC"/>
    <w:rsid w:val="00226BB8"/>
    <w:rsid w:val="002307A0"/>
    <w:rsid w:val="00231AA9"/>
    <w:rsid w:val="00234680"/>
    <w:rsid w:val="00235B2B"/>
    <w:rsid w:val="002374CE"/>
    <w:rsid w:val="002401B9"/>
    <w:rsid w:val="00241595"/>
    <w:rsid w:val="00242AA1"/>
    <w:rsid w:val="00243772"/>
    <w:rsid w:val="002460DE"/>
    <w:rsid w:val="00246C96"/>
    <w:rsid w:val="00247369"/>
    <w:rsid w:val="002474F0"/>
    <w:rsid w:val="00247F7C"/>
    <w:rsid w:val="00250968"/>
    <w:rsid w:val="0025107D"/>
    <w:rsid w:val="00254B54"/>
    <w:rsid w:val="0025576F"/>
    <w:rsid w:val="00255A9D"/>
    <w:rsid w:val="00255D51"/>
    <w:rsid w:val="00261789"/>
    <w:rsid w:val="002635E3"/>
    <w:rsid w:val="00265912"/>
    <w:rsid w:val="00265B08"/>
    <w:rsid w:val="002661E8"/>
    <w:rsid w:val="0026627E"/>
    <w:rsid w:val="00270635"/>
    <w:rsid w:val="00273A19"/>
    <w:rsid w:val="0027733E"/>
    <w:rsid w:val="00280070"/>
    <w:rsid w:val="00281063"/>
    <w:rsid w:val="00281723"/>
    <w:rsid w:val="00282860"/>
    <w:rsid w:val="00284710"/>
    <w:rsid w:val="00286F66"/>
    <w:rsid w:val="00291AA1"/>
    <w:rsid w:val="00292DD7"/>
    <w:rsid w:val="002944F5"/>
    <w:rsid w:val="002948C6"/>
    <w:rsid w:val="00295697"/>
    <w:rsid w:val="00296F22"/>
    <w:rsid w:val="002A1CC8"/>
    <w:rsid w:val="002A305D"/>
    <w:rsid w:val="002A6091"/>
    <w:rsid w:val="002A7D8D"/>
    <w:rsid w:val="002B14A7"/>
    <w:rsid w:val="002B3AEA"/>
    <w:rsid w:val="002B3B48"/>
    <w:rsid w:val="002B4A2C"/>
    <w:rsid w:val="002B6509"/>
    <w:rsid w:val="002C2A3B"/>
    <w:rsid w:val="002C4336"/>
    <w:rsid w:val="002C5097"/>
    <w:rsid w:val="002C7A0F"/>
    <w:rsid w:val="002D287B"/>
    <w:rsid w:val="002D3727"/>
    <w:rsid w:val="002E17E2"/>
    <w:rsid w:val="002E3F2B"/>
    <w:rsid w:val="002E4FBF"/>
    <w:rsid w:val="002E5FAC"/>
    <w:rsid w:val="002E662B"/>
    <w:rsid w:val="002E7E90"/>
    <w:rsid w:val="002E7FCA"/>
    <w:rsid w:val="002F16AD"/>
    <w:rsid w:val="002F3B62"/>
    <w:rsid w:val="002F3B69"/>
    <w:rsid w:val="002F4AD5"/>
    <w:rsid w:val="002F53AF"/>
    <w:rsid w:val="002F6D84"/>
    <w:rsid w:val="0030397B"/>
    <w:rsid w:val="00305194"/>
    <w:rsid w:val="00305C6E"/>
    <w:rsid w:val="00306B10"/>
    <w:rsid w:val="00306CB7"/>
    <w:rsid w:val="003155D5"/>
    <w:rsid w:val="00316F0E"/>
    <w:rsid w:val="00320C5F"/>
    <w:rsid w:val="003247D8"/>
    <w:rsid w:val="0032502E"/>
    <w:rsid w:val="0032588C"/>
    <w:rsid w:val="00325E5F"/>
    <w:rsid w:val="003274BE"/>
    <w:rsid w:val="00330931"/>
    <w:rsid w:val="003353EC"/>
    <w:rsid w:val="0033685A"/>
    <w:rsid w:val="003424EC"/>
    <w:rsid w:val="003428FF"/>
    <w:rsid w:val="003444C8"/>
    <w:rsid w:val="00344A5E"/>
    <w:rsid w:val="00351D00"/>
    <w:rsid w:val="003531E7"/>
    <w:rsid w:val="00357790"/>
    <w:rsid w:val="00361EC8"/>
    <w:rsid w:val="003626F9"/>
    <w:rsid w:val="00365968"/>
    <w:rsid w:val="0037095A"/>
    <w:rsid w:val="003733FD"/>
    <w:rsid w:val="00380729"/>
    <w:rsid w:val="00382CCF"/>
    <w:rsid w:val="00383C98"/>
    <w:rsid w:val="0038493A"/>
    <w:rsid w:val="00384B76"/>
    <w:rsid w:val="00384F56"/>
    <w:rsid w:val="0039172F"/>
    <w:rsid w:val="00396235"/>
    <w:rsid w:val="00396850"/>
    <w:rsid w:val="003A2789"/>
    <w:rsid w:val="003A6DD0"/>
    <w:rsid w:val="003B1B81"/>
    <w:rsid w:val="003B361D"/>
    <w:rsid w:val="003B64C3"/>
    <w:rsid w:val="003B7AAB"/>
    <w:rsid w:val="003C32E3"/>
    <w:rsid w:val="003C3DFC"/>
    <w:rsid w:val="003C6124"/>
    <w:rsid w:val="003D160C"/>
    <w:rsid w:val="003D3BFB"/>
    <w:rsid w:val="003D6E44"/>
    <w:rsid w:val="003E114A"/>
    <w:rsid w:val="003E28CB"/>
    <w:rsid w:val="003E2C12"/>
    <w:rsid w:val="003E7CFC"/>
    <w:rsid w:val="003F3B14"/>
    <w:rsid w:val="003F50F8"/>
    <w:rsid w:val="003F53C1"/>
    <w:rsid w:val="003F5689"/>
    <w:rsid w:val="003F7DF2"/>
    <w:rsid w:val="00401F67"/>
    <w:rsid w:val="004074A8"/>
    <w:rsid w:val="004117E1"/>
    <w:rsid w:val="00414079"/>
    <w:rsid w:val="00415365"/>
    <w:rsid w:val="00415676"/>
    <w:rsid w:val="00416139"/>
    <w:rsid w:val="00416411"/>
    <w:rsid w:val="0042026A"/>
    <w:rsid w:val="004223F5"/>
    <w:rsid w:val="00426E34"/>
    <w:rsid w:val="00431C7E"/>
    <w:rsid w:val="00431CE9"/>
    <w:rsid w:val="00435E7F"/>
    <w:rsid w:val="0043772D"/>
    <w:rsid w:val="00440AA6"/>
    <w:rsid w:val="00442170"/>
    <w:rsid w:val="00444BF5"/>
    <w:rsid w:val="004465B6"/>
    <w:rsid w:val="0045146F"/>
    <w:rsid w:val="004535EA"/>
    <w:rsid w:val="00453AA6"/>
    <w:rsid w:val="00456BB2"/>
    <w:rsid w:val="00457069"/>
    <w:rsid w:val="00460242"/>
    <w:rsid w:val="004604D4"/>
    <w:rsid w:val="004627A1"/>
    <w:rsid w:val="00463093"/>
    <w:rsid w:val="00463820"/>
    <w:rsid w:val="004667A6"/>
    <w:rsid w:val="00466BB2"/>
    <w:rsid w:val="00466C98"/>
    <w:rsid w:val="00471526"/>
    <w:rsid w:val="0047255D"/>
    <w:rsid w:val="004727B0"/>
    <w:rsid w:val="00473B65"/>
    <w:rsid w:val="00475F8F"/>
    <w:rsid w:val="00480F07"/>
    <w:rsid w:val="00485713"/>
    <w:rsid w:val="00486442"/>
    <w:rsid w:val="00486654"/>
    <w:rsid w:val="00491298"/>
    <w:rsid w:val="00491F01"/>
    <w:rsid w:val="00496245"/>
    <w:rsid w:val="00496768"/>
    <w:rsid w:val="004A15D1"/>
    <w:rsid w:val="004A2256"/>
    <w:rsid w:val="004B4F21"/>
    <w:rsid w:val="004B4FB8"/>
    <w:rsid w:val="004B65B0"/>
    <w:rsid w:val="004B7E98"/>
    <w:rsid w:val="004B7F57"/>
    <w:rsid w:val="004C092A"/>
    <w:rsid w:val="004C19C5"/>
    <w:rsid w:val="004C43EE"/>
    <w:rsid w:val="004C5AE8"/>
    <w:rsid w:val="004C5BDF"/>
    <w:rsid w:val="004D22DD"/>
    <w:rsid w:val="004D2328"/>
    <w:rsid w:val="004D30E6"/>
    <w:rsid w:val="004D6A20"/>
    <w:rsid w:val="004D6D8C"/>
    <w:rsid w:val="004D7A75"/>
    <w:rsid w:val="004E3CB0"/>
    <w:rsid w:val="004E4D32"/>
    <w:rsid w:val="004E4E07"/>
    <w:rsid w:val="004E55C9"/>
    <w:rsid w:val="004F000D"/>
    <w:rsid w:val="004F18B8"/>
    <w:rsid w:val="004F19D1"/>
    <w:rsid w:val="004F5111"/>
    <w:rsid w:val="004F5875"/>
    <w:rsid w:val="004F75F8"/>
    <w:rsid w:val="004F7E65"/>
    <w:rsid w:val="00500E7A"/>
    <w:rsid w:val="005013C3"/>
    <w:rsid w:val="00502538"/>
    <w:rsid w:val="00505F4C"/>
    <w:rsid w:val="00507231"/>
    <w:rsid w:val="005101AA"/>
    <w:rsid w:val="00510935"/>
    <w:rsid w:val="00512020"/>
    <w:rsid w:val="00512F94"/>
    <w:rsid w:val="005154D6"/>
    <w:rsid w:val="00516110"/>
    <w:rsid w:val="00516C01"/>
    <w:rsid w:val="00521D9F"/>
    <w:rsid w:val="005250C6"/>
    <w:rsid w:val="00525573"/>
    <w:rsid w:val="00531054"/>
    <w:rsid w:val="00540153"/>
    <w:rsid w:val="005404C3"/>
    <w:rsid w:val="00540D0B"/>
    <w:rsid w:val="00541319"/>
    <w:rsid w:val="005420DD"/>
    <w:rsid w:val="00546BFB"/>
    <w:rsid w:val="00547BF9"/>
    <w:rsid w:val="00552B40"/>
    <w:rsid w:val="005571D6"/>
    <w:rsid w:val="005641BE"/>
    <w:rsid w:val="005652A7"/>
    <w:rsid w:val="00566D52"/>
    <w:rsid w:val="005704DE"/>
    <w:rsid w:val="00570973"/>
    <w:rsid w:val="005712EC"/>
    <w:rsid w:val="005718C1"/>
    <w:rsid w:val="00572D45"/>
    <w:rsid w:val="00574CBB"/>
    <w:rsid w:val="005751C5"/>
    <w:rsid w:val="00576CE2"/>
    <w:rsid w:val="00582A6E"/>
    <w:rsid w:val="00583D3B"/>
    <w:rsid w:val="00586B59"/>
    <w:rsid w:val="00587827"/>
    <w:rsid w:val="0059212C"/>
    <w:rsid w:val="005940CF"/>
    <w:rsid w:val="00595DDA"/>
    <w:rsid w:val="005A2EDB"/>
    <w:rsid w:val="005A3091"/>
    <w:rsid w:val="005A320D"/>
    <w:rsid w:val="005A62A9"/>
    <w:rsid w:val="005B02B7"/>
    <w:rsid w:val="005B0DB6"/>
    <w:rsid w:val="005B4ED8"/>
    <w:rsid w:val="005B627B"/>
    <w:rsid w:val="005B675E"/>
    <w:rsid w:val="005C0F11"/>
    <w:rsid w:val="005C5E68"/>
    <w:rsid w:val="005C6734"/>
    <w:rsid w:val="005D168B"/>
    <w:rsid w:val="005D2B50"/>
    <w:rsid w:val="005D324F"/>
    <w:rsid w:val="005D3E90"/>
    <w:rsid w:val="005D7890"/>
    <w:rsid w:val="005D7A91"/>
    <w:rsid w:val="005E0816"/>
    <w:rsid w:val="005E18A3"/>
    <w:rsid w:val="005E21B4"/>
    <w:rsid w:val="005E2CDC"/>
    <w:rsid w:val="005E36DD"/>
    <w:rsid w:val="005E4ABD"/>
    <w:rsid w:val="005E6537"/>
    <w:rsid w:val="005E74CB"/>
    <w:rsid w:val="005F0E3A"/>
    <w:rsid w:val="005F48F7"/>
    <w:rsid w:val="005F5CA1"/>
    <w:rsid w:val="005F6C55"/>
    <w:rsid w:val="005F72D7"/>
    <w:rsid w:val="00600C12"/>
    <w:rsid w:val="00601158"/>
    <w:rsid w:val="00602FE4"/>
    <w:rsid w:val="00605BC6"/>
    <w:rsid w:val="006076CD"/>
    <w:rsid w:val="00607CDA"/>
    <w:rsid w:val="00617326"/>
    <w:rsid w:val="00620C00"/>
    <w:rsid w:val="00620DAA"/>
    <w:rsid w:val="006220C5"/>
    <w:rsid w:val="00623F68"/>
    <w:rsid w:val="00625D6A"/>
    <w:rsid w:val="0063031B"/>
    <w:rsid w:val="0063091A"/>
    <w:rsid w:val="00631068"/>
    <w:rsid w:val="006334E3"/>
    <w:rsid w:val="00633D6D"/>
    <w:rsid w:val="00633E06"/>
    <w:rsid w:val="00637DF7"/>
    <w:rsid w:val="00640234"/>
    <w:rsid w:val="006406D9"/>
    <w:rsid w:val="00641E51"/>
    <w:rsid w:val="00642B9B"/>
    <w:rsid w:val="006436AD"/>
    <w:rsid w:val="00643B4A"/>
    <w:rsid w:val="006448B4"/>
    <w:rsid w:val="00647D05"/>
    <w:rsid w:val="006504A4"/>
    <w:rsid w:val="0065160C"/>
    <w:rsid w:val="006565DC"/>
    <w:rsid w:val="00657864"/>
    <w:rsid w:val="00660A55"/>
    <w:rsid w:val="00661068"/>
    <w:rsid w:val="006621A8"/>
    <w:rsid w:val="006621CD"/>
    <w:rsid w:val="00674833"/>
    <w:rsid w:val="00676FCA"/>
    <w:rsid w:val="00680244"/>
    <w:rsid w:val="00681625"/>
    <w:rsid w:val="00683A59"/>
    <w:rsid w:val="00684A57"/>
    <w:rsid w:val="00685A99"/>
    <w:rsid w:val="00691619"/>
    <w:rsid w:val="00691AD8"/>
    <w:rsid w:val="00692857"/>
    <w:rsid w:val="00694C47"/>
    <w:rsid w:val="00697A8F"/>
    <w:rsid w:val="006A1DB0"/>
    <w:rsid w:val="006A2278"/>
    <w:rsid w:val="006A49B2"/>
    <w:rsid w:val="006B2379"/>
    <w:rsid w:val="006B2DEF"/>
    <w:rsid w:val="006B3FB6"/>
    <w:rsid w:val="006B40E4"/>
    <w:rsid w:val="006B4E8C"/>
    <w:rsid w:val="006C1869"/>
    <w:rsid w:val="006C5A8C"/>
    <w:rsid w:val="006C6793"/>
    <w:rsid w:val="006C686B"/>
    <w:rsid w:val="006C6C9E"/>
    <w:rsid w:val="006D065B"/>
    <w:rsid w:val="006D0FE3"/>
    <w:rsid w:val="006D3C7E"/>
    <w:rsid w:val="006D6A44"/>
    <w:rsid w:val="006E0D85"/>
    <w:rsid w:val="006E1B94"/>
    <w:rsid w:val="006E3E7E"/>
    <w:rsid w:val="006E466E"/>
    <w:rsid w:val="006E547B"/>
    <w:rsid w:val="006E7C2A"/>
    <w:rsid w:val="006F0B9A"/>
    <w:rsid w:val="006F1B45"/>
    <w:rsid w:val="006F54D1"/>
    <w:rsid w:val="006F5B28"/>
    <w:rsid w:val="006F66ED"/>
    <w:rsid w:val="007026D9"/>
    <w:rsid w:val="0070366A"/>
    <w:rsid w:val="0070515E"/>
    <w:rsid w:val="00705E0A"/>
    <w:rsid w:val="00707837"/>
    <w:rsid w:val="00707FA9"/>
    <w:rsid w:val="007104BB"/>
    <w:rsid w:val="00715C35"/>
    <w:rsid w:val="00717824"/>
    <w:rsid w:val="00727845"/>
    <w:rsid w:val="00730EF6"/>
    <w:rsid w:val="00732C56"/>
    <w:rsid w:val="00742CB1"/>
    <w:rsid w:val="007449AB"/>
    <w:rsid w:val="007450C2"/>
    <w:rsid w:val="007458D7"/>
    <w:rsid w:val="00751A1C"/>
    <w:rsid w:val="00755D05"/>
    <w:rsid w:val="0076029E"/>
    <w:rsid w:val="00762617"/>
    <w:rsid w:val="007642B5"/>
    <w:rsid w:val="0076483E"/>
    <w:rsid w:val="00766B3F"/>
    <w:rsid w:val="00766CFA"/>
    <w:rsid w:val="007676B9"/>
    <w:rsid w:val="007706A0"/>
    <w:rsid w:val="0077147F"/>
    <w:rsid w:val="0077259B"/>
    <w:rsid w:val="00775DA0"/>
    <w:rsid w:val="00776003"/>
    <w:rsid w:val="0077722A"/>
    <w:rsid w:val="0077745D"/>
    <w:rsid w:val="0078234F"/>
    <w:rsid w:val="00793237"/>
    <w:rsid w:val="00796F97"/>
    <w:rsid w:val="007970FF"/>
    <w:rsid w:val="007A00C7"/>
    <w:rsid w:val="007A1D59"/>
    <w:rsid w:val="007A2393"/>
    <w:rsid w:val="007A5C0E"/>
    <w:rsid w:val="007A5C28"/>
    <w:rsid w:val="007B3429"/>
    <w:rsid w:val="007B4C71"/>
    <w:rsid w:val="007B525D"/>
    <w:rsid w:val="007B6618"/>
    <w:rsid w:val="007C1EAB"/>
    <w:rsid w:val="007C2112"/>
    <w:rsid w:val="007C3BB8"/>
    <w:rsid w:val="007D487E"/>
    <w:rsid w:val="007D50A9"/>
    <w:rsid w:val="007D5B39"/>
    <w:rsid w:val="007D7312"/>
    <w:rsid w:val="007D7C16"/>
    <w:rsid w:val="007D7E4C"/>
    <w:rsid w:val="007E33CC"/>
    <w:rsid w:val="007E473E"/>
    <w:rsid w:val="007E4CE4"/>
    <w:rsid w:val="007E5553"/>
    <w:rsid w:val="007F1784"/>
    <w:rsid w:val="007F59DF"/>
    <w:rsid w:val="007F5D0E"/>
    <w:rsid w:val="0080249E"/>
    <w:rsid w:val="00803504"/>
    <w:rsid w:val="0080421D"/>
    <w:rsid w:val="00804D2A"/>
    <w:rsid w:val="008056FD"/>
    <w:rsid w:val="00806531"/>
    <w:rsid w:val="00806BF3"/>
    <w:rsid w:val="00806D53"/>
    <w:rsid w:val="00811A9B"/>
    <w:rsid w:val="00812345"/>
    <w:rsid w:val="00813E5C"/>
    <w:rsid w:val="00816988"/>
    <w:rsid w:val="0082248A"/>
    <w:rsid w:val="00831A4B"/>
    <w:rsid w:val="00833A9F"/>
    <w:rsid w:val="00835A9F"/>
    <w:rsid w:val="00841BCC"/>
    <w:rsid w:val="00842375"/>
    <w:rsid w:val="00844AA0"/>
    <w:rsid w:val="00846B89"/>
    <w:rsid w:val="008538F5"/>
    <w:rsid w:val="00853C1D"/>
    <w:rsid w:val="008566DD"/>
    <w:rsid w:val="008572A9"/>
    <w:rsid w:val="008609B6"/>
    <w:rsid w:val="008625A5"/>
    <w:rsid w:val="0086271B"/>
    <w:rsid w:val="0086644F"/>
    <w:rsid w:val="00872A79"/>
    <w:rsid w:val="00877C52"/>
    <w:rsid w:val="00881376"/>
    <w:rsid w:val="008919BB"/>
    <w:rsid w:val="0089486E"/>
    <w:rsid w:val="008948B7"/>
    <w:rsid w:val="008A1747"/>
    <w:rsid w:val="008A1A9F"/>
    <w:rsid w:val="008A1C4A"/>
    <w:rsid w:val="008A480D"/>
    <w:rsid w:val="008B2DB6"/>
    <w:rsid w:val="008B3F53"/>
    <w:rsid w:val="008B4C93"/>
    <w:rsid w:val="008C2401"/>
    <w:rsid w:val="008C2841"/>
    <w:rsid w:val="008C48CA"/>
    <w:rsid w:val="008C4EFA"/>
    <w:rsid w:val="008C5302"/>
    <w:rsid w:val="008C6657"/>
    <w:rsid w:val="008D4E41"/>
    <w:rsid w:val="008E0544"/>
    <w:rsid w:val="008E1230"/>
    <w:rsid w:val="008E2D54"/>
    <w:rsid w:val="008E3644"/>
    <w:rsid w:val="008E38BC"/>
    <w:rsid w:val="008E60A4"/>
    <w:rsid w:val="008E718C"/>
    <w:rsid w:val="008E7DC6"/>
    <w:rsid w:val="008F0524"/>
    <w:rsid w:val="008F26E3"/>
    <w:rsid w:val="008F2A0C"/>
    <w:rsid w:val="009014F7"/>
    <w:rsid w:val="00903210"/>
    <w:rsid w:val="009032B0"/>
    <w:rsid w:val="00903C69"/>
    <w:rsid w:val="0090546D"/>
    <w:rsid w:val="0090776F"/>
    <w:rsid w:val="00912F86"/>
    <w:rsid w:val="009136E3"/>
    <w:rsid w:val="00914C16"/>
    <w:rsid w:val="00915D38"/>
    <w:rsid w:val="00917AEC"/>
    <w:rsid w:val="00921740"/>
    <w:rsid w:val="00924935"/>
    <w:rsid w:val="00937AB2"/>
    <w:rsid w:val="00940E1F"/>
    <w:rsid w:val="00941308"/>
    <w:rsid w:val="009416C6"/>
    <w:rsid w:val="00942EF0"/>
    <w:rsid w:val="00944588"/>
    <w:rsid w:val="00944D7D"/>
    <w:rsid w:val="009463DC"/>
    <w:rsid w:val="00946C7B"/>
    <w:rsid w:val="0095066B"/>
    <w:rsid w:val="00950A31"/>
    <w:rsid w:val="0095155C"/>
    <w:rsid w:val="00953CE4"/>
    <w:rsid w:val="0095429C"/>
    <w:rsid w:val="00961C77"/>
    <w:rsid w:val="00962093"/>
    <w:rsid w:val="009635CA"/>
    <w:rsid w:val="00965C38"/>
    <w:rsid w:val="0096612E"/>
    <w:rsid w:val="00971649"/>
    <w:rsid w:val="0097400C"/>
    <w:rsid w:val="0097504D"/>
    <w:rsid w:val="00991243"/>
    <w:rsid w:val="00992D8C"/>
    <w:rsid w:val="00992E19"/>
    <w:rsid w:val="009930E1"/>
    <w:rsid w:val="009971E7"/>
    <w:rsid w:val="009A4BC3"/>
    <w:rsid w:val="009A4E83"/>
    <w:rsid w:val="009A6243"/>
    <w:rsid w:val="009B278B"/>
    <w:rsid w:val="009B2E6E"/>
    <w:rsid w:val="009B6042"/>
    <w:rsid w:val="009B77D4"/>
    <w:rsid w:val="009D09E8"/>
    <w:rsid w:val="009D1182"/>
    <w:rsid w:val="009E0401"/>
    <w:rsid w:val="009E0837"/>
    <w:rsid w:val="009E1A44"/>
    <w:rsid w:val="009E57B3"/>
    <w:rsid w:val="009F1C64"/>
    <w:rsid w:val="009F4253"/>
    <w:rsid w:val="009F6B7D"/>
    <w:rsid w:val="00A0017E"/>
    <w:rsid w:val="00A033B1"/>
    <w:rsid w:val="00A04401"/>
    <w:rsid w:val="00A078A6"/>
    <w:rsid w:val="00A07BA7"/>
    <w:rsid w:val="00A113A4"/>
    <w:rsid w:val="00A11A05"/>
    <w:rsid w:val="00A122AD"/>
    <w:rsid w:val="00A127CB"/>
    <w:rsid w:val="00A14429"/>
    <w:rsid w:val="00A160BD"/>
    <w:rsid w:val="00A172D9"/>
    <w:rsid w:val="00A22512"/>
    <w:rsid w:val="00A2320C"/>
    <w:rsid w:val="00A276B4"/>
    <w:rsid w:val="00A31D3E"/>
    <w:rsid w:val="00A32643"/>
    <w:rsid w:val="00A3283E"/>
    <w:rsid w:val="00A32FE9"/>
    <w:rsid w:val="00A362A2"/>
    <w:rsid w:val="00A3694A"/>
    <w:rsid w:val="00A37ADB"/>
    <w:rsid w:val="00A427BE"/>
    <w:rsid w:val="00A43C06"/>
    <w:rsid w:val="00A4734A"/>
    <w:rsid w:val="00A51474"/>
    <w:rsid w:val="00A524BF"/>
    <w:rsid w:val="00A53C4E"/>
    <w:rsid w:val="00A56285"/>
    <w:rsid w:val="00A61A66"/>
    <w:rsid w:val="00A64FA8"/>
    <w:rsid w:val="00A669BA"/>
    <w:rsid w:val="00A67A10"/>
    <w:rsid w:val="00A705E3"/>
    <w:rsid w:val="00A7577D"/>
    <w:rsid w:val="00A75818"/>
    <w:rsid w:val="00A8031A"/>
    <w:rsid w:val="00A808AE"/>
    <w:rsid w:val="00A80F00"/>
    <w:rsid w:val="00A81A58"/>
    <w:rsid w:val="00A85D75"/>
    <w:rsid w:val="00A90990"/>
    <w:rsid w:val="00A90A0B"/>
    <w:rsid w:val="00A913A7"/>
    <w:rsid w:val="00A937EA"/>
    <w:rsid w:val="00A95B93"/>
    <w:rsid w:val="00AB01D9"/>
    <w:rsid w:val="00AC2AE1"/>
    <w:rsid w:val="00AC3F87"/>
    <w:rsid w:val="00AC41D8"/>
    <w:rsid w:val="00AC4C51"/>
    <w:rsid w:val="00AD0B7B"/>
    <w:rsid w:val="00AD1038"/>
    <w:rsid w:val="00AD126F"/>
    <w:rsid w:val="00AD4E40"/>
    <w:rsid w:val="00AD4F51"/>
    <w:rsid w:val="00AD6162"/>
    <w:rsid w:val="00AE048E"/>
    <w:rsid w:val="00AE08A7"/>
    <w:rsid w:val="00AE08DC"/>
    <w:rsid w:val="00AE13CC"/>
    <w:rsid w:val="00AE1431"/>
    <w:rsid w:val="00AE3E60"/>
    <w:rsid w:val="00AE7793"/>
    <w:rsid w:val="00AF22B0"/>
    <w:rsid w:val="00AF2E68"/>
    <w:rsid w:val="00AF3ABB"/>
    <w:rsid w:val="00AF3C7B"/>
    <w:rsid w:val="00B045A1"/>
    <w:rsid w:val="00B04865"/>
    <w:rsid w:val="00B04FBF"/>
    <w:rsid w:val="00B05DBA"/>
    <w:rsid w:val="00B07A88"/>
    <w:rsid w:val="00B11261"/>
    <w:rsid w:val="00B11A1D"/>
    <w:rsid w:val="00B12E2E"/>
    <w:rsid w:val="00B13647"/>
    <w:rsid w:val="00B152FC"/>
    <w:rsid w:val="00B16510"/>
    <w:rsid w:val="00B21584"/>
    <w:rsid w:val="00B24884"/>
    <w:rsid w:val="00B31A2C"/>
    <w:rsid w:val="00B400A8"/>
    <w:rsid w:val="00B42C2A"/>
    <w:rsid w:val="00B453F4"/>
    <w:rsid w:val="00B45687"/>
    <w:rsid w:val="00B458DF"/>
    <w:rsid w:val="00B6368D"/>
    <w:rsid w:val="00B64198"/>
    <w:rsid w:val="00B64E00"/>
    <w:rsid w:val="00B67356"/>
    <w:rsid w:val="00B67E58"/>
    <w:rsid w:val="00B7405A"/>
    <w:rsid w:val="00B759D4"/>
    <w:rsid w:val="00B75D42"/>
    <w:rsid w:val="00B779E1"/>
    <w:rsid w:val="00B77BDC"/>
    <w:rsid w:val="00B80192"/>
    <w:rsid w:val="00B80E7F"/>
    <w:rsid w:val="00B82BCB"/>
    <w:rsid w:val="00B848CA"/>
    <w:rsid w:val="00B90EDC"/>
    <w:rsid w:val="00B913A0"/>
    <w:rsid w:val="00B9144F"/>
    <w:rsid w:val="00B93A37"/>
    <w:rsid w:val="00BA0CBC"/>
    <w:rsid w:val="00BA1CB8"/>
    <w:rsid w:val="00BA2F9F"/>
    <w:rsid w:val="00BA7024"/>
    <w:rsid w:val="00BB06D1"/>
    <w:rsid w:val="00BB2AF0"/>
    <w:rsid w:val="00BB3306"/>
    <w:rsid w:val="00BB354B"/>
    <w:rsid w:val="00BB68A1"/>
    <w:rsid w:val="00BC2EF0"/>
    <w:rsid w:val="00BC53EC"/>
    <w:rsid w:val="00BD0DF4"/>
    <w:rsid w:val="00BD22A2"/>
    <w:rsid w:val="00BD3AF0"/>
    <w:rsid w:val="00BD6E6A"/>
    <w:rsid w:val="00BE022B"/>
    <w:rsid w:val="00BE0538"/>
    <w:rsid w:val="00BE0591"/>
    <w:rsid w:val="00BE0FF4"/>
    <w:rsid w:val="00BE2F86"/>
    <w:rsid w:val="00BE328C"/>
    <w:rsid w:val="00BE43B6"/>
    <w:rsid w:val="00BE5035"/>
    <w:rsid w:val="00BE532B"/>
    <w:rsid w:val="00BE57CA"/>
    <w:rsid w:val="00BE6087"/>
    <w:rsid w:val="00BE6806"/>
    <w:rsid w:val="00BE7DB6"/>
    <w:rsid w:val="00BF4EE0"/>
    <w:rsid w:val="00BF5609"/>
    <w:rsid w:val="00C00DF4"/>
    <w:rsid w:val="00C054A5"/>
    <w:rsid w:val="00C10A6A"/>
    <w:rsid w:val="00C114A4"/>
    <w:rsid w:val="00C15F62"/>
    <w:rsid w:val="00C23216"/>
    <w:rsid w:val="00C25BA8"/>
    <w:rsid w:val="00C25FF7"/>
    <w:rsid w:val="00C27F04"/>
    <w:rsid w:val="00C3325B"/>
    <w:rsid w:val="00C344D8"/>
    <w:rsid w:val="00C37017"/>
    <w:rsid w:val="00C405B8"/>
    <w:rsid w:val="00C444B8"/>
    <w:rsid w:val="00C444C3"/>
    <w:rsid w:val="00C5295C"/>
    <w:rsid w:val="00C5301B"/>
    <w:rsid w:val="00C560BE"/>
    <w:rsid w:val="00C564B7"/>
    <w:rsid w:val="00C5727C"/>
    <w:rsid w:val="00C577CA"/>
    <w:rsid w:val="00C57F86"/>
    <w:rsid w:val="00C6145D"/>
    <w:rsid w:val="00C61B6B"/>
    <w:rsid w:val="00C70C69"/>
    <w:rsid w:val="00C711CA"/>
    <w:rsid w:val="00C772AD"/>
    <w:rsid w:val="00C776F4"/>
    <w:rsid w:val="00C80433"/>
    <w:rsid w:val="00C8157B"/>
    <w:rsid w:val="00C852EB"/>
    <w:rsid w:val="00C8658F"/>
    <w:rsid w:val="00C9069F"/>
    <w:rsid w:val="00C91393"/>
    <w:rsid w:val="00C914C8"/>
    <w:rsid w:val="00C91DD3"/>
    <w:rsid w:val="00C93716"/>
    <w:rsid w:val="00CA3565"/>
    <w:rsid w:val="00CA6858"/>
    <w:rsid w:val="00CA7189"/>
    <w:rsid w:val="00CB082F"/>
    <w:rsid w:val="00CB2CDD"/>
    <w:rsid w:val="00CB394D"/>
    <w:rsid w:val="00CB5AAF"/>
    <w:rsid w:val="00CB6C8D"/>
    <w:rsid w:val="00CB6CD1"/>
    <w:rsid w:val="00CC5EE9"/>
    <w:rsid w:val="00CD0519"/>
    <w:rsid w:val="00CD0658"/>
    <w:rsid w:val="00CD2C93"/>
    <w:rsid w:val="00CD3C06"/>
    <w:rsid w:val="00CD4130"/>
    <w:rsid w:val="00CD5141"/>
    <w:rsid w:val="00CD5704"/>
    <w:rsid w:val="00CE10F2"/>
    <w:rsid w:val="00CE369D"/>
    <w:rsid w:val="00CE53DA"/>
    <w:rsid w:val="00CE6C36"/>
    <w:rsid w:val="00CF2D81"/>
    <w:rsid w:val="00CF4C30"/>
    <w:rsid w:val="00CF5CBA"/>
    <w:rsid w:val="00D00DC0"/>
    <w:rsid w:val="00D012CE"/>
    <w:rsid w:val="00D017DE"/>
    <w:rsid w:val="00D07E1A"/>
    <w:rsid w:val="00D102E2"/>
    <w:rsid w:val="00D11B51"/>
    <w:rsid w:val="00D12131"/>
    <w:rsid w:val="00D16E0C"/>
    <w:rsid w:val="00D2017A"/>
    <w:rsid w:val="00D21C30"/>
    <w:rsid w:val="00D233C9"/>
    <w:rsid w:val="00D23758"/>
    <w:rsid w:val="00D26A11"/>
    <w:rsid w:val="00D2753C"/>
    <w:rsid w:val="00D30F40"/>
    <w:rsid w:val="00D329A9"/>
    <w:rsid w:val="00D346AD"/>
    <w:rsid w:val="00D346CA"/>
    <w:rsid w:val="00D409DB"/>
    <w:rsid w:val="00D412FD"/>
    <w:rsid w:val="00D41889"/>
    <w:rsid w:val="00D52675"/>
    <w:rsid w:val="00D6053B"/>
    <w:rsid w:val="00D61850"/>
    <w:rsid w:val="00D61962"/>
    <w:rsid w:val="00D637C6"/>
    <w:rsid w:val="00D66FEA"/>
    <w:rsid w:val="00D67F81"/>
    <w:rsid w:val="00D70CDB"/>
    <w:rsid w:val="00D71CDA"/>
    <w:rsid w:val="00D72259"/>
    <w:rsid w:val="00D77071"/>
    <w:rsid w:val="00D8111F"/>
    <w:rsid w:val="00D81AB7"/>
    <w:rsid w:val="00D82BD0"/>
    <w:rsid w:val="00D8423B"/>
    <w:rsid w:val="00D84C9F"/>
    <w:rsid w:val="00D8596C"/>
    <w:rsid w:val="00D871F8"/>
    <w:rsid w:val="00D90F34"/>
    <w:rsid w:val="00D91BAA"/>
    <w:rsid w:val="00D92A72"/>
    <w:rsid w:val="00D92ED6"/>
    <w:rsid w:val="00D962E4"/>
    <w:rsid w:val="00D96878"/>
    <w:rsid w:val="00DA0D9A"/>
    <w:rsid w:val="00DA242D"/>
    <w:rsid w:val="00DB2EF7"/>
    <w:rsid w:val="00DB4B07"/>
    <w:rsid w:val="00DB7C0A"/>
    <w:rsid w:val="00DC03D6"/>
    <w:rsid w:val="00DC38BF"/>
    <w:rsid w:val="00DC4664"/>
    <w:rsid w:val="00DC4B30"/>
    <w:rsid w:val="00DC68F9"/>
    <w:rsid w:val="00DD0854"/>
    <w:rsid w:val="00DE30EA"/>
    <w:rsid w:val="00DE610B"/>
    <w:rsid w:val="00DF0E62"/>
    <w:rsid w:val="00DF3DC0"/>
    <w:rsid w:val="00DF5BA0"/>
    <w:rsid w:val="00DF7D17"/>
    <w:rsid w:val="00E030D6"/>
    <w:rsid w:val="00E04001"/>
    <w:rsid w:val="00E06E89"/>
    <w:rsid w:val="00E070D5"/>
    <w:rsid w:val="00E07BA8"/>
    <w:rsid w:val="00E106F8"/>
    <w:rsid w:val="00E1092B"/>
    <w:rsid w:val="00E10A21"/>
    <w:rsid w:val="00E14D03"/>
    <w:rsid w:val="00E169B5"/>
    <w:rsid w:val="00E16C41"/>
    <w:rsid w:val="00E16E3F"/>
    <w:rsid w:val="00E20CB3"/>
    <w:rsid w:val="00E220EB"/>
    <w:rsid w:val="00E23DF8"/>
    <w:rsid w:val="00E241DB"/>
    <w:rsid w:val="00E24D2F"/>
    <w:rsid w:val="00E303B5"/>
    <w:rsid w:val="00E304DA"/>
    <w:rsid w:val="00E36F3A"/>
    <w:rsid w:val="00E370BB"/>
    <w:rsid w:val="00E44131"/>
    <w:rsid w:val="00E44E73"/>
    <w:rsid w:val="00E450CA"/>
    <w:rsid w:val="00E47454"/>
    <w:rsid w:val="00E47D6E"/>
    <w:rsid w:val="00E56B05"/>
    <w:rsid w:val="00E56FA9"/>
    <w:rsid w:val="00E57750"/>
    <w:rsid w:val="00E61179"/>
    <w:rsid w:val="00E62F3A"/>
    <w:rsid w:val="00E632B5"/>
    <w:rsid w:val="00E64460"/>
    <w:rsid w:val="00E64AED"/>
    <w:rsid w:val="00E71C35"/>
    <w:rsid w:val="00E73775"/>
    <w:rsid w:val="00E74C0F"/>
    <w:rsid w:val="00E76BC6"/>
    <w:rsid w:val="00E83A99"/>
    <w:rsid w:val="00E85227"/>
    <w:rsid w:val="00E872B7"/>
    <w:rsid w:val="00E87E15"/>
    <w:rsid w:val="00E90A8E"/>
    <w:rsid w:val="00E9139A"/>
    <w:rsid w:val="00E924CC"/>
    <w:rsid w:val="00E92FD1"/>
    <w:rsid w:val="00EA072E"/>
    <w:rsid w:val="00EA3E7E"/>
    <w:rsid w:val="00EA4434"/>
    <w:rsid w:val="00EA55DC"/>
    <w:rsid w:val="00EB0B72"/>
    <w:rsid w:val="00EB3BD0"/>
    <w:rsid w:val="00EB3F6D"/>
    <w:rsid w:val="00EB6FA8"/>
    <w:rsid w:val="00EC01FF"/>
    <w:rsid w:val="00EC19EC"/>
    <w:rsid w:val="00EC2E93"/>
    <w:rsid w:val="00EC779A"/>
    <w:rsid w:val="00ED107D"/>
    <w:rsid w:val="00ED23C2"/>
    <w:rsid w:val="00ED24F6"/>
    <w:rsid w:val="00ED6012"/>
    <w:rsid w:val="00ED638F"/>
    <w:rsid w:val="00ED6911"/>
    <w:rsid w:val="00EE197E"/>
    <w:rsid w:val="00EE7801"/>
    <w:rsid w:val="00EF0707"/>
    <w:rsid w:val="00EF1FEA"/>
    <w:rsid w:val="00EF243B"/>
    <w:rsid w:val="00EF2B6E"/>
    <w:rsid w:val="00EF44A9"/>
    <w:rsid w:val="00EF55EC"/>
    <w:rsid w:val="00EF5814"/>
    <w:rsid w:val="00EF59A7"/>
    <w:rsid w:val="00EF66CD"/>
    <w:rsid w:val="00F0042B"/>
    <w:rsid w:val="00F01DDC"/>
    <w:rsid w:val="00F03D4D"/>
    <w:rsid w:val="00F03EC7"/>
    <w:rsid w:val="00F04D98"/>
    <w:rsid w:val="00F105BA"/>
    <w:rsid w:val="00F1260A"/>
    <w:rsid w:val="00F202F7"/>
    <w:rsid w:val="00F22F16"/>
    <w:rsid w:val="00F23CE2"/>
    <w:rsid w:val="00F254AF"/>
    <w:rsid w:val="00F30107"/>
    <w:rsid w:val="00F3033A"/>
    <w:rsid w:val="00F30E47"/>
    <w:rsid w:val="00F3373B"/>
    <w:rsid w:val="00F3665F"/>
    <w:rsid w:val="00F37D2B"/>
    <w:rsid w:val="00F40B59"/>
    <w:rsid w:val="00F4283A"/>
    <w:rsid w:val="00F438E3"/>
    <w:rsid w:val="00F45ED6"/>
    <w:rsid w:val="00F5300F"/>
    <w:rsid w:val="00F54878"/>
    <w:rsid w:val="00F54E8B"/>
    <w:rsid w:val="00F556C8"/>
    <w:rsid w:val="00F610F3"/>
    <w:rsid w:val="00F632A8"/>
    <w:rsid w:val="00F6506B"/>
    <w:rsid w:val="00F66995"/>
    <w:rsid w:val="00F803EA"/>
    <w:rsid w:val="00F8600A"/>
    <w:rsid w:val="00F87191"/>
    <w:rsid w:val="00F913E1"/>
    <w:rsid w:val="00F927FB"/>
    <w:rsid w:val="00F92B9D"/>
    <w:rsid w:val="00F93013"/>
    <w:rsid w:val="00F940A3"/>
    <w:rsid w:val="00F94767"/>
    <w:rsid w:val="00F95FAE"/>
    <w:rsid w:val="00FA0A56"/>
    <w:rsid w:val="00FA3BCB"/>
    <w:rsid w:val="00FA6AD5"/>
    <w:rsid w:val="00FB2096"/>
    <w:rsid w:val="00FB3414"/>
    <w:rsid w:val="00FC2F18"/>
    <w:rsid w:val="00FC4B1F"/>
    <w:rsid w:val="00FC70B5"/>
    <w:rsid w:val="00FC77A2"/>
    <w:rsid w:val="00FD1CCA"/>
    <w:rsid w:val="00FD7E45"/>
    <w:rsid w:val="00FE0A76"/>
    <w:rsid w:val="00FE2E50"/>
    <w:rsid w:val="00FE3BEC"/>
    <w:rsid w:val="00FE546C"/>
    <w:rsid w:val="00FE610A"/>
    <w:rsid w:val="00FF0804"/>
    <w:rsid w:val="00FF4A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2FE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3B"/>
    <w:pPr>
      <w:ind w:left="720"/>
      <w:contextualSpacing/>
    </w:pPr>
  </w:style>
  <w:style w:type="paragraph" w:styleId="Header">
    <w:name w:val="header"/>
    <w:basedOn w:val="Normal"/>
    <w:link w:val="HeaderChar"/>
    <w:uiPriority w:val="99"/>
    <w:unhideWhenUsed/>
    <w:rsid w:val="00E45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0CA"/>
  </w:style>
  <w:style w:type="paragraph" w:styleId="Footer">
    <w:name w:val="footer"/>
    <w:basedOn w:val="Normal"/>
    <w:link w:val="FooterChar"/>
    <w:uiPriority w:val="99"/>
    <w:unhideWhenUsed/>
    <w:rsid w:val="00E45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0CA"/>
  </w:style>
  <w:style w:type="paragraph" w:styleId="FootnoteText">
    <w:name w:val="footnote text"/>
    <w:basedOn w:val="Normal"/>
    <w:link w:val="FootnoteTextChar"/>
    <w:uiPriority w:val="99"/>
    <w:semiHidden/>
    <w:unhideWhenUsed/>
    <w:rsid w:val="00170F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F23"/>
    <w:rPr>
      <w:sz w:val="20"/>
      <w:szCs w:val="20"/>
    </w:rPr>
  </w:style>
  <w:style w:type="character" w:styleId="FootnoteReference">
    <w:name w:val="footnote reference"/>
    <w:basedOn w:val="DefaultParagraphFont"/>
    <w:uiPriority w:val="99"/>
    <w:semiHidden/>
    <w:unhideWhenUsed/>
    <w:rsid w:val="00170F23"/>
    <w:rPr>
      <w:vertAlign w:val="superscript"/>
    </w:rPr>
  </w:style>
  <w:style w:type="paragraph" w:styleId="BalloonText">
    <w:name w:val="Balloon Text"/>
    <w:basedOn w:val="Normal"/>
    <w:link w:val="BalloonTextChar"/>
    <w:uiPriority w:val="99"/>
    <w:semiHidden/>
    <w:unhideWhenUsed/>
    <w:rsid w:val="00491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98"/>
    <w:rPr>
      <w:rFonts w:ascii="Segoe UI" w:hAnsi="Segoe UI" w:cs="Segoe UI"/>
      <w:sz w:val="18"/>
      <w:szCs w:val="18"/>
    </w:rPr>
  </w:style>
  <w:style w:type="character" w:customStyle="1" w:styleId="Heading2Char">
    <w:name w:val="Heading 2 Char"/>
    <w:basedOn w:val="DefaultParagraphFont"/>
    <w:link w:val="Heading2"/>
    <w:uiPriority w:val="9"/>
    <w:rsid w:val="00A32FE9"/>
    <w:rPr>
      <w:rFonts w:ascii="Times New Roman" w:eastAsia="Times New Roman" w:hAnsi="Times New Roman" w:cs="Times New Roman"/>
      <w:b/>
      <w:bCs/>
      <w:sz w:val="36"/>
      <w:szCs w:val="3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2FE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3B"/>
    <w:pPr>
      <w:ind w:left="720"/>
      <w:contextualSpacing/>
    </w:pPr>
  </w:style>
  <w:style w:type="paragraph" w:styleId="Header">
    <w:name w:val="header"/>
    <w:basedOn w:val="Normal"/>
    <w:link w:val="HeaderChar"/>
    <w:uiPriority w:val="99"/>
    <w:unhideWhenUsed/>
    <w:rsid w:val="00E45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0CA"/>
  </w:style>
  <w:style w:type="paragraph" w:styleId="Footer">
    <w:name w:val="footer"/>
    <w:basedOn w:val="Normal"/>
    <w:link w:val="FooterChar"/>
    <w:uiPriority w:val="99"/>
    <w:unhideWhenUsed/>
    <w:rsid w:val="00E45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0CA"/>
  </w:style>
  <w:style w:type="paragraph" w:styleId="FootnoteText">
    <w:name w:val="footnote text"/>
    <w:basedOn w:val="Normal"/>
    <w:link w:val="FootnoteTextChar"/>
    <w:uiPriority w:val="99"/>
    <w:semiHidden/>
    <w:unhideWhenUsed/>
    <w:rsid w:val="00170F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F23"/>
    <w:rPr>
      <w:sz w:val="20"/>
      <w:szCs w:val="20"/>
    </w:rPr>
  </w:style>
  <w:style w:type="character" w:styleId="FootnoteReference">
    <w:name w:val="footnote reference"/>
    <w:basedOn w:val="DefaultParagraphFont"/>
    <w:uiPriority w:val="99"/>
    <w:semiHidden/>
    <w:unhideWhenUsed/>
    <w:rsid w:val="00170F23"/>
    <w:rPr>
      <w:vertAlign w:val="superscript"/>
    </w:rPr>
  </w:style>
  <w:style w:type="paragraph" w:styleId="BalloonText">
    <w:name w:val="Balloon Text"/>
    <w:basedOn w:val="Normal"/>
    <w:link w:val="BalloonTextChar"/>
    <w:uiPriority w:val="99"/>
    <w:semiHidden/>
    <w:unhideWhenUsed/>
    <w:rsid w:val="00491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98"/>
    <w:rPr>
      <w:rFonts w:ascii="Segoe UI" w:hAnsi="Segoe UI" w:cs="Segoe UI"/>
      <w:sz w:val="18"/>
      <w:szCs w:val="18"/>
    </w:rPr>
  </w:style>
  <w:style w:type="character" w:customStyle="1" w:styleId="Heading2Char">
    <w:name w:val="Heading 2 Char"/>
    <w:basedOn w:val="DefaultParagraphFont"/>
    <w:link w:val="Heading2"/>
    <w:uiPriority w:val="9"/>
    <w:rsid w:val="00A32FE9"/>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36815">
      <w:bodyDiv w:val="1"/>
      <w:marLeft w:val="0"/>
      <w:marRight w:val="0"/>
      <w:marTop w:val="0"/>
      <w:marBottom w:val="0"/>
      <w:divBdr>
        <w:top w:val="none" w:sz="0" w:space="0" w:color="auto"/>
        <w:left w:val="none" w:sz="0" w:space="0" w:color="auto"/>
        <w:bottom w:val="none" w:sz="0" w:space="0" w:color="auto"/>
        <w:right w:val="none" w:sz="0" w:space="0" w:color="auto"/>
      </w:divBdr>
    </w:div>
    <w:div w:id="1982614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37073-5643-4CE7-B2B5-DE8C7E27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4298</Words>
  <Characters>24504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bezuidenhout</dc:creator>
  <cp:lastModifiedBy>Inge Papp</cp:lastModifiedBy>
  <cp:revision>2</cp:revision>
  <cp:lastPrinted>2021-06-03T08:19:00Z</cp:lastPrinted>
  <dcterms:created xsi:type="dcterms:W3CDTF">2022-03-03T13:22:00Z</dcterms:created>
  <dcterms:modified xsi:type="dcterms:W3CDTF">2022-03-03T13:22:00Z</dcterms:modified>
</cp:coreProperties>
</file>