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161" w:rsidRPr="006E2081" w:rsidRDefault="00C82161" w:rsidP="00C82161">
      <w:pPr>
        <w:rPr>
          <w:b/>
          <w:u w:val="none"/>
          <w:lang w:val="en-ZA"/>
        </w:rPr>
      </w:pPr>
      <w:bookmarkStart w:id="0" w:name="_GoBack"/>
      <w:bookmarkEnd w:id="0"/>
      <w:r w:rsidRPr="006E2081">
        <w:rPr>
          <w:b/>
          <w:u w:val="none"/>
          <w:lang w:val="en-ZA"/>
        </w:rPr>
        <w:tab/>
      </w:r>
      <w:r w:rsidRPr="006E2081">
        <w:rPr>
          <w:b/>
          <w:u w:val="none"/>
          <w:lang w:val="en-ZA"/>
        </w:rPr>
        <w:tab/>
      </w:r>
      <w:r w:rsidRPr="006E2081">
        <w:rPr>
          <w:b/>
          <w:u w:val="none"/>
          <w:lang w:val="en-ZA"/>
        </w:rPr>
        <w:tab/>
        <w:t>REPUBLIC OF SOUTH AFRICA</w:t>
      </w:r>
    </w:p>
    <w:p w:rsidR="00C82161" w:rsidRPr="00F3610A" w:rsidRDefault="00C82161" w:rsidP="00C82161">
      <w:pPr>
        <w:jc w:val="center"/>
        <w:rPr>
          <w:b/>
          <w:u w:val="none"/>
          <w:lang w:val="en-ZA"/>
        </w:rPr>
      </w:pPr>
      <w:r>
        <w:rPr>
          <w:u w:val="none"/>
          <w:lang w:val="en-US"/>
        </w:rPr>
        <w:t xml:space="preserve">          </w:t>
      </w:r>
      <w:r>
        <w:rPr>
          <w:noProof/>
          <w:u w:val="none"/>
          <w:lang w:val="en-ZA" w:eastAsia="en-ZA"/>
        </w:rPr>
        <w:drawing>
          <wp:inline distT="0" distB="0" distL="0" distR="0" wp14:anchorId="4A94E1F7" wp14:editId="4CADA369">
            <wp:extent cx="1441450" cy="1441450"/>
            <wp:effectExtent l="0" t="0" r="6350" b="635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r>
        <w:rPr>
          <w:b/>
          <w:noProof/>
          <w:u w:val="none"/>
          <w:lang w:val="en-ZA" w:eastAsia="en-ZA"/>
        </w:rPr>
        <mc:AlternateContent>
          <mc:Choice Requires="wpc">
            <w:drawing>
              <wp:inline distT="0" distB="0" distL="0" distR="0" wp14:anchorId="3C62D573" wp14:editId="36A3829B">
                <wp:extent cx="673100" cy="863600"/>
                <wp:effectExtent l="635" t="3175" r="254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cx1="http://schemas.microsoft.com/office/drawing/2015/9/8/chartex" xmlns:cx="http://schemas.microsoft.com/office/drawing/2014/chartex">
            <w:pict>
              <v:group w14:anchorId="16E402E9" id="Canvas 3"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8cvMPbAAAABQEAAA8AAABkcnMv&#10;ZG93bnJldi54bWxMj0FLw0AQhe+C/2EZwYu0m1oNJc2miCCI4MFWocdNdsxGd2dDdtPGf+/US70M&#10;7/GGN9+Um8k7ccAhdoEULOYZCKQmmI5aBe+7p9kKREyajHaBUMEPRthUlxelLkw40hsetqkVXEKx&#10;0ApsSn0hZWwseh3noUfi7DMMXie2QyvNoI9c7p28zbJcet0RX7C6x0eLzfd29Apemvzma1GPe796&#10;/bDLe7d/Trs7pa6vpoc1iIRTOi/DCZ/RoWKmOoxkonAK+JH0N09ZlrOtWSxZyKqU/+mrXwAAAP//&#10;AwBQSwECLQAUAAYACAAAACEAtoM4kv4AAADhAQAAEwAAAAAAAAAAAAAAAAAAAAAAW0NvbnRlbnRf&#10;VHlwZXNdLnhtbFBLAQItABQABgAIAAAAIQA4/SH/1gAAAJQBAAALAAAAAAAAAAAAAAAAAC8BAABf&#10;cmVscy8ucmVsc1BLAQItABQABgAIAAAAIQBh8CCLFAEAAD4CAAAOAAAAAAAAAAAAAAAAAC4CAABk&#10;cnMvZTJvRG9jLnhtbFBLAQItABQABgAIAAAAIQBvHLzD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rsidR="00C82161" w:rsidRPr="006E2081" w:rsidRDefault="00C82161" w:rsidP="00C82161">
      <w:pPr>
        <w:jc w:val="center"/>
        <w:rPr>
          <w:b/>
          <w:u w:val="none"/>
          <w:lang w:val="en-ZA"/>
        </w:rPr>
      </w:pPr>
      <w:r w:rsidRPr="006E2081">
        <w:rPr>
          <w:b/>
          <w:u w:val="none"/>
          <w:lang w:val="en-ZA"/>
        </w:rPr>
        <w:t xml:space="preserve">IN THE HIGH COURT OF </w:t>
      </w:r>
      <w:smartTag w:uri="urn:schemas-microsoft-com:office:smarttags" w:element="place">
        <w:smartTag w:uri="urn:schemas-microsoft-com:office:smarttags" w:element="country-region">
          <w:r w:rsidRPr="006E2081">
            <w:rPr>
              <w:b/>
              <w:u w:val="none"/>
              <w:lang w:val="en-ZA"/>
            </w:rPr>
            <w:t>SOUTH AFRICA</w:t>
          </w:r>
        </w:smartTag>
      </w:smartTag>
      <w:r w:rsidRPr="006E2081">
        <w:rPr>
          <w:b/>
          <w:u w:val="none"/>
          <w:lang w:val="en-ZA"/>
        </w:rPr>
        <w:t xml:space="preserve">, </w:t>
      </w:r>
    </w:p>
    <w:p w:rsidR="00C82161" w:rsidRPr="006E2081" w:rsidRDefault="00C82161" w:rsidP="00C82161">
      <w:pPr>
        <w:jc w:val="center"/>
        <w:rPr>
          <w:b/>
          <w:u w:val="none"/>
          <w:lang w:val="en-ZA"/>
        </w:rPr>
      </w:pPr>
      <w:r w:rsidRPr="006E2081">
        <w:rPr>
          <w:b/>
          <w:u w:val="none"/>
          <w:lang w:val="en-ZA"/>
        </w:rPr>
        <w:t xml:space="preserve">GAUTENG LOCAL DIVISION, </w:t>
      </w:r>
      <w:smartTag w:uri="urn:schemas-microsoft-com:office:smarttags" w:element="City">
        <w:smartTag w:uri="urn:schemas-microsoft-com:office:smarttags" w:element="place">
          <w:r w:rsidRPr="006E2081">
            <w:rPr>
              <w:b/>
              <w:u w:val="none"/>
              <w:lang w:val="en-ZA"/>
            </w:rPr>
            <w:t>JOHANNESBURG</w:t>
          </w:r>
        </w:smartTag>
      </w:smartTag>
    </w:p>
    <w:p w:rsidR="00C82161" w:rsidRPr="006E2081" w:rsidRDefault="00C82161" w:rsidP="00C82161">
      <w:pPr>
        <w:jc w:val="center"/>
        <w:rPr>
          <w:b/>
          <w:u w:val="none"/>
          <w:lang w:val="en-ZA"/>
        </w:rPr>
      </w:pPr>
    </w:p>
    <w:p w:rsidR="00C82161" w:rsidRPr="006E2081" w:rsidRDefault="00C82161" w:rsidP="00C82161">
      <w:pPr>
        <w:rPr>
          <w:b/>
          <w:u w:val="none"/>
          <w:lang w:val="en-ZA"/>
        </w:rPr>
      </w:pPr>
    </w:p>
    <w:p w:rsidR="00C82161" w:rsidRPr="00F3610A" w:rsidRDefault="00C82161" w:rsidP="00C82161">
      <w:pPr>
        <w:jc w:val="center"/>
        <w:rPr>
          <w:b/>
          <w:u w:val="none"/>
          <w:lang w:val="en-ZA"/>
        </w:rPr>
      </w:pPr>
      <w:r>
        <w:rPr>
          <w:b/>
          <w:u w:val="none"/>
          <w:lang w:val="en-ZA"/>
        </w:rPr>
        <w:t xml:space="preserve">                                                                                CASE NO:</w:t>
      </w:r>
      <w:r>
        <w:rPr>
          <w:noProof/>
          <w:lang w:val="en-ZA" w:eastAsia="en-ZA"/>
        </w:rPr>
        <mc:AlternateContent>
          <mc:Choice Requires="wps">
            <w:drawing>
              <wp:anchor distT="0" distB="0" distL="114300" distR="114300" simplePos="0" relativeHeight="251659264" behindDoc="0" locked="0" layoutInCell="1" allowOverlap="1" wp14:anchorId="39D64861" wp14:editId="6CA3836F">
                <wp:simplePos x="0" y="0"/>
                <wp:positionH relativeFrom="column">
                  <wp:posOffset>0</wp:posOffset>
                </wp:positionH>
                <wp:positionV relativeFrom="paragraph">
                  <wp:posOffset>154940</wp:posOffset>
                </wp:positionV>
                <wp:extent cx="3314700" cy="1371600"/>
                <wp:effectExtent l="9525" t="1143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874998" w:rsidRPr="00913F95" w:rsidRDefault="00874998" w:rsidP="00C82161">
                            <w:pPr>
                              <w:jc w:val="center"/>
                              <w:rPr>
                                <w:rFonts w:ascii="Century Gothic" w:hAnsi="Century Gothic"/>
                                <w:b/>
                                <w:sz w:val="20"/>
                                <w:szCs w:val="20"/>
                              </w:rPr>
                            </w:pPr>
                          </w:p>
                          <w:p w:rsidR="00874998" w:rsidRDefault="00874998" w:rsidP="00C82161">
                            <w:pPr>
                              <w:numPr>
                                <w:ilvl w:val="0"/>
                                <w:numId w:val="1"/>
                              </w:numPr>
                              <w:rPr>
                                <w:rFonts w:ascii="Century Gothic" w:hAnsi="Century Gothic"/>
                                <w:sz w:val="20"/>
                                <w:szCs w:val="20"/>
                              </w:rPr>
                            </w:pPr>
                            <w:r w:rsidRPr="00913F95">
                              <w:rPr>
                                <w:rFonts w:ascii="Century Gothic" w:hAnsi="Century Gothic"/>
                                <w:sz w:val="20"/>
                                <w:szCs w:val="20"/>
                              </w:rPr>
                              <w:t>REPORTABLE: YES</w:t>
                            </w:r>
                            <w:r>
                              <w:rPr>
                                <w:rFonts w:ascii="Century Gothic" w:hAnsi="Century Gothic"/>
                                <w:sz w:val="20"/>
                                <w:szCs w:val="20"/>
                              </w:rPr>
                              <w:t xml:space="preserve"> / NO</w:t>
                            </w:r>
                          </w:p>
                          <w:p w:rsidR="00874998" w:rsidRPr="00913F95" w:rsidRDefault="00874998" w:rsidP="00C82161">
                            <w:pPr>
                              <w:numPr>
                                <w:ilvl w:val="0"/>
                                <w:numId w:val="1"/>
                              </w:numPr>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sz w:val="20"/>
                                <w:szCs w:val="20"/>
                              </w:rPr>
                              <w:t>YES/</w:t>
                            </w:r>
                            <w:r w:rsidRPr="00913F95">
                              <w:rPr>
                                <w:rFonts w:ascii="Century Gothic" w:hAnsi="Century Gothic"/>
                                <w:sz w:val="20"/>
                                <w:szCs w:val="20"/>
                              </w:rPr>
                              <w:t>NO</w:t>
                            </w:r>
                          </w:p>
                          <w:p w:rsidR="00874998" w:rsidRPr="00913F95" w:rsidRDefault="00874998" w:rsidP="00C82161">
                            <w:pPr>
                              <w:numPr>
                                <w:ilvl w:val="0"/>
                                <w:numId w:val="1"/>
                              </w:numP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rsidR="00874998" w:rsidRDefault="00874998" w:rsidP="00C82161">
                            <w:pPr>
                              <w:rPr>
                                <w:rFonts w:ascii="Century Gothic" w:hAnsi="Century Gothic"/>
                                <w:b/>
                                <w:sz w:val="18"/>
                                <w:szCs w:val="18"/>
                              </w:rPr>
                            </w:pPr>
                          </w:p>
                          <w:p w:rsidR="00874998" w:rsidRPr="00084341" w:rsidRDefault="00874998" w:rsidP="00C82161">
                            <w:pPr>
                              <w:rPr>
                                <w:rFonts w:ascii="Century Gothic" w:hAnsi="Century Gothic"/>
                                <w:b/>
                                <w:sz w:val="18"/>
                                <w:szCs w:val="18"/>
                                <w:u w:val="none"/>
                              </w:rPr>
                            </w:pPr>
                            <w:r w:rsidRPr="00084341">
                              <w:rPr>
                                <w:rFonts w:ascii="Century Gothic" w:hAnsi="Century Gothic"/>
                                <w:b/>
                                <w:sz w:val="18"/>
                                <w:szCs w:val="18"/>
                                <w:u w:val="none"/>
                              </w:rPr>
                              <w:t xml:space="preserve">         </w:t>
                            </w:r>
                            <w:r w:rsidRPr="00084341">
                              <w:rPr>
                                <w:rFonts w:ascii="Century Gothic" w:hAnsi="Century Gothic"/>
                                <w:b/>
                                <w:sz w:val="18"/>
                                <w:szCs w:val="18"/>
                                <w:u w:val="none"/>
                              </w:rPr>
                              <w:tab/>
                            </w:r>
                            <w:r w:rsidRPr="00084341">
                              <w:rPr>
                                <w:rFonts w:ascii="Century Gothic" w:hAnsi="Century Gothic"/>
                                <w:b/>
                                <w:sz w:val="18"/>
                                <w:szCs w:val="18"/>
                                <w:u w:val="none"/>
                              </w:rPr>
                              <w:tab/>
                              <w:t>………………………...</w:t>
                            </w:r>
                          </w:p>
                          <w:p w:rsidR="00874998" w:rsidRPr="00084341" w:rsidRDefault="00874998" w:rsidP="00C82161">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9D64861" id="_x0000_t202" coordsize="21600,21600" o:spt="202" path="m,l,21600r21600,l21600,xe">
                <v:stroke joinstyle="miter"/>
                <v:path gradientshapeok="t" o:connecttype="rect"/>
              </v:shapetype>
              <v:shape id="Text Box 2" o:spid="_x0000_s1026" type="#_x0000_t202" style="position:absolute;left:0;text-align:left;margin-left:0;margin-top:12.2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fSzyt3AAAAAcBAAAPAAAAZHJzL2Rvd25yZXYu&#10;eG1sTI/BTsMwEETvSPyDtUhcEHUIoZQQp0JIILhBW8HVjbdJhL0OtpuGv2d7guPMrGbeVsvJWTFi&#10;iL0nBVezDARS401PrYLN+ulyASImTUZbT6jgByMs69OTSpfGH+gdx1VqBZdQLLWCLqWhlDI2HTod&#10;Z35A4mzng9OJZWilCfrA5c7KPMvm0umeeKHTAz522Hyt9k7BongZP+Pr9dtHM9/Zu3RxOz5/B6XO&#10;z6aHexAJp/R3DEd8RoeambZ+TyYKq4AfSQryogDB6U2es7E9GlkBsq7kf/76FwAA//8DAFBLAQIt&#10;ABQABgAIAAAAIQC2gziS/gAAAOEBAAATAAAAAAAAAAAAAAAAAAAAAABbQ29udGVudF9UeXBlc10u&#10;eG1sUEsBAi0AFAAGAAgAAAAhADj9If/WAAAAlAEAAAsAAAAAAAAAAAAAAAAALwEAAF9yZWxzLy5y&#10;ZWxzUEsBAi0AFAAGAAgAAAAhAA8iF5UpAgAAUQQAAA4AAAAAAAAAAAAAAAAALgIAAGRycy9lMm9E&#10;b2MueG1sUEsBAi0AFAAGAAgAAAAhAJ9LPK3cAAAABwEAAA8AAAAAAAAAAAAAAAAAgwQAAGRycy9k&#10;b3ducmV2LnhtbFBLBQYAAAAABAAEAPMAAACMBQAAAAA=&#10;">
                <v:textbox>
                  <w:txbxContent>
                    <w:p w:rsidR="00874998" w:rsidRPr="00913F95" w:rsidRDefault="00874998" w:rsidP="00C82161">
                      <w:pPr>
                        <w:jc w:val="center"/>
                        <w:rPr>
                          <w:rFonts w:ascii="Century Gothic" w:hAnsi="Century Gothic"/>
                          <w:b/>
                          <w:sz w:val="20"/>
                          <w:szCs w:val="20"/>
                        </w:rPr>
                      </w:pPr>
                    </w:p>
                    <w:p w:rsidR="00874998" w:rsidRDefault="00874998" w:rsidP="00C82161">
                      <w:pPr>
                        <w:numPr>
                          <w:ilvl w:val="0"/>
                          <w:numId w:val="1"/>
                        </w:numPr>
                        <w:rPr>
                          <w:rFonts w:ascii="Century Gothic" w:hAnsi="Century Gothic"/>
                          <w:sz w:val="20"/>
                          <w:szCs w:val="20"/>
                        </w:rPr>
                      </w:pPr>
                      <w:r w:rsidRPr="00913F95">
                        <w:rPr>
                          <w:rFonts w:ascii="Century Gothic" w:hAnsi="Century Gothic"/>
                          <w:sz w:val="20"/>
                          <w:szCs w:val="20"/>
                        </w:rPr>
                        <w:t>REPORTABLE: YES</w:t>
                      </w:r>
                      <w:r>
                        <w:rPr>
                          <w:rFonts w:ascii="Century Gothic" w:hAnsi="Century Gothic"/>
                          <w:sz w:val="20"/>
                          <w:szCs w:val="20"/>
                        </w:rPr>
                        <w:t xml:space="preserve"> / NO</w:t>
                      </w:r>
                    </w:p>
                    <w:p w:rsidR="00874998" w:rsidRPr="00913F95" w:rsidRDefault="00874998" w:rsidP="00C82161">
                      <w:pPr>
                        <w:numPr>
                          <w:ilvl w:val="0"/>
                          <w:numId w:val="1"/>
                        </w:numPr>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sz w:val="20"/>
                          <w:szCs w:val="20"/>
                        </w:rPr>
                        <w:t>YES/</w:t>
                      </w:r>
                      <w:r w:rsidRPr="00913F95">
                        <w:rPr>
                          <w:rFonts w:ascii="Century Gothic" w:hAnsi="Century Gothic"/>
                          <w:sz w:val="20"/>
                          <w:szCs w:val="20"/>
                        </w:rPr>
                        <w:t>NO</w:t>
                      </w:r>
                    </w:p>
                    <w:p w:rsidR="00874998" w:rsidRPr="00913F95" w:rsidRDefault="00874998" w:rsidP="00C82161">
                      <w:pPr>
                        <w:numPr>
                          <w:ilvl w:val="0"/>
                          <w:numId w:val="1"/>
                        </w:numP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rsidR="00874998" w:rsidRDefault="00874998" w:rsidP="00C82161">
                      <w:pPr>
                        <w:rPr>
                          <w:rFonts w:ascii="Century Gothic" w:hAnsi="Century Gothic"/>
                          <w:b/>
                          <w:sz w:val="18"/>
                          <w:szCs w:val="18"/>
                        </w:rPr>
                      </w:pPr>
                    </w:p>
                    <w:p w:rsidR="00874998" w:rsidRPr="00084341" w:rsidRDefault="00874998" w:rsidP="00C82161">
                      <w:pPr>
                        <w:rPr>
                          <w:rFonts w:ascii="Century Gothic" w:hAnsi="Century Gothic"/>
                          <w:b/>
                          <w:sz w:val="18"/>
                          <w:szCs w:val="18"/>
                          <w:u w:val="none"/>
                        </w:rPr>
                      </w:pPr>
                      <w:r w:rsidRPr="00084341">
                        <w:rPr>
                          <w:rFonts w:ascii="Century Gothic" w:hAnsi="Century Gothic"/>
                          <w:b/>
                          <w:sz w:val="18"/>
                          <w:szCs w:val="18"/>
                          <w:u w:val="none"/>
                        </w:rPr>
                        <w:t xml:space="preserve">         </w:t>
                      </w:r>
                      <w:r w:rsidRPr="00084341">
                        <w:rPr>
                          <w:rFonts w:ascii="Century Gothic" w:hAnsi="Century Gothic"/>
                          <w:b/>
                          <w:sz w:val="18"/>
                          <w:szCs w:val="18"/>
                          <w:u w:val="none"/>
                        </w:rPr>
                        <w:tab/>
                      </w:r>
                      <w:r w:rsidRPr="00084341">
                        <w:rPr>
                          <w:rFonts w:ascii="Century Gothic" w:hAnsi="Century Gothic"/>
                          <w:b/>
                          <w:sz w:val="18"/>
                          <w:szCs w:val="18"/>
                          <w:u w:val="none"/>
                        </w:rPr>
                        <w:tab/>
                        <w:t>………………………...</w:t>
                      </w:r>
                    </w:p>
                    <w:p w:rsidR="00874998" w:rsidRPr="00084341" w:rsidRDefault="00874998" w:rsidP="00C82161">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v:textbox>
              </v:shape>
            </w:pict>
          </mc:Fallback>
        </mc:AlternateContent>
      </w:r>
      <w:r>
        <w:rPr>
          <w:b/>
          <w:u w:val="none"/>
          <w:lang w:val="en-ZA"/>
        </w:rPr>
        <w:t xml:space="preserve">  </w:t>
      </w:r>
      <w:r w:rsidR="005528EB">
        <w:rPr>
          <w:b/>
          <w:u w:val="none"/>
          <w:lang w:val="en-ZA"/>
        </w:rPr>
        <w:t>22196/2019</w:t>
      </w:r>
    </w:p>
    <w:p w:rsidR="00C82161" w:rsidRPr="006E2081" w:rsidRDefault="00C82161" w:rsidP="00C82161">
      <w:pPr>
        <w:jc w:val="both"/>
      </w:pPr>
    </w:p>
    <w:p w:rsidR="00C82161" w:rsidRPr="006E2081" w:rsidRDefault="00C82161" w:rsidP="00C82161">
      <w:pPr>
        <w:jc w:val="both"/>
      </w:pPr>
    </w:p>
    <w:p w:rsidR="00C82161" w:rsidRPr="006E2081" w:rsidRDefault="00C82161" w:rsidP="00C82161">
      <w:pPr>
        <w:jc w:val="both"/>
      </w:pPr>
    </w:p>
    <w:p w:rsidR="00C82161" w:rsidRPr="006E2081" w:rsidRDefault="00C82161" w:rsidP="00C82161">
      <w:pPr>
        <w:jc w:val="both"/>
      </w:pPr>
    </w:p>
    <w:p w:rsidR="00C82161" w:rsidRPr="006E2081" w:rsidRDefault="00C82161" w:rsidP="00C82161">
      <w:pPr>
        <w:jc w:val="both"/>
      </w:pPr>
    </w:p>
    <w:p w:rsidR="00C82161" w:rsidRPr="006E2081" w:rsidRDefault="00C82161" w:rsidP="00C82161">
      <w:pPr>
        <w:jc w:val="both"/>
      </w:pPr>
    </w:p>
    <w:p w:rsidR="00C82161" w:rsidRDefault="00C82161" w:rsidP="00C82161">
      <w:pPr>
        <w:jc w:val="both"/>
      </w:pPr>
    </w:p>
    <w:p w:rsidR="005528EB" w:rsidRDefault="005528EB" w:rsidP="00C82161">
      <w:pPr>
        <w:jc w:val="both"/>
      </w:pPr>
    </w:p>
    <w:p w:rsidR="005528EB" w:rsidRPr="006E2081" w:rsidRDefault="005528EB" w:rsidP="00C82161">
      <w:pPr>
        <w:jc w:val="both"/>
      </w:pPr>
    </w:p>
    <w:p w:rsidR="00C82161" w:rsidRPr="006E2081" w:rsidRDefault="00C82161" w:rsidP="00C82161">
      <w:pPr>
        <w:rPr>
          <w:u w:val="none"/>
        </w:rPr>
      </w:pPr>
    </w:p>
    <w:p w:rsidR="00C82161" w:rsidRPr="006E2081" w:rsidRDefault="00C82161" w:rsidP="00C82161">
      <w:pPr>
        <w:rPr>
          <w:u w:val="none"/>
        </w:rPr>
      </w:pPr>
      <w:r w:rsidRPr="006E2081">
        <w:rPr>
          <w:u w:val="none"/>
        </w:rPr>
        <w:t>In the matter between:</w:t>
      </w:r>
    </w:p>
    <w:p w:rsidR="009E5BB5" w:rsidRDefault="00C82161" w:rsidP="00C82161">
      <w:pPr>
        <w:spacing w:line="360" w:lineRule="auto"/>
        <w:jc w:val="both"/>
        <w:rPr>
          <w:b/>
          <w:u w:val="none"/>
        </w:rPr>
      </w:pPr>
      <w:r>
        <w:rPr>
          <w:b/>
          <w:u w:val="none"/>
        </w:rPr>
        <w:tab/>
      </w:r>
      <w:r w:rsidRPr="0096135C">
        <w:rPr>
          <w:b/>
          <w:u w:val="none"/>
        </w:rPr>
        <w:tab/>
      </w:r>
      <w:r w:rsidRPr="0096135C">
        <w:rPr>
          <w:b/>
          <w:u w:val="none"/>
        </w:rPr>
        <w:tab/>
      </w:r>
      <w:r w:rsidRPr="0096135C">
        <w:rPr>
          <w:b/>
          <w:u w:val="none"/>
        </w:rPr>
        <w:tab/>
      </w:r>
      <w:r w:rsidR="00A06585">
        <w:rPr>
          <w:b/>
          <w:u w:val="none"/>
        </w:rPr>
        <w:t xml:space="preserve">         </w:t>
      </w:r>
    </w:p>
    <w:p w:rsidR="00C82161" w:rsidRDefault="005528EB" w:rsidP="00C82161">
      <w:pPr>
        <w:spacing w:line="360" w:lineRule="auto"/>
        <w:jc w:val="both"/>
        <w:rPr>
          <w:u w:val="none"/>
        </w:rPr>
      </w:pPr>
      <w:r>
        <w:rPr>
          <w:b/>
          <w:u w:val="none"/>
        </w:rPr>
        <w:t xml:space="preserve">MATEMEKU PETROLEUM (PTY) LTD                         </w:t>
      </w:r>
      <w:r w:rsidR="009E5BB5">
        <w:rPr>
          <w:u w:val="none"/>
        </w:rPr>
        <w:t>Applicant</w:t>
      </w:r>
    </w:p>
    <w:p w:rsidR="005528EB" w:rsidRDefault="005528EB" w:rsidP="00C82161">
      <w:pPr>
        <w:spacing w:line="360" w:lineRule="auto"/>
        <w:jc w:val="both"/>
        <w:rPr>
          <w:u w:val="none"/>
        </w:rPr>
      </w:pPr>
    </w:p>
    <w:p w:rsidR="00C82161" w:rsidRDefault="005528EB" w:rsidP="00C82161">
      <w:pPr>
        <w:spacing w:line="360" w:lineRule="auto"/>
        <w:jc w:val="both"/>
        <w:rPr>
          <w:u w:val="none"/>
        </w:rPr>
      </w:pPr>
      <w:r w:rsidRPr="0096135C">
        <w:rPr>
          <w:u w:val="none"/>
        </w:rPr>
        <w:t>A</w:t>
      </w:r>
      <w:r w:rsidR="00C82161" w:rsidRPr="0096135C">
        <w:rPr>
          <w:u w:val="none"/>
        </w:rPr>
        <w:t>nd</w:t>
      </w:r>
    </w:p>
    <w:p w:rsidR="005528EB" w:rsidRPr="0096135C" w:rsidRDefault="005528EB" w:rsidP="00C82161">
      <w:pPr>
        <w:spacing w:line="360" w:lineRule="auto"/>
        <w:jc w:val="both"/>
        <w:rPr>
          <w:u w:val="none"/>
        </w:rPr>
      </w:pPr>
    </w:p>
    <w:p w:rsidR="00D45F08" w:rsidRDefault="005528EB" w:rsidP="00D45F08">
      <w:pPr>
        <w:spacing w:line="360" w:lineRule="auto"/>
        <w:jc w:val="both"/>
        <w:rPr>
          <w:u w:val="none"/>
        </w:rPr>
      </w:pPr>
      <w:r w:rsidRPr="005528EB">
        <w:rPr>
          <w:b/>
          <w:u w:val="none"/>
        </w:rPr>
        <w:t xml:space="preserve">SHELL DOWNSTREAM SA (PTY) LTD </w:t>
      </w:r>
      <w:r>
        <w:rPr>
          <w:u w:val="none"/>
        </w:rPr>
        <w:t xml:space="preserve">                      </w:t>
      </w:r>
      <w:r w:rsidR="00D45F08">
        <w:rPr>
          <w:u w:val="none"/>
        </w:rPr>
        <w:t>1</w:t>
      </w:r>
      <w:r w:rsidR="00D45F08" w:rsidRPr="00D45F08">
        <w:rPr>
          <w:u w:val="none"/>
          <w:vertAlign w:val="superscript"/>
        </w:rPr>
        <w:t>ST</w:t>
      </w:r>
      <w:r w:rsidR="00D45F08">
        <w:rPr>
          <w:u w:val="none"/>
        </w:rPr>
        <w:t xml:space="preserve"> Respondent</w:t>
      </w:r>
    </w:p>
    <w:p w:rsidR="005528EB" w:rsidRDefault="005528EB" w:rsidP="00D45F08">
      <w:pPr>
        <w:spacing w:line="360" w:lineRule="auto"/>
        <w:jc w:val="both"/>
        <w:rPr>
          <w:u w:val="none"/>
        </w:rPr>
      </w:pPr>
    </w:p>
    <w:p w:rsidR="00D45F08" w:rsidRPr="008870E4" w:rsidRDefault="005528EB" w:rsidP="00D45F08">
      <w:pPr>
        <w:spacing w:line="360" w:lineRule="auto"/>
        <w:jc w:val="both"/>
        <w:rPr>
          <w:b/>
          <w:u w:val="none"/>
        </w:rPr>
      </w:pPr>
      <w:r>
        <w:rPr>
          <w:b/>
          <w:u w:val="none"/>
        </w:rPr>
        <w:t xml:space="preserve">ADVOCATE GARTH HULLEY SC N.O                       </w:t>
      </w:r>
      <w:r w:rsidR="00D45F08">
        <w:rPr>
          <w:u w:val="none"/>
        </w:rPr>
        <w:t>2</w:t>
      </w:r>
      <w:r w:rsidR="00D45F08" w:rsidRPr="00D45F08">
        <w:rPr>
          <w:u w:val="none"/>
          <w:vertAlign w:val="superscript"/>
        </w:rPr>
        <w:t>ND</w:t>
      </w:r>
      <w:r w:rsidR="00D45F08">
        <w:rPr>
          <w:u w:val="none"/>
        </w:rPr>
        <w:t xml:space="preserve"> </w:t>
      </w:r>
      <w:r w:rsidR="00D45F08" w:rsidRPr="00D45F08">
        <w:rPr>
          <w:u w:val="none"/>
        </w:rPr>
        <w:t>Respondent</w:t>
      </w:r>
    </w:p>
    <w:p w:rsidR="008870E4" w:rsidRDefault="008870E4" w:rsidP="00D45F08">
      <w:pPr>
        <w:spacing w:line="360" w:lineRule="auto"/>
        <w:jc w:val="both"/>
        <w:rPr>
          <w:i/>
          <w:u w:val="none"/>
        </w:rPr>
      </w:pPr>
    </w:p>
    <w:p w:rsidR="008870E4" w:rsidRDefault="008870E4" w:rsidP="00D45F08">
      <w:pPr>
        <w:spacing w:line="360" w:lineRule="auto"/>
        <w:jc w:val="both"/>
        <w:rPr>
          <w:i/>
          <w:u w:val="none"/>
        </w:rPr>
      </w:pPr>
      <w:r w:rsidRPr="008870E4">
        <w:rPr>
          <w:i/>
          <w:u w:val="none"/>
        </w:rPr>
        <w:t>IN RE</w:t>
      </w:r>
      <w:r>
        <w:rPr>
          <w:i/>
          <w:u w:val="none"/>
        </w:rPr>
        <w:t>:</w:t>
      </w:r>
    </w:p>
    <w:p w:rsidR="008870E4" w:rsidRPr="008870E4" w:rsidRDefault="008870E4" w:rsidP="00D45F08">
      <w:pPr>
        <w:spacing w:line="360" w:lineRule="auto"/>
        <w:jc w:val="both"/>
        <w:rPr>
          <w:i/>
          <w:u w:val="none"/>
        </w:rPr>
      </w:pPr>
    </w:p>
    <w:p w:rsidR="008870E4" w:rsidRDefault="008870E4" w:rsidP="008870E4">
      <w:pPr>
        <w:spacing w:line="360" w:lineRule="auto"/>
        <w:jc w:val="both"/>
        <w:rPr>
          <w:u w:val="none"/>
        </w:rPr>
      </w:pPr>
      <w:r w:rsidRPr="005528EB">
        <w:rPr>
          <w:b/>
          <w:u w:val="none"/>
        </w:rPr>
        <w:t xml:space="preserve">SHELL DOWNSTREAM SA (PTY) LTD </w:t>
      </w:r>
      <w:r>
        <w:rPr>
          <w:u w:val="none"/>
        </w:rPr>
        <w:t xml:space="preserve">                      1</w:t>
      </w:r>
      <w:r w:rsidRPr="00D45F08">
        <w:rPr>
          <w:u w:val="none"/>
          <w:vertAlign w:val="superscript"/>
        </w:rPr>
        <w:t>ST</w:t>
      </w:r>
      <w:r>
        <w:rPr>
          <w:u w:val="none"/>
        </w:rPr>
        <w:t xml:space="preserve"> Applicant</w:t>
      </w:r>
    </w:p>
    <w:p w:rsidR="008870E4" w:rsidRDefault="008870E4" w:rsidP="008870E4">
      <w:pPr>
        <w:spacing w:line="360" w:lineRule="auto"/>
        <w:jc w:val="both"/>
        <w:rPr>
          <w:u w:val="none"/>
        </w:rPr>
      </w:pPr>
    </w:p>
    <w:p w:rsidR="008870E4" w:rsidRDefault="008870E4" w:rsidP="008870E4">
      <w:pPr>
        <w:spacing w:line="360" w:lineRule="auto"/>
        <w:jc w:val="both"/>
        <w:rPr>
          <w:u w:val="none"/>
        </w:rPr>
      </w:pPr>
      <w:r>
        <w:rPr>
          <w:b/>
          <w:u w:val="none"/>
        </w:rPr>
        <w:t xml:space="preserve">ADVOCATE GARTH HULLEY SC N.O                       </w:t>
      </w:r>
      <w:r>
        <w:rPr>
          <w:u w:val="none"/>
        </w:rPr>
        <w:t>2</w:t>
      </w:r>
      <w:r w:rsidRPr="00D45F08">
        <w:rPr>
          <w:u w:val="none"/>
          <w:vertAlign w:val="superscript"/>
        </w:rPr>
        <w:t>ND</w:t>
      </w:r>
      <w:r>
        <w:rPr>
          <w:u w:val="none"/>
        </w:rPr>
        <w:t xml:space="preserve"> Applicant</w:t>
      </w:r>
    </w:p>
    <w:p w:rsidR="008870E4" w:rsidRDefault="008870E4" w:rsidP="008870E4">
      <w:pPr>
        <w:spacing w:line="360" w:lineRule="auto"/>
        <w:jc w:val="both"/>
        <w:rPr>
          <w:u w:val="none"/>
        </w:rPr>
      </w:pPr>
    </w:p>
    <w:p w:rsidR="008870E4" w:rsidRDefault="008870E4" w:rsidP="008870E4">
      <w:pPr>
        <w:spacing w:line="360" w:lineRule="auto"/>
        <w:jc w:val="both"/>
        <w:rPr>
          <w:u w:val="none"/>
        </w:rPr>
      </w:pPr>
      <w:r>
        <w:rPr>
          <w:u w:val="none"/>
        </w:rPr>
        <w:t>And</w:t>
      </w:r>
    </w:p>
    <w:p w:rsidR="008870E4" w:rsidRDefault="008870E4" w:rsidP="008870E4">
      <w:pPr>
        <w:spacing w:line="360" w:lineRule="auto"/>
        <w:jc w:val="both"/>
        <w:rPr>
          <w:u w:val="none"/>
        </w:rPr>
      </w:pPr>
    </w:p>
    <w:p w:rsidR="008870E4" w:rsidRPr="008870E4" w:rsidRDefault="008870E4" w:rsidP="008870E4">
      <w:pPr>
        <w:spacing w:line="360" w:lineRule="auto"/>
        <w:jc w:val="both"/>
        <w:rPr>
          <w:u w:val="none"/>
        </w:rPr>
      </w:pPr>
      <w:r>
        <w:rPr>
          <w:b/>
          <w:u w:val="none"/>
        </w:rPr>
        <w:lastRenderedPageBreak/>
        <w:t xml:space="preserve">MATEMEKU PETROLEUM (PTY) LTD                         </w:t>
      </w:r>
      <w:r w:rsidRPr="008870E4">
        <w:rPr>
          <w:u w:val="none"/>
        </w:rPr>
        <w:t>Respondent</w:t>
      </w:r>
    </w:p>
    <w:p w:rsidR="009E5BB5" w:rsidRDefault="009E5BB5" w:rsidP="00C82161">
      <w:pPr>
        <w:pBdr>
          <w:bottom w:val="single" w:sz="12" w:space="1" w:color="auto"/>
        </w:pBdr>
        <w:spacing w:line="360" w:lineRule="auto"/>
        <w:jc w:val="both"/>
        <w:rPr>
          <w:u w:val="none"/>
        </w:rPr>
      </w:pPr>
    </w:p>
    <w:p w:rsidR="00EA6A44" w:rsidRPr="0096135C" w:rsidRDefault="00EA6A44" w:rsidP="00C82161">
      <w:pPr>
        <w:pBdr>
          <w:bottom w:val="single" w:sz="12" w:space="1" w:color="auto"/>
        </w:pBdr>
        <w:spacing w:line="360" w:lineRule="auto"/>
        <w:jc w:val="both"/>
        <w:rPr>
          <w:u w:val="none"/>
        </w:rPr>
      </w:pPr>
    </w:p>
    <w:p w:rsidR="00C82161" w:rsidRPr="0096135C" w:rsidRDefault="00C82161" w:rsidP="00C82161">
      <w:pPr>
        <w:spacing w:line="360" w:lineRule="auto"/>
        <w:rPr>
          <w:b/>
          <w:u w:val="none"/>
        </w:rPr>
      </w:pPr>
    </w:p>
    <w:p w:rsidR="00C82161" w:rsidRPr="0096135C" w:rsidRDefault="00DD7864" w:rsidP="00C82161">
      <w:pPr>
        <w:pBdr>
          <w:bottom w:val="single" w:sz="12" w:space="1" w:color="auto"/>
        </w:pBdr>
        <w:spacing w:line="360" w:lineRule="auto"/>
        <w:jc w:val="center"/>
        <w:rPr>
          <w:u w:val="none"/>
        </w:rPr>
      </w:pPr>
      <w:r>
        <w:rPr>
          <w:b/>
          <w:u w:val="none"/>
        </w:rPr>
        <w:t>JUDGMENT</w:t>
      </w:r>
    </w:p>
    <w:p w:rsidR="008870E4" w:rsidRDefault="008870E4" w:rsidP="00C82161">
      <w:pPr>
        <w:spacing w:before="180" w:line="360" w:lineRule="auto"/>
        <w:ind w:left="720" w:hanging="720"/>
        <w:jc w:val="both"/>
        <w:rPr>
          <w:b/>
          <w:u w:val="none"/>
        </w:rPr>
      </w:pPr>
    </w:p>
    <w:p w:rsidR="00C82161" w:rsidRDefault="005528EB" w:rsidP="00C82161">
      <w:pPr>
        <w:spacing w:before="180" w:line="360" w:lineRule="auto"/>
        <w:ind w:left="720" w:hanging="720"/>
        <w:jc w:val="both"/>
        <w:rPr>
          <w:b/>
          <w:u w:val="none"/>
        </w:rPr>
      </w:pPr>
      <w:r>
        <w:rPr>
          <w:b/>
          <w:u w:val="none"/>
        </w:rPr>
        <w:t>MAHALELO</w:t>
      </w:r>
      <w:r w:rsidR="00C82161">
        <w:rPr>
          <w:b/>
          <w:u w:val="none"/>
        </w:rPr>
        <w:t xml:space="preserve"> </w:t>
      </w:r>
      <w:r w:rsidR="00C82161" w:rsidRPr="0096135C">
        <w:rPr>
          <w:b/>
          <w:u w:val="none"/>
        </w:rPr>
        <w:t>J</w:t>
      </w:r>
    </w:p>
    <w:p w:rsidR="005528EB" w:rsidRPr="00A32D3A" w:rsidRDefault="00B86BF7" w:rsidP="005528EB">
      <w:pPr>
        <w:autoSpaceDE w:val="0"/>
        <w:autoSpaceDN w:val="0"/>
        <w:adjustRightInd w:val="0"/>
        <w:spacing w:line="360" w:lineRule="auto"/>
        <w:ind w:left="720" w:hanging="720"/>
        <w:jc w:val="both"/>
        <w:rPr>
          <w:u w:val="none"/>
        </w:rPr>
      </w:pPr>
      <w:r w:rsidRPr="00E73C72">
        <w:rPr>
          <w:u w:val="none"/>
        </w:rPr>
        <w:t xml:space="preserve"> </w:t>
      </w:r>
      <w:r w:rsidR="00E73C72" w:rsidRPr="00E73C72">
        <w:rPr>
          <w:u w:val="none"/>
        </w:rPr>
        <w:t>[1]</w:t>
      </w:r>
      <w:r w:rsidR="00484C95">
        <w:rPr>
          <w:u w:val="none"/>
        </w:rPr>
        <w:tab/>
      </w:r>
      <w:r w:rsidR="00CE258A">
        <w:rPr>
          <w:u w:val="none"/>
        </w:rPr>
        <w:t xml:space="preserve">The </w:t>
      </w:r>
      <w:r w:rsidR="008870E4">
        <w:rPr>
          <w:u w:val="none"/>
        </w:rPr>
        <w:t xml:space="preserve">first </w:t>
      </w:r>
      <w:r w:rsidR="00CE258A">
        <w:rPr>
          <w:u w:val="none"/>
        </w:rPr>
        <w:t>applicant</w:t>
      </w:r>
      <w:r w:rsidR="005528EB">
        <w:rPr>
          <w:u w:val="none"/>
        </w:rPr>
        <w:t xml:space="preserve"> seeks an order directing the respondent to furnish security within 10 days or such other time the court deems just in terms of Rule 47(1) of the Uniform Rules of court in the amount</w:t>
      </w:r>
      <w:r w:rsidR="00F21DC2">
        <w:rPr>
          <w:u w:val="none"/>
        </w:rPr>
        <w:t xml:space="preserve"> R 500 000,00 alternatively such amount </w:t>
      </w:r>
      <w:r w:rsidR="005528EB">
        <w:rPr>
          <w:u w:val="none"/>
        </w:rPr>
        <w:t xml:space="preserve">and form as determined by the Registrar as security for costs in respect of </w:t>
      </w:r>
      <w:r w:rsidR="00CE258A">
        <w:rPr>
          <w:u w:val="none"/>
        </w:rPr>
        <w:t xml:space="preserve">the review </w:t>
      </w:r>
      <w:r w:rsidR="001034C9">
        <w:rPr>
          <w:u w:val="none"/>
        </w:rPr>
        <w:t xml:space="preserve">application </w:t>
      </w:r>
      <w:r w:rsidR="00CE258A">
        <w:rPr>
          <w:u w:val="none"/>
        </w:rPr>
        <w:t>brought by the respondent</w:t>
      </w:r>
      <w:r w:rsidR="001034C9">
        <w:rPr>
          <w:u w:val="none"/>
        </w:rPr>
        <w:t>.</w:t>
      </w:r>
    </w:p>
    <w:p w:rsidR="00E73C72" w:rsidRDefault="00E73C72" w:rsidP="00CE258A">
      <w:pPr>
        <w:autoSpaceDE w:val="0"/>
        <w:autoSpaceDN w:val="0"/>
        <w:adjustRightInd w:val="0"/>
        <w:spacing w:line="360" w:lineRule="auto"/>
        <w:jc w:val="both"/>
        <w:rPr>
          <w:u w:val="none"/>
        </w:rPr>
      </w:pPr>
    </w:p>
    <w:p w:rsidR="001034C9" w:rsidRDefault="00CE258A" w:rsidP="00CC5F66">
      <w:pPr>
        <w:autoSpaceDE w:val="0"/>
        <w:autoSpaceDN w:val="0"/>
        <w:adjustRightInd w:val="0"/>
        <w:spacing w:line="360" w:lineRule="auto"/>
        <w:ind w:left="720" w:hanging="720"/>
        <w:jc w:val="both"/>
        <w:rPr>
          <w:u w:val="none"/>
        </w:rPr>
      </w:pPr>
      <w:r>
        <w:rPr>
          <w:u w:val="none"/>
        </w:rPr>
        <w:t>[2</w:t>
      </w:r>
      <w:r w:rsidR="007E3016">
        <w:rPr>
          <w:u w:val="none"/>
        </w:rPr>
        <w:t>]</w:t>
      </w:r>
      <w:r w:rsidR="007E3016">
        <w:rPr>
          <w:u w:val="none"/>
        </w:rPr>
        <w:tab/>
      </w:r>
      <w:r w:rsidR="001034C9">
        <w:rPr>
          <w:u w:val="none"/>
        </w:rPr>
        <w:t xml:space="preserve">The </w:t>
      </w:r>
      <w:r w:rsidR="008870E4">
        <w:rPr>
          <w:u w:val="none"/>
        </w:rPr>
        <w:t xml:space="preserve">first </w:t>
      </w:r>
      <w:r>
        <w:rPr>
          <w:u w:val="none"/>
        </w:rPr>
        <w:t>applicant</w:t>
      </w:r>
      <w:r w:rsidR="001034C9">
        <w:rPr>
          <w:u w:val="none"/>
        </w:rPr>
        <w:t xml:space="preserve"> is of the opinion that the </w:t>
      </w:r>
      <w:r>
        <w:rPr>
          <w:u w:val="none"/>
        </w:rPr>
        <w:t>respondent</w:t>
      </w:r>
      <w:r w:rsidR="001034C9">
        <w:rPr>
          <w:u w:val="none"/>
        </w:rPr>
        <w:t xml:space="preserve"> will be unable to pay its </w:t>
      </w:r>
      <w:r>
        <w:rPr>
          <w:u w:val="none"/>
        </w:rPr>
        <w:t xml:space="preserve">costs if it is successful in its </w:t>
      </w:r>
      <w:r w:rsidR="001034C9">
        <w:rPr>
          <w:u w:val="none"/>
        </w:rPr>
        <w:t xml:space="preserve">opposition </w:t>
      </w:r>
      <w:r>
        <w:rPr>
          <w:u w:val="none"/>
        </w:rPr>
        <w:t>to</w:t>
      </w:r>
      <w:r w:rsidR="001034C9">
        <w:rPr>
          <w:u w:val="none"/>
        </w:rPr>
        <w:t xml:space="preserve"> the review application</w:t>
      </w:r>
      <w:r>
        <w:rPr>
          <w:u w:val="none"/>
        </w:rPr>
        <w:t>.</w:t>
      </w:r>
      <w:r w:rsidR="001034C9">
        <w:rPr>
          <w:u w:val="none"/>
        </w:rPr>
        <w:t xml:space="preserve"> </w:t>
      </w:r>
    </w:p>
    <w:p w:rsidR="00CE258A" w:rsidRDefault="00CE258A" w:rsidP="00CC5F66">
      <w:pPr>
        <w:autoSpaceDE w:val="0"/>
        <w:autoSpaceDN w:val="0"/>
        <w:adjustRightInd w:val="0"/>
        <w:spacing w:line="360" w:lineRule="auto"/>
        <w:ind w:left="720" w:hanging="720"/>
        <w:jc w:val="both"/>
        <w:rPr>
          <w:u w:val="none"/>
        </w:rPr>
      </w:pPr>
    </w:p>
    <w:p w:rsidR="001034C9" w:rsidRPr="00CE258A" w:rsidRDefault="001034C9" w:rsidP="00CC5F66">
      <w:pPr>
        <w:autoSpaceDE w:val="0"/>
        <w:autoSpaceDN w:val="0"/>
        <w:adjustRightInd w:val="0"/>
        <w:spacing w:line="360" w:lineRule="auto"/>
        <w:ind w:left="720" w:hanging="720"/>
        <w:jc w:val="both"/>
        <w:rPr>
          <w:b/>
          <w:u w:val="none"/>
        </w:rPr>
      </w:pPr>
      <w:r>
        <w:rPr>
          <w:u w:val="none"/>
        </w:rPr>
        <w:t xml:space="preserve">           </w:t>
      </w:r>
      <w:r w:rsidRPr="00CE258A">
        <w:rPr>
          <w:b/>
          <w:u w:val="none"/>
        </w:rPr>
        <w:t>Background Facts</w:t>
      </w:r>
    </w:p>
    <w:p w:rsidR="005301E8" w:rsidRDefault="005301E8" w:rsidP="00CC5F66">
      <w:pPr>
        <w:autoSpaceDE w:val="0"/>
        <w:autoSpaceDN w:val="0"/>
        <w:adjustRightInd w:val="0"/>
        <w:spacing w:line="360" w:lineRule="auto"/>
        <w:ind w:left="720" w:hanging="720"/>
        <w:jc w:val="both"/>
        <w:rPr>
          <w:u w:val="none"/>
        </w:rPr>
      </w:pPr>
      <w:r>
        <w:rPr>
          <w:u w:val="none"/>
        </w:rPr>
        <w:tab/>
      </w:r>
    </w:p>
    <w:p w:rsidR="00A01BBC" w:rsidRDefault="00CE258A" w:rsidP="00400E94">
      <w:pPr>
        <w:autoSpaceDE w:val="0"/>
        <w:autoSpaceDN w:val="0"/>
        <w:adjustRightInd w:val="0"/>
        <w:spacing w:line="360" w:lineRule="auto"/>
        <w:ind w:left="720" w:hanging="720"/>
        <w:jc w:val="both"/>
        <w:rPr>
          <w:u w:val="none"/>
        </w:rPr>
      </w:pPr>
      <w:r>
        <w:rPr>
          <w:u w:val="none"/>
        </w:rPr>
        <w:t>[3</w:t>
      </w:r>
      <w:r w:rsidR="005301E8">
        <w:rPr>
          <w:u w:val="none"/>
        </w:rPr>
        <w:t>]</w:t>
      </w:r>
      <w:r w:rsidR="005301E8">
        <w:rPr>
          <w:u w:val="none"/>
        </w:rPr>
        <w:tab/>
      </w:r>
      <w:r w:rsidR="001034C9">
        <w:rPr>
          <w:u w:val="none"/>
        </w:rPr>
        <w:t xml:space="preserve">On 1 April 2019 the second </w:t>
      </w:r>
      <w:r>
        <w:rPr>
          <w:u w:val="none"/>
        </w:rPr>
        <w:t>applicant</w:t>
      </w:r>
      <w:r w:rsidR="001034C9">
        <w:rPr>
          <w:u w:val="none"/>
        </w:rPr>
        <w:t xml:space="preserve"> rendered an arbitration award in favour of the first </w:t>
      </w:r>
      <w:r>
        <w:rPr>
          <w:u w:val="none"/>
        </w:rPr>
        <w:t>applicant.</w:t>
      </w:r>
      <w:r w:rsidR="001034C9">
        <w:rPr>
          <w:u w:val="none"/>
        </w:rPr>
        <w:t xml:space="preserve"> On 9 May 2019 the first </w:t>
      </w:r>
      <w:r>
        <w:rPr>
          <w:u w:val="none"/>
        </w:rPr>
        <w:t>applicant</w:t>
      </w:r>
      <w:r w:rsidR="001034C9">
        <w:rPr>
          <w:u w:val="none"/>
        </w:rPr>
        <w:t xml:space="preserve"> after due notice to the</w:t>
      </w:r>
      <w:r w:rsidR="00F46476">
        <w:rPr>
          <w:u w:val="none"/>
        </w:rPr>
        <w:t xml:space="preserve"> </w:t>
      </w:r>
      <w:r>
        <w:rPr>
          <w:u w:val="none"/>
        </w:rPr>
        <w:t>respondent</w:t>
      </w:r>
      <w:r w:rsidR="00F46476">
        <w:rPr>
          <w:u w:val="none"/>
        </w:rPr>
        <w:t xml:space="preserve"> obtained an order from this court making the arbitration award an order of court. </w:t>
      </w:r>
      <w:r w:rsidR="001034C9">
        <w:rPr>
          <w:u w:val="none"/>
        </w:rPr>
        <w:t xml:space="preserve"> </w:t>
      </w:r>
    </w:p>
    <w:p w:rsidR="00A01BBC" w:rsidRDefault="00A01BBC" w:rsidP="00400E94">
      <w:pPr>
        <w:autoSpaceDE w:val="0"/>
        <w:autoSpaceDN w:val="0"/>
        <w:adjustRightInd w:val="0"/>
        <w:spacing w:line="360" w:lineRule="auto"/>
        <w:ind w:left="720" w:hanging="720"/>
        <w:jc w:val="both"/>
        <w:rPr>
          <w:u w:val="none"/>
        </w:rPr>
      </w:pPr>
    </w:p>
    <w:p w:rsidR="00D1220B" w:rsidRDefault="00CE258A" w:rsidP="00400E94">
      <w:pPr>
        <w:autoSpaceDE w:val="0"/>
        <w:autoSpaceDN w:val="0"/>
        <w:adjustRightInd w:val="0"/>
        <w:spacing w:line="360" w:lineRule="auto"/>
        <w:ind w:left="720" w:hanging="720"/>
        <w:jc w:val="both"/>
        <w:rPr>
          <w:u w:val="none"/>
        </w:rPr>
      </w:pPr>
      <w:r>
        <w:rPr>
          <w:u w:val="none"/>
        </w:rPr>
        <w:t>[4</w:t>
      </w:r>
      <w:r w:rsidR="00A01BBC">
        <w:rPr>
          <w:u w:val="none"/>
        </w:rPr>
        <w:t>]</w:t>
      </w:r>
      <w:r w:rsidR="00A01BBC">
        <w:rPr>
          <w:u w:val="none"/>
        </w:rPr>
        <w:tab/>
      </w:r>
      <w:r w:rsidR="00F46476">
        <w:rPr>
          <w:u w:val="none"/>
        </w:rPr>
        <w:t xml:space="preserve">On 6 June 2019 the first </w:t>
      </w:r>
      <w:r>
        <w:rPr>
          <w:u w:val="none"/>
        </w:rPr>
        <w:t xml:space="preserve">applicant </w:t>
      </w:r>
      <w:r w:rsidR="00F46476">
        <w:rPr>
          <w:u w:val="none"/>
        </w:rPr>
        <w:t xml:space="preserve">executed the court order by issuing a writ of execution for the recovery of the judgment debt. On 13 June 2019 the first </w:t>
      </w:r>
      <w:r>
        <w:rPr>
          <w:u w:val="none"/>
        </w:rPr>
        <w:t>applicant</w:t>
      </w:r>
      <w:r w:rsidR="00F46476">
        <w:rPr>
          <w:u w:val="none"/>
        </w:rPr>
        <w:t xml:space="preserve"> received a notice of attachment in execution which contained an inventory list compiled by the sheriff’s office which indicated that the applicant’s movable property which was attached by the sheriff did not satisfy the judgment debt</w:t>
      </w:r>
      <w:r>
        <w:rPr>
          <w:u w:val="none"/>
        </w:rPr>
        <w:t>. S</w:t>
      </w:r>
      <w:r w:rsidR="00F46476">
        <w:rPr>
          <w:u w:val="none"/>
        </w:rPr>
        <w:t xml:space="preserve">hortly thereafter and on 25 June 2019 the </w:t>
      </w:r>
      <w:r>
        <w:rPr>
          <w:u w:val="none"/>
        </w:rPr>
        <w:t>respondent</w:t>
      </w:r>
      <w:r w:rsidR="00F46476">
        <w:rPr>
          <w:u w:val="none"/>
        </w:rPr>
        <w:t xml:space="preserve"> launched a review application wherein it asked the court to review and set aside</w:t>
      </w:r>
      <w:r w:rsidR="00BE7A0D">
        <w:rPr>
          <w:u w:val="none"/>
        </w:rPr>
        <w:t xml:space="preserve"> the arbitral award rendered on 1 </w:t>
      </w:r>
      <w:r w:rsidR="00BE7A0D">
        <w:rPr>
          <w:u w:val="none"/>
        </w:rPr>
        <w:lastRenderedPageBreak/>
        <w:t xml:space="preserve">April 2019 by the second </w:t>
      </w:r>
      <w:r>
        <w:rPr>
          <w:u w:val="none"/>
        </w:rPr>
        <w:t>applicant</w:t>
      </w:r>
      <w:r w:rsidR="00BE7A0D">
        <w:rPr>
          <w:u w:val="none"/>
        </w:rPr>
        <w:t xml:space="preserve"> in favour of the first respondent. The </w:t>
      </w:r>
      <w:r>
        <w:rPr>
          <w:u w:val="none"/>
        </w:rPr>
        <w:t>respondent</w:t>
      </w:r>
      <w:r w:rsidR="00BE7A0D">
        <w:rPr>
          <w:u w:val="none"/>
        </w:rPr>
        <w:t xml:space="preserve"> also asks the court to grant it the option to commence fresh arbitration proceedings against the </w:t>
      </w:r>
      <w:r>
        <w:rPr>
          <w:u w:val="none"/>
        </w:rPr>
        <w:t>applicant</w:t>
      </w:r>
      <w:r w:rsidR="00BE7A0D">
        <w:rPr>
          <w:u w:val="none"/>
        </w:rPr>
        <w:t>.</w:t>
      </w:r>
    </w:p>
    <w:p w:rsidR="00BE7A0D" w:rsidRDefault="00BE7A0D" w:rsidP="00400E94">
      <w:pPr>
        <w:autoSpaceDE w:val="0"/>
        <w:autoSpaceDN w:val="0"/>
        <w:adjustRightInd w:val="0"/>
        <w:spacing w:line="360" w:lineRule="auto"/>
        <w:ind w:left="720" w:hanging="720"/>
        <w:jc w:val="both"/>
        <w:rPr>
          <w:u w:val="none"/>
        </w:rPr>
      </w:pPr>
    </w:p>
    <w:p w:rsidR="00F33030" w:rsidRDefault="00D1220B" w:rsidP="00400E94">
      <w:pPr>
        <w:autoSpaceDE w:val="0"/>
        <w:autoSpaceDN w:val="0"/>
        <w:adjustRightInd w:val="0"/>
        <w:spacing w:line="360" w:lineRule="auto"/>
        <w:ind w:left="720" w:hanging="720"/>
        <w:jc w:val="both"/>
        <w:rPr>
          <w:u w:val="none"/>
        </w:rPr>
      </w:pPr>
      <w:r>
        <w:rPr>
          <w:u w:val="none"/>
        </w:rPr>
        <w:t>[</w:t>
      </w:r>
      <w:r w:rsidR="00CE258A">
        <w:rPr>
          <w:u w:val="none"/>
        </w:rPr>
        <w:t>5</w:t>
      </w:r>
      <w:r>
        <w:rPr>
          <w:u w:val="none"/>
        </w:rPr>
        <w:t>]</w:t>
      </w:r>
      <w:r>
        <w:rPr>
          <w:u w:val="none"/>
        </w:rPr>
        <w:tab/>
      </w:r>
      <w:r w:rsidR="00BE7A0D">
        <w:rPr>
          <w:u w:val="none"/>
        </w:rPr>
        <w:t xml:space="preserve">The </w:t>
      </w:r>
      <w:r w:rsidR="00CE258A">
        <w:rPr>
          <w:u w:val="none"/>
        </w:rPr>
        <w:t>applicant</w:t>
      </w:r>
      <w:r w:rsidR="00BE7A0D">
        <w:rPr>
          <w:u w:val="none"/>
        </w:rPr>
        <w:t xml:space="preserve"> contends that </w:t>
      </w:r>
      <w:r w:rsidR="00CE258A">
        <w:rPr>
          <w:u w:val="none"/>
        </w:rPr>
        <w:t>respondent</w:t>
      </w:r>
      <w:r w:rsidR="00BE7A0D">
        <w:rPr>
          <w:u w:val="none"/>
        </w:rPr>
        <w:t xml:space="preserve">’s review application </w:t>
      </w:r>
      <w:r w:rsidR="00F33030">
        <w:rPr>
          <w:u w:val="none"/>
        </w:rPr>
        <w:t>is vexatious and made purely for the sake of delaying its payment obligations and utterly devoid of any prospects of success because of the following reasons:</w:t>
      </w:r>
    </w:p>
    <w:p w:rsidR="00EB58A8" w:rsidRDefault="00F33030" w:rsidP="00400E94">
      <w:pPr>
        <w:autoSpaceDE w:val="0"/>
        <w:autoSpaceDN w:val="0"/>
        <w:adjustRightInd w:val="0"/>
        <w:spacing w:line="360" w:lineRule="auto"/>
        <w:ind w:left="720" w:hanging="720"/>
        <w:jc w:val="both"/>
        <w:rPr>
          <w:u w:val="none"/>
        </w:rPr>
      </w:pPr>
      <w:r>
        <w:rPr>
          <w:u w:val="none"/>
        </w:rPr>
        <w:t xml:space="preserve">          (a)    The award was made the order of court on </w:t>
      </w:r>
      <w:r w:rsidR="008870E4">
        <w:rPr>
          <w:u w:val="none"/>
        </w:rPr>
        <w:t>9 May</w:t>
      </w:r>
      <w:r>
        <w:rPr>
          <w:u w:val="none"/>
        </w:rPr>
        <w:t xml:space="preserve"> 2019 prior to the    applicant instituting the </w:t>
      </w:r>
      <w:r w:rsidR="0062064F">
        <w:rPr>
          <w:u w:val="none"/>
        </w:rPr>
        <w:t>review</w:t>
      </w:r>
      <w:r>
        <w:rPr>
          <w:u w:val="none"/>
        </w:rPr>
        <w:t xml:space="preserve"> application. There is no longer an award against which the </w:t>
      </w:r>
      <w:r w:rsidR="0062064F">
        <w:rPr>
          <w:u w:val="none"/>
        </w:rPr>
        <w:t>respondent can</w:t>
      </w:r>
      <w:r>
        <w:rPr>
          <w:u w:val="none"/>
        </w:rPr>
        <w:t xml:space="preserve"> direct its review. The </w:t>
      </w:r>
      <w:r w:rsidR="0062064F">
        <w:rPr>
          <w:u w:val="none"/>
        </w:rPr>
        <w:t xml:space="preserve">respondent </w:t>
      </w:r>
      <w:r>
        <w:rPr>
          <w:u w:val="none"/>
        </w:rPr>
        <w:t xml:space="preserve">chose not to oppose the first applicant’s application to make an award an order of court or challenged </w:t>
      </w:r>
      <w:r w:rsidR="00EB58A8">
        <w:rPr>
          <w:u w:val="none"/>
        </w:rPr>
        <w:t xml:space="preserve">its validity and has never sought to rescind the court order. Accordingly, the </w:t>
      </w:r>
      <w:r w:rsidR="0062064F">
        <w:rPr>
          <w:u w:val="none"/>
        </w:rPr>
        <w:t>respondent</w:t>
      </w:r>
      <w:r w:rsidR="00EB58A8">
        <w:rPr>
          <w:u w:val="none"/>
        </w:rPr>
        <w:t xml:space="preserve">’s review application is totally flawed in that it seeks to attack an arbitration award which has been made the order of court which remains binding and enforceable. </w:t>
      </w:r>
    </w:p>
    <w:p w:rsidR="0055717A" w:rsidRDefault="00EB58A8" w:rsidP="00400E94">
      <w:pPr>
        <w:autoSpaceDE w:val="0"/>
        <w:autoSpaceDN w:val="0"/>
        <w:adjustRightInd w:val="0"/>
        <w:spacing w:line="360" w:lineRule="auto"/>
        <w:ind w:left="720" w:hanging="720"/>
        <w:jc w:val="both"/>
        <w:rPr>
          <w:u w:val="none"/>
        </w:rPr>
      </w:pPr>
      <w:r>
        <w:rPr>
          <w:u w:val="none"/>
        </w:rPr>
        <w:t xml:space="preserve">          (b)</w:t>
      </w:r>
      <w:r w:rsidR="0055717A">
        <w:rPr>
          <w:u w:val="none"/>
        </w:rPr>
        <w:t xml:space="preserve">  </w:t>
      </w:r>
      <w:r>
        <w:rPr>
          <w:u w:val="none"/>
        </w:rPr>
        <w:t xml:space="preserve"> The </w:t>
      </w:r>
      <w:r w:rsidR="0062064F">
        <w:rPr>
          <w:u w:val="none"/>
        </w:rPr>
        <w:t>respondent</w:t>
      </w:r>
      <w:r>
        <w:rPr>
          <w:u w:val="none"/>
        </w:rPr>
        <w:t xml:space="preserve">’s grounds for review </w:t>
      </w:r>
      <w:r w:rsidR="0055717A">
        <w:rPr>
          <w:u w:val="none"/>
        </w:rPr>
        <w:t>are hopeless. Its review is nothing more than an appeal disguised as a review.</w:t>
      </w:r>
    </w:p>
    <w:p w:rsidR="00247920" w:rsidRDefault="0055717A" w:rsidP="00400E94">
      <w:pPr>
        <w:autoSpaceDE w:val="0"/>
        <w:autoSpaceDN w:val="0"/>
        <w:adjustRightInd w:val="0"/>
        <w:spacing w:line="360" w:lineRule="auto"/>
        <w:ind w:left="720" w:hanging="720"/>
        <w:jc w:val="both"/>
        <w:rPr>
          <w:u w:val="none"/>
        </w:rPr>
      </w:pPr>
      <w:r>
        <w:rPr>
          <w:u w:val="none"/>
        </w:rPr>
        <w:t xml:space="preserve">          (c) The </w:t>
      </w:r>
      <w:r w:rsidR="0062064F">
        <w:rPr>
          <w:u w:val="none"/>
        </w:rPr>
        <w:t>respondent</w:t>
      </w:r>
      <w:r>
        <w:rPr>
          <w:u w:val="none"/>
        </w:rPr>
        <w:t xml:space="preserve">’s review application has been unduly delayed. The arbitration award was rendered on 1 April 2019. Section 33(2) of the Act provides that the review application should have been brought by 14 May 2019. However, the review application was only instituted on 25 June </w:t>
      </w:r>
      <w:r w:rsidR="00247920">
        <w:rPr>
          <w:u w:val="none"/>
        </w:rPr>
        <w:t xml:space="preserve">2019. The </w:t>
      </w:r>
      <w:r w:rsidR="0062064F">
        <w:rPr>
          <w:u w:val="none"/>
        </w:rPr>
        <w:t>respondent</w:t>
      </w:r>
      <w:r w:rsidR="00247920">
        <w:rPr>
          <w:u w:val="none"/>
        </w:rPr>
        <w:t xml:space="preserve"> has failed to demonstrate </w:t>
      </w:r>
      <w:r w:rsidR="0062064F">
        <w:rPr>
          <w:u w:val="none"/>
        </w:rPr>
        <w:t>“</w:t>
      </w:r>
      <w:r w:rsidR="00247920">
        <w:rPr>
          <w:u w:val="none"/>
        </w:rPr>
        <w:t>good cause’’ as required by section 38 of the Act to condone its delay.</w:t>
      </w:r>
    </w:p>
    <w:p w:rsidR="00D1220B" w:rsidRDefault="0055717A" w:rsidP="00400E94">
      <w:pPr>
        <w:autoSpaceDE w:val="0"/>
        <w:autoSpaceDN w:val="0"/>
        <w:adjustRightInd w:val="0"/>
        <w:spacing w:line="360" w:lineRule="auto"/>
        <w:ind w:left="720" w:hanging="720"/>
        <w:jc w:val="both"/>
        <w:rPr>
          <w:u w:val="none"/>
        </w:rPr>
      </w:pPr>
      <w:r>
        <w:rPr>
          <w:u w:val="none"/>
        </w:rPr>
        <w:t xml:space="preserve">     </w:t>
      </w:r>
      <w:r w:rsidR="00EB58A8">
        <w:rPr>
          <w:u w:val="none"/>
        </w:rPr>
        <w:t xml:space="preserve"> </w:t>
      </w:r>
      <w:r w:rsidR="00F33030">
        <w:rPr>
          <w:u w:val="none"/>
        </w:rPr>
        <w:t xml:space="preserve">        </w:t>
      </w:r>
      <w:r w:rsidR="00D1220B">
        <w:rPr>
          <w:u w:val="none"/>
        </w:rPr>
        <w:tab/>
      </w:r>
    </w:p>
    <w:p w:rsidR="00A64D2F" w:rsidRDefault="0062064F" w:rsidP="00400E94">
      <w:pPr>
        <w:autoSpaceDE w:val="0"/>
        <w:autoSpaceDN w:val="0"/>
        <w:adjustRightInd w:val="0"/>
        <w:spacing w:line="360" w:lineRule="auto"/>
        <w:ind w:left="720" w:hanging="720"/>
        <w:jc w:val="both"/>
        <w:rPr>
          <w:u w:val="none"/>
        </w:rPr>
      </w:pPr>
      <w:r>
        <w:rPr>
          <w:u w:val="none"/>
        </w:rPr>
        <w:t>[6</w:t>
      </w:r>
      <w:r w:rsidR="00D1220B">
        <w:rPr>
          <w:u w:val="none"/>
        </w:rPr>
        <w:t>]</w:t>
      </w:r>
      <w:r w:rsidR="00D1220B">
        <w:rPr>
          <w:u w:val="none"/>
        </w:rPr>
        <w:tab/>
      </w:r>
      <w:r w:rsidR="00247920">
        <w:rPr>
          <w:u w:val="none"/>
        </w:rPr>
        <w:t xml:space="preserve">The </w:t>
      </w:r>
      <w:r>
        <w:rPr>
          <w:u w:val="none"/>
        </w:rPr>
        <w:t>respondent</w:t>
      </w:r>
      <w:r w:rsidR="00247920">
        <w:rPr>
          <w:u w:val="none"/>
        </w:rPr>
        <w:t xml:space="preserve"> opposes the application for it to furnish security. The </w:t>
      </w:r>
      <w:r>
        <w:rPr>
          <w:u w:val="none"/>
        </w:rPr>
        <w:t>respondent</w:t>
      </w:r>
      <w:r w:rsidR="00247920">
        <w:rPr>
          <w:u w:val="none"/>
        </w:rPr>
        <w:t xml:space="preserve"> contends that the </w:t>
      </w:r>
      <w:r>
        <w:rPr>
          <w:u w:val="none"/>
        </w:rPr>
        <w:t>applicant</w:t>
      </w:r>
      <w:r w:rsidR="00247920">
        <w:rPr>
          <w:u w:val="none"/>
        </w:rPr>
        <w:t xml:space="preserve"> is not a party entitled to demand security for costs whether in terms of Rule 47(1) of the Uniform Rules of Court or Common Law, and the </w:t>
      </w:r>
      <w:r>
        <w:rPr>
          <w:u w:val="none"/>
        </w:rPr>
        <w:t xml:space="preserve">respondent </w:t>
      </w:r>
      <w:r w:rsidR="00247920">
        <w:rPr>
          <w:u w:val="none"/>
        </w:rPr>
        <w:t>is not a party liable to give security for costs. At any rate</w:t>
      </w:r>
      <w:r>
        <w:rPr>
          <w:u w:val="none"/>
        </w:rPr>
        <w:t>,</w:t>
      </w:r>
      <w:r w:rsidR="00247920">
        <w:rPr>
          <w:u w:val="none"/>
        </w:rPr>
        <w:t xml:space="preserve"> so it is argued by the </w:t>
      </w:r>
      <w:r>
        <w:rPr>
          <w:u w:val="none"/>
        </w:rPr>
        <w:t>respondent</w:t>
      </w:r>
      <w:r w:rsidR="00247920">
        <w:rPr>
          <w:u w:val="none"/>
        </w:rPr>
        <w:t>, the amount required as security for costs</w:t>
      </w:r>
      <w:r w:rsidR="00A64D2F">
        <w:rPr>
          <w:u w:val="none"/>
        </w:rPr>
        <w:t xml:space="preserve"> is so outrageous such that if allowed, it would amount to denying the </w:t>
      </w:r>
      <w:r>
        <w:rPr>
          <w:u w:val="none"/>
        </w:rPr>
        <w:t>respondent</w:t>
      </w:r>
      <w:r w:rsidR="00A64D2F">
        <w:rPr>
          <w:u w:val="none"/>
        </w:rPr>
        <w:t xml:space="preserve"> its right of access to courts. The </w:t>
      </w:r>
      <w:r>
        <w:rPr>
          <w:u w:val="none"/>
        </w:rPr>
        <w:t xml:space="preserve">respondent </w:t>
      </w:r>
      <w:r w:rsidR="00A64D2F">
        <w:rPr>
          <w:u w:val="none"/>
        </w:rPr>
        <w:t>aver</w:t>
      </w:r>
      <w:r>
        <w:rPr>
          <w:u w:val="none"/>
        </w:rPr>
        <w:t>s</w:t>
      </w:r>
      <w:r w:rsidR="00A64D2F">
        <w:rPr>
          <w:u w:val="none"/>
        </w:rPr>
        <w:t xml:space="preserve"> that it is not a </w:t>
      </w:r>
      <w:r w:rsidR="00A64D2F" w:rsidRPr="0062064F">
        <w:rPr>
          <w:i/>
          <w:u w:val="none"/>
        </w:rPr>
        <w:t>peregrinus</w:t>
      </w:r>
      <w:r w:rsidR="00A64D2F">
        <w:rPr>
          <w:u w:val="none"/>
        </w:rPr>
        <w:t xml:space="preserve"> but an </w:t>
      </w:r>
      <w:r w:rsidR="00A64D2F" w:rsidRPr="0062064F">
        <w:rPr>
          <w:i/>
          <w:u w:val="none"/>
        </w:rPr>
        <w:t xml:space="preserve">incola </w:t>
      </w:r>
      <w:r>
        <w:rPr>
          <w:u w:val="none"/>
        </w:rPr>
        <w:t>Company i</w:t>
      </w:r>
      <w:r w:rsidR="00A64D2F">
        <w:rPr>
          <w:u w:val="none"/>
        </w:rPr>
        <w:t xml:space="preserve">n South Africa. The averment that it does not have any </w:t>
      </w:r>
      <w:r w:rsidR="00A64D2F">
        <w:rPr>
          <w:u w:val="none"/>
        </w:rPr>
        <w:lastRenderedPageBreak/>
        <w:t>prospects of success and that con</w:t>
      </w:r>
      <w:r>
        <w:rPr>
          <w:u w:val="none"/>
        </w:rPr>
        <w:t xml:space="preserve">tinued </w:t>
      </w:r>
      <w:r w:rsidR="00A64D2F">
        <w:rPr>
          <w:u w:val="none"/>
        </w:rPr>
        <w:t xml:space="preserve">litigation will cause the first </w:t>
      </w:r>
      <w:r>
        <w:rPr>
          <w:u w:val="none"/>
        </w:rPr>
        <w:t>applicant</w:t>
      </w:r>
      <w:r w:rsidR="00A64D2F">
        <w:rPr>
          <w:u w:val="none"/>
        </w:rPr>
        <w:t xml:space="preserve"> not to be able to recover its costs is devoid of merit as the question of investigation and </w:t>
      </w:r>
      <w:r>
        <w:rPr>
          <w:u w:val="none"/>
        </w:rPr>
        <w:t>merit</w:t>
      </w:r>
      <w:r w:rsidR="00A64D2F">
        <w:rPr>
          <w:u w:val="none"/>
        </w:rPr>
        <w:t xml:space="preserve"> is the purview of the court that will finally decide on the merits of the review application.</w:t>
      </w:r>
    </w:p>
    <w:p w:rsidR="00D81341" w:rsidRDefault="00D81341" w:rsidP="00400E94">
      <w:pPr>
        <w:autoSpaceDE w:val="0"/>
        <w:autoSpaceDN w:val="0"/>
        <w:adjustRightInd w:val="0"/>
        <w:spacing w:line="360" w:lineRule="auto"/>
        <w:ind w:left="720" w:hanging="720"/>
        <w:jc w:val="both"/>
        <w:rPr>
          <w:u w:val="none"/>
        </w:rPr>
      </w:pPr>
    </w:p>
    <w:p w:rsidR="00D1220B" w:rsidRPr="0062064F" w:rsidRDefault="00A64D2F" w:rsidP="00400E94">
      <w:pPr>
        <w:autoSpaceDE w:val="0"/>
        <w:autoSpaceDN w:val="0"/>
        <w:adjustRightInd w:val="0"/>
        <w:spacing w:line="360" w:lineRule="auto"/>
        <w:ind w:left="720" w:hanging="720"/>
        <w:jc w:val="both"/>
        <w:rPr>
          <w:b/>
          <w:i/>
          <w:u w:val="none"/>
        </w:rPr>
      </w:pPr>
      <w:r w:rsidRPr="0062064F">
        <w:rPr>
          <w:b/>
          <w:u w:val="none"/>
        </w:rPr>
        <w:t xml:space="preserve">           </w:t>
      </w:r>
      <w:r w:rsidRPr="0062064F">
        <w:rPr>
          <w:b/>
          <w:i/>
          <w:u w:val="none"/>
        </w:rPr>
        <w:t xml:space="preserve">Applicable Legal Principles   </w:t>
      </w:r>
      <w:r w:rsidR="00247920" w:rsidRPr="0062064F">
        <w:rPr>
          <w:b/>
          <w:i/>
          <w:u w:val="none"/>
        </w:rPr>
        <w:t xml:space="preserve">  </w:t>
      </w:r>
    </w:p>
    <w:p w:rsidR="00A64D2F" w:rsidRPr="00A64D2F" w:rsidRDefault="00A64D2F" w:rsidP="00400E94">
      <w:pPr>
        <w:autoSpaceDE w:val="0"/>
        <w:autoSpaceDN w:val="0"/>
        <w:adjustRightInd w:val="0"/>
        <w:spacing w:line="360" w:lineRule="auto"/>
        <w:ind w:left="720" w:hanging="720"/>
        <w:jc w:val="both"/>
        <w:rPr>
          <w:i/>
          <w:u w:val="none"/>
        </w:rPr>
      </w:pPr>
    </w:p>
    <w:p w:rsidR="00D81341" w:rsidRDefault="0062064F" w:rsidP="00561953">
      <w:pPr>
        <w:autoSpaceDE w:val="0"/>
        <w:autoSpaceDN w:val="0"/>
        <w:adjustRightInd w:val="0"/>
        <w:spacing w:line="360" w:lineRule="auto"/>
        <w:ind w:left="720" w:hanging="720"/>
        <w:jc w:val="both"/>
        <w:rPr>
          <w:u w:val="none"/>
        </w:rPr>
      </w:pPr>
      <w:r>
        <w:rPr>
          <w:u w:val="none"/>
        </w:rPr>
        <w:t>[7</w:t>
      </w:r>
      <w:r w:rsidR="00400E94">
        <w:rPr>
          <w:u w:val="none"/>
        </w:rPr>
        <w:t>]</w:t>
      </w:r>
      <w:r w:rsidR="00400E94">
        <w:rPr>
          <w:u w:val="none"/>
        </w:rPr>
        <w:tab/>
      </w:r>
      <w:r w:rsidR="00D81341">
        <w:rPr>
          <w:u w:val="none"/>
        </w:rPr>
        <w:t xml:space="preserve">The law with regard to the furnishing of security was until 1 May 2011, determined by the Provision of Section 13 of the Companies Act 61 of 1973 and by the principles of Common Law. In terms of Section 13 of the 1973 Companies Act the </w:t>
      </w:r>
      <w:r w:rsidR="00C64E98">
        <w:rPr>
          <w:u w:val="none"/>
        </w:rPr>
        <w:t xml:space="preserve">respondent </w:t>
      </w:r>
      <w:r w:rsidR="00D81341">
        <w:rPr>
          <w:u w:val="none"/>
        </w:rPr>
        <w:t xml:space="preserve">would have </w:t>
      </w:r>
      <w:r w:rsidR="00C64E98">
        <w:rPr>
          <w:u w:val="none"/>
        </w:rPr>
        <w:t xml:space="preserve">been </w:t>
      </w:r>
      <w:r w:rsidR="00D81341">
        <w:rPr>
          <w:u w:val="none"/>
        </w:rPr>
        <w:t>required to furnish security for the applicant’s costs but Section 13 has now been repealed and nothing was legislated in its place.</w:t>
      </w:r>
      <w:r w:rsidR="00C64E98">
        <w:rPr>
          <w:u w:val="none"/>
        </w:rPr>
        <w:t xml:space="preserve"> In the absence of Section 13</w:t>
      </w:r>
      <w:r w:rsidR="00D81341">
        <w:rPr>
          <w:u w:val="none"/>
        </w:rPr>
        <w:t xml:space="preserve"> the principles of Common Law </w:t>
      </w:r>
      <w:r w:rsidR="00C64E98">
        <w:rPr>
          <w:u w:val="none"/>
        </w:rPr>
        <w:t>apply</w:t>
      </w:r>
      <w:r w:rsidR="00D81341">
        <w:rPr>
          <w:u w:val="none"/>
        </w:rPr>
        <w:t>.</w:t>
      </w:r>
    </w:p>
    <w:p w:rsidR="00561953" w:rsidRDefault="00D81341" w:rsidP="00561953">
      <w:pPr>
        <w:autoSpaceDE w:val="0"/>
        <w:autoSpaceDN w:val="0"/>
        <w:adjustRightInd w:val="0"/>
        <w:spacing w:line="360" w:lineRule="auto"/>
        <w:ind w:left="720" w:hanging="720"/>
        <w:jc w:val="both"/>
        <w:rPr>
          <w:u w:val="none"/>
        </w:rPr>
      </w:pPr>
      <w:r>
        <w:rPr>
          <w:u w:val="none"/>
        </w:rPr>
        <w:t xml:space="preserve">      </w:t>
      </w:r>
    </w:p>
    <w:p w:rsidR="0067557F" w:rsidRDefault="00D1220B" w:rsidP="00561953">
      <w:pPr>
        <w:autoSpaceDE w:val="0"/>
        <w:autoSpaceDN w:val="0"/>
        <w:adjustRightInd w:val="0"/>
        <w:spacing w:line="360" w:lineRule="auto"/>
        <w:ind w:left="720" w:hanging="720"/>
        <w:jc w:val="both"/>
        <w:rPr>
          <w:u w:val="none"/>
        </w:rPr>
      </w:pPr>
      <w:r>
        <w:rPr>
          <w:u w:val="none"/>
        </w:rPr>
        <w:t>[</w:t>
      </w:r>
      <w:r w:rsidR="00C64E98">
        <w:rPr>
          <w:u w:val="none"/>
        </w:rPr>
        <w:t>8</w:t>
      </w:r>
      <w:r w:rsidR="00561953">
        <w:rPr>
          <w:u w:val="none"/>
        </w:rPr>
        <w:t>]</w:t>
      </w:r>
      <w:r w:rsidR="00561953">
        <w:rPr>
          <w:u w:val="none"/>
        </w:rPr>
        <w:tab/>
      </w:r>
      <w:r w:rsidR="00D81341">
        <w:rPr>
          <w:u w:val="none"/>
        </w:rPr>
        <w:t xml:space="preserve">In terms of Rule 47 of the Uniform Rules of Court, a </w:t>
      </w:r>
      <w:r w:rsidR="00D81341" w:rsidRPr="00C64E98">
        <w:rPr>
          <w:i/>
          <w:u w:val="none"/>
        </w:rPr>
        <w:t>peregrinus</w:t>
      </w:r>
      <w:r w:rsidR="00D81341">
        <w:rPr>
          <w:u w:val="none"/>
        </w:rPr>
        <w:t xml:space="preserve"> plaintiff</w:t>
      </w:r>
      <w:r w:rsidR="0067557F">
        <w:rPr>
          <w:u w:val="none"/>
        </w:rPr>
        <w:t xml:space="preserve"> (or </w:t>
      </w:r>
      <w:r w:rsidR="00C64E98">
        <w:rPr>
          <w:u w:val="none"/>
        </w:rPr>
        <w:t>respondent</w:t>
      </w:r>
      <w:r w:rsidR="0067557F">
        <w:rPr>
          <w:u w:val="none"/>
        </w:rPr>
        <w:t xml:space="preserve">) who does not own unburdened movable property </w:t>
      </w:r>
      <w:r w:rsidR="00B932E8">
        <w:rPr>
          <w:u w:val="none"/>
        </w:rPr>
        <w:t>in the country, may be ordered to give se</w:t>
      </w:r>
      <w:r w:rsidR="00C64E98">
        <w:rPr>
          <w:u w:val="none"/>
        </w:rPr>
        <w:t>curity for costs for his action</w:t>
      </w:r>
      <w:r w:rsidR="00B932E8">
        <w:rPr>
          <w:u w:val="none"/>
        </w:rPr>
        <w:t xml:space="preserve">. The object of the rule is to ensure that if the </w:t>
      </w:r>
      <w:r w:rsidR="00B932E8" w:rsidRPr="00C64E98">
        <w:rPr>
          <w:i/>
          <w:u w:val="none"/>
        </w:rPr>
        <w:t>perergrine</w:t>
      </w:r>
      <w:r w:rsidR="00B932E8">
        <w:rPr>
          <w:u w:val="none"/>
        </w:rPr>
        <w:t xml:space="preserve"> plaintiff is unsuccessful, payments of the </w:t>
      </w:r>
      <w:r w:rsidR="00C64E98" w:rsidRPr="00C64E98">
        <w:rPr>
          <w:i/>
          <w:u w:val="none"/>
        </w:rPr>
        <w:t>incola</w:t>
      </w:r>
      <w:r w:rsidR="00C64E98">
        <w:rPr>
          <w:u w:val="none"/>
        </w:rPr>
        <w:t xml:space="preserve"> defendant’s</w:t>
      </w:r>
      <w:r w:rsidR="00B932E8">
        <w:rPr>
          <w:u w:val="none"/>
        </w:rPr>
        <w:t xml:space="preserve"> costs is secured. The courts have however shown a degree of reservation in granting security for costs</w:t>
      </w:r>
      <w:r w:rsidR="009049AB">
        <w:rPr>
          <w:u w:val="none"/>
        </w:rPr>
        <w:t xml:space="preserve"> where the </w:t>
      </w:r>
      <w:r w:rsidR="009049AB" w:rsidRPr="00C64E98">
        <w:rPr>
          <w:i/>
          <w:u w:val="none"/>
        </w:rPr>
        <w:t>peregrinus</w:t>
      </w:r>
      <w:r w:rsidR="009049AB">
        <w:rPr>
          <w:u w:val="none"/>
        </w:rPr>
        <w:t xml:space="preserve"> owns immovable property within the court’s jurisdiction.</w:t>
      </w:r>
      <w:r w:rsidR="00B932E8">
        <w:rPr>
          <w:u w:val="none"/>
        </w:rPr>
        <w:t xml:space="preserve">   </w:t>
      </w:r>
      <w:r w:rsidR="0067557F">
        <w:rPr>
          <w:u w:val="none"/>
        </w:rPr>
        <w:t xml:space="preserve"> </w:t>
      </w:r>
    </w:p>
    <w:p w:rsidR="007E3016" w:rsidRDefault="00D81341" w:rsidP="00561953">
      <w:pPr>
        <w:autoSpaceDE w:val="0"/>
        <w:autoSpaceDN w:val="0"/>
        <w:adjustRightInd w:val="0"/>
        <w:spacing w:line="360" w:lineRule="auto"/>
        <w:ind w:left="720" w:hanging="720"/>
        <w:jc w:val="both"/>
        <w:rPr>
          <w:u w:val="none"/>
        </w:rPr>
      </w:pPr>
      <w:r>
        <w:rPr>
          <w:u w:val="none"/>
        </w:rPr>
        <w:t xml:space="preserve"> </w:t>
      </w:r>
    </w:p>
    <w:p w:rsidR="003A0596" w:rsidRDefault="007E3016" w:rsidP="00561953">
      <w:pPr>
        <w:autoSpaceDE w:val="0"/>
        <w:autoSpaceDN w:val="0"/>
        <w:adjustRightInd w:val="0"/>
        <w:spacing w:line="360" w:lineRule="auto"/>
        <w:ind w:left="720" w:hanging="720"/>
        <w:jc w:val="both"/>
        <w:rPr>
          <w:u w:val="none"/>
        </w:rPr>
      </w:pPr>
      <w:r>
        <w:rPr>
          <w:u w:val="none"/>
        </w:rPr>
        <w:t>[</w:t>
      </w:r>
      <w:r w:rsidR="00C64E98">
        <w:rPr>
          <w:u w:val="none"/>
        </w:rPr>
        <w:t>9</w:t>
      </w:r>
      <w:r>
        <w:rPr>
          <w:u w:val="none"/>
        </w:rPr>
        <w:t>]</w:t>
      </w:r>
      <w:r>
        <w:rPr>
          <w:u w:val="none"/>
        </w:rPr>
        <w:tab/>
      </w:r>
      <w:r w:rsidR="009049AB">
        <w:rPr>
          <w:u w:val="none"/>
        </w:rPr>
        <w:t xml:space="preserve">As a general rule on </w:t>
      </w:r>
      <w:r w:rsidR="009049AB" w:rsidRPr="00C64E98">
        <w:rPr>
          <w:i/>
          <w:u w:val="none"/>
        </w:rPr>
        <w:t xml:space="preserve">incola </w:t>
      </w:r>
      <w:r w:rsidR="009049AB">
        <w:rPr>
          <w:u w:val="none"/>
        </w:rPr>
        <w:t xml:space="preserve">is not compelled to furnish security for costs. The mere fact that an </w:t>
      </w:r>
      <w:r w:rsidR="009049AB" w:rsidRPr="00C64E98">
        <w:rPr>
          <w:i/>
          <w:u w:val="none"/>
        </w:rPr>
        <w:t>incola</w:t>
      </w:r>
      <w:r w:rsidR="009049AB">
        <w:rPr>
          <w:u w:val="none"/>
        </w:rPr>
        <w:t xml:space="preserve"> will be unable to meet an adverse court order is not </w:t>
      </w:r>
      <w:r w:rsidR="00C64E98">
        <w:rPr>
          <w:u w:val="none"/>
        </w:rPr>
        <w:t xml:space="preserve">a </w:t>
      </w:r>
      <w:r w:rsidR="009049AB">
        <w:rPr>
          <w:u w:val="none"/>
        </w:rPr>
        <w:t>basis</w:t>
      </w:r>
      <w:r w:rsidR="00F971EF">
        <w:rPr>
          <w:u w:val="none"/>
        </w:rPr>
        <w:t xml:space="preserve"> to require security. An </w:t>
      </w:r>
      <w:r w:rsidR="00F971EF" w:rsidRPr="00C64E98">
        <w:rPr>
          <w:i/>
          <w:u w:val="none"/>
        </w:rPr>
        <w:t>incola</w:t>
      </w:r>
      <w:r w:rsidR="00F971EF">
        <w:rPr>
          <w:u w:val="none"/>
        </w:rPr>
        <w:t xml:space="preserve"> may in the exercise of </w:t>
      </w:r>
      <w:r w:rsidR="00C64E98">
        <w:rPr>
          <w:u w:val="none"/>
        </w:rPr>
        <w:t>the</w:t>
      </w:r>
      <w:r w:rsidR="00F971EF">
        <w:rPr>
          <w:u w:val="none"/>
        </w:rPr>
        <w:t xml:space="preserve"> court’s discretion, be ordered to provide security for costs in circumstances where the main action </w:t>
      </w:r>
      <w:r w:rsidR="00C64E98">
        <w:rPr>
          <w:u w:val="none"/>
        </w:rPr>
        <w:t xml:space="preserve">is </w:t>
      </w:r>
      <w:r w:rsidR="00F971EF">
        <w:rPr>
          <w:u w:val="none"/>
        </w:rPr>
        <w:t>vexatious, reckless or otherwise an abuse of the court</w:t>
      </w:r>
      <w:r w:rsidR="00C64E98">
        <w:rPr>
          <w:u w:val="none"/>
        </w:rPr>
        <w:t>’s</w:t>
      </w:r>
      <w:r w:rsidR="00F971EF">
        <w:rPr>
          <w:u w:val="none"/>
        </w:rPr>
        <w:t xml:space="preserve"> process</w:t>
      </w:r>
      <w:r w:rsidR="00C64E98">
        <w:rPr>
          <w:rStyle w:val="FootnoteReference"/>
          <w:u w:val="none"/>
        </w:rPr>
        <w:footnoteReference w:id="1"/>
      </w:r>
      <w:r w:rsidR="00F971EF">
        <w:rPr>
          <w:u w:val="none"/>
        </w:rPr>
        <w:t xml:space="preserve">. The action is vexatious if it is obviously </w:t>
      </w:r>
      <w:r w:rsidR="00F971EF">
        <w:rPr>
          <w:u w:val="none"/>
        </w:rPr>
        <w:lastRenderedPageBreak/>
        <w:t xml:space="preserve">unsustainable, frivolous, improper, </w:t>
      </w:r>
      <w:r w:rsidR="00C64E98">
        <w:rPr>
          <w:u w:val="none"/>
        </w:rPr>
        <w:t xml:space="preserve">or </w:t>
      </w:r>
      <w:r w:rsidR="00F971EF">
        <w:rPr>
          <w:u w:val="none"/>
        </w:rPr>
        <w:t>instituted without sufficient ground to serve only as an annoyance to the defendant.</w:t>
      </w:r>
      <w:r w:rsidR="00C90344">
        <w:rPr>
          <w:rStyle w:val="FootnoteReference"/>
          <w:u w:val="none"/>
        </w:rPr>
        <w:footnoteReference w:id="2"/>
      </w:r>
    </w:p>
    <w:p w:rsidR="0049790D" w:rsidRDefault="00F971EF" w:rsidP="00561953">
      <w:pPr>
        <w:autoSpaceDE w:val="0"/>
        <w:autoSpaceDN w:val="0"/>
        <w:adjustRightInd w:val="0"/>
        <w:spacing w:line="360" w:lineRule="auto"/>
        <w:ind w:left="720" w:hanging="720"/>
        <w:jc w:val="both"/>
        <w:rPr>
          <w:u w:val="none"/>
        </w:rPr>
      </w:pPr>
      <w:r>
        <w:rPr>
          <w:u w:val="none"/>
        </w:rPr>
        <w:t xml:space="preserve"> </w:t>
      </w:r>
      <w:r w:rsidR="009049AB">
        <w:rPr>
          <w:u w:val="none"/>
        </w:rPr>
        <w:t xml:space="preserve">    </w:t>
      </w:r>
    </w:p>
    <w:p w:rsidR="0049790D" w:rsidRDefault="00561953" w:rsidP="00A858BE">
      <w:pPr>
        <w:autoSpaceDE w:val="0"/>
        <w:autoSpaceDN w:val="0"/>
        <w:adjustRightInd w:val="0"/>
        <w:spacing w:line="360" w:lineRule="auto"/>
        <w:ind w:left="720" w:hanging="720"/>
        <w:jc w:val="both"/>
        <w:rPr>
          <w:u w:val="none"/>
        </w:rPr>
      </w:pPr>
      <w:r>
        <w:rPr>
          <w:u w:val="none"/>
        </w:rPr>
        <w:t>[</w:t>
      </w:r>
      <w:r w:rsidR="00C90344">
        <w:rPr>
          <w:u w:val="none"/>
        </w:rPr>
        <w:t>10</w:t>
      </w:r>
      <w:r>
        <w:rPr>
          <w:u w:val="none"/>
        </w:rPr>
        <w:t>]</w:t>
      </w:r>
      <w:r>
        <w:rPr>
          <w:u w:val="none"/>
        </w:rPr>
        <w:tab/>
      </w:r>
      <w:r w:rsidR="006550D1">
        <w:rPr>
          <w:u w:val="none"/>
        </w:rPr>
        <w:t>The test whether an action is vexatious on the ground that it is unsustainable does not require a court to be convinced as a matter of certainty that the ma</w:t>
      </w:r>
      <w:r w:rsidR="00C90344">
        <w:rPr>
          <w:u w:val="none"/>
        </w:rPr>
        <w:t>tter is incapable of succeeding</w:t>
      </w:r>
      <w:r w:rsidR="003A0596">
        <w:rPr>
          <w:u w:val="none"/>
        </w:rPr>
        <w:t xml:space="preserve"> but rather as a </w:t>
      </w:r>
      <w:r w:rsidR="00C90344">
        <w:rPr>
          <w:u w:val="none"/>
        </w:rPr>
        <w:t>probability</w:t>
      </w:r>
      <w:r w:rsidR="003A0596">
        <w:rPr>
          <w:u w:val="none"/>
        </w:rPr>
        <w:t>. The applicant therefore does not have to establish this as a matter of certainty. The court is not required to take a detailed investigation of the case nor attempt to resolve the dispute between the parties as this would amount to pre-empting the trial court. The court in a security for costs application brought on this grounds, should merely decide on a preponderance of probabilities whether there are any prospects of success</w:t>
      </w:r>
      <w:r w:rsidR="00C90344">
        <w:rPr>
          <w:u w:val="none"/>
        </w:rPr>
        <w:t>.</w:t>
      </w:r>
      <w:r w:rsidR="00C90344">
        <w:rPr>
          <w:rStyle w:val="FootnoteReference"/>
          <w:u w:val="none"/>
        </w:rPr>
        <w:footnoteReference w:id="3"/>
      </w:r>
    </w:p>
    <w:p w:rsidR="003A0596" w:rsidRDefault="003A0596" w:rsidP="00A858BE">
      <w:pPr>
        <w:autoSpaceDE w:val="0"/>
        <w:autoSpaceDN w:val="0"/>
        <w:adjustRightInd w:val="0"/>
        <w:spacing w:line="360" w:lineRule="auto"/>
        <w:ind w:left="720" w:hanging="720"/>
        <w:jc w:val="both"/>
        <w:rPr>
          <w:u w:val="none"/>
        </w:rPr>
      </w:pPr>
    </w:p>
    <w:p w:rsidR="003A0596" w:rsidRDefault="003A0596" w:rsidP="00A858BE">
      <w:pPr>
        <w:autoSpaceDE w:val="0"/>
        <w:autoSpaceDN w:val="0"/>
        <w:adjustRightInd w:val="0"/>
        <w:spacing w:line="360" w:lineRule="auto"/>
        <w:ind w:left="720" w:hanging="720"/>
        <w:jc w:val="both"/>
        <w:rPr>
          <w:u w:val="none"/>
        </w:rPr>
      </w:pPr>
    </w:p>
    <w:p w:rsidR="003A0596" w:rsidRDefault="002044A9" w:rsidP="0049790D">
      <w:pPr>
        <w:autoSpaceDE w:val="0"/>
        <w:autoSpaceDN w:val="0"/>
        <w:adjustRightInd w:val="0"/>
        <w:spacing w:line="360" w:lineRule="auto"/>
        <w:ind w:left="720" w:hanging="720"/>
        <w:jc w:val="both"/>
        <w:rPr>
          <w:u w:val="none"/>
        </w:rPr>
      </w:pPr>
      <w:r>
        <w:rPr>
          <w:u w:val="none"/>
        </w:rPr>
        <w:t>[11</w:t>
      </w:r>
      <w:r w:rsidR="0049790D">
        <w:rPr>
          <w:u w:val="none"/>
        </w:rPr>
        <w:t>]</w:t>
      </w:r>
      <w:r w:rsidR="0049790D">
        <w:rPr>
          <w:u w:val="none"/>
        </w:rPr>
        <w:tab/>
      </w:r>
      <w:r w:rsidR="003A0596">
        <w:rPr>
          <w:u w:val="none"/>
        </w:rPr>
        <w:t>In Boost Sports Africa (Pty) Ltd</w:t>
      </w:r>
      <w:r w:rsidR="00C90344">
        <w:rPr>
          <w:rStyle w:val="FootnoteReference"/>
          <w:u w:val="none"/>
        </w:rPr>
        <w:footnoteReference w:id="4"/>
      </w:r>
      <w:r w:rsidR="003A0596">
        <w:rPr>
          <w:u w:val="none"/>
        </w:rPr>
        <w:t xml:space="preserve"> the Supreme Court of Appeal provided </w:t>
      </w:r>
      <w:r w:rsidR="00F9626C">
        <w:rPr>
          <w:u w:val="none"/>
        </w:rPr>
        <w:t xml:space="preserve">clarity as to when a court can require an </w:t>
      </w:r>
      <w:r w:rsidR="00F9626C" w:rsidRPr="002044A9">
        <w:rPr>
          <w:i/>
          <w:u w:val="none"/>
        </w:rPr>
        <w:t xml:space="preserve">incola </w:t>
      </w:r>
      <w:r w:rsidR="00F9626C">
        <w:rPr>
          <w:u w:val="none"/>
        </w:rPr>
        <w:t>to provide security in the absence of Section 13 of the old Companies Act.</w:t>
      </w:r>
    </w:p>
    <w:p w:rsidR="0049790D" w:rsidRDefault="003A0596" w:rsidP="0049790D">
      <w:pPr>
        <w:autoSpaceDE w:val="0"/>
        <w:autoSpaceDN w:val="0"/>
        <w:adjustRightInd w:val="0"/>
        <w:spacing w:line="360" w:lineRule="auto"/>
        <w:ind w:left="720" w:hanging="720"/>
        <w:jc w:val="both"/>
        <w:rPr>
          <w:u w:val="none"/>
        </w:rPr>
      </w:pPr>
      <w:r>
        <w:rPr>
          <w:u w:val="none"/>
        </w:rPr>
        <w:t xml:space="preserve">  </w:t>
      </w:r>
    </w:p>
    <w:p w:rsidR="009935C6" w:rsidRDefault="002044A9" w:rsidP="0049790D">
      <w:pPr>
        <w:autoSpaceDE w:val="0"/>
        <w:autoSpaceDN w:val="0"/>
        <w:adjustRightInd w:val="0"/>
        <w:spacing w:line="360" w:lineRule="auto"/>
        <w:ind w:left="720" w:hanging="720"/>
        <w:jc w:val="both"/>
        <w:rPr>
          <w:u w:val="none"/>
        </w:rPr>
      </w:pPr>
      <w:r>
        <w:rPr>
          <w:u w:val="none"/>
        </w:rPr>
        <w:t>[12</w:t>
      </w:r>
      <w:r w:rsidR="0049790D">
        <w:rPr>
          <w:u w:val="none"/>
        </w:rPr>
        <w:t>]</w:t>
      </w:r>
      <w:r w:rsidR="0049790D">
        <w:rPr>
          <w:u w:val="none"/>
        </w:rPr>
        <w:tab/>
        <w:t xml:space="preserve"> </w:t>
      </w:r>
      <w:r>
        <w:rPr>
          <w:u w:val="none"/>
        </w:rPr>
        <w:t>In Boost t</w:t>
      </w:r>
      <w:r w:rsidR="00F9626C">
        <w:rPr>
          <w:u w:val="none"/>
        </w:rPr>
        <w:t xml:space="preserve">he Supreme Court of Appeal held that absent Section 13 of the old Act in the new Act, the law no longer </w:t>
      </w:r>
      <w:r>
        <w:rPr>
          <w:u w:val="none"/>
        </w:rPr>
        <w:t>differentiate</w:t>
      </w:r>
      <w:r w:rsidR="00F9626C">
        <w:rPr>
          <w:u w:val="none"/>
        </w:rPr>
        <w:t xml:space="preserve"> between an </w:t>
      </w:r>
      <w:r w:rsidR="00F9626C" w:rsidRPr="002044A9">
        <w:rPr>
          <w:i/>
          <w:u w:val="none"/>
        </w:rPr>
        <w:t>incola</w:t>
      </w:r>
      <w:r w:rsidR="00F9626C">
        <w:rPr>
          <w:u w:val="none"/>
        </w:rPr>
        <w:t xml:space="preserve"> company and an </w:t>
      </w:r>
      <w:r w:rsidR="00F9626C" w:rsidRPr="002044A9">
        <w:rPr>
          <w:i/>
          <w:u w:val="none"/>
        </w:rPr>
        <w:t>incola</w:t>
      </w:r>
      <w:r w:rsidR="00F9626C">
        <w:rPr>
          <w:u w:val="none"/>
        </w:rPr>
        <w:t xml:space="preserve"> person. In determining an order for security for costs the SCA stated that factors c</w:t>
      </w:r>
      <w:r>
        <w:rPr>
          <w:u w:val="none"/>
        </w:rPr>
        <w:t>ontained in Section 13 still has</w:t>
      </w:r>
      <w:r w:rsidR="00F9626C">
        <w:rPr>
          <w:u w:val="none"/>
        </w:rPr>
        <w:t xml:space="preserve"> relevance and courts should have regard to the nature of the claim</w:t>
      </w:r>
      <w:r w:rsidR="00E729D1">
        <w:rPr>
          <w:u w:val="none"/>
        </w:rPr>
        <w:t xml:space="preserve">, the financial status of the </w:t>
      </w:r>
      <w:r w:rsidR="00E729D1" w:rsidRPr="002044A9">
        <w:rPr>
          <w:i/>
          <w:u w:val="none"/>
        </w:rPr>
        <w:t>incola</w:t>
      </w:r>
      <w:r w:rsidR="00E729D1">
        <w:rPr>
          <w:u w:val="none"/>
        </w:rPr>
        <w:t xml:space="preserve"> and the </w:t>
      </w:r>
      <w:r w:rsidR="00E729D1" w:rsidRPr="002044A9">
        <w:rPr>
          <w:i/>
          <w:u w:val="none"/>
        </w:rPr>
        <w:t>incola’s</w:t>
      </w:r>
      <w:r>
        <w:rPr>
          <w:u w:val="none"/>
        </w:rPr>
        <w:t xml:space="preserve"> probable financial status </w:t>
      </w:r>
      <w:r w:rsidR="00E729D1">
        <w:rPr>
          <w:u w:val="none"/>
        </w:rPr>
        <w:t>should it fail in the matter. T</w:t>
      </w:r>
      <w:r>
        <w:rPr>
          <w:u w:val="none"/>
        </w:rPr>
        <w:t>he SCA placed the onus on the pa</w:t>
      </w:r>
      <w:r w:rsidR="00E729D1">
        <w:rPr>
          <w:u w:val="none"/>
        </w:rPr>
        <w:t xml:space="preserve">rty seeking security for costs to go beyond merely showing that an </w:t>
      </w:r>
      <w:r w:rsidR="00E729D1" w:rsidRPr="002044A9">
        <w:rPr>
          <w:i/>
          <w:u w:val="none"/>
        </w:rPr>
        <w:t>incola</w:t>
      </w:r>
      <w:r w:rsidR="00E729D1">
        <w:rPr>
          <w:u w:val="none"/>
        </w:rPr>
        <w:t xml:space="preserve"> is unable to meet an adverse cost order and held that the </w:t>
      </w:r>
      <w:r>
        <w:rPr>
          <w:u w:val="none"/>
        </w:rPr>
        <w:t xml:space="preserve">applicant must satisfy the court that the </w:t>
      </w:r>
      <w:r w:rsidR="00E729D1">
        <w:rPr>
          <w:u w:val="none"/>
        </w:rPr>
        <w:t>main action is vexatious</w:t>
      </w:r>
      <w:r>
        <w:rPr>
          <w:u w:val="none"/>
        </w:rPr>
        <w:t xml:space="preserve">, </w:t>
      </w:r>
      <w:r w:rsidR="00E729D1">
        <w:rPr>
          <w:u w:val="none"/>
        </w:rPr>
        <w:t xml:space="preserve">reckless or otherwise amounts to an abuse. </w:t>
      </w:r>
    </w:p>
    <w:p w:rsidR="00B86BF7" w:rsidRDefault="00F9626C" w:rsidP="0049790D">
      <w:pPr>
        <w:autoSpaceDE w:val="0"/>
        <w:autoSpaceDN w:val="0"/>
        <w:adjustRightInd w:val="0"/>
        <w:spacing w:line="360" w:lineRule="auto"/>
        <w:ind w:left="720" w:hanging="720"/>
        <w:jc w:val="both"/>
        <w:rPr>
          <w:u w:val="none"/>
        </w:rPr>
      </w:pPr>
      <w:r>
        <w:rPr>
          <w:u w:val="none"/>
        </w:rPr>
        <w:lastRenderedPageBreak/>
        <w:t xml:space="preserve">  </w:t>
      </w:r>
    </w:p>
    <w:p w:rsidR="005301E8" w:rsidRDefault="002044A9" w:rsidP="0049790D">
      <w:pPr>
        <w:autoSpaceDE w:val="0"/>
        <w:autoSpaceDN w:val="0"/>
        <w:adjustRightInd w:val="0"/>
        <w:spacing w:line="360" w:lineRule="auto"/>
        <w:ind w:left="720" w:hanging="720"/>
        <w:jc w:val="both"/>
        <w:rPr>
          <w:u w:val="none"/>
        </w:rPr>
      </w:pPr>
      <w:r>
        <w:rPr>
          <w:u w:val="none"/>
        </w:rPr>
        <w:t>[13</w:t>
      </w:r>
      <w:r w:rsidR="00FB1824">
        <w:rPr>
          <w:u w:val="none"/>
        </w:rPr>
        <w:t>]</w:t>
      </w:r>
      <w:r w:rsidR="00FB1824">
        <w:rPr>
          <w:u w:val="none"/>
        </w:rPr>
        <w:tab/>
      </w:r>
      <w:r w:rsidR="0049790D">
        <w:rPr>
          <w:u w:val="none"/>
        </w:rPr>
        <w:t xml:space="preserve"> </w:t>
      </w:r>
      <w:r w:rsidR="009935C6">
        <w:rPr>
          <w:u w:val="none"/>
        </w:rPr>
        <w:t>In a security for costs application “the court must carry out a balan</w:t>
      </w:r>
      <w:r>
        <w:rPr>
          <w:u w:val="none"/>
        </w:rPr>
        <w:t xml:space="preserve">cing exercise. On the one hand </w:t>
      </w:r>
      <w:r w:rsidR="009935C6">
        <w:rPr>
          <w:u w:val="none"/>
        </w:rPr>
        <w:t>it must weigh the injustice to the plaintiff if prevented from pursuing a proper</w:t>
      </w:r>
      <w:r>
        <w:rPr>
          <w:u w:val="none"/>
        </w:rPr>
        <w:t xml:space="preserve"> claim </w:t>
      </w:r>
      <w:r w:rsidR="009935C6">
        <w:rPr>
          <w:u w:val="none"/>
        </w:rPr>
        <w:t>by an order for security. Against that, it must weigh the injustice to the defendant if no security is ordered and at the trial the</w:t>
      </w:r>
      <w:r>
        <w:rPr>
          <w:u w:val="none"/>
        </w:rPr>
        <w:t xml:space="preserve"> plaintiff’s claim fails and def</w:t>
      </w:r>
      <w:r w:rsidR="009935C6">
        <w:rPr>
          <w:u w:val="none"/>
        </w:rPr>
        <w:t xml:space="preserve">endant finds himself unable to recover from the plaintiff the costs which have been incurred by his defence of the claim.”  </w:t>
      </w:r>
    </w:p>
    <w:p w:rsidR="00CC6F72" w:rsidRDefault="00874998" w:rsidP="00872443">
      <w:pPr>
        <w:spacing w:before="180" w:line="360" w:lineRule="auto"/>
        <w:ind w:left="720" w:hanging="720"/>
        <w:jc w:val="both"/>
        <w:rPr>
          <w:i/>
          <w:u w:val="none"/>
        </w:rPr>
      </w:pPr>
      <w:r w:rsidRPr="0049790D">
        <w:rPr>
          <w:u w:val="none"/>
        </w:rPr>
        <w:t xml:space="preserve"> </w:t>
      </w:r>
      <w:r w:rsidR="002044A9">
        <w:rPr>
          <w:u w:val="none"/>
        </w:rPr>
        <w:t>[14</w:t>
      </w:r>
      <w:r w:rsidR="0049790D" w:rsidRPr="0049790D">
        <w:rPr>
          <w:u w:val="none"/>
        </w:rPr>
        <w:t>]</w:t>
      </w:r>
      <w:r w:rsidR="0049790D">
        <w:rPr>
          <w:u w:val="none"/>
        </w:rPr>
        <w:tab/>
      </w:r>
      <w:r w:rsidR="009935C6">
        <w:rPr>
          <w:u w:val="none"/>
        </w:rPr>
        <w:t xml:space="preserve">This approach was endorsed by the Constitutional Court </w:t>
      </w:r>
      <w:r w:rsidR="002044A9">
        <w:rPr>
          <w:u w:val="none"/>
        </w:rPr>
        <w:t xml:space="preserve">in </w:t>
      </w:r>
      <w:r w:rsidR="009935C6">
        <w:rPr>
          <w:u w:val="none"/>
        </w:rPr>
        <w:t xml:space="preserve">Giddey </w:t>
      </w:r>
      <w:r w:rsidR="002044A9">
        <w:rPr>
          <w:u w:val="none"/>
        </w:rPr>
        <w:t>NO</w:t>
      </w:r>
      <w:r w:rsidR="009935C6">
        <w:rPr>
          <w:u w:val="none"/>
        </w:rPr>
        <w:t xml:space="preserve"> v J C Barnard and Partners</w:t>
      </w:r>
      <w:r w:rsidR="002174E1">
        <w:rPr>
          <w:rStyle w:val="FootnoteReference"/>
          <w:u w:val="none"/>
        </w:rPr>
        <w:footnoteReference w:id="5"/>
      </w:r>
      <w:r w:rsidR="009935C6">
        <w:rPr>
          <w:u w:val="none"/>
        </w:rPr>
        <w:t xml:space="preserve"> which concerned the correct Constitutional approach to a court’s discretion</w:t>
      </w:r>
      <w:r w:rsidR="00CC6F72">
        <w:rPr>
          <w:u w:val="none"/>
        </w:rPr>
        <w:t xml:space="preserve"> in granting an order for security for costs. In regard to the required balancing exercise the held: “</w:t>
      </w:r>
      <w:r w:rsidR="00CC6F72" w:rsidRPr="00CC6F72">
        <w:rPr>
          <w:i/>
          <w:u w:val="none"/>
        </w:rPr>
        <w:t>To do this balancing exercise correctly, a court needs to be apprised of all the relevant information. An application for security will therefore need to show that there is a probability that the plaintiff company will be unable to pay costs. The respondent company, on the other hand, must establish that the order for costs might well result in it being unable to pursue the litigation and should indicate the nature and importance of the litigation to rebut the suggestion that it may be vexatious or without prospects of success. Equipped with this information a court will need to balance the interes</w:t>
      </w:r>
      <w:r w:rsidR="002174E1">
        <w:rPr>
          <w:i/>
          <w:u w:val="none"/>
        </w:rPr>
        <w:t xml:space="preserve">t of the plaintiff in pursuing </w:t>
      </w:r>
      <w:r w:rsidR="00CC6F72" w:rsidRPr="00CC6F72">
        <w:rPr>
          <w:i/>
          <w:u w:val="none"/>
        </w:rPr>
        <w:t xml:space="preserve">the litigation against the risks to </w:t>
      </w:r>
      <w:r w:rsidR="002174E1">
        <w:rPr>
          <w:i/>
          <w:u w:val="none"/>
        </w:rPr>
        <w:t xml:space="preserve">the </w:t>
      </w:r>
      <w:r w:rsidR="00CC6F72" w:rsidRPr="00CC6F72">
        <w:rPr>
          <w:i/>
          <w:u w:val="none"/>
        </w:rPr>
        <w:t xml:space="preserve">defendant of an unrealisable cost order.” </w:t>
      </w:r>
    </w:p>
    <w:p w:rsidR="00874998" w:rsidRPr="00CC6F72" w:rsidRDefault="00CC6F72" w:rsidP="00872443">
      <w:pPr>
        <w:spacing w:before="180" w:line="360" w:lineRule="auto"/>
        <w:ind w:left="720" w:hanging="720"/>
        <w:jc w:val="both"/>
        <w:rPr>
          <w:i/>
          <w:u w:val="none"/>
        </w:rPr>
      </w:pPr>
      <w:r w:rsidRPr="00CC6F72">
        <w:rPr>
          <w:i/>
          <w:u w:val="none"/>
        </w:rPr>
        <w:t xml:space="preserve">   </w:t>
      </w:r>
      <w:r w:rsidR="009935C6" w:rsidRPr="00CC6F72">
        <w:rPr>
          <w:i/>
          <w:u w:val="none"/>
        </w:rPr>
        <w:t xml:space="preserve">  </w:t>
      </w:r>
    </w:p>
    <w:p w:rsidR="00874998" w:rsidRDefault="00874998" w:rsidP="00CC6F72">
      <w:pPr>
        <w:spacing w:before="180" w:line="360" w:lineRule="auto"/>
        <w:ind w:left="720" w:hanging="720"/>
        <w:jc w:val="both"/>
        <w:rPr>
          <w:u w:val="none"/>
        </w:rPr>
      </w:pPr>
      <w:r w:rsidRPr="0049790D">
        <w:rPr>
          <w:u w:val="none"/>
        </w:rPr>
        <w:t xml:space="preserve"> </w:t>
      </w:r>
      <w:r w:rsidR="008870E4">
        <w:rPr>
          <w:u w:val="none"/>
        </w:rPr>
        <w:t>[15</w:t>
      </w:r>
      <w:r w:rsidR="0049790D" w:rsidRPr="0049790D">
        <w:rPr>
          <w:u w:val="none"/>
        </w:rPr>
        <w:t>]</w:t>
      </w:r>
      <w:r w:rsidR="00872443">
        <w:rPr>
          <w:u w:val="none"/>
        </w:rPr>
        <w:t xml:space="preserve"> </w:t>
      </w:r>
      <w:r w:rsidR="00872443">
        <w:rPr>
          <w:u w:val="none"/>
        </w:rPr>
        <w:tab/>
      </w:r>
      <w:r w:rsidR="00CC6F72">
        <w:rPr>
          <w:u w:val="none"/>
        </w:rPr>
        <w:t xml:space="preserve">The fact that the </w:t>
      </w:r>
      <w:r w:rsidR="002174E1">
        <w:rPr>
          <w:u w:val="none"/>
        </w:rPr>
        <w:t xml:space="preserve">respondent </w:t>
      </w:r>
      <w:r w:rsidR="00AD443A">
        <w:rPr>
          <w:u w:val="none"/>
        </w:rPr>
        <w:t>in this matter failed</w:t>
      </w:r>
      <w:r w:rsidR="002174E1">
        <w:rPr>
          <w:u w:val="none"/>
        </w:rPr>
        <w:t xml:space="preserve"> to satisfy the judgment debt i</w:t>
      </w:r>
      <w:r w:rsidR="00AD443A">
        <w:rPr>
          <w:u w:val="none"/>
        </w:rPr>
        <w:t xml:space="preserve">n favour of the first </w:t>
      </w:r>
      <w:r w:rsidR="002174E1">
        <w:rPr>
          <w:u w:val="none"/>
        </w:rPr>
        <w:t>applicant</w:t>
      </w:r>
      <w:r w:rsidR="00AD443A">
        <w:rPr>
          <w:u w:val="none"/>
        </w:rPr>
        <w:t xml:space="preserve"> is a relevant consideration to be made.</w:t>
      </w:r>
      <w:r w:rsidR="002174E1">
        <w:rPr>
          <w:u w:val="none"/>
        </w:rPr>
        <w:t xml:space="preserve"> I</w:t>
      </w:r>
      <w:r w:rsidR="00CA791C">
        <w:rPr>
          <w:u w:val="none"/>
        </w:rPr>
        <w:t>n addition,</w:t>
      </w:r>
      <w:r w:rsidR="002174E1">
        <w:rPr>
          <w:u w:val="none"/>
        </w:rPr>
        <w:t xml:space="preserve"> the respondent has failed to place before court the importance of the review application to rebut the suggestion that it is vexatious or an abuse of the </w:t>
      </w:r>
      <w:r w:rsidR="00CA791C">
        <w:rPr>
          <w:u w:val="none"/>
        </w:rPr>
        <w:t>court’s</w:t>
      </w:r>
      <w:r w:rsidR="002174E1">
        <w:rPr>
          <w:u w:val="none"/>
        </w:rPr>
        <w:t xml:space="preserve"> process.  </w:t>
      </w:r>
      <w:r w:rsidR="00AD443A">
        <w:rPr>
          <w:u w:val="none"/>
        </w:rPr>
        <w:t>I therefore conclude that considerations of fairness and equity f</w:t>
      </w:r>
      <w:r w:rsidR="002174E1">
        <w:rPr>
          <w:u w:val="none"/>
        </w:rPr>
        <w:t xml:space="preserve">avour the granting of security </w:t>
      </w:r>
      <w:r w:rsidR="00AD443A">
        <w:rPr>
          <w:u w:val="none"/>
        </w:rPr>
        <w:t xml:space="preserve">as borne out by the totality of the facts. In the present matter the applicant owns no assets and by his own admission is impecunious. The </w:t>
      </w:r>
      <w:r w:rsidR="00AD443A">
        <w:rPr>
          <w:u w:val="none"/>
        </w:rPr>
        <w:lastRenderedPageBreak/>
        <w:t xml:space="preserve">prospects of the </w:t>
      </w:r>
      <w:r w:rsidR="00A1160B">
        <w:rPr>
          <w:u w:val="none"/>
        </w:rPr>
        <w:t>applicant</w:t>
      </w:r>
      <w:r w:rsidR="00AD443A">
        <w:rPr>
          <w:u w:val="none"/>
        </w:rPr>
        <w:t xml:space="preserve"> recouping his costs from the </w:t>
      </w:r>
      <w:r w:rsidR="00A1160B">
        <w:rPr>
          <w:u w:val="none"/>
        </w:rPr>
        <w:t xml:space="preserve">respondent </w:t>
      </w:r>
      <w:r w:rsidR="00AD443A">
        <w:rPr>
          <w:u w:val="none"/>
        </w:rPr>
        <w:t xml:space="preserve">are slim, regard being had to his prospects of success in the review application.   </w:t>
      </w:r>
    </w:p>
    <w:p w:rsidR="00874998" w:rsidRDefault="00874998" w:rsidP="0049790D">
      <w:pPr>
        <w:spacing w:before="180" w:line="360" w:lineRule="auto"/>
        <w:jc w:val="both"/>
        <w:rPr>
          <w:u w:val="none"/>
        </w:rPr>
      </w:pPr>
    </w:p>
    <w:p w:rsidR="00AD443A" w:rsidRDefault="008870E4" w:rsidP="00AD443A">
      <w:pPr>
        <w:spacing w:before="180" w:line="360" w:lineRule="auto"/>
        <w:jc w:val="both"/>
        <w:rPr>
          <w:u w:val="none"/>
        </w:rPr>
      </w:pPr>
      <w:r>
        <w:rPr>
          <w:u w:val="none"/>
        </w:rPr>
        <w:t>[16</w:t>
      </w:r>
      <w:r w:rsidR="00872443">
        <w:rPr>
          <w:u w:val="none"/>
        </w:rPr>
        <w:t>]</w:t>
      </w:r>
      <w:r w:rsidR="00872443">
        <w:rPr>
          <w:u w:val="none"/>
        </w:rPr>
        <w:tab/>
      </w:r>
      <w:r w:rsidR="00AD443A">
        <w:rPr>
          <w:u w:val="none"/>
        </w:rPr>
        <w:t xml:space="preserve">To refuse the </w:t>
      </w:r>
      <w:r w:rsidR="00A1160B">
        <w:rPr>
          <w:u w:val="none"/>
        </w:rPr>
        <w:t>applicant</w:t>
      </w:r>
      <w:r w:rsidR="00AD443A">
        <w:rPr>
          <w:u w:val="none"/>
        </w:rPr>
        <w:t xml:space="preserve"> his right to claim security for costs under those circumstances may lead to injustice.</w:t>
      </w:r>
    </w:p>
    <w:p w:rsidR="007E3016" w:rsidRPr="007E3016" w:rsidRDefault="00AD443A" w:rsidP="00AD443A">
      <w:pPr>
        <w:spacing w:before="180" w:line="360" w:lineRule="auto"/>
        <w:jc w:val="both"/>
        <w:rPr>
          <w:sz w:val="22"/>
          <w:szCs w:val="22"/>
          <w:u w:val="none"/>
        </w:rPr>
      </w:pPr>
      <w:r>
        <w:rPr>
          <w:u w:val="none"/>
        </w:rPr>
        <w:t xml:space="preserve"> </w:t>
      </w:r>
    </w:p>
    <w:p w:rsidR="00872443" w:rsidRPr="007E3016" w:rsidRDefault="008870E4" w:rsidP="00AD443A">
      <w:pPr>
        <w:spacing w:line="360" w:lineRule="auto"/>
        <w:ind w:left="720" w:hanging="720"/>
        <w:jc w:val="both"/>
        <w:rPr>
          <w:sz w:val="22"/>
          <w:szCs w:val="22"/>
          <w:u w:val="none"/>
          <w:lang w:val="af-ZA"/>
        </w:rPr>
      </w:pPr>
      <w:r>
        <w:rPr>
          <w:u w:val="none"/>
        </w:rPr>
        <w:t>[17</w:t>
      </w:r>
      <w:r w:rsidR="00872443">
        <w:rPr>
          <w:u w:val="none"/>
        </w:rPr>
        <w:t xml:space="preserve">] </w:t>
      </w:r>
      <w:r w:rsidR="00872443">
        <w:rPr>
          <w:u w:val="none"/>
        </w:rPr>
        <w:tab/>
      </w:r>
      <w:r w:rsidR="00AD443A">
        <w:rPr>
          <w:u w:val="none"/>
        </w:rPr>
        <w:t>There is no reason why costs can not follow the result.</w:t>
      </w:r>
    </w:p>
    <w:p w:rsidR="00872443" w:rsidRPr="007E3016" w:rsidRDefault="00872443" w:rsidP="00872443">
      <w:pPr>
        <w:spacing w:line="360" w:lineRule="auto"/>
        <w:jc w:val="both"/>
        <w:rPr>
          <w:sz w:val="22"/>
          <w:szCs w:val="22"/>
          <w:u w:val="none"/>
          <w:lang w:val="af-ZA"/>
        </w:rPr>
      </w:pPr>
    </w:p>
    <w:p w:rsidR="00874998" w:rsidRDefault="00FB1824" w:rsidP="00C82161">
      <w:pPr>
        <w:spacing w:before="180" w:line="360" w:lineRule="auto"/>
        <w:ind w:left="720" w:hanging="720"/>
        <w:jc w:val="both"/>
        <w:rPr>
          <w:u w:val="none"/>
        </w:rPr>
      </w:pPr>
      <w:r w:rsidRPr="00FB1824">
        <w:rPr>
          <w:u w:val="none"/>
        </w:rPr>
        <w:t>[1</w:t>
      </w:r>
      <w:r w:rsidR="008870E4">
        <w:rPr>
          <w:u w:val="none"/>
        </w:rPr>
        <w:t>8</w:t>
      </w:r>
      <w:r w:rsidRPr="00FB1824">
        <w:rPr>
          <w:u w:val="none"/>
        </w:rPr>
        <w:t>]</w:t>
      </w:r>
      <w:r w:rsidRPr="00FB1824">
        <w:rPr>
          <w:u w:val="none"/>
        </w:rPr>
        <w:tab/>
      </w:r>
      <w:r w:rsidR="00AD443A">
        <w:rPr>
          <w:u w:val="none"/>
        </w:rPr>
        <w:t>In the result the following order is made:</w:t>
      </w:r>
    </w:p>
    <w:p w:rsidR="00556785" w:rsidRDefault="00AD443A" w:rsidP="00C82161">
      <w:pPr>
        <w:spacing w:before="180" w:line="360" w:lineRule="auto"/>
        <w:ind w:left="720" w:hanging="720"/>
        <w:jc w:val="both"/>
        <w:rPr>
          <w:u w:val="none"/>
        </w:rPr>
      </w:pPr>
      <w:r>
        <w:rPr>
          <w:u w:val="none"/>
        </w:rPr>
        <w:t xml:space="preserve">           1.  The </w:t>
      </w:r>
      <w:r w:rsidR="00A1160B">
        <w:rPr>
          <w:u w:val="none"/>
        </w:rPr>
        <w:t>respondent</w:t>
      </w:r>
      <w:r>
        <w:rPr>
          <w:u w:val="none"/>
        </w:rPr>
        <w:t xml:space="preserve"> is ordered to provide the first </w:t>
      </w:r>
      <w:r w:rsidR="00A1160B">
        <w:rPr>
          <w:u w:val="none"/>
        </w:rPr>
        <w:t>applicant</w:t>
      </w:r>
      <w:r>
        <w:rPr>
          <w:u w:val="none"/>
        </w:rPr>
        <w:t xml:space="preserve"> with security for </w:t>
      </w:r>
      <w:r w:rsidR="00556785">
        <w:rPr>
          <w:u w:val="none"/>
        </w:rPr>
        <w:t xml:space="preserve">the costs in the </w:t>
      </w:r>
      <w:r w:rsidR="00A1160B">
        <w:rPr>
          <w:u w:val="none"/>
        </w:rPr>
        <w:t>review</w:t>
      </w:r>
      <w:r w:rsidR="00556785">
        <w:rPr>
          <w:u w:val="none"/>
        </w:rPr>
        <w:t xml:space="preserve"> application pending between the </w:t>
      </w:r>
      <w:r w:rsidR="008870E4">
        <w:rPr>
          <w:u w:val="none"/>
        </w:rPr>
        <w:t xml:space="preserve">respondent </w:t>
      </w:r>
      <w:r w:rsidR="00556785">
        <w:rPr>
          <w:u w:val="none"/>
        </w:rPr>
        <w:t xml:space="preserve">and the first </w:t>
      </w:r>
      <w:r w:rsidR="008870E4">
        <w:rPr>
          <w:u w:val="none"/>
        </w:rPr>
        <w:t xml:space="preserve">applicant </w:t>
      </w:r>
      <w:r w:rsidR="00556785">
        <w:rPr>
          <w:u w:val="none"/>
        </w:rPr>
        <w:t>the nature</w:t>
      </w:r>
      <w:r w:rsidR="008870E4">
        <w:rPr>
          <w:u w:val="none"/>
        </w:rPr>
        <w:t>,</w:t>
      </w:r>
      <w:r w:rsidR="00556785">
        <w:rPr>
          <w:u w:val="none"/>
        </w:rPr>
        <w:t xml:space="preserve"> form and amount to be determined by the Registrar.</w:t>
      </w:r>
    </w:p>
    <w:p w:rsidR="00556785" w:rsidRDefault="00556785" w:rsidP="00C82161">
      <w:pPr>
        <w:spacing w:before="180" w:line="360" w:lineRule="auto"/>
        <w:ind w:left="720" w:hanging="720"/>
        <w:jc w:val="both"/>
        <w:rPr>
          <w:u w:val="none"/>
        </w:rPr>
      </w:pPr>
      <w:r>
        <w:rPr>
          <w:u w:val="none"/>
        </w:rPr>
        <w:t xml:space="preserve">           2.  Pending the provision of security the main application is stayed until such time as security is provided as ordered.</w:t>
      </w:r>
    </w:p>
    <w:p w:rsidR="00556785" w:rsidRDefault="00556785" w:rsidP="00C82161">
      <w:pPr>
        <w:spacing w:before="180" w:line="360" w:lineRule="auto"/>
        <w:ind w:left="720" w:hanging="720"/>
        <w:jc w:val="both"/>
        <w:rPr>
          <w:u w:val="none"/>
        </w:rPr>
      </w:pPr>
      <w:r>
        <w:rPr>
          <w:u w:val="none"/>
        </w:rPr>
        <w:t xml:space="preserve">           3.  In the event the </w:t>
      </w:r>
      <w:r w:rsidR="008870E4">
        <w:rPr>
          <w:u w:val="none"/>
        </w:rPr>
        <w:t>respondent</w:t>
      </w:r>
      <w:r>
        <w:rPr>
          <w:u w:val="none"/>
        </w:rPr>
        <w:t xml:space="preserve"> failing to </w:t>
      </w:r>
      <w:r w:rsidR="008870E4">
        <w:rPr>
          <w:u w:val="none"/>
        </w:rPr>
        <w:t>provide security within 30 days</w:t>
      </w:r>
      <w:r>
        <w:rPr>
          <w:u w:val="none"/>
        </w:rPr>
        <w:t xml:space="preserve"> from the date on which the Registrar has determined the amount</w:t>
      </w:r>
      <w:r w:rsidR="008870E4">
        <w:rPr>
          <w:u w:val="none"/>
        </w:rPr>
        <w:t>,</w:t>
      </w:r>
      <w:r>
        <w:rPr>
          <w:u w:val="none"/>
        </w:rPr>
        <w:t xml:space="preserve"> the </w:t>
      </w:r>
      <w:r w:rsidR="008870E4">
        <w:rPr>
          <w:u w:val="none"/>
        </w:rPr>
        <w:t xml:space="preserve">applicants </w:t>
      </w:r>
      <w:r>
        <w:rPr>
          <w:u w:val="none"/>
        </w:rPr>
        <w:t xml:space="preserve">are granted leave to approach the court on the same papers, duly supplemented, to apply for the dismissal of the </w:t>
      </w:r>
      <w:r w:rsidR="008870E4">
        <w:rPr>
          <w:u w:val="none"/>
        </w:rPr>
        <w:t>respondent</w:t>
      </w:r>
      <w:r>
        <w:rPr>
          <w:u w:val="none"/>
        </w:rPr>
        <w:t>’s application.</w:t>
      </w:r>
    </w:p>
    <w:p w:rsidR="00AD443A" w:rsidRDefault="00556785" w:rsidP="00C82161">
      <w:pPr>
        <w:spacing w:before="180" w:line="360" w:lineRule="auto"/>
        <w:ind w:left="720" w:hanging="720"/>
        <w:jc w:val="both"/>
        <w:rPr>
          <w:u w:val="none"/>
        </w:rPr>
      </w:pPr>
      <w:r>
        <w:rPr>
          <w:u w:val="none"/>
        </w:rPr>
        <w:t xml:space="preserve">           4. Costs of the application</w:t>
      </w:r>
      <w:r w:rsidR="00AD443A">
        <w:rPr>
          <w:u w:val="none"/>
        </w:rPr>
        <w:t xml:space="preserve">      </w:t>
      </w:r>
    </w:p>
    <w:p w:rsidR="00C82161" w:rsidRPr="00E73C72" w:rsidRDefault="00C82161" w:rsidP="00C82161">
      <w:pPr>
        <w:spacing w:before="180" w:line="360" w:lineRule="auto"/>
        <w:ind w:left="720" w:hanging="720"/>
        <w:jc w:val="both"/>
        <w:rPr>
          <w:b/>
          <w:u w:val="none"/>
        </w:rPr>
      </w:pPr>
    </w:p>
    <w:p w:rsidR="00C82161" w:rsidRPr="00E73C72" w:rsidRDefault="00C82161" w:rsidP="00C82161">
      <w:pPr>
        <w:pStyle w:val="ListParagraph"/>
        <w:spacing w:before="180" w:line="360" w:lineRule="auto"/>
        <w:ind w:left="6120"/>
        <w:jc w:val="both"/>
        <w:rPr>
          <w:sz w:val="28"/>
          <w:szCs w:val="28"/>
          <w:u w:val="none"/>
          <w:lang w:val="en-US" w:eastAsia="en-US"/>
        </w:rPr>
      </w:pPr>
    </w:p>
    <w:p w:rsidR="00C82161" w:rsidRPr="0096135C" w:rsidRDefault="00C82161" w:rsidP="00C82161">
      <w:pPr>
        <w:tabs>
          <w:tab w:val="right" w:pos="0"/>
        </w:tabs>
        <w:spacing w:line="360" w:lineRule="auto"/>
        <w:jc w:val="both"/>
        <w:rPr>
          <w:u w:val="none"/>
          <w:lang w:val="en-ZA"/>
        </w:rPr>
      </w:pPr>
      <w:r w:rsidRPr="0096135C">
        <w:rPr>
          <w:b/>
          <w:u w:val="none"/>
          <w:lang w:val="en-ZA"/>
        </w:rPr>
        <w:tab/>
      </w:r>
      <w:r w:rsidRPr="0096135C">
        <w:rPr>
          <w:b/>
          <w:u w:val="none"/>
          <w:lang w:val="en-ZA"/>
        </w:rPr>
        <w:tab/>
        <w:t xml:space="preserve">   </w:t>
      </w:r>
      <w:r w:rsidRPr="0096135C">
        <w:rPr>
          <w:u w:val="none"/>
          <w:lang w:val="en-ZA"/>
        </w:rPr>
        <w:t>_________________________________________________</w:t>
      </w:r>
    </w:p>
    <w:p w:rsidR="00C82161" w:rsidRPr="0096135C" w:rsidRDefault="00C82161" w:rsidP="00556785">
      <w:pPr>
        <w:tabs>
          <w:tab w:val="right" w:pos="0"/>
        </w:tabs>
        <w:jc w:val="right"/>
        <w:rPr>
          <w:b/>
          <w:u w:val="none"/>
          <w:lang w:val="en-ZA"/>
        </w:rPr>
      </w:pPr>
      <w:r w:rsidRPr="0096135C">
        <w:rPr>
          <w:u w:val="none"/>
          <w:lang w:val="en-ZA"/>
        </w:rPr>
        <w:tab/>
      </w:r>
      <w:r w:rsidRPr="0096135C">
        <w:rPr>
          <w:u w:val="none"/>
          <w:lang w:val="en-ZA"/>
        </w:rPr>
        <w:tab/>
      </w:r>
      <w:r w:rsidRPr="0096135C">
        <w:rPr>
          <w:u w:val="none"/>
          <w:lang w:val="en-ZA"/>
        </w:rPr>
        <w:tab/>
      </w:r>
      <w:r w:rsidRPr="0096135C">
        <w:rPr>
          <w:u w:val="none"/>
          <w:lang w:val="en-ZA"/>
        </w:rPr>
        <w:tab/>
      </w:r>
      <w:r w:rsidRPr="0096135C">
        <w:rPr>
          <w:u w:val="none"/>
          <w:lang w:val="en-ZA"/>
        </w:rPr>
        <w:tab/>
      </w:r>
      <w:r w:rsidRPr="0096135C">
        <w:rPr>
          <w:u w:val="none"/>
          <w:lang w:val="en-ZA"/>
        </w:rPr>
        <w:tab/>
        <w:t xml:space="preserve"> </w:t>
      </w:r>
      <w:r w:rsidR="00556785">
        <w:rPr>
          <w:b/>
          <w:u w:val="none"/>
          <w:lang w:val="en-ZA"/>
        </w:rPr>
        <w:t>M B MAHALELO</w:t>
      </w:r>
    </w:p>
    <w:p w:rsidR="00C82161" w:rsidRPr="0096135C" w:rsidRDefault="00C82161" w:rsidP="00556785">
      <w:pPr>
        <w:tabs>
          <w:tab w:val="right" w:pos="0"/>
        </w:tabs>
        <w:jc w:val="right"/>
        <w:rPr>
          <w:b/>
          <w:u w:val="none"/>
          <w:lang w:val="en-ZA"/>
        </w:rPr>
      </w:pPr>
      <w:r w:rsidRPr="0096135C">
        <w:rPr>
          <w:b/>
          <w:u w:val="none"/>
          <w:lang w:val="en-ZA"/>
        </w:rPr>
        <w:tab/>
      </w:r>
      <w:r w:rsidRPr="0096135C">
        <w:rPr>
          <w:b/>
          <w:u w:val="none"/>
          <w:lang w:val="en-ZA"/>
        </w:rPr>
        <w:tab/>
        <w:t xml:space="preserve">   </w:t>
      </w:r>
      <w:r w:rsidR="00EA3771">
        <w:rPr>
          <w:b/>
          <w:u w:val="none"/>
          <w:lang w:val="en-ZA"/>
        </w:rPr>
        <w:t xml:space="preserve">      </w:t>
      </w:r>
      <w:r w:rsidRPr="0096135C">
        <w:rPr>
          <w:b/>
          <w:u w:val="none"/>
          <w:lang w:val="en-ZA"/>
        </w:rPr>
        <w:t xml:space="preserve"> JUDGE OF THE HIGH COURT OF SOUTH AFRICA</w:t>
      </w:r>
    </w:p>
    <w:p w:rsidR="00C82161" w:rsidRDefault="00C82161" w:rsidP="00556785">
      <w:pPr>
        <w:tabs>
          <w:tab w:val="right" w:pos="0"/>
        </w:tabs>
        <w:jc w:val="right"/>
        <w:rPr>
          <w:b/>
          <w:u w:val="none"/>
          <w:lang w:val="en-ZA"/>
        </w:rPr>
      </w:pPr>
      <w:r w:rsidRPr="0096135C">
        <w:rPr>
          <w:b/>
          <w:u w:val="none"/>
          <w:lang w:val="en-ZA"/>
        </w:rPr>
        <w:tab/>
      </w:r>
      <w:r w:rsidRPr="0096135C">
        <w:rPr>
          <w:b/>
          <w:u w:val="none"/>
          <w:lang w:val="en-ZA"/>
        </w:rPr>
        <w:tab/>
        <w:t xml:space="preserve">             GAUTENG LOCAL DIVISION, JOHANNESBURG</w:t>
      </w:r>
    </w:p>
    <w:p w:rsidR="00151DB8" w:rsidRDefault="00151DB8" w:rsidP="00556785">
      <w:pPr>
        <w:tabs>
          <w:tab w:val="right" w:pos="0"/>
        </w:tabs>
        <w:jc w:val="right"/>
        <w:rPr>
          <w:b/>
          <w:u w:val="none"/>
          <w:lang w:val="en-ZA"/>
        </w:rPr>
      </w:pPr>
    </w:p>
    <w:p w:rsidR="00151DB8" w:rsidRDefault="00151DB8" w:rsidP="00151DB8">
      <w:pPr>
        <w:tabs>
          <w:tab w:val="right" w:pos="0"/>
        </w:tabs>
        <w:rPr>
          <w:b/>
          <w:u w:val="none"/>
          <w:lang w:val="en-ZA"/>
        </w:rPr>
      </w:pPr>
      <w:r>
        <w:rPr>
          <w:b/>
          <w:u w:val="none"/>
          <w:lang w:val="en-ZA"/>
        </w:rPr>
        <w:lastRenderedPageBreak/>
        <w:t>This judgment was delivered electronically by circulation to the parties legal representatives by e-mail and uploading on caselines. The date and time of hand down is 10h00 on the 2</w:t>
      </w:r>
      <w:r w:rsidRPr="00151DB8">
        <w:rPr>
          <w:b/>
          <w:u w:val="none"/>
          <w:vertAlign w:val="superscript"/>
          <w:lang w:val="en-ZA"/>
        </w:rPr>
        <w:t>nd</w:t>
      </w:r>
      <w:r>
        <w:rPr>
          <w:b/>
          <w:u w:val="none"/>
          <w:lang w:val="en-ZA"/>
        </w:rPr>
        <w:t xml:space="preserve"> August 2022</w:t>
      </w:r>
    </w:p>
    <w:p w:rsidR="001A58A3" w:rsidRPr="0096135C" w:rsidRDefault="001A58A3" w:rsidP="00151DB8">
      <w:pPr>
        <w:tabs>
          <w:tab w:val="right" w:pos="0"/>
        </w:tabs>
        <w:rPr>
          <w:b/>
          <w:u w:val="none"/>
          <w:lang w:val="en-ZA"/>
        </w:rPr>
      </w:pPr>
    </w:p>
    <w:p w:rsidR="00C82161" w:rsidRDefault="00C82161" w:rsidP="00C82161">
      <w:pPr>
        <w:tabs>
          <w:tab w:val="right" w:pos="0"/>
        </w:tabs>
        <w:jc w:val="both"/>
        <w:rPr>
          <w:b/>
          <w:u w:val="none"/>
          <w:lang w:val="en-ZA"/>
        </w:rPr>
      </w:pPr>
      <w:r>
        <w:rPr>
          <w:b/>
          <w:u w:val="none"/>
          <w:lang w:val="en-ZA"/>
        </w:rPr>
        <w:t>Appearances:</w:t>
      </w:r>
    </w:p>
    <w:p w:rsidR="00C82161" w:rsidRPr="00813D40" w:rsidRDefault="00C82161" w:rsidP="00C82161">
      <w:pPr>
        <w:tabs>
          <w:tab w:val="right" w:pos="0"/>
        </w:tabs>
        <w:jc w:val="both"/>
        <w:rPr>
          <w:b/>
          <w:u w:val="none"/>
          <w:lang w:val="en-ZA"/>
        </w:rPr>
      </w:pPr>
    </w:p>
    <w:p w:rsidR="00C82161" w:rsidRDefault="001F30D2" w:rsidP="00C82161">
      <w:pPr>
        <w:tabs>
          <w:tab w:val="right" w:pos="0"/>
        </w:tabs>
        <w:spacing w:line="360" w:lineRule="auto"/>
        <w:jc w:val="both"/>
        <w:rPr>
          <w:u w:val="none"/>
          <w:lang w:val="en-ZA"/>
        </w:rPr>
      </w:pPr>
      <w:r>
        <w:rPr>
          <w:u w:val="none"/>
          <w:lang w:val="en-ZA"/>
        </w:rPr>
        <w:t xml:space="preserve">On behalf of the </w:t>
      </w:r>
      <w:r w:rsidR="004050F3">
        <w:rPr>
          <w:u w:val="none"/>
          <w:lang w:val="en-ZA"/>
        </w:rPr>
        <w:t xml:space="preserve">first </w:t>
      </w:r>
      <w:r>
        <w:rPr>
          <w:u w:val="none"/>
          <w:lang w:val="en-ZA"/>
        </w:rPr>
        <w:t>applicant</w:t>
      </w:r>
      <w:r w:rsidR="00C82161">
        <w:rPr>
          <w:u w:val="none"/>
          <w:lang w:val="en-ZA"/>
        </w:rPr>
        <w:tab/>
      </w:r>
      <w:r w:rsidR="004050F3">
        <w:rPr>
          <w:u w:val="none"/>
          <w:lang w:val="en-ZA"/>
        </w:rPr>
        <w:tab/>
        <w:t>: Adv Scott</w:t>
      </w:r>
      <w:r>
        <w:rPr>
          <w:u w:val="none"/>
          <w:lang w:val="en-ZA"/>
        </w:rPr>
        <w:tab/>
      </w:r>
      <w:r w:rsidR="00565EAE">
        <w:rPr>
          <w:u w:val="none"/>
          <w:lang w:val="en-ZA"/>
        </w:rPr>
        <w:tab/>
      </w:r>
    </w:p>
    <w:p w:rsidR="00C82161" w:rsidRDefault="00C82161" w:rsidP="00C82161">
      <w:pPr>
        <w:tabs>
          <w:tab w:val="right" w:pos="0"/>
        </w:tabs>
        <w:spacing w:line="360" w:lineRule="auto"/>
        <w:jc w:val="both"/>
        <w:rPr>
          <w:u w:val="none"/>
          <w:lang w:val="en-ZA"/>
        </w:rPr>
      </w:pPr>
      <w:r>
        <w:rPr>
          <w:u w:val="none"/>
          <w:lang w:val="en-ZA"/>
        </w:rPr>
        <w:t xml:space="preserve">Instructed by                                 </w:t>
      </w:r>
      <w:r w:rsidR="00CC3B89">
        <w:rPr>
          <w:u w:val="none"/>
          <w:lang w:val="en-ZA"/>
        </w:rPr>
        <w:tab/>
      </w:r>
      <w:r w:rsidR="00CC3B89">
        <w:rPr>
          <w:u w:val="none"/>
          <w:lang w:val="en-ZA"/>
        </w:rPr>
        <w:tab/>
      </w:r>
      <w:r>
        <w:rPr>
          <w:u w:val="none"/>
          <w:lang w:val="en-ZA"/>
        </w:rPr>
        <w:t xml:space="preserve">: </w:t>
      </w:r>
      <w:r w:rsidR="004050F3">
        <w:rPr>
          <w:u w:val="none"/>
          <w:lang w:val="en-ZA"/>
        </w:rPr>
        <w:t>Clive Decker Hoffmeyer Inc</w:t>
      </w:r>
      <w:r>
        <w:rPr>
          <w:u w:val="none"/>
          <w:lang w:val="en-ZA"/>
        </w:rPr>
        <w:t xml:space="preserve">         </w:t>
      </w:r>
    </w:p>
    <w:p w:rsidR="00C82161" w:rsidRDefault="00C82161" w:rsidP="00C82161">
      <w:pPr>
        <w:tabs>
          <w:tab w:val="right" w:pos="0"/>
        </w:tabs>
        <w:jc w:val="both"/>
        <w:rPr>
          <w:u w:val="none"/>
          <w:lang w:val="en-ZA"/>
        </w:rPr>
      </w:pPr>
    </w:p>
    <w:p w:rsidR="009E5BB5" w:rsidRDefault="001F30D2" w:rsidP="00C82161">
      <w:pPr>
        <w:tabs>
          <w:tab w:val="right" w:pos="0"/>
        </w:tabs>
        <w:spacing w:line="360" w:lineRule="auto"/>
        <w:jc w:val="both"/>
        <w:rPr>
          <w:u w:val="none"/>
          <w:lang w:val="en-ZA"/>
        </w:rPr>
      </w:pPr>
      <w:r>
        <w:rPr>
          <w:u w:val="none"/>
          <w:lang w:val="en-ZA"/>
        </w:rPr>
        <w:t xml:space="preserve">On behalf of the </w:t>
      </w:r>
      <w:r w:rsidR="00F30177">
        <w:rPr>
          <w:u w:val="none"/>
          <w:lang w:val="en-ZA"/>
        </w:rPr>
        <w:t>respondent</w:t>
      </w:r>
      <w:r w:rsidR="004050F3">
        <w:rPr>
          <w:u w:val="none"/>
          <w:lang w:val="en-ZA"/>
        </w:rPr>
        <w:t xml:space="preserve">                    :</w:t>
      </w:r>
      <w:r w:rsidR="00556785">
        <w:rPr>
          <w:u w:val="none"/>
          <w:lang w:val="en-ZA"/>
        </w:rPr>
        <w:t xml:space="preserve">  </w:t>
      </w:r>
      <w:r w:rsidR="004050F3">
        <w:rPr>
          <w:u w:val="none"/>
          <w:lang w:val="en-ZA"/>
        </w:rPr>
        <w:t>Adv Mureriwa</w:t>
      </w:r>
      <w:r w:rsidR="00556785">
        <w:rPr>
          <w:u w:val="none"/>
          <w:lang w:val="en-ZA"/>
        </w:rPr>
        <w:t xml:space="preserve">       </w:t>
      </w:r>
      <w:r w:rsidR="00C82161">
        <w:rPr>
          <w:u w:val="none"/>
          <w:lang w:val="en-ZA"/>
        </w:rPr>
        <w:tab/>
      </w:r>
      <w:r w:rsidR="00C82161">
        <w:rPr>
          <w:u w:val="none"/>
          <w:lang w:val="en-ZA"/>
        </w:rPr>
        <w:tab/>
      </w:r>
    </w:p>
    <w:p w:rsidR="00C82161" w:rsidRDefault="00C82161" w:rsidP="00C82161">
      <w:pPr>
        <w:tabs>
          <w:tab w:val="right" w:pos="0"/>
        </w:tabs>
        <w:spacing w:line="360" w:lineRule="auto"/>
        <w:jc w:val="both"/>
        <w:rPr>
          <w:u w:val="none"/>
          <w:lang w:val="en-ZA"/>
        </w:rPr>
      </w:pPr>
      <w:r>
        <w:rPr>
          <w:u w:val="none"/>
          <w:lang w:val="en-ZA"/>
        </w:rPr>
        <w:t xml:space="preserve">Instructed by                                 </w:t>
      </w:r>
      <w:r w:rsidR="001F30D2">
        <w:rPr>
          <w:u w:val="none"/>
          <w:lang w:val="en-ZA"/>
        </w:rPr>
        <w:t xml:space="preserve"> </w:t>
      </w:r>
      <w:r w:rsidR="00CC3B89">
        <w:rPr>
          <w:u w:val="none"/>
          <w:lang w:val="en-ZA"/>
        </w:rPr>
        <w:tab/>
      </w:r>
      <w:r>
        <w:rPr>
          <w:u w:val="none"/>
          <w:lang w:val="en-ZA"/>
        </w:rPr>
        <w:t xml:space="preserve">: </w:t>
      </w:r>
      <w:r w:rsidR="004050F3">
        <w:rPr>
          <w:u w:val="none"/>
          <w:lang w:val="en-ZA"/>
        </w:rPr>
        <w:t>Motala Attorneys</w:t>
      </w:r>
      <w:r>
        <w:rPr>
          <w:u w:val="none"/>
          <w:lang w:val="en-ZA"/>
        </w:rPr>
        <w:t xml:space="preserve">        </w:t>
      </w:r>
    </w:p>
    <w:p w:rsidR="00C82161" w:rsidRDefault="00C82161" w:rsidP="00C82161">
      <w:pPr>
        <w:tabs>
          <w:tab w:val="right" w:pos="0"/>
        </w:tabs>
        <w:spacing w:line="360" w:lineRule="auto"/>
        <w:jc w:val="both"/>
        <w:rPr>
          <w:u w:val="none"/>
          <w:lang w:val="en-ZA"/>
        </w:rPr>
      </w:pPr>
      <w:r>
        <w:rPr>
          <w:u w:val="none"/>
          <w:lang w:val="en-ZA"/>
        </w:rPr>
        <w:t xml:space="preserve">Date of hearing                             </w:t>
      </w:r>
      <w:r w:rsidR="001F30D2">
        <w:rPr>
          <w:u w:val="none"/>
          <w:lang w:val="en-ZA"/>
        </w:rPr>
        <w:t xml:space="preserve"> </w:t>
      </w:r>
      <w:r w:rsidR="00CC3B89">
        <w:rPr>
          <w:u w:val="none"/>
          <w:lang w:val="en-ZA"/>
        </w:rPr>
        <w:tab/>
      </w:r>
      <w:r>
        <w:rPr>
          <w:u w:val="none"/>
          <w:lang w:val="en-ZA"/>
        </w:rPr>
        <w:t xml:space="preserve">: </w:t>
      </w:r>
      <w:r w:rsidR="004050F3">
        <w:rPr>
          <w:u w:val="none"/>
          <w:lang w:val="en-ZA"/>
        </w:rPr>
        <w:t>9 May 2022</w:t>
      </w:r>
      <w:r>
        <w:rPr>
          <w:u w:val="none"/>
          <w:lang w:val="en-ZA"/>
        </w:rPr>
        <w:t xml:space="preserve">        </w:t>
      </w:r>
    </w:p>
    <w:p w:rsidR="00C82161" w:rsidRDefault="00CC3B89" w:rsidP="00C82161">
      <w:pPr>
        <w:tabs>
          <w:tab w:val="right" w:pos="0"/>
        </w:tabs>
        <w:spacing w:line="360" w:lineRule="auto"/>
        <w:jc w:val="both"/>
        <w:rPr>
          <w:u w:val="none"/>
          <w:lang w:val="en-ZA"/>
        </w:rPr>
      </w:pPr>
      <w:r>
        <w:rPr>
          <w:u w:val="none"/>
          <w:lang w:val="en-ZA"/>
        </w:rPr>
        <w:tab/>
      </w:r>
      <w:r w:rsidR="001F30D2">
        <w:rPr>
          <w:u w:val="none"/>
          <w:lang w:val="en-ZA"/>
        </w:rPr>
        <w:t xml:space="preserve"> </w:t>
      </w:r>
      <w:r>
        <w:rPr>
          <w:u w:val="none"/>
          <w:lang w:val="en-ZA"/>
        </w:rPr>
        <w:tab/>
      </w:r>
      <w:r w:rsidR="00C82161">
        <w:rPr>
          <w:u w:val="none"/>
          <w:lang w:val="en-ZA"/>
        </w:rPr>
        <w:t xml:space="preserve">:         </w:t>
      </w:r>
    </w:p>
    <w:p w:rsidR="00C82161" w:rsidRDefault="00C82161" w:rsidP="00C82161">
      <w:pPr>
        <w:tabs>
          <w:tab w:val="right" w:pos="0"/>
        </w:tabs>
        <w:spacing w:line="360" w:lineRule="auto"/>
        <w:jc w:val="both"/>
        <w:rPr>
          <w:u w:val="none"/>
          <w:lang w:val="en-ZA"/>
        </w:rPr>
      </w:pPr>
      <w:r>
        <w:rPr>
          <w:u w:val="none"/>
          <w:lang w:val="en-ZA"/>
        </w:rPr>
        <w:t xml:space="preserve">                                                                 </w:t>
      </w:r>
    </w:p>
    <w:p w:rsidR="00C82161" w:rsidRDefault="00C82161" w:rsidP="00C82161">
      <w:pPr>
        <w:tabs>
          <w:tab w:val="right" w:pos="0"/>
        </w:tabs>
        <w:spacing w:line="360" w:lineRule="auto"/>
        <w:jc w:val="both"/>
        <w:rPr>
          <w:u w:val="none"/>
          <w:lang w:val="en-ZA"/>
        </w:rPr>
      </w:pPr>
      <w:r>
        <w:rPr>
          <w:u w:val="none"/>
          <w:lang w:val="en-ZA"/>
        </w:rPr>
        <w:t xml:space="preserve">                                                        </w:t>
      </w:r>
    </w:p>
    <w:p w:rsidR="00C82161" w:rsidRPr="00FB1C7B" w:rsidRDefault="00C82161" w:rsidP="00C82161">
      <w:pPr>
        <w:tabs>
          <w:tab w:val="right" w:pos="0"/>
        </w:tabs>
        <w:jc w:val="both"/>
        <w:rPr>
          <w:u w:val="none"/>
          <w:lang w:val="en-ZA"/>
        </w:rPr>
      </w:pPr>
    </w:p>
    <w:p w:rsidR="00C82161" w:rsidRDefault="00C82161" w:rsidP="00C82161"/>
    <w:p w:rsidR="00C82161" w:rsidRDefault="00C82161" w:rsidP="00C82161"/>
    <w:p w:rsidR="00147D01" w:rsidRDefault="00147D01"/>
    <w:sectPr w:rsidR="00147D01" w:rsidSect="007E572D">
      <w:headerReference w:type="even" r:id="rId10"/>
      <w:headerReference w:type="default" r:id="rId11"/>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0EC" w:rsidRDefault="006820EC">
      <w:r>
        <w:separator/>
      </w:r>
    </w:p>
  </w:endnote>
  <w:endnote w:type="continuationSeparator" w:id="0">
    <w:p w:rsidR="006820EC" w:rsidRDefault="0068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0EC" w:rsidRDefault="006820EC">
      <w:r>
        <w:separator/>
      </w:r>
    </w:p>
  </w:footnote>
  <w:footnote w:type="continuationSeparator" w:id="0">
    <w:p w:rsidR="006820EC" w:rsidRDefault="006820EC">
      <w:r>
        <w:continuationSeparator/>
      </w:r>
    </w:p>
  </w:footnote>
  <w:footnote w:id="1">
    <w:p w:rsidR="00C64E98" w:rsidRPr="00C90344" w:rsidRDefault="00C64E98">
      <w:pPr>
        <w:pStyle w:val="FootnoteText"/>
        <w:rPr>
          <w:rFonts w:ascii="Arial" w:hAnsi="Arial" w:cs="Arial"/>
          <w:sz w:val="24"/>
          <w:szCs w:val="24"/>
        </w:rPr>
      </w:pPr>
      <w:r w:rsidRPr="00C90344">
        <w:rPr>
          <w:rStyle w:val="FootnoteReference"/>
          <w:rFonts w:ascii="Arial" w:hAnsi="Arial" w:cs="Arial"/>
          <w:sz w:val="24"/>
          <w:szCs w:val="24"/>
        </w:rPr>
        <w:footnoteRef/>
      </w:r>
      <w:r w:rsidR="00C90344" w:rsidRPr="00C90344">
        <w:rPr>
          <w:rFonts w:ascii="Arial" w:hAnsi="Arial" w:cs="Arial"/>
          <w:sz w:val="24"/>
          <w:szCs w:val="24"/>
        </w:rPr>
        <w:t>.Ramsey NO V Maarman 2000(6) SA 159 (C )</w:t>
      </w:r>
    </w:p>
    <w:p w:rsidR="00C90344" w:rsidRPr="00C90344" w:rsidRDefault="00C90344">
      <w:pPr>
        <w:pStyle w:val="FootnoteText"/>
        <w:rPr>
          <w:rFonts w:ascii="Arial" w:hAnsi="Arial" w:cs="Arial"/>
        </w:rPr>
      </w:pPr>
    </w:p>
  </w:footnote>
  <w:footnote w:id="2">
    <w:p w:rsidR="00C90344" w:rsidRPr="00C90344" w:rsidRDefault="00C90344">
      <w:pPr>
        <w:pStyle w:val="FootnoteText"/>
        <w:rPr>
          <w:rFonts w:ascii="Arial" w:hAnsi="Arial" w:cs="Arial"/>
          <w:sz w:val="24"/>
          <w:szCs w:val="24"/>
        </w:rPr>
      </w:pPr>
      <w:r w:rsidRPr="00C90344">
        <w:rPr>
          <w:rStyle w:val="FootnoteReference"/>
          <w:rFonts w:ascii="Arial" w:hAnsi="Arial" w:cs="Arial"/>
          <w:sz w:val="24"/>
          <w:szCs w:val="24"/>
        </w:rPr>
        <w:footnoteRef/>
      </w:r>
      <w:r w:rsidRPr="00C90344">
        <w:rPr>
          <w:rFonts w:ascii="Arial" w:hAnsi="Arial" w:cs="Arial"/>
          <w:sz w:val="24"/>
          <w:szCs w:val="24"/>
        </w:rPr>
        <w:t>. Fisheries Development Corporation ofSA Ltd V Jorgeson&amp; Another 1979 (3) SA 1331(W)</w:t>
      </w:r>
    </w:p>
  </w:footnote>
  <w:footnote w:id="3">
    <w:p w:rsidR="00C90344" w:rsidRPr="00A1160B" w:rsidRDefault="00C90344">
      <w:pPr>
        <w:pStyle w:val="FootnoteText"/>
        <w:rPr>
          <w:rFonts w:ascii="Arial" w:hAnsi="Arial" w:cs="Arial"/>
          <w:sz w:val="24"/>
          <w:szCs w:val="24"/>
        </w:rPr>
      </w:pPr>
      <w:r w:rsidRPr="00A1160B">
        <w:rPr>
          <w:rStyle w:val="FootnoteReference"/>
          <w:rFonts w:ascii="Arial" w:hAnsi="Arial" w:cs="Arial"/>
          <w:sz w:val="24"/>
          <w:szCs w:val="24"/>
        </w:rPr>
        <w:footnoteRef/>
      </w:r>
      <w:r w:rsidRPr="00A1160B">
        <w:rPr>
          <w:rFonts w:ascii="Arial" w:hAnsi="Arial" w:cs="Arial"/>
          <w:sz w:val="24"/>
          <w:szCs w:val="24"/>
        </w:rPr>
        <w:t xml:space="preserve"> </w:t>
      </w:r>
      <w:r w:rsidR="00A1160B" w:rsidRPr="00A1160B">
        <w:rPr>
          <w:rFonts w:ascii="Arial" w:hAnsi="Arial" w:cs="Arial"/>
          <w:sz w:val="24"/>
          <w:szCs w:val="24"/>
        </w:rPr>
        <w:t>Golden International Navigation SA V Zeba Maritime 2008 (3) SA 10 (CPD)</w:t>
      </w:r>
    </w:p>
  </w:footnote>
  <w:footnote w:id="4">
    <w:p w:rsidR="00C90344" w:rsidRPr="00A1160B" w:rsidRDefault="00C90344">
      <w:pPr>
        <w:pStyle w:val="FootnoteText"/>
        <w:rPr>
          <w:rFonts w:ascii="Arial" w:hAnsi="Arial" w:cs="Arial"/>
          <w:sz w:val="24"/>
          <w:szCs w:val="24"/>
        </w:rPr>
      </w:pPr>
      <w:r w:rsidRPr="00A1160B">
        <w:rPr>
          <w:rStyle w:val="FootnoteReference"/>
          <w:rFonts w:ascii="Arial" w:hAnsi="Arial" w:cs="Arial"/>
          <w:sz w:val="24"/>
          <w:szCs w:val="24"/>
        </w:rPr>
        <w:footnoteRef/>
      </w:r>
      <w:r w:rsidR="00A1160B">
        <w:rPr>
          <w:rFonts w:ascii="Arial" w:hAnsi="Arial" w:cs="Arial"/>
          <w:sz w:val="24"/>
          <w:szCs w:val="24"/>
        </w:rPr>
        <w:t xml:space="preserve"> Boost Sports Africa(Pty)Ltd V The South African Breweries (Pty) Ltd</w:t>
      </w:r>
      <w:r w:rsidRPr="00A1160B">
        <w:rPr>
          <w:rFonts w:ascii="Arial" w:hAnsi="Arial" w:cs="Arial"/>
          <w:sz w:val="24"/>
          <w:szCs w:val="24"/>
        </w:rPr>
        <w:t xml:space="preserve"> </w:t>
      </w:r>
    </w:p>
  </w:footnote>
  <w:footnote w:id="5">
    <w:p w:rsidR="002174E1" w:rsidRPr="00A1160B" w:rsidRDefault="002174E1">
      <w:pPr>
        <w:pStyle w:val="FootnoteText"/>
        <w:rPr>
          <w:rFonts w:ascii="Arial" w:hAnsi="Arial" w:cs="Arial"/>
          <w:sz w:val="24"/>
          <w:szCs w:val="24"/>
        </w:rPr>
      </w:pPr>
      <w:r w:rsidRPr="00A1160B">
        <w:rPr>
          <w:rStyle w:val="FootnoteReference"/>
          <w:rFonts w:ascii="Arial" w:hAnsi="Arial" w:cs="Arial"/>
        </w:rPr>
        <w:footnoteRef/>
      </w:r>
      <w:r w:rsidRPr="00A1160B">
        <w:rPr>
          <w:rFonts w:ascii="Arial" w:hAnsi="Arial" w:cs="Arial"/>
        </w:rPr>
        <w:t xml:space="preserve"> </w:t>
      </w:r>
      <w:r w:rsidR="00A1160B" w:rsidRPr="00A1160B">
        <w:rPr>
          <w:rFonts w:ascii="Arial" w:hAnsi="Arial" w:cs="Arial"/>
          <w:sz w:val="24"/>
          <w:szCs w:val="24"/>
        </w:rPr>
        <w:t>2007(5) SA 525 ( CC) at para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998" w:rsidRDefault="00874998" w:rsidP="007E57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4998" w:rsidRDefault="008749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998" w:rsidRPr="00165851" w:rsidRDefault="00874998" w:rsidP="007E572D">
    <w:pPr>
      <w:pStyle w:val="Header"/>
      <w:framePr w:wrap="around" w:vAnchor="text" w:hAnchor="margin" w:xAlign="center" w:y="1"/>
      <w:rPr>
        <w:rStyle w:val="PageNumber"/>
        <w:u w:val="none"/>
      </w:rPr>
    </w:pPr>
    <w:r w:rsidRPr="00165851">
      <w:rPr>
        <w:rStyle w:val="PageNumber"/>
        <w:u w:val="none"/>
      </w:rPr>
      <w:fldChar w:fldCharType="begin"/>
    </w:r>
    <w:r w:rsidRPr="00165851">
      <w:rPr>
        <w:rStyle w:val="PageNumber"/>
        <w:u w:val="none"/>
      </w:rPr>
      <w:instrText xml:space="preserve">PAGE  </w:instrText>
    </w:r>
    <w:r w:rsidRPr="00165851">
      <w:rPr>
        <w:rStyle w:val="PageNumber"/>
        <w:u w:val="none"/>
      </w:rPr>
      <w:fldChar w:fldCharType="separate"/>
    </w:r>
    <w:r w:rsidR="00657B08">
      <w:rPr>
        <w:rStyle w:val="PageNumber"/>
        <w:noProof/>
        <w:u w:val="none"/>
      </w:rPr>
      <w:t>2</w:t>
    </w:r>
    <w:r w:rsidRPr="00165851">
      <w:rPr>
        <w:rStyle w:val="PageNumber"/>
        <w:u w:val="none"/>
      </w:rPr>
      <w:fldChar w:fldCharType="end"/>
    </w:r>
  </w:p>
  <w:p w:rsidR="00874998" w:rsidRDefault="00874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4AFD0FD4"/>
    <w:multiLevelType w:val="multilevel"/>
    <w:tmpl w:val="BFF236B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F344BEE"/>
    <w:multiLevelType w:val="multilevel"/>
    <w:tmpl w:val="44109C14"/>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1066EC7"/>
    <w:multiLevelType w:val="hybridMultilevel"/>
    <w:tmpl w:val="2834B8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4141445"/>
    <w:multiLevelType w:val="multilevel"/>
    <w:tmpl w:val="7E0C370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0M7AwMzU0MbA0MDFS0lEKTi0uzszPAykwqgUA0VlH/SwAAAA="/>
  </w:docVars>
  <w:rsids>
    <w:rsidRoot w:val="00C82161"/>
    <w:rsid w:val="0001590A"/>
    <w:rsid w:val="00023785"/>
    <w:rsid w:val="000507DD"/>
    <w:rsid w:val="00066F37"/>
    <w:rsid w:val="00083655"/>
    <w:rsid w:val="000D0FFD"/>
    <w:rsid w:val="000D20BD"/>
    <w:rsid w:val="000D44E0"/>
    <w:rsid w:val="001034C9"/>
    <w:rsid w:val="001131F0"/>
    <w:rsid w:val="001426B0"/>
    <w:rsid w:val="00147D01"/>
    <w:rsid w:val="00151DB8"/>
    <w:rsid w:val="00154471"/>
    <w:rsid w:val="0016797F"/>
    <w:rsid w:val="001A58A3"/>
    <w:rsid w:val="001B3ECD"/>
    <w:rsid w:val="001C114D"/>
    <w:rsid w:val="001F30D2"/>
    <w:rsid w:val="002044A9"/>
    <w:rsid w:val="002174E1"/>
    <w:rsid w:val="00247920"/>
    <w:rsid w:val="00272F53"/>
    <w:rsid w:val="0028146B"/>
    <w:rsid w:val="002848F7"/>
    <w:rsid w:val="00286E3F"/>
    <w:rsid w:val="002A13C0"/>
    <w:rsid w:val="002B2043"/>
    <w:rsid w:val="002B2B43"/>
    <w:rsid w:val="00341F6F"/>
    <w:rsid w:val="00354F3A"/>
    <w:rsid w:val="003A0596"/>
    <w:rsid w:val="003A4E9B"/>
    <w:rsid w:val="003B58BA"/>
    <w:rsid w:val="003B7750"/>
    <w:rsid w:val="003D0E90"/>
    <w:rsid w:val="003E3372"/>
    <w:rsid w:val="00400E94"/>
    <w:rsid w:val="004029BE"/>
    <w:rsid w:val="004050F3"/>
    <w:rsid w:val="00411F6B"/>
    <w:rsid w:val="004333BE"/>
    <w:rsid w:val="00454086"/>
    <w:rsid w:val="004556B3"/>
    <w:rsid w:val="00484C95"/>
    <w:rsid w:val="0049790D"/>
    <w:rsid w:val="004A0E45"/>
    <w:rsid w:val="004D6257"/>
    <w:rsid w:val="0051488D"/>
    <w:rsid w:val="00524B3C"/>
    <w:rsid w:val="005259B3"/>
    <w:rsid w:val="005301E8"/>
    <w:rsid w:val="005401E4"/>
    <w:rsid w:val="005528EB"/>
    <w:rsid w:val="00555E6D"/>
    <w:rsid w:val="00556785"/>
    <w:rsid w:val="0055717A"/>
    <w:rsid w:val="00561953"/>
    <w:rsid w:val="00565EAE"/>
    <w:rsid w:val="00595CA5"/>
    <w:rsid w:val="00596466"/>
    <w:rsid w:val="005E06BE"/>
    <w:rsid w:val="00605CFD"/>
    <w:rsid w:val="0062064F"/>
    <w:rsid w:val="006550D1"/>
    <w:rsid w:val="00657B08"/>
    <w:rsid w:val="0067557F"/>
    <w:rsid w:val="006820EC"/>
    <w:rsid w:val="00717C94"/>
    <w:rsid w:val="00793E76"/>
    <w:rsid w:val="007C2FEC"/>
    <w:rsid w:val="007D436D"/>
    <w:rsid w:val="007E18FA"/>
    <w:rsid w:val="007E3016"/>
    <w:rsid w:val="007E572D"/>
    <w:rsid w:val="00800713"/>
    <w:rsid w:val="00816D9B"/>
    <w:rsid w:val="0083672F"/>
    <w:rsid w:val="00872443"/>
    <w:rsid w:val="00874998"/>
    <w:rsid w:val="008870E4"/>
    <w:rsid w:val="008C7659"/>
    <w:rsid w:val="008D5138"/>
    <w:rsid w:val="008E2B3A"/>
    <w:rsid w:val="008E5CC8"/>
    <w:rsid w:val="008F6EEB"/>
    <w:rsid w:val="009049AB"/>
    <w:rsid w:val="009407C8"/>
    <w:rsid w:val="00976528"/>
    <w:rsid w:val="009814FE"/>
    <w:rsid w:val="009935C6"/>
    <w:rsid w:val="009E5BB5"/>
    <w:rsid w:val="009E6068"/>
    <w:rsid w:val="009F7222"/>
    <w:rsid w:val="00A009A9"/>
    <w:rsid w:val="00A01BBC"/>
    <w:rsid w:val="00A06585"/>
    <w:rsid w:val="00A1160B"/>
    <w:rsid w:val="00A32D3A"/>
    <w:rsid w:val="00A5792B"/>
    <w:rsid w:val="00A64D2F"/>
    <w:rsid w:val="00A858BE"/>
    <w:rsid w:val="00AB15D2"/>
    <w:rsid w:val="00AB5939"/>
    <w:rsid w:val="00AC443A"/>
    <w:rsid w:val="00AD443A"/>
    <w:rsid w:val="00B5708E"/>
    <w:rsid w:val="00B86BF7"/>
    <w:rsid w:val="00B932E8"/>
    <w:rsid w:val="00B9387F"/>
    <w:rsid w:val="00BA7613"/>
    <w:rsid w:val="00BB03F8"/>
    <w:rsid w:val="00BE7A0D"/>
    <w:rsid w:val="00C5521C"/>
    <w:rsid w:val="00C64E98"/>
    <w:rsid w:val="00C72208"/>
    <w:rsid w:val="00C82161"/>
    <w:rsid w:val="00C90344"/>
    <w:rsid w:val="00C90645"/>
    <w:rsid w:val="00CA791C"/>
    <w:rsid w:val="00CC3B89"/>
    <w:rsid w:val="00CC5F66"/>
    <w:rsid w:val="00CC6F72"/>
    <w:rsid w:val="00CD6113"/>
    <w:rsid w:val="00CE258A"/>
    <w:rsid w:val="00CE2D04"/>
    <w:rsid w:val="00CF5516"/>
    <w:rsid w:val="00D1220B"/>
    <w:rsid w:val="00D1432E"/>
    <w:rsid w:val="00D20690"/>
    <w:rsid w:val="00D21F4B"/>
    <w:rsid w:val="00D246CC"/>
    <w:rsid w:val="00D45F08"/>
    <w:rsid w:val="00D72B4F"/>
    <w:rsid w:val="00D81341"/>
    <w:rsid w:val="00DD7864"/>
    <w:rsid w:val="00DE565F"/>
    <w:rsid w:val="00DF3818"/>
    <w:rsid w:val="00E03362"/>
    <w:rsid w:val="00E729D1"/>
    <w:rsid w:val="00E73C72"/>
    <w:rsid w:val="00EA3771"/>
    <w:rsid w:val="00EA520A"/>
    <w:rsid w:val="00EA6A44"/>
    <w:rsid w:val="00EB58A8"/>
    <w:rsid w:val="00EB5A70"/>
    <w:rsid w:val="00F21DC2"/>
    <w:rsid w:val="00F30177"/>
    <w:rsid w:val="00F33030"/>
    <w:rsid w:val="00F46476"/>
    <w:rsid w:val="00F73321"/>
    <w:rsid w:val="00F74FCA"/>
    <w:rsid w:val="00F9626C"/>
    <w:rsid w:val="00F971EF"/>
    <w:rsid w:val="00FB1824"/>
    <w:rsid w:val="00FE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5D7D0393-C9DF-4E2E-B829-9A8F72AE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61"/>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2161"/>
    <w:pPr>
      <w:tabs>
        <w:tab w:val="center" w:pos="4153"/>
        <w:tab w:val="right" w:pos="8306"/>
      </w:tabs>
    </w:pPr>
  </w:style>
  <w:style w:type="character" w:customStyle="1" w:styleId="HeaderChar">
    <w:name w:val="Header Char"/>
    <w:basedOn w:val="DefaultParagraphFont"/>
    <w:link w:val="Header"/>
    <w:rsid w:val="00C82161"/>
    <w:rPr>
      <w:rFonts w:ascii="Arial" w:eastAsia="Times New Roman" w:hAnsi="Arial" w:cs="Arial"/>
      <w:sz w:val="24"/>
      <w:szCs w:val="24"/>
      <w:u w:val="single"/>
      <w:lang w:val="en-GB" w:eastAsia="en-GB"/>
    </w:rPr>
  </w:style>
  <w:style w:type="character" w:styleId="PageNumber">
    <w:name w:val="page number"/>
    <w:basedOn w:val="DefaultParagraphFont"/>
    <w:rsid w:val="00C82161"/>
  </w:style>
  <w:style w:type="paragraph" w:styleId="Footer">
    <w:name w:val="footer"/>
    <w:basedOn w:val="Normal"/>
    <w:link w:val="FooterChar"/>
    <w:rsid w:val="00C82161"/>
    <w:pPr>
      <w:tabs>
        <w:tab w:val="center" w:pos="4153"/>
        <w:tab w:val="right" w:pos="8306"/>
      </w:tabs>
    </w:pPr>
  </w:style>
  <w:style w:type="character" w:customStyle="1" w:styleId="FooterChar">
    <w:name w:val="Footer Char"/>
    <w:basedOn w:val="DefaultParagraphFont"/>
    <w:link w:val="Footer"/>
    <w:rsid w:val="00C82161"/>
    <w:rPr>
      <w:rFonts w:ascii="Arial" w:eastAsia="Times New Roman" w:hAnsi="Arial" w:cs="Arial"/>
      <w:sz w:val="24"/>
      <w:szCs w:val="24"/>
      <w:u w:val="single"/>
      <w:lang w:val="en-GB" w:eastAsia="en-GB"/>
    </w:rPr>
  </w:style>
  <w:style w:type="paragraph" w:styleId="ListParagraph">
    <w:name w:val="List Paragraph"/>
    <w:basedOn w:val="Normal"/>
    <w:uiPriority w:val="34"/>
    <w:qFormat/>
    <w:rsid w:val="00C82161"/>
    <w:pPr>
      <w:ind w:left="720"/>
    </w:pPr>
  </w:style>
  <w:style w:type="paragraph" w:styleId="BalloonText">
    <w:name w:val="Balloon Text"/>
    <w:basedOn w:val="Normal"/>
    <w:link w:val="BalloonTextChar"/>
    <w:uiPriority w:val="99"/>
    <w:semiHidden/>
    <w:unhideWhenUsed/>
    <w:rsid w:val="00C82161"/>
    <w:rPr>
      <w:rFonts w:ascii="Tahoma" w:hAnsi="Tahoma" w:cs="Tahoma"/>
      <w:sz w:val="16"/>
      <w:szCs w:val="16"/>
    </w:rPr>
  </w:style>
  <w:style w:type="character" w:customStyle="1" w:styleId="BalloonTextChar">
    <w:name w:val="Balloon Text Char"/>
    <w:basedOn w:val="DefaultParagraphFont"/>
    <w:link w:val="BalloonText"/>
    <w:uiPriority w:val="99"/>
    <w:semiHidden/>
    <w:rsid w:val="00C82161"/>
    <w:rPr>
      <w:rFonts w:ascii="Tahoma" w:eastAsia="Times New Roman" w:hAnsi="Tahoma" w:cs="Tahoma"/>
      <w:sz w:val="16"/>
      <w:szCs w:val="16"/>
      <w:u w:val="single"/>
      <w:lang w:val="en-GB" w:eastAsia="en-GB"/>
    </w:rPr>
  </w:style>
  <w:style w:type="paragraph" w:styleId="FootnoteText">
    <w:name w:val="footnote text"/>
    <w:basedOn w:val="Normal"/>
    <w:link w:val="FootnoteTextChar"/>
    <w:uiPriority w:val="99"/>
    <w:semiHidden/>
    <w:rsid w:val="00872443"/>
    <w:rPr>
      <w:rFonts w:ascii="Times New Roman" w:hAnsi="Times New Roman" w:cs="Times New Roman"/>
      <w:sz w:val="20"/>
      <w:szCs w:val="20"/>
      <w:u w:val="none"/>
      <w:lang w:eastAsia="en-US"/>
    </w:rPr>
  </w:style>
  <w:style w:type="character" w:customStyle="1" w:styleId="FootnoteTextChar">
    <w:name w:val="Footnote Text Char"/>
    <w:basedOn w:val="DefaultParagraphFont"/>
    <w:link w:val="FootnoteText"/>
    <w:uiPriority w:val="99"/>
    <w:semiHidden/>
    <w:rsid w:val="00872443"/>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872443"/>
    <w:rPr>
      <w:rFonts w:cs="Times New Roman"/>
      <w:vertAlign w:val="superscript"/>
    </w:rPr>
  </w:style>
  <w:style w:type="paragraph" w:customStyle="1" w:styleId="lg-section">
    <w:name w:val="lg-section"/>
    <w:basedOn w:val="Normal"/>
    <w:rsid w:val="00872443"/>
    <w:pPr>
      <w:spacing w:before="100" w:beforeAutospacing="1" w:after="100" w:afterAutospacing="1"/>
    </w:pPr>
    <w:rPr>
      <w:rFonts w:ascii="Times New Roman" w:hAnsi="Times New Roman" w:cs="Times New Roman"/>
      <w:u w:val="none"/>
      <w:lang w:val="en-ZA" w:eastAsia="en-ZA"/>
    </w:rPr>
  </w:style>
  <w:style w:type="paragraph" w:customStyle="1" w:styleId="lg-a-1">
    <w:name w:val="lg-a-1"/>
    <w:basedOn w:val="Normal"/>
    <w:rsid w:val="00872443"/>
    <w:pPr>
      <w:spacing w:before="100" w:beforeAutospacing="1" w:after="100" w:afterAutospacing="1"/>
    </w:pPr>
    <w:rPr>
      <w:rFonts w:ascii="Times New Roman" w:hAnsi="Times New Roman" w:cs="Times New Roman"/>
      <w:u w:val="none"/>
      <w:lang w:val="en-ZA" w:eastAsia="en-ZA"/>
    </w:rPr>
  </w:style>
  <w:style w:type="paragraph" w:customStyle="1" w:styleId="lg-i-a-1">
    <w:name w:val="lg-i-a-1"/>
    <w:basedOn w:val="Normal"/>
    <w:rsid w:val="00872443"/>
    <w:pPr>
      <w:spacing w:before="100" w:beforeAutospacing="1" w:after="100" w:afterAutospacing="1"/>
    </w:pPr>
    <w:rPr>
      <w:rFonts w:ascii="Times New Roman" w:hAnsi="Times New Roman" w:cs="Times New Roman"/>
      <w:u w:val="none"/>
      <w:lang w:val="en-ZA" w:eastAsia="en-ZA"/>
    </w:rPr>
  </w:style>
  <w:style w:type="paragraph" w:customStyle="1" w:styleId="lg-annotation">
    <w:name w:val="lg-annotation"/>
    <w:basedOn w:val="Normal"/>
    <w:rsid w:val="00872443"/>
    <w:pPr>
      <w:spacing w:before="100" w:beforeAutospacing="1" w:after="100" w:afterAutospacing="1"/>
    </w:pPr>
    <w:rPr>
      <w:rFonts w:ascii="Times New Roman" w:hAnsi="Times New Roman" w:cs="Times New Roman"/>
      <w:u w:val="none"/>
      <w:lang w:val="en-ZA" w:eastAsia="en-ZA"/>
    </w:rPr>
  </w:style>
  <w:style w:type="character" w:styleId="Hyperlink">
    <w:name w:val="Hyperlink"/>
    <w:basedOn w:val="DefaultParagraphFont"/>
    <w:uiPriority w:val="99"/>
    <w:semiHidden/>
    <w:unhideWhenUsed/>
    <w:rsid w:val="00872443"/>
    <w:rPr>
      <w:color w:val="0000FF"/>
      <w:u w:val="single"/>
    </w:rPr>
  </w:style>
  <w:style w:type="paragraph" w:customStyle="1" w:styleId="ws-link">
    <w:name w:val="ws-link"/>
    <w:basedOn w:val="Normal"/>
    <w:rsid w:val="00872443"/>
    <w:pPr>
      <w:spacing w:before="100" w:beforeAutospacing="1" w:after="100" w:afterAutospacing="1"/>
    </w:pPr>
    <w:rPr>
      <w:rFonts w:ascii="Times New Roman" w:hAnsi="Times New Roman" w:cs="Times New Roman"/>
      <w:u w:val="none"/>
      <w:lang w:val="en-ZA" w:eastAsia="en-ZA"/>
    </w:rPr>
  </w:style>
  <w:style w:type="character" w:customStyle="1" w:styleId="popup-link">
    <w:name w:val="popup-link"/>
    <w:basedOn w:val="DefaultParagraphFont"/>
    <w:rsid w:val="00872443"/>
  </w:style>
  <w:style w:type="paragraph" w:customStyle="1" w:styleId="lg-aa-a-i">
    <w:name w:val="lg-aa-a-i"/>
    <w:basedOn w:val="Normal"/>
    <w:rsid w:val="00872443"/>
    <w:pPr>
      <w:spacing w:before="100" w:beforeAutospacing="1" w:after="100" w:afterAutospacing="1"/>
    </w:pPr>
    <w:rPr>
      <w:rFonts w:ascii="Times New Roman" w:hAnsi="Times New Roman" w:cs="Times New Roman"/>
      <w:u w:val="none"/>
      <w:lang w:val="en-ZA" w:eastAsia="en-ZA"/>
    </w:rPr>
  </w:style>
  <w:style w:type="paragraph" w:customStyle="1" w:styleId="lg-para3">
    <w:name w:val="lg-para3"/>
    <w:basedOn w:val="Normal"/>
    <w:rsid w:val="00872443"/>
    <w:pPr>
      <w:spacing w:before="100" w:beforeAutospacing="1" w:after="100" w:afterAutospacing="1"/>
    </w:pPr>
    <w:rPr>
      <w:rFonts w:ascii="Times New Roman" w:hAnsi="Times New Roman" w:cs="Times New Roman"/>
      <w:u w:val="none"/>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75188">
      <w:bodyDiv w:val="1"/>
      <w:marLeft w:val="0"/>
      <w:marRight w:val="0"/>
      <w:marTop w:val="0"/>
      <w:marBottom w:val="0"/>
      <w:divBdr>
        <w:top w:val="none" w:sz="0" w:space="0" w:color="auto"/>
        <w:left w:val="none" w:sz="0" w:space="0" w:color="auto"/>
        <w:bottom w:val="none" w:sz="0" w:space="0" w:color="auto"/>
        <w:right w:val="none" w:sz="0" w:space="0" w:color="auto"/>
      </w:divBdr>
    </w:div>
    <w:div w:id="178823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1717C-EC65-4F0F-B5FE-90E80E7C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Judge-Thanaaz Mia</dc:creator>
  <cp:lastModifiedBy>HOME</cp:lastModifiedBy>
  <cp:revision>2</cp:revision>
  <cp:lastPrinted>2022-07-27T09:30:00Z</cp:lastPrinted>
  <dcterms:created xsi:type="dcterms:W3CDTF">2022-08-11T18:49:00Z</dcterms:created>
  <dcterms:modified xsi:type="dcterms:W3CDTF">2022-08-11T18:49:00Z</dcterms:modified>
</cp:coreProperties>
</file>