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10" w:rsidRPr="006A31DA" w:rsidRDefault="00506FCD" w:rsidP="00F27AB7">
      <w:pPr>
        <w:jc w:val="center"/>
        <w:rPr>
          <w:rFonts w:asciiTheme="minorHAnsi" w:hAnsiTheme="minorHAnsi" w:cstheme="minorHAnsi"/>
          <w:b/>
          <w:sz w:val="26"/>
          <w:szCs w:val="26"/>
        </w:rPr>
      </w:pPr>
      <w:r w:rsidRPr="006A31DA">
        <w:rPr>
          <w:rFonts w:asciiTheme="minorHAnsi" w:hAnsiTheme="minorHAnsi" w:cstheme="minorHAnsi"/>
          <w:b/>
          <w:sz w:val="26"/>
          <w:szCs w:val="26"/>
        </w:rPr>
        <w:t>IN THE HIGH COURT OF SOUTH AFRICA</w:t>
      </w:r>
    </w:p>
    <w:p w:rsidR="00D77C10" w:rsidRPr="006A31DA" w:rsidRDefault="00D77C10" w:rsidP="00D77C10">
      <w:pPr>
        <w:jc w:val="center"/>
        <w:rPr>
          <w:rFonts w:asciiTheme="minorHAnsi" w:hAnsiTheme="minorHAnsi" w:cstheme="minorHAnsi"/>
          <w:b/>
          <w:sz w:val="26"/>
          <w:szCs w:val="26"/>
        </w:rPr>
      </w:pPr>
      <w:r w:rsidRPr="006A31DA">
        <w:rPr>
          <w:rFonts w:asciiTheme="minorHAnsi" w:hAnsiTheme="minorHAnsi" w:cstheme="minorHAnsi"/>
          <w:b/>
          <w:sz w:val="26"/>
          <w:szCs w:val="26"/>
        </w:rPr>
        <w:t>GAUTENG LOCAL DIVISION, JOHANNESBURG</w:t>
      </w:r>
    </w:p>
    <w:p w:rsidR="00506FCD" w:rsidRPr="006A31DA" w:rsidRDefault="00506FCD" w:rsidP="00F27AB7">
      <w:pPr>
        <w:jc w:val="center"/>
        <w:rPr>
          <w:rFonts w:asciiTheme="minorHAnsi" w:hAnsiTheme="minorHAnsi" w:cstheme="minorHAnsi"/>
          <w:sz w:val="26"/>
          <w:szCs w:val="26"/>
        </w:rPr>
      </w:pPr>
      <w:r w:rsidRPr="006A31DA">
        <w:rPr>
          <w:rFonts w:asciiTheme="minorHAnsi" w:hAnsiTheme="minorHAnsi" w:cstheme="minorHAnsi"/>
          <w:sz w:val="26"/>
          <w:szCs w:val="26"/>
        </w:rPr>
        <w:br/>
      </w:r>
      <w:r w:rsidRPr="006A31DA">
        <w:rPr>
          <w:rFonts w:asciiTheme="minorHAnsi" w:hAnsiTheme="minorHAnsi" w:cstheme="minorHAnsi"/>
          <w:noProof/>
          <w:sz w:val="26"/>
          <w:szCs w:val="26"/>
          <w:lang w:val="en-US"/>
        </w:rPr>
        <w:drawing>
          <wp:inline distT="0" distB="0" distL="0" distR="0" wp14:anchorId="3FAF0751" wp14:editId="38B893F4">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F27AB7" w:rsidRPr="006A31DA" w:rsidRDefault="006A31DA" w:rsidP="006A31DA">
      <w:pPr>
        <w:jc w:val="right"/>
        <w:rPr>
          <w:rFonts w:asciiTheme="minorHAnsi" w:hAnsiTheme="minorHAnsi" w:cstheme="minorHAnsi"/>
          <w:b/>
          <w:sz w:val="26"/>
          <w:szCs w:val="26"/>
        </w:rPr>
      </w:pPr>
      <w:r>
        <w:rPr>
          <w:rFonts w:asciiTheme="minorHAnsi" w:hAnsiTheme="minorHAnsi" w:cstheme="minorHAnsi"/>
          <w:b/>
          <w:sz w:val="26"/>
          <w:szCs w:val="26"/>
        </w:rPr>
        <w:t>CASE NO: 2021/19942</w:t>
      </w:r>
    </w:p>
    <w:p w:rsidR="00F27AB7" w:rsidRPr="006A31DA" w:rsidRDefault="00F27AB7" w:rsidP="00F27AB7">
      <w:pPr>
        <w:spacing w:after="120"/>
        <w:jc w:val="both"/>
        <w:rPr>
          <w:rFonts w:asciiTheme="minorHAnsi" w:hAnsiTheme="minorHAnsi" w:cstheme="minorHAnsi"/>
          <w:sz w:val="26"/>
          <w:szCs w:val="26"/>
        </w:rPr>
      </w:pPr>
    </w:p>
    <w:p w:rsidR="00506FCD" w:rsidRPr="006A31DA" w:rsidRDefault="00506FCD" w:rsidP="00F27AB7">
      <w:pPr>
        <w:spacing w:after="120"/>
        <w:jc w:val="both"/>
        <w:rPr>
          <w:rFonts w:asciiTheme="minorHAnsi" w:hAnsiTheme="minorHAnsi" w:cstheme="minorHAnsi"/>
          <w:sz w:val="26"/>
          <w:szCs w:val="26"/>
        </w:rPr>
      </w:pPr>
      <w:r w:rsidRPr="006A31DA">
        <w:rPr>
          <w:rFonts w:asciiTheme="minorHAnsi" w:hAnsiTheme="minorHAnsi" w:cstheme="minorHAnsi"/>
          <w:sz w:val="26"/>
          <w:szCs w:val="26"/>
        </w:rPr>
        <w:t>In the matter between:</w:t>
      </w:r>
    </w:p>
    <w:p w:rsidR="00B54F31" w:rsidRPr="006A31DA" w:rsidRDefault="00B54F31" w:rsidP="00F27AB7">
      <w:pPr>
        <w:spacing w:after="120"/>
        <w:rPr>
          <w:rFonts w:asciiTheme="minorHAnsi" w:hAnsiTheme="minorHAnsi" w:cstheme="minorHAnsi"/>
          <w:sz w:val="26"/>
          <w:szCs w:val="26"/>
        </w:rPr>
      </w:pPr>
    </w:p>
    <w:p w:rsidR="00506FCD" w:rsidRPr="006A31DA" w:rsidRDefault="006A31DA" w:rsidP="00F27AB7">
      <w:pPr>
        <w:spacing w:after="120"/>
        <w:rPr>
          <w:rFonts w:asciiTheme="minorHAnsi" w:hAnsiTheme="minorHAnsi" w:cstheme="minorHAnsi"/>
          <w:sz w:val="26"/>
          <w:szCs w:val="26"/>
        </w:rPr>
      </w:pPr>
      <w:r>
        <w:rPr>
          <w:rFonts w:asciiTheme="minorHAnsi" w:hAnsiTheme="minorHAnsi" w:cstheme="minorHAnsi"/>
          <w:b/>
          <w:sz w:val="26"/>
          <w:szCs w:val="26"/>
        </w:rPr>
        <w:t>RAKOKWANE MALOKA</w:t>
      </w:r>
      <w:r w:rsidR="00506FCD" w:rsidRPr="006A31DA">
        <w:rPr>
          <w:rFonts w:asciiTheme="minorHAnsi" w:hAnsiTheme="minorHAnsi" w:cstheme="minorHAnsi"/>
          <w:sz w:val="26"/>
          <w:szCs w:val="26"/>
        </w:rPr>
        <w:tab/>
      </w:r>
      <w:r w:rsidR="00506FCD" w:rsidRPr="006A31DA">
        <w:rPr>
          <w:rFonts w:asciiTheme="minorHAnsi" w:hAnsiTheme="minorHAnsi" w:cstheme="minorHAnsi"/>
          <w:sz w:val="26"/>
          <w:szCs w:val="26"/>
        </w:rPr>
        <w:tab/>
      </w:r>
      <w:r w:rsidR="00506FCD" w:rsidRPr="006A31DA">
        <w:rPr>
          <w:rFonts w:asciiTheme="minorHAnsi" w:hAnsiTheme="minorHAnsi" w:cstheme="minorHAnsi"/>
          <w:sz w:val="26"/>
          <w:szCs w:val="26"/>
        </w:rPr>
        <w:tab/>
      </w:r>
      <w:r w:rsidR="00506FCD" w:rsidRPr="006A31DA">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w:t>
      </w:r>
      <w:r w:rsidR="00506FCD" w:rsidRPr="006A31DA">
        <w:rPr>
          <w:rFonts w:asciiTheme="minorHAnsi" w:hAnsiTheme="minorHAnsi" w:cstheme="minorHAnsi"/>
          <w:sz w:val="26"/>
          <w:szCs w:val="26"/>
        </w:rPr>
        <w:t>Applicant</w:t>
      </w:r>
    </w:p>
    <w:p w:rsidR="00506FCD" w:rsidRPr="006A31DA" w:rsidRDefault="00506FCD" w:rsidP="00F27AB7">
      <w:pPr>
        <w:spacing w:after="120"/>
        <w:rPr>
          <w:rFonts w:asciiTheme="minorHAnsi" w:hAnsiTheme="minorHAnsi" w:cstheme="minorHAnsi"/>
          <w:sz w:val="26"/>
          <w:szCs w:val="26"/>
        </w:rPr>
      </w:pPr>
      <w:r w:rsidRPr="006A31DA">
        <w:rPr>
          <w:rFonts w:asciiTheme="minorHAnsi" w:hAnsiTheme="minorHAnsi" w:cstheme="minorHAnsi"/>
          <w:sz w:val="26"/>
          <w:szCs w:val="26"/>
        </w:rPr>
        <w:t>and</w:t>
      </w:r>
    </w:p>
    <w:p w:rsidR="00506FCD" w:rsidRPr="006A31DA" w:rsidRDefault="00506FCD" w:rsidP="00F27AB7">
      <w:pPr>
        <w:spacing w:after="120"/>
        <w:rPr>
          <w:rFonts w:asciiTheme="minorHAnsi" w:hAnsiTheme="minorHAnsi" w:cstheme="minorHAnsi"/>
          <w:sz w:val="26"/>
          <w:szCs w:val="26"/>
        </w:rPr>
      </w:pPr>
    </w:p>
    <w:p w:rsidR="00506FCD" w:rsidRPr="006A31DA" w:rsidRDefault="006A31DA" w:rsidP="00F27AB7">
      <w:pPr>
        <w:spacing w:after="120"/>
        <w:rPr>
          <w:rFonts w:asciiTheme="minorHAnsi" w:hAnsiTheme="minorHAnsi" w:cstheme="minorHAnsi"/>
          <w:sz w:val="26"/>
          <w:szCs w:val="26"/>
        </w:rPr>
      </w:pPr>
      <w:r>
        <w:rPr>
          <w:rFonts w:asciiTheme="minorHAnsi" w:hAnsiTheme="minorHAnsi" w:cstheme="minorHAnsi"/>
          <w:b/>
          <w:sz w:val="26"/>
          <w:szCs w:val="26"/>
        </w:rPr>
        <w:t>LIBERTY HOLDINGS</w:t>
      </w:r>
      <w:r w:rsidR="00F27AB7" w:rsidRPr="006A31DA">
        <w:rPr>
          <w:rFonts w:asciiTheme="minorHAnsi" w:hAnsiTheme="minorHAnsi" w:cstheme="minorHAnsi"/>
          <w:sz w:val="26"/>
          <w:szCs w:val="26"/>
        </w:rPr>
        <w:tab/>
      </w:r>
      <w:r w:rsidR="00F27AB7" w:rsidRPr="006A31DA">
        <w:rPr>
          <w:rFonts w:asciiTheme="minorHAnsi" w:hAnsiTheme="minorHAnsi" w:cstheme="minorHAnsi"/>
          <w:sz w:val="26"/>
          <w:szCs w:val="26"/>
        </w:rPr>
        <w:tab/>
      </w:r>
      <w:r w:rsidR="00F27AB7" w:rsidRPr="006A31DA">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506FCD" w:rsidRPr="006A31DA">
        <w:rPr>
          <w:rFonts w:asciiTheme="minorHAnsi" w:hAnsiTheme="minorHAnsi" w:cstheme="minorHAnsi"/>
          <w:sz w:val="26"/>
          <w:szCs w:val="26"/>
        </w:rPr>
        <w:t>Respondent</w:t>
      </w:r>
    </w:p>
    <w:p w:rsidR="00F27AB7" w:rsidRPr="006A31DA" w:rsidRDefault="00F27AB7" w:rsidP="00F27AB7">
      <w:pPr>
        <w:spacing w:after="120"/>
        <w:rPr>
          <w:rFonts w:asciiTheme="minorHAnsi" w:hAnsiTheme="minorHAnsi" w:cstheme="minorHAnsi"/>
          <w:sz w:val="26"/>
          <w:szCs w:val="26"/>
        </w:rPr>
      </w:pPr>
    </w:p>
    <w:p w:rsidR="00506FCD" w:rsidRPr="006A31DA" w:rsidRDefault="00506FCD" w:rsidP="00F27AB7">
      <w:pPr>
        <w:spacing w:after="120"/>
        <w:jc w:val="both"/>
        <w:rPr>
          <w:rFonts w:asciiTheme="minorHAnsi" w:hAnsiTheme="minorHAnsi" w:cstheme="minorHAnsi"/>
          <w:sz w:val="26"/>
          <w:szCs w:val="26"/>
        </w:rPr>
      </w:pPr>
      <w:r w:rsidRPr="006A31DA">
        <w:rPr>
          <w:rFonts w:asciiTheme="minorHAnsi" w:hAnsiTheme="minorHAnsi" w:cstheme="minorHAnsi"/>
          <w:sz w:val="26"/>
          <w:szCs w:val="26"/>
        </w:rPr>
        <w:t>__________________________________________________________</w:t>
      </w:r>
      <w:r w:rsidR="006A31DA">
        <w:rPr>
          <w:rFonts w:asciiTheme="minorHAnsi" w:hAnsiTheme="minorHAnsi" w:cstheme="minorHAnsi"/>
          <w:sz w:val="26"/>
          <w:szCs w:val="26"/>
        </w:rPr>
        <w:t>______________</w:t>
      </w:r>
    </w:p>
    <w:p w:rsidR="006A31DA" w:rsidRDefault="00506FCD" w:rsidP="00F27AB7">
      <w:pPr>
        <w:spacing w:after="120"/>
        <w:jc w:val="center"/>
        <w:rPr>
          <w:rFonts w:asciiTheme="minorHAnsi" w:hAnsiTheme="minorHAnsi" w:cstheme="minorHAnsi"/>
          <w:sz w:val="26"/>
          <w:szCs w:val="26"/>
        </w:rPr>
      </w:pPr>
      <w:r w:rsidRPr="006A31DA">
        <w:rPr>
          <w:rFonts w:asciiTheme="minorHAnsi" w:hAnsiTheme="minorHAnsi" w:cstheme="minorHAnsi"/>
          <w:sz w:val="26"/>
          <w:szCs w:val="26"/>
        </w:rPr>
        <w:t>J U D G M E N T</w:t>
      </w:r>
      <w:r w:rsidR="00E90B58" w:rsidRPr="006A31DA">
        <w:rPr>
          <w:rFonts w:asciiTheme="minorHAnsi" w:hAnsiTheme="minorHAnsi" w:cstheme="minorHAnsi"/>
          <w:sz w:val="26"/>
          <w:szCs w:val="26"/>
        </w:rPr>
        <w:t xml:space="preserve"> </w:t>
      </w:r>
    </w:p>
    <w:p w:rsidR="00506FCD" w:rsidRPr="006A31DA" w:rsidRDefault="00E90B58" w:rsidP="00F27AB7">
      <w:pPr>
        <w:spacing w:after="120"/>
        <w:jc w:val="center"/>
        <w:rPr>
          <w:rFonts w:asciiTheme="minorHAnsi" w:hAnsiTheme="minorHAnsi" w:cstheme="minorHAnsi"/>
          <w:sz w:val="26"/>
          <w:szCs w:val="26"/>
        </w:rPr>
      </w:pPr>
      <w:r w:rsidRPr="006A31DA">
        <w:rPr>
          <w:rFonts w:asciiTheme="minorHAnsi" w:hAnsiTheme="minorHAnsi" w:cstheme="minorHAnsi"/>
          <w:sz w:val="26"/>
          <w:szCs w:val="26"/>
        </w:rPr>
        <w:t>(</w:t>
      </w:r>
      <w:r w:rsidR="006A31DA">
        <w:rPr>
          <w:rFonts w:asciiTheme="minorHAnsi" w:hAnsiTheme="minorHAnsi" w:cstheme="minorHAnsi"/>
          <w:sz w:val="26"/>
          <w:szCs w:val="26"/>
        </w:rPr>
        <w:t xml:space="preserve">APPLICATION FOR </w:t>
      </w:r>
      <w:r w:rsidRPr="006A31DA">
        <w:rPr>
          <w:rFonts w:asciiTheme="minorHAnsi" w:hAnsiTheme="minorHAnsi" w:cstheme="minorHAnsi"/>
          <w:sz w:val="26"/>
          <w:szCs w:val="26"/>
        </w:rPr>
        <w:t>LEAVE TO APPEAL)</w:t>
      </w:r>
    </w:p>
    <w:p w:rsidR="00506FCD" w:rsidRPr="006A31DA" w:rsidRDefault="00506FCD" w:rsidP="00F27AB7">
      <w:pPr>
        <w:jc w:val="both"/>
        <w:rPr>
          <w:rFonts w:asciiTheme="minorHAnsi" w:hAnsiTheme="minorHAnsi" w:cstheme="minorHAnsi"/>
          <w:sz w:val="26"/>
          <w:szCs w:val="26"/>
        </w:rPr>
      </w:pPr>
      <w:r w:rsidRPr="006A31DA">
        <w:rPr>
          <w:rFonts w:asciiTheme="minorHAnsi" w:hAnsiTheme="minorHAnsi" w:cstheme="minorHAnsi"/>
          <w:sz w:val="26"/>
          <w:szCs w:val="26"/>
        </w:rPr>
        <w:t>__________________________________________________________</w:t>
      </w:r>
      <w:r w:rsidR="006A31DA">
        <w:rPr>
          <w:rFonts w:asciiTheme="minorHAnsi" w:hAnsiTheme="minorHAnsi" w:cstheme="minorHAnsi"/>
          <w:sz w:val="26"/>
          <w:szCs w:val="26"/>
        </w:rPr>
        <w:t>______________</w:t>
      </w:r>
    </w:p>
    <w:p w:rsidR="00506FCD" w:rsidRPr="006A31DA" w:rsidRDefault="00506FCD" w:rsidP="00506FCD">
      <w:pPr>
        <w:spacing w:line="360" w:lineRule="auto"/>
        <w:jc w:val="both"/>
        <w:rPr>
          <w:rFonts w:asciiTheme="minorHAnsi" w:hAnsiTheme="minorHAnsi" w:cstheme="minorHAnsi"/>
          <w:b/>
          <w:sz w:val="26"/>
          <w:szCs w:val="26"/>
          <w:u w:val="single"/>
        </w:rPr>
      </w:pPr>
      <w:r w:rsidRPr="006A31DA">
        <w:rPr>
          <w:rFonts w:asciiTheme="minorHAnsi" w:hAnsiTheme="minorHAnsi" w:cstheme="minorHAnsi"/>
          <w:b/>
          <w:sz w:val="26"/>
          <w:szCs w:val="26"/>
          <w:u w:val="single"/>
        </w:rPr>
        <w:t>MAIER-FRAWLEY J</w:t>
      </w:r>
    </w:p>
    <w:p w:rsidR="00506FCD" w:rsidRPr="00BF6994" w:rsidRDefault="00BF6994" w:rsidP="00BF699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1</w:t>
      </w:r>
      <w:bookmarkStart w:id="0" w:name="_GoBack"/>
      <w:bookmarkEnd w:id="0"/>
      <w:r w:rsidRPr="006A31DA">
        <w:rPr>
          <w:rFonts w:asciiTheme="minorHAnsi" w:hAnsiTheme="minorHAnsi" w:cstheme="minorHAnsi"/>
          <w:sz w:val="26"/>
          <w:szCs w:val="26"/>
        </w:rPr>
        <w:t>.</w:t>
      </w:r>
      <w:r w:rsidRPr="006A31DA">
        <w:rPr>
          <w:rFonts w:asciiTheme="minorHAnsi" w:hAnsiTheme="minorHAnsi" w:cstheme="minorHAnsi"/>
          <w:sz w:val="26"/>
          <w:szCs w:val="26"/>
        </w:rPr>
        <w:tab/>
      </w:r>
      <w:r w:rsidR="006A31DA" w:rsidRPr="00BF6994">
        <w:rPr>
          <w:rFonts w:asciiTheme="minorHAnsi" w:hAnsiTheme="minorHAnsi" w:cstheme="minorHAnsi"/>
          <w:sz w:val="26"/>
          <w:szCs w:val="26"/>
        </w:rPr>
        <w:t>Mr M</w:t>
      </w:r>
      <w:r w:rsidR="004B35EB" w:rsidRPr="00BF6994">
        <w:rPr>
          <w:rFonts w:asciiTheme="minorHAnsi" w:hAnsiTheme="minorHAnsi" w:cstheme="minorHAnsi"/>
          <w:sz w:val="26"/>
          <w:szCs w:val="26"/>
        </w:rPr>
        <w:t>a</w:t>
      </w:r>
      <w:r w:rsidR="006A31DA" w:rsidRPr="00BF6994">
        <w:rPr>
          <w:rFonts w:asciiTheme="minorHAnsi" w:hAnsiTheme="minorHAnsi" w:cstheme="minorHAnsi"/>
          <w:sz w:val="26"/>
          <w:szCs w:val="26"/>
        </w:rPr>
        <w:t>loka (the</w:t>
      </w:r>
      <w:r w:rsidR="00506FCD" w:rsidRPr="00BF6994">
        <w:rPr>
          <w:rFonts w:asciiTheme="minorHAnsi" w:hAnsiTheme="minorHAnsi" w:cstheme="minorHAnsi"/>
          <w:sz w:val="26"/>
          <w:szCs w:val="26"/>
        </w:rPr>
        <w:t xml:space="preserve"> applicant</w:t>
      </w:r>
      <w:r w:rsidR="006A31DA" w:rsidRPr="00BF6994">
        <w:rPr>
          <w:rFonts w:asciiTheme="minorHAnsi" w:hAnsiTheme="minorHAnsi" w:cstheme="minorHAnsi"/>
          <w:sz w:val="26"/>
          <w:szCs w:val="26"/>
        </w:rPr>
        <w:t>)</w:t>
      </w:r>
      <w:r w:rsidR="00506FCD" w:rsidRPr="00BF6994">
        <w:rPr>
          <w:rFonts w:asciiTheme="minorHAnsi" w:hAnsiTheme="minorHAnsi" w:cstheme="minorHAnsi"/>
          <w:sz w:val="26"/>
          <w:szCs w:val="26"/>
        </w:rPr>
        <w:t xml:space="preserve"> seek</w:t>
      </w:r>
      <w:r w:rsidR="006A31DA" w:rsidRPr="00BF6994">
        <w:rPr>
          <w:rFonts w:asciiTheme="minorHAnsi" w:hAnsiTheme="minorHAnsi" w:cstheme="minorHAnsi"/>
          <w:sz w:val="26"/>
          <w:szCs w:val="26"/>
        </w:rPr>
        <w:t>s</w:t>
      </w:r>
      <w:r w:rsidR="00506FCD" w:rsidRPr="00BF6994">
        <w:rPr>
          <w:rFonts w:asciiTheme="minorHAnsi" w:hAnsiTheme="minorHAnsi" w:cstheme="minorHAnsi"/>
          <w:sz w:val="26"/>
          <w:szCs w:val="26"/>
        </w:rPr>
        <w:t xml:space="preserve"> leave to appeal against </w:t>
      </w:r>
      <w:r w:rsidR="00E90B58" w:rsidRPr="00BF6994">
        <w:rPr>
          <w:rFonts w:asciiTheme="minorHAnsi" w:hAnsiTheme="minorHAnsi" w:cstheme="minorHAnsi"/>
          <w:sz w:val="26"/>
          <w:szCs w:val="26"/>
        </w:rPr>
        <w:t xml:space="preserve">the </w:t>
      </w:r>
      <w:r w:rsidR="006A31DA" w:rsidRPr="00BF6994">
        <w:rPr>
          <w:rFonts w:asciiTheme="minorHAnsi" w:hAnsiTheme="minorHAnsi" w:cstheme="minorHAnsi"/>
          <w:sz w:val="26"/>
          <w:szCs w:val="26"/>
        </w:rPr>
        <w:t>orders granted in the judgment delivered on</w:t>
      </w:r>
      <w:r w:rsidR="00506FCD" w:rsidRPr="00BF6994">
        <w:rPr>
          <w:rFonts w:asciiTheme="minorHAnsi" w:hAnsiTheme="minorHAnsi" w:cstheme="minorHAnsi"/>
          <w:sz w:val="26"/>
          <w:szCs w:val="26"/>
        </w:rPr>
        <w:t xml:space="preserve"> </w:t>
      </w:r>
      <w:r w:rsidR="006A31DA" w:rsidRPr="00BF6994">
        <w:rPr>
          <w:rFonts w:asciiTheme="minorHAnsi" w:hAnsiTheme="minorHAnsi" w:cstheme="minorHAnsi"/>
          <w:sz w:val="26"/>
          <w:szCs w:val="26"/>
        </w:rPr>
        <w:t xml:space="preserve">24 June 2022 in terms of which, </w:t>
      </w:r>
      <w:r w:rsidR="006A31DA" w:rsidRPr="00BF6994">
        <w:rPr>
          <w:rFonts w:asciiTheme="minorHAnsi" w:hAnsiTheme="minorHAnsi" w:cstheme="minorHAnsi"/>
          <w:i/>
          <w:sz w:val="26"/>
          <w:szCs w:val="26"/>
        </w:rPr>
        <w:t>inter alia</w:t>
      </w:r>
      <w:r w:rsidR="006A31DA" w:rsidRPr="00BF6994">
        <w:rPr>
          <w:rFonts w:asciiTheme="minorHAnsi" w:hAnsiTheme="minorHAnsi" w:cstheme="minorHAnsi"/>
          <w:sz w:val="26"/>
          <w:szCs w:val="26"/>
        </w:rPr>
        <w:t xml:space="preserve">, </w:t>
      </w:r>
      <w:r w:rsidR="006B3562" w:rsidRPr="00BF6994">
        <w:rPr>
          <w:rFonts w:asciiTheme="minorHAnsi" w:hAnsiTheme="minorHAnsi" w:cstheme="minorHAnsi"/>
          <w:sz w:val="26"/>
          <w:szCs w:val="26"/>
        </w:rPr>
        <w:t>a</w:t>
      </w:r>
      <w:r w:rsidR="006A31DA" w:rsidRPr="00BF6994">
        <w:rPr>
          <w:rFonts w:asciiTheme="minorHAnsi" w:hAnsiTheme="minorHAnsi" w:cstheme="minorHAnsi"/>
          <w:sz w:val="26"/>
          <w:szCs w:val="26"/>
        </w:rPr>
        <w:t xml:space="preserve"> rule 30 application brought by Mr Moloka against the respondent (‘Liberty’) was dismissed with costs and </w:t>
      </w:r>
      <w:r w:rsidR="006B3562" w:rsidRPr="00BF6994">
        <w:rPr>
          <w:rFonts w:asciiTheme="minorHAnsi" w:hAnsiTheme="minorHAnsi" w:cstheme="minorHAnsi"/>
          <w:sz w:val="26"/>
          <w:szCs w:val="26"/>
        </w:rPr>
        <w:t>a</w:t>
      </w:r>
      <w:r w:rsidR="006A31DA" w:rsidRPr="00BF6994">
        <w:rPr>
          <w:rFonts w:asciiTheme="minorHAnsi" w:hAnsiTheme="minorHAnsi" w:cstheme="minorHAnsi"/>
          <w:sz w:val="26"/>
          <w:szCs w:val="26"/>
        </w:rPr>
        <w:t xml:space="preserve"> rule 47 application brought by Liberty was granted with costs</w:t>
      </w:r>
      <w:r w:rsidR="00E90B58" w:rsidRPr="00BF6994">
        <w:rPr>
          <w:rFonts w:asciiTheme="minorHAnsi" w:hAnsiTheme="minorHAnsi" w:cstheme="minorHAnsi"/>
          <w:sz w:val="26"/>
          <w:szCs w:val="26"/>
        </w:rPr>
        <w:t xml:space="preserve">. The application for leave to appeal is opposed by </w:t>
      </w:r>
      <w:r w:rsidR="006B3562" w:rsidRPr="00BF6994">
        <w:rPr>
          <w:rFonts w:asciiTheme="minorHAnsi" w:hAnsiTheme="minorHAnsi" w:cstheme="minorHAnsi"/>
          <w:sz w:val="26"/>
          <w:szCs w:val="26"/>
        </w:rPr>
        <w:t xml:space="preserve">Liberty. </w:t>
      </w:r>
    </w:p>
    <w:p w:rsidR="00506FCD" w:rsidRPr="006A31DA" w:rsidRDefault="00506FCD" w:rsidP="004F652F">
      <w:pPr>
        <w:pStyle w:val="ListParagraph"/>
        <w:rPr>
          <w:rFonts w:asciiTheme="minorHAnsi" w:hAnsiTheme="minorHAnsi" w:cstheme="minorHAnsi"/>
          <w:sz w:val="26"/>
          <w:szCs w:val="26"/>
        </w:rPr>
      </w:pPr>
    </w:p>
    <w:p w:rsidR="000479AE" w:rsidRPr="00BF6994" w:rsidRDefault="00BF6994" w:rsidP="00BF6994">
      <w:pPr>
        <w:spacing w:line="360" w:lineRule="auto"/>
        <w:ind w:left="851" w:hanging="851"/>
        <w:jc w:val="both"/>
        <w:rPr>
          <w:rFonts w:asciiTheme="minorHAnsi" w:hAnsiTheme="minorHAnsi" w:cstheme="minorHAnsi"/>
          <w:sz w:val="26"/>
          <w:szCs w:val="26"/>
        </w:rPr>
      </w:pPr>
      <w:r w:rsidRPr="008009A6">
        <w:rPr>
          <w:rFonts w:asciiTheme="minorHAnsi" w:hAnsiTheme="minorHAnsi" w:cstheme="minorHAnsi"/>
          <w:sz w:val="26"/>
          <w:szCs w:val="26"/>
        </w:rPr>
        <w:t>2.</w:t>
      </w:r>
      <w:r w:rsidRPr="008009A6">
        <w:rPr>
          <w:rFonts w:asciiTheme="minorHAnsi" w:hAnsiTheme="minorHAnsi" w:cstheme="minorHAnsi"/>
          <w:sz w:val="26"/>
          <w:szCs w:val="26"/>
        </w:rPr>
        <w:tab/>
      </w:r>
      <w:r w:rsidR="004F652F" w:rsidRPr="00BF6994">
        <w:rPr>
          <w:rFonts w:asciiTheme="minorHAnsi" w:hAnsiTheme="minorHAnsi" w:cstheme="minorHAnsi"/>
          <w:sz w:val="26"/>
          <w:szCs w:val="26"/>
        </w:rPr>
        <w:t xml:space="preserve">By way of background, the judgment recorded that Mr Maloka had instituted 9 different claims in different fora against Liberty over a period of fifteen months, all stemming from his dismissal </w:t>
      </w:r>
      <w:r w:rsidR="004B35EB" w:rsidRPr="00BF6994">
        <w:rPr>
          <w:rFonts w:asciiTheme="minorHAnsi" w:hAnsiTheme="minorHAnsi" w:cstheme="minorHAnsi"/>
          <w:sz w:val="26"/>
          <w:szCs w:val="26"/>
        </w:rPr>
        <w:t xml:space="preserve">in December 2019 </w:t>
      </w:r>
      <w:r w:rsidR="004F652F" w:rsidRPr="00BF6994">
        <w:rPr>
          <w:rFonts w:asciiTheme="minorHAnsi" w:hAnsiTheme="minorHAnsi" w:cstheme="minorHAnsi"/>
          <w:sz w:val="26"/>
          <w:szCs w:val="26"/>
        </w:rPr>
        <w:t>from Liberty’s employ on grounds of misconduct</w:t>
      </w:r>
      <w:r w:rsidR="004B35EB" w:rsidRPr="00BF6994">
        <w:rPr>
          <w:rFonts w:asciiTheme="minorHAnsi" w:hAnsiTheme="minorHAnsi" w:cstheme="minorHAnsi"/>
          <w:sz w:val="26"/>
          <w:szCs w:val="26"/>
        </w:rPr>
        <w:t>.</w:t>
      </w:r>
      <w:r w:rsidR="004F652F">
        <w:rPr>
          <w:rStyle w:val="FootnoteReference"/>
          <w:rFonts w:asciiTheme="minorHAnsi" w:hAnsiTheme="minorHAnsi" w:cstheme="minorHAnsi"/>
          <w:sz w:val="26"/>
          <w:szCs w:val="26"/>
        </w:rPr>
        <w:footnoteReference w:id="1"/>
      </w:r>
      <w:r w:rsidR="008009A6" w:rsidRPr="00BF6994">
        <w:rPr>
          <w:rFonts w:asciiTheme="minorHAnsi" w:hAnsiTheme="minorHAnsi" w:cstheme="minorHAnsi"/>
          <w:sz w:val="26"/>
          <w:szCs w:val="26"/>
        </w:rPr>
        <w:t xml:space="preserve"> Pursuant to the delivery by Liberty of a notice in terms of rule 47, the respondent instituted various interlocutory proceedings, including</w:t>
      </w:r>
      <w:r w:rsidR="008167F4" w:rsidRPr="00BF6994">
        <w:rPr>
          <w:rFonts w:asciiTheme="minorHAnsi" w:hAnsiTheme="minorHAnsi" w:cstheme="minorHAnsi"/>
          <w:sz w:val="26"/>
          <w:szCs w:val="26"/>
        </w:rPr>
        <w:t>,</w:t>
      </w:r>
      <w:r w:rsidR="008009A6" w:rsidRPr="00BF6994">
        <w:rPr>
          <w:rFonts w:asciiTheme="minorHAnsi" w:hAnsiTheme="minorHAnsi" w:cstheme="minorHAnsi"/>
          <w:sz w:val="26"/>
          <w:szCs w:val="26"/>
        </w:rPr>
        <w:t xml:space="preserve"> amongst others: (i) the filing of a notice of objection under rule 30 pertaining</w:t>
      </w:r>
      <w:r w:rsidR="008009A6" w:rsidRPr="00BF6994">
        <w:rPr>
          <w:rFonts w:asciiTheme="minorHAnsi" w:hAnsiTheme="minorHAnsi" w:cstheme="minorHAnsi"/>
          <w:i/>
          <w:sz w:val="26"/>
          <w:szCs w:val="26"/>
        </w:rPr>
        <w:t xml:space="preserve"> </w:t>
      </w:r>
      <w:r w:rsidR="008009A6" w:rsidRPr="00BF6994">
        <w:rPr>
          <w:rFonts w:asciiTheme="minorHAnsi" w:hAnsiTheme="minorHAnsi" w:cstheme="minorHAnsi"/>
          <w:sz w:val="26"/>
          <w:szCs w:val="26"/>
        </w:rPr>
        <w:t xml:space="preserve">to his complaint that Liberty had taken an irregular step </w:t>
      </w:r>
      <w:r w:rsidR="008167F4" w:rsidRPr="00BF6994">
        <w:rPr>
          <w:rFonts w:asciiTheme="minorHAnsi" w:hAnsiTheme="minorHAnsi" w:cstheme="minorHAnsi"/>
          <w:sz w:val="26"/>
          <w:szCs w:val="26"/>
        </w:rPr>
        <w:t xml:space="preserve">in the pending proceedings </w:t>
      </w:r>
      <w:r w:rsidR="008009A6" w:rsidRPr="00BF6994">
        <w:rPr>
          <w:rFonts w:asciiTheme="minorHAnsi" w:hAnsiTheme="minorHAnsi" w:cstheme="minorHAnsi"/>
          <w:sz w:val="26"/>
          <w:szCs w:val="26"/>
        </w:rPr>
        <w:t>by demanding security for costs in terms of rule 47 after</w:t>
      </w:r>
      <w:r w:rsidR="008167F4" w:rsidRPr="00BF6994">
        <w:rPr>
          <w:rFonts w:asciiTheme="minorHAnsi" w:hAnsiTheme="minorHAnsi" w:cstheme="minorHAnsi"/>
          <w:sz w:val="26"/>
          <w:szCs w:val="26"/>
        </w:rPr>
        <w:t xml:space="preserve">, </w:t>
      </w:r>
      <w:r w:rsidR="008167F4" w:rsidRPr="00BF6994">
        <w:rPr>
          <w:rFonts w:asciiTheme="minorHAnsi" w:hAnsiTheme="minorHAnsi" w:cstheme="minorHAnsi"/>
          <w:i/>
          <w:sz w:val="26"/>
          <w:szCs w:val="26"/>
        </w:rPr>
        <w:t xml:space="preserve">inter alia, </w:t>
      </w:r>
      <w:r w:rsidR="008167F4" w:rsidRPr="00BF6994">
        <w:rPr>
          <w:rFonts w:asciiTheme="minorHAnsi" w:hAnsiTheme="minorHAnsi" w:cstheme="minorHAnsi"/>
          <w:sz w:val="26"/>
          <w:szCs w:val="26"/>
        </w:rPr>
        <w:t xml:space="preserve">filing </w:t>
      </w:r>
      <w:r w:rsidR="008009A6" w:rsidRPr="00BF6994">
        <w:rPr>
          <w:rFonts w:asciiTheme="minorHAnsi" w:hAnsiTheme="minorHAnsi" w:cstheme="minorHAnsi"/>
          <w:sz w:val="26"/>
          <w:szCs w:val="26"/>
        </w:rPr>
        <w:t>an answering application in the pending main application</w:t>
      </w:r>
      <w:r w:rsidR="006C45F9" w:rsidRPr="00BF6994">
        <w:rPr>
          <w:rFonts w:asciiTheme="minorHAnsi" w:hAnsiTheme="minorHAnsi" w:cstheme="minorHAnsi"/>
          <w:sz w:val="26"/>
          <w:szCs w:val="26"/>
        </w:rPr>
        <w:t>, which Mr Moloka argued, amounted to Liberty having taken ‘a further step in the cause’ as envisaged in rule 30</w:t>
      </w:r>
      <w:r w:rsidR="008009A6" w:rsidRPr="00BF6994">
        <w:rPr>
          <w:rFonts w:asciiTheme="minorHAnsi" w:hAnsiTheme="minorHAnsi" w:cstheme="minorHAnsi"/>
          <w:sz w:val="26"/>
          <w:szCs w:val="26"/>
        </w:rPr>
        <w:t>; and (ii) the launch of an application in terms of rule 30(2)(c) ‘</w:t>
      </w:r>
      <w:r w:rsidR="008009A6" w:rsidRPr="00BF6994">
        <w:rPr>
          <w:rFonts w:asciiTheme="minorHAnsi" w:hAnsiTheme="minorHAnsi" w:cstheme="minorHAnsi"/>
          <w:i/>
          <w:sz w:val="26"/>
          <w:szCs w:val="26"/>
        </w:rPr>
        <w:t xml:space="preserve">to set aside notice of demand that </w:t>
      </w:r>
      <w:r w:rsidR="008167F4" w:rsidRPr="00BF6994">
        <w:rPr>
          <w:rFonts w:asciiTheme="minorHAnsi" w:hAnsiTheme="minorHAnsi" w:cstheme="minorHAnsi"/>
          <w:sz w:val="26"/>
          <w:szCs w:val="26"/>
        </w:rPr>
        <w:t>[he]</w:t>
      </w:r>
      <w:r w:rsidR="008009A6" w:rsidRPr="00BF6994">
        <w:rPr>
          <w:rFonts w:asciiTheme="minorHAnsi" w:hAnsiTheme="minorHAnsi" w:cstheme="minorHAnsi"/>
          <w:i/>
          <w:sz w:val="26"/>
          <w:szCs w:val="26"/>
        </w:rPr>
        <w:t xml:space="preserve"> must provide security for </w:t>
      </w:r>
      <w:r w:rsidR="008167F4" w:rsidRPr="00BF6994">
        <w:rPr>
          <w:rFonts w:asciiTheme="minorHAnsi" w:hAnsiTheme="minorHAnsi" w:cstheme="minorHAnsi"/>
          <w:sz w:val="26"/>
          <w:szCs w:val="26"/>
        </w:rPr>
        <w:t xml:space="preserve">[Liberty’s] </w:t>
      </w:r>
      <w:r w:rsidR="008009A6" w:rsidRPr="00BF6994">
        <w:rPr>
          <w:rFonts w:asciiTheme="minorHAnsi" w:hAnsiTheme="minorHAnsi" w:cstheme="minorHAnsi"/>
          <w:i/>
          <w:sz w:val="26"/>
          <w:szCs w:val="26"/>
        </w:rPr>
        <w:t xml:space="preserve">legal costs.’ </w:t>
      </w:r>
    </w:p>
    <w:p w:rsidR="000479AE" w:rsidRPr="006A31DA" w:rsidRDefault="000479AE" w:rsidP="000479AE">
      <w:pPr>
        <w:pStyle w:val="ListParagraph"/>
        <w:rPr>
          <w:rFonts w:asciiTheme="minorHAnsi" w:hAnsiTheme="minorHAnsi" w:cstheme="minorHAnsi"/>
          <w:sz w:val="26"/>
          <w:szCs w:val="26"/>
        </w:rPr>
      </w:pPr>
    </w:p>
    <w:p w:rsidR="00E90B58" w:rsidRPr="00BF6994" w:rsidRDefault="00BF6994" w:rsidP="00BF699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3.</w:t>
      </w:r>
      <w:r>
        <w:rPr>
          <w:rFonts w:asciiTheme="minorHAnsi" w:hAnsiTheme="minorHAnsi" w:cstheme="minorHAnsi"/>
          <w:sz w:val="26"/>
          <w:szCs w:val="26"/>
        </w:rPr>
        <w:tab/>
      </w:r>
      <w:r w:rsidR="00DF6E59" w:rsidRPr="00BF6994">
        <w:rPr>
          <w:rFonts w:asciiTheme="minorHAnsi" w:hAnsiTheme="minorHAnsi" w:cstheme="minorHAnsi"/>
          <w:sz w:val="26"/>
          <w:szCs w:val="26"/>
        </w:rPr>
        <w:t>As regards the rule 30 application, t</w:t>
      </w:r>
      <w:r w:rsidR="000479AE" w:rsidRPr="00BF6994">
        <w:rPr>
          <w:rFonts w:asciiTheme="minorHAnsi" w:hAnsiTheme="minorHAnsi" w:cstheme="minorHAnsi"/>
          <w:sz w:val="26"/>
          <w:szCs w:val="26"/>
        </w:rPr>
        <w:t xml:space="preserve">he </w:t>
      </w:r>
      <w:r w:rsidR="00E90B58" w:rsidRPr="00BF6994">
        <w:rPr>
          <w:rFonts w:asciiTheme="minorHAnsi" w:hAnsiTheme="minorHAnsi" w:cstheme="minorHAnsi"/>
          <w:sz w:val="26"/>
          <w:szCs w:val="26"/>
        </w:rPr>
        <w:t xml:space="preserve">judgment </w:t>
      </w:r>
      <w:r w:rsidR="00C9718C" w:rsidRPr="00BF6994">
        <w:rPr>
          <w:rFonts w:asciiTheme="minorHAnsi" w:hAnsiTheme="minorHAnsi" w:cstheme="minorHAnsi"/>
          <w:sz w:val="26"/>
          <w:szCs w:val="26"/>
        </w:rPr>
        <w:t xml:space="preserve">found, </w:t>
      </w:r>
      <w:r w:rsidR="00E90B58" w:rsidRPr="00BF6994">
        <w:rPr>
          <w:rFonts w:asciiTheme="minorHAnsi" w:hAnsiTheme="minorHAnsi" w:cstheme="minorHAnsi"/>
          <w:i/>
          <w:sz w:val="26"/>
          <w:szCs w:val="26"/>
        </w:rPr>
        <w:t xml:space="preserve">inter alia, </w:t>
      </w:r>
      <w:r w:rsidR="006C45F9" w:rsidRPr="00BF6994">
        <w:rPr>
          <w:rFonts w:asciiTheme="minorHAnsi" w:hAnsiTheme="minorHAnsi" w:cstheme="minorHAnsi"/>
          <w:sz w:val="26"/>
          <w:szCs w:val="26"/>
        </w:rPr>
        <w:t xml:space="preserve">that </w:t>
      </w:r>
      <w:r w:rsidR="008167F4" w:rsidRPr="00BF6994">
        <w:rPr>
          <w:rFonts w:asciiTheme="minorHAnsi" w:hAnsiTheme="minorHAnsi" w:cstheme="minorHAnsi"/>
          <w:sz w:val="26"/>
          <w:szCs w:val="26"/>
        </w:rPr>
        <w:t xml:space="preserve">the application </w:t>
      </w:r>
      <w:r w:rsidR="006C45F9" w:rsidRPr="00BF6994">
        <w:rPr>
          <w:rFonts w:asciiTheme="minorHAnsi" w:hAnsiTheme="minorHAnsi" w:cstheme="minorHAnsi"/>
          <w:sz w:val="26"/>
          <w:szCs w:val="26"/>
        </w:rPr>
        <w:t xml:space="preserve">was ill founded, amongst others, because </w:t>
      </w:r>
      <w:r w:rsidR="008167F4" w:rsidRPr="00BF6994">
        <w:rPr>
          <w:rFonts w:asciiTheme="minorHAnsi" w:hAnsiTheme="minorHAnsi" w:cstheme="minorHAnsi"/>
          <w:sz w:val="26"/>
          <w:szCs w:val="26"/>
        </w:rPr>
        <w:t>Mr M</w:t>
      </w:r>
      <w:r w:rsidR="004B35EB" w:rsidRPr="00BF6994">
        <w:rPr>
          <w:rFonts w:asciiTheme="minorHAnsi" w:hAnsiTheme="minorHAnsi" w:cstheme="minorHAnsi"/>
          <w:sz w:val="26"/>
          <w:szCs w:val="26"/>
        </w:rPr>
        <w:t>a</w:t>
      </w:r>
      <w:r w:rsidR="008167F4" w:rsidRPr="00BF6994">
        <w:rPr>
          <w:rFonts w:asciiTheme="minorHAnsi" w:hAnsiTheme="minorHAnsi" w:cstheme="minorHAnsi"/>
          <w:sz w:val="26"/>
          <w:szCs w:val="26"/>
        </w:rPr>
        <w:t xml:space="preserve">loka’s argument that Liberty had taken a further step in the cause, as envisaged in rule 30, was unsustainable by reason of the fact that </w:t>
      </w:r>
      <w:r w:rsidR="006C45F9" w:rsidRPr="00BF6994">
        <w:rPr>
          <w:rFonts w:asciiTheme="minorHAnsi" w:hAnsiTheme="minorHAnsi" w:cstheme="minorHAnsi"/>
          <w:sz w:val="26"/>
          <w:szCs w:val="26"/>
        </w:rPr>
        <w:t xml:space="preserve">rule 30 </w:t>
      </w:r>
      <w:r w:rsidR="004B35EB" w:rsidRPr="00BF6994">
        <w:rPr>
          <w:rFonts w:asciiTheme="minorHAnsi" w:hAnsiTheme="minorHAnsi" w:cstheme="minorHAnsi"/>
          <w:sz w:val="26"/>
          <w:szCs w:val="26"/>
        </w:rPr>
        <w:t xml:space="preserve">only </w:t>
      </w:r>
      <w:r w:rsidR="006C45F9" w:rsidRPr="00BF6994">
        <w:rPr>
          <w:rFonts w:asciiTheme="minorHAnsi" w:hAnsiTheme="minorHAnsi" w:cstheme="minorHAnsi"/>
          <w:sz w:val="26"/>
          <w:szCs w:val="26"/>
        </w:rPr>
        <w:t>imposed a limitation on the party alleging that an irregular step had been taken (i.e., Mr M</w:t>
      </w:r>
      <w:r w:rsidR="004B35EB" w:rsidRPr="00BF6994">
        <w:rPr>
          <w:rFonts w:asciiTheme="minorHAnsi" w:hAnsiTheme="minorHAnsi" w:cstheme="minorHAnsi"/>
          <w:sz w:val="26"/>
          <w:szCs w:val="26"/>
        </w:rPr>
        <w:t>a</w:t>
      </w:r>
      <w:r w:rsidR="006C45F9" w:rsidRPr="00BF6994">
        <w:rPr>
          <w:rFonts w:asciiTheme="minorHAnsi" w:hAnsiTheme="minorHAnsi" w:cstheme="minorHAnsi"/>
          <w:sz w:val="26"/>
          <w:szCs w:val="26"/>
        </w:rPr>
        <w:t>loka</w:t>
      </w:r>
      <w:r w:rsidR="00DF6E59" w:rsidRPr="00BF6994">
        <w:rPr>
          <w:rFonts w:asciiTheme="minorHAnsi" w:hAnsiTheme="minorHAnsi" w:cstheme="minorHAnsi"/>
          <w:sz w:val="26"/>
          <w:szCs w:val="26"/>
        </w:rPr>
        <w:t>, as applicant</w:t>
      </w:r>
      <w:r w:rsidR="006C45F9" w:rsidRPr="00BF6994">
        <w:rPr>
          <w:rFonts w:asciiTheme="minorHAnsi" w:hAnsiTheme="minorHAnsi" w:cstheme="minorHAnsi"/>
          <w:sz w:val="26"/>
          <w:szCs w:val="26"/>
        </w:rPr>
        <w:t xml:space="preserve">) by prescribing that </w:t>
      </w:r>
      <w:r w:rsidR="008167F4" w:rsidRPr="00BF6994">
        <w:rPr>
          <w:rFonts w:asciiTheme="minorHAnsi" w:hAnsiTheme="minorHAnsi" w:cstheme="minorHAnsi"/>
          <w:sz w:val="26"/>
          <w:szCs w:val="26"/>
        </w:rPr>
        <w:t>such party</w:t>
      </w:r>
      <w:r w:rsidR="00DF6E59" w:rsidRPr="00BF6994">
        <w:rPr>
          <w:rFonts w:asciiTheme="minorHAnsi" w:hAnsiTheme="minorHAnsi" w:cstheme="minorHAnsi"/>
          <w:sz w:val="26"/>
          <w:szCs w:val="26"/>
        </w:rPr>
        <w:t xml:space="preserve"> could not invoke the rule if he or she had </w:t>
      </w:r>
      <w:r w:rsidR="006C45F9" w:rsidRPr="00BF6994">
        <w:rPr>
          <w:rFonts w:asciiTheme="minorHAnsi" w:hAnsiTheme="minorHAnsi" w:cstheme="minorHAnsi"/>
          <w:sz w:val="26"/>
          <w:szCs w:val="26"/>
        </w:rPr>
        <w:t>taken a further step in the cause</w:t>
      </w:r>
      <w:r w:rsidR="00DF6E59" w:rsidRPr="00BF6994">
        <w:rPr>
          <w:rFonts w:asciiTheme="minorHAnsi" w:hAnsiTheme="minorHAnsi" w:cstheme="minorHAnsi"/>
          <w:sz w:val="26"/>
          <w:szCs w:val="26"/>
        </w:rPr>
        <w:t>. Since Mr M</w:t>
      </w:r>
      <w:r w:rsidR="004B35EB" w:rsidRPr="00BF6994">
        <w:rPr>
          <w:rFonts w:asciiTheme="minorHAnsi" w:hAnsiTheme="minorHAnsi" w:cstheme="minorHAnsi"/>
          <w:sz w:val="26"/>
          <w:szCs w:val="26"/>
        </w:rPr>
        <w:t>a</w:t>
      </w:r>
      <w:r w:rsidR="00DF6E59" w:rsidRPr="00BF6994">
        <w:rPr>
          <w:rFonts w:asciiTheme="minorHAnsi" w:hAnsiTheme="minorHAnsi" w:cstheme="minorHAnsi"/>
          <w:sz w:val="26"/>
          <w:szCs w:val="26"/>
        </w:rPr>
        <w:t xml:space="preserve">loka had invoked the rule, he was the party </w:t>
      </w:r>
      <w:r w:rsidR="00DF6E59" w:rsidRPr="00BF6994">
        <w:rPr>
          <w:rFonts w:asciiTheme="minorHAnsi" w:hAnsiTheme="minorHAnsi" w:cstheme="minorHAnsi"/>
          <w:sz w:val="26"/>
          <w:szCs w:val="26"/>
        </w:rPr>
        <w:lastRenderedPageBreak/>
        <w:t>to which the prohibition in terms of rule 30 applied and not Liberty</w:t>
      </w:r>
      <w:r w:rsidR="004B35EB" w:rsidRPr="00BF6994">
        <w:rPr>
          <w:rFonts w:asciiTheme="minorHAnsi" w:hAnsiTheme="minorHAnsi" w:cstheme="minorHAnsi"/>
          <w:sz w:val="26"/>
          <w:szCs w:val="26"/>
        </w:rPr>
        <w:t>.</w:t>
      </w:r>
      <w:r w:rsidR="008167F4" w:rsidRPr="00BF6994">
        <w:rPr>
          <w:rFonts w:asciiTheme="minorHAnsi" w:hAnsiTheme="minorHAnsi" w:cstheme="minorHAnsi"/>
          <w:sz w:val="26"/>
          <w:szCs w:val="26"/>
        </w:rPr>
        <w:t xml:space="preserve"> </w:t>
      </w:r>
      <w:r w:rsidR="00DF6E59" w:rsidRPr="00BF6994">
        <w:rPr>
          <w:rFonts w:asciiTheme="minorHAnsi" w:hAnsiTheme="minorHAnsi" w:cstheme="minorHAnsi"/>
          <w:sz w:val="26"/>
          <w:szCs w:val="26"/>
        </w:rPr>
        <w:t xml:space="preserve">The judgment further found, based on the authority cited in fn 6 </w:t>
      </w:r>
      <w:r w:rsidR="009C2243" w:rsidRPr="00BF6994">
        <w:rPr>
          <w:rFonts w:asciiTheme="minorHAnsi" w:hAnsiTheme="minorHAnsi" w:cstheme="minorHAnsi"/>
          <w:sz w:val="26"/>
          <w:szCs w:val="26"/>
        </w:rPr>
        <w:t>therein</w:t>
      </w:r>
      <w:r w:rsidR="00DF6E59" w:rsidRPr="00BF6994">
        <w:rPr>
          <w:rFonts w:asciiTheme="minorHAnsi" w:hAnsiTheme="minorHAnsi" w:cstheme="minorHAnsi"/>
          <w:sz w:val="26"/>
          <w:szCs w:val="26"/>
        </w:rPr>
        <w:t>, that a notice to furnish security does not constitute an irregular or improper step or proceeding for purposes of rule 30(1).</w:t>
      </w:r>
    </w:p>
    <w:p w:rsidR="007F4827" w:rsidRPr="007F4827" w:rsidRDefault="007F4827" w:rsidP="007F4827">
      <w:pPr>
        <w:pStyle w:val="ListParagraph"/>
        <w:rPr>
          <w:rFonts w:asciiTheme="minorHAnsi" w:hAnsiTheme="minorHAnsi" w:cstheme="minorHAnsi"/>
          <w:sz w:val="26"/>
          <w:szCs w:val="26"/>
        </w:rPr>
      </w:pPr>
    </w:p>
    <w:p w:rsidR="007F4827" w:rsidRPr="00BF6994" w:rsidRDefault="00BF6994" w:rsidP="00BF699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4.</w:t>
      </w:r>
      <w:r w:rsidRPr="006A31DA">
        <w:rPr>
          <w:rFonts w:asciiTheme="minorHAnsi" w:hAnsiTheme="minorHAnsi" w:cstheme="minorHAnsi"/>
          <w:sz w:val="26"/>
          <w:szCs w:val="26"/>
        </w:rPr>
        <w:tab/>
      </w:r>
      <w:r w:rsidR="007F4827" w:rsidRPr="00BF6994">
        <w:rPr>
          <w:rFonts w:asciiTheme="minorHAnsi" w:hAnsiTheme="minorHAnsi" w:cstheme="minorHAnsi"/>
          <w:sz w:val="26"/>
          <w:szCs w:val="26"/>
        </w:rPr>
        <w:t xml:space="preserve">As regards the rule 47 application, the judgment found, on an application of the relevant legal principles </w:t>
      </w:r>
      <w:r w:rsidR="00F109E0" w:rsidRPr="00BF6994">
        <w:rPr>
          <w:rFonts w:asciiTheme="minorHAnsi" w:hAnsiTheme="minorHAnsi" w:cstheme="minorHAnsi"/>
          <w:sz w:val="26"/>
          <w:szCs w:val="26"/>
        </w:rPr>
        <w:t>(</w:t>
      </w:r>
      <w:r w:rsidR="007F4827" w:rsidRPr="00BF6994">
        <w:rPr>
          <w:rFonts w:asciiTheme="minorHAnsi" w:hAnsiTheme="minorHAnsi" w:cstheme="minorHAnsi"/>
          <w:sz w:val="26"/>
          <w:szCs w:val="26"/>
        </w:rPr>
        <w:t>referred to in paragraphs 17 and 18 of the judgment</w:t>
      </w:r>
      <w:r w:rsidR="00F109E0" w:rsidRPr="00BF6994">
        <w:rPr>
          <w:rFonts w:asciiTheme="minorHAnsi" w:hAnsiTheme="minorHAnsi" w:cstheme="minorHAnsi"/>
          <w:sz w:val="26"/>
          <w:szCs w:val="26"/>
        </w:rPr>
        <w:t>)</w:t>
      </w:r>
      <w:r w:rsidR="007F4827" w:rsidRPr="00BF6994">
        <w:rPr>
          <w:rFonts w:asciiTheme="minorHAnsi" w:hAnsiTheme="minorHAnsi" w:cstheme="minorHAnsi"/>
          <w:sz w:val="26"/>
          <w:szCs w:val="26"/>
        </w:rPr>
        <w:t xml:space="preserve"> to the </w:t>
      </w:r>
      <w:r w:rsidR="00F109E0" w:rsidRPr="00BF6994">
        <w:rPr>
          <w:rFonts w:asciiTheme="minorHAnsi" w:hAnsiTheme="minorHAnsi" w:cstheme="minorHAnsi"/>
          <w:sz w:val="26"/>
          <w:szCs w:val="26"/>
        </w:rPr>
        <w:t xml:space="preserve">relevant </w:t>
      </w:r>
      <w:r w:rsidR="007F4827" w:rsidRPr="00BF6994">
        <w:rPr>
          <w:rFonts w:asciiTheme="minorHAnsi" w:hAnsiTheme="minorHAnsi" w:cstheme="minorHAnsi"/>
          <w:sz w:val="26"/>
          <w:szCs w:val="26"/>
        </w:rPr>
        <w:t>facts</w:t>
      </w:r>
      <w:r w:rsidR="00F109E0" w:rsidRPr="00BF6994">
        <w:rPr>
          <w:rFonts w:asciiTheme="minorHAnsi" w:hAnsiTheme="minorHAnsi" w:cstheme="minorHAnsi"/>
          <w:sz w:val="26"/>
          <w:szCs w:val="26"/>
        </w:rPr>
        <w:t>,</w:t>
      </w:r>
      <w:r w:rsidR="007F4827">
        <w:rPr>
          <w:rStyle w:val="FootnoteReference"/>
          <w:rFonts w:asciiTheme="minorHAnsi" w:hAnsiTheme="minorHAnsi" w:cstheme="minorHAnsi"/>
          <w:sz w:val="26"/>
          <w:szCs w:val="26"/>
        </w:rPr>
        <w:footnoteReference w:id="2"/>
      </w:r>
      <w:r w:rsidR="007F4827" w:rsidRPr="00BF6994">
        <w:rPr>
          <w:rFonts w:asciiTheme="minorHAnsi" w:hAnsiTheme="minorHAnsi" w:cstheme="minorHAnsi"/>
          <w:sz w:val="26"/>
          <w:szCs w:val="26"/>
        </w:rPr>
        <w:t xml:space="preserve"> that: (i) Liberty had established its entitlement to security for costs on the basis that the main application </w:t>
      </w:r>
      <w:r w:rsidR="00F109E0" w:rsidRPr="00BF6994">
        <w:rPr>
          <w:rFonts w:asciiTheme="minorHAnsi" w:hAnsiTheme="minorHAnsi" w:cstheme="minorHAnsi"/>
          <w:sz w:val="26"/>
          <w:szCs w:val="26"/>
        </w:rPr>
        <w:t>was</w:t>
      </w:r>
      <w:r w:rsidR="007F4827" w:rsidRPr="00BF6994">
        <w:rPr>
          <w:rFonts w:asciiTheme="minorHAnsi" w:hAnsiTheme="minorHAnsi" w:cstheme="minorHAnsi"/>
          <w:sz w:val="26"/>
          <w:szCs w:val="26"/>
        </w:rPr>
        <w:t xml:space="preserve"> </w:t>
      </w:r>
      <w:r w:rsidR="00F109E0" w:rsidRPr="00BF6994">
        <w:rPr>
          <w:rFonts w:asciiTheme="minorHAnsi" w:hAnsiTheme="minorHAnsi" w:cstheme="minorHAnsi"/>
          <w:sz w:val="26"/>
          <w:szCs w:val="26"/>
        </w:rPr>
        <w:t>‘</w:t>
      </w:r>
      <w:r w:rsidR="007F4827" w:rsidRPr="00BF6994">
        <w:rPr>
          <w:rFonts w:asciiTheme="minorHAnsi" w:hAnsiTheme="minorHAnsi" w:cstheme="minorHAnsi"/>
          <w:sz w:val="26"/>
          <w:szCs w:val="26"/>
        </w:rPr>
        <w:t>unsustainable in its present form’ and further based on Mr Maloka’s vexatious conduct in instituting various claims, including the unsustainable rule 30 application, all of which ha</w:t>
      </w:r>
      <w:r w:rsidR="00F109E0" w:rsidRPr="00BF6994">
        <w:rPr>
          <w:rFonts w:asciiTheme="minorHAnsi" w:hAnsiTheme="minorHAnsi" w:cstheme="minorHAnsi"/>
          <w:sz w:val="26"/>
          <w:szCs w:val="26"/>
        </w:rPr>
        <w:t>d</w:t>
      </w:r>
      <w:r w:rsidR="007F4827" w:rsidRPr="00BF6994">
        <w:rPr>
          <w:rFonts w:asciiTheme="minorHAnsi" w:hAnsiTheme="minorHAnsi" w:cstheme="minorHAnsi"/>
          <w:sz w:val="26"/>
          <w:szCs w:val="26"/>
        </w:rPr>
        <w:t xml:space="preserve"> served to put Liberty to unnecessary trouble and expense</w:t>
      </w:r>
      <w:r w:rsidR="00F109E0" w:rsidRPr="00BF6994">
        <w:rPr>
          <w:rFonts w:asciiTheme="minorHAnsi" w:hAnsiTheme="minorHAnsi" w:cstheme="minorHAnsi"/>
          <w:sz w:val="26"/>
          <w:szCs w:val="26"/>
        </w:rPr>
        <w:t>,</w:t>
      </w:r>
      <w:r w:rsidR="007F4827" w:rsidRPr="00BF6994">
        <w:rPr>
          <w:rFonts w:asciiTheme="minorHAnsi" w:hAnsiTheme="minorHAnsi" w:cstheme="minorHAnsi"/>
          <w:sz w:val="26"/>
          <w:szCs w:val="26"/>
        </w:rPr>
        <w:t xml:space="preserve"> which it ought otherwise not to bear; and (ii) apropos Mr M</w:t>
      </w:r>
      <w:r w:rsidR="00003211" w:rsidRPr="00BF6994">
        <w:rPr>
          <w:rFonts w:asciiTheme="minorHAnsi" w:hAnsiTheme="minorHAnsi" w:cstheme="minorHAnsi"/>
          <w:sz w:val="26"/>
          <w:szCs w:val="26"/>
        </w:rPr>
        <w:t>a</w:t>
      </w:r>
      <w:r w:rsidR="007F4827" w:rsidRPr="00BF6994">
        <w:rPr>
          <w:rFonts w:asciiTheme="minorHAnsi" w:hAnsiTheme="minorHAnsi" w:cstheme="minorHAnsi"/>
          <w:sz w:val="26"/>
          <w:szCs w:val="26"/>
        </w:rPr>
        <w:t xml:space="preserve">loka’s assertion that he would be compelled to sell his immovable property, given his </w:t>
      </w:r>
      <w:r w:rsidR="00F109E0" w:rsidRPr="00BF6994">
        <w:rPr>
          <w:rFonts w:asciiTheme="minorHAnsi" w:hAnsiTheme="minorHAnsi" w:cstheme="minorHAnsi"/>
          <w:sz w:val="26"/>
          <w:szCs w:val="26"/>
        </w:rPr>
        <w:t xml:space="preserve">current </w:t>
      </w:r>
      <w:r w:rsidR="007F4827" w:rsidRPr="00BF6994">
        <w:rPr>
          <w:rFonts w:asciiTheme="minorHAnsi" w:hAnsiTheme="minorHAnsi" w:cstheme="minorHAnsi"/>
          <w:sz w:val="26"/>
          <w:szCs w:val="26"/>
        </w:rPr>
        <w:t>employment status</w:t>
      </w:r>
      <w:r w:rsidR="00F109E0" w:rsidRPr="00BF6994">
        <w:rPr>
          <w:rFonts w:asciiTheme="minorHAnsi" w:hAnsiTheme="minorHAnsi" w:cstheme="minorHAnsi"/>
          <w:sz w:val="26"/>
          <w:szCs w:val="26"/>
        </w:rPr>
        <w:t xml:space="preserve"> and lack of liquidity</w:t>
      </w:r>
      <w:r w:rsidR="007F4827" w:rsidRPr="00BF6994">
        <w:rPr>
          <w:rFonts w:asciiTheme="minorHAnsi" w:hAnsiTheme="minorHAnsi" w:cstheme="minorHAnsi"/>
          <w:sz w:val="26"/>
          <w:szCs w:val="26"/>
        </w:rPr>
        <w:t xml:space="preserve">, </w:t>
      </w:r>
      <w:r w:rsidR="001811F4" w:rsidRPr="00BF6994">
        <w:rPr>
          <w:rFonts w:asciiTheme="minorHAnsi" w:hAnsiTheme="minorHAnsi" w:cstheme="minorHAnsi"/>
          <w:sz w:val="26"/>
          <w:szCs w:val="26"/>
        </w:rPr>
        <w:t xml:space="preserve">that </w:t>
      </w:r>
      <w:r w:rsidR="00F109E0" w:rsidRPr="00BF6994">
        <w:rPr>
          <w:rFonts w:asciiTheme="minorHAnsi" w:hAnsiTheme="minorHAnsi" w:cstheme="minorHAnsi"/>
          <w:sz w:val="26"/>
          <w:szCs w:val="26"/>
        </w:rPr>
        <w:t xml:space="preserve">given that </w:t>
      </w:r>
      <w:r w:rsidR="007F4827" w:rsidRPr="00BF6994">
        <w:rPr>
          <w:rFonts w:asciiTheme="minorHAnsi" w:hAnsiTheme="minorHAnsi" w:cstheme="minorHAnsi"/>
          <w:sz w:val="26"/>
          <w:szCs w:val="26"/>
        </w:rPr>
        <w:t>there was no suggestion by Mr M</w:t>
      </w:r>
      <w:r w:rsidR="00003211" w:rsidRPr="00BF6994">
        <w:rPr>
          <w:rFonts w:asciiTheme="minorHAnsi" w:hAnsiTheme="minorHAnsi" w:cstheme="minorHAnsi"/>
          <w:sz w:val="26"/>
          <w:szCs w:val="26"/>
        </w:rPr>
        <w:t>aloka</w:t>
      </w:r>
      <w:r w:rsidR="007F4827" w:rsidRPr="00BF6994">
        <w:rPr>
          <w:rFonts w:asciiTheme="minorHAnsi" w:hAnsiTheme="minorHAnsi" w:cstheme="minorHAnsi"/>
          <w:sz w:val="26"/>
          <w:szCs w:val="26"/>
        </w:rPr>
        <w:t xml:space="preserve"> that he was incapable of raising a loan against the security of his property or of obtaining gainful employment in the foreseeable future</w:t>
      </w:r>
      <w:r w:rsidR="001811F4" w:rsidRPr="00BF6994">
        <w:rPr>
          <w:rFonts w:asciiTheme="minorHAnsi" w:hAnsiTheme="minorHAnsi" w:cstheme="minorHAnsi"/>
          <w:sz w:val="26"/>
          <w:szCs w:val="26"/>
        </w:rPr>
        <w:t xml:space="preserve">, </w:t>
      </w:r>
      <w:r w:rsidR="00F109E0" w:rsidRPr="00BF6994">
        <w:rPr>
          <w:rFonts w:asciiTheme="minorHAnsi" w:hAnsiTheme="minorHAnsi" w:cstheme="minorHAnsi"/>
          <w:sz w:val="26"/>
          <w:szCs w:val="26"/>
        </w:rPr>
        <w:t xml:space="preserve">it could not be found that </w:t>
      </w:r>
      <w:r w:rsidR="007F4827" w:rsidRPr="00BF6994">
        <w:rPr>
          <w:rFonts w:asciiTheme="minorHAnsi" w:hAnsiTheme="minorHAnsi" w:cstheme="minorHAnsi"/>
          <w:sz w:val="26"/>
          <w:szCs w:val="26"/>
        </w:rPr>
        <w:t xml:space="preserve">an order directing him to furnish security </w:t>
      </w:r>
      <w:r w:rsidR="001811F4" w:rsidRPr="00BF6994">
        <w:rPr>
          <w:rFonts w:asciiTheme="minorHAnsi" w:hAnsiTheme="minorHAnsi" w:cstheme="minorHAnsi"/>
          <w:sz w:val="26"/>
          <w:szCs w:val="26"/>
        </w:rPr>
        <w:t xml:space="preserve">would </w:t>
      </w:r>
      <w:r w:rsidR="007F4827" w:rsidRPr="00BF6994">
        <w:rPr>
          <w:rFonts w:asciiTheme="minorHAnsi" w:hAnsiTheme="minorHAnsi" w:cstheme="minorHAnsi"/>
          <w:sz w:val="26"/>
          <w:szCs w:val="26"/>
        </w:rPr>
        <w:t>necessarily deal a death blow to his main application.</w:t>
      </w:r>
    </w:p>
    <w:p w:rsidR="00E90B58" w:rsidRPr="006A31DA" w:rsidRDefault="00E90B58" w:rsidP="00E90B58">
      <w:pPr>
        <w:pStyle w:val="ListParagraph"/>
        <w:rPr>
          <w:rFonts w:asciiTheme="minorHAnsi" w:hAnsiTheme="minorHAnsi" w:cstheme="minorHAnsi"/>
          <w:sz w:val="26"/>
          <w:szCs w:val="26"/>
        </w:rPr>
      </w:pPr>
    </w:p>
    <w:p w:rsidR="00506FCD" w:rsidRPr="00BF6994" w:rsidRDefault="00BF6994" w:rsidP="00BF6994">
      <w:pPr>
        <w:spacing w:line="360" w:lineRule="auto"/>
        <w:ind w:left="851" w:hanging="851"/>
        <w:jc w:val="both"/>
        <w:rPr>
          <w:rFonts w:asciiTheme="minorHAnsi" w:hAnsiTheme="minorHAnsi" w:cstheme="minorHAnsi"/>
          <w:sz w:val="26"/>
          <w:szCs w:val="26"/>
        </w:rPr>
      </w:pPr>
      <w:r w:rsidRPr="00A31F51">
        <w:rPr>
          <w:rFonts w:asciiTheme="minorHAnsi" w:hAnsiTheme="minorHAnsi" w:cstheme="minorHAnsi"/>
          <w:sz w:val="26"/>
          <w:szCs w:val="26"/>
        </w:rPr>
        <w:t>5.</w:t>
      </w:r>
      <w:r w:rsidRPr="00A31F51">
        <w:rPr>
          <w:rFonts w:asciiTheme="minorHAnsi" w:hAnsiTheme="minorHAnsi" w:cstheme="minorHAnsi"/>
          <w:sz w:val="26"/>
          <w:szCs w:val="26"/>
        </w:rPr>
        <w:tab/>
      </w:r>
      <w:r w:rsidR="00A31F51" w:rsidRPr="00BF6994">
        <w:rPr>
          <w:rFonts w:asciiTheme="minorHAnsi" w:hAnsiTheme="minorHAnsi" w:cstheme="minorHAnsi"/>
          <w:sz w:val="26"/>
          <w:szCs w:val="26"/>
        </w:rPr>
        <w:t>In terms of s</w:t>
      </w:r>
      <w:r w:rsidR="00506FCD" w:rsidRPr="00BF6994">
        <w:rPr>
          <w:rFonts w:asciiTheme="minorHAnsi" w:hAnsiTheme="minorHAnsi" w:cstheme="minorHAnsi"/>
          <w:sz w:val="26"/>
          <w:szCs w:val="26"/>
        </w:rPr>
        <w:t>ection 17 of the Superior Courts Act, 10 of 2013</w:t>
      </w:r>
      <w:r w:rsidR="00A31F51" w:rsidRPr="00BF6994">
        <w:rPr>
          <w:rFonts w:asciiTheme="minorHAnsi" w:hAnsiTheme="minorHAnsi" w:cstheme="minorHAnsi"/>
          <w:sz w:val="26"/>
          <w:szCs w:val="26"/>
        </w:rPr>
        <w:t>:</w:t>
      </w:r>
      <w:r w:rsidR="00506FCD" w:rsidRPr="00BF6994">
        <w:rPr>
          <w:rFonts w:asciiTheme="minorHAnsi" w:hAnsiTheme="minorHAnsi" w:cstheme="minorHAnsi"/>
          <w:sz w:val="26"/>
          <w:szCs w:val="26"/>
        </w:rPr>
        <w:t xml:space="preserve"> </w:t>
      </w:r>
    </w:p>
    <w:p w:rsidR="00506FCD" w:rsidRPr="006A31DA" w:rsidRDefault="00506FCD" w:rsidP="00506FCD">
      <w:pPr>
        <w:pStyle w:val="ListParagraph"/>
        <w:spacing w:line="360" w:lineRule="auto"/>
        <w:ind w:left="1440"/>
        <w:jc w:val="both"/>
        <w:rPr>
          <w:rFonts w:asciiTheme="minorHAnsi" w:hAnsiTheme="minorHAnsi" w:cstheme="minorHAnsi"/>
          <w:sz w:val="26"/>
          <w:szCs w:val="26"/>
        </w:rPr>
      </w:pPr>
      <w:r w:rsidRPr="006A31DA">
        <w:rPr>
          <w:rFonts w:asciiTheme="minorHAnsi" w:hAnsiTheme="minorHAnsi" w:cstheme="minorHAnsi"/>
          <w:sz w:val="26"/>
          <w:szCs w:val="26"/>
        </w:rPr>
        <w:t xml:space="preserve">“(1) Leave to appeal may only be given where the judge or judges concerned are of the opinion that - </w:t>
      </w:r>
    </w:p>
    <w:p w:rsidR="00506FCD" w:rsidRPr="00BF6994" w:rsidRDefault="00BF6994" w:rsidP="00BF6994">
      <w:pPr>
        <w:spacing w:line="360" w:lineRule="auto"/>
        <w:ind w:left="3079" w:hanging="1050"/>
        <w:jc w:val="both"/>
        <w:rPr>
          <w:rFonts w:asciiTheme="minorHAnsi" w:hAnsiTheme="minorHAnsi" w:cstheme="minorHAnsi"/>
          <w:sz w:val="26"/>
          <w:szCs w:val="26"/>
        </w:rPr>
      </w:pPr>
      <w:r w:rsidRPr="006A31DA">
        <w:rPr>
          <w:rFonts w:asciiTheme="minorHAnsi" w:hAnsiTheme="minorHAnsi" w:cstheme="minorHAnsi"/>
          <w:sz w:val="26"/>
          <w:szCs w:val="26"/>
        </w:rPr>
        <w:lastRenderedPageBreak/>
        <w:t>(a)</w:t>
      </w:r>
      <w:r w:rsidRPr="006A31DA">
        <w:rPr>
          <w:rFonts w:asciiTheme="minorHAnsi" w:hAnsiTheme="minorHAnsi" w:cstheme="minorHAnsi"/>
          <w:sz w:val="26"/>
          <w:szCs w:val="26"/>
        </w:rPr>
        <w:tab/>
      </w:r>
      <w:r w:rsidR="00506FCD" w:rsidRPr="00BF6994">
        <w:rPr>
          <w:rFonts w:asciiTheme="minorHAnsi" w:hAnsiTheme="minorHAnsi" w:cstheme="minorHAnsi"/>
          <w:sz w:val="26"/>
          <w:szCs w:val="26"/>
        </w:rPr>
        <w:t xml:space="preserve">(i) the appeal would have a reasonable prospect of success; or </w:t>
      </w:r>
    </w:p>
    <w:p w:rsidR="00506FCD" w:rsidRPr="006A31DA" w:rsidRDefault="00506FCD" w:rsidP="00506FCD">
      <w:pPr>
        <w:pStyle w:val="ListParagraph"/>
        <w:spacing w:line="360" w:lineRule="auto"/>
        <w:ind w:left="3079"/>
        <w:jc w:val="both"/>
        <w:rPr>
          <w:rFonts w:asciiTheme="minorHAnsi" w:hAnsiTheme="minorHAnsi" w:cstheme="minorHAnsi"/>
          <w:sz w:val="26"/>
          <w:szCs w:val="26"/>
        </w:rPr>
      </w:pPr>
      <w:r w:rsidRPr="006A31DA">
        <w:rPr>
          <w:rFonts w:asciiTheme="minorHAnsi" w:hAnsiTheme="minorHAnsi" w:cstheme="minorHAnsi"/>
          <w:sz w:val="26"/>
          <w:szCs w:val="26"/>
        </w:rPr>
        <w:t>(ii) there is some other compelling reason why the appeal should be heard, including conflicting judgments on the matter under consideration;</w:t>
      </w:r>
    </w:p>
    <w:p w:rsidR="00506FCD" w:rsidRPr="00BF6994" w:rsidRDefault="00BF6994" w:rsidP="00BF6994">
      <w:pPr>
        <w:spacing w:line="360" w:lineRule="auto"/>
        <w:ind w:left="3079" w:hanging="1050"/>
        <w:jc w:val="both"/>
        <w:rPr>
          <w:rFonts w:asciiTheme="minorHAnsi" w:hAnsiTheme="minorHAnsi" w:cstheme="minorHAnsi"/>
          <w:sz w:val="26"/>
          <w:szCs w:val="26"/>
        </w:rPr>
      </w:pPr>
      <w:r w:rsidRPr="006A31DA">
        <w:rPr>
          <w:rFonts w:asciiTheme="minorHAnsi" w:hAnsiTheme="minorHAnsi" w:cstheme="minorHAnsi"/>
          <w:sz w:val="26"/>
          <w:szCs w:val="26"/>
        </w:rPr>
        <w:t>(b)</w:t>
      </w:r>
      <w:r w:rsidRPr="006A31DA">
        <w:rPr>
          <w:rFonts w:asciiTheme="minorHAnsi" w:hAnsiTheme="minorHAnsi" w:cstheme="minorHAnsi"/>
          <w:sz w:val="26"/>
          <w:szCs w:val="26"/>
        </w:rPr>
        <w:tab/>
      </w:r>
      <w:r w:rsidR="00506FCD" w:rsidRPr="00BF6994">
        <w:rPr>
          <w:rFonts w:asciiTheme="minorHAnsi" w:hAnsiTheme="minorHAnsi" w:cstheme="minorHAnsi"/>
          <w:sz w:val="26"/>
          <w:szCs w:val="26"/>
        </w:rPr>
        <w:t>…”</w:t>
      </w:r>
    </w:p>
    <w:p w:rsidR="00506FCD" w:rsidRPr="006A31DA" w:rsidRDefault="00506FCD" w:rsidP="00506FCD">
      <w:pPr>
        <w:pStyle w:val="ListParagraph"/>
        <w:spacing w:line="360" w:lineRule="auto"/>
        <w:rPr>
          <w:rFonts w:asciiTheme="minorHAnsi" w:hAnsiTheme="minorHAnsi" w:cstheme="minorHAnsi"/>
          <w:sz w:val="26"/>
          <w:szCs w:val="26"/>
        </w:rPr>
      </w:pPr>
    </w:p>
    <w:p w:rsidR="00506FCD" w:rsidRPr="00BF6994" w:rsidRDefault="00BF6994" w:rsidP="00BF699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6.</w:t>
      </w:r>
      <w:r w:rsidRPr="006A31DA">
        <w:rPr>
          <w:rFonts w:asciiTheme="minorHAnsi" w:hAnsiTheme="minorHAnsi" w:cstheme="minorHAnsi"/>
          <w:sz w:val="26"/>
          <w:szCs w:val="26"/>
        </w:rPr>
        <w:tab/>
      </w:r>
      <w:r w:rsidR="00506FCD" w:rsidRPr="00BF6994">
        <w:rPr>
          <w:rFonts w:asciiTheme="minorHAnsi" w:hAnsiTheme="minorHAnsi" w:cstheme="minorHAnsi"/>
          <w:sz w:val="26"/>
          <w:szCs w:val="26"/>
        </w:rPr>
        <w:t xml:space="preserve">The use of the word ‘would’ in section 17 (1)(a)(i) of the Superior Courts has been held to denote </w:t>
      </w:r>
      <w:r w:rsidR="00506FCD" w:rsidRPr="00BF6994">
        <w:rPr>
          <w:rFonts w:asciiTheme="minorHAnsi" w:hAnsiTheme="minorHAnsi" w:cstheme="minorHAnsi"/>
          <w:i/>
          <w:sz w:val="26"/>
          <w:szCs w:val="26"/>
        </w:rPr>
        <w:t>‘</w:t>
      </w:r>
      <w:r w:rsidR="00506FCD" w:rsidRPr="00BF6994">
        <w:rPr>
          <w:rFonts w:asciiTheme="minorHAnsi" w:hAnsiTheme="minorHAnsi" w:cstheme="minorHAnsi"/>
          <w:i/>
          <w:color w:val="242121"/>
          <w:sz w:val="26"/>
          <w:szCs w:val="26"/>
          <w:shd w:val="clear" w:color="auto" w:fill="FFFFFF"/>
        </w:rPr>
        <w:t>a</w:t>
      </w:r>
      <w:r w:rsidR="002C715D" w:rsidRPr="00BF6994">
        <w:rPr>
          <w:rFonts w:asciiTheme="minorHAnsi" w:hAnsiTheme="minorHAnsi" w:cstheme="minorHAnsi"/>
          <w:i/>
          <w:color w:val="242121"/>
          <w:sz w:val="26"/>
          <w:szCs w:val="26"/>
          <w:shd w:val="clear" w:color="auto" w:fill="FFFFFF"/>
        </w:rPr>
        <w:t xml:space="preserve"> </w:t>
      </w:r>
      <w:r w:rsidR="00506FCD" w:rsidRPr="00BF6994">
        <w:rPr>
          <w:rFonts w:asciiTheme="minorHAnsi" w:hAnsiTheme="minorHAnsi" w:cstheme="minorHAnsi"/>
          <w:i/>
          <w:iCs/>
          <w:color w:val="242121"/>
          <w:sz w:val="26"/>
          <w:szCs w:val="26"/>
          <w:shd w:val="clear" w:color="auto" w:fill="FFFFFF"/>
        </w:rPr>
        <w:t>measure o</w:t>
      </w:r>
      <w:r w:rsidR="002C715D" w:rsidRPr="00BF6994">
        <w:rPr>
          <w:rFonts w:asciiTheme="minorHAnsi" w:hAnsiTheme="minorHAnsi" w:cstheme="minorHAnsi"/>
          <w:i/>
          <w:color w:val="242121"/>
          <w:sz w:val="26"/>
          <w:szCs w:val="26"/>
          <w:shd w:val="clear" w:color="auto" w:fill="FFFFFF"/>
        </w:rPr>
        <w:t>f c</w:t>
      </w:r>
      <w:r w:rsidR="00506FCD" w:rsidRPr="00BF6994">
        <w:rPr>
          <w:rFonts w:asciiTheme="minorHAnsi" w:hAnsiTheme="minorHAnsi" w:cstheme="minorHAnsi"/>
          <w:i/>
          <w:iCs/>
          <w:color w:val="242121"/>
          <w:sz w:val="26"/>
          <w:szCs w:val="26"/>
          <w:shd w:val="clear" w:color="auto" w:fill="FFFFFF"/>
        </w:rPr>
        <w:t>ertainty that another court will differ from the court whose judgment is sought to be appealed against.’</w:t>
      </w:r>
      <w:r w:rsidR="00506FCD" w:rsidRPr="006A31DA">
        <w:rPr>
          <w:rStyle w:val="FootnoteReference"/>
          <w:rFonts w:asciiTheme="minorHAnsi" w:hAnsiTheme="minorHAnsi" w:cstheme="minorHAnsi"/>
          <w:i/>
          <w:iCs/>
          <w:color w:val="242121"/>
          <w:sz w:val="26"/>
          <w:szCs w:val="26"/>
          <w:shd w:val="clear" w:color="auto" w:fill="FFFFFF"/>
        </w:rPr>
        <w:footnoteReference w:id="3"/>
      </w:r>
      <w:r w:rsidR="00506FCD" w:rsidRPr="00BF6994">
        <w:rPr>
          <w:rFonts w:asciiTheme="minorHAnsi" w:hAnsiTheme="minorHAnsi" w:cstheme="minorHAnsi"/>
          <w:i/>
          <w:iCs/>
          <w:color w:val="242121"/>
          <w:sz w:val="26"/>
          <w:szCs w:val="26"/>
          <w:shd w:val="clear" w:color="auto" w:fill="FFFFFF"/>
        </w:rPr>
        <w:t xml:space="preserve"> </w:t>
      </w:r>
      <w:r w:rsidR="00506FCD" w:rsidRPr="00BF6994">
        <w:rPr>
          <w:rFonts w:asciiTheme="minorHAnsi" w:hAnsiTheme="minorHAnsi" w:cstheme="minorHAnsi"/>
          <w:iCs/>
          <w:color w:val="242121"/>
          <w:sz w:val="26"/>
          <w:szCs w:val="26"/>
          <w:shd w:val="clear" w:color="auto" w:fill="FFFFFF"/>
        </w:rPr>
        <w:t xml:space="preserve"> </w:t>
      </w:r>
      <w:r w:rsidR="00E16BA7" w:rsidRPr="00BF6994">
        <w:rPr>
          <w:rFonts w:asciiTheme="minorHAnsi" w:hAnsiTheme="minorHAnsi" w:cstheme="minorHAnsi"/>
          <w:color w:val="000000"/>
          <w:sz w:val="26"/>
          <w:szCs w:val="26"/>
        </w:rPr>
        <w:t xml:space="preserve">Such </w:t>
      </w:r>
      <w:r w:rsidR="00506FCD" w:rsidRPr="00BF6994">
        <w:rPr>
          <w:rFonts w:asciiTheme="minorHAnsi" w:hAnsiTheme="minorHAnsi" w:cstheme="minorHAnsi"/>
          <w:color w:val="000000"/>
          <w:sz w:val="26"/>
          <w:szCs w:val="26"/>
        </w:rPr>
        <w:t xml:space="preserve">approach </w:t>
      </w:r>
      <w:r w:rsidR="00A87332" w:rsidRPr="00BF6994">
        <w:rPr>
          <w:rFonts w:asciiTheme="minorHAnsi" w:hAnsiTheme="minorHAnsi" w:cstheme="minorHAnsi"/>
          <w:color w:val="000000"/>
          <w:sz w:val="26"/>
          <w:szCs w:val="26"/>
        </w:rPr>
        <w:t>was endorsed</w:t>
      </w:r>
      <w:r w:rsidR="00506FCD" w:rsidRPr="00BF6994">
        <w:rPr>
          <w:rFonts w:asciiTheme="minorHAnsi" w:hAnsiTheme="minorHAnsi" w:cstheme="minorHAnsi"/>
          <w:color w:val="000000"/>
          <w:sz w:val="26"/>
          <w:szCs w:val="26"/>
        </w:rPr>
        <w:t xml:space="preserve"> in this division in </w:t>
      </w:r>
      <w:r w:rsidR="00506FCD" w:rsidRPr="00BF6994">
        <w:rPr>
          <w:rFonts w:asciiTheme="minorHAnsi" w:hAnsiTheme="minorHAnsi" w:cstheme="minorHAnsi"/>
          <w:i/>
          <w:color w:val="000000"/>
          <w:sz w:val="26"/>
          <w:szCs w:val="26"/>
        </w:rPr>
        <w:t>Acting National Director of Public Prosecutions and Others v Democratic</w:t>
      </w:r>
      <w:r w:rsidR="002C715D" w:rsidRPr="00BF6994">
        <w:rPr>
          <w:rFonts w:asciiTheme="minorHAnsi" w:hAnsiTheme="minorHAnsi" w:cstheme="minorHAnsi"/>
          <w:i/>
          <w:color w:val="000000"/>
          <w:sz w:val="26"/>
          <w:szCs w:val="26"/>
        </w:rPr>
        <w:t xml:space="preserve"> </w:t>
      </w:r>
      <w:r w:rsidR="00506FCD" w:rsidRPr="00BF6994">
        <w:rPr>
          <w:rFonts w:asciiTheme="minorHAnsi" w:hAnsiTheme="minorHAnsi" w:cstheme="minorHAnsi"/>
          <w:i/>
          <w:color w:val="000000"/>
          <w:sz w:val="26"/>
          <w:szCs w:val="26"/>
        </w:rPr>
        <w:t>Alliance</w:t>
      </w:r>
      <w:r w:rsidR="00506FCD" w:rsidRPr="006A31DA">
        <w:rPr>
          <w:rStyle w:val="FootnoteReference"/>
          <w:rFonts w:asciiTheme="minorHAnsi" w:hAnsiTheme="minorHAnsi" w:cstheme="minorHAnsi"/>
          <w:i/>
          <w:color w:val="000000"/>
          <w:sz w:val="26"/>
          <w:szCs w:val="26"/>
        </w:rPr>
        <w:footnoteReference w:id="4"/>
      </w:r>
      <w:r w:rsidR="00E16BA7" w:rsidRPr="00BF6994">
        <w:rPr>
          <w:rFonts w:asciiTheme="minorHAnsi" w:hAnsiTheme="minorHAnsi" w:cstheme="minorHAnsi"/>
          <w:i/>
          <w:color w:val="000000"/>
          <w:sz w:val="26"/>
          <w:szCs w:val="26"/>
        </w:rPr>
        <w:t xml:space="preserve"> </w:t>
      </w:r>
      <w:r w:rsidR="00E16BA7" w:rsidRPr="00BF6994">
        <w:rPr>
          <w:rFonts w:asciiTheme="minorHAnsi" w:hAnsiTheme="minorHAnsi" w:cstheme="minorHAnsi"/>
          <w:color w:val="000000"/>
          <w:sz w:val="26"/>
          <w:szCs w:val="26"/>
        </w:rPr>
        <w:t>To this may be added</w:t>
      </w:r>
      <w:r w:rsidR="001936F3" w:rsidRPr="00BF6994">
        <w:rPr>
          <w:rFonts w:asciiTheme="minorHAnsi" w:hAnsiTheme="minorHAnsi" w:cstheme="minorHAnsi"/>
          <w:color w:val="000000"/>
          <w:sz w:val="26"/>
          <w:szCs w:val="26"/>
        </w:rPr>
        <w:t xml:space="preserve">, further cautionary notes sounded by the Supreme Court of Appeal in dealing with appeals: In </w:t>
      </w:r>
      <w:r w:rsidR="001936F3" w:rsidRPr="00BF6994">
        <w:rPr>
          <w:rFonts w:asciiTheme="minorHAnsi" w:hAnsiTheme="minorHAnsi" w:cstheme="minorHAnsi"/>
          <w:i/>
          <w:color w:val="000000"/>
          <w:sz w:val="26"/>
          <w:szCs w:val="26"/>
        </w:rPr>
        <w:t>S v Smith</w:t>
      </w:r>
      <w:r w:rsidR="001936F3" w:rsidRPr="00BF6994">
        <w:rPr>
          <w:rFonts w:asciiTheme="minorHAnsi" w:hAnsiTheme="minorHAnsi" w:cstheme="minorHAnsi"/>
          <w:color w:val="000000"/>
          <w:sz w:val="26"/>
          <w:szCs w:val="26"/>
        </w:rPr>
        <w:t>,</w:t>
      </w:r>
      <w:r w:rsidR="001936F3" w:rsidRPr="006A31DA">
        <w:rPr>
          <w:rStyle w:val="FootnoteReference"/>
          <w:rFonts w:asciiTheme="minorHAnsi" w:hAnsiTheme="minorHAnsi" w:cstheme="minorHAnsi"/>
          <w:color w:val="000000"/>
          <w:sz w:val="26"/>
          <w:szCs w:val="26"/>
        </w:rPr>
        <w:footnoteReference w:id="5"/>
      </w:r>
      <w:r w:rsidR="001936F3" w:rsidRPr="00BF6994">
        <w:rPr>
          <w:rFonts w:asciiTheme="minorHAnsi" w:hAnsiTheme="minorHAnsi" w:cstheme="minorHAnsi"/>
          <w:color w:val="000000"/>
          <w:sz w:val="26"/>
          <w:szCs w:val="26"/>
        </w:rPr>
        <w:t xml:space="preserve"> it was stated that in deciding whether there is a reasonable prospect of success on appeal, there must be ‘</w:t>
      </w:r>
      <w:r w:rsidR="001936F3" w:rsidRPr="00BF6994">
        <w:rPr>
          <w:rFonts w:asciiTheme="minorHAnsi" w:hAnsiTheme="minorHAnsi" w:cstheme="minorHAnsi"/>
          <w:i/>
          <w:color w:val="000000"/>
          <w:sz w:val="26"/>
          <w:szCs w:val="26"/>
        </w:rPr>
        <w:t>a sound, rational basis for the conclusion that there are prospects of success on appeal.</w:t>
      </w:r>
      <w:r w:rsidR="001936F3" w:rsidRPr="00BF6994">
        <w:rPr>
          <w:rFonts w:asciiTheme="minorHAnsi" w:hAnsiTheme="minorHAnsi" w:cstheme="minorHAnsi"/>
          <w:color w:val="000000"/>
          <w:sz w:val="26"/>
          <w:szCs w:val="26"/>
        </w:rPr>
        <w:t xml:space="preserve">’ </w:t>
      </w:r>
      <w:r w:rsidR="00E1564D" w:rsidRPr="00BF6994">
        <w:rPr>
          <w:rFonts w:asciiTheme="minorHAnsi" w:hAnsiTheme="minorHAnsi" w:cstheme="minorHAnsi"/>
          <w:color w:val="000000"/>
          <w:sz w:val="26"/>
          <w:szCs w:val="26"/>
        </w:rPr>
        <w:t>I</w:t>
      </w:r>
      <w:r w:rsidR="001936F3" w:rsidRPr="00BF6994">
        <w:rPr>
          <w:rFonts w:asciiTheme="minorHAnsi" w:hAnsiTheme="minorHAnsi" w:cstheme="minorHAnsi"/>
          <w:color w:val="000000"/>
          <w:sz w:val="26"/>
          <w:szCs w:val="26"/>
        </w:rPr>
        <w:t xml:space="preserve">n </w:t>
      </w:r>
      <w:r w:rsidR="001936F3" w:rsidRPr="00BF6994">
        <w:rPr>
          <w:rFonts w:asciiTheme="minorHAnsi" w:hAnsiTheme="minorHAnsi" w:cstheme="minorHAnsi"/>
          <w:i/>
          <w:color w:val="000000"/>
          <w:sz w:val="26"/>
          <w:szCs w:val="26"/>
        </w:rPr>
        <w:t>Dexgroup</w:t>
      </w:r>
      <w:r w:rsidR="00003211" w:rsidRPr="00BF6994">
        <w:rPr>
          <w:rFonts w:asciiTheme="minorHAnsi" w:hAnsiTheme="minorHAnsi" w:cstheme="minorHAnsi"/>
          <w:i/>
          <w:color w:val="000000"/>
          <w:sz w:val="26"/>
          <w:szCs w:val="26"/>
        </w:rPr>
        <w:t>,</w:t>
      </w:r>
      <w:r w:rsidR="001936F3" w:rsidRPr="006A31DA">
        <w:rPr>
          <w:rStyle w:val="FootnoteReference"/>
          <w:rFonts w:asciiTheme="minorHAnsi" w:hAnsiTheme="minorHAnsi" w:cstheme="minorHAnsi"/>
          <w:i/>
          <w:color w:val="000000"/>
          <w:sz w:val="26"/>
          <w:szCs w:val="26"/>
        </w:rPr>
        <w:footnoteReference w:id="6"/>
      </w:r>
      <w:r w:rsidR="001936F3" w:rsidRPr="00BF6994">
        <w:rPr>
          <w:rFonts w:asciiTheme="minorHAnsi" w:hAnsiTheme="minorHAnsi" w:cstheme="minorHAnsi"/>
          <w:i/>
          <w:color w:val="000000"/>
          <w:sz w:val="26"/>
          <w:szCs w:val="26"/>
        </w:rPr>
        <w:t xml:space="preserve"> </w:t>
      </w:r>
      <w:r w:rsidR="001936F3" w:rsidRPr="00BF6994">
        <w:rPr>
          <w:rFonts w:asciiTheme="minorHAnsi" w:hAnsiTheme="minorHAnsi" w:cstheme="minorHAnsi"/>
          <w:color w:val="000000"/>
          <w:sz w:val="26"/>
          <w:szCs w:val="26"/>
        </w:rPr>
        <w:t>the SCA cautioned that the ‘</w:t>
      </w:r>
      <w:r w:rsidR="001936F3" w:rsidRPr="00BF6994">
        <w:rPr>
          <w:rFonts w:asciiTheme="minorHAnsi" w:hAnsiTheme="minorHAnsi" w:cstheme="minorHAnsi"/>
          <w:i/>
          <w:color w:val="000000"/>
          <w:sz w:val="26"/>
          <w:szCs w:val="26"/>
        </w:rPr>
        <w:t>need to obtain leave to appeal is a valuable tool in ensuring that scarce judicial resources are not spent on appeals that lack merit.</w:t>
      </w:r>
      <w:r w:rsidR="001936F3" w:rsidRPr="00BF6994">
        <w:rPr>
          <w:rFonts w:asciiTheme="minorHAnsi" w:hAnsiTheme="minorHAnsi" w:cstheme="minorHAnsi"/>
          <w:color w:val="000000"/>
          <w:sz w:val="26"/>
          <w:szCs w:val="26"/>
        </w:rPr>
        <w:t>’</w:t>
      </w:r>
      <w:r w:rsidR="00A31F51" w:rsidRPr="00BF6994">
        <w:rPr>
          <w:rFonts w:asciiTheme="minorHAnsi" w:hAnsiTheme="minorHAnsi" w:cstheme="minorHAnsi"/>
          <w:color w:val="000000"/>
          <w:sz w:val="26"/>
          <w:szCs w:val="26"/>
        </w:rPr>
        <w:t xml:space="preserve"> More recently</w:t>
      </w:r>
      <w:r w:rsidR="00A87332" w:rsidRPr="00BF6994">
        <w:rPr>
          <w:rFonts w:asciiTheme="minorHAnsi" w:hAnsiTheme="minorHAnsi" w:cstheme="minorHAnsi"/>
          <w:color w:val="000000"/>
          <w:sz w:val="26"/>
          <w:szCs w:val="26"/>
        </w:rPr>
        <w:t>,</w:t>
      </w:r>
      <w:r w:rsidR="00A31F51" w:rsidRPr="00BF6994">
        <w:rPr>
          <w:rFonts w:asciiTheme="minorHAnsi" w:hAnsiTheme="minorHAnsi" w:cstheme="minorHAnsi"/>
          <w:color w:val="000000"/>
          <w:sz w:val="26"/>
          <w:szCs w:val="26"/>
        </w:rPr>
        <w:t xml:space="preserve"> in </w:t>
      </w:r>
      <w:r w:rsidR="00A31F51" w:rsidRPr="00BF6994">
        <w:rPr>
          <w:rFonts w:asciiTheme="minorHAnsi" w:hAnsiTheme="minorHAnsi" w:cstheme="minorHAnsi"/>
          <w:i/>
          <w:color w:val="000000"/>
          <w:sz w:val="26"/>
          <w:szCs w:val="26"/>
        </w:rPr>
        <w:t>Kruger v S,</w:t>
      </w:r>
      <w:r w:rsidR="00A31F51">
        <w:rPr>
          <w:rStyle w:val="FootnoteReference"/>
          <w:rFonts w:asciiTheme="minorHAnsi" w:hAnsiTheme="minorHAnsi" w:cstheme="minorHAnsi"/>
          <w:i/>
          <w:color w:val="000000"/>
          <w:sz w:val="26"/>
          <w:szCs w:val="26"/>
        </w:rPr>
        <w:footnoteReference w:id="7"/>
      </w:r>
      <w:r w:rsidR="00A31F51" w:rsidRPr="00BF6994">
        <w:rPr>
          <w:rFonts w:asciiTheme="minorHAnsi" w:hAnsiTheme="minorHAnsi" w:cstheme="minorHAnsi"/>
          <w:i/>
          <w:color w:val="000000"/>
          <w:sz w:val="26"/>
          <w:szCs w:val="26"/>
        </w:rPr>
        <w:t xml:space="preserve"> </w:t>
      </w:r>
      <w:r w:rsidR="00A31F51" w:rsidRPr="00BF6994">
        <w:rPr>
          <w:rFonts w:asciiTheme="minorHAnsi" w:hAnsiTheme="minorHAnsi" w:cstheme="minorHAnsi"/>
          <w:color w:val="000000"/>
          <w:sz w:val="26"/>
          <w:szCs w:val="26"/>
        </w:rPr>
        <w:t xml:space="preserve">the Supreme </w:t>
      </w:r>
      <w:r w:rsidR="00A31F51" w:rsidRPr="00BF6994">
        <w:rPr>
          <w:rFonts w:asciiTheme="minorHAnsi" w:hAnsiTheme="minorHAnsi" w:cstheme="minorHAnsi"/>
          <w:color w:val="000000"/>
          <w:sz w:val="26"/>
          <w:szCs w:val="26"/>
        </w:rPr>
        <w:lastRenderedPageBreak/>
        <w:t>Court of Appeal</w:t>
      </w:r>
      <w:r w:rsidR="00A31F51" w:rsidRPr="00BF6994">
        <w:rPr>
          <w:rFonts w:asciiTheme="minorHAnsi" w:hAnsiTheme="minorHAnsi" w:cstheme="minorHAnsi"/>
          <w:i/>
          <w:color w:val="000000"/>
          <w:sz w:val="26"/>
          <w:szCs w:val="26"/>
        </w:rPr>
        <w:t xml:space="preserve"> </w:t>
      </w:r>
      <w:r w:rsidR="00A31F51" w:rsidRPr="00BF6994">
        <w:rPr>
          <w:rFonts w:asciiTheme="minorHAnsi" w:hAnsiTheme="minorHAnsi" w:cstheme="minorHAnsi"/>
          <w:color w:val="000000"/>
          <w:sz w:val="26"/>
          <w:szCs w:val="26"/>
        </w:rPr>
        <w:t xml:space="preserve">reiterated </w:t>
      </w:r>
      <w:r w:rsidR="00A87332" w:rsidRPr="00BF6994">
        <w:rPr>
          <w:rFonts w:asciiTheme="minorHAnsi" w:hAnsiTheme="minorHAnsi" w:cstheme="minorHAnsi"/>
          <w:color w:val="000000"/>
          <w:sz w:val="26"/>
          <w:szCs w:val="26"/>
        </w:rPr>
        <w:t>the need for</w:t>
      </w:r>
      <w:r w:rsidR="00A31F51" w:rsidRPr="00BF6994">
        <w:rPr>
          <w:rFonts w:asciiTheme="minorHAnsi" w:hAnsiTheme="minorHAnsi" w:cstheme="minorHAnsi"/>
          <w:color w:val="000000"/>
          <w:sz w:val="26"/>
          <w:szCs w:val="26"/>
        </w:rPr>
        <w:t xml:space="preserve"> </w:t>
      </w:r>
      <w:r w:rsidR="002C715D" w:rsidRPr="00BF6994">
        <w:rPr>
          <w:rFonts w:asciiTheme="minorHAnsi" w:hAnsiTheme="minorHAnsi" w:cstheme="minorHAnsi"/>
          <w:color w:val="000000"/>
          <w:sz w:val="26"/>
          <w:szCs w:val="26"/>
        </w:rPr>
        <w:t>a</w:t>
      </w:r>
      <w:r w:rsidR="00A31F51" w:rsidRPr="00BF6994">
        <w:rPr>
          <w:rFonts w:asciiTheme="minorHAnsi" w:hAnsiTheme="minorHAnsi" w:cstheme="minorHAnsi"/>
          <w:color w:val="000000"/>
          <w:sz w:val="26"/>
          <w:szCs w:val="26"/>
        </w:rPr>
        <w:t xml:space="preserve"> lower court </w:t>
      </w:r>
      <w:r w:rsidR="00A87332" w:rsidRPr="00BF6994">
        <w:rPr>
          <w:rFonts w:asciiTheme="minorHAnsi" w:hAnsiTheme="minorHAnsi" w:cstheme="minorHAnsi"/>
          <w:color w:val="000000"/>
          <w:sz w:val="26"/>
          <w:szCs w:val="26"/>
        </w:rPr>
        <w:t>to</w:t>
      </w:r>
      <w:r w:rsidR="00A31F51" w:rsidRPr="00BF6994">
        <w:rPr>
          <w:rFonts w:asciiTheme="minorHAnsi" w:hAnsiTheme="minorHAnsi" w:cstheme="minorHAnsi"/>
          <w:color w:val="000000"/>
          <w:sz w:val="26"/>
          <w:szCs w:val="26"/>
        </w:rPr>
        <w:t xml:space="preserve"> </w:t>
      </w:r>
      <w:r w:rsidR="002C715D" w:rsidRPr="00BF6994">
        <w:rPr>
          <w:rFonts w:asciiTheme="minorHAnsi" w:hAnsiTheme="minorHAnsi" w:cstheme="minorHAnsi"/>
          <w:color w:val="000000"/>
          <w:sz w:val="26"/>
          <w:szCs w:val="26"/>
        </w:rPr>
        <w:t>act as a filter in ensuing</w:t>
      </w:r>
      <w:r w:rsidR="00A31F51" w:rsidRPr="00BF6994">
        <w:rPr>
          <w:rFonts w:asciiTheme="minorHAnsi" w:hAnsiTheme="minorHAnsi" w:cstheme="minorHAnsi"/>
          <w:color w:val="000000"/>
          <w:sz w:val="26"/>
          <w:szCs w:val="26"/>
        </w:rPr>
        <w:t xml:space="preserve"> that the appeal court’s time is spent only on hearing appeals that are truly deserving of its attention</w:t>
      </w:r>
      <w:r w:rsidR="002C715D" w:rsidRPr="00BF6994">
        <w:rPr>
          <w:rFonts w:asciiTheme="minorHAnsi" w:hAnsiTheme="minorHAnsi" w:cstheme="minorHAnsi"/>
          <w:color w:val="000000"/>
          <w:sz w:val="26"/>
          <w:szCs w:val="26"/>
        </w:rPr>
        <w:t xml:space="preserve"> and that the test for the grant of leave to appeal should thus be scrupulously followed. In order to meet the test for the grant of leave to appeal</w:t>
      </w:r>
      <w:r w:rsidR="00A87332" w:rsidRPr="00BF6994">
        <w:rPr>
          <w:rFonts w:asciiTheme="minorHAnsi" w:hAnsiTheme="minorHAnsi" w:cstheme="minorHAnsi"/>
          <w:color w:val="000000"/>
          <w:sz w:val="26"/>
          <w:szCs w:val="26"/>
        </w:rPr>
        <w:t>,</w:t>
      </w:r>
      <w:r w:rsidR="002C715D" w:rsidRPr="00BF6994">
        <w:rPr>
          <w:rFonts w:asciiTheme="minorHAnsi" w:hAnsiTheme="minorHAnsi" w:cstheme="minorHAnsi"/>
          <w:color w:val="000000"/>
          <w:sz w:val="26"/>
          <w:szCs w:val="26"/>
        </w:rPr>
        <w:t xml:space="preserve"> ‘</w:t>
      </w:r>
      <w:r w:rsidR="002C715D" w:rsidRPr="00BF6994">
        <w:rPr>
          <w:rFonts w:asciiTheme="minorHAnsi" w:hAnsiTheme="minorHAnsi" w:cstheme="minorHAnsi"/>
          <w:i/>
          <w:color w:val="000000"/>
          <w:sz w:val="26"/>
          <w:szCs w:val="26"/>
        </w:rPr>
        <w:t xml:space="preserve">more is required than the mere ‘possibility’ that another court might arrive at a different conclusion.’ </w:t>
      </w:r>
      <w:r w:rsidR="002C715D" w:rsidRPr="00BF6994">
        <w:rPr>
          <w:rFonts w:asciiTheme="minorHAnsi" w:hAnsiTheme="minorHAnsi" w:cstheme="minorHAnsi"/>
          <w:color w:val="000000"/>
          <w:sz w:val="26"/>
          <w:szCs w:val="26"/>
        </w:rPr>
        <w:t xml:space="preserve">Quoting </w:t>
      </w:r>
      <w:r w:rsidR="002C715D" w:rsidRPr="00BF6994">
        <w:rPr>
          <w:rFonts w:asciiTheme="minorHAnsi" w:hAnsiTheme="minorHAnsi" w:cstheme="minorHAnsi"/>
          <w:i/>
          <w:color w:val="000000"/>
          <w:sz w:val="26"/>
          <w:szCs w:val="26"/>
        </w:rPr>
        <w:t>S v</w:t>
      </w:r>
      <w:r w:rsidR="00A87332" w:rsidRPr="00BF6994">
        <w:rPr>
          <w:rFonts w:asciiTheme="minorHAnsi" w:hAnsiTheme="minorHAnsi" w:cstheme="minorHAnsi"/>
          <w:i/>
          <w:color w:val="000000"/>
          <w:sz w:val="26"/>
          <w:szCs w:val="26"/>
        </w:rPr>
        <w:t xml:space="preserve"> </w:t>
      </w:r>
      <w:r w:rsidR="002C715D" w:rsidRPr="00BF6994">
        <w:rPr>
          <w:rFonts w:asciiTheme="minorHAnsi" w:hAnsiTheme="minorHAnsi" w:cstheme="minorHAnsi"/>
          <w:i/>
          <w:color w:val="000000"/>
          <w:sz w:val="26"/>
          <w:szCs w:val="26"/>
        </w:rPr>
        <w:t xml:space="preserve">Smith, </w:t>
      </w:r>
      <w:r w:rsidR="002C715D" w:rsidRPr="00BF6994">
        <w:rPr>
          <w:rFonts w:asciiTheme="minorHAnsi" w:hAnsiTheme="minorHAnsi" w:cstheme="minorHAnsi"/>
          <w:color w:val="000000"/>
          <w:sz w:val="26"/>
          <w:szCs w:val="26"/>
        </w:rPr>
        <w:t>the court went on to state that it is not enough that the case is arguable on appeal or not hopeless, instead the appeal must have ‘</w:t>
      </w:r>
      <w:r w:rsidR="002C715D" w:rsidRPr="00BF6994">
        <w:rPr>
          <w:rFonts w:asciiTheme="minorHAnsi" w:hAnsiTheme="minorHAnsi" w:cstheme="minorHAnsi"/>
          <w:i/>
          <w:color w:val="000000"/>
          <w:sz w:val="26"/>
          <w:szCs w:val="26"/>
        </w:rPr>
        <w:t>a realistic chance of succeeding.’</w:t>
      </w:r>
    </w:p>
    <w:p w:rsidR="004F652F" w:rsidRPr="004F652F" w:rsidRDefault="004F652F" w:rsidP="004F652F">
      <w:pPr>
        <w:pStyle w:val="ListParagraph"/>
        <w:rPr>
          <w:rFonts w:asciiTheme="minorHAnsi" w:hAnsiTheme="minorHAnsi" w:cstheme="minorHAnsi"/>
          <w:sz w:val="26"/>
          <w:szCs w:val="26"/>
        </w:rPr>
      </w:pPr>
    </w:p>
    <w:p w:rsidR="00506FCD" w:rsidRPr="00BF6994" w:rsidRDefault="00BF6994" w:rsidP="00BF699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7.</w:t>
      </w:r>
      <w:r w:rsidRPr="006A31DA">
        <w:rPr>
          <w:rFonts w:asciiTheme="minorHAnsi" w:hAnsiTheme="minorHAnsi" w:cstheme="minorHAnsi"/>
          <w:sz w:val="26"/>
          <w:szCs w:val="26"/>
        </w:rPr>
        <w:tab/>
      </w:r>
      <w:r w:rsidR="002C715D" w:rsidRPr="00BF6994">
        <w:rPr>
          <w:rFonts w:asciiTheme="minorHAnsi" w:hAnsiTheme="minorHAnsi" w:cstheme="minorHAnsi"/>
          <w:sz w:val="26"/>
          <w:szCs w:val="26"/>
        </w:rPr>
        <w:t>In his notice of application for leave to appeal, Mr M</w:t>
      </w:r>
      <w:r w:rsidR="00003211" w:rsidRPr="00BF6994">
        <w:rPr>
          <w:rFonts w:asciiTheme="minorHAnsi" w:hAnsiTheme="minorHAnsi" w:cstheme="minorHAnsi"/>
          <w:sz w:val="26"/>
          <w:szCs w:val="26"/>
        </w:rPr>
        <w:t>a</w:t>
      </w:r>
      <w:r w:rsidR="002C715D" w:rsidRPr="00BF6994">
        <w:rPr>
          <w:rFonts w:asciiTheme="minorHAnsi" w:hAnsiTheme="minorHAnsi" w:cstheme="minorHAnsi"/>
          <w:sz w:val="26"/>
          <w:szCs w:val="26"/>
        </w:rPr>
        <w:t xml:space="preserve">loka relied on three grounds for his submission that the court </w:t>
      </w:r>
      <w:r w:rsidR="002C715D" w:rsidRPr="00BF6994">
        <w:rPr>
          <w:rFonts w:asciiTheme="minorHAnsi" w:hAnsiTheme="minorHAnsi" w:cstheme="minorHAnsi"/>
          <w:i/>
          <w:sz w:val="26"/>
          <w:szCs w:val="26"/>
        </w:rPr>
        <w:t xml:space="preserve">a quo </w:t>
      </w:r>
      <w:r w:rsidR="002C715D" w:rsidRPr="00BF6994">
        <w:rPr>
          <w:rFonts w:asciiTheme="minorHAnsi" w:hAnsiTheme="minorHAnsi" w:cstheme="minorHAnsi"/>
          <w:sz w:val="26"/>
          <w:szCs w:val="26"/>
        </w:rPr>
        <w:t>erred</w:t>
      </w:r>
      <w:r w:rsidR="004F652F" w:rsidRPr="00BF6994">
        <w:rPr>
          <w:rFonts w:asciiTheme="minorHAnsi" w:hAnsiTheme="minorHAnsi" w:cstheme="minorHAnsi"/>
          <w:sz w:val="26"/>
          <w:szCs w:val="26"/>
        </w:rPr>
        <w:t xml:space="preserve"> in dismissing his rule 30 application and in granting the rule 47 application, including the costs orders made </w:t>
      </w:r>
      <w:r w:rsidR="00F109E0" w:rsidRPr="00BF6994">
        <w:rPr>
          <w:rFonts w:asciiTheme="minorHAnsi" w:hAnsiTheme="minorHAnsi" w:cstheme="minorHAnsi"/>
          <w:sz w:val="26"/>
          <w:szCs w:val="26"/>
        </w:rPr>
        <w:t xml:space="preserve">against him </w:t>
      </w:r>
      <w:r w:rsidR="004F652F" w:rsidRPr="00BF6994">
        <w:rPr>
          <w:rFonts w:asciiTheme="minorHAnsi" w:hAnsiTheme="minorHAnsi" w:cstheme="minorHAnsi"/>
          <w:sz w:val="26"/>
          <w:szCs w:val="26"/>
        </w:rPr>
        <w:t xml:space="preserve">pursuant thereto. These </w:t>
      </w:r>
      <w:r w:rsidR="007E502F" w:rsidRPr="00BF6994">
        <w:rPr>
          <w:rFonts w:asciiTheme="minorHAnsi" w:hAnsiTheme="minorHAnsi" w:cstheme="minorHAnsi"/>
          <w:sz w:val="26"/>
          <w:szCs w:val="26"/>
        </w:rPr>
        <w:t>included</w:t>
      </w:r>
      <w:r w:rsidR="004F652F" w:rsidRPr="00BF6994">
        <w:rPr>
          <w:rFonts w:asciiTheme="minorHAnsi" w:hAnsiTheme="minorHAnsi" w:cstheme="minorHAnsi"/>
          <w:sz w:val="26"/>
          <w:szCs w:val="26"/>
        </w:rPr>
        <w:t>: (i) lack of jurisdiction; (ii) gross irregularity; and (iii) misdirection. I deal with each in turn below.</w:t>
      </w:r>
    </w:p>
    <w:p w:rsidR="00506FCD" w:rsidRPr="006A31DA" w:rsidRDefault="00506FCD" w:rsidP="00AB1C9B">
      <w:pPr>
        <w:pStyle w:val="ListParagraph"/>
        <w:rPr>
          <w:rFonts w:asciiTheme="minorHAnsi" w:hAnsiTheme="minorHAnsi" w:cstheme="minorHAnsi"/>
          <w:sz w:val="26"/>
          <w:szCs w:val="26"/>
        </w:rPr>
      </w:pPr>
    </w:p>
    <w:p w:rsidR="00506FCD" w:rsidRPr="006A31DA" w:rsidRDefault="001A053C" w:rsidP="00AB18AB">
      <w:pPr>
        <w:pStyle w:val="ListParagraph"/>
        <w:spacing w:line="360" w:lineRule="auto"/>
        <w:ind w:left="851"/>
        <w:jc w:val="both"/>
        <w:rPr>
          <w:rFonts w:asciiTheme="minorHAnsi" w:hAnsiTheme="minorHAnsi" w:cstheme="minorHAnsi"/>
          <w:sz w:val="26"/>
          <w:szCs w:val="26"/>
        </w:rPr>
      </w:pPr>
      <w:r>
        <w:rPr>
          <w:rFonts w:asciiTheme="minorHAnsi" w:hAnsiTheme="minorHAnsi" w:cstheme="minorHAnsi"/>
          <w:sz w:val="26"/>
          <w:szCs w:val="26"/>
          <w:u w:val="single"/>
        </w:rPr>
        <w:t>Jurisdictional challenge</w:t>
      </w:r>
      <w:r w:rsidR="00683BD7">
        <w:rPr>
          <w:rFonts w:asciiTheme="minorHAnsi" w:hAnsiTheme="minorHAnsi" w:cstheme="minorHAnsi"/>
          <w:sz w:val="26"/>
          <w:szCs w:val="26"/>
          <w:u w:val="single"/>
        </w:rPr>
        <w:t xml:space="preserve"> and alleged gross irregularity</w:t>
      </w:r>
    </w:p>
    <w:p w:rsidR="00683BD7" w:rsidRPr="00BF6994" w:rsidRDefault="00BF6994" w:rsidP="00BF699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8.</w:t>
      </w:r>
      <w:r>
        <w:rPr>
          <w:rFonts w:asciiTheme="minorHAnsi" w:hAnsiTheme="minorHAnsi" w:cstheme="minorHAnsi"/>
          <w:sz w:val="26"/>
          <w:szCs w:val="26"/>
        </w:rPr>
        <w:tab/>
      </w:r>
      <w:r w:rsidR="00683BD7" w:rsidRPr="00BF6994">
        <w:rPr>
          <w:rFonts w:asciiTheme="minorHAnsi" w:hAnsiTheme="minorHAnsi" w:cstheme="minorHAnsi"/>
          <w:sz w:val="26"/>
          <w:szCs w:val="26"/>
        </w:rPr>
        <w:t xml:space="preserve">As there is a measure of overlap between these grounds, I will </w:t>
      </w:r>
      <w:r w:rsidR="00A7313D" w:rsidRPr="00BF6994">
        <w:rPr>
          <w:rFonts w:asciiTheme="minorHAnsi" w:hAnsiTheme="minorHAnsi" w:cstheme="minorHAnsi"/>
          <w:sz w:val="26"/>
          <w:szCs w:val="26"/>
        </w:rPr>
        <w:t>consider</w:t>
      </w:r>
      <w:r w:rsidR="00683BD7" w:rsidRPr="00BF6994">
        <w:rPr>
          <w:rFonts w:asciiTheme="minorHAnsi" w:hAnsiTheme="minorHAnsi" w:cstheme="minorHAnsi"/>
          <w:sz w:val="26"/>
          <w:szCs w:val="26"/>
        </w:rPr>
        <w:t xml:space="preserve"> them </w:t>
      </w:r>
      <w:r w:rsidR="00F109E0" w:rsidRPr="00BF6994">
        <w:rPr>
          <w:rFonts w:asciiTheme="minorHAnsi" w:hAnsiTheme="minorHAnsi" w:cstheme="minorHAnsi"/>
          <w:sz w:val="26"/>
          <w:szCs w:val="26"/>
        </w:rPr>
        <w:t>together.</w:t>
      </w:r>
    </w:p>
    <w:p w:rsidR="00683BD7" w:rsidRDefault="00683BD7" w:rsidP="00683BD7">
      <w:pPr>
        <w:pStyle w:val="ListParagraph"/>
        <w:rPr>
          <w:rFonts w:asciiTheme="minorHAnsi" w:hAnsiTheme="minorHAnsi" w:cstheme="minorHAnsi"/>
          <w:sz w:val="26"/>
          <w:szCs w:val="26"/>
        </w:rPr>
      </w:pPr>
    </w:p>
    <w:p w:rsidR="00AB1C9B" w:rsidRPr="00BF6994" w:rsidRDefault="00BF6994" w:rsidP="00BF699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9.</w:t>
      </w:r>
      <w:r>
        <w:rPr>
          <w:rFonts w:asciiTheme="minorHAnsi" w:hAnsiTheme="minorHAnsi" w:cstheme="minorHAnsi"/>
          <w:sz w:val="26"/>
          <w:szCs w:val="26"/>
        </w:rPr>
        <w:tab/>
      </w:r>
      <w:r w:rsidR="001A053C" w:rsidRPr="00BF6994">
        <w:rPr>
          <w:rFonts w:asciiTheme="minorHAnsi" w:hAnsiTheme="minorHAnsi" w:cstheme="minorHAnsi"/>
          <w:sz w:val="26"/>
          <w:szCs w:val="26"/>
        </w:rPr>
        <w:t xml:space="preserve">Mr Moloka alleges that the court did not have jurisdiction to entertain Liberty’s opposition to the rule 30 application and to entertain Liberty’s notice in terms of rule 47 because Liberty had filed its answering affidavit in the rule 30 proceedings </w:t>
      </w:r>
      <w:r w:rsidR="00003211" w:rsidRPr="00BF6994">
        <w:rPr>
          <w:rFonts w:asciiTheme="minorHAnsi" w:hAnsiTheme="minorHAnsi" w:cstheme="minorHAnsi"/>
          <w:sz w:val="26"/>
          <w:szCs w:val="26"/>
        </w:rPr>
        <w:t>out of time</w:t>
      </w:r>
      <w:r w:rsidR="001A053C" w:rsidRPr="00BF6994">
        <w:rPr>
          <w:rFonts w:asciiTheme="minorHAnsi" w:hAnsiTheme="minorHAnsi" w:cstheme="minorHAnsi"/>
          <w:sz w:val="26"/>
          <w:szCs w:val="26"/>
        </w:rPr>
        <w:t xml:space="preserve"> and had </w:t>
      </w:r>
      <w:r w:rsidR="00F109E0" w:rsidRPr="00BF6994">
        <w:rPr>
          <w:rFonts w:asciiTheme="minorHAnsi" w:hAnsiTheme="minorHAnsi" w:cstheme="minorHAnsi"/>
          <w:sz w:val="26"/>
          <w:szCs w:val="26"/>
        </w:rPr>
        <w:t xml:space="preserve">thereafter </w:t>
      </w:r>
      <w:r w:rsidR="001A053C" w:rsidRPr="00BF6994">
        <w:rPr>
          <w:rFonts w:asciiTheme="minorHAnsi" w:hAnsiTheme="minorHAnsi" w:cstheme="minorHAnsi"/>
          <w:sz w:val="26"/>
          <w:szCs w:val="26"/>
        </w:rPr>
        <w:t xml:space="preserve">failed to apply for condonation </w:t>
      </w:r>
      <w:r w:rsidR="00F109E0" w:rsidRPr="00BF6994">
        <w:rPr>
          <w:rFonts w:asciiTheme="minorHAnsi" w:hAnsiTheme="minorHAnsi" w:cstheme="minorHAnsi"/>
          <w:sz w:val="26"/>
          <w:szCs w:val="26"/>
        </w:rPr>
        <w:t>for the late filing thereof</w:t>
      </w:r>
      <w:r w:rsidR="001A053C" w:rsidRPr="00BF6994">
        <w:rPr>
          <w:rFonts w:asciiTheme="minorHAnsi" w:hAnsiTheme="minorHAnsi" w:cstheme="minorHAnsi"/>
          <w:sz w:val="26"/>
          <w:szCs w:val="26"/>
        </w:rPr>
        <w:t xml:space="preserve">, and </w:t>
      </w:r>
      <w:r w:rsidR="00F109E0" w:rsidRPr="00BF6994">
        <w:rPr>
          <w:rFonts w:asciiTheme="minorHAnsi" w:hAnsiTheme="minorHAnsi" w:cstheme="minorHAnsi"/>
          <w:sz w:val="26"/>
          <w:szCs w:val="26"/>
        </w:rPr>
        <w:t xml:space="preserve">also </w:t>
      </w:r>
      <w:r w:rsidR="001A053C" w:rsidRPr="00BF6994">
        <w:rPr>
          <w:rFonts w:asciiTheme="minorHAnsi" w:hAnsiTheme="minorHAnsi" w:cstheme="minorHAnsi"/>
          <w:sz w:val="26"/>
          <w:szCs w:val="26"/>
        </w:rPr>
        <w:t xml:space="preserve">because Liberty </w:t>
      </w:r>
      <w:r w:rsidR="00F109E0" w:rsidRPr="00BF6994">
        <w:rPr>
          <w:rFonts w:asciiTheme="minorHAnsi" w:hAnsiTheme="minorHAnsi" w:cstheme="minorHAnsi"/>
          <w:sz w:val="26"/>
          <w:szCs w:val="26"/>
        </w:rPr>
        <w:t xml:space="preserve">had </w:t>
      </w:r>
      <w:r w:rsidR="001A053C" w:rsidRPr="00BF6994">
        <w:rPr>
          <w:rFonts w:asciiTheme="minorHAnsi" w:hAnsiTheme="minorHAnsi" w:cstheme="minorHAnsi"/>
          <w:sz w:val="26"/>
          <w:szCs w:val="26"/>
        </w:rPr>
        <w:t xml:space="preserve">failed to apply for condonation for the late delivery of its rule 47 application. No new or novel arguments were raised in </w:t>
      </w:r>
      <w:r w:rsidR="001A053C" w:rsidRPr="00BF6994">
        <w:rPr>
          <w:rFonts w:asciiTheme="minorHAnsi" w:hAnsiTheme="minorHAnsi" w:cstheme="minorHAnsi"/>
          <w:sz w:val="26"/>
          <w:szCs w:val="26"/>
        </w:rPr>
        <w:lastRenderedPageBreak/>
        <w:t xml:space="preserve">support of these contentions, which were </w:t>
      </w:r>
      <w:r w:rsidR="00485510" w:rsidRPr="00BF6994">
        <w:rPr>
          <w:rFonts w:asciiTheme="minorHAnsi" w:hAnsiTheme="minorHAnsi" w:cstheme="minorHAnsi"/>
          <w:sz w:val="26"/>
          <w:szCs w:val="26"/>
        </w:rPr>
        <w:t>concisely</w:t>
      </w:r>
      <w:r w:rsidR="001A053C" w:rsidRPr="00BF6994">
        <w:rPr>
          <w:rFonts w:asciiTheme="minorHAnsi" w:hAnsiTheme="minorHAnsi" w:cstheme="minorHAnsi"/>
          <w:sz w:val="26"/>
          <w:szCs w:val="26"/>
        </w:rPr>
        <w:t xml:space="preserve"> dealt with in paragraph </w:t>
      </w:r>
      <w:r w:rsidR="00485510" w:rsidRPr="00BF6994">
        <w:rPr>
          <w:rFonts w:asciiTheme="minorHAnsi" w:hAnsiTheme="minorHAnsi" w:cstheme="minorHAnsi"/>
          <w:sz w:val="26"/>
          <w:szCs w:val="26"/>
        </w:rPr>
        <w:t xml:space="preserve">9(ii) (read with footnote 3 thereto) and paragraph 19 of the judgment. Mr Moloka did not take issue with the authorities </w:t>
      </w:r>
      <w:r w:rsidR="000227BC" w:rsidRPr="00BF6994">
        <w:rPr>
          <w:rFonts w:asciiTheme="minorHAnsi" w:hAnsiTheme="minorHAnsi" w:cstheme="minorHAnsi"/>
          <w:sz w:val="26"/>
          <w:szCs w:val="26"/>
        </w:rPr>
        <w:t>cited</w:t>
      </w:r>
      <w:r w:rsidR="00485510" w:rsidRPr="00BF6994">
        <w:rPr>
          <w:rFonts w:asciiTheme="minorHAnsi" w:hAnsiTheme="minorHAnsi" w:cstheme="minorHAnsi"/>
          <w:sz w:val="26"/>
          <w:szCs w:val="26"/>
        </w:rPr>
        <w:t xml:space="preserve"> and applied by me in evaluating the facts and in reaching the conclusion that the rule 30 application lacked merit </w:t>
      </w:r>
      <w:r w:rsidR="000227BC" w:rsidRPr="00BF6994">
        <w:rPr>
          <w:rFonts w:asciiTheme="minorHAnsi" w:hAnsiTheme="minorHAnsi" w:cstheme="minorHAnsi"/>
          <w:sz w:val="26"/>
          <w:szCs w:val="26"/>
        </w:rPr>
        <w:t>and</w:t>
      </w:r>
      <w:r w:rsidR="00485510" w:rsidRPr="00BF6994">
        <w:rPr>
          <w:rFonts w:asciiTheme="minorHAnsi" w:hAnsiTheme="minorHAnsi" w:cstheme="minorHAnsi"/>
          <w:sz w:val="26"/>
          <w:szCs w:val="26"/>
        </w:rPr>
        <w:t xml:space="preserve"> that the rule 47 application held merit. </w:t>
      </w:r>
    </w:p>
    <w:p w:rsidR="00AB1C9B" w:rsidRDefault="00AB1C9B" w:rsidP="00AB1C9B">
      <w:pPr>
        <w:pStyle w:val="ListParagraph"/>
        <w:rPr>
          <w:rFonts w:asciiTheme="minorHAnsi" w:hAnsiTheme="minorHAnsi" w:cstheme="minorHAnsi"/>
          <w:sz w:val="26"/>
          <w:szCs w:val="26"/>
        </w:rPr>
      </w:pPr>
    </w:p>
    <w:p w:rsidR="00683BD7" w:rsidRPr="00BF6994" w:rsidRDefault="00BF6994" w:rsidP="00BF699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10.</w:t>
      </w:r>
      <w:r>
        <w:rPr>
          <w:rFonts w:asciiTheme="minorHAnsi" w:hAnsiTheme="minorHAnsi" w:cstheme="minorHAnsi"/>
          <w:sz w:val="26"/>
          <w:szCs w:val="26"/>
        </w:rPr>
        <w:tab/>
      </w:r>
      <w:r w:rsidR="00683BD7" w:rsidRPr="00BF6994">
        <w:rPr>
          <w:rFonts w:asciiTheme="minorHAnsi" w:hAnsiTheme="minorHAnsi" w:cstheme="minorHAnsi"/>
          <w:sz w:val="26"/>
          <w:szCs w:val="26"/>
        </w:rPr>
        <w:t>Mr Moloka submits that I failed to determine preliminary issues raised by him relating to the alleged late delivery of Liberty’s answering affid</w:t>
      </w:r>
      <w:r w:rsidR="000227BC" w:rsidRPr="00BF6994">
        <w:rPr>
          <w:rFonts w:asciiTheme="minorHAnsi" w:hAnsiTheme="minorHAnsi" w:cstheme="minorHAnsi"/>
          <w:sz w:val="26"/>
          <w:szCs w:val="26"/>
        </w:rPr>
        <w:t>avit in the rule 30 application</w:t>
      </w:r>
      <w:r w:rsidR="00683BD7" w:rsidRPr="00BF6994">
        <w:rPr>
          <w:rFonts w:asciiTheme="minorHAnsi" w:hAnsiTheme="minorHAnsi" w:cstheme="minorHAnsi"/>
          <w:sz w:val="26"/>
          <w:szCs w:val="26"/>
        </w:rPr>
        <w:t xml:space="preserve">, including Liberty’s failure to apply for condonation for the late delivery of its Rule 47(3) application. </w:t>
      </w:r>
      <w:r w:rsidR="00D431EB" w:rsidRPr="00BF6994">
        <w:rPr>
          <w:rFonts w:asciiTheme="minorHAnsi" w:hAnsiTheme="minorHAnsi" w:cstheme="minorHAnsi"/>
          <w:sz w:val="26"/>
          <w:szCs w:val="26"/>
        </w:rPr>
        <w:t xml:space="preserve">On a proper reading of the judgment, it will be noted that I dealt therewith in footnote 3 of paragraph 9(ii) of the judgment. </w:t>
      </w:r>
      <w:r w:rsidR="00683BD7" w:rsidRPr="00BF6994">
        <w:rPr>
          <w:rFonts w:asciiTheme="minorHAnsi" w:hAnsiTheme="minorHAnsi" w:cstheme="minorHAnsi"/>
          <w:sz w:val="26"/>
          <w:szCs w:val="26"/>
        </w:rPr>
        <w:t xml:space="preserve">In so far as </w:t>
      </w:r>
      <w:r w:rsidR="000227BC" w:rsidRPr="00BF6994">
        <w:rPr>
          <w:rFonts w:asciiTheme="minorHAnsi" w:hAnsiTheme="minorHAnsi" w:cstheme="minorHAnsi"/>
          <w:sz w:val="26"/>
          <w:szCs w:val="26"/>
        </w:rPr>
        <w:t>he accuses</w:t>
      </w:r>
      <w:r w:rsidR="00683BD7" w:rsidRPr="00BF6994">
        <w:rPr>
          <w:rFonts w:asciiTheme="minorHAnsi" w:hAnsiTheme="minorHAnsi" w:cstheme="minorHAnsi"/>
          <w:sz w:val="26"/>
          <w:szCs w:val="26"/>
        </w:rPr>
        <w:t xml:space="preserve"> Liberty </w:t>
      </w:r>
      <w:r w:rsidR="000227BC" w:rsidRPr="00BF6994">
        <w:rPr>
          <w:rFonts w:asciiTheme="minorHAnsi" w:hAnsiTheme="minorHAnsi" w:cstheme="minorHAnsi"/>
          <w:sz w:val="26"/>
          <w:szCs w:val="26"/>
        </w:rPr>
        <w:t xml:space="preserve">of </w:t>
      </w:r>
      <w:r w:rsidR="00683BD7" w:rsidRPr="00BF6994">
        <w:rPr>
          <w:rFonts w:asciiTheme="minorHAnsi" w:hAnsiTheme="minorHAnsi" w:cstheme="minorHAnsi"/>
          <w:sz w:val="26"/>
          <w:szCs w:val="26"/>
        </w:rPr>
        <w:t>having misled the court</w:t>
      </w:r>
      <w:r w:rsidR="000227BC" w:rsidRPr="00BF6994">
        <w:rPr>
          <w:rFonts w:asciiTheme="minorHAnsi" w:hAnsiTheme="minorHAnsi" w:cstheme="minorHAnsi"/>
          <w:sz w:val="26"/>
          <w:szCs w:val="26"/>
        </w:rPr>
        <w:t xml:space="preserve"> in the main application </w:t>
      </w:r>
      <w:r w:rsidR="00D431EB" w:rsidRPr="00BF6994">
        <w:rPr>
          <w:rFonts w:asciiTheme="minorHAnsi" w:hAnsiTheme="minorHAnsi" w:cstheme="minorHAnsi"/>
          <w:sz w:val="26"/>
          <w:szCs w:val="26"/>
        </w:rPr>
        <w:t>ostensibly</w:t>
      </w:r>
      <w:r w:rsidR="00F109E0" w:rsidRPr="00BF6994">
        <w:rPr>
          <w:rFonts w:asciiTheme="minorHAnsi" w:hAnsiTheme="minorHAnsi" w:cstheme="minorHAnsi"/>
          <w:sz w:val="26"/>
          <w:szCs w:val="26"/>
        </w:rPr>
        <w:t xml:space="preserve"> to support</w:t>
      </w:r>
      <w:r w:rsidR="000227BC" w:rsidRPr="00BF6994">
        <w:rPr>
          <w:rFonts w:asciiTheme="minorHAnsi" w:hAnsiTheme="minorHAnsi" w:cstheme="minorHAnsi"/>
          <w:sz w:val="26"/>
          <w:szCs w:val="26"/>
        </w:rPr>
        <w:t xml:space="preserve"> his averment that the main application </w:t>
      </w:r>
      <w:r w:rsidR="00F109E0" w:rsidRPr="00BF6994">
        <w:rPr>
          <w:rFonts w:asciiTheme="minorHAnsi" w:hAnsiTheme="minorHAnsi" w:cstheme="minorHAnsi"/>
          <w:sz w:val="26"/>
          <w:szCs w:val="26"/>
        </w:rPr>
        <w:t>enjoys</w:t>
      </w:r>
      <w:r w:rsidR="000227BC" w:rsidRPr="00BF6994">
        <w:rPr>
          <w:rFonts w:asciiTheme="minorHAnsi" w:hAnsiTheme="minorHAnsi" w:cstheme="minorHAnsi"/>
          <w:sz w:val="26"/>
          <w:szCs w:val="26"/>
        </w:rPr>
        <w:t xml:space="preserve"> reasonable prospects of success, </w:t>
      </w:r>
      <w:r w:rsidR="00D431EB" w:rsidRPr="00BF6994">
        <w:rPr>
          <w:rFonts w:asciiTheme="minorHAnsi" w:hAnsiTheme="minorHAnsi" w:cstheme="minorHAnsi"/>
          <w:sz w:val="26"/>
          <w:szCs w:val="26"/>
        </w:rPr>
        <w:t>such</w:t>
      </w:r>
      <w:r w:rsidR="000227BC" w:rsidRPr="00BF6994">
        <w:rPr>
          <w:rFonts w:asciiTheme="minorHAnsi" w:hAnsiTheme="minorHAnsi" w:cstheme="minorHAnsi"/>
          <w:sz w:val="26"/>
          <w:szCs w:val="26"/>
        </w:rPr>
        <w:t xml:space="preserve"> </w:t>
      </w:r>
      <w:r w:rsidR="00D431EB" w:rsidRPr="00BF6994">
        <w:rPr>
          <w:rFonts w:asciiTheme="minorHAnsi" w:hAnsiTheme="minorHAnsi" w:cstheme="minorHAnsi"/>
          <w:sz w:val="26"/>
          <w:szCs w:val="26"/>
        </w:rPr>
        <w:t xml:space="preserve">complaint </w:t>
      </w:r>
      <w:r w:rsidR="000227BC" w:rsidRPr="00BF6994">
        <w:rPr>
          <w:rFonts w:asciiTheme="minorHAnsi" w:hAnsiTheme="minorHAnsi" w:cstheme="minorHAnsi"/>
          <w:sz w:val="26"/>
          <w:szCs w:val="26"/>
        </w:rPr>
        <w:t>do</w:t>
      </w:r>
      <w:r w:rsidR="00D431EB" w:rsidRPr="00BF6994">
        <w:rPr>
          <w:rFonts w:asciiTheme="minorHAnsi" w:hAnsiTheme="minorHAnsi" w:cstheme="minorHAnsi"/>
          <w:sz w:val="26"/>
          <w:szCs w:val="26"/>
        </w:rPr>
        <w:t>es</w:t>
      </w:r>
      <w:r w:rsidR="000227BC" w:rsidRPr="00BF6994">
        <w:rPr>
          <w:rFonts w:asciiTheme="minorHAnsi" w:hAnsiTheme="minorHAnsi" w:cstheme="minorHAnsi"/>
          <w:sz w:val="26"/>
          <w:szCs w:val="26"/>
        </w:rPr>
        <w:t xml:space="preserve"> not detract from the conclusion I arrived at in paragraph 21 of the judgment, namely, that the main application </w:t>
      </w:r>
      <w:r w:rsidR="00F109E0" w:rsidRPr="00BF6994">
        <w:rPr>
          <w:rFonts w:asciiTheme="minorHAnsi" w:hAnsiTheme="minorHAnsi" w:cstheme="minorHAnsi"/>
          <w:sz w:val="26"/>
          <w:szCs w:val="26"/>
        </w:rPr>
        <w:t>wa</w:t>
      </w:r>
      <w:r w:rsidR="000227BC" w:rsidRPr="00BF6994">
        <w:rPr>
          <w:rFonts w:asciiTheme="minorHAnsi" w:hAnsiTheme="minorHAnsi" w:cstheme="minorHAnsi"/>
          <w:sz w:val="26"/>
          <w:szCs w:val="26"/>
        </w:rPr>
        <w:t>s unsustainable in its present form.</w:t>
      </w:r>
    </w:p>
    <w:p w:rsidR="00683BD7" w:rsidRDefault="00683BD7" w:rsidP="00AB1C9B">
      <w:pPr>
        <w:pStyle w:val="ListParagraph"/>
        <w:rPr>
          <w:rFonts w:asciiTheme="minorHAnsi" w:hAnsiTheme="minorHAnsi" w:cstheme="minorHAnsi"/>
          <w:sz w:val="26"/>
          <w:szCs w:val="26"/>
        </w:rPr>
      </w:pPr>
    </w:p>
    <w:p w:rsidR="00683BD7" w:rsidRPr="00BF6994" w:rsidRDefault="00BF6994" w:rsidP="00BF699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11.</w:t>
      </w:r>
      <w:r>
        <w:rPr>
          <w:rFonts w:asciiTheme="minorHAnsi" w:hAnsiTheme="minorHAnsi" w:cstheme="minorHAnsi"/>
          <w:sz w:val="26"/>
          <w:szCs w:val="26"/>
        </w:rPr>
        <w:tab/>
      </w:r>
      <w:r w:rsidR="00D431EB" w:rsidRPr="00BF6994">
        <w:rPr>
          <w:rFonts w:asciiTheme="minorHAnsi" w:hAnsiTheme="minorHAnsi" w:cstheme="minorHAnsi"/>
          <w:sz w:val="26"/>
          <w:szCs w:val="26"/>
        </w:rPr>
        <w:t xml:space="preserve">Mr Moloka persists in these proceedings with his objection that Liberty filed its answering affidavit in the rule 30 application out of time. </w:t>
      </w:r>
      <w:r w:rsidR="00003211" w:rsidRPr="00BF6994">
        <w:rPr>
          <w:rFonts w:asciiTheme="minorHAnsi" w:hAnsiTheme="minorHAnsi" w:cstheme="minorHAnsi"/>
          <w:sz w:val="26"/>
          <w:szCs w:val="26"/>
        </w:rPr>
        <w:t xml:space="preserve"> He thus submits that I erred in not upholding his objection. </w:t>
      </w:r>
      <w:r w:rsidR="00D431EB" w:rsidRPr="00BF6994">
        <w:rPr>
          <w:rFonts w:asciiTheme="minorHAnsi" w:hAnsiTheme="minorHAnsi" w:cstheme="minorHAnsi"/>
          <w:sz w:val="26"/>
          <w:szCs w:val="26"/>
        </w:rPr>
        <w:t>S</w:t>
      </w:r>
      <w:r w:rsidR="00485510" w:rsidRPr="00BF6994">
        <w:rPr>
          <w:rFonts w:asciiTheme="minorHAnsi" w:hAnsiTheme="minorHAnsi" w:cstheme="minorHAnsi"/>
          <w:sz w:val="26"/>
          <w:szCs w:val="26"/>
        </w:rPr>
        <w:t xml:space="preserve">uffice it to say that despite the fact that the rule 30 application appeared not to have properly set down for hearing on the date </w:t>
      </w:r>
      <w:r w:rsidR="00D431EB" w:rsidRPr="00BF6994">
        <w:rPr>
          <w:rFonts w:asciiTheme="minorHAnsi" w:hAnsiTheme="minorHAnsi" w:cstheme="minorHAnsi"/>
          <w:sz w:val="26"/>
          <w:szCs w:val="26"/>
        </w:rPr>
        <w:t>of hearing of</w:t>
      </w:r>
      <w:r w:rsidR="00485510" w:rsidRPr="00BF6994">
        <w:rPr>
          <w:rFonts w:asciiTheme="minorHAnsi" w:hAnsiTheme="minorHAnsi" w:cstheme="minorHAnsi"/>
          <w:sz w:val="26"/>
          <w:szCs w:val="26"/>
        </w:rPr>
        <w:t xml:space="preserve"> the rule 47 application</w:t>
      </w:r>
      <w:r w:rsidR="00943520" w:rsidRPr="00BF6994">
        <w:rPr>
          <w:rFonts w:asciiTheme="minorHAnsi" w:hAnsiTheme="minorHAnsi" w:cstheme="minorHAnsi"/>
          <w:sz w:val="26"/>
          <w:szCs w:val="26"/>
        </w:rPr>
        <w:t xml:space="preserve"> </w:t>
      </w:r>
      <w:r w:rsidR="00003211" w:rsidRPr="00BF6994">
        <w:rPr>
          <w:rFonts w:asciiTheme="minorHAnsi" w:hAnsiTheme="minorHAnsi" w:cstheme="minorHAnsi"/>
          <w:sz w:val="26"/>
          <w:szCs w:val="26"/>
        </w:rPr>
        <w:t>(</w:t>
      </w:r>
      <w:r w:rsidR="00943520" w:rsidRPr="00BF6994">
        <w:rPr>
          <w:rFonts w:asciiTheme="minorHAnsi" w:hAnsiTheme="minorHAnsi" w:cstheme="minorHAnsi"/>
          <w:sz w:val="26"/>
          <w:szCs w:val="26"/>
        </w:rPr>
        <w:t>on 9 May 2022</w:t>
      </w:r>
      <w:r w:rsidR="00003211" w:rsidRPr="00BF6994">
        <w:rPr>
          <w:rFonts w:asciiTheme="minorHAnsi" w:hAnsiTheme="minorHAnsi" w:cstheme="minorHAnsi"/>
          <w:sz w:val="26"/>
          <w:szCs w:val="26"/>
        </w:rPr>
        <w:t>)</w:t>
      </w:r>
      <w:r w:rsidR="00D431EB" w:rsidRPr="00BF6994">
        <w:rPr>
          <w:rFonts w:asciiTheme="minorHAnsi" w:hAnsiTheme="minorHAnsi" w:cstheme="minorHAnsi"/>
          <w:sz w:val="26"/>
          <w:szCs w:val="26"/>
        </w:rPr>
        <w:t xml:space="preserve">, </w:t>
      </w:r>
      <w:r w:rsidR="00485510" w:rsidRPr="00BF6994">
        <w:rPr>
          <w:rFonts w:asciiTheme="minorHAnsi" w:hAnsiTheme="minorHAnsi" w:cstheme="minorHAnsi"/>
          <w:sz w:val="26"/>
          <w:szCs w:val="26"/>
        </w:rPr>
        <w:t xml:space="preserve">since both parties were ready to argue both applications, </w:t>
      </w:r>
      <w:r w:rsidR="00AB1C9B" w:rsidRPr="00BF6994">
        <w:rPr>
          <w:rFonts w:asciiTheme="minorHAnsi" w:hAnsiTheme="minorHAnsi" w:cstheme="minorHAnsi"/>
          <w:sz w:val="26"/>
          <w:szCs w:val="26"/>
        </w:rPr>
        <w:t>and since no prejudice was contended for by either party</w:t>
      </w:r>
      <w:r w:rsidR="000227BC" w:rsidRPr="00BF6994">
        <w:rPr>
          <w:rFonts w:asciiTheme="minorHAnsi" w:hAnsiTheme="minorHAnsi" w:cstheme="minorHAnsi"/>
          <w:sz w:val="26"/>
          <w:szCs w:val="26"/>
        </w:rPr>
        <w:t xml:space="preserve"> in </w:t>
      </w:r>
      <w:r w:rsidR="006311B5" w:rsidRPr="00BF6994">
        <w:rPr>
          <w:rFonts w:asciiTheme="minorHAnsi" w:hAnsiTheme="minorHAnsi" w:cstheme="minorHAnsi"/>
          <w:sz w:val="26"/>
          <w:szCs w:val="26"/>
        </w:rPr>
        <w:t>dealing with</w:t>
      </w:r>
      <w:r w:rsidR="000227BC" w:rsidRPr="00BF6994">
        <w:rPr>
          <w:rFonts w:asciiTheme="minorHAnsi" w:hAnsiTheme="minorHAnsi" w:cstheme="minorHAnsi"/>
          <w:sz w:val="26"/>
          <w:szCs w:val="26"/>
        </w:rPr>
        <w:t xml:space="preserve"> </w:t>
      </w:r>
      <w:r w:rsidR="00003211" w:rsidRPr="00BF6994">
        <w:rPr>
          <w:rFonts w:asciiTheme="minorHAnsi" w:hAnsiTheme="minorHAnsi" w:cstheme="minorHAnsi"/>
          <w:sz w:val="26"/>
          <w:szCs w:val="26"/>
        </w:rPr>
        <w:t>the</w:t>
      </w:r>
      <w:r w:rsidR="000227BC" w:rsidRPr="00BF6994">
        <w:rPr>
          <w:rFonts w:asciiTheme="minorHAnsi" w:hAnsiTheme="minorHAnsi" w:cstheme="minorHAnsi"/>
          <w:sz w:val="26"/>
          <w:szCs w:val="26"/>
        </w:rPr>
        <w:t xml:space="preserve"> matters</w:t>
      </w:r>
      <w:r w:rsidR="006311B5" w:rsidRPr="00BF6994">
        <w:rPr>
          <w:rFonts w:asciiTheme="minorHAnsi" w:hAnsiTheme="minorHAnsi" w:cstheme="minorHAnsi"/>
          <w:sz w:val="26"/>
          <w:szCs w:val="26"/>
        </w:rPr>
        <w:t xml:space="preserve"> </w:t>
      </w:r>
      <w:r w:rsidR="00C94735" w:rsidRPr="00BF6994">
        <w:rPr>
          <w:rFonts w:asciiTheme="minorHAnsi" w:hAnsiTheme="minorHAnsi" w:cstheme="minorHAnsi"/>
          <w:sz w:val="26"/>
          <w:szCs w:val="26"/>
        </w:rPr>
        <w:t>together</w:t>
      </w:r>
      <w:r w:rsidR="00683BD7" w:rsidRPr="00BF6994">
        <w:rPr>
          <w:rFonts w:asciiTheme="minorHAnsi" w:hAnsiTheme="minorHAnsi" w:cstheme="minorHAnsi"/>
          <w:sz w:val="26"/>
          <w:szCs w:val="26"/>
        </w:rPr>
        <w:t>,</w:t>
      </w:r>
      <w:r w:rsidR="00AB1C9B" w:rsidRPr="00BF6994">
        <w:rPr>
          <w:rFonts w:asciiTheme="minorHAnsi" w:hAnsiTheme="minorHAnsi" w:cstheme="minorHAnsi"/>
          <w:sz w:val="26"/>
          <w:szCs w:val="26"/>
        </w:rPr>
        <w:t xml:space="preserve"> it </w:t>
      </w:r>
      <w:r w:rsidR="000227BC" w:rsidRPr="00BF6994">
        <w:rPr>
          <w:rFonts w:asciiTheme="minorHAnsi" w:hAnsiTheme="minorHAnsi" w:cstheme="minorHAnsi"/>
          <w:sz w:val="26"/>
          <w:szCs w:val="26"/>
        </w:rPr>
        <w:t>having been</w:t>
      </w:r>
      <w:r w:rsidR="00AB1C9B" w:rsidRPr="00BF6994">
        <w:rPr>
          <w:rFonts w:asciiTheme="minorHAnsi" w:hAnsiTheme="minorHAnsi" w:cstheme="minorHAnsi"/>
          <w:sz w:val="26"/>
          <w:szCs w:val="26"/>
        </w:rPr>
        <w:t xml:space="preserve"> accepted that the application in terms of rule 30 </w:t>
      </w:r>
      <w:r w:rsidR="006311B5" w:rsidRPr="00BF6994">
        <w:rPr>
          <w:rFonts w:asciiTheme="minorHAnsi" w:hAnsiTheme="minorHAnsi" w:cstheme="minorHAnsi"/>
          <w:sz w:val="26"/>
          <w:szCs w:val="26"/>
        </w:rPr>
        <w:t>could have a direct</w:t>
      </w:r>
      <w:r w:rsidR="00AB1C9B" w:rsidRPr="00BF6994">
        <w:rPr>
          <w:rFonts w:asciiTheme="minorHAnsi" w:hAnsiTheme="minorHAnsi" w:cstheme="minorHAnsi"/>
          <w:sz w:val="26"/>
          <w:szCs w:val="26"/>
        </w:rPr>
        <w:t xml:space="preserve"> impact </w:t>
      </w:r>
      <w:r w:rsidR="004D3C5F" w:rsidRPr="00BF6994">
        <w:rPr>
          <w:rFonts w:asciiTheme="minorHAnsi" w:hAnsiTheme="minorHAnsi" w:cstheme="minorHAnsi"/>
          <w:sz w:val="26"/>
          <w:szCs w:val="26"/>
        </w:rPr>
        <w:t xml:space="preserve">upon </w:t>
      </w:r>
      <w:r w:rsidR="00AB1C9B" w:rsidRPr="00BF6994">
        <w:rPr>
          <w:rFonts w:asciiTheme="minorHAnsi" w:hAnsiTheme="minorHAnsi" w:cstheme="minorHAnsi"/>
          <w:sz w:val="26"/>
          <w:szCs w:val="26"/>
        </w:rPr>
        <w:t xml:space="preserve">the </w:t>
      </w:r>
      <w:r w:rsidR="006311B5" w:rsidRPr="00BF6994">
        <w:rPr>
          <w:rFonts w:asciiTheme="minorHAnsi" w:hAnsiTheme="minorHAnsi" w:cstheme="minorHAnsi"/>
          <w:sz w:val="26"/>
          <w:szCs w:val="26"/>
        </w:rPr>
        <w:t xml:space="preserve">rule 47 </w:t>
      </w:r>
      <w:r w:rsidR="00AB1C9B" w:rsidRPr="00BF6994">
        <w:rPr>
          <w:rFonts w:asciiTheme="minorHAnsi" w:hAnsiTheme="minorHAnsi" w:cstheme="minorHAnsi"/>
          <w:sz w:val="26"/>
          <w:szCs w:val="26"/>
        </w:rPr>
        <w:t>application</w:t>
      </w:r>
      <w:r w:rsidR="006311B5" w:rsidRPr="00BF6994">
        <w:rPr>
          <w:rFonts w:asciiTheme="minorHAnsi" w:hAnsiTheme="minorHAnsi" w:cstheme="minorHAnsi"/>
          <w:sz w:val="26"/>
          <w:szCs w:val="26"/>
        </w:rPr>
        <w:t xml:space="preserve"> and thus ought to be considered together with the rule 47 </w:t>
      </w:r>
      <w:r w:rsidR="006311B5" w:rsidRPr="00BF6994">
        <w:rPr>
          <w:rFonts w:asciiTheme="minorHAnsi" w:hAnsiTheme="minorHAnsi" w:cstheme="minorHAnsi"/>
          <w:sz w:val="26"/>
          <w:szCs w:val="26"/>
        </w:rPr>
        <w:lastRenderedPageBreak/>
        <w:t>application</w:t>
      </w:r>
      <w:r w:rsidR="00AB1C9B" w:rsidRPr="00BF6994">
        <w:rPr>
          <w:rFonts w:asciiTheme="minorHAnsi" w:hAnsiTheme="minorHAnsi" w:cstheme="minorHAnsi"/>
          <w:sz w:val="26"/>
          <w:szCs w:val="26"/>
        </w:rPr>
        <w:t>,</w:t>
      </w:r>
      <w:r w:rsidR="00E11118">
        <w:rPr>
          <w:rStyle w:val="FootnoteReference"/>
          <w:rFonts w:asciiTheme="minorHAnsi" w:hAnsiTheme="minorHAnsi" w:cstheme="minorHAnsi"/>
          <w:sz w:val="26"/>
          <w:szCs w:val="26"/>
        </w:rPr>
        <w:footnoteReference w:id="8"/>
      </w:r>
      <w:r w:rsidR="00AB1C9B" w:rsidRPr="00BF6994">
        <w:rPr>
          <w:rFonts w:asciiTheme="minorHAnsi" w:hAnsiTheme="minorHAnsi" w:cstheme="minorHAnsi"/>
          <w:sz w:val="26"/>
          <w:szCs w:val="26"/>
        </w:rPr>
        <w:t xml:space="preserve"> I adopted a pragmatic approach, as advocated in </w:t>
      </w:r>
      <w:r w:rsidR="00AB1C9B" w:rsidRPr="00BF6994">
        <w:rPr>
          <w:rFonts w:asciiTheme="minorHAnsi" w:hAnsiTheme="minorHAnsi" w:cstheme="minorHAnsi"/>
          <w:i/>
          <w:sz w:val="26"/>
          <w:szCs w:val="26"/>
        </w:rPr>
        <w:t>Pangbourne,</w:t>
      </w:r>
      <w:r w:rsidR="00AB1C9B">
        <w:rPr>
          <w:rStyle w:val="FootnoteReference"/>
          <w:rFonts w:asciiTheme="minorHAnsi" w:hAnsiTheme="minorHAnsi" w:cstheme="minorHAnsi"/>
          <w:i/>
          <w:sz w:val="26"/>
          <w:szCs w:val="26"/>
        </w:rPr>
        <w:footnoteReference w:id="9"/>
      </w:r>
      <w:r w:rsidR="00AB1C9B" w:rsidRPr="00BF6994">
        <w:rPr>
          <w:rFonts w:asciiTheme="minorHAnsi" w:hAnsiTheme="minorHAnsi" w:cstheme="minorHAnsi"/>
          <w:i/>
          <w:sz w:val="26"/>
          <w:szCs w:val="26"/>
        </w:rPr>
        <w:t xml:space="preserve"> </w:t>
      </w:r>
      <w:r w:rsidR="00AB1C9B" w:rsidRPr="00BF6994">
        <w:rPr>
          <w:rFonts w:asciiTheme="minorHAnsi" w:hAnsiTheme="minorHAnsi" w:cstheme="minorHAnsi"/>
          <w:sz w:val="26"/>
          <w:szCs w:val="26"/>
        </w:rPr>
        <w:t xml:space="preserve">by allowing both applications to be argued </w:t>
      </w:r>
      <w:r w:rsidR="00E11118" w:rsidRPr="00BF6994">
        <w:rPr>
          <w:rFonts w:asciiTheme="minorHAnsi" w:hAnsiTheme="minorHAnsi" w:cstheme="minorHAnsi"/>
          <w:sz w:val="26"/>
          <w:szCs w:val="26"/>
        </w:rPr>
        <w:t xml:space="preserve">and </w:t>
      </w:r>
      <w:r w:rsidR="00D431EB" w:rsidRPr="00BF6994">
        <w:rPr>
          <w:rFonts w:asciiTheme="minorHAnsi" w:hAnsiTheme="minorHAnsi" w:cstheme="minorHAnsi"/>
          <w:sz w:val="26"/>
          <w:szCs w:val="26"/>
        </w:rPr>
        <w:t xml:space="preserve">the issues arising therein </w:t>
      </w:r>
      <w:r w:rsidR="00003211" w:rsidRPr="00BF6994">
        <w:rPr>
          <w:rFonts w:asciiTheme="minorHAnsi" w:hAnsiTheme="minorHAnsi" w:cstheme="minorHAnsi"/>
          <w:sz w:val="26"/>
          <w:szCs w:val="26"/>
        </w:rPr>
        <w:t xml:space="preserve">to be </w:t>
      </w:r>
      <w:r w:rsidR="00D431EB" w:rsidRPr="00BF6994">
        <w:rPr>
          <w:rFonts w:asciiTheme="minorHAnsi" w:hAnsiTheme="minorHAnsi" w:cstheme="minorHAnsi"/>
          <w:sz w:val="26"/>
          <w:szCs w:val="26"/>
        </w:rPr>
        <w:t>canvas</w:t>
      </w:r>
      <w:r w:rsidR="00A7313D" w:rsidRPr="00BF6994">
        <w:rPr>
          <w:rFonts w:asciiTheme="minorHAnsi" w:hAnsiTheme="minorHAnsi" w:cstheme="minorHAnsi"/>
          <w:sz w:val="26"/>
          <w:szCs w:val="26"/>
        </w:rPr>
        <w:t>s</w:t>
      </w:r>
      <w:r w:rsidR="00D431EB" w:rsidRPr="00BF6994">
        <w:rPr>
          <w:rFonts w:asciiTheme="minorHAnsi" w:hAnsiTheme="minorHAnsi" w:cstheme="minorHAnsi"/>
          <w:sz w:val="26"/>
          <w:szCs w:val="26"/>
        </w:rPr>
        <w:t xml:space="preserve">ed substantively. </w:t>
      </w:r>
    </w:p>
    <w:p w:rsidR="00683BD7" w:rsidRPr="00683BD7" w:rsidRDefault="00683BD7" w:rsidP="00683BD7">
      <w:pPr>
        <w:pStyle w:val="ListParagraph"/>
        <w:rPr>
          <w:rFonts w:asciiTheme="minorHAnsi" w:hAnsiTheme="minorHAnsi" w:cstheme="minorHAnsi"/>
          <w:sz w:val="26"/>
          <w:szCs w:val="26"/>
        </w:rPr>
      </w:pPr>
    </w:p>
    <w:p w:rsidR="00506FCD" w:rsidRPr="00BF6994" w:rsidRDefault="00BF6994" w:rsidP="00BF699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12.</w:t>
      </w:r>
      <w:r w:rsidRPr="006A31DA">
        <w:rPr>
          <w:rFonts w:asciiTheme="minorHAnsi" w:hAnsiTheme="minorHAnsi" w:cstheme="minorHAnsi"/>
          <w:sz w:val="26"/>
          <w:szCs w:val="26"/>
        </w:rPr>
        <w:tab/>
      </w:r>
      <w:r w:rsidR="004D3C5F" w:rsidRPr="00BF6994">
        <w:rPr>
          <w:rFonts w:asciiTheme="minorHAnsi" w:hAnsiTheme="minorHAnsi" w:cstheme="minorHAnsi"/>
          <w:sz w:val="26"/>
          <w:szCs w:val="26"/>
        </w:rPr>
        <w:t xml:space="preserve">In </w:t>
      </w:r>
      <w:r w:rsidR="004D3C5F" w:rsidRPr="00BF6994">
        <w:rPr>
          <w:rFonts w:asciiTheme="minorHAnsi" w:hAnsiTheme="minorHAnsi" w:cstheme="minorHAnsi"/>
          <w:i/>
          <w:sz w:val="26"/>
          <w:szCs w:val="26"/>
        </w:rPr>
        <w:t>Pangbourne</w:t>
      </w:r>
      <w:r w:rsidR="004D3C5F" w:rsidRPr="00BF6994">
        <w:rPr>
          <w:rFonts w:asciiTheme="minorHAnsi" w:hAnsiTheme="minorHAnsi" w:cstheme="minorHAnsi"/>
          <w:sz w:val="26"/>
          <w:szCs w:val="26"/>
        </w:rPr>
        <w:t xml:space="preserve">, Wepener J considered a vast array of authorities in support of an approach </w:t>
      </w:r>
      <w:r w:rsidR="00C94735" w:rsidRPr="00BF6994">
        <w:rPr>
          <w:rFonts w:asciiTheme="minorHAnsi" w:hAnsiTheme="minorHAnsi" w:cstheme="minorHAnsi"/>
          <w:sz w:val="26"/>
          <w:szCs w:val="26"/>
        </w:rPr>
        <w:t>which</w:t>
      </w:r>
      <w:r w:rsidR="004D3C5F" w:rsidRPr="00BF6994">
        <w:rPr>
          <w:rFonts w:asciiTheme="minorHAnsi" w:hAnsiTheme="minorHAnsi" w:cstheme="minorHAnsi"/>
          <w:sz w:val="26"/>
          <w:szCs w:val="26"/>
        </w:rPr>
        <w:t xml:space="preserve"> does not encourage formalism in the application of the rules,</w:t>
      </w:r>
      <w:r w:rsidR="00E11118" w:rsidRPr="00BF6994">
        <w:rPr>
          <w:rFonts w:asciiTheme="minorHAnsi" w:hAnsiTheme="minorHAnsi" w:cstheme="minorHAnsi"/>
          <w:sz w:val="26"/>
          <w:szCs w:val="26"/>
        </w:rPr>
        <w:t xml:space="preserve"> </w:t>
      </w:r>
      <w:r w:rsidR="004D3C5F" w:rsidRPr="00BF6994">
        <w:rPr>
          <w:rFonts w:asciiTheme="minorHAnsi" w:hAnsiTheme="minorHAnsi" w:cstheme="minorHAnsi"/>
          <w:sz w:val="26"/>
          <w:szCs w:val="26"/>
        </w:rPr>
        <w:t xml:space="preserve">based on the trite principle that the </w:t>
      </w:r>
      <w:r w:rsidR="00C94735" w:rsidRPr="00BF6994">
        <w:rPr>
          <w:rFonts w:asciiTheme="minorHAnsi" w:hAnsiTheme="minorHAnsi" w:cstheme="minorHAnsi"/>
          <w:sz w:val="26"/>
          <w:szCs w:val="26"/>
        </w:rPr>
        <w:t>r</w:t>
      </w:r>
      <w:r w:rsidR="004D3C5F" w:rsidRPr="00BF6994">
        <w:rPr>
          <w:rFonts w:asciiTheme="minorHAnsi" w:hAnsiTheme="minorHAnsi" w:cstheme="minorHAnsi"/>
          <w:iCs/>
          <w:color w:val="242121"/>
          <w:sz w:val="26"/>
          <w:szCs w:val="26"/>
          <w:shd w:val="clear" w:color="auto" w:fill="FFFFFF"/>
        </w:rPr>
        <w:t xml:space="preserve">ules are there for the Court, not the </w:t>
      </w:r>
      <w:r w:rsidR="00C94735" w:rsidRPr="00BF6994">
        <w:rPr>
          <w:rFonts w:asciiTheme="minorHAnsi" w:hAnsiTheme="minorHAnsi" w:cstheme="minorHAnsi"/>
          <w:iCs/>
          <w:color w:val="242121"/>
          <w:sz w:val="26"/>
          <w:szCs w:val="26"/>
          <w:shd w:val="clear" w:color="auto" w:fill="FFFFFF"/>
        </w:rPr>
        <w:t>c</w:t>
      </w:r>
      <w:r w:rsidR="004D3C5F" w:rsidRPr="00BF6994">
        <w:rPr>
          <w:rFonts w:asciiTheme="minorHAnsi" w:hAnsiTheme="minorHAnsi" w:cstheme="minorHAnsi"/>
          <w:iCs/>
          <w:color w:val="242121"/>
          <w:sz w:val="26"/>
          <w:szCs w:val="26"/>
          <w:shd w:val="clear" w:color="auto" w:fill="FFFFFF"/>
        </w:rPr>
        <w:t xml:space="preserve">ourt for the </w:t>
      </w:r>
      <w:r w:rsidR="00C94735" w:rsidRPr="00BF6994">
        <w:rPr>
          <w:rFonts w:asciiTheme="minorHAnsi" w:hAnsiTheme="minorHAnsi" w:cstheme="minorHAnsi"/>
          <w:iCs/>
          <w:color w:val="242121"/>
          <w:sz w:val="26"/>
          <w:szCs w:val="26"/>
          <w:shd w:val="clear" w:color="auto" w:fill="FFFFFF"/>
        </w:rPr>
        <w:t>r</w:t>
      </w:r>
      <w:r w:rsidR="004D3C5F" w:rsidRPr="00BF6994">
        <w:rPr>
          <w:rFonts w:asciiTheme="minorHAnsi" w:hAnsiTheme="minorHAnsi" w:cstheme="minorHAnsi"/>
          <w:iCs/>
          <w:color w:val="242121"/>
          <w:sz w:val="26"/>
          <w:szCs w:val="26"/>
          <w:shd w:val="clear" w:color="auto" w:fill="FFFFFF"/>
        </w:rPr>
        <w:t>ules</w:t>
      </w:r>
      <w:r w:rsidR="004D3C5F" w:rsidRPr="00BF6994">
        <w:rPr>
          <w:rFonts w:asciiTheme="minorHAnsi" w:hAnsiTheme="minorHAnsi" w:cstheme="minorHAnsi"/>
          <w:i/>
          <w:iCs/>
          <w:color w:val="242121"/>
          <w:sz w:val="26"/>
          <w:szCs w:val="26"/>
          <w:shd w:val="clear" w:color="auto" w:fill="FFFFFF"/>
        </w:rPr>
        <w:t xml:space="preserve">. </w:t>
      </w:r>
      <w:r w:rsidR="00E11118" w:rsidRPr="00BF6994">
        <w:rPr>
          <w:rFonts w:asciiTheme="minorHAnsi" w:hAnsiTheme="minorHAnsi" w:cstheme="minorHAnsi"/>
          <w:sz w:val="26"/>
          <w:szCs w:val="26"/>
        </w:rPr>
        <w:t>Mr M</w:t>
      </w:r>
      <w:r w:rsidR="00003211" w:rsidRPr="00BF6994">
        <w:rPr>
          <w:rFonts w:asciiTheme="minorHAnsi" w:hAnsiTheme="minorHAnsi" w:cstheme="minorHAnsi"/>
          <w:sz w:val="26"/>
          <w:szCs w:val="26"/>
        </w:rPr>
        <w:t>a</w:t>
      </w:r>
      <w:r w:rsidR="00E11118" w:rsidRPr="00BF6994">
        <w:rPr>
          <w:rFonts w:asciiTheme="minorHAnsi" w:hAnsiTheme="minorHAnsi" w:cstheme="minorHAnsi"/>
          <w:sz w:val="26"/>
          <w:szCs w:val="26"/>
        </w:rPr>
        <w:t xml:space="preserve">loka had filed heads of argument in both applications, was well equipped to argue the merits of both applications, and did so vociferously at the hearing of the matter. Mr Maloka’s objection, namely that Liberty’s answering affidavit in the rule 30 application was filed out of time, was a non-starter. Firstly, his notice of motion provided no time periods for the filing of a notice of intention to defend or the delivery of an answering affidavit thereafter. Liberty </w:t>
      </w:r>
      <w:r w:rsidR="00683BD7" w:rsidRPr="00BF6994">
        <w:rPr>
          <w:rFonts w:asciiTheme="minorHAnsi" w:hAnsiTheme="minorHAnsi" w:cstheme="minorHAnsi"/>
          <w:sz w:val="26"/>
          <w:szCs w:val="26"/>
        </w:rPr>
        <w:t xml:space="preserve">thereafter </w:t>
      </w:r>
      <w:r w:rsidR="00E11118" w:rsidRPr="00BF6994">
        <w:rPr>
          <w:rFonts w:asciiTheme="minorHAnsi" w:hAnsiTheme="minorHAnsi" w:cstheme="minorHAnsi"/>
          <w:sz w:val="26"/>
          <w:szCs w:val="26"/>
        </w:rPr>
        <w:t xml:space="preserve">applied the time periods provided for in Rule 6 (5)(d)(ii) in filing </w:t>
      </w:r>
      <w:r w:rsidR="00683BD7" w:rsidRPr="00BF6994">
        <w:rPr>
          <w:rFonts w:asciiTheme="minorHAnsi" w:hAnsiTheme="minorHAnsi" w:cstheme="minorHAnsi"/>
          <w:sz w:val="26"/>
          <w:szCs w:val="26"/>
        </w:rPr>
        <w:t>its</w:t>
      </w:r>
      <w:r w:rsidR="00E11118" w:rsidRPr="00BF6994">
        <w:rPr>
          <w:rFonts w:asciiTheme="minorHAnsi" w:hAnsiTheme="minorHAnsi" w:cstheme="minorHAnsi"/>
          <w:sz w:val="26"/>
          <w:szCs w:val="26"/>
        </w:rPr>
        <w:t xml:space="preserve"> answering affidavit</w:t>
      </w:r>
      <w:r w:rsidR="00683BD7" w:rsidRPr="00BF6994">
        <w:rPr>
          <w:rFonts w:asciiTheme="minorHAnsi" w:hAnsiTheme="minorHAnsi" w:cstheme="minorHAnsi"/>
          <w:sz w:val="26"/>
          <w:szCs w:val="26"/>
        </w:rPr>
        <w:t>.</w:t>
      </w:r>
      <w:r w:rsidR="00E11118" w:rsidRPr="00BF6994">
        <w:rPr>
          <w:rFonts w:asciiTheme="minorHAnsi" w:hAnsiTheme="minorHAnsi" w:cstheme="minorHAnsi"/>
          <w:sz w:val="26"/>
          <w:szCs w:val="26"/>
        </w:rPr>
        <w:t xml:space="preserve"> Liberty had </w:t>
      </w:r>
      <w:r w:rsidR="00683BD7" w:rsidRPr="00BF6994">
        <w:rPr>
          <w:rFonts w:asciiTheme="minorHAnsi" w:hAnsiTheme="minorHAnsi" w:cstheme="minorHAnsi"/>
          <w:sz w:val="26"/>
          <w:szCs w:val="26"/>
        </w:rPr>
        <w:t>g</w:t>
      </w:r>
      <w:r w:rsidR="00E11118" w:rsidRPr="00BF6994">
        <w:rPr>
          <w:rFonts w:asciiTheme="minorHAnsi" w:hAnsiTheme="minorHAnsi" w:cstheme="minorHAnsi"/>
          <w:sz w:val="26"/>
          <w:szCs w:val="26"/>
        </w:rPr>
        <w:t xml:space="preserve">iven notice that it would do so </w:t>
      </w:r>
      <w:r w:rsidR="00683BD7" w:rsidRPr="00BF6994">
        <w:rPr>
          <w:rFonts w:asciiTheme="minorHAnsi" w:hAnsiTheme="minorHAnsi" w:cstheme="minorHAnsi"/>
          <w:sz w:val="26"/>
          <w:szCs w:val="26"/>
        </w:rPr>
        <w:t>in</w:t>
      </w:r>
      <w:r w:rsidR="00E11118" w:rsidRPr="00BF6994">
        <w:rPr>
          <w:rFonts w:asciiTheme="minorHAnsi" w:hAnsiTheme="minorHAnsi" w:cstheme="minorHAnsi"/>
          <w:sz w:val="26"/>
          <w:szCs w:val="26"/>
        </w:rPr>
        <w:t xml:space="preserve"> its notice of intention to defend</w:t>
      </w:r>
      <w:r w:rsidR="00683BD7" w:rsidRPr="00BF6994">
        <w:rPr>
          <w:rFonts w:asciiTheme="minorHAnsi" w:hAnsiTheme="minorHAnsi" w:cstheme="minorHAnsi"/>
          <w:sz w:val="26"/>
          <w:szCs w:val="26"/>
        </w:rPr>
        <w:t>.</w:t>
      </w:r>
      <w:r w:rsidR="00E11118" w:rsidRPr="00BF6994">
        <w:rPr>
          <w:rFonts w:asciiTheme="minorHAnsi" w:hAnsiTheme="minorHAnsi" w:cstheme="minorHAnsi"/>
          <w:sz w:val="26"/>
          <w:szCs w:val="26"/>
        </w:rPr>
        <w:t xml:space="preserve"> Mr Moloka was therefore under no misapprehension about the time periods </w:t>
      </w:r>
      <w:r w:rsidR="000227BC" w:rsidRPr="00BF6994">
        <w:rPr>
          <w:rFonts w:asciiTheme="minorHAnsi" w:hAnsiTheme="minorHAnsi" w:cstheme="minorHAnsi"/>
          <w:sz w:val="26"/>
          <w:szCs w:val="26"/>
        </w:rPr>
        <w:t xml:space="preserve">applied by and </w:t>
      </w:r>
      <w:r w:rsidR="00E11118" w:rsidRPr="00BF6994">
        <w:rPr>
          <w:rFonts w:asciiTheme="minorHAnsi" w:hAnsiTheme="minorHAnsi" w:cstheme="minorHAnsi"/>
          <w:sz w:val="26"/>
          <w:szCs w:val="26"/>
        </w:rPr>
        <w:t xml:space="preserve">adhered to by Liberty. </w:t>
      </w:r>
      <w:r w:rsidR="000227BC" w:rsidRPr="00BF6994">
        <w:rPr>
          <w:rFonts w:asciiTheme="minorHAnsi" w:hAnsiTheme="minorHAnsi" w:cstheme="minorHAnsi"/>
          <w:sz w:val="26"/>
          <w:szCs w:val="26"/>
        </w:rPr>
        <w:t xml:space="preserve">In any event, </w:t>
      </w:r>
      <w:r w:rsidR="00E11118" w:rsidRPr="00BF6994">
        <w:rPr>
          <w:rFonts w:asciiTheme="minorHAnsi" w:hAnsiTheme="minorHAnsi" w:cstheme="minorHAnsi"/>
          <w:sz w:val="26"/>
          <w:szCs w:val="26"/>
        </w:rPr>
        <w:t xml:space="preserve">Mr Moloka did not apply for either the notice of intention to defend or the answering affidavit to be set aside as </w:t>
      </w:r>
      <w:r w:rsidR="000227BC" w:rsidRPr="00BF6994">
        <w:rPr>
          <w:rFonts w:asciiTheme="minorHAnsi" w:hAnsiTheme="minorHAnsi" w:cstheme="minorHAnsi"/>
          <w:sz w:val="26"/>
          <w:szCs w:val="26"/>
        </w:rPr>
        <w:t xml:space="preserve">an </w:t>
      </w:r>
      <w:r w:rsidR="00E11118" w:rsidRPr="00BF6994">
        <w:rPr>
          <w:rFonts w:asciiTheme="minorHAnsi" w:hAnsiTheme="minorHAnsi" w:cstheme="minorHAnsi"/>
          <w:sz w:val="26"/>
          <w:szCs w:val="26"/>
        </w:rPr>
        <w:t>irregular</w:t>
      </w:r>
      <w:r w:rsidR="000227BC" w:rsidRPr="00BF6994">
        <w:rPr>
          <w:rFonts w:asciiTheme="minorHAnsi" w:hAnsiTheme="minorHAnsi" w:cstheme="minorHAnsi"/>
          <w:sz w:val="26"/>
          <w:szCs w:val="26"/>
        </w:rPr>
        <w:t xml:space="preserve"> proceeding</w:t>
      </w:r>
      <w:r w:rsidR="00E11118" w:rsidRPr="00BF6994">
        <w:rPr>
          <w:rFonts w:asciiTheme="minorHAnsi" w:hAnsiTheme="minorHAnsi" w:cstheme="minorHAnsi"/>
          <w:sz w:val="26"/>
          <w:szCs w:val="26"/>
        </w:rPr>
        <w:t xml:space="preserve"> </w:t>
      </w:r>
      <w:r w:rsidR="00C94735" w:rsidRPr="00BF6994">
        <w:rPr>
          <w:rFonts w:asciiTheme="minorHAnsi" w:hAnsiTheme="minorHAnsi" w:cstheme="minorHAnsi"/>
          <w:sz w:val="26"/>
          <w:szCs w:val="26"/>
        </w:rPr>
        <w:t>on grounds</w:t>
      </w:r>
      <w:r w:rsidR="00E11118" w:rsidRPr="00BF6994">
        <w:rPr>
          <w:rFonts w:asciiTheme="minorHAnsi" w:hAnsiTheme="minorHAnsi" w:cstheme="minorHAnsi"/>
          <w:sz w:val="26"/>
          <w:szCs w:val="26"/>
        </w:rPr>
        <w:t xml:space="preserve"> that rule 6(5)(d)(ii) applied only to applications by which proceedings are instituted and not </w:t>
      </w:r>
      <w:r w:rsidR="000227BC" w:rsidRPr="00BF6994">
        <w:rPr>
          <w:rFonts w:asciiTheme="minorHAnsi" w:hAnsiTheme="minorHAnsi" w:cstheme="minorHAnsi"/>
          <w:sz w:val="26"/>
          <w:szCs w:val="26"/>
        </w:rPr>
        <w:t xml:space="preserve">to </w:t>
      </w:r>
      <w:r w:rsidR="00E11118" w:rsidRPr="00BF6994">
        <w:rPr>
          <w:rFonts w:asciiTheme="minorHAnsi" w:hAnsiTheme="minorHAnsi" w:cstheme="minorHAnsi"/>
          <w:sz w:val="26"/>
          <w:szCs w:val="26"/>
        </w:rPr>
        <w:t xml:space="preserve">interlocutory proceedings. </w:t>
      </w:r>
    </w:p>
    <w:p w:rsidR="0098747C" w:rsidRPr="006A31DA" w:rsidRDefault="0098747C" w:rsidP="00683BD7">
      <w:pPr>
        <w:pStyle w:val="ListParagraph"/>
        <w:rPr>
          <w:rFonts w:asciiTheme="minorHAnsi" w:hAnsiTheme="minorHAnsi" w:cstheme="minorHAnsi"/>
          <w:sz w:val="26"/>
          <w:szCs w:val="26"/>
        </w:rPr>
      </w:pPr>
    </w:p>
    <w:p w:rsidR="00644005" w:rsidRPr="00BF6994" w:rsidRDefault="00BF6994" w:rsidP="00BF699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lastRenderedPageBreak/>
        <w:t>13.</w:t>
      </w:r>
      <w:r>
        <w:rPr>
          <w:rFonts w:asciiTheme="minorHAnsi" w:hAnsiTheme="minorHAnsi" w:cstheme="minorHAnsi"/>
          <w:sz w:val="26"/>
          <w:szCs w:val="26"/>
        </w:rPr>
        <w:tab/>
      </w:r>
      <w:r w:rsidR="00644005" w:rsidRPr="00BF6994">
        <w:rPr>
          <w:rFonts w:asciiTheme="minorHAnsi" w:hAnsiTheme="minorHAnsi" w:cstheme="minorHAnsi"/>
          <w:sz w:val="26"/>
          <w:szCs w:val="26"/>
        </w:rPr>
        <w:t>Even had the rule 30 application been determined on an unopposed basis, as Mr M</w:t>
      </w:r>
      <w:r w:rsidR="00003211" w:rsidRPr="00BF6994">
        <w:rPr>
          <w:rFonts w:asciiTheme="minorHAnsi" w:hAnsiTheme="minorHAnsi" w:cstheme="minorHAnsi"/>
          <w:sz w:val="26"/>
          <w:szCs w:val="26"/>
        </w:rPr>
        <w:t>a</w:t>
      </w:r>
      <w:r w:rsidR="00644005" w:rsidRPr="00BF6994">
        <w:rPr>
          <w:rFonts w:asciiTheme="minorHAnsi" w:hAnsiTheme="minorHAnsi" w:cstheme="minorHAnsi"/>
          <w:sz w:val="26"/>
          <w:szCs w:val="26"/>
        </w:rPr>
        <w:t>loka contends ought to have happened, the application would in my view have suffered the same fate on the basis that his invocation of rule 30 was inappropriate for reasons given in paragraph 14 of the judgment. S</w:t>
      </w:r>
      <w:r w:rsidR="0023412D" w:rsidRPr="00BF6994">
        <w:rPr>
          <w:rFonts w:asciiTheme="minorHAnsi" w:hAnsiTheme="minorHAnsi" w:cstheme="minorHAnsi"/>
          <w:sz w:val="26"/>
          <w:szCs w:val="26"/>
        </w:rPr>
        <w:t xml:space="preserve">ignificantly, </w:t>
      </w:r>
      <w:r w:rsidR="00644005" w:rsidRPr="00BF6994">
        <w:rPr>
          <w:rFonts w:asciiTheme="minorHAnsi" w:hAnsiTheme="minorHAnsi" w:cstheme="minorHAnsi"/>
          <w:sz w:val="26"/>
          <w:szCs w:val="26"/>
        </w:rPr>
        <w:t xml:space="preserve">Mr Moloka did not take issue with the authority relied </w:t>
      </w:r>
      <w:r w:rsidR="0023412D" w:rsidRPr="00BF6994">
        <w:rPr>
          <w:rFonts w:asciiTheme="minorHAnsi" w:hAnsiTheme="minorHAnsi" w:cstheme="minorHAnsi"/>
          <w:sz w:val="26"/>
          <w:szCs w:val="26"/>
        </w:rPr>
        <w:t xml:space="preserve">on for the conclusion reached by me </w:t>
      </w:r>
      <w:r w:rsidR="00644005" w:rsidRPr="00BF6994">
        <w:rPr>
          <w:rFonts w:asciiTheme="minorHAnsi" w:hAnsiTheme="minorHAnsi" w:cstheme="minorHAnsi"/>
          <w:sz w:val="26"/>
          <w:szCs w:val="26"/>
        </w:rPr>
        <w:t>in that paragraph.</w:t>
      </w:r>
    </w:p>
    <w:p w:rsidR="00644005" w:rsidRPr="00644005" w:rsidRDefault="00644005" w:rsidP="00644005">
      <w:pPr>
        <w:pStyle w:val="ListParagraph"/>
        <w:rPr>
          <w:rFonts w:asciiTheme="minorHAnsi" w:hAnsiTheme="minorHAnsi" w:cstheme="minorHAnsi"/>
          <w:sz w:val="26"/>
          <w:szCs w:val="26"/>
        </w:rPr>
      </w:pPr>
    </w:p>
    <w:p w:rsidR="0098747C" w:rsidRPr="00BF6994" w:rsidRDefault="00BF6994" w:rsidP="00BF699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14.</w:t>
      </w:r>
      <w:r w:rsidRPr="006A31DA">
        <w:rPr>
          <w:rFonts w:asciiTheme="minorHAnsi" w:hAnsiTheme="minorHAnsi" w:cstheme="minorHAnsi"/>
          <w:sz w:val="26"/>
          <w:szCs w:val="26"/>
        </w:rPr>
        <w:tab/>
      </w:r>
      <w:r w:rsidR="0098747C" w:rsidRPr="00BF6994">
        <w:rPr>
          <w:rFonts w:asciiTheme="minorHAnsi" w:hAnsiTheme="minorHAnsi" w:cstheme="minorHAnsi"/>
          <w:sz w:val="26"/>
          <w:szCs w:val="26"/>
        </w:rPr>
        <w:t xml:space="preserve">I am accordingly not persuaded that another court would find merit in the arguments advanced </w:t>
      </w:r>
      <w:r w:rsidR="00683BD7" w:rsidRPr="00BF6994">
        <w:rPr>
          <w:rFonts w:asciiTheme="minorHAnsi" w:hAnsiTheme="minorHAnsi" w:cstheme="minorHAnsi"/>
          <w:sz w:val="26"/>
          <w:szCs w:val="26"/>
        </w:rPr>
        <w:t>by Mr Moloka on t</w:t>
      </w:r>
      <w:r w:rsidR="00C94735" w:rsidRPr="00BF6994">
        <w:rPr>
          <w:rFonts w:asciiTheme="minorHAnsi" w:hAnsiTheme="minorHAnsi" w:cstheme="minorHAnsi"/>
          <w:sz w:val="26"/>
          <w:szCs w:val="26"/>
        </w:rPr>
        <w:t>hese</w:t>
      </w:r>
      <w:r w:rsidR="00683BD7" w:rsidRPr="00BF6994">
        <w:rPr>
          <w:rFonts w:asciiTheme="minorHAnsi" w:hAnsiTheme="minorHAnsi" w:cstheme="minorHAnsi"/>
          <w:sz w:val="26"/>
          <w:szCs w:val="26"/>
        </w:rPr>
        <w:t xml:space="preserve"> ground</w:t>
      </w:r>
      <w:r w:rsidR="00C94735" w:rsidRPr="00BF6994">
        <w:rPr>
          <w:rFonts w:asciiTheme="minorHAnsi" w:hAnsiTheme="minorHAnsi" w:cstheme="minorHAnsi"/>
          <w:sz w:val="26"/>
          <w:szCs w:val="26"/>
        </w:rPr>
        <w:t>s</w:t>
      </w:r>
      <w:r w:rsidR="0098747C" w:rsidRPr="00BF6994">
        <w:rPr>
          <w:rFonts w:asciiTheme="minorHAnsi" w:hAnsiTheme="minorHAnsi" w:cstheme="minorHAnsi"/>
          <w:sz w:val="26"/>
          <w:szCs w:val="26"/>
        </w:rPr>
        <w:t>.</w:t>
      </w:r>
    </w:p>
    <w:p w:rsidR="00506FCD" w:rsidRPr="006A31DA" w:rsidRDefault="00506FCD" w:rsidP="00683BD7">
      <w:pPr>
        <w:pStyle w:val="ListParagraph"/>
        <w:rPr>
          <w:rFonts w:asciiTheme="minorHAnsi" w:hAnsiTheme="minorHAnsi" w:cstheme="minorHAnsi"/>
          <w:sz w:val="26"/>
          <w:szCs w:val="26"/>
        </w:rPr>
      </w:pPr>
    </w:p>
    <w:p w:rsidR="00AB18AB" w:rsidRPr="006A31DA" w:rsidRDefault="000227BC" w:rsidP="00AB18AB">
      <w:pPr>
        <w:pStyle w:val="ListParagraph"/>
        <w:spacing w:line="360" w:lineRule="auto"/>
        <w:ind w:left="851"/>
        <w:jc w:val="both"/>
        <w:rPr>
          <w:rFonts w:asciiTheme="minorHAnsi" w:hAnsiTheme="minorHAnsi" w:cstheme="minorHAnsi"/>
          <w:sz w:val="26"/>
          <w:szCs w:val="26"/>
          <w:u w:val="single"/>
        </w:rPr>
      </w:pPr>
      <w:r>
        <w:rPr>
          <w:rFonts w:asciiTheme="minorHAnsi" w:hAnsiTheme="minorHAnsi" w:cstheme="minorHAnsi"/>
          <w:sz w:val="26"/>
          <w:szCs w:val="26"/>
          <w:u w:val="single"/>
        </w:rPr>
        <w:t>The alleged misdirection</w:t>
      </w:r>
    </w:p>
    <w:p w:rsidR="00785A83" w:rsidRPr="00BF6994" w:rsidRDefault="00BF6994" w:rsidP="00BF699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15.</w:t>
      </w:r>
      <w:r w:rsidRPr="006A31DA">
        <w:rPr>
          <w:rFonts w:asciiTheme="minorHAnsi" w:hAnsiTheme="minorHAnsi" w:cstheme="minorHAnsi"/>
          <w:sz w:val="26"/>
          <w:szCs w:val="26"/>
        </w:rPr>
        <w:tab/>
      </w:r>
      <w:r w:rsidR="004E2AC4" w:rsidRPr="00BF6994">
        <w:rPr>
          <w:rFonts w:asciiTheme="minorHAnsi" w:hAnsiTheme="minorHAnsi" w:cstheme="minorHAnsi"/>
          <w:sz w:val="26"/>
          <w:szCs w:val="26"/>
        </w:rPr>
        <w:t>Mr M</w:t>
      </w:r>
      <w:r w:rsidR="00003211" w:rsidRPr="00BF6994">
        <w:rPr>
          <w:rFonts w:asciiTheme="minorHAnsi" w:hAnsiTheme="minorHAnsi" w:cstheme="minorHAnsi"/>
          <w:sz w:val="26"/>
          <w:szCs w:val="26"/>
        </w:rPr>
        <w:t>a</w:t>
      </w:r>
      <w:r w:rsidR="004E2AC4" w:rsidRPr="00BF6994">
        <w:rPr>
          <w:rFonts w:asciiTheme="minorHAnsi" w:hAnsiTheme="minorHAnsi" w:cstheme="minorHAnsi"/>
          <w:sz w:val="26"/>
          <w:szCs w:val="26"/>
        </w:rPr>
        <w:t>loka submits that the court erred in determining that Liberty was justified in delivering its Rule 47(1) notice more than 10 days after it had knowledge of Mr M</w:t>
      </w:r>
      <w:r w:rsidR="00003211" w:rsidRPr="00BF6994">
        <w:rPr>
          <w:rFonts w:asciiTheme="minorHAnsi" w:hAnsiTheme="minorHAnsi" w:cstheme="minorHAnsi"/>
          <w:sz w:val="26"/>
          <w:szCs w:val="26"/>
        </w:rPr>
        <w:t>a</w:t>
      </w:r>
      <w:r w:rsidR="004E2AC4" w:rsidRPr="00BF6994">
        <w:rPr>
          <w:rFonts w:asciiTheme="minorHAnsi" w:hAnsiTheme="minorHAnsi" w:cstheme="minorHAnsi"/>
          <w:sz w:val="26"/>
          <w:szCs w:val="26"/>
        </w:rPr>
        <w:t>loka’s impecuniosity. Under this heading, Mr M</w:t>
      </w:r>
      <w:r w:rsidR="00003211" w:rsidRPr="00BF6994">
        <w:rPr>
          <w:rFonts w:asciiTheme="minorHAnsi" w:hAnsiTheme="minorHAnsi" w:cstheme="minorHAnsi"/>
          <w:sz w:val="26"/>
          <w:szCs w:val="26"/>
        </w:rPr>
        <w:t>a</w:t>
      </w:r>
      <w:r w:rsidR="004E2AC4" w:rsidRPr="00BF6994">
        <w:rPr>
          <w:rFonts w:asciiTheme="minorHAnsi" w:hAnsiTheme="minorHAnsi" w:cstheme="minorHAnsi"/>
          <w:sz w:val="26"/>
          <w:szCs w:val="26"/>
        </w:rPr>
        <w:t xml:space="preserve">loka </w:t>
      </w:r>
      <w:r w:rsidR="00003211" w:rsidRPr="00BF6994">
        <w:rPr>
          <w:rFonts w:asciiTheme="minorHAnsi" w:hAnsiTheme="minorHAnsi" w:cstheme="minorHAnsi"/>
          <w:sz w:val="26"/>
          <w:szCs w:val="26"/>
        </w:rPr>
        <w:t xml:space="preserve">also </w:t>
      </w:r>
      <w:r w:rsidR="004E2AC4" w:rsidRPr="00BF6994">
        <w:rPr>
          <w:rFonts w:asciiTheme="minorHAnsi" w:hAnsiTheme="minorHAnsi" w:cstheme="minorHAnsi"/>
          <w:sz w:val="26"/>
          <w:szCs w:val="26"/>
        </w:rPr>
        <w:t xml:space="preserve">asserts that </w:t>
      </w:r>
      <w:r w:rsidR="00331262" w:rsidRPr="00BF6994">
        <w:rPr>
          <w:rFonts w:asciiTheme="minorHAnsi" w:hAnsiTheme="minorHAnsi" w:cstheme="minorHAnsi"/>
          <w:sz w:val="26"/>
          <w:szCs w:val="26"/>
        </w:rPr>
        <w:t xml:space="preserve">I erred in not finding that </w:t>
      </w:r>
      <w:r w:rsidR="004E2AC4" w:rsidRPr="00BF6994">
        <w:rPr>
          <w:rFonts w:asciiTheme="minorHAnsi" w:hAnsiTheme="minorHAnsi" w:cstheme="minorHAnsi"/>
          <w:sz w:val="26"/>
          <w:szCs w:val="26"/>
        </w:rPr>
        <w:t xml:space="preserve">Liberty was precluded from seeking security for costs because it had taken a further step in the cause by filing an answering affidavit as well as a condonation application for </w:t>
      </w:r>
      <w:r w:rsidR="00A228D1" w:rsidRPr="00BF6994">
        <w:rPr>
          <w:rFonts w:asciiTheme="minorHAnsi" w:hAnsiTheme="minorHAnsi" w:cstheme="minorHAnsi"/>
          <w:sz w:val="26"/>
          <w:szCs w:val="26"/>
        </w:rPr>
        <w:t xml:space="preserve">the late </w:t>
      </w:r>
      <w:r w:rsidR="004E2AC4" w:rsidRPr="00BF6994">
        <w:rPr>
          <w:rFonts w:asciiTheme="minorHAnsi" w:hAnsiTheme="minorHAnsi" w:cstheme="minorHAnsi"/>
          <w:sz w:val="26"/>
          <w:szCs w:val="26"/>
        </w:rPr>
        <w:t xml:space="preserve">filing </w:t>
      </w:r>
      <w:r w:rsidR="00A228D1" w:rsidRPr="00BF6994">
        <w:rPr>
          <w:rFonts w:asciiTheme="minorHAnsi" w:hAnsiTheme="minorHAnsi" w:cstheme="minorHAnsi"/>
          <w:sz w:val="26"/>
          <w:szCs w:val="26"/>
        </w:rPr>
        <w:t xml:space="preserve">of </w:t>
      </w:r>
      <w:r w:rsidR="004E2AC4" w:rsidRPr="00BF6994">
        <w:rPr>
          <w:rFonts w:asciiTheme="minorHAnsi" w:hAnsiTheme="minorHAnsi" w:cstheme="minorHAnsi"/>
          <w:sz w:val="26"/>
          <w:szCs w:val="26"/>
        </w:rPr>
        <w:t>its answering affidavit</w:t>
      </w:r>
      <w:r w:rsidR="00A228D1" w:rsidRPr="00BF6994">
        <w:rPr>
          <w:rFonts w:asciiTheme="minorHAnsi" w:hAnsiTheme="minorHAnsi" w:cstheme="minorHAnsi"/>
          <w:sz w:val="26"/>
          <w:szCs w:val="26"/>
        </w:rPr>
        <w:t>.</w:t>
      </w:r>
      <w:r w:rsidR="0023412D">
        <w:rPr>
          <w:rStyle w:val="FootnoteReference"/>
          <w:rFonts w:asciiTheme="minorHAnsi" w:hAnsiTheme="minorHAnsi" w:cstheme="minorHAnsi"/>
          <w:sz w:val="26"/>
          <w:szCs w:val="26"/>
        </w:rPr>
        <w:footnoteReference w:id="10"/>
      </w:r>
      <w:r w:rsidR="004E2AC4" w:rsidRPr="00BF6994">
        <w:rPr>
          <w:rFonts w:asciiTheme="minorHAnsi" w:hAnsiTheme="minorHAnsi" w:cstheme="minorHAnsi"/>
          <w:sz w:val="26"/>
          <w:szCs w:val="26"/>
        </w:rPr>
        <w:t xml:space="preserve"> No authority was cited </w:t>
      </w:r>
      <w:r w:rsidR="00644005" w:rsidRPr="00BF6994">
        <w:rPr>
          <w:rFonts w:asciiTheme="minorHAnsi" w:hAnsiTheme="minorHAnsi" w:cstheme="minorHAnsi"/>
          <w:sz w:val="26"/>
          <w:szCs w:val="26"/>
        </w:rPr>
        <w:t xml:space="preserve">by Mr Moloka in support of </w:t>
      </w:r>
      <w:r w:rsidR="00C94735" w:rsidRPr="00BF6994">
        <w:rPr>
          <w:rFonts w:asciiTheme="minorHAnsi" w:hAnsiTheme="minorHAnsi" w:cstheme="minorHAnsi"/>
          <w:sz w:val="26"/>
          <w:szCs w:val="26"/>
        </w:rPr>
        <w:t>either</w:t>
      </w:r>
      <w:r w:rsidR="00644005" w:rsidRPr="00BF6994">
        <w:rPr>
          <w:rFonts w:asciiTheme="minorHAnsi" w:hAnsiTheme="minorHAnsi" w:cstheme="minorHAnsi"/>
          <w:sz w:val="26"/>
          <w:szCs w:val="26"/>
        </w:rPr>
        <w:t xml:space="preserve"> proposition, nor could I find any authority </w:t>
      </w:r>
      <w:r w:rsidR="00003211" w:rsidRPr="00BF6994">
        <w:rPr>
          <w:rFonts w:asciiTheme="minorHAnsi" w:hAnsiTheme="minorHAnsi" w:cstheme="minorHAnsi"/>
          <w:sz w:val="26"/>
          <w:szCs w:val="26"/>
        </w:rPr>
        <w:t>in support thereof</w:t>
      </w:r>
      <w:r w:rsidR="00644005" w:rsidRPr="00BF6994">
        <w:rPr>
          <w:rFonts w:asciiTheme="minorHAnsi" w:hAnsiTheme="minorHAnsi" w:cstheme="minorHAnsi"/>
          <w:sz w:val="26"/>
          <w:szCs w:val="26"/>
        </w:rPr>
        <w:t>.</w:t>
      </w:r>
    </w:p>
    <w:p w:rsidR="00785A83" w:rsidRPr="006A31DA" w:rsidRDefault="00785A83" w:rsidP="00683BD7">
      <w:pPr>
        <w:pStyle w:val="ListParagraph"/>
        <w:rPr>
          <w:rFonts w:asciiTheme="minorHAnsi" w:hAnsiTheme="minorHAnsi" w:cstheme="minorHAnsi"/>
          <w:sz w:val="26"/>
          <w:szCs w:val="26"/>
        </w:rPr>
      </w:pPr>
    </w:p>
    <w:p w:rsidR="00785A83" w:rsidRPr="00BF6994" w:rsidRDefault="00BF6994" w:rsidP="00BF699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16.</w:t>
      </w:r>
      <w:r w:rsidRPr="006A31DA">
        <w:rPr>
          <w:rFonts w:asciiTheme="minorHAnsi" w:hAnsiTheme="minorHAnsi" w:cstheme="minorHAnsi"/>
          <w:sz w:val="26"/>
          <w:szCs w:val="26"/>
        </w:rPr>
        <w:tab/>
      </w:r>
      <w:r w:rsidR="004E2AC4" w:rsidRPr="00BF6994">
        <w:rPr>
          <w:rFonts w:asciiTheme="minorHAnsi" w:hAnsiTheme="minorHAnsi" w:cstheme="minorHAnsi"/>
          <w:sz w:val="26"/>
          <w:szCs w:val="26"/>
        </w:rPr>
        <w:t xml:space="preserve">The timing of the delivery of the rule 47(1) notice and the ultimate launch of the rule 47(3) application </w:t>
      </w:r>
      <w:r w:rsidR="00003211" w:rsidRPr="00BF6994">
        <w:rPr>
          <w:rFonts w:asciiTheme="minorHAnsi" w:hAnsiTheme="minorHAnsi" w:cstheme="minorHAnsi"/>
          <w:sz w:val="26"/>
          <w:szCs w:val="26"/>
        </w:rPr>
        <w:t>was</w:t>
      </w:r>
      <w:r w:rsidR="004E2AC4" w:rsidRPr="00BF6994">
        <w:rPr>
          <w:rFonts w:asciiTheme="minorHAnsi" w:hAnsiTheme="minorHAnsi" w:cstheme="minorHAnsi"/>
          <w:sz w:val="26"/>
          <w:szCs w:val="26"/>
        </w:rPr>
        <w:t xml:space="preserve"> dealt with in paragraph 12 of the judgment, which is to </w:t>
      </w:r>
      <w:r w:rsidR="004E2AC4" w:rsidRPr="00BF6994">
        <w:rPr>
          <w:rFonts w:asciiTheme="minorHAnsi" w:hAnsiTheme="minorHAnsi" w:cstheme="minorHAnsi"/>
          <w:sz w:val="26"/>
          <w:szCs w:val="26"/>
        </w:rPr>
        <w:lastRenderedPageBreak/>
        <w:t xml:space="preserve">be read together with footnote 6 thereto, where the relevant timeline </w:t>
      </w:r>
      <w:r w:rsidR="00003211" w:rsidRPr="00BF6994">
        <w:rPr>
          <w:rFonts w:asciiTheme="minorHAnsi" w:hAnsiTheme="minorHAnsi" w:cstheme="minorHAnsi"/>
          <w:sz w:val="26"/>
          <w:szCs w:val="26"/>
        </w:rPr>
        <w:t>wa</w:t>
      </w:r>
      <w:r w:rsidR="004E2AC4" w:rsidRPr="00BF6994">
        <w:rPr>
          <w:rFonts w:asciiTheme="minorHAnsi" w:hAnsiTheme="minorHAnsi" w:cstheme="minorHAnsi"/>
          <w:sz w:val="26"/>
          <w:szCs w:val="26"/>
        </w:rPr>
        <w:t>s set out. Mr M</w:t>
      </w:r>
      <w:r w:rsidR="00003211" w:rsidRPr="00BF6994">
        <w:rPr>
          <w:rFonts w:asciiTheme="minorHAnsi" w:hAnsiTheme="minorHAnsi" w:cstheme="minorHAnsi"/>
          <w:sz w:val="26"/>
          <w:szCs w:val="26"/>
        </w:rPr>
        <w:t>a</w:t>
      </w:r>
      <w:r w:rsidR="004E2AC4" w:rsidRPr="00BF6994">
        <w:rPr>
          <w:rFonts w:asciiTheme="minorHAnsi" w:hAnsiTheme="minorHAnsi" w:cstheme="minorHAnsi"/>
          <w:sz w:val="26"/>
          <w:szCs w:val="26"/>
        </w:rPr>
        <w:t xml:space="preserve">loka’s argument that Liberty took a further step in the cause </w:t>
      </w:r>
      <w:r w:rsidR="00003211" w:rsidRPr="00BF6994">
        <w:rPr>
          <w:rFonts w:asciiTheme="minorHAnsi" w:hAnsiTheme="minorHAnsi" w:cstheme="minorHAnsi"/>
          <w:sz w:val="26"/>
          <w:szCs w:val="26"/>
        </w:rPr>
        <w:t>wa</w:t>
      </w:r>
      <w:r w:rsidR="004E2AC4" w:rsidRPr="00BF6994">
        <w:rPr>
          <w:rFonts w:asciiTheme="minorHAnsi" w:hAnsiTheme="minorHAnsi" w:cstheme="minorHAnsi"/>
          <w:sz w:val="26"/>
          <w:szCs w:val="26"/>
        </w:rPr>
        <w:t xml:space="preserve">s dealt with in paragraph 13 of the judgment. </w:t>
      </w:r>
    </w:p>
    <w:p w:rsidR="00785A83" w:rsidRPr="006A31DA" w:rsidRDefault="00785A83" w:rsidP="00683BD7">
      <w:pPr>
        <w:pStyle w:val="ListParagraph"/>
        <w:rPr>
          <w:rFonts w:asciiTheme="minorHAnsi" w:hAnsiTheme="minorHAnsi" w:cstheme="minorHAnsi"/>
          <w:sz w:val="26"/>
          <w:szCs w:val="26"/>
        </w:rPr>
      </w:pPr>
    </w:p>
    <w:p w:rsidR="00945997" w:rsidRPr="00BF6994" w:rsidRDefault="00BF6994" w:rsidP="00BF6994">
      <w:pPr>
        <w:spacing w:line="360" w:lineRule="auto"/>
        <w:ind w:left="851" w:hanging="851"/>
        <w:jc w:val="both"/>
        <w:rPr>
          <w:rFonts w:asciiTheme="minorHAnsi" w:hAnsiTheme="minorHAnsi" w:cstheme="minorHAnsi"/>
          <w:sz w:val="26"/>
          <w:szCs w:val="26"/>
        </w:rPr>
      </w:pPr>
      <w:r w:rsidRPr="00945997">
        <w:rPr>
          <w:rFonts w:asciiTheme="minorHAnsi" w:hAnsiTheme="minorHAnsi" w:cstheme="minorHAnsi"/>
          <w:sz w:val="26"/>
          <w:szCs w:val="26"/>
        </w:rPr>
        <w:t>17.</w:t>
      </w:r>
      <w:r w:rsidRPr="00945997">
        <w:rPr>
          <w:rFonts w:asciiTheme="minorHAnsi" w:hAnsiTheme="minorHAnsi" w:cstheme="minorHAnsi"/>
          <w:sz w:val="26"/>
          <w:szCs w:val="26"/>
        </w:rPr>
        <w:tab/>
      </w:r>
      <w:r w:rsidR="00644005" w:rsidRPr="00BF6994">
        <w:rPr>
          <w:rFonts w:asciiTheme="minorHAnsi" w:hAnsiTheme="minorHAnsi" w:cstheme="minorHAnsi"/>
          <w:sz w:val="26"/>
          <w:szCs w:val="26"/>
        </w:rPr>
        <w:t>I remain unpersuaded that the submissions made under this rubric</w:t>
      </w:r>
      <w:r w:rsidR="0023412D" w:rsidRPr="00BF6994">
        <w:rPr>
          <w:rFonts w:asciiTheme="minorHAnsi" w:hAnsiTheme="minorHAnsi" w:cstheme="minorHAnsi"/>
          <w:sz w:val="26"/>
          <w:szCs w:val="26"/>
        </w:rPr>
        <w:t xml:space="preserve">, which were </w:t>
      </w:r>
      <w:r w:rsidR="004F1181" w:rsidRPr="00BF6994">
        <w:rPr>
          <w:rFonts w:asciiTheme="minorHAnsi" w:hAnsiTheme="minorHAnsi" w:cstheme="minorHAnsi"/>
          <w:sz w:val="26"/>
          <w:szCs w:val="26"/>
        </w:rPr>
        <w:t>largely a repeat of Mr M</w:t>
      </w:r>
      <w:r w:rsidR="008912C3" w:rsidRPr="00BF6994">
        <w:rPr>
          <w:rFonts w:asciiTheme="minorHAnsi" w:hAnsiTheme="minorHAnsi" w:cstheme="minorHAnsi"/>
          <w:sz w:val="26"/>
          <w:szCs w:val="26"/>
        </w:rPr>
        <w:t>a</w:t>
      </w:r>
      <w:r w:rsidR="004F1181" w:rsidRPr="00BF6994">
        <w:rPr>
          <w:rFonts w:asciiTheme="minorHAnsi" w:hAnsiTheme="minorHAnsi" w:cstheme="minorHAnsi"/>
          <w:sz w:val="26"/>
          <w:szCs w:val="26"/>
        </w:rPr>
        <w:t>loka’s submissions</w:t>
      </w:r>
      <w:r w:rsidR="0023412D" w:rsidRPr="00BF6994">
        <w:rPr>
          <w:rFonts w:asciiTheme="minorHAnsi" w:hAnsiTheme="minorHAnsi" w:cstheme="minorHAnsi"/>
          <w:sz w:val="26"/>
          <w:szCs w:val="26"/>
        </w:rPr>
        <w:t xml:space="preserve"> </w:t>
      </w:r>
      <w:r w:rsidR="004F1181" w:rsidRPr="00BF6994">
        <w:rPr>
          <w:rFonts w:asciiTheme="minorHAnsi" w:hAnsiTheme="minorHAnsi" w:cstheme="minorHAnsi"/>
          <w:sz w:val="26"/>
          <w:szCs w:val="26"/>
        </w:rPr>
        <w:t xml:space="preserve">made </w:t>
      </w:r>
      <w:r w:rsidR="0023412D" w:rsidRPr="00BF6994">
        <w:rPr>
          <w:rFonts w:asciiTheme="minorHAnsi" w:hAnsiTheme="minorHAnsi" w:cstheme="minorHAnsi"/>
          <w:sz w:val="26"/>
          <w:szCs w:val="26"/>
        </w:rPr>
        <w:t>at the hearing of the rule 47 application</w:t>
      </w:r>
      <w:r w:rsidR="00DC275C" w:rsidRPr="00BF6994">
        <w:rPr>
          <w:rFonts w:asciiTheme="minorHAnsi" w:hAnsiTheme="minorHAnsi" w:cstheme="minorHAnsi"/>
          <w:sz w:val="26"/>
          <w:szCs w:val="26"/>
        </w:rPr>
        <w:t>,</w:t>
      </w:r>
      <w:r w:rsidR="00644005" w:rsidRPr="00BF6994">
        <w:rPr>
          <w:rFonts w:asciiTheme="minorHAnsi" w:hAnsiTheme="minorHAnsi" w:cstheme="minorHAnsi"/>
          <w:sz w:val="26"/>
          <w:szCs w:val="26"/>
        </w:rPr>
        <w:t xml:space="preserve"> carry </w:t>
      </w:r>
      <w:r w:rsidR="00C94735" w:rsidRPr="00BF6994">
        <w:rPr>
          <w:rFonts w:asciiTheme="minorHAnsi" w:hAnsiTheme="minorHAnsi" w:cstheme="minorHAnsi"/>
          <w:sz w:val="26"/>
          <w:szCs w:val="26"/>
        </w:rPr>
        <w:t xml:space="preserve">reasonable </w:t>
      </w:r>
      <w:r w:rsidR="00644005" w:rsidRPr="00BF6994">
        <w:rPr>
          <w:rFonts w:asciiTheme="minorHAnsi" w:hAnsiTheme="minorHAnsi" w:cstheme="minorHAnsi"/>
          <w:sz w:val="26"/>
          <w:szCs w:val="26"/>
        </w:rPr>
        <w:t>prospects of success.</w:t>
      </w:r>
      <w:r w:rsidR="00882F96" w:rsidRPr="00BF6994">
        <w:rPr>
          <w:rFonts w:asciiTheme="minorHAnsi" w:hAnsiTheme="minorHAnsi" w:cstheme="minorHAnsi"/>
          <w:sz w:val="26"/>
          <w:szCs w:val="26"/>
        </w:rPr>
        <w:t xml:space="preserve"> I am fortified in </w:t>
      </w:r>
      <w:r w:rsidR="00945997" w:rsidRPr="00BF6994">
        <w:rPr>
          <w:rFonts w:asciiTheme="minorHAnsi" w:hAnsiTheme="minorHAnsi" w:cstheme="minorHAnsi"/>
          <w:sz w:val="26"/>
          <w:szCs w:val="26"/>
        </w:rPr>
        <w:t>such</w:t>
      </w:r>
      <w:r w:rsidR="00882F96" w:rsidRPr="00BF6994">
        <w:rPr>
          <w:rFonts w:asciiTheme="minorHAnsi" w:hAnsiTheme="minorHAnsi" w:cstheme="minorHAnsi"/>
          <w:sz w:val="26"/>
          <w:szCs w:val="26"/>
        </w:rPr>
        <w:t xml:space="preserve"> view, </w:t>
      </w:r>
      <w:r w:rsidR="00C94735" w:rsidRPr="00BF6994">
        <w:rPr>
          <w:rFonts w:asciiTheme="minorHAnsi" w:hAnsiTheme="minorHAnsi" w:cstheme="minorHAnsi"/>
          <w:sz w:val="26"/>
          <w:szCs w:val="26"/>
        </w:rPr>
        <w:t>having considered</w:t>
      </w:r>
      <w:r w:rsidR="00882F96" w:rsidRPr="00BF6994">
        <w:rPr>
          <w:rFonts w:asciiTheme="minorHAnsi" w:hAnsiTheme="minorHAnsi" w:cstheme="minorHAnsi"/>
          <w:sz w:val="26"/>
          <w:szCs w:val="26"/>
        </w:rPr>
        <w:t xml:space="preserve"> the judgment of </w:t>
      </w:r>
      <w:r w:rsidR="00882F96" w:rsidRPr="00BF6994">
        <w:rPr>
          <w:rFonts w:asciiTheme="minorHAnsi" w:hAnsiTheme="minorHAnsi" w:cstheme="minorHAnsi"/>
          <w:bCs/>
          <w:sz w:val="26"/>
          <w:szCs w:val="26"/>
        </w:rPr>
        <w:t xml:space="preserve">Tlhotlhalemaje J in </w:t>
      </w:r>
      <w:r w:rsidR="00882F96" w:rsidRPr="00BF6994">
        <w:rPr>
          <w:rFonts w:asciiTheme="minorHAnsi" w:hAnsiTheme="minorHAnsi" w:cstheme="minorHAnsi"/>
          <w:bCs/>
          <w:i/>
          <w:sz w:val="26"/>
          <w:szCs w:val="26"/>
        </w:rPr>
        <w:t>Liberty Holdings v Maloka</w:t>
      </w:r>
      <w:r w:rsidR="00882F96" w:rsidRPr="00BF6994">
        <w:rPr>
          <w:rFonts w:asciiTheme="minorHAnsi" w:hAnsiTheme="minorHAnsi" w:cstheme="minorHAnsi"/>
          <w:bCs/>
          <w:sz w:val="26"/>
          <w:szCs w:val="26"/>
        </w:rPr>
        <w:t xml:space="preserve"> (2021/19942) [2022] ZAGPJHC 423 (24 June 2022)</w:t>
      </w:r>
      <w:r w:rsidR="00882F96" w:rsidRPr="00945997">
        <w:rPr>
          <w:rStyle w:val="FootnoteReference"/>
          <w:rFonts w:asciiTheme="minorHAnsi" w:hAnsiTheme="minorHAnsi" w:cstheme="minorHAnsi"/>
          <w:bCs/>
          <w:sz w:val="26"/>
          <w:szCs w:val="26"/>
        </w:rPr>
        <w:footnoteReference w:id="11"/>
      </w:r>
      <w:r w:rsidR="00882F96" w:rsidRPr="00BF6994">
        <w:rPr>
          <w:rFonts w:asciiTheme="minorHAnsi" w:hAnsiTheme="minorHAnsi" w:cstheme="minorHAnsi"/>
          <w:bCs/>
          <w:sz w:val="26"/>
          <w:szCs w:val="26"/>
        </w:rPr>
        <w:t>, which</w:t>
      </w:r>
      <w:r w:rsidR="00A228D1" w:rsidRPr="00BF6994">
        <w:rPr>
          <w:rFonts w:asciiTheme="minorHAnsi" w:hAnsiTheme="minorHAnsi" w:cstheme="minorHAnsi"/>
          <w:bCs/>
          <w:sz w:val="26"/>
          <w:szCs w:val="26"/>
        </w:rPr>
        <w:t xml:space="preserve"> judgment</w:t>
      </w:r>
      <w:r w:rsidR="008912C3" w:rsidRPr="00BF6994">
        <w:rPr>
          <w:rFonts w:asciiTheme="minorHAnsi" w:hAnsiTheme="minorHAnsi" w:cstheme="minorHAnsi"/>
          <w:bCs/>
          <w:sz w:val="26"/>
          <w:szCs w:val="26"/>
        </w:rPr>
        <w:t>,</w:t>
      </w:r>
      <w:r w:rsidR="00A228D1" w:rsidRPr="00BF6994">
        <w:rPr>
          <w:rFonts w:asciiTheme="minorHAnsi" w:hAnsiTheme="minorHAnsi" w:cstheme="minorHAnsi"/>
          <w:bCs/>
          <w:sz w:val="26"/>
          <w:szCs w:val="26"/>
        </w:rPr>
        <w:t xml:space="preserve"> </w:t>
      </w:r>
      <w:r w:rsidR="00882F96" w:rsidRPr="00BF6994">
        <w:rPr>
          <w:rFonts w:asciiTheme="minorHAnsi" w:hAnsiTheme="minorHAnsi" w:cstheme="minorHAnsi"/>
          <w:bCs/>
          <w:sz w:val="26"/>
          <w:szCs w:val="26"/>
        </w:rPr>
        <w:t xml:space="preserve">counsel for the respondent </w:t>
      </w:r>
      <w:r w:rsidR="000F21D9" w:rsidRPr="00BF6994">
        <w:rPr>
          <w:rFonts w:asciiTheme="minorHAnsi" w:hAnsiTheme="minorHAnsi" w:cstheme="minorHAnsi"/>
          <w:bCs/>
          <w:sz w:val="26"/>
          <w:szCs w:val="26"/>
        </w:rPr>
        <w:t>submitted, illustrate</w:t>
      </w:r>
      <w:r w:rsidR="008912C3" w:rsidRPr="00BF6994">
        <w:rPr>
          <w:rFonts w:asciiTheme="minorHAnsi" w:hAnsiTheme="minorHAnsi" w:cstheme="minorHAnsi"/>
          <w:bCs/>
          <w:sz w:val="26"/>
          <w:szCs w:val="26"/>
        </w:rPr>
        <w:t>s</w:t>
      </w:r>
      <w:r w:rsidR="000F21D9" w:rsidRPr="00BF6994">
        <w:rPr>
          <w:rFonts w:asciiTheme="minorHAnsi" w:hAnsiTheme="minorHAnsi" w:cstheme="minorHAnsi"/>
          <w:bCs/>
          <w:sz w:val="26"/>
          <w:szCs w:val="26"/>
        </w:rPr>
        <w:t xml:space="preserve"> that the wrong approach adopted by Mr M</w:t>
      </w:r>
      <w:r w:rsidR="008912C3" w:rsidRPr="00BF6994">
        <w:rPr>
          <w:rFonts w:asciiTheme="minorHAnsi" w:hAnsiTheme="minorHAnsi" w:cstheme="minorHAnsi"/>
          <w:bCs/>
          <w:sz w:val="26"/>
          <w:szCs w:val="26"/>
        </w:rPr>
        <w:t>a</w:t>
      </w:r>
      <w:r w:rsidR="000F21D9" w:rsidRPr="00BF6994">
        <w:rPr>
          <w:rFonts w:asciiTheme="minorHAnsi" w:hAnsiTheme="minorHAnsi" w:cstheme="minorHAnsi"/>
          <w:bCs/>
          <w:sz w:val="26"/>
          <w:szCs w:val="26"/>
        </w:rPr>
        <w:t xml:space="preserve">loka in the Labour court </w:t>
      </w:r>
      <w:r w:rsidR="008912C3" w:rsidRPr="00BF6994">
        <w:rPr>
          <w:rFonts w:asciiTheme="minorHAnsi" w:hAnsiTheme="minorHAnsi" w:cstheme="minorHAnsi"/>
          <w:bCs/>
          <w:sz w:val="26"/>
          <w:szCs w:val="26"/>
        </w:rPr>
        <w:t xml:space="preserve">(as to the form of the proceedings utilised) </w:t>
      </w:r>
      <w:r w:rsidR="000F21D9" w:rsidRPr="00BF6994">
        <w:rPr>
          <w:rFonts w:asciiTheme="minorHAnsi" w:hAnsiTheme="minorHAnsi" w:cstheme="minorHAnsi"/>
          <w:bCs/>
          <w:sz w:val="26"/>
          <w:szCs w:val="26"/>
        </w:rPr>
        <w:t xml:space="preserve">was characteristic of the approach he </w:t>
      </w:r>
      <w:r w:rsidR="00003211" w:rsidRPr="00BF6994">
        <w:rPr>
          <w:rFonts w:asciiTheme="minorHAnsi" w:hAnsiTheme="minorHAnsi" w:cstheme="minorHAnsi"/>
          <w:bCs/>
          <w:sz w:val="26"/>
          <w:szCs w:val="26"/>
        </w:rPr>
        <w:t xml:space="preserve">again </w:t>
      </w:r>
      <w:r w:rsidR="000F21D9" w:rsidRPr="00BF6994">
        <w:rPr>
          <w:rFonts w:asciiTheme="minorHAnsi" w:hAnsiTheme="minorHAnsi" w:cstheme="minorHAnsi"/>
          <w:bCs/>
          <w:sz w:val="26"/>
          <w:szCs w:val="26"/>
        </w:rPr>
        <w:t xml:space="preserve">adopted in </w:t>
      </w:r>
      <w:r w:rsidR="008912C3" w:rsidRPr="00BF6994">
        <w:rPr>
          <w:rFonts w:asciiTheme="minorHAnsi" w:hAnsiTheme="minorHAnsi" w:cstheme="minorHAnsi"/>
          <w:bCs/>
          <w:sz w:val="26"/>
          <w:szCs w:val="26"/>
        </w:rPr>
        <w:t xml:space="preserve">this court in </w:t>
      </w:r>
      <w:r w:rsidR="000F21D9" w:rsidRPr="00BF6994">
        <w:rPr>
          <w:rFonts w:asciiTheme="minorHAnsi" w:hAnsiTheme="minorHAnsi" w:cstheme="minorHAnsi"/>
          <w:bCs/>
          <w:sz w:val="26"/>
          <w:szCs w:val="26"/>
        </w:rPr>
        <w:t xml:space="preserve">seeking relief on motion in the pending main application. </w:t>
      </w:r>
      <w:r w:rsidR="00797373" w:rsidRPr="00BF6994">
        <w:rPr>
          <w:rFonts w:asciiTheme="minorHAnsi" w:hAnsiTheme="minorHAnsi" w:cstheme="minorHAnsi"/>
          <w:bCs/>
          <w:sz w:val="26"/>
          <w:szCs w:val="26"/>
        </w:rPr>
        <w:t xml:space="preserve">It should be remembered that </w:t>
      </w:r>
      <w:r w:rsidR="00945997" w:rsidRPr="00BF6994">
        <w:rPr>
          <w:rFonts w:asciiTheme="minorHAnsi" w:hAnsiTheme="minorHAnsi" w:cstheme="minorHAnsi"/>
          <w:bCs/>
          <w:sz w:val="26"/>
          <w:szCs w:val="26"/>
        </w:rPr>
        <w:t xml:space="preserve">Liberty’s case in the Rule 47 application was that the frequency and proliferation of unsustainable claims brought by Mr Moloka against Liberty since his dismissal from its employ on 31 December 2019, </w:t>
      </w:r>
      <w:r w:rsidR="00003211" w:rsidRPr="00BF6994">
        <w:rPr>
          <w:rFonts w:asciiTheme="minorHAnsi" w:hAnsiTheme="minorHAnsi" w:cstheme="minorHAnsi"/>
          <w:bCs/>
          <w:sz w:val="26"/>
          <w:szCs w:val="26"/>
        </w:rPr>
        <w:t>wa</w:t>
      </w:r>
      <w:r w:rsidR="00945997" w:rsidRPr="00BF6994">
        <w:rPr>
          <w:rFonts w:asciiTheme="minorHAnsi" w:hAnsiTheme="minorHAnsi" w:cstheme="minorHAnsi"/>
          <w:bCs/>
          <w:sz w:val="26"/>
          <w:szCs w:val="26"/>
        </w:rPr>
        <w:t xml:space="preserve">s indicative of a pattern of vexatious litigation arising in different fora, </w:t>
      </w:r>
      <w:r w:rsidR="008912C3" w:rsidRPr="00BF6994">
        <w:rPr>
          <w:rFonts w:asciiTheme="minorHAnsi" w:hAnsiTheme="minorHAnsi" w:cstheme="minorHAnsi"/>
          <w:bCs/>
          <w:sz w:val="26"/>
          <w:szCs w:val="26"/>
        </w:rPr>
        <w:t>underscoring the need for the provision of</w:t>
      </w:r>
      <w:r w:rsidR="00945997" w:rsidRPr="00BF6994">
        <w:rPr>
          <w:rFonts w:asciiTheme="minorHAnsi" w:hAnsiTheme="minorHAnsi" w:cstheme="minorHAnsi"/>
          <w:bCs/>
          <w:sz w:val="26"/>
          <w:szCs w:val="26"/>
        </w:rPr>
        <w:t xml:space="preserve"> security for Liberty’s costs in the </w:t>
      </w:r>
      <w:r w:rsidR="00003211" w:rsidRPr="00BF6994">
        <w:rPr>
          <w:rFonts w:asciiTheme="minorHAnsi" w:hAnsiTheme="minorHAnsi" w:cstheme="minorHAnsi"/>
          <w:bCs/>
          <w:sz w:val="26"/>
          <w:szCs w:val="26"/>
        </w:rPr>
        <w:t xml:space="preserve">pending </w:t>
      </w:r>
      <w:r w:rsidR="00945997" w:rsidRPr="00BF6994">
        <w:rPr>
          <w:rFonts w:asciiTheme="minorHAnsi" w:hAnsiTheme="minorHAnsi" w:cstheme="minorHAnsi"/>
          <w:bCs/>
          <w:sz w:val="26"/>
          <w:szCs w:val="26"/>
        </w:rPr>
        <w:t xml:space="preserve">main application. </w:t>
      </w:r>
      <w:r w:rsidR="008912C3" w:rsidRPr="00BF6994">
        <w:rPr>
          <w:rFonts w:asciiTheme="minorHAnsi" w:hAnsiTheme="minorHAnsi" w:cstheme="minorHAnsi"/>
          <w:bCs/>
          <w:sz w:val="26"/>
          <w:szCs w:val="26"/>
        </w:rPr>
        <w:t xml:space="preserve">In the case of </w:t>
      </w:r>
      <w:r w:rsidR="008912C3" w:rsidRPr="00BF6994">
        <w:rPr>
          <w:rFonts w:asciiTheme="minorHAnsi" w:hAnsiTheme="minorHAnsi" w:cstheme="minorHAnsi"/>
          <w:bCs/>
          <w:i/>
          <w:sz w:val="26"/>
          <w:szCs w:val="26"/>
        </w:rPr>
        <w:t>Liberty Holdings v Maloka</w:t>
      </w:r>
      <w:r w:rsidR="008912C3" w:rsidRPr="00BF6994">
        <w:rPr>
          <w:rFonts w:asciiTheme="minorHAnsi" w:hAnsiTheme="minorHAnsi" w:cstheme="minorHAnsi"/>
          <w:bCs/>
          <w:sz w:val="26"/>
          <w:szCs w:val="26"/>
        </w:rPr>
        <w:t xml:space="preserve">, </w:t>
      </w:r>
      <w:r w:rsidR="00945997" w:rsidRPr="00BF6994">
        <w:rPr>
          <w:rFonts w:asciiTheme="minorHAnsi" w:hAnsiTheme="minorHAnsi" w:cstheme="minorHAnsi"/>
          <w:bCs/>
          <w:sz w:val="26"/>
          <w:szCs w:val="26"/>
        </w:rPr>
        <w:t>Mr M</w:t>
      </w:r>
      <w:r w:rsidR="00003211" w:rsidRPr="00BF6994">
        <w:rPr>
          <w:rFonts w:asciiTheme="minorHAnsi" w:hAnsiTheme="minorHAnsi" w:cstheme="minorHAnsi"/>
          <w:bCs/>
          <w:sz w:val="26"/>
          <w:szCs w:val="26"/>
        </w:rPr>
        <w:t>a</w:t>
      </w:r>
      <w:r w:rsidR="00945997" w:rsidRPr="00BF6994">
        <w:rPr>
          <w:rFonts w:asciiTheme="minorHAnsi" w:hAnsiTheme="minorHAnsi" w:cstheme="minorHAnsi"/>
          <w:bCs/>
          <w:sz w:val="26"/>
          <w:szCs w:val="26"/>
        </w:rPr>
        <w:t xml:space="preserve">loka </w:t>
      </w:r>
      <w:r w:rsidR="008912C3" w:rsidRPr="00BF6994">
        <w:rPr>
          <w:rFonts w:asciiTheme="minorHAnsi" w:hAnsiTheme="minorHAnsi" w:cstheme="minorHAnsi"/>
          <w:bCs/>
          <w:sz w:val="26"/>
          <w:szCs w:val="26"/>
        </w:rPr>
        <w:t xml:space="preserve">had </w:t>
      </w:r>
      <w:r w:rsidR="00945997" w:rsidRPr="00BF6994">
        <w:rPr>
          <w:rFonts w:asciiTheme="minorHAnsi" w:hAnsiTheme="minorHAnsi" w:cstheme="minorHAnsi"/>
          <w:bCs/>
          <w:sz w:val="26"/>
          <w:szCs w:val="26"/>
        </w:rPr>
        <w:t xml:space="preserve">sought condonation for filing his claim in respect of his referral of an </w:t>
      </w:r>
      <w:r w:rsidR="00945997" w:rsidRPr="00BF6994">
        <w:rPr>
          <w:rFonts w:asciiTheme="minorHAnsi" w:hAnsiTheme="minorHAnsi" w:cstheme="minorHAnsi"/>
          <w:color w:val="242121"/>
          <w:sz w:val="26"/>
          <w:szCs w:val="26"/>
          <w:shd w:val="clear" w:color="auto" w:fill="FFFFFF"/>
        </w:rPr>
        <w:t>alleged automatically unfair dismissal</w:t>
      </w:r>
      <w:r w:rsidR="00945997" w:rsidRPr="00BF6994">
        <w:rPr>
          <w:rFonts w:asciiTheme="minorHAnsi" w:hAnsiTheme="minorHAnsi" w:cstheme="minorHAnsi"/>
          <w:bCs/>
          <w:sz w:val="26"/>
          <w:szCs w:val="26"/>
        </w:rPr>
        <w:t xml:space="preserve"> to the Labour court 240 days late. The Labour court found that </w:t>
      </w:r>
      <w:r w:rsidR="00945997" w:rsidRPr="00BF6994">
        <w:rPr>
          <w:rFonts w:asciiTheme="minorHAnsi" w:hAnsiTheme="minorHAnsi" w:cstheme="minorHAnsi"/>
          <w:color w:val="242121"/>
          <w:sz w:val="26"/>
          <w:szCs w:val="26"/>
          <w:shd w:val="clear" w:color="auto" w:fill="FFFFFF"/>
        </w:rPr>
        <w:t xml:space="preserve">the explanation provided by </w:t>
      </w:r>
      <w:r w:rsidR="00003211" w:rsidRPr="00BF6994">
        <w:rPr>
          <w:rFonts w:asciiTheme="minorHAnsi" w:hAnsiTheme="minorHAnsi" w:cstheme="minorHAnsi"/>
          <w:color w:val="242121"/>
          <w:sz w:val="26"/>
          <w:szCs w:val="26"/>
          <w:shd w:val="clear" w:color="auto" w:fill="FFFFFF"/>
        </w:rPr>
        <w:t>him</w:t>
      </w:r>
      <w:r w:rsidR="00945997" w:rsidRPr="00BF6994">
        <w:rPr>
          <w:rFonts w:asciiTheme="minorHAnsi" w:hAnsiTheme="minorHAnsi" w:cstheme="minorHAnsi"/>
          <w:color w:val="242121"/>
          <w:sz w:val="26"/>
          <w:szCs w:val="26"/>
          <w:shd w:val="clear" w:color="auto" w:fill="FFFFFF"/>
        </w:rPr>
        <w:t xml:space="preserve"> for the delay was not easily discernible</w:t>
      </w:r>
      <w:r w:rsidR="00945997" w:rsidRPr="00945997">
        <w:rPr>
          <w:rStyle w:val="FootnoteReference"/>
          <w:rFonts w:asciiTheme="minorHAnsi" w:hAnsiTheme="minorHAnsi" w:cstheme="minorHAnsi"/>
          <w:color w:val="242121"/>
          <w:sz w:val="26"/>
          <w:szCs w:val="26"/>
          <w:shd w:val="clear" w:color="auto" w:fill="FFFFFF"/>
        </w:rPr>
        <w:footnoteReference w:id="12"/>
      </w:r>
      <w:r w:rsidR="00945997" w:rsidRPr="00BF6994">
        <w:rPr>
          <w:rFonts w:asciiTheme="minorHAnsi" w:hAnsiTheme="minorHAnsi" w:cstheme="minorHAnsi"/>
          <w:bCs/>
          <w:sz w:val="26"/>
          <w:szCs w:val="26"/>
        </w:rPr>
        <w:t xml:space="preserve"> but that such explanation as the court </w:t>
      </w:r>
      <w:r w:rsidR="00945997" w:rsidRPr="00BF6994">
        <w:rPr>
          <w:rFonts w:asciiTheme="minorHAnsi" w:hAnsiTheme="minorHAnsi" w:cstheme="minorHAnsi"/>
          <w:bCs/>
          <w:sz w:val="26"/>
          <w:szCs w:val="26"/>
        </w:rPr>
        <w:lastRenderedPageBreak/>
        <w:t>was able to fathom was in any event not satisfactory</w:t>
      </w:r>
      <w:r w:rsidR="00945997" w:rsidRPr="00945997">
        <w:rPr>
          <w:rStyle w:val="FootnoteReference"/>
          <w:rFonts w:asciiTheme="minorHAnsi" w:hAnsiTheme="minorHAnsi" w:cstheme="minorHAnsi"/>
          <w:bCs/>
          <w:sz w:val="26"/>
          <w:szCs w:val="26"/>
        </w:rPr>
        <w:footnoteReference w:id="13"/>
      </w:r>
      <w:r w:rsidR="00945997" w:rsidRPr="00BF6994">
        <w:rPr>
          <w:rFonts w:asciiTheme="minorHAnsi" w:hAnsiTheme="minorHAnsi" w:cstheme="minorHAnsi"/>
          <w:bCs/>
          <w:sz w:val="26"/>
          <w:szCs w:val="26"/>
        </w:rPr>
        <w:t>. In par 17 of the judgment, the court held that ‘</w:t>
      </w:r>
      <w:r w:rsidR="00945997" w:rsidRPr="00BF6994">
        <w:rPr>
          <w:rFonts w:asciiTheme="minorHAnsi" w:hAnsiTheme="minorHAnsi" w:cstheme="minorHAnsi"/>
          <w:i/>
          <w:color w:val="242121"/>
          <w:sz w:val="26"/>
          <w:szCs w:val="26"/>
          <w:shd w:val="clear" w:color="auto" w:fill="FFFFFF"/>
        </w:rPr>
        <w:t>The averments made by the applicant…do not come close to disclosing any cause of action. In fact it is difficult to comprehend what the applicant’s claim is all about.’</w:t>
      </w:r>
      <w:r w:rsidR="00945997" w:rsidRPr="00945997">
        <w:rPr>
          <w:rStyle w:val="FootnoteReference"/>
          <w:rFonts w:asciiTheme="minorHAnsi" w:hAnsiTheme="minorHAnsi" w:cstheme="minorHAnsi"/>
          <w:i/>
          <w:color w:val="242121"/>
          <w:sz w:val="26"/>
          <w:szCs w:val="26"/>
          <w:shd w:val="clear" w:color="auto" w:fill="FFFFFF"/>
        </w:rPr>
        <w:footnoteReference w:id="14"/>
      </w:r>
      <w:r w:rsidR="00945997" w:rsidRPr="00BF6994">
        <w:rPr>
          <w:rFonts w:asciiTheme="minorHAnsi" w:hAnsiTheme="minorHAnsi" w:cstheme="minorHAnsi"/>
          <w:i/>
          <w:color w:val="242121"/>
          <w:sz w:val="26"/>
          <w:szCs w:val="26"/>
          <w:shd w:val="clear" w:color="auto" w:fill="FFFFFF"/>
        </w:rPr>
        <w:t xml:space="preserve"> </w:t>
      </w:r>
      <w:r w:rsidR="00945997" w:rsidRPr="00BF6994">
        <w:rPr>
          <w:rFonts w:asciiTheme="minorHAnsi" w:hAnsiTheme="minorHAnsi" w:cstheme="minorHAnsi"/>
          <w:color w:val="242121"/>
          <w:sz w:val="26"/>
          <w:szCs w:val="26"/>
          <w:shd w:val="clear" w:color="auto" w:fill="FFFFFF"/>
        </w:rPr>
        <w:t>In par 20 of the judgment, the court held that</w:t>
      </w:r>
      <w:r w:rsidR="00945997" w:rsidRPr="00BF6994">
        <w:rPr>
          <w:rFonts w:asciiTheme="minorHAnsi" w:hAnsiTheme="minorHAnsi" w:cstheme="minorHAnsi"/>
          <w:i/>
          <w:color w:val="242121"/>
          <w:sz w:val="26"/>
          <w:szCs w:val="26"/>
          <w:shd w:val="clear" w:color="auto" w:fill="FFFFFF"/>
        </w:rPr>
        <w:t xml:space="preserve"> </w:t>
      </w:r>
      <w:r w:rsidR="00945997" w:rsidRPr="00BF6994">
        <w:rPr>
          <w:rFonts w:asciiTheme="minorHAnsi" w:hAnsiTheme="minorHAnsi" w:cstheme="minorHAnsi"/>
          <w:color w:val="242121"/>
          <w:sz w:val="26"/>
          <w:szCs w:val="26"/>
          <w:shd w:val="clear" w:color="auto" w:fill="FFFFFF"/>
        </w:rPr>
        <w:t>‘</w:t>
      </w:r>
      <w:r w:rsidR="00945997" w:rsidRPr="00BF6994">
        <w:rPr>
          <w:rFonts w:asciiTheme="minorHAnsi" w:hAnsiTheme="minorHAnsi" w:cstheme="minorHAnsi"/>
          <w:i/>
          <w:color w:val="242121"/>
          <w:sz w:val="26"/>
          <w:szCs w:val="26"/>
          <w:shd w:val="clear" w:color="auto" w:fill="FFFFFF"/>
        </w:rPr>
        <w:t>It can only be reiterated that disputes surrounding any alleged automatically unfair dismissals ought ordinarily be brought by way of action proceedings. This is so in that motion proceedings are unsuited for such claims for obvious reasons, which are mainly the disputes of fact that may arise and</w:t>
      </w:r>
      <w:r w:rsidR="00945997" w:rsidRPr="00BF6994">
        <w:rPr>
          <w:rFonts w:asciiTheme="minorHAnsi" w:hAnsiTheme="minorHAnsi" w:cstheme="minorHAnsi"/>
          <w:b/>
          <w:i/>
          <w:color w:val="242121"/>
          <w:sz w:val="26"/>
          <w:szCs w:val="26"/>
          <w:shd w:val="clear" w:color="auto" w:fill="FFFFFF"/>
        </w:rPr>
        <w:t xml:space="preserve"> </w:t>
      </w:r>
      <w:r w:rsidR="00945997" w:rsidRPr="00BF6994">
        <w:rPr>
          <w:rFonts w:asciiTheme="minorHAnsi" w:hAnsiTheme="minorHAnsi" w:cstheme="minorHAnsi"/>
          <w:i/>
          <w:color w:val="242121"/>
          <w:sz w:val="26"/>
          <w:szCs w:val="26"/>
          <w:shd w:val="clear" w:color="auto" w:fill="FFFFFF"/>
        </w:rPr>
        <w:t>that ought to be anticipated. Thus, even if the applicant was to be granted condonation, he would still need to explain the reason that his claim was brought before the Court in the manner he did, and why it ought to be determined</w:t>
      </w:r>
      <w:r w:rsidR="00945997" w:rsidRPr="00BF6994">
        <w:rPr>
          <w:color w:val="242121"/>
          <w:sz w:val="26"/>
          <w:szCs w:val="26"/>
          <w:shd w:val="clear" w:color="auto" w:fill="FFFFFF"/>
        </w:rPr>
        <w:t>.’</w:t>
      </w:r>
      <w:r w:rsidR="00945997" w:rsidRPr="00945997">
        <w:rPr>
          <w:rStyle w:val="FootnoteReference"/>
          <w:i/>
          <w:color w:val="242121"/>
          <w:sz w:val="26"/>
          <w:szCs w:val="26"/>
          <w:shd w:val="clear" w:color="auto" w:fill="FFFFFF"/>
        </w:rPr>
        <w:footnoteReference w:id="15"/>
      </w:r>
      <w:r w:rsidR="00945997" w:rsidRPr="00BF6994">
        <w:rPr>
          <w:color w:val="242121"/>
          <w:sz w:val="26"/>
          <w:szCs w:val="26"/>
          <w:shd w:val="clear" w:color="auto" w:fill="FFFFFF"/>
        </w:rPr>
        <w:t xml:space="preserve">  </w:t>
      </w:r>
      <w:r w:rsidR="00945997" w:rsidRPr="00BF6994">
        <w:rPr>
          <w:rFonts w:asciiTheme="minorHAnsi" w:hAnsiTheme="minorHAnsi" w:cstheme="minorHAnsi"/>
          <w:color w:val="242121"/>
          <w:sz w:val="26"/>
          <w:szCs w:val="26"/>
          <w:shd w:val="clear" w:color="auto" w:fill="FFFFFF"/>
        </w:rPr>
        <w:t xml:space="preserve">The </w:t>
      </w:r>
      <w:r w:rsidR="00797373" w:rsidRPr="00BF6994">
        <w:rPr>
          <w:rFonts w:asciiTheme="minorHAnsi" w:hAnsiTheme="minorHAnsi" w:cstheme="minorHAnsi"/>
          <w:color w:val="242121"/>
          <w:sz w:val="26"/>
          <w:szCs w:val="26"/>
          <w:shd w:val="clear" w:color="auto" w:fill="FFFFFF"/>
        </w:rPr>
        <w:t xml:space="preserve">same </w:t>
      </w:r>
      <w:r w:rsidR="00945997" w:rsidRPr="00BF6994">
        <w:rPr>
          <w:rFonts w:asciiTheme="minorHAnsi" w:hAnsiTheme="minorHAnsi" w:cstheme="minorHAnsi"/>
          <w:color w:val="242121"/>
          <w:sz w:val="26"/>
          <w:szCs w:val="26"/>
          <w:shd w:val="clear" w:color="auto" w:fill="FFFFFF"/>
        </w:rPr>
        <w:t>issue regar</w:t>
      </w:r>
      <w:r w:rsidR="00AB27FC" w:rsidRPr="00BF6994">
        <w:rPr>
          <w:rFonts w:asciiTheme="minorHAnsi" w:hAnsiTheme="minorHAnsi" w:cstheme="minorHAnsi"/>
          <w:color w:val="242121"/>
          <w:sz w:val="26"/>
          <w:szCs w:val="26"/>
          <w:shd w:val="clear" w:color="auto" w:fill="FFFFFF"/>
        </w:rPr>
        <w:t>ding</w:t>
      </w:r>
      <w:r w:rsidR="00945997" w:rsidRPr="00BF6994">
        <w:rPr>
          <w:rFonts w:asciiTheme="minorHAnsi" w:hAnsiTheme="minorHAnsi" w:cstheme="minorHAnsi"/>
          <w:color w:val="242121"/>
          <w:sz w:val="26"/>
          <w:szCs w:val="26"/>
          <w:shd w:val="clear" w:color="auto" w:fill="FFFFFF"/>
        </w:rPr>
        <w:t xml:space="preserve"> the manner in which Mr Moloka has brought his </w:t>
      </w:r>
      <w:r w:rsidR="00797373" w:rsidRPr="00BF6994">
        <w:rPr>
          <w:rFonts w:asciiTheme="minorHAnsi" w:hAnsiTheme="minorHAnsi" w:cstheme="minorHAnsi"/>
          <w:color w:val="242121"/>
          <w:sz w:val="26"/>
          <w:szCs w:val="26"/>
          <w:shd w:val="clear" w:color="auto" w:fill="FFFFFF"/>
        </w:rPr>
        <w:t xml:space="preserve">various </w:t>
      </w:r>
      <w:r w:rsidR="00AB27FC" w:rsidRPr="00BF6994">
        <w:rPr>
          <w:rFonts w:asciiTheme="minorHAnsi" w:hAnsiTheme="minorHAnsi" w:cstheme="minorHAnsi"/>
          <w:color w:val="242121"/>
          <w:sz w:val="26"/>
          <w:szCs w:val="26"/>
          <w:shd w:val="clear" w:color="auto" w:fill="FFFFFF"/>
        </w:rPr>
        <w:t>claim</w:t>
      </w:r>
      <w:r w:rsidR="00797373" w:rsidRPr="00BF6994">
        <w:rPr>
          <w:rFonts w:asciiTheme="minorHAnsi" w:hAnsiTheme="minorHAnsi" w:cstheme="minorHAnsi"/>
          <w:color w:val="242121"/>
          <w:sz w:val="26"/>
          <w:szCs w:val="26"/>
          <w:shd w:val="clear" w:color="auto" w:fill="FFFFFF"/>
        </w:rPr>
        <w:t>s</w:t>
      </w:r>
      <w:r w:rsidR="00AB27FC" w:rsidRPr="00BF6994">
        <w:rPr>
          <w:rFonts w:asciiTheme="minorHAnsi" w:hAnsiTheme="minorHAnsi" w:cstheme="minorHAnsi"/>
          <w:color w:val="242121"/>
          <w:sz w:val="26"/>
          <w:szCs w:val="26"/>
          <w:shd w:val="clear" w:color="auto" w:fill="FFFFFF"/>
        </w:rPr>
        <w:t xml:space="preserve"> for damages </w:t>
      </w:r>
      <w:r w:rsidR="004F1181" w:rsidRPr="00BF6994">
        <w:rPr>
          <w:rFonts w:asciiTheme="minorHAnsi" w:hAnsiTheme="minorHAnsi" w:cstheme="minorHAnsi"/>
          <w:color w:val="242121"/>
          <w:sz w:val="26"/>
          <w:szCs w:val="26"/>
          <w:shd w:val="clear" w:color="auto" w:fill="FFFFFF"/>
        </w:rPr>
        <w:t xml:space="preserve">(i.e., </w:t>
      </w:r>
      <w:r w:rsidR="00AB27FC" w:rsidRPr="00BF6994">
        <w:rPr>
          <w:rFonts w:asciiTheme="minorHAnsi" w:hAnsiTheme="minorHAnsi" w:cstheme="minorHAnsi"/>
          <w:color w:val="242121"/>
          <w:sz w:val="26"/>
          <w:szCs w:val="26"/>
          <w:shd w:val="clear" w:color="auto" w:fill="FFFFFF"/>
        </w:rPr>
        <w:t>on motion</w:t>
      </w:r>
      <w:r w:rsidR="004F1181" w:rsidRPr="00BF6994">
        <w:rPr>
          <w:rFonts w:asciiTheme="minorHAnsi" w:hAnsiTheme="minorHAnsi" w:cstheme="minorHAnsi"/>
          <w:color w:val="242121"/>
          <w:sz w:val="26"/>
          <w:szCs w:val="26"/>
          <w:shd w:val="clear" w:color="auto" w:fill="FFFFFF"/>
        </w:rPr>
        <w:t>)</w:t>
      </w:r>
      <w:r w:rsidR="00945997" w:rsidRPr="00BF6994">
        <w:rPr>
          <w:rFonts w:asciiTheme="minorHAnsi" w:hAnsiTheme="minorHAnsi" w:cstheme="minorHAnsi"/>
          <w:color w:val="242121"/>
          <w:sz w:val="26"/>
          <w:szCs w:val="26"/>
          <w:shd w:val="clear" w:color="auto" w:fill="FFFFFF"/>
        </w:rPr>
        <w:t xml:space="preserve"> </w:t>
      </w:r>
      <w:r w:rsidR="00AB27FC" w:rsidRPr="00BF6994">
        <w:rPr>
          <w:rFonts w:asciiTheme="minorHAnsi" w:hAnsiTheme="minorHAnsi" w:cstheme="minorHAnsi"/>
          <w:color w:val="242121"/>
          <w:sz w:val="26"/>
          <w:szCs w:val="26"/>
          <w:shd w:val="clear" w:color="auto" w:fill="FFFFFF"/>
        </w:rPr>
        <w:t xml:space="preserve">will </w:t>
      </w:r>
      <w:r w:rsidR="00003211" w:rsidRPr="00BF6994">
        <w:rPr>
          <w:rFonts w:asciiTheme="minorHAnsi" w:hAnsiTheme="minorHAnsi" w:cstheme="minorHAnsi"/>
          <w:color w:val="242121"/>
          <w:sz w:val="26"/>
          <w:szCs w:val="26"/>
          <w:shd w:val="clear" w:color="auto" w:fill="FFFFFF"/>
        </w:rPr>
        <w:t>simlarly</w:t>
      </w:r>
      <w:r w:rsidR="00797373" w:rsidRPr="00BF6994">
        <w:rPr>
          <w:rFonts w:asciiTheme="minorHAnsi" w:hAnsiTheme="minorHAnsi" w:cstheme="minorHAnsi"/>
          <w:color w:val="242121"/>
          <w:sz w:val="26"/>
          <w:szCs w:val="26"/>
          <w:shd w:val="clear" w:color="auto" w:fill="FFFFFF"/>
        </w:rPr>
        <w:t xml:space="preserve"> </w:t>
      </w:r>
      <w:r w:rsidR="00945997" w:rsidRPr="00BF6994">
        <w:rPr>
          <w:rFonts w:asciiTheme="minorHAnsi" w:hAnsiTheme="minorHAnsi" w:cstheme="minorHAnsi"/>
          <w:color w:val="242121"/>
          <w:sz w:val="26"/>
          <w:szCs w:val="26"/>
          <w:shd w:val="clear" w:color="auto" w:fill="FFFFFF"/>
        </w:rPr>
        <w:t>arise</w:t>
      </w:r>
      <w:r w:rsidR="00AB27FC" w:rsidRPr="00BF6994">
        <w:rPr>
          <w:rFonts w:asciiTheme="minorHAnsi" w:hAnsiTheme="minorHAnsi" w:cstheme="minorHAnsi"/>
          <w:color w:val="242121"/>
          <w:sz w:val="26"/>
          <w:szCs w:val="26"/>
          <w:shd w:val="clear" w:color="auto" w:fill="FFFFFF"/>
        </w:rPr>
        <w:t xml:space="preserve"> for consideration </w:t>
      </w:r>
      <w:r w:rsidR="00945997" w:rsidRPr="00BF6994">
        <w:rPr>
          <w:rFonts w:asciiTheme="minorHAnsi" w:hAnsiTheme="minorHAnsi" w:cstheme="minorHAnsi"/>
          <w:color w:val="242121"/>
          <w:sz w:val="26"/>
          <w:szCs w:val="26"/>
          <w:shd w:val="clear" w:color="auto" w:fill="FFFFFF"/>
        </w:rPr>
        <w:t>in the main application</w:t>
      </w:r>
      <w:r w:rsidR="00AB27FC" w:rsidRPr="00BF6994">
        <w:rPr>
          <w:rFonts w:asciiTheme="minorHAnsi" w:hAnsiTheme="minorHAnsi" w:cstheme="minorHAnsi"/>
          <w:color w:val="242121"/>
          <w:sz w:val="26"/>
          <w:szCs w:val="26"/>
          <w:shd w:val="clear" w:color="auto" w:fill="FFFFFF"/>
        </w:rPr>
        <w:t xml:space="preserve">. The merits of the main application were not </w:t>
      </w:r>
      <w:r w:rsidR="00D71B57" w:rsidRPr="00BF6994">
        <w:rPr>
          <w:rFonts w:asciiTheme="minorHAnsi" w:hAnsiTheme="minorHAnsi" w:cstheme="minorHAnsi"/>
          <w:color w:val="242121"/>
          <w:sz w:val="26"/>
          <w:szCs w:val="26"/>
          <w:shd w:val="clear" w:color="auto" w:fill="FFFFFF"/>
        </w:rPr>
        <w:t xml:space="preserve">finally </w:t>
      </w:r>
      <w:r w:rsidR="00AB27FC" w:rsidRPr="00BF6994">
        <w:rPr>
          <w:rFonts w:asciiTheme="minorHAnsi" w:hAnsiTheme="minorHAnsi" w:cstheme="minorHAnsi"/>
          <w:color w:val="242121"/>
          <w:sz w:val="26"/>
          <w:szCs w:val="26"/>
          <w:shd w:val="clear" w:color="auto" w:fill="FFFFFF"/>
        </w:rPr>
        <w:t xml:space="preserve">decided by me but were </w:t>
      </w:r>
      <w:r w:rsidR="00D71B57" w:rsidRPr="00BF6994">
        <w:rPr>
          <w:rFonts w:asciiTheme="minorHAnsi" w:hAnsiTheme="minorHAnsi" w:cstheme="minorHAnsi"/>
          <w:color w:val="242121"/>
          <w:sz w:val="26"/>
          <w:szCs w:val="26"/>
          <w:shd w:val="clear" w:color="auto" w:fill="FFFFFF"/>
        </w:rPr>
        <w:t xml:space="preserve">merely </w:t>
      </w:r>
      <w:r w:rsidR="00AB27FC" w:rsidRPr="00BF6994">
        <w:rPr>
          <w:rFonts w:asciiTheme="minorHAnsi" w:hAnsiTheme="minorHAnsi" w:cstheme="minorHAnsi"/>
          <w:color w:val="242121"/>
          <w:sz w:val="26"/>
          <w:szCs w:val="26"/>
          <w:shd w:val="clear" w:color="auto" w:fill="FFFFFF"/>
        </w:rPr>
        <w:t xml:space="preserve">considered for purposes of determining whether the </w:t>
      </w:r>
      <w:r w:rsidR="008912C3" w:rsidRPr="00BF6994">
        <w:rPr>
          <w:rFonts w:asciiTheme="minorHAnsi" w:hAnsiTheme="minorHAnsi" w:cstheme="minorHAnsi"/>
          <w:color w:val="242121"/>
          <w:sz w:val="26"/>
          <w:szCs w:val="26"/>
          <w:shd w:val="clear" w:color="auto" w:fill="FFFFFF"/>
        </w:rPr>
        <w:t>application for the provision of</w:t>
      </w:r>
      <w:r w:rsidR="00AB27FC" w:rsidRPr="00BF6994">
        <w:rPr>
          <w:rFonts w:asciiTheme="minorHAnsi" w:hAnsiTheme="minorHAnsi" w:cstheme="minorHAnsi"/>
          <w:color w:val="242121"/>
          <w:sz w:val="26"/>
          <w:szCs w:val="26"/>
          <w:shd w:val="clear" w:color="auto" w:fill="FFFFFF"/>
        </w:rPr>
        <w:t xml:space="preserve"> security for </w:t>
      </w:r>
      <w:r w:rsidR="008912C3" w:rsidRPr="00BF6994">
        <w:rPr>
          <w:rFonts w:asciiTheme="minorHAnsi" w:hAnsiTheme="minorHAnsi" w:cstheme="minorHAnsi"/>
          <w:color w:val="242121"/>
          <w:sz w:val="26"/>
          <w:szCs w:val="26"/>
          <w:shd w:val="clear" w:color="auto" w:fill="FFFFFF"/>
        </w:rPr>
        <w:t xml:space="preserve">Liberty’s </w:t>
      </w:r>
      <w:r w:rsidR="00AB27FC" w:rsidRPr="00BF6994">
        <w:rPr>
          <w:rFonts w:asciiTheme="minorHAnsi" w:hAnsiTheme="minorHAnsi" w:cstheme="minorHAnsi"/>
          <w:color w:val="242121"/>
          <w:sz w:val="26"/>
          <w:szCs w:val="26"/>
          <w:shd w:val="clear" w:color="auto" w:fill="FFFFFF"/>
        </w:rPr>
        <w:t>costs was justified</w:t>
      </w:r>
      <w:r w:rsidR="004F1181" w:rsidRPr="00BF6994">
        <w:rPr>
          <w:rFonts w:asciiTheme="minorHAnsi" w:hAnsiTheme="minorHAnsi" w:cstheme="minorHAnsi"/>
          <w:color w:val="242121"/>
          <w:sz w:val="26"/>
          <w:szCs w:val="26"/>
          <w:shd w:val="clear" w:color="auto" w:fill="FFFFFF"/>
        </w:rPr>
        <w:t>. Mr M</w:t>
      </w:r>
      <w:r w:rsidR="008912C3" w:rsidRPr="00BF6994">
        <w:rPr>
          <w:rFonts w:asciiTheme="minorHAnsi" w:hAnsiTheme="minorHAnsi" w:cstheme="minorHAnsi"/>
          <w:color w:val="242121"/>
          <w:sz w:val="26"/>
          <w:szCs w:val="26"/>
          <w:shd w:val="clear" w:color="auto" w:fill="FFFFFF"/>
        </w:rPr>
        <w:t>a</w:t>
      </w:r>
      <w:r w:rsidR="004F1181" w:rsidRPr="00BF6994">
        <w:rPr>
          <w:rFonts w:asciiTheme="minorHAnsi" w:hAnsiTheme="minorHAnsi" w:cstheme="minorHAnsi"/>
          <w:color w:val="242121"/>
          <w:sz w:val="26"/>
          <w:szCs w:val="26"/>
          <w:shd w:val="clear" w:color="auto" w:fill="FFFFFF"/>
        </w:rPr>
        <w:t>loka’s submission at the hearing of the application for leave to appeal, namely</w:t>
      </w:r>
      <w:r w:rsidR="009E345A" w:rsidRPr="00BF6994">
        <w:rPr>
          <w:rFonts w:asciiTheme="minorHAnsi" w:hAnsiTheme="minorHAnsi" w:cstheme="minorHAnsi"/>
          <w:color w:val="242121"/>
          <w:sz w:val="26"/>
          <w:szCs w:val="26"/>
          <w:shd w:val="clear" w:color="auto" w:fill="FFFFFF"/>
        </w:rPr>
        <w:t>,</w:t>
      </w:r>
      <w:r w:rsidR="004F1181" w:rsidRPr="00BF6994">
        <w:rPr>
          <w:rFonts w:asciiTheme="minorHAnsi" w:hAnsiTheme="minorHAnsi" w:cstheme="minorHAnsi"/>
          <w:color w:val="242121"/>
          <w:sz w:val="26"/>
          <w:szCs w:val="26"/>
          <w:shd w:val="clear" w:color="auto" w:fill="FFFFFF"/>
        </w:rPr>
        <w:t xml:space="preserve"> that I erred in determining the merits of the main application, is </w:t>
      </w:r>
      <w:r w:rsidR="00D71B57" w:rsidRPr="00BF6994">
        <w:rPr>
          <w:rFonts w:asciiTheme="minorHAnsi" w:hAnsiTheme="minorHAnsi" w:cstheme="minorHAnsi"/>
          <w:color w:val="242121"/>
          <w:sz w:val="26"/>
          <w:szCs w:val="26"/>
          <w:shd w:val="clear" w:color="auto" w:fill="FFFFFF"/>
        </w:rPr>
        <w:t xml:space="preserve">thus </w:t>
      </w:r>
      <w:r w:rsidR="004F1181" w:rsidRPr="00BF6994">
        <w:rPr>
          <w:rFonts w:asciiTheme="minorHAnsi" w:hAnsiTheme="minorHAnsi" w:cstheme="minorHAnsi"/>
          <w:color w:val="242121"/>
          <w:sz w:val="26"/>
          <w:szCs w:val="26"/>
          <w:shd w:val="clear" w:color="auto" w:fill="FFFFFF"/>
        </w:rPr>
        <w:t xml:space="preserve">without merit. </w:t>
      </w:r>
    </w:p>
    <w:p w:rsidR="00A56128" w:rsidRDefault="00A56128" w:rsidP="00A56128">
      <w:pPr>
        <w:pStyle w:val="ListParagraph"/>
        <w:spacing w:line="360" w:lineRule="auto"/>
        <w:ind w:left="851"/>
        <w:jc w:val="both"/>
        <w:rPr>
          <w:rFonts w:asciiTheme="minorHAnsi" w:hAnsiTheme="minorHAnsi" w:cstheme="minorHAnsi"/>
          <w:sz w:val="26"/>
          <w:szCs w:val="26"/>
        </w:rPr>
      </w:pPr>
    </w:p>
    <w:p w:rsidR="00785A83" w:rsidRPr="00BF6994" w:rsidRDefault="00BF6994" w:rsidP="00BF699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18.</w:t>
      </w:r>
      <w:r>
        <w:rPr>
          <w:rFonts w:asciiTheme="minorHAnsi" w:hAnsiTheme="minorHAnsi" w:cstheme="minorHAnsi"/>
          <w:sz w:val="26"/>
          <w:szCs w:val="26"/>
        </w:rPr>
        <w:tab/>
      </w:r>
      <w:r w:rsidR="004F1181" w:rsidRPr="00BF6994">
        <w:rPr>
          <w:rFonts w:asciiTheme="minorHAnsi" w:hAnsiTheme="minorHAnsi" w:cstheme="minorHAnsi"/>
          <w:sz w:val="26"/>
          <w:szCs w:val="26"/>
        </w:rPr>
        <w:t>Mr M</w:t>
      </w:r>
      <w:r w:rsidR="00003211" w:rsidRPr="00BF6994">
        <w:rPr>
          <w:rFonts w:asciiTheme="minorHAnsi" w:hAnsiTheme="minorHAnsi" w:cstheme="minorHAnsi"/>
          <w:sz w:val="26"/>
          <w:szCs w:val="26"/>
        </w:rPr>
        <w:t>a</w:t>
      </w:r>
      <w:r w:rsidR="004F1181" w:rsidRPr="00BF6994">
        <w:rPr>
          <w:rFonts w:asciiTheme="minorHAnsi" w:hAnsiTheme="minorHAnsi" w:cstheme="minorHAnsi"/>
          <w:sz w:val="26"/>
          <w:szCs w:val="26"/>
        </w:rPr>
        <w:t xml:space="preserve">loka further submitted that the Equality court had previously determined that he had a valid claim on the merits when directing that the main application be instituted in the High court. Consequent thereupon, he submitted that I erred </w:t>
      </w:r>
      <w:r w:rsidR="004F1181" w:rsidRPr="00BF6994">
        <w:rPr>
          <w:rFonts w:asciiTheme="minorHAnsi" w:hAnsiTheme="minorHAnsi" w:cstheme="minorHAnsi"/>
          <w:sz w:val="26"/>
          <w:szCs w:val="26"/>
        </w:rPr>
        <w:lastRenderedPageBreak/>
        <w:t xml:space="preserve">in finding that the main application did not carry prospects of success for purposes of deciding whether or not to order security for costs. In </w:t>
      </w:r>
      <w:r w:rsidR="004F1181" w:rsidRPr="00BF6994">
        <w:rPr>
          <w:rFonts w:asciiTheme="minorHAnsi" w:hAnsiTheme="minorHAnsi" w:cstheme="minorHAnsi"/>
          <w:i/>
          <w:sz w:val="26"/>
          <w:szCs w:val="26"/>
        </w:rPr>
        <w:t>riposte</w:t>
      </w:r>
      <w:r w:rsidR="004F1181" w:rsidRPr="00BF6994">
        <w:rPr>
          <w:rFonts w:asciiTheme="minorHAnsi" w:hAnsiTheme="minorHAnsi" w:cstheme="minorHAnsi"/>
          <w:sz w:val="26"/>
          <w:szCs w:val="26"/>
        </w:rPr>
        <w:t xml:space="preserve">, counsel for the respondent referred me to </w:t>
      </w:r>
      <w:r w:rsidR="00A56128" w:rsidRPr="00BF6994">
        <w:rPr>
          <w:rFonts w:asciiTheme="minorHAnsi" w:hAnsiTheme="minorHAnsi" w:cstheme="minorHAnsi"/>
          <w:sz w:val="26"/>
          <w:szCs w:val="26"/>
        </w:rPr>
        <w:t xml:space="preserve">exact </w:t>
      </w:r>
      <w:r w:rsidR="00D71B57" w:rsidRPr="00BF6994">
        <w:rPr>
          <w:rFonts w:asciiTheme="minorHAnsi" w:hAnsiTheme="minorHAnsi" w:cstheme="minorHAnsi"/>
          <w:sz w:val="26"/>
          <w:szCs w:val="26"/>
        </w:rPr>
        <w:t xml:space="preserve">wording of the Equality court’s </w:t>
      </w:r>
      <w:r w:rsidR="004F1181" w:rsidRPr="00BF6994">
        <w:rPr>
          <w:rFonts w:asciiTheme="minorHAnsi" w:hAnsiTheme="minorHAnsi" w:cstheme="minorHAnsi"/>
          <w:sz w:val="26"/>
          <w:szCs w:val="26"/>
        </w:rPr>
        <w:t>ruling</w:t>
      </w:r>
      <w:r w:rsidR="00A56128" w:rsidRPr="00BF6994">
        <w:rPr>
          <w:rFonts w:asciiTheme="minorHAnsi" w:hAnsiTheme="minorHAnsi" w:cstheme="minorHAnsi"/>
          <w:sz w:val="26"/>
          <w:szCs w:val="26"/>
        </w:rPr>
        <w:t>,</w:t>
      </w:r>
      <w:r w:rsidR="004F1181">
        <w:rPr>
          <w:rStyle w:val="FootnoteReference"/>
          <w:rFonts w:asciiTheme="minorHAnsi" w:hAnsiTheme="minorHAnsi" w:cstheme="minorHAnsi"/>
          <w:sz w:val="26"/>
          <w:szCs w:val="26"/>
        </w:rPr>
        <w:footnoteReference w:id="16"/>
      </w:r>
      <w:r w:rsidR="004F1181" w:rsidRPr="00BF6994">
        <w:rPr>
          <w:rFonts w:asciiTheme="minorHAnsi" w:hAnsiTheme="minorHAnsi" w:cstheme="minorHAnsi"/>
          <w:sz w:val="26"/>
          <w:szCs w:val="26"/>
        </w:rPr>
        <w:t xml:space="preserve"> </w:t>
      </w:r>
      <w:r w:rsidR="00A56128" w:rsidRPr="00BF6994">
        <w:rPr>
          <w:rFonts w:asciiTheme="minorHAnsi" w:hAnsiTheme="minorHAnsi" w:cstheme="minorHAnsi"/>
          <w:sz w:val="26"/>
          <w:szCs w:val="26"/>
        </w:rPr>
        <w:t>which was that</w:t>
      </w:r>
      <w:r w:rsidR="00D71B57" w:rsidRPr="00BF6994">
        <w:rPr>
          <w:rFonts w:asciiTheme="minorHAnsi" w:hAnsiTheme="minorHAnsi" w:cstheme="minorHAnsi"/>
          <w:sz w:val="26"/>
          <w:szCs w:val="26"/>
        </w:rPr>
        <w:t xml:space="preserve"> the</w:t>
      </w:r>
      <w:r w:rsidR="00A56128" w:rsidRPr="00BF6994">
        <w:rPr>
          <w:rFonts w:asciiTheme="minorHAnsi" w:hAnsiTheme="minorHAnsi" w:cstheme="minorHAnsi"/>
          <w:sz w:val="26"/>
          <w:szCs w:val="26"/>
        </w:rPr>
        <w:t xml:space="preserve"> ‘</w:t>
      </w:r>
      <w:r w:rsidR="00A56128" w:rsidRPr="00BF6994">
        <w:rPr>
          <w:rFonts w:asciiTheme="minorHAnsi" w:hAnsiTheme="minorHAnsi" w:cstheme="minorHAnsi"/>
          <w:i/>
          <w:sz w:val="26"/>
          <w:szCs w:val="26"/>
        </w:rPr>
        <w:t xml:space="preserve">Matter does not belong in the Equality Court. Complainant is directed to approach the appropriate court for relief.’ </w:t>
      </w:r>
      <w:r w:rsidR="00A56128" w:rsidRPr="00BF6994">
        <w:rPr>
          <w:rFonts w:asciiTheme="minorHAnsi" w:hAnsiTheme="minorHAnsi" w:cstheme="minorHAnsi"/>
          <w:sz w:val="26"/>
          <w:szCs w:val="26"/>
        </w:rPr>
        <w:t xml:space="preserve"> Mr Moloka was order</w:t>
      </w:r>
      <w:r w:rsidR="00D71B57" w:rsidRPr="00BF6994">
        <w:rPr>
          <w:rFonts w:asciiTheme="minorHAnsi" w:hAnsiTheme="minorHAnsi" w:cstheme="minorHAnsi"/>
          <w:sz w:val="26"/>
          <w:szCs w:val="26"/>
        </w:rPr>
        <w:t>ed</w:t>
      </w:r>
      <w:r w:rsidR="00A56128" w:rsidRPr="00BF6994">
        <w:rPr>
          <w:rFonts w:asciiTheme="minorHAnsi" w:hAnsiTheme="minorHAnsi" w:cstheme="minorHAnsi"/>
          <w:sz w:val="26"/>
          <w:szCs w:val="26"/>
        </w:rPr>
        <w:t xml:space="preserve"> to pay Liberty’s costs,</w:t>
      </w:r>
      <w:r w:rsidR="00A56128">
        <w:rPr>
          <w:rStyle w:val="FootnoteReference"/>
          <w:rFonts w:asciiTheme="minorHAnsi" w:hAnsiTheme="minorHAnsi" w:cstheme="minorHAnsi"/>
          <w:sz w:val="26"/>
          <w:szCs w:val="26"/>
        </w:rPr>
        <w:footnoteReference w:id="17"/>
      </w:r>
      <w:r w:rsidR="00A56128" w:rsidRPr="00BF6994">
        <w:rPr>
          <w:rFonts w:asciiTheme="minorHAnsi" w:hAnsiTheme="minorHAnsi" w:cstheme="minorHAnsi"/>
          <w:sz w:val="26"/>
          <w:szCs w:val="26"/>
        </w:rPr>
        <w:t xml:space="preserve"> which </w:t>
      </w:r>
      <w:r w:rsidR="00797373" w:rsidRPr="00BF6994">
        <w:rPr>
          <w:rFonts w:asciiTheme="minorHAnsi" w:hAnsiTheme="minorHAnsi" w:cstheme="minorHAnsi"/>
          <w:sz w:val="26"/>
          <w:szCs w:val="26"/>
        </w:rPr>
        <w:t xml:space="preserve">costs </w:t>
      </w:r>
      <w:r w:rsidR="00A56128" w:rsidRPr="00BF6994">
        <w:rPr>
          <w:rFonts w:asciiTheme="minorHAnsi" w:hAnsiTheme="minorHAnsi" w:cstheme="minorHAnsi"/>
          <w:sz w:val="26"/>
          <w:szCs w:val="26"/>
        </w:rPr>
        <w:t>remain outstanding</w:t>
      </w:r>
      <w:r w:rsidR="00797373" w:rsidRPr="00BF6994">
        <w:rPr>
          <w:rFonts w:asciiTheme="minorHAnsi" w:hAnsiTheme="minorHAnsi" w:cstheme="minorHAnsi"/>
          <w:sz w:val="26"/>
          <w:szCs w:val="26"/>
        </w:rPr>
        <w:t xml:space="preserve"> to date</w:t>
      </w:r>
      <w:r w:rsidR="00A56128" w:rsidRPr="00BF6994">
        <w:rPr>
          <w:rFonts w:asciiTheme="minorHAnsi" w:hAnsiTheme="minorHAnsi" w:cstheme="minorHAnsi"/>
          <w:sz w:val="26"/>
          <w:szCs w:val="26"/>
        </w:rPr>
        <w:t>. Far from endorsing the validity of Mr Maloka’s claims</w:t>
      </w:r>
      <w:r w:rsidR="0050419C" w:rsidRPr="00BF6994">
        <w:rPr>
          <w:rFonts w:asciiTheme="minorHAnsi" w:hAnsiTheme="minorHAnsi" w:cstheme="minorHAnsi"/>
          <w:sz w:val="26"/>
          <w:szCs w:val="26"/>
        </w:rPr>
        <w:t xml:space="preserve"> in the main application</w:t>
      </w:r>
      <w:r w:rsidR="00A56128" w:rsidRPr="00BF6994">
        <w:rPr>
          <w:rFonts w:asciiTheme="minorHAnsi" w:hAnsiTheme="minorHAnsi" w:cstheme="minorHAnsi"/>
          <w:sz w:val="26"/>
          <w:szCs w:val="26"/>
        </w:rPr>
        <w:t>, the Equality court merely directed that Mr M</w:t>
      </w:r>
      <w:r w:rsidR="00797373" w:rsidRPr="00BF6994">
        <w:rPr>
          <w:rFonts w:asciiTheme="minorHAnsi" w:hAnsiTheme="minorHAnsi" w:cstheme="minorHAnsi"/>
          <w:sz w:val="26"/>
          <w:szCs w:val="26"/>
        </w:rPr>
        <w:t>a</w:t>
      </w:r>
      <w:r w:rsidR="00A56128" w:rsidRPr="00BF6994">
        <w:rPr>
          <w:rFonts w:asciiTheme="minorHAnsi" w:hAnsiTheme="minorHAnsi" w:cstheme="minorHAnsi"/>
          <w:sz w:val="26"/>
          <w:szCs w:val="26"/>
        </w:rPr>
        <w:t xml:space="preserve">loka </w:t>
      </w:r>
      <w:r w:rsidR="00797373" w:rsidRPr="00BF6994">
        <w:rPr>
          <w:rFonts w:asciiTheme="minorHAnsi" w:hAnsiTheme="minorHAnsi" w:cstheme="minorHAnsi"/>
          <w:sz w:val="26"/>
          <w:szCs w:val="26"/>
        </w:rPr>
        <w:t xml:space="preserve">should </w:t>
      </w:r>
      <w:r w:rsidR="00A56128" w:rsidRPr="00BF6994">
        <w:rPr>
          <w:rFonts w:asciiTheme="minorHAnsi" w:hAnsiTheme="minorHAnsi" w:cstheme="minorHAnsi"/>
          <w:sz w:val="26"/>
          <w:szCs w:val="26"/>
        </w:rPr>
        <w:t xml:space="preserve">pursue his claims in a different forum, without proposing any form </w:t>
      </w:r>
      <w:r w:rsidR="0050419C" w:rsidRPr="00BF6994">
        <w:rPr>
          <w:rFonts w:asciiTheme="minorHAnsi" w:hAnsiTheme="minorHAnsi" w:cstheme="minorHAnsi"/>
          <w:sz w:val="26"/>
          <w:szCs w:val="26"/>
        </w:rPr>
        <w:t xml:space="preserve">of proceeding or </w:t>
      </w:r>
      <w:r w:rsidR="00D71B57" w:rsidRPr="00BF6994">
        <w:rPr>
          <w:rFonts w:asciiTheme="minorHAnsi" w:hAnsiTheme="minorHAnsi" w:cstheme="minorHAnsi"/>
          <w:sz w:val="26"/>
          <w:szCs w:val="26"/>
        </w:rPr>
        <w:t xml:space="preserve">any </w:t>
      </w:r>
      <w:r w:rsidR="0050419C" w:rsidRPr="00BF6994">
        <w:rPr>
          <w:rFonts w:asciiTheme="minorHAnsi" w:hAnsiTheme="minorHAnsi" w:cstheme="minorHAnsi"/>
          <w:sz w:val="26"/>
          <w:szCs w:val="26"/>
        </w:rPr>
        <w:t>pronouncement on the merits.</w:t>
      </w:r>
    </w:p>
    <w:p w:rsidR="00DC275C" w:rsidRPr="00DC275C" w:rsidRDefault="00DC275C" w:rsidP="00DC275C">
      <w:pPr>
        <w:pStyle w:val="ListParagraph"/>
        <w:rPr>
          <w:rFonts w:asciiTheme="minorHAnsi" w:hAnsiTheme="minorHAnsi" w:cstheme="minorHAnsi"/>
          <w:sz w:val="26"/>
          <w:szCs w:val="26"/>
        </w:rPr>
      </w:pPr>
    </w:p>
    <w:p w:rsidR="00DC275C" w:rsidRPr="00BF6994" w:rsidRDefault="00BF6994" w:rsidP="00BF699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19.</w:t>
      </w:r>
      <w:r>
        <w:rPr>
          <w:rFonts w:asciiTheme="minorHAnsi" w:hAnsiTheme="minorHAnsi" w:cstheme="minorHAnsi"/>
          <w:sz w:val="26"/>
          <w:szCs w:val="26"/>
        </w:rPr>
        <w:tab/>
      </w:r>
      <w:r w:rsidR="00DC275C" w:rsidRPr="00BF6994">
        <w:rPr>
          <w:rFonts w:asciiTheme="minorHAnsi" w:hAnsiTheme="minorHAnsi" w:cstheme="minorHAnsi"/>
          <w:sz w:val="26"/>
          <w:szCs w:val="26"/>
        </w:rPr>
        <w:t>At the hearing of the appeal, Mr M</w:t>
      </w:r>
      <w:r w:rsidR="00797373" w:rsidRPr="00BF6994">
        <w:rPr>
          <w:rFonts w:asciiTheme="minorHAnsi" w:hAnsiTheme="minorHAnsi" w:cstheme="minorHAnsi"/>
          <w:sz w:val="26"/>
          <w:szCs w:val="26"/>
        </w:rPr>
        <w:t>a</w:t>
      </w:r>
      <w:r w:rsidR="00DC275C" w:rsidRPr="00BF6994">
        <w:rPr>
          <w:rFonts w:asciiTheme="minorHAnsi" w:hAnsiTheme="minorHAnsi" w:cstheme="minorHAnsi"/>
          <w:sz w:val="26"/>
          <w:szCs w:val="26"/>
        </w:rPr>
        <w:t xml:space="preserve">loka argued that the order for security for costs will put an end to litigation instituted by him which is designed to protect his fundamental rights enshrined in the Bill of rights. This </w:t>
      </w:r>
      <w:r w:rsidR="0050419C" w:rsidRPr="00BF6994">
        <w:rPr>
          <w:rFonts w:asciiTheme="minorHAnsi" w:hAnsiTheme="minorHAnsi" w:cstheme="minorHAnsi"/>
          <w:sz w:val="26"/>
          <w:szCs w:val="26"/>
        </w:rPr>
        <w:t>this is not</w:t>
      </w:r>
      <w:r w:rsidR="00DC275C" w:rsidRPr="00BF6994">
        <w:rPr>
          <w:rFonts w:asciiTheme="minorHAnsi" w:hAnsiTheme="minorHAnsi" w:cstheme="minorHAnsi"/>
          <w:sz w:val="26"/>
          <w:szCs w:val="26"/>
        </w:rPr>
        <w:t xml:space="preserve"> so, </w:t>
      </w:r>
      <w:r w:rsidR="0050419C" w:rsidRPr="00BF6994">
        <w:rPr>
          <w:rFonts w:asciiTheme="minorHAnsi" w:hAnsiTheme="minorHAnsi" w:cstheme="minorHAnsi"/>
          <w:sz w:val="26"/>
          <w:szCs w:val="26"/>
        </w:rPr>
        <w:t>appears from</w:t>
      </w:r>
      <w:r w:rsidR="00DC275C" w:rsidRPr="00BF6994">
        <w:rPr>
          <w:rFonts w:asciiTheme="minorHAnsi" w:hAnsiTheme="minorHAnsi" w:cstheme="minorHAnsi"/>
          <w:sz w:val="26"/>
          <w:szCs w:val="26"/>
        </w:rPr>
        <w:t xml:space="preserve"> </w:t>
      </w:r>
      <w:r w:rsidR="00797373" w:rsidRPr="00BF6994">
        <w:rPr>
          <w:rFonts w:asciiTheme="minorHAnsi" w:hAnsiTheme="minorHAnsi" w:cstheme="minorHAnsi"/>
          <w:sz w:val="26"/>
          <w:szCs w:val="26"/>
        </w:rPr>
        <w:t xml:space="preserve">what is stated in </w:t>
      </w:r>
      <w:r w:rsidR="00DC275C" w:rsidRPr="00BF6994">
        <w:rPr>
          <w:rFonts w:asciiTheme="minorHAnsi" w:hAnsiTheme="minorHAnsi" w:cstheme="minorHAnsi"/>
          <w:sz w:val="26"/>
          <w:szCs w:val="26"/>
        </w:rPr>
        <w:t xml:space="preserve">paragraph 21 of </w:t>
      </w:r>
      <w:r w:rsidR="00D71B57" w:rsidRPr="00BF6994">
        <w:rPr>
          <w:rFonts w:asciiTheme="minorHAnsi" w:hAnsiTheme="minorHAnsi" w:cstheme="minorHAnsi"/>
          <w:sz w:val="26"/>
          <w:szCs w:val="26"/>
        </w:rPr>
        <w:t>my</w:t>
      </w:r>
      <w:r w:rsidR="00DC275C" w:rsidRPr="00BF6994">
        <w:rPr>
          <w:rFonts w:asciiTheme="minorHAnsi" w:hAnsiTheme="minorHAnsi" w:cstheme="minorHAnsi"/>
          <w:sz w:val="26"/>
          <w:szCs w:val="26"/>
        </w:rPr>
        <w:t xml:space="preserve"> judgment. In so far as </w:t>
      </w:r>
      <w:r w:rsidR="0050419C" w:rsidRPr="00BF6994">
        <w:rPr>
          <w:rFonts w:asciiTheme="minorHAnsi" w:hAnsiTheme="minorHAnsi" w:cstheme="minorHAnsi"/>
          <w:sz w:val="26"/>
          <w:szCs w:val="26"/>
        </w:rPr>
        <w:t>Mr M</w:t>
      </w:r>
      <w:r w:rsidR="00797373" w:rsidRPr="00BF6994">
        <w:rPr>
          <w:rFonts w:asciiTheme="minorHAnsi" w:hAnsiTheme="minorHAnsi" w:cstheme="minorHAnsi"/>
          <w:sz w:val="26"/>
          <w:szCs w:val="26"/>
        </w:rPr>
        <w:t>a</w:t>
      </w:r>
      <w:r w:rsidR="0050419C" w:rsidRPr="00BF6994">
        <w:rPr>
          <w:rFonts w:asciiTheme="minorHAnsi" w:hAnsiTheme="minorHAnsi" w:cstheme="minorHAnsi"/>
          <w:sz w:val="26"/>
          <w:szCs w:val="26"/>
        </w:rPr>
        <w:t>loka</w:t>
      </w:r>
      <w:r w:rsidR="00DC275C" w:rsidRPr="00BF6994">
        <w:rPr>
          <w:rFonts w:asciiTheme="minorHAnsi" w:hAnsiTheme="minorHAnsi" w:cstheme="minorHAnsi"/>
          <w:sz w:val="26"/>
          <w:szCs w:val="26"/>
        </w:rPr>
        <w:t xml:space="preserve"> submits that he is an impecunious litigant, this </w:t>
      </w:r>
      <w:r w:rsidR="00D71B57" w:rsidRPr="00BF6994">
        <w:rPr>
          <w:rFonts w:asciiTheme="minorHAnsi" w:hAnsiTheme="minorHAnsi" w:cstheme="minorHAnsi"/>
          <w:sz w:val="26"/>
          <w:szCs w:val="26"/>
        </w:rPr>
        <w:t>is</w:t>
      </w:r>
      <w:r w:rsidR="00DC275C" w:rsidRPr="00BF6994">
        <w:rPr>
          <w:rFonts w:asciiTheme="minorHAnsi" w:hAnsiTheme="minorHAnsi" w:cstheme="minorHAnsi"/>
          <w:sz w:val="26"/>
          <w:szCs w:val="26"/>
        </w:rPr>
        <w:t xml:space="preserve"> a factor </w:t>
      </w:r>
      <w:r w:rsidR="0050419C" w:rsidRPr="00BF6994">
        <w:rPr>
          <w:rFonts w:asciiTheme="minorHAnsi" w:hAnsiTheme="minorHAnsi" w:cstheme="minorHAnsi"/>
          <w:sz w:val="26"/>
          <w:szCs w:val="26"/>
        </w:rPr>
        <w:t xml:space="preserve">that </w:t>
      </w:r>
      <w:r w:rsidR="00797373" w:rsidRPr="00BF6994">
        <w:rPr>
          <w:rFonts w:asciiTheme="minorHAnsi" w:hAnsiTheme="minorHAnsi" w:cstheme="minorHAnsi"/>
          <w:sz w:val="26"/>
          <w:szCs w:val="26"/>
        </w:rPr>
        <w:t xml:space="preserve">underscored </w:t>
      </w:r>
      <w:r w:rsidR="00D71B57" w:rsidRPr="00BF6994">
        <w:rPr>
          <w:rFonts w:asciiTheme="minorHAnsi" w:hAnsiTheme="minorHAnsi" w:cstheme="minorHAnsi"/>
          <w:sz w:val="26"/>
          <w:szCs w:val="26"/>
        </w:rPr>
        <w:t>the need for</w:t>
      </w:r>
      <w:r w:rsidR="00DC275C" w:rsidRPr="00BF6994">
        <w:rPr>
          <w:rFonts w:asciiTheme="minorHAnsi" w:hAnsiTheme="minorHAnsi" w:cstheme="minorHAnsi"/>
          <w:sz w:val="26"/>
          <w:szCs w:val="26"/>
        </w:rPr>
        <w:t xml:space="preserve"> security for costs</w:t>
      </w:r>
      <w:r w:rsidR="00797373" w:rsidRPr="00BF6994">
        <w:rPr>
          <w:rFonts w:asciiTheme="minorHAnsi" w:hAnsiTheme="minorHAnsi" w:cstheme="minorHAnsi"/>
          <w:sz w:val="26"/>
          <w:szCs w:val="26"/>
        </w:rPr>
        <w:t>,</w:t>
      </w:r>
      <w:r w:rsidR="00DC275C" w:rsidRPr="00BF6994">
        <w:rPr>
          <w:rFonts w:asciiTheme="minorHAnsi" w:hAnsiTheme="minorHAnsi" w:cstheme="minorHAnsi"/>
          <w:sz w:val="26"/>
          <w:szCs w:val="26"/>
        </w:rPr>
        <w:t xml:space="preserve"> rather than a motivating factor </w:t>
      </w:r>
      <w:r w:rsidR="0050419C" w:rsidRPr="00BF6994">
        <w:rPr>
          <w:rFonts w:asciiTheme="minorHAnsi" w:hAnsiTheme="minorHAnsi" w:cstheme="minorHAnsi"/>
          <w:sz w:val="26"/>
          <w:szCs w:val="26"/>
        </w:rPr>
        <w:t xml:space="preserve">for </w:t>
      </w:r>
      <w:r w:rsidR="00797373" w:rsidRPr="00BF6994">
        <w:rPr>
          <w:rFonts w:asciiTheme="minorHAnsi" w:hAnsiTheme="minorHAnsi" w:cstheme="minorHAnsi"/>
          <w:sz w:val="26"/>
          <w:szCs w:val="26"/>
        </w:rPr>
        <w:t xml:space="preserve">his </w:t>
      </w:r>
      <w:r w:rsidR="0050419C" w:rsidRPr="00BF6994">
        <w:rPr>
          <w:rFonts w:asciiTheme="minorHAnsi" w:hAnsiTheme="minorHAnsi" w:cstheme="minorHAnsi"/>
          <w:sz w:val="26"/>
          <w:szCs w:val="26"/>
        </w:rPr>
        <w:t>resisting</w:t>
      </w:r>
      <w:r w:rsidR="00DC275C" w:rsidRPr="00BF6994">
        <w:rPr>
          <w:rFonts w:asciiTheme="minorHAnsi" w:hAnsiTheme="minorHAnsi" w:cstheme="minorHAnsi"/>
          <w:sz w:val="26"/>
          <w:szCs w:val="26"/>
        </w:rPr>
        <w:t xml:space="preserve"> the grant of security. He argues that he has a guaranteed right in terms of the Constitution to have a</w:t>
      </w:r>
      <w:r w:rsidR="00D71B57" w:rsidRPr="00BF6994">
        <w:rPr>
          <w:rFonts w:asciiTheme="minorHAnsi" w:hAnsiTheme="minorHAnsi" w:cstheme="minorHAnsi"/>
          <w:sz w:val="26"/>
          <w:szCs w:val="26"/>
        </w:rPr>
        <w:t>ny</w:t>
      </w:r>
      <w:r w:rsidR="00DC275C" w:rsidRPr="00BF6994">
        <w:rPr>
          <w:rFonts w:asciiTheme="minorHAnsi" w:hAnsiTheme="minorHAnsi" w:cstheme="minorHAnsi"/>
          <w:sz w:val="26"/>
          <w:szCs w:val="26"/>
        </w:rPr>
        <w:t xml:space="preserve"> dispute adjudicated upon by a court of law and that because his constitutional rights were infringed by Liberty, propelling the main application, he should not have to pay costs in the event that his claims do not succeed. It is apparent from such argument that Mr M</w:t>
      </w:r>
      <w:r w:rsidR="00797373" w:rsidRPr="00BF6994">
        <w:rPr>
          <w:rFonts w:asciiTheme="minorHAnsi" w:hAnsiTheme="minorHAnsi" w:cstheme="minorHAnsi"/>
          <w:sz w:val="26"/>
          <w:szCs w:val="26"/>
        </w:rPr>
        <w:t>a</w:t>
      </w:r>
      <w:r w:rsidR="00DC275C" w:rsidRPr="00BF6994">
        <w:rPr>
          <w:rFonts w:asciiTheme="minorHAnsi" w:hAnsiTheme="minorHAnsi" w:cstheme="minorHAnsi"/>
          <w:sz w:val="26"/>
          <w:szCs w:val="26"/>
        </w:rPr>
        <w:t xml:space="preserve">loka </w:t>
      </w:r>
      <w:r w:rsidR="00D71B57" w:rsidRPr="00BF6994">
        <w:rPr>
          <w:rFonts w:asciiTheme="minorHAnsi" w:hAnsiTheme="minorHAnsi" w:cstheme="minorHAnsi"/>
          <w:sz w:val="26"/>
          <w:szCs w:val="26"/>
        </w:rPr>
        <w:t>ultimately asserts a</w:t>
      </w:r>
      <w:r w:rsidR="00DC275C" w:rsidRPr="00BF6994">
        <w:rPr>
          <w:rFonts w:asciiTheme="minorHAnsi" w:hAnsiTheme="minorHAnsi" w:cstheme="minorHAnsi"/>
          <w:sz w:val="26"/>
          <w:szCs w:val="26"/>
        </w:rPr>
        <w:t xml:space="preserve"> right to litigate </w:t>
      </w:r>
      <w:r w:rsidR="006E4A3E" w:rsidRPr="00BF6994">
        <w:rPr>
          <w:rFonts w:asciiTheme="minorHAnsi" w:hAnsiTheme="minorHAnsi" w:cstheme="minorHAnsi"/>
          <w:sz w:val="26"/>
          <w:szCs w:val="26"/>
        </w:rPr>
        <w:t xml:space="preserve">in the High Court </w:t>
      </w:r>
      <w:r w:rsidR="00DC275C" w:rsidRPr="00BF6994">
        <w:rPr>
          <w:rFonts w:asciiTheme="minorHAnsi" w:hAnsiTheme="minorHAnsi" w:cstheme="minorHAnsi"/>
          <w:sz w:val="26"/>
          <w:szCs w:val="26"/>
        </w:rPr>
        <w:t xml:space="preserve">without any </w:t>
      </w:r>
      <w:r w:rsidR="00797373" w:rsidRPr="00BF6994">
        <w:rPr>
          <w:rFonts w:asciiTheme="minorHAnsi" w:hAnsiTheme="minorHAnsi" w:cstheme="minorHAnsi"/>
          <w:sz w:val="26"/>
          <w:szCs w:val="26"/>
        </w:rPr>
        <w:t xml:space="preserve">financial </w:t>
      </w:r>
      <w:r w:rsidR="00DC275C" w:rsidRPr="00BF6994">
        <w:rPr>
          <w:rFonts w:asciiTheme="minorHAnsi" w:hAnsiTheme="minorHAnsi" w:cstheme="minorHAnsi"/>
          <w:sz w:val="26"/>
          <w:szCs w:val="26"/>
        </w:rPr>
        <w:t>consequence to him</w:t>
      </w:r>
      <w:r w:rsidR="00D71B57" w:rsidRPr="00BF6994">
        <w:rPr>
          <w:rFonts w:asciiTheme="minorHAnsi" w:hAnsiTheme="minorHAnsi" w:cstheme="minorHAnsi"/>
          <w:sz w:val="26"/>
          <w:szCs w:val="26"/>
        </w:rPr>
        <w:t>,</w:t>
      </w:r>
      <w:r w:rsidR="0050419C" w:rsidRPr="00BF6994">
        <w:rPr>
          <w:rFonts w:asciiTheme="minorHAnsi" w:hAnsiTheme="minorHAnsi" w:cstheme="minorHAnsi"/>
          <w:sz w:val="26"/>
          <w:szCs w:val="26"/>
        </w:rPr>
        <w:t xml:space="preserve"> irrespective of whether </w:t>
      </w:r>
      <w:r w:rsidR="006E4A3E" w:rsidRPr="00BF6994">
        <w:rPr>
          <w:rFonts w:asciiTheme="minorHAnsi" w:hAnsiTheme="minorHAnsi" w:cstheme="minorHAnsi"/>
          <w:sz w:val="26"/>
          <w:szCs w:val="26"/>
        </w:rPr>
        <w:t xml:space="preserve">his case does not succeed. </w:t>
      </w:r>
      <w:r w:rsidR="00797373" w:rsidRPr="00BF6994">
        <w:rPr>
          <w:rFonts w:asciiTheme="minorHAnsi" w:hAnsiTheme="minorHAnsi" w:cstheme="minorHAnsi"/>
          <w:sz w:val="26"/>
          <w:szCs w:val="26"/>
        </w:rPr>
        <w:t>All</w:t>
      </w:r>
      <w:r w:rsidR="00DC275C" w:rsidRPr="00BF6994">
        <w:rPr>
          <w:rFonts w:asciiTheme="minorHAnsi" w:hAnsiTheme="minorHAnsi" w:cstheme="minorHAnsi"/>
          <w:sz w:val="26"/>
          <w:szCs w:val="26"/>
        </w:rPr>
        <w:t xml:space="preserve"> litigants have </w:t>
      </w:r>
      <w:r w:rsidR="00797373" w:rsidRPr="00BF6994">
        <w:rPr>
          <w:rFonts w:asciiTheme="minorHAnsi" w:hAnsiTheme="minorHAnsi" w:cstheme="minorHAnsi"/>
          <w:sz w:val="26"/>
          <w:szCs w:val="26"/>
        </w:rPr>
        <w:t xml:space="preserve">the </w:t>
      </w:r>
      <w:r w:rsidR="00DC275C" w:rsidRPr="00BF6994">
        <w:rPr>
          <w:rFonts w:asciiTheme="minorHAnsi" w:hAnsiTheme="minorHAnsi" w:cstheme="minorHAnsi"/>
          <w:sz w:val="26"/>
          <w:szCs w:val="26"/>
        </w:rPr>
        <w:t xml:space="preserve">right to have their disputes determined by a court of law, however, there is a concomitant </w:t>
      </w:r>
      <w:r w:rsidR="00DC275C" w:rsidRPr="00BF6994">
        <w:rPr>
          <w:rFonts w:asciiTheme="minorHAnsi" w:hAnsiTheme="minorHAnsi" w:cstheme="minorHAnsi"/>
          <w:sz w:val="26"/>
          <w:szCs w:val="26"/>
        </w:rPr>
        <w:lastRenderedPageBreak/>
        <w:t xml:space="preserve">obligation upon litigants to litigate responsibly. </w:t>
      </w:r>
      <w:r w:rsidR="001279F5" w:rsidRPr="00BF6994">
        <w:rPr>
          <w:rFonts w:asciiTheme="minorHAnsi" w:hAnsiTheme="minorHAnsi" w:cstheme="minorHAnsi"/>
          <w:sz w:val="26"/>
          <w:szCs w:val="26"/>
        </w:rPr>
        <w:t>Every litigant, whether legally represented or not, bears</w:t>
      </w:r>
      <w:r w:rsidR="00DC275C" w:rsidRPr="00BF6994">
        <w:rPr>
          <w:rFonts w:asciiTheme="minorHAnsi" w:hAnsiTheme="minorHAnsi" w:cstheme="minorHAnsi"/>
          <w:sz w:val="26"/>
          <w:szCs w:val="26"/>
        </w:rPr>
        <w:t xml:space="preserve"> </w:t>
      </w:r>
      <w:r w:rsidR="00D71B57" w:rsidRPr="00BF6994">
        <w:rPr>
          <w:rFonts w:asciiTheme="minorHAnsi" w:hAnsiTheme="minorHAnsi" w:cstheme="minorHAnsi"/>
          <w:sz w:val="26"/>
          <w:szCs w:val="26"/>
        </w:rPr>
        <w:t>the</w:t>
      </w:r>
      <w:r w:rsidR="00DC275C" w:rsidRPr="00BF6994">
        <w:rPr>
          <w:rFonts w:asciiTheme="minorHAnsi" w:hAnsiTheme="minorHAnsi" w:cstheme="minorHAnsi"/>
          <w:sz w:val="26"/>
          <w:szCs w:val="26"/>
        </w:rPr>
        <w:t xml:space="preserve"> risk of losing</w:t>
      </w:r>
      <w:r w:rsidR="00055EA6" w:rsidRPr="00BF6994">
        <w:rPr>
          <w:rFonts w:asciiTheme="minorHAnsi" w:hAnsiTheme="minorHAnsi" w:cstheme="minorHAnsi"/>
          <w:sz w:val="26"/>
          <w:szCs w:val="26"/>
        </w:rPr>
        <w:t xml:space="preserve"> and</w:t>
      </w:r>
      <w:r w:rsidR="00797373" w:rsidRPr="00BF6994">
        <w:rPr>
          <w:rFonts w:asciiTheme="minorHAnsi" w:hAnsiTheme="minorHAnsi" w:cstheme="minorHAnsi"/>
          <w:sz w:val="26"/>
          <w:szCs w:val="26"/>
        </w:rPr>
        <w:t xml:space="preserve"> the concomitant risk</w:t>
      </w:r>
      <w:r w:rsidR="00DC275C" w:rsidRPr="00BF6994">
        <w:rPr>
          <w:rFonts w:asciiTheme="minorHAnsi" w:hAnsiTheme="minorHAnsi" w:cstheme="minorHAnsi"/>
          <w:sz w:val="26"/>
          <w:szCs w:val="26"/>
        </w:rPr>
        <w:t xml:space="preserve"> </w:t>
      </w:r>
      <w:r w:rsidR="00797373" w:rsidRPr="00BF6994">
        <w:rPr>
          <w:rFonts w:asciiTheme="minorHAnsi" w:hAnsiTheme="minorHAnsi" w:cstheme="minorHAnsi"/>
          <w:sz w:val="26"/>
          <w:szCs w:val="26"/>
        </w:rPr>
        <w:t>of an adverse costs order</w:t>
      </w:r>
      <w:r w:rsidR="00DC275C" w:rsidRPr="00BF6994">
        <w:rPr>
          <w:rFonts w:asciiTheme="minorHAnsi" w:hAnsiTheme="minorHAnsi" w:cstheme="minorHAnsi"/>
          <w:sz w:val="26"/>
          <w:szCs w:val="26"/>
        </w:rPr>
        <w:t xml:space="preserve"> </w:t>
      </w:r>
      <w:r w:rsidR="001279F5" w:rsidRPr="00BF6994">
        <w:rPr>
          <w:rFonts w:asciiTheme="minorHAnsi" w:hAnsiTheme="minorHAnsi" w:cstheme="minorHAnsi"/>
          <w:sz w:val="26"/>
          <w:szCs w:val="26"/>
        </w:rPr>
        <w:t xml:space="preserve">in </w:t>
      </w:r>
      <w:r w:rsidR="00055EA6" w:rsidRPr="00BF6994">
        <w:rPr>
          <w:rFonts w:asciiTheme="minorHAnsi" w:hAnsiTheme="minorHAnsi" w:cstheme="minorHAnsi"/>
          <w:sz w:val="26"/>
          <w:szCs w:val="26"/>
        </w:rPr>
        <w:t>such</w:t>
      </w:r>
      <w:r w:rsidR="001279F5" w:rsidRPr="00BF6994">
        <w:rPr>
          <w:rFonts w:asciiTheme="minorHAnsi" w:hAnsiTheme="minorHAnsi" w:cstheme="minorHAnsi"/>
          <w:sz w:val="26"/>
          <w:szCs w:val="26"/>
        </w:rPr>
        <w:t xml:space="preserve"> event.</w:t>
      </w:r>
      <w:r w:rsidR="00DC275C" w:rsidRPr="00BF6994">
        <w:rPr>
          <w:rFonts w:asciiTheme="minorHAnsi" w:hAnsiTheme="minorHAnsi" w:cstheme="minorHAnsi"/>
          <w:sz w:val="26"/>
          <w:szCs w:val="26"/>
        </w:rPr>
        <w:t xml:space="preserve"> </w:t>
      </w:r>
      <w:r w:rsidR="006E4A3E" w:rsidRPr="00BF6994">
        <w:rPr>
          <w:rFonts w:asciiTheme="minorHAnsi" w:hAnsiTheme="minorHAnsi" w:cstheme="minorHAnsi"/>
          <w:sz w:val="26"/>
          <w:szCs w:val="26"/>
        </w:rPr>
        <w:t>Mr Maloka is no exception.</w:t>
      </w:r>
    </w:p>
    <w:p w:rsidR="001279F5" w:rsidRDefault="001279F5" w:rsidP="001279F5">
      <w:pPr>
        <w:pStyle w:val="ListParagraph"/>
        <w:rPr>
          <w:rFonts w:asciiTheme="minorHAnsi" w:hAnsiTheme="minorHAnsi" w:cstheme="minorHAnsi"/>
          <w:sz w:val="26"/>
          <w:szCs w:val="26"/>
        </w:rPr>
      </w:pPr>
    </w:p>
    <w:p w:rsidR="001279F5" w:rsidRPr="00BF6994" w:rsidRDefault="00BF6994" w:rsidP="00BF699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20.</w:t>
      </w:r>
      <w:r>
        <w:rPr>
          <w:rFonts w:asciiTheme="minorHAnsi" w:hAnsiTheme="minorHAnsi" w:cstheme="minorHAnsi"/>
          <w:sz w:val="26"/>
          <w:szCs w:val="26"/>
        </w:rPr>
        <w:tab/>
      </w:r>
      <w:r w:rsidR="001279F5" w:rsidRPr="00BF6994">
        <w:rPr>
          <w:rFonts w:asciiTheme="minorHAnsi" w:hAnsiTheme="minorHAnsi" w:cstheme="minorHAnsi"/>
          <w:sz w:val="26"/>
          <w:szCs w:val="26"/>
        </w:rPr>
        <w:t xml:space="preserve">Mr Moloka </w:t>
      </w:r>
      <w:r w:rsidR="006E4A3E" w:rsidRPr="00BF6994">
        <w:rPr>
          <w:rFonts w:asciiTheme="minorHAnsi" w:hAnsiTheme="minorHAnsi" w:cstheme="minorHAnsi"/>
          <w:sz w:val="26"/>
          <w:szCs w:val="26"/>
        </w:rPr>
        <w:t xml:space="preserve">also </w:t>
      </w:r>
      <w:r w:rsidR="001279F5" w:rsidRPr="00BF6994">
        <w:rPr>
          <w:rFonts w:asciiTheme="minorHAnsi" w:hAnsiTheme="minorHAnsi" w:cstheme="minorHAnsi"/>
          <w:sz w:val="26"/>
          <w:szCs w:val="26"/>
        </w:rPr>
        <w:t>sought to advance a constitutional challenge to rule 47 at the hearing of the application for leave to appeal</w:t>
      </w:r>
      <w:r w:rsidR="006E4A3E" w:rsidRPr="00BF6994">
        <w:rPr>
          <w:rFonts w:asciiTheme="minorHAnsi" w:hAnsiTheme="minorHAnsi" w:cstheme="minorHAnsi"/>
          <w:sz w:val="26"/>
          <w:szCs w:val="26"/>
        </w:rPr>
        <w:t>,</w:t>
      </w:r>
      <w:r w:rsidR="00882F96" w:rsidRPr="00BF6994">
        <w:rPr>
          <w:rFonts w:asciiTheme="minorHAnsi" w:hAnsiTheme="minorHAnsi" w:cstheme="minorHAnsi"/>
          <w:sz w:val="26"/>
          <w:szCs w:val="26"/>
        </w:rPr>
        <w:t xml:space="preserve"> ostensibly to support his submission that the court erred in making costs order</w:t>
      </w:r>
      <w:r w:rsidR="00D71B57" w:rsidRPr="00BF6994">
        <w:rPr>
          <w:rFonts w:asciiTheme="minorHAnsi" w:hAnsiTheme="minorHAnsi" w:cstheme="minorHAnsi"/>
          <w:sz w:val="26"/>
          <w:szCs w:val="26"/>
        </w:rPr>
        <w:t>s</w:t>
      </w:r>
      <w:r w:rsidR="00882F96" w:rsidRPr="00BF6994">
        <w:rPr>
          <w:rFonts w:asciiTheme="minorHAnsi" w:hAnsiTheme="minorHAnsi" w:cstheme="minorHAnsi"/>
          <w:sz w:val="26"/>
          <w:szCs w:val="26"/>
        </w:rPr>
        <w:t xml:space="preserve"> against him</w:t>
      </w:r>
      <w:r w:rsidR="001279F5" w:rsidRPr="00BF6994">
        <w:rPr>
          <w:rFonts w:asciiTheme="minorHAnsi" w:hAnsiTheme="minorHAnsi" w:cstheme="minorHAnsi"/>
          <w:sz w:val="26"/>
          <w:szCs w:val="26"/>
        </w:rPr>
        <w:t>. The rule 30 and rule 47 applications were determined on common law principles</w:t>
      </w:r>
      <w:r w:rsidR="00055EA6" w:rsidRPr="00BF6994">
        <w:rPr>
          <w:rFonts w:asciiTheme="minorHAnsi" w:hAnsiTheme="minorHAnsi" w:cstheme="minorHAnsi"/>
          <w:sz w:val="26"/>
          <w:szCs w:val="26"/>
        </w:rPr>
        <w:t>.</w:t>
      </w:r>
      <w:r w:rsidR="001279F5" w:rsidRPr="00BF6994">
        <w:rPr>
          <w:rFonts w:asciiTheme="minorHAnsi" w:hAnsiTheme="minorHAnsi" w:cstheme="minorHAnsi"/>
          <w:sz w:val="26"/>
          <w:szCs w:val="26"/>
        </w:rPr>
        <w:t xml:space="preserve"> </w:t>
      </w:r>
      <w:r w:rsidR="00055EA6" w:rsidRPr="00BF6994">
        <w:rPr>
          <w:rFonts w:asciiTheme="minorHAnsi" w:hAnsiTheme="minorHAnsi" w:cstheme="minorHAnsi"/>
          <w:sz w:val="26"/>
          <w:szCs w:val="26"/>
        </w:rPr>
        <w:t>N</w:t>
      </w:r>
      <w:r w:rsidR="001279F5" w:rsidRPr="00BF6994">
        <w:rPr>
          <w:rFonts w:asciiTheme="minorHAnsi" w:hAnsiTheme="minorHAnsi" w:cstheme="minorHAnsi"/>
          <w:sz w:val="26"/>
          <w:szCs w:val="26"/>
        </w:rPr>
        <w:t xml:space="preserve">o constitutional challenge </w:t>
      </w:r>
      <w:r w:rsidR="00055EA6" w:rsidRPr="00BF6994">
        <w:rPr>
          <w:rFonts w:asciiTheme="minorHAnsi" w:hAnsiTheme="minorHAnsi" w:cstheme="minorHAnsi"/>
          <w:sz w:val="26"/>
          <w:szCs w:val="26"/>
        </w:rPr>
        <w:t xml:space="preserve">was brought </w:t>
      </w:r>
      <w:r w:rsidR="001279F5" w:rsidRPr="00BF6994">
        <w:rPr>
          <w:rFonts w:asciiTheme="minorHAnsi" w:hAnsiTheme="minorHAnsi" w:cstheme="minorHAnsi"/>
          <w:sz w:val="26"/>
          <w:szCs w:val="26"/>
        </w:rPr>
        <w:t xml:space="preserve">to rule 47 in </w:t>
      </w:r>
      <w:r w:rsidR="00D71B57" w:rsidRPr="00BF6994">
        <w:rPr>
          <w:rFonts w:asciiTheme="minorHAnsi" w:hAnsiTheme="minorHAnsi" w:cstheme="minorHAnsi"/>
          <w:sz w:val="26"/>
          <w:szCs w:val="26"/>
        </w:rPr>
        <w:t>Mr M</w:t>
      </w:r>
      <w:r w:rsidR="006E4A3E" w:rsidRPr="00BF6994">
        <w:rPr>
          <w:rFonts w:asciiTheme="minorHAnsi" w:hAnsiTheme="minorHAnsi" w:cstheme="minorHAnsi"/>
          <w:sz w:val="26"/>
          <w:szCs w:val="26"/>
        </w:rPr>
        <w:t>a</w:t>
      </w:r>
      <w:r w:rsidR="00D71B57" w:rsidRPr="00BF6994">
        <w:rPr>
          <w:rFonts w:asciiTheme="minorHAnsi" w:hAnsiTheme="minorHAnsi" w:cstheme="minorHAnsi"/>
          <w:sz w:val="26"/>
          <w:szCs w:val="26"/>
        </w:rPr>
        <w:t>loka’s papers</w:t>
      </w:r>
      <w:r w:rsidR="00055EA6" w:rsidRPr="00BF6994">
        <w:rPr>
          <w:rFonts w:asciiTheme="minorHAnsi" w:hAnsiTheme="minorHAnsi" w:cstheme="minorHAnsi"/>
          <w:sz w:val="26"/>
          <w:szCs w:val="26"/>
        </w:rPr>
        <w:t xml:space="preserve"> and the application was not either opposed by him on the basis that he was vindicating any constitutional rights.</w:t>
      </w:r>
      <w:r w:rsidR="00882F96" w:rsidRPr="00BF6994">
        <w:rPr>
          <w:rFonts w:asciiTheme="minorHAnsi" w:hAnsiTheme="minorHAnsi" w:cstheme="minorHAnsi"/>
          <w:sz w:val="26"/>
          <w:szCs w:val="26"/>
        </w:rPr>
        <w:t xml:space="preserve"> </w:t>
      </w:r>
      <w:r w:rsidR="001279F5" w:rsidRPr="00BF6994">
        <w:rPr>
          <w:rFonts w:asciiTheme="minorHAnsi" w:hAnsiTheme="minorHAnsi" w:cstheme="minorHAnsi"/>
          <w:sz w:val="26"/>
          <w:szCs w:val="26"/>
        </w:rPr>
        <w:t>As no constitutional rights were implicated in the rule 47 application</w:t>
      </w:r>
      <w:r w:rsidR="00882F96" w:rsidRPr="00BF6994">
        <w:rPr>
          <w:rFonts w:asciiTheme="minorHAnsi" w:hAnsiTheme="minorHAnsi" w:cstheme="minorHAnsi"/>
          <w:sz w:val="26"/>
          <w:szCs w:val="26"/>
        </w:rPr>
        <w:t xml:space="preserve">, the </w:t>
      </w:r>
      <w:r w:rsidR="00882F96" w:rsidRPr="00BF6994">
        <w:rPr>
          <w:rFonts w:asciiTheme="minorHAnsi" w:hAnsiTheme="minorHAnsi" w:cstheme="minorHAnsi"/>
          <w:i/>
          <w:sz w:val="26"/>
          <w:szCs w:val="26"/>
        </w:rPr>
        <w:t xml:space="preserve">Biowatch </w:t>
      </w:r>
      <w:r w:rsidR="00882F96" w:rsidRPr="00BF6994">
        <w:rPr>
          <w:rFonts w:asciiTheme="minorHAnsi" w:hAnsiTheme="minorHAnsi" w:cstheme="minorHAnsi"/>
          <w:sz w:val="26"/>
          <w:szCs w:val="26"/>
        </w:rPr>
        <w:t>principle</w:t>
      </w:r>
      <w:r w:rsidR="006E4A3E">
        <w:rPr>
          <w:rStyle w:val="FootnoteReference"/>
          <w:rFonts w:asciiTheme="minorHAnsi" w:hAnsiTheme="minorHAnsi" w:cstheme="minorHAnsi"/>
          <w:sz w:val="26"/>
          <w:szCs w:val="26"/>
        </w:rPr>
        <w:footnoteReference w:id="18"/>
      </w:r>
      <w:r w:rsidR="00882F96" w:rsidRPr="00BF6994">
        <w:rPr>
          <w:rFonts w:asciiTheme="minorHAnsi" w:hAnsiTheme="minorHAnsi" w:cstheme="minorHAnsi"/>
          <w:sz w:val="26"/>
          <w:szCs w:val="26"/>
        </w:rPr>
        <w:t xml:space="preserve"> on costs </w:t>
      </w:r>
      <w:r w:rsidR="00055EA6" w:rsidRPr="00BF6994">
        <w:rPr>
          <w:rFonts w:asciiTheme="minorHAnsi" w:hAnsiTheme="minorHAnsi" w:cstheme="minorHAnsi"/>
          <w:sz w:val="26"/>
          <w:szCs w:val="26"/>
        </w:rPr>
        <w:t>did not</w:t>
      </w:r>
      <w:r w:rsidR="00882F96" w:rsidRPr="00BF6994">
        <w:rPr>
          <w:rFonts w:asciiTheme="minorHAnsi" w:hAnsiTheme="minorHAnsi" w:cstheme="minorHAnsi"/>
          <w:sz w:val="26"/>
          <w:szCs w:val="26"/>
        </w:rPr>
        <w:t xml:space="preserve"> apply</w:t>
      </w:r>
      <w:r w:rsidR="001279F5" w:rsidRPr="00BF6994">
        <w:rPr>
          <w:rFonts w:asciiTheme="minorHAnsi" w:hAnsiTheme="minorHAnsi" w:cstheme="minorHAnsi"/>
          <w:sz w:val="26"/>
          <w:szCs w:val="26"/>
        </w:rPr>
        <w:t xml:space="preserve">. It is </w:t>
      </w:r>
      <w:r w:rsidR="00882F96" w:rsidRPr="00BF6994">
        <w:rPr>
          <w:rFonts w:asciiTheme="minorHAnsi" w:hAnsiTheme="minorHAnsi" w:cstheme="minorHAnsi"/>
          <w:sz w:val="26"/>
          <w:szCs w:val="26"/>
        </w:rPr>
        <w:t>in any event</w:t>
      </w:r>
      <w:r w:rsidR="001279F5" w:rsidRPr="00BF6994">
        <w:rPr>
          <w:rFonts w:asciiTheme="minorHAnsi" w:hAnsiTheme="minorHAnsi" w:cstheme="minorHAnsi"/>
          <w:sz w:val="26"/>
          <w:szCs w:val="26"/>
        </w:rPr>
        <w:t xml:space="preserve"> impermissible for Mr M</w:t>
      </w:r>
      <w:r w:rsidR="00043A9A" w:rsidRPr="00BF6994">
        <w:rPr>
          <w:rFonts w:asciiTheme="minorHAnsi" w:hAnsiTheme="minorHAnsi" w:cstheme="minorHAnsi"/>
          <w:sz w:val="26"/>
          <w:szCs w:val="26"/>
        </w:rPr>
        <w:t>a</w:t>
      </w:r>
      <w:r w:rsidR="001279F5" w:rsidRPr="00BF6994">
        <w:rPr>
          <w:rFonts w:asciiTheme="minorHAnsi" w:hAnsiTheme="minorHAnsi" w:cstheme="minorHAnsi"/>
          <w:sz w:val="26"/>
          <w:szCs w:val="26"/>
        </w:rPr>
        <w:t xml:space="preserve">loka to advance a constitutional challenge </w:t>
      </w:r>
      <w:r w:rsidR="00882F96" w:rsidRPr="00BF6994">
        <w:rPr>
          <w:rFonts w:asciiTheme="minorHAnsi" w:hAnsiTheme="minorHAnsi" w:cstheme="minorHAnsi"/>
          <w:sz w:val="26"/>
          <w:szCs w:val="26"/>
        </w:rPr>
        <w:t xml:space="preserve">for the first </w:t>
      </w:r>
      <w:r w:rsidR="00882F96" w:rsidRPr="00BF6994">
        <w:rPr>
          <w:rFonts w:asciiTheme="minorHAnsi" w:hAnsiTheme="minorHAnsi" w:cstheme="minorHAnsi"/>
          <w:sz w:val="26"/>
          <w:szCs w:val="26"/>
        </w:rPr>
        <w:lastRenderedPageBreak/>
        <w:t xml:space="preserve">time </w:t>
      </w:r>
      <w:r w:rsidR="001279F5" w:rsidRPr="00BF6994">
        <w:rPr>
          <w:rFonts w:asciiTheme="minorHAnsi" w:hAnsiTheme="minorHAnsi" w:cstheme="minorHAnsi"/>
          <w:sz w:val="26"/>
          <w:szCs w:val="26"/>
        </w:rPr>
        <w:t xml:space="preserve">during oral argument </w:t>
      </w:r>
      <w:r w:rsidR="00882F96" w:rsidRPr="00BF6994">
        <w:rPr>
          <w:rFonts w:asciiTheme="minorHAnsi" w:hAnsiTheme="minorHAnsi" w:cstheme="minorHAnsi"/>
          <w:sz w:val="26"/>
          <w:szCs w:val="26"/>
        </w:rPr>
        <w:t xml:space="preserve">presented at the hearing of the </w:t>
      </w:r>
      <w:r w:rsidR="00055EA6" w:rsidRPr="00BF6994">
        <w:rPr>
          <w:rFonts w:asciiTheme="minorHAnsi" w:hAnsiTheme="minorHAnsi" w:cstheme="minorHAnsi"/>
          <w:sz w:val="26"/>
          <w:szCs w:val="26"/>
        </w:rPr>
        <w:t>application for leave to appeal, where such challenge was not pleaded or canvassed on the papers.</w:t>
      </w:r>
      <w:r w:rsidR="00055EA6">
        <w:rPr>
          <w:rStyle w:val="FootnoteReference"/>
          <w:rFonts w:asciiTheme="minorHAnsi" w:hAnsiTheme="minorHAnsi" w:cstheme="minorHAnsi"/>
          <w:sz w:val="26"/>
          <w:szCs w:val="26"/>
        </w:rPr>
        <w:footnoteReference w:id="19"/>
      </w:r>
      <w:r w:rsidR="00055EA6" w:rsidRPr="00BF6994">
        <w:rPr>
          <w:rFonts w:asciiTheme="minorHAnsi" w:hAnsiTheme="minorHAnsi" w:cstheme="minorHAnsi"/>
          <w:sz w:val="26"/>
          <w:szCs w:val="26"/>
        </w:rPr>
        <w:t xml:space="preserve"> </w:t>
      </w:r>
      <w:r w:rsidR="00882F96" w:rsidRPr="00BF6994">
        <w:rPr>
          <w:rFonts w:asciiTheme="minorHAnsi" w:hAnsiTheme="minorHAnsi" w:cstheme="minorHAnsi"/>
          <w:sz w:val="26"/>
          <w:szCs w:val="26"/>
        </w:rPr>
        <w:t xml:space="preserve"> </w:t>
      </w:r>
    </w:p>
    <w:p w:rsidR="00D71B57" w:rsidRPr="00D71B57" w:rsidRDefault="00D71B57" w:rsidP="00D71B57">
      <w:pPr>
        <w:pStyle w:val="ListParagraph"/>
        <w:rPr>
          <w:rFonts w:asciiTheme="minorHAnsi" w:hAnsiTheme="minorHAnsi" w:cstheme="minorHAnsi"/>
          <w:sz w:val="26"/>
          <w:szCs w:val="26"/>
        </w:rPr>
      </w:pPr>
    </w:p>
    <w:p w:rsidR="00D71B57" w:rsidRPr="00BF6994" w:rsidRDefault="00BF6994" w:rsidP="00BF699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21.</w:t>
      </w:r>
      <w:r>
        <w:rPr>
          <w:rFonts w:asciiTheme="minorHAnsi" w:hAnsiTheme="minorHAnsi" w:cstheme="minorHAnsi"/>
          <w:sz w:val="26"/>
          <w:szCs w:val="26"/>
        </w:rPr>
        <w:tab/>
      </w:r>
      <w:r w:rsidR="00D71B57" w:rsidRPr="00BF6994">
        <w:rPr>
          <w:rFonts w:asciiTheme="minorHAnsi" w:hAnsiTheme="minorHAnsi" w:cstheme="minorHAnsi"/>
          <w:sz w:val="26"/>
          <w:szCs w:val="26"/>
        </w:rPr>
        <w:t xml:space="preserve">For these reasons, I remain unpersuaded that this ground carries reasonable prospects of </w:t>
      </w:r>
      <w:r w:rsidR="000C4515" w:rsidRPr="00BF6994">
        <w:rPr>
          <w:rFonts w:asciiTheme="minorHAnsi" w:hAnsiTheme="minorHAnsi" w:cstheme="minorHAnsi"/>
          <w:sz w:val="26"/>
          <w:szCs w:val="26"/>
        </w:rPr>
        <w:t>success</w:t>
      </w:r>
    </w:p>
    <w:p w:rsidR="00D71B57" w:rsidRDefault="00D71B57" w:rsidP="00D71B57">
      <w:pPr>
        <w:pStyle w:val="ListParagraph"/>
        <w:rPr>
          <w:rFonts w:asciiTheme="minorHAnsi" w:hAnsiTheme="minorHAnsi" w:cstheme="minorHAnsi"/>
          <w:sz w:val="26"/>
          <w:szCs w:val="26"/>
        </w:rPr>
      </w:pPr>
    </w:p>
    <w:p w:rsidR="005B7B8D" w:rsidRPr="005B7B8D" w:rsidRDefault="005B7B8D" w:rsidP="005B7B8D">
      <w:pPr>
        <w:pStyle w:val="ListParagraph"/>
        <w:spacing w:line="360" w:lineRule="auto"/>
        <w:ind w:left="851"/>
        <w:jc w:val="both"/>
        <w:rPr>
          <w:rFonts w:asciiTheme="minorHAnsi" w:hAnsiTheme="minorHAnsi" w:cstheme="minorHAnsi"/>
          <w:sz w:val="26"/>
          <w:szCs w:val="26"/>
          <w:u w:val="single"/>
        </w:rPr>
      </w:pPr>
      <w:r w:rsidRPr="005B7B8D">
        <w:rPr>
          <w:rFonts w:asciiTheme="minorHAnsi" w:hAnsiTheme="minorHAnsi" w:cstheme="minorHAnsi"/>
          <w:sz w:val="26"/>
          <w:szCs w:val="26"/>
          <w:u w:val="single"/>
        </w:rPr>
        <w:t xml:space="preserve">Lack of impartiality </w:t>
      </w:r>
    </w:p>
    <w:p w:rsidR="00E52F8A" w:rsidRPr="00BF6994" w:rsidRDefault="00BF6994" w:rsidP="00BF699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22.</w:t>
      </w:r>
      <w:r>
        <w:rPr>
          <w:rFonts w:asciiTheme="minorHAnsi" w:hAnsiTheme="minorHAnsi" w:cstheme="minorHAnsi"/>
          <w:sz w:val="26"/>
          <w:szCs w:val="26"/>
        </w:rPr>
        <w:tab/>
      </w:r>
      <w:r w:rsidR="005B7B8D" w:rsidRPr="00BF6994">
        <w:rPr>
          <w:rFonts w:asciiTheme="minorHAnsi" w:hAnsiTheme="minorHAnsi" w:cstheme="minorHAnsi"/>
          <w:sz w:val="26"/>
          <w:szCs w:val="26"/>
        </w:rPr>
        <w:t>As I</w:t>
      </w:r>
      <w:r w:rsidR="0050419C" w:rsidRPr="00BF6994">
        <w:rPr>
          <w:rFonts w:asciiTheme="minorHAnsi" w:hAnsiTheme="minorHAnsi" w:cstheme="minorHAnsi"/>
          <w:sz w:val="26"/>
          <w:szCs w:val="26"/>
        </w:rPr>
        <w:t xml:space="preserve"> understand </w:t>
      </w:r>
      <w:r w:rsidR="000C4515" w:rsidRPr="00BF6994">
        <w:rPr>
          <w:rFonts w:asciiTheme="minorHAnsi" w:hAnsiTheme="minorHAnsi" w:cstheme="minorHAnsi"/>
          <w:sz w:val="26"/>
          <w:szCs w:val="26"/>
        </w:rPr>
        <w:t>the argument</w:t>
      </w:r>
      <w:r w:rsidR="0050419C" w:rsidRPr="00BF6994">
        <w:rPr>
          <w:rFonts w:asciiTheme="minorHAnsi" w:hAnsiTheme="minorHAnsi" w:cstheme="minorHAnsi"/>
          <w:sz w:val="26"/>
          <w:szCs w:val="26"/>
        </w:rPr>
        <w:t xml:space="preserve">, </w:t>
      </w:r>
      <w:r w:rsidR="005B7B8D" w:rsidRPr="00BF6994">
        <w:rPr>
          <w:rFonts w:asciiTheme="minorHAnsi" w:hAnsiTheme="minorHAnsi" w:cstheme="minorHAnsi"/>
          <w:sz w:val="26"/>
          <w:szCs w:val="26"/>
        </w:rPr>
        <w:t>Mr M</w:t>
      </w:r>
      <w:r w:rsidR="00043A9A" w:rsidRPr="00BF6994">
        <w:rPr>
          <w:rFonts w:asciiTheme="minorHAnsi" w:hAnsiTheme="minorHAnsi" w:cstheme="minorHAnsi"/>
          <w:sz w:val="26"/>
          <w:szCs w:val="26"/>
        </w:rPr>
        <w:t>a</w:t>
      </w:r>
      <w:r w:rsidR="005B7B8D" w:rsidRPr="00BF6994">
        <w:rPr>
          <w:rFonts w:asciiTheme="minorHAnsi" w:hAnsiTheme="minorHAnsi" w:cstheme="minorHAnsi"/>
          <w:sz w:val="26"/>
          <w:szCs w:val="26"/>
        </w:rPr>
        <w:t>loka</w:t>
      </w:r>
      <w:r w:rsidR="000C4515" w:rsidRPr="00BF6994">
        <w:rPr>
          <w:rFonts w:asciiTheme="minorHAnsi" w:hAnsiTheme="minorHAnsi" w:cstheme="minorHAnsi"/>
          <w:sz w:val="26"/>
          <w:szCs w:val="26"/>
        </w:rPr>
        <w:t xml:space="preserve"> submitted</w:t>
      </w:r>
      <w:r w:rsidR="005B7B8D" w:rsidRPr="00BF6994">
        <w:rPr>
          <w:rFonts w:asciiTheme="minorHAnsi" w:hAnsiTheme="minorHAnsi" w:cstheme="minorHAnsi"/>
          <w:sz w:val="26"/>
          <w:szCs w:val="26"/>
        </w:rPr>
        <w:t xml:space="preserve"> </w:t>
      </w:r>
      <w:r w:rsidR="0050419C" w:rsidRPr="00BF6994">
        <w:rPr>
          <w:rFonts w:asciiTheme="minorHAnsi" w:hAnsiTheme="minorHAnsi" w:cstheme="minorHAnsi"/>
          <w:sz w:val="26"/>
          <w:szCs w:val="26"/>
        </w:rPr>
        <w:t>that no prior court ha</w:t>
      </w:r>
      <w:r w:rsidR="005B7B8D" w:rsidRPr="00BF6994">
        <w:rPr>
          <w:rFonts w:asciiTheme="minorHAnsi" w:hAnsiTheme="minorHAnsi" w:cstheme="minorHAnsi"/>
          <w:sz w:val="26"/>
          <w:szCs w:val="26"/>
        </w:rPr>
        <w:t>s</w:t>
      </w:r>
      <w:r w:rsidR="0050419C" w:rsidRPr="00BF6994">
        <w:rPr>
          <w:rFonts w:asciiTheme="minorHAnsi" w:hAnsiTheme="minorHAnsi" w:cstheme="minorHAnsi"/>
          <w:sz w:val="26"/>
          <w:szCs w:val="26"/>
        </w:rPr>
        <w:t xml:space="preserve"> pronounced on the merits of any case thus far pursued </w:t>
      </w:r>
      <w:r w:rsidR="00E52F8A" w:rsidRPr="00BF6994">
        <w:rPr>
          <w:rFonts w:asciiTheme="minorHAnsi" w:hAnsiTheme="minorHAnsi" w:cstheme="minorHAnsi"/>
          <w:sz w:val="26"/>
          <w:szCs w:val="26"/>
        </w:rPr>
        <w:t>by him</w:t>
      </w:r>
      <w:r w:rsidR="00810D3F" w:rsidRPr="00BF6994">
        <w:rPr>
          <w:rFonts w:asciiTheme="minorHAnsi" w:hAnsiTheme="minorHAnsi" w:cstheme="minorHAnsi"/>
          <w:sz w:val="26"/>
          <w:szCs w:val="26"/>
        </w:rPr>
        <w:t xml:space="preserve"> </w:t>
      </w:r>
      <w:r w:rsidR="000644B7" w:rsidRPr="00BF6994">
        <w:rPr>
          <w:rFonts w:asciiTheme="minorHAnsi" w:hAnsiTheme="minorHAnsi" w:cstheme="minorHAnsi"/>
          <w:sz w:val="26"/>
          <w:szCs w:val="26"/>
        </w:rPr>
        <w:t>and</w:t>
      </w:r>
      <w:r w:rsidR="00810D3F" w:rsidRPr="00BF6994">
        <w:rPr>
          <w:rFonts w:asciiTheme="minorHAnsi" w:hAnsiTheme="minorHAnsi" w:cstheme="minorHAnsi"/>
          <w:sz w:val="26"/>
          <w:szCs w:val="26"/>
        </w:rPr>
        <w:t xml:space="preserve"> </w:t>
      </w:r>
      <w:r w:rsidR="000644B7" w:rsidRPr="00BF6994">
        <w:rPr>
          <w:rFonts w:asciiTheme="minorHAnsi" w:hAnsiTheme="minorHAnsi" w:cstheme="minorHAnsi"/>
          <w:sz w:val="26"/>
          <w:szCs w:val="26"/>
        </w:rPr>
        <w:t xml:space="preserve">no court has </w:t>
      </w:r>
      <w:r w:rsidR="005B7B8D" w:rsidRPr="00BF6994">
        <w:rPr>
          <w:rFonts w:asciiTheme="minorHAnsi" w:hAnsiTheme="minorHAnsi" w:cstheme="minorHAnsi"/>
          <w:sz w:val="26"/>
          <w:szCs w:val="26"/>
        </w:rPr>
        <w:t xml:space="preserve">either </w:t>
      </w:r>
      <w:r w:rsidR="000644B7" w:rsidRPr="00BF6994">
        <w:rPr>
          <w:rFonts w:asciiTheme="minorHAnsi" w:hAnsiTheme="minorHAnsi" w:cstheme="minorHAnsi"/>
          <w:sz w:val="26"/>
          <w:szCs w:val="26"/>
        </w:rPr>
        <w:t xml:space="preserve">found, in relation to </w:t>
      </w:r>
      <w:r w:rsidR="005B7B8D" w:rsidRPr="00BF6994">
        <w:rPr>
          <w:rFonts w:asciiTheme="minorHAnsi" w:hAnsiTheme="minorHAnsi" w:cstheme="minorHAnsi"/>
          <w:sz w:val="26"/>
          <w:szCs w:val="26"/>
        </w:rPr>
        <w:t>the</w:t>
      </w:r>
      <w:r w:rsidR="000644B7" w:rsidRPr="00BF6994">
        <w:rPr>
          <w:rFonts w:asciiTheme="minorHAnsi" w:hAnsiTheme="minorHAnsi" w:cstheme="minorHAnsi"/>
          <w:sz w:val="26"/>
          <w:szCs w:val="26"/>
        </w:rPr>
        <w:t xml:space="preserve"> various claims instituted </w:t>
      </w:r>
      <w:r w:rsidR="005B7B8D" w:rsidRPr="00BF6994">
        <w:rPr>
          <w:rFonts w:asciiTheme="minorHAnsi" w:hAnsiTheme="minorHAnsi" w:cstheme="minorHAnsi"/>
          <w:sz w:val="26"/>
          <w:szCs w:val="26"/>
        </w:rPr>
        <w:t xml:space="preserve">by him </w:t>
      </w:r>
      <w:r w:rsidR="000644B7" w:rsidRPr="00BF6994">
        <w:rPr>
          <w:rFonts w:asciiTheme="minorHAnsi" w:hAnsiTheme="minorHAnsi" w:cstheme="minorHAnsi"/>
          <w:sz w:val="26"/>
          <w:szCs w:val="26"/>
        </w:rPr>
        <w:t xml:space="preserve">in other fora, that </w:t>
      </w:r>
      <w:r w:rsidR="0050419C" w:rsidRPr="00BF6994">
        <w:rPr>
          <w:rFonts w:asciiTheme="minorHAnsi" w:hAnsiTheme="minorHAnsi" w:cstheme="minorHAnsi"/>
          <w:sz w:val="26"/>
          <w:szCs w:val="26"/>
        </w:rPr>
        <w:t>he is a vexatious litigant</w:t>
      </w:r>
      <w:r w:rsidR="005B7B8D" w:rsidRPr="00BF6994">
        <w:rPr>
          <w:rFonts w:asciiTheme="minorHAnsi" w:hAnsiTheme="minorHAnsi" w:cstheme="minorHAnsi"/>
          <w:sz w:val="26"/>
          <w:szCs w:val="26"/>
        </w:rPr>
        <w:t>,</w:t>
      </w:r>
      <w:r w:rsidR="000644B7" w:rsidRPr="00BF6994">
        <w:rPr>
          <w:rFonts w:asciiTheme="minorHAnsi" w:hAnsiTheme="minorHAnsi" w:cstheme="minorHAnsi"/>
          <w:sz w:val="26"/>
          <w:szCs w:val="26"/>
        </w:rPr>
        <w:t xml:space="preserve"> therefore</w:t>
      </w:r>
      <w:r w:rsidR="005B7B8D" w:rsidRPr="00BF6994">
        <w:rPr>
          <w:rFonts w:asciiTheme="minorHAnsi" w:hAnsiTheme="minorHAnsi" w:cstheme="minorHAnsi"/>
          <w:sz w:val="26"/>
          <w:szCs w:val="26"/>
        </w:rPr>
        <w:t>,</w:t>
      </w:r>
      <w:r w:rsidR="000644B7" w:rsidRPr="00BF6994">
        <w:rPr>
          <w:rFonts w:asciiTheme="minorHAnsi" w:hAnsiTheme="minorHAnsi" w:cstheme="minorHAnsi"/>
          <w:sz w:val="26"/>
          <w:szCs w:val="26"/>
        </w:rPr>
        <w:t xml:space="preserve"> there </w:t>
      </w:r>
      <w:r w:rsidR="005B7B8D" w:rsidRPr="00BF6994">
        <w:rPr>
          <w:rFonts w:asciiTheme="minorHAnsi" w:hAnsiTheme="minorHAnsi" w:cstheme="minorHAnsi"/>
          <w:sz w:val="26"/>
          <w:szCs w:val="26"/>
        </w:rPr>
        <w:t>wa</w:t>
      </w:r>
      <w:r w:rsidR="000644B7" w:rsidRPr="00BF6994">
        <w:rPr>
          <w:rFonts w:asciiTheme="minorHAnsi" w:hAnsiTheme="minorHAnsi" w:cstheme="minorHAnsi"/>
          <w:sz w:val="26"/>
          <w:szCs w:val="26"/>
        </w:rPr>
        <w:t>s no basis for this court to have concluded that he has embarked on vexatious litigation</w:t>
      </w:r>
      <w:r w:rsidR="005B7B8D" w:rsidRPr="00BF6994">
        <w:rPr>
          <w:rFonts w:asciiTheme="minorHAnsi" w:hAnsiTheme="minorHAnsi" w:cstheme="minorHAnsi"/>
          <w:sz w:val="26"/>
          <w:szCs w:val="26"/>
        </w:rPr>
        <w:t>, particularly</w:t>
      </w:r>
      <w:r w:rsidR="00810D3F" w:rsidRPr="00BF6994">
        <w:rPr>
          <w:rFonts w:asciiTheme="minorHAnsi" w:hAnsiTheme="minorHAnsi" w:cstheme="minorHAnsi"/>
          <w:sz w:val="26"/>
          <w:szCs w:val="26"/>
        </w:rPr>
        <w:t xml:space="preserve"> in circumstances where </w:t>
      </w:r>
      <w:r w:rsidR="005B7B8D" w:rsidRPr="00BF6994">
        <w:rPr>
          <w:rFonts w:asciiTheme="minorHAnsi" w:hAnsiTheme="minorHAnsi" w:cstheme="minorHAnsi"/>
          <w:sz w:val="26"/>
          <w:szCs w:val="26"/>
        </w:rPr>
        <w:t xml:space="preserve">the </w:t>
      </w:r>
      <w:r w:rsidR="0050419C" w:rsidRPr="00BF6994">
        <w:rPr>
          <w:rFonts w:asciiTheme="minorHAnsi" w:hAnsiTheme="minorHAnsi" w:cstheme="minorHAnsi"/>
          <w:sz w:val="26"/>
          <w:szCs w:val="26"/>
        </w:rPr>
        <w:t xml:space="preserve">Equality </w:t>
      </w:r>
      <w:r w:rsidR="005B7B8D" w:rsidRPr="00BF6994">
        <w:rPr>
          <w:rFonts w:asciiTheme="minorHAnsi" w:hAnsiTheme="minorHAnsi" w:cstheme="minorHAnsi"/>
          <w:sz w:val="26"/>
          <w:szCs w:val="26"/>
        </w:rPr>
        <w:t>C</w:t>
      </w:r>
      <w:r w:rsidR="0050419C" w:rsidRPr="00BF6994">
        <w:rPr>
          <w:rFonts w:asciiTheme="minorHAnsi" w:hAnsiTheme="minorHAnsi" w:cstheme="minorHAnsi"/>
          <w:sz w:val="26"/>
          <w:szCs w:val="26"/>
        </w:rPr>
        <w:t xml:space="preserve">ourt </w:t>
      </w:r>
      <w:r w:rsidR="005B7B8D" w:rsidRPr="00BF6994">
        <w:rPr>
          <w:rFonts w:asciiTheme="minorHAnsi" w:hAnsiTheme="minorHAnsi" w:cstheme="minorHAnsi"/>
          <w:sz w:val="26"/>
          <w:szCs w:val="26"/>
        </w:rPr>
        <w:t xml:space="preserve">had </w:t>
      </w:r>
      <w:r w:rsidR="0050419C" w:rsidRPr="00BF6994">
        <w:rPr>
          <w:rFonts w:asciiTheme="minorHAnsi" w:hAnsiTheme="minorHAnsi" w:cstheme="minorHAnsi"/>
          <w:sz w:val="26"/>
          <w:szCs w:val="26"/>
        </w:rPr>
        <w:t xml:space="preserve">previously determined the validity of the </w:t>
      </w:r>
      <w:r w:rsidR="00810D3F" w:rsidRPr="00BF6994">
        <w:rPr>
          <w:rFonts w:asciiTheme="minorHAnsi" w:hAnsiTheme="minorHAnsi" w:cstheme="minorHAnsi"/>
          <w:sz w:val="26"/>
          <w:szCs w:val="26"/>
        </w:rPr>
        <w:t xml:space="preserve">claims </w:t>
      </w:r>
      <w:r w:rsidR="000C4515" w:rsidRPr="00BF6994">
        <w:rPr>
          <w:rFonts w:asciiTheme="minorHAnsi" w:hAnsiTheme="minorHAnsi" w:cstheme="minorHAnsi"/>
          <w:sz w:val="26"/>
          <w:szCs w:val="26"/>
        </w:rPr>
        <w:t xml:space="preserve">now </w:t>
      </w:r>
      <w:r w:rsidR="00810D3F" w:rsidRPr="00BF6994">
        <w:rPr>
          <w:rFonts w:asciiTheme="minorHAnsi" w:hAnsiTheme="minorHAnsi" w:cstheme="minorHAnsi"/>
          <w:sz w:val="26"/>
          <w:szCs w:val="26"/>
        </w:rPr>
        <w:t xml:space="preserve">pursued </w:t>
      </w:r>
      <w:r w:rsidR="005B7B8D" w:rsidRPr="00BF6994">
        <w:rPr>
          <w:rFonts w:asciiTheme="minorHAnsi" w:hAnsiTheme="minorHAnsi" w:cstheme="minorHAnsi"/>
          <w:sz w:val="26"/>
          <w:szCs w:val="26"/>
        </w:rPr>
        <w:t xml:space="preserve">by him </w:t>
      </w:r>
      <w:r w:rsidR="00810D3F" w:rsidRPr="00BF6994">
        <w:rPr>
          <w:rFonts w:asciiTheme="minorHAnsi" w:hAnsiTheme="minorHAnsi" w:cstheme="minorHAnsi"/>
          <w:sz w:val="26"/>
          <w:szCs w:val="26"/>
        </w:rPr>
        <w:t xml:space="preserve">in the </w:t>
      </w:r>
      <w:r w:rsidR="0050419C" w:rsidRPr="00BF6994">
        <w:rPr>
          <w:rFonts w:asciiTheme="minorHAnsi" w:hAnsiTheme="minorHAnsi" w:cstheme="minorHAnsi"/>
          <w:sz w:val="26"/>
          <w:szCs w:val="26"/>
        </w:rPr>
        <w:t xml:space="preserve">main application. </w:t>
      </w:r>
      <w:r w:rsidR="00810D3F" w:rsidRPr="00BF6994">
        <w:rPr>
          <w:rFonts w:asciiTheme="minorHAnsi" w:hAnsiTheme="minorHAnsi" w:cstheme="minorHAnsi"/>
          <w:sz w:val="26"/>
          <w:szCs w:val="26"/>
        </w:rPr>
        <w:t xml:space="preserve">The argument is not sustainable. </w:t>
      </w:r>
      <w:r w:rsidR="00E52F8A" w:rsidRPr="00BF6994">
        <w:rPr>
          <w:rFonts w:asciiTheme="minorHAnsi" w:hAnsiTheme="minorHAnsi" w:cstheme="minorHAnsi"/>
          <w:sz w:val="26"/>
          <w:szCs w:val="26"/>
        </w:rPr>
        <w:t>Firstly, the submission that no court has pronounced on the merits of any of Mr M</w:t>
      </w:r>
      <w:r w:rsidR="00043A9A" w:rsidRPr="00BF6994">
        <w:rPr>
          <w:rFonts w:asciiTheme="minorHAnsi" w:hAnsiTheme="minorHAnsi" w:cstheme="minorHAnsi"/>
          <w:sz w:val="26"/>
          <w:szCs w:val="26"/>
        </w:rPr>
        <w:t>a</w:t>
      </w:r>
      <w:r w:rsidR="00E52F8A" w:rsidRPr="00BF6994">
        <w:rPr>
          <w:rFonts w:asciiTheme="minorHAnsi" w:hAnsiTheme="minorHAnsi" w:cstheme="minorHAnsi"/>
          <w:sz w:val="26"/>
          <w:szCs w:val="26"/>
        </w:rPr>
        <w:t>loka’s cases is incorrect in the light of the Labour Court’s judgment referred to in paragraph 17 above. Secondly, as</w:t>
      </w:r>
      <w:r w:rsidR="00810D3F" w:rsidRPr="00BF6994">
        <w:rPr>
          <w:rFonts w:asciiTheme="minorHAnsi" w:hAnsiTheme="minorHAnsi" w:cstheme="minorHAnsi"/>
          <w:sz w:val="26"/>
          <w:szCs w:val="26"/>
        </w:rPr>
        <w:t xml:space="preserve"> illustrated above, the Equality Court made no determination </w:t>
      </w:r>
      <w:r w:rsidR="00E52F8A" w:rsidRPr="00BF6994">
        <w:rPr>
          <w:rFonts w:asciiTheme="minorHAnsi" w:hAnsiTheme="minorHAnsi" w:cstheme="minorHAnsi"/>
          <w:sz w:val="26"/>
          <w:szCs w:val="26"/>
        </w:rPr>
        <w:t xml:space="preserve">on the merits of his claims </w:t>
      </w:r>
      <w:r w:rsidR="00043A9A" w:rsidRPr="00BF6994">
        <w:rPr>
          <w:rFonts w:asciiTheme="minorHAnsi" w:hAnsiTheme="minorHAnsi" w:cstheme="minorHAnsi"/>
          <w:sz w:val="26"/>
          <w:szCs w:val="26"/>
        </w:rPr>
        <w:t xml:space="preserve">that are now </w:t>
      </w:r>
      <w:r w:rsidR="000C4515" w:rsidRPr="00BF6994">
        <w:rPr>
          <w:rFonts w:asciiTheme="minorHAnsi" w:hAnsiTheme="minorHAnsi" w:cstheme="minorHAnsi"/>
          <w:sz w:val="26"/>
          <w:szCs w:val="26"/>
        </w:rPr>
        <w:t xml:space="preserve">pursued </w:t>
      </w:r>
      <w:r w:rsidR="00E52F8A" w:rsidRPr="00BF6994">
        <w:rPr>
          <w:rFonts w:asciiTheme="minorHAnsi" w:hAnsiTheme="minorHAnsi" w:cstheme="minorHAnsi"/>
          <w:sz w:val="26"/>
          <w:szCs w:val="26"/>
        </w:rPr>
        <w:t>in the main application. Thirdly, t</w:t>
      </w:r>
      <w:r w:rsidR="00810D3F" w:rsidRPr="00BF6994">
        <w:rPr>
          <w:rFonts w:asciiTheme="minorHAnsi" w:hAnsiTheme="minorHAnsi" w:cstheme="minorHAnsi"/>
          <w:sz w:val="26"/>
          <w:szCs w:val="26"/>
        </w:rPr>
        <w:t xml:space="preserve">here was </w:t>
      </w:r>
      <w:r w:rsidR="00E52F8A" w:rsidRPr="00BF6994">
        <w:rPr>
          <w:rFonts w:asciiTheme="minorHAnsi" w:hAnsiTheme="minorHAnsi" w:cstheme="minorHAnsi"/>
          <w:sz w:val="26"/>
          <w:szCs w:val="26"/>
        </w:rPr>
        <w:t>nothing in the papers to indicate</w:t>
      </w:r>
      <w:r w:rsidR="00810D3F" w:rsidRPr="00BF6994">
        <w:rPr>
          <w:rFonts w:asciiTheme="minorHAnsi" w:hAnsiTheme="minorHAnsi" w:cstheme="minorHAnsi"/>
          <w:sz w:val="26"/>
          <w:szCs w:val="26"/>
        </w:rPr>
        <w:t xml:space="preserve"> that Liberty had brought an application for security for costs in the </w:t>
      </w:r>
      <w:r w:rsidR="00810D3F" w:rsidRPr="00BF6994">
        <w:rPr>
          <w:rFonts w:asciiTheme="minorHAnsi" w:hAnsiTheme="minorHAnsi" w:cstheme="minorHAnsi"/>
          <w:sz w:val="26"/>
          <w:szCs w:val="26"/>
        </w:rPr>
        <w:lastRenderedPageBreak/>
        <w:t xml:space="preserve">various proceedings that were instituted in other fora, hence the issue of vexatious litigation would not have arisen in those proceedings. </w:t>
      </w:r>
    </w:p>
    <w:p w:rsidR="00E52F8A" w:rsidRDefault="00E52F8A" w:rsidP="00E52F8A">
      <w:pPr>
        <w:pStyle w:val="ListParagraph"/>
        <w:spacing w:line="360" w:lineRule="auto"/>
        <w:ind w:left="851"/>
        <w:jc w:val="both"/>
        <w:rPr>
          <w:rFonts w:asciiTheme="minorHAnsi" w:hAnsiTheme="minorHAnsi" w:cstheme="minorHAnsi"/>
          <w:sz w:val="26"/>
          <w:szCs w:val="26"/>
        </w:rPr>
      </w:pPr>
    </w:p>
    <w:p w:rsidR="00506FCD" w:rsidRPr="00BF6994" w:rsidRDefault="00BF6994" w:rsidP="00BF699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23.</w:t>
      </w:r>
      <w:r w:rsidRPr="006A31DA">
        <w:rPr>
          <w:rFonts w:asciiTheme="minorHAnsi" w:hAnsiTheme="minorHAnsi" w:cstheme="minorHAnsi"/>
          <w:sz w:val="26"/>
          <w:szCs w:val="26"/>
        </w:rPr>
        <w:tab/>
      </w:r>
      <w:r w:rsidR="00810D3F" w:rsidRPr="00BF6994">
        <w:rPr>
          <w:rFonts w:asciiTheme="minorHAnsi" w:hAnsiTheme="minorHAnsi" w:cstheme="minorHAnsi"/>
          <w:sz w:val="26"/>
          <w:szCs w:val="26"/>
        </w:rPr>
        <w:t xml:space="preserve">Mr Moloka further submitted that </w:t>
      </w:r>
      <w:r w:rsidR="0050419C" w:rsidRPr="00BF6994">
        <w:rPr>
          <w:rFonts w:asciiTheme="minorHAnsi" w:hAnsiTheme="minorHAnsi" w:cstheme="minorHAnsi"/>
          <w:sz w:val="26"/>
          <w:szCs w:val="26"/>
        </w:rPr>
        <w:t xml:space="preserve">the court failed to demonstrate fairness and impartiality </w:t>
      </w:r>
      <w:r w:rsidR="00810D3F" w:rsidRPr="00BF6994">
        <w:rPr>
          <w:rFonts w:asciiTheme="minorHAnsi" w:hAnsiTheme="minorHAnsi" w:cstheme="minorHAnsi"/>
          <w:sz w:val="26"/>
          <w:szCs w:val="26"/>
        </w:rPr>
        <w:t>because it paid</w:t>
      </w:r>
      <w:r w:rsidR="0050419C" w:rsidRPr="00BF6994">
        <w:rPr>
          <w:rFonts w:asciiTheme="minorHAnsi" w:hAnsiTheme="minorHAnsi" w:cstheme="minorHAnsi"/>
          <w:sz w:val="26"/>
          <w:szCs w:val="26"/>
        </w:rPr>
        <w:t xml:space="preserve"> more attention</w:t>
      </w:r>
      <w:r w:rsidR="00856FF2" w:rsidRPr="00BF6994">
        <w:rPr>
          <w:rFonts w:asciiTheme="minorHAnsi" w:hAnsiTheme="minorHAnsi" w:cstheme="minorHAnsi"/>
          <w:sz w:val="26"/>
          <w:szCs w:val="26"/>
        </w:rPr>
        <w:t>, when arriving at its findings,</w:t>
      </w:r>
      <w:r w:rsidR="0050419C" w:rsidRPr="00BF6994">
        <w:rPr>
          <w:rFonts w:asciiTheme="minorHAnsi" w:hAnsiTheme="minorHAnsi" w:cstheme="minorHAnsi"/>
          <w:sz w:val="26"/>
          <w:szCs w:val="26"/>
        </w:rPr>
        <w:t xml:space="preserve"> to the evidence presented by Liberty concerning its prejudice in the event that Mr Moloka </w:t>
      </w:r>
      <w:r w:rsidR="00810D3F" w:rsidRPr="00BF6994">
        <w:rPr>
          <w:rFonts w:asciiTheme="minorHAnsi" w:hAnsiTheme="minorHAnsi" w:cstheme="minorHAnsi"/>
          <w:sz w:val="26"/>
          <w:szCs w:val="26"/>
        </w:rPr>
        <w:t xml:space="preserve">were to </w:t>
      </w:r>
      <w:r w:rsidR="00CD1187" w:rsidRPr="00BF6994">
        <w:rPr>
          <w:rFonts w:asciiTheme="minorHAnsi" w:hAnsiTheme="minorHAnsi" w:cstheme="minorHAnsi"/>
          <w:sz w:val="26"/>
          <w:szCs w:val="26"/>
        </w:rPr>
        <w:t xml:space="preserve">fail to satisfy any costs order </w:t>
      </w:r>
      <w:r w:rsidR="00E52F8A" w:rsidRPr="00BF6994">
        <w:rPr>
          <w:rFonts w:asciiTheme="minorHAnsi" w:hAnsiTheme="minorHAnsi" w:cstheme="minorHAnsi"/>
          <w:sz w:val="26"/>
          <w:szCs w:val="26"/>
        </w:rPr>
        <w:t xml:space="preserve">granted </w:t>
      </w:r>
      <w:r w:rsidR="00810D3F" w:rsidRPr="00BF6994">
        <w:rPr>
          <w:rFonts w:asciiTheme="minorHAnsi" w:hAnsiTheme="minorHAnsi" w:cstheme="minorHAnsi"/>
          <w:sz w:val="26"/>
          <w:szCs w:val="26"/>
        </w:rPr>
        <w:t>against him</w:t>
      </w:r>
      <w:r w:rsidR="00CD1187" w:rsidRPr="00BF6994">
        <w:rPr>
          <w:rFonts w:asciiTheme="minorHAnsi" w:hAnsiTheme="minorHAnsi" w:cstheme="minorHAnsi"/>
          <w:sz w:val="26"/>
          <w:szCs w:val="26"/>
        </w:rPr>
        <w:t xml:space="preserve"> </w:t>
      </w:r>
      <w:r w:rsidR="00E52F8A" w:rsidRPr="00BF6994">
        <w:rPr>
          <w:rFonts w:asciiTheme="minorHAnsi" w:hAnsiTheme="minorHAnsi" w:cstheme="minorHAnsi"/>
          <w:sz w:val="26"/>
          <w:szCs w:val="26"/>
        </w:rPr>
        <w:t xml:space="preserve">in the main application </w:t>
      </w:r>
      <w:r w:rsidR="00CD1187" w:rsidRPr="00BF6994">
        <w:rPr>
          <w:rFonts w:asciiTheme="minorHAnsi" w:hAnsiTheme="minorHAnsi" w:cstheme="minorHAnsi"/>
          <w:sz w:val="26"/>
          <w:szCs w:val="26"/>
        </w:rPr>
        <w:t>and in finding that the main application in its present form is unsustainable.</w:t>
      </w:r>
    </w:p>
    <w:p w:rsidR="00506FCD" w:rsidRPr="006A31DA" w:rsidRDefault="00506FCD" w:rsidP="00506FCD">
      <w:pPr>
        <w:pStyle w:val="ListParagraph"/>
        <w:spacing w:line="360" w:lineRule="auto"/>
        <w:rPr>
          <w:rFonts w:asciiTheme="minorHAnsi" w:hAnsiTheme="minorHAnsi" w:cstheme="minorHAnsi"/>
          <w:sz w:val="26"/>
          <w:szCs w:val="26"/>
        </w:rPr>
      </w:pPr>
    </w:p>
    <w:p w:rsidR="000644B7" w:rsidRPr="00BF6994" w:rsidRDefault="00BF6994" w:rsidP="00BF699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24.</w:t>
      </w:r>
      <w:r>
        <w:rPr>
          <w:rFonts w:asciiTheme="minorHAnsi" w:hAnsiTheme="minorHAnsi" w:cstheme="minorHAnsi"/>
          <w:sz w:val="26"/>
          <w:szCs w:val="26"/>
        </w:rPr>
        <w:tab/>
      </w:r>
      <w:r w:rsidR="000644B7" w:rsidRPr="00BF6994">
        <w:rPr>
          <w:rFonts w:asciiTheme="minorHAnsi" w:hAnsiTheme="minorHAnsi" w:cstheme="minorHAnsi"/>
          <w:sz w:val="26"/>
          <w:szCs w:val="26"/>
        </w:rPr>
        <w:t>As rightly pointed out by the respondent’s counsel at the hearing of the application for leave to appeal, the lack of impartiality complaint was</w:t>
      </w:r>
      <w:r w:rsidR="00CD1187" w:rsidRPr="00BF6994">
        <w:rPr>
          <w:rFonts w:asciiTheme="minorHAnsi" w:hAnsiTheme="minorHAnsi" w:cstheme="minorHAnsi"/>
          <w:sz w:val="26"/>
          <w:szCs w:val="26"/>
        </w:rPr>
        <w:t xml:space="preserve"> not raised </w:t>
      </w:r>
      <w:r w:rsidR="000644B7" w:rsidRPr="00BF6994">
        <w:rPr>
          <w:rFonts w:asciiTheme="minorHAnsi" w:hAnsiTheme="minorHAnsi" w:cstheme="minorHAnsi"/>
          <w:sz w:val="26"/>
          <w:szCs w:val="26"/>
        </w:rPr>
        <w:t xml:space="preserve">as a ground for impugning the judgment </w:t>
      </w:r>
      <w:r w:rsidR="00CD1187" w:rsidRPr="00BF6994">
        <w:rPr>
          <w:rFonts w:asciiTheme="minorHAnsi" w:hAnsiTheme="minorHAnsi" w:cstheme="minorHAnsi"/>
          <w:sz w:val="26"/>
          <w:szCs w:val="26"/>
        </w:rPr>
        <w:t xml:space="preserve">in the notice of application for leave to appeal. The </w:t>
      </w:r>
      <w:r w:rsidR="000644B7" w:rsidRPr="00BF6994">
        <w:rPr>
          <w:rFonts w:asciiTheme="minorHAnsi" w:hAnsiTheme="minorHAnsi" w:cstheme="minorHAnsi"/>
          <w:sz w:val="26"/>
          <w:szCs w:val="26"/>
        </w:rPr>
        <w:t>said</w:t>
      </w:r>
      <w:r w:rsidR="00CD1187" w:rsidRPr="00BF6994">
        <w:rPr>
          <w:rFonts w:asciiTheme="minorHAnsi" w:hAnsiTheme="minorHAnsi" w:cstheme="minorHAnsi"/>
          <w:sz w:val="26"/>
          <w:szCs w:val="26"/>
        </w:rPr>
        <w:t xml:space="preserve"> complaint was also not </w:t>
      </w:r>
      <w:r w:rsidR="000C4515" w:rsidRPr="00BF6994">
        <w:rPr>
          <w:rFonts w:asciiTheme="minorHAnsi" w:hAnsiTheme="minorHAnsi" w:cstheme="minorHAnsi"/>
          <w:sz w:val="26"/>
          <w:szCs w:val="26"/>
        </w:rPr>
        <w:t xml:space="preserve">identified or </w:t>
      </w:r>
      <w:r w:rsidR="00856FF2" w:rsidRPr="00BF6994">
        <w:rPr>
          <w:rFonts w:asciiTheme="minorHAnsi" w:hAnsiTheme="minorHAnsi" w:cstheme="minorHAnsi"/>
          <w:sz w:val="26"/>
          <w:szCs w:val="26"/>
        </w:rPr>
        <w:t>addressed</w:t>
      </w:r>
      <w:r w:rsidR="000644B7" w:rsidRPr="00BF6994">
        <w:rPr>
          <w:rFonts w:asciiTheme="minorHAnsi" w:hAnsiTheme="minorHAnsi" w:cstheme="minorHAnsi"/>
          <w:sz w:val="26"/>
          <w:szCs w:val="26"/>
        </w:rPr>
        <w:t xml:space="preserve"> </w:t>
      </w:r>
      <w:r w:rsidR="00CD1187" w:rsidRPr="00BF6994">
        <w:rPr>
          <w:rFonts w:asciiTheme="minorHAnsi" w:hAnsiTheme="minorHAnsi" w:cstheme="minorHAnsi"/>
          <w:sz w:val="26"/>
          <w:szCs w:val="26"/>
        </w:rPr>
        <w:t>in Mr M</w:t>
      </w:r>
      <w:r w:rsidR="00043A9A" w:rsidRPr="00BF6994">
        <w:rPr>
          <w:rFonts w:asciiTheme="minorHAnsi" w:hAnsiTheme="minorHAnsi" w:cstheme="minorHAnsi"/>
          <w:sz w:val="26"/>
          <w:szCs w:val="26"/>
        </w:rPr>
        <w:t>a</w:t>
      </w:r>
      <w:r w:rsidR="00CD1187" w:rsidRPr="00BF6994">
        <w:rPr>
          <w:rFonts w:asciiTheme="minorHAnsi" w:hAnsiTheme="minorHAnsi" w:cstheme="minorHAnsi"/>
          <w:sz w:val="26"/>
          <w:szCs w:val="26"/>
        </w:rPr>
        <w:t xml:space="preserve">loka’s written submissions </w:t>
      </w:r>
      <w:r w:rsidR="00043A9A" w:rsidRPr="00BF6994">
        <w:rPr>
          <w:rFonts w:asciiTheme="minorHAnsi" w:hAnsiTheme="minorHAnsi" w:cstheme="minorHAnsi"/>
          <w:sz w:val="26"/>
          <w:szCs w:val="26"/>
        </w:rPr>
        <w:t xml:space="preserve">that were </w:t>
      </w:r>
      <w:r w:rsidR="000644B7" w:rsidRPr="00BF6994">
        <w:rPr>
          <w:rFonts w:asciiTheme="minorHAnsi" w:hAnsiTheme="minorHAnsi" w:cstheme="minorHAnsi"/>
          <w:sz w:val="26"/>
          <w:szCs w:val="26"/>
        </w:rPr>
        <w:t xml:space="preserve">filed </w:t>
      </w:r>
      <w:r w:rsidR="00CD1187" w:rsidRPr="00BF6994">
        <w:rPr>
          <w:rFonts w:asciiTheme="minorHAnsi" w:hAnsiTheme="minorHAnsi" w:cstheme="minorHAnsi"/>
          <w:sz w:val="26"/>
          <w:szCs w:val="26"/>
        </w:rPr>
        <w:t xml:space="preserve">in support of </w:t>
      </w:r>
      <w:r w:rsidR="000644B7" w:rsidRPr="00BF6994">
        <w:rPr>
          <w:rFonts w:asciiTheme="minorHAnsi" w:hAnsiTheme="minorHAnsi" w:cstheme="minorHAnsi"/>
          <w:sz w:val="26"/>
          <w:szCs w:val="26"/>
        </w:rPr>
        <w:t>his</w:t>
      </w:r>
      <w:r w:rsidR="00CD1187" w:rsidRPr="00BF6994">
        <w:rPr>
          <w:rFonts w:asciiTheme="minorHAnsi" w:hAnsiTheme="minorHAnsi" w:cstheme="minorHAnsi"/>
          <w:sz w:val="26"/>
          <w:szCs w:val="26"/>
        </w:rPr>
        <w:t xml:space="preserve"> application for leave to appeal</w:t>
      </w:r>
      <w:r w:rsidR="00856FF2" w:rsidRPr="00BF6994">
        <w:rPr>
          <w:rFonts w:asciiTheme="minorHAnsi" w:hAnsiTheme="minorHAnsi" w:cstheme="minorHAnsi"/>
          <w:sz w:val="26"/>
          <w:szCs w:val="26"/>
        </w:rPr>
        <w:t>,</w:t>
      </w:r>
      <w:r w:rsidR="00CD1187" w:rsidRPr="00BF6994">
        <w:rPr>
          <w:rFonts w:asciiTheme="minorHAnsi" w:hAnsiTheme="minorHAnsi" w:cstheme="minorHAnsi"/>
          <w:sz w:val="26"/>
          <w:szCs w:val="26"/>
        </w:rPr>
        <w:t xml:space="preserve"> and as such falls outside the scope of what can be considered in this matter.</w:t>
      </w:r>
      <w:r w:rsidR="000644B7" w:rsidRPr="00BF6994">
        <w:rPr>
          <w:rFonts w:asciiTheme="minorHAnsi" w:hAnsiTheme="minorHAnsi" w:cstheme="minorHAnsi"/>
          <w:sz w:val="26"/>
          <w:szCs w:val="26"/>
        </w:rPr>
        <w:t xml:space="preserve"> That notwithstanding, </w:t>
      </w:r>
      <w:r w:rsidR="00856FF2" w:rsidRPr="00BF6994">
        <w:rPr>
          <w:rFonts w:asciiTheme="minorHAnsi" w:hAnsiTheme="minorHAnsi" w:cstheme="minorHAnsi"/>
          <w:sz w:val="26"/>
          <w:szCs w:val="26"/>
        </w:rPr>
        <w:t xml:space="preserve">it bears mention that </w:t>
      </w:r>
      <w:r w:rsidR="000644B7" w:rsidRPr="00BF6994">
        <w:rPr>
          <w:rFonts w:asciiTheme="minorHAnsi" w:hAnsiTheme="minorHAnsi" w:cstheme="minorHAnsi"/>
          <w:sz w:val="26"/>
          <w:szCs w:val="26"/>
        </w:rPr>
        <w:t>Mr M</w:t>
      </w:r>
      <w:r w:rsidR="00043A9A" w:rsidRPr="00BF6994">
        <w:rPr>
          <w:rFonts w:asciiTheme="minorHAnsi" w:hAnsiTheme="minorHAnsi" w:cstheme="minorHAnsi"/>
          <w:sz w:val="26"/>
          <w:szCs w:val="26"/>
        </w:rPr>
        <w:t>a</w:t>
      </w:r>
      <w:r w:rsidR="000644B7" w:rsidRPr="00BF6994">
        <w:rPr>
          <w:rFonts w:asciiTheme="minorHAnsi" w:hAnsiTheme="minorHAnsi" w:cstheme="minorHAnsi"/>
          <w:sz w:val="26"/>
          <w:szCs w:val="26"/>
        </w:rPr>
        <w:t>loka</w:t>
      </w:r>
      <w:r w:rsidR="00856FF2" w:rsidRPr="00BF6994">
        <w:rPr>
          <w:rFonts w:asciiTheme="minorHAnsi" w:hAnsiTheme="minorHAnsi" w:cstheme="minorHAnsi"/>
          <w:sz w:val="26"/>
          <w:szCs w:val="26"/>
        </w:rPr>
        <w:t xml:space="preserve"> appears to</w:t>
      </w:r>
      <w:r w:rsidR="000644B7" w:rsidRPr="00BF6994">
        <w:rPr>
          <w:rFonts w:asciiTheme="minorHAnsi" w:hAnsiTheme="minorHAnsi" w:cstheme="minorHAnsi"/>
          <w:sz w:val="26"/>
          <w:szCs w:val="26"/>
        </w:rPr>
        <w:t xml:space="preserve"> </w:t>
      </w:r>
      <w:r w:rsidR="00856FF2" w:rsidRPr="00BF6994">
        <w:rPr>
          <w:rFonts w:asciiTheme="minorHAnsi" w:hAnsiTheme="minorHAnsi" w:cstheme="minorHAnsi"/>
          <w:sz w:val="26"/>
          <w:szCs w:val="26"/>
        </w:rPr>
        <w:t>overlook the fact that</w:t>
      </w:r>
      <w:r w:rsidR="000644B7" w:rsidRPr="00BF6994">
        <w:rPr>
          <w:rFonts w:asciiTheme="minorHAnsi" w:hAnsiTheme="minorHAnsi" w:cstheme="minorHAnsi"/>
          <w:sz w:val="26"/>
          <w:szCs w:val="26"/>
        </w:rPr>
        <w:t xml:space="preserve"> </w:t>
      </w:r>
      <w:r w:rsidR="00856FF2" w:rsidRPr="00BF6994">
        <w:rPr>
          <w:rFonts w:asciiTheme="minorHAnsi" w:hAnsiTheme="minorHAnsi" w:cstheme="minorHAnsi"/>
          <w:sz w:val="26"/>
          <w:szCs w:val="26"/>
        </w:rPr>
        <w:t xml:space="preserve">the court </w:t>
      </w:r>
      <w:r w:rsidR="00043A9A" w:rsidRPr="00BF6994">
        <w:rPr>
          <w:rFonts w:asciiTheme="minorHAnsi" w:hAnsiTheme="minorHAnsi" w:cstheme="minorHAnsi"/>
          <w:sz w:val="26"/>
          <w:szCs w:val="26"/>
        </w:rPr>
        <w:t>made</w:t>
      </w:r>
      <w:r w:rsidR="00856FF2" w:rsidRPr="00BF6994">
        <w:rPr>
          <w:rFonts w:asciiTheme="minorHAnsi" w:hAnsiTheme="minorHAnsi" w:cstheme="minorHAnsi"/>
          <w:sz w:val="26"/>
          <w:szCs w:val="26"/>
        </w:rPr>
        <w:t xml:space="preserve"> findings based on its application of legal principles to </w:t>
      </w:r>
      <w:r w:rsidR="000C4515" w:rsidRPr="00BF6994">
        <w:rPr>
          <w:rFonts w:asciiTheme="minorHAnsi" w:hAnsiTheme="minorHAnsi" w:cstheme="minorHAnsi"/>
          <w:sz w:val="26"/>
          <w:szCs w:val="26"/>
        </w:rPr>
        <w:t xml:space="preserve">what was </w:t>
      </w:r>
      <w:r w:rsidR="002519C5" w:rsidRPr="00BF6994">
        <w:rPr>
          <w:rFonts w:asciiTheme="minorHAnsi" w:hAnsiTheme="minorHAnsi" w:cstheme="minorHAnsi"/>
          <w:sz w:val="26"/>
          <w:szCs w:val="26"/>
        </w:rPr>
        <w:t>largely</w:t>
      </w:r>
      <w:r w:rsidR="00712B82" w:rsidRPr="00BF6994">
        <w:rPr>
          <w:rFonts w:asciiTheme="minorHAnsi" w:hAnsiTheme="minorHAnsi" w:cstheme="minorHAnsi"/>
          <w:sz w:val="26"/>
          <w:szCs w:val="26"/>
        </w:rPr>
        <w:t xml:space="preserve"> </w:t>
      </w:r>
      <w:r w:rsidR="00856FF2" w:rsidRPr="00BF6994">
        <w:rPr>
          <w:rFonts w:asciiTheme="minorHAnsi" w:hAnsiTheme="minorHAnsi" w:cstheme="minorHAnsi"/>
          <w:sz w:val="26"/>
          <w:szCs w:val="26"/>
        </w:rPr>
        <w:t xml:space="preserve">common cause facts. The authorities cited in the judgment were not </w:t>
      </w:r>
      <w:r w:rsidR="002519C5" w:rsidRPr="00BF6994">
        <w:rPr>
          <w:rFonts w:asciiTheme="minorHAnsi" w:hAnsiTheme="minorHAnsi" w:cstheme="minorHAnsi"/>
          <w:sz w:val="26"/>
          <w:szCs w:val="26"/>
        </w:rPr>
        <w:t>challenged</w:t>
      </w:r>
      <w:r w:rsidR="00856FF2" w:rsidRPr="00BF6994">
        <w:rPr>
          <w:rFonts w:asciiTheme="minorHAnsi" w:hAnsiTheme="minorHAnsi" w:cstheme="minorHAnsi"/>
          <w:sz w:val="26"/>
          <w:szCs w:val="26"/>
        </w:rPr>
        <w:t>, nor has Mr Moloka sought to demonstrate that the relevant principles were incorrectly applied</w:t>
      </w:r>
      <w:r w:rsidR="00712B82" w:rsidRPr="00BF6994">
        <w:rPr>
          <w:rFonts w:asciiTheme="minorHAnsi" w:hAnsiTheme="minorHAnsi" w:cstheme="minorHAnsi"/>
          <w:sz w:val="26"/>
          <w:szCs w:val="26"/>
        </w:rPr>
        <w:t xml:space="preserve"> by the court</w:t>
      </w:r>
      <w:r w:rsidR="00856FF2" w:rsidRPr="00BF6994">
        <w:rPr>
          <w:rFonts w:asciiTheme="minorHAnsi" w:hAnsiTheme="minorHAnsi" w:cstheme="minorHAnsi"/>
          <w:sz w:val="26"/>
          <w:szCs w:val="26"/>
        </w:rPr>
        <w:t xml:space="preserve">. Instead, his appeal is based largely on complaints that this court failed to uphold technical objections pursued by </w:t>
      </w:r>
      <w:r w:rsidR="00712B82" w:rsidRPr="00BF6994">
        <w:rPr>
          <w:rFonts w:asciiTheme="minorHAnsi" w:hAnsiTheme="minorHAnsi" w:cstheme="minorHAnsi"/>
          <w:sz w:val="26"/>
          <w:szCs w:val="26"/>
        </w:rPr>
        <w:t>him</w:t>
      </w:r>
      <w:r w:rsidR="00856FF2" w:rsidRPr="00BF6994">
        <w:rPr>
          <w:rFonts w:asciiTheme="minorHAnsi" w:hAnsiTheme="minorHAnsi" w:cstheme="minorHAnsi"/>
          <w:sz w:val="26"/>
          <w:szCs w:val="26"/>
        </w:rPr>
        <w:t xml:space="preserve"> at the hearing of the applications without</w:t>
      </w:r>
      <w:r w:rsidR="00712B82" w:rsidRPr="00BF6994">
        <w:rPr>
          <w:rFonts w:asciiTheme="minorHAnsi" w:hAnsiTheme="minorHAnsi" w:cstheme="minorHAnsi"/>
          <w:sz w:val="26"/>
          <w:szCs w:val="26"/>
        </w:rPr>
        <w:t>,</w:t>
      </w:r>
      <w:r w:rsidR="00856FF2" w:rsidRPr="00BF6994">
        <w:rPr>
          <w:rFonts w:asciiTheme="minorHAnsi" w:hAnsiTheme="minorHAnsi" w:cstheme="minorHAnsi"/>
          <w:sz w:val="26"/>
          <w:szCs w:val="26"/>
        </w:rPr>
        <w:t xml:space="preserve"> </w:t>
      </w:r>
      <w:r w:rsidR="00712B82" w:rsidRPr="00BF6994">
        <w:rPr>
          <w:rFonts w:asciiTheme="minorHAnsi" w:hAnsiTheme="minorHAnsi" w:cstheme="minorHAnsi"/>
          <w:sz w:val="26"/>
          <w:szCs w:val="26"/>
        </w:rPr>
        <w:t xml:space="preserve">however, contending or demonstrating </w:t>
      </w:r>
      <w:r w:rsidR="00856FF2" w:rsidRPr="00BF6994">
        <w:rPr>
          <w:rFonts w:asciiTheme="minorHAnsi" w:hAnsiTheme="minorHAnsi" w:cstheme="minorHAnsi"/>
          <w:sz w:val="26"/>
          <w:szCs w:val="26"/>
        </w:rPr>
        <w:t xml:space="preserve">that the court </w:t>
      </w:r>
      <w:r w:rsidR="00712B82" w:rsidRPr="00BF6994">
        <w:rPr>
          <w:rFonts w:asciiTheme="minorHAnsi" w:hAnsiTheme="minorHAnsi" w:cstheme="minorHAnsi"/>
          <w:sz w:val="26"/>
          <w:szCs w:val="26"/>
        </w:rPr>
        <w:t xml:space="preserve">had </w:t>
      </w:r>
      <w:r w:rsidR="00856FF2" w:rsidRPr="00BF6994">
        <w:rPr>
          <w:rFonts w:asciiTheme="minorHAnsi" w:hAnsiTheme="minorHAnsi" w:cstheme="minorHAnsi"/>
          <w:sz w:val="26"/>
          <w:szCs w:val="26"/>
        </w:rPr>
        <w:t xml:space="preserve">failed to exercise its discretion </w:t>
      </w:r>
      <w:r w:rsidR="00712B82" w:rsidRPr="00BF6994">
        <w:rPr>
          <w:rFonts w:asciiTheme="minorHAnsi" w:hAnsiTheme="minorHAnsi" w:cstheme="minorHAnsi"/>
          <w:sz w:val="26"/>
          <w:szCs w:val="26"/>
        </w:rPr>
        <w:t xml:space="preserve">judiciously </w:t>
      </w:r>
      <w:r w:rsidR="00856FF2" w:rsidRPr="00BF6994">
        <w:rPr>
          <w:rFonts w:asciiTheme="minorHAnsi" w:hAnsiTheme="minorHAnsi" w:cstheme="minorHAnsi"/>
          <w:sz w:val="26"/>
          <w:szCs w:val="26"/>
        </w:rPr>
        <w:t xml:space="preserve">in </w:t>
      </w:r>
      <w:r w:rsidR="00712B82" w:rsidRPr="00BF6994">
        <w:rPr>
          <w:rFonts w:asciiTheme="minorHAnsi" w:hAnsiTheme="minorHAnsi" w:cstheme="minorHAnsi"/>
          <w:sz w:val="26"/>
          <w:szCs w:val="26"/>
        </w:rPr>
        <w:t>so doing</w:t>
      </w:r>
      <w:r w:rsidR="00856FF2" w:rsidRPr="00BF6994">
        <w:rPr>
          <w:rFonts w:asciiTheme="minorHAnsi" w:hAnsiTheme="minorHAnsi" w:cstheme="minorHAnsi"/>
          <w:sz w:val="26"/>
          <w:szCs w:val="26"/>
        </w:rPr>
        <w:t xml:space="preserve"> </w:t>
      </w:r>
      <w:r w:rsidR="00712B82" w:rsidRPr="00BF6994">
        <w:rPr>
          <w:rFonts w:asciiTheme="minorHAnsi" w:hAnsiTheme="minorHAnsi" w:cstheme="minorHAnsi"/>
          <w:sz w:val="26"/>
          <w:szCs w:val="26"/>
        </w:rPr>
        <w:t xml:space="preserve">or because it applied the relevant legal principles it relied on incorrectly. </w:t>
      </w:r>
      <w:r w:rsidR="00712B82" w:rsidRPr="00BF6994">
        <w:rPr>
          <w:rFonts w:asciiTheme="minorHAnsi" w:hAnsiTheme="minorHAnsi" w:cstheme="minorHAnsi"/>
          <w:sz w:val="26"/>
          <w:szCs w:val="26"/>
        </w:rPr>
        <w:lastRenderedPageBreak/>
        <w:t xml:space="preserve">The mere fact that a court may make incorrect findings does not mean that it was </w:t>
      </w:r>
      <w:r w:rsidR="00FE4AE9" w:rsidRPr="00BF6994">
        <w:rPr>
          <w:rFonts w:asciiTheme="minorHAnsi" w:hAnsiTheme="minorHAnsi" w:cstheme="minorHAnsi"/>
          <w:sz w:val="26"/>
          <w:szCs w:val="26"/>
        </w:rPr>
        <w:t>consequently</w:t>
      </w:r>
      <w:r w:rsidR="00712B82" w:rsidRPr="00BF6994">
        <w:rPr>
          <w:rFonts w:asciiTheme="minorHAnsi" w:hAnsiTheme="minorHAnsi" w:cstheme="minorHAnsi"/>
          <w:sz w:val="26"/>
          <w:szCs w:val="26"/>
        </w:rPr>
        <w:t xml:space="preserve"> partial in erring.</w:t>
      </w:r>
      <w:r w:rsidR="00856FF2" w:rsidRPr="00BF6994">
        <w:rPr>
          <w:rFonts w:asciiTheme="minorHAnsi" w:hAnsiTheme="minorHAnsi" w:cstheme="minorHAnsi"/>
          <w:sz w:val="26"/>
          <w:szCs w:val="26"/>
        </w:rPr>
        <w:t xml:space="preserve"> </w:t>
      </w:r>
      <w:r w:rsidR="00712B82" w:rsidRPr="00BF6994">
        <w:rPr>
          <w:rFonts w:asciiTheme="minorHAnsi" w:hAnsiTheme="minorHAnsi" w:cstheme="minorHAnsi"/>
          <w:sz w:val="26"/>
          <w:szCs w:val="26"/>
        </w:rPr>
        <w:t>In any event, Mr M</w:t>
      </w:r>
      <w:r w:rsidR="00043A9A" w:rsidRPr="00BF6994">
        <w:rPr>
          <w:rFonts w:asciiTheme="minorHAnsi" w:hAnsiTheme="minorHAnsi" w:cstheme="minorHAnsi"/>
          <w:sz w:val="26"/>
          <w:szCs w:val="26"/>
        </w:rPr>
        <w:t>a</w:t>
      </w:r>
      <w:r w:rsidR="00712B82" w:rsidRPr="00BF6994">
        <w:rPr>
          <w:rFonts w:asciiTheme="minorHAnsi" w:hAnsiTheme="minorHAnsi" w:cstheme="minorHAnsi"/>
          <w:sz w:val="26"/>
          <w:szCs w:val="26"/>
        </w:rPr>
        <w:t>loka’s oral submissions did not come close to meeting the threshold</w:t>
      </w:r>
      <w:r w:rsidR="000C021B" w:rsidRPr="00BF6994">
        <w:rPr>
          <w:rFonts w:asciiTheme="minorHAnsi" w:hAnsiTheme="minorHAnsi" w:cstheme="minorHAnsi"/>
          <w:sz w:val="26"/>
          <w:szCs w:val="26"/>
        </w:rPr>
        <w:t xml:space="preserve"> for rebutting the presumption of judicial impartiality,</w:t>
      </w:r>
      <w:r w:rsidR="000C021B">
        <w:rPr>
          <w:rStyle w:val="FootnoteReference"/>
          <w:rFonts w:asciiTheme="minorHAnsi" w:hAnsiTheme="minorHAnsi" w:cstheme="minorHAnsi"/>
          <w:sz w:val="26"/>
          <w:szCs w:val="26"/>
        </w:rPr>
        <w:footnoteReference w:id="20"/>
      </w:r>
      <w:r w:rsidR="000C021B" w:rsidRPr="00BF6994">
        <w:rPr>
          <w:rFonts w:asciiTheme="minorHAnsi" w:hAnsiTheme="minorHAnsi" w:cstheme="minorHAnsi"/>
          <w:sz w:val="26"/>
          <w:szCs w:val="26"/>
        </w:rPr>
        <w:t xml:space="preserve"> or for what the </w:t>
      </w:r>
      <w:r w:rsidR="000C4515" w:rsidRPr="00BF6994">
        <w:rPr>
          <w:rFonts w:asciiTheme="minorHAnsi" w:hAnsiTheme="minorHAnsi" w:cstheme="minorHAnsi"/>
          <w:sz w:val="26"/>
          <w:szCs w:val="26"/>
        </w:rPr>
        <w:t>C</w:t>
      </w:r>
      <w:r w:rsidR="000C021B" w:rsidRPr="00BF6994">
        <w:rPr>
          <w:rFonts w:asciiTheme="minorHAnsi" w:hAnsiTheme="minorHAnsi" w:cstheme="minorHAnsi"/>
          <w:sz w:val="26"/>
          <w:szCs w:val="26"/>
        </w:rPr>
        <w:t xml:space="preserve">onstitutional </w:t>
      </w:r>
      <w:r w:rsidR="000C4515" w:rsidRPr="00BF6994">
        <w:rPr>
          <w:rFonts w:asciiTheme="minorHAnsi" w:hAnsiTheme="minorHAnsi" w:cstheme="minorHAnsi"/>
          <w:sz w:val="26"/>
          <w:szCs w:val="26"/>
        </w:rPr>
        <w:t>C</w:t>
      </w:r>
      <w:r w:rsidR="000C021B" w:rsidRPr="00BF6994">
        <w:rPr>
          <w:rFonts w:asciiTheme="minorHAnsi" w:hAnsiTheme="minorHAnsi" w:cstheme="minorHAnsi"/>
          <w:sz w:val="26"/>
          <w:szCs w:val="26"/>
        </w:rPr>
        <w:t xml:space="preserve">ourt in </w:t>
      </w:r>
      <w:r w:rsidR="000C021B" w:rsidRPr="00BF6994">
        <w:rPr>
          <w:rFonts w:asciiTheme="minorHAnsi" w:hAnsiTheme="minorHAnsi" w:cstheme="minorHAnsi"/>
          <w:i/>
          <w:sz w:val="26"/>
          <w:szCs w:val="26"/>
        </w:rPr>
        <w:t>Sarfu</w:t>
      </w:r>
      <w:r w:rsidR="000C021B">
        <w:rPr>
          <w:rStyle w:val="FootnoteReference"/>
          <w:rFonts w:asciiTheme="minorHAnsi" w:hAnsiTheme="minorHAnsi" w:cstheme="minorHAnsi"/>
          <w:sz w:val="26"/>
          <w:szCs w:val="26"/>
        </w:rPr>
        <w:footnoteReference w:id="21"/>
      </w:r>
      <w:r w:rsidR="000C021B" w:rsidRPr="00BF6994">
        <w:rPr>
          <w:rFonts w:asciiTheme="minorHAnsi" w:hAnsiTheme="minorHAnsi" w:cstheme="minorHAnsi"/>
          <w:i/>
          <w:sz w:val="26"/>
          <w:szCs w:val="26"/>
        </w:rPr>
        <w:t xml:space="preserve"> </w:t>
      </w:r>
      <w:r w:rsidR="000C021B" w:rsidRPr="00BF6994">
        <w:rPr>
          <w:rFonts w:asciiTheme="minorHAnsi" w:hAnsiTheme="minorHAnsi" w:cstheme="minorHAnsi"/>
          <w:sz w:val="26"/>
          <w:szCs w:val="26"/>
        </w:rPr>
        <w:t>pronounced in relation to the test to be applied for the recusal of a judicial officer on grounds of reasonable apprehension of bias.</w:t>
      </w:r>
    </w:p>
    <w:p w:rsidR="000644B7" w:rsidRPr="000644B7" w:rsidRDefault="000644B7" w:rsidP="000644B7">
      <w:pPr>
        <w:pStyle w:val="ListParagraph"/>
        <w:rPr>
          <w:rFonts w:asciiTheme="minorHAnsi" w:hAnsiTheme="minorHAnsi" w:cstheme="minorHAnsi"/>
          <w:sz w:val="26"/>
          <w:szCs w:val="26"/>
        </w:rPr>
      </w:pPr>
    </w:p>
    <w:p w:rsidR="000644B7" w:rsidRPr="00BF6994" w:rsidRDefault="00BF6994" w:rsidP="00BF699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25.</w:t>
      </w:r>
      <w:r>
        <w:rPr>
          <w:rFonts w:asciiTheme="minorHAnsi" w:hAnsiTheme="minorHAnsi" w:cstheme="minorHAnsi"/>
          <w:sz w:val="26"/>
          <w:szCs w:val="26"/>
        </w:rPr>
        <w:tab/>
      </w:r>
      <w:r w:rsidR="00AC4DE7" w:rsidRPr="00BF6994">
        <w:rPr>
          <w:rFonts w:asciiTheme="minorHAnsi" w:hAnsiTheme="minorHAnsi" w:cstheme="minorHAnsi"/>
          <w:sz w:val="26"/>
          <w:szCs w:val="26"/>
        </w:rPr>
        <w:t xml:space="preserve">Having dispassionately considered my judgment and having given due consideration to the submissions of the parties, I am not persuaded that a different court </w:t>
      </w:r>
      <w:r w:rsidR="00AC4DE7" w:rsidRPr="00BF6994">
        <w:rPr>
          <w:rFonts w:asciiTheme="minorHAnsi" w:hAnsiTheme="minorHAnsi" w:cstheme="minorHAnsi"/>
          <w:sz w:val="26"/>
          <w:szCs w:val="26"/>
          <w:u w:val="single"/>
        </w:rPr>
        <w:t>would</w:t>
      </w:r>
      <w:r w:rsidR="00AC4DE7" w:rsidRPr="00BF6994">
        <w:rPr>
          <w:rFonts w:asciiTheme="minorHAnsi" w:hAnsiTheme="minorHAnsi" w:cstheme="minorHAnsi"/>
          <w:sz w:val="26"/>
          <w:szCs w:val="26"/>
        </w:rPr>
        <w:t xml:space="preserve"> find in accordance with Mr M</w:t>
      </w:r>
      <w:r w:rsidR="00043A9A" w:rsidRPr="00BF6994">
        <w:rPr>
          <w:rFonts w:asciiTheme="minorHAnsi" w:hAnsiTheme="minorHAnsi" w:cstheme="minorHAnsi"/>
          <w:sz w:val="26"/>
          <w:szCs w:val="26"/>
        </w:rPr>
        <w:t>a</w:t>
      </w:r>
      <w:r w:rsidR="00AC4DE7" w:rsidRPr="00BF6994">
        <w:rPr>
          <w:rFonts w:asciiTheme="minorHAnsi" w:hAnsiTheme="minorHAnsi" w:cstheme="minorHAnsi"/>
          <w:sz w:val="26"/>
          <w:szCs w:val="26"/>
        </w:rPr>
        <w:t>loka’s submissions</w:t>
      </w:r>
      <w:r w:rsidR="002519C5" w:rsidRPr="00BF6994">
        <w:rPr>
          <w:rFonts w:asciiTheme="minorHAnsi" w:hAnsiTheme="minorHAnsi" w:cstheme="minorHAnsi"/>
          <w:sz w:val="26"/>
          <w:szCs w:val="26"/>
        </w:rPr>
        <w:t>.</w:t>
      </w:r>
    </w:p>
    <w:p w:rsidR="000644B7" w:rsidRPr="000644B7" w:rsidRDefault="000644B7" w:rsidP="000644B7">
      <w:pPr>
        <w:pStyle w:val="ListParagraph"/>
        <w:rPr>
          <w:rFonts w:asciiTheme="minorHAnsi" w:hAnsiTheme="minorHAnsi" w:cstheme="minorHAnsi"/>
          <w:sz w:val="26"/>
          <w:szCs w:val="26"/>
        </w:rPr>
      </w:pPr>
    </w:p>
    <w:p w:rsidR="00506FCD" w:rsidRPr="00BF6994" w:rsidRDefault="00BF6994" w:rsidP="00BF699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26.</w:t>
      </w:r>
      <w:r w:rsidRPr="006A31DA">
        <w:rPr>
          <w:rFonts w:asciiTheme="minorHAnsi" w:hAnsiTheme="minorHAnsi" w:cstheme="minorHAnsi"/>
          <w:sz w:val="26"/>
          <w:szCs w:val="26"/>
        </w:rPr>
        <w:tab/>
      </w:r>
      <w:r w:rsidR="00AC4DE7" w:rsidRPr="00BF6994">
        <w:rPr>
          <w:rFonts w:asciiTheme="minorHAnsi" w:hAnsiTheme="minorHAnsi" w:cstheme="minorHAnsi"/>
          <w:sz w:val="26"/>
          <w:szCs w:val="26"/>
        </w:rPr>
        <w:t>Counsel for Liberty submitted that costs should follow the result.</w:t>
      </w:r>
      <w:r w:rsidR="002519C5" w:rsidRPr="00BF6994">
        <w:rPr>
          <w:rFonts w:asciiTheme="minorHAnsi" w:hAnsiTheme="minorHAnsi" w:cstheme="minorHAnsi"/>
          <w:sz w:val="26"/>
          <w:szCs w:val="26"/>
        </w:rPr>
        <w:t xml:space="preserve"> Mr M</w:t>
      </w:r>
      <w:r w:rsidR="00043A9A" w:rsidRPr="00BF6994">
        <w:rPr>
          <w:rFonts w:asciiTheme="minorHAnsi" w:hAnsiTheme="minorHAnsi" w:cstheme="minorHAnsi"/>
          <w:sz w:val="26"/>
          <w:szCs w:val="26"/>
        </w:rPr>
        <w:t>a</w:t>
      </w:r>
      <w:r w:rsidR="002519C5" w:rsidRPr="00BF6994">
        <w:rPr>
          <w:rFonts w:asciiTheme="minorHAnsi" w:hAnsiTheme="minorHAnsi" w:cstheme="minorHAnsi"/>
          <w:sz w:val="26"/>
          <w:szCs w:val="26"/>
        </w:rPr>
        <w:t xml:space="preserve">loka, on the other hand, sought an order granting him leave to appeal </w:t>
      </w:r>
      <w:r w:rsidR="002519C5" w:rsidRPr="00BF6994">
        <w:rPr>
          <w:rFonts w:asciiTheme="minorHAnsi" w:hAnsiTheme="minorHAnsi" w:cstheme="minorHAnsi"/>
          <w:sz w:val="26"/>
          <w:szCs w:val="26"/>
          <w:u w:val="single"/>
        </w:rPr>
        <w:t>with costs</w:t>
      </w:r>
      <w:r w:rsidR="002519C5" w:rsidRPr="00BF6994">
        <w:rPr>
          <w:rFonts w:asciiTheme="minorHAnsi" w:hAnsiTheme="minorHAnsi" w:cstheme="minorHAnsi"/>
          <w:sz w:val="26"/>
          <w:szCs w:val="26"/>
        </w:rPr>
        <w:t xml:space="preserve">, </w:t>
      </w:r>
      <w:r w:rsidR="00FE4AE9" w:rsidRPr="00BF6994">
        <w:rPr>
          <w:rFonts w:asciiTheme="minorHAnsi" w:hAnsiTheme="minorHAnsi" w:cstheme="minorHAnsi"/>
          <w:sz w:val="26"/>
          <w:szCs w:val="26"/>
        </w:rPr>
        <w:t>alternatively,</w:t>
      </w:r>
      <w:r w:rsidR="002519C5" w:rsidRPr="00BF6994">
        <w:rPr>
          <w:rFonts w:asciiTheme="minorHAnsi" w:hAnsiTheme="minorHAnsi" w:cstheme="minorHAnsi"/>
          <w:sz w:val="26"/>
          <w:szCs w:val="26"/>
        </w:rPr>
        <w:t xml:space="preserve"> an order that the costs of the application for leave</w:t>
      </w:r>
      <w:r w:rsidR="00FE4AE9" w:rsidRPr="00BF6994">
        <w:rPr>
          <w:rFonts w:asciiTheme="minorHAnsi" w:hAnsiTheme="minorHAnsi" w:cstheme="minorHAnsi"/>
          <w:sz w:val="26"/>
          <w:szCs w:val="26"/>
        </w:rPr>
        <w:t xml:space="preserve"> </w:t>
      </w:r>
      <w:r w:rsidR="002519C5" w:rsidRPr="00BF6994">
        <w:rPr>
          <w:rFonts w:asciiTheme="minorHAnsi" w:hAnsiTheme="minorHAnsi" w:cstheme="minorHAnsi"/>
          <w:sz w:val="26"/>
          <w:szCs w:val="26"/>
        </w:rPr>
        <w:t>to appeal stand over for determination by the appeal court.</w:t>
      </w:r>
      <w:r w:rsidR="00AC4DE7" w:rsidRPr="00BF6994">
        <w:rPr>
          <w:rFonts w:asciiTheme="minorHAnsi" w:hAnsiTheme="minorHAnsi" w:cstheme="minorHAnsi"/>
          <w:sz w:val="26"/>
          <w:szCs w:val="26"/>
        </w:rPr>
        <w:t xml:space="preserve"> Mr M</w:t>
      </w:r>
      <w:r w:rsidR="00043A9A" w:rsidRPr="00BF6994">
        <w:rPr>
          <w:rFonts w:asciiTheme="minorHAnsi" w:hAnsiTheme="minorHAnsi" w:cstheme="minorHAnsi"/>
          <w:sz w:val="26"/>
          <w:szCs w:val="26"/>
        </w:rPr>
        <w:t>a</w:t>
      </w:r>
      <w:r w:rsidR="00AC4DE7" w:rsidRPr="00BF6994">
        <w:rPr>
          <w:rFonts w:asciiTheme="minorHAnsi" w:hAnsiTheme="minorHAnsi" w:cstheme="minorHAnsi"/>
          <w:sz w:val="26"/>
          <w:szCs w:val="26"/>
        </w:rPr>
        <w:t xml:space="preserve">loka has not succeeded in </w:t>
      </w:r>
      <w:r w:rsidR="002519C5" w:rsidRPr="00BF6994">
        <w:rPr>
          <w:rFonts w:asciiTheme="minorHAnsi" w:hAnsiTheme="minorHAnsi" w:cstheme="minorHAnsi"/>
          <w:sz w:val="26"/>
          <w:szCs w:val="26"/>
        </w:rPr>
        <w:t>his</w:t>
      </w:r>
      <w:r w:rsidR="00AC4DE7" w:rsidRPr="00BF6994">
        <w:rPr>
          <w:rFonts w:asciiTheme="minorHAnsi" w:hAnsiTheme="minorHAnsi" w:cstheme="minorHAnsi"/>
          <w:sz w:val="26"/>
          <w:szCs w:val="26"/>
        </w:rPr>
        <w:t xml:space="preserve"> application for leave to appeal, </w:t>
      </w:r>
      <w:r w:rsidR="002519C5" w:rsidRPr="00BF6994">
        <w:rPr>
          <w:rFonts w:asciiTheme="minorHAnsi" w:hAnsiTheme="minorHAnsi" w:cstheme="minorHAnsi"/>
          <w:sz w:val="26"/>
          <w:szCs w:val="26"/>
        </w:rPr>
        <w:t xml:space="preserve">once </w:t>
      </w:r>
      <w:r w:rsidR="00AC4DE7" w:rsidRPr="00BF6994">
        <w:rPr>
          <w:rFonts w:asciiTheme="minorHAnsi" w:hAnsiTheme="minorHAnsi" w:cstheme="minorHAnsi"/>
          <w:sz w:val="26"/>
          <w:szCs w:val="26"/>
        </w:rPr>
        <w:t xml:space="preserve">again putting </w:t>
      </w:r>
      <w:r w:rsidR="002519C5" w:rsidRPr="00BF6994">
        <w:rPr>
          <w:rFonts w:asciiTheme="minorHAnsi" w:hAnsiTheme="minorHAnsi" w:cstheme="minorHAnsi"/>
          <w:sz w:val="26"/>
          <w:szCs w:val="26"/>
        </w:rPr>
        <w:t xml:space="preserve">the opposing </w:t>
      </w:r>
      <w:r w:rsidR="00FE4AE9" w:rsidRPr="00BF6994">
        <w:rPr>
          <w:rFonts w:asciiTheme="minorHAnsi" w:hAnsiTheme="minorHAnsi" w:cstheme="minorHAnsi"/>
          <w:sz w:val="26"/>
          <w:szCs w:val="26"/>
        </w:rPr>
        <w:t>litigant</w:t>
      </w:r>
      <w:r w:rsidR="002519C5" w:rsidRPr="00BF6994">
        <w:rPr>
          <w:rFonts w:asciiTheme="minorHAnsi" w:hAnsiTheme="minorHAnsi" w:cstheme="minorHAnsi"/>
          <w:sz w:val="26"/>
          <w:szCs w:val="26"/>
        </w:rPr>
        <w:t xml:space="preserve"> </w:t>
      </w:r>
      <w:r w:rsidR="00AC4DE7" w:rsidRPr="00BF6994">
        <w:rPr>
          <w:rFonts w:asciiTheme="minorHAnsi" w:hAnsiTheme="minorHAnsi" w:cstheme="minorHAnsi"/>
          <w:sz w:val="26"/>
          <w:szCs w:val="26"/>
        </w:rPr>
        <w:t xml:space="preserve">to the expense of having to </w:t>
      </w:r>
      <w:r w:rsidR="002519C5" w:rsidRPr="00BF6994">
        <w:rPr>
          <w:rFonts w:asciiTheme="minorHAnsi" w:hAnsiTheme="minorHAnsi" w:cstheme="minorHAnsi"/>
          <w:sz w:val="26"/>
          <w:szCs w:val="26"/>
        </w:rPr>
        <w:t>deal not only with w</w:t>
      </w:r>
      <w:r w:rsidR="00AC4DE7" w:rsidRPr="00BF6994">
        <w:rPr>
          <w:rFonts w:asciiTheme="minorHAnsi" w:hAnsiTheme="minorHAnsi" w:cstheme="minorHAnsi"/>
          <w:sz w:val="26"/>
          <w:szCs w:val="26"/>
        </w:rPr>
        <w:t xml:space="preserve">ritten argument </w:t>
      </w:r>
      <w:r w:rsidR="002519C5" w:rsidRPr="00BF6994">
        <w:rPr>
          <w:rFonts w:asciiTheme="minorHAnsi" w:hAnsiTheme="minorHAnsi" w:cstheme="minorHAnsi"/>
          <w:sz w:val="26"/>
          <w:szCs w:val="26"/>
        </w:rPr>
        <w:t>that contained</w:t>
      </w:r>
      <w:r w:rsidR="00AC4DE7" w:rsidRPr="00BF6994">
        <w:rPr>
          <w:rFonts w:asciiTheme="minorHAnsi" w:hAnsiTheme="minorHAnsi" w:cstheme="minorHAnsi"/>
          <w:sz w:val="26"/>
          <w:szCs w:val="26"/>
        </w:rPr>
        <w:t xml:space="preserve"> surplusage </w:t>
      </w:r>
      <w:r w:rsidR="002519C5" w:rsidRPr="00BF6994">
        <w:rPr>
          <w:rFonts w:asciiTheme="minorHAnsi" w:hAnsiTheme="minorHAnsi" w:cstheme="minorHAnsi"/>
          <w:sz w:val="26"/>
          <w:szCs w:val="26"/>
        </w:rPr>
        <w:t>but also a further ground raised by Mr M</w:t>
      </w:r>
      <w:r w:rsidR="00043A9A" w:rsidRPr="00BF6994">
        <w:rPr>
          <w:rFonts w:asciiTheme="minorHAnsi" w:hAnsiTheme="minorHAnsi" w:cstheme="minorHAnsi"/>
          <w:sz w:val="26"/>
          <w:szCs w:val="26"/>
        </w:rPr>
        <w:t>a</w:t>
      </w:r>
      <w:r w:rsidR="002519C5" w:rsidRPr="00BF6994">
        <w:rPr>
          <w:rFonts w:asciiTheme="minorHAnsi" w:hAnsiTheme="minorHAnsi" w:cstheme="minorHAnsi"/>
          <w:sz w:val="26"/>
          <w:szCs w:val="26"/>
        </w:rPr>
        <w:t xml:space="preserve">loka from the bar for the first time at the hearing of the application for leave to appeal. </w:t>
      </w:r>
      <w:r w:rsidR="00FE4AE9" w:rsidRPr="00BF6994">
        <w:rPr>
          <w:rFonts w:asciiTheme="minorHAnsi" w:hAnsiTheme="minorHAnsi" w:cstheme="minorHAnsi"/>
          <w:sz w:val="26"/>
          <w:szCs w:val="26"/>
        </w:rPr>
        <w:t>In the circumstances</w:t>
      </w:r>
      <w:r w:rsidR="008167F4" w:rsidRPr="00BF6994">
        <w:rPr>
          <w:rFonts w:asciiTheme="minorHAnsi" w:hAnsiTheme="minorHAnsi" w:cstheme="minorHAnsi"/>
          <w:sz w:val="26"/>
          <w:szCs w:val="26"/>
        </w:rPr>
        <w:t xml:space="preserve"> of the matter</w:t>
      </w:r>
      <w:r w:rsidR="00FE4AE9" w:rsidRPr="00BF6994">
        <w:rPr>
          <w:rFonts w:asciiTheme="minorHAnsi" w:hAnsiTheme="minorHAnsi" w:cstheme="minorHAnsi"/>
          <w:sz w:val="26"/>
          <w:szCs w:val="26"/>
        </w:rPr>
        <w:t xml:space="preserve">, </w:t>
      </w:r>
      <w:r w:rsidR="002519C5" w:rsidRPr="00BF6994">
        <w:rPr>
          <w:rFonts w:asciiTheme="minorHAnsi" w:hAnsiTheme="minorHAnsi" w:cstheme="minorHAnsi"/>
          <w:sz w:val="26"/>
          <w:szCs w:val="26"/>
        </w:rPr>
        <w:t>I cannot find any reason to depart from the general rule that costs ought to follow the result.</w:t>
      </w:r>
    </w:p>
    <w:p w:rsidR="00506FCD" w:rsidRPr="006A31DA" w:rsidRDefault="00506FCD" w:rsidP="002519C5">
      <w:pPr>
        <w:pStyle w:val="ListParagraph"/>
        <w:rPr>
          <w:rFonts w:asciiTheme="minorHAnsi" w:hAnsiTheme="minorHAnsi" w:cstheme="minorHAnsi"/>
          <w:sz w:val="26"/>
          <w:szCs w:val="26"/>
        </w:rPr>
      </w:pPr>
    </w:p>
    <w:p w:rsidR="00506FCD" w:rsidRPr="00BF6994" w:rsidRDefault="00BF6994" w:rsidP="00BF699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27.</w:t>
      </w:r>
      <w:r w:rsidRPr="006A31DA">
        <w:rPr>
          <w:rFonts w:asciiTheme="minorHAnsi" w:hAnsiTheme="minorHAnsi" w:cstheme="minorHAnsi"/>
          <w:sz w:val="26"/>
          <w:szCs w:val="26"/>
        </w:rPr>
        <w:tab/>
      </w:r>
      <w:r w:rsidR="00506FCD" w:rsidRPr="00BF6994">
        <w:rPr>
          <w:rFonts w:asciiTheme="minorHAnsi" w:hAnsiTheme="minorHAnsi" w:cstheme="minorHAnsi"/>
          <w:sz w:val="26"/>
          <w:szCs w:val="26"/>
        </w:rPr>
        <w:t>I accordingly make the following order:</w:t>
      </w:r>
    </w:p>
    <w:p w:rsidR="00506FCD" w:rsidRPr="006A31DA" w:rsidRDefault="00506FCD" w:rsidP="00506FCD">
      <w:pPr>
        <w:pStyle w:val="ListParagraph"/>
        <w:spacing w:line="360" w:lineRule="auto"/>
        <w:ind w:left="1702"/>
        <w:jc w:val="both"/>
        <w:rPr>
          <w:rFonts w:asciiTheme="minorHAnsi" w:hAnsiTheme="minorHAnsi" w:cstheme="minorHAnsi"/>
          <w:sz w:val="26"/>
          <w:szCs w:val="26"/>
        </w:rPr>
      </w:pPr>
    </w:p>
    <w:p w:rsidR="00506FCD" w:rsidRPr="00BF6994" w:rsidRDefault="00BF6994" w:rsidP="00BF6994">
      <w:pPr>
        <w:spacing w:line="360" w:lineRule="auto"/>
        <w:ind w:left="1702" w:hanging="851"/>
        <w:jc w:val="both"/>
        <w:rPr>
          <w:rFonts w:asciiTheme="minorHAnsi" w:hAnsiTheme="minorHAnsi" w:cstheme="minorHAnsi"/>
          <w:sz w:val="26"/>
          <w:szCs w:val="26"/>
        </w:rPr>
      </w:pPr>
      <w:r w:rsidRPr="006A31DA">
        <w:rPr>
          <w:rFonts w:asciiTheme="minorHAnsi" w:hAnsiTheme="minorHAnsi" w:cstheme="minorHAnsi"/>
          <w:sz w:val="26"/>
          <w:szCs w:val="26"/>
        </w:rPr>
        <w:t>27.1.</w:t>
      </w:r>
      <w:r w:rsidRPr="006A31DA">
        <w:rPr>
          <w:rFonts w:asciiTheme="minorHAnsi" w:hAnsiTheme="minorHAnsi" w:cstheme="minorHAnsi"/>
          <w:sz w:val="26"/>
          <w:szCs w:val="26"/>
        </w:rPr>
        <w:tab/>
      </w:r>
      <w:r w:rsidR="00506FCD" w:rsidRPr="00BF6994">
        <w:rPr>
          <w:rFonts w:asciiTheme="minorHAnsi" w:hAnsiTheme="minorHAnsi" w:cstheme="minorHAnsi"/>
          <w:sz w:val="26"/>
          <w:szCs w:val="26"/>
        </w:rPr>
        <w:t>The application for leave to appeal by the applicant</w:t>
      </w:r>
      <w:r w:rsidR="002519C5" w:rsidRPr="00BF6994">
        <w:rPr>
          <w:rFonts w:asciiTheme="minorHAnsi" w:hAnsiTheme="minorHAnsi" w:cstheme="minorHAnsi"/>
          <w:sz w:val="26"/>
          <w:szCs w:val="26"/>
        </w:rPr>
        <w:t xml:space="preserve"> </w:t>
      </w:r>
      <w:r w:rsidR="00506FCD" w:rsidRPr="00BF6994">
        <w:rPr>
          <w:rFonts w:asciiTheme="minorHAnsi" w:hAnsiTheme="minorHAnsi" w:cstheme="minorHAnsi"/>
          <w:sz w:val="26"/>
          <w:szCs w:val="26"/>
        </w:rPr>
        <w:t>is dismissed with costs.</w:t>
      </w:r>
    </w:p>
    <w:p w:rsidR="00506FCD" w:rsidRPr="006A31DA" w:rsidRDefault="00506FCD" w:rsidP="00506FCD">
      <w:pPr>
        <w:pStyle w:val="ListParagraph"/>
        <w:spacing w:line="360" w:lineRule="auto"/>
        <w:ind w:left="851"/>
        <w:jc w:val="both"/>
        <w:rPr>
          <w:rFonts w:asciiTheme="minorHAnsi" w:hAnsiTheme="minorHAnsi" w:cstheme="minorHAnsi"/>
          <w:sz w:val="26"/>
          <w:szCs w:val="26"/>
        </w:rPr>
      </w:pPr>
    </w:p>
    <w:p w:rsidR="00506FCD" w:rsidRPr="006A31DA" w:rsidRDefault="00506FCD" w:rsidP="00506FCD">
      <w:pPr>
        <w:spacing w:line="360" w:lineRule="auto"/>
        <w:rPr>
          <w:rFonts w:asciiTheme="minorHAnsi" w:hAnsiTheme="minorHAnsi" w:cstheme="minorHAnsi"/>
          <w:sz w:val="26"/>
          <w:szCs w:val="26"/>
        </w:rPr>
      </w:pPr>
    </w:p>
    <w:p w:rsidR="00506FCD" w:rsidRPr="006A31DA" w:rsidRDefault="00FE4AE9" w:rsidP="002519C5">
      <w:pPr>
        <w:pStyle w:val="ListParagraph"/>
        <w:suppressAutoHyphens/>
        <w:spacing w:line="360" w:lineRule="auto"/>
        <w:ind w:left="0" w:right="-334"/>
        <w:rPr>
          <w:rFonts w:asciiTheme="minorHAnsi" w:hAnsiTheme="minorHAnsi" w:cstheme="minorHAnsi"/>
          <w:sz w:val="26"/>
          <w:szCs w:val="26"/>
        </w:rPr>
      </w:pPr>
      <w:r>
        <w:rPr>
          <w:rFonts w:asciiTheme="minorHAnsi" w:hAnsiTheme="minorHAnsi" w:cstheme="minorHAnsi"/>
          <w:sz w:val="26"/>
          <w:szCs w:val="26"/>
        </w:rPr>
        <w:t>_________________</w:t>
      </w:r>
    </w:p>
    <w:p w:rsidR="00506FCD" w:rsidRPr="002519C5" w:rsidRDefault="002519C5" w:rsidP="002519C5">
      <w:pPr>
        <w:suppressAutoHyphens/>
        <w:spacing w:line="360" w:lineRule="auto"/>
        <w:ind w:right="-334"/>
        <w:rPr>
          <w:rFonts w:asciiTheme="minorHAnsi" w:hAnsiTheme="minorHAnsi" w:cstheme="minorHAnsi"/>
          <w:b/>
          <w:sz w:val="26"/>
          <w:szCs w:val="26"/>
        </w:rPr>
      </w:pPr>
      <w:r w:rsidRPr="002519C5">
        <w:rPr>
          <w:rFonts w:asciiTheme="minorHAnsi" w:hAnsiTheme="minorHAnsi" w:cstheme="minorHAnsi"/>
          <w:b/>
          <w:sz w:val="26"/>
          <w:szCs w:val="26"/>
        </w:rPr>
        <w:t>A.</w:t>
      </w:r>
      <w:r w:rsidRPr="002519C5">
        <w:rPr>
          <w:rFonts w:asciiTheme="minorHAnsi" w:hAnsiTheme="minorHAnsi" w:cstheme="minorHAnsi"/>
          <w:sz w:val="26"/>
          <w:szCs w:val="26"/>
        </w:rPr>
        <w:t xml:space="preserve"> </w:t>
      </w:r>
      <w:r w:rsidRPr="002519C5">
        <w:rPr>
          <w:rFonts w:asciiTheme="minorHAnsi" w:hAnsiTheme="minorHAnsi" w:cstheme="minorHAnsi"/>
          <w:b/>
          <w:sz w:val="26"/>
          <w:szCs w:val="26"/>
        </w:rPr>
        <w:t xml:space="preserve">MAIER-FRAWLEY </w:t>
      </w:r>
    </w:p>
    <w:p w:rsidR="00506FCD" w:rsidRDefault="00506FCD" w:rsidP="002519C5">
      <w:pPr>
        <w:pStyle w:val="ListParagraph"/>
        <w:suppressAutoHyphens/>
        <w:spacing w:line="360" w:lineRule="auto"/>
        <w:ind w:left="0" w:right="-334"/>
        <w:rPr>
          <w:rFonts w:asciiTheme="minorHAnsi" w:hAnsiTheme="minorHAnsi" w:cstheme="minorHAnsi"/>
          <w:b/>
          <w:sz w:val="26"/>
          <w:szCs w:val="26"/>
        </w:rPr>
      </w:pPr>
      <w:r w:rsidRPr="006A31DA">
        <w:rPr>
          <w:rFonts w:asciiTheme="minorHAnsi" w:hAnsiTheme="minorHAnsi" w:cstheme="minorHAnsi"/>
          <w:b/>
          <w:sz w:val="26"/>
          <w:szCs w:val="26"/>
        </w:rPr>
        <w:t>JUDGE OF THE HIGH COURT</w:t>
      </w:r>
    </w:p>
    <w:p w:rsidR="002519C5" w:rsidRPr="002519C5" w:rsidRDefault="002519C5" w:rsidP="002519C5">
      <w:pPr>
        <w:pStyle w:val="ListParagraph"/>
        <w:suppressAutoHyphens/>
        <w:spacing w:line="360" w:lineRule="auto"/>
        <w:ind w:left="0" w:right="-334"/>
        <w:rPr>
          <w:rFonts w:asciiTheme="minorHAnsi" w:hAnsiTheme="minorHAnsi" w:cstheme="minorHAnsi"/>
          <w:b/>
          <w:sz w:val="26"/>
          <w:szCs w:val="26"/>
        </w:rPr>
      </w:pPr>
      <w:r w:rsidRPr="002519C5">
        <w:rPr>
          <w:rFonts w:asciiTheme="minorHAnsi" w:hAnsiTheme="minorHAnsi" w:cstheme="minorHAnsi"/>
          <w:b/>
          <w:sz w:val="26"/>
          <w:szCs w:val="26"/>
        </w:rPr>
        <w:t>GAUTENG DIVISION, JOHANNESBURG</w:t>
      </w:r>
    </w:p>
    <w:p w:rsidR="00506FCD" w:rsidRPr="006A31DA" w:rsidRDefault="00506FCD" w:rsidP="00506FCD">
      <w:pPr>
        <w:pStyle w:val="ListParagraph"/>
        <w:spacing w:line="360" w:lineRule="auto"/>
        <w:ind w:left="851"/>
        <w:rPr>
          <w:rFonts w:asciiTheme="minorHAnsi" w:hAnsiTheme="minorHAnsi" w:cstheme="minorHAnsi"/>
          <w:sz w:val="26"/>
          <w:szCs w:val="26"/>
        </w:rPr>
      </w:pPr>
    </w:p>
    <w:p w:rsidR="00506FCD" w:rsidRPr="006A31DA" w:rsidRDefault="00506FCD" w:rsidP="00506FCD">
      <w:pPr>
        <w:pStyle w:val="ListParagraph"/>
        <w:spacing w:line="360" w:lineRule="auto"/>
        <w:ind w:left="851"/>
        <w:rPr>
          <w:rFonts w:asciiTheme="minorHAnsi" w:hAnsiTheme="minorHAnsi" w:cstheme="minorHAnsi"/>
          <w:sz w:val="26"/>
          <w:szCs w:val="26"/>
        </w:rPr>
      </w:pPr>
    </w:p>
    <w:p w:rsidR="002519C5" w:rsidRDefault="00506FCD" w:rsidP="00730BB0">
      <w:pPr>
        <w:pStyle w:val="ListParagraph"/>
        <w:spacing w:line="240" w:lineRule="auto"/>
        <w:ind w:left="0"/>
        <w:rPr>
          <w:rFonts w:asciiTheme="minorHAnsi" w:hAnsiTheme="minorHAnsi" w:cstheme="minorHAnsi"/>
          <w:sz w:val="26"/>
          <w:szCs w:val="26"/>
        </w:rPr>
      </w:pPr>
      <w:r w:rsidRPr="006A31DA">
        <w:rPr>
          <w:rFonts w:asciiTheme="minorHAnsi" w:hAnsiTheme="minorHAnsi" w:cstheme="minorHAnsi"/>
          <w:sz w:val="26"/>
          <w:szCs w:val="26"/>
        </w:rPr>
        <w:t xml:space="preserve">Date of hearing: </w:t>
      </w:r>
      <w:r w:rsidRPr="006A31DA">
        <w:rPr>
          <w:rFonts w:asciiTheme="minorHAnsi" w:hAnsiTheme="minorHAnsi" w:cstheme="minorHAnsi"/>
          <w:sz w:val="26"/>
          <w:szCs w:val="26"/>
        </w:rPr>
        <w:tab/>
      </w:r>
      <w:r w:rsidRPr="006A31DA">
        <w:rPr>
          <w:rFonts w:asciiTheme="minorHAnsi" w:hAnsiTheme="minorHAnsi" w:cstheme="minorHAnsi"/>
          <w:sz w:val="26"/>
          <w:szCs w:val="26"/>
        </w:rPr>
        <w:tab/>
      </w:r>
      <w:r w:rsidRPr="006A31DA">
        <w:rPr>
          <w:rFonts w:asciiTheme="minorHAnsi" w:hAnsiTheme="minorHAnsi" w:cstheme="minorHAnsi"/>
          <w:sz w:val="26"/>
          <w:szCs w:val="26"/>
        </w:rPr>
        <w:tab/>
      </w:r>
      <w:r w:rsidRPr="006A31DA">
        <w:rPr>
          <w:rFonts w:asciiTheme="minorHAnsi" w:hAnsiTheme="minorHAnsi" w:cstheme="minorHAnsi"/>
          <w:sz w:val="26"/>
          <w:szCs w:val="26"/>
        </w:rPr>
        <w:tab/>
      </w:r>
      <w:r w:rsidR="002519C5">
        <w:rPr>
          <w:rFonts w:asciiTheme="minorHAnsi" w:hAnsiTheme="minorHAnsi" w:cstheme="minorHAnsi"/>
          <w:sz w:val="26"/>
          <w:szCs w:val="26"/>
        </w:rPr>
        <w:t>29 July 2022</w:t>
      </w:r>
    </w:p>
    <w:p w:rsidR="00506FCD" w:rsidRPr="006A31DA" w:rsidRDefault="002519C5" w:rsidP="00730BB0">
      <w:pPr>
        <w:pStyle w:val="ListParagraph"/>
        <w:spacing w:line="240" w:lineRule="auto"/>
        <w:ind w:left="0"/>
        <w:rPr>
          <w:rFonts w:asciiTheme="minorHAnsi" w:hAnsiTheme="minorHAnsi" w:cstheme="minorHAnsi"/>
          <w:sz w:val="26"/>
          <w:szCs w:val="26"/>
        </w:rPr>
      </w:pPr>
      <w:r>
        <w:rPr>
          <w:rFonts w:asciiTheme="minorHAnsi" w:hAnsiTheme="minorHAnsi" w:cstheme="minorHAnsi"/>
          <w:sz w:val="26"/>
          <w:szCs w:val="26"/>
        </w:rPr>
        <w:t>J</w:t>
      </w:r>
      <w:r w:rsidR="00506FCD" w:rsidRPr="006A31DA">
        <w:rPr>
          <w:rFonts w:asciiTheme="minorHAnsi" w:hAnsiTheme="minorHAnsi" w:cstheme="minorHAnsi"/>
          <w:sz w:val="26"/>
          <w:szCs w:val="26"/>
        </w:rPr>
        <w:t>udgment</w:t>
      </w:r>
      <w:r>
        <w:rPr>
          <w:rFonts w:asciiTheme="minorHAnsi" w:hAnsiTheme="minorHAnsi" w:cstheme="minorHAnsi"/>
          <w:sz w:val="26"/>
          <w:szCs w:val="26"/>
        </w:rPr>
        <w:t xml:space="preserve"> delivered</w:t>
      </w:r>
      <w:r w:rsidR="00506FCD" w:rsidRPr="006A31DA">
        <w:rPr>
          <w:rFonts w:asciiTheme="minorHAnsi" w:hAnsiTheme="minorHAnsi" w:cstheme="minorHAnsi"/>
          <w:sz w:val="26"/>
          <w:szCs w:val="26"/>
        </w:rPr>
        <w:t xml:space="preserve"> </w:t>
      </w:r>
      <w:r w:rsidR="00506FCD" w:rsidRPr="006A31DA">
        <w:rPr>
          <w:rFonts w:asciiTheme="minorHAnsi" w:hAnsiTheme="minorHAnsi" w:cstheme="minorHAnsi"/>
          <w:sz w:val="26"/>
          <w:szCs w:val="26"/>
        </w:rPr>
        <w:tab/>
      </w:r>
      <w:r w:rsidR="00506FCD" w:rsidRPr="006A31DA">
        <w:rPr>
          <w:rFonts w:asciiTheme="minorHAnsi" w:hAnsiTheme="minorHAnsi" w:cstheme="minorHAnsi"/>
          <w:sz w:val="26"/>
          <w:szCs w:val="26"/>
        </w:rPr>
        <w:tab/>
      </w:r>
      <w:r w:rsidR="00506FCD" w:rsidRPr="006A31DA">
        <w:rPr>
          <w:rFonts w:asciiTheme="minorHAnsi" w:hAnsiTheme="minorHAnsi" w:cstheme="minorHAnsi"/>
          <w:sz w:val="26"/>
          <w:szCs w:val="26"/>
        </w:rPr>
        <w:tab/>
      </w:r>
      <w:r w:rsidR="00506FCD" w:rsidRPr="006A31DA">
        <w:rPr>
          <w:rFonts w:asciiTheme="minorHAnsi" w:hAnsiTheme="minorHAnsi" w:cstheme="minorHAnsi"/>
          <w:sz w:val="26"/>
          <w:szCs w:val="26"/>
        </w:rPr>
        <w:tab/>
      </w:r>
      <w:r>
        <w:rPr>
          <w:rFonts w:asciiTheme="minorHAnsi" w:hAnsiTheme="minorHAnsi" w:cstheme="minorHAnsi"/>
          <w:sz w:val="26"/>
          <w:szCs w:val="26"/>
        </w:rPr>
        <w:t>2</w:t>
      </w:r>
      <w:r w:rsidR="00506FCD" w:rsidRPr="006A31DA">
        <w:rPr>
          <w:rFonts w:asciiTheme="minorHAnsi" w:hAnsiTheme="minorHAnsi" w:cstheme="minorHAnsi"/>
          <w:sz w:val="26"/>
          <w:szCs w:val="26"/>
        </w:rPr>
        <w:t xml:space="preserve"> </w:t>
      </w:r>
      <w:r>
        <w:rPr>
          <w:rFonts w:asciiTheme="minorHAnsi" w:hAnsiTheme="minorHAnsi" w:cstheme="minorHAnsi"/>
          <w:sz w:val="26"/>
          <w:szCs w:val="26"/>
        </w:rPr>
        <w:t>August 2022</w:t>
      </w:r>
    </w:p>
    <w:p w:rsidR="00506FCD" w:rsidRDefault="00506FCD" w:rsidP="00730BB0">
      <w:pPr>
        <w:pStyle w:val="ListParagraph"/>
        <w:spacing w:line="240" w:lineRule="auto"/>
        <w:ind w:left="0"/>
        <w:rPr>
          <w:rFonts w:asciiTheme="minorHAnsi" w:hAnsiTheme="minorHAnsi" w:cstheme="minorHAnsi"/>
          <w:sz w:val="26"/>
          <w:szCs w:val="26"/>
        </w:rPr>
      </w:pPr>
    </w:p>
    <w:p w:rsidR="00730BB0" w:rsidRPr="00730BB0" w:rsidRDefault="00730BB0" w:rsidP="00730BB0">
      <w:pPr>
        <w:pStyle w:val="ListParagraph"/>
        <w:spacing w:line="240" w:lineRule="auto"/>
        <w:ind w:left="0"/>
        <w:jc w:val="both"/>
        <w:rPr>
          <w:rFonts w:asciiTheme="minorHAnsi" w:hAnsiTheme="minorHAnsi" w:cstheme="minorHAnsi"/>
          <w:sz w:val="22"/>
          <w:szCs w:val="22"/>
        </w:rPr>
      </w:pPr>
      <w:r w:rsidRPr="00730BB0">
        <w:rPr>
          <w:rFonts w:asciiTheme="minorHAnsi" w:hAnsiTheme="minorHAnsi" w:cstheme="minorHAnsi"/>
          <w:i/>
          <w:sz w:val="22"/>
          <w:szCs w:val="22"/>
        </w:rPr>
        <w:t>This judgment was handed down electronically by circulation to the parties’ legal representatives by email, publication on Caselines and release to SAFLII. The date and time for hand-down is deemed to be have been at 10h00 on</w:t>
      </w:r>
      <w:r>
        <w:rPr>
          <w:rFonts w:asciiTheme="minorHAnsi" w:hAnsiTheme="minorHAnsi" w:cstheme="minorHAnsi"/>
          <w:i/>
          <w:sz w:val="22"/>
          <w:szCs w:val="22"/>
        </w:rPr>
        <w:t xml:space="preserve"> 2 August</w:t>
      </w:r>
      <w:r w:rsidRPr="00730BB0">
        <w:rPr>
          <w:rFonts w:asciiTheme="minorHAnsi" w:hAnsiTheme="minorHAnsi" w:cstheme="minorHAnsi"/>
          <w:i/>
          <w:sz w:val="22"/>
          <w:szCs w:val="22"/>
        </w:rPr>
        <w:t xml:space="preserve"> 2022.</w:t>
      </w:r>
    </w:p>
    <w:p w:rsidR="00730BB0" w:rsidRDefault="00730BB0" w:rsidP="00730BB0">
      <w:pPr>
        <w:pStyle w:val="ListParagraph"/>
        <w:spacing w:line="240" w:lineRule="auto"/>
        <w:ind w:left="0"/>
        <w:rPr>
          <w:rFonts w:asciiTheme="minorHAnsi" w:hAnsiTheme="minorHAnsi" w:cstheme="minorHAnsi"/>
          <w:sz w:val="26"/>
          <w:szCs w:val="26"/>
        </w:rPr>
      </w:pPr>
    </w:p>
    <w:p w:rsidR="00730BB0" w:rsidRPr="006A31DA" w:rsidRDefault="00730BB0" w:rsidP="00730BB0">
      <w:pPr>
        <w:pStyle w:val="ListParagraph"/>
        <w:spacing w:line="240" w:lineRule="auto"/>
        <w:ind w:left="0"/>
        <w:rPr>
          <w:rFonts w:asciiTheme="minorHAnsi" w:hAnsiTheme="minorHAnsi" w:cstheme="minorHAnsi"/>
          <w:sz w:val="26"/>
          <w:szCs w:val="26"/>
        </w:rPr>
      </w:pPr>
    </w:p>
    <w:p w:rsidR="00506FCD" w:rsidRPr="00730BB0" w:rsidRDefault="002519C5" w:rsidP="00730BB0">
      <w:pPr>
        <w:pStyle w:val="ListParagraph"/>
        <w:spacing w:line="240" w:lineRule="auto"/>
        <w:ind w:left="0"/>
        <w:rPr>
          <w:rFonts w:asciiTheme="minorHAnsi" w:hAnsiTheme="minorHAnsi" w:cstheme="minorHAnsi"/>
          <w:sz w:val="22"/>
          <w:szCs w:val="22"/>
        </w:rPr>
      </w:pPr>
      <w:r w:rsidRPr="00730BB0">
        <w:rPr>
          <w:rFonts w:asciiTheme="minorHAnsi" w:hAnsiTheme="minorHAnsi" w:cstheme="minorHAnsi"/>
          <w:sz w:val="22"/>
          <w:szCs w:val="22"/>
          <w:u w:val="single"/>
        </w:rPr>
        <w:t>APPEARANCES</w:t>
      </w:r>
      <w:r w:rsidRPr="00730BB0">
        <w:rPr>
          <w:rFonts w:asciiTheme="minorHAnsi" w:hAnsiTheme="minorHAnsi" w:cstheme="minorHAnsi"/>
          <w:sz w:val="22"/>
          <w:szCs w:val="22"/>
        </w:rPr>
        <w:t>:</w:t>
      </w:r>
    </w:p>
    <w:p w:rsidR="00730BB0" w:rsidRDefault="00730BB0" w:rsidP="00730BB0">
      <w:pPr>
        <w:pStyle w:val="ListParagraph"/>
        <w:spacing w:line="240" w:lineRule="auto"/>
        <w:ind w:left="0"/>
        <w:rPr>
          <w:rFonts w:asciiTheme="minorHAnsi" w:hAnsiTheme="minorHAnsi" w:cstheme="minorHAnsi"/>
          <w:sz w:val="22"/>
          <w:szCs w:val="22"/>
        </w:rPr>
      </w:pPr>
    </w:p>
    <w:p w:rsidR="00506FCD" w:rsidRPr="00730BB0" w:rsidRDefault="002519C5" w:rsidP="00730BB0">
      <w:pPr>
        <w:pStyle w:val="ListParagraph"/>
        <w:spacing w:line="240" w:lineRule="auto"/>
        <w:ind w:left="0"/>
        <w:rPr>
          <w:rFonts w:asciiTheme="minorHAnsi" w:hAnsiTheme="minorHAnsi" w:cstheme="minorHAnsi"/>
          <w:sz w:val="22"/>
          <w:szCs w:val="22"/>
        </w:rPr>
      </w:pPr>
      <w:r w:rsidRPr="00730BB0">
        <w:rPr>
          <w:rFonts w:asciiTheme="minorHAnsi" w:hAnsiTheme="minorHAnsi" w:cstheme="minorHAnsi"/>
          <w:sz w:val="22"/>
          <w:szCs w:val="22"/>
        </w:rPr>
        <w:t>F</w:t>
      </w:r>
      <w:r w:rsidR="00506FCD" w:rsidRPr="00730BB0">
        <w:rPr>
          <w:rFonts w:asciiTheme="minorHAnsi" w:hAnsiTheme="minorHAnsi" w:cstheme="minorHAnsi"/>
          <w:sz w:val="22"/>
          <w:szCs w:val="22"/>
        </w:rPr>
        <w:t xml:space="preserve">or the Applicant: </w:t>
      </w:r>
      <w:r w:rsidR="00506FCD" w:rsidRPr="00730BB0">
        <w:rPr>
          <w:rFonts w:asciiTheme="minorHAnsi" w:hAnsiTheme="minorHAnsi" w:cstheme="minorHAnsi"/>
          <w:sz w:val="22"/>
          <w:szCs w:val="22"/>
        </w:rPr>
        <w:tab/>
      </w:r>
      <w:r w:rsidR="00506FCD" w:rsidRPr="00730BB0">
        <w:rPr>
          <w:rFonts w:asciiTheme="minorHAnsi" w:hAnsiTheme="minorHAnsi" w:cstheme="minorHAnsi"/>
          <w:sz w:val="22"/>
          <w:szCs w:val="22"/>
        </w:rPr>
        <w:tab/>
      </w:r>
      <w:r w:rsidRPr="00730BB0">
        <w:rPr>
          <w:rFonts w:asciiTheme="minorHAnsi" w:hAnsiTheme="minorHAnsi" w:cstheme="minorHAnsi"/>
          <w:sz w:val="22"/>
          <w:szCs w:val="22"/>
        </w:rPr>
        <w:tab/>
      </w:r>
      <w:r w:rsidRPr="00730BB0">
        <w:rPr>
          <w:rFonts w:asciiTheme="minorHAnsi" w:hAnsiTheme="minorHAnsi" w:cstheme="minorHAnsi"/>
          <w:sz w:val="22"/>
          <w:szCs w:val="22"/>
        </w:rPr>
        <w:tab/>
        <w:t>Mr R. Maloka in person</w:t>
      </w:r>
    </w:p>
    <w:p w:rsidR="00506FCD" w:rsidRPr="00730BB0" w:rsidRDefault="002519C5" w:rsidP="00730BB0">
      <w:pPr>
        <w:spacing w:line="240" w:lineRule="auto"/>
        <w:ind w:left="4320" w:hanging="4320"/>
        <w:jc w:val="both"/>
        <w:rPr>
          <w:rFonts w:asciiTheme="minorHAnsi" w:hAnsiTheme="minorHAnsi" w:cstheme="minorHAnsi"/>
          <w:sz w:val="22"/>
          <w:szCs w:val="22"/>
        </w:rPr>
      </w:pPr>
      <w:r w:rsidRPr="00730BB0">
        <w:rPr>
          <w:rFonts w:asciiTheme="minorHAnsi" w:hAnsiTheme="minorHAnsi" w:cstheme="minorHAnsi"/>
          <w:sz w:val="22"/>
          <w:szCs w:val="22"/>
        </w:rPr>
        <w:t>Counsel for the Respondent</w:t>
      </w:r>
      <w:r w:rsidR="00506FCD" w:rsidRPr="00730BB0">
        <w:rPr>
          <w:rFonts w:asciiTheme="minorHAnsi" w:hAnsiTheme="minorHAnsi" w:cstheme="minorHAnsi"/>
          <w:sz w:val="22"/>
          <w:szCs w:val="22"/>
        </w:rPr>
        <w:tab/>
      </w:r>
      <w:r w:rsidR="00730BB0" w:rsidRPr="00730BB0">
        <w:rPr>
          <w:rFonts w:asciiTheme="minorHAnsi" w:hAnsiTheme="minorHAnsi" w:cstheme="minorHAnsi"/>
          <w:sz w:val="22"/>
          <w:szCs w:val="22"/>
        </w:rPr>
        <w:t>Adv R Itzkin</w:t>
      </w:r>
      <w:r w:rsidR="00506FCD" w:rsidRPr="00730BB0">
        <w:rPr>
          <w:rFonts w:asciiTheme="minorHAnsi" w:hAnsiTheme="minorHAnsi" w:cstheme="minorHAnsi"/>
          <w:sz w:val="22"/>
          <w:szCs w:val="22"/>
        </w:rPr>
        <w:t xml:space="preserve"> </w:t>
      </w:r>
    </w:p>
    <w:p w:rsidR="002519C5" w:rsidRPr="00730BB0" w:rsidRDefault="002519C5" w:rsidP="00730BB0">
      <w:pPr>
        <w:spacing w:line="240" w:lineRule="auto"/>
        <w:ind w:left="4320" w:hanging="4320"/>
        <w:jc w:val="both"/>
        <w:rPr>
          <w:rFonts w:asciiTheme="minorHAnsi" w:hAnsiTheme="minorHAnsi" w:cstheme="minorHAnsi"/>
          <w:sz w:val="22"/>
          <w:szCs w:val="22"/>
        </w:rPr>
      </w:pPr>
      <w:r w:rsidRPr="00730BB0">
        <w:rPr>
          <w:rFonts w:asciiTheme="minorHAnsi" w:hAnsiTheme="minorHAnsi" w:cstheme="minorHAnsi"/>
          <w:sz w:val="22"/>
          <w:szCs w:val="22"/>
        </w:rPr>
        <w:t>Attorneys for Respondent</w:t>
      </w:r>
      <w:r w:rsidR="00730BB0" w:rsidRPr="00730BB0">
        <w:rPr>
          <w:rFonts w:asciiTheme="minorHAnsi" w:hAnsiTheme="minorHAnsi" w:cstheme="minorHAnsi"/>
          <w:sz w:val="22"/>
          <w:szCs w:val="22"/>
        </w:rPr>
        <w:t>:</w:t>
      </w:r>
      <w:r w:rsidR="00730BB0" w:rsidRPr="00730BB0">
        <w:rPr>
          <w:rFonts w:asciiTheme="minorHAnsi" w:hAnsiTheme="minorHAnsi" w:cstheme="minorHAnsi"/>
          <w:sz w:val="22"/>
          <w:szCs w:val="22"/>
        </w:rPr>
        <w:tab/>
        <w:t>SGV Attorneys</w:t>
      </w:r>
    </w:p>
    <w:p w:rsidR="00506FCD" w:rsidRPr="006A31DA" w:rsidRDefault="00506FCD" w:rsidP="00730BB0">
      <w:pPr>
        <w:spacing w:line="240" w:lineRule="auto"/>
        <w:ind w:left="4320" w:hanging="4320"/>
        <w:jc w:val="both"/>
        <w:rPr>
          <w:rFonts w:asciiTheme="minorHAnsi" w:hAnsiTheme="minorHAnsi" w:cstheme="minorHAnsi"/>
          <w:sz w:val="26"/>
          <w:szCs w:val="26"/>
        </w:rPr>
      </w:pPr>
      <w:r w:rsidRPr="006A31DA">
        <w:rPr>
          <w:rFonts w:asciiTheme="minorHAnsi" w:hAnsiTheme="minorHAnsi" w:cstheme="minorHAnsi"/>
          <w:sz w:val="26"/>
          <w:szCs w:val="26"/>
        </w:rPr>
        <w:tab/>
      </w:r>
    </w:p>
    <w:sectPr w:rsidR="00506FCD" w:rsidRPr="006A31DA" w:rsidSect="00B54F31">
      <w:headerReference w:type="default" r:id="rId9"/>
      <w:pgSz w:w="12240" w:h="15840"/>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FB" w:rsidRDefault="00D717FB" w:rsidP="00506FCD">
      <w:pPr>
        <w:spacing w:after="0" w:line="240" w:lineRule="auto"/>
      </w:pPr>
      <w:r>
        <w:separator/>
      </w:r>
    </w:p>
  </w:endnote>
  <w:endnote w:type="continuationSeparator" w:id="0">
    <w:p w:rsidR="00D717FB" w:rsidRDefault="00D717FB" w:rsidP="0050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FB" w:rsidRDefault="00D717FB" w:rsidP="00506FCD">
      <w:pPr>
        <w:spacing w:after="0" w:line="240" w:lineRule="auto"/>
      </w:pPr>
      <w:r>
        <w:separator/>
      </w:r>
    </w:p>
  </w:footnote>
  <w:footnote w:type="continuationSeparator" w:id="0">
    <w:p w:rsidR="00D717FB" w:rsidRDefault="00D717FB" w:rsidP="00506FCD">
      <w:pPr>
        <w:spacing w:after="0" w:line="240" w:lineRule="auto"/>
      </w:pPr>
      <w:r>
        <w:continuationSeparator/>
      </w:r>
    </w:p>
  </w:footnote>
  <w:footnote w:id="1">
    <w:p w:rsidR="0062382C" w:rsidRPr="00E55934" w:rsidRDefault="0062382C" w:rsidP="008009A6">
      <w:pPr>
        <w:spacing w:line="240" w:lineRule="auto"/>
        <w:jc w:val="both"/>
        <w:rPr>
          <w:sz w:val="20"/>
          <w:szCs w:val="20"/>
        </w:rPr>
      </w:pPr>
      <w:r>
        <w:rPr>
          <w:rStyle w:val="FootnoteReference"/>
        </w:rPr>
        <w:footnoteRef/>
      </w:r>
      <w:r>
        <w:t xml:space="preserve"> </w:t>
      </w:r>
      <w:r w:rsidRPr="008009A6">
        <w:rPr>
          <w:sz w:val="20"/>
          <w:szCs w:val="20"/>
        </w:rPr>
        <w:t>These included, amongst others, t</w:t>
      </w:r>
      <w:r w:rsidRPr="00923261">
        <w:rPr>
          <w:sz w:val="20"/>
          <w:szCs w:val="20"/>
        </w:rPr>
        <w:t xml:space="preserve">wo claims instituted in the Equality Court relating to unfair discrimination, both of which were unsuccessful; and three claims instituted in the Labour Court, </w:t>
      </w:r>
      <w:r w:rsidRPr="004F652F">
        <w:rPr>
          <w:i/>
          <w:sz w:val="20"/>
          <w:szCs w:val="20"/>
        </w:rPr>
        <w:t>inter alia</w:t>
      </w:r>
      <w:r w:rsidRPr="00923261">
        <w:rPr>
          <w:sz w:val="20"/>
          <w:szCs w:val="20"/>
        </w:rPr>
        <w:t>, relating to automatically unfair dismissal, which claims were still pending</w:t>
      </w:r>
      <w:r>
        <w:t xml:space="preserve"> </w:t>
      </w:r>
      <w:r w:rsidRPr="008009A6">
        <w:rPr>
          <w:sz w:val="20"/>
          <w:szCs w:val="20"/>
        </w:rPr>
        <w:t xml:space="preserve">at the time the rule 30 and rule 47 applications were heard. Subsequent to the hearing of the </w:t>
      </w:r>
      <w:r>
        <w:rPr>
          <w:sz w:val="20"/>
          <w:szCs w:val="20"/>
        </w:rPr>
        <w:t>said applications</w:t>
      </w:r>
      <w:r w:rsidRPr="008009A6">
        <w:rPr>
          <w:sz w:val="20"/>
          <w:szCs w:val="20"/>
        </w:rPr>
        <w:t xml:space="preserve"> on 9 May 2022, the </w:t>
      </w:r>
      <w:r>
        <w:rPr>
          <w:sz w:val="20"/>
          <w:szCs w:val="20"/>
        </w:rPr>
        <w:t>L</w:t>
      </w:r>
      <w:r w:rsidRPr="008009A6">
        <w:rPr>
          <w:sz w:val="20"/>
          <w:szCs w:val="20"/>
        </w:rPr>
        <w:t>abour court delivered judgment against Mr Moloka and in favour of Liberty</w:t>
      </w:r>
      <w:r>
        <w:rPr>
          <w:sz w:val="20"/>
          <w:szCs w:val="20"/>
        </w:rPr>
        <w:t xml:space="preserve"> in one of the 9 matters</w:t>
      </w:r>
      <w:r w:rsidRPr="008009A6">
        <w:rPr>
          <w:sz w:val="20"/>
          <w:szCs w:val="20"/>
        </w:rPr>
        <w:t>. See:</w:t>
      </w:r>
      <w:r w:rsidRPr="008009A6">
        <w:rPr>
          <w:bCs/>
          <w:i/>
          <w:sz w:val="20"/>
          <w:szCs w:val="20"/>
        </w:rPr>
        <w:t xml:space="preserve"> </w:t>
      </w:r>
      <w:r w:rsidRPr="00E55934">
        <w:rPr>
          <w:bCs/>
          <w:i/>
          <w:sz w:val="20"/>
          <w:szCs w:val="20"/>
        </w:rPr>
        <w:t>Liberty Holdings v Maloka</w:t>
      </w:r>
      <w:r w:rsidRPr="00E55934">
        <w:rPr>
          <w:bCs/>
          <w:sz w:val="20"/>
          <w:szCs w:val="20"/>
        </w:rPr>
        <w:t xml:space="preserve"> (2021/19942) [2022] ZAGPJHC 423 (24 June 2022)</w:t>
      </w:r>
      <w:r>
        <w:rPr>
          <w:bCs/>
          <w:sz w:val="20"/>
          <w:szCs w:val="20"/>
        </w:rPr>
        <w:t>.</w:t>
      </w:r>
    </w:p>
    <w:p w:rsidR="0062382C" w:rsidRPr="004F652F" w:rsidRDefault="0062382C" w:rsidP="004F652F">
      <w:pPr>
        <w:pStyle w:val="FootnoteText"/>
        <w:jc w:val="both"/>
        <w:rPr>
          <w:lang w:val="en-US"/>
        </w:rPr>
      </w:pPr>
    </w:p>
  </w:footnote>
  <w:footnote w:id="2">
    <w:p w:rsidR="0062382C" w:rsidRPr="007F4827" w:rsidRDefault="0062382C">
      <w:pPr>
        <w:pStyle w:val="FootnoteText"/>
        <w:rPr>
          <w:i/>
          <w:lang w:val="en-US"/>
        </w:rPr>
      </w:pPr>
      <w:r>
        <w:rPr>
          <w:rStyle w:val="FootnoteReference"/>
        </w:rPr>
        <w:footnoteRef/>
      </w:r>
      <w:r>
        <w:t xml:space="preserve"> </w:t>
      </w:r>
      <w:r>
        <w:rPr>
          <w:lang w:val="en-US"/>
        </w:rPr>
        <w:t>The facts were recorded in paras 6, 8, 19 &amp; 20 of the judgment</w:t>
      </w:r>
      <w:r>
        <w:rPr>
          <w:i/>
          <w:lang w:val="en-US"/>
        </w:rPr>
        <w:t xml:space="preserve"> a quo.</w:t>
      </w:r>
    </w:p>
  </w:footnote>
  <w:footnote w:id="3">
    <w:p w:rsidR="0062382C" w:rsidRPr="001A053C" w:rsidRDefault="0062382C" w:rsidP="00E16BA7">
      <w:pPr>
        <w:pStyle w:val="FootnoteText"/>
        <w:jc w:val="both"/>
        <w:rPr>
          <w:lang w:val="en-ZA"/>
        </w:rPr>
      </w:pPr>
      <w:r>
        <w:rPr>
          <w:rStyle w:val="FootnoteReference"/>
        </w:rPr>
        <w:footnoteRef/>
      </w:r>
      <w:r>
        <w:t xml:space="preserve"> </w:t>
      </w:r>
      <w:r w:rsidRPr="001936F3">
        <w:rPr>
          <w:i/>
        </w:rPr>
        <w:t xml:space="preserve">The Mont Chevaux Trust and Tina Goosen </w:t>
      </w:r>
      <w:r>
        <w:rPr>
          <w:i/>
        </w:rPr>
        <w:t>&amp;</w:t>
      </w:r>
      <w:r w:rsidRPr="001936F3">
        <w:rPr>
          <w:i/>
        </w:rPr>
        <w:t xml:space="preserve"> 18 Others</w:t>
      </w:r>
      <w:r>
        <w:t xml:space="preserve"> (Case No. LCC 14R/2004, dated 3 November 2014), at para [6], followed by the Land Claims Court in </w:t>
      </w:r>
      <w:r>
        <w:rPr>
          <w:i/>
        </w:rPr>
        <w:t xml:space="preserve">Daantjie Community and Others v Crocodile Valley Citrus Company (Pty) Ltd and Another </w:t>
      </w:r>
      <w:r w:rsidRPr="001A053C">
        <w:t>(</w:t>
      </w:r>
      <w:r>
        <w:t>75/2008) [2015] ZALLC 7 (28 July 2015) at par 3.</w:t>
      </w:r>
    </w:p>
  </w:footnote>
  <w:footnote w:id="4">
    <w:p w:rsidR="0062382C" w:rsidRPr="00A87332" w:rsidRDefault="0062382C" w:rsidP="00A31F51">
      <w:pPr>
        <w:jc w:val="both"/>
        <w:rPr>
          <w:sz w:val="20"/>
          <w:szCs w:val="20"/>
          <w:lang w:val="en-ZA"/>
        </w:rPr>
      </w:pPr>
      <w:r>
        <w:rPr>
          <w:rStyle w:val="FootnoteReference"/>
        </w:rPr>
        <w:footnoteRef/>
      </w:r>
      <w:r>
        <w:t xml:space="preserve"> </w:t>
      </w:r>
      <w:r w:rsidRPr="00CD7027">
        <w:rPr>
          <w:i/>
          <w:color w:val="000000"/>
          <w:sz w:val="20"/>
          <w:szCs w:val="20"/>
        </w:rPr>
        <w:t xml:space="preserve">Acting National Director of Public Prosecutions and Others v Democratic Alliance, In Re: Democratic Alliance v Acting National Director of Public Prosecutions and </w:t>
      </w:r>
      <w:r w:rsidRPr="00A31F51">
        <w:rPr>
          <w:i/>
          <w:color w:val="000000"/>
          <w:sz w:val="20"/>
          <w:szCs w:val="20"/>
        </w:rPr>
        <w:t xml:space="preserve">Others </w:t>
      </w:r>
      <w:r w:rsidRPr="00A31F51">
        <w:rPr>
          <w:sz w:val="20"/>
          <w:szCs w:val="20"/>
        </w:rPr>
        <w:t xml:space="preserve"> (19577/09) [2016) ZAGPPHC </w:t>
      </w:r>
      <w:r w:rsidRPr="00A31F51">
        <w:rPr>
          <w:color w:val="000000"/>
          <w:sz w:val="20"/>
          <w:szCs w:val="20"/>
        </w:rPr>
        <w:t>489 (24</w:t>
      </w:r>
      <w:r w:rsidRPr="00A31F51">
        <w:rPr>
          <w:b/>
          <w:color w:val="000000"/>
          <w:sz w:val="20"/>
          <w:szCs w:val="20"/>
        </w:rPr>
        <w:t xml:space="preserve"> </w:t>
      </w:r>
      <w:r w:rsidRPr="00A31F51">
        <w:rPr>
          <w:color w:val="000000"/>
          <w:sz w:val="20"/>
          <w:szCs w:val="20"/>
        </w:rPr>
        <w:t>June 2016) para [25], a decision of the Full Court which is binding upon me.</w:t>
      </w:r>
    </w:p>
  </w:footnote>
  <w:footnote w:id="5">
    <w:p w:rsidR="0062382C" w:rsidRPr="001936F3" w:rsidRDefault="0062382C">
      <w:pPr>
        <w:pStyle w:val="FootnoteText"/>
        <w:rPr>
          <w:lang w:val="en-ZA"/>
        </w:rPr>
      </w:pPr>
      <w:r>
        <w:rPr>
          <w:rStyle w:val="FootnoteReference"/>
        </w:rPr>
        <w:footnoteRef/>
      </w:r>
      <w:r>
        <w:t xml:space="preserve"> </w:t>
      </w:r>
      <w:r>
        <w:rPr>
          <w:i/>
        </w:rPr>
        <w:t xml:space="preserve">S v Smith </w:t>
      </w:r>
      <w:r>
        <w:rPr>
          <w:lang w:val="en-ZA"/>
        </w:rPr>
        <w:t>2012 (1) SACR 567 (SCA) para 7.</w:t>
      </w:r>
    </w:p>
  </w:footnote>
  <w:footnote w:id="6">
    <w:p w:rsidR="0062382C" w:rsidRPr="00A87332" w:rsidRDefault="0062382C" w:rsidP="00A87332">
      <w:pPr>
        <w:spacing w:line="360" w:lineRule="auto"/>
        <w:jc w:val="both"/>
        <w:rPr>
          <w:sz w:val="20"/>
          <w:szCs w:val="20"/>
          <w:lang w:val="en-ZA"/>
        </w:rPr>
      </w:pPr>
      <w:r>
        <w:rPr>
          <w:rStyle w:val="FootnoteReference"/>
        </w:rPr>
        <w:footnoteRef/>
      </w:r>
      <w:r>
        <w:t xml:space="preserve"> </w:t>
      </w:r>
      <w:r w:rsidRPr="00A87332">
        <w:rPr>
          <w:i/>
          <w:color w:val="000000"/>
          <w:sz w:val="20"/>
          <w:szCs w:val="20"/>
        </w:rPr>
        <w:t xml:space="preserve">Dexgroup (Pty) Ltd v Trustco Group International (Pty) Ltd and Others </w:t>
      </w:r>
      <w:r w:rsidRPr="00A87332">
        <w:rPr>
          <w:color w:val="000000"/>
          <w:sz w:val="20"/>
          <w:szCs w:val="20"/>
        </w:rPr>
        <w:t xml:space="preserve"> 2012 (6) SA 520 (SCA) at par 24.</w:t>
      </w:r>
    </w:p>
  </w:footnote>
  <w:footnote w:id="7">
    <w:p w:rsidR="0062382C" w:rsidRPr="00A31F51" w:rsidRDefault="0062382C">
      <w:pPr>
        <w:pStyle w:val="FootnoteText"/>
        <w:rPr>
          <w:lang w:val="en-US"/>
        </w:rPr>
      </w:pPr>
      <w:r>
        <w:rPr>
          <w:rStyle w:val="FootnoteReference"/>
        </w:rPr>
        <w:footnoteRef/>
      </w:r>
      <w:r>
        <w:t xml:space="preserve"> </w:t>
      </w:r>
      <w:r>
        <w:rPr>
          <w:i/>
          <w:lang w:val="en-US"/>
        </w:rPr>
        <w:t xml:space="preserve">Kruger v S </w:t>
      </w:r>
      <w:r>
        <w:rPr>
          <w:lang w:val="en-US"/>
        </w:rPr>
        <w:t xml:space="preserve"> 2014 (1) SACR 647 (SCA) at paras 2 and 3</w:t>
      </w:r>
    </w:p>
  </w:footnote>
  <w:footnote w:id="8">
    <w:p w:rsidR="0062382C" w:rsidRPr="00E11118" w:rsidRDefault="0062382C" w:rsidP="00E11118">
      <w:pPr>
        <w:pStyle w:val="FootnoteText"/>
        <w:jc w:val="both"/>
        <w:rPr>
          <w:lang w:val="en-US"/>
        </w:rPr>
      </w:pPr>
      <w:r>
        <w:rPr>
          <w:rStyle w:val="FootnoteReference"/>
        </w:rPr>
        <w:footnoteRef/>
      </w:r>
      <w:r>
        <w:t xml:space="preserve"> In the event that the rule 30 application succeeded, resulting in Liberty’s rule 47(1) being set aside, this </w:t>
      </w:r>
      <w:r>
        <w:rPr>
          <w:lang w:val="en-US"/>
        </w:rPr>
        <w:t xml:space="preserve">would naturally have affected the outcome of the rule 47 application. </w:t>
      </w:r>
    </w:p>
  </w:footnote>
  <w:footnote w:id="9">
    <w:p w:rsidR="0062382C" w:rsidRPr="00AB1C9B" w:rsidRDefault="0062382C" w:rsidP="00AB1C9B">
      <w:pPr>
        <w:pStyle w:val="FootnoteText"/>
        <w:rPr>
          <w:lang w:val="en-US"/>
        </w:rPr>
      </w:pPr>
      <w:r>
        <w:rPr>
          <w:rStyle w:val="FootnoteReference"/>
        </w:rPr>
        <w:footnoteRef/>
      </w:r>
      <w:r>
        <w:t xml:space="preserve"> </w:t>
      </w:r>
      <w:r w:rsidRPr="00D65AFE">
        <w:rPr>
          <w:bCs/>
          <w:i/>
        </w:rPr>
        <w:t>Pangbourne Properties Ltd v Pulse Moving CC and Another</w:t>
      </w:r>
      <w:r w:rsidRPr="00D65AFE">
        <w:rPr>
          <w:bCs/>
        </w:rPr>
        <w:t xml:space="preserve"> 2013 (3) SA 140 (GSJ)</w:t>
      </w:r>
      <w:r>
        <w:rPr>
          <w:bCs/>
        </w:rPr>
        <w:t>.</w:t>
      </w:r>
    </w:p>
  </w:footnote>
  <w:footnote w:id="10">
    <w:p w:rsidR="0062382C" w:rsidRPr="0023412D" w:rsidRDefault="0062382C" w:rsidP="0023412D">
      <w:pPr>
        <w:pStyle w:val="FootnoteText"/>
        <w:jc w:val="both"/>
        <w:rPr>
          <w:lang w:val="en-US"/>
        </w:rPr>
      </w:pPr>
      <w:r>
        <w:rPr>
          <w:rStyle w:val="FootnoteReference"/>
        </w:rPr>
        <w:footnoteRef/>
      </w:r>
      <w:r>
        <w:t xml:space="preserve"> </w:t>
      </w:r>
      <w:r>
        <w:rPr>
          <w:lang w:val="en-US"/>
        </w:rPr>
        <w:t>In its answering affidavit, Liberty pointed to various disputes of fact which ought to have been foreseen, thereby highlighting the inappropriate approach adopted by Mr M</w:t>
      </w:r>
      <w:r w:rsidR="004B35EB">
        <w:rPr>
          <w:lang w:val="en-US"/>
        </w:rPr>
        <w:t>a</w:t>
      </w:r>
      <w:r>
        <w:rPr>
          <w:lang w:val="en-US"/>
        </w:rPr>
        <w:t>loka in proceeding on motion. This</w:t>
      </w:r>
      <w:r w:rsidR="004B35EB">
        <w:rPr>
          <w:lang w:val="en-US"/>
        </w:rPr>
        <w:t>, it submitted,</w:t>
      </w:r>
      <w:r>
        <w:rPr>
          <w:lang w:val="en-US"/>
        </w:rPr>
        <w:t xml:space="preserve"> underscored its need for security for costs</w:t>
      </w:r>
      <w:r w:rsidR="004B35EB">
        <w:rPr>
          <w:lang w:val="en-US"/>
        </w:rPr>
        <w:t>,</w:t>
      </w:r>
      <w:r>
        <w:rPr>
          <w:lang w:val="en-US"/>
        </w:rPr>
        <w:t xml:space="preserve"> </w:t>
      </w:r>
      <w:r w:rsidR="004B35EB">
        <w:rPr>
          <w:lang w:val="en-US"/>
        </w:rPr>
        <w:t>and militated against the grant of</w:t>
      </w:r>
      <w:r>
        <w:rPr>
          <w:lang w:val="en-US"/>
        </w:rPr>
        <w:t xml:space="preserve"> an order that no security need be provided </w:t>
      </w:r>
      <w:r w:rsidR="004B35EB">
        <w:rPr>
          <w:lang w:val="en-US"/>
        </w:rPr>
        <w:t xml:space="preserve">by Mr Maloka </w:t>
      </w:r>
      <w:r>
        <w:rPr>
          <w:lang w:val="en-US"/>
        </w:rPr>
        <w:t xml:space="preserve">on the basis that </w:t>
      </w:r>
      <w:r w:rsidR="004B35EB">
        <w:rPr>
          <w:lang w:val="en-US"/>
        </w:rPr>
        <w:t>he</w:t>
      </w:r>
      <w:r>
        <w:rPr>
          <w:lang w:val="en-US"/>
        </w:rPr>
        <w:t xml:space="preserve"> was entitled to litigate in any court of law</w:t>
      </w:r>
      <w:r w:rsidR="004B35EB">
        <w:rPr>
          <w:lang w:val="en-US"/>
        </w:rPr>
        <w:t>,</w:t>
      </w:r>
      <w:r>
        <w:rPr>
          <w:lang w:val="en-US"/>
        </w:rPr>
        <w:t xml:space="preserve"> without </w:t>
      </w:r>
      <w:r w:rsidR="004B35EB">
        <w:rPr>
          <w:lang w:val="en-US"/>
        </w:rPr>
        <w:t xml:space="preserve">any </w:t>
      </w:r>
      <w:r>
        <w:rPr>
          <w:lang w:val="en-US"/>
        </w:rPr>
        <w:t>consequence,</w:t>
      </w:r>
      <w:r w:rsidR="004B35EB">
        <w:rPr>
          <w:lang w:val="en-US"/>
        </w:rPr>
        <w:t xml:space="preserve"> on grounds of impecuniosity,</w:t>
      </w:r>
      <w:r>
        <w:rPr>
          <w:lang w:val="en-US"/>
        </w:rPr>
        <w:t xml:space="preserve"> as </w:t>
      </w:r>
      <w:r w:rsidR="004B35EB">
        <w:rPr>
          <w:lang w:val="en-US"/>
        </w:rPr>
        <w:t>sought by Mr Maloka.</w:t>
      </w:r>
    </w:p>
  </w:footnote>
  <w:footnote w:id="11">
    <w:p w:rsidR="0062382C" w:rsidRPr="009C179D" w:rsidRDefault="0062382C" w:rsidP="00882F96">
      <w:pPr>
        <w:pStyle w:val="FootnoteText"/>
        <w:jc w:val="both"/>
        <w:rPr>
          <w:lang w:val="en-US"/>
        </w:rPr>
      </w:pPr>
      <w:r>
        <w:rPr>
          <w:rStyle w:val="FootnoteReference"/>
        </w:rPr>
        <w:footnoteRef/>
      </w:r>
      <w:r>
        <w:t xml:space="preserve"> The </w:t>
      </w:r>
      <w:r>
        <w:rPr>
          <w:lang w:val="en-US"/>
        </w:rPr>
        <w:t xml:space="preserve">judgment in the Labour Court was delivered after the hearing of the rule 30 and rule 47 applications in this court. The </w:t>
      </w:r>
      <w:r w:rsidR="004B35EB">
        <w:rPr>
          <w:lang w:val="en-US"/>
        </w:rPr>
        <w:t xml:space="preserve">Labour Court </w:t>
      </w:r>
      <w:r>
        <w:rPr>
          <w:lang w:val="en-US"/>
        </w:rPr>
        <w:t>case was one of 9 cases instituted by Mr M</w:t>
      </w:r>
      <w:r w:rsidR="004B35EB">
        <w:rPr>
          <w:lang w:val="en-US"/>
        </w:rPr>
        <w:t>a</w:t>
      </w:r>
      <w:r>
        <w:rPr>
          <w:lang w:val="en-US"/>
        </w:rPr>
        <w:t>loka against Liberty since his dismissal from its employ on 31 December 2019.</w:t>
      </w:r>
    </w:p>
  </w:footnote>
  <w:footnote w:id="12">
    <w:p w:rsidR="0062382C" w:rsidRPr="00C47B9A" w:rsidRDefault="0062382C" w:rsidP="00945997">
      <w:pPr>
        <w:pStyle w:val="FootnoteText"/>
        <w:rPr>
          <w:lang w:val="en-US"/>
        </w:rPr>
      </w:pPr>
      <w:r>
        <w:rPr>
          <w:rStyle w:val="FootnoteReference"/>
        </w:rPr>
        <w:footnoteRef/>
      </w:r>
      <w:r>
        <w:t xml:space="preserve"> Par</w:t>
      </w:r>
      <w:r w:rsidRPr="00C47B9A">
        <w:rPr>
          <w:lang w:val="en-US"/>
        </w:rPr>
        <w:t xml:space="preserve"> 14</w:t>
      </w:r>
      <w:r>
        <w:rPr>
          <w:lang w:val="en-US"/>
        </w:rPr>
        <w:t xml:space="preserve"> of the judgment of the Labour Court.</w:t>
      </w:r>
      <w:r w:rsidRPr="00C47B9A">
        <w:rPr>
          <w:lang w:val="en-US"/>
        </w:rPr>
        <w:t xml:space="preserve"> </w:t>
      </w:r>
    </w:p>
  </w:footnote>
  <w:footnote w:id="13">
    <w:p w:rsidR="0062382C" w:rsidRPr="00C47B9A" w:rsidRDefault="0062382C" w:rsidP="00945997">
      <w:pPr>
        <w:pStyle w:val="FootnoteText"/>
        <w:jc w:val="both"/>
        <w:rPr>
          <w:lang w:val="en-US"/>
        </w:rPr>
      </w:pPr>
      <w:r w:rsidRPr="00C47B9A">
        <w:rPr>
          <w:rStyle w:val="FootnoteReference"/>
        </w:rPr>
        <w:footnoteRef/>
      </w:r>
      <w:r w:rsidRPr="00C47B9A">
        <w:t xml:space="preserve"> </w:t>
      </w:r>
      <w:r w:rsidRPr="00C47B9A">
        <w:rPr>
          <w:lang w:val="en-US"/>
        </w:rPr>
        <w:t>Par 15</w:t>
      </w:r>
      <w:r>
        <w:rPr>
          <w:lang w:val="en-US"/>
        </w:rPr>
        <w:t xml:space="preserve"> of the judgment of the Labour Court.</w:t>
      </w:r>
      <w:r w:rsidRPr="00C47B9A">
        <w:rPr>
          <w:lang w:val="en-US"/>
        </w:rPr>
        <w:t xml:space="preserve"> See too para 21 where the following was said: “</w:t>
      </w:r>
      <w:r w:rsidRPr="00C47B9A">
        <w:rPr>
          <w:i/>
          <w:color w:val="242121"/>
          <w:shd w:val="clear" w:color="auto" w:fill="FFFFFF"/>
        </w:rPr>
        <w:t>the excessive delay in approaching the Court with the alleged automatically unfair dismissal has not been explained, and to the extent that there is any explanation, it is neither satisfactory nor reasonable</w:t>
      </w:r>
      <w:r w:rsidRPr="00C47B9A">
        <w:rPr>
          <w:color w:val="242121"/>
          <w:shd w:val="clear" w:color="auto" w:fill="FFFFFF"/>
        </w:rPr>
        <w:t>.”</w:t>
      </w:r>
    </w:p>
  </w:footnote>
  <w:footnote w:id="14">
    <w:p w:rsidR="0062382C" w:rsidRPr="00C47B9A" w:rsidRDefault="0062382C" w:rsidP="00945997">
      <w:pPr>
        <w:pStyle w:val="FootnoteText"/>
        <w:jc w:val="both"/>
        <w:rPr>
          <w:lang w:val="en-US"/>
        </w:rPr>
      </w:pPr>
      <w:r w:rsidRPr="00C47B9A">
        <w:rPr>
          <w:rStyle w:val="FootnoteReference"/>
        </w:rPr>
        <w:footnoteRef/>
      </w:r>
      <w:r w:rsidRPr="00C47B9A">
        <w:t xml:space="preserve"> </w:t>
      </w:r>
      <w:r w:rsidRPr="00C47B9A">
        <w:rPr>
          <w:color w:val="242121"/>
          <w:shd w:val="clear" w:color="auto" w:fill="FFFFFF"/>
        </w:rPr>
        <w:t xml:space="preserve">Ironically, </w:t>
      </w:r>
      <w:r w:rsidR="009E345A">
        <w:rPr>
          <w:color w:val="242121"/>
          <w:shd w:val="clear" w:color="auto" w:fill="FFFFFF"/>
        </w:rPr>
        <w:t xml:space="preserve">I arrived at a </w:t>
      </w:r>
      <w:r w:rsidRPr="00C47B9A">
        <w:rPr>
          <w:color w:val="242121"/>
          <w:shd w:val="clear" w:color="auto" w:fill="FFFFFF"/>
        </w:rPr>
        <w:t xml:space="preserve">a similar conclusion </w:t>
      </w:r>
      <w:r>
        <w:rPr>
          <w:color w:val="242121"/>
          <w:shd w:val="clear" w:color="auto" w:fill="FFFFFF"/>
        </w:rPr>
        <w:t>in</w:t>
      </w:r>
      <w:r w:rsidRPr="00C47B9A">
        <w:rPr>
          <w:color w:val="242121"/>
          <w:shd w:val="clear" w:color="auto" w:fill="FFFFFF"/>
        </w:rPr>
        <w:t xml:space="preserve"> my judgment</w:t>
      </w:r>
      <w:r>
        <w:rPr>
          <w:color w:val="242121"/>
          <w:shd w:val="clear" w:color="auto" w:fill="FFFFFF"/>
        </w:rPr>
        <w:t>.</w:t>
      </w:r>
      <w:r w:rsidRPr="00C47B9A">
        <w:rPr>
          <w:color w:val="242121"/>
          <w:shd w:val="clear" w:color="auto" w:fill="FFFFFF"/>
        </w:rPr>
        <w:t xml:space="preserve"> </w:t>
      </w:r>
    </w:p>
  </w:footnote>
  <w:footnote w:id="15">
    <w:p w:rsidR="0062382C" w:rsidRPr="00C47B9A" w:rsidRDefault="0062382C" w:rsidP="00945997">
      <w:pPr>
        <w:pStyle w:val="FootnoteText"/>
        <w:jc w:val="both"/>
        <w:rPr>
          <w:lang w:val="en-US"/>
        </w:rPr>
      </w:pPr>
      <w:r w:rsidRPr="00C47B9A">
        <w:rPr>
          <w:rStyle w:val="FootnoteReference"/>
        </w:rPr>
        <w:footnoteRef/>
      </w:r>
      <w:r w:rsidRPr="00C47B9A">
        <w:t xml:space="preserve"> </w:t>
      </w:r>
      <w:r w:rsidRPr="00C47B9A">
        <w:rPr>
          <w:lang w:val="en-US"/>
        </w:rPr>
        <w:t xml:space="preserve">Again, a similar conclusion was arrived at by me in my judgment </w:t>
      </w:r>
      <w:r>
        <w:rPr>
          <w:lang w:val="en-US"/>
        </w:rPr>
        <w:t>apropos</w:t>
      </w:r>
      <w:r w:rsidRPr="00C47B9A">
        <w:rPr>
          <w:lang w:val="en-US"/>
        </w:rPr>
        <w:t xml:space="preserve"> the claim for damages </w:t>
      </w:r>
      <w:r>
        <w:rPr>
          <w:lang w:val="en-US"/>
        </w:rPr>
        <w:t xml:space="preserve">that </w:t>
      </w:r>
      <w:r w:rsidR="009E345A">
        <w:rPr>
          <w:lang w:val="en-US"/>
        </w:rPr>
        <w:t>was</w:t>
      </w:r>
      <w:r>
        <w:rPr>
          <w:lang w:val="en-US"/>
        </w:rPr>
        <w:t xml:space="preserve"> </w:t>
      </w:r>
      <w:r w:rsidRPr="00C47B9A">
        <w:rPr>
          <w:lang w:val="en-US"/>
        </w:rPr>
        <w:t xml:space="preserve">instituted by Mr Moloka </w:t>
      </w:r>
      <w:r w:rsidR="009E345A">
        <w:rPr>
          <w:lang w:val="en-US"/>
        </w:rPr>
        <w:t xml:space="preserve">on motion </w:t>
      </w:r>
      <w:r w:rsidRPr="00C47B9A">
        <w:rPr>
          <w:lang w:val="en-US"/>
        </w:rPr>
        <w:t>in the main application.</w:t>
      </w:r>
    </w:p>
  </w:footnote>
  <w:footnote w:id="16">
    <w:p w:rsidR="0062382C" w:rsidRPr="004F1181" w:rsidRDefault="0062382C">
      <w:pPr>
        <w:pStyle w:val="FootnoteText"/>
        <w:rPr>
          <w:lang w:val="en-US"/>
        </w:rPr>
      </w:pPr>
      <w:r>
        <w:rPr>
          <w:rStyle w:val="FootnoteReference"/>
        </w:rPr>
        <w:footnoteRef/>
      </w:r>
      <w:r>
        <w:t xml:space="preserve"> </w:t>
      </w:r>
      <w:r>
        <w:rPr>
          <w:lang w:val="en-US"/>
        </w:rPr>
        <w:t>The ruling can be found at R-014-110 (Annexure AA25) of the papers.</w:t>
      </w:r>
    </w:p>
  </w:footnote>
  <w:footnote w:id="17">
    <w:p w:rsidR="0062382C" w:rsidRPr="00A56128" w:rsidRDefault="0062382C">
      <w:pPr>
        <w:pStyle w:val="FootnoteText"/>
        <w:rPr>
          <w:lang w:val="en-US"/>
        </w:rPr>
      </w:pPr>
      <w:r>
        <w:rPr>
          <w:rStyle w:val="FootnoteReference"/>
        </w:rPr>
        <w:footnoteRef/>
      </w:r>
      <w:r>
        <w:t xml:space="preserve"> </w:t>
      </w:r>
      <w:r>
        <w:rPr>
          <w:lang w:val="en-US"/>
        </w:rPr>
        <w:t>The costs order made by the Equality Court can be found at R-014-134.</w:t>
      </w:r>
    </w:p>
  </w:footnote>
  <w:footnote w:id="18">
    <w:p w:rsidR="0062382C" w:rsidRPr="0062382C" w:rsidRDefault="0062382C" w:rsidP="0062382C">
      <w:pPr>
        <w:jc w:val="both"/>
        <w:rPr>
          <w:spacing w:val="2"/>
          <w:sz w:val="20"/>
          <w:szCs w:val="20"/>
          <w:shd w:val="clear" w:color="auto" w:fill="FFFFFF"/>
        </w:rPr>
      </w:pPr>
      <w:r>
        <w:rPr>
          <w:rStyle w:val="FootnoteReference"/>
        </w:rPr>
        <w:footnoteRef/>
      </w:r>
      <w:r>
        <w:t xml:space="preserve"> </w:t>
      </w:r>
      <w:r w:rsidRPr="0062382C">
        <w:rPr>
          <w:sz w:val="20"/>
          <w:szCs w:val="20"/>
        </w:rPr>
        <w:t>See:</w:t>
      </w:r>
      <w:r>
        <w:t xml:space="preserve"> </w:t>
      </w:r>
      <w:r w:rsidRPr="00055EA6">
        <w:rPr>
          <w:rStyle w:val="Emphasis"/>
          <w:spacing w:val="2"/>
          <w:sz w:val="20"/>
          <w:szCs w:val="20"/>
          <w:bdr w:val="none" w:sz="0" w:space="0" w:color="auto" w:frame="1"/>
          <w:shd w:val="clear" w:color="auto" w:fill="FFFFFF"/>
        </w:rPr>
        <w:t>Biowatch Trust v Registrar, Genetic Resources, and Others</w:t>
      </w:r>
      <w:r w:rsidRPr="00055EA6">
        <w:rPr>
          <w:spacing w:val="2"/>
          <w:sz w:val="20"/>
          <w:szCs w:val="20"/>
          <w:shd w:val="clear" w:color="auto" w:fill="FFFFFF"/>
        </w:rPr>
        <w:t> 2009 (6) SA 232 (CC)</w:t>
      </w:r>
      <w:r w:rsidRPr="00055EA6">
        <w:rPr>
          <w:spacing w:val="2"/>
          <w:shd w:val="clear" w:color="auto" w:fill="FFFFFF"/>
        </w:rPr>
        <w:t xml:space="preserve">. </w:t>
      </w:r>
      <w:r w:rsidRPr="0062382C">
        <w:rPr>
          <w:spacing w:val="2"/>
          <w:sz w:val="20"/>
          <w:szCs w:val="20"/>
          <w:shd w:val="clear" w:color="auto" w:fill="FFFFFF"/>
        </w:rPr>
        <w:t xml:space="preserve">The judgement by Sachs J deals with cost orders against public bodies or persons when they initiate litigation in defence of constitutional rights against the state. In examining the approach to be applied in matters between private parties and the State, Sachs J confirmed the general rule propounded in </w:t>
      </w:r>
      <w:r w:rsidRPr="0062382C">
        <w:rPr>
          <w:rStyle w:val="Emphasis"/>
          <w:spacing w:val="2"/>
          <w:sz w:val="20"/>
          <w:szCs w:val="20"/>
          <w:bdr w:val="none" w:sz="0" w:space="0" w:color="auto" w:frame="1"/>
          <w:shd w:val="clear" w:color="auto" w:fill="FFFFFF"/>
        </w:rPr>
        <w:t>Affordable Medicines Trust and Others v Minister of Health and Others</w:t>
      </w:r>
      <w:r w:rsidRPr="0062382C">
        <w:rPr>
          <w:spacing w:val="2"/>
          <w:sz w:val="20"/>
          <w:szCs w:val="20"/>
          <w:shd w:val="clear" w:color="auto" w:fill="FFFFFF"/>
        </w:rPr>
        <w:t> 2006 (3) SA 247 (CC) (2005 (6) BCLR 529, namely, that an unsuccessful litigant in proceedings against the State ought not to be ordered to pay costs, the rationale therefore being that an award of costs ‘might have a chilling effect on the litigants who may wish to vindicate their constitutional rights.’ A further principle was established, namely, that if the government loses the matter then it should pay the costs of the other side, while if the government wins, each party should bear its own costs. (It is however important to note that the principle in Affordable Medicines does not extend to constitutional litigation between private parties.)</w:t>
      </w:r>
    </w:p>
    <w:p w:rsidR="0062382C" w:rsidRPr="0062382C" w:rsidRDefault="0062382C" w:rsidP="0062382C">
      <w:pPr>
        <w:pStyle w:val="FootnoteText"/>
        <w:jc w:val="both"/>
        <w:rPr>
          <w:lang w:val="en-US"/>
        </w:rPr>
      </w:pPr>
      <w:r w:rsidRPr="0062382C">
        <w:rPr>
          <w:spacing w:val="2"/>
          <w:u w:val="single"/>
          <w:shd w:val="clear" w:color="auto" w:fill="FFFFFF"/>
        </w:rPr>
        <w:t>The Constitutional Court warned, in paras 24 and 25 of the judgment, that the above principles are not unqualified. If an application is frivolous, vexatious or inappropriate the worthiness of its cause will not immunise it against an adverse cost order</w:t>
      </w:r>
      <w:r w:rsidRPr="0062382C">
        <w:rPr>
          <w:spacing w:val="2"/>
          <w:shd w:val="clear" w:color="auto" w:fill="FFFFFF"/>
        </w:rPr>
        <w:t xml:space="preserve">. </w:t>
      </w:r>
      <w:r w:rsidRPr="0062382C">
        <w:rPr>
          <w:spacing w:val="2"/>
          <w:u w:val="single"/>
          <w:shd w:val="clear" w:color="auto" w:fill="FFFFFF"/>
        </w:rPr>
        <w:t>The court went further and stated that merely labelling the litigation as constitutional would not be enough to invoke the general rule. The issues in the matter must genuinely and substantively be of a constitutional nature</w:t>
      </w:r>
      <w:r w:rsidRPr="0062382C">
        <w:rPr>
          <w:spacing w:val="2"/>
          <w:shd w:val="clear" w:color="auto" w:fill="FFFFFF"/>
        </w:rPr>
        <w:t>. [emphasis added]</w:t>
      </w:r>
    </w:p>
  </w:footnote>
  <w:footnote w:id="19">
    <w:p w:rsidR="0062382C" w:rsidRPr="0062382C" w:rsidRDefault="0062382C" w:rsidP="0062382C">
      <w:pPr>
        <w:pStyle w:val="NormalWeb"/>
        <w:shd w:val="clear" w:color="auto" w:fill="FFFFFF"/>
        <w:spacing w:before="144" w:beforeAutospacing="0" w:after="288" w:afterAutospacing="0"/>
        <w:jc w:val="both"/>
        <w:rPr>
          <w:rFonts w:ascii="Arial" w:hAnsi="Arial" w:cs="Arial"/>
          <w:color w:val="242121"/>
          <w:sz w:val="20"/>
          <w:szCs w:val="20"/>
          <w:lang w:val="en-US"/>
        </w:rPr>
      </w:pPr>
      <w:r>
        <w:rPr>
          <w:rStyle w:val="FootnoteReference"/>
        </w:rPr>
        <w:footnoteRef/>
      </w:r>
      <w:r>
        <w:t xml:space="preserve"> </w:t>
      </w:r>
      <w:r w:rsidRPr="0062382C">
        <w:rPr>
          <w:rFonts w:ascii="Arial" w:hAnsi="Arial" w:cs="Arial"/>
          <w:sz w:val="20"/>
          <w:szCs w:val="20"/>
        </w:rPr>
        <w:t xml:space="preserve">See: </w:t>
      </w:r>
      <w:r w:rsidRPr="0062382C">
        <w:rPr>
          <w:rFonts w:ascii="Arial" w:hAnsi="Arial" w:cs="Arial"/>
          <w:i/>
          <w:sz w:val="20"/>
          <w:szCs w:val="20"/>
        </w:rPr>
        <w:t>Minister of Cooperative Governance and Traditional Affairs v De Beer and Another</w:t>
      </w:r>
      <w:r w:rsidRPr="0062382C">
        <w:rPr>
          <w:rFonts w:ascii="Arial" w:hAnsi="Arial" w:cs="Arial"/>
          <w:sz w:val="20"/>
          <w:szCs w:val="20"/>
        </w:rPr>
        <w:t xml:space="preserve"> (538/2020) [2021] ZASCA 95 (1 July 2021), para 87, where the following was said: “</w:t>
      </w:r>
      <w:r w:rsidRPr="0062382C">
        <w:rPr>
          <w:rFonts w:ascii="Arial" w:hAnsi="Arial" w:cs="Arial"/>
          <w:color w:val="242121"/>
          <w:sz w:val="20"/>
          <w:szCs w:val="20"/>
          <w:lang w:val="en-US"/>
        </w:rPr>
        <w:t>Likewise, in </w:t>
      </w:r>
      <w:r w:rsidRPr="0062382C">
        <w:rPr>
          <w:rFonts w:ascii="Arial" w:hAnsi="Arial" w:cs="Arial"/>
          <w:i/>
          <w:iCs/>
          <w:color w:val="242121"/>
          <w:sz w:val="20"/>
          <w:szCs w:val="20"/>
          <w:lang w:val="en-US"/>
        </w:rPr>
        <w:t xml:space="preserve">Fischer v Ramahlele, </w:t>
      </w:r>
      <w:r w:rsidRPr="0062382C">
        <w:rPr>
          <w:rFonts w:ascii="Arial" w:hAnsi="Arial" w:cs="Arial"/>
          <w:color w:val="242121"/>
          <w:sz w:val="20"/>
          <w:szCs w:val="20"/>
          <w:lang w:val="en-US"/>
        </w:rPr>
        <w:t>it was stated:</w:t>
      </w:r>
    </w:p>
    <w:p w:rsidR="0062382C" w:rsidRPr="0062382C" w:rsidRDefault="0062382C" w:rsidP="0062382C">
      <w:pPr>
        <w:pStyle w:val="FootnoteText"/>
        <w:jc w:val="both"/>
        <w:rPr>
          <w:lang w:val="en-US"/>
        </w:rPr>
      </w:pPr>
      <w:r>
        <w:rPr>
          <w:color w:val="242121"/>
        </w:rPr>
        <w:t>“</w:t>
      </w:r>
      <w:r w:rsidRPr="0062382C">
        <w:rPr>
          <w:color w:val="242121"/>
        </w:rPr>
        <w:t xml:space="preserve">Turning then to the nature of civil litigation in our adversarial system </w:t>
      </w:r>
      <w:r w:rsidRPr="0062382C">
        <w:rPr>
          <w:color w:val="242121"/>
          <w:u w:val="single"/>
        </w:rPr>
        <w:t>it is for the parties, either in the pleadings or affidavits, which serve the function of both pleadings and evidence, to set out and define the nature of their dispute and it is for the court to adjudicate upon those issues.</w:t>
      </w:r>
      <w:r w:rsidR="00043A9A">
        <w:rPr>
          <w:color w:val="242121"/>
          <w:u w:val="single"/>
        </w:rPr>
        <w:t xml:space="preserve"> </w:t>
      </w:r>
      <w:r w:rsidRPr="0062382C">
        <w:rPr>
          <w:color w:val="242121"/>
          <w:u w:val="single"/>
        </w:rPr>
        <w:t>That is so even where the dispute involves an issue pertaining to the basic human rights guara</w:t>
      </w:r>
      <w:r>
        <w:rPr>
          <w:color w:val="242121"/>
          <w:u w:val="single"/>
        </w:rPr>
        <w:t xml:space="preserve">nteed by our Constitution, for </w:t>
      </w:r>
      <w:r w:rsidRPr="0062382C">
        <w:rPr>
          <w:color w:val="242121"/>
          <w:u w:val="single"/>
        </w:rPr>
        <w:t>it is impermissible for a party to rely on a constitutional complaint that was not pleaded</w:t>
      </w:r>
      <w:r>
        <w:rPr>
          <w:color w:val="242121"/>
        </w:rPr>
        <w:t>’….” [emphasis added]</w:t>
      </w:r>
    </w:p>
  </w:footnote>
  <w:footnote w:id="20">
    <w:p w:rsidR="0062382C" w:rsidRPr="000C021B" w:rsidRDefault="0062382C">
      <w:pPr>
        <w:pStyle w:val="FootnoteText"/>
        <w:rPr>
          <w:lang w:val="en-US"/>
        </w:rPr>
      </w:pPr>
      <w:r>
        <w:rPr>
          <w:rStyle w:val="FootnoteReference"/>
        </w:rPr>
        <w:footnoteRef/>
      </w:r>
      <w:r>
        <w:t xml:space="preserve"> </w:t>
      </w:r>
      <w:r>
        <w:rPr>
          <w:lang w:val="en-US"/>
        </w:rPr>
        <w:t>See:</w:t>
      </w:r>
      <w:r w:rsidRPr="00661D46">
        <w:rPr>
          <w:rFonts w:eastAsia="Times New Roman"/>
          <w:i/>
          <w:lang w:eastAsia="en-ZA"/>
        </w:rPr>
        <w:t xml:space="preserve"> </w:t>
      </w:r>
      <w:r w:rsidRPr="00302F84">
        <w:rPr>
          <w:rFonts w:eastAsia="Times New Roman"/>
          <w:i/>
          <w:lang w:eastAsia="en-ZA"/>
        </w:rPr>
        <w:t>South African Commercial Catering and Allied Workers Union and Others v Irvin &amp; Johnson Limited Seafoods Division Fish Processing</w:t>
      </w:r>
      <w:r w:rsidRPr="00302F84">
        <w:rPr>
          <w:rFonts w:eastAsia="Times New Roman"/>
          <w:lang w:eastAsia="en-ZA"/>
        </w:rPr>
        <w:t xml:space="preserve"> (CCT2/00) [2000] ZACC 10; 2000 (3) SA 705; 2000 (8) BCLR 886 (9 June 2000)</w:t>
      </w:r>
      <w:r>
        <w:rPr>
          <w:rFonts w:eastAsia="Times New Roman"/>
          <w:lang w:eastAsia="en-ZA"/>
        </w:rPr>
        <w:t xml:space="preserve"> at par 13 (‘</w:t>
      </w:r>
      <w:r>
        <w:rPr>
          <w:rFonts w:eastAsia="Times New Roman"/>
          <w:i/>
          <w:lang w:eastAsia="en-ZA"/>
        </w:rPr>
        <w:t>Irwin &amp; Johnson’</w:t>
      </w:r>
      <w:r>
        <w:rPr>
          <w:rFonts w:eastAsia="Times New Roman"/>
          <w:lang w:eastAsia="en-ZA"/>
        </w:rPr>
        <w:t>)</w:t>
      </w:r>
    </w:p>
  </w:footnote>
  <w:footnote w:id="21">
    <w:p w:rsidR="0062382C" w:rsidRPr="000C021B" w:rsidRDefault="0062382C" w:rsidP="000C021B">
      <w:pPr>
        <w:pStyle w:val="FootnoteText"/>
        <w:rPr>
          <w:lang w:val="en-US"/>
        </w:rPr>
      </w:pPr>
      <w:r>
        <w:rPr>
          <w:rStyle w:val="FootnoteReference"/>
        </w:rPr>
        <w:footnoteRef/>
      </w:r>
      <w:r>
        <w:t xml:space="preserve"> </w:t>
      </w:r>
      <w:r>
        <w:rPr>
          <w:lang w:val="en-US"/>
        </w:rPr>
        <w:t xml:space="preserve">See: </w:t>
      </w:r>
      <w:r w:rsidRPr="000C021B">
        <w:rPr>
          <w:i/>
        </w:rPr>
        <w:t>President of the Republic of South Africa and Others v South African Rugby Football Union and Others</w:t>
      </w:r>
      <w:r>
        <w:rPr>
          <w:i/>
        </w:rPr>
        <w:t xml:space="preserve"> </w:t>
      </w:r>
      <w:r>
        <w:t>1999 (4) SA 147; 1999 (7) BCLR 725 (CC) at par 48 (“</w:t>
      </w:r>
      <w:r>
        <w:rPr>
          <w:i/>
        </w:rPr>
        <w:t>Sarfu’)</w:t>
      </w:r>
      <w:r>
        <w:t xml:space="preserve">. See too: </w:t>
      </w:r>
      <w:r>
        <w:rPr>
          <w:i/>
        </w:rPr>
        <w:t>Irwin &amp; Johnson, supra,</w:t>
      </w:r>
      <w:r>
        <w:t xml:space="preserve"> at paras 15 –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649267"/>
      <w:docPartObj>
        <w:docPartGallery w:val="Page Numbers (Top of Page)"/>
        <w:docPartUnique/>
      </w:docPartObj>
    </w:sdtPr>
    <w:sdtEndPr>
      <w:rPr>
        <w:noProof/>
      </w:rPr>
    </w:sdtEndPr>
    <w:sdtContent>
      <w:p w:rsidR="0062382C" w:rsidRDefault="0062382C">
        <w:pPr>
          <w:pStyle w:val="Header"/>
          <w:jc w:val="right"/>
        </w:pPr>
        <w:r>
          <w:fldChar w:fldCharType="begin"/>
        </w:r>
        <w:r>
          <w:instrText xml:space="preserve"> PAGE   \* MERGEFORMAT </w:instrText>
        </w:r>
        <w:r>
          <w:fldChar w:fldCharType="separate"/>
        </w:r>
        <w:r w:rsidR="00BF6994">
          <w:rPr>
            <w:noProof/>
          </w:rPr>
          <w:t>2</w:t>
        </w:r>
        <w:r>
          <w:rPr>
            <w:noProof/>
          </w:rPr>
          <w:fldChar w:fldCharType="end"/>
        </w:r>
      </w:p>
    </w:sdtContent>
  </w:sdt>
  <w:p w:rsidR="0062382C" w:rsidRDefault="0062382C" w:rsidP="00E11118">
    <w:pPr>
      <w:pStyle w:val="Header"/>
      <w:tabs>
        <w:tab w:val="clear" w:pos="4680"/>
        <w:tab w:val="clear" w:pos="9360"/>
        <w:tab w:val="left" w:pos="78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118A2"/>
    <w:multiLevelType w:val="hybridMultilevel"/>
    <w:tmpl w:val="C34600B6"/>
    <w:lvl w:ilvl="0" w:tplc="4CB29FF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2">
    <w:nsid w:val="4E6B1C91"/>
    <w:multiLevelType w:val="hybridMultilevel"/>
    <w:tmpl w:val="14DA4A8A"/>
    <w:lvl w:ilvl="0" w:tplc="88DAB214">
      <w:start w:val="1"/>
      <w:numFmt w:val="lowerLetter"/>
      <w:lvlText w:val="(%1)"/>
      <w:lvlJc w:val="left"/>
      <w:pPr>
        <w:ind w:left="3079" w:hanging="1050"/>
      </w:pPr>
      <w:rPr>
        <w:rFonts w:hint="default"/>
      </w:rPr>
    </w:lvl>
    <w:lvl w:ilvl="1" w:tplc="1C090019" w:tentative="1">
      <w:start w:val="1"/>
      <w:numFmt w:val="lowerLetter"/>
      <w:lvlText w:val="%2."/>
      <w:lvlJc w:val="left"/>
      <w:pPr>
        <w:ind w:left="3109" w:hanging="360"/>
      </w:pPr>
    </w:lvl>
    <w:lvl w:ilvl="2" w:tplc="1C09001B" w:tentative="1">
      <w:start w:val="1"/>
      <w:numFmt w:val="lowerRoman"/>
      <w:lvlText w:val="%3."/>
      <w:lvlJc w:val="right"/>
      <w:pPr>
        <w:ind w:left="3829" w:hanging="180"/>
      </w:pPr>
    </w:lvl>
    <w:lvl w:ilvl="3" w:tplc="1C09000F" w:tentative="1">
      <w:start w:val="1"/>
      <w:numFmt w:val="decimal"/>
      <w:lvlText w:val="%4."/>
      <w:lvlJc w:val="left"/>
      <w:pPr>
        <w:ind w:left="4549" w:hanging="360"/>
      </w:pPr>
    </w:lvl>
    <w:lvl w:ilvl="4" w:tplc="1C090019" w:tentative="1">
      <w:start w:val="1"/>
      <w:numFmt w:val="lowerLetter"/>
      <w:lvlText w:val="%5."/>
      <w:lvlJc w:val="left"/>
      <w:pPr>
        <w:ind w:left="5269" w:hanging="360"/>
      </w:pPr>
    </w:lvl>
    <w:lvl w:ilvl="5" w:tplc="1C09001B" w:tentative="1">
      <w:start w:val="1"/>
      <w:numFmt w:val="lowerRoman"/>
      <w:lvlText w:val="%6."/>
      <w:lvlJc w:val="right"/>
      <w:pPr>
        <w:ind w:left="5989" w:hanging="180"/>
      </w:pPr>
    </w:lvl>
    <w:lvl w:ilvl="6" w:tplc="1C09000F" w:tentative="1">
      <w:start w:val="1"/>
      <w:numFmt w:val="decimal"/>
      <w:lvlText w:val="%7."/>
      <w:lvlJc w:val="left"/>
      <w:pPr>
        <w:ind w:left="6709" w:hanging="360"/>
      </w:pPr>
    </w:lvl>
    <w:lvl w:ilvl="7" w:tplc="1C090019" w:tentative="1">
      <w:start w:val="1"/>
      <w:numFmt w:val="lowerLetter"/>
      <w:lvlText w:val="%8."/>
      <w:lvlJc w:val="left"/>
      <w:pPr>
        <w:ind w:left="7429" w:hanging="360"/>
      </w:pPr>
    </w:lvl>
    <w:lvl w:ilvl="8" w:tplc="1C09001B" w:tentative="1">
      <w:start w:val="1"/>
      <w:numFmt w:val="lowerRoman"/>
      <w:lvlText w:val="%9."/>
      <w:lvlJc w:val="right"/>
      <w:pPr>
        <w:ind w:left="8149" w:hanging="180"/>
      </w:pPr>
    </w:lvl>
  </w:abstractNum>
  <w:abstractNum w:abstractNumId="3">
    <w:nsid w:val="50F7650A"/>
    <w:multiLevelType w:val="multilevel"/>
    <w:tmpl w:val="FBFA6894"/>
    <w:numStyleLink w:val="Style3"/>
  </w:abstractNum>
  <w:abstractNum w:abstractNumId="4">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1702" w:hanging="851"/>
        </w:pPr>
        <w:rPr>
          <w:rFonts w:hint="default"/>
        </w:rPr>
      </w:lvl>
    </w:lvlOverride>
    <w:lvlOverride w:ilvl="2">
      <w:lvl w:ilvl="2">
        <w:start w:val="1"/>
        <w:numFmt w:val="decimal"/>
        <w:lvlText w:val="%1.%2.%3."/>
        <w:lvlJc w:val="left"/>
        <w:pPr>
          <w:ind w:left="2553" w:hanging="851"/>
        </w:pPr>
        <w:rPr>
          <w:rFonts w:hint="default"/>
        </w:rPr>
      </w:lvl>
    </w:lvlOverride>
    <w:lvlOverride w:ilvl="3">
      <w:lvl w:ilvl="3">
        <w:start w:val="1"/>
        <w:numFmt w:val="decimal"/>
        <w:lvlText w:val="%1.%2.%3.%4."/>
        <w:lvlJc w:val="left"/>
        <w:pPr>
          <w:ind w:left="3404" w:hanging="851"/>
        </w:pPr>
        <w:rPr>
          <w:rFonts w:hint="default"/>
        </w:rPr>
      </w:lvl>
    </w:lvlOverride>
    <w:lvlOverride w:ilvl="4">
      <w:lvl w:ilvl="4">
        <w:start w:val="1"/>
        <w:numFmt w:val="decimal"/>
        <w:lvlText w:val="%1.%2.%3.%4.%5."/>
        <w:lvlJc w:val="left"/>
        <w:pPr>
          <w:ind w:left="4255" w:hanging="851"/>
        </w:pPr>
        <w:rPr>
          <w:rFonts w:hint="default"/>
        </w:rPr>
      </w:lvl>
    </w:lvlOverride>
    <w:lvlOverride w:ilvl="5">
      <w:lvl w:ilvl="5">
        <w:start w:val="1"/>
        <w:numFmt w:val="decimal"/>
        <w:lvlText w:val="%1.%2.%3.%4.%5.%6."/>
        <w:lvlJc w:val="left"/>
        <w:pPr>
          <w:ind w:left="5106" w:hanging="851"/>
        </w:pPr>
        <w:rPr>
          <w:rFonts w:hint="default"/>
        </w:rPr>
      </w:lvl>
    </w:lvlOverride>
    <w:lvlOverride w:ilvl="6">
      <w:lvl w:ilvl="6">
        <w:start w:val="1"/>
        <w:numFmt w:val="decimal"/>
        <w:lvlText w:val="%1.%2.%3.%4.%5.%6.%7."/>
        <w:lvlJc w:val="left"/>
        <w:pPr>
          <w:ind w:left="5957" w:hanging="851"/>
        </w:pPr>
        <w:rPr>
          <w:rFonts w:hint="default"/>
        </w:rPr>
      </w:lvl>
    </w:lvlOverride>
    <w:lvlOverride w:ilvl="7">
      <w:lvl w:ilvl="7">
        <w:start w:val="1"/>
        <w:numFmt w:val="decimal"/>
        <w:lvlText w:val="%1.%2.%3.%4.%5.%6.%7.%8."/>
        <w:lvlJc w:val="left"/>
        <w:pPr>
          <w:ind w:left="6808" w:hanging="851"/>
        </w:pPr>
        <w:rPr>
          <w:rFonts w:hint="default"/>
        </w:rPr>
      </w:lvl>
    </w:lvlOverride>
    <w:lvlOverride w:ilvl="8">
      <w:lvl w:ilvl="8">
        <w:start w:val="1"/>
        <w:numFmt w:val="decimal"/>
        <w:lvlText w:val="%1.%2.%3.%4.%5.%6.%7.%8.%9."/>
        <w:lvlJc w:val="left"/>
        <w:pPr>
          <w:ind w:left="7659" w:hanging="851"/>
        </w:pPr>
        <w:rPr>
          <w:rFonts w:hint="default"/>
        </w:rPr>
      </w:lvl>
    </w:lvlOverride>
  </w:num>
  <w:num w:numId="3">
    <w:abstractNumId w:val="2"/>
  </w:num>
  <w:num w:numId="4">
    <w:abstractNumId w:val="4"/>
  </w:num>
  <w:num w:numId="5">
    <w:abstractNumId w:val="3"/>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CD"/>
    <w:rsid w:val="00003211"/>
    <w:rsid w:val="000227BC"/>
    <w:rsid w:val="00043A9A"/>
    <w:rsid w:val="000479AE"/>
    <w:rsid w:val="00055EA6"/>
    <w:rsid w:val="000631F2"/>
    <w:rsid w:val="000644B7"/>
    <w:rsid w:val="000C021B"/>
    <w:rsid w:val="000C4515"/>
    <w:rsid w:val="000D4E62"/>
    <w:rsid w:val="000E503A"/>
    <w:rsid w:val="000F21D9"/>
    <w:rsid w:val="00127513"/>
    <w:rsid w:val="001279F5"/>
    <w:rsid w:val="001658A4"/>
    <w:rsid w:val="001811F4"/>
    <w:rsid w:val="00187441"/>
    <w:rsid w:val="001936F3"/>
    <w:rsid w:val="00194D29"/>
    <w:rsid w:val="001A053C"/>
    <w:rsid w:val="001A16C7"/>
    <w:rsid w:val="00217EF1"/>
    <w:rsid w:val="0023412D"/>
    <w:rsid w:val="00241CFE"/>
    <w:rsid w:val="002519C5"/>
    <w:rsid w:val="00292646"/>
    <w:rsid w:val="002C51A6"/>
    <w:rsid w:val="002C715D"/>
    <w:rsid w:val="002E042E"/>
    <w:rsid w:val="00331262"/>
    <w:rsid w:val="00485510"/>
    <w:rsid w:val="004B35EB"/>
    <w:rsid w:val="004D3C5F"/>
    <w:rsid w:val="004E2AC4"/>
    <w:rsid w:val="004F1181"/>
    <w:rsid w:val="004F472C"/>
    <w:rsid w:val="004F652F"/>
    <w:rsid w:val="0050419C"/>
    <w:rsid w:val="00506FCD"/>
    <w:rsid w:val="005B7B8D"/>
    <w:rsid w:val="00600032"/>
    <w:rsid w:val="0062382C"/>
    <w:rsid w:val="006311B5"/>
    <w:rsid w:val="00644005"/>
    <w:rsid w:val="00644C36"/>
    <w:rsid w:val="00661D46"/>
    <w:rsid w:val="00683BD7"/>
    <w:rsid w:val="006A31DA"/>
    <w:rsid w:val="006A3AAD"/>
    <w:rsid w:val="006B3562"/>
    <w:rsid w:val="006C45F9"/>
    <w:rsid w:val="006E4A3E"/>
    <w:rsid w:val="00712B82"/>
    <w:rsid w:val="00730BB0"/>
    <w:rsid w:val="00785A83"/>
    <w:rsid w:val="00797373"/>
    <w:rsid w:val="007E502F"/>
    <w:rsid w:val="007F4827"/>
    <w:rsid w:val="008009A6"/>
    <w:rsid w:val="00810D3F"/>
    <w:rsid w:val="008167F4"/>
    <w:rsid w:val="00856FF2"/>
    <w:rsid w:val="00873A3E"/>
    <w:rsid w:val="00882F96"/>
    <w:rsid w:val="008912C3"/>
    <w:rsid w:val="008C19F0"/>
    <w:rsid w:val="008C4082"/>
    <w:rsid w:val="009015D6"/>
    <w:rsid w:val="00941F97"/>
    <w:rsid w:val="00943520"/>
    <w:rsid w:val="00945997"/>
    <w:rsid w:val="00954E58"/>
    <w:rsid w:val="00960755"/>
    <w:rsid w:val="0098033E"/>
    <w:rsid w:val="0098747C"/>
    <w:rsid w:val="009C2243"/>
    <w:rsid w:val="009D07BA"/>
    <w:rsid w:val="009E345A"/>
    <w:rsid w:val="00A228D1"/>
    <w:rsid w:val="00A31F51"/>
    <w:rsid w:val="00A50A0C"/>
    <w:rsid w:val="00A56128"/>
    <w:rsid w:val="00A7313D"/>
    <w:rsid w:val="00A828F2"/>
    <w:rsid w:val="00A87332"/>
    <w:rsid w:val="00AB18AB"/>
    <w:rsid w:val="00AB1C9B"/>
    <w:rsid w:val="00AB27FC"/>
    <w:rsid w:val="00AC4DE7"/>
    <w:rsid w:val="00AC5269"/>
    <w:rsid w:val="00AF0A3F"/>
    <w:rsid w:val="00B12F15"/>
    <w:rsid w:val="00B37339"/>
    <w:rsid w:val="00B538FB"/>
    <w:rsid w:val="00B54F31"/>
    <w:rsid w:val="00BF0641"/>
    <w:rsid w:val="00BF6994"/>
    <w:rsid w:val="00C30D89"/>
    <w:rsid w:val="00C32C03"/>
    <w:rsid w:val="00C5168E"/>
    <w:rsid w:val="00C6033B"/>
    <w:rsid w:val="00C9212F"/>
    <w:rsid w:val="00C9380E"/>
    <w:rsid w:val="00C94735"/>
    <w:rsid w:val="00C9718C"/>
    <w:rsid w:val="00CD1187"/>
    <w:rsid w:val="00CD6CF0"/>
    <w:rsid w:val="00D266E9"/>
    <w:rsid w:val="00D431EB"/>
    <w:rsid w:val="00D717FB"/>
    <w:rsid w:val="00D71B57"/>
    <w:rsid w:val="00D77C10"/>
    <w:rsid w:val="00DC275C"/>
    <w:rsid w:val="00DD24BE"/>
    <w:rsid w:val="00DF6E59"/>
    <w:rsid w:val="00E11118"/>
    <w:rsid w:val="00E1564D"/>
    <w:rsid w:val="00E16BA7"/>
    <w:rsid w:val="00E250A1"/>
    <w:rsid w:val="00E52F8A"/>
    <w:rsid w:val="00E7273F"/>
    <w:rsid w:val="00E90B58"/>
    <w:rsid w:val="00EE286A"/>
    <w:rsid w:val="00EE5E51"/>
    <w:rsid w:val="00F109E0"/>
    <w:rsid w:val="00F27AB7"/>
    <w:rsid w:val="00FA1755"/>
    <w:rsid w:val="00FE14F2"/>
    <w:rsid w:val="00FE4A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28759-B6E4-4F39-B379-15F590FE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CD"/>
    <w:rPr>
      <w:rFonts w:ascii="Arial" w:hAnsi="Arial" w:cs="Arial"/>
      <w:sz w:val="28"/>
      <w:szCs w:val="28"/>
      <w:lang w:val="en-GB"/>
    </w:rPr>
  </w:style>
  <w:style w:type="paragraph" w:styleId="Heading2">
    <w:name w:val="heading 2"/>
    <w:basedOn w:val="Normal"/>
    <w:next w:val="Normal"/>
    <w:link w:val="Heading2Char"/>
    <w:uiPriority w:val="9"/>
    <w:semiHidden/>
    <w:unhideWhenUsed/>
    <w:qFormat/>
    <w:rsid w:val="009459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06FCD"/>
    <w:pPr>
      <w:keepNext/>
      <w:pBdr>
        <w:top w:val="single" w:sz="4" w:space="1" w:color="auto"/>
        <w:bottom w:val="single" w:sz="4" w:space="1" w:color="auto"/>
      </w:pBdr>
      <w:spacing w:after="0" w:line="240" w:lineRule="auto"/>
      <w:jc w:val="center"/>
      <w:outlineLvl w:val="2"/>
    </w:pPr>
    <w:rPr>
      <w:rFonts w:eastAsia="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6FCD"/>
    <w:rPr>
      <w:rFonts w:ascii="Arial" w:eastAsia="Times New Roman" w:hAnsi="Arial" w:cs="Arial"/>
      <w:b/>
      <w:bCs/>
      <w:sz w:val="24"/>
      <w:szCs w:val="24"/>
      <w:u w:val="single"/>
    </w:rPr>
  </w:style>
  <w:style w:type="paragraph" w:styleId="ListParagraph">
    <w:name w:val="List Paragraph"/>
    <w:basedOn w:val="Normal"/>
    <w:uiPriority w:val="34"/>
    <w:qFormat/>
    <w:rsid w:val="00506FCD"/>
    <w:pPr>
      <w:ind w:left="720"/>
      <w:contextualSpacing/>
    </w:pPr>
  </w:style>
  <w:style w:type="paragraph" w:styleId="Header">
    <w:name w:val="header"/>
    <w:basedOn w:val="Normal"/>
    <w:link w:val="HeaderChar"/>
    <w:uiPriority w:val="99"/>
    <w:unhideWhenUsed/>
    <w:rsid w:val="00506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CD"/>
    <w:rPr>
      <w:rFonts w:ascii="Arial" w:hAnsi="Arial" w:cs="Arial"/>
      <w:sz w:val="28"/>
      <w:szCs w:val="28"/>
      <w:lang w:val="en-GB"/>
    </w:rPr>
  </w:style>
  <w:style w:type="paragraph" w:styleId="FootnoteText">
    <w:name w:val="footnote text"/>
    <w:basedOn w:val="Normal"/>
    <w:link w:val="FootnoteTextChar"/>
    <w:uiPriority w:val="99"/>
    <w:semiHidden/>
    <w:unhideWhenUsed/>
    <w:rsid w:val="00506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FCD"/>
    <w:rPr>
      <w:rFonts w:ascii="Arial" w:hAnsi="Arial" w:cs="Arial"/>
      <w:sz w:val="20"/>
      <w:szCs w:val="20"/>
      <w:lang w:val="en-GB"/>
    </w:rPr>
  </w:style>
  <w:style w:type="character" w:styleId="FootnoteReference">
    <w:name w:val="footnote reference"/>
    <w:basedOn w:val="DefaultParagraphFont"/>
    <w:uiPriority w:val="99"/>
    <w:semiHidden/>
    <w:unhideWhenUsed/>
    <w:rsid w:val="00506FCD"/>
    <w:rPr>
      <w:vertAlign w:val="superscript"/>
    </w:rPr>
  </w:style>
  <w:style w:type="numbering" w:customStyle="1" w:styleId="Style3">
    <w:name w:val="Style3"/>
    <w:rsid w:val="00506FCD"/>
    <w:pPr>
      <w:numPr>
        <w:numId w:val="1"/>
      </w:numPr>
    </w:pPr>
  </w:style>
  <w:style w:type="paragraph" w:styleId="NormalWeb">
    <w:name w:val="Normal (Web)"/>
    <w:basedOn w:val="Normal"/>
    <w:uiPriority w:val="99"/>
    <w:semiHidden/>
    <w:unhideWhenUsed/>
    <w:rsid w:val="00506FC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506FCD"/>
    <w:rPr>
      <w:color w:val="0000FF"/>
      <w:u w:val="single"/>
    </w:rPr>
  </w:style>
  <w:style w:type="paragraph" w:styleId="BalloonText">
    <w:name w:val="Balloon Text"/>
    <w:basedOn w:val="Normal"/>
    <w:link w:val="BalloonTextChar"/>
    <w:uiPriority w:val="99"/>
    <w:semiHidden/>
    <w:unhideWhenUsed/>
    <w:rsid w:val="00506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CD"/>
    <w:rPr>
      <w:rFonts w:ascii="Tahoma" w:hAnsi="Tahoma" w:cs="Tahoma"/>
      <w:sz w:val="16"/>
      <w:szCs w:val="16"/>
      <w:lang w:val="en-GB"/>
    </w:rPr>
  </w:style>
  <w:style w:type="paragraph" w:styleId="Footer">
    <w:name w:val="footer"/>
    <w:basedOn w:val="Normal"/>
    <w:link w:val="FooterChar"/>
    <w:uiPriority w:val="99"/>
    <w:unhideWhenUsed/>
    <w:rsid w:val="00B54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F31"/>
    <w:rPr>
      <w:rFonts w:ascii="Arial" w:hAnsi="Arial" w:cs="Arial"/>
      <w:sz w:val="28"/>
      <w:szCs w:val="28"/>
      <w:lang w:val="en-GB"/>
    </w:rPr>
  </w:style>
  <w:style w:type="character" w:customStyle="1" w:styleId="Heading2Char">
    <w:name w:val="Heading 2 Char"/>
    <w:basedOn w:val="DefaultParagraphFont"/>
    <w:link w:val="Heading2"/>
    <w:uiPriority w:val="9"/>
    <w:semiHidden/>
    <w:rsid w:val="00945997"/>
    <w:rPr>
      <w:rFonts w:asciiTheme="majorHAnsi" w:eastAsiaTheme="majorEastAsia" w:hAnsiTheme="majorHAnsi" w:cstheme="majorBidi"/>
      <w:b/>
      <w:bCs/>
      <w:color w:val="4F81BD" w:themeColor="accent1"/>
      <w:sz w:val="26"/>
      <w:szCs w:val="26"/>
      <w:lang w:val="en-GB"/>
    </w:rPr>
  </w:style>
  <w:style w:type="character" w:styleId="Emphasis">
    <w:name w:val="Emphasis"/>
    <w:basedOn w:val="DefaultParagraphFont"/>
    <w:uiPriority w:val="20"/>
    <w:qFormat/>
    <w:rsid w:val="00055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BD89-769B-4199-8890-2A39CAEE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Mokone</cp:lastModifiedBy>
  <cp:revision>3</cp:revision>
  <cp:lastPrinted>2022-08-01T08:17:00Z</cp:lastPrinted>
  <dcterms:created xsi:type="dcterms:W3CDTF">2022-08-10T10:28:00Z</dcterms:created>
  <dcterms:modified xsi:type="dcterms:W3CDTF">2022-08-10T10:28:00Z</dcterms:modified>
</cp:coreProperties>
</file>