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5B" w:rsidRPr="003E4474" w:rsidRDefault="00AD0E5B" w:rsidP="00AD0E5B">
      <w:pPr>
        <w:spacing w:after="0" w:line="360" w:lineRule="auto"/>
        <w:ind w:leftChars="-38" w:left="-84"/>
        <w:jc w:val="center"/>
        <w:rPr>
          <w:rFonts w:ascii="Arial" w:eastAsia="Times New Roman" w:hAnsi="Arial" w:cs="Arial"/>
          <w:b/>
          <w:kern w:val="28"/>
          <w:sz w:val="24"/>
          <w:szCs w:val="24"/>
          <w:lang w:eastAsia="en-GB"/>
        </w:rPr>
      </w:pPr>
    </w:p>
    <w:p w:rsidR="00AD0E5B" w:rsidRPr="003E4474" w:rsidRDefault="00E61906" w:rsidP="00AD0E5B">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anchor distT="0" distB="0" distL="114300" distR="114300" simplePos="0" relativeHeight="251658240" behindDoc="0" locked="0" layoutInCell="1" allowOverlap="1" wp14:anchorId="0DB5B68B" wp14:editId="0F28B9FB">
            <wp:simplePos x="0" y="0"/>
            <wp:positionH relativeFrom="column">
              <wp:posOffset>2164787</wp:posOffset>
            </wp:positionH>
            <wp:positionV relativeFrom="paragraph">
              <wp:posOffset>262890</wp:posOffset>
            </wp:positionV>
            <wp:extent cx="140017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00AD0E5B" w:rsidRPr="003E4474">
        <w:rPr>
          <w:rFonts w:ascii="Arial" w:eastAsia="Times New Roman" w:hAnsi="Arial" w:cs="Arial"/>
          <w:b/>
          <w:kern w:val="28"/>
          <w:sz w:val="24"/>
          <w:szCs w:val="24"/>
          <w:lang w:eastAsia="en-GB"/>
        </w:rPr>
        <w:t>REPUBLIC OF SOUTH AFRICA</w:t>
      </w:r>
    </w:p>
    <w:p w:rsidR="00B05912" w:rsidRDefault="00B05912" w:rsidP="00B05912">
      <w:pPr>
        <w:spacing w:after="0" w:line="360" w:lineRule="auto"/>
        <w:ind w:leftChars="-38" w:left="-84"/>
        <w:rPr>
          <w:rFonts w:ascii="Arial" w:eastAsia="Times New Roman" w:hAnsi="Arial" w:cs="Arial"/>
          <w:b/>
          <w:kern w:val="28"/>
          <w:sz w:val="24"/>
          <w:szCs w:val="24"/>
          <w:lang w:eastAsia="en-GB"/>
        </w:rPr>
      </w:pPr>
    </w:p>
    <w:p w:rsidR="00AD0E5B" w:rsidRPr="003E4474" w:rsidRDefault="00B05912" w:rsidP="00B05912">
      <w:pPr>
        <w:spacing w:after="0" w:line="360" w:lineRule="auto"/>
        <w:ind w:leftChars="-38" w:left="-84"/>
        <w:rPr>
          <w:rFonts w:ascii="Arial" w:eastAsia="Times New Roman" w:hAnsi="Arial" w:cs="Arial"/>
          <w:b/>
          <w:kern w:val="28"/>
          <w:sz w:val="24"/>
          <w:szCs w:val="24"/>
          <w:lang w:eastAsia="en-GB"/>
        </w:rPr>
      </w:pPr>
      <w:r>
        <w:rPr>
          <w:rFonts w:ascii="Arial" w:eastAsia="Times New Roman" w:hAnsi="Arial" w:cs="Arial"/>
          <w:b/>
          <w:kern w:val="28"/>
          <w:sz w:val="24"/>
          <w:szCs w:val="24"/>
          <w:lang w:eastAsia="en-GB"/>
        </w:rPr>
        <w:br w:type="textWrapping" w:clear="all"/>
      </w:r>
    </w:p>
    <w:p w:rsidR="00AD0E5B" w:rsidRPr="003E4474" w:rsidRDefault="00AD0E5B" w:rsidP="00AD0E5B">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AD0E5B" w:rsidRPr="003E4474" w:rsidRDefault="00AD0E5B" w:rsidP="00AD0E5B">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AD0E5B" w:rsidRPr="003E4474" w:rsidRDefault="00AD0E5B" w:rsidP="00AD0E5B">
      <w:pPr>
        <w:widowControl w:val="0"/>
        <w:spacing w:after="0" w:line="240" w:lineRule="auto"/>
        <w:jc w:val="center"/>
        <w:rPr>
          <w:rFonts w:ascii="Arial" w:eastAsia="Times New Roman" w:hAnsi="Arial" w:cs="Arial"/>
          <w:kern w:val="28"/>
          <w:sz w:val="24"/>
          <w:szCs w:val="24"/>
          <w:lang w:eastAsia="en-GB"/>
        </w:rPr>
      </w:pPr>
    </w:p>
    <w:p w:rsidR="00AD0E5B" w:rsidRPr="003E4474" w:rsidRDefault="00AD0E5B" w:rsidP="00AD0E5B">
      <w:pPr>
        <w:widowControl w:val="0"/>
        <w:spacing w:after="0" w:line="240" w:lineRule="auto"/>
        <w:jc w:val="center"/>
        <w:rPr>
          <w:rFonts w:ascii="Arial" w:eastAsia="Times New Roman" w:hAnsi="Arial" w:cs="Arial"/>
          <w:kern w:val="28"/>
          <w:sz w:val="24"/>
          <w:szCs w:val="24"/>
          <w:lang w:eastAsia="en-GB"/>
        </w:rPr>
      </w:pPr>
    </w:p>
    <w:p w:rsidR="00AD0E5B" w:rsidRDefault="00AD0E5B" w:rsidP="00AD0E5B">
      <w:pPr>
        <w:tabs>
          <w:tab w:val="left" w:pos="-720"/>
        </w:tabs>
        <w:suppressAutoHyphens/>
        <w:spacing w:after="0" w:line="240" w:lineRule="auto"/>
        <w:jc w:val="right"/>
        <w:rPr>
          <w:rFonts w:ascii="Arial" w:eastAsia="Times New Roman" w:hAnsi="Arial" w:cs="Times New Roman"/>
          <w:b/>
          <w:kern w:val="28"/>
          <w:sz w:val="24"/>
          <w:szCs w:val="24"/>
          <w:lang w:val="en-GB" w:eastAsia="en-GB"/>
        </w:rPr>
      </w:pPr>
      <w:r w:rsidRPr="003E4474">
        <w:rPr>
          <w:rFonts w:ascii="Arial" w:eastAsia="Times New Roman" w:hAnsi="Arial" w:cs="Arial"/>
          <w:b/>
          <w:bCs/>
          <w:spacing w:val="-3"/>
          <w:kern w:val="28"/>
          <w:sz w:val="24"/>
          <w:szCs w:val="24"/>
          <w:lang w:eastAsia="en-GB"/>
        </w:rPr>
        <w:t>CASE NUMBER:</w:t>
      </w:r>
      <w:r w:rsidRPr="003E4474">
        <w:rPr>
          <w:rFonts w:ascii="Arial" w:eastAsia="Times New Roman" w:hAnsi="Arial" w:cs="Times New Roman"/>
          <w:kern w:val="28"/>
          <w:sz w:val="24"/>
          <w:szCs w:val="24"/>
          <w:lang w:eastAsia="en-GB"/>
        </w:rPr>
        <w:t xml:space="preserve"> </w:t>
      </w:r>
      <w:r w:rsidRPr="005C02D9">
        <w:rPr>
          <w:rFonts w:ascii="Arial" w:eastAsia="Times New Roman" w:hAnsi="Arial" w:cs="Times New Roman"/>
          <w:b/>
          <w:kern w:val="28"/>
          <w:sz w:val="24"/>
          <w:szCs w:val="24"/>
          <w:lang w:val="en-GB" w:eastAsia="en-GB"/>
        </w:rPr>
        <w:t xml:space="preserve"> </w:t>
      </w:r>
      <w:r w:rsidRPr="00C92F38">
        <w:rPr>
          <w:rFonts w:ascii="Arial" w:eastAsia="Times New Roman" w:hAnsi="Arial" w:cs="Times New Roman"/>
          <w:b/>
          <w:kern w:val="28"/>
          <w:sz w:val="24"/>
          <w:szCs w:val="24"/>
          <w:lang w:val="en-GB" w:eastAsia="en-GB"/>
        </w:rPr>
        <w:t>21/34078</w:t>
      </w:r>
    </w:p>
    <w:p w:rsidR="00AD0E5B" w:rsidRPr="003E4474" w:rsidRDefault="00AD0E5B" w:rsidP="00AD0E5B">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AD0E5B" w:rsidRPr="003E4474" w:rsidTr="00EA0D09">
        <w:trPr>
          <w:trHeight w:val="2528"/>
        </w:trPr>
        <w:tc>
          <w:tcPr>
            <w:tcW w:w="5812" w:type="dxa"/>
            <w:tcBorders>
              <w:top w:val="single" w:sz="4" w:space="0" w:color="auto"/>
              <w:left w:val="single" w:sz="4" w:space="0" w:color="auto"/>
              <w:bottom w:val="single" w:sz="4" w:space="0" w:color="auto"/>
              <w:right w:val="single" w:sz="4" w:space="0" w:color="auto"/>
            </w:tcBorders>
          </w:tcPr>
          <w:p w:rsidR="00AD0E5B" w:rsidRPr="003E4474" w:rsidRDefault="00AD0E5B" w:rsidP="00EA0D09">
            <w:pPr>
              <w:spacing w:after="0" w:line="240" w:lineRule="auto"/>
              <w:jc w:val="both"/>
              <w:rPr>
                <w:rFonts w:ascii="Arial" w:eastAsia="Times New Roman" w:hAnsi="Arial" w:cs="Arial"/>
                <w:kern w:val="28"/>
                <w:sz w:val="16"/>
                <w:szCs w:val="16"/>
                <w:lang w:eastAsia="en-GB"/>
              </w:rPr>
            </w:pPr>
          </w:p>
          <w:p w:rsidR="00AD0E5B" w:rsidRPr="003E4474" w:rsidRDefault="00AD0E5B" w:rsidP="00EA0D09">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AD0E5B" w:rsidRPr="003E4474" w:rsidRDefault="00AD0E5B" w:rsidP="00EA0D09">
            <w:pPr>
              <w:spacing w:after="0" w:line="240" w:lineRule="auto"/>
              <w:ind w:left="180"/>
              <w:jc w:val="center"/>
              <w:rPr>
                <w:rFonts w:ascii="Arial" w:eastAsia="Times New Roman" w:hAnsi="Arial" w:cs="Arial"/>
                <w:b/>
                <w:bCs/>
                <w:color w:val="FF0000"/>
                <w:kern w:val="28"/>
                <w:sz w:val="18"/>
                <w:szCs w:val="18"/>
                <w:u w:val="single"/>
                <w:lang w:eastAsia="en-GB"/>
              </w:rPr>
            </w:pPr>
          </w:p>
          <w:p w:rsidR="00AD0E5B" w:rsidRPr="003E4474" w:rsidRDefault="00AD0E5B" w:rsidP="00EA0D09">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AD0E5B" w:rsidRPr="003E4474" w:rsidRDefault="00AD0E5B" w:rsidP="00EA0D09">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AD0E5B" w:rsidRPr="003E4474" w:rsidRDefault="00AD0E5B" w:rsidP="00EA0D09">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AD0E5B" w:rsidRPr="003E4474" w:rsidRDefault="00AD0E5B" w:rsidP="00EA0D09">
            <w:pPr>
              <w:spacing w:after="0" w:line="360" w:lineRule="auto"/>
              <w:ind w:left="180"/>
              <w:jc w:val="both"/>
              <w:rPr>
                <w:rFonts w:ascii="Arial" w:eastAsia="Times New Roman" w:hAnsi="Arial" w:cs="Arial"/>
                <w:bCs/>
                <w:color w:val="FF0000"/>
                <w:kern w:val="28"/>
                <w:sz w:val="18"/>
                <w:szCs w:val="18"/>
                <w:lang w:eastAsia="en-GB"/>
              </w:rPr>
            </w:pPr>
          </w:p>
          <w:p w:rsidR="00AD0E5B" w:rsidRPr="003E4474" w:rsidRDefault="00AD0E5B" w:rsidP="00EA0D09">
            <w:pPr>
              <w:spacing w:after="0" w:line="360" w:lineRule="auto"/>
              <w:ind w:left="180"/>
              <w:jc w:val="both"/>
              <w:rPr>
                <w:rFonts w:ascii="Arial" w:eastAsia="Times New Roman" w:hAnsi="Arial" w:cs="Arial"/>
                <w:kern w:val="28"/>
                <w:sz w:val="16"/>
                <w:szCs w:val="16"/>
                <w:lang w:eastAsia="en-GB"/>
              </w:rPr>
            </w:pPr>
            <w:r w:rsidRPr="003E4474">
              <w:rPr>
                <w:rFonts w:ascii="Arial" w:eastAsia="Times New Roman" w:hAnsi="Arial" w:cs="Arial"/>
                <w:b/>
                <w:bCs/>
                <w:color w:val="FF0000"/>
                <w:kern w:val="28"/>
                <w:sz w:val="18"/>
                <w:szCs w:val="18"/>
                <w:lang w:eastAsia="en-GB"/>
              </w:rPr>
              <w:t xml:space="preserve"> </w:t>
            </w:r>
            <w:r w:rsidR="003F298F">
              <w:rPr>
                <w:rFonts w:ascii="Arial" w:eastAsia="Times New Roman" w:hAnsi="Arial" w:cs="Arial"/>
                <w:b/>
                <w:bCs/>
                <w:color w:val="FF0000"/>
                <w:kern w:val="28"/>
                <w:sz w:val="18"/>
                <w:szCs w:val="18"/>
                <w:lang w:eastAsia="en-GB"/>
              </w:rPr>
              <w:t>05/08/2022</w:t>
            </w:r>
            <w:r w:rsidRPr="003E4474">
              <w:rPr>
                <w:rFonts w:ascii="Arial" w:eastAsia="Times New Roman" w:hAnsi="Arial" w:cs="Arial"/>
                <w:b/>
                <w:bCs/>
                <w:color w:val="FF0000"/>
                <w:kern w:val="28"/>
                <w:sz w:val="18"/>
                <w:szCs w:val="18"/>
                <w:lang w:eastAsia="en-GB"/>
              </w:rPr>
              <w:t xml:space="preserve">                                                                  Judge Dippenaar</w:t>
            </w:r>
          </w:p>
        </w:tc>
      </w:tr>
    </w:tbl>
    <w:p w:rsidR="00AD0E5B" w:rsidRPr="003E4474" w:rsidRDefault="00AD0E5B" w:rsidP="00AD0E5B">
      <w:pPr>
        <w:tabs>
          <w:tab w:val="left" w:pos="-720"/>
        </w:tabs>
        <w:suppressAutoHyphens/>
        <w:spacing w:after="0" w:line="240" w:lineRule="auto"/>
        <w:rPr>
          <w:rFonts w:ascii="Arial" w:eastAsia="Times New Roman" w:hAnsi="Arial" w:cs="Arial"/>
          <w:bCs/>
          <w:spacing w:val="-3"/>
          <w:kern w:val="28"/>
          <w:sz w:val="24"/>
          <w:szCs w:val="24"/>
          <w:lang w:eastAsia="en-GB"/>
        </w:rPr>
      </w:pPr>
    </w:p>
    <w:p w:rsidR="00AD0E5B" w:rsidRPr="003E4474" w:rsidRDefault="00AD0E5B" w:rsidP="00AD0E5B">
      <w:pPr>
        <w:tabs>
          <w:tab w:val="left" w:pos="-720"/>
        </w:tabs>
        <w:suppressAutoHyphens/>
        <w:spacing w:after="0" w:line="240" w:lineRule="auto"/>
        <w:rPr>
          <w:rFonts w:ascii="Arial" w:eastAsia="Times New Roman" w:hAnsi="Arial" w:cs="Arial"/>
          <w:bCs/>
          <w:spacing w:val="-3"/>
          <w:kern w:val="28"/>
          <w:sz w:val="24"/>
          <w:szCs w:val="24"/>
          <w:lang w:eastAsia="en-GB"/>
        </w:rPr>
      </w:pPr>
    </w:p>
    <w:p w:rsidR="00AD0E5B" w:rsidRPr="003E4474" w:rsidRDefault="00AD0E5B" w:rsidP="00AD0E5B">
      <w:pPr>
        <w:tabs>
          <w:tab w:val="left" w:pos="-720"/>
        </w:tabs>
        <w:suppressAutoHyphens/>
        <w:spacing w:after="0" w:line="240" w:lineRule="auto"/>
        <w:rPr>
          <w:rFonts w:ascii="Arial" w:eastAsia="Times New Roman" w:hAnsi="Arial" w:cs="Arial"/>
          <w:bCs/>
          <w:spacing w:val="-3"/>
          <w:kern w:val="28"/>
          <w:sz w:val="24"/>
          <w:szCs w:val="24"/>
          <w:lang w:eastAsia="en-GB"/>
        </w:rPr>
      </w:pPr>
    </w:p>
    <w:p w:rsidR="00AD0E5B" w:rsidRPr="003E4474" w:rsidRDefault="00AD0E5B" w:rsidP="00AD0E5B">
      <w:pPr>
        <w:tabs>
          <w:tab w:val="left" w:pos="-720"/>
        </w:tabs>
        <w:suppressAutoHyphens/>
        <w:spacing w:after="0" w:line="240" w:lineRule="auto"/>
        <w:rPr>
          <w:rFonts w:ascii="Arial" w:eastAsia="Times New Roman" w:hAnsi="Arial" w:cs="Arial"/>
          <w:bCs/>
          <w:spacing w:val="-3"/>
          <w:kern w:val="28"/>
          <w:sz w:val="24"/>
          <w:szCs w:val="24"/>
          <w:lang w:eastAsia="en-GB"/>
        </w:rPr>
      </w:pPr>
      <w:r w:rsidRPr="003E4474">
        <w:rPr>
          <w:rFonts w:ascii="Arial" w:eastAsia="Times New Roman" w:hAnsi="Arial" w:cs="Arial"/>
          <w:bCs/>
          <w:spacing w:val="-3"/>
          <w:kern w:val="28"/>
          <w:sz w:val="24"/>
          <w:szCs w:val="24"/>
          <w:lang w:eastAsia="en-GB"/>
        </w:rPr>
        <w:t>In the matter between:</w:t>
      </w:r>
    </w:p>
    <w:p w:rsidR="00AD0E5B" w:rsidRDefault="00AD0E5B" w:rsidP="00AD0E5B">
      <w:pPr>
        <w:widowControl w:val="0"/>
        <w:tabs>
          <w:tab w:val="right" w:pos="9356"/>
        </w:tabs>
        <w:spacing w:after="0" w:line="240" w:lineRule="auto"/>
        <w:jc w:val="both"/>
        <w:rPr>
          <w:rFonts w:ascii="Arial" w:eastAsia="Calibri" w:hAnsi="Arial" w:cs="Arial"/>
          <w:b/>
          <w:bCs/>
          <w:sz w:val="24"/>
          <w:szCs w:val="24"/>
          <w:lang w:val="en-US"/>
        </w:rPr>
      </w:pPr>
    </w:p>
    <w:p w:rsidR="00AD0E5B" w:rsidRDefault="00AD0E5B" w:rsidP="00AD0E5B">
      <w:pPr>
        <w:widowControl w:val="0"/>
        <w:tabs>
          <w:tab w:val="right" w:pos="9356"/>
        </w:tabs>
        <w:spacing w:after="0" w:line="240" w:lineRule="auto"/>
        <w:jc w:val="both"/>
        <w:rPr>
          <w:rFonts w:ascii="Arial" w:eastAsia="Calibri" w:hAnsi="Arial" w:cs="Arial"/>
          <w:bCs/>
          <w:sz w:val="24"/>
          <w:szCs w:val="24"/>
          <w:lang w:val="en-US"/>
        </w:rPr>
      </w:pPr>
      <w:r w:rsidRPr="00C92F38">
        <w:rPr>
          <w:rFonts w:ascii="Arial" w:eastAsia="Calibri" w:hAnsi="Arial" w:cs="Arial"/>
          <w:b/>
          <w:bCs/>
          <w:sz w:val="24"/>
          <w:szCs w:val="24"/>
          <w:lang w:val="en-US"/>
        </w:rPr>
        <w:t>DAVID SHEER</w:t>
      </w:r>
      <w:r w:rsidRPr="00C92F38">
        <w:rPr>
          <w:rFonts w:ascii="Arial" w:eastAsia="Calibri" w:hAnsi="Arial" w:cs="Arial"/>
          <w:b/>
          <w:bCs/>
          <w:sz w:val="24"/>
          <w:szCs w:val="24"/>
          <w:lang w:val="en-US"/>
        </w:rPr>
        <w:tab/>
      </w:r>
      <w:r w:rsidRPr="00C92F38">
        <w:rPr>
          <w:rFonts w:ascii="Arial" w:eastAsia="Calibri" w:hAnsi="Arial" w:cs="Arial"/>
          <w:bCs/>
          <w:sz w:val="24"/>
          <w:szCs w:val="24"/>
          <w:lang w:val="en-US"/>
        </w:rPr>
        <w:t>First Applicant</w:t>
      </w:r>
    </w:p>
    <w:p w:rsidR="00AD0E5B" w:rsidRPr="00C92F38" w:rsidRDefault="00AD0E5B" w:rsidP="00AD0E5B">
      <w:pPr>
        <w:widowControl w:val="0"/>
        <w:tabs>
          <w:tab w:val="right" w:pos="9356"/>
        </w:tabs>
        <w:spacing w:after="0" w:line="240" w:lineRule="auto"/>
        <w:jc w:val="both"/>
        <w:rPr>
          <w:rFonts w:ascii="Arial" w:eastAsia="Calibri" w:hAnsi="Arial" w:cs="Arial"/>
          <w:b/>
          <w:bCs/>
          <w:sz w:val="24"/>
          <w:szCs w:val="24"/>
          <w:lang w:val="en-US"/>
        </w:rPr>
      </w:pPr>
    </w:p>
    <w:p w:rsidR="00AD0E5B" w:rsidRDefault="00AD0E5B" w:rsidP="00AD0E5B">
      <w:pPr>
        <w:widowControl w:val="0"/>
        <w:tabs>
          <w:tab w:val="right" w:pos="9356"/>
        </w:tabs>
        <w:spacing w:after="0" w:line="240" w:lineRule="auto"/>
        <w:jc w:val="both"/>
        <w:rPr>
          <w:rFonts w:ascii="Arial" w:eastAsia="Calibri" w:hAnsi="Arial" w:cs="Arial"/>
          <w:bCs/>
          <w:sz w:val="24"/>
          <w:szCs w:val="24"/>
          <w:lang w:val="en-US"/>
        </w:rPr>
      </w:pPr>
      <w:r w:rsidRPr="00C92F38">
        <w:rPr>
          <w:rFonts w:ascii="Arial" w:eastAsia="Calibri" w:hAnsi="Arial" w:cs="Arial"/>
          <w:b/>
          <w:bCs/>
          <w:sz w:val="24"/>
          <w:szCs w:val="24"/>
          <w:lang w:val="en-US"/>
        </w:rPr>
        <w:t>BRIAN LEONARD SHEER N.O.</w:t>
      </w:r>
      <w:r w:rsidRPr="00C92F38">
        <w:rPr>
          <w:rFonts w:ascii="Arial" w:eastAsia="Calibri" w:hAnsi="Arial" w:cs="Arial"/>
          <w:b/>
          <w:bCs/>
          <w:sz w:val="24"/>
          <w:szCs w:val="24"/>
          <w:lang w:val="en-US"/>
        </w:rPr>
        <w:tab/>
      </w:r>
      <w:r w:rsidRPr="00C92F38">
        <w:rPr>
          <w:rFonts w:ascii="Arial" w:eastAsia="Calibri" w:hAnsi="Arial" w:cs="Arial"/>
          <w:bCs/>
          <w:sz w:val="24"/>
          <w:szCs w:val="24"/>
          <w:lang w:val="en-US"/>
        </w:rPr>
        <w:t>Second Applicant</w:t>
      </w:r>
    </w:p>
    <w:p w:rsidR="00AD0E5B" w:rsidRPr="00C92F38" w:rsidRDefault="00AD0E5B" w:rsidP="00AD0E5B">
      <w:pPr>
        <w:widowControl w:val="0"/>
        <w:tabs>
          <w:tab w:val="right" w:pos="9356"/>
        </w:tabs>
        <w:spacing w:after="0" w:line="240" w:lineRule="auto"/>
        <w:jc w:val="both"/>
        <w:rPr>
          <w:rFonts w:ascii="Arial" w:eastAsia="Calibri" w:hAnsi="Arial" w:cs="Arial"/>
          <w:b/>
          <w:bCs/>
          <w:sz w:val="24"/>
          <w:szCs w:val="24"/>
          <w:lang w:val="en-US"/>
        </w:rPr>
      </w:pPr>
    </w:p>
    <w:p w:rsidR="00AD0E5B" w:rsidRDefault="00AD0E5B" w:rsidP="00AD0E5B">
      <w:pPr>
        <w:widowControl w:val="0"/>
        <w:tabs>
          <w:tab w:val="right" w:pos="9356"/>
        </w:tabs>
        <w:spacing w:after="0" w:line="240" w:lineRule="auto"/>
        <w:jc w:val="both"/>
        <w:rPr>
          <w:rFonts w:ascii="Arial" w:eastAsia="Calibri" w:hAnsi="Arial" w:cs="Arial"/>
          <w:bCs/>
          <w:sz w:val="24"/>
          <w:szCs w:val="24"/>
          <w:lang w:val="en-US"/>
        </w:rPr>
      </w:pPr>
      <w:r w:rsidRPr="00C92F38">
        <w:rPr>
          <w:rFonts w:ascii="Arial" w:eastAsia="Calibri" w:hAnsi="Arial" w:cs="Arial"/>
          <w:b/>
          <w:bCs/>
          <w:sz w:val="24"/>
          <w:szCs w:val="24"/>
          <w:lang w:val="en-US"/>
        </w:rPr>
        <w:t>DAVID SHEER N.O</w:t>
      </w:r>
      <w:r w:rsidRPr="00C92F38">
        <w:rPr>
          <w:rFonts w:ascii="Arial" w:eastAsia="Calibri" w:hAnsi="Arial" w:cs="Arial"/>
          <w:b/>
          <w:bCs/>
          <w:sz w:val="24"/>
          <w:szCs w:val="24"/>
          <w:lang w:val="en-US"/>
        </w:rPr>
        <w:tab/>
      </w:r>
      <w:r w:rsidRPr="00C92F38">
        <w:rPr>
          <w:rFonts w:ascii="Arial" w:eastAsia="Calibri" w:hAnsi="Arial" w:cs="Arial"/>
          <w:bCs/>
          <w:sz w:val="24"/>
          <w:szCs w:val="24"/>
          <w:lang w:val="en-US"/>
        </w:rPr>
        <w:t>Third Applicant</w:t>
      </w:r>
    </w:p>
    <w:p w:rsidR="00AD0E5B" w:rsidRPr="00C92F38" w:rsidRDefault="00AD0E5B" w:rsidP="00AD0E5B">
      <w:pPr>
        <w:widowControl w:val="0"/>
        <w:tabs>
          <w:tab w:val="right" w:pos="9356"/>
        </w:tabs>
        <w:spacing w:after="0" w:line="240" w:lineRule="auto"/>
        <w:jc w:val="both"/>
        <w:rPr>
          <w:rFonts w:ascii="Arial" w:eastAsia="Calibri" w:hAnsi="Arial" w:cs="Arial"/>
          <w:b/>
          <w:bCs/>
          <w:sz w:val="24"/>
          <w:szCs w:val="24"/>
          <w:lang w:val="en-US"/>
        </w:rPr>
      </w:pPr>
    </w:p>
    <w:p w:rsidR="00AD0E5B" w:rsidRDefault="00AD0E5B" w:rsidP="00AD0E5B">
      <w:pPr>
        <w:widowControl w:val="0"/>
        <w:tabs>
          <w:tab w:val="right" w:pos="9356"/>
        </w:tabs>
        <w:spacing w:after="0" w:line="240" w:lineRule="auto"/>
        <w:jc w:val="both"/>
        <w:rPr>
          <w:rFonts w:ascii="Arial" w:eastAsia="Calibri" w:hAnsi="Arial" w:cs="Arial"/>
          <w:b/>
          <w:bCs/>
          <w:sz w:val="24"/>
          <w:szCs w:val="24"/>
          <w:lang w:val="en-US"/>
        </w:rPr>
      </w:pPr>
      <w:r w:rsidRPr="00C92F38">
        <w:rPr>
          <w:rFonts w:ascii="Arial" w:eastAsia="Calibri" w:hAnsi="Arial" w:cs="Arial"/>
          <w:b/>
          <w:bCs/>
          <w:sz w:val="24"/>
          <w:szCs w:val="24"/>
          <w:lang w:val="en-US"/>
        </w:rPr>
        <w:t>And</w:t>
      </w:r>
    </w:p>
    <w:p w:rsidR="00AD0E5B" w:rsidRPr="00C92F38" w:rsidRDefault="00AD0E5B" w:rsidP="00AD0E5B">
      <w:pPr>
        <w:widowControl w:val="0"/>
        <w:tabs>
          <w:tab w:val="right" w:pos="9356"/>
        </w:tabs>
        <w:spacing w:after="0" w:line="240" w:lineRule="auto"/>
        <w:jc w:val="both"/>
        <w:rPr>
          <w:rFonts w:ascii="Arial" w:eastAsia="Calibri" w:hAnsi="Arial" w:cs="Arial"/>
          <w:b/>
          <w:bCs/>
          <w:sz w:val="24"/>
          <w:szCs w:val="24"/>
          <w:lang w:val="en-US"/>
        </w:rPr>
      </w:pPr>
    </w:p>
    <w:p w:rsidR="00AD0E5B" w:rsidRDefault="00AD0E5B" w:rsidP="00AD0E5B">
      <w:pPr>
        <w:widowControl w:val="0"/>
        <w:tabs>
          <w:tab w:val="right" w:pos="9356"/>
        </w:tabs>
        <w:spacing w:after="0" w:line="240" w:lineRule="auto"/>
        <w:jc w:val="both"/>
        <w:rPr>
          <w:rFonts w:ascii="Arial" w:eastAsia="Calibri" w:hAnsi="Arial" w:cs="Arial"/>
          <w:bCs/>
          <w:sz w:val="24"/>
          <w:szCs w:val="24"/>
          <w:lang w:val="en-US"/>
        </w:rPr>
      </w:pPr>
      <w:r w:rsidRPr="00C92F38">
        <w:rPr>
          <w:rFonts w:ascii="Arial" w:eastAsia="Calibri" w:hAnsi="Arial" w:cs="Arial"/>
          <w:b/>
          <w:bCs/>
          <w:sz w:val="24"/>
          <w:szCs w:val="24"/>
          <w:lang w:val="en-US"/>
        </w:rPr>
        <w:t xml:space="preserve">BUDDY WHITEMAN ENGRAVING CC </w:t>
      </w:r>
      <w:r w:rsidRPr="00C92F38">
        <w:rPr>
          <w:rFonts w:ascii="Arial" w:eastAsia="Calibri" w:hAnsi="Arial" w:cs="Arial"/>
          <w:b/>
          <w:bCs/>
          <w:sz w:val="24"/>
          <w:szCs w:val="24"/>
          <w:lang w:val="en-US"/>
        </w:rPr>
        <w:tab/>
      </w:r>
      <w:r w:rsidRPr="00C92F38">
        <w:rPr>
          <w:rFonts w:ascii="Arial" w:eastAsia="Calibri" w:hAnsi="Arial" w:cs="Arial"/>
          <w:bCs/>
          <w:sz w:val="24"/>
          <w:szCs w:val="24"/>
          <w:lang w:val="en-US"/>
        </w:rPr>
        <w:t>First Respondent</w:t>
      </w:r>
    </w:p>
    <w:p w:rsidR="00AD0E5B" w:rsidRPr="00C92F38" w:rsidRDefault="00AD0E5B" w:rsidP="00AD0E5B">
      <w:pPr>
        <w:widowControl w:val="0"/>
        <w:tabs>
          <w:tab w:val="right" w:pos="9356"/>
        </w:tabs>
        <w:spacing w:after="0" w:line="240" w:lineRule="auto"/>
        <w:jc w:val="both"/>
        <w:rPr>
          <w:rFonts w:ascii="Arial" w:eastAsia="Calibri" w:hAnsi="Arial" w:cs="Arial"/>
          <w:b/>
          <w:bCs/>
          <w:sz w:val="24"/>
          <w:szCs w:val="24"/>
          <w:lang w:val="en-US"/>
        </w:rPr>
      </w:pPr>
    </w:p>
    <w:p w:rsidR="00AD0E5B" w:rsidRPr="003B7F1D" w:rsidRDefault="00AD0E5B" w:rsidP="00AD0E5B">
      <w:pPr>
        <w:widowControl w:val="0"/>
        <w:tabs>
          <w:tab w:val="right" w:pos="9356"/>
        </w:tabs>
        <w:spacing w:after="0" w:line="240" w:lineRule="auto"/>
        <w:jc w:val="both"/>
        <w:rPr>
          <w:rFonts w:ascii="Arial" w:eastAsia="Calibri" w:hAnsi="Arial" w:cs="Arial"/>
          <w:b/>
          <w:bCs/>
          <w:sz w:val="24"/>
          <w:szCs w:val="24"/>
          <w:lang w:val="en-US"/>
        </w:rPr>
      </w:pPr>
      <w:r w:rsidRPr="00C92F38">
        <w:rPr>
          <w:rFonts w:ascii="Arial" w:eastAsia="Calibri" w:hAnsi="Arial" w:cs="Arial"/>
          <w:b/>
          <w:bCs/>
          <w:sz w:val="24"/>
          <w:szCs w:val="24"/>
          <w:lang w:val="en-US"/>
        </w:rPr>
        <w:t>JONATHAN ARNOLD GLAJCHEN</w:t>
      </w:r>
      <w:r w:rsidRPr="00C92F38">
        <w:rPr>
          <w:rFonts w:ascii="Arial" w:eastAsia="Calibri" w:hAnsi="Arial" w:cs="Arial"/>
          <w:b/>
          <w:bCs/>
          <w:sz w:val="24"/>
          <w:szCs w:val="24"/>
          <w:lang w:val="en-US"/>
        </w:rPr>
        <w:tab/>
      </w:r>
      <w:r w:rsidRPr="00C92F38">
        <w:rPr>
          <w:rFonts w:ascii="Arial" w:eastAsia="Calibri" w:hAnsi="Arial" w:cs="Arial"/>
          <w:bCs/>
          <w:sz w:val="24"/>
          <w:szCs w:val="24"/>
          <w:lang w:val="en-US"/>
        </w:rPr>
        <w:t>Second Respondent</w:t>
      </w:r>
    </w:p>
    <w:p w:rsidR="00AD0E5B" w:rsidRPr="003E4474" w:rsidRDefault="00AD0E5B" w:rsidP="00AD0E5B">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AD0E5B" w:rsidRPr="003E4474" w:rsidRDefault="00AD0E5B" w:rsidP="00AD0E5B">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lastRenderedPageBreak/>
        <w:t>JUDGMENT</w:t>
      </w:r>
    </w:p>
    <w:p w:rsidR="00AD0E5B" w:rsidRPr="003E4474" w:rsidRDefault="00AD0E5B" w:rsidP="00AD0E5B">
      <w:pPr>
        <w:tabs>
          <w:tab w:val="left" w:pos="-720"/>
        </w:tabs>
        <w:suppressAutoHyphens/>
        <w:spacing w:after="0" w:line="360" w:lineRule="auto"/>
        <w:jc w:val="both"/>
        <w:rPr>
          <w:rFonts w:ascii="Arial" w:eastAsia="Times New Roman" w:hAnsi="Arial" w:cs="Arial"/>
          <w:b/>
          <w:bCs/>
          <w:spacing w:val="-3"/>
          <w:kern w:val="28"/>
          <w:sz w:val="24"/>
          <w:szCs w:val="24"/>
          <w:lang w:eastAsia="en-GB"/>
        </w:rPr>
      </w:pPr>
      <w:bookmarkStart w:id="0" w:name="_GoBack"/>
      <w:bookmarkEnd w:id="0"/>
    </w:p>
    <w:p w:rsidR="00AD0E5B" w:rsidRPr="003E4474" w:rsidRDefault="00AD0E5B" w:rsidP="00AD0E5B">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B05912">
        <w:rPr>
          <w:rFonts w:ascii="Arial" w:eastAsia="Times New Roman" w:hAnsi="Arial" w:cs="Arial"/>
          <w:kern w:val="28"/>
          <w:sz w:val="24"/>
          <w:szCs w:val="24"/>
          <w:lang w:eastAsia="en-GB"/>
        </w:rPr>
        <w:t>0</w:t>
      </w:r>
      <w:r w:rsidR="00A7453C">
        <w:rPr>
          <w:rFonts w:ascii="Arial" w:eastAsia="Times New Roman" w:hAnsi="Arial" w:cs="Arial"/>
          <w:kern w:val="28"/>
          <w:sz w:val="24"/>
          <w:szCs w:val="24"/>
          <w:lang w:eastAsia="en-GB"/>
        </w:rPr>
        <w:t>5</w:t>
      </w:r>
      <w:r w:rsidR="00B05912" w:rsidRPr="00B05912">
        <w:rPr>
          <w:rFonts w:ascii="Arial" w:eastAsia="Times New Roman" w:hAnsi="Arial" w:cs="Arial"/>
          <w:kern w:val="28"/>
          <w:sz w:val="24"/>
          <w:szCs w:val="24"/>
          <w:vertAlign w:val="superscript"/>
          <w:lang w:eastAsia="en-GB"/>
        </w:rPr>
        <w:t>th</w:t>
      </w:r>
      <w:r w:rsidR="00B05912">
        <w:rPr>
          <w:rFonts w:ascii="Arial" w:eastAsia="Times New Roman" w:hAnsi="Arial" w:cs="Arial"/>
          <w:kern w:val="28"/>
          <w:sz w:val="24"/>
          <w:szCs w:val="24"/>
          <w:lang w:eastAsia="en-GB"/>
        </w:rPr>
        <w:t xml:space="preserve"> </w:t>
      </w:r>
      <w:r w:rsidRPr="003E4474">
        <w:rPr>
          <w:rFonts w:ascii="Arial" w:eastAsia="Times New Roman" w:hAnsi="Arial" w:cs="Arial"/>
          <w:kern w:val="28"/>
          <w:sz w:val="24"/>
          <w:szCs w:val="24"/>
          <w:lang w:eastAsia="en-GB"/>
        </w:rPr>
        <w:t xml:space="preserve">of </w:t>
      </w:r>
      <w:r w:rsidR="00F978AD">
        <w:rPr>
          <w:rFonts w:ascii="Arial" w:eastAsia="Times New Roman" w:hAnsi="Arial" w:cs="Arial"/>
          <w:kern w:val="28"/>
          <w:sz w:val="24"/>
          <w:szCs w:val="24"/>
          <w:lang w:eastAsia="en-GB"/>
        </w:rPr>
        <w:t>August</w:t>
      </w:r>
      <w:r w:rsidRPr="003E4474">
        <w:rPr>
          <w:rFonts w:ascii="Arial" w:eastAsia="Times New Roman" w:hAnsi="Arial" w:cs="Arial"/>
          <w:kern w:val="28"/>
          <w:sz w:val="24"/>
          <w:szCs w:val="24"/>
          <w:lang w:eastAsia="en-GB"/>
        </w:rPr>
        <w:t xml:space="preserve"> 2022.</w:t>
      </w:r>
    </w:p>
    <w:p w:rsidR="00AD0E5B" w:rsidRPr="003E4474" w:rsidRDefault="00AD0E5B" w:rsidP="00AD0E5B">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AD0E5B" w:rsidRPr="003E4474" w:rsidRDefault="00AD0E5B" w:rsidP="00AD0E5B">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AD0E5B" w:rsidRPr="003E4474" w:rsidRDefault="00AD0E5B" w:rsidP="00AD0E5B">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AD0E5B" w:rsidRPr="003E4474" w:rsidRDefault="00AD0E5B" w:rsidP="00AD0E5B">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4963E1" w:rsidRDefault="00DF6BB1"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sidRPr="00DF6BB1">
        <w:rPr>
          <w:rFonts w:ascii="Arial" w:eastAsia="Times New Roman" w:hAnsi="Arial" w:cs="Times New Roman"/>
          <w:kern w:val="28"/>
          <w:sz w:val="24"/>
          <w:szCs w:val="24"/>
          <w:lang w:val="en-US" w:eastAsia="en-GB"/>
        </w:rPr>
        <w:t>Th</w:t>
      </w:r>
      <w:r w:rsidR="00C744D4">
        <w:rPr>
          <w:rFonts w:ascii="Arial" w:eastAsia="Times New Roman" w:hAnsi="Arial" w:cs="Times New Roman"/>
          <w:kern w:val="28"/>
          <w:sz w:val="24"/>
          <w:szCs w:val="24"/>
          <w:lang w:val="en-US" w:eastAsia="en-GB"/>
        </w:rPr>
        <w:t>e applicant</w:t>
      </w:r>
      <w:r w:rsidRPr="00DF6BB1">
        <w:rPr>
          <w:rFonts w:ascii="Arial" w:eastAsia="Times New Roman" w:hAnsi="Arial" w:cs="Times New Roman"/>
          <w:kern w:val="28"/>
          <w:sz w:val="24"/>
          <w:szCs w:val="24"/>
          <w:lang w:val="en-US" w:eastAsia="en-GB"/>
        </w:rPr>
        <w:t xml:space="preserve">s </w:t>
      </w:r>
      <w:r w:rsidR="00C744D4">
        <w:rPr>
          <w:rFonts w:ascii="Arial" w:eastAsia="Times New Roman" w:hAnsi="Arial" w:cs="Times New Roman"/>
          <w:kern w:val="28"/>
          <w:sz w:val="24"/>
          <w:szCs w:val="24"/>
          <w:lang w:val="en-US" w:eastAsia="en-GB"/>
        </w:rPr>
        <w:t>s</w:t>
      </w:r>
      <w:r w:rsidR="00F978AD">
        <w:rPr>
          <w:rFonts w:ascii="Arial" w:eastAsia="Times New Roman" w:hAnsi="Arial" w:cs="Times New Roman"/>
          <w:kern w:val="28"/>
          <w:sz w:val="24"/>
          <w:szCs w:val="24"/>
          <w:lang w:val="en-US" w:eastAsia="en-GB"/>
        </w:rPr>
        <w:t>eek</w:t>
      </w:r>
      <w:r w:rsidR="00C744D4">
        <w:rPr>
          <w:rFonts w:ascii="Arial" w:eastAsia="Times New Roman" w:hAnsi="Arial" w:cs="Times New Roman"/>
          <w:kern w:val="28"/>
          <w:sz w:val="24"/>
          <w:szCs w:val="24"/>
          <w:lang w:val="en-US" w:eastAsia="en-GB"/>
        </w:rPr>
        <w:t xml:space="preserve"> the win</w:t>
      </w:r>
      <w:r w:rsidR="00CE65E7">
        <w:rPr>
          <w:rFonts w:ascii="Arial" w:eastAsia="Times New Roman" w:hAnsi="Arial" w:cs="Times New Roman"/>
          <w:kern w:val="28"/>
          <w:sz w:val="24"/>
          <w:szCs w:val="24"/>
          <w:lang w:val="en-US" w:eastAsia="en-GB"/>
        </w:rPr>
        <w:t>d</w:t>
      </w:r>
      <w:r w:rsidR="00C744D4">
        <w:rPr>
          <w:rFonts w:ascii="Arial" w:eastAsia="Times New Roman" w:hAnsi="Arial" w:cs="Times New Roman"/>
          <w:kern w:val="28"/>
          <w:sz w:val="24"/>
          <w:szCs w:val="24"/>
          <w:lang w:val="en-US" w:eastAsia="en-GB"/>
        </w:rPr>
        <w:t>ing up of the first respondent</w:t>
      </w:r>
      <w:r w:rsidR="00EB3E4D">
        <w:rPr>
          <w:rFonts w:ascii="Arial" w:eastAsia="Times New Roman" w:hAnsi="Arial" w:cs="Times New Roman"/>
          <w:kern w:val="28"/>
          <w:sz w:val="24"/>
          <w:szCs w:val="24"/>
          <w:lang w:val="en-US" w:eastAsia="en-GB"/>
        </w:rPr>
        <w:t xml:space="preserve"> (</w:t>
      </w:r>
      <w:r w:rsidR="00A7453C">
        <w:rPr>
          <w:rFonts w:ascii="Arial" w:eastAsia="Times New Roman" w:hAnsi="Arial" w:cs="Times New Roman"/>
          <w:kern w:val="28"/>
          <w:sz w:val="24"/>
          <w:szCs w:val="24"/>
          <w:lang w:val="en-US" w:eastAsia="en-GB"/>
        </w:rPr>
        <w:t>“Swatco”)</w:t>
      </w:r>
      <w:r w:rsidR="00C744D4">
        <w:rPr>
          <w:rFonts w:ascii="Arial" w:eastAsia="Times New Roman" w:hAnsi="Arial" w:cs="Times New Roman"/>
          <w:kern w:val="28"/>
          <w:sz w:val="24"/>
          <w:szCs w:val="24"/>
          <w:lang w:val="en-US" w:eastAsia="en-GB"/>
        </w:rPr>
        <w:t xml:space="preserve">, a close corporation in which the first </w:t>
      </w:r>
      <w:r w:rsidR="00CE65E7">
        <w:rPr>
          <w:rFonts w:ascii="Arial" w:eastAsia="Times New Roman" w:hAnsi="Arial" w:cs="Times New Roman"/>
          <w:kern w:val="28"/>
          <w:sz w:val="24"/>
          <w:szCs w:val="24"/>
          <w:lang w:val="en-US" w:eastAsia="en-GB"/>
        </w:rPr>
        <w:t xml:space="preserve">applicant and the second respondent each hold a 50% membership interest. </w:t>
      </w:r>
      <w:r w:rsidR="00C773BA">
        <w:rPr>
          <w:rFonts w:ascii="Arial" w:eastAsia="Times New Roman" w:hAnsi="Arial" w:cs="Times New Roman"/>
          <w:kern w:val="28"/>
          <w:sz w:val="24"/>
          <w:szCs w:val="24"/>
          <w:lang w:val="en-US" w:eastAsia="en-GB"/>
        </w:rPr>
        <w:t xml:space="preserve">The first respondent trades under the name “Swatco” and operates in the firearm and gunsmithing industry. </w:t>
      </w:r>
      <w:r w:rsidR="0011158D">
        <w:rPr>
          <w:rFonts w:ascii="Arial" w:eastAsia="Times New Roman" w:hAnsi="Arial" w:cs="Times New Roman"/>
          <w:kern w:val="28"/>
          <w:sz w:val="24"/>
          <w:szCs w:val="24"/>
          <w:lang w:val="en-US" w:eastAsia="en-GB"/>
        </w:rPr>
        <w:t xml:space="preserve">It further operates a shooting range. </w:t>
      </w:r>
      <w:r w:rsidR="00CE65E7">
        <w:rPr>
          <w:rFonts w:ascii="Arial" w:eastAsia="Times New Roman" w:hAnsi="Arial" w:cs="Times New Roman"/>
          <w:kern w:val="28"/>
          <w:sz w:val="24"/>
          <w:szCs w:val="24"/>
          <w:lang w:val="en-US" w:eastAsia="en-GB"/>
        </w:rPr>
        <w:t xml:space="preserve">The second and third applicants are the trustees of the </w:t>
      </w:r>
      <w:r w:rsidR="00F74774">
        <w:rPr>
          <w:rFonts w:ascii="Arial" w:eastAsia="Times New Roman" w:hAnsi="Arial" w:cs="Times New Roman"/>
          <w:kern w:val="28"/>
          <w:sz w:val="24"/>
          <w:szCs w:val="24"/>
          <w:lang w:val="en-US" w:eastAsia="en-GB"/>
        </w:rPr>
        <w:t>Dave Sheer Family T</w:t>
      </w:r>
      <w:r w:rsidR="00CE65E7">
        <w:rPr>
          <w:rFonts w:ascii="Arial" w:eastAsia="Times New Roman" w:hAnsi="Arial" w:cs="Times New Roman"/>
          <w:kern w:val="28"/>
          <w:sz w:val="24"/>
          <w:szCs w:val="24"/>
          <w:lang w:val="en-US" w:eastAsia="en-GB"/>
        </w:rPr>
        <w:t xml:space="preserve">rust </w:t>
      </w:r>
      <w:r w:rsidR="00F74774">
        <w:rPr>
          <w:rFonts w:ascii="Arial" w:eastAsia="Times New Roman" w:hAnsi="Arial" w:cs="Times New Roman"/>
          <w:kern w:val="28"/>
          <w:sz w:val="24"/>
          <w:szCs w:val="24"/>
          <w:lang w:val="en-US" w:eastAsia="en-GB"/>
        </w:rPr>
        <w:t xml:space="preserve">(“the trust”) </w:t>
      </w:r>
      <w:r w:rsidR="00CE65E7">
        <w:rPr>
          <w:rFonts w:ascii="Arial" w:eastAsia="Times New Roman" w:hAnsi="Arial" w:cs="Times New Roman"/>
          <w:kern w:val="28"/>
          <w:sz w:val="24"/>
          <w:szCs w:val="24"/>
          <w:lang w:val="en-US" w:eastAsia="en-GB"/>
        </w:rPr>
        <w:t xml:space="preserve">which </w:t>
      </w:r>
      <w:r w:rsidR="007A6E16">
        <w:rPr>
          <w:rFonts w:ascii="Arial" w:eastAsia="Times New Roman" w:hAnsi="Arial" w:cs="Times New Roman"/>
          <w:kern w:val="28"/>
          <w:sz w:val="24"/>
          <w:szCs w:val="24"/>
          <w:lang w:val="en-US" w:eastAsia="en-GB"/>
        </w:rPr>
        <w:t xml:space="preserve">acquired the first applicant’s claims </w:t>
      </w:r>
      <w:r w:rsidR="00C773BA">
        <w:rPr>
          <w:rFonts w:ascii="Arial" w:eastAsia="Times New Roman" w:hAnsi="Arial" w:cs="Times New Roman"/>
          <w:kern w:val="28"/>
          <w:sz w:val="24"/>
          <w:szCs w:val="24"/>
          <w:lang w:val="en-US" w:eastAsia="en-GB"/>
        </w:rPr>
        <w:t xml:space="preserve">based on his loan account </w:t>
      </w:r>
      <w:r w:rsidR="007A6E16">
        <w:rPr>
          <w:rFonts w:ascii="Arial" w:eastAsia="Times New Roman" w:hAnsi="Arial" w:cs="Times New Roman"/>
          <w:kern w:val="28"/>
          <w:sz w:val="24"/>
          <w:szCs w:val="24"/>
          <w:lang w:val="en-US" w:eastAsia="en-GB"/>
        </w:rPr>
        <w:t xml:space="preserve">against Swatco by way of cession. </w:t>
      </w:r>
    </w:p>
    <w:p w:rsidR="004963E1" w:rsidRDefault="004963E1" w:rsidP="004963E1">
      <w:pPr>
        <w:spacing w:after="0" w:line="360" w:lineRule="auto"/>
        <w:ind w:left="360"/>
        <w:contextualSpacing/>
        <w:jc w:val="both"/>
        <w:rPr>
          <w:rFonts w:ascii="Arial" w:eastAsia="Times New Roman" w:hAnsi="Arial" w:cs="Times New Roman"/>
          <w:kern w:val="28"/>
          <w:sz w:val="24"/>
          <w:szCs w:val="24"/>
          <w:lang w:val="en-US" w:eastAsia="en-GB"/>
        </w:rPr>
      </w:pPr>
    </w:p>
    <w:p w:rsidR="00DF6BB1" w:rsidRDefault="007A6E16" w:rsidP="008D6E74">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sidRPr="0011158D">
        <w:rPr>
          <w:rFonts w:ascii="Arial" w:eastAsia="Times New Roman" w:hAnsi="Arial" w:cs="Times New Roman"/>
          <w:kern w:val="28"/>
          <w:sz w:val="24"/>
          <w:szCs w:val="24"/>
          <w:lang w:val="en-US" w:eastAsia="en-GB"/>
        </w:rPr>
        <w:t xml:space="preserve">The trust </w:t>
      </w:r>
      <w:r w:rsidR="00CE65E7" w:rsidRPr="0011158D">
        <w:rPr>
          <w:rFonts w:ascii="Arial" w:eastAsia="Times New Roman" w:hAnsi="Arial" w:cs="Times New Roman"/>
          <w:kern w:val="28"/>
          <w:sz w:val="24"/>
          <w:szCs w:val="24"/>
          <w:lang w:val="en-US" w:eastAsia="en-GB"/>
        </w:rPr>
        <w:t>owns the property</w:t>
      </w:r>
      <w:r w:rsidRPr="0011158D">
        <w:rPr>
          <w:rFonts w:ascii="Arial" w:eastAsia="Times New Roman" w:hAnsi="Arial" w:cs="Times New Roman"/>
          <w:kern w:val="28"/>
          <w:sz w:val="24"/>
          <w:szCs w:val="24"/>
          <w:lang w:val="en-US" w:eastAsia="en-GB"/>
        </w:rPr>
        <w:t xml:space="preserve"> from which </w:t>
      </w:r>
      <w:r w:rsidR="0011158D" w:rsidRPr="0011158D">
        <w:rPr>
          <w:rFonts w:ascii="Arial" w:eastAsia="Times New Roman" w:hAnsi="Arial" w:cs="Times New Roman"/>
          <w:kern w:val="28"/>
          <w:sz w:val="24"/>
          <w:szCs w:val="24"/>
          <w:lang w:val="en-US" w:eastAsia="en-GB"/>
        </w:rPr>
        <w:t>Swatco’s</w:t>
      </w:r>
      <w:r w:rsidRPr="0011158D">
        <w:rPr>
          <w:rFonts w:ascii="Arial" w:eastAsia="Times New Roman" w:hAnsi="Arial" w:cs="Times New Roman"/>
          <w:kern w:val="28"/>
          <w:sz w:val="24"/>
          <w:szCs w:val="24"/>
          <w:lang w:val="en-US" w:eastAsia="en-GB"/>
        </w:rPr>
        <w:t xml:space="preserve"> business </w:t>
      </w:r>
      <w:r w:rsidR="0011158D" w:rsidRPr="0011158D">
        <w:rPr>
          <w:rFonts w:ascii="Arial" w:eastAsia="Times New Roman" w:hAnsi="Arial" w:cs="Times New Roman"/>
          <w:kern w:val="28"/>
          <w:sz w:val="24"/>
          <w:szCs w:val="24"/>
          <w:lang w:val="en-US" w:eastAsia="en-GB"/>
        </w:rPr>
        <w:t>ha</w:t>
      </w:r>
      <w:r w:rsidRPr="0011158D">
        <w:rPr>
          <w:rFonts w:ascii="Arial" w:eastAsia="Times New Roman" w:hAnsi="Arial" w:cs="Times New Roman"/>
          <w:kern w:val="28"/>
          <w:sz w:val="24"/>
          <w:szCs w:val="24"/>
          <w:lang w:val="en-US" w:eastAsia="en-GB"/>
        </w:rPr>
        <w:t xml:space="preserve">s </w:t>
      </w:r>
      <w:r w:rsidR="0011158D" w:rsidRPr="0011158D">
        <w:rPr>
          <w:rFonts w:ascii="Arial" w:eastAsia="Times New Roman" w:hAnsi="Arial" w:cs="Times New Roman"/>
          <w:kern w:val="28"/>
          <w:sz w:val="24"/>
          <w:szCs w:val="24"/>
          <w:lang w:val="en-US" w:eastAsia="en-GB"/>
        </w:rPr>
        <w:t>been conducted</w:t>
      </w:r>
      <w:r w:rsidR="0011158D">
        <w:rPr>
          <w:rFonts w:ascii="Arial" w:eastAsia="Times New Roman" w:hAnsi="Arial" w:cs="Times New Roman"/>
          <w:kern w:val="28"/>
          <w:sz w:val="24"/>
          <w:szCs w:val="24"/>
          <w:lang w:val="en-US" w:eastAsia="en-GB"/>
        </w:rPr>
        <w:t xml:space="preserve"> by the first applicant and the second respondent</w:t>
      </w:r>
      <w:r w:rsidR="0011158D" w:rsidRPr="0011158D">
        <w:rPr>
          <w:rFonts w:ascii="Arial" w:eastAsia="Times New Roman" w:hAnsi="Arial" w:cs="Times New Roman"/>
          <w:kern w:val="28"/>
          <w:sz w:val="24"/>
          <w:szCs w:val="24"/>
          <w:lang w:val="en-US" w:eastAsia="en-GB"/>
        </w:rPr>
        <w:t xml:space="preserve"> from 2016</w:t>
      </w:r>
      <w:r w:rsidR="00CE65E7" w:rsidRPr="0011158D">
        <w:rPr>
          <w:rFonts w:ascii="Arial" w:eastAsia="Times New Roman" w:hAnsi="Arial" w:cs="Times New Roman"/>
          <w:kern w:val="28"/>
          <w:sz w:val="24"/>
          <w:szCs w:val="24"/>
          <w:lang w:val="en-US" w:eastAsia="en-GB"/>
        </w:rPr>
        <w:t>.</w:t>
      </w:r>
      <w:r w:rsidR="004963E1" w:rsidRPr="0011158D">
        <w:rPr>
          <w:rFonts w:ascii="Arial" w:eastAsia="Times New Roman" w:hAnsi="Arial" w:cs="Times New Roman"/>
          <w:kern w:val="28"/>
          <w:sz w:val="24"/>
          <w:szCs w:val="24"/>
          <w:lang w:val="en-US" w:eastAsia="en-GB"/>
        </w:rPr>
        <w:t xml:space="preserve"> No formal lease agreement was ever concluded and whatever notional lease agreement existed was terminated by the trust. The founding papers contain no detailed information on this issue. </w:t>
      </w:r>
    </w:p>
    <w:p w:rsidR="0011158D" w:rsidRDefault="0011158D" w:rsidP="0011158D">
      <w:pPr>
        <w:pStyle w:val="ListParagraph"/>
        <w:rPr>
          <w:rFonts w:ascii="Arial" w:eastAsia="Times New Roman" w:hAnsi="Arial" w:cs="Times New Roman"/>
          <w:kern w:val="28"/>
          <w:sz w:val="24"/>
          <w:szCs w:val="24"/>
          <w:lang w:val="en-US" w:eastAsia="en-GB"/>
        </w:rPr>
      </w:pPr>
    </w:p>
    <w:p w:rsidR="00DF6BB1" w:rsidRDefault="00CE65E7"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The win</w:t>
      </w:r>
      <w:r w:rsidR="0011158D">
        <w:rPr>
          <w:rFonts w:ascii="Arial" w:eastAsia="Times New Roman" w:hAnsi="Arial" w:cs="Times New Roman"/>
          <w:kern w:val="28"/>
          <w:sz w:val="24"/>
          <w:szCs w:val="24"/>
          <w:lang w:val="en-US" w:eastAsia="en-GB"/>
        </w:rPr>
        <w:t>d</w:t>
      </w:r>
      <w:r>
        <w:rPr>
          <w:rFonts w:ascii="Arial" w:eastAsia="Times New Roman" w:hAnsi="Arial" w:cs="Times New Roman"/>
          <w:kern w:val="28"/>
          <w:sz w:val="24"/>
          <w:szCs w:val="24"/>
          <w:lang w:val="en-US" w:eastAsia="en-GB"/>
        </w:rPr>
        <w:t xml:space="preserve">ing up is sought </w:t>
      </w:r>
      <w:r w:rsidR="00A65AE3">
        <w:rPr>
          <w:rFonts w:ascii="Arial" w:eastAsia="Times New Roman" w:hAnsi="Arial" w:cs="Times New Roman"/>
          <w:kern w:val="28"/>
          <w:sz w:val="24"/>
          <w:szCs w:val="24"/>
          <w:lang w:val="en-US" w:eastAsia="en-GB"/>
        </w:rPr>
        <w:t xml:space="preserve">by the first applicant </w:t>
      </w:r>
      <w:r>
        <w:rPr>
          <w:rFonts w:ascii="Arial" w:eastAsia="Times New Roman" w:hAnsi="Arial" w:cs="Times New Roman"/>
          <w:kern w:val="28"/>
          <w:sz w:val="24"/>
          <w:szCs w:val="24"/>
          <w:lang w:val="en-US" w:eastAsia="en-GB"/>
        </w:rPr>
        <w:t xml:space="preserve">on just and equitable grounds, either on the basis that </w:t>
      </w:r>
      <w:r w:rsidR="008770BF">
        <w:rPr>
          <w:rFonts w:ascii="Arial" w:eastAsia="Times New Roman" w:hAnsi="Arial" w:cs="Times New Roman"/>
          <w:kern w:val="28"/>
          <w:sz w:val="24"/>
          <w:szCs w:val="24"/>
          <w:lang w:val="en-US" w:eastAsia="en-GB"/>
        </w:rPr>
        <w:t xml:space="preserve">Swatco </w:t>
      </w:r>
      <w:r>
        <w:rPr>
          <w:rFonts w:ascii="Arial" w:eastAsia="Times New Roman" w:hAnsi="Arial" w:cs="Times New Roman"/>
          <w:kern w:val="28"/>
          <w:sz w:val="24"/>
          <w:szCs w:val="24"/>
          <w:lang w:val="en-US" w:eastAsia="en-GB"/>
        </w:rPr>
        <w:t xml:space="preserve">is solvent and it is just and equitable to do so </w:t>
      </w:r>
      <w:r w:rsidR="002C0FAC">
        <w:rPr>
          <w:rFonts w:ascii="Arial" w:eastAsia="Times New Roman" w:hAnsi="Arial" w:cs="Times New Roman"/>
          <w:kern w:val="28"/>
          <w:sz w:val="24"/>
          <w:szCs w:val="24"/>
          <w:lang w:val="en-US" w:eastAsia="en-GB"/>
        </w:rPr>
        <w:t>under s 81(1)(d)(iii) of the Companies Act</w:t>
      </w:r>
      <w:r w:rsidR="002C0FAC">
        <w:rPr>
          <w:rStyle w:val="FootnoteReference"/>
          <w:rFonts w:ascii="Arial" w:eastAsia="Times New Roman" w:hAnsi="Arial" w:cs="Times New Roman"/>
          <w:kern w:val="28"/>
          <w:sz w:val="24"/>
          <w:szCs w:val="24"/>
          <w:lang w:val="en-US" w:eastAsia="en-GB"/>
        </w:rPr>
        <w:footnoteReference w:id="1"/>
      </w:r>
      <w:r w:rsidR="002C0FAC">
        <w:rPr>
          <w:rFonts w:ascii="Arial" w:eastAsia="Times New Roman" w:hAnsi="Arial" w:cs="Times New Roman"/>
          <w:kern w:val="28"/>
          <w:sz w:val="24"/>
          <w:szCs w:val="24"/>
          <w:lang w:val="en-US" w:eastAsia="en-GB"/>
        </w:rPr>
        <w:t xml:space="preserve"> as read with s</w:t>
      </w:r>
      <w:r w:rsidR="00427F57">
        <w:rPr>
          <w:rFonts w:ascii="Arial" w:eastAsia="Times New Roman" w:hAnsi="Arial" w:cs="Times New Roman"/>
          <w:kern w:val="28"/>
          <w:sz w:val="24"/>
          <w:szCs w:val="24"/>
          <w:lang w:val="en-US" w:eastAsia="en-GB"/>
        </w:rPr>
        <w:t xml:space="preserve"> </w:t>
      </w:r>
      <w:r w:rsidR="002C0FAC">
        <w:rPr>
          <w:rFonts w:ascii="Arial" w:eastAsia="Times New Roman" w:hAnsi="Arial" w:cs="Times New Roman"/>
          <w:kern w:val="28"/>
          <w:sz w:val="24"/>
          <w:szCs w:val="24"/>
          <w:lang w:val="en-US" w:eastAsia="en-GB"/>
        </w:rPr>
        <w:t>66 of the Close Corporations Act</w:t>
      </w:r>
      <w:r w:rsidR="002C0FAC">
        <w:rPr>
          <w:rStyle w:val="FootnoteReference"/>
          <w:rFonts w:ascii="Arial" w:eastAsia="Times New Roman" w:hAnsi="Arial" w:cs="Times New Roman"/>
          <w:kern w:val="28"/>
          <w:sz w:val="24"/>
          <w:szCs w:val="24"/>
          <w:lang w:val="en-US" w:eastAsia="en-GB"/>
        </w:rPr>
        <w:footnoteReference w:id="2"/>
      </w:r>
      <w:r w:rsidR="002C0FAC">
        <w:rPr>
          <w:rFonts w:ascii="Arial" w:eastAsia="Times New Roman" w:hAnsi="Arial" w:cs="Times New Roman"/>
          <w:kern w:val="28"/>
          <w:sz w:val="24"/>
          <w:szCs w:val="24"/>
          <w:lang w:val="en-US" w:eastAsia="en-GB"/>
        </w:rPr>
        <w:t xml:space="preserve"> </w:t>
      </w:r>
      <w:r>
        <w:rPr>
          <w:rFonts w:ascii="Arial" w:eastAsia="Times New Roman" w:hAnsi="Arial" w:cs="Times New Roman"/>
          <w:kern w:val="28"/>
          <w:sz w:val="24"/>
          <w:szCs w:val="24"/>
          <w:lang w:val="en-US" w:eastAsia="en-GB"/>
        </w:rPr>
        <w:t xml:space="preserve">or, alternatively on the basis that </w:t>
      </w:r>
      <w:r w:rsidR="002C0FAC">
        <w:rPr>
          <w:rFonts w:ascii="Arial" w:eastAsia="Times New Roman" w:hAnsi="Arial" w:cs="Times New Roman"/>
          <w:kern w:val="28"/>
          <w:sz w:val="24"/>
          <w:szCs w:val="24"/>
          <w:lang w:val="en-US" w:eastAsia="en-GB"/>
        </w:rPr>
        <w:t xml:space="preserve">it is just and equitable to do so and </w:t>
      </w:r>
      <w:r w:rsidR="00427F57">
        <w:rPr>
          <w:rFonts w:ascii="Arial" w:eastAsia="Times New Roman" w:hAnsi="Arial" w:cs="Times New Roman"/>
          <w:kern w:val="28"/>
          <w:sz w:val="24"/>
          <w:szCs w:val="24"/>
          <w:lang w:val="en-US" w:eastAsia="en-GB"/>
        </w:rPr>
        <w:t>Swatco</w:t>
      </w:r>
      <w:r>
        <w:rPr>
          <w:rFonts w:ascii="Arial" w:eastAsia="Times New Roman" w:hAnsi="Arial" w:cs="Times New Roman"/>
          <w:kern w:val="28"/>
          <w:sz w:val="24"/>
          <w:szCs w:val="24"/>
          <w:lang w:val="en-US" w:eastAsia="en-GB"/>
        </w:rPr>
        <w:t xml:space="preserve"> is insolvent and unable to pay its debts in the ordinary course</w:t>
      </w:r>
      <w:r w:rsidR="002C0FAC">
        <w:rPr>
          <w:rFonts w:ascii="Arial" w:eastAsia="Times New Roman" w:hAnsi="Arial" w:cs="Times New Roman"/>
          <w:kern w:val="28"/>
          <w:sz w:val="24"/>
          <w:szCs w:val="24"/>
          <w:lang w:val="en-US" w:eastAsia="en-GB"/>
        </w:rPr>
        <w:t xml:space="preserve"> in terms of s</w:t>
      </w:r>
      <w:r w:rsidR="00427F57">
        <w:rPr>
          <w:rFonts w:ascii="Arial" w:eastAsia="Times New Roman" w:hAnsi="Arial" w:cs="Times New Roman"/>
          <w:kern w:val="28"/>
          <w:sz w:val="24"/>
          <w:szCs w:val="24"/>
          <w:lang w:val="en-US" w:eastAsia="en-GB"/>
        </w:rPr>
        <w:t xml:space="preserve"> </w:t>
      </w:r>
      <w:r w:rsidR="002C0FAC">
        <w:rPr>
          <w:rFonts w:ascii="Arial" w:eastAsia="Times New Roman" w:hAnsi="Arial" w:cs="Times New Roman"/>
          <w:kern w:val="28"/>
          <w:sz w:val="24"/>
          <w:szCs w:val="24"/>
          <w:lang w:val="en-US" w:eastAsia="en-GB"/>
        </w:rPr>
        <w:t xml:space="preserve">344(h) of </w:t>
      </w:r>
      <w:r w:rsidR="002C0FAC">
        <w:rPr>
          <w:rFonts w:ascii="Arial" w:eastAsia="Times New Roman" w:hAnsi="Arial" w:cs="Times New Roman"/>
          <w:kern w:val="28"/>
          <w:sz w:val="24"/>
          <w:szCs w:val="24"/>
          <w:lang w:val="en-US" w:eastAsia="en-GB"/>
        </w:rPr>
        <w:lastRenderedPageBreak/>
        <w:t>the Old Companies Act</w:t>
      </w:r>
      <w:r w:rsidR="002C0FAC">
        <w:rPr>
          <w:rStyle w:val="FootnoteReference"/>
          <w:rFonts w:ascii="Arial" w:eastAsia="Times New Roman" w:hAnsi="Arial" w:cs="Times New Roman"/>
          <w:kern w:val="28"/>
          <w:sz w:val="24"/>
          <w:szCs w:val="24"/>
          <w:lang w:val="en-US" w:eastAsia="en-GB"/>
        </w:rPr>
        <w:footnoteReference w:id="3"/>
      </w:r>
      <w:r>
        <w:rPr>
          <w:rFonts w:ascii="Arial" w:eastAsia="Times New Roman" w:hAnsi="Arial" w:cs="Times New Roman"/>
          <w:kern w:val="28"/>
          <w:sz w:val="24"/>
          <w:szCs w:val="24"/>
          <w:lang w:val="en-US" w:eastAsia="en-GB"/>
        </w:rPr>
        <w:t>.</w:t>
      </w:r>
      <w:r w:rsidR="000F3316">
        <w:rPr>
          <w:rFonts w:ascii="Arial" w:eastAsia="Times New Roman" w:hAnsi="Arial" w:cs="Times New Roman"/>
          <w:kern w:val="28"/>
          <w:sz w:val="24"/>
          <w:szCs w:val="24"/>
          <w:lang w:val="en-US" w:eastAsia="en-GB"/>
        </w:rPr>
        <w:t xml:space="preserve"> By virtue of s 67 of the Close Corporations Act, the winding up of a solvent close corporation is regulated by Companies Act.</w:t>
      </w:r>
    </w:p>
    <w:p w:rsidR="00A65AE3" w:rsidRDefault="00A65AE3" w:rsidP="00A65AE3">
      <w:pPr>
        <w:pStyle w:val="ListParagraph"/>
        <w:rPr>
          <w:rFonts w:ascii="Arial" w:eastAsia="Times New Roman" w:hAnsi="Arial" w:cs="Times New Roman"/>
          <w:kern w:val="28"/>
          <w:sz w:val="24"/>
          <w:szCs w:val="24"/>
          <w:lang w:val="en-US" w:eastAsia="en-GB"/>
        </w:rPr>
      </w:pPr>
    </w:p>
    <w:p w:rsidR="00A65AE3" w:rsidRDefault="00A65AE3"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In the alternative</w:t>
      </w:r>
      <w:r w:rsidR="001424B9">
        <w:rPr>
          <w:rFonts w:ascii="Arial" w:eastAsia="Times New Roman" w:hAnsi="Arial" w:cs="Times New Roman"/>
          <w:kern w:val="28"/>
          <w:sz w:val="24"/>
          <w:szCs w:val="24"/>
          <w:lang w:val="en-US" w:eastAsia="en-GB"/>
        </w:rPr>
        <w:t>,</w:t>
      </w:r>
      <w:r>
        <w:rPr>
          <w:rFonts w:ascii="Arial" w:eastAsia="Times New Roman" w:hAnsi="Arial" w:cs="Times New Roman"/>
          <w:kern w:val="28"/>
          <w:sz w:val="24"/>
          <w:szCs w:val="24"/>
          <w:lang w:val="en-US" w:eastAsia="en-GB"/>
        </w:rPr>
        <w:t xml:space="preserve"> the first applicant s</w:t>
      </w:r>
      <w:r w:rsidR="00F978AD">
        <w:rPr>
          <w:rFonts w:ascii="Arial" w:eastAsia="Times New Roman" w:hAnsi="Arial" w:cs="Times New Roman"/>
          <w:kern w:val="28"/>
          <w:sz w:val="24"/>
          <w:szCs w:val="24"/>
          <w:lang w:val="en-US" w:eastAsia="en-GB"/>
        </w:rPr>
        <w:t>eeks</w:t>
      </w:r>
      <w:r>
        <w:rPr>
          <w:rFonts w:ascii="Arial" w:eastAsia="Times New Roman" w:hAnsi="Arial" w:cs="Times New Roman"/>
          <w:kern w:val="28"/>
          <w:sz w:val="24"/>
          <w:szCs w:val="24"/>
          <w:lang w:val="en-US" w:eastAsia="en-GB"/>
        </w:rPr>
        <w:t xml:space="preserve"> the winding up under s</w:t>
      </w:r>
      <w:r w:rsidR="00F978AD">
        <w:rPr>
          <w:rFonts w:ascii="Arial" w:eastAsia="Times New Roman" w:hAnsi="Arial" w:cs="Times New Roman"/>
          <w:kern w:val="28"/>
          <w:sz w:val="24"/>
          <w:szCs w:val="24"/>
          <w:lang w:val="en-US" w:eastAsia="en-GB"/>
        </w:rPr>
        <w:t xml:space="preserve"> </w:t>
      </w:r>
      <w:r>
        <w:rPr>
          <w:rFonts w:ascii="Arial" w:eastAsia="Times New Roman" w:hAnsi="Arial" w:cs="Times New Roman"/>
          <w:kern w:val="28"/>
          <w:sz w:val="24"/>
          <w:szCs w:val="24"/>
          <w:lang w:val="en-US" w:eastAsia="en-GB"/>
        </w:rPr>
        <w:t>49 of the Close Corporations Act on the basis that the second respondent is acting in an unfairly prejudicial, unjust or inequitable manner towards him and in circumstances that it is just and equitable to wind up Swatco.</w:t>
      </w:r>
      <w:r w:rsidR="001424B9">
        <w:rPr>
          <w:rFonts w:ascii="Arial" w:eastAsia="Times New Roman" w:hAnsi="Arial" w:cs="Times New Roman"/>
          <w:kern w:val="28"/>
          <w:sz w:val="24"/>
          <w:szCs w:val="24"/>
          <w:lang w:val="en-US" w:eastAsia="en-GB"/>
        </w:rPr>
        <w:t xml:space="preserve"> Those circumstances are that the first applicant has been frozen out of Swatco’s business, has not been furnished with proper access to Swatco’s financial documentation and records and that changes were effected to Swatco’s financial records in relation to its members’ loan accounts and salaries.</w:t>
      </w:r>
    </w:p>
    <w:p w:rsidR="00A65AE3" w:rsidRDefault="00A65AE3" w:rsidP="00A65AE3">
      <w:pPr>
        <w:pStyle w:val="ListParagraph"/>
        <w:rPr>
          <w:rFonts w:ascii="Arial" w:eastAsia="Times New Roman" w:hAnsi="Arial" w:cs="Times New Roman"/>
          <w:kern w:val="28"/>
          <w:sz w:val="24"/>
          <w:szCs w:val="24"/>
          <w:lang w:val="en-US" w:eastAsia="en-GB"/>
        </w:rPr>
      </w:pPr>
    </w:p>
    <w:p w:rsidR="00A65AE3" w:rsidRDefault="00A65AE3"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The second and third applicants in </w:t>
      </w:r>
      <w:r w:rsidR="00C773BA">
        <w:rPr>
          <w:rFonts w:ascii="Arial" w:eastAsia="Times New Roman" w:hAnsi="Arial" w:cs="Times New Roman"/>
          <w:kern w:val="28"/>
          <w:sz w:val="24"/>
          <w:szCs w:val="24"/>
          <w:lang w:val="en-US" w:eastAsia="en-GB"/>
        </w:rPr>
        <w:t xml:space="preserve">a further </w:t>
      </w:r>
      <w:r>
        <w:rPr>
          <w:rFonts w:ascii="Arial" w:eastAsia="Times New Roman" w:hAnsi="Arial" w:cs="Times New Roman"/>
          <w:kern w:val="28"/>
          <w:sz w:val="24"/>
          <w:szCs w:val="24"/>
          <w:lang w:val="en-US" w:eastAsia="en-GB"/>
        </w:rPr>
        <w:t xml:space="preserve">alternative </w:t>
      </w:r>
      <w:r w:rsidR="00C773BA">
        <w:rPr>
          <w:rFonts w:ascii="Arial" w:eastAsia="Times New Roman" w:hAnsi="Arial" w:cs="Times New Roman"/>
          <w:kern w:val="28"/>
          <w:sz w:val="24"/>
          <w:szCs w:val="24"/>
          <w:lang w:val="en-US" w:eastAsia="en-GB"/>
        </w:rPr>
        <w:t xml:space="preserve">claim </w:t>
      </w:r>
      <w:r>
        <w:rPr>
          <w:rFonts w:ascii="Arial" w:eastAsia="Times New Roman" w:hAnsi="Arial" w:cs="Times New Roman"/>
          <w:kern w:val="28"/>
          <w:sz w:val="24"/>
          <w:szCs w:val="24"/>
          <w:lang w:val="en-US" w:eastAsia="en-GB"/>
        </w:rPr>
        <w:t>s</w:t>
      </w:r>
      <w:r w:rsidR="00F978AD">
        <w:rPr>
          <w:rFonts w:ascii="Arial" w:eastAsia="Times New Roman" w:hAnsi="Arial" w:cs="Times New Roman"/>
          <w:kern w:val="28"/>
          <w:sz w:val="24"/>
          <w:szCs w:val="24"/>
          <w:lang w:val="en-US" w:eastAsia="en-GB"/>
        </w:rPr>
        <w:t>eek</w:t>
      </w:r>
      <w:r>
        <w:rPr>
          <w:rFonts w:ascii="Arial" w:eastAsia="Times New Roman" w:hAnsi="Arial" w:cs="Times New Roman"/>
          <w:kern w:val="28"/>
          <w:sz w:val="24"/>
          <w:szCs w:val="24"/>
          <w:lang w:val="en-US" w:eastAsia="en-GB"/>
        </w:rPr>
        <w:t xml:space="preserve"> the winding up of Swatco in terms of s</w:t>
      </w:r>
      <w:r w:rsidR="001424B9">
        <w:rPr>
          <w:rFonts w:ascii="Arial" w:eastAsia="Times New Roman" w:hAnsi="Arial" w:cs="Times New Roman"/>
          <w:kern w:val="28"/>
          <w:sz w:val="24"/>
          <w:szCs w:val="24"/>
          <w:lang w:val="en-US" w:eastAsia="en-GB"/>
        </w:rPr>
        <w:t xml:space="preserve"> </w:t>
      </w:r>
      <w:r>
        <w:rPr>
          <w:rFonts w:ascii="Arial" w:eastAsia="Times New Roman" w:hAnsi="Arial" w:cs="Times New Roman"/>
          <w:kern w:val="28"/>
          <w:sz w:val="24"/>
          <w:szCs w:val="24"/>
          <w:lang w:val="en-US" w:eastAsia="en-GB"/>
        </w:rPr>
        <w:t xml:space="preserve">69(1)(b) of the </w:t>
      </w:r>
      <w:r w:rsidR="007801B9">
        <w:rPr>
          <w:rFonts w:ascii="Arial" w:eastAsia="Times New Roman" w:hAnsi="Arial" w:cs="Times New Roman"/>
          <w:kern w:val="28"/>
          <w:sz w:val="24"/>
          <w:szCs w:val="24"/>
          <w:lang w:val="en-US" w:eastAsia="en-GB"/>
        </w:rPr>
        <w:t>C</w:t>
      </w:r>
      <w:r>
        <w:rPr>
          <w:rFonts w:ascii="Arial" w:eastAsia="Times New Roman" w:hAnsi="Arial" w:cs="Times New Roman"/>
          <w:kern w:val="28"/>
          <w:sz w:val="24"/>
          <w:szCs w:val="24"/>
          <w:lang w:val="en-US" w:eastAsia="en-GB"/>
        </w:rPr>
        <w:t>lose Corporations Act</w:t>
      </w:r>
      <w:r w:rsidR="007801B9">
        <w:rPr>
          <w:rFonts w:ascii="Arial" w:eastAsia="Times New Roman" w:hAnsi="Arial" w:cs="Times New Roman"/>
          <w:kern w:val="28"/>
          <w:sz w:val="24"/>
          <w:szCs w:val="24"/>
          <w:lang w:val="en-US" w:eastAsia="en-GB"/>
        </w:rPr>
        <w:t xml:space="preserve"> as read with s</w:t>
      </w:r>
      <w:r w:rsidR="00990209">
        <w:rPr>
          <w:rFonts w:ascii="Arial" w:eastAsia="Times New Roman" w:hAnsi="Arial" w:cs="Times New Roman"/>
          <w:kern w:val="28"/>
          <w:sz w:val="24"/>
          <w:szCs w:val="24"/>
          <w:lang w:val="en-US" w:eastAsia="en-GB"/>
        </w:rPr>
        <w:t xml:space="preserve"> 68(c) and </w:t>
      </w:r>
      <w:r w:rsidR="007801B9">
        <w:rPr>
          <w:rFonts w:ascii="Arial" w:eastAsia="Times New Roman" w:hAnsi="Arial" w:cs="Times New Roman"/>
          <w:kern w:val="28"/>
          <w:sz w:val="24"/>
          <w:szCs w:val="24"/>
          <w:lang w:val="en-US" w:eastAsia="en-GB"/>
        </w:rPr>
        <w:t>345 of the Old Companies Act as read with S</w:t>
      </w:r>
      <w:r w:rsidR="00990209">
        <w:rPr>
          <w:rFonts w:ascii="Arial" w:eastAsia="Times New Roman" w:hAnsi="Arial" w:cs="Times New Roman"/>
          <w:kern w:val="28"/>
          <w:sz w:val="24"/>
          <w:szCs w:val="24"/>
          <w:lang w:val="en-US" w:eastAsia="en-GB"/>
        </w:rPr>
        <w:t>c</w:t>
      </w:r>
      <w:r w:rsidR="007801B9">
        <w:rPr>
          <w:rFonts w:ascii="Arial" w:eastAsia="Times New Roman" w:hAnsi="Arial" w:cs="Times New Roman"/>
          <w:kern w:val="28"/>
          <w:sz w:val="24"/>
          <w:szCs w:val="24"/>
          <w:lang w:val="en-US" w:eastAsia="en-GB"/>
        </w:rPr>
        <w:t>hedule 5, Item 9 of the Companies Act, on the grounds of the inability of Swatco to pay its debts.</w:t>
      </w:r>
      <w:r>
        <w:rPr>
          <w:rFonts w:ascii="Arial" w:eastAsia="Times New Roman" w:hAnsi="Arial" w:cs="Times New Roman"/>
          <w:kern w:val="28"/>
          <w:sz w:val="24"/>
          <w:szCs w:val="24"/>
          <w:lang w:val="en-US" w:eastAsia="en-GB"/>
        </w:rPr>
        <w:t xml:space="preserve"> </w:t>
      </w:r>
    </w:p>
    <w:p w:rsidR="00CE65E7" w:rsidRDefault="00CE65E7" w:rsidP="00CE65E7">
      <w:pPr>
        <w:pStyle w:val="ListParagraph"/>
        <w:rPr>
          <w:rFonts w:ascii="Arial" w:eastAsia="Times New Roman" w:hAnsi="Arial" w:cs="Times New Roman"/>
          <w:kern w:val="28"/>
          <w:sz w:val="24"/>
          <w:szCs w:val="24"/>
          <w:lang w:val="en-US" w:eastAsia="en-GB"/>
        </w:rPr>
      </w:pPr>
    </w:p>
    <w:p w:rsidR="00F978AD" w:rsidRDefault="00CE65E7"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The application </w:t>
      </w:r>
      <w:r w:rsidR="00F978AD">
        <w:rPr>
          <w:rFonts w:ascii="Arial" w:eastAsia="Times New Roman" w:hAnsi="Arial" w:cs="Times New Roman"/>
          <w:kern w:val="28"/>
          <w:sz w:val="24"/>
          <w:szCs w:val="24"/>
          <w:lang w:val="en-US" w:eastAsia="en-GB"/>
        </w:rPr>
        <w:t>is</w:t>
      </w:r>
      <w:r>
        <w:rPr>
          <w:rFonts w:ascii="Arial" w:eastAsia="Times New Roman" w:hAnsi="Arial" w:cs="Times New Roman"/>
          <w:kern w:val="28"/>
          <w:sz w:val="24"/>
          <w:szCs w:val="24"/>
          <w:lang w:val="en-US" w:eastAsia="en-GB"/>
        </w:rPr>
        <w:t xml:space="preserve"> opposed by both </w:t>
      </w:r>
      <w:r w:rsidR="00990209">
        <w:rPr>
          <w:rFonts w:ascii="Arial" w:eastAsia="Times New Roman" w:hAnsi="Arial" w:cs="Times New Roman"/>
          <w:kern w:val="28"/>
          <w:sz w:val="24"/>
          <w:szCs w:val="24"/>
          <w:lang w:val="en-US" w:eastAsia="en-GB"/>
        </w:rPr>
        <w:t>Swatco and the</w:t>
      </w:r>
      <w:r>
        <w:rPr>
          <w:rFonts w:ascii="Arial" w:eastAsia="Times New Roman" w:hAnsi="Arial" w:cs="Times New Roman"/>
          <w:kern w:val="28"/>
          <w:sz w:val="24"/>
          <w:szCs w:val="24"/>
          <w:lang w:val="en-US" w:eastAsia="en-GB"/>
        </w:rPr>
        <w:t xml:space="preserve"> second respondent</w:t>
      </w:r>
      <w:r w:rsidR="00F978AD">
        <w:rPr>
          <w:rFonts w:ascii="Arial" w:eastAsia="Times New Roman" w:hAnsi="Arial" w:cs="Times New Roman"/>
          <w:kern w:val="28"/>
          <w:sz w:val="24"/>
          <w:szCs w:val="24"/>
          <w:lang w:val="en-US" w:eastAsia="en-GB"/>
        </w:rPr>
        <w:t xml:space="preserve"> on various grounds. They are that (i) Swatco is neither factually nor commercially insolvent because the loan accounts owing to the first applicant alternatively the trust, are not due and payable;(ii) the first applicant has not made a consistent and meaningful attempt to comply with his fiduciary duties to Swatco; (iii) the fi</w:t>
      </w:r>
      <w:r w:rsidR="002317E8">
        <w:rPr>
          <w:rFonts w:ascii="Arial" w:eastAsia="Times New Roman" w:hAnsi="Arial" w:cs="Times New Roman"/>
          <w:kern w:val="28"/>
          <w:sz w:val="24"/>
          <w:szCs w:val="24"/>
          <w:lang w:val="en-US" w:eastAsia="en-GB"/>
        </w:rPr>
        <w:t>r</w:t>
      </w:r>
      <w:r w:rsidR="00F978AD">
        <w:rPr>
          <w:rFonts w:ascii="Arial" w:eastAsia="Times New Roman" w:hAnsi="Arial" w:cs="Times New Roman"/>
          <w:kern w:val="28"/>
          <w:sz w:val="24"/>
          <w:szCs w:val="24"/>
          <w:lang w:val="en-US" w:eastAsia="en-GB"/>
        </w:rPr>
        <w:t xml:space="preserve">st applicant has remedies at his disposal to renew his involvement in Swatco’s business and he should pursue those remedies rather than a winding up; (iv) winding up is not the only option and it makes no sense to wind up a commercially solvent entity. </w:t>
      </w:r>
      <w:r>
        <w:rPr>
          <w:rFonts w:ascii="Arial" w:eastAsia="Times New Roman" w:hAnsi="Arial" w:cs="Times New Roman"/>
          <w:kern w:val="28"/>
          <w:sz w:val="24"/>
          <w:szCs w:val="24"/>
          <w:lang w:val="en-US" w:eastAsia="en-GB"/>
        </w:rPr>
        <w:t xml:space="preserve"> </w:t>
      </w:r>
    </w:p>
    <w:p w:rsidR="00F978AD" w:rsidRDefault="00F978AD" w:rsidP="00F978AD">
      <w:pPr>
        <w:pStyle w:val="ListParagraph"/>
        <w:rPr>
          <w:rFonts w:ascii="Arial" w:eastAsia="Times New Roman" w:hAnsi="Arial" w:cs="Times New Roman"/>
          <w:kern w:val="28"/>
          <w:sz w:val="24"/>
          <w:szCs w:val="24"/>
          <w:lang w:val="en-US" w:eastAsia="en-GB"/>
        </w:rPr>
      </w:pPr>
    </w:p>
    <w:p w:rsidR="00F74774" w:rsidRDefault="00CE65E7"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The applicants challenged the authority of Michael Saltz attorneys to represent </w:t>
      </w:r>
      <w:r w:rsidR="00990209">
        <w:rPr>
          <w:rFonts w:ascii="Arial" w:eastAsia="Times New Roman" w:hAnsi="Arial" w:cs="Times New Roman"/>
          <w:kern w:val="28"/>
          <w:sz w:val="24"/>
          <w:szCs w:val="24"/>
          <w:lang w:val="en-US" w:eastAsia="en-GB"/>
        </w:rPr>
        <w:t>Swatco</w:t>
      </w:r>
      <w:r>
        <w:rPr>
          <w:rFonts w:ascii="Arial" w:eastAsia="Times New Roman" w:hAnsi="Arial" w:cs="Times New Roman"/>
          <w:kern w:val="28"/>
          <w:sz w:val="24"/>
          <w:szCs w:val="24"/>
          <w:lang w:val="en-US" w:eastAsia="en-GB"/>
        </w:rPr>
        <w:t xml:space="preserve"> by way of a r 7 notice. In response thereto, a resolution was provided of </w:t>
      </w:r>
      <w:r w:rsidR="00990209">
        <w:rPr>
          <w:rFonts w:ascii="Arial" w:eastAsia="Times New Roman" w:hAnsi="Arial" w:cs="Times New Roman"/>
          <w:kern w:val="28"/>
          <w:sz w:val="24"/>
          <w:szCs w:val="24"/>
          <w:lang w:val="en-US" w:eastAsia="en-GB"/>
        </w:rPr>
        <w:lastRenderedPageBreak/>
        <w:t>Swatco</w:t>
      </w:r>
      <w:r>
        <w:rPr>
          <w:rFonts w:ascii="Arial" w:eastAsia="Times New Roman" w:hAnsi="Arial" w:cs="Times New Roman"/>
          <w:kern w:val="28"/>
          <w:sz w:val="24"/>
          <w:szCs w:val="24"/>
          <w:lang w:val="en-US" w:eastAsia="en-GB"/>
        </w:rPr>
        <w:t>, signed by only the second respondent.</w:t>
      </w:r>
      <w:r w:rsidR="00F74774">
        <w:rPr>
          <w:rFonts w:ascii="Arial" w:eastAsia="Times New Roman" w:hAnsi="Arial" w:cs="Times New Roman"/>
          <w:kern w:val="28"/>
          <w:sz w:val="24"/>
          <w:szCs w:val="24"/>
          <w:lang w:val="en-US" w:eastAsia="en-GB"/>
        </w:rPr>
        <w:t xml:space="preserve"> The authority issue remains in dispute. </w:t>
      </w:r>
    </w:p>
    <w:p w:rsidR="00F74774" w:rsidRDefault="00F74774" w:rsidP="00F74774">
      <w:pPr>
        <w:pStyle w:val="ListParagraph"/>
        <w:rPr>
          <w:rFonts w:ascii="Arial" w:eastAsia="Times New Roman" w:hAnsi="Arial" w:cs="Times New Roman"/>
          <w:kern w:val="28"/>
          <w:sz w:val="24"/>
          <w:szCs w:val="24"/>
          <w:lang w:val="en-US" w:eastAsia="en-GB"/>
        </w:rPr>
      </w:pPr>
    </w:p>
    <w:p w:rsidR="00CE65E7" w:rsidRDefault="00F74774"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The respondents in turn contended that the second and third </w:t>
      </w:r>
      <w:r w:rsidR="00990209">
        <w:rPr>
          <w:rFonts w:ascii="Arial" w:eastAsia="Times New Roman" w:hAnsi="Arial" w:cs="Times New Roman"/>
          <w:kern w:val="28"/>
          <w:sz w:val="24"/>
          <w:szCs w:val="24"/>
          <w:lang w:val="en-US" w:eastAsia="en-GB"/>
        </w:rPr>
        <w:t>applicants had not</w:t>
      </w:r>
      <w:r>
        <w:rPr>
          <w:rFonts w:ascii="Arial" w:eastAsia="Times New Roman" w:hAnsi="Arial" w:cs="Times New Roman"/>
          <w:kern w:val="28"/>
          <w:sz w:val="24"/>
          <w:szCs w:val="24"/>
          <w:lang w:val="en-US" w:eastAsia="en-GB"/>
        </w:rPr>
        <w:t xml:space="preserve"> demonstrate</w:t>
      </w:r>
      <w:r w:rsidR="00990209">
        <w:rPr>
          <w:rFonts w:ascii="Arial" w:eastAsia="Times New Roman" w:hAnsi="Arial" w:cs="Times New Roman"/>
          <w:kern w:val="28"/>
          <w:sz w:val="24"/>
          <w:szCs w:val="24"/>
          <w:lang w:val="en-US" w:eastAsia="en-GB"/>
        </w:rPr>
        <w:t>d</w:t>
      </w:r>
      <w:r>
        <w:rPr>
          <w:rFonts w:ascii="Arial" w:eastAsia="Times New Roman" w:hAnsi="Arial" w:cs="Times New Roman"/>
          <w:kern w:val="28"/>
          <w:sz w:val="24"/>
          <w:szCs w:val="24"/>
          <w:lang w:val="en-US" w:eastAsia="en-GB"/>
        </w:rPr>
        <w:t xml:space="preserve"> their authority to act on behalf of the </w:t>
      </w:r>
      <w:r w:rsidR="00990209">
        <w:rPr>
          <w:rFonts w:ascii="Arial" w:eastAsia="Times New Roman" w:hAnsi="Arial" w:cs="Times New Roman"/>
          <w:kern w:val="28"/>
          <w:sz w:val="24"/>
          <w:szCs w:val="24"/>
          <w:lang w:val="en-US" w:eastAsia="en-GB"/>
        </w:rPr>
        <w:t>t</w:t>
      </w:r>
      <w:r>
        <w:rPr>
          <w:rFonts w:ascii="Arial" w:eastAsia="Times New Roman" w:hAnsi="Arial" w:cs="Times New Roman"/>
          <w:kern w:val="28"/>
          <w:sz w:val="24"/>
          <w:szCs w:val="24"/>
          <w:lang w:val="en-US" w:eastAsia="en-GB"/>
        </w:rPr>
        <w:t xml:space="preserve">rust and challenged the locus standi of the </w:t>
      </w:r>
      <w:r w:rsidR="00990209">
        <w:rPr>
          <w:rFonts w:ascii="Arial" w:eastAsia="Times New Roman" w:hAnsi="Arial" w:cs="Times New Roman"/>
          <w:kern w:val="28"/>
          <w:sz w:val="24"/>
          <w:szCs w:val="24"/>
          <w:lang w:val="en-US" w:eastAsia="en-GB"/>
        </w:rPr>
        <w:t>t</w:t>
      </w:r>
      <w:r>
        <w:rPr>
          <w:rFonts w:ascii="Arial" w:eastAsia="Times New Roman" w:hAnsi="Arial" w:cs="Times New Roman"/>
          <w:kern w:val="28"/>
          <w:sz w:val="24"/>
          <w:szCs w:val="24"/>
          <w:lang w:val="en-US" w:eastAsia="en-GB"/>
        </w:rPr>
        <w:t>rust in the present application.</w:t>
      </w:r>
    </w:p>
    <w:p w:rsidR="00F74774" w:rsidRDefault="00F74774" w:rsidP="00F74774">
      <w:pPr>
        <w:pStyle w:val="ListParagraph"/>
        <w:rPr>
          <w:rFonts w:ascii="Arial" w:eastAsia="Times New Roman" w:hAnsi="Arial" w:cs="Times New Roman"/>
          <w:kern w:val="28"/>
          <w:sz w:val="24"/>
          <w:szCs w:val="24"/>
          <w:lang w:val="en-US" w:eastAsia="en-GB"/>
        </w:rPr>
      </w:pPr>
    </w:p>
    <w:p w:rsidR="00EB3E4D" w:rsidRPr="00EB3E4D" w:rsidRDefault="00EB3E4D"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eastAsia="en-GB"/>
        </w:rPr>
        <w:t xml:space="preserve">A distinction is to be drawn between the first applicant’s application and </w:t>
      </w:r>
      <w:r w:rsidR="007801B9">
        <w:rPr>
          <w:rFonts w:ascii="Arial" w:eastAsia="Times New Roman" w:hAnsi="Arial" w:cs="Times New Roman"/>
          <w:kern w:val="28"/>
          <w:sz w:val="24"/>
          <w:szCs w:val="24"/>
          <w:lang w:eastAsia="en-GB"/>
        </w:rPr>
        <w:t>the alternative grounds advanced and the alternative claim</w:t>
      </w:r>
      <w:r>
        <w:rPr>
          <w:rFonts w:ascii="Arial" w:eastAsia="Times New Roman" w:hAnsi="Arial" w:cs="Times New Roman"/>
          <w:kern w:val="28"/>
          <w:sz w:val="24"/>
          <w:szCs w:val="24"/>
          <w:lang w:eastAsia="en-GB"/>
        </w:rPr>
        <w:t xml:space="preserve"> of the second and third applicants. It is apposite to deal with first with the application of the fi</w:t>
      </w:r>
      <w:r w:rsidR="007801B9">
        <w:rPr>
          <w:rFonts w:ascii="Arial" w:eastAsia="Times New Roman" w:hAnsi="Arial" w:cs="Times New Roman"/>
          <w:kern w:val="28"/>
          <w:sz w:val="24"/>
          <w:szCs w:val="24"/>
          <w:lang w:eastAsia="en-GB"/>
        </w:rPr>
        <w:t>r</w:t>
      </w:r>
      <w:r>
        <w:rPr>
          <w:rFonts w:ascii="Arial" w:eastAsia="Times New Roman" w:hAnsi="Arial" w:cs="Times New Roman"/>
          <w:kern w:val="28"/>
          <w:sz w:val="24"/>
          <w:szCs w:val="24"/>
          <w:lang w:eastAsia="en-GB"/>
        </w:rPr>
        <w:t xml:space="preserve">st applicant. </w:t>
      </w:r>
    </w:p>
    <w:p w:rsidR="00EB3E4D" w:rsidRDefault="00EB3E4D" w:rsidP="00EB3E4D">
      <w:pPr>
        <w:pStyle w:val="ListParagraph"/>
        <w:rPr>
          <w:rFonts w:ascii="Arial" w:eastAsia="Times New Roman" w:hAnsi="Arial" w:cs="Times New Roman"/>
          <w:kern w:val="28"/>
          <w:sz w:val="24"/>
          <w:szCs w:val="24"/>
          <w:lang w:eastAsia="en-GB"/>
        </w:rPr>
      </w:pPr>
    </w:p>
    <w:p w:rsidR="009D6C70" w:rsidRDefault="009D6C70" w:rsidP="009D6C70">
      <w:pPr>
        <w:spacing w:after="0" w:line="360" w:lineRule="auto"/>
        <w:ind w:left="360" w:firstLine="36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Does</w:t>
      </w:r>
      <w:r w:rsidR="007801B9">
        <w:rPr>
          <w:rFonts w:ascii="Arial" w:eastAsia="Times New Roman" w:hAnsi="Arial" w:cs="Times New Roman"/>
          <w:kern w:val="28"/>
          <w:sz w:val="24"/>
          <w:szCs w:val="24"/>
          <w:lang w:val="en-US" w:eastAsia="en-GB"/>
        </w:rPr>
        <w:t xml:space="preserve"> Michael Saltz attorneys ha</w:t>
      </w:r>
      <w:r>
        <w:rPr>
          <w:rFonts w:ascii="Arial" w:eastAsia="Times New Roman" w:hAnsi="Arial" w:cs="Times New Roman"/>
          <w:kern w:val="28"/>
          <w:sz w:val="24"/>
          <w:szCs w:val="24"/>
          <w:lang w:val="en-US" w:eastAsia="en-GB"/>
        </w:rPr>
        <w:t>ve</w:t>
      </w:r>
      <w:r w:rsidR="007801B9">
        <w:rPr>
          <w:rFonts w:ascii="Arial" w:eastAsia="Times New Roman" w:hAnsi="Arial" w:cs="Times New Roman"/>
          <w:kern w:val="28"/>
          <w:sz w:val="24"/>
          <w:szCs w:val="24"/>
          <w:lang w:val="en-US" w:eastAsia="en-GB"/>
        </w:rPr>
        <w:t xml:space="preserve"> the authority to represent </w:t>
      </w:r>
      <w:r w:rsidR="00607A4C">
        <w:rPr>
          <w:rFonts w:ascii="Arial" w:eastAsia="Times New Roman" w:hAnsi="Arial" w:cs="Times New Roman"/>
          <w:kern w:val="28"/>
          <w:sz w:val="24"/>
          <w:szCs w:val="24"/>
          <w:lang w:val="en-US" w:eastAsia="en-GB"/>
        </w:rPr>
        <w:t>Swatco</w:t>
      </w:r>
      <w:r>
        <w:rPr>
          <w:rFonts w:ascii="Arial" w:eastAsia="Times New Roman" w:hAnsi="Arial" w:cs="Times New Roman"/>
          <w:kern w:val="28"/>
          <w:sz w:val="24"/>
          <w:szCs w:val="24"/>
          <w:lang w:val="en-US" w:eastAsia="en-GB"/>
        </w:rPr>
        <w:t>?</w:t>
      </w:r>
      <w:r w:rsidR="00607A4C">
        <w:rPr>
          <w:rFonts w:ascii="Arial" w:eastAsia="Times New Roman" w:hAnsi="Arial" w:cs="Times New Roman"/>
          <w:kern w:val="28"/>
          <w:sz w:val="24"/>
          <w:szCs w:val="24"/>
          <w:lang w:val="en-US" w:eastAsia="en-GB"/>
        </w:rPr>
        <w:t xml:space="preserve"> </w:t>
      </w:r>
    </w:p>
    <w:p w:rsidR="009D6C70" w:rsidRDefault="009D6C70" w:rsidP="009D6C70">
      <w:pPr>
        <w:pStyle w:val="ListParagraph"/>
        <w:rPr>
          <w:rFonts w:ascii="Arial" w:eastAsia="Times New Roman" w:hAnsi="Arial" w:cs="Times New Roman"/>
          <w:kern w:val="28"/>
          <w:sz w:val="24"/>
          <w:szCs w:val="24"/>
          <w:lang w:eastAsia="en-GB"/>
        </w:rPr>
      </w:pPr>
    </w:p>
    <w:p w:rsidR="00504E15" w:rsidRPr="00504E15" w:rsidRDefault="00F131B2"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eastAsia="en-GB"/>
        </w:rPr>
        <w:t xml:space="preserve">It is common cause that the first applicant and the second respondent hold an equal membership interest in Swatco. </w:t>
      </w:r>
      <w:r w:rsidR="00504E15">
        <w:rPr>
          <w:rFonts w:ascii="Arial" w:eastAsia="Times New Roman" w:hAnsi="Arial" w:cs="Times New Roman"/>
          <w:kern w:val="28"/>
          <w:sz w:val="24"/>
          <w:szCs w:val="24"/>
          <w:lang w:eastAsia="en-GB"/>
        </w:rPr>
        <w:t>The special power of attorney provided by the respondents in answer to the r 7 notice was signed only by the second respondent. No resolution was provided authorising the second respondent to do so, signed by both the members of Swatco.</w:t>
      </w:r>
    </w:p>
    <w:p w:rsidR="00504E15" w:rsidRDefault="00504E15" w:rsidP="00504E15">
      <w:pPr>
        <w:pStyle w:val="ListParagraph"/>
        <w:rPr>
          <w:rFonts w:ascii="Arial" w:eastAsia="Times New Roman" w:hAnsi="Arial" w:cs="Times New Roman"/>
          <w:kern w:val="28"/>
          <w:sz w:val="24"/>
          <w:szCs w:val="24"/>
          <w:lang w:eastAsia="en-GB"/>
        </w:rPr>
      </w:pPr>
    </w:p>
    <w:p w:rsidR="009D6C70" w:rsidRPr="009D6C70" w:rsidRDefault="00504E15"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eastAsia="en-GB"/>
        </w:rPr>
        <w:t xml:space="preserve">The respondents sought to overcome this difficulty by </w:t>
      </w:r>
      <w:r w:rsidR="009D6C70">
        <w:rPr>
          <w:rFonts w:ascii="Arial" w:eastAsia="Times New Roman" w:hAnsi="Arial" w:cs="Times New Roman"/>
          <w:kern w:val="28"/>
          <w:sz w:val="24"/>
          <w:szCs w:val="24"/>
          <w:lang w:eastAsia="en-GB"/>
        </w:rPr>
        <w:t>arguing</w:t>
      </w:r>
      <w:r w:rsidR="001B5F5E">
        <w:rPr>
          <w:rFonts w:ascii="Arial" w:eastAsia="Times New Roman" w:hAnsi="Arial" w:cs="Times New Roman"/>
          <w:kern w:val="28"/>
          <w:sz w:val="24"/>
          <w:szCs w:val="24"/>
          <w:lang w:eastAsia="en-GB"/>
        </w:rPr>
        <w:t xml:space="preserve"> that no evidence of an association agreement was placed before the court and that the statutory provisions governing the internal relations between members of a close corporation applies, being ss 46(a) and 46(b) of the Close Corporations Act.</w:t>
      </w:r>
      <w:r w:rsidR="003C1501">
        <w:rPr>
          <w:rFonts w:ascii="Arial" w:eastAsia="Times New Roman" w:hAnsi="Arial" w:cs="Times New Roman"/>
          <w:kern w:val="28"/>
          <w:sz w:val="24"/>
          <w:szCs w:val="24"/>
          <w:lang w:eastAsia="en-GB"/>
        </w:rPr>
        <w:t xml:space="preserve"> It </w:t>
      </w:r>
      <w:r w:rsidR="00660C1A">
        <w:rPr>
          <w:rFonts w:ascii="Arial" w:eastAsia="Times New Roman" w:hAnsi="Arial" w:cs="Times New Roman"/>
          <w:kern w:val="28"/>
          <w:sz w:val="24"/>
          <w:szCs w:val="24"/>
          <w:lang w:eastAsia="en-GB"/>
        </w:rPr>
        <w:t>wa</w:t>
      </w:r>
      <w:r w:rsidR="003C1501">
        <w:rPr>
          <w:rFonts w:ascii="Arial" w:eastAsia="Times New Roman" w:hAnsi="Arial" w:cs="Times New Roman"/>
          <w:kern w:val="28"/>
          <w:sz w:val="24"/>
          <w:szCs w:val="24"/>
          <w:lang w:eastAsia="en-GB"/>
        </w:rPr>
        <w:t>s argued that the very purpose of a winding up application of a close corporation is to deliberately put an end to the carrying on of its business and that the second respondent’s statuto</w:t>
      </w:r>
      <w:r w:rsidR="00660C1A">
        <w:rPr>
          <w:rFonts w:ascii="Arial" w:eastAsia="Times New Roman" w:hAnsi="Arial" w:cs="Times New Roman"/>
          <w:kern w:val="28"/>
          <w:sz w:val="24"/>
          <w:szCs w:val="24"/>
          <w:lang w:eastAsia="en-GB"/>
        </w:rPr>
        <w:t xml:space="preserve">rily conferred authority to represent Swatco in the carrying on of its business is not restricted and must necessarily extend to all matters affecting the carrying of its business, including litigation fundamentally affecting the ability of Swatco to continue carrying on its business in the future. </w:t>
      </w:r>
    </w:p>
    <w:p w:rsidR="009D6C70" w:rsidRDefault="009D6C70" w:rsidP="009D6C70">
      <w:pPr>
        <w:pStyle w:val="ListParagraph"/>
        <w:rPr>
          <w:rFonts w:ascii="Arial" w:eastAsia="Times New Roman" w:hAnsi="Arial" w:cs="Times New Roman"/>
          <w:kern w:val="28"/>
          <w:sz w:val="24"/>
          <w:szCs w:val="24"/>
          <w:lang w:eastAsia="en-GB"/>
        </w:rPr>
      </w:pPr>
    </w:p>
    <w:p w:rsidR="008313F6" w:rsidRPr="008313F6" w:rsidRDefault="00660C1A"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eastAsia="en-GB"/>
        </w:rPr>
        <w:lastRenderedPageBreak/>
        <w:t xml:space="preserve">In relation to s46(c) </w:t>
      </w:r>
      <w:r w:rsidR="00607A4C">
        <w:rPr>
          <w:rFonts w:ascii="Arial" w:eastAsia="Times New Roman" w:hAnsi="Arial" w:cs="Times New Roman"/>
          <w:kern w:val="28"/>
          <w:sz w:val="24"/>
          <w:szCs w:val="24"/>
          <w:lang w:eastAsia="en-GB"/>
        </w:rPr>
        <w:t xml:space="preserve">of the Close Corporations Act </w:t>
      </w:r>
      <w:r w:rsidR="009D6C70">
        <w:rPr>
          <w:rFonts w:ascii="Arial" w:eastAsia="Times New Roman" w:hAnsi="Arial" w:cs="Times New Roman"/>
          <w:kern w:val="28"/>
          <w:sz w:val="24"/>
          <w:szCs w:val="24"/>
          <w:lang w:eastAsia="en-GB"/>
        </w:rPr>
        <w:t>the respondents</w:t>
      </w:r>
      <w:r>
        <w:rPr>
          <w:rFonts w:ascii="Arial" w:eastAsia="Times New Roman" w:hAnsi="Arial" w:cs="Times New Roman"/>
          <w:kern w:val="28"/>
          <w:sz w:val="24"/>
          <w:szCs w:val="24"/>
          <w:lang w:eastAsia="en-GB"/>
        </w:rPr>
        <w:t xml:space="preserve"> argued that the second respondent’s equal right to assert Swatco’s position on its behalf can only be negated by means of a majority vote at a meeting of members, which is not possible, given that there are only two members with equal voting rights. </w:t>
      </w:r>
    </w:p>
    <w:p w:rsidR="008313F6" w:rsidRDefault="008313F6" w:rsidP="008313F6">
      <w:pPr>
        <w:pStyle w:val="ListParagraph"/>
        <w:rPr>
          <w:rFonts w:ascii="Arial" w:eastAsia="Times New Roman" w:hAnsi="Arial" w:cs="Times New Roman"/>
          <w:kern w:val="28"/>
          <w:sz w:val="24"/>
          <w:szCs w:val="24"/>
          <w:lang w:eastAsia="en-GB"/>
        </w:rPr>
      </w:pPr>
    </w:p>
    <w:p w:rsidR="003C1501" w:rsidRPr="003C1501" w:rsidRDefault="003C1501"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eastAsia="en-GB"/>
        </w:rPr>
        <w:t xml:space="preserve">The relevant portions of s 46 </w:t>
      </w:r>
      <w:r w:rsidR="00607A4C">
        <w:rPr>
          <w:rFonts w:ascii="Arial" w:eastAsia="Times New Roman" w:hAnsi="Arial" w:cs="Times New Roman"/>
          <w:kern w:val="28"/>
          <w:sz w:val="24"/>
          <w:szCs w:val="24"/>
          <w:lang w:eastAsia="en-GB"/>
        </w:rPr>
        <w:t xml:space="preserve">of the Close Corporations Act </w:t>
      </w:r>
      <w:r>
        <w:rPr>
          <w:rFonts w:ascii="Arial" w:eastAsia="Times New Roman" w:hAnsi="Arial" w:cs="Times New Roman"/>
          <w:kern w:val="28"/>
          <w:sz w:val="24"/>
          <w:szCs w:val="24"/>
          <w:lang w:eastAsia="en-GB"/>
        </w:rPr>
        <w:t>provide as follows:</w:t>
      </w:r>
    </w:p>
    <w:p w:rsidR="003C1501" w:rsidRDefault="003C1501" w:rsidP="003C1501">
      <w:pPr>
        <w:pStyle w:val="ListParagraph"/>
        <w:rPr>
          <w:rFonts w:ascii="Arial" w:eastAsia="Times New Roman" w:hAnsi="Arial" w:cs="Times New Roman"/>
          <w:kern w:val="28"/>
          <w:sz w:val="24"/>
          <w:szCs w:val="24"/>
          <w:lang w:eastAsia="en-GB"/>
        </w:rPr>
      </w:pPr>
    </w:p>
    <w:p w:rsidR="003C1501" w:rsidRDefault="003C1501" w:rsidP="003F298F">
      <w:pPr>
        <w:spacing w:after="0" w:line="240" w:lineRule="auto"/>
        <w:ind w:left="720"/>
        <w:contextualSpacing/>
        <w:jc w:val="both"/>
        <w:rPr>
          <w:rFonts w:ascii="Arial" w:eastAsia="Times New Roman" w:hAnsi="Arial" w:cs="Times New Roman"/>
          <w:i/>
          <w:kern w:val="28"/>
          <w:sz w:val="20"/>
          <w:szCs w:val="20"/>
          <w:lang w:eastAsia="en-GB"/>
        </w:rPr>
      </w:pPr>
      <w:r w:rsidRPr="003C1501">
        <w:rPr>
          <w:rFonts w:ascii="Arial" w:eastAsia="Times New Roman" w:hAnsi="Arial" w:cs="Times New Roman"/>
          <w:i/>
          <w:kern w:val="28"/>
          <w:sz w:val="20"/>
          <w:szCs w:val="20"/>
          <w:lang w:eastAsia="en-GB"/>
        </w:rPr>
        <w:t xml:space="preserve">The following rules in respect of internal relations in a corporation shall apply in so far as this Act or an association agreement in respect of the corporation does not provide otherwise: </w:t>
      </w:r>
    </w:p>
    <w:p w:rsidR="003C1501" w:rsidRDefault="003C1501" w:rsidP="003F298F">
      <w:pPr>
        <w:spacing w:after="0" w:line="240" w:lineRule="auto"/>
        <w:ind w:left="720"/>
        <w:contextualSpacing/>
        <w:jc w:val="both"/>
        <w:rPr>
          <w:rFonts w:ascii="Arial" w:eastAsia="Times New Roman" w:hAnsi="Arial" w:cs="Times New Roman"/>
          <w:i/>
          <w:kern w:val="28"/>
          <w:sz w:val="20"/>
          <w:szCs w:val="20"/>
          <w:lang w:eastAsia="en-GB"/>
        </w:rPr>
      </w:pPr>
      <w:r w:rsidRPr="003C1501">
        <w:rPr>
          <w:rFonts w:ascii="Arial" w:eastAsia="Times New Roman" w:hAnsi="Arial" w:cs="Times New Roman"/>
          <w:i/>
          <w:kern w:val="28"/>
          <w:sz w:val="20"/>
          <w:szCs w:val="20"/>
          <w:lang w:eastAsia="en-GB"/>
        </w:rPr>
        <w:t xml:space="preserve">(a) Every member shall be entitled to participate in the carrying on of the business of the corporation; (b) subject to the provisions of section 47, members shall have equal rights in regard to the management of the business of the corporation and in regard to the power to represent the corporation in the carrying on of its business; … </w:t>
      </w:r>
    </w:p>
    <w:p w:rsidR="003C1501" w:rsidRDefault="003C1501" w:rsidP="003F298F">
      <w:pPr>
        <w:spacing w:after="0" w:line="240" w:lineRule="auto"/>
        <w:ind w:left="720"/>
        <w:contextualSpacing/>
        <w:jc w:val="both"/>
        <w:rPr>
          <w:rFonts w:ascii="Arial" w:eastAsia="Times New Roman" w:hAnsi="Arial" w:cs="Times New Roman"/>
          <w:i/>
          <w:kern w:val="28"/>
          <w:sz w:val="20"/>
          <w:szCs w:val="20"/>
          <w:lang w:eastAsia="en-GB"/>
        </w:rPr>
      </w:pPr>
      <w:r w:rsidRPr="003C1501">
        <w:rPr>
          <w:rFonts w:ascii="Arial" w:eastAsia="Times New Roman" w:hAnsi="Arial" w:cs="Times New Roman"/>
          <w:i/>
          <w:kern w:val="28"/>
          <w:sz w:val="20"/>
          <w:szCs w:val="20"/>
          <w:lang w:eastAsia="en-GB"/>
        </w:rPr>
        <w:t>(c) differences between members as to matters connected with a corporation’s business shall be decided by majority vote at a meeting of members of the corporation.”</w:t>
      </w:r>
    </w:p>
    <w:p w:rsidR="00000BD8" w:rsidRPr="003C1501" w:rsidRDefault="00000BD8" w:rsidP="003C1501">
      <w:pPr>
        <w:spacing w:after="0" w:line="240" w:lineRule="auto"/>
        <w:ind w:left="360"/>
        <w:contextualSpacing/>
        <w:jc w:val="both"/>
        <w:rPr>
          <w:rFonts w:ascii="Arial" w:eastAsia="Times New Roman" w:hAnsi="Arial" w:cs="Times New Roman"/>
          <w:i/>
          <w:kern w:val="28"/>
          <w:sz w:val="20"/>
          <w:szCs w:val="20"/>
          <w:lang w:val="en-US" w:eastAsia="en-GB"/>
        </w:rPr>
      </w:pPr>
    </w:p>
    <w:p w:rsidR="003C1501" w:rsidRDefault="003C1501" w:rsidP="003C1501">
      <w:pPr>
        <w:pStyle w:val="ListParagraph"/>
        <w:rPr>
          <w:rFonts w:ascii="Arial" w:eastAsia="Times New Roman" w:hAnsi="Arial" w:cs="Times New Roman"/>
          <w:kern w:val="28"/>
          <w:sz w:val="24"/>
          <w:szCs w:val="24"/>
          <w:lang w:eastAsia="en-GB"/>
        </w:rPr>
      </w:pPr>
    </w:p>
    <w:p w:rsidR="009D6C70" w:rsidRDefault="00305B22"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Considering the wording of s</w:t>
      </w:r>
      <w:r w:rsidR="009D6C70">
        <w:rPr>
          <w:rFonts w:ascii="Arial" w:eastAsia="Times New Roman" w:hAnsi="Arial" w:cs="Times New Roman"/>
          <w:kern w:val="28"/>
          <w:sz w:val="24"/>
          <w:szCs w:val="24"/>
          <w:lang w:val="en-US" w:eastAsia="en-GB"/>
        </w:rPr>
        <w:t xml:space="preserve"> </w:t>
      </w:r>
      <w:r>
        <w:rPr>
          <w:rFonts w:ascii="Arial" w:eastAsia="Times New Roman" w:hAnsi="Arial" w:cs="Times New Roman"/>
          <w:kern w:val="28"/>
          <w:sz w:val="24"/>
          <w:szCs w:val="24"/>
          <w:lang w:val="en-US" w:eastAsia="en-GB"/>
        </w:rPr>
        <w:t>46(c) and on the second respondent’s own argument, the decision whether to oppose the winding up application or not, would be subject to a decision by majority vote at a meeting of members</w:t>
      </w:r>
      <w:r w:rsidR="009D6C70">
        <w:rPr>
          <w:rFonts w:ascii="Arial" w:eastAsia="Times New Roman" w:hAnsi="Arial" w:cs="Times New Roman"/>
          <w:kern w:val="28"/>
          <w:sz w:val="24"/>
          <w:szCs w:val="24"/>
          <w:lang w:val="en-US" w:eastAsia="en-GB"/>
        </w:rPr>
        <w:t>. In the present circumstances</w:t>
      </w:r>
      <w:r w:rsidR="00202C61">
        <w:rPr>
          <w:rFonts w:ascii="Arial" w:eastAsia="Times New Roman" w:hAnsi="Arial" w:cs="Times New Roman"/>
          <w:kern w:val="28"/>
          <w:sz w:val="24"/>
          <w:szCs w:val="24"/>
          <w:lang w:val="en-US" w:eastAsia="en-GB"/>
        </w:rPr>
        <w:t>,</w:t>
      </w:r>
      <w:r>
        <w:rPr>
          <w:rFonts w:ascii="Arial" w:eastAsia="Times New Roman" w:hAnsi="Arial" w:cs="Times New Roman"/>
          <w:kern w:val="28"/>
          <w:sz w:val="24"/>
          <w:szCs w:val="24"/>
          <w:lang w:val="en-US" w:eastAsia="en-GB"/>
        </w:rPr>
        <w:t xml:space="preserve"> there </w:t>
      </w:r>
      <w:r w:rsidR="00CA216E">
        <w:rPr>
          <w:rFonts w:ascii="Arial" w:eastAsia="Times New Roman" w:hAnsi="Arial" w:cs="Times New Roman"/>
          <w:kern w:val="28"/>
          <w:sz w:val="24"/>
          <w:szCs w:val="24"/>
          <w:lang w:val="en-US" w:eastAsia="en-GB"/>
        </w:rPr>
        <w:t>is</w:t>
      </w:r>
      <w:r>
        <w:rPr>
          <w:rFonts w:ascii="Arial" w:eastAsia="Times New Roman" w:hAnsi="Arial" w:cs="Times New Roman"/>
          <w:kern w:val="28"/>
          <w:sz w:val="24"/>
          <w:szCs w:val="24"/>
          <w:lang w:val="en-US" w:eastAsia="en-GB"/>
        </w:rPr>
        <w:t xml:space="preserve"> self-evidently a difference between the members on the issue</w:t>
      </w:r>
      <w:r w:rsidR="009D6C70">
        <w:rPr>
          <w:rFonts w:ascii="Arial" w:eastAsia="Times New Roman" w:hAnsi="Arial" w:cs="Times New Roman"/>
          <w:kern w:val="28"/>
          <w:sz w:val="24"/>
          <w:szCs w:val="24"/>
          <w:lang w:val="en-US" w:eastAsia="en-GB"/>
        </w:rPr>
        <w:t xml:space="preserve"> and no majority vote could be passed, resulting in their being no resolution on behalf of Swatco</w:t>
      </w:r>
      <w:r>
        <w:rPr>
          <w:rFonts w:ascii="Arial" w:eastAsia="Times New Roman" w:hAnsi="Arial" w:cs="Times New Roman"/>
          <w:kern w:val="28"/>
          <w:sz w:val="24"/>
          <w:szCs w:val="24"/>
          <w:lang w:val="en-US" w:eastAsia="en-GB"/>
        </w:rPr>
        <w:t xml:space="preserve">. </w:t>
      </w:r>
    </w:p>
    <w:p w:rsidR="009D6C70" w:rsidRDefault="009D6C70" w:rsidP="009D6C70">
      <w:pPr>
        <w:spacing w:after="0" w:line="360" w:lineRule="auto"/>
        <w:ind w:left="360"/>
        <w:contextualSpacing/>
        <w:jc w:val="both"/>
        <w:rPr>
          <w:rFonts w:ascii="Arial" w:eastAsia="Times New Roman" w:hAnsi="Arial" w:cs="Times New Roman"/>
          <w:kern w:val="28"/>
          <w:sz w:val="24"/>
          <w:szCs w:val="24"/>
          <w:lang w:val="en-US" w:eastAsia="en-GB"/>
        </w:rPr>
      </w:pPr>
    </w:p>
    <w:p w:rsidR="00305B22" w:rsidRDefault="00305B22" w:rsidP="00CA216E">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The second respondent cannot avoid the inevitable consequences of an equal membership by unilaterally purporting to act on behalf of Swatco, more so given that the application </w:t>
      </w:r>
      <w:r w:rsidR="00000BD8">
        <w:rPr>
          <w:rFonts w:ascii="Arial" w:eastAsia="Times New Roman" w:hAnsi="Arial" w:cs="Times New Roman"/>
          <w:kern w:val="28"/>
          <w:sz w:val="24"/>
          <w:szCs w:val="24"/>
          <w:lang w:val="en-US" w:eastAsia="en-GB"/>
        </w:rPr>
        <w:t xml:space="preserve">of the first applicant </w:t>
      </w:r>
      <w:r>
        <w:rPr>
          <w:rFonts w:ascii="Arial" w:eastAsia="Times New Roman" w:hAnsi="Arial" w:cs="Times New Roman"/>
          <w:kern w:val="28"/>
          <w:sz w:val="24"/>
          <w:szCs w:val="24"/>
          <w:lang w:val="en-US" w:eastAsia="en-GB"/>
        </w:rPr>
        <w:t>was not launched by a third party</w:t>
      </w:r>
      <w:r w:rsidR="00CA216E">
        <w:rPr>
          <w:rFonts w:ascii="Arial" w:eastAsia="Times New Roman" w:hAnsi="Arial" w:cs="Times New Roman"/>
          <w:kern w:val="28"/>
          <w:sz w:val="24"/>
          <w:szCs w:val="24"/>
          <w:lang w:val="en-US" w:eastAsia="en-GB"/>
        </w:rPr>
        <w:t>.</w:t>
      </w:r>
      <w:r w:rsidR="00CA216E" w:rsidRPr="00305B22">
        <w:rPr>
          <w:rFonts w:ascii="Arial" w:eastAsia="Times New Roman" w:hAnsi="Arial" w:cs="Times New Roman"/>
          <w:kern w:val="28"/>
          <w:sz w:val="24"/>
          <w:szCs w:val="24"/>
          <w:lang w:val="en-US" w:eastAsia="en-GB"/>
        </w:rPr>
        <w:t xml:space="preserve"> </w:t>
      </w:r>
    </w:p>
    <w:p w:rsidR="00CA216E" w:rsidRDefault="00CA216E" w:rsidP="00CA216E">
      <w:pPr>
        <w:pStyle w:val="ListParagraph"/>
        <w:rPr>
          <w:rFonts w:ascii="Arial" w:eastAsia="Times New Roman" w:hAnsi="Arial" w:cs="Times New Roman"/>
          <w:kern w:val="28"/>
          <w:sz w:val="24"/>
          <w:szCs w:val="24"/>
          <w:lang w:val="en-US" w:eastAsia="en-GB"/>
        </w:rPr>
      </w:pPr>
    </w:p>
    <w:p w:rsidR="008313F6" w:rsidRPr="008313F6" w:rsidRDefault="00CA216E"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eastAsia="en-GB"/>
        </w:rPr>
        <w:t xml:space="preserve">The respondents further sought to rely on </w:t>
      </w:r>
      <w:r w:rsidR="008313F6">
        <w:rPr>
          <w:rFonts w:ascii="Arial" w:eastAsia="Times New Roman" w:hAnsi="Arial" w:cs="Times New Roman"/>
          <w:kern w:val="28"/>
          <w:sz w:val="24"/>
          <w:szCs w:val="24"/>
          <w:lang w:eastAsia="en-GB"/>
        </w:rPr>
        <w:t>s</w:t>
      </w:r>
      <w:r w:rsidR="00000BD8">
        <w:rPr>
          <w:rFonts w:ascii="Arial" w:eastAsia="Times New Roman" w:hAnsi="Arial" w:cs="Times New Roman"/>
          <w:kern w:val="28"/>
          <w:sz w:val="24"/>
          <w:szCs w:val="24"/>
          <w:lang w:eastAsia="en-GB"/>
        </w:rPr>
        <w:t xml:space="preserve"> </w:t>
      </w:r>
      <w:r w:rsidR="008313F6">
        <w:rPr>
          <w:rFonts w:ascii="Arial" w:eastAsia="Times New Roman" w:hAnsi="Arial" w:cs="Times New Roman"/>
          <w:kern w:val="28"/>
          <w:sz w:val="24"/>
          <w:szCs w:val="24"/>
          <w:lang w:eastAsia="en-GB"/>
        </w:rPr>
        <w:t>54 of the Close Corporation Act</w:t>
      </w:r>
      <w:r>
        <w:rPr>
          <w:rFonts w:ascii="Arial" w:eastAsia="Times New Roman" w:hAnsi="Arial" w:cs="Times New Roman"/>
          <w:kern w:val="28"/>
          <w:sz w:val="24"/>
          <w:szCs w:val="24"/>
          <w:lang w:eastAsia="en-GB"/>
        </w:rPr>
        <w:t xml:space="preserve"> and authority pertaining thereto</w:t>
      </w:r>
      <w:r>
        <w:rPr>
          <w:rStyle w:val="FootnoteReference"/>
          <w:rFonts w:ascii="Arial" w:eastAsia="Times New Roman" w:hAnsi="Arial" w:cs="Times New Roman"/>
          <w:kern w:val="28"/>
          <w:sz w:val="24"/>
          <w:szCs w:val="24"/>
          <w:lang w:eastAsia="en-GB"/>
        </w:rPr>
        <w:footnoteReference w:id="4"/>
      </w:r>
      <w:r>
        <w:rPr>
          <w:rFonts w:ascii="Arial" w:eastAsia="Times New Roman" w:hAnsi="Arial" w:cs="Times New Roman"/>
          <w:kern w:val="28"/>
          <w:sz w:val="24"/>
          <w:szCs w:val="24"/>
          <w:lang w:eastAsia="en-GB"/>
        </w:rPr>
        <w:t>. T</w:t>
      </w:r>
      <w:r w:rsidR="008313F6">
        <w:rPr>
          <w:rFonts w:ascii="Arial" w:eastAsia="Times New Roman" w:hAnsi="Arial" w:cs="Times New Roman"/>
          <w:kern w:val="28"/>
          <w:sz w:val="24"/>
          <w:szCs w:val="24"/>
          <w:lang w:eastAsia="en-GB"/>
        </w:rPr>
        <w:t xml:space="preserve">he relevant portion of </w:t>
      </w:r>
      <w:r>
        <w:rPr>
          <w:rFonts w:ascii="Arial" w:eastAsia="Times New Roman" w:hAnsi="Arial" w:cs="Times New Roman"/>
          <w:kern w:val="28"/>
          <w:sz w:val="24"/>
          <w:szCs w:val="24"/>
          <w:lang w:eastAsia="en-GB"/>
        </w:rPr>
        <w:t>s 54</w:t>
      </w:r>
      <w:r w:rsidR="008313F6">
        <w:rPr>
          <w:rFonts w:ascii="Arial" w:eastAsia="Times New Roman" w:hAnsi="Arial" w:cs="Times New Roman"/>
          <w:kern w:val="28"/>
          <w:sz w:val="24"/>
          <w:szCs w:val="24"/>
          <w:lang w:eastAsia="en-GB"/>
        </w:rPr>
        <w:t xml:space="preserve"> provides:</w:t>
      </w:r>
    </w:p>
    <w:p w:rsidR="008313F6" w:rsidRDefault="008313F6" w:rsidP="008313F6">
      <w:pPr>
        <w:pStyle w:val="ListParagraph"/>
        <w:rPr>
          <w:rFonts w:ascii="Arial" w:eastAsia="Times New Roman" w:hAnsi="Arial" w:cs="Times New Roman"/>
          <w:kern w:val="28"/>
          <w:sz w:val="24"/>
          <w:szCs w:val="24"/>
          <w:lang w:eastAsia="en-GB"/>
        </w:rPr>
      </w:pPr>
    </w:p>
    <w:p w:rsidR="003C1501" w:rsidRDefault="008313F6" w:rsidP="003F298F">
      <w:pPr>
        <w:spacing w:after="0" w:line="240" w:lineRule="auto"/>
        <w:ind w:left="1440"/>
        <w:contextualSpacing/>
        <w:jc w:val="both"/>
        <w:rPr>
          <w:rFonts w:ascii="Arial" w:eastAsia="Times New Roman" w:hAnsi="Arial" w:cs="Times New Roman"/>
          <w:i/>
          <w:kern w:val="28"/>
          <w:sz w:val="20"/>
          <w:szCs w:val="20"/>
          <w:lang w:eastAsia="en-GB"/>
        </w:rPr>
      </w:pPr>
      <w:r w:rsidRPr="003C1501">
        <w:rPr>
          <w:rFonts w:ascii="Arial" w:eastAsia="Times New Roman" w:hAnsi="Arial" w:cs="Times New Roman"/>
          <w:i/>
          <w:kern w:val="28"/>
          <w:sz w:val="20"/>
          <w:szCs w:val="20"/>
          <w:lang w:eastAsia="en-GB"/>
        </w:rPr>
        <w:t>“(1) Subject to the provisions of this section, any member of a corporation shall in relation to a person who is not a member and is dealing with the corporation, be an agent of the cor</w:t>
      </w:r>
      <w:r w:rsidR="003C1501">
        <w:rPr>
          <w:rFonts w:ascii="Arial" w:eastAsia="Times New Roman" w:hAnsi="Arial" w:cs="Times New Roman"/>
          <w:i/>
          <w:kern w:val="28"/>
          <w:sz w:val="20"/>
          <w:szCs w:val="20"/>
          <w:lang w:eastAsia="en-GB"/>
        </w:rPr>
        <w:t>p</w:t>
      </w:r>
      <w:r w:rsidRPr="003C1501">
        <w:rPr>
          <w:rFonts w:ascii="Arial" w:eastAsia="Times New Roman" w:hAnsi="Arial" w:cs="Times New Roman"/>
          <w:i/>
          <w:kern w:val="28"/>
          <w:sz w:val="20"/>
          <w:szCs w:val="20"/>
          <w:lang w:eastAsia="en-GB"/>
        </w:rPr>
        <w:t xml:space="preserve">oration. </w:t>
      </w:r>
    </w:p>
    <w:p w:rsidR="008313F6" w:rsidRPr="003C1501" w:rsidRDefault="008313F6" w:rsidP="003F298F">
      <w:pPr>
        <w:spacing w:after="0" w:line="240" w:lineRule="auto"/>
        <w:ind w:left="720"/>
        <w:contextualSpacing/>
        <w:jc w:val="both"/>
        <w:rPr>
          <w:rFonts w:ascii="Arial" w:eastAsia="Times New Roman" w:hAnsi="Arial" w:cs="Times New Roman"/>
          <w:i/>
          <w:kern w:val="28"/>
          <w:sz w:val="20"/>
          <w:szCs w:val="20"/>
          <w:lang w:val="en-US" w:eastAsia="en-GB"/>
        </w:rPr>
      </w:pPr>
      <w:r w:rsidRPr="003C1501">
        <w:rPr>
          <w:rFonts w:ascii="Arial" w:eastAsia="Times New Roman" w:hAnsi="Arial" w:cs="Times New Roman"/>
          <w:i/>
          <w:kern w:val="28"/>
          <w:sz w:val="20"/>
          <w:szCs w:val="20"/>
          <w:lang w:eastAsia="en-GB"/>
        </w:rPr>
        <w:lastRenderedPageBreak/>
        <w:t>(2) Any act of a member shall bind a corporation whether or not such act is performed for the carrying on of the business of the corporation unless the member so acting has in fact no power to act for the corporation in the particular matter and the person with whom the member deals has, or ought reasonably to have, knowledge of the fact that the member has no such power.”</w:t>
      </w:r>
    </w:p>
    <w:p w:rsidR="008313F6" w:rsidRDefault="008313F6" w:rsidP="008313F6">
      <w:pPr>
        <w:pStyle w:val="ListParagraph"/>
        <w:rPr>
          <w:rFonts w:ascii="Arial" w:eastAsia="Times New Roman" w:hAnsi="Arial" w:cs="Times New Roman"/>
          <w:kern w:val="28"/>
          <w:sz w:val="24"/>
          <w:szCs w:val="24"/>
          <w:lang w:eastAsia="en-GB"/>
        </w:rPr>
      </w:pPr>
    </w:p>
    <w:p w:rsidR="00353944" w:rsidRPr="00CA216E" w:rsidRDefault="008313F6" w:rsidP="008D6E74">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sidRPr="00CA216E">
        <w:rPr>
          <w:rFonts w:ascii="Arial" w:eastAsia="Times New Roman" w:hAnsi="Arial" w:cs="Times New Roman"/>
          <w:kern w:val="28"/>
          <w:sz w:val="24"/>
          <w:szCs w:val="24"/>
          <w:lang w:eastAsia="en-GB"/>
        </w:rPr>
        <w:t>S</w:t>
      </w:r>
      <w:r w:rsidR="00000BD8" w:rsidRPr="00CA216E">
        <w:rPr>
          <w:rFonts w:ascii="Arial" w:eastAsia="Times New Roman" w:hAnsi="Arial" w:cs="Times New Roman"/>
          <w:kern w:val="28"/>
          <w:sz w:val="24"/>
          <w:szCs w:val="24"/>
          <w:lang w:eastAsia="en-GB"/>
        </w:rPr>
        <w:t xml:space="preserve"> </w:t>
      </w:r>
      <w:r w:rsidRPr="00CA216E">
        <w:rPr>
          <w:rFonts w:ascii="Arial" w:eastAsia="Times New Roman" w:hAnsi="Arial" w:cs="Times New Roman"/>
          <w:kern w:val="28"/>
          <w:sz w:val="24"/>
          <w:szCs w:val="24"/>
          <w:lang w:eastAsia="en-GB"/>
        </w:rPr>
        <w:t>54(2) does no more than express the usual rules relating to ostensible authority</w:t>
      </w:r>
      <w:r w:rsidR="003C1501" w:rsidRPr="00CA216E">
        <w:rPr>
          <w:rFonts w:ascii="Arial" w:eastAsia="Times New Roman" w:hAnsi="Arial" w:cs="Times New Roman"/>
          <w:kern w:val="28"/>
          <w:sz w:val="24"/>
          <w:szCs w:val="24"/>
          <w:lang w:eastAsia="en-GB"/>
        </w:rPr>
        <w:t xml:space="preserve"> of members to bind a close corporation in relation to third parties</w:t>
      </w:r>
      <w:r>
        <w:rPr>
          <w:rStyle w:val="FootnoteReference"/>
          <w:rFonts w:ascii="Arial" w:eastAsia="Times New Roman" w:hAnsi="Arial" w:cs="Times New Roman"/>
          <w:kern w:val="28"/>
          <w:sz w:val="24"/>
          <w:szCs w:val="24"/>
          <w:lang w:eastAsia="en-GB"/>
        </w:rPr>
        <w:footnoteReference w:id="5"/>
      </w:r>
      <w:r w:rsidRPr="00CA216E">
        <w:rPr>
          <w:rFonts w:ascii="Arial" w:eastAsia="Times New Roman" w:hAnsi="Arial" w:cs="Times New Roman"/>
          <w:kern w:val="28"/>
          <w:sz w:val="24"/>
          <w:szCs w:val="24"/>
          <w:lang w:eastAsia="en-GB"/>
        </w:rPr>
        <w:t>.</w:t>
      </w:r>
      <w:r w:rsidR="00EB3E4D" w:rsidRPr="00CA216E">
        <w:rPr>
          <w:rFonts w:ascii="Arial" w:eastAsia="Times New Roman" w:hAnsi="Arial" w:cs="Times New Roman"/>
          <w:kern w:val="28"/>
          <w:sz w:val="24"/>
          <w:szCs w:val="24"/>
          <w:lang w:eastAsia="en-GB"/>
        </w:rPr>
        <w:t xml:space="preserve"> It does not confer any authority on one of the members to represent the close corporation in relation to another member. </w:t>
      </w:r>
      <w:r w:rsidR="00CA216E">
        <w:rPr>
          <w:rFonts w:ascii="Arial" w:eastAsia="Times New Roman" w:hAnsi="Arial" w:cs="Times New Roman"/>
          <w:kern w:val="28"/>
          <w:sz w:val="24"/>
          <w:szCs w:val="24"/>
          <w:lang w:eastAsia="en-GB"/>
        </w:rPr>
        <w:t xml:space="preserve"> </w:t>
      </w:r>
      <w:r w:rsidR="00353944" w:rsidRPr="00CA216E">
        <w:rPr>
          <w:rFonts w:ascii="Arial" w:eastAsia="Times New Roman" w:hAnsi="Arial" w:cs="Times New Roman"/>
          <w:kern w:val="28"/>
          <w:sz w:val="24"/>
          <w:szCs w:val="24"/>
          <w:lang w:val="en-US" w:eastAsia="en-GB"/>
        </w:rPr>
        <w:t xml:space="preserve">The </w:t>
      </w:r>
      <w:r w:rsidR="00CA216E">
        <w:rPr>
          <w:rFonts w:ascii="Arial" w:eastAsia="Times New Roman" w:hAnsi="Arial" w:cs="Times New Roman"/>
          <w:kern w:val="28"/>
          <w:sz w:val="24"/>
          <w:szCs w:val="24"/>
          <w:lang w:val="en-US" w:eastAsia="en-GB"/>
        </w:rPr>
        <w:t>authority relied on by the respondents</w:t>
      </w:r>
      <w:r w:rsidR="00353944" w:rsidRPr="00CA216E">
        <w:rPr>
          <w:rFonts w:ascii="Arial" w:eastAsia="Times New Roman" w:hAnsi="Arial" w:cs="Times New Roman"/>
          <w:kern w:val="28"/>
          <w:sz w:val="24"/>
          <w:szCs w:val="24"/>
          <w:lang w:val="en-US" w:eastAsia="en-GB"/>
        </w:rPr>
        <w:t xml:space="preserve"> does not assist inasmuch as it relates to the relationship between a member of a close corporation and a third party and deals with s</w:t>
      </w:r>
      <w:r w:rsidR="00B44A53" w:rsidRPr="00CA216E">
        <w:rPr>
          <w:rFonts w:ascii="Arial" w:eastAsia="Times New Roman" w:hAnsi="Arial" w:cs="Times New Roman"/>
          <w:kern w:val="28"/>
          <w:sz w:val="24"/>
          <w:szCs w:val="24"/>
          <w:lang w:val="en-US" w:eastAsia="en-GB"/>
        </w:rPr>
        <w:t xml:space="preserve"> </w:t>
      </w:r>
      <w:r w:rsidR="00353944" w:rsidRPr="00CA216E">
        <w:rPr>
          <w:rFonts w:ascii="Arial" w:eastAsia="Times New Roman" w:hAnsi="Arial" w:cs="Times New Roman"/>
          <w:kern w:val="28"/>
          <w:sz w:val="24"/>
          <w:szCs w:val="24"/>
          <w:lang w:val="en-US" w:eastAsia="en-GB"/>
        </w:rPr>
        <w:t xml:space="preserve">54 and ostensible authority. </w:t>
      </w:r>
    </w:p>
    <w:p w:rsidR="00353944" w:rsidRDefault="00353944" w:rsidP="00353944">
      <w:pPr>
        <w:pStyle w:val="ListParagraph"/>
        <w:rPr>
          <w:rFonts w:ascii="Arial" w:eastAsia="Times New Roman" w:hAnsi="Arial" w:cs="Times New Roman"/>
          <w:kern w:val="28"/>
          <w:sz w:val="24"/>
          <w:szCs w:val="24"/>
          <w:lang w:val="en-US" w:eastAsia="en-GB"/>
        </w:rPr>
      </w:pPr>
    </w:p>
    <w:p w:rsidR="000F3316" w:rsidRDefault="00CD1131" w:rsidP="00DF6BB1">
      <w:pPr>
        <w:numPr>
          <w:ilvl w:val="0"/>
          <w:numId w:val="2"/>
        </w:numPr>
        <w:spacing w:after="0" w:line="360" w:lineRule="auto"/>
        <w:ind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I conclude that in relation to the fi</w:t>
      </w:r>
      <w:r w:rsidR="00353944">
        <w:rPr>
          <w:rFonts w:ascii="Arial" w:eastAsia="Times New Roman" w:hAnsi="Arial" w:cs="Times New Roman"/>
          <w:kern w:val="28"/>
          <w:sz w:val="24"/>
          <w:szCs w:val="24"/>
          <w:lang w:val="en-US" w:eastAsia="en-GB"/>
        </w:rPr>
        <w:t>r</w:t>
      </w:r>
      <w:r>
        <w:rPr>
          <w:rFonts w:ascii="Arial" w:eastAsia="Times New Roman" w:hAnsi="Arial" w:cs="Times New Roman"/>
          <w:kern w:val="28"/>
          <w:sz w:val="24"/>
          <w:szCs w:val="24"/>
          <w:lang w:val="en-US" w:eastAsia="en-GB"/>
        </w:rPr>
        <w:t xml:space="preserve">st applicant’s application, attorney Michael Saltz does not have the necessary authority to represent Swatco. </w:t>
      </w:r>
      <w:r w:rsidR="00CA216E">
        <w:rPr>
          <w:rFonts w:ascii="Arial" w:eastAsia="Times New Roman" w:hAnsi="Arial" w:cs="Times New Roman"/>
          <w:kern w:val="28"/>
          <w:sz w:val="24"/>
          <w:szCs w:val="24"/>
          <w:lang w:val="en-US" w:eastAsia="en-GB"/>
        </w:rPr>
        <w:t>The application is thus opposed by the second respondent.</w:t>
      </w:r>
    </w:p>
    <w:p w:rsidR="00191600" w:rsidRDefault="00191600" w:rsidP="00191600">
      <w:pPr>
        <w:pStyle w:val="ListParagraph"/>
        <w:rPr>
          <w:rFonts w:ascii="Arial" w:eastAsia="Times New Roman" w:hAnsi="Arial" w:cs="Times New Roman"/>
          <w:kern w:val="28"/>
          <w:sz w:val="24"/>
          <w:szCs w:val="24"/>
          <w:lang w:val="en-US" w:eastAsia="en-GB"/>
        </w:rPr>
      </w:pPr>
    </w:p>
    <w:p w:rsidR="00F131B2" w:rsidRDefault="00A56AB3" w:rsidP="00A56AB3">
      <w:pPr>
        <w:spacing w:after="0" w:line="360" w:lineRule="auto"/>
        <w:ind w:left="360" w:firstLine="36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Is it just and equitable to wind up Swatco?</w:t>
      </w:r>
    </w:p>
    <w:p w:rsidR="003F298F" w:rsidRDefault="003F298F" w:rsidP="003F298F">
      <w:pPr>
        <w:spacing w:after="0" w:line="360" w:lineRule="auto"/>
        <w:contextualSpacing/>
        <w:jc w:val="both"/>
        <w:rPr>
          <w:rFonts w:ascii="Arial" w:eastAsia="Times New Roman" w:hAnsi="Arial" w:cs="Times New Roman"/>
          <w:kern w:val="28"/>
          <w:sz w:val="24"/>
          <w:szCs w:val="24"/>
          <w:lang w:val="en-US" w:eastAsia="en-GB"/>
        </w:rPr>
      </w:pPr>
    </w:p>
    <w:p w:rsidR="003F298F"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r>
        <w:rPr>
          <w:rFonts w:ascii="Arial" w:eastAsia="Times New Roman" w:hAnsi="Arial" w:cs="Times New Roman"/>
          <w:kern w:val="28"/>
          <w:sz w:val="24"/>
          <w:szCs w:val="24"/>
          <w:lang w:val="en-US" w:eastAsia="en-GB"/>
        </w:rPr>
        <w:t>[19]</w:t>
      </w:r>
      <w:r>
        <w:rPr>
          <w:rFonts w:ascii="Arial" w:eastAsia="Times New Roman" w:hAnsi="Arial" w:cs="Times New Roman"/>
          <w:kern w:val="28"/>
          <w:sz w:val="24"/>
          <w:szCs w:val="24"/>
          <w:lang w:val="en-US" w:eastAsia="en-GB"/>
        </w:rPr>
        <w:tab/>
      </w:r>
      <w:r w:rsidR="00A56AB3" w:rsidRPr="00950027">
        <w:rPr>
          <w:rFonts w:ascii="Arial" w:eastAsia="Times New Roman" w:hAnsi="Arial" w:cs="Times New Roman"/>
          <w:kern w:val="28"/>
          <w:sz w:val="24"/>
          <w:szCs w:val="24"/>
          <w:lang w:val="en-US" w:eastAsia="en-GB"/>
        </w:rPr>
        <w:t xml:space="preserve">Considering a conspectus of the facts, </w:t>
      </w:r>
      <w:r w:rsidR="006217B0" w:rsidRPr="00950027">
        <w:rPr>
          <w:rFonts w:ascii="Arial" w:eastAsia="Times New Roman" w:hAnsi="Arial" w:cs="Times New Roman"/>
          <w:kern w:val="28"/>
          <w:sz w:val="24"/>
          <w:szCs w:val="24"/>
          <w:lang w:val="en-US" w:eastAsia="en-GB"/>
        </w:rPr>
        <w:t>it is not possible to make a definitive determination on whether Swatco is solvent or insolvent, T</w:t>
      </w:r>
      <w:r w:rsidR="00A56AB3" w:rsidRPr="00950027">
        <w:rPr>
          <w:rFonts w:ascii="Arial" w:eastAsia="Times New Roman" w:hAnsi="Arial" w:cs="Times New Roman"/>
          <w:kern w:val="28"/>
          <w:sz w:val="24"/>
          <w:szCs w:val="24"/>
          <w:lang w:val="en-US" w:eastAsia="en-GB"/>
        </w:rPr>
        <w:t xml:space="preserve">he </w:t>
      </w:r>
      <w:r w:rsidR="00684DF3" w:rsidRPr="00950027">
        <w:rPr>
          <w:rFonts w:ascii="Arial" w:eastAsia="Times New Roman" w:hAnsi="Arial" w:cs="Times New Roman"/>
          <w:kern w:val="28"/>
          <w:sz w:val="24"/>
          <w:szCs w:val="24"/>
          <w:lang w:val="en-US" w:eastAsia="en-GB"/>
        </w:rPr>
        <w:t xml:space="preserve">second </w:t>
      </w:r>
      <w:r w:rsidR="00A56AB3" w:rsidRPr="00950027">
        <w:rPr>
          <w:rFonts w:ascii="Arial" w:eastAsia="Times New Roman" w:hAnsi="Arial" w:cs="Times New Roman"/>
          <w:kern w:val="28"/>
          <w:sz w:val="24"/>
          <w:szCs w:val="24"/>
          <w:lang w:val="en-US" w:eastAsia="en-GB"/>
        </w:rPr>
        <w:t xml:space="preserve">respondent should have put up the necessary financial information </w:t>
      </w:r>
      <w:r w:rsidR="006217B0" w:rsidRPr="00950027">
        <w:rPr>
          <w:rFonts w:ascii="Arial" w:eastAsia="Times New Roman" w:hAnsi="Arial" w:cs="Times New Roman"/>
          <w:kern w:val="28"/>
          <w:sz w:val="24"/>
          <w:szCs w:val="24"/>
          <w:lang w:val="en-US" w:eastAsia="en-GB"/>
        </w:rPr>
        <w:t>on this issue</w:t>
      </w:r>
      <w:r w:rsidR="00684DF3" w:rsidRPr="00950027">
        <w:rPr>
          <w:rFonts w:ascii="Arial" w:eastAsia="Times New Roman" w:hAnsi="Arial" w:cs="Times New Roman"/>
          <w:kern w:val="28"/>
          <w:sz w:val="24"/>
          <w:szCs w:val="24"/>
          <w:lang w:val="en-US" w:eastAsia="en-GB"/>
        </w:rPr>
        <w:t xml:space="preserve"> as he is the person with access to that information</w:t>
      </w:r>
      <w:r w:rsidR="006217B0" w:rsidRPr="00950027">
        <w:rPr>
          <w:rFonts w:ascii="Arial" w:eastAsia="Times New Roman" w:hAnsi="Arial" w:cs="Times New Roman"/>
          <w:kern w:val="28"/>
          <w:sz w:val="24"/>
          <w:szCs w:val="24"/>
          <w:lang w:val="en-US" w:eastAsia="en-GB"/>
        </w:rPr>
        <w:t>, bearing in mind that o</w:t>
      </w:r>
      <w:r w:rsidR="00684DF3" w:rsidRPr="00950027">
        <w:rPr>
          <w:rFonts w:ascii="Arial" w:eastAsia="Times New Roman" w:hAnsi="Arial" w:cs="Times New Roman"/>
          <w:kern w:val="28"/>
          <w:sz w:val="24"/>
          <w:szCs w:val="24"/>
          <w:lang w:val="en-US" w:eastAsia="en-GB"/>
        </w:rPr>
        <w:t xml:space="preserve">ne of the first applicant’s complaints is that he does not have access to such information. </w:t>
      </w:r>
      <w:r w:rsidR="006217B0" w:rsidRPr="00950027">
        <w:rPr>
          <w:rFonts w:ascii="Arial" w:eastAsia="Times New Roman" w:hAnsi="Arial" w:cs="Times New Roman"/>
          <w:kern w:val="28"/>
          <w:sz w:val="24"/>
          <w:szCs w:val="24"/>
          <w:lang w:val="en-US" w:eastAsia="en-GB"/>
        </w:rPr>
        <w:t>As the first applicant has not established that Swatco is insolvent, the application will be considered on the basis that it is solvent.</w:t>
      </w:r>
      <w:r w:rsidR="00950027">
        <w:rPr>
          <w:rFonts w:ascii="Arial" w:eastAsia="Times New Roman" w:hAnsi="Arial" w:cs="Times New Roman"/>
          <w:kern w:val="28"/>
          <w:sz w:val="24"/>
          <w:szCs w:val="24"/>
          <w:lang w:val="en-US" w:eastAsia="en-GB"/>
        </w:rPr>
        <w:t xml:space="preserve"> </w:t>
      </w:r>
      <w:r w:rsidR="00080379" w:rsidRPr="00950027">
        <w:rPr>
          <w:rFonts w:ascii="Arial" w:eastAsia="Times New Roman" w:hAnsi="Arial" w:cs="Times New Roman"/>
          <w:kern w:val="28"/>
          <w:sz w:val="24"/>
          <w:szCs w:val="24"/>
          <w:lang w:val="en-US" w:eastAsia="en-GB"/>
        </w:rPr>
        <w:t xml:space="preserve">In </w:t>
      </w:r>
      <w:r w:rsidR="00950027" w:rsidRPr="00950027">
        <w:rPr>
          <w:rFonts w:ascii="Arial" w:eastAsia="Times New Roman" w:hAnsi="Arial" w:cs="Times New Roman"/>
          <w:kern w:val="28"/>
          <w:sz w:val="24"/>
          <w:szCs w:val="24"/>
          <w:lang w:val="en-US" w:eastAsia="en-GB"/>
        </w:rPr>
        <w:t xml:space="preserve">any event, </w:t>
      </w:r>
      <w:r w:rsidR="00080379" w:rsidRPr="00950027">
        <w:rPr>
          <w:rFonts w:ascii="Arial" w:eastAsia="Times New Roman" w:hAnsi="Arial" w:cs="Times New Roman"/>
          <w:kern w:val="28"/>
          <w:sz w:val="24"/>
          <w:szCs w:val="24"/>
          <w:lang w:val="en-US" w:eastAsia="en-GB"/>
        </w:rPr>
        <w:t>it is not of great moment whether Swatco is solvent or insolvent, where, as in the present instance, winding up is sought on just and equitable grounds</w:t>
      </w:r>
      <w:r w:rsidR="00950027">
        <w:rPr>
          <w:rStyle w:val="FootnoteReference"/>
          <w:rFonts w:ascii="Arial" w:eastAsia="Times New Roman" w:hAnsi="Arial" w:cs="Times New Roman"/>
          <w:kern w:val="28"/>
          <w:sz w:val="24"/>
          <w:szCs w:val="24"/>
          <w:lang w:val="en-US" w:eastAsia="en-GB"/>
        </w:rPr>
        <w:footnoteReference w:id="6"/>
      </w:r>
      <w:r w:rsidR="00080379" w:rsidRPr="00950027">
        <w:rPr>
          <w:rFonts w:ascii="Arial" w:eastAsia="Times New Roman" w:hAnsi="Arial" w:cs="Times New Roman"/>
          <w:kern w:val="28"/>
          <w:sz w:val="24"/>
          <w:szCs w:val="24"/>
          <w:lang w:val="en-US" w:eastAsia="en-GB"/>
        </w:rPr>
        <w:t xml:space="preserve">. </w:t>
      </w:r>
    </w:p>
    <w:p w:rsidR="003F298F"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p>
    <w:p w:rsidR="003F298F"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r w:rsidRPr="003F298F">
        <w:rPr>
          <w:rFonts w:ascii="Arial" w:eastAsia="Times New Roman" w:hAnsi="Arial" w:cs="Times New Roman"/>
          <w:kern w:val="28"/>
          <w:sz w:val="24"/>
          <w:szCs w:val="24"/>
          <w:lang w:val="en-US" w:eastAsia="en-GB"/>
        </w:rPr>
        <w:lastRenderedPageBreak/>
        <w:t>[20]</w:t>
      </w:r>
      <w:r>
        <w:rPr>
          <w:rFonts w:ascii="Arial" w:eastAsia="Times New Roman" w:hAnsi="Arial" w:cs="Times New Roman"/>
          <w:i/>
          <w:kern w:val="28"/>
          <w:sz w:val="24"/>
          <w:szCs w:val="24"/>
          <w:lang w:val="en-US" w:eastAsia="en-GB"/>
        </w:rPr>
        <w:tab/>
      </w:r>
      <w:r w:rsidR="00CD1131">
        <w:rPr>
          <w:rFonts w:ascii="Arial" w:eastAsia="Times New Roman" w:hAnsi="Arial" w:cs="Times New Roman"/>
          <w:kern w:val="28"/>
          <w:sz w:val="24"/>
          <w:szCs w:val="24"/>
          <w:lang w:val="en-US" w:eastAsia="en-GB"/>
        </w:rPr>
        <w:t>Under s68(4) of the Close Corporation Act, a corporation may be wound up</w:t>
      </w:r>
      <w:r w:rsidR="00CD1131" w:rsidRPr="00CD1131">
        <w:rPr>
          <w:rFonts w:ascii="Arial" w:eastAsia="Times New Roman" w:hAnsi="Arial" w:cs="Times New Roman"/>
          <w:i/>
          <w:kern w:val="28"/>
          <w:sz w:val="24"/>
          <w:szCs w:val="24"/>
          <w:lang w:val="en-US" w:eastAsia="en-GB"/>
        </w:rPr>
        <w:t xml:space="preserve"> “if it appears on application to the court that it is just and equitable that the corporation be wound up”.</w:t>
      </w:r>
    </w:p>
    <w:p w:rsidR="003F298F"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p>
    <w:p w:rsidR="006217B0" w:rsidRPr="003F298F"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r>
        <w:rPr>
          <w:rFonts w:ascii="Arial" w:eastAsia="Times New Roman" w:hAnsi="Arial" w:cs="Times New Roman"/>
          <w:kern w:val="28"/>
          <w:sz w:val="24"/>
          <w:szCs w:val="24"/>
          <w:lang w:val="en-US" w:eastAsia="en-GB"/>
        </w:rPr>
        <w:t>[21]</w:t>
      </w:r>
      <w:r>
        <w:rPr>
          <w:rFonts w:ascii="Arial" w:eastAsia="Times New Roman" w:hAnsi="Arial" w:cs="Times New Roman"/>
          <w:kern w:val="28"/>
          <w:sz w:val="24"/>
          <w:szCs w:val="24"/>
          <w:lang w:val="en-US" w:eastAsia="en-GB"/>
        </w:rPr>
        <w:tab/>
      </w:r>
      <w:r w:rsidR="006217B0" w:rsidRPr="003F298F">
        <w:rPr>
          <w:rFonts w:ascii="Arial" w:eastAsia="Times New Roman" w:hAnsi="Arial" w:cs="Times New Roman"/>
          <w:kern w:val="28"/>
          <w:sz w:val="24"/>
          <w:szCs w:val="24"/>
          <w:lang w:val="en-US" w:eastAsia="en-GB"/>
        </w:rPr>
        <w:t>Relevant to the present application, some of the circumstances where a winding up can ensue on just and equitable grounds are (i) where there is deadlock in the management of a company or corporation; (ii) where there is oppression and (iii) in circumstances analogous to the dissolution of partnerships.</w:t>
      </w:r>
      <w:r w:rsidR="006217B0">
        <w:rPr>
          <w:rStyle w:val="FootnoteReference"/>
          <w:rFonts w:ascii="Arial" w:eastAsia="Times New Roman" w:hAnsi="Arial" w:cs="Times New Roman"/>
          <w:kern w:val="28"/>
          <w:sz w:val="24"/>
          <w:szCs w:val="24"/>
          <w:lang w:val="en-US" w:eastAsia="en-GB"/>
        </w:rPr>
        <w:footnoteReference w:id="7"/>
      </w:r>
    </w:p>
    <w:p w:rsidR="003F298F" w:rsidRDefault="003F298F" w:rsidP="003F298F">
      <w:pPr>
        <w:spacing w:after="0" w:line="360" w:lineRule="auto"/>
        <w:contextualSpacing/>
        <w:jc w:val="both"/>
        <w:rPr>
          <w:rFonts w:ascii="Arial" w:eastAsia="Times New Roman" w:hAnsi="Arial" w:cs="Times New Roman"/>
          <w:kern w:val="28"/>
          <w:sz w:val="24"/>
          <w:szCs w:val="24"/>
          <w:lang w:val="en-US" w:eastAsia="en-GB"/>
        </w:rPr>
      </w:pPr>
    </w:p>
    <w:p w:rsidR="000975BD" w:rsidRPr="00326304"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[22]</w:t>
      </w:r>
      <w:r>
        <w:rPr>
          <w:rFonts w:ascii="Arial" w:eastAsia="Times New Roman" w:hAnsi="Arial" w:cs="Times New Roman"/>
          <w:kern w:val="28"/>
          <w:sz w:val="24"/>
          <w:szCs w:val="24"/>
          <w:lang w:val="en-US" w:eastAsia="en-GB"/>
        </w:rPr>
        <w:tab/>
      </w:r>
      <w:r w:rsidR="000975BD" w:rsidRPr="00326304">
        <w:rPr>
          <w:rFonts w:ascii="Arial" w:eastAsia="Times New Roman" w:hAnsi="Arial" w:cs="Times New Roman"/>
          <w:kern w:val="28"/>
          <w:sz w:val="24"/>
          <w:szCs w:val="24"/>
          <w:lang w:val="en-US" w:eastAsia="en-GB"/>
        </w:rPr>
        <w:t>The first applicant’s case is that there is a deadlock in the management of Swatco and that he has been oppressed by the conduct of the second respondent.</w:t>
      </w:r>
      <w:r w:rsidR="00326304">
        <w:rPr>
          <w:rFonts w:ascii="Arial" w:eastAsia="Times New Roman" w:hAnsi="Arial" w:cs="Times New Roman"/>
          <w:kern w:val="28"/>
          <w:sz w:val="24"/>
          <w:szCs w:val="24"/>
          <w:lang w:val="en-US" w:eastAsia="en-GB"/>
        </w:rPr>
        <w:t xml:space="preserve"> </w:t>
      </w:r>
      <w:r w:rsidR="003D5D66" w:rsidRPr="00326304">
        <w:rPr>
          <w:rFonts w:ascii="Arial" w:eastAsia="Times New Roman" w:hAnsi="Arial" w:cs="Times New Roman"/>
          <w:kern w:val="28"/>
          <w:sz w:val="24"/>
          <w:szCs w:val="24"/>
          <w:lang w:val="en-US" w:eastAsia="en-GB"/>
        </w:rPr>
        <w:t xml:space="preserve">According to the </w:t>
      </w:r>
      <w:r w:rsidR="00F70ECA" w:rsidRPr="00326304">
        <w:rPr>
          <w:rFonts w:ascii="Arial" w:eastAsia="Times New Roman" w:hAnsi="Arial" w:cs="Times New Roman"/>
          <w:kern w:val="28"/>
          <w:sz w:val="24"/>
          <w:szCs w:val="24"/>
          <w:lang w:val="en-US" w:eastAsia="en-GB"/>
        </w:rPr>
        <w:t xml:space="preserve">first </w:t>
      </w:r>
      <w:r w:rsidR="003D5D66" w:rsidRPr="00326304">
        <w:rPr>
          <w:rFonts w:ascii="Arial" w:eastAsia="Times New Roman" w:hAnsi="Arial" w:cs="Times New Roman"/>
          <w:kern w:val="28"/>
          <w:sz w:val="24"/>
          <w:szCs w:val="24"/>
          <w:lang w:val="en-US" w:eastAsia="en-GB"/>
        </w:rPr>
        <w:t xml:space="preserve">applicant </w:t>
      </w:r>
      <w:r w:rsidR="00F70ECA" w:rsidRPr="00326304">
        <w:rPr>
          <w:rFonts w:ascii="Arial" w:eastAsia="Times New Roman" w:hAnsi="Arial" w:cs="Times New Roman"/>
          <w:kern w:val="28"/>
          <w:sz w:val="24"/>
          <w:szCs w:val="24"/>
          <w:lang w:val="en-US" w:eastAsia="en-GB"/>
        </w:rPr>
        <w:t xml:space="preserve">their relationship started to deteriorate during 2018 due to differing approaches to the business, culminating in </w:t>
      </w:r>
      <w:r w:rsidR="003D5D66" w:rsidRPr="00326304">
        <w:rPr>
          <w:rFonts w:ascii="Arial" w:eastAsia="Times New Roman" w:hAnsi="Arial" w:cs="Times New Roman"/>
          <w:kern w:val="28"/>
          <w:sz w:val="24"/>
          <w:szCs w:val="24"/>
          <w:lang w:val="en-US" w:eastAsia="en-GB"/>
        </w:rPr>
        <w:t xml:space="preserve">an altercation which </w:t>
      </w:r>
      <w:r w:rsidR="00202C61">
        <w:rPr>
          <w:rFonts w:ascii="Arial" w:eastAsia="Times New Roman" w:hAnsi="Arial" w:cs="Times New Roman"/>
          <w:kern w:val="28"/>
          <w:sz w:val="24"/>
          <w:szCs w:val="24"/>
          <w:lang w:val="en-US" w:eastAsia="en-GB"/>
        </w:rPr>
        <w:t>occurred</w:t>
      </w:r>
      <w:r w:rsidR="003D5D66" w:rsidRPr="00326304">
        <w:rPr>
          <w:rFonts w:ascii="Arial" w:eastAsia="Times New Roman" w:hAnsi="Arial" w:cs="Times New Roman"/>
          <w:kern w:val="28"/>
          <w:sz w:val="24"/>
          <w:szCs w:val="24"/>
          <w:lang w:val="en-US" w:eastAsia="en-GB"/>
        </w:rPr>
        <w:t xml:space="preserve"> between them on 12 January 2021 at the Swatco premises </w:t>
      </w:r>
      <w:r w:rsidR="00F70ECA" w:rsidRPr="00326304">
        <w:rPr>
          <w:rFonts w:ascii="Arial" w:eastAsia="Times New Roman" w:hAnsi="Arial" w:cs="Times New Roman"/>
          <w:kern w:val="28"/>
          <w:sz w:val="24"/>
          <w:szCs w:val="24"/>
          <w:lang w:val="en-US" w:eastAsia="en-GB"/>
        </w:rPr>
        <w:t xml:space="preserve">which </w:t>
      </w:r>
      <w:r w:rsidR="003D5D66" w:rsidRPr="00326304">
        <w:rPr>
          <w:rFonts w:ascii="Arial" w:eastAsia="Times New Roman" w:hAnsi="Arial" w:cs="Times New Roman"/>
          <w:kern w:val="28"/>
          <w:sz w:val="24"/>
          <w:szCs w:val="24"/>
          <w:lang w:val="en-US" w:eastAsia="en-GB"/>
        </w:rPr>
        <w:t xml:space="preserve">destroyed any spectre of a relationship between them. It was common cause that a verbal altercation </w:t>
      </w:r>
      <w:r w:rsidR="00202C61">
        <w:rPr>
          <w:rFonts w:ascii="Arial" w:eastAsia="Times New Roman" w:hAnsi="Arial" w:cs="Times New Roman"/>
          <w:kern w:val="28"/>
          <w:sz w:val="24"/>
          <w:szCs w:val="24"/>
          <w:lang w:val="en-US" w:eastAsia="en-GB"/>
        </w:rPr>
        <w:t>arose</w:t>
      </w:r>
      <w:r w:rsidR="003D5D66" w:rsidRPr="00326304">
        <w:rPr>
          <w:rFonts w:ascii="Arial" w:eastAsia="Times New Roman" w:hAnsi="Arial" w:cs="Times New Roman"/>
          <w:kern w:val="28"/>
          <w:sz w:val="24"/>
          <w:szCs w:val="24"/>
          <w:lang w:val="en-US" w:eastAsia="en-GB"/>
        </w:rPr>
        <w:t xml:space="preserve"> during which the second respondent reached for his firearm and alleged that the first applicant had reached for a knife.</w:t>
      </w:r>
      <w:r w:rsidR="00F70ECA" w:rsidRPr="00326304">
        <w:rPr>
          <w:rFonts w:ascii="Arial" w:eastAsia="Times New Roman" w:hAnsi="Arial" w:cs="Times New Roman"/>
          <w:kern w:val="28"/>
          <w:sz w:val="24"/>
          <w:szCs w:val="24"/>
          <w:lang w:val="en-US" w:eastAsia="en-GB"/>
        </w:rPr>
        <w:t xml:space="preserve"> </w:t>
      </w:r>
    </w:p>
    <w:p w:rsidR="000975BD" w:rsidRDefault="000975BD" w:rsidP="000975BD">
      <w:pPr>
        <w:pStyle w:val="ListParagraph"/>
        <w:rPr>
          <w:rFonts w:ascii="Arial" w:eastAsia="Times New Roman" w:hAnsi="Arial" w:cs="Times New Roman"/>
          <w:kern w:val="28"/>
          <w:sz w:val="24"/>
          <w:szCs w:val="24"/>
          <w:lang w:val="en-US" w:eastAsia="en-GB"/>
        </w:rPr>
      </w:pPr>
    </w:p>
    <w:p w:rsidR="00F70ECA"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[23]</w:t>
      </w:r>
      <w:r>
        <w:rPr>
          <w:rFonts w:ascii="Arial" w:eastAsia="Times New Roman" w:hAnsi="Arial" w:cs="Times New Roman"/>
          <w:kern w:val="28"/>
          <w:sz w:val="24"/>
          <w:szCs w:val="24"/>
          <w:lang w:val="en-US" w:eastAsia="en-GB"/>
        </w:rPr>
        <w:tab/>
      </w:r>
      <w:r w:rsidR="008E0B0C" w:rsidRPr="000975BD">
        <w:rPr>
          <w:rFonts w:ascii="Arial" w:eastAsia="Times New Roman" w:hAnsi="Arial" w:cs="Times New Roman"/>
          <w:kern w:val="28"/>
          <w:sz w:val="24"/>
          <w:szCs w:val="24"/>
          <w:lang w:val="en-US" w:eastAsia="en-GB"/>
        </w:rPr>
        <w:t xml:space="preserve">The first applicant complains that he has no access to financial information concerning the Swatco business, and that the nature of payments made to him has changed and constitutes a reduction in a loan account rather than a salary. </w:t>
      </w:r>
    </w:p>
    <w:p w:rsidR="000975BD" w:rsidRDefault="000975BD" w:rsidP="000975BD">
      <w:pPr>
        <w:pStyle w:val="ListParagraph"/>
        <w:rPr>
          <w:rFonts w:ascii="Arial" w:eastAsia="Times New Roman" w:hAnsi="Arial" w:cs="Times New Roman"/>
          <w:kern w:val="28"/>
          <w:sz w:val="24"/>
          <w:szCs w:val="24"/>
          <w:lang w:val="en-US" w:eastAsia="en-GB"/>
        </w:rPr>
      </w:pPr>
    </w:p>
    <w:p w:rsidR="00155960"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[24]</w:t>
      </w:r>
      <w:r>
        <w:rPr>
          <w:rFonts w:ascii="Arial" w:eastAsia="Times New Roman" w:hAnsi="Arial" w:cs="Times New Roman"/>
          <w:kern w:val="28"/>
          <w:sz w:val="24"/>
          <w:szCs w:val="24"/>
          <w:lang w:val="en-US" w:eastAsia="en-GB"/>
        </w:rPr>
        <w:tab/>
      </w:r>
      <w:r w:rsidR="00155960" w:rsidRPr="00155960">
        <w:rPr>
          <w:rFonts w:ascii="Arial" w:eastAsia="Times New Roman" w:hAnsi="Arial" w:cs="Times New Roman"/>
          <w:kern w:val="28"/>
          <w:sz w:val="24"/>
          <w:szCs w:val="24"/>
          <w:lang w:val="en-US" w:eastAsia="en-GB"/>
        </w:rPr>
        <w:t xml:space="preserve">The first applicant’s contentions </w:t>
      </w:r>
      <w:r w:rsidR="00F70ECA" w:rsidRPr="00155960">
        <w:rPr>
          <w:rFonts w:ascii="Arial" w:eastAsia="Times New Roman" w:hAnsi="Arial" w:cs="Times New Roman"/>
          <w:kern w:val="28"/>
          <w:sz w:val="24"/>
          <w:szCs w:val="24"/>
          <w:lang w:val="en-US" w:eastAsia="en-GB"/>
        </w:rPr>
        <w:t>that the second respondent on occasion bypassed the first applicant regarding gunsmithing works, consumed alcohol on the premises, had a furious temper and would frequently shout profanities at him and Swatco staff members</w:t>
      </w:r>
      <w:r w:rsidR="00155960" w:rsidRPr="00155960">
        <w:rPr>
          <w:rFonts w:ascii="Arial" w:eastAsia="Times New Roman" w:hAnsi="Arial" w:cs="Times New Roman"/>
          <w:kern w:val="28"/>
          <w:sz w:val="24"/>
          <w:szCs w:val="24"/>
          <w:lang w:val="en-US" w:eastAsia="en-GB"/>
        </w:rPr>
        <w:t>, were not disputed.</w:t>
      </w:r>
      <w:r w:rsidR="00155960">
        <w:rPr>
          <w:rFonts w:ascii="Arial" w:eastAsia="Times New Roman" w:hAnsi="Arial" w:cs="Times New Roman"/>
          <w:kern w:val="28"/>
          <w:sz w:val="24"/>
          <w:szCs w:val="24"/>
          <w:lang w:val="en-US" w:eastAsia="en-GB"/>
        </w:rPr>
        <w:t xml:space="preserve"> </w:t>
      </w:r>
    </w:p>
    <w:p w:rsidR="003F298F" w:rsidRDefault="003F298F" w:rsidP="003F298F">
      <w:pPr>
        <w:spacing w:after="0" w:line="360" w:lineRule="auto"/>
        <w:contextualSpacing/>
        <w:jc w:val="both"/>
        <w:rPr>
          <w:rFonts w:ascii="Arial" w:eastAsia="Times New Roman" w:hAnsi="Arial" w:cs="Times New Roman"/>
          <w:kern w:val="28"/>
          <w:sz w:val="24"/>
          <w:szCs w:val="24"/>
          <w:lang w:val="en-US" w:eastAsia="en-GB"/>
        </w:rPr>
      </w:pPr>
    </w:p>
    <w:p w:rsidR="00155960"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[25]</w:t>
      </w:r>
      <w:r>
        <w:rPr>
          <w:rFonts w:ascii="Arial" w:eastAsia="Times New Roman" w:hAnsi="Arial" w:cs="Times New Roman"/>
          <w:kern w:val="28"/>
          <w:sz w:val="24"/>
          <w:szCs w:val="24"/>
          <w:lang w:val="en-US" w:eastAsia="en-GB"/>
        </w:rPr>
        <w:tab/>
      </w:r>
      <w:r w:rsidR="00F70ECA" w:rsidRPr="00B43213">
        <w:rPr>
          <w:rFonts w:ascii="Arial" w:eastAsia="Times New Roman" w:hAnsi="Arial" w:cs="Times New Roman"/>
          <w:kern w:val="28"/>
          <w:sz w:val="24"/>
          <w:szCs w:val="24"/>
          <w:lang w:val="en-US" w:eastAsia="en-GB"/>
        </w:rPr>
        <w:t xml:space="preserve">The second respondent </w:t>
      </w:r>
      <w:r w:rsidR="00155960" w:rsidRPr="00B43213">
        <w:rPr>
          <w:rFonts w:ascii="Arial" w:eastAsia="Times New Roman" w:hAnsi="Arial" w:cs="Times New Roman"/>
          <w:kern w:val="28"/>
          <w:sz w:val="24"/>
          <w:szCs w:val="24"/>
          <w:lang w:val="en-US" w:eastAsia="en-GB"/>
        </w:rPr>
        <w:t xml:space="preserve">in turn put the blame </w:t>
      </w:r>
      <w:r w:rsidR="00326304">
        <w:rPr>
          <w:rFonts w:ascii="Arial" w:eastAsia="Times New Roman" w:hAnsi="Arial" w:cs="Times New Roman"/>
          <w:kern w:val="28"/>
          <w:sz w:val="24"/>
          <w:szCs w:val="24"/>
          <w:lang w:val="en-US" w:eastAsia="en-GB"/>
        </w:rPr>
        <w:t xml:space="preserve">for the deterioration in their relationship </w:t>
      </w:r>
      <w:r w:rsidR="00155960" w:rsidRPr="00B43213">
        <w:rPr>
          <w:rFonts w:ascii="Arial" w:eastAsia="Times New Roman" w:hAnsi="Arial" w:cs="Times New Roman"/>
          <w:kern w:val="28"/>
          <w:sz w:val="24"/>
          <w:szCs w:val="24"/>
          <w:lang w:val="en-US" w:eastAsia="en-GB"/>
        </w:rPr>
        <w:t xml:space="preserve">on the first applicant and </w:t>
      </w:r>
      <w:r w:rsidR="00F70ECA" w:rsidRPr="00B43213">
        <w:rPr>
          <w:rFonts w:ascii="Arial" w:eastAsia="Times New Roman" w:hAnsi="Arial" w:cs="Times New Roman"/>
          <w:kern w:val="28"/>
          <w:sz w:val="24"/>
          <w:szCs w:val="24"/>
          <w:lang w:val="en-US" w:eastAsia="en-GB"/>
        </w:rPr>
        <w:t>accuse</w:t>
      </w:r>
      <w:r w:rsidR="00155960" w:rsidRPr="00B43213">
        <w:rPr>
          <w:rFonts w:ascii="Arial" w:eastAsia="Times New Roman" w:hAnsi="Arial" w:cs="Times New Roman"/>
          <w:kern w:val="28"/>
          <w:sz w:val="24"/>
          <w:szCs w:val="24"/>
          <w:lang w:val="en-US" w:eastAsia="en-GB"/>
        </w:rPr>
        <w:t>d</w:t>
      </w:r>
      <w:r w:rsidR="00F70ECA" w:rsidRPr="00B43213">
        <w:rPr>
          <w:rFonts w:ascii="Arial" w:eastAsia="Times New Roman" w:hAnsi="Arial" w:cs="Times New Roman"/>
          <w:kern w:val="28"/>
          <w:sz w:val="24"/>
          <w:szCs w:val="24"/>
          <w:lang w:val="en-US" w:eastAsia="en-GB"/>
        </w:rPr>
        <w:t xml:space="preserve"> </w:t>
      </w:r>
      <w:r w:rsidR="00155960" w:rsidRPr="00B43213">
        <w:rPr>
          <w:rFonts w:ascii="Arial" w:eastAsia="Times New Roman" w:hAnsi="Arial" w:cs="Times New Roman"/>
          <w:kern w:val="28"/>
          <w:sz w:val="24"/>
          <w:szCs w:val="24"/>
          <w:lang w:val="en-US" w:eastAsia="en-GB"/>
        </w:rPr>
        <w:t xml:space="preserve">him of </w:t>
      </w:r>
      <w:r w:rsidR="00F70ECA" w:rsidRPr="00B43213">
        <w:rPr>
          <w:rFonts w:ascii="Arial" w:eastAsia="Times New Roman" w:hAnsi="Arial" w:cs="Times New Roman"/>
          <w:kern w:val="28"/>
          <w:sz w:val="24"/>
          <w:szCs w:val="24"/>
          <w:lang w:val="en-US" w:eastAsia="en-GB"/>
        </w:rPr>
        <w:t xml:space="preserve">appropriating a corporate </w:t>
      </w:r>
      <w:r w:rsidR="00F70ECA" w:rsidRPr="00B43213">
        <w:rPr>
          <w:rFonts w:ascii="Arial" w:eastAsia="Times New Roman" w:hAnsi="Arial" w:cs="Times New Roman"/>
          <w:kern w:val="28"/>
          <w:sz w:val="24"/>
          <w:szCs w:val="24"/>
          <w:lang w:val="en-US" w:eastAsia="en-GB"/>
        </w:rPr>
        <w:lastRenderedPageBreak/>
        <w:t>opportunity of Swatco</w:t>
      </w:r>
      <w:r w:rsidR="00155960" w:rsidRPr="00B43213">
        <w:rPr>
          <w:rFonts w:ascii="Arial" w:eastAsia="Times New Roman" w:hAnsi="Arial" w:cs="Times New Roman"/>
          <w:kern w:val="28"/>
          <w:sz w:val="24"/>
          <w:szCs w:val="24"/>
          <w:lang w:val="en-US" w:eastAsia="en-GB"/>
        </w:rPr>
        <w:t xml:space="preserve"> pertaining to AK47 rifles</w:t>
      </w:r>
      <w:r w:rsidR="00F70ECA" w:rsidRPr="00B43213">
        <w:rPr>
          <w:rFonts w:ascii="Arial" w:eastAsia="Times New Roman" w:hAnsi="Arial" w:cs="Times New Roman"/>
          <w:kern w:val="28"/>
          <w:sz w:val="24"/>
          <w:szCs w:val="24"/>
          <w:lang w:val="en-US" w:eastAsia="en-GB"/>
        </w:rPr>
        <w:t>, being absent minded</w:t>
      </w:r>
      <w:r w:rsidR="00155960" w:rsidRPr="00B43213">
        <w:rPr>
          <w:rFonts w:ascii="Arial" w:eastAsia="Times New Roman" w:hAnsi="Arial" w:cs="Times New Roman"/>
          <w:kern w:val="28"/>
          <w:sz w:val="24"/>
          <w:szCs w:val="24"/>
          <w:lang w:val="en-US" w:eastAsia="en-GB"/>
        </w:rPr>
        <w:t xml:space="preserve"> and a deteriorating ability to safely handle firearms and having an inability and impaired capacity to contribute to the affairs of Swatco. </w:t>
      </w:r>
    </w:p>
    <w:p w:rsidR="00B43213" w:rsidRDefault="00B43213" w:rsidP="00B43213">
      <w:pPr>
        <w:pStyle w:val="ListParagraph"/>
        <w:rPr>
          <w:rFonts w:ascii="Arial" w:eastAsia="Times New Roman" w:hAnsi="Arial" w:cs="Times New Roman"/>
          <w:kern w:val="28"/>
          <w:sz w:val="24"/>
          <w:szCs w:val="24"/>
          <w:lang w:val="en-US" w:eastAsia="en-GB"/>
        </w:rPr>
      </w:pPr>
    </w:p>
    <w:p w:rsidR="00B43213"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[26]</w:t>
      </w:r>
      <w:r>
        <w:rPr>
          <w:rFonts w:ascii="Arial" w:eastAsia="Times New Roman" w:hAnsi="Arial" w:cs="Times New Roman"/>
          <w:kern w:val="28"/>
          <w:sz w:val="24"/>
          <w:szCs w:val="24"/>
          <w:lang w:val="en-US" w:eastAsia="en-GB"/>
        </w:rPr>
        <w:tab/>
      </w:r>
      <w:r w:rsidR="00155960" w:rsidRPr="00B43213">
        <w:rPr>
          <w:rFonts w:ascii="Arial" w:eastAsia="Times New Roman" w:hAnsi="Arial" w:cs="Times New Roman"/>
          <w:kern w:val="28"/>
          <w:sz w:val="24"/>
          <w:szCs w:val="24"/>
          <w:lang w:val="en-US" w:eastAsia="en-GB"/>
        </w:rPr>
        <w:t xml:space="preserve">It was not disputed that the first applicant </w:t>
      </w:r>
      <w:r w:rsidR="00923F2A">
        <w:rPr>
          <w:rFonts w:ascii="Arial" w:eastAsia="Times New Roman" w:hAnsi="Arial" w:cs="Times New Roman"/>
          <w:kern w:val="28"/>
          <w:sz w:val="24"/>
          <w:szCs w:val="24"/>
          <w:lang w:val="en-US" w:eastAsia="en-GB"/>
        </w:rPr>
        <w:t xml:space="preserve">was excluded </w:t>
      </w:r>
      <w:r w:rsidR="00155960" w:rsidRPr="00B43213">
        <w:rPr>
          <w:rFonts w:ascii="Arial" w:eastAsia="Times New Roman" w:hAnsi="Arial" w:cs="Times New Roman"/>
          <w:kern w:val="28"/>
          <w:sz w:val="24"/>
          <w:szCs w:val="24"/>
          <w:lang w:val="en-US" w:eastAsia="en-GB"/>
        </w:rPr>
        <w:t xml:space="preserve">from the management of the Swatco business during 2020. </w:t>
      </w:r>
      <w:r w:rsidR="00923F2A">
        <w:rPr>
          <w:rFonts w:ascii="Arial" w:eastAsia="Times New Roman" w:hAnsi="Arial" w:cs="Times New Roman"/>
          <w:kern w:val="28"/>
          <w:sz w:val="24"/>
          <w:szCs w:val="24"/>
          <w:lang w:val="en-US" w:eastAsia="en-GB"/>
        </w:rPr>
        <w:t xml:space="preserve">According to the first applicant, he was “frozen out” of the business by the second respondent. </w:t>
      </w:r>
      <w:r w:rsidR="00155960" w:rsidRPr="00B43213">
        <w:rPr>
          <w:rFonts w:ascii="Arial" w:eastAsia="Times New Roman" w:hAnsi="Arial" w:cs="Times New Roman"/>
          <w:kern w:val="28"/>
          <w:sz w:val="24"/>
          <w:szCs w:val="24"/>
          <w:lang w:val="en-US" w:eastAsia="en-GB"/>
        </w:rPr>
        <w:t>The second respondent</w:t>
      </w:r>
      <w:r w:rsidR="00923F2A">
        <w:rPr>
          <w:rFonts w:ascii="Arial" w:eastAsia="Times New Roman" w:hAnsi="Arial" w:cs="Times New Roman"/>
          <w:kern w:val="28"/>
          <w:sz w:val="24"/>
          <w:szCs w:val="24"/>
          <w:lang w:val="en-US" w:eastAsia="en-GB"/>
        </w:rPr>
        <w:t>, on the other hand</w:t>
      </w:r>
      <w:r w:rsidR="00326304">
        <w:rPr>
          <w:rFonts w:ascii="Arial" w:eastAsia="Times New Roman" w:hAnsi="Arial" w:cs="Times New Roman"/>
          <w:kern w:val="28"/>
          <w:sz w:val="24"/>
          <w:szCs w:val="24"/>
          <w:lang w:val="en-US" w:eastAsia="en-GB"/>
        </w:rPr>
        <w:t>,</w:t>
      </w:r>
      <w:r w:rsidR="00923F2A">
        <w:rPr>
          <w:rFonts w:ascii="Arial" w:eastAsia="Times New Roman" w:hAnsi="Arial" w:cs="Times New Roman"/>
          <w:kern w:val="28"/>
          <w:sz w:val="24"/>
          <w:szCs w:val="24"/>
          <w:lang w:val="en-US" w:eastAsia="en-GB"/>
        </w:rPr>
        <w:t xml:space="preserve"> accused the </w:t>
      </w:r>
      <w:r w:rsidR="00155960" w:rsidRPr="00B43213">
        <w:rPr>
          <w:rFonts w:ascii="Arial" w:eastAsia="Times New Roman" w:hAnsi="Arial" w:cs="Times New Roman"/>
          <w:kern w:val="28"/>
          <w:sz w:val="24"/>
          <w:szCs w:val="24"/>
          <w:lang w:val="en-US" w:eastAsia="en-GB"/>
        </w:rPr>
        <w:t xml:space="preserve">first applicant of adopting a supine attitude </w:t>
      </w:r>
      <w:r w:rsidR="00B43213" w:rsidRPr="00B43213">
        <w:rPr>
          <w:rFonts w:ascii="Arial" w:eastAsia="Times New Roman" w:hAnsi="Arial" w:cs="Times New Roman"/>
          <w:kern w:val="28"/>
          <w:sz w:val="24"/>
          <w:szCs w:val="24"/>
          <w:lang w:val="en-US" w:eastAsia="en-GB"/>
        </w:rPr>
        <w:t xml:space="preserve">and failing to meet his fiduciary duties to Swatco as he </w:t>
      </w:r>
      <w:r w:rsidR="00923F2A">
        <w:rPr>
          <w:rFonts w:ascii="Arial" w:eastAsia="Times New Roman" w:hAnsi="Arial" w:cs="Times New Roman"/>
          <w:kern w:val="28"/>
          <w:sz w:val="24"/>
          <w:szCs w:val="24"/>
          <w:lang w:val="en-US" w:eastAsia="en-GB"/>
        </w:rPr>
        <w:t xml:space="preserve">withdrew from and </w:t>
      </w:r>
      <w:r w:rsidR="00B43213" w:rsidRPr="00B43213">
        <w:rPr>
          <w:rFonts w:ascii="Arial" w:eastAsia="Times New Roman" w:hAnsi="Arial" w:cs="Times New Roman"/>
          <w:kern w:val="28"/>
          <w:sz w:val="24"/>
          <w:szCs w:val="24"/>
          <w:lang w:val="en-US" w:eastAsia="en-GB"/>
        </w:rPr>
        <w:t xml:space="preserve">did not involve himself in the management of the business. </w:t>
      </w:r>
      <w:r w:rsidR="00B43213">
        <w:rPr>
          <w:rFonts w:ascii="Arial" w:eastAsia="Times New Roman" w:hAnsi="Arial" w:cs="Times New Roman"/>
          <w:kern w:val="28"/>
          <w:sz w:val="24"/>
          <w:szCs w:val="24"/>
          <w:lang w:val="en-US" w:eastAsia="en-GB"/>
        </w:rPr>
        <w:t xml:space="preserve"> He further criticise</w:t>
      </w:r>
      <w:r w:rsidR="008D6E74">
        <w:rPr>
          <w:rFonts w:ascii="Arial" w:eastAsia="Times New Roman" w:hAnsi="Arial" w:cs="Times New Roman"/>
          <w:kern w:val="28"/>
          <w:sz w:val="24"/>
          <w:szCs w:val="24"/>
          <w:lang w:val="en-US" w:eastAsia="en-GB"/>
        </w:rPr>
        <w:t>d</w:t>
      </w:r>
      <w:r w:rsidR="00B43213">
        <w:rPr>
          <w:rFonts w:ascii="Arial" w:eastAsia="Times New Roman" w:hAnsi="Arial" w:cs="Times New Roman"/>
          <w:kern w:val="28"/>
          <w:sz w:val="24"/>
          <w:szCs w:val="24"/>
          <w:lang w:val="en-US" w:eastAsia="en-GB"/>
        </w:rPr>
        <w:t xml:space="preserve"> the first applicant for</w:t>
      </w:r>
      <w:r w:rsidR="00155960" w:rsidRPr="00B43213">
        <w:rPr>
          <w:rFonts w:ascii="Arial" w:eastAsia="Times New Roman" w:hAnsi="Arial" w:cs="Times New Roman"/>
          <w:kern w:val="28"/>
          <w:sz w:val="24"/>
          <w:szCs w:val="24"/>
          <w:lang w:val="en-US" w:eastAsia="en-GB"/>
        </w:rPr>
        <w:t xml:space="preserve"> failing to take any steps </w:t>
      </w:r>
      <w:r w:rsidR="008D6E74">
        <w:rPr>
          <w:rFonts w:ascii="Arial" w:eastAsia="Times New Roman" w:hAnsi="Arial" w:cs="Times New Roman"/>
          <w:kern w:val="28"/>
          <w:sz w:val="24"/>
          <w:szCs w:val="24"/>
          <w:lang w:val="en-US" w:eastAsia="en-GB"/>
        </w:rPr>
        <w:t xml:space="preserve">and using remedies at his disposal to renew his involvement in </w:t>
      </w:r>
      <w:r w:rsidR="00155960" w:rsidRPr="00B43213">
        <w:rPr>
          <w:rFonts w:ascii="Arial" w:eastAsia="Times New Roman" w:hAnsi="Arial" w:cs="Times New Roman"/>
          <w:kern w:val="28"/>
          <w:sz w:val="24"/>
          <w:szCs w:val="24"/>
          <w:lang w:val="en-US" w:eastAsia="en-GB"/>
        </w:rPr>
        <w:t>the Swatco business.</w:t>
      </w:r>
      <w:r w:rsidR="00B43213">
        <w:rPr>
          <w:rFonts w:ascii="Arial" w:eastAsia="Times New Roman" w:hAnsi="Arial" w:cs="Times New Roman"/>
          <w:kern w:val="28"/>
          <w:sz w:val="24"/>
          <w:szCs w:val="24"/>
          <w:lang w:val="en-US" w:eastAsia="en-GB"/>
        </w:rPr>
        <w:t xml:space="preserve"> </w:t>
      </w:r>
    </w:p>
    <w:p w:rsidR="00B43213" w:rsidRDefault="00B43213" w:rsidP="00B43213">
      <w:pPr>
        <w:pStyle w:val="ListParagraph"/>
        <w:rPr>
          <w:rFonts w:ascii="Arial" w:eastAsia="Times New Roman" w:hAnsi="Arial" w:cs="Times New Roman"/>
          <w:kern w:val="28"/>
          <w:sz w:val="24"/>
          <w:szCs w:val="24"/>
          <w:lang w:val="en-US" w:eastAsia="en-GB"/>
        </w:rPr>
      </w:pPr>
    </w:p>
    <w:p w:rsidR="00BB65F0"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[27]</w:t>
      </w:r>
      <w:r>
        <w:rPr>
          <w:rFonts w:ascii="Arial" w:eastAsia="Times New Roman" w:hAnsi="Arial" w:cs="Times New Roman"/>
          <w:kern w:val="28"/>
          <w:sz w:val="24"/>
          <w:szCs w:val="24"/>
          <w:lang w:val="en-US" w:eastAsia="en-GB"/>
        </w:rPr>
        <w:tab/>
      </w:r>
      <w:r w:rsidR="00326304" w:rsidRPr="00326304">
        <w:rPr>
          <w:rFonts w:ascii="Arial" w:eastAsia="Times New Roman" w:hAnsi="Arial" w:cs="Times New Roman"/>
          <w:kern w:val="28"/>
          <w:sz w:val="24"/>
          <w:szCs w:val="24"/>
          <w:lang w:val="en-US" w:eastAsia="en-GB"/>
        </w:rPr>
        <w:t xml:space="preserve">The second respondent admitted a breakdown in the relationship between him and the first applicant but contended that the breakdown was caused by the first applicant and that he has not approached the court with clean hands, thus disentitling him to relief. </w:t>
      </w:r>
    </w:p>
    <w:p w:rsidR="00BB65F0" w:rsidRDefault="00BB65F0" w:rsidP="00BB65F0">
      <w:pPr>
        <w:pStyle w:val="ListParagraph"/>
        <w:rPr>
          <w:rFonts w:ascii="Arial" w:eastAsia="Times New Roman" w:hAnsi="Arial" w:cs="Times New Roman"/>
          <w:kern w:val="28"/>
          <w:sz w:val="24"/>
          <w:szCs w:val="24"/>
          <w:lang w:val="en-US" w:eastAsia="en-GB"/>
        </w:rPr>
      </w:pPr>
    </w:p>
    <w:p w:rsidR="00BB65F0"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[28]</w:t>
      </w:r>
      <w:r>
        <w:rPr>
          <w:rFonts w:ascii="Arial" w:eastAsia="Times New Roman" w:hAnsi="Arial" w:cs="Times New Roman"/>
          <w:kern w:val="28"/>
          <w:sz w:val="24"/>
          <w:szCs w:val="24"/>
          <w:lang w:val="en-US" w:eastAsia="en-GB"/>
        </w:rPr>
        <w:tab/>
      </w:r>
      <w:r w:rsidR="00326304" w:rsidRPr="00BB65F0">
        <w:rPr>
          <w:rFonts w:ascii="Arial" w:eastAsia="Times New Roman" w:hAnsi="Arial" w:cs="Times New Roman"/>
          <w:kern w:val="28"/>
          <w:sz w:val="24"/>
          <w:szCs w:val="24"/>
          <w:lang w:val="en-US" w:eastAsia="en-GB"/>
        </w:rPr>
        <w:t>He further contended that there was still a spectre of a relationship in that the first applicant has attended on a daily basis at the shop, interacted freely with staff and customers, still performs some work for Swatco and generally appears unfa</w:t>
      </w:r>
      <w:r w:rsidR="00202C61">
        <w:rPr>
          <w:rFonts w:ascii="Arial" w:eastAsia="Times New Roman" w:hAnsi="Arial" w:cs="Times New Roman"/>
          <w:kern w:val="28"/>
          <w:sz w:val="24"/>
          <w:szCs w:val="24"/>
          <w:lang w:val="en-US" w:eastAsia="en-GB"/>
        </w:rPr>
        <w:t>z</w:t>
      </w:r>
      <w:r w:rsidR="00326304" w:rsidRPr="00BB65F0">
        <w:rPr>
          <w:rFonts w:ascii="Arial" w:eastAsia="Times New Roman" w:hAnsi="Arial" w:cs="Times New Roman"/>
          <w:kern w:val="28"/>
          <w:sz w:val="24"/>
          <w:szCs w:val="24"/>
          <w:lang w:val="en-US" w:eastAsia="en-GB"/>
        </w:rPr>
        <w:t xml:space="preserve">ed. </w:t>
      </w:r>
    </w:p>
    <w:p w:rsidR="00BB65F0" w:rsidRDefault="00BB65F0" w:rsidP="00BB65F0">
      <w:pPr>
        <w:pStyle w:val="ListParagraph"/>
        <w:rPr>
          <w:rFonts w:ascii="Arial" w:eastAsia="Times New Roman" w:hAnsi="Arial" w:cs="Times New Roman"/>
          <w:kern w:val="28"/>
          <w:sz w:val="24"/>
          <w:szCs w:val="24"/>
          <w:lang w:val="en-US" w:eastAsia="en-GB"/>
        </w:rPr>
      </w:pPr>
    </w:p>
    <w:p w:rsidR="00BB65F0"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[29]</w:t>
      </w:r>
      <w:r>
        <w:rPr>
          <w:rFonts w:ascii="Arial" w:eastAsia="Times New Roman" w:hAnsi="Arial" w:cs="Times New Roman"/>
          <w:kern w:val="28"/>
          <w:sz w:val="24"/>
          <w:szCs w:val="24"/>
          <w:lang w:val="en-US" w:eastAsia="en-GB"/>
        </w:rPr>
        <w:tab/>
      </w:r>
      <w:r w:rsidR="00326304" w:rsidRPr="00BB65F0">
        <w:rPr>
          <w:rFonts w:ascii="Arial" w:eastAsia="Times New Roman" w:hAnsi="Arial" w:cs="Times New Roman"/>
          <w:kern w:val="28"/>
          <w:sz w:val="24"/>
          <w:szCs w:val="24"/>
          <w:lang w:val="en-US" w:eastAsia="en-GB"/>
        </w:rPr>
        <w:t xml:space="preserve">On this basis it was argued that there were various alternative steps which </w:t>
      </w:r>
      <w:r w:rsidR="008D6E74" w:rsidRPr="00BB65F0">
        <w:rPr>
          <w:rFonts w:ascii="Arial" w:eastAsia="Times New Roman" w:hAnsi="Arial" w:cs="Times New Roman"/>
          <w:kern w:val="28"/>
          <w:sz w:val="24"/>
          <w:szCs w:val="24"/>
          <w:lang w:val="en-US" w:eastAsia="en-GB"/>
        </w:rPr>
        <w:t>the first applicant should have taken</w:t>
      </w:r>
      <w:r w:rsidR="00326304" w:rsidRPr="00BB65F0">
        <w:rPr>
          <w:rFonts w:ascii="Arial" w:eastAsia="Times New Roman" w:hAnsi="Arial" w:cs="Times New Roman"/>
          <w:kern w:val="28"/>
          <w:sz w:val="24"/>
          <w:szCs w:val="24"/>
          <w:lang w:val="en-US" w:eastAsia="en-GB"/>
        </w:rPr>
        <w:t xml:space="preserve"> as an alternative to launching winding up proceedings. </w:t>
      </w:r>
      <w:r w:rsidR="008D6E74" w:rsidRPr="00BB65F0">
        <w:rPr>
          <w:rFonts w:ascii="Arial" w:eastAsia="Times New Roman" w:hAnsi="Arial" w:cs="Times New Roman"/>
          <w:kern w:val="28"/>
          <w:sz w:val="24"/>
          <w:szCs w:val="24"/>
          <w:lang w:val="en-US" w:eastAsia="en-GB"/>
        </w:rPr>
        <w:t xml:space="preserve">These </w:t>
      </w:r>
      <w:r w:rsidR="00326304" w:rsidRPr="00BB65F0">
        <w:rPr>
          <w:rFonts w:ascii="Arial" w:eastAsia="Times New Roman" w:hAnsi="Arial" w:cs="Times New Roman"/>
          <w:kern w:val="28"/>
          <w:sz w:val="24"/>
          <w:szCs w:val="24"/>
          <w:lang w:val="en-US" w:eastAsia="en-GB"/>
        </w:rPr>
        <w:t xml:space="preserve">steps </w:t>
      </w:r>
      <w:r w:rsidR="00BB65F0">
        <w:rPr>
          <w:rFonts w:ascii="Arial" w:eastAsia="Times New Roman" w:hAnsi="Arial" w:cs="Times New Roman"/>
          <w:kern w:val="28"/>
          <w:sz w:val="24"/>
          <w:szCs w:val="24"/>
          <w:lang w:val="en-US" w:eastAsia="en-GB"/>
        </w:rPr>
        <w:t>were</w:t>
      </w:r>
      <w:r w:rsidR="008D6E74" w:rsidRPr="00BB65F0">
        <w:rPr>
          <w:rFonts w:ascii="Arial" w:eastAsia="Times New Roman" w:hAnsi="Arial" w:cs="Times New Roman"/>
          <w:kern w:val="28"/>
          <w:sz w:val="24"/>
          <w:szCs w:val="24"/>
          <w:lang w:val="en-US" w:eastAsia="en-GB"/>
        </w:rPr>
        <w:t xml:space="preserve">: (i) to informally approach the second </w:t>
      </w:r>
      <w:r w:rsidR="00202C61">
        <w:rPr>
          <w:rFonts w:ascii="Arial" w:eastAsia="Times New Roman" w:hAnsi="Arial" w:cs="Times New Roman"/>
          <w:kern w:val="28"/>
          <w:sz w:val="24"/>
          <w:szCs w:val="24"/>
          <w:lang w:val="en-US" w:eastAsia="en-GB"/>
        </w:rPr>
        <w:t>respondent</w:t>
      </w:r>
      <w:r w:rsidR="008D6E74" w:rsidRPr="00BB65F0">
        <w:rPr>
          <w:rFonts w:ascii="Arial" w:eastAsia="Times New Roman" w:hAnsi="Arial" w:cs="Times New Roman"/>
          <w:kern w:val="28"/>
          <w:sz w:val="24"/>
          <w:szCs w:val="24"/>
          <w:lang w:val="en-US" w:eastAsia="en-GB"/>
        </w:rPr>
        <w:t xml:space="preserve"> to discuss his complaints; (ii) meeting with the second respondent and the accountant Mr Roth to do so; (iii) invoking the statutory remedies under s 48 of the Close Corporation Act to convene a members meeting to deal with his position formally; (iv) invoking the statutory remedy under s 49 of the Close Corporations Act based on second respondent’s alleged unfairly prejudicial, unjust or inequitable conduct to apply for wide and discretionary just and equitable relief short of winding up or (v) to </w:t>
      </w:r>
      <w:r w:rsidR="008D6E74" w:rsidRPr="00BB65F0">
        <w:rPr>
          <w:rFonts w:ascii="Arial" w:eastAsia="Times New Roman" w:hAnsi="Arial" w:cs="Times New Roman"/>
          <w:kern w:val="28"/>
          <w:sz w:val="24"/>
          <w:szCs w:val="24"/>
          <w:lang w:val="en-US" w:eastAsia="en-GB"/>
        </w:rPr>
        <w:lastRenderedPageBreak/>
        <w:t>withdraw from Swatco under s</w:t>
      </w:r>
      <w:r w:rsidR="00BB65F0" w:rsidRPr="00BB65F0">
        <w:rPr>
          <w:rFonts w:ascii="Arial" w:eastAsia="Times New Roman" w:hAnsi="Arial" w:cs="Times New Roman"/>
          <w:kern w:val="28"/>
          <w:sz w:val="24"/>
          <w:szCs w:val="24"/>
          <w:lang w:val="en-US" w:eastAsia="en-GB"/>
        </w:rPr>
        <w:t xml:space="preserve"> </w:t>
      </w:r>
      <w:r w:rsidR="008D6E74" w:rsidRPr="00BB65F0">
        <w:rPr>
          <w:rFonts w:ascii="Arial" w:eastAsia="Times New Roman" w:hAnsi="Arial" w:cs="Times New Roman"/>
          <w:kern w:val="28"/>
          <w:sz w:val="24"/>
          <w:szCs w:val="24"/>
          <w:lang w:val="en-US" w:eastAsia="en-GB"/>
        </w:rPr>
        <w:t xml:space="preserve">36 of the Act that his membership interest be purchased for a fair value. </w:t>
      </w:r>
      <w:r w:rsidR="00BB65F0" w:rsidRPr="00BB65F0">
        <w:rPr>
          <w:rFonts w:ascii="Arial" w:eastAsia="Times New Roman" w:hAnsi="Arial" w:cs="Times New Roman"/>
          <w:kern w:val="28"/>
          <w:sz w:val="24"/>
          <w:szCs w:val="24"/>
          <w:lang w:val="en-US" w:eastAsia="en-GB"/>
        </w:rPr>
        <w:t>It was argued that the first applicant’s failure to avail himself of the remedy provided under s 36 illustrates that he has not approached the court with clean hands.</w:t>
      </w:r>
    </w:p>
    <w:p w:rsidR="00BB65F0" w:rsidRPr="00BB65F0" w:rsidRDefault="00BB65F0" w:rsidP="00BB65F0">
      <w:pPr>
        <w:spacing w:after="0" w:line="360" w:lineRule="auto"/>
        <w:ind w:left="360"/>
        <w:contextualSpacing/>
        <w:jc w:val="both"/>
        <w:rPr>
          <w:rFonts w:ascii="Arial" w:eastAsia="Times New Roman" w:hAnsi="Arial" w:cs="Times New Roman"/>
          <w:kern w:val="28"/>
          <w:sz w:val="24"/>
          <w:szCs w:val="24"/>
          <w:lang w:val="en-US" w:eastAsia="en-GB"/>
        </w:rPr>
      </w:pPr>
    </w:p>
    <w:p w:rsidR="00B340FC" w:rsidRPr="00950027"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[30]</w:t>
      </w:r>
      <w:r>
        <w:rPr>
          <w:rFonts w:ascii="Arial" w:eastAsia="Times New Roman" w:hAnsi="Arial" w:cs="Times New Roman"/>
          <w:kern w:val="28"/>
          <w:sz w:val="24"/>
          <w:szCs w:val="24"/>
          <w:lang w:val="en-US" w:eastAsia="en-GB"/>
        </w:rPr>
        <w:tab/>
      </w:r>
      <w:r w:rsidR="00326304" w:rsidRPr="00950027">
        <w:rPr>
          <w:rFonts w:ascii="Arial" w:eastAsia="Times New Roman" w:hAnsi="Arial" w:cs="Times New Roman"/>
          <w:kern w:val="28"/>
          <w:sz w:val="24"/>
          <w:szCs w:val="24"/>
          <w:lang w:val="en-US" w:eastAsia="en-GB"/>
        </w:rPr>
        <w:t xml:space="preserve">Against this background it is necessary to consider </w:t>
      </w:r>
      <w:r w:rsidR="00295A22" w:rsidRPr="00950027">
        <w:rPr>
          <w:rFonts w:ascii="Arial" w:eastAsia="Times New Roman" w:hAnsi="Arial" w:cs="Times New Roman"/>
          <w:kern w:val="28"/>
          <w:sz w:val="24"/>
          <w:szCs w:val="24"/>
          <w:lang w:val="en-US" w:eastAsia="en-GB"/>
        </w:rPr>
        <w:t xml:space="preserve">and apply </w:t>
      </w:r>
      <w:r w:rsidR="00326304" w:rsidRPr="00950027">
        <w:rPr>
          <w:rFonts w:ascii="Arial" w:eastAsia="Times New Roman" w:hAnsi="Arial" w:cs="Times New Roman"/>
          <w:kern w:val="28"/>
          <w:sz w:val="24"/>
          <w:szCs w:val="24"/>
          <w:lang w:val="en-US" w:eastAsia="en-GB"/>
        </w:rPr>
        <w:t>the relevant legal principles.</w:t>
      </w:r>
      <w:r w:rsidR="00950027">
        <w:rPr>
          <w:rFonts w:ascii="Arial" w:eastAsia="Times New Roman" w:hAnsi="Arial" w:cs="Times New Roman"/>
          <w:kern w:val="28"/>
          <w:sz w:val="24"/>
          <w:szCs w:val="24"/>
          <w:lang w:val="en-US" w:eastAsia="en-GB"/>
        </w:rPr>
        <w:t xml:space="preserve"> </w:t>
      </w:r>
      <w:r w:rsidR="00C5682A" w:rsidRPr="00950027">
        <w:rPr>
          <w:rFonts w:ascii="Arial" w:eastAsia="Times New Roman" w:hAnsi="Arial" w:cs="Times New Roman"/>
          <w:kern w:val="28"/>
          <w:sz w:val="24"/>
          <w:szCs w:val="24"/>
          <w:lang w:val="en-US" w:eastAsia="en-GB"/>
        </w:rPr>
        <w:t>T</w:t>
      </w:r>
      <w:r w:rsidR="00CB7EA5" w:rsidRPr="00950027">
        <w:rPr>
          <w:rFonts w:ascii="Arial" w:eastAsia="Times New Roman" w:hAnsi="Arial" w:cs="Times New Roman"/>
          <w:kern w:val="28"/>
          <w:sz w:val="24"/>
          <w:szCs w:val="24"/>
          <w:lang w:val="en-US" w:eastAsia="en-GB"/>
        </w:rPr>
        <w:t>he “deadlock principle”</w:t>
      </w:r>
      <w:r w:rsidR="00CB7EA5">
        <w:rPr>
          <w:rStyle w:val="FootnoteReference"/>
          <w:rFonts w:ascii="Arial" w:eastAsia="Times New Roman" w:hAnsi="Arial" w:cs="Times New Roman"/>
          <w:kern w:val="28"/>
          <w:sz w:val="24"/>
          <w:szCs w:val="24"/>
          <w:lang w:val="en-US" w:eastAsia="en-GB"/>
        </w:rPr>
        <w:footnoteReference w:id="8"/>
      </w:r>
      <w:r w:rsidR="00C5682A" w:rsidRPr="00950027">
        <w:rPr>
          <w:rFonts w:ascii="Arial" w:eastAsia="Times New Roman" w:hAnsi="Arial" w:cs="Times New Roman"/>
          <w:kern w:val="28"/>
          <w:sz w:val="24"/>
          <w:szCs w:val="24"/>
          <w:lang w:val="en-US" w:eastAsia="en-GB"/>
        </w:rPr>
        <w:t xml:space="preserve"> was</w:t>
      </w:r>
      <w:r w:rsidR="00B340FC" w:rsidRPr="00950027">
        <w:rPr>
          <w:rFonts w:ascii="Arial" w:eastAsia="Times New Roman" w:hAnsi="Arial" w:cs="Times New Roman"/>
          <w:kern w:val="28"/>
          <w:sz w:val="24"/>
          <w:szCs w:val="24"/>
          <w:lang w:val="en-US" w:eastAsia="en-GB"/>
        </w:rPr>
        <w:t xml:space="preserve"> enunciated thus in </w:t>
      </w:r>
      <w:r w:rsidR="001D7D98" w:rsidRPr="00950027">
        <w:rPr>
          <w:rFonts w:ascii="Arial" w:eastAsia="Times New Roman" w:hAnsi="Arial" w:cs="Times New Roman"/>
          <w:i/>
          <w:kern w:val="28"/>
          <w:sz w:val="24"/>
          <w:szCs w:val="24"/>
          <w:lang w:eastAsia="en-GB"/>
        </w:rPr>
        <w:t>Moosa NO v Maviee Bhawan (Pty) Ltd and Another</w:t>
      </w:r>
      <w:r w:rsidR="001D7D98" w:rsidRPr="00950027">
        <w:rPr>
          <w:rFonts w:ascii="Arial" w:eastAsia="Times New Roman" w:hAnsi="Arial" w:cs="Times New Roman"/>
          <w:kern w:val="28"/>
          <w:sz w:val="24"/>
          <w:szCs w:val="24"/>
          <w:lang w:eastAsia="en-GB"/>
        </w:rPr>
        <w:t>:</w:t>
      </w:r>
    </w:p>
    <w:p w:rsidR="00B340FC" w:rsidRDefault="00B340FC" w:rsidP="00B340FC">
      <w:pPr>
        <w:pStyle w:val="ListParagraph"/>
        <w:rPr>
          <w:rFonts w:ascii="Arial" w:eastAsia="Times New Roman" w:hAnsi="Arial" w:cs="Times New Roman"/>
          <w:kern w:val="28"/>
          <w:sz w:val="24"/>
          <w:szCs w:val="24"/>
          <w:lang w:val="en-US" w:eastAsia="en-GB"/>
        </w:rPr>
      </w:pPr>
    </w:p>
    <w:p w:rsidR="00CB7EA5" w:rsidRPr="001D7D98" w:rsidRDefault="00B340FC" w:rsidP="003F298F">
      <w:pPr>
        <w:spacing w:after="0" w:line="240" w:lineRule="auto"/>
        <w:ind w:left="720"/>
        <w:contextualSpacing/>
        <w:jc w:val="both"/>
        <w:rPr>
          <w:rFonts w:ascii="Arial" w:eastAsia="Times New Roman" w:hAnsi="Arial" w:cs="Times New Roman"/>
          <w:i/>
          <w:kern w:val="28"/>
          <w:sz w:val="20"/>
          <w:szCs w:val="20"/>
          <w:lang w:val="en-US" w:eastAsia="en-GB"/>
        </w:rPr>
      </w:pPr>
      <w:r w:rsidRPr="001D7D98">
        <w:rPr>
          <w:rFonts w:ascii="Arial" w:eastAsia="Times New Roman" w:hAnsi="Arial" w:cs="Times New Roman"/>
          <w:i/>
          <w:kern w:val="28"/>
          <w:sz w:val="20"/>
          <w:szCs w:val="20"/>
          <w:lang w:val="en-US" w:eastAsia="en-GB"/>
        </w:rPr>
        <w:t>“[t]he deadlock principle is founded on the analogy of partnership and is strictly confined to those small domestic companies in which, because of some arrangement express, tacit or impl</w:t>
      </w:r>
      <w:r w:rsidR="00A56AB3">
        <w:rPr>
          <w:rFonts w:ascii="Arial" w:eastAsia="Times New Roman" w:hAnsi="Arial" w:cs="Times New Roman"/>
          <w:i/>
          <w:kern w:val="28"/>
          <w:sz w:val="20"/>
          <w:szCs w:val="20"/>
          <w:lang w:val="en-US" w:eastAsia="en-GB"/>
        </w:rPr>
        <w:t>i</w:t>
      </w:r>
      <w:r w:rsidRPr="001D7D98">
        <w:rPr>
          <w:rFonts w:ascii="Arial" w:eastAsia="Times New Roman" w:hAnsi="Arial" w:cs="Times New Roman"/>
          <w:i/>
          <w:kern w:val="28"/>
          <w:sz w:val="20"/>
          <w:szCs w:val="20"/>
          <w:lang w:val="en-US" w:eastAsia="en-GB"/>
        </w:rPr>
        <w:t>ed there exists between the members in regard to the company’s affairs a particular relationship of confidence and trust similar to that existing between partners in regard to the partnership business. Usually that relationship is such that it requires the members to act reasonably and honestly towards one another and with friendly cooperation in running o</w:t>
      </w:r>
      <w:r w:rsidR="00C5682A">
        <w:rPr>
          <w:rFonts w:ascii="Arial" w:eastAsia="Times New Roman" w:hAnsi="Arial" w:cs="Times New Roman"/>
          <w:i/>
          <w:kern w:val="28"/>
          <w:sz w:val="20"/>
          <w:szCs w:val="20"/>
          <w:lang w:val="en-US" w:eastAsia="en-GB"/>
        </w:rPr>
        <w:t xml:space="preserve">f </w:t>
      </w:r>
      <w:r w:rsidRPr="001D7D98">
        <w:rPr>
          <w:rFonts w:ascii="Arial" w:eastAsia="Times New Roman" w:hAnsi="Arial" w:cs="Times New Roman"/>
          <w:i/>
          <w:kern w:val="28"/>
          <w:sz w:val="20"/>
          <w:szCs w:val="20"/>
          <w:lang w:val="en-US" w:eastAsia="en-GB"/>
        </w:rPr>
        <w:t xml:space="preserve">the company’s affairs. If by conduct which is either wrongful or not as contemplated by the arrangement one or more of the members destroy that relationship, the other member or members are entitled to claim that it is just and equitable that the company should be wound up in the same way as, if they were partners they could claim dissolution of the partnership”. </w:t>
      </w:r>
    </w:p>
    <w:p w:rsidR="00CB7EA5" w:rsidRDefault="00CB7EA5" w:rsidP="00CB7EA5">
      <w:pPr>
        <w:pStyle w:val="ListParagraph"/>
        <w:rPr>
          <w:rFonts w:ascii="Arial" w:eastAsia="Times New Roman" w:hAnsi="Arial" w:cs="Times New Roman"/>
          <w:i/>
          <w:kern w:val="28"/>
          <w:sz w:val="24"/>
          <w:szCs w:val="24"/>
          <w:lang w:val="en-US" w:eastAsia="en-GB"/>
        </w:rPr>
      </w:pPr>
    </w:p>
    <w:p w:rsidR="00CB7EA5"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r>
        <w:rPr>
          <w:rFonts w:ascii="Arial" w:eastAsia="Times New Roman" w:hAnsi="Arial" w:cs="Times New Roman"/>
          <w:kern w:val="28"/>
          <w:sz w:val="24"/>
          <w:szCs w:val="24"/>
          <w:lang w:val="en-US" w:eastAsia="en-GB"/>
        </w:rPr>
        <w:t>[31]</w:t>
      </w:r>
      <w:r>
        <w:rPr>
          <w:rFonts w:ascii="Arial" w:eastAsia="Times New Roman" w:hAnsi="Arial" w:cs="Times New Roman"/>
          <w:kern w:val="28"/>
          <w:sz w:val="24"/>
          <w:szCs w:val="24"/>
          <w:lang w:val="en-US" w:eastAsia="en-GB"/>
        </w:rPr>
        <w:tab/>
      </w:r>
      <w:r w:rsidR="001D7D98">
        <w:rPr>
          <w:rFonts w:ascii="Arial" w:eastAsia="Times New Roman" w:hAnsi="Arial" w:cs="Times New Roman"/>
          <w:kern w:val="28"/>
          <w:sz w:val="24"/>
          <w:szCs w:val="24"/>
          <w:lang w:val="en-US" w:eastAsia="en-GB"/>
        </w:rPr>
        <w:t xml:space="preserve">These principles were restated by the Supreme Court of Appeal in </w:t>
      </w:r>
      <w:r w:rsidR="001D7D98" w:rsidRPr="00483B68">
        <w:rPr>
          <w:rFonts w:ascii="Arial" w:eastAsia="Times New Roman" w:hAnsi="Arial" w:cs="Times New Roman"/>
          <w:i/>
          <w:kern w:val="28"/>
          <w:sz w:val="24"/>
          <w:szCs w:val="24"/>
          <w:lang w:val="en-US" w:eastAsia="en-GB"/>
        </w:rPr>
        <w:t>Apco Africa (Pty) Ltd v Apco Wor</w:t>
      </w:r>
      <w:r w:rsidR="002B4944">
        <w:rPr>
          <w:rFonts w:ascii="Arial" w:eastAsia="Times New Roman" w:hAnsi="Arial" w:cs="Times New Roman"/>
          <w:i/>
          <w:kern w:val="28"/>
          <w:sz w:val="24"/>
          <w:szCs w:val="24"/>
          <w:lang w:val="en-US" w:eastAsia="en-GB"/>
        </w:rPr>
        <w:t>l</w:t>
      </w:r>
      <w:r w:rsidR="001D7D98" w:rsidRPr="00483B68">
        <w:rPr>
          <w:rFonts w:ascii="Arial" w:eastAsia="Times New Roman" w:hAnsi="Arial" w:cs="Times New Roman"/>
          <w:i/>
          <w:kern w:val="28"/>
          <w:sz w:val="24"/>
          <w:szCs w:val="24"/>
          <w:lang w:val="en-US" w:eastAsia="en-GB"/>
        </w:rPr>
        <w:t>dwide Inc</w:t>
      </w:r>
      <w:r w:rsidR="001D7D98">
        <w:rPr>
          <w:rStyle w:val="FootnoteReference"/>
          <w:rFonts w:ascii="Arial" w:eastAsia="Times New Roman" w:hAnsi="Arial" w:cs="Times New Roman"/>
          <w:kern w:val="28"/>
          <w:sz w:val="24"/>
          <w:szCs w:val="24"/>
          <w:lang w:val="en-US" w:eastAsia="en-GB"/>
        </w:rPr>
        <w:footnoteReference w:id="9"/>
      </w:r>
      <w:r w:rsidR="00483B68">
        <w:rPr>
          <w:rFonts w:ascii="Arial" w:eastAsia="Times New Roman" w:hAnsi="Arial" w:cs="Times New Roman"/>
          <w:i/>
          <w:kern w:val="28"/>
          <w:sz w:val="24"/>
          <w:szCs w:val="24"/>
          <w:lang w:val="en-US" w:eastAsia="en-GB"/>
        </w:rPr>
        <w:t xml:space="preserve"> (“Apco”)</w:t>
      </w:r>
      <w:r w:rsidR="001D7D98">
        <w:rPr>
          <w:rFonts w:ascii="Arial" w:eastAsia="Times New Roman" w:hAnsi="Arial" w:cs="Times New Roman"/>
          <w:kern w:val="28"/>
          <w:sz w:val="24"/>
          <w:szCs w:val="24"/>
          <w:lang w:val="en-US" w:eastAsia="en-GB"/>
        </w:rPr>
        <w:t xml:space="preserve">, and in </w:t>
      </w:r>
      <w:r w:rsidR="001D7D98" w:rsidRPr="00483B68">
        <w:rPr>
          <w:rFonts w:ascii="Arial" w:eastAsia="Times New Roman" w:hAnsi="Arial" w:cs="Times New Roman"/>
          <w:i/>
          <w:kern w:val="28"/>
          <w:sz w:val="24"/>
          <w:szCs w:val="24"/>
          <w:lang w:val="en-US" w:eastAsia="en-GB"/>
        </w:rPr>
        <w:t>Thunder Cats Investments 92 (Pty) Ltd and Another v Nkonjane Economic Prospecting and Investment (Pty) Ltd and Others</w:t>
      </w:r>
      <w:r w:rsidR="001D7D98" w:rsidRPr="00483B68">
        <w:rPr>
          <w:rStyle w:val="FootnoteReference"/>
          <w:rFonts w:ascii="Arial" w:eastAsia="Times New Roman" w:hAnsi="Arial" w:cs="Times New Roman"/>
          <w:i/>
          <w:kern w:val="28"/>
          <w:sz w:val="24"/>
          <w:szCs w:val="24"/>
          <w:lang w:val="en-US" w:eastAsia="en-GB"/>
        </w:rPr>
        <w:footnoteReference w:id="10"/>
      </w:r>
      <w:r w:rsidR="00483B68" w:rsidRPr="00483B68">
        <w:rPr>
          <w:rFonts w:ascii="Arial" w:eastAsia="Times New Roman" w:hAnsi="Arial" w:cs="Times New Roman"/>
          <w:i/>
          <w:kern w:val="28"/>
          <w:sz w:val="24"/>
          <w:szCs w:val="24"/>
          <w:lang w:val="en-US" w:eastAsia="en-GB"/>
        </w:rPr>
        <w:t>(“Thunder Cats”).</w:t>
      </w:r>
      <w:r w:rsidR="001D7D98">
        <w:rPr>
          <w:rFonts w:ascii="Arial" w:eastAsia="Times New Roman" w:hAnsi="Arial" w:cs="Times New Roman"/>
          <w:kern w:val="28"/>
          <w:sz w:val="24"/>
          <w:szCs w:val="24"/>
          <w:lang w:val="en-US" w:eastAsia="en-GB"/>
        </w:rPr>
        <w:t xml:space="preserve"> </w:t>
      </w:r>
    </w:p>
    <w:p w:rsidR="00CD1131" w:rsidRDefault="00CD1131" w:rsidP="00CD1131">
      <w:pPr>
        <w:pStyle w:val="ListParagraph"/>
        <w:rPr>
          <w:rFonts w:ascii="Arial" w:eastAsia="Times New Roman" w:hAnsi="Arial" w:cs="Times New Roman"/>
          <w:i/>
          <w:kern w:val="28"/>
          <w:sz w:val="24"/>
          <w:szCs w:val="24"/>
          <w:lang w:val="en-US" w:eastAsia="en-GB"/>
        </w:rPr>
      </w:pPr>
    </w:p>
    <w:p w:rsidR="00BC1A77"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r>
        <w:rPr>
          <w:rFonts w:ascii="Arial" w:eastAsia="Times New Roman" w:hAnsi="Arial" w:cs="Times New Roman"/>
          <w:kern w:val="28"/>
          <w:sz w:val="24"/>
          <w:szCs w:val="24"/>
          <w:lang w:val="en-US" w:eastAsia="en-GB"/>
        </w:rPr>
        <w:t>[32]</w:t>
      </w:r>
      <w:r>
        <w:rPr>
          <w:rFonts w:ascii="Arial" w:eastAsia="Times New Roman" w:hAnsi="Arial" w:cs="Times New Roman"/>
          <w:kern w:val="28"/>
          <w:sz w:val="24"/>
          <w:szCs w:val="24"/>
          <w:lang w:val="en-US" w:eastAsia="en-GB"/>
        </w:rPr>
        <w:tab/>
      </w:r>
      <w:r w:rsidR="00BC1A77">
        <w:rPr>
          <w:rFonts w:ascii="Arial" w:eastAsia="Times New Roman" w:hAnsi="Arial" w:cs="Times New Roman"/>
          <w:kern w:val="28"/>
          <w:sz w:val="24"/>
          <w:szCs w:val="24"/>
          <w:lang w:val="en-US" w:eastAsia="en-GB"/>
        </w:rPr>
        <w:t xml:space="preserve">The second respondent heavily relied on the so called “clean hands” principle, enunciated thus in </w:t>
      </w:r>
      <w:r w:rsidR="00BC1A77" w:rsidRPr="00BC1A77">
        <w:rPr>
          <w:rFonts w:ascii="Arial" w:eastAsia="Times New Roman" w:hAnsi="Arial" w:cs="Times New Roman"/>
          <w:i/>
          <w:kern w:val="28"/>
          <w:sz w:val="24"/>
          <w:szCs w:val="24"/>
          <w:lang w:val="en-US" w:eastAsia="en-GB"/>
        </w:rPr>
        <w:t xml:space="preserve">Emphy and Another v </w:t>
      </w:r>
      <w:r w:rsidR="00BC1A77">
        <w:rPr>
          <w:rFonts w:ascii="Arial" w:eastAsia="Times New Roman" w:hAnsi="Arial" w:cs="Times New Roman"/>
          <w:i/>
          <w:kern w:val="28"/>
          <w:sz w:val="24"/>
          <w:szCs w:val="24"/>
          <w:lang w:val="en-US" w:eastAsia="en-GB"/>
        </w:rPr>
        <w:t>P</w:t>
      </w:r>
      <w:r w:rsidR="00BC1A77" w:rsidRPr="00BC1A77">
        <w:rPr>
          <w:rFonts w:ascii="Arial" w:eastAsia="Times New Roman" w:hAnsi="Arial" w:cs="Times New Roman"/>
          <w:i/>
          <w:kern w:val="28"/>
          <w:sz w:val="24"/>
          <w:szCs w:val="24"/>
          <w:lang w:val="en-US" w:eastAsia="en-GB"/>
        </w:rPr>
        <w:t>acer Properties (Pty) Ltd</w:t>
      </w:r>
      <w:r w:rsidR="00BC1A77" w:rsidRPr="00BC1A77">
        <w:rPr>
          <w:rStyle w:val="FootnoteReference"/>
          <w:rFonts w:ascii="Arial" w:eastAsia="Times New Roman" w:hAnsi="Arial" w:cs="Times New Roman"/>
          <w:i/>
          <w:kern w:val="28"/>
          <w:sz w:val="24"/>
          <w:szCs w:val="24"/>
          <w:lang w:val="en-US" w:eastAsia="en-GB"/>
        </w:rPr>
        <w:footnoteReference w:id="11"/>
      </w:r>
      <w:r w:rsidR="00BC1A77" w:rsidRPr="00BC1A77">
        <w:rPr>
          <w:rFonts w:ascii="Arial" w:eastAsia="Times New Roman" w:hAnsi="Arial" w:cs="Times New Roman"/>
          <w:i/>
          <w:kern w:val="28"/>
          <w:sz w:val="24"/>
          <w:szCs w:val="24"/>
          <w:lang w:val="en-US" w:eastAsia="en-GB"/>
        </w:rPr>
        <w:t xml:space="preserve"> (“Emphy”)</w:t>
      </w:r>
      <w:r w:rsidR="00BC1A77">
        <w:rPr>
          <w:rFonts w:ascii="Arial" w:eastAsia="Times New Roman" w:hAnsi="Arial" w:cs="Times New Roman"/>
          <w:i/>
          <w:kern w:val="28"/>
          <w:sz w:val="24"/>
          <w:szCs w:val="24"/>
          <w:lang w:val="en-US" w:eastAsia="en-GB"/>
        </w:rPr>
        <w:t>:</w:t>
      </w:r>
    </w:p>
    <w:p w:rsidR="00BC1A77" w:rsidRDefault="00BC1A77" w:rsidP="00BC1A77">
      <w:pPr>
        <w:pStyle w:val="ListParagraph"/>
        <w:rPr>
          <w:rFonts w:ascii="Arial" w:eastAsia="Times New Roman" w:hAnsi="Arial" w:cs="Times New Roman"/>
          <w:i/>
          <w:kern w:val="28"/>
          <w:sz w:val="24"/>
          <w:szCs w:val="24"/>
          <w:lang w:val="en-US" w:eastAsia="en-GB"/>
        </w:rPr>
      </w:pPr>
    </w:p>
    <w:p w:rsidR="00BC1A77" w:rsidRPr="00BC1A77" w:rsidRDefault="00BC1A77" w:rsidP="00BC1A77">
      <w:pPr>
        <w:spacing w:after="0" w:line="240" w:lineRule="auto"/>
        <w:ind w:left="720"/>
        <w:contextualSpacing/>
        <w:jc w:val="both"/>
        <w:rPr>
          <w:rFonts w:ascii="Arial" w:eastAsia="Times New Roman" w:hAnsi="Arial" w:cs="Times New Roman"/>
          <w:i/>
          <w:kern w:val="28"/>
          <w:sz w:val="20"/>
          <w:szCs w:val="20"/>
          <w:lang w:val="en-US" w:eastAsia="en-GB"/>
        </w:rPr>
      </w:pPr>
      <w:r w:rsidRPr="00BC1A77">
        <w:rPr>
          <w:rFonts w:ascii="Arial" w:eastAsia="Times New Roman" w:hAnsi="Arial" w:cs="Times New Roman"/>
          <w:i/>
          <w:kern w:val="28"/>
          <w:sz w:val="20"/>
          <w:szCs w:val="20"/>
          <w:lang w:val="en-US" w:eastAsia="en-GB"/>
        </w:rPr>
        <w:t>“…[a] petitioner who relies on the just and equitable clause must come to</w:t>
      </w:r>
      <w:r w:rsidR="008D6E74">
        <w:rPr>
          <w:rFonts w:ascii="Arial" w:eastAsia="Times New Roman" w:hAnsi="Arial" w:cs="Times New Roman"/>
          <w:i/>
          <w:kern w:val="28"/>
          <w:sz w:val="20"/>
          <w:szCs w:val="20"/>
          <w:lang w:val="en-US" w:eastAsia="en-GB"/>
        </w:rPr>
        <w:t xml:space="preserve"> </w:t>
      </w:r>
      <w:r w:rsidRPr="00BC1A77">
        <w:rPr>
          <w:rFonts w:ascii="Arial" w:eastAsia="Times New Roman" w:hAnsi="Arial" w:cs="Times New Roman"/>
          <w:i/>
          <w:kern w:val="28"/>
          <w:sz w:val="20"/>
          <w:szCs w:val="20"/>
          <w:lang w:val="en-US" w:eastAsia="en-GB"/>
        </w:rPr>
        <w:t>Court with clean hands: if the breakdown between him and the other parties to the dispute appears to have been due to his misconduct he cannot ins</w:t>
      </w:r>
      <w:r w:rsidR="00BB65F0">
        <w:rPr>
          <w:rFonts w:ascii="Arial" w:eastAsia="Times New Roman" w:hAnsi="Arial" w:cs="Times New Roman"/>
          <w:i/>
          <w:kern w:val="28"/>
          <w:sz w:val="20"/>
          <w:szCs w:val="20"/>
          <w:lang w:val="en-US" w:eastAsia="en-GB"/>
        </w:rPr>
        <w:t>is</w:t>
      </w:r>
      <w:r w:rsidRPr="00BC1A77">
        <w:rPr>
          <w:rFonts w:ascii="Arial" w:eastAsia="Times New Roman" w:hAnsi="Arial" w:cs="Times New Roman"/>
          <w:i/>
          <w:kern w:val="28"/>
          <w:sz w:val="20"/>
          <w:szCs w:val="20"/>
          <w:lang w:val="en-US" w:eastAsia="en-GB"/>
        </w:rPr>
        <w:t xml:space="preserve">t on the company being wound up if they wish it to continue. What was said by Lord CROSS appears to me to be consistent with the statement in Lindley on Partnership (supra) that the impossibility must not be caused by the person seeking to take advantage of it. That statement was expressly referred to with approval by BROOME JP in Marshall’s case supra and by MURRAY J in Lawrence’s case supra. IN the judgment in Moosa’s case supra the reference to justifiable lack of confidence as well as the furtherance to the relationship being destroyed by </w:t>
      </w:r>
      <w:r w:rsidRPr="00BC1A77">
        <w:rPr>
          <w:rFonts w:ascii="Arial" w:eastAsia="Times New Roman" w:hAnsi="Arial" w:cs="Times New Roman"/>
          <w:i/>
          <w:kern w:val="28"/>
          <w:sz w:val="20"/>
          <w:szCs w:val="20"/>
          <w:lang w:val="en-US" w:eastAsia="en-GB"/>
        </w:rPr>
        <w:lastRenderedPageBreak/>
        <w:t>one or more of the members makes it clear, I think, that an applicant who relies upon the just and equitable provision, must not have be</w:t>
      </w:r>
      <w:r w:rsidR="008D6E74">
        <w:rPr>
          <w:rFonts w:ascii="Arial" w:eastAsia="Times New Roman" w:hAnsi="Arial" w:cs="Times New Roman"/>
          <w:i/>
          <w:kern w:val="28"/>
          <w:sz w:val="20"/>
          <w:szCs w:val="20"/>
          <w:lang w:val="en-US" w:eastAsia="en-GB"/>
        </w:rPr>
        <w:t>e</w:t>
      </w:r>
      <w:r w:rsidRPr="00BC1A77">
        <w:rPr>
          <w:rFonts w:ascii="Arial" w:eastAsia="Times New Roman" w:hAnsi="Arial" w:cs="Times New Roman"/>
          <w:i/>
          <w:kern w:val="28"/>
          <w:sz w:val="20"/>
          <w:szCs w:val="20"/>
          <w:lang w:val="en-US" w:eastAsia="en-GB"/>
        </w:rPr>
        <w:t>n wrongfully responsible for the situation which has arisen”.</w:t>
      </w:r>
    </w:p>
    <w:p w:rsidR="00BC1A77" w:rsidRDefault="00BC1A77" w:rsidP="00BC1A77">
      <w:pPr>
        <w:pStyle w:val="ListParagraph"/>
        <w:rPr>
          <w:rFonts w:ascii="Arial" w:eastAsia="Times New Roman" w:hAnsi="Arial" w:cs="Times New Roman"/>
          <w:kern w:val="28"/>
          <w:sz w:val="24"/>
          <w:szCs w:val="24"/>
          <w:lang w:val="en-US" w:eastAsia="en-GB"/>
        </w:rPr>
      </w:pPr>
    </w:p>
    <w:p w:rsidR="009435C4" w:rsidRDefault="009435C4" w:rsidP="009435C4">
      <w:pPr>
        <w:pStyle w:val="ListParagraph"/>
        <w:rPr>
          <w:rFonts w:ascii="Arial" w:eastAsia="Times New Roman" w:hAnsi="Arial" w:cs="Times New Roman"/>
          <w:i/>
          <w:kern w:val="28"/>
          <w:sz w:val="24"/>
          <w:szCs w:val="24"/>
          <w:lang w:val="en-US" w:eastAsia="en-GB"/>
        </w:rPr>
      </w:pPr>
    </w:p>
    <w:p w:rsidR="009435C4" w:rsidRPr="009435C4"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r>
        <w:rPr>
          <w:rFonts w:ascii="Arial" w:eastAsia="Times New Roman" w:hAnsi="Arial" w:cs="Times New Roman"/>
          <w:kern w:val="28"/>
          <w:sz w:val="24"/>
          <w:szCs w:val="24"/>
          <w:lang w:val="en-US" w:eastAsia="en-GB"/>
        </w:rPr>
        <w:t>[33]</w:t>
      </w:r>
      <w:r>
        <w:rPr>
          <w:rFonts w:ascii="Arial" w:eastAsia="Times New Roman" w:hAnsi="Arial" w:cs="Times New Roman"/>
          <w:kern w:val="28"/>
          <w:sz w:val="24"/>
          <w:szCs w:val="24"/>
          <w:lang w:val="en-US" w:eastAsia="en-GB"/>
        </w:rPr>
        <w:tab/>
      </w:r>
      <w:r w:rsidR="009435C4">
        <w:rPr>
          <w:rFonts w:ascii="Arial" w:eastAsia="Times New Roman" w:hAnsi="Arial" w:cs="Times New Roman"/>
          <w:kern w:val="28"/>
          <w:sz w:val="24"/>
          <w:szCs w:val="24"/>
          <w:lang w:val="en-US" w:eastAsia="en-GB"/>
        </w:rPr>
        <w:t xml:space="preserve">In </w:t>
      </w:r>
      <w:r w:rsidR="009435C4" w:rsidRPr="009435C4">
        <w:rPr>
          <w:rFonts w:ascii="Arial" w:eastAsia="Times New Roman" w:hAnsi="Arial" w:cs="Times New Roman"/>
          <w:i/>
          <w:kern w:val="28"/>
          <w:sz w:val="24"/>
          <w:szCs w:val="24"/>
          <w:lang w:val="en-US" w:eastAsia="en-GB"/>
        </w:rPr>
        <w:t>Thunder Cats</w:t>
      </w:r>
      <w:r w:rsidR="009435C4">
        <w:rPr>
          <w:rStyle w:val="FootnoteReference"/>
          <w:rFonts w:ascii="Arial" w:eastAsia="Times New Roman" w:hAnsi="Arial" w:cs="Times New Roman"/>
          <w:kern w:val="28"/>
          <w:sz w:val="24"/>
          <w:szCs w:val="24"/>
          <w:lang w:val="en-US" w:eastAsia="en-GB"/>
        </w:rPr>
        <w:footnoteReference w:id="12"/>
      </w:r>
      <w:r w:rsidR="009435C4">
        <w:rPr>
          <w:rFonts w:ascii="Arial" w:eastAsia="Times New Roman" w:hAnsi="Arial" w:cs="Times New Roman"/>
          <w:kern w:val="28"/>
          <w:sz w:val="24"/>
          <w:szCs w:val="24"/>
          <w:lang w:val="en-US" w:eastAsia="en-GB"/>
        </w:rPr>
        <w:t xml:space="preserve"> it was held that even if the party who sought the winding up was found to be at fault, it was not an absolute bar to success, but constituted an important factor to consider.</w:t>
      </w:r>
    </w:p>
    <w:p w:rsidR="009435C4" w:rsidRPr="00CD1131" w:rsidRDefault="009435C4" w:rsidP="009435C4">
      <w:pPr>
        <w:spacing w:after="0" w:line="360" w:lineRule="auto"/>
        <w:ind w:left="360"/>
        <w:contextualSpacing/>
        <w:jc w:val="both"/>
        <w:rPr>
          <w:rFonts w:ascii="Arial" w:eastAsia="Times New Roman" w:hAnsi="Arial" w:cs="Times New Roman"/>
          <w:i/>
          <w:kern w:val="28"/>
          <w:sz w:val="24"/>
          <w:szCs w:val="24"/>
          <w:lang w:val="en-US" w:eastAsia="en-GB"/>
        </w:rPr>
      </w:pPr>
      <w:r>
        <w:rPr>
          <w:rFonts w:ascii="Arial" w:eastAsia="Times New Roman" w:hAnsi="Arial" w:cs="Times New Roman"/>
          <w:kern w:val="28"/>
          <w:sz w:val="24"/>
          <w:szCs w:val="24"/>
          <w:lang w:val="en-US" w:eastAsia="en-GB"/>
        </w:rPr>
        <w:t xml:space="preserve"> </w:t>
      </w:r>
    </w:p>
    <w:p w:rsidR="007A6E16" w:rsidRPr="001D55D0"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[34]</w:t>
      </w:r>
      <w:r>
        <w:rPr>
          <w:rFonts w:ascii="Arial" w:eastAsia="Times New Roman" w:hAnsi="Arial" w:cs="Times New Roman"/>
          <w:kern w:val="28"/>
          <w:sz w:val="24"/>
          <w:szCs w:val="24"/>
          <w:lang w:val="en-US" w:eastAsia="en-GB"/>
        </w:rPr>
        <w:tab/>
      </w:r>
      <w:r w:rsidR="004B2E12" w:rsidRPr="001D55D0">
        <w:rPr>
          <w:rFonts w:ascii="Arial" w:eastAsia="Times New Roman" w:hAnsi="Arial" w:cs="Times New Roman"/>
          <w:kern w:val="28"/>
          <w:sz w:val="24"/>
          <w:szCs w:val="24"/>
          <w:lang w:val="en-US" w:eastAsia="en-GB"/>
        </w:rPr>
        <w:t>More recently, t</w:t>
      </w:r>
      <w:r w:rsidR="00483B68" w:rsidRPr="001D55D0">
        <w:rPr>
          <w:rFonts w:ascii="Arial" w:eastAsia="Times New Roman" w:hAnsi="Arial" w:cs="Times New Roman"/>
          <w:kern w:val="28"/>
          <w:sz w:val="24"/>
          <w:szCs w:val="24"/>
          <w:lang w:val="en-US" w:eastAsia="en-GB"/>
        </w:rPr>
        <w:t xml:space="preserve">he </w:t>
      </w:r>
      <w:r w:rsidR="007801B9" w:rsidRPr="001D55D0">
        <w:rPr>
          <w:rFonts w:ascii="Arial" w:eastAsia="Times New Roman" w:hAnsi="Arial" w:cs="Times New Roman"/>
          <w:kern w:val="28"/>
          <w:sz w:val="24"/>
          <w:szCs w:val="24"/>
          <w:lang w:val="en-US" w:eastAsia="en-GB"/>
        </w:rPr>
        <w:t>F</w:t>
      </w:r>
      <w:r w:rsidR="00483B68" w:rsidRPr="001D55D0">
        <w:rPr>
          <w:rFonts w:ascii="Arial" w:eastAsia="Times New Roman" w:hAnsi="Arial" w:cs="Times New Roman"/>
          <w:kern w:val="28"/>
          <w:sz w:val="24"/>
          <w:szCs w:val="24"/>
          <w:lang w:val="en-US" w:eastAsia="en-GB"/>
        </w:rPr>
        <w:t xml:space="preserve">ull </w:t>
      </w:r>
      <w:r w:rsidR="007801B9" w:rsidRPr="001D55D0">
        <w:rPr>
          <w:rFonts w:ascii="Arial" w:eastAsia="Times New Roman" w:hAnsi="Arial" w:cs="Times New Roman"/>
          <w:kern w:val="28"/>
          <w:sz w:val="24"/>
          <w:szCs w:val="24"/>
          <w:lang w:val="en-US" w:eastAsia="en-GB"/>
        </w:rPr>
        <w:t>C</w:t>
      </w:r>
      <w:r w:rsidR="00483B68" w:rsidRPr="001D55D0">
        <w:rPr>
          <w:rFonts w:ascii="Arial" w:eastAsia="Times New Roman" w:hAnsi="Arial" w:cs="Times New Roman"/>
          <w:kern w:val="28"/>
          <w:sz w:val="24"/>
          <w:szCs w:val="24"/>
          <w:lang w:val="en-US" w:eastAsia="en-GB"/>
        </w:rPr>
        <w:t xml:space="preserve">ourt </w:t>
      </w:r>
      <w:r w:rsidR="00EA0D09" w:rsidRPr="001D55D0">
        <w:rPr>
          <w:rFonts w:ascii="Arial" w:eastAsia="Times New Roman" w:hAnsi="Arial" w:cs="Times New Roman"/>
          <w:kern w:val="28"/>
          <w:sz w:val="24"/>
          <w:szCs w:val="24"/>
          <w:lang w:val="en-US" w:eastAsia="en-GB"/>
        </w:rPr>
        <w:t>of th</w:t>
      </w:r>
      <w:r w:rsidR="007801B9" w:rsidRPr="001D55D0">
        <w:rPr>
          <w:rFonts w:ascii="Arial" w:eastAsia="Times New Roman" w:hAnsi="Arial" w:cs="Times New Roman"/>
          <w:kern w:val="28"/>
          <w:sz w:val="24"/>
          <w:szCs w:val="24"/>
          <w:lang w:val="en-US" w:eastAsia="en-GB"/>
        </w:rPr>
        <w:t>e Gauteng Local D</w:t>
      </w:r>
      <w:r w:rsidR="00EA0D09" w:rsidRPr="001D55D0">
        <w:rPr>
          <w:rFonts w:ascii="Arial" w:eastAsia="Times New Roman" w:hAnsi="Arial" w:cs="Times New Roman"/>
          <w:kern w:val="28"/>
          <w:sz w:val="24"/>
          <w:szCs w:val="24"/>
          <w:lang w:val="en-US" w:eastAsia="en-GB"/>
        </w:rPr>
        <w:t xml:space="preserve">ivision </w:t>
      </w:r>
      <w:r w:rsidR="00483B68" w:rsidRPr="001D55D0">
        <w:rPr>
          <w:rFonts w:ascii="Arial" w:eastAsia="Times New Roman" w:hAnsi="Arial" w:cs="Times New Roman"/>
          <w:kern w:val="28"/>
          <w:sz w:val="24"/>
          <w:szCs w:val="24"/>
          <w:lang w:val="en-US" w:eastAsia="en-GB"/>
        </w:rPr>
        <w:t xml:space="preserve">in </w:t>
      </w:r>
      <w:r w:rsidR="00483B68" w:rsidRPr="001D55D0">
        <w:rPr>
          <w:rFonts w:ascii="Arial" w:eastAsia="Times New Roman" w:hAnsi="Arial" w:cs="Times New Roman"/>
          <w:i/>
          <w:kern w:val="28"/>
          <w:sz w:val="24"/>
          <w:szCs w:val="24"/>
          <w:lang w:val="en-US" w:eastAsia="en-GB"/>
        </w:rPr>
        <w:t>Barbaglia NO and Others v Noble Land (Pty) Ltd</w:t>
      </w:r>
      <w:r w:rsidR="00483B68">
        <w:rPr>
          <w:rStyle w:val="FootnoteReference"/>
          <w:rFonts w:ascii="Arial" w:eastAsia="Times New Roman" w:hAnsi="Arial" w:cs="Times New Roman"/>
          <w:kern w:val="28"/>
          <w:sz w:val="24"/>
          <w:szCs w:val="24"/>
          <w:lang w:val="en-US" w:eastAsia="en-GB"/>
        </w:rPr>
        <w:footnoteReference w:id="13"/>
      </w:r>
      <w:r w:rsidR="00910679" w:rsidRPr="001D55D0">
        <w:rPr>
          <w:rFonts w:ascii="Arial" w:eastAsia="Times New Roman" w:hAnsi="Arial" w:cs="Times New Roman"/>
          <w:i/>
          <w:kern w:val="28"/>
          <w:sz w:val="24"/>
          <w:szCs w:val="24"/>
          <w:lang w:val="en-US" w:eastAsia="en-GB"/>
        </w:rPr>
        <w:t>(“Barbaglia”)</w:t>
      </w:r>
      <w:r w:rsidR="009435C4" w:rsidRPr="001D55D0">
        <w:rPr>
          <w:rFonts w:ascii="Arial" w:eastAsia="Times New Roman" w:hAnsi="Arial" w:cs="Times New Roman"/>
          <w:i/>
          <w:kern w:val="28"/>
          <w:sz w:val="24"/>
          <w:szCs w:val="24"/>
          <w:lang w:val="en-US" w:eastAsia="en-GB"/>
        </w:rPr>
        <w:t xml:space="preserve">, </w:t>
      </w:r>
      <w:r w:rsidR="00910679" w:rsidRPr="001D55D0">
        <w:rPr>
          <w:rFonts w:ascii="Arial" w:eastAsia="Times New Roman" w:hAnsi="Arial" w:cs="Times New Roman"/>
          <w:kern w:val="28"/>
          <w:sz w:val="24"/>
          <w:szCs w:val="24"/>
          <w:lang w:val="en-US" w:eastAsia="en-GB"/>
        </w:rPr>
        <w:t>after analysis</w:t>
      </w:r>
      <w:r w:rsidR="00910679" w:rsidRPr="001D55D0">
        <w:rPr>
          <w:rFonts w:ascii="Arial" w:eastAsia="Times New Roman" w:hAnsi="Arial" w:cs="Times New Roman"/>
          <w:i/>
          <w:kern w:val="28"/>
          <w:sz w:val="24"/>
          <w:szCs w:val="24"/>
          <w:lang w:val="en-US" w:eastAsia="en-GB"/>
        </w:rPr>
        <w:t xml:space="preserve"> of Apco </w:t>
      </w:r>
      <w:r w:rsidR="00910679" w:rsidRPr="001D55D0">
        <w:rPr>
          <w:rFonts w:ascii="Arial" w:eastAsia="Times New Roman" w:hAnsi="Arial" w:cs="Times New Roman"/>
          <w:kern w:val="28"/>
          <w:sz w:val="24"/>
          <w:szCs w:val="24"/>
          <w:lang w:val="en-US" w:eastAsia="en-GB"/>
        </w:rPr>
        <w:t>and</w:t>
      </w:r>
      <w:r w:rsidR="00910679" w:rsidRPr="001D55D0">
        <w:rPr>
          <w:rFonts w:ascii="Arial" w:eastAsia="Times New Roman" w:hAnsi="Arial" w:cs="Times New Roman"/>
          <w:i/>
          <w:kern w:val="28"/>
          <w:sz w:val="24"/>
          <w:szCs w:val="24"/>
          <w:lang w:val="en-US" w:eastAsia="en-GB"/>
        </w:rPr>
        <w:t xml:space="preserve"> Thunder Cats, </w:t>
      </w:r>
      <w:r w:rsidR="00EA0D09" w:rsidRPr="001D55D0">
        <w:rPr>
          <w:rFonts w:ascii="Arial" w:eastAsia="Times New Roman" w:hAnsi="Arial" w:cs="Times New Roman"/>
          <w:kern w:val="28"/>
          <w:sz w:val="24"/>
          <w:szCs w:val="24"/>
          <w:lang w:val="en-US" w:eastAsia="en-GB"/>
        </w:rPr>
        <w:t xml:space="preserve">expressly </w:t>
      </w:r>
      <w:r w:rsidR="009435C4" w:rsidRPr="001D55D0">
        <w:rPr>
          <w:rFonts w:ascii="Arial" w:eastAsia="Times New Roman" w:hAnsi="Arial" w:cs="Times New Roman"/>
          <w:kern w:val="28"/>
          <w:sz w:val="24"/>
          <w:szCs w:val="24"/>
          <w:lang w:val="en-US" w:eastAsia="en-GB"/>
        </w:rPr>
        <w:t xml:space="preserve">declined to </w:t>
      </w:r>
      <w:r w:rsidR="00EA0D09" w:rsidRPr="001D55D0">
        <w:rPr>
          <w:rFonts w:ascii="Arial" w:eastAsia="Times New Roman" w:hAnsi="Arial" w:cs="Times New Roman"/>
          <w:kern w:val="28"/>
          <w:sz w:val="24"/>
          <w:szCs w:val="24"/>
          <w:lang w:val="en-US" w:eastAsia="en-GB"/>
        </w:rPr>
        <w:t xml:space="preserve">follow </w:t>
      </w:r>
      <w:r w:rsidR="00EA0D09" w:rsidRPr="001D55D0">
        <w:rPr>
          <w:rFonts w:ascii="Arial" w:eastAsia="Times New Roman" w:hAnsi="Arial" w:cs="Times New Roman"/>
          <w:i/>
          <w:kern w:val="28"/>
          <w:sz w:val="24"/>
          <w:szCs w:val="24"/>
          <w:lang w:val="en-US" w:eastAsia="en-GB"/>
        </w:rPr>
        <w:t>Emphy</w:t>
      </w:r>
      <w:r w:rsidR="002B4944" w:rsidRPr="001D55D0">
        <w:rPr>
          <w:rFonts w:ascii="Arial" w:eastAsia="Times New Roman" w:hAnsi="Arial" w:cs="Times New Roman"/>
          <w:kern w:val="28"/>
          <w:sz w:val="24"/>
          <w:szCs w:val="24"/>
          <w:lang w:val="en-US" w:eastAsia="en-GB"/>
        </w:rPr>
        <w:t xml:space="preserve">. In </w:t>
      </w:r>
      <w:r w:rsidR="002B4944" w:rsidRPr="001D55D0">
        <w:rPr>
          <w:rFonts w:ascii="Arial" w:eastAsia="Times New Roman" w:hAnsi="Arial" w:cs="Times New Roman"/>
          <w:i/>
          <w:kern w:val="28"/>
          <w:sz w:val="24"/>
          <w:szCs w:val="24"/>
          <w:lang w:val="en-US" w:eastAsia="en-GB"/>
        </w:rPr>
        <w:t>Barbaglia</w:t>
      </w:r>
      <w:r w:rsidR="00EA0D09" w:rsidRPr="001D55D0">
        <w:rPr>
          <w:rFonts w:ascii="Arial" w:eastAsia="Times New Roman" w:hAnsi="Arial" w:cs="Times New Roman"/>
          <w:kern w:val="28"/>
          <w:sz w:val="24"/>
          <w:szCs w:val="24"/>
          <w:lang w:val="en-US" w:eastAsia="en-GB"/>
        </w:rPr>
        <w:t xml:space="preserve"> it was </w:t>
      </w:r>
      <w:r w:rsidR="008D6E74">
        <w:rPr>
          <w:rFonts w:ascii="Arial" w:eastAsia="Times New Roman" w:hAnsi="Arial" w:cs="Times New Roman"/>
          <w:kern w:val="28"/>
          <w:sz w:val="24"/>
          <w:szCs w:val="24"/>
          <w:lang w:val="en-US" w:eastAsia="en-GB"/>
        </w:rPr>
        <w:t xml:space="preserve">concluded </w:t>
      </w:r>
      <w:r w:rsidR="00EA0D09" w:rsidRPr="001D55D0">
        <w:rPr>
          <w:rFonts w:ascii="Arial" w:eastAsia="Times New Roman" w:hAnsi="Arial" w:cs="Times New Roman"/>
          <w:kern w:val="28"/>
          <w:sz w:val="24"/>
          <w:szCs w:val="24"/>
          <w:lang w:val="en-US" w:eastAsia="en-GB"/>
        </w:rPr>
        <w:t xml:space="preserve">that </w:t>
      </w:r>
      <w:r w:rsidR="008D6E74">
        <w:rPr>
          <w:rFonts w:ascii="Arial" w:eastAsia="Times New Roman" w:hAnsi="Arial" w:cs="Times New Roman"/>
          <w:kern w:val="28"/>
          <w:sz w:val="24"/>
          <w:szCs w:val="24"/>
          <w:lang w:val="en-US" w:eastAsia="en-GB"/>
        </w:rPr>
        <w:t xml:space="preserve">any wrongful </w:t>
      </w:r>
      <w:r w:rsidR="00EA0D09" w:rsidRPr="001D55D0">
        <w:rPr>
          <w:rFonts w:ascii="Arial" w:eastAsia="Times New Roman" w:hAnsi="Arial" w:cs="Times New Roman"/>
          <w:kern w:val="28"/>
          <w:sz w:val="24"/>
          <w:szCs w:val="24"/>
          <w:lang w:val="en-US" w:eastAsia="en-GB"/>
        </w:rPr>
        <w:t xml:space="preserve">conduct </w:t>
      </w:r>
      <w:r w:rsidR="008D6E74">
        <w:rPr>
          <w:rFonts w:ascii="Arial" w:eastAsia="Times New Roman" w:hAnsi="Arial" w:cs="Times New Roman"/>
          <w:kern w:val="28"/>
          <w:sz w:val="24"/>
          <w:szCs w:val="24"/>
          <w:lang w:val="en-US" w:eastAsia="en-GB"/>
        </w:rPr>
        <w:t xml:space="preserve">causing the situation which has arisen </w:t>
      </w:r>
      <w:r w:rsidR="00EA0D09" w:rsidRPr="001D55D0">
        <w:rPr>
          <w:rFonts w:ascii="Arial" w:eastAsia="Times New Roman" w:hAnsi="Arial" w:cs="Times New Roman"/>
          <w:kern w:val="28"/>
          <w:sz w:val="24"/>
          <w:szCs w:val="24"/>
          <w:lang w:val="en-US" w:eastAsia="en-GB"/>
        </w:rPr>
        <w:t>was merely a factor to be taken into consideration.</w:t>
      </w:r>
      <w:r w:rsidR="001D55D0">
        <w:rPr>
          <w:rFonts w:ascii="Arial" w:eastAsia="Times New Roman" w:hAnsi="Arial" w:cs="Times New Roman"/>
          <w:kern w:val="28"/>
          <w:sz w:val="24"/>
          <w:szCs w:val="24"/>
          <w:lang w:val="en-US" w:eastAsia="en-GB"/>
        </w:rPr>
        <w:t xml:space="preserve"> </w:t>
      </w:r>
      <w:r w:rsidR="007A6E16" w:rsidRPr="001D55D0">
        <w:rPr>
          <w:rFonts w:ascii="Arial" w:eastAsia="Times New Roman" w:hAnsi="Arial" w:cs="Times New Roman"/>
          <w:kern w:val="28"/>
          <w:sz w:val="24"/>
          <w:szCs w:val="24"/>
          <w:lang w:val="en-US" w:eastAsia="en-GB"/>
        </w:rPr>
        <w:t>I am bound by that judgment and the principles applied therein.</w:t>
      </w:r>
    </w:p>
    <w:p w:rsidR="009D0129" w:rsidRDefault="009D0129" w:rsidP="009D0129">
      <w:pPr>
        <w:pStyle w:val="ListParagraph"/>
        <w:rPr>
          <w:rFonts w:ascii="Arial" w:eastAsia="Times New Roman" w:hAnsi="Arial" w:cs="Times New Roman"/>
          <w:kern w:val="28"/>
          <w:sz w:val="24"/>
          <w:szCs w:val="24"/>
          <w:lang w:val="en-US" w:eastAsia="en-GB"/>
        </w:rPr>
      </w:pPr>
    </w:p>
    <w:p w:rsidR="00295A22"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[35]</w:t>
      </w:r>
      <w:r>
        <w:rPr>
          <w:rFonts w:ascii="Arial" w:eastAsia="Times New Roman" w:hAnsi="Arial" w:cs="Times New Roman"/>
          <w:kern w:val="28"/>
          <w:sz w:val="24"/>
          <w:szCs w:val="24"/>
          <w:lang w:val="en-US" w:eastAsia="en-GB"/>
        </w:rPr>
        <w:tab/>
      </w:r>
      <w:r w:rsidR="00295A22">
        <w:rPr>
          <w:rFonts w:ascii="Arial" w:eastAsia="Times New Roman" w:hAnsi="Arial" w:cs="Times New Roman"/>
          <w:kern w:val="28"/>
          <w:sz w:val="24"/>
          <w:szCs w:val="24"/>
          <w:lang w:val="en-US" w:eastAsia="en-GB"/>
        </w:rPr>
        <w:t>As the first applicant seeks final relief, the application must be determined on the basis of the so called Plascon Evans rule</w:t>
      </w:r>
      <w:r w:rsidR="00295A22">
        <w:rPr>
          <w:rStyle w:val="FootnoteReference"/>
          <w:rFonts w:ascii="Arial" w:eastAsia="Times New Roman" w:hAnsi="Arial" w:cs="Times New Roman"/>
          <w:kern w:val="28"/>
          <w:sz w:val="24"/>
          <w:szCs w:val="24"/>
          <w:lang w:val="en-US" w:eastAsia="en-GB"/>
        </w:rPr>
        <w:footnoteReference w:id="14"/>
      </w:r>
      <w:r w:rsidR="00295A22">
        <w:rPr>
          <w:rFonts w:ascii="Arial" w:eastAsia="Times New Roman" w:hAnsi="Arial" w:cs="Times New Roman"/>
          <w:kern w:val="28"/>
          <w:sz w:val="24"/>
          <w:szCs w:val="24"/>
          <w:lang w:val="en-US" w:eastAsia="en-GB"/>
        </w:rPr>
        <w:t xml:space="preserve">, being that where in motion proceedings disputes of fact arise on the affidavits, a final order can be granted only if the facts averred by the applicant, which have been admitted by the respondent, together with the facts averred by the respondent, justify such an order. </w:t>
      </w:r>
    </w:p>
    <w:p w:rsidR="00295A22" w:rsidRDefault="00295A22" w:rsidP="00295A22">
      <w:pPr>
        <w:pStyle w:val="ListParagraph"/>
        <w:rPr>
          <w:rFonts w:ascii="Arial" w:eastAsia="Times New Roman" w:hAnsi="Arial" w:cs="Times New Roman"/>
          <w:kern w:val="28"/>
          <w:sz w:val="24"/>
          <w:szCs w:val="24"/>
          <w:lang w:val="en-US" w:eastAsia="en-GB"/>
        </w:rPr>
      </w:pPr>
    </w:p>
    <w:p w:rsidR="001959A4"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[36]</w:t>
      </w:r>
      <w:r>
        <w:rPr>
          <w:rFonts w:ascii="Arial" w:eastAsia="Times New Roman" w:hAnsi="Arial" w:cs="Times New Roman"/>
          <w:kern w:val="28"/>
          <w:sz w:val="24"/>
          <w:szCs w:val="24"/>
          <w:lang w:val="en-US" w:eastAsia="en-GB"/>
        </w:rPr>
        <w:tab/>
      </w:r>
      <w:r w:rsidR="00326304" w:rsidRPr="001D55D0">
        <w:rPr>
          <w:rFonts w:ascii="Arial" w:eastAsia="Times New Roman" w:hAnsi="Arial" w:cs="Times New Roman"/>
          <w:kern w:val="28"/>
          <w:sz w:val="24"/>
          <w:szCs w:val="24"/>
          <w:lang w:val="en-US" w:eastAsia="en-GB"/>
        </w:rPr>
        <w:t>The second respondent’s version mutated from the correspondence between the parties’ respective legal representatives to his answering affidavit.</w:t>
      </w:r>
      <w:r w:rsidR="00BC565D">
        <w:rPr>
          <w:rFonts w:ascii="Arial" w:eastAsia="Times New Roman" w:hAnsi="Arial" w:cs="Times New Roman"/>
          <w:kern w:val="28"/>
          <w:sz w:val="24"/>
          <w:szCs w:val="24"/>
          <w:lang w:val="en-US" w:eastAsia="en-GB"/>
        </w:rPr>
        <w:t xml:space="preserve"> </w:t>
      </w:r>
      <w:r w:rsidR="00326304" w:rsidRPr="001D55D0">
        <w:rPr>
          <w:rFonts w:ascii="Arial" w:eastAsia="Times New Roman" w:hAnsi="Arial" w:cs="Times New Roman"/>
          <w:kern w:val="28"/>
          <w:sz w:val="24"/>
          <w:szCs w:val="24"/>
          <w:lang w:val="en-US" w:eastAsia="en-GB"/>
        </w:rPr>
        <w:t xml:space="preserve">The correspondence contains various </w:t>
      </w:r>
      <w:r w:rsidR="00326304" w:rsidRPr="00080379">
        <w:rPr>
          <w:rFonts w:ascii="Arial" w:eastAsia="Times New Roman" w:hAnsi="Arial" w:cs="Times New Roman"/>
          <w:i/>
          <w:kern w:val="28"/>
          <w:sz w:val="24"/>
          <w:szCs w:val="24"/>
          <w:lang w:val="en-US" w:eastAsia="en-GB"/>
        </w:rPr>
        <w:t xml:space="preserve">ad hominem </w:t>
      </w:r>
      <w:r w:rsidR="00326304" w:rsidRPr="001D55D0">
        <w:rPr>
          <w:rFonts w:ascii="Arial" w:eastAsia="Times New Roman" w:hAnsi="Arial" w:cs="Times New Roman"/>
          <w:kern w:val="28"/>
          <w:sz w:val="24"/>
          <w:szCs w:val="24"/>
          <w:lang w:val="en-US" w:eastAsia="en-GB"/>
        </w:rPr>
        <w:t>attacks on the first applicant which do no more than to illustrate the complete breakdown of trust and co</w:t>
      </w:r>
      <w:r w:rsidR="00202C61">
        <w:rPr>
          <w:rFonts w:ascii="Arial" w:eastAsia="Times New Roman" w:hAnsi="Arial" w:cs="Times New Roman"/>
          <w:kern w:val="28"/>
          <w:sz w:val="24"/>
          <w:szCs w:val="24"/>
          <w:lang w:val="en-US" w:eastAsia="en-GB"/>
        </w:rPr>
        <w:t>-</w:t>
      </w:r>
      <w:r w:rsidR="00326304" w:rsidRPr="001D55D0">
        <w:rPr>
          <w:rFonts w:ascii="Arial" w:eastAsia="Times New Roman" w:hAnsi="Arial" w:cs="Times New Roman"/>
          <w:kern w:val="28"/>
          <w:sz w:val="24"/>
          <w:szCs w:val="24"/>
          <w:lang w:val="en-US" w:eastAsia="en-GB"/>
        </w:rPr>
        <w:t>operation between them.</w:t>
      </w:r>
      <w:r w:rsidR="001959A4" w:rsidRPr="001959A4">
        <w:rPr>
          <w:rFonts w:ascii="Arial" w:eastAsia="Times New Roman" w:hAnsi="Arial" w:cs="Times New Roman"/>
          <w:kern w:val="28"/>
          <w:sz w:val="24"/>
          <w:szCs w:val="24"/>
          <w:lang w:val="en-US" w:eastAsia="en-GB"/>
        </w:rPr>
        <w:t xml:space="preserve"> </w:t>
      </w:r>
      <w:r w:rsidR="001959A4">
        <w:rPr>
          <w:rFonts w:ascii="Arial" w:eastAsia="Times New Roman" w:hAnsi="Arial" w:cs="Times New Roman"/>
          <w:kern w:val="28"/>
          <w:sz w:val="24"/>
          <w:szCs w:val="24"/>
          <w:lang w:val="en-US" w:eastAsia="en-GB"/>
        </w:rPr>
        <w:t>His version cannot however be rejected as palpably false or untenable on the papers</w:t>
      </w:r>
      <w:r w:rsidR="001959A4">
        <w:rPr>
          <w:rStyle w:val="FootnoteReference"/>
          <w:rFonts w:ascii="Arial" w:eastAsia="Times New Roman" w:hAnsi="Arial" w:cs="Times New Roman"/>
          <w:kern w:val="28"/>
          <w:sz w:val="24"/>
          <w:szCs w:val="24"/>
          <w:lang w:val="en-US" w:eastAsia="en-GB"/>
        </w:rPr>
        <w:footnoteReference w:id="15"/>
      </w:r>
      <w:r w:rsidR="001959A4">
        <w:rPr>
          <w:rFonts w:ascii="Arial" w:eastAsia="Times New Roman" w:hAnsi="Arial" w:cs="Times New Roman"/>
          <w:kern w:val="28"/>
          <w:sz w:val="24"/>
          <w:szCs w:val="24"/>
          <w:lang w:val="en-US" w:eastAsia="en-GB"/>
        </w:rPr>
        <w:t xml:space="preserve">. </w:t>
      </w:r>
      <w:r w:rsidR="00326304" w:rsidRPr="001D55D0">
        <w:rPr>
          <w:rFonts w:ascii="Arial" w:eastAsia="Times New Roman" w:hAnsi="Arial" w:cs="Times New Roman"/>
          <w:kern w:val="28"/>
          <w:sz w:val="24"/>
          <w:szCs w:val="24"/>
          <w:lang w:val="en-US" w:eastAsia="en-GB"/>
        </w:rPr>
        <w:t xml:space="preserve"> </w:t>
      </w:r>
    </w:p>
    <w:p w:rsidR="001959A4" w:rsidRDefault="001959A4" w:rsidP="001959A4">
      <w:pPr>
        <w:pStyle w:val="ListParagraph"/>
        <w:rPr>
          <w:rFonts w:ascii="Arial" w:eastAsia="Times New Roman" w:hAnsi="Arial" w:cs="Times New Roman"/>
          <w:kern w:val="28"/>
          <w:sz w:val="24"/>
          <w:szCs w:val="24"/>
          <w:lang w:val="en-US" w:eastAsia="en-GB"/>
        </w:rPr>
      </w:pPr>
    </w:p>
    <w:p w:rsidR="00080379"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[37]</w:t>
      </w:r>
      <w:r>
        <w:rPr>
          <w:rFonts w:ascii="Arial" w:eastAsia="Times New Roman" w:hAnsi="Arial" w:cs="Times New Roman"/>
          <w:kern w:val="28"/>
          <w:sz w:val="24"/>
          <w:szCs w:val="24"/>
          <w:lang w:val="en-US" w:eastAsia="en-GB"/>
        </w:rPr>
        <w:tab/>
      </w:r>
      <w:r w:rsidR="00910679" w:rsidRPr="00C9543B">
        <w:rPr>
          <w:rFonts w:ascii="Arial" w:eastAsia="Times New Roman" w:hAnsi="Arial" w:cs="Times New Roman"/>
          <w:kern w:val="28"/>
          <w:sz w:val="24"/>
          <w:szCs w:val="24"/>
          <w:lang w:val="en-US" w:eastAsia="en-GB"/>
        </w:rPr>
        <w:t xml:space="preserve">Here, as in </w:t>
      </w:r>
      <w:r w:rsidR="00910679" w:rsidRPr="00C9543B">
        <w:rPr>
          <w:rFonts w:ascii="Arial" w:eastAsia="Times New Roman" w:hAnsi="Arial" w:cs="Times New Roman"/>
          <w:i/>
          <w:kern w:val="28"/>
          <w:sz w:val="24"/>
          <w:szCs w:val="24"/>
          <w:lang w:val="en-US" w:eastAsia="en-GB"/>
        </w:rPr>
        <w:t>Barbaglia</w:t>
      </w:r>
      <w:r w:rsidR="00910679" w:rsidRPr="00C9543B">
        <w:rPr>
          <w:rFonts w:ascii="Arial" w:eastAsia="Times New Roman" w:hAnsi="Arial" w:cs="Times New Roman"/>
          <w:kern w:val="28"/>
          <w:sz w:val="24"/>
          <w:szCs w:val="24"/>
          <w:lang w:val="en-US" w:eastAsia="en-GB"/>
        </w:rPr>
        <w:t xml:space="preserve">, there are numerous disputes of fact regarding the conduct of respectively the first applicant and the second respondent and who was to blame for the breakdown on their relationship.  </w:t>
      </w:r>
      <w:r w:rsidR="00C9543B" w:rsidRPr="00C9543B">
        <w:rPr>
          <w:rFonts w:ascii="Arial" w:eastAsia="Times New Roman" w:hAnsi="Arial" w:cs="Times New Roman"/>
          <w:kern w:val="28"/>
          <w:sz w:val="24"/>
          <w:szCs w:val="24"/>
          <w:lang w:val="en-US" w:eastAsia="en-GB"/>
        </w:rPr>
        <w:t>It is not necessary</w:t>
      </w:r>
      <w:r w:rsidR="00295A22">
        <w:rPr>
          <w:rFonts w:ascii="Arial" w:eastAsia="Times New Roman" w:hAnsi="Arial" w:cs="Times New Roman"/>
          <w:kern w:val="28"/>
          <w:sz w:val="24"/>
          <w:szCs w:val="24"/>
          <w:lang w:val="en-US" w:eastAsia="en-GB"/>
        </w:rPr>
        <w:t>, nor possible,</w:t>
      </w:r>
      <w:r w:rsidR="00C9543B" w:rsidRPr="00C9543B">
        <w:rPr>
          <w:rFonts w:ascii="Arial" w:eastAsia="Times New Roman" w:hAnsi="Arial" w:cs="Times New Roman"/>
          <w:kern w:val="28"/>
          <w:sz w:val="24"/>
          <w:szCs w:val="24"/>
          <w:lang w:val="en-US" w:eastAsia="en-GB"/>
        </w:rPr>
        <w:t xml:space="preserve"> to resolve the factual disputes on </w:t>
      </w:r>
      <w:r w:rsidR="00080379">
        <w:rPr>
          <w:rFonts w:ascii="Arial" w:eastAsia="Times New Roman" w:hAnsi="Arial" w:cs="Times New Roman"/>
          <w:kern w:val="28"/>
          <w:sz w:val="24"/>
          <w:szCs w:val="24"/>
          <w:lang w:val="en-US" w:eastAsia="en-GB"/>
        </w:rPr>
        <w:t xml:space="preserve">all </w:t>
      </w:r>
      <w:r w:rsidR="00C9543B" w:rsidRPr="00C9543B">
        <w:rPr>
          <w:rFonts w:ascii="Arial" w:eastAsia="Times New Roman" w:hAnsi="Arial" w:cs="Times New Roman"/>
          <w:kern w:val="28"/>
          <w:sz w:val="24"/>
          <w:szCs w:val="24"/>
          <w:lang w:val="en-US" w:eastAsia="en-GB"/>
        </w:rPr>
        <w:t>those issues</w:t>
      </w:r>
      <w:r w:rsidR="00C9543B">
        <w:rPr>
          <w:rFonts w:ascii="Arial" w:eastAsia="Times New Roman" w:hAnsi="Arial" w:cs="Times New Roman"/>
          <w:kern w:val="28"/>
          <w:sz w:val="24"/>
          <w:szCs w:val="24"/>
          <w:lang w:val="en-US" w:eastAsia="en-GB"/>
        </w:rPr>
        <w:t xml:space="preserve"> on the papers</w:t>
      </w:r>
      <w:r w:rsidR="00C9543B" w:rsidRPr="00C9543B">
        <w:rPr>
          <w:rFonts w:ascii="Arial" w:eastAsia="Times New Roman" w:hAnsi="Arial" w:cs="Times New Roman"/>
          <w:kern w:val="28"/>
          <w:sz w:val="24"/>
          <w:szCs w:val="24"/>
          <w:lang w:val="en-US" w:eastAsia="en-GB"/>
        </w:rPr>
        <w:t>.</w:t>
      </w:r>
      <w:r w:rsidR="00295A22" w:rsidRPr="00295A22">
        <w:rPr>
          <w:rFonts w:ascii="Arial" w:eastAsia="Times New Roman" w:hAnsi="Arial" w:cs="Times New Roman"/>
          <w:kern w:val="28"/>
          <w:sz w:val="24"/>
          <w:szCs w:val="24"/>
          <w:lang w:val="en-US" w:eastAsia="en-GB"/>
        </w:rPr>
        <w:t xml:space="preserve"> </w:t>
      </w:r>
    </w:p>
    <w:p w:rsidR="00080379" w:rsidRDefault="00080379" w:rsidP="00080379">
      <w:pPr>
        <w:pStyle w:val="ListParagraph"/>
        <w:rPr>
          <w:rFonts w:ascii="Arial" w:eastAsia="Times New Roman" w:hAnsi="Arial" w:cs="Times New Roman"/>
          <w:kern w:val="28"/>
          <w:sz w:val="24"/>
          <w:szCs w:val="24"/>
          <w:lang w:val="en-US" w:eastAsia="en-GB"/>
        </w:rPr>
      </w:pPr>
    </w:p>
    <w:p w:rsidR="00295A22"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[38]</w:t>
      </w:r>
      <w:r>
        <w:rPr>
          <w:rFonts w:ascii="Arial" w:eastAsia="Times New Roman" w:hAnsi="Arial" w:cs="Times New Roman"/>
          <w:kern w:val="28"/>
          <w:sz w:val="24"/>
          <w:szCs w:val="24"/>
          <w:lang w:val="en-US" w:eastAsia="en-GB"/>
        </w:rPr>
        <w:tab/>
      </w:r>
      <w:r w:rsidR="00BB65F0" w:rsidRPr="00BB65F0">
        <w:rPr>
          <w:rFonts w:ascii="Arial" w:eastAsia="Times New Roman" w:hAnsi="Arial" w:cs="Times New Roman"/>
          <w:kern w:val="28"/>
          <w:sz w:val="24"/>
          <w:szCs w:val="24"/>
          <w:lang w:val="en-US" w:eastAsia="en-GB"/>
        </w:rPr>
        <w:t>However, o</w:t>
      </w:r>
      <w:r w:rsidR="00295A22" w:rsidRPr="00BB65F0">
        <w:rPr>
          <w:rFonts w:ascii="Arial" w:eastAsia="Times New Roman" w:hAnsi="Arial" w:cs="Times New Roman"/>
          <w:kern w:val="28"/>
          <w:sz w:val="24"/>
          <w:szCs w:val="24"/>
          <w:lang w:val="en-US" w:eastAsia="en-GB"/>
        </w:rPr>
        <w:t>n a conspectus of the undisputed facts</w:t>
      </w:r>
      <w:r w:rsidR="008B25D5">
        <w:rPr>
          <w:rFonts w:ascii="Arial" w:eastAsia="Times New Roman" w:hAnsi="Arial" w:cs="Times New Roman"/>
          <w:kern w:val="28"/>
          <w:sz w:val="24"/>
          <w:szCs w:val="24"/>
          <w:lang w:val="en-US" w:eastAsia="en-GB"/>
        </w:rPr>
        <w:t>, including those referred to earlier</w:t>
      </w:r>
      <w:r w:rsidR="00295A22" w:rsidRPr="00BB65F0">
        <w:rPr>
          <w:rFonts w:ascii="Arial" w:eastAsia="Times New Roman" w:hAnsi="Arial" w:cs="Times New Roman"/>
          <w:kern w:val="28"/>
          <w:sz w:val="24"/>
          <w:szCs w:val="24"/>
          <w:lang w:val="en-US" w:eastAsia="en-GB"/>
        </w:rPr>
        <w:t xml:space="preserve">, </w:t>
      </w:r>
      <w:r w:rsidR="006A3218">
        <w:rPr>
          <w:rFonts w:ascii="Arial" w:eastAsia="Times New Roman" w:hAnsi="Arial" w:cs="Times New Roman"/>
          <w:kern w:val="28"/>
          <w:sz w:val="24"/>
          <w:szCs w:val="24"/>
          <w:lang w:val="en-US" w:eastAsia="en-GB"/>
        </w:rPr>
        <w:t>the conclusion can reasonably be drawn</w:t>
      </w:r>
      <w:r w:rsidR="00295A22" w:rsidRPr="00BB65F0">
        <w:rPr>
          <w:rFonts w:ascii="Arial" w:eastAsia="Times New Roman" w:hAnsi="Arial" w:cs="Times New Roman"/>
          <w:kern w:val="28"/>
          <w:sz w:val="24"/>
          <w:szCs w:val="24"/>
          <w:lang w:val="en-US" w:eastAsia="en-GB"/>
        </w:rPr>
        <w:t xml:space="preserve"> that both the first applicant and the second respondent contributed to the breakdown of their relationship</w:t>
      </w:r>
      <w:r w:rsidR="00080379" w:rsidRPr="00BB65F0">
        <w:rPr>
          <w:rFonts w:ascii="Arial" w:eastAsia="Times New Roman" w:hAnsi="Arial" w:cs="Times New Roman"/>
          <w:kern w:val="28"/>
          <w:sz w:val="24"/>
          <w:szCs w:val="24"/>
          <w:lang w:val="en-US" w:eastAsia="en-GB"/>
        </w:rPr>
        <w:t xml:space="preserve"> and that its breakdown is not attributable solely to the first applicant</w:t>
      </w:r>
      <w:r w:rsidR="00BB65F0">
        <w:rPr>
          <w:rFonts w:ascii="Arial" w:eastAsia="Times New Roman" w:hAnsi="Arial" w:cs="Times New Roman"/>
          <w:kern w:val="28"/>
          <w:sz w:val="24"/>
          <w:szCs w:val="24"/>
          <w:lang w:val="en-US" w:eastAsia="en-GB"/>
        </w:rPr>
        <w:t>.</w:t>
      </w:r>
      <w:r w:rsidR="00080379" w:rsidRPr="00BB65F0">
        <w:rPr>
          <w:rFonts w:ascii="Arial" w:eastAsia="Times New Roman" w:hAnsi="Arial" w:cs="Times New Roman"/>
          <w:kern w:val="28"/>
          <w:sz w:val="24"/>
          <w:szCs w:val="24"/>
          <w:lang w:val="en-US" w:eastAsia="en-GB"/>
        </w:rPr>
        <w:t xml:space="preserve"> </w:t>
      </w:r>
      <w:r w:rsidR="00950027" w:rsidRPr="00BB65F0">
        <w:rPr>
          <w:rFonts w:ascii="Arial" w:eastAsia="Times New Roman" w:hAnsi="Arial" w:cs="Times New Roman"/>
          <w:kern w:val="28"/>
          <w:sz w:val="24"/>
          <w:szCs w:val="24"/>
          <w:lang w:val="en-US" w:eastAsia="en-GB"/>
        </w:rPr>
        <w:t xml:space="preserve"> </w:t>
      </w:r>
      <w:r w:rsidR="006A3218">
        <w:rPr>
          <w:rFonts w:ascii="Arial" w:eastAsia="Times New Roman" w:hAnsi="Arial" w:cs="Times New Roman"/>
          <w:kern w:val="28"/>
          <w:sz w:val="24"/>
          <w:szCs w:val="24"/>
          <w:lang w:val="en-US" w:eastAsia="en-GB"/>
        </w:rPr>
        <w:t>It is not necessary, no</w:t>
      </w:r>
      <w:r w:rsidR="00202C61">
        <w:rPr>
          <w:rFonts w:ascii="Arial" w:eastAsia="Times New Roman" w:hAnsi="Arial" w:cs="Times New Roman"/>
          <w:kern w:val="28"/>
          <w:sz w:val="24"/>
          <w:szCs w:val="24"/>
          <w:lang w:val="en-US" w:eastAsia="en-GB"/>
        </w:rPr>
        <w:t>r</w:t>
      </w:r>
      <w:r w:rsidR="006A3218">
        <w:rPr>
          <w:rFonts w:ascii="Arial" w:eastAsia="Times New Roman" w:hAnsi="Arial" w:cs="Times New Roman"/>
          <w:kern w:val="28"/>
          <w:sz w:val="24"/>
          <w:szCs w:val="24"/>
          <w:lang w:val="en-US" w:eastAsia="en-GB"/>
        </w:rPr>
        <w:t xml:space="preserve"> possible, to ascribe blame to each party with any specific degree.</w:t>
      </w:r>
    </w:p>
    <w:p w:rsidR="00BB65F0" w:rsidRDefault="00BB65F0" w:rsidP="00BB65F0">
      <w:pPr>
        <w:pStyle w:val="ListParagraph"/>
        <w:rPr>
          <w:rFonts w:ascii="Arial" w:eastAsia="Times New Roman" w:hAnsi="Arial" w:cs="Times New Roman"/>
          <w:kern w:val="28"/>
          <w:sz w:val="24"/>
          <w:szCs w:val="24"/>
          <w:lang w:val="en-US" w:eastAsia="en-GB"/>
        </w:rPr>
      </w:pPr>
    </w:p>
    <w:p w:rsidR="008B25D5" w:rsidRPr="00483B68" w:rsidRDefault="003F298F" w:rsidP="003F298F">
      <w:pPr>
        <w:spacing w:after="0" w:line="360" w:lineRule="auto"/>
        <w:ind w:left="720" w:hanging="720"/>
        <w:contextualSpacing/>
        <w:jc w:val="both"/>
        <w:rPr>
          <w:rFonts w:ascii="Arial" w:eastAsia="Times New Roman" w:hAnsi="Arial" w:cs="Times New Roman"/>
          <w:i/>
          <w:kern w:val="28"/>
          <w:sz w:val="24"/>
          <w:szCs w:val="24"/>
          <w:lang w:val="en-US" w:eastAsia="en-GB"/>
        </w:rPr>
      </w:pPr>
      <w:r>
        <w:rPr>
          <w:rFonts w:ascii="Arial" w:eastAsia="Times New Roman" w:hAnsi="Arial" w:cs="Times New Roman"/>
          <w:kern w:val="28"/>
          <w:sz w:val="24"/>
          <w:szCs w:val="24"/>
          <w:lang w:val="en-US" w:eastAsia="en-GB"/>
        </w:rPr>
        <w:t>[39]</w:t>
      </w:r>
      <w:r>
        <w:rPr>
          <w:rFonts w:ascii="Arial" w:eastAsia="Times New Roman" w:hAnsi="Arial" w:cs="Times New Roman"/>
          <w:kern w:val="28"/>
          <w:sz w:val="24"/>
          <w:szCs w:val="24"/>
          <w:lang w:val="en-US" w:eastAsia="en-GB"/>
        </w:rPr>
        <w:tab/>
      </w:r>
      <w:r w:rsidR="008B25D5">
        <w:rPr>
          <w:rFonts w:ascii="Arial" w:eastAsia="Times New Roman" w:hAnsi="Arial" w:cs="Times New Roman"/>
          <w:kern w:val="28"/>
          <w:sz w:val="24"/>
          <w:szCs w:val="24"/>
          <w:lang w:val="en-US" w:eastAsia="en-GB"/>
        </w:rPr>
        <w:t xml:space="preserve">It was undisputed that the relationship between the parties is analogous to a partnership and is dependent on a particular relationship of trust. In </w:t>
      </w:r>
      <w:r w:rsidR="008B25D5" w:rsidRPr="009435C4">
        <w:rPr>
          <w:rFonts w:ascii="Arial" w:eastAsia="Times New Roman" w:hAnsi="Arial" w:cs="Times New Roman"/>
          <w:i/>
          <w:kern w:val="28"/>
          <w:sz w:val="24"/>
          <w:szCs w:val="24"/>
          <w:lang w:val="en-US" w:eastAsia="en-GB"/>
        </w:rPr>
        <w:t>Apco</w:t>
      </w:r>
      <w:r w:rsidR="008B25D5">
        <w:rPr>
          <w:rStyle w:val="FootnoteReference"/>
          <w:rFonts w:ascii="Arial" w:eastAsia="Times New Roman" w:hAnsi="Arial" w:cs="Times New Roman"/>
          <w:kern w:val="28"/>
          <w:sz w:val="24"/>
          <w:szCs w:val="24"/>
          <w:lang w:val="en-US" w:eastAsia="en-GB"/>
        </w:rPr>
        <w:footnoteReference w:id="16"/>
      </w:r>
      <w:r w:rsidR="008B25D5">
        <w:rPr>
          <w:rFonts w:ascii="Arial" w:eastAsia="Times New Roman" w:hAnsi="Arial" w:cs="Times New Roman"/>
          <w:kern w:val="28"/>
          <w:sz w:val="24"/>
          <w:szCs w:val="24"/>
          <w:lang w:val="en-US" w:eastAsia="en-GB"/>
        </w:rPr>
        <w:t>, the Supreme Court enunciated the relevant test thus:</w:t>
      </w:r>
    </w:p>
    <w:p w:rsidR="008B25D5" w:rsidRDefault="008B25D5" w:rsidP="008B25D5">
      <w:pPr>
        <w:pStyle w:val="ListParagraph"/>
        <w:rPr>
          <w:rFonts w:ascii="Arial" w:eastAsia="Times New Roman" w:hAnsi="Arial" w:cs="Times New Roman"/>
          <w:kern w:val="28"/>
          <w:sz w:val="24"/>
          <w:szCs w:val="24"/>
          <w:lang w:val="en-US" w:eastAsia="en-GB"/>
        </w:rPr>
      </w:pPr>
    </w:p>
    <w:p w:rsidR="008B25D5" w:rsidRDefault="008B25D5" w:rsidP="008B25D5">
      <w:pPr>
        <w:spacing w:after="0" w:line="240" w:lineRule="auto"/>
        <w:ind w:left="360"/>
        <w:contextualSpacing/>
        <w:jc w:val="both"/>
        <w:rPr>
          <w:rFonts w:ascii="Arial" w:eastAsia="Times New Roman" w:hAnsi="Arial" w:cs="Times New Roman"/>
          <w:i/>
          <w:kern w:val="28"/>
          <w:sz w:val="20"/>
          <w:szCs w:val="20"/>
          <w:lang w:val="en-US" w:eastAsia="en-GB"/>
        </w:rPr>
      </w:pPr>
      <w:r w:rsidRPr="009435C4">
        <w:rPr>
          <w:rFonts w:ascii="Arial" w:eastAsia="Times New Roman" w:hAnsi="Arial" w:cs="Times New Roman"/>
          <w:i/>
          <w:kern w:val="28"/>
          <w:sz w:val="20"/>
          <w:szCs w:val="20"/>
          <w:lang w:val="en-US" w:eastAsia="en-GB"/>
        </w:rPr>
        <w:t xml:space="preserve">“Actual deadlock is not an essential to the dissolution of a partnership. All that is necessary is to satisfy a court that it is impossible for the partners to place that confidence in each other which each has a right to expect and that such impossibility has not been caused by the person seeking to take advantage of it”. </w:t>
      </w:r>
    </w:p>
    <w:p w:rsidR="008B25D5" w:rsidRDefault="008B25D5" w:rsidP="008B25D5">
      <w:pPr>
        <w:spacing w:after="0" w:line="240" w:lineRule="auto"/>
        <w:ind w:left="360"/>
        <w:contextualSpacing/>
        <w:jc w:val="both"/>
        <w:rPr>
          <w:rFonts w:ascii="Arial" w:eastAsia="Times New Roman" w:hAnsi="Arial" w:cs="Times New Roman"/>
          <w:i/>
          <w:kern w:val="28"/>
          <w:sz w:val="20"/>
          <w:szCs w:val="20"/>
          <w:lang w:val="en-US" w:eastAsia="en-GB"/>
        </w:rPr>
      </w:pPr>
    </w:p>
    <w:p w:rsidR="008B25D5" w:rsidRPr="009435C4" w:rsidRDefault="008B25D5" w:rsidP="008B25D5">
      <w:pPr>
        <w:spacing w:after="0" w:line="240" w:lineRule="auto"/>
        <w:ind w:left="360"/>
        <w:contextualSpacing/>
        <w:jc w:val="both"/>
        <w:rPr>
          <w:rFonts w:ascii="Arial" w:eastAsia="Times New Roman" w:hAnsi="Arial" w:cs="Times New Roman"/>
          <w:i/>
          <w:kern w:val="28"/>
          <w:sz w:val="20"/>
          <w:szCs w:val="20"/>
          <w:lang w:val="en-US" w:eastAsia="en-GB"/>
        </w:rPr>
      </w:pPr>
    </w:p>
    <w:p w:rsidR="00202C61"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[40]</w:t>
      </w:r>
      <w:r>
        <w:rPr>
          <w:rFonts w:ascii="Arial" w:eastAsia="Times New Roman" w:hAnsi="Arial" w:cs="Times New Roman"/>
          <w:kern w:val="28"/>
          <w:sz w:val="24"/>
          <w:szCs w:val="24"/>
          <w:lang w:val="en-US" w:eastAsia="en-GB"/>
        </w:rPr>
        <w:tab/>
      </w:r>
      <w:r w:rsidR="008B25D5">
        <w:rPr>
          <w:rFonts w:ascii="Arial" w:eastAsia="Times New Roman" w:hAnsi="Arial" w:cs="Times New Roman"/>
          <w:kern w:val="28"/>
          <w:sz w:val="24"/>
          <w:szCs w:val="24"/>
          <w:lang w:val="en-US" w:eastAsia="en-GB"/>
        </w:rPr>
        <w:t>On the undisputed facts, I am satisfied that</w:t>
      </w:r>
      <w:r w:rsidR="00955654">
        <w:rPr>
          <w:rFonts w:ascii="Arial" w:eastAsia="Times New Roman" w:hAnsi="Arial" w:cs="Times New Roman"/>
          <w:kern w:val="28"/>
          <w:sz w:val="24"/>
          <w:szCs w:val="24"/>
          <w:lang w:val="en-US" w:eastAsia="en-GB"/>
        </w:rPr>
        <w:t xml:space="preserve"> that the applicant has illustrated that it is impossible for the first applicant and the second respondent to place that confidence in each other which each has a right to expect. The altercation which occurred on 12 January 2021 between them is a vivid illustration of the complete </w:t>
      </w:r>
      <w:r w:rsidR="006A3218">
        <w:rPr>
          <w:rFonts w:ascii="Arial" w:eastAsia="Times New Roman" w:hAnsi="Arial" w:cs="Times New Roman"/>
          <w:kern w:val="28"/>
          <w:sz w:val="24"/>
          <w:szCs w:val="24"/>
          <w:lang w:val="en-US" w:eastAsia="en-GB"/>
        </w:rPr>
        <w:t xml:space="preserve">breakdown in the relationship and </w:t>
      </w:r>
      <w:r w:rsidR="00955654">
        <w:rPr>
          <w:rFonts w:ascii="Arial" w:eastAsia="Times New Roman" w:hAnsi="Arial" w:cs="Times New Roman"/>
          <w:kern w:val="28"/>
          <w:sz w:val="24"/>
          <w:szCs w:val="24"/>
          <w:lang w:val="en-US" w:eastAsia="en-GB"/>
        </w:rPr>
        <w:t>trust between them.</w:t>
      </w:r>
    </w:p>
    <w:p w:rsidR="008B25D5" w:rsidRDefault="008B25D5" w:rsidP="00202C61">
      <w:pPr>
        <w:spacing w:after="0" w:line="360" w:lineRule="auto"/>
        <w:ind w:left="36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 </w:t>
      </w:r>
    </w:p>
    <w:p w:rsidR="006A3218" w:rsidRDefault="003F298F" w:rsidP="003F298F">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[41]</w:t>
      </w:r>
      <w:r>
        <w:rPr>
          <w:rFonts w:ascii="Arial" w:eastAsia="Times New Roman" w:hAnsi="Arial" w:cs="Times New Roman"/>
          <w:kern w:val="28"/>
          <w:sz w:val="24"/>
          <w:szCs w:val="24"/>
          <w:lang w:val="en-US" w:eastAsia="en-GB"/>
        </w:rPr>
        <w:tab/>
      </w:r>
      <w:r w:rsidR="00BB65F0" w:rsidRPr="006A3218">
        <w:rPr>
          <w:rFonts w:ascii="Arial" w:eastAsia="Times New Roman" w:hAnsi="Arial" w:cs="Times New Roman"/>
          <w:kern w:val="28"/>
          <w:sz w:val="24"/>
          <w:szCs w:val="24"/>
          <w:lang w:val="en-US" w:eastAsia="en-GB"/>
        </w:rPr>
        <w:t>Seen against the backdrop of the uncontested facts, the s</w:t>
      </w:r>
      <w:r w:rsidR="003F6833" w:rsidRPr="006A3218">
        <w:rPr>
          <w:rFonts w:ascii="Arial" w:eastAsia="Times New Roman" w:hAnsi="Arial" w:cs="Times New Roman"/>
          <w:kern w:val="28"/>
          <w:sz w:val="24"/>
          <w:szCs w:val="24"/>
          <w:lang w:val="en-US" w:eastAsia="en-GB"/>
        </w:rPr>
        <w:t>econd respondent</w:t>
      </w:r>
      <w:r w:rsidR="00BB65F0" w:rsidRPr="006A3218">
        <w:rPr>
          <w:rFonts w:ascii="Arial" w:eastAsia="Times New Roman" w:hAnsi="Arial" w:cs="Times New Roman"/>
          <w:kern w:val="28"/>
          <w:sz w:val="24"/>
          <w:szCs w:val="24"/>
          <w:lang w:val="en-US" w:eastAsia="en-GB"/>
        </w:rPr>
        <w:t>’s</w:t>
      </w:r>
      <w:r w:rsidR="003F6833" w:rsidRPr="006A3218">
        <w:rPr>
          <w:rFonts w:ascii="Arial" w:eastAsia="Times New Roman" w:hAnsi="Arial" w:cs="Times New Roman"/>
          <w:kern w:val="28"/>
          <w:sz w:val="24"/>
          <w:szCs w:val="24"/>
          <w:lang w:val="en-US" w:eastAsia="en-GB"/>
        </w:rPr>
        <w:t xml:space="preserve"> </w:t>
      </w:r>
      <w:r w:rsidR="008B25D5" w:rsidRPr="006A3218">
        <w:rPr>
          <w:rFonts w:ascii="Arial" w:eastAsia="Times New Roman" w:hAnsi="Arial" w:cs="Times New Roman"/>
          <w:kern w:val="28"/>
          <w:sz w:val="24"/>
          <w:szCs w:val="24"/>
          <w:lang w:val="en-US" w:eastAsia="en-GB"/>
        </w:rPr>
        <w:t>argument</w:t>
      </w:r>
      <w:r w:rsidR="003F6833" w:rsidRPr="006A3218">
        <w:rPr>
          <w:rFonts w:ascii="Arial" w:eastAsia="Times New Roman" w:hAnsi="Arial" w:cs="Times New Roman"/>
          <w:kern w:val="28"/>
          <w:sz w:val="24"/>
          <w:szCs w:val="24"/>
          <w:lang w:val="en-US" w:eastAsia="en-GB"/>
        </w:rPr>
        <w:t xml:space="preserve"> that </w:t>
      </w:r>
      <w:r w:rsidR="00955654" w:rsidRPr="006A3218">
        <w:rPr>
          <w:rFonts w:ascii="Arial" w:eastAsia="Times New Roman" w:hAnsi="Arial" w:cs="Times New Roman"/>
          <w:kern w:val="28"/>
          <w:sz w:val="24"/>
          <w:szCs w:val="24"/>
          <w:lang w:val="en-US" w:eastAsia="en-GB"/>
        </w:rPr>
        <w:t>a s</w:t>
      </w:r>
      <w:r w:rsidR="00FC7515" w:rsidRPr="006A3218">
        <w:rPr>
          <w:rFonts w:ascii="Arial" w:eastAsia="Times New Roman" w:hAnsi="Arial" w:cs="Times New Roman"/>
          <w:kern w:val="28"/>
          <w:sz w:val="24"/>
          <w:szCs w:val="24"/>
          <w:lang w:val="en-US" w:eastAsia="en-GB"/>
        </w:rPr>
        <w:t>p</w:t>
      </w:r>
      <w:r w:rsidR="00955654" w:rsidRPr="006A3218">
        <w:rPr>
          <w:rFonts w:ascii="Arial" w:eastAsia="Times New Roman" w:hAnsi="Arial" w:cs="Times New Roman"/>
          <w:kern w:val="28"/>
          <w:sz w:val="24"/>
          <w:szCs w:val="24"/>
          <w:lang w:val="en-US" w:eastAsia="en-GB"/>
        </w:rPr>
        <w:t>e</w:t>
      </w:r>
      <w:r w:rsidR="00FC7515" w:rsidRPr="006A3218">
        <w:rPr>
          <w:rFonts w:ascii="Arial" w:eastAsia="Times New Roman" w:hAnsi="Arial" w:cs="Times New Roman"/>
          <w:kern w:val="28"/>
          <w:sz w:val="24"/>
          <w:szCs w:val="24"/>
          <w:lang w:val="en-US" w:eastAsia="en-GB"/>
        </w:rPr>
        <w:t>ctre</w:t>
      </w:r>
      <w:r w:rsidR="00955654" w:rsidRPr="006A3218">
        <w:rPr>
          <w:rFonts w:ascii="Arial" w:eastAsia="Times New Roman" w:hAnsi="Arial" w:cs="Times New Roman"/>
          <w:kern w:val="28"/>
          <w:sz w:val="24"/>
          <w:szCs w:val="24"/>
          <w:lang w:val="en-US" w:eastAsia="en-GB"/>
        </w:rPr>
        <w:t xml:space="preserve"> of a relationship remains and </w:t>
      </w:r>
      <w:r w:rsidR="003F6833" w:rsidRPr="006A3218">
        <w:rPr>
          <w:rFonts w:ascii="Arial" w:eastAsia="Times New Roman" w:hAnsi="Arial" w:cs="Times New Roman"/>
          <w:kern w:val="28"/>
          <w:sz w:val="24"/>
          <w:szCs w:val="24"/>
          <w:lang w:val="en-US" w:eastAsia="en-GB"/>
        </w:rPr>
        <w:t>the fi</w:t>
      </w:r>
      <w:r w:rsidR="00570680" w:rsidRPr="006A3218">
        <w:rPr>
          <w:rFonts w:ascii="Arial" w:eastAsia="Times New Roman" w:hAnsi="Arial" w:cs="Times New Roman"/>
          <w:kern w:val="28"/>
          <w:sz w:val="24"/>
          <w:szCs w:val="24"/>
          <w:lang w:val="en-US" w:eastAsia="en-GB"/>
        </w:rPr>
        <w:t>r</w:t>
      </w:r>
      <w:r w:rsidR="003F6833" w:rsidRPr="006A3218">
        <w:rPr>
          <w:rFonts w:ascii="Arial" w:eastAsia="Times New Roman" w:hAnsi="Arial" w:cs="Times New Roman"/>
          <w:kern w:val="28"/>
          <w:sz w:val="24"/>
          <w:szCs w:val="24"/>
          <w:lang w:val="en-US" w:eastAsia="en-GB"/>
        </w:rPr>
        <w:t xml:space="preserve">st applicant can involve himself again in Swatco’s business and exercise the </w:t>
      </w:r>
      <w:r w:rsidR="00955654" w:rsidRPr="006A3218">
        <w:rPr>
          <w:rFonts w:ascii="Arial" w:eastAsia="Times New Roman" w:hAnsi="Arial" w:cs="Times New Roman"/>
          <w:kern w:val="28"/>
          <w:sz w:val="24"/>
          <w:szCs w:val="24"/>
          <w:lang w:val="en-US" w:eastAsia="en-GB"/>
        </w:rPr>
        <w:t xml:space="preserve">suggested </w:t>
      </w:r>
      <w:r w:rsidR="003F6833" w:rsidRPr="006A3218">
        <w:rPr>
          <w:rFonts w:ascii="Arial" w:eastAsia="Times New Roman" w:hAnsi="Arial" w:cs="Times New Roman"/>
          <w:kern w:val="28"/>
          <w:sz w:val="24"/>
          <w:szCs w:val="24"/>
          <w:lang w:val="en-US" w:eastAsia="en-GB"/>
        </w:rPr>
        <w:t>remedies</w:t>
      </w:r>
      <w:r w:rsidR="00955654" w:rsidRPr="006A3218">
        <w:rPr>
          <w:rFonts w:ascii="Arial" w:eastAsia="Times New Roman" w:hAnsi="Arial" w:cs="Times New Roman"/>
          <w:kern w:val="28"/>
          <w:sz w:val="24"/>
          <w:szCs w:val="24"/>
          <w:lang w:val="en-US" w:eastAsia="en-GB"/>
        </w:rPr>
        <w:t>,</w:t>
      </w:r>
      <w:r w:rsidR="003F6833" w:rsidRPr="006A3218">
        <w:rPr>
          <w:rFonts w:ascii="Arial" w:eastAsia="Times New Roman" w:hAnsi="Arial" w:cs="Times New Roman"/>
          <w:kern w:val="28"/>
          <w:sz w:val="24"/>
          <w:szCs w:val="24"/>
          <w:lang w:val="en-US" w:eastAsia="en-GB"/>
        </w:rPr>
        <w:t xml:space="preserve"> </w:t>
      </w:r>
      <w:r w:rsidR="00955654" w:rsidRPr="006A3218">
        <w:rPr>
          <w:rFonts w:ascii="Arial" w:eastAsia="Times New Roman" w:hAnsi="Arial" w:cs="Times New Roman"/>
          <w:kern w:val="28"/>
          <w:sz w:val="24"/>
          <w:szCs w:val="24"/>
          <w:lang w:val="en-US" w:eastAsia="en-GB"/>
        </w:rPr>
        <w:t xml:space="preserve">is misplaced and without a cogent factual foundation. The correspondence which </w:t>
      </w:r>
      <w:r w:rsidR="00955654" w:rsidRPr="006A3218">
        <w:rPr>
          <w:rFonts w:ascii="Arial" w:eastAsia="Times New Roman" w:hAnsi="Arial" w:cs="Times New Roman"/>
          <w:kern w:val="28"/>
          <w:sz w:val="24"/>
          <w:szCs w:val="24"/>
          <w:lang w:val="en-US" w:eastAsia="en-GB"/>
        </w:rPr>
        <w:lastRenderedPageBreak/>
        <w:t xml:space="preserve">passed between the parties’ respective legal representatives, describes the relationship as “toxic” and </w:t>
      </w:r>
      <w:r w:rsidR="00FC7515" w:rsidRPr="006A3218">
        <w:rPr>
          <w:rFonts w:ascii="Arial" w:eastAsia="Times New Roman" w:hAnsi="Arial" w:cs="Times New Roman"/>
          <w:kern w:val="28"/>
          <w:sz w:val="24"/>
          <w:szCs w:val="24"/>
          <w:lang w:val="en-US" w:eastAsia="en-GB"/>
        </w:rPr>
        <w:t xml:space="preserve">raises issues that clearly </w:t>
      </w:r>
      <w:r w:rsidR="00955654" w:rsidRPr="006A3218">
        <w:rPr>
          <w:rFonts w:ascii="Arial" w:eastAsia="Times New Roman" w:hAnsi="Arial" w:cs="Times New Roman"/>
          <w:kern w:val="28"/>
          <w:sz w:val="24"/>
          <w:szCs w:val="24"/>
          <w:lang w:val="en-US" w:eastAsia="en-GB"/>
        </w:rPr>
        <w:t xml:space="preserve">illustrate that the trust relationship has completely broken down. </w:t>
      </w:r>
      <w:r w:rsidR="006A3218">
        <w:rPr>
          <w:rFonts w:ascii="Arial" w:eastAsia="Times New Roman" w:hAnsi="Arial" w:cs="Times New Roman"/>
          <w:kern w:val="28"/>
          <w:sz w:val="24"/>
          <w:szCs w:val="24"/>
          <w:lang w:val="en-US" w:eastAsia="en-GB"/>
        </w:rPr>
        <w:t xml:space="preserve">Their </w:t>
      </w:r>
      <w:r w:rsidR="006A3218" w:rsidRPr="006A3218">
        <w:rPr>
          <w:rFonts w:ascii="Arial" w:eastAsia="Times New Roman" w:hAnsi="Arial" w:cs="Times New Roman"/>
          <w:kern w:val="28"/>
          <w:sz w:val="24"/>
          <w:szCs w:val="24"/>
          <w:lang w:val="en-US" w:eastAsia="en-GB"/>
        </w:rPr>
        <w:t>relationship</w:t>
      </w:r>
      <w:r w:rsidR="006A3218">
        <w:rPr>
          <w:rFonts w:ascii="Arial" w:eastAsia="Times New Roman" w:hAnsi="Arial" w:cs="Times New Roman"/>
          <w:kern w:val="28"/>
          <w:sz w:val="24"/>
          <w:szCs w:val="24"/>
          <w:lang w:val="en-US" w:eastAsia="en-GB"/>
        </w:rPr>
        <w:t xml:space="preserve"> can hardly be described </w:t>
      </w:r>
      <w:r w:rsidR="006A3218" w:rsidRPr="006A3218">
        <w:rPr>
          <w:rFonts w:ascii="Arial" w:eastAsia="Times New Roman" w:hAnsi="Arial" w:cs="Times New Roman"/>
          <w:kern w:val="28"/>
          <w:sz w:val="24"/>
          <w:szCs w:val="24"/>
          <w:lang w:val="en-US" w:eastAsia="en-GB"/>
        </w:rPr>
        <w:t>as one of friendly co</w:t>
      </w:r>
      <w:r w:rsidR="00202C61">
        <w:rPr>
          <w:rFonts w:ascii="Arial" w:eastAsia="Times New Roman" w:hAnsi="Arial" w:cs="Times New Roman"/>
          <w:kern w:val="28"/>
          <w:sz w:val="24"/>
          <w:szCs w:val="24"/>
          <w:lang w:val="en-US" w:eastAsia="en-GB"/>
        </w:rPr>
        <w:t>-</w:t>
      </w:r>
      <w:r w:rsidR="006A3218" w:rsidRPr="006A3218">
        <w:rPr>
          <w:rFonts w:ascii="Arial" w:eastAsia="Times New Roman" w:hAnsi="Arial" w:cs="Times New Roman"/>
          <w:kern w:val="28"/>
          <w:sz w:val="24"/>
          <w:szCs w:val="24"/>
          <w:lang w:val="en-US" w:eastAsia="en-GB"/>
        </w:rPr>
        <w:t xml:space="preserve">operation in the running of the affairs of Swatco. It does not seem that there is any reasonable hope of Swatco emerging as a functional company in which both the first applicant and the second respondent actively participate in the management. </w:t>
      </w:r>
    </w:p>
    <w:p w:rsidR="00810FB6" w:rsidRDefault="00810FB6" w:rsidP="00810FB6">
      <w:pPr>
        <w:spacing w:after="0" w:line="360" w:lineRule="auto"/>
        <w:ind w:left="360"/>
        <w:contextualSpacing/>
        <w:jc w:val="both"/>
        <w:rPr>
          <w:rFonts w:ascii="Arial" w:eastAsia="Times New Roman" w:hAnsi="Arial" w:cs="Times New Roman"/>
          <w:kern w:val="28"/>
          <w:sz w:val="24"/>
          <w:szCs w:val="24"/>
          <w:lang w:val="en-US" w:eastAsia="en-GB"/>
        </w:rPr>
      </w:pPr>
    </w:p>
    <w:p w:rsidR="00810FB6" w:rsidRPr="00955654"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[42]</w:t>
      </w:r>
      <w:r>
        <w:rPr>
          <w:rFonts w:ascii="Arial" w:eastAsia="Times New Roman" w:hAnsi="Arial" w:cs="Times New Roman"/>
          <w:kern w:val="28"/>
          <w:sz w:val="24"/>
          <w:szCs w:val="24"/>
          <w:lang w:val="en-US" w:eastAsia="en-GB"/>
        </w:rPr>
        <w:tab/>
      </w:r>
      <w:r w:rsidR="00810FB6" w:rsidRPr="00955654">
        <w:rPr>
          <w:rFonts w:ascii="Arial" w:eastAsia="Times New Roman" w:hAnsi="Arial" w:cs="Times New Roman"/>
          <w:kern w:val="28"/>
          <w:sz w:val="24"/>
          <w:szCs w:val="24"/>
          <w:lang w:val="en-US" w:eastAsia="en-GB"/>
        </w:rPr>
        <w:t xml:space="preserve">Considering all the </w:t>
      </w:r>
      <w:r w:rsidR="00810FB6">
        <w:rPr>
          <w:rFonts w:ascii="Arial" w:eastAsia="Times New Roman" w:hAnsi="Arial" w:cs="Times New Roman"/>
          <w:kern w:val="28"/>
          <w:sz w:val="24"/>
          <w:szCs w:val="24"/>
          <w:lang w:val="en-US" w:eastAsia="en-GB"/>
        </w:rPr>
        <w:t xml:space="preserve">relevant </w:t>
      </w:r>
      <w:r w:rsidR="00810FB6" w:rsidRPr="00955654">
        <w:rPr>
          <w:rFonts w:ascii="Arial" w:eastAsia="Times New Roman" w:hAnsi="Arial" w:cs="Times New Roman"/>
          <w:kern w:val="28"/>
          <w:sz w:val="24"/>
          <w:szCs w:val="24"/>
          <w:lang w:val="en-US" w:eastAsia="en-GB"/>
        </w:rPr>
        <w:t>facts, it can only be concluded that the relationship between the first applicant and the second respondent has irretrievably broken down and that a deadlock exists in relation to the Swatco business</w:t>
      </w:r>
      <w:r w:rsidR="00810FB6">
        <w:rPr>
          <w:rFonts w:ascii="Arial" w:eastAsia="Times New Roman" w:hAnsi="Arial" w:cs="Times New Roman"/>
          <w:kern w:val="28"/>
          <w:sz w:val="24"/>
          <w:szCs w:val="24"/>
          <w:lang w:val="en-US" w:eastAsia="en-GB"/>
        </w:rPr>
        <w:t>, for which the first applicant is not solely responsible</w:t>
      </w:r>
      <w:r w:rsidR="00810FB6" w:rsidRPr="00955654">
        <w:rPr>
          <w:rFonts w:ascii="Arial" w:eastAsia="Times New Roman" w:hAnsi="Arial" w:cs="Times New Roman"/>
          <w:kern w:val="28"/>
          <w:sz w:val="24"/>
          <w:szCs w:val="24"/>
          <w:lang w:val="en-US" w:eastAsia="en-GB"/>
        </w:rPr>
        <w:t>.</w:t>
      </w:r>
    </w:p>
    <w:p w:rsidR="00810FB6" w:rsidRDefault="00810FB6" w:rsidP="00810FB6">
      <w:pPr>
        <w:pStyle w:val="ListParagraph"/>
        <w:rPr>
          <w:rFonts w:ascii="Arial" w:eastAsia="Times New Roman" w:hAnsi="Arial" w:cs="Times New Roman"/>
          <w:kern w:val="28"/>
          <w:sz w:val="24"/>
          <w:szCs w:val="24"/>
          <w:lang w:val="en-US" w:eastAsia="en-GB"/>
        </w:rPr>
      </w:pPr>
    </w:p>
    <w:p w:rsidR="00810FB6" w:rsidRPr="006A3218"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[43]</w:t>
      </w:r>
      <w:r>
        <w:rPr>
          <w:rFonts w:ascii="Arial" w:eastAsia="Times New Roman" w:hAnsi="Arial" w:cs="Times New Roman"/>
          <w:kern w:val="28"/>
          <w:sz w:val="24"/>
          <w:szCs w:val="24"/>
          <w:lang w:val="en-US" w:eastAsia="en-GB"/>
        </w:rPr>
        <w:tab/>
      </w:r>
      <w:r w:rsidR="00810FB6">
        <w:rPr>
          <w:rFonts w:ascii="Arial" w:eastAsia="Times New Roman" w:hAnsi="Arial" w:cs="Times New Roman"/>
          <w:kern w:val="28"/>
          <w:sz w:val="24"/>
          <w:szCs w:val="24"/>
          <w:lang w:val="en-US" w:eastAsia="en-GB"/>
        </w:rPr>
        <w:t xml:space="preserve">It is an unfortunate inevitability that the Swatco employees will lose their employment if a winding up order of Swatco is granted. That, of itself, cannot be a reason not to grant such relief. Both the first applicant and the second respondent have invested substantial amounts in Swatco. If Swatco is solvent, as the second respondent contends, there is a prospect of a substantial recoupment by both parties of their investment.  </w:t>
      </w:r>
    </w:p>
    <w:p w:rsidR="006A3218" w:rsidRDefault="006A3218" w:rsidP="006A3218">
      <w:pPr>
        <w:pStyle w:val="ListParagraph"/>
        <w:rPr>
          <w:rFonts w:ascii="Arial" w:eastAsia="Times New Roman" w:hAnsi="Arial" w:cs="Times New Roman"/>
          <w:kern w:val="28"/>
          <w:sz w:val="24"/>
          <w:szCs w:val="24"/>
          <w:lang w:val="en-US" w:eastAsia="en-GB"/>
        </w:rPr>
      </w:pPr>
    </w:p>
    <w:p w:rsidR="00FC7515"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[44]</w:t>
      </w:r>
      <w:r>
        <w:rPr>
          <w:rFonts w:ascii="Arial" w:eastAsia="Times New Roman" w:hAnsi="Arial" w:cs="Times New Roman"/>
          <w:kern w:val="28"/>
          <w:sz w:val="24"/>
          <w:szCs w:val="24"/>
          <w:lang w:val="en-US" w:eastAsia="en-GB"/>
        </w:rPr>
        <w:tab/>
      </w:r>
      <w:r w:rsidR="00FC7515">
        <w:rPr>
          <w:rFonts w:ascii="Arial" w:eastAsia="Times New Roman" w:hAnsi="Arial" w:cs="Times New Roman"/>
          <w:kern w:val="28"/>
          <w:sz w:val="24"/>
          <w:szCs w:val="24"/>
          <w:lang w:val="en-US" w:eastAsia="en-GB"/>
        </w:rPr>
        <w:t>In argument, t</w:t>
      </w:r>
      <w:r w:rsidR="00955654" w:rsidRPr="00955654">
        <w:rPr>
          <w:rFonts w:ascii="Arial" w:eastAsia="Times New Roman" w:hAnsi="Arial" w:cs="Times New Roman"/>
          <w:kern w:val="28"/>
          <w:sz w:val="24"/>
          <w:szCs w:val="24"/>
          <w:lang w:val="en-US" w:eastAsia="en-GB"/>
        </w:rPr>
        <w:t xml:space="preserve">he second respondent’s </w:t>
      </w:r>
      <w:r w:rsidR="00FC7515">
        <w:rPr>
          <w:rFonts w:ascii="Arial" w:eastAsia="Times New Roman" w:hAnsi="Arial" w:cs="Times New Roman"/>
          <w:kern w:val="28"/>
          <w:sz w:val="24"/>
          <w:szCs w:val="24"/>
          <w:lang w:val="en-US" w:eastAsia="en-GB"/>
        </w:rPr>
        <w:t>stressed</w:t>
      </w:r>
      <w:r w:rsidR="00955654" w:rsidRPr="00955654">
        <w:rPr>
          <w:rFonts w:ascii="Arial" w:eastAsia="Times New Roman" w:hAnsi="Arial" w:cs="Times New Roman"/>
          <w:kern w:val="28"/>
          <w:sz w:val="24"/>
          <w:szCs w:val="24"/>
          <w:lang w:val="en-US" w:eastAsia="en-GB"/>
        </w:rPr>
        <w:t xml:space="preserve"> that the first applicant should </w:t>
      </w:r>
      <w:r w:rsidR="00810FB6">
        <w:rPr>
          <w:rFonts w:ascii="Arial" w:eastAsia="Times New Roman" w:hAnsi="Arial" w:cs="Times New Roman"/>
          <w:kern w:val="28"/>
          <w:sz w:val="24"/>
          <w:szCs w:val="24"/>
          <w:lang w:val="en-US" w:eastAsia="en-GB"/>
        </w:rPr>
        <w:t xml:space="preserve">have rather </w:t>
      </w:r>
      <w:r w:rsidR="00955654" w:rsidRPr="00955654">
        <w:rPr>
          <w:rFonts w:ascii="Arial" w:eastAsia="Times New Roman" w:hAnsi="Arial" w:cs="Times New Roman"/>
          <w:kern w:val="28"/>
          <w:sz w:val="24"/>
          <w:szCs w:val="24"/>
          <w:lang w:val="en-US" w:eastAsia="en-GB"/>
        </w:rPr>
        <w:t>s</w:t>
      </w:r>
      <w:r w:rsidR="00810FB6">
        <w:rPr>
          <w:rFonts w:ascii="Arial" w:eastAsia="Times New Roman" w:hAnsi="Arial" w:cs="Times New Roman"/>
          <w:kern w:val="28"/>
          <w:sz w:val="24"/>
          <w:szCs w:val="24"/>
          <w:lang w:val="en-US" w:eastAsia="en-GB"/>
        </w:rPr>
        <w:t>ought</w:t>
      </w:r>
      <w:r w:rsidR="00955654" w:rsidRPr="00955654">
        <w:rPr>
          <w:rFonts w:ascii="Arial" w:eastAsia="Times New Roman" w:hAnsi="Arial" w:cs="Times New Roman"/>
          <w:kern w:val="28"/>
          <w:sz w:val="24"/>
          <w:szCs w:val="24"/>
          <w:lang w:val="en-US" w:eastAsia="en-GB"/>
        </w:rPr>
        <w:t xml:space="preserve"> relief under s 36 </w:t>
      </w:r>
      <w:r w:rsidR="00FC7515">
        <w:rPr>
          <w:rFonts w:ascii="Arial" w:eastAsia="Times New Roman" w:hAnsi="Arial" w:cs="Times New Roman"/>
          <w:kern w:val="28"/>
          <w:sz w:val="24"/>
          <w:szCs w:val="24"/>
          <w:lang w:val="en-US" w:eastAsia="en-GB"/>
        </w:rPr>
        <w:t xml:space="preserve">of the Act, </w:t>
      </w:r>
      <w:r w:rsidR="00955654" w:rsidRPr="00955654">
        <w:rPr>
          <w:rFonts w:ascii="Arial" w:eastAsia="Times New Roman" w:hAnsi="Arial" w:cs="Times New Roman"/>
          <w:kern w:val="28"/>
          <w:sz w:val="24"/>
          <w:szCs w:val="24"/>
          <w:lang w:val="en-US" w:eastAsia="en-GB"/>
        </w:rPr>
        <w:t>pertaining to the disposal of his membership interest in Swatco</w:t>
      </w:r>
      <w:r w:rsidR="00FC7515">
        <w:rPr>
          <w:rFonts w:ascii="Arial" w:eastAsia="Times New Roman" w:hAnsi="Arial" w:cs="Times New Roman"/>
          <w:kern w:val="28"/>
          <w:sz w:val="24"/>
          <w:szCs w:val="24"/>
          <w:lang w:val="en-US" w:eastAsia="en-GB"/>
        </w:rPr>
        <w:t>. C</w:t>
      </w:r>
      <w:r w:rsidR="00F8352C" w:rsidRPr="00955654">
        <w:rPr>
          <w:rFonts w:ascii="Arial" w:eastAsia="Times New Roman" w:hAnsi="Arial" w:cs="Times New Roman"/>
          <w:kern w:val="28"/>
          <w:sz w:val="24"/>
          <w:szCs w:val="24"/>
          <w:lang w:val="en-US" w:eastAsia="en-GB"/>
        </w:rPr>
        <w:t>onsidering the corre</w:t>
      </w:r>
      <w:r w:rsidR="007C571B" w:rsidRPr="00955654">
        <w:rPr>
          <w:rFonts w:ascii="Arial" w:eastAsia="Times New Roman" w:hAnsi="Arial" w:cs="Times New Roman"/>
          <w:kern w:val="28"/>
          <w:sz w:val="24"/>
          <w:szCs w:val="24"/>
          <w:lang w:val="en-US" w:eastAsia="en-GB"/>
        </w:rPr>
        <w:t>s</w:t>
      </w:r>
      <w:r w:rsidR="00F8352C" w:rsidRPr="00955654">
        <w:rPr>
          <w:rFonts w:ascii="Arial" w:eastAsia="Times New Roman" w:hAnsi="Arial" w:cs="Times New Roman"/>
          <w:kern w:val="28"/>
          <w:sz w:val="24"/>
          <w:szCs w:val="24"/>
          <w:lang w:val="en-US" w:eastAsia="en-GB"/>
        </w:rPr>
        <w:t>pondence which passed between the parties’ legal representatives from 12 November 2020</w:t>
      </w:r>
      <w:r w:rsidR="007C571B" w:rsidRPr="00955654">
        <w:rPr>
          <w:rFonts w:ascii="Arial" w:eastAsia="Times New Roman" w:hAnsi="Arial" w:cs="Times New Roman"/>
          <w:kern w:val="28"/>
          <w:sz w:val="24"/>
          <w:szCs w:val="24"/>
          <w:lang w:val="en-US" w:eastAsia="en-GB"/>
        </w:rPr>
        <w:t xml:space="preserve"> and the various issues and options raised therein</w:t>
      </w:r>
      <w:r w:rsidR="00FC7515">
        <w:rPr>
          <w:rFonts w:ascii="Arial" w:eastAsia="Times New Roman" w:hAnsi="Arial" w:cs="Times New Roman"/>
          <w:kern w:val="28"/>
          <w:sz w:val="24"/>
          <w:szCs w:val="24"/>
          <w:lang w:val="en-US" w:eastAsia="en-GB"/>
        </w:rPr>
        <w:t>, it appears that various possible avenues of settlement were already raised and canvassed between the parties and that no agreement could be reached</w:t>
      </w:r>
      <w:r w:rsidR="003F6833" w:rsidRPr="00955654">
        <w:rPr>
          <w:rFonts w:ascii="Arial" w:eastAsia="Times New Roman" w:hAnsi="Arial" w:cs="Times New Roman"/>
          <w:kern w:val="28"/>
          <w:sz w:val="24"/>
          <w:szCs w:val="24"/>
          <w:lang w:val="en-US" w:eastAsia="en-GB"/>
        </w:rPr>
        <w:t>.</w:t>
      </w:r>
      <w:r w:rsidR="00FC7515">
        <w:rPr>
          <w:rFonts w:ascii="Arial" w:eastAsia="Times New Roman" w:hAnsi="Arial" w:cs="Times New Roman"/>
          <w:kern w:val="28"/>
          <w:sz w:val="24"/>
          <w:szCs w:val="24"/>
          <w:lang w:val="en-US" w:eastAsia="en-GB"/>
        </w:rPr>
        <w:t xml:space="preserve"> </w:t>
      </w:r>
    </w:p>
    <w:p w:rsidR="00FC7515" w:rsidRDefault="00FC7515" w:rsidP="00FC7515">
      <w:pPr>
        <w:pStyle w:val="ListParagraph"/>
        <w:rPr>
          <w:rFonts w:ascii="Arial" w:eastAsia="Times New Roman" w:hAnsi="Arial" w:cs="Times New Roman"/>
          <w:kern w:val="28"/>
          <w:sz w:val="24"/>
          <w:szCs w:val="24"/>
          <w:lang w:val="en-US" w:eastAsia="en-GB"/>
        </w:rPr>
      </w:pPr>
    </w:p>
    <w:p w:rsidR="00810FB6"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[45]</w:t>
      </w:r>
      <w:r>
        <w:rPr>
          <w:rFonts w:ascii="Arial" w:eastAsia="Times New Roman" w:hAnsi="Arial" w:cs="Times New Roman"/>
          <w:kern w:val="28"/>
          <w:sz w:val="24"/>
          <w:szCs w:val="24"/>
          <w:lang w:val="en-US" w:eastAsia="en-GB"/>
        </w:rPr>
        <w:tab/>
      </w:r>
      <w:r w:rsidR="00F8352C" w:rsidRPr="00955654">
        <w:rPr>
          <w:rFonts w:ascii="Arial" w:eastAsia="Times New Roman" w:hAnsi="Arial" w:cs="Times New Roman"/>
          <w:kern w:val="28"/>
          <w:sz w:val="24"/>
          <w:szCs w:val="24"/>
          <w:lang w:val="en-US" w:eastAsia="en-GB"/>
        </w:rPr>
        <w:t>Significantly, the second respondent did not launch any counter</w:t>
      </w:r>
      <w:r w:rsidR="007C571B" w:rsidRPr="00955654">
        <w:rPr>
          <w:rFonts w:ascii="Arial" w:eastAsia="Times New Roman" w:hAnsi="Arial" w:cs="Times New Roman"/>
          <w:kern w:val="28"/>
          <w:sz w:val="24"/>
          <w:szCs w:val="24"/>
          <w:lang w:val="en-US" w:eastAsia="en-GB"/>
        </w:rPr>
        <w:t xml:space="preserve"> </w:t>
      </w:r>
      <w:r w:rsidR="00F8352C" w:rsidRPr="00955654">
        <w:rPr>
          <w:rFonts w:ascii="Arial" w:eastAsia="Times New Roman" w:hAnsi="Arial" w:cs="Times New Roman"/>
          <w:kern w:val="28"/>
          <w:sz w:val="24"/>
          <w:szCs w:val="24"/>
          <w:lang w:val="en-US" w:eastAsia="en-GB"/>
        </w:rPr>
        <w:t xml:space="preserve">application for relief, including </w:t>
      </w:r>
      <w:r w:rsidR="00FC7515">
        <w:rPr>
          <w:rFonts w:ascii="Arial" w:eastAsia="Times New Roman" w:hAnsi="Arial" w:cs="Times New Roman"/>
          <w:kern w:val="28"/>
          <w:sz w:val="24"/>
          <w:szCs w:val="24"/>
          <w:lang w:val="en-US" w:eastAsia="en-GB"/>
        </w:rPr>
        <w:t xml:space="preserve">any </w:t>
      </w:r>
      <w:r w:rsidR="00F8352C" w:rsidRPr="00955654">
        <w:rPr>
          <w:rFonts w:ascii="Arial" w:eastAsia="Times New Roman" w:hAnsi="Arial" w:cs="Times New Roman"/>
          <w:kern w:val="28"/>
          <w:sz w:val="24"/>
          <w:szCs w:val="24"/>
          <w:lang w:val="en-US" w:eastAsia="en-GB"/>
        </w:rPr>
        <w:t>relief under s</w:t>
      </w:r>
      <w:r w:rsidR="00FC7515">
        <w:rPr>
          <w:rFonts w:ascii="Arial" w:eastAsia="Times New Roman" w:hAnsi="Arial" w:cs="Times New Roman"/>
          <w:kern w:val="28"/>
          <w:sz w:val="24"/>
          <w:szCs w:val="24"/>
          <w:lang w:val="en-US" w:eastAsia="en-GB"/>
        </w:rPr>
        <w:t xml:space="preserve"> </w:t>
      </w:r>
      <w:r w:rsidR="00F8352C" w:rsidRPr="00955654">
        <w:rPr>
          <w:rFonts w:ascii="Arial" w:eastAsia="Times New Roman" w:hAnsi="Arial" w:cs="Times New Roman"/>
          <w:kern w:val="28"/>
          <w:sz w:val="24"/>
          <w:szCs w:val="24"/>
          <w:lang w:val="en-US" w:eastAsia="en-GB"/>
        </w:rPr>
        <w:t>36 of the Act</w:t>
      </w:r>
      <w:r w:rsidR="00FC7515">
        <w:rPr>
          <w:rFonts w:ascii="Arial" w:eastAsia="Times New Roman" w:hAnsi="Arial" w:cs="Times New Roman"/>
          <w:kern w:val="28"/>
          <w:sz w:val="24"/>
          <w:szCs w:val="24"/>
          <w:lang w:val="en-US" w:eastAsia="en-GB"/>
        </w:rPr>
        <w:t xml:space="preserve"> </w:t>
      </w:r>
      <w:r w:rsidR="006A3218">
        <w:rPr>
          <w:rFonts w:ascii="Arial" w:eastAsia="Times New Roman" w:hAnsi="Arial" w:cs="Times New Roman"/>
          <w:kern w:val="28"/>
          <w:sz w:val="24"/>
          <w:szCs w:val="24"/>
          <w:lang w:val="en-US" w:eastAsia="en-GB"/>
        </w:rPr>
        <w:t xml:space="preserve">and did not avail himself of the remedies he proposed the first applicant should pursue. Moreover, he put up </w:t>
      </w:r>
      <w:r w:rsidR="00FC7515">
        <w:rPr>
          <w:rFonts w:ascii="Arial" w:eastAsia="Times New Roman" w:hAnsi="Arial" w:cs="Times New Roman"/>
          <w:kern w:val="28"/>
          <w:sz w:val="24"/>
          <w:szCs w:val="24"/>
          <w:lang w:val="en-US" w:eastAsia="en-GB"/>
        </w:rPr>
        <w:t xml:space="preserve">no </w:t>
      </w:r>
      <w:r w:rsidR="00FC7515">
        <w:rPr>
          <w:rFonts w:ascii="Arial" w:eastAsia="Times New Roman" w:hAnsi="Arial" w:cs="Times New Roman"/>
          <w:kern w:val="28"/>
          <w:sz w:val="24"/>
          <w:szCs w:val="24"/>
          <w:lang w:val="en-US" w:eastAsia="en-GB"/>
        </w:rPr>
        <w:lastRenderedPageBreak/>
        <w:t xml:space="preserve">facts to enable a conclusion to be </w:t>
      </w:r>
      <w:r w:rsidR="006A3218">
        <w:rPr>
          <w:rFonts w:ascii="Arial" w:eastAsia="Times New Roman" w:hAnsi="Arial" w:cs="Times New Roman"/>
          <w:kern w:val="28"/>
          <w:sz w:val="24"/>
          <w:szCs w:val="24"/>
          <w:lang w:val="en-US" w:eastAsia="en-GB"/>
        </w:rPr>
        <w:t>drawn</w:t>
      </w:r>
      <w:r w:rsidR="00FC7515">
        <w:rPr>
          <w:rFonts w:ascii="Arial" w:eastAsia="Times New Roman" w:hAnsi="Arial" w:cs="Times New Roman"/>
          <w:kern w:val="28"/>
          <w:sz w:val="24"/>
          <w:szCs w:val="24"/>
          <w:lang w:val="en-US" w:eastAsia="en-GB"/>
        </w:rPr>
        <w:t xml:space="preserve"> that any of the proposed suitable remedies constituted a viable alternative to winding up.</w:t>
      </w:r>
      <w:r w:rsidR="00C47B89" w:rsidRPr="00C47B89">
        <w:rPr>
          <w:rFonts w:ascii="Arial" w:eastAsia="Times New Roman" w:hAnsi="Arial" w:cs="Times New Roman"/>
          <w:kern w:val="28"/>
          <w:sz w:val="24"/>
          <w:szCs w:val="24"/>
          <w:lang w:val="en-US" w:eastAsia="en-GB"/>
        </w:rPr>
        <w:t xml:space="preserve"> </w:t>
      </w:r>
      <w:r w:rsidR="00C47B89">
        <w:rPr>
          <w:rFonts w:ascii="Arial" w:eastAsia="Times New Roman" w:hAnsi="Arial" w:cs="Times New Roman"/>
          <w:kern w:val="28"/>
          <w:sz w:val="24"/>
          <w:szCs w:val="24"/>
          <w:lang w:val="en-US" w:eastAsia="en-GB"/>
        </w:rPr>
        <w:t>The second respondent has simply not placed any information before the court to properly consider the alternatives such as the purchase of the first applicant’s shares or the granting of any relief under s163 of the Companies Act</w:t>
      </w:r>
      <w:r w:rsidR="00C47B89">
        <w:rPr>
          <w:rStyle w:val="FootnoteReference"/>
          <w:rFonts w:ascii="Arial" w:eastAsia="Times New Roman" w:hAnsi="Arial" w:cs="Times New Roman"/>
          <w:kern w:val="28"/>
          <w:sz w:val="24"/>
          <w:szCs w:val="24"/>
          <w:lang w:val="en-US" w:eastAsia="en-GB"/>
        </w:rPr>
        <w:footnoteReference w:id="17"/>
      </w:r>
      <w:r w:rsidR="00C47B89">
        <w:rPr>
          <w:rFonts w:ascii="Arial" w:eastAsia="Times New Roman" w:hAnsi="Arial" w:cs="Times New Roman"/>
          <w:kern w:val="28"/>
          <w:sz w:val="24"/>
          <w:szCs w:val="24"/>
          <w:lang w:val="en-US" w:eastAsia="en-GB"/>
        </w:rPr>
        <w:t>.</w:t>
      </w:r>
    </w:p>
    <w:p w:rsidR="00810FB6" w:rsidRDefault="00810FB6" w:rsidP="00810FB6">
      <w:pPr>
        <w:pStyle w:val="ListParagraph"/>
        <w:rPr>
          <w:rFonts w:ascii="Arial" w:eastAsia="Times New Roman" w:hAnsi="Arial" w:cs="Times New Roman"/>
          <w:kern w:val="28"/>
          <w:sz w:val="24"/>
          <w:szCs w:val="24"/>
          <w:lang w:val="en-US" w:eastAsia="en-GB"/>
        </w:rPr>
      </w:pPr>
    </w:p>
    <w:p w:rsidR="00897A5D" w:rsidRPr="00C47B89"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[46]</w:t>
      </w:r>
      <w:r>
        <w:rPr>
          <w:rFonts w:ascii="Arial" w:eastAsia="Times New Roman" w:hAnsi="Arial" w:cs="Times New Roman"/>
          <w:kern w:val="28"/>
          <w:sz w:val="24"/>
          <w:szCs w:val="24"/>
          <w:lang w:val="en-US" w:eastAsia="en-GB"/>
        </w:rPr>
        <w:tab/>
      </w:r>
      <w:r w:rsidR="00810FB6" w:rsidRPr="00C47B89">
        <w:rPr>
          <w:rFonts w:ascii="Arial" w:eastAsia="Times New Roman" w:hAnsi="Arial" w:cs="Times New Roman"/>
          <w:kern w:val="28"/>
          <w:sz w:val="24"/>
          <w:szCs w:val="24"/>
          <w:lang w:val="en-US" w:eastAsia="en-GB"/>
        </w:rPr>
        <w:t>In exercising a discretion to wind up a solv</w:t>
      </w:r>
      <w:r>
        <w:rPr>
          <w:rFonts w:ascii="Arial" w:eastAsia="Times New Roman" w:hAnsi="Arial" w:cs="Times New Roman"/>
          <w:kern w:val="28"/>
          <w:sz w:val="24"/>
          <w:szCs w:val="24"/>
          <w:lang w:val="en-US" w:eastAsia="en-GB"/>
        </w:rPr>
        <w:t>ent company, I have considered,</w:t>
      </w:r>
      <w:r w:rsidR="00810FB6" w:rsidRPr="00C47B89">
        <w:rPr>
          <w:rFonts w:ascii="Arial" w:eastAsia="Times New Roman" w:hAnsi="Arial" w:cs="Times New Roman"/>
          <w:kern w:val="28"/>
          <w:sz w:val="24"/>
          <w:szCs w:val="24"/>
          <w:lang w:val="en-US" w:eastAsia="en-GB"/>
        </w:rPr>
        <w:t>as I must, all these relevant factors collectively and holistically</w:t>
      </w:r>
      <w:r w:rsidR="00810FB6">
        <w:rPr>
          <w:rStyle w:val="FootnoteReference"/>
          <w:rFonts w:ascii="Arial" w:eastAsia="Times New Roman" w:hAnsi="Arial" w:cs="Times New Roman"/>
          <w:kern w:val="28"/>
          <w:sz w:val="24"/>
          <w:szCs w:val="24"/>
          <w:lang w:val="en-US" w:eastAsia="en-GB"/>
        </w:rPr>
        <w:footnoteReference w:id="18"/>
      </w:r>
      <w:r w:rsidR="00810FB6" w:rsidRPr="00C47B89">
        <w:rPr>
          <w:rFonts w:ascii="Arial" w:eastAsia="Times New Roman" w:hAnsi="Arial" w:cs="Times New Roman"/>
          <w:kern w:val="28"/>
          <w:sz w:val="24"/>
          <w:szCs w:val="24"/>
          <w:lang w:val="en-US" w:eastAsia="en-GB"/>
        </w:rPr>
        <w:t xml:space="preserve">. I conclude that the discretion afforded must be exercised in favour of </w:t>
      </w:r>
      <w:r w:rsidR="00C47B89" w:rsidRPr="00C47B89">
        <w:rPr>
          <w:rFonts w:ascii="Arial" w:eastAsia="Times New Roman" w:hAnsi="Arial" w:cs="Times New Roman"/>
          <w:kern w:val="28"/>
          <w:sz w:val="24"/>
          <w:szCs w:val="24"/>
          <w:lang w:val="en-US" w:eastAsia="en-GB"/>
        </w:rPr>
        <w:t>the granting of relief</w:t>
      </w:r>
      <w:r w:rsidR="00C47B89">
        <w:rPr>
          <w:rFonts w:ascii="Arial" w:eastAsia="Times New Roman" w:hAnsi="Arial" w:cs="Times New Roman"/>
          <w:kern w:val="28"/>
          <w:sz w:val="24"/>
          <w:szCs w:val="24"/>
          <w:lang w:val="en-US" w:eastAsia="en-GB"/>
        </w:rPr>
        <w:t xml:space="preserve"> and</w:t>
      </w:r>
      <w:r w:rsidR="00897A5D" w:rsidRPr="00C47B89">
        <w:rPr>
          <w:rFonts w:ascii="Arial" w:eastAsia="Times New Roman" w:hAnsi="Arial" w:cs="Times New Roman"/>
          <w:kern w:val="28"/>
          <w:sz w:val="24"/>
          <w:szCs w:val="24"/>
          <w:lang w:val="en-US" w:eastAsia="en-GB"/>
        </w:rPr>
        <w:t xml:space="preserve"> that it would be just and equitable to grant a winding up order a</w:t>
      </w:r>
      <w:r w:rsidR="00C47B89">
        <w:rPr>
          <w:rFonts w:ascii="Arial" w:eastAsia="Times New Roman" w:hAnsi="Arial" w:cs="Times New Roman"/>
          <w:kern w:val="28"/>
          <w:sz w:val="24"/>
          <w:szCs w:val="24"/>
          <w:lang w:val="en-US" w:eastAsia="en-GB"/>
        </w:rPr>
        <w:t>s</w:t>
      </w:r>
      <w:r w:rsidR="00897A5D" w:rsidRPr="00C47B89">
        <w:rPr>
          <w:rFonts w:ascii="Arial" w:eastAsia="Times New Roman" w:hAnsi="Arial" w:cs="Times New Roman"/>
          <w:kern w:val="28"/>
          <w:sz w:val="24"/>
          <w:szCs w:val="24"/>
          <w:lang w:val="en-US" w:eastAsia="en-GB"/>
        </w:rPr>
        <w:t xml:space="preserve"> the first applicant has no alternative means to appropriately address his co</w:t>
      </w:r>
      <w:r w:rsidR="003F40D0" w:rsidRPr="00C47B89">
        <w:rPr>
          <w:rFonts w:ascii="Arial" w:eastAsia="Times New Roman" w:hAnsi="Arial" w:cs="Times New Roman"/>
          <w:kern w:val="28"/>
          <w:sz w:val="24"/>
          <w:szCs w:val="24"/>
          <w:lang w:val="en-US" w:eastAsia="en-GB"/>
        </w:rPr>
        <w:t>m</w:t>
      </w:r>
      <w:r w:rsidR="00897A5D" w:rsidRPr="00C47B89">
        <w:rPr>
          <w:rFonts w:ascii="Arial" w:eastAsia="Times New Roman" w:hAnsi="Arial" w:cs="Times New Roman"/>
          <w:kern w:val="28"/>
          <w:sz w:val="24"/>
          <w:szCs w:val="24"/>
          <w:lang w:val="en-US" w:eastAsia="en-GB"/>
        </w:rPr>
        <w:t>plaints</w:t>
      </w:r>
      <w:r w:rsidR="003F40D0">
        <w:rPr>
          <w:rStyle w:val="FootnoteReference"/>
          <w:rFonts w:ascii="Arial" w:eastAsia="Times New Roman" w:hAnsi="Arial" w:cs="Times New Roman"/>
          <w:kern w:val="28"/>
          <w:sz w:val="24"/>
          <w:szCs w:val="24"/>
          <w:lang w:val="en-US" w:eastAsia="en-GB"/>
        </w:rPr>
        <w:footnoteReference w:id="19"/>
      </w:r>
      <w:r w:rsidR="003F40D0" w:rsidRPr="00C47B89">
        <w:rPr>
          <w:rFonts w:ascii="Arial" w:eastAsia="Times New Roman" w:hAnsi="Arial" w:cs="Times New Roman"/>
          <w:kern w:val="28"/>
          <w:sz w:val="24"/>
          <w:szCs w:val="24"/>
          <w:lang w:val="en-US" w:eastAsia="en-GB"/>
        </w:rPr>
        <w:t>, considering the history of the matter</w:t>
      </w:r>
      <w:r w:rsidR="00897A5D" w:rsidRPr="00C47B89">
        <w:rPr>
          <w:rFonts w:ascii="Arial" w:eastAsia="Times New Roman" w:hAnsi="Arial" w:cs="Times New Roman"/>
          <w:kern w:val="28"/>
          <w:sz w:val="24"/>
          <w:szCs w:val="24"/>
          <w:lang w:val="en-US" w:eastAsia="en-GB"/>
        </w:rPr>
        <w:t>.</w:t>
      </w:r>
    </w:p>
    <w:p w:rsidR="003F40D0" w:rsidRDefault="003F40D0" w:rsidP="003F40D0">
      <w:pPr>
        <w:pStyle w:val="ListParagraph"/>
        <w:rPr>
          <w:rFonts w:ascii="Arial" w:eastAsia="Times New Roman" w:hAnsi="Arial" w:cs="Times New Roman"/>
          <w:kern w:val="28"/>
          <w:sz w:val="24"/>
          <w:szCs w:val="24"/>
          <w:lang w:val="en-US" w:eastAsia="en-GB"/>
        </w:rPr>
      </w:pPr>
    </w:p>
    <w:p w:rsidR="00191600"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[47]</w:t>
      </w:r>
      <w:r>
        <w:rPr>
          <w:rFonts w:ascii="Arial" w:eastAsia="Times New Roman" w:hAnsi="Arial" w:cs="Times New Roman"/>
          <w:kern w:val="28"/>
          <w:sz w:val="24"/>
          <w:szCs w:val="24"/>
          <w:lang w:val="en-US" w:eastAsia="en-GB"/>
        </w:rPr>
        <w:tab/>
      </w:r>
      <w:r w:rsidR="002C0FAC">
        <w:rPr>
          <w:rFonts w:ascii="Arial" w:eastAsia="Times New Roman" w:hAnsi="Arial" w:cs="Times New Roman"/>
          <w:kern w:val="28"/>
          <w:sz w:val="24"/>
          <w:szCs w:val="24"/>
          <w:lang w:val="en-US" w:eastAsia="en-GB"/>
        </w:rPr>
        <w:t>I am satisfied that the requisite formalities have been met and that a winding up order should be granted.</w:t>
      </w:r>
    </w:p>
    <w:p w:rsidR="00191600" w:rsidRDefault="00191600" w:rsidP="00191600">
      <w:pPr>
        <w:pStyle w:val="ListParagraph"/>
        <w:rPr>
          <w:rFonts w:ascii="Arial" w:eastAsia="Times New Roman" w:hAnsi="Arial" w:cs="Times New Roman"/>
          <w:kern w:val="28"/>
          <w:sz w:val="24"/>
          <w:szCs w:val="24"/>
          <w:lang w:val="en-US" w:eastAsia="en-GB"/>
        </w:rPr>
      </w:pPr>
    </w:p>
    <w:p w:rsidR="002E32F5"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[48]</w:t>
      </w:r>
      <w:r>
        <w:rPr>
          <w:rFonts w:ascii="Arial" w:eastAsia="Times New Roman" w:hAnsi="Arial" w:cs="Times New Roman"/>
          <w:kern w:val="28"/>
          <w:sz w:val="24"/>
          <w:szCs w:val="24"/>
          <w:lang w:val="en-US" w:eastAsia="en-GB"/>
        </w:rPr>
        <w:tab/>
      </w:r>
      <w:r w:rsidR="002E32F5">
        <w:rPr>
          <w:rFonts w:ascii="Arial" w:eastAsia="Times New Roman" w:hAnsi="Arial" w:cs="Times New Roman"/>
          <w:kern w:val="28"/>
          <w:sz w:val="24"/>
          <w:szCs w:val="24"/>
          <w:lang w:val="en-US" w:eastAsia="en-GB"/>
        </w:rPr>
        <w:t>In light of the conclusion reached</w:t>
      </w:r>
      <w:r w:rsidR="00202C61">
        <w:rPr>
          <w:rFonts w:ascii="Arial" w:eastAsia="Times New Roman" w:hAnsi="Arial" w:cs="Times New Roman"/>
          <w:kern w:val="28"/>
          <w:sz w:val="24"/>
          <w:szCs w:val="24"/>
          <w:lang w:val="en-US" w:eastAsia="en-GB"/>
        </w:rPr>
        <w:t>, which is dispositive of the matter,</w:t>
      </w:r>
      <w:r>
        <w:rPr>
          <w:rFonts w:ascii="Arial" w:eastAsia="Times New Roman" w:hAnsi="Arial" w:cs="Times New Roman"/>
          <w:kern w:val="28"/>
          <w:sz w:val="24"/>
          <w:szCs w:val="24"/>
          <w:lang w:val="en-US" w:eastAsia="en-GB"/>
        </w:rPr>
        <w:t xml:space="preserve"> it is not </w:t>
      </w:r>
      <w:r w:rsidR="002E32F5">
        <w:rPr>
          <w:rFonts w:ascii="Arial" w:eastAsia="Times New Roman" w:hAnsi="Arial" w:cs="Times New Roman"/>
          <w:kern w:val="28"/>
          <w:sz w:val="24"/>
          <w:szCs w:val="24"/>
          <w:lang w:val="en-US" w:eastAsia="en-GB"/>
        </w:rPr>
        <w:t>necessary to determine the remaining issues</w:t>
      </w:r>
      <w:r w:rsidR="00684DF3">
        <w:rPr>
          <w:rFonts w:ascii="Arial" w:eastAsia="Times New Roman" w:hAnsi="Arial" w:cs="Times New Roman"/>
          <w:kern w:val="28"/>
          <w:sz w:val="24"/>
          <w:szCs w:val="24"/>
          <w:lang w:val="en-US" w:eastAsia="en-GB"/>
        </w:rPr>
        <w:t xml:space="preserve"> or</w:t>
      </w:r>
      <w:r w:rsidR="007801B9">
        <w:rPr>
          <w:rFonts w:ascii="Arial" w:eastAsia="Times New Roman" w:hAnsi="Arial" w:cs="Times New Roman"/>
          <w:kern w:val="28"/>
          <w:sz w:val="24"/>
          <w:szCs w:val="24"/>
          <w:lang w:val="en-US" w:eastAsia="en-GB"/>
        </w:rPr>
        <w:t xml:space="preserve"> to make a determination of the alternative claim of the second and third </w:t>
      </w:r>
      <w:r w:rsidR="00202C61">
        <w:rPr>
          <w:rFonts w:ascii="Arial" w:eastAsia="Times New Roman" w:hAnsi="Arial" w:cs="Times New Roman"/>
          <w:kern w:val="28"/>
          <w:sz w:val="24"/>
          <w:szCs w:val="24"/>
          <w:lang w:val="en-US" w:eastAsia="en-GB"/>
        </w:rPr>
        <w:t>applicants</w:t>
      </w:r>
      <w:r w:rsidR="007A6E16">
        <w:rPr>
          <w:rFonts w:ascii="Arial" w:eastAsia="Times New Roman" w:hAnsi="Arial" w:cs="Times New Roman"/>
          <w:kern w:val="28"/>
          <w:sz w:val="24"/>
          <w:szCs w:val="24"/>
          <w:lang w:val="en-US" w:eastAsia="en-GB"/>
        </w:rPr>
        <w:t xml:space="preserve"> and I make no order in relation thereto.</w:t>
      </w:r>
    </w:p>
    <w:p w:rsidR="002E32F5" w:rsidRDefault="002E32F5" w:rsidP="002E32F5">
      <w:pPr>
        <w:pStyle w:val="ListParagraph"/>
        <w:rPr>
          <w:rFonts w:ascii="Arial" w:eastAsia="Times New Roman" w:hAnsi="Arial" w:cs="Times New Roman"/>
          <w:kern w:val="28"/>
          <w:sz w:val="24"/>
          <w:szCs w:val="24"/>
          <w:lang w:val="en-US" w:eastAsia="en-GB"/>
        </w:rPr>
      </w:pPr>
    </w:p>
    <w:p w:rsidR="009B5F2A" w:rsidRPr="00202C61" w:rsidRDefault="00962893" w:rsidP="00962893">
      <w:pPr>
        <w:spacing w:after="0" w:line="360" w:lineRule="auto"/>
        <w:ind w:left="720" w:hanging="72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[49]</w:t>
      </w:r>
      <w:r>
        <w:rPr>
          <w:rFonts w:ascii="Arial" w:eastAsia="Times New Roman" w:hAnsi="Arial" w:cs="Times New Roman"/>
          <w:kern w:val="28"/>
          <w:sz w:val="24"/>
          <w:szCs w:val="24"/>
          <w:lang w:val="en-US" w:eastAsia="en-GB"/>
        </w:rPr>
        <w:tab/>
      </w:r>
      <w:r w:rsidR="00191600" w:rsidRPr="00202C61">
        <w:rPr>
          <w:rFonts w:ascii="Arial" w:eastAsia="Times New Roman" w:hAnsi="Arial" w:cs="Times New Roman"/>
          <w:kern w:val="28"/>
          <w:sz w:val="24"/>
          <w:szCs w:val="24"/>
          <w:lang w:val="en-US" w:eastAsia="en-GB"/>
        </w:rPr>
        <w:t>The usual order is that the costs of the application be costs in the winding up. In their notice of motion, the applicants sought such an order</w:t>
      </w:r>
      <w:r w:rsidR="007A6E16" w:rsidRPr="00202C61">
        <w:rPr>
          <w:rFonts w:ascii="Arial" w:eastAsia="Times New Roman" w:hAnsi="Arial" w:cs="Times New Roman"/>
          <w:kern w:val="28"/>
          <w:sz w:val="24"/>
          <w:szCs w:val="24"/>
          <w:lang w:val="en-US" w:eastAsia="en-GB"/>
        </w:rPr>
        <w:t>,</w:t>
      </w:r>
      <w:r w:rsidR="00191600" w:rsidRPr="00202C61">
        <w:rPr>
          <w:rFonts w:ascii="Arial" w:eastAsia="Times New Roman" w:hAnsi="Arial" w:cs="Times New Roman"/>
          <w:kern w:val="28"/>
          <w:sz w:val="24"/>
          <w:szCs w:val="24"/>
          <w:lang w:val="en-US" w:eastAsia="en-GB"/>
        </w:rPr>
        <w:t xml:space="preserve"> save in the event of opposition. The application was </w:t>
      </w:r>
      <w:r w:rsidR="007A6E16" w:rsidRPr="00202C61">
        <w:rPr>
          <w:rFonts w:ascii="Arial" w:eastAsia="Times New Roman" w:hAnsi="Arial" w:cs="Times New Roman"/>
          <w:kern w:val="28"/>
          <w:sz w:val="24"/>
          <w:szCs w:val="24"/>
          <w:lang w:val="en-US" w:eastAsia="en-GB"/>
        </w:rPr>
        <w:t xml:space="preserve">unsuccessfully </w:t>
      </w:r>
      <w:r w:rsidR="00191600" w:rsidRPr="00202C61">
        <w:rPr>
          <w:rFonts w:ascii="Arial" w:eastAsia="Times New Roman" w:hAnsi="Arial" w:cs="Times New Roman"/>
          <w:kern w:val="28"/>
          <w:sz w:val="24"/>
          <w:szCs w:val="24"/>
          <w:lang w:val="en-US" w:eastAsia="en-GB"/>
        </w:rPr>
        <w:t xml:space="preserve">opposed </w:t>
      </w:r>
      <w:r w:rsidR="002C0FAC" w:rsidRPr="00202C61">
        <w:rPr>
          <w:rFonts w:ascii="Arial" w:eastAsia="Times New Roman" w:hAnsi="Arial" w:cs="Times New Roman"/>
          <w:kern w:val="28"/>
          <w:sz w:val="24"/>
          <w:szCs w:val="24"/>
          <w:lang w:val="en-US" w:eastAsia="en-GB"/>
        </w:rPr>
        <w:t xml:space="preserve">by </w:t>
      </w:r>
      <w:r w:rsidR="00191600" w:rsidRPr="00202C61">
        <w:rPr>
          <w:rFonts w:ascii="Arial" w:eastAsia="Times New Roman" w:hAnsi="Arial" w:cs="Times New Roman"/>
          <w:kern w:val="28"/>
          <w:sz w:val="24"/>
          <w:szCs w:val="24"/>
          <w:lang w:val="en-US" w:eastAsia="en-GB"/>
        </w:rPr>
        <w:t>the second respondent</w:t>
      </w:r>
      <w:r w:rsidR="002C0FAC" w:rsidRPr="00202C61">
        <w:rPr>
          <w:rFonts w:ascii="Arial" w:eastAsia="Times New Roman" w:hAnsi="Arial" w:cs="Times New Roman"/>
          <w:kern w:val="28"/>
          <w:sz w:val="24"/>
          <w:szCs w:val="24"/>
          <w:lang w:val="en-US" w:eastAsia="en-GB"/>
        </w:rPr>
        <w:t xml:space="preserve">, </w:t>
      </w:r>
      <w:r w:rsidR="009B5F2A" w:rsidRPr="00202C61">
        <w:rPr>
          <w:rFonts w:ascii="Arial" w:eastAsia="Times New Roman" w:hAnsi="Arial" w:cs="Times New Roman"/>
          <w:kern w:val="28"/>
          <w:sz w:val="24"/>
          <w:szCs w:val="24"/>
          <w:lang w:val="en-US" w:eastAsia="en-GB"/>
        </w:rPr>
        <w:t>and no special circumstances were shown, i.e. real and substantial grounds for opposing, which assisted the court in coming to a decision</w:t>
      </w:r>
      <w:r w:rsidR="009B5F2A">
        <w:rPr>
          <w:rStyle w:val="FootnoteReference"/>
          <w:rFonts w:ascii="Arial" w:eastAsia="Times New Roman" w:hAnsi="Arial" w:cs="Times New Roman"/>
          <w:kern w:val="28"/>
          <w:sz w:val="24"/>
          <w:szCs w:val="24"/>
          <w:lang w:val="en-US" w:eastAsia="en-GB"/>
        </w:rPr>
        <w:footnoteReference w:id="20"/>
      </w:r>
      <w:r w:rsidR="00191600" w:rsidRPr="00202C61">
        <w:rPr>
          <w:rFonts w:ascii="Arial" w:eastAsia="Times New Roman" w:hAnsi="Arial" w:cs="Times New Roman"/>
          <w:kern w:val="28"/>
          <w:sz w:val="24"/>
          <w:szCs w:val="24"/>
          <w:lang w:val="en-US" w:eastAsia="en-GB"/>
        </w:rPr>
        <w:t xml:space="preserve">. In those circumstances it would be inappropriate to mulct </w:t>
      </w:r>
      <w:r w:rsidR="00C47B89" w:rsidRPr="00202C61">
        <w:rPr>
          <w:rFonts w:ascii="Arial" w:eastAsia="Times New Roman" w:hAnsi="Arial" w:cs="Times New Roman"/>
          <w:kern w:val="28"/>
          <w:sz w:val="24"/>
          <w:szCs w:val="24"/>
          <w:lang w:val="en-US" w:eastAsia="en-GB"/>
        </w:rPr>
        <w:t>Swatco</w:t>
      </w:r>
      <w:r w:rsidR="00191600" w:rsidRPr="00202C61">
        <w:rPr>
          <w:rFonts w:ascii="Arial" w:eastAsia="Times New Roman" w:hAnsi="Arial" w:cs="Times New Roman"/>
          <w:kern w:val="28"/>
          <w:sz w:val="24"/>
          <w:szCs w:val="24"/>
          <w:lang w:val="en-US" w:eastAsia="en-GB"/>
        </w:rPr>
        <w:t xml:space="preserve"> with the costs</w:t>
      </w:r>
      <w:r w:rsidR="00C47B89" w:rsidRPr="00202C61">
        <w:rPr>
          <w:rFonts w:ascii="Arial" w:eastAsia="Times New Roman" w:hAnsi="Arial" w:cs="Times New Roman"/>
          <w:kern w:val="28"/>
          <w:sz w:val="24"/>
          <w:szCs w:val="24"/>
          <w:lang w:val="en-US" w:eastAsia="en-GB"/>
        </w:rPr>
        <w:t xml:space="preserve"> of the </w:t>
      </w:r>
      <w:r w:rsidR="00C47B89" w:rsidRPr="00202C61">
        <w:rPr>
          <w:rFonts w:ascii="Arial" w:eastAsia="Times New Roman" w:hAnsi="Arial" w:cs="Times New Roman"/>
          <w:kern w:val="28"/>
          <w:sz w:val="24"/>
          <w:szCs w:val="24"/>
          <w:lang w:val="en-US" w:eastAsia="en-GB"/>
        </w:rPr>
        <w:lastRenderedPageBreak/>
        <w:t>application</w:t>
      </w:r>
      <w:r w:rsidR="00202C61" w:rsidRPr="00202C61">
        <w:rPr>
          <w:rFonts w:ascii="Arial" w:eastAsia="Times New Roman" w:hAnsi="Arial" w:cs="Times New Roman"/>
          <w:kern w:val="28"/>
          <w:sz w:val="24"/>
          <w:szCs w:val="24"/>
          <w:lang w:val="en-US" w:eastAsia="en-GB"/>
        </w:rPr>
        <w:t>.</w:t>
      </w:r>
      <w:r w:rsidR="00202C61">
        <w:rPr>
          <w:rFonts w:ascii="Arial" w:eastAsia="Times New Roman" w:hAnsi="Arial" w:cs="Times New Roman"/>
          <w:kern w:val="28"/>
          <w:sz w:val="24"/>
          <w:szCs w:val="24"/>
          <w:lang w:val="en-US" w:eastAsia="en-GB"/>
        </w:rPr>
        <w:t xml:space="preserve"> </w:t>
      </w:r>
      <w:r w:rsidR="009B5F2A" w:rsidRPr="00202C61">
        <w:rPr>
          <w:rFonts w:ascii="Arial" w:eastAsia="Times New Roman" w:hAnsi="Arial" w:cs="Times New Roman"/>
          <w:kern w:val="28"/>
          <w:sz w:val="24"/>
          <w:szCs w:val="24"/>
          <w:lang w:val="en-US" w:eastAsia="en-GB"/>
        </w:rPr>
        <w:t xml:space="preserve">I am not </w:t>
      </w:r>
      <w:r w:rsidR="00C47B89" w:rsidRPr="00202C61">
        <w:rPr>
          <w:rFonts w:ascii="Arial" w:eastAsia="Times New Roman" w:hAnsi="Arial" w:cs="Times New Roman"/>
          <w:kern w:val="28"/>
          <w:sz w:val="24"/>
          <w:szCs w:val="24"/>
          <w:lang w:val="en-US" w:eastAsia="en-GB"/>
        </w:rPr>
        <w:t xml:space="preserve">however </w:t>
      </w:r>
      <w:r w:rsidR="009B5F2A" w:rsidRPr="00202C61">
        <w:rPr>
          <w:rFonts w:ascii="Arial" w:eastAsia="Times New Roman" w:hAnsi="Arial" w:cs="Times New Roman"/>
          <w:kern w:val="28"/>
          <w:sz w:val="24"/>
          <w:szCs w:val="24"/>
          <w:lang w:val="en-US" w:eastAsia="en-GB"/>
        </w:rPr>
        <w:t xml:space="preserve">persuaded </w:t>
      </w:r>
      <w:r w:rsidR="00202C61">
        <w:rPr>
          <w:rFonts w:ascii="Arial" w:eastAsia="Times New Roman" w:hAnsi="Arial" w:cs="Times New Roman"/>
          <w:kern w:val="28"/>
          <w:sz w:val="24"/>
          <w:szCs w:val="24"/>
          <w:lang w:val="en-US" w:eastAsia="en-GB"/>
        </w:rPr>
        <w:t xml:space="preserve">that </w:t>
      </w:r>
      <w:r w:rsidR="009B5F2A" w:rsidRPr="00202C61">
        <w:rPr>
          <w:rFonts w:ascii="Arial" w:eastAsia="Times New Roman" w:hAnsi="Arial" w:cs="Times New Roman"/>
          <w:kern w:val="28"/>
          <w:sz w:val="24"/>
          <w:szCs w:val="24"/>
          <w:lang w:val="en-US" w:eastAsia="en-GB"/>
        </w:rPr>
        <w:t xml:space="preserve">a punitive </w:t>
      </w:r>
      <w:r w:rsidR="00202C61">
        <w:rPr>
          <w:rFonts w:ascii="Arial" w:eastAsia="Times New Roman" w:hAnsi="Arial" w:cs="Times New Roman"/>
          <w:kern w:val="28"/>
          <w:sz w:val="24"/>
          <w:szCs w:val="24"/>
          <w:lang w:val="en-US" w:eastAsia="en-GB"/>
        </w:rPr>
        <w:t>costs order is warranted,</w:t>
      </w:r>
      <w:r w:rsidR="009B5F2A" w:rsidRPr="00202C61">
        <w:rPr>
          <w:rFonts w:ascii="Arial" w:eastAsia="Times New Roman" w:hAnsi="Arial" w:cs="Times New Roman"/>
          <w:kern w:val="28"/>
          <w:sz w:val="24"/>
          <w:szCs w:val="24"/>
          <w:lang w:val="en-US" w:eastAsia="en-GB"/>
        </w:rPr>
        <w:t xml:space="preserve"> as </w:t>
      </w:r>
      <w:r w:rsidR="00202C61">
        <w:rPr>
          <w:rFonts w:ascii="Arial" w:eastAsia="Times New Roman" w:hAnsi="Arial" w:cs="Times New Roman"/>
          <w:kern w:val="28"/>
          <w:sz w:val="24"/>
          <w:szCs w:val="24"/>
          <w:lang w:val="en-US" w:eastAsia="en-GB"/>
        </w:rPr>
        <w:t>sought</w:t>
      </w:r>
      <w:r w:rsidR="009B5F2A" w:rsidRPr="00202C61">
        <w:rPr>
          <w:rFonts w:ascii="Arial" w:eastAsia="Times New Roman" w:hAnsi="Arial" w:cs="Times New Roman"/>
          <w:kern w:val="28"/>
          <w:sz w:val="24"/>
          <w:szCs w:val="24"/>
          <w:lang w:val="en-US" w:eastAsia="en-GB"/>
        </w:rPr>
        <w:t xml:space="preserve"> by the first applicant</w:t>
      </w:r>
      <w:r w:rsidR="00191600" w:rsidRPr="00202C61">
        <w:rPr>
          <w:rFonts w:ascii="Arial" w:eastAsia="Times New Roman" w:hAnsi="Arial" w:cs="Times New Roman"/>
          <w:kern w:val="28"/>
          <w:sz w:val="24"/>
          <w:szCs w:val="24"/>
          <w:lang w:val="en-US" w:eastAsia="en-GB"/>
        </w:rPr>
        <w:t>.</w:t>
      </w:r>
    </w:p>
    <w:p w:rsidR="009B5F2A" w:rsidRDefault="009B5F2A" w:rsidP="009B5F2A">
      <w:pPr>
        <w:pStyle w:val="ListParagraph"/>
        <w:rPr>
          <w:rFonts w:ascii="Arial" w:eastAsia="Times New Roman" w:hAnsi="Arial" w:cs="Times New Roman"/>
          <w:kern w:val="28"/>
          <w:sz w:val="24"/>
          <w:szCs w:val="24"/>
          <w:lang w:val="en-US" w:eastAsia="en-GB"/>
        </w:rPr>
      </w:pPr>
    </w:p>
    <w:p w:rsidR="00312A84" w:rsidRDefault="00962893" w:rsidP="00962893">
      <w:pPr>
        <w:spacing w:after="0" w:line="360" w:lineRule="auto"/>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[50]</w:t>
      </w:r>
      <w:r>
        <w:rPr>
          <w:rFonts w:ascii="Arial" w:eastAsia="Times New Roman" w:hAnsi="Arial" w:cs="Times New Roman"/>
          <w:kern w:val="28"/>
          <w:sz w:val="24"/>
          <w:szCs w:val="24"/>
          <w:lang w:val="en-US" w:eastAsia="en-GB"/>
        </w:rPr>
        <w:tab/>
      </w:r>
      <w:r w:rsidR="00312A84">
        <w:rPr>
          <w:rFonts w:ascii="Arial" w:eastAsia="Times New Roman" w:hAnsi="Arial" w:cs="Times New Roman"/>
          <w:kern w:val="28"/>
          <w:sz w:val="24"/>
          <w:szCs w:val="24"/>
          <w:lang w:val="en-US" w:eastAsia="en-GB"/>
        </w:rPr>
        <w:t>I grant the following order:</w:t>
      </w:r>
    </w:p>
    <w:p w:rsidR="00191600" w:rsidRDefault="00191600" w:rsidP="00191600">
      <w:pPr>
        <w:pStyle w:val="ListParagraph"/>
        <w:rPr>
          <w:rFonts w:ascii="Arial" w:eastAsia="Times New Roman" w:hAnsi="Arial" w:cs="Times New Roman"/>
          <w:kern w:val="28"/>
          <w:sz w:val="24"/>
          <w:szCs w:val="24"/>
          <w:lang w:val="en-US" w:eastAsia="en-GB"/>
        </w:rPr>
      </w:pPr>
    </w:p>
    <w:p w:rsidR="00191600" w:rsidRDefault="00191600" w:rsidP="00C47B89">
      <w:pPr>
        <w:spacing w:after="0" w:line="360" w:lineRule="auto"/>
        <w:ind w:left="108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[1] The first respondent be and is hereby placed under final winding up in the hands of the Master of the High Court;</w:t>
      </w:r>
    </w:p>
    <w:p w:rsidR="00191600" w:rsidRDefault="00191600" w:rsidP="00191600">
      <w:pPr>
        <w:pStyle w:val="ListParagraph"/>
        <w:rPr>
          <w:rFonts w:ascii="Arial" w:eastAsia="Times New Roman" w:hAnsi="Arial" w:cs="Times New Roman"/>
          <w:kern w:val="28"/>
          <w:sz w:val="24"/>
          <w:szCs w:val="24"/>
          <w:lang w:val="en-US" w:eastAsia="en-GB"/>
        </w:rPr>
      </w:pPr>
    </w:p>
    <w:p w:rsidR="009B5F2A" w:rsidRDefault="00191600" w:rsidP="00C47B89">
      <w:pPr>
        <w:spacing w:after="0" w:line="360" w:lineRule="auto"/>
        <w:ind w:left="720" w:firstLine="360"/>
        <w:contextualSpacing/>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[2] The </w:t>
      </w:r>
      <w:r w:rsidR="009B5F2A">
        <w:rPr>
          <w:rFonts w:ascii="Arial" w:eastAsia="Times New Roman" w:hAnsi="Arial" w:cs="Times New Roman"/>
          <w:kern w:val="28"/>
          <w:sz w:val="24"/>
          <w:szCs w:val="24"/>
          <w:lang w:val="en-US" w:eastAsia="en-GB"/>
        </w:rPr>
        <w:t xml:space="preserve">costs </w:t>
      </w:r>
      <w:r w:rsidR="00202C61">
        <w:rPr>
          <w:rFonts w:ascii="Arial" w:eastAsia="Times New Roman" w:hAnsi="Arial" w:cs="Times New Roman"/>
          <w:kern w:val="28"/>
          <w:sz w:val="24"/>
          <w:szCs w:val="24"/>
          <w:lang w:val="en-US" w:eastAsia="en-GB"/>
        </w:rPr>
        <w:t xml:space="preserve">of the application </w:t>
      </w:r>
      <w:r w:rsidR="009B5F2A">
        <w:rPr>
          <w:rFonts w:ascii="Arial" w:eastAsia="Times New Roman" w:hAnsi="Arial" w:cs="Times New Roman"/>
          <w:kern w:val="28"/>
          <w:sz w:val="24"/>
          <w:szCs w:val="24"/>
          <w:lang w:val="en-US" w:eastAsia="en-GB"/>
        </w:rPr>
        <w:t xml:space="preserve">are to be </w:t>
      </w:r>
      <w:r w:rsidR="00202C61">
        <w:rPr>
          <w:rFonts w:ascii="Arial" w:eastAsia="Times New Roman" w:hAnsi="Arial" w:cs="Times New Roman"/>
          <w:kern w:val="28"/>
          <w:sz w:val="24"/>
          <w:szCs w:val="24"/>
          <w:lang w:val="en-US" w:eastAsia="en-GB"/>
        </w:rPr>
        <w:t>borne by the second respondent.</w:t>
      </w:r>
    </w:p>
    <w:p w:rsidR="009B5F2A" w:rsidRDefault="009B5F2A" w:rsidP="002C0FAC">
      <w:pPr>
        <w:spacing w:after="0" w:line="360" w:lineRule="auto"/>
        <w:ind w:left="360"/>
        <w:contextualSpacing/>
        <w:jc w:val="both"/>
        <w:rPr>
          <w:rFonts w:ascii="Arial" w:eastAsia="Times New Roman" w:hAnsi="Arial" w:cs="Times New Roman"/>
          <w:kern w:val="28"/>
          <w:sz w:val="24"/>
          <w:szCs w:val="24"/>
          <w:lang w:val="en-US" w:eastAsia="en-GB"/>
        </w:rPr>
      </w:pPr>
    </w:p>
    <w:p w:rsidR="00312A84" w:rsidRPr="00DF6BB1" w:rsidRDefault="00312A84" w:rsidP="002C0FAC">
      <w:pPr>
        <w:spacing w:after="0" w:line="360" w:lineRule="auto"/>
        <w:ind w:left="360"/>
        <w:contextualSpacing/>
        <w:jc w:val="both"/>
        <w:rPr>
          <w:rFonts w:ascii="Arial" w:eastAsia="Times New Roman" w:hAnsi="Arial" w:cs="Times New Roman"/>
          <w:kern w:val="28"/>
          <w:sz w:val="24"/>
          <w:szCs w:val="24"/>
          <w:lang w:val="en-US" w:eastAsia="en-GB"/>
        </w:rPr>
      </w:pPr>
    </w:p>
    <w:p w:rsidR="00AD0E5B" w:rsidRPr="003B7F1D" w:rsidRDefault="00AD0E5B" w:rsidP="00AD0E5B">
      <w:pPr>
        <w:pStyle w:val="level1"/>
        <w:numPr>
          <w:ilvl w:val="0"/>
          <w:numId w:val="0"/>
        </w:numPr>
        <w:spacing w:after="480" w:line="360" w:lineRule="auto"/>
        <w:jc w:val="both"/>
        <w:rPr>
          <w:lang w:val="en-US"/>
        </w:rPr>
      </w:pPr>
    </w:p>
    <w:p w:rsidR="00AD0E5B" w:rsidRPr="003E4474" w:rsidRDefault="00AD0E5B" w:rsidP="00AD0E5B">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AD0E5B" w:rsidRPr="003E4474" w:rsidRDefault="00AD0E5B" w:rsidP="00AD0E5B">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AD0E5B" w:rsidRPr="003E4474" w:rsidRDefault="00AD0E5B" w:rsidP="00AD0E5B">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AD0E5B" w:rsidRPr="003E4474" w:rsidRDefault="00AD0E5B" w:rsidP="00AD0E5B">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AD0E5B" w:rsidRPr="003E4474" w:rsidRDefault="00AD0E5B" w:rsidP="00AD0E5B">
      <w:pPr>
        <w:spacing w:after="0" w:line="240" w:lineRule="auto"/>
        <w:contextualSpacing/>
        <w:rPr>
          <w:rFonts w:ascii="Arial" w:eastAsia="Calibri" w:hAnsi="Arial" w:cs="Times New Roman"/>
          <w:sz w:val="24"/>
        </w:rPr>
      </w:pPr>
    </w:p>
    <w:p w:rsidR="00AD0E5B" w:rsidRPr="003E4474" w:rsidRDefault="00AD0E5B" w:rsidP="00AD0E5B">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Pr>
          <w:rFonts w:ascii="Arial" w:eastAsia="Times New Roman" w:hAnsi="Arial" w:cs="Times New Roman"/>
          <w:kern w:val="28"/>
          <w:sz w:val="24"/>
          <w:szCs w:val="24"/>
          <w:lang w:eastAsia="en-GB"/>
        </w:rPr>
        <w:t>:  16 May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AD0E5B" w:rsidRPr="003E4474" w:rsidRDefault="00AD0E5B" w:rsidP="00AD0E5B">
      <w:pPr>
        <w:spacing w:after="0" w:line="240" w:lineRule="auto"/>
        <w:rPr>
          <w:rFonts w:ascii="Arial" w:eastAsia="Times New Roman" w:hAnsi="Arial" w:cs="Times New Roman"/>
          <w:b/>
          <w:kern w:val="28"/>
          <w:sz w:val="24"/>
          <w:szCs w:val="24"/>
          <w:lang w:eastAsia="en-GB"/>
        </w:rPr>
      </w:pPr>
    </w:p>
    <w:p w:rsidR="00AD0E5B" w:rsidRPr="003E4474" w:rsidRDefault="00AD0E5B" w:rsidP="00AD0E5B">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B05912">
        <w:rPr>
          <w:rFonts w:ascii="Arial" w:eastAsia="Times New Roman" w:hAnsi="Arial" w:cs="Times New Roman"/>
          <w:kern w:val="28"/>
          <w:sz w:val="24"/>
          <w:szCs w:val="24"/>
          <w:lang w:eastAsia="en-GB"/>
        </w:rPr>
        <w:t>0</w:t>
      </w:r>
      <w:r w:rsidR="00A7453C">
        <w:rPr>
          <w:rFonts w:ascii="Arial" w:eastAsia="Times New Roman" w:hAnsi="Arial" w:cs="Times New Roman"/>
          <w:kern w:val="28"/>
          <w:sz w:val="24"/>
          <w:szCs w:val="24"/>
          <w:lang w:eastAsia="en-GB"/>
        </w:rPr>
        <w:t>5</w:t>
      </w:r>
      <w:r w:rsidR="00B05912">
        <w:rPr>
          <w:rFonts w:ascii="Arial" w:eastAsia="Times New Roman" w:hAnsi="Arial" w:cs="Times New Roman"/>
          <w:kern w:val="28"/>
          <w:sz w:val="24"/>
          <w:szCs w:val="24"/>
          <w:lang w:eastAsia="en-GB"/>
        </w:rPr>
        <w:t xml:space="preserve"> </w:t>
      </w:r>
      <w:r w:rsidR="00A7453C">
        <w:rPr>
          <w:rFonts w:ascii="Arial" w:eastAsia="Times New Roman" w:hAnsi="Arial" w:cs="Times New Roman"/>
          <w:kern w:val="28"/>
          <w:sz w:val="24"/>
          <w:szCs w:val="24"/>
          <w:lang w:eastAsia="en-GB"/>
        </w:rPr>
        <w:t>August</w:t>
      </w:r>
      <w:r w:rsidR="00B05912">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AD0E5B" w:rsidRPr="003E4474" w:rsidRDefault="00AD0E5B" w:rsidP="00AD0E5B">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AD0E5B" w:rsidRDefault="00AD0E5B" w:rsidP="00AD0E5B">
      <w:pPr>
        <w:spacing w:after="200" w:line="240" w:lineRule="auto"/>
        <w:contextualSpacing/>
        <w:rPr>
          <w:rFonts w:ascii="Arial" w:eastAsia="Calibri" w:hAnsi="Arial" w:cs="Times New Roman"/>
          <w:sz w:val="24"/>
        </w:rPr>
      </w:pPr>
      <w:r>
        <w:rPr>
          <w:rFonts w:ascii="Arial" w:eastAsia="Calibri" w:hAnsi="Arial" w:cs="Times New Roman"/>
          <w:b/>
          <w:sz w:val="24"/>
        </w:rPr>
        <w:t>APPLICANTS</w:t>
      </w:r>
      <w:r w:rsidRPr="003E4474">
        <w:rPr>
          <w:rFonts w:ascii="Arial" w:eastAsia="Calibri" w:hAnsi="Arial" w:cs="Times New Roman"/>
          <w:b/>
          <w:sz w:val="24"/>
        </w:rPr>
        <w:t xml:space="preserve"> COUNSEL</w:t>
      </w:r>
      <w:r w:rsidRPr="003E4474">
        <w:rPr>
          <w:rFonts w:ascii="Arial" w:eastAsia="Calibri" w:hAnsi="Arial" w:cs="Times New Roman"/>
          <w:b/>
          <w:sz w:val="24"/>
        </w:rPr>
        <w:tab/>
      </w:r>
      <w:r w:rsidRPr="003E4474">
        <w:rPr>
          <w:rFonts w:ascii="Arial" w:eastAsia="Calibri" w:hAnsi="Arial" w:cs="Times New Roman"/>
          <w:b/>
          <w:sz w:val="24"/>
        </w:rPr>
        <w:tab/>
      </w:r>
      <w:r w:rsidRPr="003E4474">
        <w:rPr>
          <w:rFonts w:ascii="Arial" w:eastAsia="Calibri" w:hAnsi="Arial" w:cs="Times New Roman"/>
          <w:b/>
          <w:sz w:val="24"/>
        </w:rPr>
        <w:tab/>
      </w:r>
      <w:r w:rsidRPr="003E4474">
        <w:rPr>
          <w:rFonts w:ascii="Arial" w:eastAsia="Calibri" w:hAnsi="Arial" w:cs="Times New Roman"/>
          <w:b/>
          <w:sz w:val="24"/>
        </w:rPr>
        <w:tab/>
      </w:r>
      <w:r>
        <w:rPr>
          <w:rFonts w:ascii="Arial" w:eastAsia="Calibri" w:hAnsi="Arial" w:cs="Times New Roman"/>
          <w:sz w:val="24"/>
        </w:rPr>
        <w:t>: Adv. J</w:t>
      </w:r>
      <w:r w:rsidRPr="00AD0E5B">
        <w:rPr>
          <w:rFonts w:ascii="Arial" w:eastAsia="Calibri" w:hAnsi="Arial" w:cs="Times New Roman"/>
          <w:sz w:val="24"/>
        </w:rPr>
        <w:t>M Hoffman</w:t>
      </w:r>
    </w:p>
    <w:p w:rsidR="00AD0E5B" w:rsidRPr="003E4474" w:rsidRDefault="00AD0E5B" w:rsidP="00AD0E5B">
      <w:pPr>
        <w:spacing w:after="200" w:line="240" w:lineRule="auto"/>
        <w:contextualSpacing/>
        <w:rPr>
          <w:rFonts w:ascii="Arial" w:eastAsia="Calibri" w:hAnsi="Arial" w:cs="Times New Roman"/>
          <w:b/>
          <w:bCs/>
          <w:sz w:val="24"/>
        </w:rPr>
      </w:pPr>
    </w:p>
    <w:p w:rsidR="00AD0E5B" w:rsidRPr="003E4474" w:rsidRDefault="00AD0E5B" w:rsidP="00AD0E5B">
      <w:pPr>
        <w:spacing w:after="200" w:line="240" w:lineRule="auto"/>
        <w:contextualSpacing/>
        <w:rPr>
          <w:rFonts w:ascii="Arial" w:eastAsia="Calibri" w:hAnsi="Arial" w:cs="Times New Roman"/>
          <w:sz w:val="24"/>
        </w:rPr>
      </w:pPr>
      <w:r w:rsidRPr="00AD0E5B">
        <w:rPr>
          <w:rFonts w:ascii="Arial" w:eastAsia="Calibri" w:hAnsi="Arial" w:cs="Times New Roman"/>
          <w:b/>
          <w:bCs/>
          <w:sz w:val="24"/>
        </w:rPr>
        <w:t>APPLICANTS</w:t>
      </w:r>
      <w:r w:rsidRPr="003E4474">
        <w:rPr>
          <w:rFonts w:ascii="Arial" w:eastAsia="Calibri" w:hAnsi="Arial" w:cs="Times New Roman"/>
          <w:b/>
          <w:bCs/>
          <w:sz w:val="24"/>
        </w:rPr>
        <w:t xml:space="preserve"> ATTORNEYS</w:t>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Rothbart Inc </w:t>
      </w:r>
    </w:p>
    <w:p w:rsidR="00AD0E5B" w:rsidRPr="003E4474" w:rsidRDefault="00AD0E5B" w:rsidP="00AD0E5B">
      <w:pPr>
        <w:spacing w:after="20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t xml:space="preserve">  </w:t>
      </w:r>
      <w:bookmarkStart w:id="1" w:name="_Hlk44520146"/>
    </w:p>
    <w:bookmarkEnd w:id="1"/>
    <w:p w:rsidR="00AD0E5B" w:rsidRDefault="00AD0E5B" w:rsidP="00AD0E5B">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Pr="003E4474">
        <w:rPr>
          <w:rFonts w:ascii="Arial" w:eastAsia="Calibri" w:hAnsi="Arial" w:cs="Times New Roman"/>
          <w:b/>
          <w:sz w:val="24"/>
        </w:rPr>
        <w:t xml:space="preserve"> COUNSEL</w:t>
      </w:r>
      <w:r w:rsidRPr="003E4474">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sz w:val="24"/>
        </w:rPr>
        <w:t>: Adv. A</w:t>
      </w:r>
      <w:r w:rsidRPr="00AD0E5B">
        <w:rPr>
          <w:rFonts w:ascii="Arial" w:eastAsia="Calibri" w:hAnsi="Arial" w:cs="Times New Roman"/>
          <w:sz w:val="24"/>
        </w:rPr>
        <w:t>L Roeloffze</w:t>
      </w:r>
    </w:p>
    <w:p w:rsidR="00AD0E5B" w:rsidRPr="00D43083" w:rsidRDefault="00AD0E5B" w:rsidP="00AD0E5B">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p>
    <w:p w:rsidR="00AD0E5B" w:rsidRDefault="00AD0E5B" w:rsidP="00AD0E5B">
      <w:pPr>
        <w:spacing w:after="200" w:line="240" w:lineRule="auto"/>
        <w:contextualSpacing/>
        <w:rPr>
          <w:rFonts w:ascii="Arial" w:eastAsia="Calibri" w:hAnsi="Arial" w:cs="Times New Roman"/>
          <w:sz w:val="24"/>
        </w:rPr>
      </w:pPr>
      <w:r w:rsidRPr="005C02D9">
        <w:rPr>
          <w:rFonts w:ascii="Arial" w:eastAsia="Calibri" w:hAnsi="Arial" w:cs="Times New Roman"/>
          <w:b/>
          <w:sz w:val="24"/>
        </w:rPr>
        <w:t xml:space="preserve">RESPONDENTS </w:t>
      </w:r>
      <w:r>
        <w:rPr>
          <w:rFonts w:ascii="Arial" w:eastAsia="Calibri" w:hAnsi="Arial" w:cs="Times New Roman"/>
          <w:b/>
          <w:sz w:val="24"/>
        </w:rPr>
        <w:t>ATTORNEYS</w:t>
      </w: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Pr="003E4474">
        <w:rPr>
          <w:rFonts w:ascii="Arial" w:eastAsia="Calibri" w:hAnsi="Arial" w:cs="Times New Roman"/>
          <w:sz w:val="24"/>
        </w:rPr>
        <w:t xml:space="preserve">: </w:t>
      </w:r>
      <w:r>
        <w:rPr>
          <w:rFonts w:ascii="Arial" w:eastAsia="Calibri" w:hAnsi="Arial" w:cs="Times New Roman"/>
          <w:sz w:val="24"/>
        </w:rPr>
        <w:t>Michael Saltz</w:t>
      </w:r>
      <w:r w:rsidRPr="001861F8">
        <w:rPr>
          <w:rFonts w:ascii="Arial" w:eastAsia="Calibri" w:hAnsi="Arial" w:cs="Times New Roman"/>
          <w:sz w:val="24"/>
        </w:rPr>
        <w:t xml:space="preserve"> Attorneys</w:t>
      </w:r>
    </w:p>
    <w:sectPr w:rsidR="00AD0E5B" w:rsidSect="00EA0D09">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FE" w:rsidRDefault="00DF44FE" w:rsidP="00AD0E5B">
      <w:pPr>
        <w:spacing w:after="0" w:line="240" w:lineRule="auto"/>
      </w:pPr>
      <w:r>
        <w:separator/>
      </w:r>
    </w:p>
  </w:endnote>
  <w:endnote w:type="continuationSeparator" w:id="0">
    <w:p w:rsidR="00DF44FE" w:rsidRDefault="00DF44FE" w:rsidP="00AD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FE" w:rsidRDefault="00DF44FE" w:rsidP="00AD0E5B">
      <w:pPr>
        <w:spacing w:after="0" w:line="240" w:lineRule="auto"/>
      </w:pPr>
      <w:r>
        <w:separator/>
      </w:r>
    </w:p>
  </w:footnote>
  <w:footnote w:type="continuationSeparator" w:id="0">
    <w:p w:rsidR="00DF44FE" w:rsidRDefault="00DF44FE" w:rsidP="00AD0E5B">
      <w:pPr>
        <w:spacing w:after="0" w:line="240" w:lineRule="auto"/>
      </w:pPr>
      <w:r>
        <w:continuationSeparator/>
      </w:r>
    </w:p>
  </w:footnote>
  <w:footnote w:id="1">
    <w:p w:rsidR="008D6E74" w:rsidRDefault="008D6E74">
      <w:pPr>
        <w:pStyle w:val="FootnoteText"/>
      </w:pPr>
      <w:r>
        <w:rPr>
          <w:rStyle w:val="FootnoteReference"/>
        </w:rPr>
        <w:footnoteRef/>
      </w:r>
      <w:r>
        <w:t xml:space="preserve"> 71 of 2008</w:t>
      </w:r>
    </w:p>
  </w:footnote>
  <w:footnote w:id="2">
    <w:p w:rsidR="008D6E74" w:rsidRDefault="008D6E74">
      <w:pPr>
        <w:pStyle w:val="FootnoteText"/>
      </w:pPr>
      <w:r>
        <w:rPr>
          <w:rStyle w:val="FootnoteReference"/>
        </w:rPr>
        <w:footnoteRef/>
      </w:r>
      <w:r w:rsidR="003F298F">
        <w:t xml:space="preserve"> </w:t>
      </w:r>
      <w:r>
        <w:t>69 of 1984</w:t>
      </w:r>
    </w:p>
  </w:footnote>
  <w:footnote w:id="3">
    <w:p w:rsidR="008D6E74" w:rsidRDefault="008D6E74">
      <w:pPr>
        <w:pStyle w:val="FootnoteText"/>
      </w:pPr>
      <w:r>
        <w:rPr>
          <w:rStyle w:val="FootnoteReference"/>
        </w:rPr>
        <w:footnoteRef/>
      </w:r>
      <w:r>
        <w:t xml:space="preserve"> 61 of 1973, applicable under item 9 of Schedule 5 of Act 71 of 2008</w:t>
      </w:r>
    </w:p>
  </w:footnote>
  <w:footnote w:id="4">
    <w:p w:rsidR="008D6E74" w:rsidRDefault="008D6E74">
      <w:pPr>
        <w:pStyle w:val="FootnoteText"/>
      </w:pPr>
      <w:r>
        <w:rPr>
          <w:rStyle w:val="FootnoteReference"/>
        </w:rPr>
        <w:footnoteRef/>
      </w:r>
      <w:r>
        <w:t xml:space="preserve"> </w:t>
      </w:r>
      <w:r w:rsidRPr="00CA216E">
        <w:rPr>
          <w:lang w:val="en-US"/>
        </w:rPr>
        <w:t>J &amp; K Timbers (Pty) Ltd t/a Tegs Timbers v G L &amp; S Furniture Enterprises CC</w:t>
      </w:r>
      <w:r>
        <w:rPr>
          <w:lang w:val="en-US"/>
        </w:rPr>
        <w:t xml:space="preserve"> </w:t>
      </w:r>
      <w:r>
        <w:t>2005 (3) SA 223 (N)</w:t>
      </w:r>
    </w:p>
  </w:footnote>
  <w:footnote w:id="5">
    <w:p w:rsidR="008D6E74" w:rsidRDefault="008D6E74">
      <w:pPr>
        <w:pStyle w:val="FootnoteText"/>
      </w:pPr>
      <w:r>
        <w:rPr>
          <w:rStyle w:val="FootnoteReference"/>
        </w:rPr>
        <w:footnoteRef/>
      </w:r>
      <w:r>
        <w:t xml:space="preserve"> </w:t>
      </w:r>
      <w:r w:rsidRPr="008313F6">
        <w:t>Northview Shopping Centre ((Pty) ltd v Revelas Properties Johannesburg CC and Another 2010 (3) SA 630 (SCA) para 17</w:t>
      </w:r>
    </w:p>
  </w:footnote>
  <w:footnote w:id="6">
    <w:p w:rsidR="00950027" w:rsidRDefault="00950027">
      <w:pPr>
        <w:pStyle w:val="FootnoteText"/>
      </w:pPr>
      <w:r>
        <w:rPr>
          <w:rStyle w:val="FootnoteReference"/>
        </w:rPr>
        <w:footnoteRef/>
      </w:r>
      <w:r>
        <w:t xml:space="preserve"> Barbaglia</w:t>
      </w:r>
      <w:r w:rsidRPr="00950027">
        <w:rPr>
          <w:i/>
          <w:sz w:val="24"/>
          <w:szCs w:val="24"/>
          <w:lang w:val="en-US"/>
        </w:rPr>
        <w:t xml:space="preserve"> </w:t>
      </w:r>
      <w:r w:rsidRPr="00950027">
        <w:rPr>
          <w:lang w:val="en-US"/>
        </w:rPr>
        <w:t>NO and Others v Noble Land (Pty) Ltd</w:t>
      </w:r>
      <w:r>
        <w:t xml:space="preserve"> (A5041/2020) [2021] ZAGPJHC 85 (24 June 2021)</w:t>
      </w:r>
    </w:p>
  </w:footnote>
  <w:footnote w:id="7">
    <w:p w:rsidR="008D6E74" w:rsidRDefault="008D6E74">
      <w:pPr>
        <w:pStyle w:val="FootnoteText"/>
      </w:pPr>
      <w:r>
        <w:rPr>
          <w:rStyle w:val="FootnoteReference"/>
        </w:rPr>
        <w:footnoteRef/>
      </w:r>
      <w:r>
        <w:t xml:space="preserve"> Rand Air (Pty) Ltd v Ray Bester Investments (Pty) Ltd 1985 (2) SA 345 (W) at 350C-I</w:t>
      </w:r>
    </w:p>
  </w:footnote>
  <w:footnote w:id="8">
    <w:p w:rsidR="008D6E74" w:rsidRDefault="008D6E74">
      <w:pPr>
        <w:pStyle w:val="FootnoteText"/>
      </w:pPr>
      <w:r>
        <w:rPr>
          <w:rStyle w:val="FootnoteReference"/>
        </w:rPr>
        <w:footnoteRef/>
      </w:r>
      <w:r>
        <w:t xml:space="preserve"> Moosa NO v Maviee Bhawan (Pty) Ltd and Another 1967 (3) SA 131 (T) at 131</w:t>
      </w:r>
    </w:p>
  </w:footnote>
  <w:footnote w:id="9">
    <w:p w:rsidR="008D6E74" w:rsidRDefault="008D6E74">
      <w:pPr>
        <w:pStyle w:val="FootnoteText"/>
      </w:pPr>
      <w:r>
        <w:rPr>
          <w:rStyle w:val="FootnoteReference"/>
        </w:rPr>
        <w:footnoteRef/>
      </w:r>
      <w:r>
        <w:t xml:space="preserve"> 2008 (5) SA 615 (SCA) para 19 </w:t>
      </w:r>
    </w:p>
  </w:footnote>
  <w:footnote w:id="10">
    <w:p w:rsidR="008D6E74" w:rsidRDefault="008D6E74">
      <w:pPr>
        <w:pStyle w:val="FootnoteText"/>
      </w:pPr>
      <w:r>
        <w:rPr>
          <w:rStyle w:val="FootnoteReference"/>
        </w:rPr>
        <w:footnoteRef/>
      </w:r>
      <w:r>
        <w:t xml:space="preserve"> 2014 (5) SA 1(SCA)</w:t>
      </w:r>
    </w:p>
  </w:footnote>
  <w:footnote w:id="11">
    <w:p w:rsidR="008D6E74" w:rsidRDefault="008D6E74">
      <w:pPr>
        <w:pStyle w:val="FootnoteText"/>
      </w:pPr>
      <w:r>
        <w:rPr>
          <w:rStyle w:val="FootnoteReference"/>
        </w:rPr>
        <w:footnoteRef/>
      </w:r>
      <w:r>
        <w:t xml:space="preserve"> 1979 (3) Sa 363 (D) at 369A</w:t>
      </w:r>
    </w:p>
  </w:footnote>
  <w:footnote w:id="12">
    <w:p w:rsidR="008D6E74" w:rsidRDefault="008D6E74">
      <w:pPr>
        <w:pStyle w:val="FootnoteText"/>
      </w:pPr>
      <w:r>
        <w:rPr>
          <w:rStyle w:val="FootnoteReference"/>
        </w:rPr>
        <w:footnoteRef/>
      </w:r>
      <w:r>
        <w:t xml:space="preserve"> Paras 27-29</w:t>
      </w:r>
    </w:p>
  </w:footnote>
  <w:footnote w:id="13">
    <w:p w:rsidR="008D6E74" w:rsidRDefault="008D6E74">
      <w:pPr>
        <w:pStyle w:val="FootnoteText"/>
      </w:pPr>
      <w:r>
        <w:rPr>
          <w:rStyle w:val="FootnoteReference"/>
        </w:rPr>
        <w:footnoteRef/>
      </w:r>
      <w:r>
        <w:t xml:space="preserve"> (A5041/2020) [2021] ZAGPJHC 85 (24 June 2021)</w:t>
      </w:r>
    </w:p>
  </w:footnote>
  <w:footnote w:id="14">
    <w:p w:rsidR="00295A22" w:rsidRDefault="00295A22">
      <w:pPr>
        <w:pStyle w:val="FootnoteText"/>
      </w:pPr>
      <w:r>
        <w:rPr>
          <w:rStyle w:val="FootnoteReference"/>
        </w:rPr>
        <w:footnoteRef/>
      </w:r>
      <w:r>
        <w:t xml:space="preserve"> Plascon Evans Paints Ltd v van Riebeeck Paints (Pty) Ltd 1984 (3) SA 623 (A); National Director of Public Prosecutions v Zuma 2009 (2) SA 277 (SCA)</w:t>
      </w:r>
    </w:p>
  </w:footnote>
  <w:footnote w:id="15">
    <w:p w:rsidR="001959A4" w:rsidRDefault="001959A4" w:rsidP="001959A4">
      <w:pPr>
        <w:pStyle w:val="FootnoteText"/>
      </w:pPr>
      <w:r>
        <w:rPr>
          <w:rStyle w:val="FootnoteReference"/>
        </w:rPr>
        <w:footnoteRef/>
      </w:r>
      <w:r>
        <w:t xml:space="preserve"> </w:t>
      </w:r>
      <w:r w:rsidRPr="001959A4">
        <w:rPr>
          <w:lang w:val="af-ZA"/>
        </w:rPr>
        <w:t>J W Wightman (Pty) Ltd v Headfour (Pty) Ltd 2008 (3) SA 371(SCA)</w:t>
      </w:r>
    </w:p>
  </w:footnote>
  <w:footnote w:id="16">
    <w:p w:rsidR="008B25D5" w:rsidRDefault="008B25D5" w:rsidP="008B25D5">
      <w:pPr>
        <w:pStyle w:val="FootnoteText"/>
      </w:pPr>
      <w:r>
        <w:rPr>
          <w:rStyle w:val="FootnoteReference"/>
        </w:rPr>
        <w:footnoteRef/>
      </w:r>
      <w:r>
        <w:t xml:space="preserve"> Para 21</w:t>
      </w:r>
    </w:p>
  </w:footnote>
  <w:footnote w:id="17">
    <w:p w:rsidR="00C47B89" w:rsidRDefault="00C47B89" w:rsidP="00C47B89">
      <w:pPr>
        <w:pStyle w:val="FootnoteText"/>
      </w:pPr>
      <w:r>
        <w:rPr>
          <w:rStyle w:val="FootnoteReference"/>
        </w:rPr>
        <w:footnoteRef/>
      </w:r>
      <w:r>
        <w:t xml:space="preserve"> Knipe and Others v Kameelhoek (Pty) Ltd and Another 2014 (1) SA 52 (FB) para 32</w:t>
      </w:r>
    </w:p>
  </w:footnote>
  <w:footnote w:id="18">
    <w:p w:rsidR="00810FB6" w:rsidRDefault="00810FB6" w:rsidP="00810FB6">
      <w:pPr>
        <w:pStyle w:val="FootnoteText"/>
      </w:pPr>
      <w:r>
        <w:rPr>
          <w:rStyle w:val="FootnoteReference"/>
        </w:rPr>
        <w:footnoteRef/>
      </w:r>
      <w:r>
        <w:t xml:space="preserve"> Apco </w:t>
      </w:r>
      <w:r w:rsidRPr="001D55D0">
        <w:rPr>
          <w:lang w:val="en-US"/>
        </w:rPr>
        <w:t>Africa (Pty) Ltd v Apco Worldwide Inc</w:t>
      </w:r>
      <w:r w:rsidRPr="001D55D0">
        <w:t xml:space="preserve"> </w:t>
      </w:r>
      <w:r>
        <w:t>2008 (5) SA 615 (SCA) para [17]</w:t>
      </w:r>
    </w:p>
  </w:footnote>
  <w:footnote w:id="19">
    <w:p w:rsidR="008D6E74" w:rsidRDefault="008D6E74">
      <w:pPr>
        <w:pStyle w:val="FootnoteText"/>
      </w:pPr>
      <w:r>
        <w:rPr>
          <w:rStyle w:val="FootnoteReference"/>
        </w:rPr>
        <w:footnoteRef/>
      </w:r>
      <w:r>
        <w:t xml:space="preserve"> Recycling and Economic Development Initiative of South Africa NPC v Minister of Environmental Affairs 2019 (3) SA 251 (SCA) at para [116] </w:t>
      </w:r>
    </w:p>
  </w:footnote>
  <w:footnote w:id="20">
    <w:p w:rsidR="008D6E74" w:rsidRDefault="008D6E74">
      <w:pPr>
        <w:pStyle w:val="FootnoteText"/>
      </w:pPr>
      <w:r>
        <w:rPr>
          <w:rStyle w:val="FootnoteReference"/>
        </w:rPr>
        <w:footnoteRef/>
      </w:r>
      <w:r>
        <w:t xml:space="preserve"> Knipe supra para [51] and the authorities cited therein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4" w:rsidRDefault="008D6E74">
    <w:pPr>
      <w:pStyle w:val="Header"/>
      <w:jc w:val="right"/>
    </w:pPr>
    <w:r>
      <w:t xml:space="preserve">Page </w:t>
    </w:r>
    <w:r>
      <w:fldChar w:fldCharType="begin"/>
    </w:r>
    <w:r>
      <w:instrText xml:space="preserve"> PAGE   \* MERGEFORMAT </w:instrText>
    </w:r>
    <w:r>
      <w:fldChar w:fldCharType="separate"/>
    </w:r>
    <w:r w:rsidR="006D573E">
      <w:rPr>
        <w:noProof/>
      </w:rPr>
      <w:t>14</w:t>
    </w:r>
    <w:r>
      <w:rPr>
        <w:noProof/>
      </w:rPr>
      <w:fldChar w:fldCharType="end"/>
    </w:r>
  </w:p>
  <w:p w:rsidR="008D6E74" w:rsidRDefault="008D6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014"/>
    <w:multiLevelType w:val="hybridMultilevel"/>
    <w:tmpl w:val="05F25456"/>
    <w:lvl w:ilvl="0" w:tplc="60DC44B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2C49DB"/>
    <w:multiLevelType w:val="hybridMultilevel"/>
    <w:tmpl w:val="3D58AC52"/>
    <w:lvl w:ilvl="0" w:tplc="FE56B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1B7D9B"/>
    <w:multiLevelType w:val="hybridMultilevel"/>
    <w:tmpl w:val="80361A06"/>
    <w:lvl w:ilvl="0" w:tplc="60DC44B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8C45906"/>
    <w:multiLevelType w:val="hybridMultilevel"/>
    <w:tmpl w:val="8E503412"/>
    <w:lvl w:ilvl="0" w:tplc="60DC44B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5B"/>
    <w:rsid w:val="00000BD8"/>
    <w:rsid w:val="00080379"/>
    <w:rsid w:val="000975BD"/>
    <w:rsid w:val="000B4A12"/>
    <w:rsid w:val="000F3316"/>
    <w:rsid w:val="001079EC"/>
    <w:rsid w:val="0011158D"/>
    <w:rsid w:val="001424B9"/>
    <w:rsid w:val="00155960"/>
    <w:rsid w:val="00191600"/>
    <w:rsid w:val="001959A4"/>
    <w:rsid w:val="001B5F5E"/>
    <w:rsid w:val="001D55D0"/>
    <w:rsid w:val="001D7D98"/>
    <w:rsid w:val="00202C61"/>
    <w:rsid w:val="002317E8"/>
    <w:rsid w:val="00286163"/>
    <w:rsid w:val="00295A22"/>
    <w:rsid w:val="002B4944"/>
    <w:rsid w:val="002C0FAC"/>
    <w:rsid w:val="002E32F5"/>
    <w:rsid w:val="00305B22"/>
    <w:rsid w:val="00312A84"/>
    <w:rsid w:val="00326304"/>
    <w:rsid w:val="00347070"/>
    <w:rsid w:val="00353944"/>
    <w:rsid w:val="003648C9"/>
    <w:rsid w:val="003C1501"/>
    <w:rsid w:val="003D5D66"/>
    <w:rsid w:val="003D6653"/>
    <w:rsid w:val="003F298F"/>
    <w:rsid w:val="003F40D0"/>
    <w:rsid w:val="003F6833"/>
    <w:rsid w:val="00427F57"/>
    <w:rsid w:val="00483B68"/>
    <w:rsid w:val="00486B69"/>
    <w:rsid w:val="004963E1"/>
    <w:rsid w:val="004A24D2"/>
    <w:rsid w:val="004B2E12"/>
    <w:rsid w:val="00504E15"/>
    <w:rsid w:val="0053137C"/>
    <w:rsid w:val="00570680"/>
    <w:rsid w:val="00607A4C"/>
    <w:rsid w:val="006217B0"/>
    <w:rsid w:val="00637409"/>
    <w:rsid w:val="00660C1A"/>
    <w:rsid w:val="00684DF3"/>
    <w:rsid w:val="006A3218"/>
    <w:rsid w:val="006A590B"/>
    <w:rsid w:val="006D573E"/>
    <w:rsid w:val="00741D75"/>
    <w:rsid w:val="007801B9"/>
    <w:rsid w:val="007A6E16"/>
    <w:rsid w:val="007B2A4F"/>
    <w:rsid w:val="007C571B"/>
    <w:rsid w:val="007D5F84"/>
    <w:rsid w:val="00810FB6"/>
    <w:rsid w:val="008313F6"/>
    <w:rsid w:val="008770BF"/>
    <w:rsid w:val="00897A5D"/>
    <w:rsid w:val="008B25D5"/>
    <w:rsid w:val="008D6E74"/>
    <w:rsid w:val="008E0B0C"/>
    <w:rsid w:val="00910679"/>
    <w:rsid w:val="00923C8C"/>
    <w:rsid w:val="00923F2A"/>
    <w:rsid w:val="009435C4"/>
    <w:rsid w:val="00950027"/>
    <w:rsid w:val="00955654"/>
    <w:rsid w:val="00962893"/>
    <w:rsid w:val="00990209"/>
    <w:rsid w:val="009B11C1"/>
    <w:rsid w:val="009B5F2A"/>
    <w:rsid w:val="009C6D13"/>
    <w:rsid w:val="009D0129"/>
    <w:rsid w:val="009D6C70"/>
    <w:rsid w:val="00A20CBA"/>
    <w:rsid w:val="00A56AB3"/>
    <w:rsid w:val="00A613E2"/>
    <w:rsid w:val="00A65AE3"/>
    <w:rsid w:val="00A7453C"/>
    <w:rsid w:val="00A82021"/>
    <w:rsid w:val="00AD0E5B"/>
    <w:rsid w:val="00B05912"/>
    <w:rsid w:val="00B340FC"/>
    <w:rsid w:val="00B43213"/>
    <w:rsid w:val="00B44A53"/>
    <w:rsid w:val="00BB65F0"/>
    <w:rsid w:val="00BC1A77"/>
    <w:rsid w:val="00BC565D"/>
    <w:rsid w:val="00BD5AC3"/>
    <w:rsid w:val="00C47B89"/>
    <w:rsid w:val="00C5682A"/>
    <w:rsid w:val="00C60CBF"/>
    <w:rsid w:val="00C744D4"/>
    <w:rsid w:val="00C773BA"/>
    <w:rsid w:val="00C9543B"/>
    <w:rsid w:val="00CA216E"/>
    <w:rsid w:val="00CA227A"/>
    <w:rsid w:val="00CB7EA5"/>
    <w:rsid w:val="00CC575F"/>
    <w:rsid w:val="00CD1131"/>
    <w:rsid w:val="00CE4D50"/>
    <w:rsid w:val="00CE65E7"/>
    <w:rsid w:val="00D23D81"/>
    <w:rsid w:val="00D61E1D"/>
    <w:rsid w:val="00DF44FE"/>
    <w:rsid w:val="00DF6BB1"/>
    <w:rsid w:val="00E61906"/>
    <w:rsid w:val="00EA0D09"/>
    <w:rsid w:val="00EB3E4D"/>
    <w:rsid w:val="00ED47BD"/>
    <w:rsid w:val="00F131B2"/>
    <w:rsid w:val="00F60998"/>
    <w:rsid w:val="00F70ECA"/>
    <w:rsid w:val="00F74774"/>
    <w:rsid w:val="00F8352C"/>
    <w:rsid w:val="00F978AD"/>
    <w:rsid w:val="00FC5BE3"/>
    <w:rsid w:val="00FC7515"/>
    <w:rsid w:val="00FF1D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C83F4D-D349-43B4-A07B-6782A586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E5B"/>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AD0E5B"/>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AD0E5B"/>
    <w:rPr>
      <w:rFonts w:ascii="Arial" w:eastAsia="Times New Roman" w:hAnsi="Arial" w:cs="Times New Roman"/>
      <w:kern w:val="28"/>
      <w:sz w:val="20"/>
      <w:szCs w:val="20"/>
      <w:lang w:eastAsia="en-GB"/>
    </w:rPr>
  </w:style>
  <w:style w:type="character" w:styleId="FootnoteReference">
    <w:name w:val="footnote reference"/>
    <w:uiPriority w:val="99"/>
    <w:unhideWhenUsed/>
    <w:rsid w:val="00AD0E5B"/>
    <w:rPr>
      <w:vertAlign w:val="superscript"/>
    </w:rPr>
  </w:style>
  <w:style w:type="paragraph" w:customStyle="1" w:styleId="level1">
    <w:name w:val="level1"/>
    <w:basedOn w:val="Normal"/>
    <w:rsid w:val="00AD0E5B"/>
    <w:pPr>
      <w:numPr>
        <w:numId w:val="1"/>
      </w:numPr>
      <w:spacing w:after="0" w:line="240" w:lineRule="auto"/>
    </w:pPr>
    <w:rPr>
      <w:rFonts w:ascii="Arial" w:eastAsia="Times New Roman" w:hAnsi="Arial" w:cs="Times New Roman"/>
      <w:kern w:val="28"/>
      <w:sz w:val="24"/>
      <w:szCs w:val="24"/>
      <w:lang w:eastAsia="en-GB"/>
    </w:rPr>
  </w:style>
  <w:style w:type="paragraph" w:styleId="ListParagraph">
    <w:name w:val="List Paragraph"/>
    <w:basedOn w:val="Normal"/>
    <w:uiPriority w:val="34"/>
    <w:qFormat/>
    <w:rsid w:val="0031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BC97-34F6-4BF6-BE10-8529A83C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HOME</cp:lastModifiedBy>
  <cp:revision>2</cp:revision>
  <dcterms:created xsi:type="dcterms:W3CDTF">2022-08-12T09:42:00Z</dcterms:created>
  <dcterms:modified xsi:type="dcterms:W3CDTF">2022-08-12T09:42:00Z</dcterms:modified>
</cp:coreProperties>
</file>