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EA7414" w14:textId="77777777" w:rsidR="003E65E4" w:rsidRPr="00096808" w:rsidRDefault="003E65E4" w:rsidP="003E65E4">
      <w:pPr>
        <w:spacing w:after="0" w:line="240" w:lineRule="auto"/>
        <w:jc w:val="center"/>
        <w:rPr>
          <w:rFonts w:cs="Arial"/>
        </w:rPr>
      </w:pPr>
      <w:bookmarkStart w:id="0" w:name="_Hlk529270951"/>
      <w:bookmarkStart w:id="1" w:name="_Hlk109332271"/>
      <w:r w:rsidRPr="00096808">
        <w:rPr>
          <w:rFonts w:cs="Arial"/>
        </w:rPr>
        <w:t>REPUBLIC OF SOUTH AFRICA</w:t>
      </w:r>
    </w:p>
    <w:p w14:paraId="1F741216" w14:textId="77777777" w:rsidR="003E65E4" w:rsidRDefault="003E65E4" w:rsidP="003E65E4">
      <w:pPr>
        <w:spacing w:after="0" w:line="240" w:lineRule="auto"/>
        <w:ind w:right="567"/>
        <w:rPr>
          <w:rFonts w:cs="Arial"/>
          <w:noProof/>
        </w:rPr>
      </w:pPr>
    </w:p>
    <w:p w14:paraId="42E6A245" w14:textId="77777777" w:rsidR="003E65E4" w:rsidRDefault="003E65E4" w:rsidP="003E65E4">
      <w:pPr>
        <w:spacing w:after="0" w:line="240" w:lineRule="auto"/>
        <w:ind w:right="567"/>
        <w:rPr>
          <w:rFonts w:cs="Arial"/>
          <w:noProof/>
        </w:rPr>
      </w:pPr>
      <w:r w:rsidRPr="00BC7A87">
        <w:rPr>
          <w:rFonts w:cs="Arial"/>
          <w:noProof/>
          <w:lang w:val="en-US"/>
        </w:rPr>
        <w:drawing>
          <wp:anchor distT="0" distB="0" distL="114300" distR="114300" simplePos="0" relativeHeight="251660288" behindDoc="0" locked="0" layoutInCell="1" allowOverlap="1" wp14:anchorId="5A149290" wp14:editId="1685905E">
            <wp:simplePos x="0" y="0"/>
            <wp:positionH relativeFrom="column">
              <wp:posOffset>2385695</wp:posOffset>
            </wp:positionH>
            <wp:positionV relativeFrom="paragraph">
              <wp:posOffset>15240</wp:posOffset>
            </wp:positionV>
            <wp:extent cx="904875" cy="904875"/>
            <wp:effectExtent l="0" t="0" r="9525" b="9525"/>
            <wp:wrapSquare wrapText="bothSides"/>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anchor>
        </w:drawing>
      </w:r>
    </w:p>
    <w:p w14:paraId="24EC0776" w14:textId="77777777" w:rsidR="003E65E4" w:rsidRDefault="003E65E4" w:rsidP="003E65E4">
      <w:pPr>
        <w:spacing w:after="0" w:line="240" w:lineRule="auto"/>
        <w:ind w:right="567"/>
        <w:rPr>
          <w:rFonts w:cs="Arial"/>
          <w:noProof/>
        </w:rPr>
      </w:pPr>
    </w:p>
    <w:p w14:paraId="0DE6FDE8" w14:textId="77777777" w:rsidR="003E65E4" w:rsidRPr="004C3761" w:rsidRDefault="003E65E4" w:rsidP="003E65E4">
      <w:pPr>
        <w:tabs>
          <w:tab w:val="left" w:pos="3885"/>
        </w:tabs>
        <w:spacing w:after="0" w:line="240" w:lineRule="auto"/>
        <w:ind w:right="567"/>
        <w:rPr>
          <w:rFonts w:cs="Arial"/>
          <w:noProof/>
        </w:rPr>
      </w:pPr>
      <w:r>
        <w:rPr>
          <w:rFonts w:cs="Arial"/>
          <w:noProof/>
        </w:rPr>
        <w:tab/>
      </w:r>
      <w:r>
        <w:rPr>
          <w:rFonts w:cs="Arial"/>
          <w:noProof/>
        </w:rPr>
        <w:br w:type="textWrapping" w:clear="all"/>
      </w:r>
    </w:p>
    <w:p w14:paraId="71A75E0F" w14:textId="77777777" w:rsidR="003E65E4" w:rsidRPr="004C3761" w:rsidRDefault="003E65E4" w:rsidP="003E65E4">
      <w:pPr>
        <w:spacing w:after="0" w:line="240" w:lineRule="auto"/>
        <w:ind w:right="-25"/>
        <w:jc w:val="center"/>
        <w:rPr>
          <w:rFonts w:cs="Arial"/>
        </w:rPr>
      </w:pPr>
      <w:r w:rsidRPr="004C3761">
        <w:rPr>
          <w:rFonts w:cs="Arial"/>
        </w:rPr>
        <w:t>IN THE HIGH COURT OF SOUTH AFRICA</w:t>
      </w:r>
    </w:p>
    <w:p w14:paraId="3CD048CE" w14:textId="77777777" w:rsidR="003E65E4" w:rsidRDefault="003E65E4" w:rsidP="003E65E4">
      <w:pPr>
        <w:spacing w:after="0" w:line="240" w:lineRule="auto"/>
        <w:ind w:right="-25"/>
        <w:jc w:val="center"/>
        <w:rPr>
          <w:rFonts w:cs="Arial"/>
        </w:rPr>
      </w:pPr>
    </w:p>
    <w:p w14:paraId="1D85DB48" w14:textId="77777777" w:rsidR="003E65E4" w:rsidRDefault="003E65E4" w:rsidP="003E65E4">
      <w:pPr>
        <w:spacing w:after="0" w:line="240" w:lineRule="auto"/>
        <w:ind w:right="-25"/>
        <w:jc w:val="center"/>
        <w:rPr>
          <w:rFonts w:cs="Arial"/>
        </w:rPr>
      </w:pPr>
      <w:r w:rsidRPr="004C3761">
        <w:rPr>
          <w:rFonts w:cs="Arial"/>
        </w:rPr>
        <w:t>GAUTENG DIVISION, JOHANNESBURG</w:t>
      </w:r>
    </w:p>
    <w:p w14:paraId="333A27D5" w14:textId="613A1572" w:rsidR="003E65E4" w:rsidRPr="004C3761" w:rsidRDefault="0093363F" w:rsidP="003E65E4">
      <w:pPr>
        <w:spacing w:after="0" w:line="240" w:lineRule="auto"/>
        <w:ind w:right="-25"/>
        <w:jc w:val="center"/>
        <w:rPr>
          <w:rFonts w:cs="Arial"/>
        </w:rPr>
      </w:pPr>
      <w:r w:rsidRPr="004C3761">
        <w:rPr>
          <w:rFonts w:cs="Arial"/>
          <w:noProof/>
          <w:lang w:val="en-US"/>
        </w:rPr>
        <mc:AlternateContent>
          <mc:Choice Requires="wps">
            <w:drawing>
              <wp:anchor distT="0" distB="0" distL="114300" distR="114300" simplePos="0" relativeHeight="251659264" behindDoc="0" locked="0" layoutInCell="1" allowOverlap="1" wp14:anchorId="6BA558A8" wp14:editId="25FF0B84">
                <wp:simplePos x="0" y="0"/>
                <wp:positionH relativeFrom="margin">
                  <wp:posOffset>-160793</wp:posOffset>
                </wp:positionH>
                <wp:positionV relativeFrom="paragraph">
                  <wp:posOffset>194928</wp:posOffset>
                </wp:positionV>
                <wp:extent cx="3450367" cy="1116624"/>
                <wp:effectExtent l="0" t="0" r="17145" b="139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0367" cy="1116624"/>
                        </a:xfrm>
                        <a:prstGeom prst="rect">
                          <a:avLst/>
                        </a:prstGeom>
                        <a:solidFill>
                          <a:srgbClr val="FFFFFF"/>
                        </a:solidFill>
                        <a:ln w="9525">
                          <a:solidFill>
                            <a:srgbClr val="000000"/>
                          </a:solidFill>
                          <a:miter lim="800000"/>
                          <a:headEnd/>
                          <a:tailEnd/>
                        </a:ln>
                      </wps:spPr>
                      <wps:txbx>
                        <w:txbxContent>
                          <w:p w14:paraId="73140E2C" w14:textId="22D4CA82" w:rsidR="003E65E4" w:rsidRDefault="00A401AC" w:rsidP="00A401AC">
                            <w:pPr>
                              <w:tabs>
                                <w:tab w:val="left" w:pos="900"/>
                              </w:tabs>
                              <w:spacing w:after="0" w:line="240" w:lineRule="auto"/>
                              <w:ind w:left="900" w:hanging="720"/>
                              <w:jc w:val="left"/>
                              <w:rPr>
                                <w:rFonts w:ascii="Century Gothic" w:hAnsi="Century Gothic"/>
                                <w:sz w:val="20"/>
                                <w:szCs w:val="20"/>
                              </w:rPr>
                            </w:pPr>
                            <w:r>
                              <w:rPr>
                                <w:rFonts w:ascii="Century Gothic" w:hAnsi="Century Gothic"/>
                                <w:bCs/>
                                <w:sz w:val="20"/>
                                <w:szCs w:val="20"/>
                              </w:rPr>
                              <w:t>(1)</w:t>
                            </w:r>
                            <w:r>
                              <w:rPr>
                                <w:rFonts w:ascii="Century Gothic" w:hAnsi="Century Gothic"/>
                                <w:bCs/>
                                <w:sz w:val="20"/>
                                <w:szCs w:val="20"/>
                              </w:rPr>
                              <w:tab/>
                            </w:r>
                            <w:r w:rsidR="003E65E4" w:rsidRPr="003E66F6">
                              <w:rPr>
                                <w:rFonts w:ascii="Century Gothic" w:hAnsi="Century Gothic"/>
                                <w:sz w:val="20"/>
                                <w:szCs w:val="20"/>
                              </w:rPr>
                              <w:t xml:space="preserve">REPORTABLE: </w:t>
                            </w:r>
                            <w:r w:rsidR="0093363F">
                              <w:rPr>
                                <w:rFonts w:ascii="Century Gothic" w:hAnsi="Century Gothic"/>
                                <w:sz w:val="20"/>
                                <w:szCs w:val="20"/>
                              </w:rPr>
                              <w:t xml:space="preserve">Yes / </w:t>
                            </w:r>
                            <w:r w:rsidR="003E65E4">
                              <w:rPr>
                                <w:rFonts w:ascii="Century Gothic" w:hAnsi="Century Gothic"/>
                                <w:sz w:val="20"/>
                                <w:szCs w:val="20"/>
                              </w:rPr>
                              <w:t>No</w:t>
                            </w:r>
                          </w:p>
                          <w:p w14:paraId="63709BE7" w14:textId="77777777" w:rsidR="003E65E4" w:rsidRDefault="003E65E4" w:rsidP="003E65E4">
                            <w:pPr>
                              <w:spacing w:after="0" w:line="240" w:lineRule="auto"/>
                              <w:ind w:left="900"/>
                              <w:jc w:val="left"/>
                              <w:rPr>
                                <w:rFonts w:ascii="Century Gothic" w:hAnsi="Century Gothic"/>
                                <w:sz w:val="20"/>
                                <w:szCs w:val="20"/>
                              </w:rPr>
                            </w:pPr>
                          </w:p>
                          <w:p w14:paraId="7219D8BD" w14:textId="46AAD5B1" w:rsidR="003E65E4" w:rsidRPr="009F2490" w:rsidRDefault="00A401AC" w:rsidP="00A401AC">
                            <w:pPr>
                              <w:tabs>
                                <w:tab w:val="left" w:pos="900"/>
                              </w:tabs>
                              <w:spacing w:after="0" w:line="240" w:lineRule="auto"/>
                              <w:ind w:left="900" w:hanging="720"/>
                              <w:jc w:val="left"/>
                              <w:rPr>
                                <w:rFonts w:ascii="Century Gothic" w:hAnsi="Century Gothic"/>
                                <w:b/>
                                <w:sz w:val="18"/>
                              </w:rPr>
                            </w:pPr>
                            <w:r w:rsidRPr="009F2490">
                              <w:rPr>
                                <w:rFonts w:ascii="Century Gothic" w:hAnsi="Century Gothic"/>
                                <w:bCs/>
                                <w:sz w:val="18"/>
                              </w:rPr>
                              <w:t>(2)</w:t>
                            </w:r>
                            <w:r w:rsidRPr="009F2490">
                              <w:rPr>
                                <w:rFonts w:ascii="Century Gothic" w:hAnsi="Century Gothic"/>
                                <w:bCs/>
                                <w:sz w:val="18"/>
                              </w:rPr>
                              <w:tab/>
                            </w:r>
                            <w:r w:rsidR="003E65E4" w:rsidRPr="009F2490">
                              <w:rPr>
                                <w:rFonts w:ascii="Century Gothic" w:hAnsi="Century Gothic"/>
                                <w:sz w:val="20"/>
                                <w:szCs w:val="20"/>
                              </w:rPr>
                              <w:t xml:space="preserve">OF INTEREST TO OTHER JUDGES: </w:t>
                            </w:r>
                            <w:r w:rsidR="0093363F">
                              <w:rPr>
                                <w:rFonts w:ascii="Century Gothic" w:hAnsi="Century Gothic"/>
                                <w:sz w:val="20"/>
                                <w:szCs w:val="20"/>
                              </w:rPr>
                              <w:t xml:space="preserve">Yes / </w:t>
                            </w:r>
                            <w:r w:rsidR="003E65E4">
                              <w:rPr>
                                <w:rFonts w:ascii="Century Gothic" w:hAnsi="Century Gothic"/>
                                <w:sz w:val="20"/>
                                <w:szCs w:val="20"/>
                              </w:rPr>
                              <w:t>No</w:t>
                            </w:r>
                          </w:p>
                          <w:p w14:paraId="649CB31C" w14:textId="77777777" w:rsidR="003E65E4" w:rsidRDefault="003E65E4" w:rsidP="003E65E4">
                            <w:pPr>
                              <w:spacing w:after="0" w:line="240" w:lineRule="auto"/>
                              <w:rPr>
                                <w:rFonts w:ascii="Century Gothic" w:hAnsi="Century Gothic"/>
                                <w:b/>
                                <w:sz w:val="18"/>
                              </w:rPr>
                            </w:pPr>
                          </w:p>
                          <w:p w14:paraId="6A901B1A" w14:textId="77777777" w:rsidR="003E65E4" w:rsidRDefault="003E65E4" w:rsidP="003E65E4">
                            <w:pPr>
                              <w:spacing w:after="0" w:line="240" w:lineRule="auto"/>
                              <w:rPr>
                                <w:rFonts w:ascii="Century Gothic" w:hAnsi="Century Gothic"/>
                                <w:b/>
                                <w:sz w:val="18"/>
                              </w:rPr>
                            </w:pPr>
                          </w:p>
                          <w:p w14:paraId="356C9DCC" w14:textId="77777777" w:rsidR="003E65E4" w:rsidRPr="00084341" w:rsidRDefault="003E65E4" w:rsidP="003E65E4">
                            <w:pPr>
                              <w:spacing w:after="0" w:line="240" w:lineRule="auto"/>
                              <w:rPr>
                                <w:rFonts w:ascii="Century Gothic" w:hAnsi="Century Gothic"/>
                                <w:b/>
                                <w:sz w:val="18"/>
                              </w:rPr>
                            </w:pPr>
                            <w:r>
                              <w:rPr>
                                <w:rFonts w:ascii="Century Gothic" w:hAnsi="Century Gothic"/>
                                <w:b/>
                                <w:sz w:val="18"/>
                              </w:rPr>
                              <w:t xml:space="preserve">     ______________________     ____________________</w:t>
                            </w:r>
                          </w:p>
                          <w:p w14:paraId="22EE5D6C" w14:textId="77777777" w:rsidR="003E65E4" w:rsidRPr="00084341" w:rsidRDefault="003E65E4" w:rsidP="003E65E4">
                            <w:pPr>
                              <w:spacing w:after="0" w:line="240" w:lineRule="auto"/>
                              <w:rPr>
                                <w:rFonts w:ascii="Century Gothic" w:hAnsi="Century Gothic"/>
                                <w:sz w:val="18"/>
                              </w:rPr>
                            </w:pPr>
                            <w:r>
                              <w:rPr>
                                <w:rFonts w:ascii="Century Gothic" w:hAnsi="Century Gothic"/>
                                <w:sz w:val="18"/>
                              </w:rPr>
                              <w:t xml:space="preserve">     </w:t>
                            </w:r>
                            <w:r>
                              <w:rPr>
                                <w:rFonts w:ascii="Century Gothic" w:hAnsi="Century Gothic"/>
                                <w:sz w:val="18"/>
                              </w:rPr>
                              <w:tab/>
                            </w:r>
                            <w:r w:rsidRPr="00084341">
                              <w:rPr>
                                <w:rFonts w:ascii="Century Gothic" w:hAnsi="Century Gothic"/>
                                <w:sz w:val="18"/>
                              </w:rPr>
                              <w:t>DATE</w:t>
                            </w:r>
                            <w:r w:rsidRPr="00084341">
                              <w:rPr>
                                <w:rFonts w:ascii="Century Gothic" w:hAnsi="Century Gothic"/>
                                <w:sz w:val="18"/>
                              </w:rPr>
                              <w:tab/>
                            </w:r>
                            <w:r w:rsidRPr="00084341">
                              <w:rPr>
                                <w:rFonts w:ascii="Century Gothic" w:hAnsi="Century Gothic"/>
                                <w:sz w:val="18"/>
                              </w:rPr>
                              <w:tab/>
                            </w:r>
                            <w:r w:rsidRPr="00084341">
                              <w:rPr>
                                <w:rFonts w:ascii="Century Gothic" w:hAnsi="Century Gothic"/>
                                <w:sz w:val="18"/>
                              </w:rPr>
                              <w:tab/>
                              <w:t xml:space="preserve">   </w:t>
                            </w:r>
                            <w:r>
                              <w:rPr>
                                <w:rFonts w:ascii="Century Gothic" w:hAnsi="Century Gothic"/>
                                <w:sz w:val="18"/>
                              </w:rPr>
                              <w:t>S</w:t>
                            </w:r>
                            <w:r w:rsidRPr="00084341">
                              <w:rPr>
                                <w:rFonts w:ascii="Century Gothic" w:hAnsi="Century Gothic"/>
                                <w:sz w:val="18"/>
                              </w:rPr>
                              <w:t>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A558A8" id="_x0000_t202" coordsize="21600,21600" o:spt="202" path="m,l,21600r21600,l21600,xe">
                <v:stroke joinstyle="miter"/>
                <v:path gradientshapeok="t" o:connecttype="rect"/>
              </v:shapetype>
              <v:shape id="Text Box 5" o:spid="_x0000_s1026" type="#_x0000_t202" style="position:absolute;left:0;text-align:left;margin-left:-12.65pt;margin-top:15.35pt;width:271.7pt;height:87.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rNFKwIAAFEEAAAOAAAAZHJzL2Uyb0RvYy54bWysVNtu2zAMfR+wfxD0vthO47Q14hRdugwD&#10;ugvQ7gNkWbaFyaImKbG7rx8lu1l2exnmB4EUqUPykPTmZuwVOQrrJOiSZouUEqE51FK3Jf38uH91&#10;RYnzTNdMgRYlfRKO3mxfvtgMphBL6EDVwhIE0a4YTEk7702RJI53omduAUZoNDZge+ZRtW1SWzYg&#10;eq+SZZqukwFsbSxw4Rze3k1Guo34TSO4/9g0TniiSoq5+XjaeFbhTLYbVrSWmU7yOQ32D1n0TGoM&#10;eoK6Y56Rg5W/QfWSW3DQ+AWHPoGmkVzEGrCaLP2lmoeOGRFrQXKcOdHk/h8s/3D8ZImsS5pTolmP&#10;LXoUoyevYSR5YGcwrkCnB4NufsRr7HKs1Jl74F8c0bDrmG7FrbUwdILVmF0WXiZnTyccF0Cq4T3U&#10;GIYdPESgsbF9oA7JIIiOXXo6dSakwvHyYpWnF+tLSjjasixbr5erGIMVz8+Ndf6tgJ4EoaQWWx/h&#10;2fHe+ZAOK55dQjQHStZ7qVRUbFvtlCVHhmOyj9+M/pOb0mQo6XW+zCcG/gqRxu9PEL30OO9K9iW9&#10;OjmxIvD2RtdxGj2TapIxZaVnIgN3E4t+rMa5MRXUT0iphWmucQ9R6MB+o2TAmS6p+3pgVlCi3mls&#10;y3W2WoUliMoqv1yiYs8t1bmFaY5QJfWUTOLOT4tzMFa2HUaaBkHDLbaykZHk0PMpqzlvnNvI/bxj&#10;YTHO9ej140+w/Q4AAP//AwBQSwMEFAAGAAgAAAAhAC3R5njhAAAACgEAAA8AAABkcnMvZG93bnJl&#10;di54bWxMj8tOwzAQRfdI/IM1SGxQaychaQhxKoQEojtoK9i68TSJ8CPYbhr+HrOC5ege3XumXs9a&#10;kQmdH6zhkCwZEDStlYPpOOx3T4sSiA/CSKGsQQ7f6GHdXF7UopL2bN5w2oaOxBLjK8GhD2GsKPVt&#10;j1r4pR3RxOxonRYhnq6j0olzLNeKpowVVIvBxIVejPjYY/u5PWkO5e3L9OE32et7WxzVXbhZTc9f&#10;jvPrq/nhHkjAOfzB8Ksf1aGJTgd7MtITxWGR5llEOWRsBSQCeVImQA4cUlbkQJua/n+h+QEAAP//&#10;AwBQSwECLQAUAAYACAAAACEAtoM4kv4AAADhAQAAEwAAAAAAAAAAAAAAAAAAAAAAW0NvbnRlbnRf&#10;VHlwZXNdLnhtbFBLAQItABQABgAIAAAAIQA4/SH/1gAAAJQBAAALAAAAAAAAAAAAAAAAAC8BAABf&#10;cmVscy8ucmVsc1BLAQItABQABgAIAAAAIQA2CrNFKwIAAFEEAAAOAAAAAAAAAAAAAAAAAC4CAABk&#10;cnMvZTJvRG9jLnhtbFBLAQItABQABgAIAAAAIQAt0eZ44QAAAAoBAAAPAAAAAAAAAAAAAAAAAIUE&#10;AABkcnMvZG93bnJldi54bWxQSwUGAAAAAAQABADzAAAAkwUAAAAA&#10;">
                <v:textbox>
                  <w:txbxContent>
                    <w:p w14:paraId="73140E2C" w14:textId="22D4CA82" w:rsidR="003E65E4" w:rsidRDefault="00A401AC" w:rsidP="00A401AC">
                      <w:pPr>
                        <w:tabs>
                          <w:tab w:val="left" w:pos="900"/>
                        </w:tabs>
                        <w:spacing w:after="0" w:line="240" w:lineRule="auto"/>
                        <w:ind w:left="900" w:hanging="720"/>
                        <w:jc w:val="left"/>
                        <w:rPr>
                          <w:rFonts w:ascii="Century Gothic" w:hAnsi="Century Gothic"/>
                          <w:sz w:val="20"/>
                          <w:szCs w:val="20"/>
                        </w:rPr>
                      </w:pPr>
                      <w:r>
                        <w:rPr>
                          <w:rFonts w:ascii="Century Gothic" w:hAnsi="Century Gothic"/>
                          <w:bCs/>
                          <w:sz w:val="20"/>
                          <w:szCs w:val="20"/>
                        </w:rPr>
                        <w:t>(1)</w:t>
                      </w:r>
                      <w:r>
                        <w:rPr>
                          <w:rFonts w:ascii="Century Gothic" w:hAnsi="Century Gothic"/>
                          <w:bCs/>
                          <w:sz w:val="20"/>
                          <w:szCs w:val="20"/>
                        </w:rPr>
                        <w:tab/>
                      </w:r>
                      <w:r w:rsidR="003E65E4" w:rsidRPr="003E66F6">
                        <w:rPr>
                          <w:rFonts w:ascii="Century Gothic" w:hAnsi="Century Gothic"/>
                          <w:sz w:val="20"/>
                          <w:szCs w:val="20"/>
                        </w:rPr>
                        <w:t xml:space="preserve">REPORTABLE: </w:t>
                      </w:r>
                      <w:r w:rsidR="0093363F">
                        <w:rPr>
                          <w:rFonts w:ascii="Century Gothic" w:hAnsi="Century Gothic"/>
                          <w:sz w:val="20"/>
                          <w:szCs w:val="20"/>
                        </w:rPr>
                        <w:t xml:space="preserve">Yes / </w:t>
                      </w:r>
                      <w:r w:rsidR="003E65E4">
                        <w:rPr>
                          <w:rFonts w:ascii="Century Gothic" w:hAnsi="Century Gothic"/>
                          <w:sz w:val="20"/>
                          <w:szCs w:val="20"/>
                        </w:rPr>
                        <w:t>No</w:t>
                      </w:r>
                    </w:p>
                    <w:p w14:paraId="63709BE7" w14:textId="77777777" w:rsidR="003E65E4" w:rsidRDefault="003E65E4" w:rsidP="003E65E4">
                      <w:pPr>
                        <w:spacing w:after="0" w:line="240" w:lineRule="auto"/>
                        <w:ind w:left="900"/>
                        <w:jc w:val="left"/>
                        <w:rPr>
                          <w:rFonts w:ascii="Century Gothic" w:hAnsi="Century Gothic"/>
                          <w:sz w:val="20"/>
                          <w:szCs w:val="20"/>
                        </w:rPr>
                      </w:pPr>
                    </w:p>
                    <w:p w14:paraId="7219D8BD" w14:textId="46AAD5B1" w:rsidR="003E65E4" w:rsidRPr="009F2490" w:rsidRDefault="00A401AC" w:rsidP="00A401AC">
                      <w:pPr>
                        <w:tabs>
                          <w:tab w:val="left" w:pos="900"/>
                        </w:tabs>
                        <w:spacing w:after="0" w:line="240" w:lineRule="auto"/>
                        <w:ind w:left="900" w:hanging="720"/>
                        <w:jc w:val="left"/>
                        <w:rPr>
                          <w:rFonts w:ascii="Century Gothic" w:hAnsi="Century Gothic"/>
                          <w:b/>
                          <w:sz w:val="18"/>
                        </w:rPr>
                      </w:pPr>
                      <w:r w:rsidRPr="009F2490">
                        <w:rPr>
                          <w:rFonts w:ascii="Century Gothic" w:hAnsi="Century Gothic"/>
                          <w:bCs/>
                          <w:sz w:val="18"/>
                        </w:rPr>
                        <w:t>(2)</w:t>
                      </w:r>
                      <w:r w:rsidRPr="009F2490">
                        <w:rPr>
                          <w:rFonts w:ascii="Century Gothic" w:hAnsi="Century Gothic"/>
                          <w:bCs/>
                          <w:sz w:val="18"/>
                        </w:rPr>
                        <w:tab/>
                      </w:r>
                      <w:r w:rsidR="003E65E4" w:rsidRPr="009F2490">
                        <w:rPr>
                          <w:rFonts w:ascii="Century Gothic" w:hAnsi="Century Gothic"/>
                          <w:sz w:val="20"/>
                          <w:szCs w:val="20"/>
                        </w:rPr>
                        <w:t xml:space="preserve">OF INTEREST TO OTHER JUDGES: </w:t>
                      </w:r>
                      <w:r w:rsidR="0093363F">
                        <w:rPr>
                          <w:rFonts w:ascii="Century Gothic" w:hAnsi="Century Gothic"/>
                          <w:sz w:val="20"/>
                          <w:szCs w:val="20"/>
                        </w:rPr>
                        <w:t xml:space="preserve">Yes / </w:t>
                      </w:r>
                      <w:r w:rsidR="003E65E4">
                        <w:rPr>
                          <w:rFonts w:ascii="Century Gothic" w:hAnsi="Century Gothic"/>
                          <w:sz w:val="20"/>
                          <w:szCs w:val="20"/>
                        </w:rPr>
                        <w:t>No</w:t>
                      </w:r>
                    </w:p>
                    <w:p w14:paraId="649CB31C" w14:textId="77777777" w:rsidR="003E65E4" w:rsidRDefault="003E65E4" w:rsidP="003E65E4">
                      <w:pPr>
                        <w:spacing w:after="0" w:line="240" w:lineRule="auto"/>
                        <w:rPr>
                          <w:rFonts w:ascii="Century Gothic" w:hAnsi="Century Gothic"/>
                          <w:b/>
                          <w:sz w:val="18"/>
                        </w:rPr>
                      </w:pPr>
                    </w:p>
                    <w:p w14:paraId="6A901B1A" w14:textId="77777777" w:rsidR="003E65E4" w:rsidRDefault="003E65E4" w:rsidP="003E65E4">
                      <w:pPr>
                        <w:spacing w:after="0" w:line="240" w:lineRule="auto"/>
                        <w:rPr>
                          <w:rFonts w:ascii="Century Gothic" w:hAnsi="Century Gothic"/>
                          <w:b/>
                          <w:sz w:val="18"/>
                        </w:rPr>
                      </w:pPr>
                    </w:p>
                    <w:p w14:paraId="356C9DCC" w14:textId="77777777" w:rsidR="003E65E4" w:rsidRPr="00084341" w:rsidRDefault="003E65E4" w:rsidP="003E65E4">
                      <w:pPr>
                        <w:spacing w:after="0" w:line="240" w:lineRule="auto"/>
                        <w:rPr>
                          <w:rFonts w:ascii="Century Gothic" w:hAnsi="Century Gothic"/>
                          <w:b/>
                          <w:sz w:val="18"/>
                        </w:rPr>
                      </w:pPr>
                      <w:r>
                        <w:rPr>
                          <w:rFonts w:ascii="Century Gothic" w:hAnsi="Century Gothic"/>
                          <w:b/>
                          <w:sz w:val="18"/>
                        </w:rPr>
                        <w:t xml:space="preserve">     ______________________     ____________________</w:t>
                      </w:r>
                    </w:p>
                    <w:p w14:paraId="22EE5D6C" w14:textId="77777777" w:rsidR="003E65E4" w:rsidRPr="00084341" w:rsidRDefault="003E65E4" w:rsidP="003E65E4">
                      <w:pPr>
                        <w:spacing w:after="0" w:line="240" w:lineRule="auto"/>
                        <w:rPr>
                          <w:rFonts w:ascii="Century Gothic" w:hAnsi="Century Gothic"/>
                          <w:sz w:val="18"/>
                        </w:rPr>
                      </w:pPr>
                      <w:r>
                        <w:rPr>
                          <w:rFonts w:ascii="Century Gothic" w:hAnsi="Century Gothic"/>
                          <w:sz w:val="18"/>
                        </w:rPr>
                        <w:t xml:space="preserve">     </w:t>
                      </w:r>
                      <w:r>
                        <w:rPr>
                          <w:rFonts w:ascii="Century Gothic" w:hAnsi="Century Gothic"/>
                          <w:sz w:val="18"/>
                        </w:rPr>
                        <w:tab/>
                      </w:r>
                      <w:r w:rsidRPr="00084341">
                        <w:rPr>
                          <w:rFonts w:ascii="Century Gothic" w:hAnsi="Century Gothic"/>
                          <w:sz w:val="18"/>
                        </w:rPr>
                        <w:t>DATE</w:t>
                      </w:r>
                      <w:r w:rsidRPr="00084341">
                        <w:rPr>
                          <w:rFonts w:ascii="Century Gothic" w:hAnsi="Century Gothic"/>
                          <w:sz w:val="18"/>
                        </w:rPr>
                        <w:tab/>
                      </w:r>
                      <w:r w:rsidRPr="00084341">
                        <w:rPr>
                          <w:rFonts w:ascii="Century Gothic" w:hAnsi="Century Gothic"/>
                          <w:sz w:val="18"/>
                        </w:rPr>
                        <w:tab/>
                      </w:r>
                      <w:r w:rsidRPr="00084341">
                        <w:rPr>
                          <w:rFonts w:ascii="Century Gothic" w:hAnsi="Century Gothic"/>
                          <w:sz w:val="18"/>
                        </w:rPr>
                        <w:tab/>
                        <w:t xml:space="preserve">   </w:t>
                      </w:r>
                      <w:r>
                        <w:rPr>
                          <w:rFonts w:ascii="Century Gothic" w:hAnsi="Century Gothic"/>
                          <w:sz w:val="18"/>
                        </w:rPr>
                        <w:t>S</w:t>
                      </w:r>
                      <w:r w:rsidRPr="00084341">
                        <w:rPr>
                          <w:rFonts w:ascii="Century Gothic" w:hAnsi="Century Gothic"/>
                          <w:sz w:val="18"/>
                        </w:rPr>
                        <w:t>IGNATURE</w:t>
                      </w:r>
                    </w:p>
                  </w:txbxContent>
                </v:textbox>
                <w10:wrap anchorx="margin"/>
              </v:shape>
            </w:pict>
          </mc:Fallback>
        </mc:AlternateContent>
      </w:r>
    </w:p>
    <w:p w14:paraId="5916E594" w14:textId="29B35E6C" w:rsidR="003E65E4" w:rsidRPr="004C3761" w:rsidRDefault="003E65E4" w:rsidP="003E65E4">
      <w:pPr>
        <w:spacing w:after="0" w:line="240" w:lineRule="auto"/>
        <w:ind w:right="567"/>
        <w:rPr>
          <w:rFonts w:cs="Arial"/>
          <w:u w:val="single"/>
        </w:rPr>
      </w:pPr>
    </w:p>
    <w:p w14:paraId="5E723861" w14:textId="77777777" w:rsidR="003E65E4" w:rsidRPr="004C3761" w:rsidRDefault="003E65E4" w:rsidP="003E65E4">
      <w:pPr>
        <w:spacing w:after="0" w:line="240" w:lineRule="auto"/>
        <w:ind w:right="567"/>
        <w:jc w:val="center"/>
        <w:rPr>
          <w:rFonts w:cs="Arial"/>
        </w:rPr>
      </w:pPr>
      <w:r w:rsidRPr="004C3761">
        <w:rPr>
          <w:rFonts w:cs="Arial"/>
        </w:rPr>
        <w:t>No</w:t>
      </w:r>
    </w:p>
    <w:p w14:paraId="5EE9C45E" w14:textId="77777777" w:rsidR="003E65E4" w:rsidRPr="004C3761" w:rsidRDefault="003E65E4" w:rsidP="003E65E4">
      <w:pPr>
        <w:spacing w:after="0" w:line="240" w:lineRule="auto"/>
        <w:ind w:right="567"/>
        <w:jc w:val="center"/>
        <w:rPr>
          <w:rFonts w:cs="Arial"/>
        </w:rPr>
      </w:pPr>
    </w:p>
    <w:p w14:paraId="491F2FE7" w14:textId="77777777" w:rsidR="003E65E4" w:rsidRPr="004C3761" w:rsidRDefault="003E65E4" w:rsidP="003E65E4">
      <w:pPr>
        <w:tabs>
          <w:tab w:val="left" w:pos="5129"/>
        </w:tabs>
        <w:spacing w:after="0" w:line="240" w:lineRule="auto"/>
        <w:ind w:right="567"/>
        <w:rPr>
          <w:rFonts w:cs="Arial"/>
        </w:rPr>
      </w:pPr>
      <w:r w:rsidRPr="004C3761">
        <w:rPr>
          <w:rFonts w:cs="Arial"/>
        </w:rPr>
        <w:tab/>
      </w:r>
    </w:p>
    <w:p w14:paraId="4C7D7E05" w14:textId="77777777" w:rsidR="003E65E4" w:rsidRPr="002200D8" w:rsidRDefault="003E65E4" w:rsidP="004A1B88">
      <w:pPr>
        <w:pStyle w:val="Heading1"/>
        <w:spacing w:after="0" w:line="240" w:lineRule="auto"/>
        <w:ind w:right="23"/>
        <w:jc w:val="right"/>
        <w:rPr>
          <w:b w:val="0"/>
          <w:bCs w:val="0"/>
        </w:rPr>
      </w:pPr>
      <w:r w:rsidRPr="00DD1B08">
        <w:t xml:space="preserve">  </w:t>
      </w:r>
      <w:r w:rsidRPr="002200D8">
        <w:rPr>
          <w:b w:val="0"/>
          <w:bCs w:val="0"/>
        </w:rPr>
        <w:t>Case No.: 2021/47581</w:t>
      </w:r>
    </w:p>
    <w:p w14:paraId="05585C23" w14:textId="77777777" w:rsidR="003E65E4" w:rsidRDefault="003E65E4" w:rsidP="003E65E4">
      <w:pPr>
        <w:spacing w:after="0" w:line="240" w:lineRule="auto"/>
        <w:ind w:left="5760" w:right="-45"/>
        <w:jc w:val="right"/>
        <w:rPr>
          <w:rFonts w:cs="Arial"/>
        </w:rPr>
      </w:pPr>
    </w:p>
    <w:p w14:paraId="29D367C8" w14:textId="77777777" w:rsidR="003E65E4" w:rsidRDefault="003E65E4" w:rsidP="003E65E4">
      <w:pPr>
        <w:spacing w:after="0" w:line="240" w:lineRule="auto"/>
        <w:ind w:left="5760" w:right="-45"/>
        <w:jc w:val="right"/>
        <w:rPr>
          <w:rFonts w:cs="Arial"/>
        </w:rPr>
      </w:pPr>
    </w:p>
    <w:p w14:paraId="2E413EEC" w14:textId="77777777" w:rsidR="003E65E4" w:rsidRPr="00DD1B08" w:rsidRDefault="003E65E4" w:rsidP="003E65E4">
      <w:pPr>
        <w:spacing w:after="0" w:line="240" w:lineRule="auto"/>
        <w:ind w:left="5760" w:right="-45"/>
        <w:jc w:val="right"/>
        <w:rPr>
          <w:rFonts w:cs="Arial"/>
        </w:rPr>
      </w:pPr>
    </w:p>
    <w:p w14:paraId="1817A05B" w14:textId="77777777" w:rsidR="003E65E4" w:rsidRPr="003872FD" w:rsidRDefault="003E65E4" w:rsidP="003E65E4">
      <w:pPr>
        <w:spacing w:after="0" w:line="240" w:lineRule="auto"/>
        <w:ind w:right="-45"/>
        <w:rPr>
          <w:rFonts w:cs="Arial"/>
        </w:rPr>
      </w:pPr>
      <w:r w:rsidRPr="003872FD">
        <w:rPr>
          <w:rFonts w:cs="Arial"/>
        </w:rPr>
        <w:t>In the matter between:</w:t>
      </w:r>
    </w:p>
    <w:p w14:paraId="5D6F7483" w14:textId="77777777" w:rsidR="003E65E4" w:rsidRDefault="003E65E4" w:rsidP="003E65E4">
      <w:pPr>
        <w:tabs>
          <w:tab w:val="right" w:pos="8931"/>
        </w:tabs>
        <w:spacing w:after="0" w:line="240" w:lineRule="auto"/>
        <w:ind w:right="-45"/>
        <w:rPr>
          <w:rFonts w:cs="Arial"/>
        </w:rPr>
      </w:pPr>
      <w:bookmarkStart w:id="2" w:name="_Hlk47643505"/>
    </w:p>
    <w:p w14:paraId="17D59AF0" w14:textId="77777777" w:rsidR="003E65E4" w:rsidRDefault="003E65E4" w:rsidP="003E65E4">
      <w:pPr>
        <w:tabs>
          <w:tab w:val="right" w:pos="8931"/>
        </w:tabs>
        <w:spacing w:after="0" w:line="240" w:lineRule="auto"/>
        <w:ind w:right="-45"/>
        <w:rPr>
          <w:rFonts w:cs="Arial"/>
        </w:rPr>
      </w:pPr>
    </w:p>
    <w:p w14:paraId="78A59864" w14:textId="77777777" w:rsidR="003E65E4" w:rsidRPr="003872FD" w:rsidRDefault="003E65E4" w:rsidP="004A1B88">
      <w:pPr>
        <w:tabs>
          <w:tab w:val="right" w:pos="8931"/>
        </w:tabs>
        <w:spacing w:after="0" w:line="240" w:lineRule="auto"/>
        <w:ind w:right="23"/>
        <w:rPr>
          <w:rFonts w:cs="Arial"/>
        </w:rPr>
      </w:pPr>
      <w:r>
        <w:rPr>
          <w:rFonts w:cs="Arial"/>
        </w:rPr>
        <w:t xml:space="preserve">JUSTINE GATTER </w:t>
      </w:r>
      <w:r w:rsidRPr="003872FD">
        <w:rPr>
          <w:rFonts w:cs="Arial"/>
        </w:rPr>
        <w:tab/>
      </w:r>
      <w:r>
        <w:rPr>
          <w:rFonts w:cs="Arial"/>
        </w:rPr>
        <w:t>Applicant</w:t>
      </w:r>
      <w:r w:rsidRPr="003872FD">
        <w:rPr>
          <w:rFonts w:cs="Arial"/>
        </w:rPr>
        <w:t xml:space="preserve"> </w:t>
      </w:r>
    </w:p>
    <w:p w14:paraId="03D41ECE" w14:textId="77777777" w:rsidR="003E65E4" w:rsidRPr="003872FD" w:rsidRDefault="003E65E4" w:rsidP="004A1B88">
      <w:pPr>
        <w:spacing w:after="0" w:line="240" w:lineRule="auto"/>
        <w:ind w:right="23"/>
        <w:rPr>
          <w:rFonts w:cs="Arial"/>
        </w:rPr>
      </w:pPr>
    </w:p>
    <w:p w14:paraId="7BAE7CA7" w14:textId="77777777" w:rsidR="003E65E4" w:rsidRPr="003872FD" w:rsidRDefault="003E65E4" w:rsidP="004A1B88">
      <w:pPr>
        <w:spacing w:after="0" w:line="240" w:lineRule="auto"/>
        <w:ind w:right="23"/>
        <w:rPr>
          <w:rFonts w:cs="Arial"/>
        </w:rPr>
      </w:pPr>
    </w:p>
    <w:p w14:paraId="6FF11F3B" w14:textId="77777777" w:rsidR="003E65E4" w:rsidRPr="003872FD" w:rsidRDefault="003E65E4" w:rsidP="004A1B88">
      <w:pPr>
        <w:spacing w:after="0" w:line="240" w:lineRule="auto"/>
        <w:ind w:right="23"/>
        <w:rPr>
          <w:rFonts w:cs="Arial"/>
        </w:rPr>
      </w:pPr>
      <w:r w:rsidRPr="003872FD">
        <w:rPr>
          <w:rFonts w:cs="Arial"/>
        </w:rPr>
        <w:t>and</w:t>
      </w:r>
    </w:p>
    <w:p w14:paraId="10481159" w14:textId="77777777" w:rsidR="003E65E4" w:rsidRPr="003872FD" w:rsidRDefault="003E65E4" w:rsidP="004A1B88">
      <w:pPr>
        <w:tabs>
          <w:tab w:val="right" w:pos="8339"/>
        </w:tabs>
        <w:spacing w:after="0" w:line="240" w:lineRule="auto"/>
        <w:ind w:right="23"/>
        <w:rPr>
          <w:rFonts w:cs="Arial"/>
          <w:u w:val="single"/>
        </w:rPr>
      </w:pPr>
    </w:p>
    <w:p w14:paraId="37CE4100" w14:textId="77777777" w:rsidR="003E65E4" w:rsidRPr="003872FD" w:rsidRDefault="003E65E4" w:rsidP="004A1B88">
      <w:pPr>
        <w:tabs>
          <w:tab w:val="right" w:pos="8339"/>
        </w:tabs>
        <w:spacing w:after="0" w:line="240" w:lineRule="auto"/>
        <w:ind w:right="23"/>
        <w:rPr>
          <w:rFonts w:cs="Arial"/>
          <w:u w:val="single"/>
        </w:rPr>
      </w:pPr>
    </w:p>
    <w:p w14:paraId="7EA06347" w14:textId="77777777" w:rsidR="003E65E4" w:rsidRDefault="003E65E4" w:rsidP="008C7EDD">
      <w:pPr>
        <w:tabs>
          <w:tab w:val="right" w:pos="8787"/>
        </w:tabs>
        <w:spacing w:before="120" w:after="120" w:line="240" w:lineRule="auto"/>
        <w:ind w:right="23"/>
        <w:rPr>
          <w:rFonts w:cs="Arial"/>
        </w:rPr>
      </w:pPr>
      <w:r>
        <w:rPr>
          <w:rFonts w:cs="Arial"/>
        </w:rPr>
        <w:t xml:space="preserve">GRAND TECH AUTO (PTY) LIMITED </w:t>
      </w:r>
    </w:p>
    <w:p w14:paraId="6A0DA987" w14:textId="77777777" w:rsidR="003E65E4" w:rsidRDefault="003E65E4" w:rsidP="004A1B88">
      <w:pPr>
        <w:tabs>
          <w:tab w:val="right" w:pos="8787"/>
        </w:tabs>
        <w:spacing w:after="0" w:line="240" w:lineRule="auto"/>
        <w:ind w:right="23"/>
        <w:rPr>
          <w:rFonts w:cs="Arial"/>
        </w:rPr>
      </w:pPr>
      <w:r>
        <w:rPr>
          <w:rFonts w:cs="Arial"/>
        </w:rPr>
        <w:t xml:space="preserve">t/a GRAND TECH AUTO BODY </w:t>
      </w:r>
      <w:r w:rsidRPr="003872FD">
        <w:rPr>
          <w:rFonts w:cs="Arial"/>
        </w:rPr>
        <w:tab/>
      </w:r>
      <w:r>
        <w:rPr>
          <w:rFonts w:cs="Arial"/>
        </w:rPr>
        <w:t>First Respondent</w:t>
      </w:r>
    </w:p>
    <w:p w14:paraId="292DA14C" w14:textId="77777777" w:rsidR="003E65E4" w:rsidRDefault="003E65E4" w:rsidP="004A1B88">
      <w:pPr>
        <w:tabs>
          <w:tab w:val="right" w:pos="8787"/>
        </w:tabs>
        <w:spacing w:after="0" w:line="240" w:lineRule="auto"/>
        <w:ind w:right="23"/>
        <w:rPr>
          <w:rFonts w:cs="Arial"/>
        </w:rPr>
      </w:pPr>
    </w:p>
    <w:p w14:paraId="5691A0BF" w14:textId="77777777" w:rsidR="003E65E4" w:rsidRPr="003872FD" w:rsidRDefault="003E65E4" w:rsidP="008C7EDD">
      <w:pPr>
        <w:tabs>
          <w:tab w:val="right" w:pos="8787"/>
        </w:tabs>
        <w:spacing w:before="240" w:after="0" w:line="240" w:lineRule="auto"/>
        <w:ind w:right="23"/>
        <w:rPr>
          <w:rFonts w:cs="Arial"/>
        </w:rPr>
      </w:pPr>
      <w:r>
        <w:rPr>
          <w:rFonts w:cs="Arial"/>
        </w:rPr>
        <w:t xml:space="preserve">SUSTAINABLE LIVING CONSULTANTS CC </w:t>
      </w:r>
      <w:r>
        <w:rPr>
          <w:rFonts w:cs="Arial"/>
        </w:rPr>
        <w:tab/>
        <w:t xml:space="preserve">Second Respondent </w:t>
      </w:r>
    </w:p>
    <w:p w14:paraId="2BD0ABCF" w14:textId="77777777" w:rsidR="003E65E4" w:rsidRPr="003872FD" w:rsidRDefault="003E65E4" w:rsidP="003E65E4">
      <w:pPr>
        <w:tabs>
          <w:tab w:val="right" w:pos="8787"/>
        </w:tabs>
        <w:spacing w:after="0" w:line="240" w:lineRule="auto"/>
        <w:ind w:right="119"/>
        <w:rPr>
          <w:rFonts w:cs="Arial"/>
        </w:rPr>
      </w:pPr>
      <w:r w:rsidRPr="003872FD">
        <w:rPr>
          <w:rFonts w:cs="Arial"/>
        </w:rPr>
        <w:t xml:space="preserve">  </w:t>
      </w:r>
      <w:r w:rsidRPr="003872FD">
        <w:rPr>
          <w:rFonts w:cs="Arial"/>
        </w:rPr>
        <w:tab/>
      </w:r>
    </w:p>
    <w:bookmarkEnd w:id="2"/>
    <w:p w14:paraId="7F5BF7AA" w14:textId="77777777" w:rsidR="003E65E4" w:rsidRPr="003872FD" w:rsidRDefault="003E65E4" w:rsidP="003E65E4">
      <w:pPr>
        <w:spacing w:after="0" w:line="240" w:lineRule="auto"/>
        <w:ind w:right="-25"/>
        <w:rPr>
          <w:rFonts w:cs="Arial"/>
        </w:rPr>
      </w:pPr>
      <w:r w:rsidRPr="003872FD">
        <w:rPr>
          <w:rFonts w:cs="Arial"/>
        </w:rPr>
        <w:t>______________________________________________________________</w:t>
      </w:r>
    </w:p>
    <w:p w14:paraId="0639424D" w14:textId="77777777" w:rsidR="003E65E4" w:rsidRPr="003872FD" w:rsidRDefault="003E65E4" w:rsidP="003E65E4">
      <w:pPr>
        <w:spacing w:after="0" w:line="240" w:lineRule="auto"/>
        <w:ind w:right="117"/>
        <w:contextualSpacing/>
        <w:jc w:val="center"/>
        <w:rPr>
          <w:rFonts w:cs="Arial"/>
        </w:rPr>
      </w:pPr>
    </w:p>
    <w:p w14:paraId="5DB13C18" w14:textId="77777777" w:rsidR="003E65E4" w:rsidRPr="003872FD" w:rsidRDefault="003E65E4" w:rsidP="003E65E4">
      <w:pPr>
        <w:spacing w:after="0" w:line="240" w:lineRule="auto"/>
        <w:ind w:right="117"/>
        <w:contextualSpacing/>
        <w:jc w:val="center"/>
        <w:rPr>
          <w:rFonts w:cs="Arial"/>
        </w:rPr>
      </w:pPr>
      <w:r w:rsidRPr="003872FD">
        <w:rPr>
          <w:rFonts w:cs="Arial"/>
        </w:rPr>
        <w:t>JUDGMENT</w:t>
      </w:r>
    </w:p>
    <w:p w14:paraId="735B406E" w14:textId="77777777" w:rsidR="003E65E4" w:rsidRDefault="003E65E4" w:rsidP="003E65E4">
      <w:pPr>
        <w:spacing w:after="0" w:line="240" w:lineRule="auto"/>
        <w:ind w:right="-25"/>
        <w:contextualSpacing/>
        <w:rPr>
          <w:rFonts w:cs="Arial"/>
        </w:rPr>
      </w:pPr>
      <w:r w:rsidRPr="003872FD">
        <w:rPr>
          <w:rFonts w:cs="Arial"/>
        </w:rPr>
        <w:t>______________________________________________________________</w:t>
      </w:r>
    </w:p>
    <w:p w14:paraId="0EC3A264" w14:textId="77777777" w:rsidR="003E65E4" w:rsidRPr="003872FD" w:rsidRDefault="003E65E4" w:rsidP="003E65E4">
      <w:pPr>
        <w:spacing w:after="0" w:line="240" w:lineRule="auto"/>
        <w:ind w:right="-25"/>
        <w:contextualSpacing/>
        <w:rPr>
          <w:rFonts w:cs="Arial"/>
        </w:rPr>
      </w:pPr>
    </w:p>
    <w:p w14:paraId="0239957F" w14:textId="77777777" w:rsidR="003E65E4" w:rsidRPr="003872FD" w:rsidRDefault="003E65E4" w:rsidP="003E65E4">
      <w:pPr>
        <w:spacing w:after="0" w:line="240" w:lineRule="auto"/>
        <w:rPr>
          <w:rFonts w:cs="Arial"/>
          <w:i/>
          <w:iCs/>
          <w:color w:val="242121"/>
          <w:shd w:val="clear" w:color="auto" w:fill="FFFFFF"/>
        </w:rPr>
      </w:pPr>
    </w:p>
    <w:p w14:paraId="7628E154" w14:textId="77777777" w:rsidR="003E65E4" w:rsidRPr="00711893" w:rsidRDefault="003E65E4" w:rsidP="004A1B88">
      <w:pPr>
        <w:spacing w:after="0" w:line="360" w:lineRule="auto"/>
        <w:ind w:right="96"/>
        <w:rPr>
          <w:rFonts w:cs="Arial"/>
          <w:i/>
          <w:iCs/>
          <w:color w:val="242121"/>
          <w:shd w:val="clear" w:color="auto" w:fill="FFFFFF"/>
        </w:rPr>
      </w:pPr>
      <w:r w:rsidRPr="003872FD">
        <w:rPr>
          <w:rFonts w:cs="Arial"/>
          <w:i/>
          <w:iCs/>
          <w:color w:val="242121"/>
          <w:shd w:val="clear" w:color="auto" w:fill="FFFFFF"/>
        </w:rPr>
        <w:t>This judgment was handed down electronically by circulation to the parties’ legal representatives by email and is deemed to be handed down upon such circulation.</w:t>
      </w:r>
    </w:p>
    <w:p w14:paraId="52FAA11E" w14:textId="61225B6F" w:rsidR="00480E8E" w:rsidRDefault="003E65E4" w:rsidP="00480E8E">
      <w:pPr>
        <w:tabs>
          <w:tab w:val="left" w:pos="-426"/>
        </w:tabs>
        <w:spacing w:after="0" w:line="240" w:lineRule="auto"/>
        <w:ind w:right="567"/>
        <w:contextualSpacing/>
        <w:rPr>
          <w:rFonts w:cs="Arial"/>
          <w:u w:val="single"/>
        </w:rPr>
      </w:pPr>
      <w:r w:rsidRPr="003872FD">
        <w:rPr>
          <w:rFonts w:cs="Arial"/>
          <w:u w:val="single"/>
        </w:rPr>
        <w:t>Gilbert AJ:</w:t>
      </w:r>
      <w:bookmarkEnd w:id="0"/>
    </w:p>
    <w:p w14:paraId="7E1A8E4F" w14:textId="35383D0A" w:rsidR="00480E8E" w:rsidRDefault="00480E8E" w:rsidP="00480E8E">
      <w:pPr>
        <w:tabs>
          <w:tab w:val="left" w:pos="-426"/>
        </w:tabs>
        <w:spacing w:after="0" w:line="240" w:lineRule="auto"/>
        <w:ind w:right="567"/>
        <w:contextualSpacing/>
        <w:rPr>
          <w:rFonts w:cs="Arial"/>
          <w:u w:val="single"/>
        </w:rPr>
      </w:pPr>
    </w:p>
    <w:p w14:paraId="498A6925" w14:textId="77777777" w:rsidR="00480E8E" w:rsidRPr="00480E8E" w:rsidRDefault="00480E8E" w:rsidP="00480E8E">
      <w:pPr>
        <w:tabs>
          <w:tab w:val="left" w:pos="-426"/>
        </w:tabs>
        <w:spacing w:after="0" w:line="240" w:lineRule="auto"/>
        <w:ind w:right="567"/>
        <w:contextualSpacing/>
        <w:rPr>
          <w:rFonts w:cs="Arial"/>
        </w:rPr>
      </w:pPr>
    </w:p>
    <w:p w14:paraId="2958D7F7" w14:textId="4D8D7413" w:rsidR="00480E8E" w:rsidRDefault="00A401AC" w:rsidP="00A401AC">
      <w:pPr>
        <w:pStyle w:val="ListLevel1"/>
        <w:numPr>
          <w:ilvl w:val="0"/>
          <w:numId w:val="0"/>
        </w:numPr>
        <w:ind w:left="851" w:hanging="851"/>
      </w:pPr>
      <w:r>
        <w:t>1.</w:t>
      </w:r>
      <w:r>
        <w:tab/>
      </w:r>
      <w:r w:rsidR="00480E8E" w:rsidRPr="00D55072">
        <w:t>The applicant engaged one or other of the respondents to carry out repairs to her BMW motor vehicle</w:t>
      </w:r>
      <w:r w:rsidR="00480E8E">
        <w:t xml:space="preserve">. Various </w:t>
      </w:r>
      <w:r w:rsidR="00480E8E" w:rsidRPr="00D55072">
        <w:t>repairs were done to the vehicle. The applicant paid for some of these repairs</w:t>
      </w:r>
      <w:r w:rsidR="00480E8E">
        <w:t xml:space="preserve">, </w:t>
      </w:r>
      <w:r w:rsidR="003928E3">
        <w:t xml:space="preserve">but not for the rest, </w:t>
      </w:r>
      <w:r w:rsidR="00480E8E" w:rsidRPr="00D55072">
        <w:t xml:space="preserve">disputing that she had agreed to those repairs </w:t>
      </w:r>
      <w:r w:rsidR="003928E3">
        <w:t>and/</w:t>
      </w:r>
      <w:r w:rsidR="00480E8E" w:rsidRPr="00D55072">
        <w:t>or the cost of those repairs</w:t>
      </w:r>
      <w:r w:rsidR="00480E8E">
        <w:t xml:space="preserve">. </w:t>
      </w:r>
      <w:r w:rsidR="00480E8E" w:rsidRPr="00D55072">
        <w:t>The respondents then refused to return the vehicle</w:t>
      </w:r>
      <w:r w:rsidR="00480E8E">
        <w:t xml:space="preserve">, contending </w:t>
      </w:r>
      <w:r w:rsidR="00480E8E" w:rsidRPr="00D55072">
        <w:t xml:space="preserve">for a lien over the vehicle, both in respect of the unpaid </w:t>
      </w:r>
      <w:r w:rsidR="00480E8E">
        <w:t xml:space="preserve">repair charges and </w:t>
      </w:r>
      <w:r w:rsidR="00480E8E" w:rsidRPr="00D55072">
        <w:t xml:space="preserve">storage </w:t>
      </w:r>
      <w:r w:rsidR="00922586">
        <w:t>costs</w:t>
      </w:r>
      <w:r w:rsidR="00480E8E" w:rsidRPr="00D55072">
        <w:t xml:space="preserve"> consequent upon them retaining the vehicle</w:t>
      </w:r>
      <w:r w:rsidR="003928E3">
        <w:t xml:space="preserve"> pursuant to the lien</w:t>
      </w:r>
      <w:r w:rsidR="00480E8E">
        <w:t xml:space="preserve">.  </w:t>
      </w:r>
      <w:bookmarkEnd w:id="1"/>
    </w:p>
    <w:p w14:paraId="20F24FC7" w14:textId="1A8B353B" w:rsidR="00605E76" w:rsidRDefault="00A401AC" w:rsidP="00A401AC">
      <w:pPr>
        <w:pStyle w:val="ListLevel1"/>
        <w:numPr>
          <w:ilvl w:val="0"/>
          <w:numId w:val="0"/>
        </w:numPr>
        <w:ind w:left="851" w:hanging="851"/>
      </w:pPr>
      <w:bookmarkStart w:id="3" w:name="_GoBack"/>
      <w:bookmarkEnd w:id="3"/>
      <w:r>
        <w:t>2.</w:t>
      </w:r>
      <w:r>
        <w:tab/>
      </w:r>
      <w:r w:rsidR="00605E76">
        <w:t>T</w:t>
      </w:r>
      <w:r w:rsidR="003E65E4" w:rsidRPr="00D55072">
        <w:t xml:space="preserve">he applicant </w:t>
      </w:r>
      <w:r w:rsidR="00605E76">
        <w:t xml:space="preserve">launched </w:t>
      </w:r>
      <w:r w:rsidR="003E65E4" w:rsidRPr="00D55072">
        <w:t xml:space="preserve">these proceedings seeking that the vehicle be returned </w:t>
      </w:r>
      <w:r w:rsidR="00605E76">
        <w:t xml:space="preserve">to her </w:t>
      </w:r>
      <w:r w:rsidR="003E65E4" w:rsidRPr="00D55072">
        <w:t xml:space="preserve">against </w:t>
      </w:r>
      <w:r w:rsidR="003928E3">
        <w:t xml:space="preserve">her establishing </w:t>
      </w:r>
      <w:r w:rsidR="003E65E4" w:rsidRPr="00D55072">
        <w:t xml:space="preserve">security in the sum of </w:t>
      </w:r>
      <w:r w:rsidR="00605E76">
        <w:t>R</w:t>
      </w:r>
      <w:r w:rsidR="003E65E4" w:rsidRPr="00D55072">
        <w:t>23</w:t>
      </w:r>
      <w:r w:rsidR="00605E76">
        <w:t> </w:t>
      </w:r>
      <w:r w:rsidR="003E65E4" w:rsidRPr="00D55072">
        <w:t>325</w:t>
      </w:r>
      <w:r w:rsidR="00605E76">
        <w:t xml:space="preserve">.95 </w:t>
      </w:r>
      <w:r w:rsidR="003E65E4" w:rsidRPr="00D55072">
        <w:t>to be held in her attorney</w:t>
      </w:r>
      <w:r w:rsidR="00605E76">
        <w:t>’</w:t>
      </w:r>
      <w:r w:rsidR="003E65E4" w:rsidRPr="00D55072">
        <w:t xml:space="preserve">s trust account pending </w:t>
      </w:r>
      <w:r w:rsidR="00605E76">
        <w:t xml:space="preserve">the </w:t>
      </w:r>
      <w:r w:rsidR="003E65E4" w:rsidRPr="00D55072">
        <w:t>outcome of proceedings</w:t>
      </w:r>
      <w:r w:rsidR="003928E3">
        <w:t xml:space="preserve"> </w:t>
      </w:r>
      <w:r w:rsidR="009B0586">
        <w:t xml:space="preserve">to be instituted </w:t>
      </w:r>
      <w:r w:rsidR="003E65E4" w:rsidRPr="00D55072">
        <w:t xml:space="preserve">by the respondents. </w:t>
      </w:r>
    </w:p>
    <w:p w14:paraId="64FDDF73" w14:textId="2DDD36C7" w:rsidR="00FC2D4C" w:rsidRDefault="00A401AC" w:rsidP="00A401AC">
      <w:pPr>
        <w:pStyle w:val="ListLevel1"/>
        <w:numPr>
          <w:ilvl w:val="0"/>
          <w:numId w:val="0"/>
        </w:numPr>
        <w:ind w:left="851" w:hanging="851"/>
      </w:pPr>
      <w:r>
        <w:t>3.</w:t>
      </w:r>
      <w:r>
        <w:tab/>
      </w:r>
      <w:r w:rsidR="003E65E4" w:rsidRPr="00D55072">
        <w:t>The respondents have</w:t>
      </w:r>
      <w:r w:rsidR="00605E76">
        <w:t xml:space="preserve"> </w:t>
      </w:r>
      <w:r w:rsidR="003E65E4" w:rsidRPr="00D55072">
        <w:t>counter</w:t>
      </w:r>
      <w:r w:rsidR="00605E76">
        <w:t>-</w:t>
      </w:r>
      <w:r w:rsidR="003E65E4" w:rsidRPr="00D55072">
        <w:t xml:space="preserve">applied for an order that the applicant pay the second respondent the sum of </w:t>
      </w:r>
      <w:r w:rsidR="00605E76">
        <w:t>R</w:t>
      </w:r>
      <w:r w:rsidR="003E65E4" w:rsidRPr="00D55072">
        <w:t>21</w:t>
      </w:r>
      <w:r w:rsidR="00605E76">
        <w:t> </w:t>
      </w:r>
      <w:r w:rsidR="003E65E4" w:rsidRPr="00D55072">
        <w:t>325</w:t>
      </w:r>
      <w:r w:rsidR="00605E76">
        <w:t>.95</w:t>
      </w:r>
      <w:r w:rsidR="003E65E4" w:rsidRPr="00D55072">
        <w:t>. The respondents</w:t>
      </w:r>
      <w:r w:rsidR="00605E76">
        <w:t>’</w:t>
      </w:r>
      <w:r w:rsidR="003E65E4" w:rsidRPr="00D55072">
        <w:t xml:space="preserve"> counsel made it clear during argument that the basis of this claim for a money judgment against the applicant</w:t>
      </w:r>
      <w:r w:rsidR="009B0586">
        <w:t xml:space="preserve"> is</w:t>
      </w:r>
      <w:r w:rsidR="003E65E4" w:rsidRPr="00D55072">
        <w:t xml:space="preserve"> that of a compromise </w:t>
      </w:r>
      <w:r w:rsidR="00FC2D4C">
        <w:t>(</w:t>
      </w:r>
      <w:r w:rsidR="003E65E4" w:rsidRPr="00D55072">
        <w:t>settlement</w:t>
      </w:r>
      <w:r w:rsidR="00FC2D4C">
        <w:t>)</w:t>
      </w:r>
      <w:r w:rsidR="00605E76">
        <w:t>, th</w:t>
      </w:r>
      <w:r w:rsidR="003E65E4" w:rsidRPr="00D55072">
        <w:t>e respondents contending that the applicant had offered</w:t>
      </w:r>
      <w:r w:rsidR="009B0586">
        <w:t xml:space="preserve"> in July 2021 </w:t>
      </w:r>
      <w:r w:rsidR="003E65E4" w:rsidRPr="00D55072">
        <w:t>to compromise</w:t>
      </w:r>
      <w:r w:rsidR="00FC2D4C">
        <w:t xml:space="preserve"> (settle)</w:t>
      </w:r>
      <w:r w:rsidR="003E65E4" w:rsidRPr="00D55072">
        <w:t xml:space="preserve"> the disputes by offering to make payment of this amount</w:t>
      </w:r>
      <w:r w:rsidR="00605E76">
        <w:t>, a</w:t>
      </w:r>
      <w:r w:rsidR="003E65E4" w:rsidRPr="00D55072">
        <w:t>nd as the second respondent had accepted this offer</w:t>
      </w:r>
      <w:r w:rsidR="009B0586">
        <w:t xml:space="preserve"> in November 2021</w:t>
      </w:r>
      <w:r w:rsidR="003E65E4" w:rsidRPr="00D55072">
        <w:t xml:space="preserve">, the matter had been settled. </w:t>
      </w:r>
    </w:p>
    <w:p w14:paraId="10D5F8AB" w14:textId="06BA22FF" w:rsidR="00605E76" w:rsidRDefault="00A401AC" w:rsidP="00A401AC">
      <w:pPr>
        <w:pStyle w:val="ListLevel1"/>
        <w:numPr>
          <w:ilvl w:val="0"/>
          <w:numId w:val="0"/>
        </w:numPr>
        <w:ind w:left="851" w:hanging="851"/>
      </w:pPr>
      <w:r>
        <w:t>4.</w:t>
      </w:r>
      <w:r>
        <w:tab/>
      </w:r>
      <w:r w:rsidR="003E65E4" w:rsidRPr="00D55072">
        <w:t>The respondents</w:t>
      </w:r>
      <w:r w:rsidR="00605E76">
        <w:t>’</w:t>
      </w:r>
      <w:r w:rsidR="003E65E4" w:rsidRPr="00D55072">
        <w:t xml:space="preserve"> counsel also made it clear that as a consequence of this compromise, it also followed that any claims that the respondents may have had for storage </w:t>
      </w:r>
      <w:r w:rsidR="00605E76">
        <w:t xml:space="preserve">would </w:t>
      </w:r>
      <w:r w:rsidR="003E65E4" w:rsidRPr="00D55072">
        <w:t>also have been compromised</w:t>
      </w:r>
      <w:r w:rsidR="00605E76">
        <w:t>, a</w:t>
      </w:r>
      <w:r w:rsidR="003E65E4" w:rsidRPr="00D55072">
        <w:t xml:space="preserve">nd so the </w:t>
      </w:r>
      <w:r w:rsidR="00FC2D4C">
        <w:t xml:space="preserve">relief sought in the </w:t>
      </w:r>
      <w:r w:rsidR="00605E76">
        <w:t>counter-</w:t>
      </w:r>
      <w:r w:rsidR="003E65E4" w:rsidRPr="00D55072">
        <w:t xml:space="preserve">application provides that upon payment </w:t>
      </w:r>
      <w:r w:rsidR="00FC2D4C">
        <w:t xml:space="preserve">by the applicant </w:t>
      </w:r>
      <w:r w:rsidR="003E65E4" w:rsidRPr="00D55072">
        <w:t xml:space="preserve">of </w:t>
      </w:r>
      <w:r w:rsidR="00FC2D4C">
        <w:t>the settlement sum</w:t>
      </w:r>
      <w:r w:rsidR="003E65E4" w:rsidRPr="00D55072">
        <w:t xml:space="preserve"> of </w:t>
      </w:r>
      <w:r w:rsidR="00605E76">
        <w:t>R</w:t>
      </w:r>
      <w:r w:rsidR="003E65E4" w:rsidRPr="00D55072">
        <w:t>21</w:t>
      </w:r>
      <w:r w:rsidR="00605E76">
        <w:t> </w:t>
      </w:r>
      <w:r w:rsidR="003E65E4" w:rsidRPr="00D55072">
        <w:t>325</w:t>
      </w:r>
      <w:r w:rsidR="00605E76">
        <w:t xml:space="preserve">.95, </w:t>
      </w:r>
      <w:r w:rsidR="003E65E4" w:rsidRPr="00D55072">
        <w:t>the vehicle is to be released to the applicant</w:t>
      </w:r>
      <w:r w:rsidR="00605E76">
        <w:t>.</w:t>
      </w:r>
    </w:p>
    <w:p w14:paraId="2BE30246" w14:textId="77CCCBFA" w:rsidR="000B5781" w:rsidRDefault="00A401AC" w:rsidP="00A401AC">
      <w:pPr>
        <w:pStyle w:val="ListLevel1"/>
        <w:numPr>
          <w:ilvl w:val="0"/>
          <w:numId w:val="0"/>
        </w:numPr>
        <w:ind w:left="851" w:hanging="851"/>
      </w:pPr>
      <w:r>
        <w:t>5.</w:t>
      </w:r>
      <w:r>
        <w:tab/>
      </w:r>
      <w:r w:rsidR="00605E76">
        <w:t>The court acco</w:t>
      </w:r>
      <w:r w:rsidR="003E65E4" w:rsidRPr="00D55072">
        <w:t xml:space="preserve">rdingly has to decide two primary issues. </w:t>
      </w:r>
      <w:r w:rsidR="00605E76">
        <w:t>The f</w:t>
      </w:r>
      <w:r w:rsidR="003E65E4" w:rsidRPr="00D55072">
        <w:t>irst issue</w:t>
      </w:r>
      <w:r w:rsidR="00605E76">
        <w:t>, a</w:t>
      </w:r>
      <w:r w:rsidR="003E65E4" w:rsidRPr="00D55072">
        <w:t>s is the subject of the main application</w:t>
      </w:r>
      <w:r w:rsidR="00605E76">
        <w:t>,</w:t>
      </w:r>
      <w:r w:rsidR="003E65E4" w:rsidRPr="00D55072">
        <w:t xml:space="preserve"> is whether </w:t>
      </w:r>
      <w:r w:rsidR="00605E76">
        <w:t xml:space="preserve">the court in its </w:t>
      </w:r>
      <w:r w:rsidR="003E65E4" w:rsidRPr="00D55072">
        <w:t>discretion should substitute the respondents</w:t>
      </w:r>
      <w:r w:rsidR="000B5781">
        <w:t>’</w:t>
      </w:r>
      <w:r w:rsidR="003E65E4" w:rsidRPr="00D55072">
        <w:t xml:space="preserve"> right </w:t>
      </w:r>
      <w:r w:rsidR="000B5781">
        <w:t>of</w:t>
      </w:r>
      <w:r w:rsidR="003E65E4" w:rsidRPr="00D55072">
        <w:t xml:space="preserve"> retention </w:t>
      </w:r>
      <w:r w:rsidR="00FC2D4C">
        <w:t>with</w:t>
      </w:r>
      <w:r w:rsidR="003E65E4" w:rsidRPr="00D55072">
        <w:t xml:space="preserve"> the security tende</w:t>
      </w:r>
      <w:r w:rsidR="000B5781">
        <w:t>re</w:t>
      </w:r>
      <w:r w:rsidR="003E65E4" w:rsidRPr="00D55072">
        <w:t>d</w:t>
      </w:r>
      <w:r w:rsidR="00FC2D4C">
        <w:t xml:space="preserve"> by the applicant</w:t>
      </w:r>
      <w:r w:rsidR="000B5781">
        <w:t>. T</w:t>
      </w:r>
      <w:r w:rsidR="003E65E4" w:rsidRPr="00D55072">
        <w:t xml:space="preserve">he second issue is whether the </w:t>
      </w:r>
      <w:r w:rsidR="000B5781">
        <w:t xml:space="preserve">second </w:t>
      </w:r>
      <w:r w:rsidR="003E65E4" w:rsidRPr="00D55072">
        <w:t xml:space="preserve">respondent has established </w:t>
      </w:r>
      <w:r w:rsidR="000B5781">
        <w:t xml:space="preserve">its </w:t>
      </w:r>
      <w:r w:rsidR="003E65E4" w:rsidRPr="00D55072">
        <w:t>cause of action based upon compromise</w:t>
      </w:r>
      <w:r w:rsidR="000B5781">
        <w:t xml:space="preserve">. It follows </w:t>
      </w:r>
      <w:r w:rsidR="003E65E4" w:rsidRPr="00D55072">
        <w:t>that if the second respondent succeeds</w:t>
      </w:r>
      <w:r w:rsidR="000B5781">
        <w:t xml:space="preserve">, </w:t>
      </w:r>
      <w:r w:rsidR="003E65E4" w:rsidRPr="00D55072">
        <w:t>then the</w:t>
      </w:r>
      <w:r w:rsidR="000B5781">
        <w:t xml:space="preserve"> applicant would only be entitled </w:t>
      </w:r>
      <w:r w:rsidR="003E65E4" w:rsidRPr="00D55072">
        <w:t xml:space="preserve">to </w:t>
      </w:r>
      <w:r w:rsidR="000B5781">
        <w:t xml:space="preserve">the </w:t>
      </w:r>
      <w:r w:rsidR="003E65E4" w:rsidRPr="00D55072">
        <w:t xml:space="preserve">return </w:t>
      </w:r>
      <w:r w:rsidR="000B5781">
        <w:t>of</w:t>
      </w:r>
      <w:r w:rsidR="003E65E4" w:rsidRPr="00D55072">
        <w:t xml:space="preserve"> the vehicle upon payment of the </w:t>
      </w:r>
      <w:r w:rsidR="00FC2D4C">
        <w:t>settlement sum</w:t>
      </w:r>
      <w:r w:rsidR="000B5781">
        <w:t xml:space="preserve">, and </w:t>
      </w:r>
      <w:r w:rsidR="003E65E4" w:rsidRPr="00D55072">
        <w:t xml:space="preserve">so the issue of </w:t>
      </w:r>
      <w:r w:rsidR="00FC2D4C">
        <w:t xml:space="preserve">the </w:t>
      </w:r>
      <w:r w:rsidR="003E65E4" w:rsidRPr="00D55072">
        <w:t>substitut</w:t>
      </w:r>
      <w:r w:rsidR="00FC2D4C">
        <w:t>ion of</w:t>
      </w:r>
      <w:r w:rsidR="003E65E4" w:rsidRPr="00D55072">
        <w:t xml:space="preserve"> security would not arise</w:t>
      </w:r>
      <w:r w:rsidR="000B5781">
        <w:t>.</w:t>
      </w:r>
    </w:p>
    <w:p w14:paraId="372C4496" w14:textId="0A9E5919" w:rsidR="000B5781" w:rsidRDefault="00A401AC" w:rsidP="00A401AC">
      <w:pPr>
        <w:pStyle w:val="ListLevel1"/>
        <w:numPr>
          <w:ilvl w:val="0"/>
          <w:numId w:val="0"/>
        </w:numPr>
        <w:ind w:left="851" w:hanging="851"/>
      </w:pPr>
      <w:r>
        <w:t>6.</w:t>
      </w:r>
      <w:r>
        <w:tab/>
      </w:r>
      <w:r w:rsidR="00B010F9">
        <w:t>After this overview</w:t>
      </w:r>
      <w:r w:rsidR="000B5781">
        <w:t>, the salient facts can be more closely considered.</w:t>
      </w:r>
    </w:p>
    <w:p w14:paraId="5483C51B" w14:textId="5FC10309" w:rsidR="00176506" w:rsidRDefault="00A401AC" w:rsidP="00A401AC">
      <w:pPr>
        <w:pStyle w:val="ListLevel1"/>
        <w:numPr>
          <w:ilvl w:val="0"/>
          <w:numId w:val="0"/>
        </w:numPr>
        <w:ind w:left="851" w:hanging="851"/>
      </w:pPr>
      <w:r>
        <w:t>7.</w:t>
      </w:r>
      <w:r>
        <w:tab/>
      </w:r>
      <w:r w:rsidR="000B5781">
        <w:t xml:space="preserve">The </w:t>
      </w:r>
      <w:r w:rsidR="003E65E4" w:rsidRPr="00D55072">
        <w:t>applicant delivered her BMW</w:t>
      </w:r>
      <w:r w:rsidR="00B010F9">
        <w:t xml:space="preserve"> </w:t>
      </w:r>
      <w:r w:rsidR="003E65E4" w:rsidRPr="00D55072">
        <w:t xml:space="preserve">320i </w:t>
      </w:r>
      <w:r w:rsidR="000B5781">
        <w:t xml:space="preserve">to one or other of the </w:t>
      </w:r>
      <w:r w:rsidR="003E65E4" w:rsidRPr="00D55072">
        <w:t xml:space="preserve">respondents for repair work to be </w:t>
      </w:r>
      <w:r w:rsidR="000B5781">
        <w:t>carried out t</w:t>
      </w:r>
      <w:r w:rsidR="003E65E4" w:rsidRPr="00D55072">
        <w:t>o the vehicle. There is a factual dispute</w:t>
      </w:r>
      <w:r w:rsidR="000B5781">
        <w:t xml:space="preserve"> w</w:t>
      </w:r>
      <w:r w:rsidR="003E65E4" w:rsidRPr="00D55072">
        <w:t>hether the applicant engaged the first respondent to carry out the repairs</w:t>
      </w:r>
      <w:r w:rsidR="000B5781">
        <w:t xml:space="preserve">, </w:t>
      </w:r>
      <w:r w:rsidR="003E65E4" w:rsidRPr="00D55072">
        <w:t>as contended for by her</w:t>
      </w:r>
      <w:r w:rsidR="000B5781">
        <w:t>, or t</w:t>
      </w:r>
      <w:r w:rsidR="003E65E4" w:rsidRPr="00D55072">
        <w:t>he second respondent</w:t>
      </w:r>
      <w:r w:rsidR="000B5781">
        <w:t xml:space="preserve">, as </w:t>
      </w:r>
      <w:r w:rsidR="003E65E4" w:rsidRPr="00D55072">
        <w:t>contended for by the respondents</w:t>
      </w:r>
      <w:r w:rsidR="000B5781">
        <w:t xml:space="preserve">. </w:t>
      </w:r>
      <w:r w:rsidR="003E65E4" w:rsidRPr="00D55072">
        <w:t>Both respondents conduct business from the same address in Lyndhurst</w:t>
      </w:r>
      <w:r w:rsidR="00B010F9">
        <w:t>, and are closely related to each other</w:t>
      </w:r>
      <w:r w:rsidR="003E65E4" w:rsidRPr="00D55072">
        <w:t xml:space="preserve">. I am unable to decide this factual dispute on the </w:t>
      </w:r>
      <w:r w:rsidR="00B010F9">
        <w:t>affidavits</w:t>
      </w:r>
      <w:r w:rsidR="000B5781">
        <w:t xml:space="preserve"> </w:t>
      </w:r>
      <w:r w:rsidR="003E65E4" w:rsidRPr="00D55072">
        <w:t>in that there is considerable evidence favo</w:t>
      </w:r>
      <w:r w:rsidR="000B5781">
        <w:t>u</w:t>
      </w:r>
      <w:r w:rsidR="003E65E4" w:rsidRPr="00D55072">
        <w:t>ring the applicant</w:t>
      </w:r>
      <w:r w:rsidR="000B5781">
        <w:t>’</w:t>
      </w:r>
      <w:r w:rsidR="003E65E4" w:rsidRPr="00D55072">
        <w:t>s contention that she engaged</w:t>
      </w:r>
      <w:r w:rsidR="000B5781">
        <w:t xml:space="preserve"> t</w:t>
      </w:r>
      <w:r w:rsidR="003E65E4" w:rsidRPr="00D55072">
        <w:t xml:space="preserve">he first respondent. On the other hand, there </w:t>
      </w:r>
      <w:r w:rsidR="000B5781">
        <w:t xml:space="preserve">is also </w:t>
      </w:r>
      <w:r w:rsidR="003E65E4" w:rsidRPr="00D55072">
        <w:t xml:space="preserve">evidence suggesting that the second respondent </w:t>
      </w:r>
      <w:r w:rsidR="00176506">
        <w:t xml:space="preserve">had been </w:t>
      </w:r>
      <w:r w:rsidR="003E65E4" w:rsidRPr="00D55072">
        <w:t xml:space="preserve">engaged </w:t>
      </w:r>
      <w:r w:rsidR="00B010F9">
        <w:t xml:space="preserve">by the applicant </w:t>
      </w:r>
      <w:r w:rsidR="003E65E4" w:rsidRPr="00D55072">
        <w:t>or may have carried out the repairs</w:t>
      </w:r>
      <w:r w:rsidR="00176506">
        <w:t xml:space="preserve">. </w:t>
      </w:r>
      <w:r w:rsidR="00B010F9">
        <w:t>But w</w:t>
      </w:r>
      <w:r w:rsidR="00176506">
        <w:t xml:space="preserve">hat does </w:t>
      </w:r>
      <w:r w:rsidR="003E65E4" w:rsidRPr="00D55072">
        <w:t>appear to me is that the applicant cannot be faulted for being under the impression that she was dealing with the first respondent rather than the second respondent, as it was only at a later stage in their dealings</w:t>
      </w:r>
      <w:r w:rsidR="00176506">
        <w:t xml:space="preserve">, after a dispute had arisen </w:t>
      </w:r>
      <w:r w:rsidR="003E65E4" w:rsidRPr="00D55072">
        <w:t>between the parties, that</w:t>
      </w:r>
      <w:r w:rsidR="00176506">
        <w:t xml:space="preserve"> the </w:t>
      </w:r>
      <w:r w:rsidR="003E65E4" w:rsidRPr="00D55072">
        <w:t xml:space="preserve">respondents </w:t>
      </w:r>
      <w:r w:rsidR="00176506">
        <w:t xml:space="preserve">asserted </w:t>
      </w:r>
      <w:r w:rsidR="003E65E4" w:rsidRPr="00D55072">
        <w:t>with any vigo</w:t>
      </w:r>
      <w:r w:rsidR="00176506">
        <w:t>u</w:t>
      </w:r>
      <w:r w:rsidR="003E65E4" w:rsidRPr="00D55072">
        <w:t xml:space="preserve">r that it was the second respondent rather than the first respondent with whom the applicant had contracted and who had carried out the repairs. </w:t>
      </w:r>
    </w:p>
    <w:p w14:paraId="480185D5" w14:textId="248D674F" w:rsidR="00176506" w:rsidRDefault="00A401AC" w:rsidP="00A401AC">
      <w:pPr>
        <w:pStyle w:val="ListLevel1"/>
        <w:numPr>
          <w:ilvl w:val="0"/>
          <w:numId w:val="0"/>
        </w:numPr>
        <w:ind w:left="851" w:hanging="851"/>
      </w:pPr>
      <w:r>
        <w:t>8.</w:t>
      </w:r>
      <w:r>
        <w:tab/>
      </w:r>
      <w:r w:rsidR="00176506">
        <w:t xml:space="preserve">This </w:t>
      </w:r>
      <w:r w:rsidR="003E65E4" w:rsidRPr="00D55072">
        <w:t xml:space="preserve">factual dispute does not affect the relief that the applicant seeks by way of </w:t>
      </w:r>
      <w:r w:rsidR="00176506">
        <w:t xml:space="preserve">substituted </w:t>
      </w:r>
      <w:r w:rsidR="003E65E4" w:rsidRPr="00D55072">
        <w:t>security, as the security she has tende</w:t>
      </w:r>
      <w:r w:rsidR="00176506">
        <w:t>re</w:t>
      </w:r>
      <w:r w:rsidR="003E65E4" w:rsidRPr="00D55072">
        <w:t>d</w:t>
      </w:r>
      <w:r w:rsidR="00176506">
        <w:t xml:space="preserve"> </w:t>
      </w:r>
      <w:r w:rsidR="00B010F9">
        <w:t>is</w:t>
      </w:r>
      <w:r w:rsidR="003E65E4" w:rsidRPr="00D55072">
        <w:t xml:space="preserve"> </w:t>
      </w:r>
      <w:r w:rsidR="00B010F9">
        <w:t>in favour of both or either respondents</w:t>
      </w:r>
      <w:r w:rsidR="00176506">
        <w:t xml:space="preserve">. </w:t>
      </w:r>
      <w:r w:rsidR="003E65E4" w:rsidRPr="00D55072">
        <w:t>On the other hand, this factual dispute may impact on the money judgment that the second respondent seeks in its counter</w:t>
      </w:r>
      <w:r w:rsidR="00176506">
        <w:t>-</w:t>
      </w:r>
      <w:r w:rsidR="003E65E4" w:rsidRPr="00D55072">
        <w:t xml:space="preserve">application as </w:t>
      </w:r>
      <w:r w:rsidR="00176506">
        <w:t xml:space="preserve">it </w:t>
      </w:r>
      <w:r w:rsidR="00B010F9">
        <w:t xml:space="preserve">as the applicant for the counter-relief </w:t>
      </w:r>
      <w:r w:rsidR="00176506">
        <w:t xml:space="preserve">would </w:t>
      </w:r>
      <w:r w:rsidR="003E65E4" w:rsidRPr="00D55072">
        <w:t xml:space="preserve">have to persuade the court based upon the usual </w:t>
      </w:r>
      <w:r w:rsidR="00176506">
        <w:rPr>
          <w:i/>
          <w:iCs/>
        </w:rPr>
        <w:t>Plascon-</w:t>
      </w:r>
      <w:r w:rsidR="00176506" w:rsidRPr="00176506">
        <w:rPr>
          <w:i/>
          <w:iCs/>
        </w:rPr>
        <w:t>Evans</w:t>
      </w:r>
      <w:r w:rsidR="00176506">
        <w:t xml:space="preserve"> </w:t>
      </w:r>
      <w:r w:rsidR="003E65E4" w:rsidRPr="00D55072">
        <w:t xml:space="preserve">approach that there is no </w:t>
      </w:r>
      <w:r w:rsidR="00176506">
        <w:rPr>
          <w:i/>
          <w:iCs/>
        </w:rPr>
        <w:t xml:space="preserve">bona fide </w:t>
      </w:r>
      <w:r w:rsidR="00176506">
        <w:t xml:space="preserve">factual </w:t>
      </w:r>
      <w:r w:rsidR="003E65E4" w:rsidRPr="00D55072">
        <w:t>dispute on this issue</w:t>
      </w:r>
      <w:r w:rsidR="00176506">
        <w:t xml:space="preserve"> that precludes t</w:t>
      </w:r>
      <w:r w:rsidR="003E65E4" w:rsidRPr="00D55072">
        <w:t>he money judgment being granted in favo</w:t>
      </w:r>
      <w:r w:rsidR="00176506">
        <w:t>u</w:t>
      </w:r>
      <w:r w:rsidR="003E65E4" w:rsidRPr="00D55072">
        <w:t>r of the second respondent</w:t>
      </w:r>
      <w:r w:rsidR="00176506">
        <w:t xml:space="preserve">. </w:t>
      </w:r>
      <w:r w:rsidR="003E65E4" w:rsidRPr="00D55072">
        <w:t xml:space="preserve">This is because it is the second respondent </w:t>
      </w:r>
      <w:r w:rsidR="004319DB">
        <w:t xml:space="preserve">(rather than the first respondent) </w:t>
      </w:r>
      <w:r w:rsidR="003E65E4" w:rsidRPr="00D55072">
        <w:t xml:space="preserve">that </w:t>
      </w:r>
      <w:r w:rsidR="00176506">
        <w:t xml:space="preserve">contends </w:t>
      </w:r>
      <w:r w:rsidR="003E65E4" w:rsidRPr="00D55072">
        <w:t>for the compromise</w:t>
      </w:r>
      <w:r w:rsidR="00176506">
        <w:t xml:space="preserve"> a</w:t>
      </w:r>
      <w:r w:rsidR="003E65E4" w:rsidRPr="00D55072">
        <w:t>nd so it has the burden of persuading the court that it</w:t>
      </w:r>
      <w:r w:rsidR="004319DB">
        <w:t xml:space="preserve"> (rather than the first respondent)</w:t>
      </w:r>
      <w:r w:rsidR="003E65E4" w:rsidRPr="00D55072">
        <w:t xml:space="preserve"> is entitled to the money judgment based upon that </w:t>
      </w:r>
      <w:r w:rsidR="00B010F9">
        <w:t xml:space="preserve">its averred </w:t>
      </w:r>
      <w:r w:rsidR="003E65E4" w:rsidRPr="00D55072">
        <w:t>compromise that constitutes its cause of action.</w:t>
      </w:r>
    </w:p>
    <w:p w14:paraId="586EF4D6" w14:textId="5EE8D056" w:rsidR="00D75640" w:rsidRDefault="00A401AC" w:rsidP="00A401AC">
      <w:pPr>
        <w:pStyle w:val="ListLevel1"/>
        <w:numPr>
          <w:ilvl w:val="0"/>
          <w:numId w:val="0"/>
        </w:numPr>
        <w:ind w:left="851" w:hanging="851"/>
      </w:pPr>
      <w:r>
        <w:t>9.</w:t>
      </w:r>
      <w:r>
        <w:tab/>
      </w:r>
      <w:r w:rsidR="00176506">
        <w:t>F</w:t>
      </w:r>
      <w:r w:rsidR="003E65E4" w:rsidRPr="00D55072">
        <w:t xml:space="preserve">or </w:t>
      </w:r>
      <w:r w:rsidR="00835D67">
        <w:t>convenience</w:t>
      </w:r>
      <w:r w:rsidR="003E65E4" w:rsidRPr="00D55072">
        <w:t xml:space="preserve"> </w:t>
      </w:r>
      <w:r w:rsidR="00176506">
        <w:t xml:space="preserve">I shall </w:t>
      </w:r>
      <w:r w:rsidR="003E65E4" w:rsidRPr="00D55072">
        <w:t xml:space="preserve">refer to the respondents collectively, </w:t>
      </w:r>
      <w:r w:rsidR="00D75640">
        <w:t xml:space="preserve">the reference to </w:t>
      </w:r>
      <w:r w:rsidR="00835D67">
        <w:t xml:space="preserve">the </w:t>
      </w:r>
      <w:r w:rsidR="00D75640">
        <w:t>respondents being to one or the other, as the case may be</w:t>
      </w:r>
      <w:r w:rsidR="00835D67">
        <w:t xml:space="preserve">, save where it may be necessary </w:t>
      </w:r>
      <w:r w:rsidR="00835D67" w:rsidRPr="00D55072">
        <w:t>to distinguish between the two</w:t>
      </w:r>
      <w:r w:rsidR="00835D67">
        <w:t>.</w:t>
      </w:r>
    </w:p>
    <w:p w14:paraId="2DA86CCF" w14:textId="34208706" w:rsidR="00D75640" w:rsidRDefault="00A401AC" w:rsidP="00A401AC">
      <w:pPr>
        <w:pStyle w:val="ListLevel1"/>
        <w:numPr>
          <w:ilvl w:val="0"/>
          <w:numId w:val="0"/>
        </w:numPr>
        <w:ind w:left="851" w:hanging="851"/>
      </w:pPr>
      <w:r>
        <w:t>10.</w:t>
      </w:r>
      <w:r>
        <w:tab/>
      </w:r>
      <w:r w:rsidR="00D75640">
        <w:t xml:space="preserve">The respondents did carry out certain repairs to </w:t>
      </w:r>
      <w:r w:rsidR="003E65E4" w:rsidRPr="00D55072">
        <w:t>BMW with which the applicant was satisfied and made payment</w:t>
      </w:r>
      <w:r w:rsidR="00D75640">
        <w:t xml:space="preserve">. </w:t>
      </w:r>
      <w:r w:rsidR="003E65E4" w:rsidRPr="00D55072">
        <w:t xml:space="preserve">Further repairs were effected to the vehicle, which at all times remained in the </w:t>
      </w:r>
      <w:r w:rsidR="00D75640">
        <w:t xml:space="preserve">possession </w:t>
      </w:r>
      <w:r w:rsidR="003E65E4" w:rsidRPr="00D55072">
        <w:t>of one or other of the respondents</w:t>
      </w:r>
      <w:r w:rsidR="00D75640">
        <w:t>, a</w:t>
      </w:r>
      <w:r w:rsidR="003E65E4" w:rsidRPr="00D55072">
        <w:t xml:space="preserve">nd which the applicant has refused to pay for on the basis that the further repair work </w:t>
      </w:r>
      <w:r w:rsidR="00D75640">
        <w:t xml:space="preserve">had not been quoted </w:t>
      </w:r>
      <w:r w:rsidR="003E65E4" w:rsidRPr="00D55072">
        <w:t>for</w:t>
      </w:r>
      <w:r w:rsidR="00D75640">
        <w:t xml:space="preserve"> or</w:t>
      </w:r>
      <w:r w:rsidR="003E65E4" w:rsidRPr="00D55072">
        <w:t xml:space="preserve"> authori</w:t>
      </w:r>
      <w:r w:rsidR="00D75640">
        <w:t>s</w:t>
      </w:r>
      <w:r w:rsidR="003E65E4" w:rsidRPr="00D55072">
        <w:t>ed</w:t>
      </w:r>
      <w:r w:rsidR="00835D67">
        <w:t>.</w:t>
      </w:r>
    </w:p>
    <w:p w14:paraId="69B03ACC" w14:textId="2922B904" w:rsidR="00D75640" w:rsidRDefault="00A401AC" w:rsidP="00A401AC">
      <w:pPr>
        <w:pStyle w:val="ListLevel1"/>
        <w:numPr>
          <w:ilvl w:val="0"/>
          <w:numId w:val="0"/>
        </w:numPr>
        <w:ind w:left="851" w:hanging="851"/>
      </w:pPr>
      <w:r>
        <w:t>11.</w:t>
      </w:r>
      <w:r>
        <w:tab/>
      </w:r>
      <w:r w:rsidR="003E65E4" w:rsidRPr="00D55072">
        <w:t xml:space="preserve">The outstanding balance claimed by the respondents </w:t>
      </w:r>
      <w:r w:rsidR="009B0586">
        <w:t xml:space="preserve">for the repairs </w:t>
      </w:r>
      <w:r w:rsidR="003E65E4" w:rsidRPr="00D55072">
        <w:t>is</w:t>
      </w:r>
      <w:r w:rsidR="00D75640">
        <w:t xml:space="preserve"> R21 325.95. The </w:t>
      </w:r>
      <w:r w:rsidR="003E65E4" w:rsidRPr="00D55072">
        <w:t xml:space="preserve">applicant has admitted that she is liable </w:t>
      </w:r>
      <w:r w:rsidR="009B0586">
        <w:t xml:space="preserve">for </w:t>
      </w:r>
      <w:r w:rsidR="00D75640">
        <w:t xml:space="preserve">R2 939.94 but </w:t>
      </w:r>
      <w:r w:rsidR="003E65E4" w:rsidRPr="00D55072">
        <w:t>disputes the</w:t>
      </w:r>
      <w:r w:rsidR="009B0586">
        <w:t xml:space="preserve"> balance</w:t>
      </w:r>
      <w:r w:rsidR="003E65E4" w:rsidRPr="00D55072">
        <w:t xml:space="preserve"> of </w:t>
      </w:r>
      <w:r w:rsidR="00D75640">
        <w:t>R</w:t>
      </w:r>
      <w:r w:rsidR="003E65E4" w:rsidRPr="00D55072">
        <w:t>18</w:t>
      </w:r>
      <w:r w:rsidR="00D75640">
        <w:t> </w:t>
      </w:r>
      <w:r w:rsidR="003E65E4" w:rsidRPr="00D55072">
        <w:t>386.01</w:t>
      </w:r>
      <w:r w:rsidR="00D75640">
        <w:t xml:space="preserve">. </w:t>
      </w:r>
    </w:p>
    <w:p w14:paraId="10493154" w14:textId="16432658" w:rsidR="00DA77AB" w:rsidRDefault="00A401AC" w:rsidP="00A401AC">
      <w:pPr>
        <w:pStyle w:val="ListLevel1"/>
        <w:numPr>
          <w:ilvl w:val="0"/>
          <w:numId w:val="0"/>
        </w:numPr>
        <w:ind w:left="851" w:hanging="851"/>
      </w:pPr>
      <w:r>
        <w:t>12.</w:t>
      </w:r>
      <w:r>
        <w:tab/>
      </w:r>
      <w:r w:rsidR="00E91EB0">
        <w:t>The</w:t>
      </w:r>
      <w:r w:rsidR="003E65E4" w:rsidRPr="00D55072">
        <w:t xml:space="preserve"> respondents argue that in light of this admission </w:t>
      </w:r>
      <w:r w:rsidR="00D75640">
        <w:t xml:space="preserve">of liability </w:t>
      </w:r>
      <w:r w:rsidR="003E65E4" w:rsidRPr="00D55072">
        <w:t xml:space="preserve">for an amount of </w:t>
      </w:r>
      <w:r w:rsidR="00D75640">
        <w:t>R2 939.94, i</w:t>
      </w:r>
      <w:r w:rsidR="003E65E4" w:rsidRPr="00D55072">
        <w:t xml:space="preserve">t does not lie in the mouth of the applicant to </w:t>
      </w:r>
      <w:r w:rsidR="00E91EB0">
        <w:t>insist that security be established for an admitted amount</w:t>
      </w:r>
      <w:r w:rsidR="00DA77AB">
        <w:t xml:space="preserve">. </w:t>
      </w:r>
      <w:r w:rsidR="003E65E4" w:rsidRPr="00D55072">
        <w:t>There is merit to this argument</w:t>
      </w:r>
      <w:r w:rsidR="00DA77AB">
        <w:t xml:space="preserve">, to which I will return </w:t>
      </w:r>
      <w:r w:rsidR="003E65E4" w:rsidRPr="00D55072">
        <w:t>later</w:t>
      </w:r>
      <w:r w:rsidR="00DA77AB">
        <w:t>.</w:t>
      </w:r>
    </w:p>
    <w:p w14:paraId="404D761A" w14:textId="5FE95A89" w:rsidR="00DA77AB" w:rsidRDefault="00A401AC" w:rsidP="00A401AC">
      <w:pPr>
        <w:pStyle w:val="ListLevel1"/>
        <w:numPr>
          <w:ilvl w:val="0"/>
          <w:numId w:val="0"/>
        </w:numPr>
        <w:ind w:left="851" w:hanging="851"/>
      </w:pPr>
      <w:r>
        <w:t>13.</w:t>
      </w:r>
      <w:r>
        <w:tab/>
      </w:r>
      <w:r w:rsidR="003E65E4" w:rsidRPr="00D55072">
        <w:t xml:space="preserve">The applicant having disputed her liability to make payment of the balance of </w:t>
      </w:r>
      <w:r w:rsidR="00DA77AB">
        <w:t xml:space="preserve">R18 386.01 </w:t>
      </w:r>
      <w:r w:rsidR="003E65E4" w:rsidRPr="00D55072">
        <w:t xml:space="preserve">lodged a complaint with the </w:t>
      </w:r>
      <w:r w:rsidR="00DA77AB">
        <w:t>M</w:t>
      </w:r>
      <w:r w:rsidR="003E65E4" w:rsidRPr="00D55072">
        <w:t xml:space="preserve">otor Industry Ombudsman of South Africa </w:t>
      </w:r>
      <w:r w:rsidR="00DA77AB">
        <w:t>(“the O</w:t>
      </w:r>
      <w:r w:rsidR="003E65E4" w:rsidRPr="00D55072">
        <w:t>mbuds</w:t>
      </w:r>
      <w:r w:rsidR="00DA77AB">
        <w:t xml:space="preserve">”) </w:t>
      </w:r>
      <w:r w:rsidR="003E65E4" w:rsidRPr="00D55072">
        <w:t>on 16</w:t>
      </w:r>
      <w:r w:rsidR="00DA77AB">
        <w:t> </w:t>
      </w:r>
      <w:r w:rsidR="003E65E4" w:rsidRPr="00D55072">
        <w:t>November 2020</w:t>
      </w:r>
      <w:r w:rsidR="00DA77AB">
        <w:t>.</w:t>
      </w:r>
    </w:p>
    <w:p w14:paraId="20B1333F" w14:textId="6463B37B" w:rsidR="00DA77AB" w:rsidRDefault="00A401AC" w:rsidP="00A401AC">
      <w:pPr>
        <w:pStyle w:val="ListLevel1"/>
        <w:numPr>
          <w:ilvl w:val="0"/>
          <w:numId w:val="0"/>
        </w:numPr>
        <w:ind w:left="851" w:hanging="851"/>
      </w:pPr>
      <w:r>
        <w:t>14.</w:t>
      </w:r>
      <w:r>
        <w:tab/>
      </w:r>
      <w:r w:rsidR="00DA77AB">
        <w:t>The ap</w:t>
      </w:r>
      <w:r w:rsidR="003E65E4" w:rsidRPr="00D55072">
        <w:t>plicant</w:t>
      </w:r>
      <w:r w:rsidR="00DA77AB">
        <w:t>, h</w:t>
      </w:r>
      <w:r w:rsidR="003E65E4" w:rsidRPr="00D55072">
        <w:t xml:space="preserve">aving lodged this complaint with the </w:t>
      </w:r>
      <w:r w:rsidR="00DA77AB">
        <w:t>O</w:t>
      </w:r>
      <w:r w:rsidR="003E65E4" w:rsidRPr="00D55072">
        <w:t>mbuds and appreciating that it</w:t>
      </w:r>
      <w:r w:rsidR="00DA77AB">
        <w:t xml:space="preserve"> would </w:t>
      </w:r>
      <w:r w:rsidR="003E65E4" w:rsidRPr="00D55072">
        <w:t xml:space="preserve">take some time for the </w:t>
      </w:r>
      <w:r w:rsidR="00DA77AB">
        <w:t>O</w:t>
      </w:r>
      <w:r w:rsidR="003E65E4" w:rsidRPr="00D55072">
        <w:t>mbuds to attend to her complaint</w:t>
      </w:r>
      <w:r w:rsidR="00DA77AB">
        <w:t xml:space="preserve">, </w:t>
      </w:r>
      <w:r w:rsidR="003E65E4" w:rsidRPr="00D55072">
        <w:t xml:space="preserve">addressed a letter to the respondents informing them of the complaint. </w:t>
      </w:r>
      <w:r w:rsidR="00DA77AB">
        <w:t xml:space="preserve">At the end of this </w:t>
      </w:r>
      <w:r w:rsidR="003E65E4" w:rsidRPr="00D55072">
        <w:t>letter</w:t>
      </w:r>
      <w:r w:rsidR="00DA77AB">
        <w:t xml:space="preserve">, </w:t>
      </w:r>
      <w:r w:rsidR="003E65E4" w:rsidRPr="00D55072">
        <w:t>the applicant records as follows</w:t>
      </w:r>
      <w:r w:rsidR="00DA77AB">
        <w:t xml:space="preserve">:  </w:t>
      </w:r>
    </w:p>
    <w:p w14:paraId="07BAF8AB" w14:textId="77777777" w:rsidR="00DA77AB" w:rsidRPr="009A460F" w:rsidRDefault="00DA77AB" w:rsidP="00210695">
      <w:pPr>
        <w:pStyle w:val="ListLevel2"/>
        <w:numPr>
          <w:ilvl w:val="0"/>
          <w:numId w:val="0"/>
        </w:numPr>
        <w:ind w:left="1701"/>
        <w:rPr>
          <w:i/>
          <w:iCs/>
        </w:rPr>
      </w:pPr>
      <w:r w:rsidRPr="009A460F">
        <w:rPr>
          <w:i/>
          <w:iCs/>
        </w:rPr>
        <w:t>“P</w:t>
      </w:r>
      <w:r w:rsidR="003E65E4" w:rsidRPr="009A460F">
        <w:rPr>
          <w:i/>
          <w:iCs/>
        </w:rPr>
        <w:t>lease ensure that my vehicle is safely stored until the case has been resolved</w:t>
      </w:r>
      <w:r w:rsidRPr="009A460F">
        <w:rPr>
          <w:i/>
          <w:iCs/>
        </w:rPr>
        <w:t xml:space="preserve"> an</w:t>
      </w:r>
      <w:r w:rsidR="003E65E4" w:rsidRPr="009A460F">
        <w:rPr>
          <w:i/>
          <w:iCs/>
        </w:rPr>
        <w:t xml:space="preserve">d I will not be held liable for any storage costs as you have advised that you will not release until I make payment of a further </w:t>
      </w:r>
      <w:r w:rsidRPr="009A460F">
        <w:rPr>
          <w:i/>
          <w:iCs/>
        </w:rPr>
        <w:t>R21 325.”</w:t>
      </w:r>
    </w:p>
    <w:p w14:paraId="7BF6A21E" w14:textId="4915CCEE" w:rsidR="000B51F2" w:rsidRDefault="00A401AC" w:rsidP="00A401AC">
      <w:pPr>
        <w:pStyle w:val="ListLevel1"/>
        <w:numPr>
          <w:ilvl w:val="0"/>
          <w:numId w:val="0"/>
        </w:numPr>
        <w:ind w:left="851" w:hanging="851"/>
      </w:pPr>
      <w:r>
        <w:t>15.</w:t>
      </w:r>
      <w:r>
        <w:tab/>
      </w:r>
      <w:r w:rsidR="00DA77AB">
        <w:t>T</w:t>
      </w:r>
      <w:r w:rsidR="003E65E4" w:rsidRPr="00D55072">
        <w:t>he respondents contend that this letter</w:t>
      </w:r>
      <w:r w:rsidR="0078255A">
        <w:t xml:space="preserve"> forms</w:t>
      </w:r>
      <w:r w:rsidR="003E65E4" w:rsidRPr="00D55072">
        <w:t xml:space="preserve"> </w:t>
      </w:r>
      <w:r w:rsidR="009A460F">
        <w:t xml:space="preserve">a </w:t>
      </w:r>
      <w:r w:rsidR="003E65E4" w:rsidRPr="00D55072">
        <w:t>bas</w:t>
      </w:r>
      <w:r w:rsidR="00DA77AB">
        <w:t>i</w:t>
      </w:r>
      <w:r w:rsidR="003E65E4" w:rsidRPr="00D55072">
        <w:t xml:space="preserve">s </w:t>
      </w:r>
      <w:r w:rsidR="0078255A">
        <w:t>for</w:t>
      </w:r>
      <w:r w:rsidR="003E65E4" w:rsidRPr="00D55072">
        <w:t xml:space="preserve"> a tacit agreement that the</w:t>
      </w:r>
      <w:r w:rsidR="00DA77AB">
        <w:t xml:space="preserve">re </w:t>
      </w:r>
      <w:r w:rsidR="003E65E4" w:rsidRPr="00D55072">
        <w:t xml:space="preserve">would be storage </w:t>
      </w:r>
      <w:r w:rsidR="00922586">
        <w:t>costs</w:t>
      </w:r>
      <w:r w:rsidR="003E65E4" w:rsidRPr="00D55072">
        <w:t xml:space="preserve"> payable by her to the respondents</w:t>
      </w:r>
      <w:r w:rsidR="0078255A">
        <w:t xml:space="preserve"> as</w:t>
      </w:r>
      <w:r w:rsidR="000B51F2">
        <w:t xml:space="preserve"> </w:t>
      </w:r>
      <w:r w:rsidR="003E65E4" w:rsidRPr="00D55072">
        <w:t xml:space="preserve">she had </w:t>
      </w:r>
      <w:r w:rsidR="000B51F2">
        <w:t>“</w:t>
      </w:r>
      <w:r w:rsidR="000B51F2" w:rsidRPr="000B51F2">
        <w:rPr>
          <w:i/>
          <w:iCs/>
        </w:rPr>
        <w:t>voluntarily</w:t>
      </w:r>
      <w:r w:rsidR="000B51F2">
        <w:t xml:space="preserve">” </w:t>
      </w:r>
      <w:r w:rsidR="003E65E4" w:rsidRPr="00D55072">
        <w:t xml:space="preserve">left her vehicle in the </w:t>
      </w:r>
      <w:r w:rsidR="000B51F2">
        <w:t xml:space="preserve">possession </w:t>
      </w:r>
      <w:r w:rsidR="003E65E4" w:rsidRPr="00D55072">
        <w:t>of the respondents</w:t>
      </w:r>
      <w:r w:rsidR="000B51F2">
        <w:t xml:space="preserve">. </w:t>
      </w:r>
      <w:r w:rsidR="003E65E4" w:rsidRPr="00D55072">
        <w:t>I do not see any scope for this letter to be read in that fashion or as being indicative of any voluntariness on the part of the applicant to leave her vehicle with the respondents</w:t>
      </w:r>
      <w:r w:rsidR="000B51F2">
        <w:t xml:space="preserve">. </w:t>
      </w:r>
      <w:r w:rsidR="0078255A">
        <w:t>The</w:t>
      </w:r>
      <w:r w:rsidR="003E65E4" w:rsidRPr="00D55072">
        <w:t xml:space="preserve"> applicant had no choice but to leave the vehicle with the respondents </w:t>
      </w:r>
      <w:r w:rsidR="0078255A">
        <w:t xml:space="preserve">as they </w:t>
      </w:r>
      <w:r w:rsidR="003E65E4" w:rsidRPr="00D55072">
        <w:t>were insist</w:t>
      </w:r>
      <w:r w:rsidR="000B51F2">
        <w:t xml:space="preserve">ing </w:t>
      </w:r>
      <w:r w:rsidR="003E65E4" w:rsidRPr="00D55072">
        <w:t xml:space="preserve">upon payment before the vehicle would be released. </w:t>
      </w:r>
      <w:r w:rsidR="000B51F2">
        <w:t>T</w:t>
      </w:r>
      <w:r w:rsidR="003E65E4" w:rsidRPr="00D55072">
        <w:t>he applicant goes further</w:t>
      </w:r>
      <w:r w:rsidR="0078255A">
        <w:t xml:space="preserve"> in the letter to record that</w:t>
      </w:r>
      <w:r w:rsidR="009A460F">
        <w:t xml:space="preserve"> as </w:t>
      </w:r>
      <w:r w:rsidR="003E65E4" w:rsidRPr="00D55072">
        <w:t>the vehicle would not be released</w:t>
      </w:r>
      <w:r w:rsidR="000B51F2">
        <w:t xml:space="preserve">, </w:t>
      </w:r>
      <w:r w:rsidR="0078255A">
        <w:t xml:space="preserve">the </w:t>
      </w:r>
      <w:r w:rsidR="003E65E4" w:rsidRPr="00D55072">
        <w:t xml:space="preserve">respondents </w:t>
      </w:r>
      <w:r w:rsidR="0078255A">
        <w:t xml:space="preserve">were </w:t>
      </w:r>
      <w:r w:rsidR="003E65E4" w:rsidRPr="00D55072">
        <w:t xml:space="preserve">to safely store the vehicle but expressly recording that she would not be liable for storage </w:t>
      </w:r>
      <w:r w:rsidR="00922586">
        <w:t>costs</w:t>
      </w:r>
      <w:r w:rsidR="003E65E4" w:rsidRPr="00D55072">
        <w:t>.</w:t>
      </w:r>
    </w:p>
    <w:p w14:paraId="0A9E20A4" w14:textId="076F04BF" w:rsidR="00A32C3E" w:rsidRDefault="00A401AC" w:rsidP="00A401AC">
      <w:pPr>
        <w:pStyle w:val="ListLevel1"/>
        <w:numPr>
          <w:ilvl w:val="0"/>
          <w:numId w:val="0"/>
        </w:numPr>
        <w:ind w:left="851" w:hanging="851"/>
      </w:pPr>
      <w:r>
        <w:t>16.</w:t>
      </w:r>
      <w:r>
        <w:tab/>
      </w:r>
      <w:r w:rsidR="000B51F2">
        <w:t xml:space="preserve">Both </w:t>
      </w:r>
      <w:r w:rsidR="003E65E4" w:rsidRPr="00D55072">
        <w:t xml:space="preserve">counsel accepted for </w:t>
      </w:r>
      <w:r w:rsidR="0078255A">
        <w:t xml:space="preserve">present </w:t>
      </w:r>
      <w:r w:rsidR="003E65E4" w:rsidRPr="00D55072">
        <w:t xml:space="preserve">purposes that </w:t>
      </w:r>
      <w:r w:rsidR="000B51F2">
        <w:t xml:space="preserve">where </w:t>
      </w:r>
      <w:r w:rsidR="003E65E4" w:rsidRPr="00D55072">
        <w:t>a lienholder exercises the right of retentio</w:t>
      </w:r>
      <w:r w:rsidR="000B51F2">
        <w:t>n</w:t>
      </w:r>
      <w:r w:rsidR="0078255A">
        <w:t>,</w:t>
      </w:r>
      <w:r w:rsidR="000B51F2">
        <w:t xml:space="preserve"> </w:t>
      </w:r>
      <w:r w:rsidR="003E65E4" w:rsidRPr="00D55072">
        <w:t xml:space="preserve">it does so for its own benefit and against the will of the </w:t>
      </w:r>
      <w:r w:rsidR="000B51F2">
        <w:t xml:space="preserve">owner, </w:t>
      </w:r>
      <w:r w:rsidR="003E65E4" w:rsidRPr="00D55072">
        <w:t xml:space="preserve">and therefore is not entitled to require of the owner to pay storage </w:t>
      </w:r>
      <w:r w:rsidR="00922586">
        <w:t>costs</w:t>
      </w:r>
      <w:r w:rsidR="003E65E4" w:rsidRPr="00D55072">
        <w:t>.</w:t>
      </w:r>
      <w:r w:rsidR="00EF40A9">
        <w:rPr>
          <w:rStyle w:val="FootnoteReference"/>
        </w:rPr>
        <w:footnoteReference w:id="1"/>
      </w:r>
      <w:r w:rsidR="003E65E4" w:rsidRPr="00D55072">
        <w:t xml:space="preserve"> </w:t>
      </w:r>
      <w:r w:rsidR="009A460F">
        <w:t>Although</w:t>
      </w:r>
      <w:r w:rsidR="003E65E4" w:rsidRPr="00D55072">
        <w:t xml:space="preserve"> a lienholder may be entitled to recover such expenses that it incurred that the owner would </w:t>
      </w:r>
      <w:r w:rsidR="00DB4303">
        <w:t xml:space="preserve">in any event have </w:t>
      </w:r>
      <w:r w:rsidR="003E65E4" w:rsidRPr="00D55072">
        <w:t xml:space="preserve">had to incur </w:t>
      </w:r>
      <w:r w:rsidR="000B51F2">
        <w:t>had</w:t>
      </w:r>
      <w:r w:rsidR="003E65E4" w:rsidRPr="00D55072">
        <w:t xml:space="preserve"> the owner </w:t>
      </w:r>
      <w:r w:rsidR="000B51F2">
        <w:t xml:space="preserve">been in </w:t>
      </w:r>
      <w:r w:rsidR="00DB4303">
        <w:t>possession</w:t>
      </w:r>
      <w:r w:rsidR="003E65E4" w:rsidRPr="00D55072">
        <w:t xml:space="preserve"> of the </w:t>
      </w:r>
      <w:r w:rsidR="000B51F2">
        <w:t xml:space="preserve">property (such as where the lienholder in </w:t>
      </w:r>
      <w:r w:rsidR="003E65E4" w:rsidRPr="00D55072">
        <w:t xml:space="preserve">exercising </w:t>
      </w:r>
      <w:r w:rsidR="000B51F2">
        <w:t>a li</w:t>
      </w:r>
      <w:r w:rsidR="003E65E4" w:rsidRPr="00D55072">
        <w:t>en over</w:t>
      </w:r>
      <w:r w:rsidR="000B51F2">
        <w:t xml:space="preserve"> horses, for example, then </w:t>
      </w:r>
      <w:r w:rsidR="003E65E4" w:rsidRPr="00D55072">
        <w:t xml:space="preserve">feeds </w:t>
      </w:r>
      <w:r w:rsidR="000B51F2">
        <w:t xml:space="preserve">those </w:t>
      </w:r>
      <w:r w:rsidR="003E65E4" w:rsidRPr="00D55072">
        <w:t xml:space="preserve">horses just </w:t>
      </w:r>
      <w:r w:rsidR="00A32C3E">
        <w:t xml:space="preserve">as the </w:t>
      </w:r>
      <w:r w:rsidR="003E65E4" w:rsidRPr="00D55072">
        <w:t>owner would have had to do</w:t>
      </w:r>
      <w:r w:rsidR="00DB4303">
        <w:t>, the lienholder is entitled to recover the costs of that feed</w:t>
      </w:r>
      <w:r w:rsidR="00A32C3E">
        <w:t>),</w:t>
      </w:r>
      <w:r w:rsidR="00EF40A9">
        <w:rPr>
          <w:rStyle w:val="FootnoteReference"/>
        </w:rPr>
        <w:footnoteReference w:id="2"/>
      </w:r>
      <w:r w:rsidR="00A32C3E">
        <w:t xml:space="preserve"> </w:t>
      </w:r>
      <w:r w:rsidR="003E65E4" w:rsidRPr="00D55072">
        <w:t>this is not such a case</w:t>
      </w:r>
      <w:r w:rsidR="009A460F">
        <w:t xml:space="preserve">. </w:t>
      </w:r>
      <w:r w:rsidR="00A32C3E">
        <w:t xml:space="preserve"> </w:t>
      </w:r>
      <w:r w:rsidR="009A460F">
        <w:t>There</w:t>
      </w:r>
      <w:r w:rsidR="003E65E4" w:rsidRPr="00D55072">
        <w:t xml:space="preserve"> is no evidence that the applicant</w:t>
      </w:r>
      <w:r w:rsidR="00A32C3E">
        <w:t>,</w:t>
      </w:r>
      <w:r w:rsidR="003E65E4" w:rsidRPr="00D55072">
        <w:t xml:space="preserve"> if the vehicle was returned to her</w:t>
      </w:r>
      <w:r w:rsidR="00A32C3E">
        <w:t>,</w:t>
      </w:r>
      <w:r w:rsidR="003E65E4" w:rsidRPr="00D55072">
        <w:t xml:space="preserve"> would have incurred any expenses herself</w:t>
      </w:r>
      <w:r w:rsidR="00A32C3E">
        <w:t xml:space="preserve"> in storing </w:t>
      </w:r>
      <w:r w:rsidR="003E65E4" w:rsidRPr="00D55072">
        <w:t>the vehicle</w:t>
      </w:r>
      <w:r w:rsidR="00A32C3E">
        <w:t>.</w:t>
      </w:r>
      <w:r w:rsidR="00030124">
        <w:t xml:space="preserve"> There is no evidence that the applicant was enriched at the expense of the respondents through their storage of </w:t>
      </w:r>
      <w:r w:rsidR="009A460F">
        <w:t>her</w:t>
      </w:r>
      <w:r w:rsidR="00030124">
        <w:t xml:space="preserve"> vehicle, and so no basis to sustain a</w:t>
      </w:r>
      <w:r w:rsidR="009A460F">
        <w:t>n</w:t>
      </w:r>
      <w:r w:rsidR="00030124">
        <w:t xml:space="preserve"> enrichment lien in relation to any storage </w:t>
      </w:r>
      <w:r w:rsidR="00922586">
        <w:t>costs</w:t>
      </w:r>
      <w:r w:rsidR="00030124">
        <w:t>.</w:t>
      </w:r>
    </w:p>
    <w:p w14:paraId="0D3404C7" w14:textId="2C244B71" w:rsidR="00A32C3E" w:rsidRDefault="00A401AC" w:rsidP="00A401AC">
      <w:pPr>
        <w:pStyle w:val="ListLevel1"/>
        <w:numPr>
          <w:ilvl w:val="0"/>
          <w:numId w:val="0"/>
        </w:numPr>
        <w:ind w:left="851" w:hanging="851"/>
      </w:pPr>
      <w:r>
        <w:t>17.</w:t>
      </w:r>
      <w:r>
        <w:tab/>
      </w:r>
      <w:r w:rsidR="00A32C3E">
        <w:t>On 4 </w:t>
      </w:r>
      <w:r w:rsidR="003E65E4" w:rsidRPr="00D55072">
        <w:t>December 2020</w:t>
      </w:r>
      <w:r w:rsidR="00A32C3E">
        <w:t xml:space="preserve"> t</w:t>
      </w:r>
      <w:r w:rsidR="003E65E4" w:rsidRPr="00D55072">
        <w:t xml:space="preserve">he </w:t>
      </w:r>
      <w:r w:rsidR="00A32C3E">
        <w:t xml:space="preserve">first </w:t>
      </w:r>
      <w:r w:rsidR="003E65E4" w:rsidRPr="00D55072">
        <w:t>respondent</w:t>
      </w:r>
      <w:r w:rsidR="00A32C3E">
        <w:t>’</w:t>
      </w:r>
      <w:r w:rsidR="003E65E4" w:rsidRPr="00D55072">
        <w:t xml:space="preserve">s attorney addressed a letter to the applicant in which </w:t>
      </w:r>
      <w:r w:rsidR="00A32C3E" w:rsidRPr="00A32C3E">
        <w:rPr>
          <w:i/>
          <w:iCs/>
        </w:rPr>
        <w:t>inter alia</w:t>
      </w:r>
      <w:r w:rsidR="00A32C3E">
        <w:t xml:space="preserve"> </w:t>
      </w:r>
      <w:r w:rsidR="003E65E4" w:rsidRPr="00D55072">
        <w:t>it recorded that the vehicle would remain at the first respondent</w:t>
      </w:r>
      <w:r w:rsidR="00A32C3E">
        <w:t>’</w:t>
      </w:r>
      <w:r w:rsidR="003E65E4" w:rsidRPr="00D55072">
        <w:t xml:space="preserve">s premises pending the outcome of the referral to the </w:t>
      </w:r>
      <w:r w:rsidR="00A32C3E">
        <w:t>O</w:t>
      </w:r>
      <w:r w:rsidR="003E65E4" w:rsidRPr="00D55072">
        <w:t>mbuds</w:t>
      </w:r>
      <w:r w:rsidR="00A32C3E">
        <w:t xml:space="preserve">. Notably, this letter </w:t>
      </w:r>
      <w:r w:rsidR="003E65E4" w:rsidRPr="00D55072">
        <w:t>is addressed on behalf of the first respondent only and does not refer at all to the second</w:t>
      </w:r>
      <w:r w:rsidR="00A32C3E">
        <w:t xml:space="preserve"> r</w:t>
      </w:r>
      <w:r w:rsidR="003E65E4" w:rsidRPr="00D55072">
        <w:t>espondent</w:t>
      </w:r>
      <w:r w:rsidR="00A32C3E">
        <w:t>. T</w:t>
      </w:r>
      <w:r w:rsidR="003E65E4" w:rsidRPr="00D55072">
        <w:t>his fortifies the applicant</w:t>
      </w:r>
      <w:r w:rsidR="00A32C3E">
        <w:t>’</w:t>
      </w:r>
      <w:r w:rsidR="003E65E4" w:rsidRPr="00D55072">
        <w:t xml:space="preserve">s version that </w:t>
      </w:r>
      <w:r w:rsidR="00A32C3E">
        <w:t xml:space="preserve">she </w:t>
      </w:r>
      <w:r w:rsidR="003E65E4" w:rsidRPr="00D55072">
        <w:t>contracted with the first respondent and not the second respondent,</w:t>
      </w:r>
      <w:r w:rsidR="00A32C3E">
        <w:t xml:space="preserve"> a</w:t>
      </w:r>
      <w:r w:rsidR="003E65E4" w:rsidRPr="00D55072">
        <w:t xml:space="preserve">nd that there is a factual dispute on this issue. No mention is made in this letter that the applicant would be liable for any storage </w:t>
      </w:r>
      <w:r w:rsidR="00922586">
        <w:t>costs</w:t>
      </w:r>
      <w:r w:rsidR="00A32C3E">
        <w:t>.</w:t>
      </w:r>
    </w:p>
    <w:p w14:paraId="7A14676B" w14:textId="12D5B8EE" w:rsidR="00A32C3E" w:rsidRDefault="00A401AC" w:rsidP="00A401AC">
      <w:pPr>
        <w:pStyle w:val="ListLevel1"/>
        <w:numPr>
          <w:ilvl w:val="0"/>
          <w:numId w:val="0"/>
        </w:numPr>
        <w:ind w:left="851" w:hanging="851"/>
      </w:pPr>
      <w:r>
        <w:t>18.</w:t>
      </w:r>
      <w:r>
        <w:tab/>
      </w:r>
      <w:r w:rsidR="00A32C3E">
        <w:t>The a</w:t>
      </w:r>
      <w:r w:rsidR="003E65E4" w:rsidRPr="00D55072">
        <w:t>pplicant engaged an attorney</w:t>
      </w:r>
      <w:r w:rsidR="00A32C3E">
        <w:t xml:space="preserve">, who acknowledged receipt of </w:t>
      </w:r>
      <w:r w:rsidR="003E65E4" w:rsidRPr="00D55072">
        <w:t xml:space="preserve">the letter and that the outcome of the complaint to the </w:t>
      </w:r>
      <w:r w:rsidR="00A32C3E">
        <w:t>O</w:t>
      </w:r>
      <w:r w:rsidR="003E65E4" w:rsidRPr="00D55072">
        <w:t>mbuds was awaited</w:t>
      </w:r>
      <w:r w:rsidR="00A32C3E">
        <w:t>.</w:t>
      </w:r>
    </w:p>
    <w:p w14:paraId="63E7DE05" w14:textId="250A2FBA" w:rsidR="00B36B13" w:rsidRDefault="00A401AC" w:rsidP="00A401AC">
      <w:pPr>
        <w:pStyle w:val="ListLevel1"/>
        <w:numPr>
          <w:ilvl w:val="0"/>
          <w:numId w:val="0"/>
        </w:numPr>
        <w:ind w:left="851" w:hanging="851"/>
      </w:pPr>
      <w:r>
        <w:t>19.</w:t>
      </w:r>
      <w:r>
        <w:tab/>
      </w:r>
      <w:r w:rsidR="00A32C3E">
        <w:t xml:space="preserve">On </w:t>
      </w:r>
      <w:r w:rsidR="003E65E4" w:rsidRPr="00D55072">
        <w:t>14 December 2020</w:t>
      </w:r>
      <w:r w:rsidR="00A32C3E">
        <w:t xml:space="preserve"> t</w:t>
      </w:r>
      <w:r w:rsidR="003E65E4" w:rsidRPr="00D55072">
        <w:t>he first respondent</w:t>
      </w:r>
      <w:r w:rsidR="00A32C3E">
        <w:t>’s</w:t>
      </w:r>
      <w:r w:rsidR="003E65E4" w:rsidRPr="00D55072">
        <w:t xml:space="preserve"> attorney wrote to the applicant</w:t>
      </w:r>
      <w:r w:rsidR="00A32C3E">
        <w:t>’</w:t>
      </w:r>
      <w:r w:rsidR="003E65E4" w:rsidRPr="00D55072">
        <w:t>s attorney that should the first respondent make payment of</w:t>
      </w:r>
      <w:r w:rsidR="00A32C3E">
        <w:t xml:space="preserve"> R</w:t>
      </w:r>
      <w:r w:rsidR="003E65E4" w:rsidRPr="00D55072">
        <w:t>21</w:t>
      </w:r>
      <w:r w:rsidR="00A32C3E">
        <w:t> </w:t>
      </w:r>
      <w:r w:rsidR="003E65E4" w:rsidRPr="00D55072">
        <w:t xml:space="preserve">325.95 </w:t>
      </w:r>
      <w:r w:rsidR="00A32C3E">
        <w:t>“</w:t>
      </w:r>
      <w:r w:rsidR="00A32C3E" w:rsidRPr="00A32C3E">
        <w:rPr>
          <w:i/>
          <w:iCs/>
        </w:rPr>
        <w:t>plus storage costs thereon</w:t>
      </w:r>
      <w:r w:rsidR="00A32C3E">
        <w:t xml:space="preserve">” </w:t>
      </w:r>
      <w:r w:rsidR="003E65E4" w:rsidRPr="00D55072">
        <w:t>to the first respondent</w:t>
      </w:r>
      <w:r w:rsidR="00B36B13">
        <w:t xml:space="preserve">, </w:t>
      </w:r>
      <w:r w:rsidR="003E65E4" w:rsidRPr="00D55072">
        <w:t>the vehicle would be released to the applicant as was being held at the first respondent</w:t>
      </w:r>
      <w:r w:rsidR="00B36B13">
        <w:t>’</w:t>
      </w:r>
      <w:r w:rsidR="003E65E4" w:rsidRPr="00D55072">
        <w:t>s premises</w:t>
      </w:r>
      <w:r w:rsidR="00B36B13">
        <w:t>.</w:t>
      </w:r>
    </w:p>
    <w:p w14:paraId="1319CBC5" w14:textId="1A5E0C4A" w:rsidR="00B36B13" w:rsidRDefault="00A401AC" w:rsidP="00A401AC">
      <w:pPr>
        <w:pStyle w:val="ListLevel1"/>
        <w:numPr>
          <w:ilvl w:val="0"/>
          <w:numId w:val="0"/>
        </w:numPr>
        <w:ind w:left="851" w:hanging="851"/>
      </w:pPr>
      <w:r>
        <w:t>20.</w:t>
      </w:r>
      <w:r>
        <w:tab/>
      </w:r>
      <w:r w:rsidR="00B36B13">
        <w:t>A</w:t>
      </w:r>
      <w:r w:rsidR="003E65E4" w:rsidRPr="00D55072">
        <w:t>gain</w:t>
      </w:r>
      <w:r w:rsidR="00B36B13">
        <w:t xml:space="preserve">, notably, </w:t>
      </w:r>
      <w:r w:rsidR="003E65E4" w:rsidRPr="00D55072">
        <w:t>no mention is made of the second respondent</w:t>
      </w:r>
      <w:r w:rsidR="00B36B13">
        <w:t>. P</w:t>
      </w:r>
      <w:r w:rsidR="003E65E4" w:rsidRPr="00D55072">
        <w:t xml:space="preserve">ayment is required to </w:t>
      </w:r>
      <w:r w:rsidR="00E0122E">
        <w:t xml:space="preserve">be made to </w:t>
      </w:r>
      <w:r w:rsidR="003E65E4" w:rsidRPr="00D55072">
        <w:t>the first respondent</w:t>
      </w:r>
      <w:r w:rsidR="00B36B13">
        <w:t xml:space="preserve"> a</w:t>
      </w:r>
      <w:r w:rsidR="003E65E4" w:rsidRPr="00D55072">
        <w:t xml:space="preserve">nd the </w:t>
      </w:r>
      <w:r w:rsidR="00B36B13">
        <w:t xml:space="preserve">recordal </w:t>
      </w:r>
      <w:r w:rsidR="003E65E4" w:rsidRPr="00D55072">
        <w:t xml:space="preserve">is that the vehicle </w:t>
      </w:r>
      <w:r w:rsidR="00B36B13">
        <w:t xml:space="preserve">is being </w:t>
      </w:r>
      <w:r w:rsidR="003E65E4" w:rsidRPr="00D55072">
        <w:t>stored at the first respondent</w:t>
      </w:r>
      <w:r w:rsidR="00B36B13">
        <w:t>’</w:t>
      </w:r>
      <w:r w:rsidR="003E65E4" w:rsidRPr="00D55072">
        <w:t xml:space="preserve">s premises. </w:t>
      </w:r>
    </w:p>
    <w:p w14:paraId="087CE077" w14:textId="61C9EB8B" w:rsidR="00B36B13" w:rsidRDefault="00A401AC" w:rsidP="00A401AC">
      <w:pPr>
        <w:pStyle w:val="ListLevel1"/>
        <w:numPr>
          <w:ilvl w:val="0"/>
          <w:numId w:val="0"/>
        </w:numPr>
        <w:ind w:left="851" w:hanging="851"/>
      </w:pPr>
      <w:r>
        <w:t>21.</w:t>
      </w:r>
      <w:r>
        <w:tab/>
      </w:r>
      <w:r w:rsidR="00B36B13">
        <w:t>T</w:t>
      </w:r>
      <w:r w:rsidR="003E65E4" w:rsidRPr="00D55072">
        <w:t xml:space="preserve">his letter is the first indication that storage </w:t>
      </w:r>
      <w:r w:rsidR="00922586">
        <w:t>costs</w:t>
      </w:r>
      <w:r w:rsidR="003E65E4" w:rsidRPr="00D55072">
        <w:t xml:space="preserve"> may be payable</w:t>
      </w:r>
      <w:r w:rsidR="00B36B13">
        <w:t xml:space="preserve">, albeit by </w:t>
      </w:r>
      <w:r w:rsidR="003E65E4" w:rsidRPr="00D55072">
        <w:t xml:space="preserve">the oblique reference to </w:t>
      </w:r>
      <w:r w:rsidR="00B36B13">
        <w:t>“</w:t>
      </w:r>
      <w:r w:rsidR="00B36B13">
        <w:rPr>
          <w:i/>
          <w:iCs/>
        </w:rPr>
        <w:t xml:space="preserve">plus storage costs </w:t>
      </w:r>
      <w:r w:rsidR="00B36B13" w:rsidRPr="00B36B13">
        <w:t>thereon</w:t>
      </w:r>
      <w:r w:rsidR="00B36B13">
        <w:t xml:space="preserve">”. </w:t>
      </w:r>
    </w:p>
    <w:p w14:paraId="1B7CF48B" w14:textId="62FEBDF2" w:rsidR="00B36B13" w:rsidRDefault="00A401AC" w:rsidP="00A401AC">
      <w:pPr>
        <w:pStyle w:val="ListLevel1"/>
        <w:numPr>
          <w:ilvl w:val="0"/>
          <w:numId w:val="0"/>
        </w:numPr>
        <w:ind w:left="851" w:hanging="851"/>
      </w:pPr>
      <w:r>
        <w:t>22.</w:t>
      </w:r>
      <w:r>
        <w:tab/>
      </w:r>
      <w:r w:rsidR="00B36B13">
        <w:t>T</w:t>
      </w:r>
      <w:r w:rsidR="003E65E4" w:rsidRPr="00D55072">
        <w:t>his letter must be viewed in the context of the earlier email</w:t>
      </w:r>
      <w:r w:rsidR="00B36B13">
        <w:t xml:space="preserve"> b</w:t>
      </w:r>
      <w:r w:rsidR="003E65E4" w:rsidRPr="00D55072">
        <w:t xml:space="preserve">y the applicant in which she specifically disavowed any liability for storage </w:t>
      </w:r>
      <w:r w:rsidR="00922586">
        <w:t>costs</w:t>
      </w:r>
      <w:r w:rsidR="00B36B13">
        <w:t>. T</w:t>
      </w:r>
      <w:r w:rsidR="003E65E4" w:rsidRPr="00D55072">
        <w:t xml:space="preserve">here is no consensus that storage </w:t>
      </w:r>
      <w:r w:rsidR="00922586">
        <w:t>costs</w:t>
      </w:r>
      <w:r w:rsidR="003E65E4" w:rsidRPr="00D55072">
        <w:t xml:space="preserve"> would be payable. </w:t>
      </w:r>
    </w:p>
    <w:p w14:paraId="0ABBC9D9" w14:textId="53724CF2" w:rsidR="00B36B13" w:rsidRDefault="00A401AC" w:rsidP="00A401AC">
      <w:pPr>
        <w:pStyle w:val="ListLevel1"/>
        <w:numPr>
          <w:ilvl w:val="0"/>
          <w:numId w:val="0"/>
        </w:numPr>
        <w:ind w:left="851" w:hanging="851"/>
      </w:pPr>
      <w:r>
        <w:t>23.</w:t>
      </w:r>
      <w:r>
        <w:tab/>
      </w:r>
      <w:r w:rsidR="00B36B13">
        <w:t>O</w:t>
      </w:r>
      <w:r w:rsidR="003E65E4" w:rsidRPr="00D55072">
        <w:t>n 15 December 2020</w:t>
      </w:r>
      <w:r w:rsidR="00B36B13">
        <w:t xml:space="preserve"> t</w:t>
      </w:r>
      <w:r w:rsidR="003E65E4" w:rsidRPr="00D55072">
        <w:t>he applicant</w:t>
      </w:r>
      <w:r w:rsidR="00B36B13">
        <w:t>’</w:t>
      </w:r>
      <w:r w:rsidR="003E65E4" w:rsidRPr="00D55072">
        <w:t>s attorneys expressly responded as follows</w:t>
      </w:r>
      <w:r w:rsidR="00B36B13">
        <w:t xml:space="preserve">:  </w:t>
      </w:r>
    </w:p>
    <w:p w14:paraId="64883F94" w14:textId="454A2472" w:rsidR="00B36B13" w:rsidRPr="00777F75" w:rsidRDefault="00B36B13" w:rsidP="00210695">
      <w:pPr>
        <w:pStyle w:val="ListLevel2"/>
        <w:numPr>
          <w:ilvl w:val="0"/>
          <w:numId w:val="0"/>
        </w:numPr>
        <w:ind w:left="1701"/>
        <w:rPr>
          <w:i/>
          <w:iCs/>
        </w:rPr>
      </w:pPr>
      <w:r w:rsidRPr="00777F75">
        <w:rPr>
          <w:i/>
          <w:iCs/>
        </w:rPr>
        <w:t>“</w:t>
      </w:r>
      <w:r w:rsidR="00E0122E" w:rsidRPr="00777F75">
        <w:rPr>
          <w:i/>
          <w:iCs/>
        </w:rPr>
        <w:t>… o</w:t>
      </w:r>
      <w:r w:rsidRPr="00777F75">
        <w:rPr>
          <w:i/>
          <w:iCs/>
        </w:rPr>
        <w:t xml:space="preserve">ur client’s indebtedness to your client is disputed and your client is not entitled to charge any storage fees in relation to the vehicle as your client is insistent on retaining same in his possession and exercising his lien in this regard. </w:t>
      </w:r>
    </w:p>
    <w:p w14:paraId="7B67172D" w14:textId="77777777" w:rsidR="00B36B13" w:rsidRPr="00777F75" w:rsidRDefault="00B36B13" w:rsidP="00210695">
      <w:pPr>
        <w:pStyle w:val="ListLevel2"/>
        <w:numPr>
          <w:ilvl w:val="0"/>
          <w:numId w:val="0"/>
        </w:numPr>
        <w:ind w:left="1701"/>
        <w:rPr>
          <w:i/>
          <w:iCs/>
        </w:rPr>
      </w:pPr>
      <w:r w:rsidRPr="00777F75">
        <w:rPr>
          <w:i/>
          <w:iCs/>
        </w:rPr>
        <w:t xml:space="preserve">The vehicle is therefore stored on the insistence of your client and not at the behest of our client.” </w:t>
      </w:r>
    </w:p>
    <w:p w14:paraId="5E04C538" w14:textId="2338C1DF" w:rsidR="006D6DEC" w:rsidRDefault="00A401AC" w:rsidP="00A401AC">
      <w:pPr>
        <w:pStyle w:val="ListLevel1"/>
        <w:numPr>
          <w:ilvl w:val="0"/>
          <w:numId w:val="0"/>
        </w:numPr>
        <w:ind w:left="851" w:hanging="851"/>
      </w:pPr>
      <w:r>
        <w:t>24.</w:t>
      </w:r>
      <w:r>
        <w:tab/>
      </w:r>
      <w:r w:rsidR="006D6DEC">
        <w:t xml:space="preserve">In light of this </w:t>
      </w:r>
      <w:r w:rsidR="006D6DEC" w:rsidRPr="00D55072">
        <w:t>response</w:t>
      </w:r>
      <w:r w:rsidR="006D6DEC">
        <w:t xml:space="preserve">, there </w:t>
      </w:r>
      <w:r w:rsidR="006D6DEC" w:rsidRPr="00D55072">
        <w:t xml:space="preserve">is </w:t>
      </w:r>
      <w:r w:rsidR="006D6DEC">
        <w:t>no s</w:t>
      </w:r>
      <w:r w:rsidR="006D6DEC" w:rsidRPr="00D55072">
        <w:t xml:space="preserve">cope for contending that agreement was reached between the parties </w:t>
      </w:r>
      <w:r w:rsidR="006D6DEC">
        <w:t xml:space="preserve">that storage </w:t>
      </w:r>
      <w:r w:rsidR="00922586">
        <w:t>costs</w:t>
      </w:r>
      <w:r w:rsidR="006D6DEC" w:rsidRPr="00D55072">
        <w:t xml:space="preserve"> would be payable</w:t>
      </w:r>
      <w:r w:rsidR="006D6DEC">
        <w:t xml:space="preserve">. </w:t>
      </w:r>
      <w:r w:rsidR="00E0122E">
        <w:t>There</w:t>
      </w:r>
      <w:r w:rsidR="00777F75">
        <w:t xml:space="preserve"> can therefore be no </w:t>
      </w:r>
      <w:r w:rsidR="006D6DEC" w:rsidRPr="00D55072">
        <w:t>debtor</w:t>
      </w:r>
      <w:r w:rsidR="006D6DEC">
        <w:t xml:space="preserve"> / </w:t>
      </w:r>
      <w:r w:rsidR="006D6DEC" w:rsidRPr="00D55072">
        <w:t xml:space="preserve">creditor lien </w:t>
      </w:r>
      <w:r w:rsidR="00E0122E">
        <w:t>arising from</w:t>
      </w:r>
      <w:r w:rsidR="006D6DEC" w:rsidRPr="00D55072">
        <w:t xml:space="preserve"> any agreement to pay storage </w:t>
      </w:r>
      <w:r w:rsidR="00922586">
        <w:t>costs</w:t>
      </w:r>
      <w:r w:rsidR="006D6DEC">
        <w:t>. And</w:t>
      </w:r>
      <w:r w:rsidR="006D6DEC" w:rsidRPr="00D55072">
        <w:t>, as set out</w:t>
      </w:r>
      <w:r w:rsidR="006D6DEC">
        <w:t xml:space="preserve"> a</w:t>
      </w:r>
      <w:r w:rsidR="006D6DEC" w:rsidRPr="00D55072">
        <w:t>bove</w:t>
      </w:r>
      <w:r w:rsidR="006D6DEC">
        <w:t>, t</w:t>
      </w:r>
      <w:r w:rsidR="006D6DEC" w:rsidRPr="00D55072">
        <w:t xml:space="preserve">here is no evidence to support an enrichment </w:t>
      </w:r>
      <w:r w:rsidR="006D6DEC">
        <w:t>lien, as</w:t>
      </w:r>
      <w:r w:rsidR="006D6DEC" w:rsidRPr="00D55072">
        <w:t xml:space="preserve"> distinct from </w:t>
      </w:r>
      <w:r w:rsidR="006D6DEC">
        <w:t xml:space="preserve">a debtor / </w:t>
      </w:r>
      <w:r w:rsidR="006D6DEC" w:rsidRPr="00D55072">
        <w:t>credit</w:t>
      </w:r>
      <w:r w:rsidR="006D6DEC">
        <w:t xml:space="preserve">or lien, </w:t>
      </w:r>
      <w:r w:rsidR="006D6DEC" w:rsidRPr="00D55072">
        <w:t>arising from the storage of the applicant</w:t>
      </w:r>
      <w:r w:rsidR="006D6DEC">
        <w:t>’</w:t>
      </w:r>
      <w:r w:rsidR="006D6DEC" w:rsidRPr="00D55072">
        <w:t>s vehicle</w:t>
      </w:r>
      <w:r w:rsidR="006D6DEC">
        <w:t xml:space="preserve">. </w:t>
      </w:r>
    </w:p>
    <w:p w14:paraId="178A7F31" w14:textId="6681F8F5" w:rsidR="00210695" w:rsidRDefault="00A401AC" w:rsidP="00A401AC">
      <w:pPr>
        <w:pStyle w:val="ListLevel1"/>
        <w:numPr>
          <w:ilvl w:val="0"/>
          <w:numId w:val="0"/>
        </w:numPr>
        <w:ind w:left="851" w:hanging="851"/>
      </w:pPr>
      <w:r>
        <w:t>25.</w:t>
      </w:r>
      <w:r>
        <w:tab/>
      </w:r>
      <w:r w:rsidR="00210695" w:rsidRPr="00C81ACB">
        <w:t xml:space="preserve">The onus is on the person asserting the right of possession, in this instance the respondents relying upon a lien to secure storage charges, to demonstrate </w:t>
      </w:r>
      <w:r w:rsidR="00210695">
        <w:t>that right.</w:t>
      </w:r>
      <w:r w:rsidR="00210695">
        <w:rPr>
          <w:rStyle w:val="FootnoteReference"/>
          <w:szCs w:val="24"/>
        </w:rPr>
        <w:footnoteReference w:id="3"/>
      </w:r>
    </w:p>
    <w:p w14:paraId="3011C2C9" w14:textId="3FE59B42" w:rsidR="00C81ACB" w:rsidRDefault="00A401AC" w:rsidP="00A401AC">
      <w:pPr>
        <w:pStyle w:val="ListLevel1"/>
        <w:numPr>
          <w:ilvl w:val="0"/>
          <w:numId w:val="0"/>
        </w:numPr>
        <w:ind w:left="851" w:hanging="851"/>
      </w:pPr>
      <w:r>
        <w:t>26.</w:t>
      </w:r>
      <w:r>
        <w:tab/>
      </w:r>
      <w:r w:rsidR="00210695">
        <w:t>One</w:t>
      </w:r>
      <w:r w:rsidR="003E65E4" w:rsidRPr="00D55072">
        <w:t xml:space="preserve"> of the reasons advanced by the respondents why the substitute security is inadequate is that it did not include security for the storage charges</w:t>
      </w:r>
      <w:r w:rsidR="006D6DEC">
        <w:t xml:space="preserve">. This reason </w:t>
      </w:r>
      <w:r w:rsidR="003E65E4" w:rsidRPr="00D55072">
        <w:t xml:space="preserve">has no </w:t>
      </w:r>
      <w:r w:rsidR="006D6DEC">
        <w:t>merit</w:t>
      </w:r>
      <w:r w:rsidR="00030124">
        <w:t xml:space="preserve"> as any right of retention that the respondents may have over the vehicle does not extend to securing any claim for storage </w:t>
      </w:r>
      <w:r w:rsidR="00922586">
        <w:t>costs</w:t>
      </w:r>
      <w:r w:rsidR="00210695">
        <w:t xml:space="preserve">, as distinct from securing the </w:t>
      </w:r>
      <w:r w:rsidR="00595873">
        <w:t xml:space="preserve">claim for the </w:t>
      </w:r>
      <w:r w:rsidR="00210695">
        <w:t>repairs to the vehicle.</w:t>
      </w:r>
    </w:p>
    <w:p w14:paraId="023BB004" w14:textId="24E6A8C7" w:rsidR="00ED5E5F" w:rsidRDefault="00A401AC" w:rsidP="00A401AC">
      <w:pPr>
        <w:pStyle w:val="ListLevel1"/>
        <w:numPr>
          <w:ilvl w:val="0"/>
          <w:numId w:val="0"/>
        </w:numPr>
        <w:ind w:left="851" w:hanging="851"/>
      </w:pPr>
      <w:r>
        <w:t>27.</w:t>
      </w:r>
      <w:r>
        <w:tab/>
      </w:r>
      <w:r w:rsidR="006D6DEC">
        <w:t>O</w:t>
      </w:r>
      <w:r w:rsidR="003E65E4" w:rsidRPr="00D55072">
        <w:t>n 10 May 2021</w:t>
      </w:r>
      <w:r w:rsidR="006D6DEC">
        <w:t xml:space="preserve"> th</w:t>
      </w:r>
      <w:r w:rsidR="003E65E4" w:rsidRPr="00D55072">
        <w:t xml:space="preserve">e </w:t>
      </w:r>
      <w:r w:rsidR="006D6DEC">
        <w:t>O</w:t>
      </w:r>
      <w:r w:rsidR="003E65E4" w:rsidRPr="00D55072">
        <w:t>mbuds</w:t>
      </w:r>
      <w:r w:rsidR="00210695">
        <w:t xml:space="preserve"> </w:t>
      </w:r>
      <w:r w:rsidR="003E65E4" w:rsidRPr="00D55072">
        <w:t>g</w:t>
      </w:r>
      <w:r w:rsidR="00595873">
        <w:t xml:space="preserve">ave </w:t>
      </w:r>
      <w:r w:rsidR="003E65E4" w:rsidRPr="00D55072">
        <w:t>it</w:t>
      </w:r>
      <w:r w:rsidR="006D6DEC">
        <w:t>s</w:t>
      </w:r>
      <w:r w:rsidR="003E65E4" w:rsidRPr="00D55072">
        <w:t xml:space="preserve"> recommendation that it did not agree with the applicant's complaint that she was </w:t>
      </w:r>
      <w:r w:rsidR="00210695">
        <w:t xml:space="preserve">not </w:t>
      </w:r>
      <w:r w:rsidR="003E65E4" w:rsidRPr="00D55072">
        <w:t>liable for the balance of the repairs</w:t>
      </w:r>
      <w:r w:rsidR="00ED5E5F">
        <w:t xml:space="preserve">. </w:t>
      </w:r>
      <w:r w:rsidR="003E65E4" w:rsidRPr="00D55072">
        <w:t>It is not in dispute that this was a recommendation only and was not binding upon the parties</w:t>
      </w:r>
      <w:r w:rsidR="00595873">
        <w:t>.</w:t>
      </w:r>
    </w:p>
    <w:p w14:paraId="039D564E" w14:textId="047F5B85" w:rsidR="008719B1" w:rsidRDefault="00A401AC" w:rsidP="00A401AC">
      <w:pPr>
        <w:pStyle w:val="ListLevel1"/>
        <w:numPr>
          <w:ilvl w:val="0"/>
          <w:numId w:val="0"/>
        </w:numPr>
        <w:ind w:left="851" w:hanging="851"/>
      </w:pPr>
      <w:r>
        <w:t>28.</w:t>
      </w:r>
      <w:r>
        <w:tab/>
      </w:r>
      <w:r w:rsidR="00ED5E5F">
        <w:t xml:space="preserve">On 1 </w:t>
      </w:r>
      <w:r w:rsidR="003E65E4" w:rsidRPr="00D55072">
        <w:t>Jun</w:t>
      </w:r>
      <w:r w:rsidR="00ED5E5F">
        <w:t>e</w:t>
      </w:r>
      <w:r w:rsidR="003E65E4" w:rsidRPr="00D55072">
        <w:t xml:space="preserve"> 2021</w:t>
      </w:r>
      <w:r w:rsidR="00ED5E5F">
        <w:t xml:space="preserve"> </w:t>
      </w:r>
      <w:r w:rsidR="008719B1">
        <w:t xml:space="preserve">and </w:t>
      </w:r>
      <w:r w:rsidR="008719B1" w:rsidRPr="00D55072">
        <w:t>consequen</w:t>
      </w:r>
      <w:r w:rsidR="008719B1">
        <w:t xml:space="preserve">t </w:t>
      </w:r>
      <w:r w:rsidR="008719B1" w:rsidRPr="00D55072">
        <w:t xml:space="preserve">upon the </w:t>
      </w:r>
      <w:r w:rsidR="008719B1">
        <w:t>O</w:t>
      </w:r>
      <w:r w:rsidR="008719B1" w:rsidRPr="00D55072">
        <w:t>mbuds</w:t>
      </w:r>
      <w:r w:rsidR="008719B1">
        <w:t xml:space="preserve">’ </w:t>
      </w:r>
      <w:r w:rsidR="008719B1" w:rsidRPr="00D55072">
        <w:t>recommendation</w:t>
      </w:r>
      <w:r w:rsidR="008719B1">
        <w:t>,</w:t>
      </w:r>
      <w:r w:rsidR="008719B1" w:rsidRPr="00D55072">
        <w:t xml:space="preserve"> </w:t>
      </w:r>
      <w:r w:rsidR="003E65E4" w:rsidRPr="00D55072">
        <w:t>the first respondent</w:t>
      </w:r>
      <w:r w:rsidR="00ED5E5F">
        <w:t>’</w:t>
      </w:r>
      <w:r w:rsidR="003E65E4" w:rsidRPr="00D55072">
        <w:t xml:space="preserve">s </w:t>
      </w:r>
      <w:r w:rsidR="00ED5E5F">
        <w:t xml:space="preserve">attorneys, </w:t>
      </w:r>
      <w:r w:rsidR="008719B1">
        <w:t>then</w:t>
      </w:r>
      <w:r w:rsidR="00ED5E5F">
        <w:t xml:space="preserve"> also </w:t>
      </w:r>
      <w:r w:rsidR="003E65E4" w:rsidRPr="00D55072">
        <w:t>for the first time recording that the</w:t>
      </w:r>
      <w:r w:rsidR="00ED5E5F">
        <w:t>y</w:t>
      </w:r>
      <w:r w:rsidR="003E65E4" w:rsidRPr="00D55072">
        <w:t xml:space="preserve"> act for the second respondent</w:t>
      </w:r>
      <w:r w:rsidR="00ED5E5F">
        <w:t xml:space="preserve">, wrote </w:t>
      </w:r>
      <w:r w:rsidR="003E65E4" w:rsidRPr="00D55072">
        <w:t>to the applicant</w:t>
      </w:r>
      <w:r w:rsidR="00ED5E5F">
        <w:t>’</w:t>
      </w:r>
      <w:r w:rsidR="003E65E4" w:rsidRPr="00D55072">
        <w:t>s attorneys</w:t>
      </w:r>
      <w:r w:rsidR="008719B1">
        <w:t>, recording that</w:t>
      </w:r>
      <w:r w:rsidR="003E65E4" w:rsidRPr="00D55072">
        <w:t xml:space="preserve"> that the applicant was indebted to the respondents </w:t>
      </w:r>
      <w:r w:rsidR="008719B1">
        <w:t xml:space="preserve">for the balance of the repairs </w:t>
      </w:r>
      <w:r w:rsidR="003E65E4" w:rsidRPr="00D55072">
        <w:t xml:space="preserve">in the </w:t>
      </w:r>
      <w:r w:rsidR="008719B1">
        <w:t>amount</w:t>
      </w:r>
      <w:r w:rsidR="00595873">
        <w:t xml:space="preserve"> </w:t>
      </w:r>
      <w:r w:rsidR="003E65E4" w:rsidRPr="00D55072">
        <w:t xml:space="preserve">of </w:t>
      </w:r>
      <w:r w:rsidR="00ED5E5F">
        <w:t xml:space="preserve">R21 325.95 </w:t>
      </w:r>
      <w:r w:rsidR="008719B1">
        <w:t xml:space="preserve">together with storage </w:t>
      </w:r>
      <w:r w:rsidR="00922586">
        <w:t>costs</w:t>
      </w:r>
      <w:r w:rsidR="008719B1">
        <w:t xml:space="preserve"> of R56, 925.00,</w:t>
      </w:r>
      <w:r w:rsidR="00ED5E5F">
        <w:t xml:space="preserve"> </w:t>
      </w:r>
      <w:r w:rsidR="003E65E4" w:rsidRPr="00D55072">
        <w:t>and that upon payment thereof,</w:t>
      </w:r>
      <w:r w:rsidR="00ED5E5F">
        <w:t xml:space="preserve"> the</w:t>
      </w:r>
      <w:r w:rsidR="003E65E4" w:rsidRPr="00D55072">
        <w:t xml:space="preserve"> vehicle would be released</w:t>
      </w:r>
      <w:r w:rsidR="00ED5E5F">
        <w:t xml:space="preserve">. </w:t>
      </w:r>
    </w:p>
    <w:p w14:paraId="67DD8231" w14:textId="1AE95570" w:rsidR="00ED5E5F" w:rsidRDefault="00A401AC" w:rsidP="00A401AC">
      <w:pPr>
        <w:pStyle w:val="ListLevel1"/>
        <w:numPr>
          <w:ilvl w:val="0"/>
          <w:numId w:val="0"/>
        </w:numPr>
        <w:ind w:left="851" w:hanging="851"/>
      </w:pPr>
      <w:r>
        <w:t>29.</w:t>
      </w:r>
      <w:r>
        <w:tab/>
      </w:r>
      <w:r w:rsidR="00ED5E5F">
        <w:t xml:space="preserve">In </w:t>
      </w:r>
      <w:r w:rsidR="003E65E4" w:rsidRPr="00D55072">
        <w:t>this letter</w:t>
      </w:r>
      <w:r w:rsidR="00ED5E5F">
        <w:t xml:space="preserve"> t</w:t>
      </w:r>
      <w:r w:rsidR="003E65E4" w:rsidRPr="00D55072">
        <w:t>he respondents</w:t>
      </w:r>
      <w:r w:rsidR="00ED5E5F">
        <w:t>’</w:t>
      </w:r>
      <w:r w:rsidR="003E65E4" w:rsidRPr="00D55072">
        <w:t xml:space="preserve"> attorneys </w:t>
      </w:r>
      <w:r w:rsidR="008719B1">
        <w:t>justify the claim for storage costs as follows:</w:t>
      </w:r>
      <w:r w:rsidR="003E65E4" w:rsidRPr="00D55072">
        <w:t xml:space="preserve"> </w:t>
      </w:r>
      <w:r w:rsidR="00ED5E5F">
        <w:t>“</w:t>
      </w:r>
      <w:r w:rsidR="008719B1">
        <w:rPr>
          <w:i/>
          <w:iCs/>
        </w:rPr>
        <w:t>R</w:t>
      </w:r>
      <w:r w:rsidR="003E65E4" w:rsidRPr="00ED5E5F">
        <w:rPr>
          <w:i/>
          <w:iCs/>
        </w:rPr>
        <w:t xml:space="preserve">egretfully however, </w:t>
      </w:r>
      <w:r w:rsidR="00ED5E5F" w:rsidRPr="00ED5E5F">
        <w:rPr>
          <w:i/>
          <w:iCs/>
        </w:rPr>
        <w:t>y</w:t>
      </w:r>
      <w:r w:rsidR="003E65E4" w:rsidRPr="00ED5E5F">
        <w:rPr>
          <w:i/>
          <w:iCs/>
        </w:rPr>
        <w:t xml:space="preserve">our client elected to abandon </w:t>
      </w:r>
      <w:r w:rsidR="00ED5E5F" w:rsidRPr="00ED5E5F">
        <w:rPr>
          <w:i/>
          <w:iCs/>
        </w:rPr>
        <w:t xml:space="preserve">her </w:t>
      </w:r>
      <w:r w:rsidR="003E65E4" w:rsidRPr="00ED5E5F">
        <w:rPr>
          <w:i/>
          <w:iCs/>
        </w:rPr>
        <w:t>vehicle at the premises of our client</w:t>
      </w:r>
      <w:r w:rsidR="00ED5E5F" w:rsidRPr="00ED5E5F">
        <w:rPr>
          <w:i/>
          <w:iCs/>
        </w:rPr>
        <w:t xml:space="preserve">, </w:t>
      </w:r>
      <w:r w:rsidR="003E65E4" w:rsidRPr="00ED5E5F">
        <w:rPr>
          <w:i/>
          <w:iCs/>
        </w:rPr>
        <w:t xml:space="preserve">presumably pending the outcome of the </w:t>
      </w:r>
      <w:r w:rsidR="00ED5E5F" w:rsidRPr="00ED5E5F">
        <w:rPr>
          <w:i/>
          <w:iCs/>
        </w:rPr>
        <w:t>[Ombuds</w:t>
      </w:r>
      <w:r w:rsidR="008719B1">
        <w:rPr>
          <w:i/>
          <w:iCs/>
        </w:rPr>
        <w:t>’</w:t>
      </w:r>
      <w:r w:rsidR="00ED5E5F" w:rsidRPr="00ED5E5F">
        <w:rPr>
          <w:i/>
          <w:iCs/>
        </w:rPr>
        <w:t xml:space="preserve">] </w:t>
      </w:r>
      <w:r w:rsidR="003E65E4" w:rsidRPr="00ED5E5F">
        <w:rPr>
          <w:i/>
          <w:iCs/>
        </w:rPr>
        <w:t>findings</w:t>
      </w:r>
      <w:r w:rsidR="00ED5E5F" w:rsidRPr="00ED5E5F">
        <w:rPr>
          <w:i/>
          <w:iCs/>
        </w:rPr>
        <w:t>, and as such, y</w:t>
      </w:r>
      <w:r w:rsidR="003E65E4" w:rsidRPr="00ED5E5F">
        <w:rPr>
          <w:i/>
          <w:iCs/>
        </w:rPr>
        <w:t>our client</w:t>
      </w:r>
      <w:r w:rsidR="00ED5E5F" w:rsidRPr="00ED5E5F">
        <w:rPr>
          <w:i/>
          <w:iCs/>
        </w:rPr>
        <w:t xml:space="preserve"> was no doubt aware of </w:t>
      </w:r>
      <w:r w:rsidR="003E65E4" w:rsidRPr="00ED5E5F">
        <w:rPr>
          <w:i/>
          <w:iCs/>
        </w:rPr>
        <w:t>escalating storage costs</w:t>
      </w:r>
      <w:r w:rsidR="00ED5E5F">
        <w:t>”.</w:t>
      </w:r>
    </w:p>
    <w:p w14:paraId="63A6530B" w14:textId="6D6370C0" w:rsidR="00CC2B7C" w:rsidRDefault="00A401AC" w:rsidP="00A401AC">
      <w:pPr>
        <w:pStyle w:val="ListLevel1"/>
        <w:numPr>
          <w:ilvl w:val="0"/>
          <w:numId w:val="0"/>
        </w:numPr>
        <w:ind w:left="851" w:hanging="851"/>
      </w:pPr>
      <w:r>
        <w:t>30.</w:t>
      </w:r>
      <w:r>
        <w:tab/>
      </w:r>
      <w:r w:rsidR="003E65E4" w:rsidRPr="00D55072">
        <w:t>The respondents then proceed to demand</w:t>
      </w:r>
      <w:r w:rsidR="008719B1">
        <w:t xml:space="preserve"> a total of </w:t>
      </w:r>
      <w:r w:rsidR="00290C5E">
        <w:t xml:space="preserve">R78, 250,95 (being </w:t>
      </w:r>
      <w:r w:rsidR="003E65E4" w:rsidRPr="00D55072">
        <w:t xml:space="preserve"> the outstanding repair cost</w:t>
      </w:r>
      <w:r w:rsidR="00ED5E5F">
        <w:t>s R21 325.95</w:t>
      </w:r>
      <w:r w:rsidR="00290C5E">
        <w:t xml:space="preserve"> plus</w:t>
      </w:r>
      <w:r w:rsidR="003E65E4" w:rsidRPr="00D55072">
        <w:t xml:space="preserve"> </w:t>
      </w:r>
      <w:r w:rsidR="00ED5E5F">
        <w:t>R</w:t>
      </w:r>
      <w:r w:rsidR="003E65E4" w:rsidRPr="00D55072">
        <w:t>56</w:t>
      </w:r>
      <w:r w:rsidR="00CC2B7C">
        <w:t> </w:t>
      </w:r>
      <w:r w:rsidR="003E65E4" w:rsidRPr="00D55072">
        <w:t>925</w:t>
      </w:r>
      <w:r w:rsidR="00CC2B7C">
        <w:t>.00 f</w:t>
      </w:r>
      <w:r w:rsidR="003E65E4" w:rsidRPr="00D55072">
        <w:t>or storage costs</w:t>
      </w:r>
      <w:r w:rsidR="00290C5E">
        <w:t>)</w:t>
      </w:r>
      <w:r w:rsidR="00CC2B7C">
        <w:t xml:space="preserve">, attaching </w:t>
      </w:r>
      <w:r w:rsidR="003E65E4" w:rsidRPr="00D55072">
        <w:t xml:space="preserve">an invoice for </w:t>
      </w:r>
      <w:r w:rsidR="00CC2B7C">
        <w:t xml:space="preserve">those </w:t>
      </w:r>
      <w:r w:rsidR="003E65E4" w:rsidRPr="00D55072">
        <w:t xml:space="preserve">storage costs ostensibly issued at the </w:t>
      </w:r>
      <w:r w:rsidR="00CC2B7C">
        <w:t xml:space="preserve">instance </w:t>
      </w:r>
      <w:r w:rsidR="003E65E4" w:rsidRPr="00D55072">
        <w:t>of the first respondent</w:t>
      </w:r>
      <w:r w:rsidR="00CC2B7C">
        <w:t>.</w:t>
      </w:r>
    </w:p>
    <w:p w14:paraId="40376293" w14:textId="6A91908D" w:rsidR="002B7DBF" w:rsidRDefault="00A401AC" w:rsidP="00A401AC">
      <w:pPr>
        <w:pStyle w:val="ListLevel1"/>
        <w:numPr>
          <w:ilvl w:val="0"/>
          <w:numId w:val="0"/>
        </w:numPr>
        <w:ind w:left="851" w:hanging="851"/>
      </w:pPr>
      <w:r>
        <w:t>31.</w:t>
      </w:r>
      <w:r>
        <w:tab/>
      </w:r>
      <w:r w:rsidR="003E65E4" w:rsidRPr="00D55072">
        <w:t>The applicant</w:t>
      </w:r>
      <w:r w:rsidR="00CC2B7C">
        <w:t>’</w:t>
      </w:r>
      <w:r w:rsidR="003E65E4" w:rsidRPr="00D55072">
        <w:t>s attorneys responded</w:t>
      </w:r>
      <w:r w:rsidR="00290C5E">
        <w:t xml:space="preserve"> the next day,</w:t>
      </w:r>
      <w:r w:rsidR="003E65E4" w:rsidRPr="00D55072">
        <w:t xml:space="preserve"> on </w:t>
      </w:r>
      <w:r w:rsidR="00CC2B7C">
        <w:t>2 </w:t>
      </w:r>
      <w:r w:rsidR="003E65E4" w:rsidRPr="00D55072">
        <w:t>June 2021</w:t>
      </w:r>
      <w:r w:rsidR="00CC2B7C">
        <w:t xml:space="preserve"> in which </w:t>
      </w:r>
      <w:r w:rsidR="00290C5E">
        <w:t xml:space="preserve">the applicant </w:t>
      </w:r>
      <w:r w:rsidR="00CC2B7C">
        <w:t>un</w:t>
      </w:r>
      <w:r w:rsidR="003E65E4" w:rsidRPr="00D55072">
        <w:t>surprisingly</w:t>
      </w:r>
      <w:r w:rsidR="00CC2B7C">
        <w:t xml:space="preserve"> </w:t>
      </w:r>
      <w:r w:rsidR="003E65E4" w:rsidRPr="00D55072">
        <w:t>dispute</w:t>
      </w:r>
      <w:r w:rsidR="00290C5E">
        <w:t>s</w:t>
      </w:r>
      <w:r w:rsidR="003E65E4" w:rsidRPr="00D55072">
        <w:t xml:space="preserve"> any liability for storage costs</w:t>
      </w:r>
      <w:r w:rsidR="00CC2B7C">
        <w:t xml:space="preserve">, </w:t>
      </w:r>
      <w:r w:rsidR="003E65E4" w:rsidRPr="00D55072">
        <w:t xml:space="preserve">reiterating </w:t>
      </w:r>
      <w:r w:rsidR="00290C5E">
        <w:t>her</w:t>
      </w:r>
      <w:r w:rsidR="003E65E4" w:rsidRPr="00D55072">
        <w:t xml:space="preserve"> position that as the vehicle was retained at the </w:t>
      </w:r>
      <w:r w:rsidR="00CC2B7C">
        <w:t xml:space="preserve">instance </w:t>
      </w:r>
      <w:r w:rsidR="003E65E4" w:rsidRPr="00D55072">
        <w:t xml:space="preserve">of the respondents and not the applicant, </w:t>
      </w:r>
      <w:r w:rsidR="00CC2B7C">
        <w:t>they</w:t>
      </w:r>
      <w:r w:rsidR="003E65E4" w:rsidRPr="00D55072">
        <w:t xml:space="preserve"> cannot look to the applicant for storage costs.</w:t>
      </w:r>
      <w:r w:rsidR="00CC2B7C">
        <w:t xml:space="preserve"> </w:t>
      </w:r>
      <w:r w:rsidR="003E65E4" w:rsidRPr="00D55072">
        <w:t xml:space="preserve">The </w:t>
      </w:r>
      <w:r w:rsidR="00CC2B7C">
        <w:t xml:space="preserve">applicant’s </w:t>
      </w:r>
      <w:r w:rsidR="003E65E4" w:rsidRPr="00D55072">
        <w:t xml:space="preserve">attorneys go further and request of the respondents to produce </w:t>
      </w:r>
      <w:r w:rsidR="00CC2B7C">
        <w:t xml:space="preserve">any </w:t>
      </w:r>
      <w:r w:rsidR="003E65E4" w:rsidRPr="00D55072">
        <w:t xml:space="preserve">agreement that may exist where the applicant expressly agreed to storage costs in relation to </w:t>
      </w:r>
      <w:r w:rsidR="002B7DBF">
        <w:t xml:space="preserve">her </w:t>
      </w:r>
      <w:r w:rsidR="003E65E4" w:rsidRPr="00D55072">
        <w:t>vehicle</w:t>
      </w:r>
      <w:r w:rsidR="002B7DBF">
        <w:t>.</w:t>
      </w:r>
    </w:p>
    <w:p w14:paraId="1DE8AA2F" w14:textId="53F7F57D" w:rsidR="002B7DBF" w:rsidRDefault="00A401AC" w:rsidP="00A401AC">
      <w:pPr>
        <w:pStyle w:val="ListLevel1"/>
        <w:numPr>
          <w:ilvl w:val="0"/>
          <w:numId w:val="0"/>
        </w:numPr>
        <w:ind w:left="851" w:hanging="851"/>
      </w:pPr>
      <w:r>
        <w:t>32.</w:t>
      </w:r>
      <w:r>
        <w:tab/>
      </w:r>
      <w:r w:rsidR="002B7DBF">
        <w:t xml:space="preserve">The applicant’s attorneys </w:t>
      </w:r>
      <w:r w:rsidR="003E65E4" w:rsidRPr="00D55072">
        <w:t>further in that letter request confirmation that upon payment of the amount of R</w:t>
      </w:r>
      <w:r w:rsidR="002B7DBF">
        <w:t xml:space="preserve">21 325.00 </w:t>
      </w:r>
      <w:r w:rsidR="003E65E4" w:rsidRPr="00D55072">
        <w:t>by the applicant</w:t>
      </w:r>
      <w:r w:rsidR="002B7DBF">
        <w:t>, t</w:t>
      </w:r>
      <w:r w:rsidR="003E65E4" w:rsidRPr="00D55072">
        <w:t xml:space="preserve">he vehicle would be released. </w:t>
      </w:r>
    </w:p>
    <w:p w14:paraId="55F8F22A" w14:textId="7403E1BD" w:rsidR="00B71EC5" w:rsidRDefault="00A401AC" w:rsidP="00A401AC">
      <w:pPr>
        <w:pStyle w:val="ListLevel1"/>
        <w:numPr>
          <w:ilvl w:val="0"/>
          <w:numId w:val="0"/>
        </w:numPr>
        <w:ind w:left="851" w:hanging="851"/>
      </w:pPr>
      <w:r>
        <w:t>33.</w:t>
      </w:r>
      <w:r>
        <w:tab/>
      </w:r>
      <w:r w:rsidR="002B7DBF">
        <w:t xml:space="preserve">Following </w:t>
      </w:r>
      <w:r w:rsidR="00290C5E">
        <w:t xml:space="preserve">further </w:t>
      </w:r>
      <w:r w:rsidR="003E65E4" w:rsidRPr="00D55072">
        <w:t>emails from the applicants attorneys on 1</w:t>
      </w:r>
      <w:r w:rsidR="002B7DBF">
        <w:t>4</w:t>
      </w:r>
      <w:r w:rsidR="003E65E4" w:rsidRPr="00D55072">
        <w:t xml:space="preserve"> and 22 June 2021</w:t>
      </w:r>
      <w:r w:rsidR="002B7DBF">
        <w:t xml:space="preserve">, to which there </w:t>
      </w:r>
      <w:r w:rsidR="003E65E4" w:rsidRPr="00D55072">
        <w:t>was no response</w:t>
      </w:r>
      <w:r w:rsidR="002B7DBF">
        <w:t>, on 5 J</w:t>
      </w:r>
      <w:r w:rsidR="003E65E4" w:rsidRPr="00D55072">
        <w:t>uly 2021</w:t>
      </w:r>
      <w:r w:rsidR="002B7DBF">
        <w:t xml:space="preserve"> the applicant’s at</w:t>
      </w:r>
      <w:r w:rsidR="003E65E4" w:rsidRPr="00D55072">
        <w:t>torneys addressed a further letter to the respondents</w:t>
      </w:r>
      <w:r w:rsidR="002B7DBF">
        <w:t>’</w:t>
      </w:r>
      <w:r w:rsidR="003E65E4" w:rsidRPr="00D55072">
        <w:t xml:space="preserve"> attorneys</w:t>
      </w:r>
      <w:r w:rsidR="002B7DBF">
        <w:t xml:space="preserve">, </w:t>
      </w:r>
      <w:r w:rsidR="003E65E4" w:rsidRPr="00D55072">
        <w:t>recording that the</w:t>
      </w:r>
      <w:r w:rsidR="00290C5E">
        <w:t xml:space="preserve"> applicant’s attorneys</w:t>
      </w:r>
      <w:r w:rsidR="003E65E4" w:rsidRPr="00D55072">
        <w:t xml:space="preserve"> had been placed in possession of trust funds in the amount of </w:t>
      </w:r>
      <w:r w:rsidR="002B7DBF">
        <w:t>R</w:t>
      </w:r>
      <w:r w:rsidR="003E65E4" w:rsidRPr="00D55072">
        <w:t>21</w:t>
      </w:r>
      <w:r w:rsidR="002B7DBF">
        <w:t> </w:t>
      </w:r>
      <w:r w:rsidR="003E65E4" w:rsidRPr="00D55072">
        <w:t>3</w:t>
      </w:r>
      <w:r w:rsidR="002B7DBF">
        <w:t>2</w:t>
      </w:r>
      <w:r w:rsidR="003E65E4" w:rsidRPr="00D55072">
        <w:t>5.</w:t>
      </w:r>
      <w:r w:rsidR="002B7DBF">
        <w:t>0</w:t>
      </w:r>
      <w:r w:rsidR="003E65E4" w:rsidRPr="00D55072">
        <w:t>0</w:t>
      </w:r>
      <w:r w:rsidR="002B7DBF">
        <w:t>, being the</w:t>
      </w:r>
      <w:r w:rsidR="00290C5E">
        <w:t xml:space="preserve"> </w:t>
      </w:r>
      <w:r w:rsidR="00595873">
        <w:t xml:space="preserve">asserted </w:t>
      </w:r>
      <w:r w:rsidR="00290C5E">
        <w:t xml:space="preserve">outstanding </w:t>
      </w:r>
      <w:r w:rsidR="002B7DBF">
        <w:t xml:space="preserve"> </w:t>
      </w:r>
      <w:r w:rsidR="00290C5E">
        <w:t xml:space="preserve">balance for </w:t>
      </w:r>
      <w:r w:rsidR="00595873">
        <w:t>the repairs</w:t>
      </w:r>
      <w:r w:rsidR="003E65E4" w:rsidRPr="00D55072">
        <w:t xml:space="preserve"> and seeking confirmation that in the circumstances the vehicle could be collected</w:t>
      </w:r>
      <w:r w:rsidR="00595873">
        <w:t xml:space="preserve"> upon payment</w:t>
      </w:r>
      <w:r w:rsidR="003E65E4" w:rsidRPr="00D55072">
        <w:t xml:space="preserve">. </w:t>
      </w:r>
    </w:p>
    <w:p w14:paraId="3E5CDFA8" w14:textId="5C74483B" w:rsidR="00B71EC5" w:rsidRDefault="00A401AC" w:rsidP="00A401AC">
      <w:pPr>
        <w:pStyle w:val="ListLevel1"/>
        <w:numPr>
          <w:ilvl w:val="0"/>
          <w:numId w:val="0"/>
        </w:numPr>
        <w:ind w:left="851" w:hanging="851"/>
      </w:pPr>
      <w:r>
        <w:t>34.</w:t>
      </w:r>
      <w:r>
        <w:tab/>
      </w:r>
      <w:r w:rsidR="00B71EC5">
        <w:t xml:space="preserve">On 6 </w:t>
      </w:r>
      <w:r w:rsidR="003E65E4" w:rsidRPr="00D55072">
        <w:t>July 2021</w:t>
      </w:r>
      <w:r w:rsidR="00B71EC5">
        <w:t xml:space="preserve"> t</w:t>
      </w:r>
      <w:r w:rsidR="003E65E4" w:rsidRPr="00D55072">
        <w:t>he respondents</w:t>
      </w:r>
      <w:r w:rsidR="00B71EC5">
        <w:t>’</w:t>
      </w:r>
      <w:r w:rsidR="003E65E4" w:rsidRPr="00D55072">
        <w:t xml:space="preserve"> attorneys </w:t>
      </w:r>
      <w:r w:rsidR="00595873">
        <w:t>reverted</w:t>
      </w:r>
      <w:r w:rsidR="00B71EC5">
        <w:t>.</w:t>
      </w:r>
      <w:r w:rsidR="00595873">
        <w:t xml:space="preserve"> F</w:t>
      </w:r>
      <w:r w:rsidR="00B71EC5">
        <w:t xml:space="preserve">or the </w:t>
      </w:r>
      <w:r w:rsidR="003E65E4" w:rsidRPr="00D55072">
        <w:t>first time</w:t>
      </w:r>
      <w:r w:rsidR="00B71EC5">
        <w:t xml:space="preserve">, </w:t>
      </w:r>
      <w:r w:rsidR="003E65E4" w:rsidRPr="00D55072">
        <w:t>the position</w:t>
      </w:r>
      <w:r w:rsidR="00290C5E">
        <w:t xml:space="preserve"> is</w:t>
      </w:r>
      <w:r w:rsidR="003E65E4" w:rsidRPr="00D55072">
        <w:t xml:space="preserve"> adopted by the respondents </w:t>
      </w:r>
      <w:r w:rsidR="00B71EC5">
        <w:t>that</w:t>
      </w:r>
      <w:r w:rsidR="003E65E4" w:rsidRPr="00D55072">
        <w:t xml:space="preserve"> it is the second respondent with whom the applicant had apparently contracted </w:t>
      </w:r>
      <w:r w:rsidR="00290C5E">
        <w:t xml:space="preserve">to do the repairs </w:t>
      </w:r>
      <w:r w:rsidR="003E65E4" w:rsidRPr="00D55072">
        <w:t>and that</w:t>
      </w:r>
      <w:r w:rsidR="00290C5E">
        <w:t xml:space="preserve"> as</w:t>
      </w:r>
      <w:r w:rsidR="003E65E4" w:rsidRPr="00D55072">
        <w:t xml:space="preserve"> the second respondent leased premises from the first respondent</w:t>
      </w:r>
      <w:r w:rsidR="00290C5E">
        <w:t>,</w:t>
      </w:r>
      <w:r w:rsidR="003E65E4" w:rsidRPr="00D55072">
        <w:t xml:space="preserve"> the vehicle actually </w:t>
      </w:r>
      <w:r w:rsidR="00B71EC5">
        <w:t xml:space="preserve">was being </w:t>
      </w:r>
      <w:r w:rsidR="003E65E4" w:rsidRPr="00D55072">
        <w:t xml:space="preserve">stored on the premises of the first respondent. The letter continues that the </w:t>
      </w:r>
      <w:r w:rsidR="00BE70A6">
        <w:t xml:space="preserve">second </w:t>
      </w:r>
      <w:r w:rsidR="003E65E4" w:rsidRPr="00D55072">
        <w:t xml:space="preserve">respondent has accordingly suffered damages at the instance of the applicant in that it is now liable to the first respondent for storage costs relating to the applicant's vehicle. </w:t>
      </w:r>
    </w:p>
    <w:p w14:paraId="6E49E074" w14:textId="528BE8F1" w:rsidR="00B71EC5" w:rsidRDefault="00A401AC" w:rsidP="00A401AC">
      <w:pPr>
        <w:pStyle w:val="ListLevel1"/>
        <w:numPr>
          <w:ilvl w:val="0"/>
          <w:numId w:val="0"/>
        </w:numPr>
        <w:ind w:left="851" w:hanging="851"/>
      </w:pPr>
      <w:r>
        <w:t>35.</w:t>
      </w:r>
      <w:r>
        <w:tab/>
      </w:r>
      <w:r w:rsidR="00B71EC5">
        <w:t>T</w:t>
      </w:r>
      <w:r w:rsidR="003E65E4" w:rsidRPr="00D55072">
        <w:t xml:space="preserve">he letter continues that in the circumstances the respondents were looking to the applicant to make payment of </w:t>
      </w:r>
      <w:r w:rsidR="00B71EC5">
        <w:t xml:space="preserve">those </w:t>
      </w:r>
      <w:r w:rsidR="003E65E4" w:rsidRPr="00D55072">
        <w:t>storage costs</w:t>
      </w:r>
      <w:r w:rsidR="00B71EC5">
        <w:t>. T</w:t>
      </w:r>
      <w:r w:rsidR="003E65E4" w:rsidRPr="00D55072">
        <w:t xml:space="preserve">he letter requires payment </w:t>
      </w:r>
      <w:r w:rsidR="00595873">
        <w:t xml:space="preserve">for </w:t>
      </w:r>
      <w:r w:rsidR="003E65E4" w:rsidRPr="00D55072">
        <w:t xml:space="preserve">both the </w:t>
      </w:r>
      <w:r w:rsidR="00B71EC5">
        <w:t>repair</w:t>
      </w:r>
      <w:r w:rsidR="00595873">
        <w:t>s</w:t>
      </w:r>
      <w:r w:rsidR="00B71EC5">
        <w:t xml:space="preserve"> </w:t>
      </w:r>
      <w:r w:rsidR="00595873">
        <w:t xml:space="preserve">and </w:t>
      </w:r>
      <w:r w:rsidR="003E65E4" w:rsidRPr="00D55072">
        <w:t>storage</w:t>
      </w:r>
      <w:r w:rsidR="00B71EC5">
        <w:t>, b</w:t>
      </w:r>
      <w:r w:rsidR="003E65E4" w:rsidRPr="00D55072">
        <w:t>efore the vehicle would be released</w:t>
      </w:r>
      <w:r w:rsidR="00B71EC5">
        <w:t>.</w:t>
      </w:r>
    </w:p>
    <w:p w14:paraId="15F567BE" w14:textId="2EAD89CA" w:rsidR="003E65E4" w:rsidRDefault="00A401AC" w:rsidP="00A401AC">
      <w:pPr>
        <w:pStyle w:val="ListLevel1"/>
        <w:numPr>
          <w:ilvl w:val="0"/>
          <w:numId w:val="0"/>
        </w:numPr>
        <w:ind w:left="851" w:hanging="851"/>
      </w:pPr>
      <w:r>
        <w:t>36.</w:t>
      </w:r>
      <w:r>
        <w:tab/>
      </w:r>
      <w:r w:rsidR="0074664B">
        <w:t>Should</w:t>
      </w:r>
      <w:r w:rsidR="003E65E4" w:rsidRPr="00D55072">
        <w:t xml:space="preserve"> the respondents at that stage have accepted the applicant's tender </w:t>
      </w:r>
      <w:r w:rsidR="00B71EC5">
        <w:t xml:space="preserve">for </w:t>
      </w:r>
      <w:r w:rsidR="003E65E4" w:rsidRPr="00D55072">
        <w:t xml:space="preserve">payment of </w:t>
      </w:r>
      <w:r w:rsidR="00B71EC5">
        <w:t xml:space="preserve">R21 325.00 </w:t>
      </w:r>
      <w:r w:rsidR="003E65E4" w:rsidRPr="00D55072">
        <w:t xml:space="preserve">in respect of </w:t>
      </w:r>
      <w:r w:rsidR="00BE70A6">
        <w:t xml:space="preserve">what was then then common cause balance for the repairs </w:t>
      </w:r>
      <w:r w:rsidR="00B71EC5">
        <w:t>and h</w:t>
      </w:r>
      <w:r w:rsidR="003E65E4" w:rsidRPr="00D55072">
        <w:t>ave released the vehicle</w:t>
      </w:r>
      <w:r w:rsidR="00B71EC5">
        <w:t xml:space="preserve">, </w:t>
      </w:r>
      <w:r w:rsidR="003E65E4" w:rsidRPr="00D55072">
        <w:t>that would have been the end of the disputes between the parties in relation to the vehicle</w:t>
      </w:r>
      <w:r w:rsidR="00B71EC5">
        <w:t xml:space="preserve">. This </w:t>
      </w:r>
      <w:r w:rsidR="003E65E4" w:rsidRPr="00D55072">
        <w:t>litigation would have been avoided. Instead, the respondents insist</w:t>
      </w:r>
      <w:r w:rsidR="00595873">
        <w:t xml:space="preserve">ed </w:t>
      </w:r>
      <w:r w:rsidR="003E65E4" w:rsidRPr="00D55072">
        <w:t xml:space="preserve">that the applicant make payment </w:t>
      </w:r>
      <w:r w:rsidR="00595873">
        <w:t xml:space="preserve">for </w:t>
      </w:r>
      <w:r w:rsidR="003E65E4" w:rsidRPr="00D55072">
        <w:t>storage</w:t>
      </w:r>
      <w:r w:rsidR="00B71EC5">
        <w:t xml:space="preserve">, which </w:t>
      </w:r>
      <w:r w:rsidR="003E65E4" w:rsidRPr="00D55072">
        <w:t xml:space="preserve">continued to </w:t>
      </w:r>
      <w:r w:rsidR="00595873">
        <w:t>accumulate daily</w:t>
      </w:r>
      <w:r w:rsidR="00B71EC5">
        <w:t xml:space="preserve">, </w:t>
      </w:r>
      <w:r w:rsidR="003E65E4" w:rsidRPr="00D55072">
        <w:t xml:space="preserve">and which </w:t>
      </w:r>
      <w:r w:rsidR="00621925">
        <w:t xml:space="preserve">then </w:t>
      </w:r>
      <w:r w:rsidR="003E65E4" w:rsidRPr="00D55072">
        <w:t xml:space="preserve">already </w:t>
      </w:r>
      <w:r w:rsidR="00595873">
        <w:t>was</w:t>
      </w:r>
      <w:r w:rsidR="00621925">
        <w:t xml:space="preserve"> m</w:t>
      </w:r>
      <w:r w:rsidR="003E65E4" w:rsidRPr="00D55072">
        <w:t xml:space="preserve">ore than </w:t>
      </w:r>
      <w:r w:rsidR="00621925" w:rsidRPr="00D55072">
        <w:t>threefold</w:t>
      </w:r>
      <w:r w:rsidR="003E65E4" w:rsidRPr="00D55072">
        <w:t xml:space="preserve"> the </w:t>
      </w:r>
      <w:r w:rsidR="00595873">
        <w:t>balance for</w:t>
      </w:r>
      <w:r w:rsidR="003E65E4" w:rsidRPr="00D55072">
        <w:t xml:space="preserve"> the repairs</w:t>
      </w:r>
      <w:r w:rsidR="00621925">
        <w:t xml:space="preserve">. </w:t>
      </w:r>
    </w:p>
    <w:p w14:paraId="2E591BFD" w14:textId="0E6E0B20" w:rsidR="00AA627C" w:rsidRDefault="00A401AC" w:rsidP="00A401AC">
      <w:pPr>
        <w:pStyle w:val="ListLevel1"/>
        <w:numPr>
          <w:ilvl w:val="0"/>
          <w:numId w:val="0"/>
        </w:numPr>
        <w:ind w:left="851" w:hanging="851"/>
      </w:pPr>
      <w:r>
        <w:t>37.</w:t>
      </w:r>
      <w:r>
        <w:tab/>
      </w:r>
      <w:r w:rsidR="00AA627C">
        <w:t>A</w:t>
      </w:r>
      <w:r w:rsidR="003E65E4">
        <w:t>s should be already apparent from the chronology, the respondents</w:t>
      </w:r>
      <w:r w:rsidR="00AA627C">
        <w:t>’</w:t>
      </w:r>
      <w:r w:rsidR="003E65E4">
        <w:t xml:space="preserve"> claim for storage </w:t>
      </w:r>
      <w:r w:rsidR="0074664B">
        <w:t>on the basis asserted in their affidavit</w:t>
      </w:r>
      <w:r w:rsidR="003E65E4">
        <w:t xml:space="preserve"> </w:t>
      </w:r>
      <w:r w:rsidR="005122BA">
        <w:t>is</w:t>
      </w:r>
      <w:r w:rsidR="003E65E4">
        <w:t xml:space="preserve"> a</w:t>
      </w:r>
      <w:r w:rsidR="00AA627C">
        <w:t xml:space="preserve">t </w:t>
      </w:r>
      <w:r w:rsidR="003E65E4">
        <w:t>bes</w:t>
      </w:r>
      <w:r w:rsidR="00AA627C">
        <w:t>t</w:t>
      </w:r>
      <w:r w:rsidR="003E65E4">
        <w:t xml:space="preserve"> tenuous</w:t>
      </w:r>
      <w:r w:rsidR="00AA627C">
        <w:t xml:space="preserve">. In </w:t>
      </w:r>
      <w:r w:rsidR="003E65E4">
        <w:t xml:space="preserve">my view, </w:t>
      </w:r>
      <w:r w:rsidR="00595873">
        <w:t>the</w:t>
      </w:r>
      <w:r w:rsidR="003E65E4">
        <w:t xml:space="preserve"> preceding correspondence can</w:t>
      </w:r>
      <w:r w:rsidR="00595873">
        <w:t>not</w:t>
      </w:r>
      <w:r w:rsidR="003E65E4">
        <w:t xml:space="preserve"> be read as anything other than dissensus between the parties </w:t>
      </w:r>
      <w:r w:rsidR="005122BA">
        <w:t xml:space="preserve">relating to </w:t>
      </w:r>
      <w:r w:rsidR="003E65E4">
        <w:t>storage</w:t>
      </w:r>
      <w:r w:rsidR="00AA627C">
        <w:t>.</w:t>
      </w:r>
    </w:p>
    <w:p w14:paraId="1CEBF531" w14:textId="6241B949" w:rsidR="0034233C" w:rsidRDefault="00A401AC" w:rsidP="00A401AC">
      <w:pPr>
        <w:pStyle w:val="ListLevel1"/>
        <w:numPr>
          <w:ilvl w:val="0"/>
          <w:numId w:val="0"/>
        </w:numPr>
        <w:ind w:left="851" w:hanging="851"/>
      </w:pPr>
      <w:r>
        <w:t>38.</w:t>
      </w:r>
      <w:r>
        <w:tab/>
      </w:r>
      <w:r w:rsidR="00AA627C">
        <w:t>O</w:t>
      </w:r>
      <w:r w:rsidR="003E65E4">
        <w:t>n 20 July 2021 the applicant</w:t>
      </w:r>
      <w:r w:rsidR="00AA627C">
        <w:t>’</w:t>
      </w:r>
      <w:r w:rsidR="003E65E4">
        <w:t>s attorneys reiterat</w:t>
      </w:r>
      <w:r w:rsidR="00595873">
        <w:t>ed</w:t>
      </w:r>
      <w:r w:rsidR="003E65E4">
        <w:t xml:space="preserve"> that the applicant was not liable to pay storage </w:t>
      </w:r>
      <w:r w:rsidR="00CC5226">
        <w:t>costs</w:t>
      </w:r>
      <w:r w:rsidR="003E65E4">
        <w:t xml:space="preserve"> </w:t>
      </w:r>
      <w:r w:rsidR="00AA627C">
        <w:t xml:space="preserve">as </w:t>
      </w:r>
      <w:r w:rsidR="003E65E4">
        <w:t>no agreement had been reached in relation thereto and again</w:t>
      </w:r>
      <w:r w:rsidR="00AA627C">
        <w:t xml:space="preserve"> </w:t>
      </w:r>
      <w:r w:rsidR="003E65E4">
        <w:t xml:space="preserve">recording that the applicant was prepared to </w:t>
      </w:r>
      <w:r w:rsidR="00595873">
        <w:t>pay</w:t>
      </w:r>
      <w:r w:rsidR="00AA627C">
        <w:t xml:space="preserve"> R</w:t>
      </w:r>
      <w:r w:rsidR="003E65E4">
        <w:t>21</w:t>
      </w:r>
      <w:r w:rsidR="00AA627C">
        <w:t> </w:t>
      </w:r>
      <w:r w:rsidR="003E65E4">
        <w:t>325</w:t>
      </w:r>
      <w:r w:rsidR="00AA627C">
        <w:t xml:space="preserve">.00 </w:t>
      </w:r>
      <w:r w:rsidR="003E65E4">
        <w:t xml:space="preserve">in respect </w:t>
      </w:r>
      <w:r w:rsidR="00AA627C">
        <w:t xml:space="preserve">of </w:t>
      </w:r>
      <w:r w:rsidR="003E65E4">
        <w:t>repairs</w:t>
      </w:r>
      <w:r w:rsidR="00595873">
        <w:t xml:space="preserve"> </w:t>
      </w:r>
      <w:r w:rsidR="003E65E4">
        <w:t xml:space="preserve">so that the vehicle could be released, </w:t>
      </w:r>
      <w:r w:rsidR="00AA627C">
        <w:t>a</w:t>
      </w:r>
      <w:r w:rsidR="003E65E4">
        <w:t>nd that should the respondents fail to release the vehicle</w:t>
      </w:r>
      <w:r w:rsidR="00AA627C">
        <w:t xml:space="preserve">, the court would have to </w:t>
      </w:r>
      <w:r w:rsidR="003E65E4">
        <w:t>be approached for relief</w:t>
      </w:r>
      <w:r w:rsidR="0034233C">
        <w:t>.</w:t>
      </w:r>
    </w:p>
    <w:p w14:paraId="0E5B1AE0" w14:textId="2D459A6B" w:rsidR="0034233C" w:rsidRDefault="00A401AC" w:rsidP="00A401AC">
      <w:pPr>
        <w:pStyle w:val="ListLevel1"/>
        <w:numPr>
          <w:ilvl w:val="0"/>
          <w:numId w:val="0"/>
        </w:numPr>
        <w:ind w:left="851" w:hanging="851"/>
      </w:pPr>
      <w:r>
        <w:t>39.</w:t>
      </w:r>
      <w:r>
        <w:tab/>
      </w:r>
      <w:r w:rsidR="0034233C">
        <w:t xml:space="preserve">No </w:t>
      </w:r>
      <w:r w:rsidR="003E65E4">
        <w:t>further correspondence</w:t>
      </w:r>
      <w:r w:rsidR="0034233C">
        <w:t xml:space="preserve"> </w:t>
      </w:r>
      <w:r w:rsidR="003E65E4">
        <w:t xml:space="preserve">followed </w:t>
      </w:r>
      <w:r w:rsidR="0034233C">
        <w:t xml:space="preserve">on </w:t>
      </w:r>
      <w:r w:rsidR="003E65E4">
        <w:t>behalf of the respondents</w:t>
      </w:r>
      <w:r w:rsidR="0034233C">
        <w:t>,</w:t>
      </w:r>
      <w:r w:rsidR="003E65E4">
        <w:t xml:space="preserve"> and they did not release the vehicle. </w:t>
      </w:r>
    </w:p>
    <w:p w14:paraId="312443CF" w14:textId="5F8931BA" w:rsidR="005122BA" w:rsidRDefault="00A401AC" w:rsidP="00A401AC">
      <w:pPr>
        <w:pStyle w:val="ListLevel1"/>
        <w:numPr>
          <w:ilvl w:val="0"/>
          <w:numId w:val="0"/>
        </w:numPr>
        <w:ind w:left="851" w:hanging="851"/>
      </w:pPr>
      <w:r>
        <w:t>40.</w:t>
      </w:r>
      <w:r>
        <w:tab/>
      </w:r>
      <w:r w:rsidR="0034233C">
        <w:t xml:space="preserve">On 5 </w:t>
      </w:r>
      <w:r w:rsidR="003E65E4">
        <w:t xml:space="preserve">October 2021 the applicant launched </w:t>
      </w:r>
      <w:r w:rsidR="0034233C">
        <w:t xml:space="preserve">these present </w:t>
      </w:r>
      <w:r w:rsidR="003E65E4">
        <w:t xml:space="preserve">proceedings seeking the return of </w:t>
      </w:r>
      <w:r w:rsidR="0034233C">
        <w:t>her</w:t>
      </w:r>
      <w:r w:rsidR="003E65E4">
        <w:t xml:space="preserve"> vehicle against the establishment of substitute security</w:t>
      </w:r>
      <w:r w:rsidR="0034233C">
        <w:t xml:space="preserve">. That </w:t>
      </w:r>
      <w:r w:rsidR="003E65E4">
        <w:t>security is in the form of monies being held in trust by the applicant</w:t>
      </w:r>
      <w:r w:rsidR="0034233C">
        <w:t>’</w:t>
      </w:r>
      <w:r w:rsidR="003E65E4">
        <w:t>s attorneys and against which the applicant</w:t>
      </w:r>
      <w:r w:rsidR="0034233C">
        <w:t>’</w:t>
      </w:r>
      <w:r w:rsidR="003E65E4">
        <w:t>s attorneys have issued a guarantee</w:t>
      </w:r>
      <w:r w:rsidR="0034233C">
        <w:t xml:space="preserve"> u</w:t>
      </w:r>
      <w:r w:rsidR="003E65E4">
        <w:t>ndertaking to pay the respondents</w:t>
      </w:r>
      <w:r w:rsidR="0034233C">
        <w:t>’</w:t>
      </w:r>
      <w:r w:rsidR="003E65E4">
        <w:t xml:space="preserve"> attorneys the amount of </w:t>
      </w:r>
      <w:r w:rsidR="0034233C">
        <w:t>R</w:t>
      </w:r>
      <w:r w:rsidR="003E65E4">
        <w:t>23</w:t>
      </w:r>
      <w:r w:rsidR="0034233C">
        <w:t> </w:t>
      </w:r>
      <w:r w:rsidR="003E65E4">
        <w:t>3</w:t>
      </w:r>
      <w:r w:rsidR="0034233C">
        <w:t>2</w:t>
      </w:r>
      <w:r w:rsidR="003E65E4">
        <w:t>5.95</w:t>
      </w:r>
      <w:r w:rsidR="0034233C">
        <w:t xml:space="preserve"> should t</w:t>
      </w:r>
      <w:r w:rsidR="003E65E4">
        <w:t xml:space="preserve">he respondents succeed in an action to be launched by the respondents against the applicant within </w:t>
      </w:r>
      <w:r w:rsidR="0034233C">
        <w:t>thirty d</w:t>
      </w:r>
      <w:r w:rsidR="003E65E4">
        <w:t>ays of the court ordering the substituted security</w:t>
      </w:r>
      <w:r w:rsidR="0034233C">
        <w:t xml:space="preserve">. This </w:t>
      </w:r>
      <w:r w:rsidR="003E65E4">
        <w:t>guarantee is a</w:t>
      </w:r>
      <w:r w:rsidR="0034233C">
        <w:t xml:space="preserve">nnexed as “JG33” to the </w:t>
      </w:r>
      <w:r w:rsidR="003E65E4">
        <w:t>founding affidavit</w:t>
      </w:r>
      <w:r w:rsidR="0034233C">
        <w:t xml:space="preserve">. </w:t>
      </w:r>
    </w:p>
    <w:p w14:paraId="25D04EEB" w14:textId="5FFBF23F" w:rsidR="0034233C" w:rsidRDefault="00A401AC" w:rsidP="00A401AC">
      <w:pPr>
        <w:pStyle w:val="ListLevel1"/>
        <w:numPr>
          <w:ilvl w:val="0"/>
          <w:numId w:val="0"/>
        </w:numPr>
        <w:ind w:left="851" w:hanging="851"/>
      </w:pPr>
      <w:r>
        <w:t>41.</w:t>
      </w:r>
      <w:r>
        <w:tab/>
      </w:r>
      <w:r w:rsidR="0034233C">
        <w:t>T</w:t>
      </w:r>
      <w:r w:rsidR="003E65E4">
        <w:t xml:space="preserve">he </w:t>
      </w:r>
      <w:r w:rsidR="0034233C">
        <w:t xml:space="preserve">respondents </w:t>
      </w:r>
      <w:r w:rsidR="003E65E4">
        <w:t>have not raised any objection to the form of the substituted security</w:t>
      </w:r>
      <w:r w:rsidR="0034233C">
        <w:t>.</w:t>
      </w:r>
    </w:p>
    <w:p w14:paraId="4DC9F2D2" w14:textId="069A13F3" w:rsidR="008D0666" w:rsidRDefault="00A401AC" w:rsidP="00A401AC">
      <w:pPr>
        <w:pStyle w:val="ListLevel1"/>
        <w:numPr>
          <w:ilvl w:val="0"/>
          <w:numId w:val="0"/>
        </w:numPr>
        <w:ind w:left="851" w:hanging="851"/>
      </w:pPr>
      <w:r>
        <w:t>42.</w:t>
      </w:r>
      <w:r>
        <w:tab/>
      </w:r>
      <w:r w:rsidR="003E65E4">
        <w:t>The respondents opposed the application and launched the counter</w:t>
      </w:r>
      <w:r w:rsidR="009B73E3">
        <w:t>-</w:t>
      </w:r>
      <w:r w:rsidR="003E65E4">
        <w:t xml:space="preserve"> application for the money judgment</w:t>
      </w:r>
      <w:r w:rsidR="0034233C">
        <w:t xml:space="preserve">, </w:t>
      </w:r>
      <w:r w:rsidR="003E65E4">
        <w:t>as already described</w:t>
      </w:r>
      <w:r w:rsidR="0034233C">
        <w:t>.</w:t>
      </w:r>
      <w:r w:rsidR="008D0666">
        <w:t xml:space="preserve"> </w:t>
      </w:r>
    </w:p>
    <w:p w14:paraId="0EB6D487" w14:textId="37710A04" w:rsidR="008D0666" w:rsidRDefault="00A401AC" w:rsidP="00A401AC">
      <w:pPr>
        <w:pStyle w:val="ListLevel1"/>
        <w:numPr>
          <w:ilvl w:val="0"/>
          <w:numId w:val="0"/>
        </w:numPr>
        <w:ind w:left="851" w:hanging="851"/>
      </w:pPr>
      <w:r>
        <w:t>43.</w:t>
      </w:r>
      <w:r>
        <w:tab/>
      </w:r>
      <w:r w:rsidR="008D0666">
        <w:t>H</w:t>
      </w:r>
      <w:r w:rsidR="003E65E4">
        <w:t xml:space="preserve">aving set </w:t>
      </w:r>
      <w:r w:rsidR="008D0666">
        <w:t xml:space="preserve">out these facts, </w:t>
      </w:r>
      <w:r w:rsidR="003E65E4">
        <w:t>a determination can be made as to the relief sought by the parties in their respective application and counter</w:t>
      </w:r>
      <w:r w:rsidR="008D0666">
        <w:t>-</w:t>
      </w:r>
      <w:r w:rsidR="003E65E4">
        <w:t>application</w:t>
      </w:r>
      <w:r w:rsidR="008D0666">
        <w:t>.</w:t>
      </w:r>
    </w:p>
    <w:p w14:paraId="0D9E8518" w14:textId="17EE9905" w:rsidR="008D0666" w:rsidRDefault="00A401AC" w:rsidP="00A401AC">
      <w:pPr>
        <w:pStyle w:val="ListLevel1"/>
        <w:numPr>
          <w:ilvl w:val="0"/>
          <w:numId w:val="0"/>
        </w:numPr>
        <w:ind w:left="851" w:hanging="851"/>
      </w:pPr>
      <w:r>
        <w:t>44.</w:t>
      </w:r>
      <w:r>
        <w:tab/>
      </w:r>
      <w:r w:rsidR="003E65E4">
        <w:t>It is convenient to deal first with the respondents</w:t>
      </w:r>
      <w:r w:rsidR="008D0666">
        <w:t>’</w:t>
      </w:r>
      <w:r w:rsidR="003E65E4">
        <w:t xml:space="preserve"> counter</w:t>
      </w:r>
      <w:r w:rsidR="008D0666">
        <w:t>-</w:t>
      </w:r>
      <w:r w:rsidR="003E65E4">
        <w:t>application for money judgment</w:t>
      </w:r>
      <w:r w:rsidR="008D0666">
        <w:t xml:space="preserve">. </w:t>
      </w:r>
      <w:r w:rsidR="009B73E3">
        <w:t>The</w:t>
      </w:r>
      <w:r w:rsidR="003E65E4">
        <w:t xml:space="preserve"> respondents</w:t>
      </w:r>
      <w:r w:rsidR="009B73E3">
        <w:t xml:space="preserve">’ case </w:t>
      </w:r>
      <w:r w:rsidR="003E65E4">
        <w:t xml:space="preserve">is that they </w:t>
      </w:r>
      <w:r w:rsidR="009B73E3">
        <w:t xml:space="preserve">accepted </w:t>
      </w:r>
      <w:r w:rsidR="003E65E4">
        <w:t>the applicant</w:t>
      </w:r>
      <w:r w:rsidR="008D0666">
        <w:t>’</w:t>
      </w:r>
      <w:r w:rsidR="003E65E4">
        <w:t>s tender</w:t>
      </w:r>
      <w:r w:rsidR="00547B96">
        <w:t xml:space="preserve"> </w:t>
      </w:r>
      <w:r w:rsidR="003E65E4">
        <w:t xml:space="preserve">to </w:t>
      </w:r>
      <w:r w:rsidR="009B73E3">
        <w:t>pay</w:t>
      </w:r>
      <w:r w:rsidR="003E65E4">
        <w:t xml:space="preserve"> </w:t>
      </w:r>
      <w:r w:rsidR="008D0666">
        <w:t>R21 </w:t>
      </w:r>
      <w:r w:rsidR="003E65E4">
        <w:t>325</w:t>
      </w:r>
      <w:r w:rsidR="008D0666">
        <w:t xml:space="preserve">.95 </w:t>
      </w:r>
      <w:r w:rsidR="003E65E4">
        <w:t xml:space="preserve">and that therefore the applicant is bound to </w:t>
      </w:r>
      <w:r w:rsidR="009B73E3">
        <w:t>pay</w:t>
      </w:r>
      <w:r w:rsidR="003E65E4">
        <w:t xml:space="preserve"> that amount</w:t>
      </w:r>
      <w:r w:rsidR="008D0666">
        <w:t>.</w:t>
      </w:r>
      <w:r w:rsidR="002A69E6">
        <w:t xml:space="preserve"> </w:t>
      </w:r>
      <w:r w:rsidR="008D0666">
        <w:t>T</w:t>
      </w:r>
      <w:r w:rsidR="003E65E4">
        <w:t>he respondents contend that the applicant had not withdrawn t</w:t>
      </w:r>
      <w:r w:rsidR="009B73E3">
        <w:t>he</w:t>
      </w:r>
      <w:r w:rsidR="003E65E4">
        <w:t xml:space="preserve"> tender</w:t>
      </w:r>
      <w:r w:rsidR="009B73E3">
        <w:t xml:space="preserve"> made in July 2021 in her attorney’s correspondence</w:t>
      </w:r>
      <w:r w:rsidR="003E65E4">
        <w:t xml:space="preserve"> and therefore it was open to the</w:t>
      </w:r>
      <w:r w:rsidR="008D0666">
        <w:t xml:space="preserve">m, </w:t>
      </w:r>
      <w:r w:rsidR="003E65E4">
        <w:t>and more particularly</w:t>
      </w:r>
      <w:r w:rsidR="008D0666">
        <w:t xml:space="preserve">, it </w:t>
      </w:r>
      <w:r w:rsidR="003E65E4">
        <w:t>would appear</w:t>
      </w:r>
      <w:r w:rsidR="008D0666">
        <w:t>, t</w:t>
      </w:r>
      <w:r w:rsidR="003E65E4">
        <w:t>he second respondent as the party seeking relief in terms of the counter</w:t>
      </w:r>
      <w:r w:rsidR="008D0666">
        <w:t>-</w:t>
      </w:r>
      <w:r w:rsidR="003E65E4">
        <w:t>application</w:t>
      </w:r>
      <w:r w:rsidR="008D0666">
        <w:t>, t</w:t>
      </w:r>
      <w:r w:rsidR="003E65E4">
        <w:t>o accept the tender</w:t>
      </w:r>
      <w:r w:rsidR="008D0666">
        <w:t xml:space="preserve">. That </w:t>
      </w:r>
      <w:r w:rsidR="003E65E4">
        <w:t>acceptance takes place in paragraph 119 of th</w:t>
      </w:r>
      <w:r w:rsidR="008D0666">
        <w:t xml:space="preserve">e answering affidavit </w:t>
      </w:r>
      <w:r w:rsidR="003E65E4">
        <w:t xml:space="preserve">delivered in November 2021. </w:t>
      </w:r>
    </w:p>
    <w:p w14:paraId="2DD7983D" w14:textId="25430A4B" w:rsidR="006D3106" w:rsidRDefault="00A401AC" w:rsidP="00A401AC">
      <w:pPr>
        <w:pStyle w:val="ListLevel1"/>
        <w:numPr>
          <w:ilvl w:val="0"/>
          <w:numId w:val="0"/>
        </w:numPr>
        <w:ind w:left="851" w:hanging="851"/>
      </w:pPr>
      <w:r>
        <w:t>45.</w:t>
      </w:r>
      <w:r>
        <w:tab/>
      </w:r>
      <w:r w:rsidR="008D0666">
        <w:t xml:space="preserve">There is clearly </w:t>
      </w:r>
      <w:r w:rsidR="003E65E4">
        <w:t>a dispute between the parties</w:t>
      </w:r>
      <w:r w:rsidR="008D0666">
        <w:t xml:space="preserve"> on </w:t>
      </w:r>
      <w:r w:rsidR="003E65E4">
        <w:t>this issue</w:t>
      </w:r>
      <w:r w:rsidR="008D0666">
        <w:t xml:space="preserve">. </w:t>
      </w:r>
      <w:r w:rsidR="003E65E4">
        <w:t xml:space="preserve">The applicant contends that any tender that </w:t>
      </w:r>
      <w:r w:rsidR="008D0666">
        <w:t xml:space="preserve">she </w:t>
      </w:r>
      <w:r w:rsidR="003E65E4">
        <w:t>may have made in July 2021</w:t>
      </w:r>
      <w:r w:rsidR="008D0666">
        <w:t xml:space="preserve">, to </w:t>
      </w:r>
      <w:r w:rsidR="003E65E4">
        <w:t>the extent that it could be construed as a tender</w:t>
      </w:r>
      <w:r w:rsidR="008D0666">
        <w:t xml:space="preserve">, </w:t>
      </w:r>
      <w:r w:rsidR="003E65E4">
        <w:t>lapsed and was no longer open for acceptance</w:t>
      </w:r>
      <w:r w:rsidR="008D0666">
        <w:t xml:space="preserve"> b</w:t>
      </w:r>
      <w:r w:rsidR="003E65E4">
        <w:t>y the time the respondents purported to accept that tender in the answering affidavit in November 2021</w:t>
      </w:r>
      <w:r w:rsidR="006D3106">
        <w:t xml:space="preserve">. The </w:t>
      </w:r>
      <w:r w:rsidR="003E65E4">
        <w:t>respondents</w:t>
      </w:r>
      <w:r w:rsidR="006D3106">
        <w:t>’</w:t>
      </w:r>
      <w:r w:rsidR="003E65E4">
        <w:t xml:space="preserve"> response is that the tender was not withdrawn and therefore remained open for acceptance</w:t>
      </w:r>
      <w:r w:rsidR="006D3106">
        <w:t xml:space="preserve"> </w:t>
      </w:r>
      <w:r w:rsidR="003E65E4">
        <w:t>even after the launch of these proceedings</w:t>
      </w:r>
      <w:r w:rsidR="006D3106">
        <w:t>.</w:t>
      </w:r>
    </w:p>
    <w:p w14:paraId="6D353760" w14:textId="6E614939" w:rsidR="00CD2892" w:rsidRDefault="00A401AC" w:rsidP="00A401AC">
      <w:pPr>
        <w:pStyle w:val="ListLevel1"/>
        <w:numPr>
          <w:ilvl w:val="0"/>
          <w:numId w:val="0"/>
        </w:numPr>
        <w:ind w:left="851" w:hanging="851"/>
      </w:pPr>
      <w:r>
        <w:t>46.</w:t>
      </w:r>
      <w:r>
        <w:tab/>
      </w:r>
      <w:r w:rsidR="006D3106">
        <w:t>T</w:t>
      </w:r>
      <w:r w:rsidR="003E65E4">
        <w:t xml:space="preserve">he respondents </w:t>
      </w:r>
      <w:r w:rsidR="006D3106">
        <w:t xml:space="preserve">did </w:t>
      </w:r>
      <w:r w:rsidR="003E65E4">
        <w:t xml:space="preserve">not seek a referral to oral evidence on this issue and </w:t>
      </w:r>
      <w:r w:rsidR="006D3106">
        <w:t xml:space="preserve">were </w:t>
      </w:r>
      <w:r w:rsidR="003E65E4">
        <w:t>conten</w:t>
      </w:r>
      <w:r w:rsidR="006D3106">
        <w:t>t</w:t>
      </w:r>
      <w:r w:rsidR="003E65E4">
        <w:t xml:space="preserve"> that the matter be decided on the affidavits</w:t>
      </w:r>
      <w:r w:rsidR="006D3106">
        <w:t xml:space="preserve">. </w:t>
      </w:r>
      <w:r w:rsidR="009B73E3">
        <w:t>There</w:t>
      </w:r>
      <w:r w:rsidR="003E65E4">
        <w:t xml:space="preserve"> is no genuine triable issue in this regard.</w:t>
      </w:r>
      <w:r w:rsidR="006D3106">
        <w:t xml:space="preserve"> To t</w:t>
      </w:r>
      <w:r w:rsidR="003E65E4">
        <w:t>he extent that the applicant did make a tender which may have been open for acceptance in July 2021</w:t>
      </w:r>
      <w:r w:rsidR="006D3106">
        <w:t xml:space="preserve">, </w:t>
      </w:r>
      <w:r w:rsidR="00547B96">
        <w:t xml:space="preserve">that tender </w:t>
      </w:r>
      <w:r w:rsidR="003E65E4">
        <w:t>was no longer open for acceptance</w:t>
      </w:r>
      <w:r w:rsidR="006D3106">
        <w:t xml:space="preserve"> on</w:t>
      </w:r>
      <w:r w:rsidR="003E65E4">
        <w:t>ce she had launched these proceedings</w:t>
      </w:r>
      <w:r w:rsidR="006D3106">
        <w:t xml:space="preserve">. The </w:t>
      </w:r>
      <w:r w:rsidR="003E65E4">
        <w:t>applicant in these proceedings</w:t>
      </w:r>
      <w:r w:rsidR="006D3106">
        <w:t xml:space="preserve"> </w:t>
      </w:r>
      <w:r w:rsidR="003E65E4">
        <w:t>contest</w:t>
      </w:r>
      <w:r w:rsidR="006D3106">
        <w:t xml:space="preserve">s her </w:t>
      </w:r>
      <w:r w:rsidR="003E65E4">
        <w:t>liability to the respondent</w:t>
      </w:r>
      <w:r w:rsidR="006D3106">
        <w:t>s</w:t>
      </w:r>
      <w:r w:rsidR="003E65E4">
        <w:t xml:space="preserve">, as is evidenced by her </w:t>
      </w:r>
      <w:r w:rsidR="006D3106">
        <w:t xml:space="preserve">tendering </w:t>
      </w:r>
      <w:r w:rsidR="003E65E4">
        <w:t>substituted security</w:t>
      </w:r>
      <w:r w:rsidR="00547B96">
        <w:t xml:space="preserve"> which is payable to the respondents if they succeed in proceedings that they are to institute against her within a specified period of 30 days</w:t>
      </w:r>
      <w:r w:rsidR="006D3106">
        <w:t>.</w:t>
      </w:r>
      <w:r w:rsidR="00547B96">
        <w:t xml:space="preserve"> </w:t>
      </w:r>
      <w:r w:rsidR="003F7A67">
        <w:t xml:space="preserve">The </w:t>
      </w:r>
      <w:r w:rsidR="003E65E4">
        <w:t>respondents ha</w:t>
      </w:r>
      <w:r w:rsidR="003F7A67">
        <w:t>ving</w:t>
      </w:r>
      <w:r w:rsidR="003E65E4">
        <w:t xml:space="preserve"> refused to release the vehicle</w:t>
      </w:r>
      <w:r w:rsidR="006D3106">
        <w:t>, n</w:t>
      </w:r>
      <w:r w:rsidR="003F7A67">
        <w:t>otwithstanding</w:t>
      </w:r>
      <w:r w:rsidR="006D3106">
        <w:t xml:space="preserve"> </w:t>
      </w:r>
      <w:r w:rsidR="003E65E4">
        <w:t>having been requested to do so on three occasions</w:t>
      </w:r>
      <w:r w:rsidR="006D3106">
        <w:t xml:space="preserve">, </w:t>
      </w:r>
      <w:r w:rsidR="003E65E4">
        <w:t>and so</w:t>
      </w:r>
      <w:r w:rsidR="006D3106">
        <w:t xml:space="preserve"> compelling </w:t>
      </w:r>
      <w:r w:rsidR="003E65E4">
        <w:t>the applicant</w:t>
      </w:r>
      <w:r w:rsidR="006D3106">
        <w:t xml:space="preserve"> t</w:t>
      </w:r>
      <w:r w:rsidR="003E65E4">
        <w:t xml:space="preserve">o launch </w:t>
      </w:r>
      <w:r w:rsidR="003F7A67">
        <w:t>these</w:t>
      </w:r>
      <w:r w:rsidR="006D3106">
        <w:t xml:space="preserve"> </w:t>
      </w:r>
      <w:r w:rsidR="003E65E4">
        <w:t>proceedings</w:t>
      </w:r>
      <w:r w:rsidR="006D3106">
        <w:t xml:space="preserve">, </w:t>
      </w:r>
      <w:r w:rsidR="003F7A67">
        <w:t xml:space="preserve">rejected the tender. </w:t>
      </w:r>
      <w:r w:rsidR="006D3106">
        <w:t xml:space="preserve">The </w:t>
      </w:r>
      <w:r w:rsidR="003E65E4">
        <w:t>respondents</w:t>
      </w:r>
      <w:r w:rsidR="006D3106">
        <w:t>’</w:t>
      </w:r>
      <w:r w:rsidR="003E65E4">
        <w:t xml:space="preserve"> </w:t>
      </w:r>
      <w:r w:rsidR="009B73E3">
        <w:t xml:space="preserve">belated </w:t>
      </w:r>
      <w:r w:rsidR="003E65E4">
        <w:t>change of heart in November 2021</w:t>
      </w:r>
      <w:r w:rsidR="009B73E3">
        <w:t>, after the applicant instituted these proceedings,</w:t>
      </w:r>
      <w:r w:rsidR="003E65E4">
        <w:t xml:space="preserve"> </w:t>
      </w:r>
      <w:r w:rsidR="003F7A67">
        <w:t xml:space="preserve">in </w:t>
      </w:r>
      <w:r w:rsidR="009B73E3">
        <w:t xml:space="preserve">seeking to </w:t>
      </w:r>
      <w:r w:rsidR="003E65E4">
        <w:t xml:space="preserve">accept the </w:t>
      </w:r>
      <w:r w:rsidR="006D3106">
        <w:t xml:space="preserve">tender </w:t>
      </w:r>
      <w:r w:rsidR="003E65E4">
        <w:t xml:space="preserve">that </w:t>
      </w:r>
      <w:r w:rsidR="006D3106">
        <w:t xml:space="preserve">had </w:t>
      </w:r>
      <w:r w:rsidR="003E65E4">
        <w:t xml:space="preserve">been made </w:t>
      </w:r>
      <w:r w:rsidR="003F7A67">
        <w:t xml:space="preserve">by the applicant </w:t>
      </w:r>
      <w:r w:rsidR="009B73E3">
        <w:t xml:space="preserve">some four months previously </w:t>
      </w:r>
      <w:r w:rsidR="00CD2892">
        <w:t>is</w:t>
      </w:r>
      <w:r w:rsidR="00253687">
        <w:t>,</w:t>
      </w:r>
      <w:r w:rsidR="00CD2892">
        <w:t xml:space="preserve"> </w:t>
      </w:r>
      <w:r w:rsidR="003E65E4">
        <w:t>in my view</w:t>
      </w:r>
      <w:r w:rsidR="00253687">
        <w:t>,</w:t>
      </w:r>
      <w:r w:rsidR="00CD2892">
        <w:t xml:space="preserve"> </w:t>
      </w:r>
      <w:r w:rsidR="003E65E4">
        <w:t>opportunistic</w:t>
      </w:r>
      <w:r w:rsidR="009B73E3">
        <w:t>.</w:t>
      </w:r>
    </w:p>
    <w:p w14:paraId="5EF42397" w14:textId="4E8C107C" w:rsidR="00CD2892" w:rsidRDefault="00A401AC" w:rsidP="00A401AC">
      <w:pPr>
        <w:pStyle w:val="ListLevel1"/>
        <w:numPr>
          <w:ilvl w:val="0"/>
          <w:numId w:val="0"/>
        </w:numPr>
        <w:ind w:left="851" w:hanging="851"/>
      </w:pPr>
      <w:r>
        <w:t>47.</w:t>
      </w:r>
      <w:r>
        <w:tab/>
      </w:r>
      <w:r w:rsidR="00CD2892">
        <w:t xml:space="preserve">In </w:t>
      </w:r>
      <w:r w:rsidR="003E65E4">
        <w:t>the circumstances</w:t>
      </w:r>
      <w:r w:rsidR="00CD2892">
        <w:t xml:space="preserve">, I find that </w:t>
      </w:r>
      <w:r w:rsidR="003E65E4">
        <w:t>the respondents have no claim against the applicant based upon the</w:t>
      </w:r>
      <w:r w:rsidR="00CD2892">
        <w:t>ir</w:t>
      </w:r>
      <w:r w:rsidR="003E65E4">
        <w:t xml:space="preserve"> purported acceptance of a tender giving rise to a compromise</w:t>
      </w:r>
      <w:r w:rsidR="00253687">
        <w:t xml:space="preserve"> or settlement of the dispute</w:t>
      </w:r>
      <w:r w:rsidR="00CD2892">
        <w:t xml:space="preserve">. In </w:t>
      </w:r>
      <w:r w:rsidR="003E65E4">
        <w:t xml:space="preserve">making this finding, I do not do so </w:t>
      </w:r>
      <w:r w:rsidR="00253687">
        <w:t>only</w:t>
      </w:r>
      <w:r w:rsidR="003E65E4">
        <w:t xml:space="preserve"> on the basis that the respondents</w:t>
      </w:r>
      <w:r w:rsidR="00253687">
        <w:t xml:space="preserve"> as the applicants in their counter-application</w:t>
      </w:r>
      <w:r w:rsidR="003E65E4">
        <w:t xml:space="preserve"> have not in motion</w:t>
      </w:r>
      <w:r w:rsidR="00CD2892">
        <w:t xml:space="preserve"> </w:t>
      </w:r>
      <w:r w:rsidR="003E65E4">
        <w:t xml:space="preserve">proceedings sufficiently made out a case for their relief based upon the usual </w:t>
      </w:r>
      <w:r w:rsidR="00CD2892">
        <w:rPr>
          <w:i/>
          <w:iCs/>
        </w:rPr>
        <w:t xml:space="preserve">Plascon-Evans </w:t>
      </w:r>
      <w:r w:rsidR="003E65E4">
        <w:t>test</w:t>
      </w:r>
      <w:r w:rsidR="00CD2892">
        <w:t xml:space="preserve">, </w:t>
      </w:r>
      <w:r w:rsidR="003E65E4">
        <w:t xml:space="preserve">but rather as a </w:t>
      </w:r>
      <w:r w:rsidR="00253687">
        <w:t xml:space="preserve">determinative </w:t>
      </w:r>
      <w:r w:rsidR="003E65E4">
        <w:t>finding</w:t>
      </w:r>
      <w:r w:rsidR="00CD2892">
        <w:t xml:space="preserve">. </w:t>
      </w:r>
      <w:r w:rsidR="003E65E4">
        <w:t>I do so deliberately</w:t>
      </w:r>
      <w:r w:rsidR="00CD2892">
        <w:t xml:space="preserve"> </w:t>
      </w:r>
      <w:r w:rsidR="00253687">
        <w:t xml:space="preserve">so </w:t>
      </w:r>
      <w:r w:rsidR="003E65E4">
        <w:t>that in</w:t>
      </w:r>
      <w:r w:rsidR="00253687">
        <w:t xml:space="preserve"> the context of</w:t>
      </w:r>
      <w:r w:rsidR="003E65E4">
        <w:t xml:space="preserve"> </w:t>
      </w:r>
      <w:r w:rsidR="00253687">
        <w:t xml:space="preserve">any </w:t>
      </w:r>
      <w:r w:rsidR="00CD2892">
        <w:t xml:space="preserve">further </w:t>
      </w:r>
      <w:r w:rsidR="003E65E4">
        <w:t xml:space="preserve">proceedings as may be brought by the respondents against the applicant, this particular cause of action </w:t>
      </w:r>
      <w:r w:rsidR="009B73E3">
        <w:t>cannot feature again, being r</w:t>
      </w:r>
      <w:r w:rsidR="009B73E3" w:rsidRPr="009B73E3">
        <w:rPr>
          <w:i/>
          <w:iCs/>
        </w:rPr>
        <w:t>es judicata</w:t>
      </w:r>
      <w:r w:rsidR="009B73E3">
        <w:t>.</w:t>
      </w:r>
    </w:p>
    <w:p w14:paraId="42D3D41A" w14:textId="6B3E428D" w:rsidR="00CD2892" w:rsidRDefault="00A401AC" w:rsidP="00A401AC">
      <w:pPr>
        <w:pStyle w:val="ListLevel1"/>
        <w:numPr>
          <w:ilvl w:val="0"/>
          <w:numId w:val="0"/>
        </w:numPr>
        <w:ind w:left="851" w:hanging="851"/>
      </w:pPr>
      <w:r>
        <w:t>48.</w:t>
      </w:r>
      <w:r>
        <w:tab/>
      </w:r>
      <w:r w:rsidR="00253687">
        <w:t xml:space="preserve">In contrast, </w:t>
      </w:r>
      <w:r w:rsidR="00CD2892">
        <w:t xml:space="preserve">I do not decide </w:t>
      </w:r>
      <w:r w:rsidR="003E65E4">
        <w:t>whether the applicant is indebted to the respondents</w:t>
      </w:r>
      <w:r w:rsidR="00CD2892">
        <w:t xml:space="preserve"> for the balance </w:t>
      </w:r>
      <w:r w:rsidR="003E65E4">
        <w:t>of the repair</w:t>
      </w:r>
      <w:r w:rsidR="000E06FE">
        <w:t>s</w:t>
      </w:r>
      <w:r w:rsidR="003E65E4">
        <w:t xml:space="preserve"> </w:t>
      </w:r>
      <w:r w:rsidR="00CD2892">
        <w:t>in an a</w:t>
      </w:r>
      <w:r w:rsidR="003E65E4">
        <w:t xml:space="preserve">mount of </w:t>
      </w:r>
      <w:r w:rsidR="00CD2892">
        <w:t>R</w:t>
      </w:r>
      <w:r w:rsidR="003E65E4">
        <w:t>18</w:t>
      </w:r>
      <w:r w:rsidR="00CD2892">
        <w:t> </w:t>
      </w:r>
      <w:r w:rsidR="003E65E4">
        <w:t>3</w:t>
      </w:r>
      <w:r w:rsidR="00CD2892">
        <w:t>8</w:t>
      </w:r>
      <w:r w:rsidR="003E65E4">
        <w:t>6.01</w:t>
      </w:r>
      <w:r w:rsidR="00CD2892">
        <w:t xml:space="preserve">, which the respondents remain </w:t>
      </w:r>
      <w:r w:rsidR="003E65E4">
        <w:t>at liberty to pursue</w:t>
      </w:r>
      <w:r w:rsidR="00253687">
        <w:t xml:space="preserve"> in </w:t>
      </w:r>
      <w:r w:rsidR="0074664B">
        <w:t xml:space="preserve">the </w:t>
      </w:r>
      <w:r w:rsidR="00253687">
        <w:t>further proceedings</w:t>
      </w:r>
      <w:r w:rsidR="0074664B">
        <w:t xml:space="preserve"> and which w</w:t>
      </w:r>
      <w:r w:rsidR="000E06FE">
        <w:t>ill</w:t>
      </w:r>
      <w:r w:rsidR="0074664B">
        <w:t xml:space="preserve"> be the subject of the action to which I will refer in my order</w:t>
      </w:r>
      <w:r w:rsidR="000364C5">
        <w:t xml:space="preserve"> below.</w:t>
      </w:r>
    </w:p>
    <w:p w14:paraId="05ADC3F7" w14:textId="2F765F99" w:rsidR="000E06FE" w:rsidRDefault="00A401AC" w:rsidP="00A401AC">
      <w:pPr>
        <w:pStyle w:val="ListLevel1"/>
        <w:numPr>
          <w:ilvl w:val="0"/>
          <w:numId w:val="0"/>
        </w:numPr>
        <w:ind w:left="851" w:hanging="851"/>
      </w:pPr>
      <w:r>
        <w:t>49.</w:t>
      </w:r>
      <w:r>
        <w:tab/>
      </w:r>
      <w:r w:rsidR="003E65E4">
        <w:t xml:space="preserve">Insofar as </w:t>
      </w:r>
      <w:r w:rsidR="00CD2892">
        <w:t>the applicant’</w:t>
      </w:r>
      <w:r w:rsidR="003E65E4">
        <w:t xml:space="preserve">s application for the release of </w:t>
      </w:r>
      <w:r w:rsidR="00CD2892">
        <w:t xml:space="preserve">her </w:t>
      </w:r>
      <w:r w:rsidR="003E65E4">
        <w:t>vehicle against substitute security</w:t>
      </w:r>
      <w:r w:rsidR="00253687">
        <w:t xml:space="preserve"> is concerned</w:t>
      </w:r>
      <w:r w:rsidR="00CD2892">
        <w:t xml:space="preserve">, </w:t>
      </w:r>
      <w:r w:rsidR="003E65E4">
        <w:t>the respondents contend that the security is inadequate. The applicant</w:t>
      </w:r>
      <w:r w:rsidR="00CD2892">
        <w:t>’</w:t>
      </w:r>
      <w:r w:rsidR="003E65E4">
        <w:t>s counsel argued that this</w:t>
      </w:r>
      <w:r w:rsidR="002811ED">
        <w:t xml:space="preserve"> allegation of</w:t>
      </w:r>
      <w:r w:rsidR="003E65E4">
        <w:t xml:space="preserve"> inadequacy was limited to the contention by the respondents that the security amount was not large enough to include the respondents</w:t>
      </w:r>
      <w:r w:rsidR="00CD2892">
        <w:t>’</w:t>
      </w:r>
      <w:r w:rsidR="003E65E4">
        <w:t xml:space="preserve"> claim for storage costs</w:t>
      </w:r>
      <w:r w:rsidR="00CD2892">
        <w:t>, a</w:t>
      </w:r>
      <w:r w:rsidR="003E65E4">
        <w:t>nd that accordingly</w:t>
      </w:r>
      <w:r w:rsidR="00CD2892">
        <w:t xml:space="preserve"> </w:t>
      </w:r>
      <w:r w:rsidR="003E65E4">
        <w:t>it was not open to the respondents to go beyond that in contesting the adequacy of the security</w:t>
      </w:r>
      <w:r w:rsidR="00CD2892">
        <w:t>. W</w:t>
      </w:r>
      <w:r w:rsidR="003E65E4">
        <w:t>hether this is well</w:t>
      </w:r>
      <w:r w:rsidR="002811ED">
        <w:t>-</w:t>
      </w:r>
      <w:r w:rsidR="003E65E4">
        <w:t xml:space="preserve">founded, I do not decide in that I am prepared to </w:t>
      </w:r>
      <w:r w:rsidR="000E06FE">
        <w:t>assume</w:t>
      </w:r>
      <w:r w:rsidR="002811ED">
        <w:t xml:space="preserve"> in favour of the </w:t>
      </w:r>
      <w:r w:rsidR="003E65E4">
        <w:t>respondent</w:t>
      </w:r>
      <w:r w:rsidR="0008679A">
        <w:t>s</w:t>
      </w:r>
      <w:r w:rsidR="003E65E4">
        <w:t xml:space="preserve"> </w:t>
      </w:r>
      <w:r w:rsidR="000E06FE">
        <w:t>that they are</w:t>
      </w:r>
      <w:r w:rsidR="0008679A">
        <w:t xml:space="preserve"> </w:t>
      </w:r>
      <w:r w:rsidR="003E65E4">
        <w:t>able to go beyond</w:t>
      </w:r>
      <w:r w:rsidR="000E06FE">
        <w:t xml:space="preserve"> this ground in</w:t>
      </w:r>
      <w:r w:rsidR="003E65E4">
        <w:t xml:space="preserve"> contesting the adequacy of the </w:t>
      </w:r>
      <w:r w:rsidR="000E06FE">
        <w:t xml:space="preserve">substitute </w:t>
      </w:r>
      <w:r w:rsidR="003E65E4">
        <w:t>security</w:t>
      </w:r>
      <w:r w:rsidR="0008679A">
        <w:t xml:space="preserve">. </w:t>
      </w:r>
    </w:p>
    <w:p w14:paraId="7C39B3BE" w14:textId="239F4066" w:rsidR="0008679A" w:rsidRDefault="00A401AC" w:rsidP="00A401AC">
      <w:pPr>
        <w:pStyle w:val="ListLevel1"/>
        <w:numPr>
          <w:ilvl w:val="0"/>
          <w:numId w:val="0"/>
        </w:numPr>
        <w:ind w:left="851" w:hanging="851"/>
      </w:pPr>
      <w:r>
        <w:t>50.</w:t>
      </w:r>
      <w:r>
        <w:tab/>
      </w:r>
      <w:r w:rsidR="000E06FE">
        <w:t>The</w:t>
      </w:r>
      <w:r w:rsidR="003E65E4">
        <w:t xml:space="preserve"> respondents </w:t>
      </w:r>
      <w:r w:rsidR="002811ED">
        <w:t>also</w:t>
      </w:r>
      <w:r w:rsidR="003E65E4">
        <w:t xml:space="preserve"> contest the adequacy of the security</w:t>
      </w:r>
      <w:r w:rsidR="002811ED">
        <w:t xml:space="preserve"> </w:t>
      </w:r>
      <w:r w:rsidR="003E65E4">
        <w:t>on the basis that it would not be appropriate for the court to substitute security where the applicant ha</w:t>
      </w:r>
      <w:r w:rsidR="002811ED">
        <w:t>s</w:t>
      </w:r>
      <w:r w:rsidR="003E65E4">
        <w:t xml:space="preserve"> admitted </w:t>
      </w:r>
      <w:r w:rsidR="002811ED">
        <w:t xml:space="preserve">liability in an </w:t>
      </w:r>
      <w:r w:rsidR="003E65E4">
        <w:t xml:space="preserve">amount of </w:t>
      </w:r>
      <w:r w:rsidR="0008679A">
        <w:t>R2 939.94</w:t>
      </w:r>
      <w:r w:rsidR="002811ED">
        <w:t xml:space="preserve"> for the repairs</w:t>
      </w:r>
      <w:r w:rsidR="0008679A">
        <w:t xml:space="preserve"> </w:t>
      </w:r>
      <w:r w:rsidR="003E65E4">
        <w:t xml:space="preserve">but </w:t>
      </w:r>
      <w:r w:rsidR="002811ED">
        <w:t>does</w:t>
      </w:r>
      <w:r w:rsidR="003E65E4">
        <w:t xml:space="preserve"> pay that </w:t>
      </w:r>
      <w:r w:rsidR="002811ED">
        <w:t>admitted liability</w:t>
      </w:r>
      <w:r w:rsidR="003E65E4">
        <w:t xml:space="preserve"> and instead insist</w:t>
      </w:r>
      <w:r w:rsidR="002811ED">
        <w:t>s</w:t>
      </w:r>
      <w:r w:rsidR="003E65E4">
        <w:t xml:space="preserve"> that such</w:t>
      </w:r>
      <w:r w:rsidR="0008679A">
        <w:t xml:space="preserve"> admitted</w:t>
      </w:r>
      <w:r w:rsidR="002811ED">
        <w:t xml:space="preserve"> indebtedness still forms </w:t>
      </w:r>
      <w:r w:rsidR="003E65E4">
        <w:t>part of an action to be launched by the respondents</w:t>
      </w:r>
      <w:r w:rsidR="002811ED">
        <w:t>.</w:t>
      </w:r>
    </w:p>
    <w:p w14:paraId="79C24BDE" w14:textId="04FAC68A" w:rsidR="0008679A" w:rsidRDefault="00A401AC" w:rsidP="00A401AC">
      <w:pPr>
        <w:pStyle w:val="ListLevel1"/>
        <w:numPr>
          <w:ilvl w:val="0"/>
          <w:numId w:val="0"/>
        </w:numPr>
        <w:ind w:left="851" w:hanging="851"/>
      </w:pPr>
      <w:r>
        <w:t>51.</w:t>
      </w:r>
      <w:r>
        <w:tab/>
      </w:r>
      <w:r w:rsidR="0008679A">
        <w:t xml:space="preserve">There is </w:t>
      </w:r>
      <w:r w:rsidR="003E65E4">
        <w:t>meri</w:t>
      </w:r>
      <w:r w:rsidR="0008679A">
        <w:t xml:space="preserve">t </w:t>
      </w:r>
      <w:r w:rsidR="000E06FE">
        <w:t>in this argument</w:t>
      </w:r>
      <w:r w:rsidR="0008679A">
        <w:t>.</w:t>
      </w:r>
    </w:p>
    <w:p w14:paraId="4AFB9E1D" w14:textId="1B14B89B" w:rsidR="002811ED" w:rsidRDefault="00A401AC" w:rsidP="00A401AC">
      <w:pPr>
        <w:pStyle w:val="ListLevel1"/>
        <w:numPr>
          <w:ilvl w:val="0"/>
          <w:numId w:val="0"/>
        </w:numPr>
        <w:ind w:left="851" w:hanging="851"/>
      </w:pPr>
      <w:r>
        <w:t>52.</w:t>
      </w:r>
      <w:r>
        <w:tab/>
      </w:r>
      <w:r w:rsidR="0008679A">
        <w:t>N</w:t>
      </w:r>
      <w:r w:rsidR="003E65E4">
        <w:t xml:space="preserve">either parties dispute that the court has the discretion to order the release of </w:t>
      </w:r>
      <w:r w:rsidR="0008679A">
        <w:t xml:space="preserve">the </w:t>
      </w:r>
      <w:r w:rsidR="003E65E4">
        <w:t xml:space="preserve">vehicle against the establishment of substitute security. </w:t>
      </w:r>
      <w:r w:rsidR="0008679A">
        <w:t xml:space="preserve">This </w:t>
      </w:r>
      <w:r w:rsidR="002811ED">
        <w:t>D</w:t>
      </w:r>
      <w:r w:rsidR="0008679A">
        <w:t>ivi</w:t>
      </w:r>
      <w:r w:rsidR="003E65E4">
        <w:t xml:space="preserve">sion </w:t>
      </w:r>
      <w:r w:rsidR="002811ED">
        <w:t xml:space="preserve">held in </w:t>
      </w:r>
      <w:r w:rsidR="002811ED" w:rsidRPr="0008679A">
        <w:rPr>
          <w:i/>
          <w:iCs/>
        </w:rPr>
        <w:t xml:space="preserve">Sandton Square Finance (Pty) Limited v Vigliotti and Another </w:t>
      </w:r>
      <w:r w:rsidR="002811ED">
        <w:t xml:space="preserve">1997 (1) SA 826 (W) </w:t>
      </w:r>
      <w:r w:rsidR="003E65E4">
        <w:t xml:space="preserve">that the court has such a </w:t>
      </w:r>
      <w:r w:rsidR="002811ED">
        <w:t>discretion</w:t>
      </w:r>
      <w:r w:rsidR="0008679A">
        <w:t xml:space="preserve"> </w:t>
      </w:r>
      <w:r w:rsidR="003E65E4">
        <w:t xml:space="preserve">notwithstanding </w:t>
      </w:r>
      <w:r w:rsidR="002811ED">
        <w:t xml:space="preserve">the </w:t>
      </w:r>
      <w:r w:rsidR="0008679A">
        <w:t>type o</w:t>
      </w:r>
      <w:r w:rsidR="003E65E4">
        <w:t>f</w:t>
      </w:r>
      <w:r w:rsidR="0008679A">
        <w:t xml:space="preserve"> lien</w:t>
      </w:r>
      <w:r w:rsidR="002811ED">
        <w:t xml:space="preserve"> </w:t>
      </w:r>
      <w:r w:rsidR="0008679A">
        <w:t>being advanced</w:t>
      </w:r>
      <w:r w:rsidR="002811ED">
        <w:t>.</w:t>
      </w:r>
    </w:p>
    <w:p w14:paraId="559344CE" w14:textId="2DB886B6" w:rsidR="00C96C21" w:rsidRDefault="00A401AC" w:rsidP="00A401AC">
      <w:pPr>
        <w:pStyle w:val="ListLevel1"/>
        <w:numPr>
          <w:ilvl w:val="0"/>
          <w:numId w:val="0"/>
        </w:numPr>
        <w:ind w:left="851" w:hanging="851"/>
      </w:pPr>
      <w:r>
        <w:t>53.</w:t>
      </w:r>
      <w:r>
        <w:tab/>
      </w:r>
      <w:r w:rsidR="0008679A">
        <w:t xml:space="preserve"> De Villiers J referred</w:t>
      </w:r>
      <w:r w:rsidR="008D317D">
        <w:rPr>
          <w:rStyle w:val="FootnoteReference"/>
        </w:rPr>
        <w:footnoteReference w:id="4"/>
      </w:r>
      <w:r w:rsidR="0008679A">
        <w:t xml:space="preserve"> to </w:t>
      </w:r>
      <w:r w:rsidR="008D317D">
        <w:rPr>
          <w:i/>
          <w:iCs/>
        </w:rPr>
        <w:t>V</w:t>
      </w:r>
      <w:r w:rsidR="0008679A" w:rsidRPr="0008679A">
        <w:rPr>
          <w:i/>
          <w:iCs/>
        </w:rPr>
        <w:t>oet</w:t>
      </w:r>
      <w:r w:rsidR="0008679A">
        <w:t xml:space="preserve"> 16.2.21 </w:t>
      </w:r>
      <w:r w:rsidR="00C96C21">
        <w:t>(Gane’s translation):</w:t>
      </w:r>
    </w:p>
    <w:p w14:paraId="20409716" w14:textId="122F8103" w:rsidR="00C96C21" w:rsidRPr="008D317D" w:rsidRDefault="00C96C21" w:rsidP="00210695">
      <w:pPr>
        <w:pStyle w:val="ListLevel2"/>
        <w:numPr>
          <w:ilvl w:val="0"/>
          <w:numId w:val="0"/>
        </w:numPr>
        <w:ind w:left="1701"/>
        <w:rPr>
          <w:b/>
          <w:bCs/>
          <w:i/>
          <w:iCs/>
        </w:rPr>
      </w:pPr>
      <w:r w:rsidRPr="008D317D">
        <w:rPr>
          <w:i/>
          <w:iCs/>
        </w:rPr>
        <w:t>“But is one who has a right of retention held liable to restore the thing to his opponent whenever the latter tenders sound security for the refund of expenses or the payment of wages? It appears that that ought to be left to the discretion of a circumspect judge according as it shall have become clear from circumstances either that he who ought to restore is deliberately aiming at holding back possession of the thing too long under cover of expenses or wages;  or on the other hand that the person owing the expenses has it in mind to recover the thing under security, and then by lengthy and pettifogging protraction of the suit to make the following up of the expenses, wages and the like a difficult matter for his opponent.”</w:t>
      </w:r>
    </w:p>
    <w:p w14:paraId="7E2A5A89" w14:textId="22B2501F" w:rsidR="00C96C21" w:rsidRDefault="00A401AC" w:rsidP="00A401AC">
      <w:pPr>
        <w:pStyle w:val="ListLevel1"/>
        <w:numPr>
          <w:ilvl w:val="0"/>
          <w:numId w:val="0"/>
        </w:numPr>
        <w:ind w:left="851" w:hanging="851"/>
      </w:pPr>
      <w:r>
        <w:t>54.</w:t>
      </w:r>
      <w:r>
        <w:tab/>
      </w:r>
      <w:r w:rsidR="00441098">
        <w:t>De Villiers J also referred</w:t>
      </w:r>
      <w:r w:rsidR="008D317D">
        <w:rPr>
          <w:rStyle w:val="FootnoteReference"/>
        </w:rPr>
        <w:footnoteReference w:id="5"/>
      </w:r>
      <w:r w:rsidR="00441098">
        <w:t xml:space="preserve"> to an early decision of this </w:t>
      </w:r>
      <w:r w:rsidR="008D317D">
        <w:t>D</w:t>
      </w:r>
      <w:r w:rsidR="00441098">
        <w:t xml:space="preserve">ivision in </w:t>
      </w:r>
      <w:r w:rsidR="00441098">
        <w:rPr>
          <w:i/>
          <w:iCs/>
        </w:rPr>
        <w:t xml:space="preserve">Ford v Reed Bros </w:t>
      </w:r>
      <w:r w:rsidR="00441098">
        <w:t>1922 TPD 266</w:t>
      </w:r>
      <w:r w:rsidR="00441098">
        <w:rPr>
          <w:rStyle w:val="FootnoteReference"/>
        </w:rPr>
        <w:footnoteReference w:id="6"/>
      </w:r>
      <w:r w:rsidR="00441098">
        <w:t xml:space="preserve"> where Mason J</w:t>
      </w:r>
      <w:r w:rsidR="008D317D">
        <w:t>, also citing Voet 16.2.21</w:t>
      </w:r>
      <w:r w:rsidR="00441098">
        <w:t xml:space="preserve"> said:</w:t>
      </w:r>
    </w:p>
    <w:p w14:paraId="28AADE40" w14:textId="32BF1892" w:rsidR="00441098" w:rsidRDefault="00441098" w:rsidP="00210695">
      <w:pPr>
        <w:pStyle w:val="ListLevel2"/>
        <w:numPr>
          <w:ilvl w:val="0"/>
          <w:numId w:val="0"/>
        </w:numPr>
        <w:ind w:left="1701"/>
      </w:pPr>
      <w:r w:rsidRPr="008D317D">
        <w:rPr>
          <w:i/>
          <w:iCs/>
        </w:rPr>
        <w:t>“The apparent hardship of giving a lien for continuous keeping such cases as these is much mitigated, if not obviated, by the rule that the owner can obtain his property upon giving security according to the discretion of the court, which is to see that the owner is not kept unreasonably out of his property, nor the claimant for expenses harassed by prolonged and unnecessary litigation.”</w:t>
      </w:r>
    </w:p>
    <w:p w14:paraId="3E2793C4" w14:textId="0C40881C" w:rsidR="00F92DC4" w:rsidRDefault="00A401AC" w:rsidP="00A401AC">
      <w:pPr>
        <w:pStyle w:val="ListLevel1"/>
        <w:numPr>
          <w:ilvl w:val="0"/>
          <w:numId w:val="0"/>
        </w:numPr>
        <w:ind w:left="851" w:hanging="851"/>
      </w:pPr>
      <w:r>
        <w:t>55.</w:t>
      </w:r>
      <w:r>
        <w:tab/>
      </w:r>
      <w:r w:rsidR="00441098">
        <w:t xml:space="preserve">To </w:t>
      </w:r>
      <w:r w:rsidR="003E65E4">
        <w:t xml:space="preserve">permit the applicant to hold back on making payment of the admitted </w:t>
      </w:r>
      <w:r w:rsidR="008D317D">
        <w:t xml:space="preserve">portion of the indebtedness in an amount of </w:t>
      </w:r>
      <w:r w:rsidR="00F92DC4">
        <w:t>R</w:t>
      </w:r>
      <w:r w:rsidR="003E65E4">
        <w:t>2</w:t>
      </w:r>
      <w:r w:rsidR="00F92DC4">
        <w:t> </w:t>
      </w:r>
      <w:r w:rsidR="003E65E4">
        <w:t xml:space="preserve">939.94 and require of the respondents nonetheless to institute action in relation to that admitted </w:t>
      </w:r>
      <w:r w:rsidR="008D317D">
        <w:t>indebtedness</w:t>
      </w:r>
      <w:r w:rsidR="00F92DC4">
        <w:t xml:space="preserve"> w</w:t>
      </w:r>
      <w:r w:rsidR="003E65E4">
        <w:t xml:space="preserve">hile still requiring that the vehicle be released </w:t>
      </w:r>
      <w:r w:rsidR="00F92DC4">
        <w:t xml:space="preserve">to her would amount to pettifogging, to </w:t>
      </w:r>
      <w:r w:rsidR="003E65E4">
        <w:t xml:space="preserve">use the </w:t>
      </w:r>
      <w:r w:rsidR="008D317D">
        <w:t xml:space="preserve">phraseology </w:t>
      </w:r>
      <w:r w:rsidR="00F92DC4">
        <w:t>from</w:t>
      </w:r>
      <w:r w:rsidR="008D317D">
        <w:t xml:space="preserve"> the translated</w:t>
      </w:r>
      <w:r w:rsidR="00F92DC4">
        <w:t xml:space="preserve"> </w:t>
      </w:r>
      <w:r w:rsidR="008D317D">
        <w:rPr>
          <w:i/>
          <w:iCs/>
        </w:rPr>
        <w:t>V</w:t>
      </w:r>
      <w:r w:rsidR="00F92DC4" w:rsidRPr="00F92DC4">
        <w:rPr>
          <w:i/>
          <w:iCs/>
        </w:rPr>
        <w:t>oet</w:t>
      </w:r>
      <w:r w:rsidR="00F92DC4">
        <w:t xml:space="preserve">. But, in my view, this should not </w:t>
      </w:r>
      <w:r w:rsidR="003E65E4">
        <w:t xml:space="preserve">translate into the applicant </w:t>
      </w:r>
      <w:r w:rsidR="00F92DC4">
        <w:t xml:space="preserve">failing </w:t>
      </w:r>
      <w:r w:rsidR="003E65E4">
        <w:t>in her applicatio</w:t>
      </w:r>
      <w:r w:rsidR="00F92DC4">
        <w:t xml:space="preserve">n. Rather, </w:t>
      </w:r>
      <w:r w:rsidR="003E65E4">
        <w:t>given the equitable</w:t>
      </w:r>
      <w:r w:rsidR="00F92DC4">
        <w:t xml:space="preserve"> </w:t>
      </w:r>
      <w:r w:rsidR="003E65E4">
        <w:t xml:space="preserve">nature of the remedy to </w:t>
      </w:r>
      <w:r w:rsidR="00F92DC4">
        <w:t xml:space="preserve">order </w:t>
      </w:r>
      <w:r w:rsidR="003E65E4">
        <w:t>substituted security</w:t>
      </w:r>
      <w:r w:rsidR="00F92DC4">
        <w:t xml:space="preserve">, </w:t>
      </w:r>
      <w:r w:rsidR="003E65E4">
        <w:t xml:space="preserve">the applicant </w:t>
      </w:r>
      <w:r w:rsidR="000E06FE">
        <w:t>is</w:t>
      </w:r>
      <w:r w:rsidR="003E65E4">
        <w:t xml:space="preserve"> to pay this admitted amount </w:t>
      </w:r>
      <w:r w:rsidR="00F92DC4">
        <w:t xml:space="preserve">to the </w:t>
      </w:r>
      <w:r w:rsidR="003E65E4">
        <w:t xml:space="preserve">respondents </w:t>
      </w:r>
      <w:r w:rsidR="00F92DC4">
        <w:t xml:space="preserve">before she </w:t>
      </w:r>
      <w:r w:rsidR="003E65E4">
        <w:t>can obtain the release of her vehicle</w:t>
      </w:r>
      <w:r w:rsidR="00F92DC4">
        <w:t>.</w:t>
      </w:r>
    </w:p>
    <w:p w14:paraId="0CB4B1BD" w14:textId="2AEE1FA3" w:rsidR="000E06FE" w:rsidRDefault="00A401AC" w:rsidP="00A401AC">
      <w:pPr>
        <w:pStyle w:val="ListLevel1"/>
        <w:numPr>
          <w:ilvl w:val="0"/>
          <w:numId w:val="0"/>
        </w:numPr>
        <w:ind w:left="851" w:hanging="851"/>
      </w:pPr>
      <w:r>
        <w:t>56.</w:t>
      </w:r>
      <w:r>
        <w:tab/>
      </w:r>
      <w:r w:rsidR="0013010A">
        <w:t>As to the</w:t>
      </w:r>
      <w:r w:rsidR="003E65E4">
        <w:t xml:space="preserve"> respondents</w:t>
      </w:r>
      <w:r w:rsidR="00F92DC4">
        <w:t>’</w:t>
      </w:r>
      <w:r w:rsidR="003E65E4">
        <w:t xml:space="preserve"> contention that the</w:t>
      </w:r>
      <w:r w:rsidR="0013010A">
        <w:t xml:space="preserve"> extent of the</w:t>
      </w:r>
      <w:r w:rsidR="003E65E4">
        <w:t xml:space="preserve"> security is inadequate because </w:t>
      </w:r>
      <w:r w:rsidR="00F92DC4">
        <w:t xml:space="preserve">it </w:t>
      </w:r>
      <w:r w:rsidR="003E65E4">
        <w:t xml:space="preserve">does not cover the storage </w:t>
      </w:r>
      <w:r w:rsidR="00CC5226">
        <w:t>costs</w:t>
      </w:r>
      <w:r w:rsidR="0013010A">
        <w:t xml:space="preserve">, </w:t>
      </w:r>
      <w:r w:rsidR="00F92DC4">
        <w:t xml:space="preserve">in </w:t>
      </w:r>
      <w:r w:rsidR="00F92DC4">
        <w:rPr>
          <w:i/>
          <w:iCs/>
        </w:rPr>
        <w:t>Sandton Square</w:t>
      </w:r>
      <w:r w:rsidR="00F92DC4">
        <w:t>,</w:t>
      </w:r>
      <w:r w:rsidR="000E06FE">
        <w:rPr>
          <w:rStyle w:val="FootnoteReference"/>
        </w:rPr>
        <w:footnoteReference w:id="7"/>
      </w:r>
      <w:r w:rsidR="00F92DC4">
        <w:t xml:space="preserve"> with reference to </w:t>
      </w:r>
      <w:r w:rsidR="00F92DC4" w:rsidRPr="00863289">
        <w:rPr>
          <w:i/>
          <w:iCs/>
        </w:rPr>
        <w:t xml:space="preserve">Buzzard Electrical (Pty) Limited v 158 Jan Smuts Avenue Investments (Pty) Limited </w:t>
      </w:r>
      <w:r w:rsidR="00863289" w:rsidRPr="00863289">
        <w:rPr>
          <w:i/>
          <w:iCs/>
        </w:rPr>
        <w:t>en ‘n Ander</w:t>
      </w:r>
      <w:r w:rsidR="00863289">
        <w:t xml:space="preserve"> 1996 (4) SA 19 (A),</w:t>
      </w:r>
      <w:r w:rsidR="00B607E9">
        <w:rPr>
          <w:rStyle w:val="FootnoteReference"/>
        </w:rPr>
        <w:footnoteReference w:id="8"/>
      </w:r>
      <w:r w:rsidR="00863289">
        <w:t xml:space="preserve"> </w:t>
      </w:r>
      <w:r w:rsidR="000E06FE">
        <w:t>the court affirmed</w:t>
      </w:r>
      <w:r w:rsidR="003E65E4">
        <w:t xml:space="preserve"> a right </w:t>
      </w:r>
      <w:r w:rsidR="00863289">
        <w:t xml:space="preserve">of </w:t>
      </w:r>
      <w:r w:rsidR="003E65E4">
        <w:t>retention cannot exist in a vacuum</w:t>
      </w:r>
      <w:r w:rsidR="0013010A">
        <w:t xml:space="preserve"> but</w:t>
      </w:r>
      <w:r w:rsidR="003E65E4">
        <w:t xml:space="preserve"> </w:t>
      </w:r>
      <w:r w:rsidR="000E06FE">
        <w:t>is</w:t>
      </w:r>
      <w:r w:rsidR="003E65E4">
        <w:t xml:space="preserve"> to be supported by an underlying claim</w:t>
      </w:r>
      <w:r w:rsidR="00863289">
        <w:t xml:space="preserve">, </w:t>
      </w:r>
      <w:r w:rsidR="003E65E4">
        <w:t>such as in unjustified enrichment</w:t>
      </w:r>
      <w:r w:rsidR="00863289">
        <w:t>, i</w:t>
      </w:r>
      <w:r w:rsidR="003E65E4">
        <w:t>n respect</w:t>
      </w:r>
      <w:r w:rsidR="00863289">
        <w:t xml:space="preserve"> of an </w:t>
      </w:r>
      <w:r w:rsidR="003E65E4">
        <w:t>enrichment</w:t>
      </w:r>
      <w:r w:rsidR="00863289">
        <w:t xml:space="preserve"> lien, or in contract, </w:t>
      </w:r>
      <w:r w:rsidR="0013010A">
        <w:t>in respect of</w:t>
      </w:r>
      <w:r w:rsidR="00863289">
        <w:t xml:space="preserve"> a debtor / creditor lien.</w:t>
      </w:r>
      <w:r w:rsidR="00863289">
        <w:rPr>
          <w:rStyle w:val="FootnoteReference"/>
        </w:rPr>
        <w:footnoteReference w:id="9"/>
      </w:r>
      <w:r w:rsidR="00863289">
        <w:t xml:space="preserve"> </w:t>
      </w:r>
      <w:r w:rsidR="00B607E9">
        <w:t xml:space="preserve"> </w:t>
      </w:r>
    </w:p>
    <w:p w14:paraId="26B42F5D" w14:textId="7D290D3F" w:rsidR="00863289" w:rsidRDefault="00A401AC" w:rsidP="00A401AC">
      <w:pPr>
        <w:pStyle w:val="ListLevel1"/>
        <w:numPr>
          <w:ilvl w:val="0"/>
          <w:numId w:val="0"/>
        </w:numPr>
        <w:ind w:left="851" w:hanging="851"/>
      </w:pPr>
      <w:r>
        <w:t>57.</w:t>
      </w:r>
      <w:r>
        <w:tab/>
      </w:r>
      <w:r w:rsidR="00B607E9">
        <w:t>As described earlier in this judgment, t</w:t>
      </w:r>
      <w:r w:rsidR="00863289">
        <w:t xml:space="preserve">he respondents </w:t>
      </w:r>
      <w:r w:rsidR="003E65E4">
        <w:t>have</w:t>
      </w:r>
      <w:r w:rsidR="00B607E9">
        <w:t>, on the evidence before me,</w:t>
      </w:r>
      <w:r w:rsidR="003E65E4">
        <w:t xml:space="preserve"> failed to </w:t>
      </w:r>
      <w:r w:rsidR="00B607E9">
        <w:t xml:space="preserve">establish </w:t>
      </w:r>
      <w:r w:rsidR="003E65E4">
        <w:t xml:space="preserve">an agreement that the applicant would pay </w:t>
      </w:r>
      <w:r w:rsidR="000E06FE">
        <w:t xml:space="preserve">for </w:t>
      </w:r>
      <w:r w:rsidR="003E65E4">
        <w:t>storage</w:t>
      </w:r>
      <w:r w:rsidR="000E06FE">
        <w:t>,</w:t>
      </w:r>
      <w:r w:rsidR="003E65E4">
        <w:t xml:space="preserve"> and therefore </w:t>
      </w:r>
      <w:r w:rsidR="00863289">
        <w:t xml:space="preserve">such </w:t>
      </w:r>
      <w:r w:rsidR="003E65E4">
        <w:t xml:space="preserve">storage </w:t>
      </w:r>
      <w:r w:rsidR="00CC5226">
        <w:t>costs</w:t>
      </w:r>
      <w:r w:rsidR="00863289">
        <w:t xml:space="preserve"> cannot </w:t>
      </w:r>
      <w:r w:rsidR="003E65E4">
        <w:t xml:space="preserve">not fall within the ambit of </w:t>
      </w:r>
      <w:r w:rsidR="00B607E9">
        <w:t xml:space="preserve">a </w:t>
      </w:r>
      <w:r w:rsidR="00863289">
        <w:t>debtor / creditor lien</w:t>
      </w:r>
      <w:r w:rsidR="003E65E4">
        <w:t xml:space="preserve">. </w:t>
      </w:r>
      <w:r w:rsidR="00863289">
        <w:t xml:space="preserve">Further, as appears above, the </w:t>
      </w:r>
      <w:r w:rsidR="003E65E4">
        <w:t>respondents t</w:t>
      </w:r>
      <w:r w:rsidR="00863289">
        <w:t>o</w:t>
      </w:r>
      <w:r w:rsidR="003E65E4">
        <w:t xml:space="preserve">o have not set out a sustainable basis on the evidence </w:t>
      </w:r>
      <w:r w:rsidR="00863289">
        <w:t xml:space="preserve">before me </w:t>
      </w:r>
      <w:r w:rsidR="003E65E4">
        <w:t xml:space="preserve">that either of them have a claim in unjustified enrichment to sustain an enrichment </w:t>
      </w:r>
      <w:r w:rsidR="00863289">
        <w:t xml:space="preserve">lien </w:t>
      </w:r>
      <w:r w:rsidR="003E65E4">
        <w:t xml:space="preserve">in respect of the storage </w:t>
      </w:r>
      <w:r w:rsidR="00CC5226">
        <w:t>costs</w:t>
      </w:r>
      <w:r w:rsidR="00863289">
        <w:t xml:space="preserve">. </w:t>
      </w:r>
    </w:p>
    <w:p w14:paraId="6A6F7BAC" w14:textId="3182ACB9" w:rsidR="004C2C63" w:rsidRDefault="00A401AC" w:rsidP="00A401AC">
      <w:pPr>
        <w:pStyle w:val="ListLevel1"/>
        <w:numPr>
          <w:ilvl w:val="0"/>
          <w:numId w:val="0"/>
        </w:numPr>
        <w:ind w:left="851" w:hanging="851"/>
      </w:pPr>
      <w:r>
        <w:t>58.</w:t>
      </w:r>
      <w:r>
        <w:tab/>
      </w:r>
      <w:r w:rsidR="00863289">
        <w:t xml:space="preserve">In </w:t>
      </w:r>
      <w:r w:rsidR="003E65E4">
        <w:t>the circumstances</w:t>
      </w:r>
      <w:r w:rsidR="00863289">
        <w:t xml:space="preserve">, </w:t>
      </w:r>
      <w:r w:rsidR="003E65E4">
        <w:t xml:space="preserve">I </w:t>
      </w:r>
      <w:r w:rsidR="00863289">
        <w:t xml:space="preserve">find </w:t>
      </w:r>
      <w:r w:rsidR="003E65E4">
        <w:t xml:space="preserve">that the security is not inadequate insofar as </w:t>
      </w:r>
      <w:r w:rsidR="00863289">
        <w:t xml:space="preserve">it </w:t>
      </w:r>
      <w:r w:rsidR="003E65E4">
        <w:t xml:space="preserve">does not extend to cover the storage </w:t>
      </w:r>
      <w:r w:rsidR="00CC5226">
        <w:t>costs</w:t>
      </w:r>
      <w:r w:rsidR="003E65E4">
        <w:t xml:space="preserve">. Although the applicant has included a nominal amount in respect of storage </w:t>
      </w:r>
      <w:r w:rsidR="00CC5226">
        <w:t>costs</w:t>
      </w:r>
      <w:r w:rsidR="003E65E4">
        <w:t xml:space="preserve"> in her tendered security</w:t>
      </w:r>
      <w:r w:rsidR="004C2C63">
        <w:t>, b</w:t>
      </w:r>
      <w:r w:rsidR="003E65E4">
        <w:t xml:space="preserve">eing the difference between </w:t>
      </w:r>
      <w:r w:rsidR="004C2C63">
        <w:t>the te</w:t>
      </w:r>
      <w:r w:rsidR="003E65E4">
        <w:t xml:space="preserve">ndered amount of </w:t>
      </w:r>
      <w:r w:rsidR="004C2C63">
        <w:t>R</w:t>
      </w:r>
      <w:r w:rsidR="003E65E4">
        <w:t>23</w:t>
      </w:r>
      <w:r w:rsidR="004C2C63">
        <w:t> </w:t>
      </w:r>
      <w:r w:rsidR="003E65E4">
        <w:t>3</w:t>
      </w:r>
      <w:r w:rsidR="004C2C63">
        <w:t>25.95 a</w:t>
      </w:r>
      <w:r w:rsidR="003E65E4">
        <w:t xml:space="preserve">nd the outstanding amount for repairs of </w:t>
      </w:r>
      <w:r w:rsidR="004C2C63">
        <w:t>R</w:t>
      </w:r>
      <w:r w:rsidR="003E65E4">
        <w:t>21</w:t>
      </w:r>
      <w:r w:rsidR="004C2C63">
        <w:t> </w:t>
      </w:r>
      <w:r w:rsidR="003E65E4">
        <w:t>325</w:t>
      </w:r>
      <w:r w:rsidR="004C2C63">
        <w:t>.</w:t>
      </w:r>
      <w:r w:rsidR="003E65E4">
        <w:t>95</w:t>
      </w:r>
      <w:r w:rsidR="004C2C63">
        <w:t xml:space="preserve">, I do not </w:t>
      </w:r>
      <w:r w:rsidR="003E65E4">
        <w:t>view this as being destructive of the overall tenor of the applicant</w:t>
      </w:r>
      <w:r w:rsidR="004C2C63">
        <w:t>’</w:t>
      </w:r>
      <w:r w:rsidR="003E65E4">
        <w:t>s</w:t>
      </w:r>
      <w:r w:rsidR="004C2C63">
        <w:t xml:space="preserve"> </w:t>
      </w:r>
      <w:r w:rsidR="003E65E4">
        <w:t>challenge that she</w:t>
      </w:r>
      <w:r w:rsidR="004C2C63">
        <w:t xml:space="preserve"> is </w:t>
      </w:r>
      <w:r w:rsidR="003E65E4">
        <w:t xml:space="preserve">not liable for storage </w:t>
      </w:r>
      <w:r w:rsidR="00CC5226">
        <w:t>costs</w:t>
      </w:r>
      <w:r w:rsidR="00B607E9">
        <w:t>.</w:t>
      </w:r>
      <w:r w:rsidR="003E65E4">
        <w:t xml:space="preserve"> </w:t>
      </w:r>
    </w:p>
    <w:p w14:paraId="05411341" w14:textId="015EEBA4" w:rsidR="001D22E2" w:rsidRDefault="00A401AC" w:rsidP="00A401AC">
      <w:pPr>
        <w:pStyle w:val="ListLevel1"/>
        <w:numPr>
          <w:ilvl w:val="0"/>
          <w:numId w:val="0"/>
        </w:numPr>
        <w:ind w:left="851" w:hanging="851"/>
      </w:pPr>
      <w:r>
        <w:t>59.</w:t>
      </w:r>
      <w:r>
        <w:tab/>
      </w:r>
      <w:r w:rsidR="000E06FE">
        <w:t>The</w:t>
      </w:r>
      <w:r w:rsidR="00ED376E">
        <w:t xml:space="preserve"> </w:t>
      </w:r>
      <w:r w:rsidR="003E65E4">
        <w:t>applicant has</w:t>
      </w:r>
      <w:r w:rsidR="000E06FE">
        <w:t xml:space="preserve"> not</w:t>
      </w:r>
      <w:r w:rsidR="003E65E4">
        <w:t xml:space="preserve"> engaged in conduct of such a nature that would lead me to find that she should be refused the equitable remedy of establishing substitute security</w:t>
      </w:r>
      <w:r w:rsidR="004C2C63">
        <w:t>. Once the O</w:t>
      </w:r>
      <w:r w:rsidR="003E65E4">
        <w:t xml:space="preserve">mbuds </w:t>
      </w:r>
      <w:r w:rsidR="004C2C63">
        <w:t xml:space="preserve">had </w:t>
      </w:r>
      <w:r w:rsidR="003E65E4">
        <w:t>made a recommendation against the applicant</w:t>
      </w:r>
      <w:r w:rsidR="004C2C63">
        <w:t xml:space="preserve">, </w:t>
      </w:r>
      <w:r w:rsidR="003E65E4">
        <w:t>her attorney</w:t>
      </w:r>
      <w:r w:rsidR="004C2C63">
        <w:t xml:space="preserve">s on </w:t>
      </w:r>
      <w:r w:rsidR="003E65E4">
        <w:t>three separate occasions</w:t>
      </w:r>
      <w:r w:rsidR="004C2C63">
        <w:t xml:space="preserve"> t</w:t>
      </w:r>
      <w:r w:rsidR="003E65E4">
        <w:t>ende</w:t>
      </w:r>
      <w:r w:rsidR="004C2C63">
        <w:t>re</w:t>
      </w:r>
      <w:r w:rsidR="003E65E4">
        <w:t xml:space="preserve">d on her behalf to pay the outstanding amount for repairs against the release of </w:t>
      </w:r>
      <w:r w:rsidR="004C2C63">
        <w:t>t</w:t>
      </w:r>
      <w:r w:rsidR="003E65E4">
        <w:t>he vehicle</w:t>
      </w:r>
      <w:r w:rsidR="004C2C63">
        <w:t xml:space="preserve">. The </w:t>
      </w:r>
      <w:r w:rsidR="003E65E4">
        <w:t xml:space="preserve">respondents refused that tender and instead sought to seek storage </w:t>
      </w:r>
      <w:r w:rsidR="00CC5226">
        <w:t>costs</w:t>
      </w:r>
      <w:r w:rsidR="003E65E4">
        <w:t xml:space="preserve"> which </w:t>
      </w:r>
      <w:r w:rsidR="00ED376E">
        <w:t xml:space="preserve">were then </w:t>
      </w:r>
      <w:r w:rsidR="003E65E4">
        <w:t xml:space="preserve">already threefold the outstanding </w:t>
      </w:r>
      <w:r w:rsidR="00ED376E">
        <w:t>balance for the repairs</w:t>
      </w:r>
      <w:r w:rsidR="001D22E2">
        <w:t xml:space="preserve">. Having forced </w:t>
      </w:r>
      <w:r w:rsidR="003E65E4">
        <w:t xml:space="preserve">the applicant to approach the </w:t>
      </w:r>
      <w:r w:rsidR="001D22E2">
        <w:t>court</w:t>
      </w:r>
      <w:r w:rsidR="00512B96">
        <w:t xml:space="preserve"> for relief</w:t>
      </w:r>
      <w:r w:rsidR="001D22E2">
        <w:t>, t</w:t>
      </w:r>
      <w:r w:rsidR="003E65E4">
        <w:t xml:space="preserve">he respondents </w:t>
      </w:r>
      <w:r w:rsidR="001D22E2">
        <w:t xml:space="preserve">cannot be heard to complain </w:t>
      </w:r>
      <w:r w:rsidR="003E65E4">
        <w:t>that the applicant</w:t>
      </w:r>
      <w:r w:rsidR="00512B96">
        <w:t xml:space="preserve"> now</w:t>
      </w:r>
      <w:r w:rsidR="003E65E4">
        <w:t xml:space="preserve"> insist</w:t>
      </w:r>
      <w:r w:rsidR="00512B96">
        <w:t>s</w:t>
      </w:r>
      <w:r w:rsidR="003E65E4">
        <w:t xml:space="preserve"> on seeing</w:t>
      </w:r>
      <w:r w:rsidR="00512B96">
        <w:t xml:space="preserve"> through the present</w:t>
      </w:r>
      <w:r w:rsidR="003E65E4">
        <w:t xml:space="preserve"> proceedings rather than revert</w:t>
      </w:r>
      <w:r w:rsidR="001D22E2">
        <w:t>ing t</w:t>
      </w:r>
      <w:r w:rsidR="003E65E4">
        <w:t>o her</w:t>
      </w:r>
      <w:r w:rsidR="001D22E2">
        <w:t xml:space="preserve"> tender </w:t>
      </w:r>
      <w:r w:rsidR="003E65E4">
        <w:t>in July 2021</w:t>
      </w:r>
      <w:r w:rsidR="001D22E2">
        <w:t xml:space="preserve"> </w:t>
      </w:r>
      <w:r w:rsidR="003E65E4">
        <w:t>to make payment</w:t>
      </w:r>
      <w:r w:rsidR="00CC5226">
        <w:t xml:space="preserve"> of the balance</w:t>
      </w:r>
      <w:r w:rsidR="003E65E4">
        <w:t xml:space="preserve"> </w:t>
      </w:r>
      <w:r w:rsidR="00CC5226">
        <w:t xml:space="preserve">for </w:t>
      </w:r>
      <w:r w:rsidR="003E65E4">
        <w:t>the repair</w:t>
      </w:r>
      <w:r w:rsidR="00CC5226">
        <w:t>s</w:t>
      </w:r>
      <w:r w:rsidR="00BC5E7E">
        <w:t xml:space="preserve"> against release of the vehicle.</w:t>
      </w:r>
    </w:p>
    <w:p w14:paraId="6F9C378A" w14:textId="40A47D12" w:rsidR="00512B96" w:rsidRDefault="00A401AC" w:rsidP="00A401AC">
      <w:pPr>
        <w:pStyle w:val="ListLevel1"/>
        <w:numPr>
          <w:ilvl w:val="0"/>
          <w:numId w:val="0"/>
        </w:numPr>
        <w:ind w:left="851" w:hanging="851"/>
      </w:pPr>
      <w:r>
        <w:t>60.</w:t>
      </w:r>
      <w:r>
        <w:tab/>
      </w:r>
      <w:r w:rsidR="001D22E2">
        <w:t xml:space="preserve">The </w:t>
      </w:r>
      <w:r w:rsidR="003E65E4">
        <w:t xml:space="preserve">applicant is being </w:t>
      </w:r>
      <w:r w:rsidR="001D22E2">
        <w:t xml:space="preserve">kept </w:t>
      </w:r>
      <w:r w:rsidR="003E65E4">
        <w:t>out o</w:t>
      </w:r>
      <w:r w:rsidR="001D22E2">
        <w:t xml:space="preserve">f her possession </w:t>
      </w:r>
      <w:r w:rsidR="003E65E4">
        <w:t xml:space="preserve">and use of her vehicle which by all accounts is worth considerably more than the </w:t>
      </w:r>
      <w:r w:rsidR="001D22E2">
        <w:t xml:space="preserve">outstanding </w:t>
      </w:r>
      <w:r w:rsidR="00BC5E7E">
        <w:t xml:space="preserve">balance for the </w:t>
      </w:r>
      <w:r w:rsidR="003E65E4">
        <w:t>repair</w:t>
      </w:r>
      <w:r w:rsidR="00BC5E7E">
        <w:t>s</w:t>
      </w:r>
      <w:r w:rsidR="003E65E4">
        <w:t xml:space="preserve">. </w:t>
      </w:r>
    </w:p>
    <w:p w14:paraId="25BAA469" w14:textId="744971ED" w:rsidR="00CD11B2" w:rsidRDefault="00A401AC" w:rsidP="00A401AC">
      <w:pPr>
        <w:pStyle w:val="ListLevel1"/>
        <w:numPr>
          <w:ilvl w:val="0"/>
          <w:numId w:val="0"/>
        </w:numPr>
        <w:ind w:left="851" w:hanging="851"/>
      </w:pPr>
      <w:r>
        <w:t>61.</w:t>
      </w:r>
      <w:r>
        <w:tab/>
      </w:r>
      <w:r w:rsidR="00BC5E7E">
        <w:t xml:space="preserve">Should further legal proceedings be instituted, it will take many months if not years before those proceedings are finalised and where it appears that the respondents continue to assert that the applicant is to pay for storage that accumulates on a daily basis. </w:t>
      </w:r>
      <w:r w:rsidR="00512B96">
        <w:t xml:space="preserve">A substitution of security would </w:t>
      </w:r>
      <w:r w:rsidR="00BC5E7E">
        <w:t>halt this claim from</w:t>
      </w:r>
      <w:r w:rsidR="00512B96">
        <w:t xml:space="preserve"> continuing to increase.</w:t>
      </w:r>
    </w:p>
    <w:p w14:paraId="6C12C73A" w14:textId="3A1FE2B8" w:rsidR="00922586" w:rsidRDefault="00A401AC" w:rsidP="00A401AC">
      <w:pPr>
        <w:pStyle w:val="ListLevel1"/>
        <w:numPr>
          <w:ilvl w:val="0"/>
          <w:numId w:val="0"/>
        </w:numPr>
        <w:ind w:left="851" w:hanging="851"/>
      </w:pPr>
      <w:r>
        <w:t>62.</w:t>
      </w:r>
      <w:r>
        <w:tab/>
      </w:r>
      <w:r w:rsidR="00922586">
        <w:t xml:space="preserve">In </w:t>
      </w:r>
      <w:r w:rsidR="00922586" w:rsidRPr="00AF095B">
        <w:rPr>
          <w:i/>
          <w:iCs/>
        </w:rPr>
        <w:t>Real Security Law</w:t>
      </w:r>
      <w:r w:rsidR="00922586">
        <w:t>,</w:t>
      </w:r>
      <w:r w:rsidR="00AF095B">
        <w:rPr>
          <w:rStyle w:val="FootnoteReference"/>
        </w:rPr>
        <w:footnoteReference w:id="10"/>
      </w:r>
      <w:r w:rsidR="00922586">
        <w:t xml:space="preserve"> R</w:t>
      </w:r>
      <w:r w:rsidR="00AF095B">
        <w:t>eghard</w:t>
      </w:r>
      <w:r w:rsidR="00922586">
        <w:t xml:space="preserve"> Brits argues that:</w:t>
      </w:r>
    </w:p>
    <w:p w14:paraId="7E3AA855" w14:textId="5920DD21" w:rsidR="00922586" w:rsidRPr="00D06680" w:rsidRDefault="00922586" w:rsidP="00D06680">
      <w:pPr>
        <w:pStyle w:val="ListLevel1"/>
        <w:numPr>
          <w:ilvl w:val="0"/>
          <w:numId w:val="0"/>
        </w:numPr>
        <w:ind w:left="851"/>
        <w:rPr>
          <w:i/>
          <w:iCs/>
        </w:rPr>
      </w:pPr>
      <w:r w:rsidRPr="00D06680">
        <w:rPr>
          <w:i/>
          <w:iCs/>
        </w:rPr>
        <w:t xml:space="preserve">“Since the acceptance of alternative security would be less invasive to the owner’s right to freely enjoy and exploit his property than the continued exercise of </w:t>
      </w:r>
      <w:r w:rsidR="00D06680" w:rsidRPr="00D06680">
        <w:rPr>
          <w:i/>
          <w:iCs/>
        </w:rPr>
        <w:t xml:space="preserve">the lien, it seems that there is also a constitutional imperative that favours the release of the lien if at all possible. After all, </w:t>
      </w:r>
      <w:r w:rsidRPr="00D06680">
        <w:rPr>
          <w:i/>
          <w:iCs/>
        </w:rPr>
        <w:t>the suspension of the owner’s right to vindicate his property amounts to a deprivation of property for purposes of section 25(1) of the Constitution</w:t>
      </w:r>
      <w:r w:rsidR="00D06680" w:rsidRPr="00D06680">
        <w:rPr>
          <w:i/>
          <w:iCs/>
        </w:rPr>
        <w:t xml:space="preserve">. </w:t>
      </w:r>
      <w:r w:rsidRPr="00D06680">
        <w:rPr>
          <w:i/>
          <w:iCs/>
        </w:rPr>
        <w:t xml:space="preserve"> </w:t>
      </w:r>
      <w:r w:rsidR="00D06680" w:rsidRPr="00D06680">
        <w:rPr>
          <w:i/>
          <w:iCs/>
        </w:rPr>
        <w:t>A</w:t>
      </w:r>
      <w:r w:rsidRPr="00D06680">
        <w:rPr>
          <w:i/>
          <w:iCs/>
        </w:rPr>
        <w:t>lthough this kind of deprivation should generally be justifiable</w:t>
      </w:r>
      <w:r w:rsidR="00D06680" w:rsidRPr="00D06680">
        <w:rPr>
          <w:i/>
          <w:iCs/>
        </w:rPr>
        <w:t xml:space="preserve"> due to the equitable considerations surrounding the owner’s enrichment at the retentor’s expense (or the legitimate contractual debt), the impact on the exercise of the owner’s property rights should also not be arbitrary. It should not go further than what is necessary to achieve the equitable purpose. In this regard, the possibility of releasing the lien in exchange for alternative security is a useful mechanism for courts to ensure that the exercise of a lien does not have disproportionate or arbitrary consequences.”</w:t>
      </w:r>
    </w:p>
    <w:p w14:paraId="14E401BB" w14:textId="591C9F80" w:rsidR="00CD11B2" w:rsidRDefault="00A401AC" w:rsidP="00A401AC">
      <w:pPr>
        <w:pStyle w:val="ListLevel1"/>
        <w:numPr>
          <w:ilvl w:val="0"/>
          <w:numId w:val="0"/>
        </w:numPr>
        <w:ind w:left="851" w:hanging="851"/>
      </w:pPr>
      <w:r>
        <w:t>63.</w:t>
      </w:r>
      <w:r>
        <w:tab/>
      </w:r>
      <w:r w:rsidR="00AF095B">
        <w:t xml:space="preserve">Without necessarily endorsing the view that there is </w:t>
      </w:r>
      <w:r w:rsidR="00AF095B" w:rsidRPr="00AF095B">
        <w:t>a constitutional imperative that favours the release of the lien “if at all possible”</w:t>
      </w:r>
      <w:r w:rsidR="00AF095B">
        <w:t xml:space="preserve">, it reinforces the exercise of </w:t>
      </w:r>
      <w:r w:rsidR="003E65E4">
        <w:t>my discretion</w:t>
      </w:r>
      <w:r w:rsidR="00AF095B">
        <w:t xml:space="preserve"> that in all the circumstances</w:t>
      </w:r>
      <w:r w:rsidR="0074664B">
        <w:t xml:space="preserve"> </w:t>
      </w:r>
      <w:r w:rsidR="007C05A1">
        <w:t>substitute security should be ordered,</w:t>
      </w:r>
      <w:r w:rsidR="00CD11B2">
        <w:t xml:space="preserve"> subject </w:t>
      </w:r>
      <w:r w:rsidR="003E65E4">
        <w:t xml:space="preserve">to </w:t>
      </w:r>
      <w:r w:rsidR="007C05A1">
        <w:t xml:space="preserve">the applicant </w:t>
      </w:r>
      <w:r w:rsidR="003E65E4">
        <w:t xml:space="preserve">paying the undisputed amount of </w:t>
      </w:r>
      <w:r w:rsidR="00CD11B2">
        <w:t>R2 939.94</w:t>
      </w:r>
      <w:r w:rsidR="00512B96">
        <w:t xml:space="preserve"> to the respondents.</w:t>
      </w:r>
    </w:p>
    <w:p w14:paraId="615A2EF2" w14:textId="5B3D48BF" w:rsidR="00512B96" w:rsidRDefault="00A401AC" w:rsidP="00A401AC">
      <w:pPr>
        <w:pStyle w:val="ListLevel1"/>
        <w:numPr>
          <w:ilvl w:val="0"/>
          <w:numId w:val="0"/>
        </w:numPr>
        <w:ind w:left="851" w:hanging="851"/>
      </w:pPr>
      <w:r>
        <w:t>64.</w:t>
      </w:r>
      <w:r>
        <w:tab/>
      </w:r>
      <w:r w:rsidR="00512B96">
        <w:t xml:space="preserve">For purposes of clarity, I do not find definitively that the respondents are not entitled to storage </w:t>
      </w:r>
      <w:r w:rsidR="00922586">
        <w:t>costs</w:t>
      </w:r>
      <w:r w:rsidR="00512B96">
        <w:t xml:space="preserve"> and the respondents are liberty</w:t>
      </w:r>
      <w:r w:rsidR="00512B96">
        <w:rPr>
          <w:b/>
          <w:bCs/>
        </w:rPr>
        <w:t xml:space="preserve"> </w:t>
      </w:r>
      <w:r w:rsidR="00512B96">
        <w:t xml:space="preserve">to institute action for the recovery of those </w:t>
      </w:r>
      <w:r w:rsidR="00922586">
        <w:t>costs</w:t>
      </w:r>
      <w:r w:rsidR="00512B96">
        <w:t xml:space="preserve">. Rather I find that the respondents have </w:t>
      </w:r>
      <w:r w:rsidR="00BC5E7E">
        <w:t>adduced</w:t>
      </w:r>
      <w:r w:rsidR="0074664B">
        <w:t xml:space="preserve"> insufficient </w:t>
      </w:r>
      <w:r w:rsidR="00512B96">
        <w:t xml:space="preserve">evidence in these proceedings in relation to a claim for storage to enable me to exercise my discretion in their favour insofar as the substitute security is to include </w:t>
      </w:r>
      <w:r w:rsidR="000B5AFC">
        <w:t>security for such a claim.</w:t>
      </w:r>
      <w:r w:rsidR="00512B96">
        <w:t xml:space="preserve"> </w:t>
      </w:r>
    </w:p>
    <w:p w14:paraId="17702191" w14:textId="40175C50" w:rsidR="00512B96" w:rsidRDefault="00A401AC" w:rsidP="00A401AC">
      <w:pPr>
        <w:pStyle w:val="ListLevel1"/>
        <w:numPr>
          <w:ilvl w:val="0"/>
          <w:numId w:val="0"/>
        </w:numPr>
        <w:ind w:left="851" w:hanging="851"/>
      </w:pPr>
      <w:r>
        <w:t>65.</w:t>
      </w:r>
      <w:r>
        <w:tab/>
      </w:r>
      <w:r w:rsidR="000B5AFC">
        <w:t xml:space="preserve">A possible action by the respondents in relation to storage </w:t>
      </w:r>
      <w:r w:rsidR="00922586">
        <w:t>costs</w:t>
      </w:r>
      <w:r w:rsidR="000B5AFC">
        <w:t xml:space="preserve"> must not be confused with </w:t>
      </w:r>
      <w:r w:rsidR="00512B96">
        <w:t>the action to which reference is made in my order that will follow</w:t>
      </w:r>
      <w:r w:rsidR="00BC5E7E">
        <w:t xml:space="preserve">. </w:t>
      </w:r>
      <w:r w:rsidR="000B5AFC">
        <w:t>The</w:t>
      </w:r>
      <w:r w:rsidR="00512B96">
        <w:t xml:space="preserve"> substitute security is in relation to </w:t>
      </w:r>
      <w:r w:rsidR="000B5AFC">
        <w:t>an</w:t>
      </w:r>
      <w:r w:rsidR="00512B96">
        <w:t xml:space="preserve"> action for the</w:t>
      </w:r>
      <w:r w:rsidR="00BC5E7E">
        <w:t xml:space="preserve"> balance for the repairs</w:t>
      </w:r>
      <w:r w:rsidR="000B5AFC">
        <w:t>,</w:t>
      </w:r>
      <w:r w:rsidR="00512B96">
        <w:t xml:space="preserve"> and whether or not the respondents elect to also </w:t>
      </w:r>
      <w:r w:rsidR="00BC5E7E">
        <w:t xml:space="preserve">claim for storage </w:t>
      </w:r>
      <w:r w:rsidR="00512B96">
        <w:t xml:space="preserve">does not affect the implementation of the order. </w:t>
      </w:r>
    </w:p>
    <w:p w14:paraId="4A5CB088" w14:textId="7983606E" w:rsidR="002349B8" w:rsidRDefault="00A401AC" w:rsidP="00A401AC">
      <w:pPr>
        <w:pStyle w:val="ListLevel1"/>
        <w:numPr>
          <w:ilvl w:val="0"/>
          <w:numId w:val="0"/>
        </w:numPr>
        <w:ind w:left="851" w:hanging="851"/>
      </w:pPr>
      <w:r>
        <w:t>66.</w:t>
      </w:r>
      <w:r>
        <w:tab/>
      </w:r>
      <w:r w:rsidR="00CD11B2">
        <w:t>I</w:t>
      </w:r>
      <w:r w:rsidR="003E65E4">
        <w:t>nsofar as costs are concerned</w:t>
      </w:r>
      <w:r w:rsidR="00CD11B2">
        <w:t>, t</w:t>
      </w:r>
      <w:r w:rsidR="003E65E4">
        <w:t>he respondents have failed in their counter</w:t>
      </w:r>
      <w:r w:rsidR="00CD11B2">
        <w:t>-</w:t>
      </w:r>
      <w:r w:rsidR="003E65E4">
        <w:t>application</w:t>
      </w:r>
      <w:r w:rsidR="00CD11B2">
        <w:t xml:space="preserve"> a</w:t>
      </w:r>
      <w:r w:rsidR="003E65E4">
        <w:t>nd therefore it follows that they should pay the cost</w:t>
      </w:r>
      <w:r w:rsidR="00CD11B2">
        <w:t>s</w:t>
      </w:r>
      <w:r w:rsidR="003E65E4">
        <w:t xml:space="preserve"> of that application. </w:t>
      </w:r>
      <w:r w:rsidR="00CD11B2">
        <w:t>I</w:t>
      </w:r>
      <w:r w:rsidR="003E65E4">
        <w:t>n relation to the applicant</w:t>
      </w:r>
      <w:r w:rsidR="00CD11B2">
        <w:t>’</w:t>
      </w:r>
      <w:r w:rsidR="003E65E4">
        <w:t>s application</w:t>
      </w:r>
      <w:r w:rsidR="00CD11B2">
        <w:t xml:space="preserve">, </w:t>
      </w:r>
      <w:r w:rsidR="00E507C6">
        <w:t xml:space="preserve">I in my discretion find that the respondents should pay the costs. Had the respondents accepted the R21, 325.95 tendered in July 2021, that would probably </w:t>
      </w:r>
      <w:r w:rsidR="00BC5E7E">
        <w:t xml:space="preserve">have </w:t>
      </w:r>
      <w:r w:rsidR="00E507C6">
        <w:t>been the end of the dispute. To the extent that the respondents were insistent that they were entitled to storage costs, they could have instituted proceedings for those costs (and still can).  Instead the respondents held out for storage costs before releasing the vehicle, and having forced the applicant to bring these proceedings, which the respondents opposed, the outcome is that the respondents have gained no more than what there were offered in July 2021.</w:t>
      </w:r>
      <w:r w:rsidR="00E507C6">
        <w:rPr>
          <w:rStyle w:val="FootnoteReference"/>
        </w:rPr>
        <w:footnoteReference w:id="11"/>
      </w:r>
      <w:r w:rsidR="002349B8">
        <w:t xml:space="preserve"> </w:t>
      </w:r>
    </w:p>
    <w:p w14:paraId="68F6F618" w14:textId="6865D540" w:rsidR="002349B8" w:rsidRDefault="00A401AC" w:rsidP="00A401AC">
      <w:pPr>
        <w:pStyle w:val="ListLevel1"/>
        <w:numPr>
          <w:ilvl w:val="0"/>
          <w:numId w:val="0"/>
        </w:numPr>
        <w:ind w:left="851" w:hanging="851"/>
      </w:pPr>
      <w:r>
        <w:t>67.</w:t>
      </w:r>
      <w:r>
        <w:tab/>
      </w:r>
      <w:r w:rsidR="00BC5E7E">
        <w:t>The</w:t>
      </w:r>
      <w:r w:rsidR="003F5B46">
        <w:t xml:space="preserve"> </w:t>
      </w:r>
      <w:r w:rsidR="002349B8">
        <w:t>amounts involved</w:t>
      </w:r>
      <w:r w:rsidR="003F5B46">
        <w:t xml:space="preserve">, </w:t>
      </w:r>
      <w:r w:rsidR="002349B8">
        <w:t>at least in relation to the repair</w:t>
      </w:r>
      <w:r w:rsidR="00BC5E7E">
        <w:t>s</w:t>
      </w:r>
      <w:r w:rsidR="003F5B46">
        <w:t xml:space="preserve">, are not substantial. </w:t>
      </w:r>
      <w:r w:rsidR="002349B8">
        <w:t xml:space="preserve">I have nonetheless delivered a detailed judgment in the hope that the parties would be able to reach agreement with each other and so avoid the need for further </w:t>
      </w:r>
      <w:r w:rsidR="003F5B46">
        <w:t xml:space="preserve">litigation, notwithstanding the </w:t>
      </w:r>
      <w:r w:rsidR="002349B8">
        <w:t xml:space="preserve">further litigation as envisaged between the parties and as referred to in the order. </w:t>
      </w:r>
    </w:p>
    <w:p w14:paraId="70F1381C" w14:textId="28087B10" w:rsidR="004D6697" w:rsidRDefault="00A401AC" w:rsidP="00A401AC">
      <w:pPr>
        <w:pStyle w:val="ListLevel1"/>
        <w:numPr>
          <w:ilvl w:val="0"/>
          <w:numId w:val="0"/>
        </w:numPr>
        <w:ind w:left="851" w:hanging="851"/>
      </w:pPr>
      <w:r>
        <w:t>68.</w:t>
      </w:r>
      <w:r>
        <w:tab/>
      </w:r>
      <w:r w:rsidR="004D6697">
        <w:t>T</w:t>
      </w:r>
      <w:r w:rsidR="003E65E4">
        <w:t>he following order is made</w:t>
      </w:r>
      <w:r w:rsidR="004D6697">
        <w:t xml:space="preserve">:  </w:t>
      </w:r>
    </w:p>
    <w:p w14:paraId="7A2805EE" w14:textId="3D6A09D8" w:rsidR="00C8120F" w:rsidRDefault="00A401AC" w:rsidP="00A401AC">
      <w:pPr>
        <w:pStyle w:val="ListLevel2"/>
        <w:numPr>
          <w:ilvl w:val="0"/>
          <w:numId w:val="0"/>
        </w:numPr>
        <w:tabs>
          <w:tab w:val="left" w:pos="1701"/>
        </w:tabs>
        <w:ind w:left="1701" w:hanging="850"/>
      </w:pPr>
      <w:r>
        <w:t>68.1.</w:t>
      </w:r>
      <w:r>
        <w:tab/>
      </w:r>
      <w:r w:rsidR="004D6697">
        <w:t>T</w:t>
      </w:r>
      <w:r w:rsidR="003E65E4">
        <w:t>he first and</w:t>
      </w:r>
      <w:r w:rsidR="004D6697">
        <w:t>/</w:t>
      </w:r>
      <w:r w:rsidR="003E65E4">
        <w:t>or secon</w:t>
      </w:r>
      <w:r w:rsidR="004D6697">
        <w:t xml:space="preserve">d </w:t>
      </w:r>
      <w:r w:rsidR="003E65E4">
        <w:t>respondents</w:t>
      </w:r>
      <w:r w:rsidR="004D6697">
        <w:t xml:space="preserve">, </w:t>
      </w:r>
      <w:r w:rsidR="003E65E4">
        <w:t>as the case may be</w:t>
      </w:r>
      <w:r w:rsidR="004D6697">
        <w:t xml:space="preserve">, are ordered </w:t>
      </w:r>
      <w:r w:rsidR="00BC5E7E">
        <w:t>to</w:t>
      </w:r>
      <w:r w:rsidR="004D6697">
        <w:t xml:space="preserve"> </w:t>
      </w:r>
      <w:r w:rsidR="003E65E4">
        <w:t xml:space="preserve">return </w:t>
      </w:r>
      <w:r w:rsidR="004D6697">
        <w:t xml:space="preserve">possession </w:t>
      </w:r>
      <w:r w:rsidR="003E65E4">
        <w:t>to the applicant of the BMW</w:t>
      </w:r>
      <w:r w:rsidR="004D6697">
        <w:t xml:space="preserve"> v</w:t>
      </w:r>
      <w:r w:rsidR="003E65E4">
        <w:t xml:space="preserve">ehicle </w:t>
      </w:r>
      <w:r w:rsidR="0019160A">
        <w:t>3</w:t>
      </w:r>
      <w:r w:rsidR="003E65E4">
        <w:t xml:space="preserve"> series 320</w:t>
      </w:r>
      <w:r w:rsidR="004D6697">
        <w:t xml:space="preserve">i </w:t>
      </w:r>
      <w:r w:rsidR="003E65E4">
        <w:t xml:space="preserve">Sportline </w:t>
      </w:r>
      <w:r w:rsidR="004D6697">
        <w:t>(F </w:t>
      </w:r>
      <w:r w:rsidR="003E65E4">
        <w:t>30</w:t>
      </w:r>
      <w:r w:rsidR="004D6697">
        <w:t>) with V</w:t>
      </w:r>
      <w:r w:rsidR="0019160A">
        <w:t>IN</w:t>
      </w:r>
      <w:r w:rsidR="004D6697">
        <w:t xml:space="preserve"> Number: WBA3B16010NP41</w:t>
      </w:r>
      <w:r w:rsidR="000B5AFC">
        <w:t>4</w:t>
      </w:r>
      <w:r w:rsidR="004D6697">
        <w:t xml:space="preserve">55, Engine Number: </w:t>
      </w:r>
      <w:r w:rsidR="000B5AFC">
        <w:t>A</w:t>
      </w:r>
      <w:r w:rsidR="003E65E4">
        <w:t>7890159 with registration number CG</w:t>
      </w:r>
      <w:r w:rsidR="004D6697">
        <w:t> </w:t>
      </w:r>
      <w:r w:rsidR="003E65E4">
        <w:t>63 HT</w:t>
      </w:r>
      <w:r w:rsidR="004D6697">
        <w:t> G</w:t>
      </w:r>
      <w:r w:rsidR="003E65E4">
        <w:t xml:space="preserve">P </w:t>
      </w:r>
      <w:r w:rsidR="004D6697">
        <w:t xml:space="preserve">(“the vehicle”) </w:t>
      </w:r>
      <w:r w:rsidR="003E65E4">
        <w:t>within five days of the applicant</w:t>
      </w:r>
      <w:r w:rsidR="004D6697">
        <w:t xml:space="preserve"> paying t</w:t>
      </w:r>
      <w:r w:rsidR="003E65E4">
        <w:t>o the respondents</w:t>
      </w:r>
      <w:r w:rsidR="004D6697">
        <w:t>’ attorney the amount of R2 939.94 an</w:t>
      </w:r>
      <w:r w:rsidR="003E65E4">
        <w:t>d</w:t>
      </w:r>
      <w:r w:rsidR="007F5E77">
        <w:t xml:space="preserve"> of</w:t>
      </w:r>
      <w:r w:rsidR="003E65E4">
        <w:t xml:space="preserve"> the</w:t>
      </w:r>
      <w:r w:rsidR="004D6697">
        <w:t xml:space="preserve"> </w:t>
      </w:r>
      <w:r w:rsidR="000B5AFC">
        <w:t xml:space="preserve">applicant’s attorneys </w:t>
      </w:r>
      <w:r w:rsidR="004D6697">
        <w:t>furnishing</w:t>
      </w:r>
      <w:r w:rsidR="000B5AFC">
        <w:t xml:space="preserve"> </w:t>
      </w:r>
      <w:r w:rsidR="003E65E4">
        <w:t>to the respondents</w:t>
      </w:r>
      <w:r w:rsidR="00C8120F">
        <w:t xml:space="preserve">’ </w:t>
      </w:r>
      <w:r w:rsidR="003E65E4">
        <w:t>attorneys</w:t>
      </w:r>
      <w:r w:rsidR="00C8120F">
        <w:t xml:space="preserve"> </w:t>
      </w:r>
      <w:r w:rsidR="000B5AFC">
        <w:t>t</w:t>
      </w:r>
      <w:r w:rsidR="00C8120F">
        <w:t xml:space="preserve">he </w:t>
      </w:r>
      <w:r w:rsidR="003E65E4">
        <w:t>original guarantee in the</w:t>
      </w:r>
      <w:r w:rsidR="00C8120F">
        <w:t xml:space="preserve"> form annexed </w:t>
      </w:r>
      <w:r w:rsidR="003E65E4">
        <w:t xml:space="preserve">as </w:t>
      </w:r>
      <w:r w:rsidR="00C8120F">
        <w:t>“</w:t>
      </w:r>
      <w:r w:rsidR="003E65E4">
        <w:t>JG33</w:t>
      </w:r>
      <w:r w:rsidR="00C8120F">
        <w:t>” to</w:t>
      </w:r>
      <w:r w:rsidR="003E65E4">
        <w:t xml:space="preserve"> the founding affidavit</w:t>
      </w:r>
      <w:r w:rsidR="000B5AFC">
        <w:t xml:space="preserve"> (“the security”)</w:t>
      </w:r>
      <w:r w:rsidR="003E65E4">
        <w:t xml:space="preserve">. </w:t>
      </w:r>
    </w:p>
    <w:p w14:paraId="754F3876" w14:textId="337227B5" w:rsidR="00C8120F" w:rsidRDefault="00A401AC" w:rsidP="00A401AC">
      <w:pPr>
        <w:pStyle w:val="ListLevel2"/>
        <w:numPr>
          <w:ilvl w:val="0"/>
          <w:numId w:val="0"/>
        </w:numPr>
        <w:tabs>
          <w:tab w:val="left" w:pos="1701"/>
        </w:tabs>
        <w:ind w:left="1701" w:hanging="850"/>
      </w:pPr>
      <w:r>
        <w:t>68.2.</w:t>
      </w:r>
      <w:r>
        <w:tab/>
      </w:r>
      <w:r w:rsidR="00C8120F">
        <w:t>T</w:t>
      </w:r>
      <w:r w:rsidR="003E65E4">
        <w:t>he sheriff and</w:t>
      </w:r>
      <w:r w:rsidR="00C8120F">
        <w:t>/</w:t>
      </w:r>
      <w:r w:rsidR="003E65E4">
        <w:t>or deputy sheriff is authori</w:t>
      </w:r>
      <w:r w:rsidR="00C8120F">
        <w:t>s</w:t>
      </w:r>
      <w:r w:rsidR="003E65E4">
        <w:t>ed to recover and assist the applicant in being placed in possession of the vehicle, where</w:t>
      </w:r>
      <w:r w:rsidR="00C8120F">
        <w:t>soe</w:t>
      </w:r>
      <w:r w:rsidR="003E65E4">
        <w:t xml:space="preserve">ver as the vehicle may be situated should the vehicle not be returned as provided for in the preceding paragraph. </w:t>
      </w:r>
    </w:p>
    <w:p w14:paraId="0D936D9F" w14:textId="26A8C3F4" w:rsidR="00C8120F" w:rsidRDefault="00A401AC" w:rsidP="00A401AC">
      <w:pPr>
        <w:pStyle w:val="ListLevel2"/>
        <w:numPr>
          <w:ilvl w:val="0"/>
          <w:numId w:val="0"/>
        </w:numPr>
        <w:tabs>
          <w:tab w:val="left" w:pos="1701"/>
        </w:tabs>
        <w:ind w:left="1701" w:hanging="850"/>
      </w:pPr>
      <w:r>
        <w:t>68.3.</w:t>
      </w:r>
      <w:r>
        <w:tab/>
      </w:r>
      <w:r w:rsidR="00C8120F">
        <w:t xml:space="preserve">The </w:t>
      </w:r>
      <w:r w:rsidR="003E65E4">
        <w:t>security will remain in place subject to the first and</w:t>
      </w:r>
      <w:r w:rsidR="00C8120F">
        <w:t>/</w:t>
      </w:r>
      <w:r w:rsidR="003E65E4">
        <w:t>or second</w:t>
      </w:r>
      <w:r w:rsidR="00C8120F">
        <w:t xml:space="preserve"> respondents, as </w:t>
      </w:r>
      <w:r w:rsidR="003E65E4">
        <w:t>the case may be</w:t>
      </w:r>
      <w:r w:rsidR="00C8120F">
        <w:t xml:space="preserve">, </w:t>
      </w:r>
      <w:r w:rsidR="003E65E4">
        <w:t xml:space="preserve">instituting action against the applicant in the </w:t>
      </w:r>
      <w:r w:rsidR="00C8120F">
        <w:t>M</w:t>
      </w:r>
      <w:r w:rsidR="003E65E4">
        <w:t xml:space="preserve">agistrate's </w:t>
      </w:r>
      <w:r w:rsidR="00C8120F">
        <w:t>C</w:t>
      </w:r>
      <w:r w:rsidR="003E65E4">
        <w:t xml:space="preserve">ourt within </w:t>
      </w:r>
      <w:r w:rsidR="00C8120F">
        <w:t>thirty d</w:t>
      </w:r>
      <w:r w:rsidR="003E65E4">
        <w:t>ays of this order</w:t>
      </w:r>
      <w:r w:rsidR="00E12384">
        <w:t xml:space="preserve"> in which the first</w:t>
      </w:r>
      <w:r w:rsidR="00E12384" w:rsidRPr="00E12384">
        <w:t xml:space="preserve"> </w:t>
      </w:r>
      <w:r w:rsidR="00E12384">
        <w:t>and/or second respondents, as the case may be</w:t>
      </w:r>
      <w:r w:rsidR="00C8120F">
        <w:t xml:space="preserve">, </w:t>
      </w:r>
      <w:r w:rsidR="00E12384">
        <w:t xml:space="preserve">claim </w:t>
      </w:r>
      <w:r w:rsidR="007F5E77">
        <w:t>for the repairs to the vehicle</w:t>
      </w:r>
      <w:r w:rsidR="00E12384">
        <w:t xml:space="preserve">, </w:t>
      </w:r>
      <w:r w:rsidR="003E65E4">
        <w:t xml:space="preserve">failing which the security </w:t>
      </w:r>
      <w:r w:rsidR="000364C5">
        <w:t>is to be</w:t>
      </w:r>
      <w:r w:rsidR="003E65E4">
        <w:t xml:space="preserve"> released to the applicant. </w:t>
      </w:r>
    </w:p>
    <w:p w14:paraId="52B407A3" w14:textId="184EEB62" w:rsidR="00C8120F" w:rsidRDefault="00A401AC" w:rsidP="00A401AC">
      <w:pPr>
        <w:pStyle w:val="ListLevel2"/>
        <w:numPr>
          <w:ilvl w:val="0"/>
          <w:numId w:val="0"/>
        </w:numPr>
        <w:tabs>
          <w:tab w:val="left" w:pos="1701"/>
        </w:tabs>
        <w:ind w:left="1701" w:hanging="850"/>
      </w:pPr>
      <w:r>
        <w:t>68.4.</w:t>
      </w:r>
      <w:r>
        <w:tab/>
      </w:r>
      <w:r w:rsidR="00C8120F">
        <w:t>T</w:t>
      </w:r>
      <w:r w:rsidR="003E65E4">
        <w:t>he</w:t>
      </w:r>
      <w:r w:rsidR="0074664B">
        <w:t xml:space="preserve"> first and second</w:t>
      </w:r>
      <w:r w:rsidR="003E65E4">
        <w:t xml:space="preserve"> </w:t>
      </w:r>
      <w:r w:rsidR="0074664B">
        <w:t xml:space="preserve">respondents are to pay the costs of the application, </w:t>
      </w:r>
      <w:r w:rsidR="00C8120F">
        <w:t>jointly and severally</w:t>
      </w:r>
      <w:r w:rsidR="003E65E4">
        <w:t xml:space="preserve">. </w:t>
      </w:r>
    </w:p>
    <w:p w14:paraId="69A26363" w14:textId="4E511993" w:rsidR="00C8120F" w:rsidRDefault="00A401AC" w:rsidP="00A401AC">
      <w:pPr>
        <w:pStyle w:val="ListLevel2"/>
        <w:numPr>
          <w:ilvl w:val="0"/>
          <w:numId w:val="0"/>
        </w:numPr>
        <w:tabs>
          <w:tab w:val="left" w:pos="1701"/>
        </w:tabs>
        <w:ind w:left="1701" w:hanging="850"/>
      </w:pPr>
      <w:r>
        <w:t>68.5.</w:t>
      </w:r>
      <w:r>
        <w:tab/>
      </w:r>
      <w:r w:rsidR="00C8120F">
        <w:t>T</w:t>
      </w:r>
      <w:r w:rsidR="003E65E4">
        <w:t>he counter</w:t>
      </w:r>
      <w:r w:rsidR="00C8120F">
        <w:t>-</w:t>
      </w:r>
      <w:r w:rsidR="003E65E4">
        <w:t>application is dismissed</w:t>
      </w:r>
      <w:r w:rsidR="0074664B">
        <w:t>,</w:t>
      </w:r>
      <w:r w:rsidR="003E65E4">
        <w:t xml:space="preserve"> with costs to be paid by the first and second respondents</w:t>
      </w:r>
      <w:r w:rsidR="00C8120F">
        <w:t xml:space="preserve">, </w:t>
      </w:r>
      <w:r w:rsidR="003E65E4">
        <w:t xml:space="preserve">jointly and severally. </w:t>
      </w:r>
    </w:p>
    <w:p w14:paraId="589823B5" w14:textId="77777777" w:rsidR="003E65E4" w:rsidRDefault="003E65E4" w:rsidP="003E65E4">
      <w:pPr>
        <w:keepNext/>
        <w:keepLines/>
        <w:tabs>
          <w:tab w:val="left" w:pos="-426"/>
        </w:tabs>
        <w:spacing w:after="240"/>
        <w:ind w:right="567"/>
        <w:contextualSpacing/>
        <w:rPr>
          <w:rFonts w:cs="Arial"/>
        </w:rPr>
      </w:pPr>
    </w:p>
    <w:p w14:paraId="7D41D072" w14:textId="77777777" w:rsidR="00E84FF6" w:rsidRDefault="00E84FF6" w:rsidP="003E65E4">
      <w:pPr>
        <w:keepNext/>
        <w:keepLines/>
        <w:tabs>
          <w:tab w:val="left" w:pos="-426"/>
        </w:tabs>
        <w:spacing w:after="240"/>
        <w:ind w:right="567"/>
        <w:contextualSpacing/>
        <w:rPr>
          <w:rFonts w:cs="Arial"/>
        </w:rPr>
      </w:pPr>
    </w:p>
    <w:p w14:paraId="5F9EB397" w14:textId="47F781F8" w:rsidR="003E65E4" w:rsidRPr="003872FD" w:rsidRDefault="003E65E4" w:rsidP="003E65E4">
      <w:pPr>
        <w:keepNext/>
        <w:keepLines/>
        <w:tabs>
          <w:tab w:val="left" w:pos="-426"/>
        </w:tabs>
        <w:spacing w:after="240"/>
        <w:ind w:right="567"/>
        <w:contextualSpacing/>
        <w:rPr>
          <w:rFonts w:cs="Arial"/>
        </w:rPr>
      </w:pPr>
      <w:r w:rsidRPr="003872FD">
        <w:rPr>
          <w:rFonts w:cs="Arial"/>
        </w:rPr>
        <w:t>______________________</w:t>
      </w:r>
    </w:p>
    <w:p w14:paraId="665C9AB8" w14:textId="77777777" w:rsidR="003E65E4" w:rsidRPr="003872FD" w:rsidRDefault="003E65E4" w:rsidP="003E65E4">
      <w:pPr>
        <w:keepNext/>
        <w:keepLines/>
        <w:tabs>
          <w:tab w:val="left" w:pos="-426"/>
        </w:tabs>
        <w:spacing w:after="240"/>
        <w:ind w:right="567"/>
        <w:contextualSpacing/>
        <w:rPr>
          <w:rFonts w:cs="Arial"/>
        </w:rPr>
      </w:pPr>
      <w:r w:rsidRPr="003872FD">
        <w:rPr>
          <w:rFonts w:cs="Arial"/>
        </w:rPr>
        <w:t>Gilbert AJ</w:t>
      </w:r>
    </w:p>
    <w:p w14:paraId="09A87025" w14:textId="77777777" w:rsidR="003E65E4" w:rsidRPr="003872FD" w:rsidRDefault="003E65E4" w:rsidP="003E65E4">
      <w:pPr>
        <w:keepNext/>
        <w:keepLines/>
        <w:tabs>
          <w:tab w:val="left" w:pos="-426"/>
        </w:tabs>
        <w:spacing w:after="240"/>
        <w:ind w:right="567"/>
        <w:contextualSpacing/>
        <w:rPr>
          <w:rFonts w:cs="Arial"/>
        </w:rPr>
      </w:pPr>
    </w:p>
    <w:p w14:paraId="1DE2F31E" w14:textId="77777777" w:rsidR="003E65E4" w:rsidRPr="003872FD" w:rsidRDefault="003E65E4" w:rsidP="002349B8">
      <w:pPr>
        <w:keepNext/>
        <w:keepLines/>
        <w:tabs>
          <w:tab w:val="left" w:pos="-426"/>
          <w:tab w:val="left" w:pos="4536"/>
        </w:tabs>
        <w:spacing w:beforeLines="60" w:before="144" w:afterLines="60" w:after="144" w:line="240" w:lineRule="auto"/>
        <w:ind w:right="567"/>
        <w:rPr>
          <w:rFonts w:cs="Arial"/>
        </w:rPr>
      </w:pPr>
      <w:r w:rsidRPr="003872FD">
        <w:rPr>
          <w:rFonts w:cs="Arial"/>
        </w:rPr>
        <w:t xml:space="preserve">Date of hearing: </w:t>
      </w:r>
      <w:r w:rsidRPr="003872FD">
        <w:rPr>
          <w:rFonts w:cs="Arial"/>
        </w:rPr>
        <w:tab/>
      </w:r>
      <w:r>
        <w:rPr>
          <w:rFonts w:cs="Arial"/>
        </w:rPr>
        <w:t>20 July 2022</w:t>
      </w:r>
    </w:p>
    <w:p w14:paraId="269577CD" w14:textId="77777777" w:rsidR="003E65E4" w:rsidRPr="003872FD" w:rsidRDefault="003E65E4" w:rsidP="002349B8">
      <w:pPr>
        <w:tabs>
          <w:tab w:val="left" w:pos="-426"/>
          <w:tab w:val="left" w:pos="4536"/>
        </w:tabs>
        <w:spacing w:beforeLines="60" w:before="144" w:afterLines="60" w:after="144" w:line="240" w:lineRule="auto"/>
        <w:ind w:right="567"/>
        <w:rPr>
          <w:rFonts w:cs="Arial"/>
        </w:rPr>
      </w:pPr>
    </w:p>
    <w:p w14:paraId="4F21CC43" w14:textId="520CF085" w:rsidR="003E65E4" w:rsidRPr="00E12384" w:rsidRDefault="003E65E4" w:rsidP="002349B8">
      <w:pPr>
        <w:keepNext/>
        <w:keepLines/>
        <w:tabs>
          <w:tab w:val="left" w:pos="-426"/>
          <w:tab w:val="left" w:pos="4536"/>
        </w:tabs>
        <w:spacing w:beforeLines="60" w:before="144" w:afterLines="60" w:after="144" w:line="240" w:lineRule="auto"/>
        <w:ind w:right="567"/>
        <w:rPr>
          <w:rFonts w:cs="Arial"/>
        </w:rPr>
      </w:pPr>
      <w:r w:rsidRPr="003872FD">
        <w:rPr>
          <w:rFonts w:cs="Arial"/>
        </w:rPr>
        <w:t xml:space="preserve">Date of judgment:  </w:t>
      </w:r>
      <w:r w:rsidRPr="003872FD">
        <w:rPr>
          <w:rFonts w:cs="Arial"/>
        </w:rPr>
        <w:tab/>
      </w:r>
      <w:r w:rsidR="00E12384" w:rsidRPr="00E12384">
        <w:rPr>
          <w:rFonts w:cs="Arial"/>
        </w:rPr>
        <w:t>8 August 2022</w:t>
      </w:r>
    </w:p>
    <w:p w14:paraId="5EA6098B" w14:textId="77777777" w:rsidR="003E65E4" w:rsidRPr="003872FD" w:rsidRDefault="003E65E4" w:rsidP="002349B8">
      <w:pPr>
        <w:tabs>
          <w:tab w:val="left" w:pos="-426"/>
          <w:tab w:val="left" w:pos="4536"/>
        </w:tabs>
        <w:spacing w:beforeLines="60" w:before="144" w:afterLines="60" w:after="144" w:line="240" w:lineRule="auto"/>
        <w:ind w:right="567"/>
        <w:rPr>
          <w:rFonts w:cs="Arial"/>
        </w:rPr>
      </w:pPr>
    </w:p>
    <w:p w14:paraId="22C90638" w14:textId="77777777" w:rsidR="003E65E4" w:rsidRPr="003872FD" w:rsidRDefault="003E65E4" w:rsidP="002349B8">
      <w:pPr>
        <w:keepNext/>
        <w:keepLines/>
        <w:tabs>
          <w:tab w:val="left" w:pos="-426"/>
          <w:tab w:val="left" w:pos="4536"/>
        </w:tabs>
        <w:spacing w:beforeLines="60" w:before="144" w:afterLines="60" w:after="144" w:line="240" w:lineRule="auto"/>
        <w:ind w:right="567"/>
        <w:rPr>
          <w:rFonts w:cs="Arial"/>
        </w:rPr>
      </w:pPr>
      <w:r w:rsidRPr="003872FD">
        <w:rPr>
          <w:rFonts w:cs="Arial"/>
        </w:rPr>
        <w:t xml:space="preserve">Counsel for the </w:t>
      </w:r>
      <w:r>
        <w:rPr>
          <w:rFonts w:cs="Arial"/>
        </w:rPr>
        <w:t>applicant</w:t>
      </w:r>
      <w:r w:rsidRPr="003872FD">
        <w:rPr>
          <w:rFonts w:cs="Arial"/>
        </w:rPr>
        <w:t xml:space="preserve">: </w:t>
      </w:r>
      <w:r w:rsidRPr="003872FD">
        <w:rPr>
          <w:rFonts w:cs="Arial"/>
        </w:rPr>
        <w:tab/>
      </w:r>
      <w:r>
        <w:rPr>
          <w:rFonts w:cs="Arial"/>
        </w:rPr>
        <w:t>Advocate R Kriek</w:t>
      </w:r>
    </w:p>
    <w:p w14:paraId="15005B54" w14:textId="77777777" w:rsidR="003E65E4" w:rsidRPr="007A3C51" w:rsidRDefault="003E65E4" w:rsidP="002349B8">
      <w:pPr>
        <w:tabs>
          <w:tab w:val="left" w:pos="-426"/>
          <w:tab w:val="left" w:pos="4536"/>
        </w:tabs>
        <w:spacing w:beforeLines="60" w:before="144" w:afterLines="60" w:after="144" w:line="240" w:lineRule="auto"/>
        <w:ind w:right="567"/>
        <w:rPr>
          <w:rFonts w:cs="Arial"/>
        </w:rPr>
      </w:pPr>
      <w:r w:rsidRPr="003872FD">
        <w:rPr>
          <w:rFonts w:cs="Arial"/>
        </w:rPr>
        <w:t xml:space="preserve">Instructed by: </w:t>
      </w:r>
      <w:r w:rsidRPr="003872FD">
        <w:rPr>
          <w:rFonts w:cs="Arial"/>
        </w:rPr>
        <w:tab/>
      </w:r>
      <w:r>
        <w:rPr>
          <w:rFonts w:cs="Arial"/>
        </w:rPr>
        <w:t>Strydom M &amp; Associates</w:t>
      </w:r>
    </w:p>
    <w:p w14:paraId="49BC55D8" w14:textId="77777777" w:rsidR="003E65E4" w:rsidRPr="003872FD" w:rsidRDefault="003E65E4" w:rsidP="002349B8">
      <w:pPr>
        <w:tabs>
          <w:tab w:val="left" w:pos="-426"/>
          <w:tab w:val="left" w:pos="4536"/>
        </w:tabs>
        <w:spacing w:beforeLines="60" w:before="144" w:afterLines="60" w:after="144" w:line="240" w:lineRule="auto"/>
        <w:ind w:right="567"/>
        <w:rPr>
          <w:rFonts w:cs="Arial"/>
        </w:rPr>
      </w:pPr>
    </w:p>
    <w:p w14:paraId="7B4D17C5" w14:textId="77777777" w:rsidR="002349B8" w:rsidRDefault="003E65E4" w:rsidP="002349B8">
      <w:pPr>
        <w:keepNext/>
        <w:tabs>
          <w:tab w:val="left" w:pos="-426"/>
          <w:tab w:val="left" w:pos="4536"/>
        </w:tabs>
        <w:spacing w:beforeLines="60" w:before="144" w:afterLines="60" w:after="144" w:line="240" w:lineRule="auto"/>
        <w:ind w:right="567"/>
        <w:rPr>
          <w:rFonts w:cs="Arial"/>
        </w:rPr>
      </w:pPr>
      <w:r w:rsidRPr="003872FD">
        <w:rPr>
          <w:rFonts w:cs="Arial"/>
        </w:rPr>
        <w:t xml:space="preserve">Counsel for the </w:t>
      </w:r>
      <w:r>
        <w:rPr>
          <w:rFonts w:cs="Arial"/>
        </w:rPr>
        <w:t xml:space="preserve">first </w:t>
      </w:r>
      <w:r w:rsidR="002349B8">
        <w:rPr>
          <w:rFonts w:cs="Arial"/>
        </w:rPr>
        <w:t xml:space="preserve">and </w:t>
      </w:r>
    </w:p>
    <w:p w14:paraId="59361F60" w14:textId="7AAA88C0" w:rsidR="003E65E4" w:rsidRPr="003872FD" w:rsidRDefault="002349B8" w:rsidP="002349B8">
      <w:pPr>
        <w:keepNext/>
        <w:tabs>
          <w:tab w:val="left" w:pos="-426"/>
          <w:tab w:val="left" w:pos="4536"/>
        </w:tabs>
        <w:spacing w:beforeLines="60" w:before="144" w:afterLines="60" w:after="144" w:line="240" w:lineRule="auto"/>
        <w:ind w:right="567"/>
        <w:rPr>
          <w:rFonts w:cs="Arial"/>
        </w:rPr>
      </w:pPr>
      <w:r>
        <w:rPr>
          <w:rFonts w:cs="Arial"/>
        </w:rPr>
        <w:t xml:space="preserve">second </w:t>
      </w:r>
      <w:r w:rsidR="003E65E4">
        <w:rPr>
          <w:rFonts w:cs="Arial"/>
        </w:rPr>
        <w:t>respondent</w:t>
      </w:r>
      <w:r>
        <w:rPr>
          <w:rFonts w:cs="Arial"/>
        </w:rPr>
        <w:t>s</w:t>
      </w:r>
      <w:r w:rsidR="003E65E4" w:rsidRPr="003872FD">
        <w:rPr>
          <w:rFonts w:cs="Arial"/>
        </w:rPr>
        <w:t xml:space="preserve">: </w:t>
      </w:r>
      <w:r w:rsidR="003E65E4">
        <w:rPr>
          <w:rFonts w:cs="Arial"/>
        </w:rPr>
        <w:tab/>
        <w:t>Advocate K Naidoo</w:t>
      </w:r>
    </w:p>
    <w:p w14:paraId="0C5E92E6" w14:textId="09B6C0D7" w:rsidR="003E65E4" w:rsidRPr="007A3C51" w:rsidRDefault="003E65E4" w:rsidP="002349B8">
      <w:pPr>
        <w:keepNext/>
        <w:tabs>
          <w:tab w:val="left" w:pos="-426"/>
          <w:tab w:val="left" w:pos="4536"/>
        </w:tabs>
        <w:spacing w:beforeLines="60" w:before="144" w:afterLines="60" w:after="144" w:line="240" w:lineRule="auto"/>
        <w:ind w:right="567"/>
        <w:rPr>
          <w:rFonts w:cs="Arial"/>
        </w:rPr>
      </w:pPr>
      <w:r w:rsidRPr="003872FD">
        <w:rPr>
          <w:rFonts w:cs="Arial"/>
        </w:rPr>
        <w:t xml:space="preserve">Instructed by: </w:t>
      </w:r>
      <w:r w:rsidRPr="003872FD">
        <w:rPr>
          <w:rFonts w:cs="Arial"/>
        </w:rPr>
        <w:tab/>
      </w:r>
      <w:r>
        <w:rPr>
          <w:rFonts w:cs="Arial"/>
        </w:rPr>
        <w:t>Gavin Simpson Attorneys</w:t>
      </w:r>
      <w:r w:rsidR="002349B8">
        <w:rPr>
          <w:rFonts w:cs="Arial"/>
        </w:rPr>
        <w:t xml:space="preserve"> </w:t>
      </w:r>
    </w:p>
    <w:sectPr w:rsidR="003E65E4" w:rsidRPr="007A3C51" w:rsidSect="001F6793">
      <w:headerReference w:type="default" r:id="rId9"/>
      <w:pgSz w:w="11907" w:h="16840" w:code="9"/>
      <w:pgMar w:top="1797" w:right="1440" w:bottom="1440" w:left="1797"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1C611E" w14:textId="77777777" w:rsidR="008F105C" w:rsidRDefault="008F105C">
      <w:r>
        <w:separator/>
      </w:r>
    </w:p>
  </w:endnote>
  <w:endnote w:type="continuationSeparator" w:id="0">
    <w:p w14:paraId="08C6EA2D" w14:textId="77777777" w:rsidR="008F105C" w:rsidRDefault="008F1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A8709E" w14:textId="77777777" w:rsidR="008F105C" w:rsidRDefault="008F105C" w:rsidP="00384C82">
      <w:pPr>
        <w:spacing w:after="0"/>
      </w:pPr>
      <w:r>
        <w:separator/>
      </w:r>
    </w:p>
  </w:footnote>
  <w:footnote w:type="continuationSeparator" w:id="0">
    <w:p w14:paraId="33D92AE2" w14:textId="77777777" w:rsidR="008F105C" w:rsidRDefault="008F105C">
      <w:r>
        <w:continuationSeparator/>
      </w:r>
    </w:p>
  </w:footnote>
  <w:footnote w:id="1">
    <w:p w14:paraId="5DF9E5C9" w14:textId="3DA521D0" w:rsidR="00EF40A9" w:rsidRPr="00EF40A9" w:rsidRDefault="00EF40A9">
      <w:pPr>
        <w:pStyle w:val="FootnoteText"/>
        <w:rPr>
          <w:lang w:val="en-US"/>
        </w:rPr>
      </w:pPr>
      <w:r>
        <w:rPr>
          <w:rStyle w:val="FootnoteReference"/>
        </w:rPr>
        <w:footnoteRef/>
      </w:r>
      <w:r>
        <w:t xml:space="preserve"> </w:t>
      </w:r>
      <w:r w:rsidR="00D45683">
        <w:t xml:space="preserve">Although the law is not entitled settled, </w:t>
      </w:r>
      <w:r w:rsidR="00D45683">
        <w:rPr>
          <w:lang w:val="en-US"/>
        </w:rPr>
        <w:t>see</w:t>
      </w:r>
      <w:r>
        <w:t xml:space="preserve"> </w:t>
      </w:r>
      <w:r>
        <w:rPr>
          <w:i/>
        </w:rPr>
        <w:t>Wessels v Morice</w:t>
      </w:r>
      <w:r>
        <w:t xml:space="preserve"> (1913) 34 NPD 112 where the court following the English authority in </w:t>
      </w:r>
      <w:r>
        <w:rPr>
          <w:i/>
        </w:rPr>
        <w:t>Somes v British Empire Shipping Co</w:t>
      </w:r>
      <w:r>
        <w:t xml:space="preserve"> 8 HLC 338 held that where a person who has a lien elects to retain possession for purposes of enforcing the lien, he cannot claim for so retaining the property.</w:t>
      </w:r>
      <w:r w:rsidR="00644E71">
        <w:t xml:space="preserve"> See too </w:t>
      </w:r>
      <w:r w:rsidR="00644E71" w:rsidRPr="00644E71">
        <w:rPr>
          <w:i/>
          <w:iCs/>
        </w:rPr>
        <w:t>Laingsburg School Board v Logan</w:t>
      </w:r>
      <w:r w:rsidR="00644E71">
        <w:t xml:space="preserve"> (1910) 27 SC, to which both counsel referred.</w:t>
      </w:r>
    </w:p>
  </w:footnote>
  <w:footnote w:id="2">
    <w:p w14:paraId="066FEE5F" w14:textId="2756D68B" w:rsidR="00EF40A9" w:rsidRPr="00D45683" w:rsidRDefault="00EF40A9">
      <w:pPr>
        <w:pStyle w:val="FootnoteText"/>
        <w:rPr>
          <w:iCs/>
          <w:lang w:val="en-US"/>
        </w:rPr>
      </w:pPr>
      <w:r>
        <w:rPr>
          <w:rStyle w:val="FootnoteReference"/>
        </w:rPr>
        <w:footnoteRef/>
      </w:r>
      <w:r>
        <w:t xml:space="preserve"> See the Full Bench of the TPD in </w:t>
      </w:r>
      <w:r>
        <w:rPr>
          <w:i/>
          <w:iCs/>
        </w:rPr>
        <w:t xml:space="preserve">Ford v Reed Bros </w:t>
      </w:r>
      <w:r w:rsidRPr="00EF40A9">
        <w:t>1922 TPD 266</w:t>
      </w:r>
      <w:r>
        <w:t xml:space="preserve">, where the Full Bench declined to follow the English authority of </w:t>
      </w:r>
      <w:r>
        <w:rPr>
          <w:i/>
        </w:rPr>
        <w:t>Somes v British Empire Shipping Company</w:t>
      </w:r>
      <w:r w:rsidR="00D45683">
        <w:rPr>
          <w:i/>
        </w:rPr>
        <w:t xml:space="preserve">, </w:t>
      </w:r>
      <w:r w:rsidR="00D45683">
        <w:rPr>
          <w:iCs/>
        </w:rPr>
        <w:t xml:space="preserve">and so </w:t>
      </w:r>
      <w:r w:rsidR="00D45683">
        <w:t xml:space="preserve">declined to follow the approach in </w:t>
      </w:r>
      <w:r w:rsidR="00D45683">
        <w:rPr>
          <w:i/>
        </w:rPr>
        <w:t>Wessels v Morice</w:t>
      </w:r>
      <w:r w:rsidR="00D45683">
        <w:t xml:space="preserve"> as being based on English rather than Roman Dutch authority (per Mason J at 269 and the concurring judgment of Gregorowski J at 277</w:t>
      </w:r>
      <w:r w:rsidR="009A460F">
        <w:t>).</w:t>
      </w:r>
      <w:r w:rsidR="00D45683">
        <w:t xml:space="preserve">  See also </w:t>
      </w:r>
      <w:r w:rsidR="00D45683">
        <w:rPr>
          <w:i/>
        </w:rPr>
        <w:t>Colonial Government v Smith and Company</w:t>
      </w:r>
      <w:r w:rsidR="00D45683">
        <w:t xml:space="preserve"> 19 SC (1901) 380 at 392.</w:t>
      </w:r>
    </w:p>
  </w:footnote>
  <w:footnote w:id="3">
    <w:p w14:paraId="443548E2" w14:textId="57752D6E" w:rsidR="00210695" w:rsidRPr="00C5786D" w:rsidRDefault="00210695" w:rsidP="00C5786D">
      <w:pPr>
        <w:pStyle w:val="ListLevel1"/>
        <w:numPr>
          <w:ilvl w:val="0"/>
          <w:numId w:val="0"/>
        </w:numPr>
        <w:spacing w:line="240" w:lineRule="auto"/>
        <w:ind w:left="142" w:hanging="142"/>
        <w:rPr>
          <w:i/>
        </w:rPr>
      </w:pPr>
      <w:r>
        <w:rPr>
          <w:rStyle w:val="FootnoteReference"/>
        </w:rPr>
        <w:footnoteRef/>
      </w:r>
      <w:r>
        <w:t xml:space="preserve"> </w:t>
      </w:r>
      <w:r w:rsidRPr="00C81ACB">
        <w:rPr>
          <w:sz w:val="20"/>
          <w:szCs w:val="20"/>
        </w:rPr>
        <w:t>See W</w:t>
      </w:r>
      <w:r w:rsidRPr="00C81ACB">
        <w:rPr>
          <w:i/>
          <w:sz w:val="20"/>
          <w:szCs w:val="20"/>
        </w:rPr>
        <w:t xml:space="preserve">ynland Construction (Pty) Ltd v Ashley-Smith en andere </w:t>
      </w:r>
      <w:r w:rsidRPr="00C81ACB">
        <w:rPr>
          <w:sz w:val="20"/>
          <w:szCs w:val="20"/>
        </w:rPr>
        <w:t>1985 (3) SA 798 (A) at 812 C-G, which specifically found that the lienholder has the onus to proof its lien as a defence against the owner’s vindication of the property</w:t>
      </w:r>
      <w:r w:rsidR="00C5786D">
        <w:rPr>
          <w:sz w:val="20"/>
          <w:szCs w:val="20"/>
        </w:rPr>
        <w:t>.</w:t>
      </w:r>
    </w:p>
  </w:footnote>
  <w:footnote w:id="4">
    <w:p w14:paraId="7E24802B" w14:textId="77777777" w:rsidR="008D317D" w:rsidRDefault="008D317D" w:rsidP="008D317D">
      <w:pPr>
        <w:pStyle w:val="FootnoteText"/>
      </w:pPr>
      <w:r>
        <w:rPr>
          <w:rStyle w:val="FootnoteReference"/>
        </w:rPr>
        <w:footnoteRef/>
      </w:r>
      <w:r>
        <w:t xml:space="preserve"> At 831 D-F.</w:t>
      </w:r>
    </w:p>
  </w:footnote>
  <w:footnote w:id="5">
    <w:p w14:paraId="26B6932E" w14:textId="77777777" w:rsidR="008D317D" w:rsidRPr="00441098" w:rsidRDefault="008D317D" w:rsidP="008D317D">
      <w:pPr>
        <w:pStyle w:val="FootnoteText"/>
      </w:pPr>
      <w:r>
        <w:rPr>
          <w:rStyle w:val="FootnoteReference"/>
        </w:rPr>
        <w:footnoteRef/>
      </w:r>
      <w:r>
        <w:t xml:space="preserve"> Cited in </w:t>
      </w:r>
      <w:r>
        <w:rPr>
          <w:i/>
          <w:iCs/>
        </w:rPr>
        <w:t xml:space="preserve">Sandton Square </w:t>
      </w:r>
      <w:r>
        <w:t>at 831I-832A.</w:t>
      </w:r>
    </w:p>
  </w:footnote>
  <w:footnote w:id="6">
    <w:p w14:paraId="7997A3C3" w14:textId="29FE0889" w:rsidR="00441098" w:rsidRDefault="00441098">
      <w:pPr>
        <w:pStyle w:val="FootnoteText"/>
      </w:pPr>
      <w:r>
        <w:rPr>
          <w:rStyle w:val="FootnoteReference"/>
        </w:rPr>
        <w:footnoteRef/>
      </w:r>
      <w:r>
        <w:t xml:space="preserve"> At 272-3.</w:t>
      </w:r>
    </w:p>
  </w:footnote>
  <w:footnote w:id="7">
    <w:p w14:paraId="779BC4A4" w14:textId="0284805A" w:rsidR="000E06FE" w:rsidRPr="000E06FE" w:rsidRDefault="000E06FE">
      <w:pPr>
        <w:pStyle w:val="FootnoteText"/>
        <w:rPr>
          <w:lang w:val="en-US"/>
        </w:rPr>
      </w:pPr>
      <w:r>
        <w:rPr>
          <w:rStyle w:val="FootnoteReference"/>
        </w:rPr>
        <w:footnoteRef/>
      </w:r>
      <w:r>
        <w:t xml:space="preserve"> </w:t>
      </w:r>
      <w:r>
        <w:rPr>
          <w:lang w:val="en-US"/>
        </w:rPr>
        <w:t>Above.</w:t>
      </w:r>
    </w:p>
  </w:footnote>
  <w:footnote w:id="8">
    <w:p w14:paraId="6756EEC3" w14:textId="16C0900E" w:rsidR="00B607E9" w:rsidRPr="00B607E9" w:rsidRDefault="00B607E9">
      <w:pPr>
        <w:pStyle w:val="FootnoteText"/>
        <w:rPr>
          <w:lang w:val="en-US"/>
        </w:rPr>
      </w:pPr>
      <w:r>
        <w:rPr>
          <w:rStyle w:val="FootnoteReference"/>
        </w:rPr>
        <w:footnoteRef/>
      </w:r>
      <w:r>
        <w:t xml:space="preserve"> </w:t>
      </w:r>
      <w:r>
        <w:rPr>
          <w:lang w:val="en-US"/>
        </w:rPr>
        <w:t>At 29I-J.</w:t>
      </w:r>
    </w:p>
  </w:footnote>
  <w:footnote w:id="9">
    <w:p w14:paraId="56028DCE" w14:textId="3ECF9971" w:rsidR="00863289" w:rsidRDefault="00863289">
      <w:pPr>
        <w:pStyle w:val="FootnoteText"/>
      </w:pPr>
      <w:r>
        <w:rPr>
          <w:rStyle w:val="FootnoteReference"/>
        </w:rPr>
        <w:footnoteRef/>
      </w:r>
      <w:r>
        <w:t xml:space="preserve">  At 830H-831B.</w:t>
      </w:r>
    </w:p>
  </w:footnote>
  <w:footnote w:id="10">
    <w:p w14:paraId="4231F7D2" w14:textId="42117D11" w:rsidR="00AF095B" w:rsidRPr="00AF095B" w:rsidRDefault="00AF095B">
      <w:pPr>
        <w:pStyle w:val="FootnoteText"/>
        <w:rPr>
          <w:lang w:val="en-US"/>
        </w:rPr>
      </w:pPr>
      <w:r>
        <w:rPr>
          <w:rStyle w:val="FootnoteReference"/>
        </w:rPr>
        <w:footnoteRef/>
      </w:r>
      <w:r>
        <w:t xml:space="preserve"> </w:t>
      </w:r>
      <w:r>
        <w:rPr>
          <w:lang w:val="en-US"/>
        </w:rPr>
        <w:t>Juta (2016) at p 554.</w:t>
      </w:r>
    </w:p>
  </w:footnote>
  <w:footnote w:id="11">
    <w:p w14:paraId="5674BC7B" w14:textId="7636FC9C" w:rsidR="00E507C6" w:rsidRPr="00E507C6" w:rsidRDefault="00E507C6">
      <w:pPr>
        <w:pStyle w:val="FootnoteText"/>
        <w:rPr>
          <w:lang w:val="en-US"/>
        </w:rPr>
      </w:pPr>
      <w:r>
        <w:rPr>
          <w:rStyle w:val="FootnoteReference"/>
        </w:rPr>
        <w:footnoteRef/>
      </w:r>
      <w:r>
        <w:t xml:space="preserve"> </w:t>
      </w:r>
      <w:r>
        <w:rPr>
          <w:lang w:val="en-US"/>
        </w:rPr>
        <w:t xml:space="preserve">See the reasoning to this effect in </w:t>
      </w:r>
      <w:r w:rsidRPr="0074664B">
        <w:rPr>
          <w:i/>
          <w:iCs/>
          <w:lang w:val="en-US"/>
        </w:rPr>
        <w:t>Lamontville African Transport Co (Pty) Ltd v Mtshali</w:t>
      </w:r>
      <w:r>
        <w:rPr>
          <w:lang w:val="en-US"/>
        </w:rPr>
        <w:t xml:space="preserve"> 1953 (1) SA 90 (N) at </w:t>
      </w:r>
      <w:r w:rsidR="0074664B">
        <w:rPr>
          <w:lang w:val="en-US"/>
        </w:rPr>
        <w:t>94B.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BEA978" w14:textId="77777777" w:rsidR="00881BAF" w:rsidRPr="00C307C7" w:rsidRDefault="00881BAF" w:rsidP="00C15506">
    <w:pPr>
      <w:pStyle w:val="Header"/>
      <w:spacing w:after="0" w:line="240" w:lineRule="auto"/>
      <w:jc w:val="center"/>
      <w:rPr>
        <w:rStyle w:val="PageNumber"/>
        <w:rFonts w:cs="Arial"/>
        <w:sz w:val="16"/>
        <w:szCs w:val="16"/>
      </w:rPr>
    </w:pPr>
  </w:p>
  <w:p w14:paraId="79782BD2" w14:textId="3E8AAA9A" w:rsidR="00881BAF" w:rsidRPr="00C307C7" w:rsidRDefault="00881BAF" w:rsidP="00A77C03">
    <w:pPr>
      <w:pStyle w:val="Header"/>
      <w:spacing w:after="0" w:line="240" w:lineRule="auto"/>
      <w:jc w:val="right"/>
      <w:rPr>
        <w:rStyle w:val="PageNumber"/>
        <w:rFonts w:cs="Arial"/>
        <w:szCs w:val="25"/>
      </w:rPr>
    </w:pPr>
    <w:r w:rsidRPr="00C307C7">
      <w:rPr>
        <w:rStyle w:val="PageNumber"/>
        <w:rFonts w:cs="Arial"/>
        <w:szCs w:val="25"/>
      </w:rPr>
      <w:fldChar w:fldCharType="begin"/>
    </w:r>
    <w:r w:rsidRPr="00C307C7">
      <w:rPr>
        <w:rStyle w:val="PageNumber"/>
        <w:rFonts w:cs="Arial"/>
        <w:szCs w:val="25"/>
      </w:rPr>
      <w:instrText xml:space="preserve"> PAGE </w:instrText>
    </w:r>
    <w:r w:rsidRPr="00C307C7">
      <w:rPr>
        <w:rStyle w:val="PageNumber"/>
        <w:rFonts w:cs="Arial"/>
        <w:szCs w:val="25"/>
      </w:rPr>
      <w:fldChar w:fldCharType="separate"/>
    </w:r>
    <w:r w:rsidR="007B3479">
      <w:rPr>
        <w:rStyle w:val="PageNumber"/>
        <w:rFonts w:cs="Arial"/>
        <w:noProof/>
        <w:szCs w:val="25"/>
      </w:rPr>
      <w:t>23</w:t>
    </w:r>
    <w:r w:rsidRPr="00C307C7">
      <w:rPr>
        <w:rStyle w:val="PageNumber"/>
        <w:rFonts w:cs="Arial"/>
        <w:szCs w:val="25"/>
      </w:rPr>
      <w:fldChar w:fldCharType="end"/>
    </w:r>
  </w:p>
  <w:p w14:paraId="1235FF38" w14:textId="77777777" w:rsidR="00881BAF" w:rsidRPr="00C307C7" w:rsidRDefault="00881BAF" w:rsidP="00C15506">
    <w:pPr>
      <w:pStyle w:val="Header"/>
      <w:spacing w:after="0" w:line="240" w:lineRule="auto"/>
      <w:jc w:val="center"/>
      <w:rPr>
        <w:rStyle w:val="PageNumber"/>
        <w:rFonts w:cs="Arial"/>
        <w:sz w:val="16"/>
        <w:szCs w:val="16"/>
      </w:rPr>
    </w:pPr>
  </w:p>
  <w:p w14:paraId="3C8CB86C" w14:textId="77777777" w:rsidR="00881BAF" w:rsidRPr="00C307C7" w:rsidRDefault="00881BAF" w:rsidP="00C15506">
    <w:pPr>
      <w:pStyle w:val="Header"/>
      <w:spacing w:after="0" w:line="240" w:lineRule="auto"/>
      <w:jc w:val="center"/>
      <w:rPr>
        <w:rStyle w:val="PageNumber"/>
        <w:rFonts w:cs="Arial"/>
        <w:sz w:val="16"/>
        <w:szCs w:val="16"/>
      </w:rPr>
    </w:pPr>
  </w:p>
  <w:p w14:paraId="7D8BE019" w14:textId="77777777" w:rsidR="00881BAF" w:rsidRDefault="00881BAF" w:rsidP="00C15506">
    <w:pPr>
      <w:pStyle w:val="Header"/>
      <w:spacing w:after="0" w:line="240" w:lineRule="auto"/>
      <w:jc w:val="center"/>
      <w:rPr>
        <w:rStyle w:val="PageNumber"/>
        <w:rFonts w:cs="Arial"/>
        <w:sz w:val="16"/>
        <w:szCs w:val="16"/>
      </w:rPr>
    </w:pPr>
  </w:p>
  <w:p w14:paraId="7A210941" w14:textId="77777777" w:rsidR="00881BAF" w:rsidRPr="00C307C7" w:rsidRDefault="00881BAF" w:rsidP="00C15506">
    <w:pPr>
      <w:pStyle w:val="Header"/>
      <w:spacing w:after="0" w:line="240" w:lineRule="auto"/>
      <w:jc w:val="center"/>
      <w:rPr>
        <w:rStyle w:val="PageNumber"/>
        <w:rFonts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DE8A46E"/>
    <w:lvl w:ilvl="0">
      <w:start w:val="1"/>
      <w:numFmt w:val="decimal"/>
      <w:lvlText w:val="%1."/>
      <w:lvlJc w:val="left"/>
      <w:pPr>
        <w:tabs>
          <w:tab w:val="num" w:pos="1492"/>
        </w:tabs>
        <w:ind w:left="1492" w:hanging="360"/>
      </w:pPr>
    </w:lvl>
  </w:abstractNum>
  <w:abstractNum w:abstractNumId="1">
    <w:nsid w:val="FFFFFF7D"/>
    <w:multiLevelType w:val="singleLevel"/>
    <w:tmpl w:val="77BC0266"/>
    <w:lvl w:ilvl="0">
      <w:start w:val="1"/>
      <w:numFmt w:val="decimal"/>
      <w:lvlText w:val="%1."/>
      <w:lvlJc w:val="left"/>
      <w:pPr>
        <w:tabs>
          <w:tab w:val="num" w:pos="1209"/>
        </w:tabs>
        <w:ind w:left="1209" w:hanging="360"/>
      </w:pPr>
    </w:lvl>
  </w:abstractNum>
  <w:abstractNum w:abstractNumId="2">
    <w:nsid w:val="FFFFFF7E"/>
    <w:multiLevelType w:val="singleLevel"/>
    <w:tmpl w:val="50DA4A50"/>
    <w:lvl w:ilvl="0">
      <w:start w:val="1"/>
      <w:numFmt w:val="decimal"/>
      <w:lvlText w:val="%1."/>
      <w:lvlJc w:val="left"/>
      <w:pPr>
        <w:tabs>
          <w:tab w:val="num" w:pos="926"/>
        </w:tabs>
        <w:ind w:left="926" w:hanging="360"/>
      </w:pPr>
    </w:lvl>
  </w:abstractNum>
  <w:abstractNum w:abstractNumId="3">
    <w:nsid w:val="FFFFFF7F"/>
    <w:multiLevelType w:val="singleLevel"/>
    <w:tmpl w:val="564E56C0"/>
    <w:lvl w:ilvl="0">
      <w:start w:val="1"/>
      <w:numFmt w:val="decimal"/>
      <w:lvlText w:val="%1."/>
      <w:lvlJc w:val="left"/>
      <w:pPr>
        <w:tabs>
          <w:tab w:val="num" w:pos="643"/>
        </w:tabs>
        <w:ind w:left="643" w:hanging="360"/>
      </w:pPr>
    </w:lvl>
  </w:abstractNum>
  <w:abstractNum w:abstractNumId="4">
    <w:nsid w:val="FFFFFF80"/>
    <w:multiLevelType w:val="singleLevel"/>
    <w:tmpl w:val="C924E5C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F18C33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724BED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1E27CC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1EC22EA"/>
    <w:lvl w:ilvl="0">
      <w:start w:val="1"/>
      <w:numFmt w:val="decimal"/>
      <w:lvlText w:val="%1."/>
      <w:lvlJc w:val="left"/>
      <w:pPr>
        <w:tabs>
          <w:tab w:val="num" w:pos="360"/>
        </w:tabs>
        <w:ind w:left="360" w:hanging="360"/>
      </w:pPr>
    </w:lvl>
  </w:abstractNum>
  <w:abstractNum w:abstractNumId="9">
    <w:nsid w:val="FFFFFF89"/>
    <w:multiLevelType w:val="singleLevel"/>
    <w:tmpl w:val="53A67BEC"/>
    <w:lvl w:ilvl="0">
      <w:start w:val="1"/>
      <w:numFmt w:val="bullet"/>
      <w:lvlText w:val=""/>
      <w:lvlJc w:val="left"/>
      <w:pPr>
        <w:tabs>
          <w:tab w:val="num" w:pos="360"/>
        </w:tabs>
        <w:ind w:left="360" w:hanging="360"/>
      </w:pPr>
      <w:rPr>
        <w:rFonts w:ascii="Symbol" w:hAnsi="Symbol" w:hint="default"/>
      </w:rPr>
    </w:lvl>
  </w:abstractNum>
  <w:abstractNum w:abstractNumId="10">
    <w:nsid w:val="FFFFFFFB"/>
    <w:multiLevelType w:val="multilevel"/>
    <w:tmpl w:val="30FCAFC6"/>
    <w:lvl w:ilvl="0">
      <w:start w:val="1"/>
      <w:numFmt w:val="decimal"/>
      <w:lvlText w:val="%1."/>
      <w:lvlJc w:val="left"/>
      <w:pPr>
        <w:tabs>
          <w:tab w:val="num" w:pos="0"/>
        </w:tabs>
        <w:ind w:left="648" w:hanging="648"/>
      </w:pPr>
      <w:rPr>
        <w:rFonts w:ascii="Arial" w:hAnsi="Arial" w:hint="default"/>
        <w:b w:val="0"/>
        <w:i w:val="0"/>
        <w:sz w:val="24"/>
        <w:szCs w:val="24"/>
      </w:rPr>
    </w:lvl>
    <w:lvl w:ilvl="1">
      <w:start w:val="1"/>
      <w:numFmt w:val="decimal"/>
      <w:lvlText w:val="%1.%2"/>
      <w:lvlJc w:val="left"/>
      <w:pPr>
        <w:tabs>
          <w:tab w:val="num" w:pos="1440"/>
        </w:tabs>
        <w:ind w:left="1440" w:hanging="792"/>
      </w:pPr>
      <w:rPr>
        <w:rFonts w:ascii="Arial" w:hAnsi="Arial" w:hint="default"/>
        <w:b w:val="0"/>
        <w:i w:val="0"/>
        <w:sz w:val="24"/>
        <w:szCs w:val="24"/>
      </w:rPr>
    </w:lvl>
    <w:lvl w:ilvl="2">
      <w:start w:val="1"/>
      <w:numFmt w:val="decimal"/>
      <w:lvlText w:val="%1.%2.%3"/>
      <w:lvlJc w:val="left"/>
      <w:pPr>
        <w:tabs>
          <w:tab w:val="num" w:pos="2438"/>
        </w:tabs>
        <w:ind w:left="2438" w:hanging="1020"/>
      </w:pPr>
      <w:rPr>
        <w:rFonts w:ascii="Arial" w:hAnsi="Arial" w:hint="default"/>
        <w:b w:val="0"/>
        <w:i w:val="0"/>
        <w:sz w:val="24"/>
        <w:szCs w:val="24"/>
      </w:rPr>
    </w:lvl>
    <w:lvl w:ilvl="3">
      <w:start w:val="1"/>
      <w:numFmt w:val="decimal"/>
      <w:lvlText w:val="%1.%2.%3.%4"/>
      <w:lvlJc w:val="left"/>
      <w:pPr>
        <w:tabs>
          <w:tab w:val="num" w:pos="3744"/>
        </w:tabs>
        <w:ind w:left="3744" w:hanging="1310"/>
      </w:pPr>
      <w:rPr>
        <w:rFonts w:ascii="Arial" w:hAnsi="Arial" w:hint="default"/>
        <w:b w:val="0"/>
        <w:i w:val="0"/>
        <w:sz w:val="24"/>
        <w:szCs w:val="24"/>
      </w:rPr>
    </w:lvl>
    <w:lvl w:ilvl="4">
      <w:start w:val="1"/>
      <w:numFmt w:val="decimal"/>
      <w:lvlText w:val="%1.%2.%3.%4.%5"/>
      <w:lvlJc w:val="left"/>
      <w:pPr>
        <w:tabs>
          <w:tab w:val="num" w:pos="3969"/>
        </w:tabs>
        <w:ind w:left="3969" w:hanging="567"/>
      </w:pPr>
      <w:rPr>
        <w:rFonts w:ascii="Arial" w:hAnsi="Arial" w:hint="default"/>
        <w:b w:val="0"/>
        <w:i w:val="0"/>
        <w:sz w:val="24"/>
        <w:szCs w:val="24"/>
      </w:rPr>
    </w:lvl>
    <w:lvl w:ilvl="5">
      <w:start w:val="1"/>
      <w:numFmt w:val="decimal"/>
      <w:lvlText w:val="%1.%2.%3.%4.%5.%6"/>
      <w:lvlJc w:val="left"/>
      <w:pPr>
        <w:tabs>
          <w:tab w:val="num" w:pos="1152"/>
        </w:tabs>
        <w:ind w:left="1152" w:hanging="1152"/>
      </w:pPr>
      <w:rPr>
        <w:rFonts w:ascii="Arial" w:hAnsi="Arial" w:hint="default"/>
        <w:b w:val="0"/>
        <w:i w:val="0"/>
        <w:sz w:val="24"/>
        <w:szCs w:val="24"/>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01DC0AA2"/>
    <w:multiLevelType w:val="hybridMultilevel"/>
    <w:tmpl w:val="F04A010A"/>
    <w:lvl w:ilvl="0" w:tplc="489ABD64">
      <w:start w:val="1"/>
      <w:numFmt w:val="lowerLetter"/>
      <w:pStyle w:val="abracket"/>
      <w:lvlText w:val="%1)"/>
      <w:lvlJc w:val="left"/>
      <w:pPr>
        <w:tabs>
          <w:tab w:val="num" w:pos="851"/>
        </w:tabs>
        <w:ind w:left="851" w:hanging="851"/>
      </w:pPr>
      <w:rPr>
        <w:rFonts w:hint="default"/>
      </w:rPr>
    </w:lvl>
    <w:lvl w:ilvl="1" w:tplc="55ECC9DE" w:tentative="1">
      <w:start w:val="1"/>
      <w:numFmt w:val="lowerLetter"/>
      <w:lvlText w:val="%2."/>
      <w:lvlJc w:val="left"/>
      <w:pPr>
        <w:tabs>
          <w:tab w:val="num" w:pos="1440"/>
        </w:tabs>
        <w:ind w:left="1440" w:hanging="360"/>
      </w:pPr>
    </w:lvl>
    <w:lvl w:ilvl="2" w:tplc="DB608D22" w:tentative="1">
      <w:start w:val="1"/>
      <w:numFmt w:val="lowerRoman"/>
      <w:lvlText w:val="%3."/>
      <w:lvlJc w:val="right"/>
      <w:pPr>
        <w:tabs>
          <w:tab w:val="num" w:pos="2160"/>
        </w:tabs>
        <w:ind w:left="2160" w:hanging="180"/>
      </w:pPr>
    </w:lvl>
    <w:lvl w:ilvl="3" w:tplc="D3560AAA" w:tentative="1">
      <w:start w:val="1"/>
      <w:numFmt w:val="decimal"/>
      <w:lvlText w:val="%4."/>
      <w:lvlJc w:val="left"/>
      <w:pPr>
        <w:tabs>
          <w:tab w:val="num" w:pos="2880"/>
        </w:tabs>
        <w:ind w:left="2880" w:hanging="360"/>
      </w:pPr>
    </w:lvl>
    <w:lvl w:ilvl="4" w:tplc="596A8E2A" w:tentative="1">
      <w:start w:val="1"/>
      <w:numFmt w:val="lowerLetter"/>
      <w:lvlText w:val="%5."/>
      <w:lvlJc w:val="left"/>
      <w:pPr>
        <w:tabs>
          <w:tab w:val="num" w:pos="3600"/>
        </w:tabs>
        <w:ind w:left="3600" w:hanging="360"/>
      </w:pPr>
    </w:lvl>
    <w:lvl w:ilvl="5" w:tplc="7E620798" w:tentative="1">
      <w:start w:val="1"/>
      <w:numFmt w:val="lowerRoman"/>
      <w:lvlText w:val="%6."/>
      <w:lvlJc w:val="right"/>
      <w:pPr>
        <w:tabs>
          <w:tab w:val="num" w:pos="4320"/>
        </w:tabs>
        <w:ind w:left="4320" w:hanging="180"/>
      </w:pPr>
    </w:lvl>
    <w:lvl w:ilvl="6" w:tplc="8FA41626" w:tentative="1">
      <w:start w:val="1"/>
      <w:numFmt w:val="decimal"/>
      <w:lvlText w:val="%7."/>
      <w:lvlJc w:val="left"/>
      <w:pPr>
        <w:tabs>
          <w:tab w:val="num" w:pos="5040"/>
        </w:tabs>
        <w:ind w:left="5040" w:hanging="360"/>
      </w:pPr>
    </w:lvl>
    <w:lvl w:ilvl="7" w:tplc="00309198" w:tentative="1">
      <w:start w:val="1"/>
      <w:numFmt w:val="lowerLetter"/>
      <w:lvlText w:val="%8."/>
      <w:lvlJc w:val="left"/>
      <w:pPr>
        <w:tabs>
          <w:tab w:val="num" w:pos="5760"/>
        </w:tabs>
        <w:ind w:left="5760" w:hanging="360"/>
      </w:pPr>
    </w:lvl>
    <w:lvl w:ilvl="8" w:tplc="03F67278" w:tentative="1">
      <w:start w:val="1"/>
      <w:numFmt w:val="lowerRoman"/>
      <w:lvlText w:val="%9."/>
      <w:lvlJc w:val="right"/>
      <w:pPr>
        <w:tabs>
          <w:tab w:val="num" w:pos="6480"/>
        </w:tabs>
        <w:ind w:left="6480" w:hanging="180"/>
      </w:pPr>
    </w:lvl>
  </w:abstractNum>
  <w:abstractNum w:abstractNumId="12">
    <w:nsid w:val="0A132429"/>
    <w:multiLevelType w:val="hybridMultilevel"/>
    <w:tmpl w:val="A260C658"/>
    <w:lvl w:ilvl="0" w:tplc="A2BCA5AA">
      <w:start w:val="1"/>
      <w:numFmt w:val="decimal"/>
      <w:lvlText w:val="(%1)"/>
      <w:lvlJc w:val="left"/>
      <w:pPr>
        <w:tabs>
          <w:tab w:val="num" w:pos="900"/>
        </w:tabs>
        <w:ind w:left="900" w:hanging="720"/>
      </w:pPr>
      <w:rPr>
        <w:rFonts w:hint="default"/>
        <w:b w:val="0"/>
        <w:bCs/>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3">
    <w:nsid w:val="129B71EA"/>
    <w:multiLevelType w:val="multilevel"/>
    <w:tmpl w:val="1B8AE3DE"/>
    <w:lvl w:ilvl="0">
      <w:start w:val="1"/>
      <w:numFmt w:val="decimal"/>
      <w:lvlText w:val="%1."/>
      <w:lvlJc w:val="left"/>
      <w:pPr>
        <w:ind w:left="360" w:hanging="360"/>
      </w:pPr>
    </w:lvl>
    <w:lvl w:ilvl="1">
      <w:start w:val="1"/>
      <w:numFmt w:val="decimal"/>
      <w:lvlText w:val="%1.%2."/>
      <w:lvlJc w:val="left"/>
      <w:pPr>
        <w:tabs>
          <w:tab w:val="num" w:pos="1584"/>
        </w:tabs>
        <w:ind w:left="1584" w:hanging="864"/>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EDB7DA3"/>
    <w:multiLevelType w:val="multilevel"/>
    <w:tmpl w:val="29EA4D48"/>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701"/>
        </w:tabs>
        <w:ind w:left="1701" w:hanging="850"/>
      </w:pPr>
      <w:rPr>
        <w:rFonts w:hint="default"/>
      </w:rPr>
    </w:lvl>
    <w:lvl w:ilvl="2">
      <w:start w:val="1"/>
      <w:numFmt w:val="decimal"/>
      <w:isLgl/>
      <w:lvlText w:val="%1.%2.%3."/>
      <w:lvlJc w:val="left"/>
      <w:pPr>
        <w:tabs>
          <w:tab w:val="num" w:pos="2835"/>
        </w:tabs>
        <w:ind w:left="2835" w:hanging="113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26512340"/>
    <w:multiLevelType w:val="hybridMultilevel"/>
    <w:tmpl w:val="7A881944"/>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39E95A28"/>
    <w:multiLevelType w:val="multilevel"/>
    <w:tmpl w:val="7990FF70"/>
    <w:lvl w:ilvl="0">
      <w:start w:val="1"/>
      <w:numFmt w:val="decimal"/>
      <w:lvlText w:val="%1."/>
      <w:lvlJc w:val="left"/>
      <w:pPr>
        <w:tabs>
          <w:tab w:val="num" w:pos="1702"/>
        </w:tabs>
        <w:ind w:left="1702" w:hanging="851"/>
      </w:pPr>
      <w:rPr>
        <w:rFonts w:hint="default"/>
      </w:rPr>
    </w:lvl>
    <w:lvl w:ilvl="1">
      <w:start w:val="1"/>
      <w:numFmt w:val="decimal"/>
      <w:lvlText w:val="%1.%2."/>
      <w:lvlJc w:val="left"/>
      <w:pPr>
        <w:tabs>
          <w:tab w:val="num" w:pos="1701"/>
        </w:tabs>
        <w:ind w:left="1701" w:hanging="850"/>
      </w:pPr>
      <w:rPr>
        <w:rFonts w:hint="default"/>
      </w:rPr>
    </w:lvl>
    <w:lvl w:ilvl="2">
      <w:start w:val="1"/>
      <w:numFmt w:val="decimal"/>
      <w:lvlText w:val="%1.%2.%3."/>
      <w:lvlJc w:val="left"/>
      <w:pPr>
        <w:tabs>
          <w:tab w:val="num" w:pos="2651"/>
        </w:tabs>
        <w:ind w:left="2075" w:hanging="504"/>
      </w:pPr>
      <w:rPr>
        <w:rFonts w:hint="default"/>
      </w:rPr>
    </w:lvl>
    <w:lvl w:ilvl="3">
      <w:start w:val="1"/>
      <w:numFmt w:val="decimal"/>
      <w:lvlText w:val="%1.%2.%3.%4."/>
      <w:lvlJc w:val="left"/>
      <w:pPr>
        <w:tabs>
          <w:tab w:val="num" w:pos="3371"/>
        </w:tabs>
        <w:ind w:left="2579" w:hanging="648"/>
      </w:pPr>
      <w:rPr>
        <w:rFonts w:hint="default"/>
      </w:rPr>
    </w:lvl>
    <w:lvl w:ilvl="4">
      <w:start w:val="1"/>
      <w:numFmt w:val="decimal"/>
      <w:lvlText w:val="%1.%2.%3.%4.%5."/>
      <w:lvlJc w:val="left"/>
      <w:pPr>
        <w:tabs>
          <w:tab w:val="num" w:pos="4091"/>
        </w:tabs>
        <w:ind w:left="3083" w:hanging="792"/>
      </w:pPr>
      <w:rPr>
        <w:rFonts w:hint="default"/>
      </w:rPr>
    </w:lvl>
    <w:lvl w:ilvl="5">
      <w:start w:val="1"/>
      <w:numFmt w:val="decimal"/>
      <w:lvlText w:val="%1.%2.%3.%4.%5.%6."/>
      <w:lvlJc w:val="left"/>
      <w:pPr>
        <w:tabs>
          <w:tab w:val="num" w:pos="4811"/>
        </w:tabs>
        <w:ind w:left="3587" w:hanging="936"/>
      </w:pPr>
      <w:rPr>
        <w:rFonts w:hint="default"/>
      </w:rPr>
    </w:lvl>
    <w:lvl w:ilvl="6">
      <w:start w:val="1"/>
      <w:numFmt w:val="decimal"/>
      <w:lvlText w:val="%1.%2.%3.%4.%5.%6.%7."/>
      <w:lvlJc w:val="left"/>
      <w:pPr>
        <w:tabs>
          <w:tab w:val="num" w:pos="5531"/>
        </w:tabs>
        <w:ind w:left="4091" w:hanging="1080"/>
      </w:pPr>
      <w:rPr>
        <w:rFonts w:hint="default"/>
      </w:rPr>
    </w:lvl>
    <w:lvl w:ilvl="7">
      <w:start w:val="1"/>
      <w:numFmt w:val="decimal"/>
      <w:lvlText w:val="%1.%2.%3.%4.%5.%6.%7.%8."/>
      <w:lvlJc w:val="left"/>
      <w:pPr>
        <w:tabs>
          <w:tab w:val="num" w:pos="6251"/>
        </w:tabs>
        <w:ind w:left="4595" w:hanging="1224"/>
      </w:pPr>
      <w:rPr>
        <w:rFonts w:hint="default"/>
      </w:rPr>
    </w:lvl>
    <w:lvl w:ilvl="8">
      <w:start w:val="1"/>
      <w:numFmt w:val="decimal"/>
      <w:lvlText w:val="%1.%2.%3.%4.%5.%6.%7.%8.%9."/>
      <w:lvlJc w:val="left"/>
      <w:pPr>
        <w:tabs>
          <w:tab w:val="num" w:pos="6971"/>
        </w:tabs>
        <w:ind w:left="5171" w:hanging="1440"/>
      </w:pPr>
      <w:rPr>
        <w:rFonts w:hint="default"/>
      </w:rPr>
    </w:lvl>
  </w:abstractNum>
  <w:abstractNum w:abstractNumId="17">
    <w:nsid w:val="41A8181E"/>
    <w:multiLevelType w:val="multilevel"/>
    <w:tmpl w:val="6254C5E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701"/>
        </w:tabs>
        <w:ind w:left="1701" w:hanging="850"/>
      </w:pPr>
      <w:rPr>
        <w:rFonts w:hint="default"/>
      </w:rPr>
    </w:lvl>
    <w:lvl w:ilvl="2">
      <w:start w:val="1"/>
      <w:numFmt w:val="decimal"/>
      <w:lvlText w:val="%1.%2.%3."/>
      <w:lvlJc w:val="left"/>
      <w:pPr>
        <w:tabs>
          <w:tab w:val="num" w:pos="2552"/>
        </w:tabs>
        <w:ind w:left="2552" w:hanging="851"/>
      </w:pPr>
      <w:rPr>
        <w:rFonts w:hint="default"/>
      </w:rPr>
    </w:lvl>
    <w:lvl w:ilvl="3">
      <w:start w:val="1"/>
      <w:numFmt w:val="lowerLetter"/>
      <w:lvlText w:val="(%4)"/>
      <w:lvlJc w:val="left"/>
      <w:pPr>
        <w:tabs>
          <w:tab w:val="num" w:pos="2912"/>
        </w:tabs>
        <w:ind w:left="2835" w:hanging="283"/>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8">
    <w:nsid w:val="4A7B1789"/>
    <w:multiLevelType w:val="multilevel"/>
    <w:tmpl w:val="0D8E4332"/>
    <w:lvl w:ilvl="0">
      <w:start w:val="1"/>
      <w:numFmt w:val="decimal"/>
      <w:pStyle w:val="LegalHeading1"/>
      <w:lvlText w:val="%1."/>
      <w:lvlJc w:val="left"/>
      <w:pPr>
        <w:tabs>
          <w:tab w:val="num" w:pos="567"/>
        </w:tabs>
        <w:ind w:left="567" w:hanging="567"/>
      </w:pPr>
      <w:rPr>
        <w:rFonts w:cs="Times New Roman" w:hint="default"/>
        <w:b w:val="0"/>
        <w:i w:val="0"/>
      </w:rPr>
    </w:lvl>
    <w:lvl w:ilvl="1">
      <w:start w:val="1"/>
      <w:numFmt w:val="decimal"/>
      <w:pStyle w:val="LegalHeading2"/>
      <w:lvlText w:val="%1.%2"/>
      <w:lvlJc w:val="left"/>
      <w:pPr>
        <w:tabs>
          <w:tab w:val="num" w:pos="1134"/>
        </w:tabs>
        <w:ind w:left="1134" w:hanging="1134"/>
      </w:pPr>
      <w:rPr>
        <w:rFonts w:cs="Times New Roman" w:hint="default"/>
        <w:b w:val="0"/>
        <w:i w:val="0"/>
      </w:rPr>
    </w:lvl>
    <w:lvl w:ilvl="2">
      <w:start w:val="1"/>
      <w:numFmt w:val="decimal"/>
      <w:pStyle w:val="LegalHeading3"/>
      <w:lvlText w:val="%1.%2.%3"/>
      <w:lvlJc w:val="left"/>
      <w:pPr>
        <w:tabs>
          <w:tab w:val="num" w:pos="1701"/>
        </w:tabs>
        <w:ind w:left="1701" w:hanging="1701"/>
      </w:pPr>
      <w:rPr>
        <w:rFonts w:cs="Times New Roman" w:hint="default"/>
        <w:b w:val="0"/>
        <w:i w:val="0"/>
      </w:rPr>
    </w:lvl>
    <w:lvl w:ilvl="3">
      <w:start w:val="1"/>
      <w:numFmt w:val="decimal"/>
      <w:pStyle w:val="LegalHeading4"/>
      <w:lvlText w:val="%1.%2.%3.%4"/>
      <w:lvlJc w:val="left"/>
      <w:pPr>
        <w:tabs>
          <w:tab w:val="num" w:pos="2268"/>
        </w:tabs>
        <w:ind w:left="2268" w:hanging="2268"/>
      </w:pPr>
      <w:rPr>
        <w:rFonts w:cs="Times New Roman" w:hint="default"/>
        <w:b w:val="0"/>
        <w:i w:val="0"/>
      </w:rPr>
    </w:lvl>
    <w:lvl w:ilvl="4">
      <w:start w:val="1"/>
      <w:numFmt w:val="decimal"/>
      <w:pStyle w:val="LegalHeading5"/>
      <w:lvlText w:val="%1.%2.%3.%4.%5"/>
      <w:lvlJc w:val="left"/>
      <w:pPr>
        <w:tabs>
          <w:tab w:val="num" w:pos="2835"/>
        </w:tabs>
        <w:ind w:left="2835" w:hanging="2835"/>
      </w:pPr>
      <w:rPr>
        <w:rFonts w:cs="Times New Roman" w:hint="default"/>
        <w:b w:val="0"/>
        <w:i w:val="0"/>
      </w:rPr>
    </w:lvl>
    <w:lvl w:ilvl="5">
      <w:start w:val="1"/>
      <w:numFmt w:val="decimal"/>
      <w:pStyle w:val="LegalHeading6"/>
      <w:lvlText w:val="%1.%2.%3.%4.%5.%6"/>
      <w:lvlJc w:val="left"/>
      <w:pPr>
        <w:tabs>
          <w:tab w:val="num" w:pos="3402"/>
        </w:tabs>
        <w:ind w:left="3402" w:hanging="3402"/>
      </w:pPr>
      <w:rPr>
        <w:rFonts w:cs="Times New Roman" w:hint="default"/>
        <w:b w:val="0"/>
        <w:i w:val="0"/>
      </w:rPr>
    </w:lvl>
    <w:lvl w:ilvl="6">
      <w:start w:val="1"/>
      <w:numFmt w:val="decimal"/>
      <w:pStyle w:val="LegalHeading7"/>
      <w:lvlText w:val="%1.%2.%3.%4.%5.%6.%7"/>
      <w:lvlJc w:val="left"/>
      <w:pPr>
        <w:tabs>
          <w:tab w:val="num" w:pos="3969"/>
        </w:tabs>
        <w:ind w:left="3969" w:hanging="3969"/>
      </w:pPr>
      <w:rPr>
        <w:rFonts w:cs="Times New Roman" w:hint="default"/>
        <w:b w:val="0"/>
        <w:i w:val="0"/>
      </w:rPr>
    </w:lvl>
    <w:lvl w:ilvl="7">
      <w:start w:val="1"/>
      <w:numFmt w:val="decimal"/>
      <w:pStyle w:val="LegalHeading8"/>
      <w:lvlText w:val="%1.%2.%3.%4.%5.%6.%7.%8"/>
      <w:lvlJc w:val="left"/>
      <w:pPr>
        <w:tabs>
          <w:tab w:val="num" w:pos="4536"/>
        </w:tabs>
        <w:ind w:left="4536" w:hanging="4536"/>
      </w:pPr>
      <w:rPr>
        <w:rFonts w:cs="Times New Roman" w:hint="default"/>
        <w:b w:val="0"/>
        <w:i w:val="0"/>
      </w:rPr>
    </w:lvl>
    <w:lvl w:ilvl="8">
      <w:start w:val="1"/>
      <w:numFmt w:val="decimal"/>
      <w:lvlText w:val="%1.%2.%3.%4.%5.%6.%7.%8.%9"/>
      <w:lvlJc w:val="left"/>
      <w:pPr>
        <w:tabs>
          <w:tab w:val="num" w:pos="5103"/>
        </w:tabs>
        <w:ind w:left="5103" w:hanging="5103"/>
      </w:pPr>
      <w:rPr>
        <w:rFonts w:cs="Times New Roman" w:hint="default"/>
        <w:b w:val="0"/>
        <w:i w:val="0"/>
      </w:rPr>
    </w:lvl>
  </w:abstractNum>
  <w:abstractNum w:abstractNumId="19">
    <w:nsid w:val="589A5992"/>
    <w:multiLevelType w:val="multilevel"/>
    <w:tmpl w:val="FD343D20"/>
    <w:lvl w:ilvl="0">
      <w:start w:val="5"/>
      <w:numFmt w:val="decimal"/>
      <w:lvlText w:val="%1."/>
      <w:lvlJc w:val="left"/>
      <w:pPr>
        <w:ind w:left="360" w:hanging="360"/>
      </w:pPr>
      <w:rPr>
        <w:rFonts w:hint="default"/>
        <w:b w:val="0"/>
        <w:bCs w:val="0"/>
      </w:rPr>
    </w:lvl>
    <w:lvl w:ilvl="1">
      <w:start w:val="1"/>
      <w:numFmt w:val="decimal"/>
      <w:lvlText w:val="%1.%2."/>
      <w:lvlJc w:val="left"/>
      <w:pPr>
        <w:ind w:left="1800" w:hanging="720"/>
      </w:pPr>
      <w:rPr>
        <w:rFonts w:hint="default"/>
        <w:b w:val="0"/>
        <w:bCs w:val="0"/>
      </w:rPr>
    </w:lvl>
    <w:lvl w:ilvl="2">
      <w:start w:val="1"/>
      <w:numFmt w:val="decimal"/>
      <w:lvlText w:val="%1.%2.%3."/>
      <w:lvlJc w:val="left"/>
      <w:pPr>
        <w:ind w:left="2880" w:hanging="720"/>
      </w:pPr>
      <w:rPr>
        <w:rFonts w:hint="default"/>
        <w:b w:val="0"/>
        <w:bCs w:val="0"/>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0">
    <w:nsid w:val="58A75599"/>
    <w:multiLevelType w:val="multilevel"/>
    <w:tmpl w:val="27D6A436"/>
    <w:lvl w:ilvl="0">
      <w:start w:val="1"/>
      <w:numFmt w:val="decimal"/>
      <w:pStyle w:val="ListLevel1"/>
      <w:lvlText w:val="%1."/>
      <w:lvlJc w:val="left"/>
      <w:pPr>
        <w:tabs>
          <w:tab w:val="num" w:pos="851"/>
        </w:tabs>
        <w:ind w:left="851" w:hanging="851"/>
      </w:pPr>
      <w:rPr>
        <w:rFonts w:hint="default"/>
        <w:b w:val="0"/>
      </w:rPr>
    </w:lvl>
    <w:lvl w:ilvl="1">
      <w:start w:val="1"/>
      <w:numFmt w:val="decimal"/>
      <w:pStyle w:val="ListLevel2"/>
      <w:lvlText w:val="%1.%2."/>
      <w:lvlJc w:val="left"/>
      <w:pPr>
        <w:tabs>
          <w:tab w:val="num" w:pos="1701"/>
        </w:tabs>
        <w:ind w:left="1701" w:hanging="850"/>
      </w:pPr>
      <w:rPr>
        <w:rFonts w:hint="default"/>
        <w:b w:val="0"/>
      </w:rPr>
    </w:lvl>
    <w:lvl w:ilvl="2">
      <w:start w:val="1"/>
      <w:numFmt w:val="decimal"/>
      <w:pStyle w:val="ListLevel3"/>
      <w:lvlText w:val="%1.%2.%3."/>
      <w:lvlJc w:val="left"/>
      <w:pPr>
        <w:tabs>
          <w:tab w:val="num" w:pos="2552"/>
        </w:tabs>
        <w:ind w:left="2552" w:hanging="851"/>
      </w:pPr>
      <w:rPr>
        <w:rFonts w:hint="default"/>
        <w:b w:val="0"/>
      </w:rPr>
    </w:lvl>
    <w:lvl w:ilvl="3">
      <w:start w:val="1"/>
      <w:numFmt w:val="lowerLetter"/>
      <w:pStyle w:val="ListLevel4"/>
      <w:lvlText w:val="(%4)"/>
      <w:lvlJc w:val="left"/>
      <w:pPr>
        <w:tabs>
          <w:tab w:val="num" w:pos="3119"/>
        </w:tabs>
        <w:ind w:left="3119" w:hanging="567"/>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1">
    <w:nsid w:val="75033606"/>
    <w:multiLevelType w:val="multilevel"/>
    <w:tmpl w:val="1F56966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2552"/>
        </w:tabs>
        <w:ind w:left="2552" w:hanging="851"/>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2">
    <w:nsid w:val="7D0C17F3"/>
    <w:multiLevelType w:val="hybridMultilevel"/>
    <w:tmpl w:val="D974C486"/>
    <w:lvl w:ilvl="0" w:tplc="9200AADE">
      <w:start w:val="1"/>
      <w:numFmt w:val="lowerRoman"/>
      <w:pStyle w:val="onebracket"/>
      <w:lvlText w:val="(%1)"/>
      <w:lvlJc w:val="left"/>
      <w:pPr>
        <w:tabs>
          <w:tab w:val="num" w:pos="851"/>
        </w:tabs>
        <w:ind w:left="851" w:hanging="851"/>
      </w:pPr>
      <w:rPr>
        <w:rFonts w:hint="default"/>
      </w:rPr>
    </w:lvl>
    <w:lvl w:ilvl="1" w:tplc="A5820FF8" w:tentative="1">
      <w:start w:val="1"/>
      <w:numFmt w:val="lowerLetter"/>
      <w:lvlText w:val="%2."/>
      <w:lvlJc w:val="left"/>
      <w:pPr>
        <w:tabs>
          <w:tab w:val="num" w:pos="1440"/>
        </w:tabs>
        <w:ind w:left="1440" w:hanging="360"/>
      </w:pPr>
    </w:lvl>
    <w:lvl w:ilvl="2" w:tplc="21D8BF9E" w:tentative="1">
      <w:start w:val="1"/>
      <w:numFmt w:val="lowerRoman"/>
      <w:lvlText w:val="%3."/>
      <w:lvlJc w:val="right"/>
      <w:pPr>
        <w:tabs>
          <w:tab w:val="num" w:pos="2160"/>
        </w:tabs>
        <w:ind w:left="2160" w:hanging="180"/>
      </w:pPr>
    </w:lvl>
    <w:lvl w:ilvl="3" w:tplc="B832E58A" w:tentative="1">
      <w:start w:val="1"/>
      <w:numFmt w:val="decimal"/>
      <w:lvlText w:val="%4."/>
      <w:lvlJc w:val="left"/>
      <w:pPr>
        <w:tabs>
          <w:tab w:val="num" w:pos="2880"/>
        </w:tabs>
        <w:ind w:left="2880" w:hanging="360"/>
      </w:pPr>
    </w:lvl>
    <w:lvl w:ilvl="4" w:tplc="8410E02A" w:tentative="1">
      <w:start w:val="1"/>
      <w:numFmt w:val="lowerLetter"/>
      <w:lvlText w:val="%5."/>
      <w:lvlJc w:val="left"/>
      <w:pPr>
        <w:tabs>
          <w:tab w:val="num" w:pos="3600"/>
        </w:tabs>
        <w:ind w:left="3600" w:hanging="360"/>
      </w:pPr>
    </w:lvl>
    <w:lvl w:ilvl="5" w:tplc="6E620354" w:tentative="1">
      <w:start w:val="1"/>
      <w:numFmt w:val="lowerRoman"/>
      <w:lvlText w:val="%6."/>
      <w:lvlJc w:val="right"/>
      <w:pPr>
        <w:tabs>
          <w:tab w:val="num" w:pos="4320"/>
        </w:tabs>
        <w:ind w:left="4320" w:hanging="180"/>
      </w:pPr>
    </w:lvl>
    <w:lvl w:ilvl="6" w:tplc="2916A49A" w:tentative="1">
      <w:start w:val="1"/>
      <w:numFmt w:val="decimal"/>
      <w:lvlText w:val="%7."/>
      <w:lvlJc w:val="left"/>
      <w:pPr>
        <w:tabs>
          <w:tab w:val="num" w:pos="5040"/>
        </w:tabs>
        <w:ind w:left="5040" w:hanging="360"/>
      </w:pPr>
    </w:lvl>
    <w:lvl w:ilvl="7" w:tplc="42120482" w:tentative="1">
      <w:start w:val="1"/>
      <w:numFmt w:val="lowerLetter"/>
      <w:lvlText w:val="%8."/>
      <w:lvlJc w:val="left"/>
      <w:pPr>
        <w:tabs>
          <w:tab w:val="num" w:pos="5760"/>
        </w:tabs>
        <w:ind w:left="5760" w:hanging="360"/>
      </w:pPr>
    </w:lvl>
    <w:lvl w:ilvl="8" w:tplc="6CE60B44" w:tentative="1">
      <w:start w:val="1"/>
      <w:numFmt w:val="lowerRoman"/>
      <w:lvlText w:val="%9."/>
      <w:lvlJc w:val="right"/>
      <w:pPr>
        <w:tabs>
          <w:tab w:val="num" w:pos="6480"/>
        </w:tabs>
        <w:ind w:left="6480" w:hanging="180"/>
      </w:pPr>
    </w:lvl>
  </w:abstractNum>
  <w:num w:numId="1">
    <w:abstractNumId w:val="14"/>
  </w:num>
  <w:num w:numId="2">
    <w:abstractNumId w:val="16"/>
  </w:num>
  <w:num w:numId="3">
    <w:abstractNumId w:val="21"/>
  </w:num>
  <w:num w:numId="4">
    <w:abstractNumId w:val="17"/>
  </w:num>
  <w:num w:numId="5">
    <w:abstractNumId w:val="2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22"/>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11"/>
  </w:num>
  <w:num w:numId="21">
    <w:abstractNumId w:val="20"/>
  </w:num>
  <w:num w:numId="22">
    <w:abstractNumId w:val="20"/>
  </w:num>
  <w:num w:numId="23">
    <w:abstractNumId w:val="20"/>
  </w:num>
  <w:num w:numId="24">
    <w:abstractNumId w:val="20"/>
  </w:num>
  <w:num w:numId="25">
    <w:abstractNumId w:val="22"/>
  </w:num>
  <w:num w:numId="26">
    <w:abstractNumId w:val="20"/>
  </w:num>
  <w:num w:numId="27">
    <w:abstractNumId w:val="20"/>
  </w:num>
  <w:num w:numId="28">
    <w:abstractNumId w:val="15"/>
  </w:num>
  <w:num w:numId="29">
    <w:abstractNumId w:val="19"/>
  </w:num>
  <w:num w:numId="30">
    <w:abstractNumId w:val="20"/>
  </w:num>
  <w:num w:numId="31">
    <w:abstractNumId w:val="20"/>
  </w:num>
  <w:num w:numId="32">
    <w:abstractNumId w:val="20"/>
  </w:num>
  <w:num w:numId="33">
    <w:abstractNumId w:val="20"/>
  </w:num>
  <w:num w:numId="34">
    <w:abstractNumId w:val="20"/>
  </w:num>
  <w:num w:numId="35">
    <w:abstractNumId w:val="20"/>
  </w:num>
  <w:num w:numId="36">
    <w:abstractNumId w:val="20"/>
  </w:num>
  <w:num w:numId="37">
    <w:abstractNumId w:val="20"/>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B01"/>
    <w:rsid w:val="00013B60"/>
    <w:rsid w:val="00030124"/>
    <w:rsid w:val="000364C5"/>
    <w:rsid w:val="000441BE"/>
    <w:rsid w:val="00066255"/>
    <w:rsid w:val="00067824"/>
    <w:rsid w:val="00076BDF"/>
    <w:rsid w:val="00080FB7"/>
    <w:rsid w:val="00081BE5"/>
    <w:rsid w:val="0008679A"/>
    <w:rsid w:val="00092FE9"/>
    <w:rsid w:val="000A2905"/>
    <w:rsid w:val="000B51F2"/>
    <w:rsid w:val="000B5781"/>
    <w:rsid w:val="000B5AFC"/>
    <w:rsid w:val="000C5FBC"/>
    <w:rsid w:val="000E06FE"/>
    <w:rsid w:val="000E1FD0"/>
    <w:rsid w:val="00101BCD"/>
    <w:rsid w:val="00103B17"/>
    <w:rsid w:val="0011358F"/>
    <w:rsid w:val="0013010A"/>
    <w:rsid w:val="00137534"/>
    <w:rsid w:val="0014765C"/>
    <w:rsid w:val="0015047D"/>
    <w:rsid w:val="001522B0"/>
    <w:rsid w:val="00157C9E"/>
    <w:rsid w:val="00171A21"/>
    <w:rsid w:val="00173D11"/>
    <w:rsid w:val="00176506"/>
    <w:rsid w:val="00186B8E"/>
    <w:rsid w:val="0019160A"/>
    <w:rsid w:val="00195B18"/>
    <w:rsid w:val="001A4B73"/>
    <w:rsid w:val="001B01DE"/>
    <w:rsid w:val="001B2387"/>
    <w:rsid w:val="001C327E"/>
    <w:rsid w:val="001C4967"/>
    <w:rsid w:val="001C5E9C"/>
    <w:rsid w:val="001D1286"/>
    <w:rsid w:val="001D22E2"/>
    <w:rsid w:val="001D275E"/>
    <w:rsid w:val="001E4A36"/>
    <w:rsid w:val="001E717A"/>
    <w:rsid w:val="001F55DE"/>
    <w:rsid w:val="001F6793"/>
    <w:rsid w:val="00200B29"/>
    <w:rsid w:val="00203E3E"/>
    <w:rsid w:val="00210695"/>
    <w:rsid w:val="002200D8"/>
    <w:rsid w:val="002349B8"/>
    <w:rsid w:val="00234CD3"/>
    <w:rsid w:val="002407F5"/>
    <w:rsid w:val="00244218"/>
    <w:rsid w:val="00253687"/>
    <w:rsid w:val="0025601B"/>
    <w:rsid w:val="002811ED"/>
    <w:rsid w:val="00290C5E"/>
    <w:rsid w:val="0029509E"/>
    <w:rsid w:val="002A1E46"/>
    <w:rsid w:val="002A69E6"/>
    <w:rsid w:val="002B7DBF"/>
    <w:rsid w:val="002C52D0"/>
    <w:rsid w:val="002C6E15"/>
    <w:rsid w:val="002F1EF0"/>
    <w:rsid w:val="002F7379"/>
    <w:rsid w:val="00311A6A"/>
    <w:rsid w:val="0031738C"/>
    <w:rsid w:val="0034233C"/>
    <w:rsid w:val="00346933"/>
    <w:rsid w:val="00384C82"/>
    <w:rsid w:val="003928E3"/>
    <w:rsid w:val="00394560"/>
    <w:rsid w:val="003B7394"/>
    <w:rsid w:val="003C65FD"/>
    <w:rsid w:val="003D2C2D"/>
    <w:rsid w:val="003E353F"/>
    <w:rsid w:val="003E65E4"/>
    <w:rsid w:val="003F078F"/>
    <w:rsid w:val="003F5B46"/>
    <w:rsid w:val="003F7A67"/>
    <w:rsid w:val="00402E6B"/>
    <w:rsid w:val="00405ECC"/>
    <w:rsid w:val="00423CB0"/>
    <w:rsid w:val="0042724C"/>
    <w:rsid w:val="004319DB"/>
    <w:rsid w:val="00441098"/>
    <w:rsid w:val="004770BB"/>
    <w:rsid w:val="00480E8E"/>
    <w:rsid w:val="00480F58"/>
    <w:rsid w:val="004811EA"/>
    <w:rsid w:val="00490977"/>
    <w:rsid w:val="004A1B88"/>
    <w:rsid w:val="004B15A9"/>
    <w:rsid w:val="004B5191"/>
    <w:rsid w:val="004C2C63"/>
    <w:rsid w:val="004D0D37"/>
    <w:rsid w:val="004D6697"/>
    <w:rsid w:val="004E37E5"/>
    <w:rsid w:val="004E6608"/>
    <w:rsid w:val="004F5C32"/>
    <w:rsid w:val="005107A7"/>
    <w:rsid w:val="005122BA"/>
    <w:rsid w:val="00512B96"/>
    <w:rsid w:val="0054033F"/>
    <w:rsid w:val="00547B96"/>
    <w:rsid w:val="00550532"/>
    <w:rsid w:val="00555B5D"/>
    <w:rsid w:val="00583B74"/>
    <w:rsid w:val="00585E16"/>
    <w:rsid w:val="00593E3F"/>
    <w:rsid w:val="00595873"/>
    <w:rsid w:val="00596FA2"/>
    <w:rsid w:val="00597729"/>
    <w:rsid w:val="005B2B01"/>
    <w:rsid w:val="005B386A"/>
    <w:rsid w:val="005C76CC"/>
    <w:rsid w:val="005D4E87"/>
    <w:rsid w:val="005D5B30"/>
    <w:rsid w:val="005D6C4D"/>
    <w:rsid w:val="00605E76"/>
    <w:rsid w:val="00621925"/>
    <w:rsid w:val="006308D0"/>
    <w:rsid w:val="00644E71"/>
    <w:rsid w:val="006451F6"/>
    <w:rsid w:val="0065104A"/>
    <w:rsid w:val="006576AF"/>
    <w:rsid w:val="0067260F"/>
    <w:rsid w:val="0069151E"/>
    <w:rsid w:val="00692ED6"/>
    <w:rsid w:val="00694F7F"/>
    <w:rsid w:val="006A0EDE"/>
    <w:rsid w:val="006A6DCE"/>
    <w:rsid w:val="006C3E2C"/>
    <w:rsid w:val="006D080B"/>
    <w:rsid w:val="006D3106"/>
    <w:rsid w:val="006D34DA"/>
    <w:rsid w:val="006D6DEC"/>
    <w:rsid w:val="006F061C"/>
    <w:rsid w:val="006F7FD4"/>
    <w:rsid w:val="00700AAC"/>
    <w:rsid w:val="007032F1"/>
    <w:rsid w:val="00713943"/>
    <w:rsid w:val="0072046F"/>
    <w:rsid w:val="00721F48"/>
    <w:rsid w:val="00735B93"/>
    <w:rsid w:val="0074664B"/>
    <w:rsid w:val="00764367"/>
    <w:rsid w:val="00777D16"/>
    <w:rsid w:val="00777F75"/>
    <w:rsid w:val="0078255A"/>
    <w:rsid w:val="007938FD"/>
    <w:rsid w:val="00794A2D"/>
    <w:rsid w:val="007B3479"/>
    <w:rsid w:val="007B548A"/>
    <w:rsid w:val="007C05A1"/>
    <w:rsid w:val="007C4A59"/>
    <w:rsid w:val="007D425C"/>
    <w:rsid w:val="007F0202"/>
    <w:rsid w:val="007F5E77"/>
    <w:rsid w:val="00804BC7"/>
    <w:rsid w:val="00835D67"/>
    <w:rsid w:val="008612FA"/>
    <w:rsid w:val="00863289"/>
    <w:rsid w:val="008719B1"/>
    <w:rsid w:val="00881BAF"/>
    <w:rsid w:val="00881D5A"/>
    <w:rsid w:val="008832D7"/>
    <w:rsid w:val="008851CD"/>
    <w:rsid w:val="00895D27"/>
    <w:rsid w:val="008A51B7"/>
    <w:rsid w:val="008C7EDD"/>
    <w:rsid w:val="008D0666"/>
    <w:rsid w:val="008D317D"/>
    <w:rsid w:val="008F105C"/>
    <w:rsid w:val="00910B35"/>
    <w:rsid w:val="00922586"/>
    <w:rsid w:val="00927344"/>
    <w:rsid w:val="0093363F"/>
    <w:rsid w:val="009539AB"/>
    <w:rsid w:val="009549D2"/>
    <w:rsid w:val="00972766"/>
    <w:rsid w:val="009727B3"/>
    <w:rsid w:val="00973830"/>
    <w:rsid w:val="009769F2"/>
    <w:rsid w:val="0098104B"/>
    <w:rsid w:val="00983407"/>
    <w:rsid w:val="00984EE7"/>
    <w:rsid w:val="009A460F"/>
    <w:rsid w:val="009B0586"/>
    <w:rsid w:val="009B0F23"/>
    <w:rsid w:val="009B4F05"/>
    <w:rsid w:val="009B73E3"/>
    <w:rsid w:val="009E4E22"/>
    <w:rsid w:val="009F640B"/>
    <w:rsid w:val="009F6B36"/>
    <w:rsid w:val="00A01A63"/>
    <w:rsid w:val="00A1177B"/>
    <w:rsid w:val="00A32C3E"/>
    <w:rsid w:val="00A3652C"/>
    <w:rsid w:val="00A401AC"/>
    <w:rsid w:val="00A44620"/>
    <w:rsid w:val="00A71FE0"/>
    <w:rsid w:val="00A7259F"/>
    <w:rsid w:val="00A73C54"/>
    <w:rsid w:val="00A77C03"/>
    <w:rsid w:val="00A95AE7"/>
    <w:rsid w:val="00AA5F50"/>
    <w:rsid w:val="00AA627C"/>
    <w:rsid w:val="00AC666D"/>
    <w:rsid w:val="00AF095B"/>
    <w:rsid w:val="00B010F9"/>
    <w:rsid w:val="00B05014"/>
    <w:rsid w:val="00B1536E"/>
    <w:rsid w:val="00B20BD4"/>
    <w:rsid w:val="00B234D9"/>
    <w:rsid w:val="00B36B13"/>
    <w:rsid w:val="00B41BEC"/>
    <w:rsid w:val="00B47FB0"/>
    <w:rsid w:val="00B54626"/>
    <w:rsid w:val="00B607E9"/>
    <w:rsid w:val="00B71EC5"/>
    <w:rsid w:val="00B7267A"/>
    <w:rsid w:val="00BC5E7E"/>
    <w:rsid w:val="00BD73EF"/>
    <w:rsid w:val="00BE0913"/>
    <w:rsid w:val="00BE70A6"/>
    <w:rsid w:val="00C06DE6"/>
    <w:rsid w:val="00C14D4C"/>
    <w:rsid w:val="00C15506"/>
    <w:rsid w:val="00C216CD"/>
    <w:rsid w:val="00C2519C"/>
    <w:rsid w:val="00C2718F"/>
    <w:rsid w:val="00C307C7"/>
    <w:rsid w:val="00C35923"/>
    <w:rsid w:val="00C465ED"/>
    <w:rsid w:val="00C46EF1"/>
    <w:rsid w:val="00C5786D"/>
    <w:rsid w:val="00C61290"/>
    <w:rsid w:val="00C73C01"/>
    <w:rsid w:val="00C8120F"/>
    <w:rsid w:val="00C81ACB"/>
    <w:rsid w:val="00C96C21"/>
    <w:rsid w:val="00CC281B"/>
    <w:rsid w:val="00CC2B7C"/>
    <w:rsid w:val="00CC5226"/>
    <w:rsid w:val="00CC7C62"/>
    <w:rsid w:val="00CD11B2"/>
    <w:rsid w:val="00CD2892"/>
    <w:rsid w:val="00CE20D0"/>
    <w:rsid w:val="00CF0140"/>
    <w:rsid w:val="00CF3F9A"/>
    <w:rsid w:val="00D06680"/>
    <w:rsid w:val="00D07A0E"/>
    <w:rsid w:val="00D45683"/>
    <w:rsid w:val="00D75640"/>
    <w:rsid w:val="00D832A4"/>
    <w:rsid w:val="00D91B37"/>
    <w:rsid w:val="00DA77AB"/>
    <w:rsid w:val="00DB4303"/>
    <w:rsid w:val="00DC6B41"/>
    <w:rsid w:val="00DD2572"/>
    <w:rsid w:val="00DD40A0"/>
    <w:rsid w:val="00DD503A"/>
    <w:rsid w:val="00DF7646"/>
    <w:rsid w:val="00E00582"/>
    <w:rsid w:val="00E0122E"/>
    <w:rsid w:val="00E12384"/>
    <w:rsid w:val="00E12F57"/>
    <w:rsid w:val="00E14600"/>
    <w:rsid w:val="00E20795"/>
    <w:rsid w:val="00E3094A"/>
    <w:rsid w:val="00E375BF"/>
    <w:rsid w:val="00E424E0"/>
    <w:rsid w:val="00E507C6"/>
    <w:rsid w:val="00E51F4F"/>
    <w:rsid w:val="00E549E5"/>
    <w:rsid w:val="00E55C3E"/>
    <w:rsid w:val="00E84FF6"/>
    <w:rsid w:val="00E91717"/>
    <w:rsid w:val="00E91EB0"/>
    <w:rsid w:val="00E92F6C"/>
    <w:rsid w:val="00EA1F27"/>
    <w:rsid w:val="00EC74D4"/>
    <w:rsid w:val="00ED376E"/>
    <w:rsid w:val="00ED5E5F"/>
    <w:rsid w:val="00EF40A9"/>
    <w:rsid w:val="00F147F9"/>
    <w:rsid w:val="00F525D9"/>
    <w:rsid w:val="00F53D9C"/>
    <w:rsid w:val="00F63257"/>
    <w:rsid w:val="00F64B82"/>
    <w:rsid w:val="00F75A5B"/>
    <w:rsid w:val="00F83199"/>
    <w:rsid w:val="00F848AF"/>
    <w:rsid w:val="00F84FE0"/>
    <w:rsid w:val="00F90D9E"/>
    <w:rsid w:val="00F91D3F"/>
    <w:rsid w:val="00F92DC4"/>
    <w:rsid w:val="00FC2D4C"/>
    <w:rsid w:val="00FE43BE"/>
    <w:rsid w:val="00FE52D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A76438"/>
  <w15:chartTrackingRefBased/>
  <w15:docId w15:val="{4BA8EB85-8837-4E8E-BD06-F14F19BE7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Hyperlink" w:uiPriority="99"/>
    <w:lsdException w:name="Strong"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B15A9"/>
    <w:pPr>
      <w:spacing w:after="480" w:line="480" w:lineRule="auto"/>
      <w:jc w:val="both"/>
    </w:pPr>
    <w:rPr>
      <w:rFonts w:ascii="Arial" w:hAnsi="Arial"/>
      <w:sz w:val="25"/>
      <w:szCs w:val="18"/>
      <w:lang w:eastAsia="en-US"/>
    </w:rPr>
  </w:style>
  <w:style w:type="paragraph" w:styleId="Heading1">
    <w:name w:val="heading 1"/>
    <w:basedOn w:val="Normal"/>
    <w:next w:val="Normal"/>
    <w:qFormat/>
    <w:rsid w:val="003E65E4"/>
    <w:pPr>
      <w:keepNext/>
      <w:spacing w:before="360" w:after="360"/>
      <w:outlineLvl w:val="0"/>
    </w:pPr>
    <w:rPr>
      <w:rFonts w:cs="Arial"/>
      <w:b/>
      <w:bCs/>
      <w:caps/>
      <w:sz w:val="24"/>
      <w:szCs w:val="32"/>
    </w:rPr>
  </w:style>
  <w:style w:type="paragraph" w:styleId="Heading2">
    <w:name w:val="heading 2"/>
    <w:basedOn w:val="Heading1"/>
    <w:next w:val="BodyText"/>
    <w:qFormat/>
    <w:rsid w:val="004770BB"/>
    <w:pPr>
      <w:outlineLvl w:val="1"/>
    </w:pPr>
    <w:rPr>
      <w:b w:val="0"/>
      <w:bCs w:val="0"/>
      <w:iCs/>
      <w:caps w:val="0"/>
      <w:szCs w:val="28"/>
      <w:u w:val="single"/>
    </w:rPr>
  </w:style>
  <w:style w:type="paragraph" w:styleId="Heading3">
    <w:name w:val="heading 3"/>
    <w:basedOn w:val="Heading1"/>
    <w:next w:val="BodyText"/>
    <w:qFormat/>
    <w:rsid w:val="004770BB"/>
    <w:pPr>
      <w:outlineLvl w:val="2"/>
    </w:pPr>
    <w:rPr>
      <w:b w:val="0"/>
      <w:bCs w:val="0"/>
      <w:i/>
      <w:caps w:val="0"/>
      <w:szCs w:val="26"/>
      <w:u w:val="single"/>
    </w:rPr>
  </w:style>
  <w:style w:type="paragraph" w:styleId="Heading4">
    <w:name w:val="heading 4"/>
    <w:basedOn w:val="Normal"/>
    <w:link w:val="Heading4Char"/>
    <w:qFormat/>
    <w:rsid w:val="00C81ACB"/>
    <w:pPr>
      <w:tabs>
        <w:tab w:val="num" w:pos="3744"/>
      </w:tabs>
      <w:spacing w:before="240" w:after="240"/>
      <w:ind w:left="3744" w:hanging="1310"/>
      <w:outlineLvl w:val="3"/>
    </w:pPr>
    <w:rPr>
      <w:sz w:val="24"/>
      <w:szCs w:val="20"/>
      <w:lang w:val="en-GB"/>
    </w:rPr>
  </w:style>
  <w:style w:type="paragraph" w:styleId="Heading5">
    <w:name w:val="heading 5"/>
    <w:basedOn w:val="Normal"/>
    <w:link w:val="Heading5Char"/>
    <w:qFormat/>
    <w:rsid w:val="00C81ACB"/>
    <w:pPr>
      <w:tabs>
        <w:tab w:val="num" w:pos="3969"/>
      </w:tabs>
      <w:spacing w:before="240" w:after="240"/>
      <w:ind w:left="3969" w:hanging="567"/>
      <w:outlineLvl w:val="4"/>
    </w:pPr>
    <w:rPr>
      <w:sz w:val="24"/>
      <w:szCs w:val="20"/>
      <w:lang w:val="en-GB"/>
    </w:rPr>
  </w:style>
  <w:style w:type="paragraph" w:styleId="Heading8">
    <w:name w:val="heading 8"/>
    <w:basedOn w:val="Normal"/>
    <w:next w:val="Normal"/>
    <w:link w:val="Heading8Char"/>
    <w:semiHidden/>
    <w:unhideWhenUsed/>
    <w:qFormat/>
    <w:rsid w:val="00794A2D"/>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rsid w:val="008851CD"/>
  </w:style>
  <w:style w:type="paragraph" w:customStyle="1" w:styleId="ParaLevel2">
    <w:name w:val="ParaLevel2"/>
    <w:basedOn w:val="BodyText"/>
    <w:pPr>
      <w:ind w:left="851"/>
    </w:pPr>
  </w:style>
  <w:style w:type="paragraph" w:styleId="Header">
    <w:name w:val="header"/>
    <w:basedOn w:val="Normal"/>
    <w:pPr>
      <w:tabs>
        <w:tab w:val="center" w:pos="4320"/>
        <w:tab w:val="right" w:pos="8640"/>
      </w:tabs>
    </w:pPr>
  </w:style>
  <w:style w:type="paragraph" w:customStyle="1" w:styleId="ParaLevel3">
    <w:name w:val="ParaLevel3"/>
    <w:basedOn w:val="ParaLevel2"/>
    <w:pPr>
      <w:ind w:left="1701"/>
    </w:pPr>
  </w:style>
  <w:style w:type="paragraph" w:customStyle="1" w:styleId="ListLevel1">
    <w:name w:val="ListLevel1"/>
    <w:basedOn w:val="BodyText"/>
    <w:autoRedefine/>
    <w:qFormat/>
    <w:rsid w:val="00210695"/>
    <w:pPr>
      <w:numPr>
        <w:numId w:val="27"/>
      </w:numPr>
      <w:tabs>
        <w:tab w:val="clear" w:pos="851"/>
      </w:tabs>
      <w:spacing w:before="240" w:after="240"/>
    </w:pPr>
    <w:rPr>
      <w:sz w:val="24"/>
    </w:rPr>
  </w:style>
  <w:style w:type="paragraph" w:customStyle="1" w:styleId="ListLevel2">
    <w:name w:val="ListLevel2"/>
    <w:basedOn w:val="ListLevel1"/>
    <w:qFormat/>
    <w:rsid w:val="001C327E"/>
    <w:pPr>
      <w:numPr>
        <w:ilvl w:val="1"/>
      </w:numPr>
    </w:pPr>
  </w:style>
  <w:style w:type="paragraph" w:customStyle="1" w:styleId="ListLevel3">
    <w:name w:val="ListLevel3"/>
    <w:basedOn w:val="ListLevel1"/>
    <w:qFormat/>
    <w:rsid w:val="006F061C"/>
    <w:pPr>
      <w:numPr>
        <w:ilvl w:val="2"/>
      </w:numPr>
    </w:pPr>
  </w:style>
  <w:style w:type="paragraph" w:styleId="Date">
    <w:name w:val="Date"/>
    <w:basedOn w:val="Normal"/>
    <w:next w:val="Normal"/>
  </w:style>
  <w:style w:type="paragraph" w:customStyle="1" w:styleId="ListLevel4">
    <w:name w:val="ListLevel4"/>
    <w:basedOn w:val="ListLevel1"/>
    <w:qFormat/>
    <w:rsid w:val="006F061C"/>
    <w:pPr>
      <w:numPr>
        <w:ilvl w:val="3"/>
      </w:numPr>
    </w:pPr>
  </w:style>
  <w:style w:type="paragraph" w:customStyle="1" w:styleId="Tramlines">
    <w:name w:val="Tramlines"/>
    <w:basedOn w:val="Normal"/>
    <w:next w:val="BodyText"/>
    <w:pPr>
      <w:pBdr>
        <w:top w:val="single" w:sz="4" w:space="12" w:color="auto"/>
        <w:bottom w:val="single" w:sz="4" w:space="12" w:color="auto"/>
      </w:pBdr>
      <w:jc w:val="center"/>
    </w:pPr>
    <w:rPr>
      <w:b/>
    </w:rPr>
  </w:style>
  <w:style w:type="paragraph" w:customStyle="1" w:styleId="SignatureLine">
    <w:name w:val="SignatureLine"/>
    <w:basedOn w:val="BodyText"/>
    <w:pPr>
      <w:spacing w:after="0" w:line="240" w:lineRule="auto"/>
      <w:ind w:left="5670"/>
    </w:pPr>
  </w:style>
  <w:style w:type="paragraph" w:customStyle="1" w:styleId="Overline">
    <w:name w:val="Overline"/>
    <w:basedOn w:val="SignatureLine"/>
    <w:next w:val="SignatureLine"/>
    <w:pPr>
      <w:tabs>
        <w:tab w:val="right" w:leader="underscore" w:pos="8789"/>
      </w:tabs>
      <w:ind w:left="5585"/>
    </w:pPr>
  </w:style>
  <w:style w:type="paragraph" w:customStyle="1" w:styleId="PartyLine">
    <w:name w:val="PartyLine"/>
    <w:basedOn w:val="Normal"/>
    <w:rsid w:val="00C46EF1"/>
    <w:pPr>
      <w:tabs>
        <w:tab w:val="right" w:pos="8789"/>
      </w:tabs>
      <w:spacing w:after="120"/>
    </w:pPr>
  </w:style>
  <w:style w:type="paragraph" w:customStyle="1" w:styleId="abracket">
    <w:name w:val="abracket"/>
    <w:basedOn w:val="BodyText"/>
    <w:pPr>
      <w:numPr>
        <w:numId w:val="20"/>
      </w:numPr>
    </w:pPr>
  </w:style>
  <w:style w:type="paragraph" w:customStyle="1" w:styleId="onebracket">
    <w:name w:val="onebracket"/>
    <w:basedOn w:val="BodyText"/>
    <w:pPr>
      <w:numPr>
        <w:numId w:val="25"/>
      </w:numPr>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ParaLevel4">
    <w:name w:val="ParaLevel4"/>
    <w:basedOn w:val="ParaLevel3"/>
    <w:rsid w:val="009B0F23"/>
    <w:pPr>
      <w:ind w:left="2552"/>
    </w:pPr>
  </w:style>
  <w:style w:type="paragraph" w:styleId="FootnoteText">
    <w:name w:val="footnote text"/>
    <w:basedOn w:val="Normal"/>
    <w:link w:val="FootnoteTextChar"/>
    <w:autoRedefine/>
    <w:rsid w:val="00384C82"/>
    <w:pPr>
      <w:tabs>
        <w:tab w:val="left" w:pos="284"/>
      </w:tabs>
      <w:spacing w:after="0" w:line="360" w:lineRule="auto"/>
    </w:pPr>
    <w:rPr>
      <w:sz w:val="20"/>
      <w:szCs w:val="20"/>
    </w:rPr>
  </w:style>
  <w:style w:type="character" w:customStyle="1" w:styleId="FootnoteTextChar">
    <w:name w:val="Footnote Text Char"/>
    <w:link w:val="FootnoteText"/>
    <w:rsid w:val="00384C82"/>
    <w:rPr>
      <w:rFonts w:ascii="Arial" w:hAnsi="Arial"/>
      <w:lang w:eastAsia="en-US"/>
    </w:rPr>
  </w:style>
  <w:style w:type="character" w:styleId="FootnoteReference">
    <w:name w:val="footnote reference"/>
    <w:rsid w:val="0025601B"/>
    <w:rPr>
      <w:vertAlign w:val="superscript"/>
    </w:rPr>
  </w:style>
  <w:style w:type="paragraph" w:customStyle="1" w:styleId="MSQuote">
    <w:name w:val="MS Quote"/>
    <w:basedOn w:val="ListLevel1"/>
    <w:qFormat/>
    <w:rsid w:val="0067260F"/>
    <w:pPr>
      <w:widowControl w:val="0"/>
      <w:numPr>
        <w:numId w:val="0"/>
      </w:numPr>
      <w:tabs>
        <w:tab w:val="left" w:pos="2438"/>
        <w:tab w:val="left" w:pos="3005"/>
      </w:tabs>
      <w:spacing w:line="240" w:lineRule="auto"/>
      <w:ind w:left="1871"/>
    </w:pPr>
    <w:rPr>
      <w:i/>
      <w:iCs/>
    </w:rPr>
  </w:style>
  <w:style w:type="paragraph" w:styleId="Title">
    <w:name w:val="Title"/>
    <w:link w:val="TitleChar"/>
    <w:qFormat/>
    <w:rsid w:val="001C327E"/>
    <w:pPr>
      <w:widowControl w:val="0"/>
    </w:pPr>
    <w:rPr>
      <w:rFonts w:ascii="Arial" w:hAnsi="Arial"/>
      <w:sz w:val="25"/>
      <w:lang w:eastAsia="en-US"/>
    </w:rPr>
  </w:style>
  <w:style w:type="character" w:customStyle="1" w:styleId="TitleChar">
    <w:name w:val="Title Char"/>
    <w:link w:val="Title"/>
    <w:rsid w:val="001C327E"/>
    <w:rPr>
      <w:rFonts w:ascii="Arial" w:hAnsi="Arial"/>
      <w:sz w:val="25"/>
      <w:lang w:eastAsia="en-US"/>
    </w:rPr>
  </w:style>
  <w:style w:type="paragraph" w:customStyle="1" w:styleId="SingleLineSpacing">
    <w:name w:val="Single Line Spacing"/>
    <w:basedOn w:val="Title"/>
    <w:rsid w:val="001C327E"/>
  </w:style>
  <w:style w:type="paragraph" w:customStyle="1" w:styleId="StyleTitleBoldCenteredLinespacing15lines">
    <w:name w:val="Style Title + Bold Centered Line spacing:  15 lines"/>
    <w:basedOn w:val="Title"/>
    <w:rsid w:val="001C327E"/>
    <w:pPr>
      <w:spacing w:line="360" w:lineRule="auto"/>
      <w:jc w:val="center"/>
    </w:pPr>
    <w:rPr>
      <w:b/>
      <w:bCs/>
    </w:rPr>
  </w:style>
  <w:style w:type="paragraph" w:customStyle="1" w:styleId="StyleTitleBold">
    <w:name w:val="Style Title + Bold"/>
    <w:basedOn w:val="Title"/>
    <w:rsid w:val="008851CD"/>
    <w:rPr>
      <w:b/>
      <w:bCs/>
    </w:rPr>
  </w:style>
  <w:style w:type="character" w:customStyle="1" w:styleId="Heading8Char">
    <w:name w:val="Heading 8 Char"/>
    <w:basedOn w:val="DefaultParagraphFont"/>
    <w:link w:val="Heading8"/>
    <w:semiHidden/>
    <w:rsid w:val="00794A2D"/>
    <w:rPr>
      <w:rFonts w:asciiTheme="majorHAnsi" w:eastAsiaTheme="majorEastAsia" w:hAnsiTheme="majorHAnsi" w:cstheme="majorBidi"/>
      <w:color w:val="272727" w:themeColor="text1" w:themeTint="D8"/>
      <w:sz w:val="21"/>
      <w:szCs w:val="21"/>
      <w:lang w:eastAsia="en-US"/>
    </w:rPr>
  </w:style>
  <w:style w:type="paragraph" w:styleId="ListParagraph">
    <w:name w:val="List Paragraph"/>
    <w:basedOn w:val="Normal"/>
    <w:uiPriority w:val="34"/>
    <w:qFormat/>
    <w:rsid w:val="00794A2D"/>
    <w:pPr>
      <w:spacing w:after="0" w:line="240" w:lineRule="auto"/>
      <w:ind w:left="720"/>
      <w:jc w:val="left"/>
    </w:pPr>
    <w:rPr>
      <w:rFonts w:ascii="Times New Roman" w:hAnsi="Times New Roman"/>
      <w:sz w:val="20"/>
      <w:szCs w:val="20"/>
      <w:lang w:val="en-US"/>
    </w:rPr>
  </w:style>
  <w:style w:type="character" w:styleId="Hyperlink">
    <w:name w:val="Hyperlink"/>
    <w:uiPriority w:val="99"/>
    <w:rsid w:val="006D080B"/>
    <w:rPr>
      <w:rFonts w:ascii="Arial" w:hAnsi="Arial"/>
      <w:caps w:val="0"/>
      <w:smallCaps w:val="0"/>
      <w:color w:val="auto"/>
      <w:sz w:val="25"/>
      <w:u w:val="single"/>
    </w:rPr>
  </w:style>
  <w:style w:type="paragraph" w:customStyle="1" w:styleId="Default">
    <w:name w:val="Default"/>
    <w:rsid w:val="00794A2D"/>
    <w:pPr>
      <w:autoSpaceDE w:val="0"/>
      <w:autoSpaceDN w:val="0"/>
      <w:adjustRightInd w:val="0"/>
    </w:pPr>
    <w:rPr>
      <w:rFonts w:ascii="Calibri" w:eastAsia="Calibri" w:hAnsi="Calibri" w:cs="Calibri"/>
      <w:color w:val="000000"/>
      <w:sz w:val="24"/>
      <w:szCs w:val="24"/>
      <w:lang w:eastAsia="en-US"/>
    </w:rPr>
  </w:style>
  <w:style w:type="paragraph" w:customStyle="1" w:styleId="InsideAddress">
    <w:name w:val="Inside Address"/>
    <w:basedOn w:val="Normal"/>
    <w:rsid w:val="00794A2D"/>
    <w:pPr>
      <w:spacing w:after="0" w:line="220" w:lineRule="atLeast"/>
    </w:pPr>
    <w:rPr>
      <w:spacing w:val="-5"/>
      <w:sz w:val="20"/>
      <w:szCs w:val="20"/>
      <w:lang w:val="en-US"/>
    </w:rPr>
  </w:style>
  <w:style w:type="character" w:customStyle="1" w:styleId="UnresolvedMention">
    <w:name w:val="Unresolved Mention"/>
    <w:basedOn w:val="DefaultParagraphFont"/>
    <w:uiPriority w:val="99"/>
    <w:semiHidden/>
    <w:unhideWhenUsed/>
    <w:rsid w:val="00794A2D"/>
    <w:rPr>
      <w:color w:val="605E5C"/>
      <w:shd w:val="clear" w:color="auto" w:fill="E1DFDD"/>
    </w:rPr>
  </w:style>
  <w:style w:type="paragraph" w:styleId="TOC1">
    <w:name w:val="toc 1"/>
    <w:basedOn w:val="Normal"/>
    <w:next w:val="Normal"/>
    <w:autoRedefine/>
    <w:uiPriority w:val="39"/>
    <w:rsid w:val="00EC74D4"/>
    <w:pPr>
      <w:spacing w:after="100"/>
    </w:pPr>
  </w:style>
  <w:style w:type="character" w:styleId="Emphasis">
    <w:name w:val="Emphasis"/>
    <w:basedOn w:val="DefaultParagraphFont"/>
    <w:rsid w:val="004770BB"/>
    <w:rPr>
      <w:i/>
      <w:iCs/>
    </w:rPr>
  </w:style>
  <w:style w:type="paragraph" w:styleId="Subtitle">
    <w:name w:val="Subtitle"/>
    <w:basedOn w:val="Normal"/>
    <w:next w:val="Normal"/>
    <w:link w:val="SubtitleChar"/>
    <w:rsid w:val="004770B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4770BB"/>
    <w:rPr>
      <w:rFonts w:asciiTheme="minorHAnsi" w:eastAsiaTheme="minorEastAsia" w:hAnsiTheme="minorHAnsi" w:cstheme="minorBidi"/>
      <w:color w:val="5A5A5A" w:themeColor="text1" w:themeTint="A5"/>
      <w:spacing w:val="15"/>
      <w:sz w:val="22"/>
      <w:szCs w:val="22"/>
      <w:lang w:eastAsia="en-US"/>
    </w:rPr>
  </w:style>
  <w:style w:type="paragraph" w:styleId="TOC2">
    <w:name w:val="toc 2"/>
    <w:basedOn w:val="Normal"/>
    <w:next w:val="Normal"/>
    <w:autoRedefine/>
    <w:uiPriority w:val="39"/>
    <w:rsid w:val="0029509E"/>
    <w:pPr>
      <w:spacing w:after="100"/>
      <w:ind w:left="250"/>
    </w:pPr>
  </w:style>
  <w:style w:type="paragraph" w:customStyle="1" w:styleId="Body">
    <w:name w:val="Body"/>
    <w:rsid w:val="00171A21"/>
    <w:pPr>
      <w:pBdr>
        <w:top w:val="nil"/>
        <w:left w:val="nil"/>
        <w:bottom w:val="nil"/>
        <w:right w:val="nil"/>
        <w:between w:val="nil"/>
        <w:bar w:val="nil"/>
      </w:pBdr>
      <w:spacing w:after="200" w:line="360" w:lineRule="auto"/>
      <w:jc w:val="both"/>
    </w:pPr>
    <w:rPr>
      <w:rFonts w:ascii="Century Gothic" w:eastAsia="Arial Unicode MS" w:hAnsi="Century Gothic" w:cs="Arial Unicode MS"/>
      <w:color w:val="000000"/>
      <w:sz w:val="18"/>
      <w:szCs w:val="18"/>
      <w:u w:color="000000"/>
      <w:bdr w:val="nil"/>
      <w:lang w:val="en-US"/>
      <w14:textOutline w14:w="0" w14:cap="flat" w14:cmpd="sng" w14:algn="ctr">
        <w14:noFill/>
        <w14:prstDash w14:val="solid"/>
        <w14:bevel/>
      </w14:textOutline>
    </w:rPr>
  </w:style>
  <w:style w:type="paragraph" w:customStyle="1" w:styleId="LegalList1">
    <w:name w:val="Legal_List1"/>
    <w:basedOn w:val="LegalHeading1"/>
    <w:rsid w:val="00101BCD"/>
    <w:pPr>
      <w:keepNext w:val="0"/>
      <w:spacing w:before="0" w:after="300"/>
    </w:pPr>
    <w:rPr>
      <w:b w:val="0"/>
      <w:caps w:val="0"/>
    </w:rPr>
  </w:style>
  <w:style w:type="paragraph" w:customStyle="1" w:styleId="LegalHeading1">
    <w:name w:val="Legal_Heading1"/>
    <w:basedOn w:val="Normal"/>
    <w:next w:val="Normal"/>
    <w:rsid w:val="00101BCD"/>
    <w:pPr>
      <w:keepNext/>
      <w:numPr>
        <w:numId w:val="38"/>
      </w:numPr>
      <w:suppressAutoHyphens/>
      <w:spacing w:before="360" w:after="120"/>
      <w:outlineLvl w:val="0"/>
    </w:pPr>
    <w:rPr>
      <w:b/>
      <w:caps/>
      <w:sz w:val="24"/>
      <w:szCs w:val="24"/>
      <w:lang w:val="en-GB" w:eastAsia="en-GB"/>
    </w:rPr>
  </w:style>
  <w:style w:type="paragraph" w:customStyle="1" w:styleId="LegalHeading2">
    <w:name w:val="Legal_Heading2"/>
    <w:basedOn w:val="Normal"/>
    <w:next w:val="Normal"/>
    <w:rsid w:val="00101BCD"/>
    <w:pPr>
      <w:keepNext/>
      <w:numPr>
        <w:ilvl w:val="1"/>
        <w:numId w:val="38"/>
      </w:numPr>
      <w:tabs>
        <w:tab w:val="left" w:pos="3402"/>
        <w:tab w:val="left" w:pos="3969"/>
      </w:tabs>
      <w:suppressAutoHyphens/>
      <w:spacing w:after="120"/>
      <w:outlineLvl w:val="1"/>
    </w:pPr>
    <w:rPr>
      <w:b/>
      <w:sz w:val="24"/>
      <w:szCs w:val="24"/>
      <w:lang w:val="en-GB" w:eastAsia="en-GB"/>
    </w:rPr>
  </w:style>
  <w:style w:type="paragraph" w:customStyle="1" w:styleId="LegalHeading3">
    <w:name w:val="Legal_Heading3"/>
    <w:basedOn w:val="Normal"/>
    <w:next w:val="Normal"/>
    <w:rsid w:val="00101BCD"/>
    <w:pPr>
      <w:keepNext/>
      <w:numPr>
        <w:ilvl w:val="2"/>
        <w:numId w:val="38"/>
      </w:numPr>
      <w:tabs>
        <w:tab w:val="left" w:pos="3969"/>
        <w:tab w:val="left" w:pos="4536"/>
      </w:tabs>
      <w:suppressAutoHyphens/>
      <w:spacing w:after="120"/>
      <w:outlineLvl w:val="2"/>
    </w:pPr>
    <w:rPr>
      <w:b/>
      <w:sz w:val="24"/>
      <w:szCs w:val="24"/>
      <w:lang w:val="en-GB" w:eastAsia="en-GB"/>
    </w:rPr>
  </w:style>
  <w:style w:type="paragraph" w:customStyle="1" w:styleId="LegalHeading4">
    <w:name w:val="Legal_Heading4"/>
    <w:basedOn w:val="Normal"/>
    <w:next w:val="Normal"/>
    <w:rsid w:val="00101BCD"/>
    <w:pPr>
      <w:keepNext/>
      <w:numPr>
        <w:ilvl w:val="3"/>
        <w:numId w:val="38"/>
      </w:numPr>
      <w:suppressAutoHyphens/>
      <w:spacing w:after="120"/>
      <w:outlineLvl w:val="3"/>
    </w:pPr>
    <w:rPr>
      <w:b/>
      <w:sz w:val="24"/>
      <w:szCs w:val="24"/>
      <w:lang w:val="en-GB" w:eastAsia="en-GB"/>
    </w:rPr>
  </w:style>
  <w:style w:type="paragraph" w:customStyle="1" w:styleId="LegalHeading5">
    <w:name w:val="Legal_Heading5"/>
    <w:basedOn w:val="Normal"/>
    <w:next w:val="Normal"/>
    <w:rsid w:val="00101BCD"/>
    <w:pPr>
      <w:keepNext/>
      <w:numPr>
        <w:ilvl w:val="4"/>
        <w:numId w:val="38"/>
      </w:numPr>
      <w:suppressAutoHyphens/>
      <w:spacing w:after="120"/>
      <w:outlineLvl w:val="4"/>
    </w:pPr>
    <w:rPr>
      <w:b/>
      <w:sz w:val="24"/>
      <w:szCs w:val="24"/>
      <w:lang w:val="en-GB" w:eastAsia="en-GB"/>
    </w:rPr>
  </w:style>
  <w:style w:type="paragraph" w:customStyle="1" w:styleId="LegalLitPartyName">
    <w:name w:val="Legal_LitPartyName"/>
    <w:basedOn w:val="Normal"/>
    <w:next w:val="Normal"/>
    <w:uiPriority w:val="8"/>
    <w:rsid w:val="00101BCD"/>
    <w:pPr>
      <w:tabs>
        <w:tab w:val="right" w:pos="8789"/>
      </w:tabs>
      <w:suppressAutoHyphens/>
      <w:spacing w:after="240" w:line="240" w:lineRule="auto"/>
    </w:pPr>
    <w:rPr>
      <w:b/>
      <w:sz w:val="24"/>
      <w:szCs w:val="24"/>
      <w:lang w:val="en-GB" w:eastAsia="en-GB"/>
    </w:rPr>
  </w:style>
  <w:style w:type="paragraph" w:customStyle="1" w:styleId="LegalHeading6">
    <w:name w:val="Legal_Heading6"/>
    <w:basedOn w:val="Normal"/>
    <w:next w:val="Normal"/>
    <w:uiPriority w:val="1"/>
    <w:rsid w:val="00101BCD"/>
    <w:pPr>
      <w:keepNext/>
      <w:numPr>
        <w:ilvl w:val="5"/>
        <w:numId w:val="38"/>
      </w:numPr>
      <w:suppressAutoHyphens/>
      <w:spacing w:after="120"/>
      <w:outlineLvl w:val="5"/>
    </w:pPr>
    <w:rPr>
      <w:b/>
      <w:sz w:val="24"/>
      <w:szCs w:val="24"/>
      <w:lang w:val="en-GB" w:eastAsia="en-GB"/>
    </w:rPr>
  </w:style>
  <w:style w:type="paragraph" w:customStyle="1" w:styleId="LegalHeading7">
    <w:name w:val="Legal_Heading7"/>
    <w:basedOn w:val="Normal"/>
    <w:next w:val="Normal"/>
    <w:uiPriority w:val="1"/>
    <w:rsid w:val="00101BCD"/>
    <w:pPr>
      <w:keepNext/>
      <w:numPr>
        <w:ilvl w:val="6"/>
        <w:numId w:val="38"/>
      </w:numPr>
      <w:suppressAutoHyphens/>
      <w:spacing w:after="120"/>
      <w:outlineLvl w:val="6"/>
    </w:pPr>
    <w:rPr>
      <w:b/>
      <w:sz w:val="24"/>
      <w:szCs w:val="24"/>
      <w:lang w:val="en-GB" w:eastAsia="en-GB"/>
    </w:rPr>
  </w:style>
  <w:style w:type="paragraph" w:customStyle="1" w:styleId="LegalHeading8">
    <w:name w:val="Legal_Heading8"/>
    <w:basedOn w:val="Normal"/>
    <w:next w:val="Normal"/>
    <w:uiPriority w:val="1"/>
    <w:rsid w:val="00101BCD"/>
    <w:pPr>
      <w:keepNext/>
      <w:numPr>
        <w:ilvl w:val="7"/>
        <w:numId w:val="38"/>
      </w:numPr>
      <w:suppressAutoHyphens/>
      <w:spacing w:after="120"/>
      <w:outlineLvl w:val="7"/>
    </w:pPr>
    <w:rPr>
      <w:b/>
      <w:sz w:val="24"/>
      <w:szCs w:val="24"/>
      <w:lang w:val="en-GB" w:eastAsia="en-GB"/>
    </w:rPr>
  </w:style>
  <w:style w:type="paragraph" w:styleId="ListNumber">
    <w:name w:val="List Number"/>
    <w:basedOn w:val="Normal"/>
    <w:rsid w:val="00101BCD"/>
    <w:pPr>
      <w:suppressAutoHyphens/>
      <w:spacing w:after="240"/>
    </w:pPr>
    <w:rPr>
      <w:sz w:val="24"/>
      <w:szCs w:val="24"/>
      <w:lang w:val="en-GB" w:eastAsia="en-GB"/>
    </w:rPr>
  </w:style>
  <w:style w:type="character" w:customStyle="1" w:styleId="Heading4Char">
    <w:name w:val="Heading 4 Char"/>
    <w:basedOn w:val="DefaultParagraphFont"/>
    <w:link w:val="Heading4"/>
    <w:rsid w:val="00C81ACB"/>
    <w:rPr>
      <w:rFonts w:ascii="Arial" w:hAnsi="Arial"/>
      <w:sz w:val="24"/>
      <w:lang w:val="en-GB" w:eastAsia="en-US"/>
    </w:rPr>
  </w:style>
  <w:style w:type="character" w:customStyle="1" w:styleId="Heading5Char">
    <w:name w:val="Heading 5 Char"/>
    <w:basedOn w:val="DefaultParagraphFont"/>
    <w:link w:val="Heading5"/>
    <w:rsid w:val="00C81ACB"/>
    <w:rPr>
      <w:rFonts w:ascii="Arial" w:hAnsi="Arial"/>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2669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lleen\Documents\Tutoring\Pleading%20Template%20U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318384-9E5C-493C-8522-C1D819712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Pleading Template USE</Template>
  <TotalTime>2</TotalTime>
  <Pages>1</Pages>
  <Words>4782</Words>
  <Characters>27261</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Normal</vt:lpstr>
    </vt:vector>
  </TitlesOfParts>
  <Company>Chambers</Company>
  <LinksUpToDate>false</LinksUpToDate>
  <CharactersWithSpaces>31980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colleen smanjak</dc:creator>
  <cp:keywords/>
  <cp:lastModifiedBy>Mokone</cp:lastModifiedBy>
  <cp:revision>3</cp:revision>
  <cp:lastPrinted>2022-08-08T04:55:00Z</cp:lastPrinted>
  <dcterms:created xsi:type="dcterms:W3CDTF">2022-08-12T09:48:00Z</dcterms:created>
  <dcterms:modified xsi:type="dcterms:W3CDTF">2022-08-12T09:50:00Z</dcterms:modified>
</cp:coreProperties>
</file>