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31" w:rsidRDefault="00DD6A31" w:rsidP="00B27116">
      <w:pPr>
        <w:jc w:val="center"/>
        <w:rPr>
          <w:b/>
          <w:u w:val="none"/>
          <w:lang w:val="en-ZA"/>
        </w:rPr>
      </w:pPr>
      <w:bookmarkStart w:id="0" w:name="_GoBack"/>
      <w:bookmarkEnd w:id="0"/>
      <w:r>
        <w:rPr>
          <w:b/>
          <w:u w:val="none"/>
          <w:lang w:val="en-ZA"/>
        </w:rPr>
        <w:t>REPUBLIC OF SOUTH AFRICA</w:t>
      </w:r>
    </w:p>
    <w:p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rsidR="00DD6A31" w:rsidRDefault="00DD6A31" w:rsidP="00DB2E83">
      <w:pPr>
        <w:jc w:val="center"/>
        <w:rPr>
          <w:b/>
          <w:u w:val="none"/>
          <w:lang w:val="en-ZA"/>
        </w:rPr>
      </w:pPr>
      <w:r>
        <w:rPr>
          <w:b/>
          <w:u w:val="none"/>
          <w:lang w:val="en-ZA"/>
        </w:rPr>
        <w:t>IN THE HIGH COURT OF SOUTH AFRICA</w:t>
      </w:r>
    </w:p>
    <w:p w:rsidR="009528D8" w:rsidRDefault="00DD6A31" w:rsidP="004E35BA">
      <w:pPr>
        <w:jc w:val="center"/>
        <w:rPr>
          <w:b/>
          <w:u w:val="none"/>
          <w:lang w:val="en-ZA"/>
        </w:rPr>
      </w:pPr>
      <w:r>
        <w:rPr>
          <w:b/>
          <w:u w:val="none"/>
          <w:lang w:val="en-ZA"/>
        </w:rPr>
        <w:t>GAUT</w:t>
      </w:r>
      <w:r w:rsidR="0019491A">
        <w:rPr>
          <w:b/>
          <w:u w:val="none"/>
          <w:lang w:val="en-ZA"/>
        </w:rPr>
        <w:t xml:space="preserve">ENG </w:t>
      </w:r>
      <w:r w:rsidR="004E35BA">
        <w:rPr>
          <w:b/>
          <w:u w:val="none"/>
          <w:lang w:val="en-ZA"/>
        </w:rPr>
        <w:t>DIVISION, JOHANNESBURG</w:t>
      </w:r>
    </w:p>
    <w:p w:rsidR="00B27116" w:rsidRDefault="00B27116" w:rsidP="004E35BA">
      <w:pPr>
        <w:jc w:val="center"/>
        <w:rPr>
          <w:b/>
          <w:u w:val="none"/>
          <w:lang w:val="en-ZA"/>
        </w:rPr>
      </w:pPr>
    </w:p>
    <w:p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6764D9">
        <w:rPr>
          <w:b/>
          <w:u w:val="none"/>
          <w:lang w:val="en-ZA"/>
        </w:rPr>
        <w:t>40729</w:t>
      </w:r>
      <w:r w:rsidR="004E35BA">
        <w:rPr>
          <w:b/>
          <w:u w:val="none"/>
          <w:lang w:val="en-ZA"/>
        </w:rPr>
        <w:t>/20</w:t>
      </w:r>
      <w:r w:rsidR="0019491A">
        <w:rPr>
          <w:b/>
          <w:u w:val="none"/>
          <w:lang w:val="en-ZA"/>
        </w:rPr>
        <w:t>21</w:t>
      </w:r>
    </w:p>
    <w:p w:rsidR="00DD6A31" w:rsidRDefault="002E7BA5"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4E6455CA">
                <wp:simplePos x="0" y="0"/>
                <wp:positionH relativeFrom="margin">
                  <wp:align>left</wp:align>
                </wp:positionH>
                <wp:positionV relativeFrom="paragraph">
                  <wp:posOffset>25400</wp:posOffset>
                </wp:positionV>
                <wp:extent cx="3403600" cy="1371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371600"/>
                        </a:xfrm>
                        <a:prstGeom prst="rect">
                          <a:avLst/>
                        </a:prstGeom>
                        <a:solidFill>
                          <a:srgbClr val="FFFFFF"/>
                        </a:solidFill>
                        <a:ln w="9525">
                          <a:solidFill>
                            <a:srgbClr val="000000"/>
                          </a:solidFill>
                          <a:miter lim="800000"/>
                          <a:headEnd/>
                          <a:tailEnd/>
                        </a:ln>
                      </wps:spPr>
                      <wps:txbx>
                        <w:txbxContent>
                          <w:p w:rsidR="005F5824" w:rsidRDefault="005F5824" w:rsidP="00DD6A31">
                            <w:pPr>
                              <w:jc w:val="center"/>
                              <w:rPr>
                                <w:rFonts w:ascii="Century Gothic" w:hAnsi="Century Gothic"/>
                                <w:b/>
                                <w:sz w:val="20"/>
                                <w:szCs w:val="20"/>
                              </w:rPr>
                            </w:pPr>
                          </w:p>
                          <w:p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rsidR="005F5824" w:rsidRDefault="005F5824" w:rsidP="00DD6A31">
                            <w:pPr>
                              <w:ind w:left="180"/>
                              <w:rPr>
                                <w:rFonts w:ascii="Century Gothic" w:hAnsi="Century Gothic"/>
                                <w:sz w:val="20"/>
                                <w:szCs w:val="20"/>
                              </w:rPr>
                            </w:pPr>
                          </w:p>
                          <w:p w:rsidR="005F5824" w:rsidRDefault="005F5824" w:rsidP="00DD6A31">
                            <w:pPr>
                              <w:rPr>
                                <w:rFonts w:ascii="Century Gothic" w:hAnsi="Century Gothic"/>
                                <w:b/>
                                <w:sz w:val="18"/>
                                <w:szCs w:val="18"/>
                              </w:rPr>
                            </w:pPr>
                          </w:p>
                          <w:p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2pt;width:268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apKA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">
                <v:textbox>
                  <w:txbxContent>
                    <w:p w:rsidR="005F5824" w:rsidRDefault="005F5824" w:rsidP="00DD6A31">
                      <w:pPr>
                        <w:jc w:val="center"/>
                        <w:rPr>
                          <w:rFonts w:ascii="Century Gothic" w:hAnsi="Century Gothic"/>
                          <w:b/>
                          <w:sz w:val="20"/>
                          <w:szCs w:val="20"/>
                        </w:rPr>
                      </w:pPr>
                    </w:p>
                    <w:p w:rsidR="005F5824" w:rsidRDefault="005F5824" w:rsidP="00DD6A31">
                      <w:pPr>
                        <w:numPr>
                          <w:ilvl w:val="0"/>
                          <w:numId w:val="1"/>
                        </w:numPr>
                        <w:rPr>
                          <w:rFonts w:ascii="Century Gothic" w:hAnsi="Century Gothic"/>
                          <w:sz w:val="20"/>
                          <w:szCs w:val="20"/>
                        </w:rPr>
                      </w:pPr>
                      <w:r>
                        <w:rPr>
                          <w:rFonts w:ascii="Century Gothic" w:hAnsi="Century Gothic"/>
                          <w:sz w:val="20"/>
                          <w:szCs w:val="20"/>
                        </w:rPr>
                        <w:t>REPORTABLE: YES / NO</w:t>
                      </w:r>
                    </w:p>
                    <w:p w:rsidR="005F5824" w:rsidRDefault="005F582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rsidR="005F5824" w:rsidRDefault="005F5824" w:rsidP="00DD6A31">
                      <w:pPr>
                        <w:ind w:left="180"/>
                        <w:rPr>
                          <w:rFonts w:ascii="Century Gothic" w:hAnsi="Century Gothic"/>
                          <w:sz w:val="20"/>
                          <w:szCs w:val="20"/>
                        </w:rPr>
                      </w:pPr>
                    </w:p>
                    <w:p w:rsidR="005F5824" w:rsidRDefault="005F5824" w:rsidP="00DD6A31">
                      <w:pPr>
                        <w:rPr>
                          <w:rFonts w:ascii="Century Gothic" w:hAnsi="Century Gothic"/>
                          <w:b/>
                          <w:sz w:val="18"/>
                          <w:szCs w:val="18"/>
                        </w:rPr>
                      </w:pPr>
                    </w:p>
                    <w:p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rsidR="00DD6A31" w:rsidRDefault="00DD6A31" w:rsidP="00DB2E83">
      <w:pPr>
        <w:jc w:val="both"/>
      </w:pPr>
    </w:p>
    <w:p w:rsidR="00DD6A31" w:rsidRDefault="00DD6A31" w:rsidP="00DB2E83">
      <w:pPr>
        <w:jc w:val="both"/>
      </w:pPr>
    </w:p>
    <w:p w:rsidR="00DD6A31" w:rsidRDefault="00DD6A31" w:rsidP="00DB2E83">
      <w:pPr>
        <w:jc w:val="both"/>
      </w:pPr>
    </w:p>
    <w:p w:rsidR="00DD6A31" w:rsidRDefault="00DD6A31" w:rsidP="00DB2E83">
      <w:pPr>
        <w:jc w:val="both"/>
      </w:pPr>
    </w:p>
    <w:p w:rsidR="00DD6A31" w:rsidRDefault="00DD6A31" w:rsidP="00DB2E83">
      <w:pPr>
        <w:jc w:val="both"/>
      </w:pPr>
    </w:p>
    <w:p w:rsidR="00DD6A31" w:rsidRDefault="00DD6A31" w:rsidP="00DB2E83">
      <w:pPr>
        <w:jc w:val="both"/>
      </w:pPr>
    </w:p>
    <w:p w:rsidR="00DD6A31" w:rsidRDefault="00DD6A31" w:rsidP="00DB2E83">
      <w:pPr>
        <w:jc w:val="both"/>
      </w:pPr>
    </w:p>
    <w:p w:rsidR="006764D9" w:rsidRDefault="006764D9" w:rsidP="00DB2E83">
      <w:pPr>
        <w:jc w:val="both"/>
        <w:rPr>
          <w:u w:val="none"/>
        </w:rPr>
      </w:pPr>
    </w:p>
    <w:p w:rsidR="00DD6A31" w:rsidRDefault="00DD6A31" w:rsidP="00DB2E83">
      <w:pPr>
        <w:jc w:val="both"/>
        <w:rPr>
          <w:u w:val="none"/>
        </w:rPr>
      </w:pPr>
      <w:r>
        <w:rPr>
          <w:u w:val="none"/>
        </w:rPr>
        <w:t>In the matter between:</w:t>
      </w:r>
    </w:p>
    <w:p w:rsidR="00D62427" w:rsidRDefault="00D62427" w:rsidP="00DB2E83">
      <w:pPr>
        <w:jc w:val="both"/>
        <w:rPr>
          <w:b/>
          <w:u w:val="none"/>
        </w:rPr>
      </w:pPr>
    </w:p>
    <w:p w:rsidR="00DD6A31" w:rsidRDefault="00981B12" w:rsidP="00E9058E">
      <w:pPr>
        <w:jc w:val="both"/>
        <w:rPr>
          <w:u w:val="none"/>
        </w:rPr>
      </w:pPr>
      <w:r>
        <w:rPr>
          <w:b/>
          <w:u w:val="none"/>
        </w:rPr>
        <w:t>BP</w:t>
      </w:r>
      <w:r w:rsidR="00980D57">
        <w:rPr>
          <w:b/>
          <w:u w:val="none"/>
        </w:rPr>
        <w:t xml:space="preserve"> SOUTH</w:t>
      </w:r>
      <w:r>
        <w:rPr>
          <w:b/>
          <w:u w:val="none"/>
        </w:rPr>
        <w:t>ERN</w:t>
      </w:r>
      <w:r w:rsidR="00980D57">
        <w:rPr>
          <w:b/>
          <w:u w:val="none"/>
        </w:rPr>
        <w:t xml:space="preserve"> AFRICA (PTY) LTD</w:t>
      </w:r>
      <w:r w:rsidR="00DD6A31">
        <w:rPr>
          <w:u w:val="none"/>
        </w:rPr>
        <w:tab/>
      </w:r>
      <w:r w:rsidR="00DD6A31">
        <w:rPr>
          <w:u w:val="none"/>
        </w:rPr>
        <w:tab/>
        <w:t xml:space="preserve">  </w:t>
      </w:r>
      <w:r>
        <w:rPr>
          <w:u w:val="none"/>
        </w:rPr>
        <w:tab/>
      </w:r>
      <w:r>
        <w:rPr>
          <w:u w:val="none"/>
        </w:rPr>
        <w:tab/>
      </w:r>
      <w:r w:rsidR="00DD6A31">
        <w:rPr>
          <w:u w:val="none"/>
        </w:rPr>
        <w:t xml:space="preserve">     </w:t>
      </w:r>
      <w:r w:rsidR="00427E21">
        <w:rPr>
          <w:u w:val="none"/>
        </w:rPr>
        <w:tab/>
      </w:r>
      <w:r w:rsidR="00427E21">
        <w:rPr>
          <w:u w:val="none"/>
        </w:rPr>
        <w:tab/>
        <w:t xml:space="preserve"> </w:t>
      </w:r>
      <w:r w:rsidR="00DD6A31">
        <w:rPr>
          <w:u w:val="none"/>
        </w:rPr>
        <w:t>Applicant</w:t>
      </w:r>
    </w:p>
    <w:p w:rsidR="004E395A" w:rsidRDefault="004E395A" w:rsidP="00DB2E83">
      <w:pPr>
        <w:jc w:val="both"/>
        <w:rPr>
          <w:u w:val="none"/>
        </w:rPr>
      </w:pPr>
    </w:p>
    <w:p w:rsidR="00DD6A31" w:rsidRDefault="006764D9" w:rsidP="00DB2E83">
      <w:pPr>
        <w:jc w:val="both"/>
        <w:rPr>
          <w:u w:val="none"/>
        </w:rPr>
      </w:pPr>
      <w:r>
        <w:rPr>
          <w:u w:val="none"/>
        </w:rPr>
        <w:t>a</w:t>
      </w:r>
      <w:r w:rsidR="00DD6A31">
        <w:rPr>
          <w:u w:val="none"/>
        </w:rPr>
        <w:t>nd</w:t>
      </w:r>
    </w:p>
    <w:p w:rsidR="00DD6A31" w:rsidRDefault="00DD6A31" w:rsidP="00DB2E83">
      <w:pPr>
        <w:jc w:val="both"/>
        <w:rPr>
          <w:u w:val="none"/>
        </w:rPr>
      </w:pPr>
    </w:p>
    <w:p w:rsidR="00B27116" w:rsidRDefault="00981B12" w:rsidP="00B27116">
      <w:pPr>
        <w:jc w:val="both"/>
        <w:rPr>
          <w:b/>
          <w:u w:val="none"/>
        </w:rPr>
      </w:pPr>
      <w:r>
        <w:rPr>
          <w:b/>
          <w:u w:val="none"/>
        </w:rPr>
        <w:t>KTA SERVICES STATION (PTY) LTD</w:t>
      </w:r>
      <w:r w:rsidR="00E9058E">
        <w:rPr>
          <w:b/>
          <w:u w:val="none"/>
        </w:rPr>
        <w:tab/>
      </w:r>
      <w:r w:rsidR="00E9058E">
        <w:rPr>
          <w:b/>
          <w:u w:val="none"/>
        </w:rPr>
        <w:tab/>
      </w:r>
      <w:r w:rsidR="00E9058E">
        <w:rPr>
          <w:b/>
          <w:u w:val="none"/>
        </w:rPr>
        <w:tab/>
      </w:r>
      <w:r w:rsidR="00B27116">
        <w:rPr>
          <w:b/>
          <w:u w:val="none"/>
        </w:rPr>
        <w:tab/>
      </w:r>
      <w:r w:rsidR="004013BB">
        <w:rPr>
          <w:b/>
          <w:u w:val="none"/>
        </w:rPr>
        <w:tab/>
        <w:t xml:space="preserve">   </w:t>
      </w:r>
      <w:r w:rsidR="006764D9">
        <w:rPr>
          <w:u w:val="none"/>
        </w:rPr>
        <w:t xml:space="preserve">    </w:t>
      </w:r>
      <w:r w:rsidR="00B27116">
        <w:rPr>
          <w:u w:val="none"/>
        </w:rPr>
        <w:t>Respondent</w:t>
      </w:r>
    </w:p>
    <w:p w:rsidR="00B27116" w:rsidRDefault="00B27116" w:rsidP="00B27116">
      <w:pPr>
        <w:jc w:val="both"/>
        <w:rPr>
          <w:b/>
          <w:u w:val="none"/>
        </w:rPr>
      </w:pPr>
    </w:p>
    <w:p w:rsidR="006764D9" w:rsidRDefault="006764D9" w:rsidP="00B27116">
      <w:pPr>
        <w:jc w:val="both"/>
        <w:rPr>
          <w:u w:val="none"/>
        </w:rPr>
      </w:pPr>
    </w:p>
    <w:p w:rsidR="006764D9" w:rsidRDefault="006764D9" w:rsidP="00B27116">
      <w:pPr>
        <w:jc w:val="both"/>
        <w:rPr>
          <w:u w:val="none"/>
        </w:rPr>
      </w:pPr>
      <w:r w:rsidRPr="006764D9">
        <w:rPr>
          <w:i/>
          <w:u w:val="none"/>
        </w:rPr>
        <w:t>In re</w:t>
      </w:r>
      <w:r>
        <w:rPr>
          <w:u w:val="none"/>
        </w:rPr>
        <w:t>:</w:t>
      </w:r>
    </w:p>
    <w:p w:rsidR="006764D9" w:rsidRDefault="006764D9" w:rsidP="00B27116">
      <w:pPr>
        <w:jc w:val="both"/>
        <w:rPr>
          <w:b/>
          <w:u w:val="none"/>
        </w:rPr>
      </w:pPr>
    </w:p>
    <w:p w:rsidR="006764D9" w:rsidRDefault="006764D9" w:rsidP="00B27116">
      <w:pPr>
        <w:jc w:val="both"/>
        <w:rPr>
          <w:b/>
          <w:u w:val="none"/>
        </w:rPr>
      </w:pPr>
      <w:r>
        <w:rPr>
          <w:b/>
          <w:u w:val="none"/>
        </w:rPr>
        <w:t>KTA SERVICES STATION (PTY) LTD</w:t>
      </w:r>
      <w:r>
        <w:rPr>
          <w:b/>
          <w:u w:val="none"/>
        </w:rPr>
        <w:tab/>
      </w:r>
      <w:r>
        <w:rPr>
          <w:b/>
          <w:u w:val="none"/>
        </w:rPr>
        <w:tab/>
      </w:r>
      <w:r>
        <w:rPr>
          <w:b/>
          <w:u w:val="none"/>
        </w:rPr>
        <w:tab/>
      </w:r>
      <w:r>
        <w:rPr>
          <w:b/>
          <w:u w:val="none"/>
        </w:rPr>
        <w:tab/>
      </w:r>
      <w:r>
        <w:rPr>
          <w:b/>
          <w:u w:val="none"/>
        </w:rPr>
        <w:tab/>
      </w:r>
      <w:r>
        <w:rPr>
          <w:b/>
          <w:u w:val="none"/>
        </w:rPr>
        <w:tab/>
      </w:r>
      <w:r>
        <w:rPr>
          <w:u w:val="none"/>
        </w:rPr>
        <w:t>Applicant</w:t>
      </w:r>
    </w:p>
    <w:p w:rsidR="006764D9" w:rsidRDefault="006764D9" w:rsidP="00B27116">
      <w:pPr>
        <w:jc w:val="both"/>
        <w:rPr>
          <w:b/>
          <w:u w:val="none"/>
        </w:rPr>
      </w:pPr>
    </w:p>
    <w:p w:rsidR="006764D9" w:rsidRDefault="006764D9" w:rsidP="006764D9">
      <w:pPr>
        <w:jc w:val="both"/>
        <w:rPr>
          <w:u w:val="none"/>
        </w:rPr>
      </w:pPr>
      <w:r>
        <w:rPr>
          <w:u w:val="none"/>
        </w:rPr>
        <w:t>and</w:t>
      </w:r>
    </w:p>
    <w:p w:rsidR="006764D9" w:rsidRDefault="006764D9" w:rsidP="00B27116">
      <w:pPr>
        <w:jc w:val="both"/>
        <w:rPr>
          <w:b/>
          <w:u w:val="none"/>
        </w:rPr>
      </w:pPr>
    </w:p>
    <w:p w:rsidR="00B27116" w:rsidRDefault="006764D9" w:rsidP="00B27116">
      <w:pPr>
        <w:jc w:val="both"/>
        <w:rPr>
          <w:u w:val="none"/>
        </w:rPr>
      </w:pPr>
      <w:r>
        <w:rPr>
          <w:b/>
          <w:u w:val="none"/>
        </w:rPr>
        <w:t>BP SOUTHERN AFRICA (PTY) LTD</w:t>
      </w:r>
      <w:r w:rsidR="0019491A">
        <w:rPr>
          <w:b/>
          <w:u w:val="none"/>
        </w:rPr>
        <w:tab/>
        <w:t xml:space="preserve">  </w:t>
      </w:r>
      <w:r w:rsidR="00B27116">
        <w:rPr>
          <w:b/>
          <w:u w:val="none"/>
        </w:rPr>
        <w:tab/>
      </w:r>
      <w:r w:rsidR="00B27116">
        <w:rPr>
          <w:b/>
          <w:u w:val="none"/>
        </w:rPr>
        <w:tab/>
      </w:r>
      <w:r w:rsidR="00B27116">
        <w:rPr>
          <w:b/>
          <w:u w:val="none"/>
        </w:rPr>
        <w:tab/>
        <w:t xml:space="preserve">     </w:t>
      </w:r>
      <w:r w:rsidR="004013BB">
        <w:rPr>
          <w:b/>
          <w:u w:val="none"/>
        </w:rPr>
        <w:tab/>
        <w:t xml:space="preserve">  </w:t>
      </w:r>
      <w:r>
        <w:rPr>
          <w:u w:val="none"/>
        </w:rPr>
        <w:t xml:space="preserve">     </w:t>
      </w:r>
      <w:r w:rsidR="00B27116">
        <w:rPr>
          <w:u w:val="none"/>
        </w:rPr>
        <w:t>Respondent</w:t>
      </w:r>
    </w:p>
    <w:p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rsidR="00DD6A31" w:rsidRDefault="00DD6A31" w:rsidP="00DB2E83">
      <w:pPr>
        <w:tabs>
          <w:tab w:val="right" w:pos="8280"/>
        </w:tabs>
        <w:jc w:val="both"/>
        <w:rPr>
          <w:b/>
          <w:u w:val="none"/>
          <w:lang w:val="en-ZA"/>
        </w:rPr>
      </w:pPr>
    </w:p>
    <w:p w:rsidR="00DD6A31" w:rsidRDefault="00896E6D" w:rsidP="00EC1AB5">
      <w:pPr>
        <w:pBdr>
          <w:bottom w:val="single" w:sz="12" w:space="1" w:color="auto"/>
        </w:pBdr>
        <w:tabs>
          <w:tab w:val="right" w:pos="8280"/>
        </w:tabs>
        <w:jc w:val="center"/>
        <w:rPr>
          <w:b/>
          <w:u w:val="none"/>
          <w:lang w:val="en-ZA"/>
        </w:rPr>
      </w:pPr>
      <w:r>
        <w:rPr>
          <w:b/>
          <w:u w:val="none"/>
          <w:lang w:val="en-ZA"/>
        </w:rPr>
        <w:t>JUDGMENT</w:t>
      </w:r>
    </w:p>
    <w:p w:rsidR="00DD6A31" w:rsidRDefault="00DD6A31" w:rsidP="00DB2E83">
      <w:pPr>
        <w:pBdr>
          <w:bottom w:val="single" w:sz="12" w:space="1" w:color="auto"/>
        </w:pBdr>
        <w:tabs>
          <w:tab w:val="right" w:pos="8280"/>
        </w:tabs>
        <w:jc w:val="both"/>
        <w:rPr>
          <w:b/>
          <w:u w:val="none"/>
          <w:lang w:val="en-ZA"/>
        </w:rPr>
      </w:pPr>
    </w:p>
    <w:p w:rsidR="00753745" w:rsidRDefault="00753745" w:rsidP="00896E6D">
      <w:pPr>
        <w:tabs>
          <w:tab w:val="right" w:pos="0"/>
        </w:tabs>
        <w:spacing w:line="480" w:lineRule="auto"/>
        <w:jc w:val="both"/>
        <w:rPr>
          <w:b/>
          <w:lang w:val="en-ZA"/>
        </w:rPr>
      </w:pPr>
    </w:p>
    <w:p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rsidR="00022EFE" w:rsidRDefault="00896E6D" w:rsidP="008531D7">
      <w:pPr>
        <w:tabs>
          <w:tab w:val="right" w:pos="0"/>
        </w:tabs>
        <w:spacing w:line="480" w:lineRule="auto"/>
        <w:ind w:left="720" w:hanging="720"/>
        <w:jc w:val="both"/>
        <w:rPr>
          <w:u w:val="none"/>
          <w:lang w:val="en-ZA"/>
        </w:rPr>
      </w:pPr>
      <w:r>
        <w:rPr>
          <w:u w:val="none"/>
          <w:lang w:val="en-ZA"/>
        </w:rPr>
        <w:t>[</w:t>
      </w:r>
      <w:r w:rsidR="00DD6A31">
        <w:rPr>
          <w:u w:val="none"/>
          <w:lang w:val="en-ZA"/>
        </w:rPr>
        <w:t>1]</w:t>
      </w:r>
      <w:r w:rsidR="004E395A">
        <w:rPr>
          <w:u w:val="none"/>
          <w:lang w:val="en-ZA"/>
        </w:rPr>
        <w:tab/>
      </w:r>
      <w:r w:rsidR="00753745">
        <w:rPr>
          <w:u w:val="none"/>
          <w:lang w:val="en-ZA"/>
        </w:rPr>
        <w:t xml:space="preserve">In the present application the Applicant BP Southern Africa (Pty) Ltd (BP) who are the Respondents in the main application seek an order granting them leave </w:t>
      </w:r>
      <w:r w:rsidR="00753745">
        <w:rPr>
          <w:u w:val="none"/>
          <w:lang w:val="en-ZA"/>
        </w:rPr>
        <w:lastRenderedPageBreak/>
        <w:t>to file the affidavit by one Rita Sikhondze dated 1</w:t>
      </w:r>
      <w:r w:rsidR="00753745" w:rsidRPr="00753745">
        <w:rPr>
          <w:u w:val="none"/>
          <w:vertAlign w:val="superscript"/>
          <w:lang w:val="en-ZA"/>
        </w:rPr>
        <w:t>st</w:t>
      </w:r>
      <w:r w:rsidR="00753745">
        <w:rPr>
          <w:u w:val="none"/>
          <w:lang w:val="en-ZA"/>
        </w:rPr>
        <w:t xml:space="preserve"> Februa</w:t>
      </w:r>
      <w:r w:rsidR="00CD6672">
        <w:rPr>
          <w:u w:val="none"/>
          <w:lang w:val="en-ZA"/>
        </w:rPr>
        <w:t>ry 2022 in the main application.</w:t>
      </w:r>
    </w:p>
    <w:p w:rsidR="003E7C02" w:rsidRDefault="003E7C02" w:rsidP="003E7C02">
      <w:pPr>
        <w:tabs>
          <w:tab w:val="right" w:pos="0"/>
        </w:tabs>
        <w:spacing w:line="360" w:lineRule="auto"/>
        <w:ind w:left="720" w:hanging="720"/>
        <w:jc w:val="both"/>
        <w:rPr>
          <w:u w:val="none"/>
          <w:lang w:val="en-ZA"/>
        </w:rPr>
      </w:pPr>
    </w:p>
    <w:p w:rsidR="00022EFE" w:rsidRDefault="00DD6A31" w:rsidP="003E7C02">
      <w:pPr>
        <w:tabs>
          <w:tab w:val="right" w:pos="0"/>
        </w:tabs>
        <w:spacing w:line="360" w:lineRule="auto"/>
        <w:ind w:left="720" w:hanging="720"/>
        <w:jc w:val="both"/>
        <w:rPr>
          <w:u w:val="none"/>
          <w:lang w:val="en-ZA"/>
        </w:rPr>
      </w:pPr>
      <w:r>
        <w:rPr>
          <w:u w:val="none"/>
          <w:lang w:val="en-ZA"/>
        </w:rPr>
        <w:t>[2]</w:t>
      </w:r>
      <w:r w:rsidR="00CD6672">
        <w:rPr>
          <w:u w:val="none"/>
          <w:lang w:val="en-ZA"/>
        </w:rPr>
        <w:tab/>
        <w:t>This application is opposed.  The Affidavit opposing the application is deposed to by Mr Nathan Lindsay</w:t>
      </w:r>
      <w:r w:rsidR="00BE57EE">
        <w:rPr>
          <w:u w:val="none"/>
          <w:lang w:val="en-ZA"/>
        </w:rPr>
        <w:t xml:space="preserve"> Hitler who describes himself as</w:t>
      </w:r>
      <w:r w:rsidR="00CD6672">
        <w:rPr>
          <w:u w:val="none"/>
          <w:lang w:val="en-ZA"/>
        </w:rPr>
        <w:t xml:space="preserve"> the legal representative of KTA Services Station (Pty) Ltd (KTA).</w:t>
      </w:r>
      <w:r w:rsidR="006E3D7E">
        <w:rPr>
          <w:u w:val="none"/>
          <w:lang w:val="en-ZA"/>
        </w:rPr>
        <w:tab/>
      </w:r>
      <w:r w:rsidR="00AA7476">
        <w:rPr>
          <w:u w:val="none"/>
          <w:lang w:val="en-ZA"/>
        </w:rPr>
        <w:t xml:space="preserve"> </w:t>
      </w:r>
    </w:p>
    <w:p w:rsidR="00115735" w:rsidRDefault="00115735" w:rsidP="003E7C02">
      <w:pPr>
        <w:spacing w:line="360" w:lineRule="auto"/>
        <w:jc w:val="both"/>
        <w:rPr>
          <w:u w:val="none"/>
          <w:lang w:val="en-ZA"/>
        </w:rPr>
      </w:pPr>
    </w:p>
    <w:p w:rsidR="00022EFE" w:rsidRDefault="00DD6A31" w:rsidP="00EE6AE5">
      <w:pPr>
        <w:spacing w:line="360" w:lineRule="auto"/>
        <w:ind w:left="720" w:hanging="720"/>
        <w:jc w:val="both"/>
        <w:rPr>
          <w:u w:val="none"/>
          <w:lang w:val="en-ZA"/>
        </w:rPr>
      </w:pPr>
      <w:r>
        <w:rPr>
          <w:u w:val="none"/>
          <w:lang w:val="en-ZA"/>
        </w:rPr>
        <w:t>[3]</w:t>
      </w:r>
      <w:r w:rsidR="008A4425">
        <w:rPr>
          <w:u w:val="none"/>
          <w:lang w:val="en-ZA"/>
        </w:rPr>
        <w:tab/>
      </w:r>
      <w:r w:rsidR="00CD6672">
        <w:rPr>
          <w:u w:val="none"/>
          <w:lang w:val="en-ZA"/>
        </w:rPr>
        <w:t>It is common cause that the Applicant (BP) is being sued by the Respondent KTA for payment of the amount of R2 526 228.00 being outstanding rentals in respect of certain business premises known as</w:t>
      </w:r>
      <w:r w:rsidR="00BE57EE">
        <w:rPr>
          <w:u w:val="none"/>
          <w:lang w:val="en-ZA"/>
        </w:rPr>
        <w:t>BP Kagiso.  T</w:t>
      </w:r>
      <w:r w:rsidR="00CD6672">
        <w:rPr>
          <w:u w:val="none"/>
          <w:lang w:val="en-ZA"/>
        </w:rPr>
        <w:t>o this extend on the 29</w:t>
      </w:r>
      <w:r w:rsidR="00CD6672" w:rsidRPr="00CD6672">
        <w:rPr>
          <w:u w:val="none"/>
          <w:vertAlign w:val="superscript"/>
          <w:lang w:val="en-ZA"/>
        </w:rPr>
        <w:t>th</w:t>
      </w:r>
      <w:r w:rsidR="00CD6672">
        <w:rPr>
          <w:u w:val="none"/>
          <w:lang w:val="en-ZA"/>
        </w:rPr>
        <w:t xml:space="preserve"> March 2021 Memela Jones Incorporated acting on behalf of KTA issued a letter of demand </w:t>
      </w:r>
      <w:r w:rsidR="00BE57EE">
        <w:rPr>
          <w:u w:val="none"/>
          <w:lang w:val="en-ZA"/>
        </w:rPr>
        <w:t>addressed to</w:t>
      </w:r>
      <w:r w:rsidR="00CD6672">
        <w:rPr>
          <w:u w:val="none"/>
          <w:lang w:val="en-ZA"/>
        </w:rPr>
        <w:t xml:space="preserve"> BP. </w:t>
      </w:r>
    </w:p>
    <w:p w:rsidR="008C6D79" w:rsidRDefault="008C6D79" w:rsidP="00DB2E83">
      <w:pPr>
        <w:spacing w:line="360" w:lineRule="auto"/>
        <w:jc w:val="both"/>
        <w:rPr>
          <w:u w:val="none"/>
          <w:lang w:val="en-ZA"/>
        </w:rPr>
      </w:pPr>
    </w:p>
    <w:p w:rsidR="004C480C" w:rsidRDefault="00452E60" w:rsidP="004C480C">
      <w:pPr>
        <w:spacing w:line="360" w:lineRule="auto"/>
        <w:ind w:left="720" w:hanging="720"/>
        <w:jc w:val="both"/>
        <w:rPr>
          <w:u w:val="none"/>
          <w:lang w:val="en-ZA"/>
        </w:rPr>
      </w:pPr>
      <w:r>
        <w:rPr>
          <w:u w:val="none"/>
          <w:lang w:val="en-ZA"/>
        </w:rPr>
        <w:t>[4]</w:t>
      </w:r>
      <w:r w:rsidR="00312A9C">
        <w:rPr>
          <w:u w:val="none"/>
          <w:lang w:val="en-ZA"/>
        </w:rPr>
        <w:tab/>
      </w:r>
      <w:r w:rsidR="003E7C02">
        <w:rPr>
          <w:u w:val="none"/>
          <w:lang w:val="en-ZA"/>
        </w:rPr>
        <w:t xml:space="preserve">Having failed to comply with the letter </w:t>
      </w:r>
      <w:r w:rsidR="00647F88">
        <w:rPr>
          <w:u w:val="none"/>
          <w:lang w:val="en-ZA"/>
        </w:rPr>
        <w:t>of demand KTA through its attorneys instituted motion proceedings on the 25</w:t>
      </w:r>
      <w:r w:rsidR="00647F88" w:rsidRPr="00647F88">
        <w:rPr>
          <w:u w:val="none"/>
          <w:vertAlign w:val="superscript"/>
          <w:lang w:val="en-ZA"/>
        </w:rPr>
        <w:t>th</w:t>
      </w:r>
      <w:r w:rsidR="00647F88">
        <w:rPr>
          <w:u w:val="none"/>
          <w:lang w:val="en-ZA"/>
        </w:rPr>
        <w:t xml:space="preserve"> August 2021 whereupon BP filed its notice to oppose the claim on the 10</w:t>
      </w:r>
      <w:r w:rsidR="00647F88" w:rsidRPr="00647F88">
        <w:rPr>
          <w:u w:val="none"/>
          <w:vertAlign w:val="superscript"/>
          <w:lang w:val="en-ZA"/>
        </w:rPr>
        <w:t>th</w:t>
      </w:r>
      <w:r w:rsidR="00647F88">
        <w:rPr>
          <w:u w:val="none"/>
          <w:lang w:val="en-ZA"/>
        </w:rPr>
        <w:t xml:space="preserve"> September 2021. </w:t>
      </w:r>
    </w:p>
    <w:p w:rsidR="008A4425" w:rsidRDefault="004C480C" w:rsidP="00DB2E83">
      <w:pPr>
        <w:spacing w:line="360" w:lineRule="auto"/>
        <w:jc w:val="both"/>
        <w:rPr>
          <w:u w:val="none"/>
          <w:lang w:val="en-ZA"/>
        </w:rPr>
      </w:pPr>
      <w:r>
        <w:rPr>
          <w:u w:val="none"/>
          <w:lang w:val="en-ZA"/>
        </w:rPr>
        <w:t xml:space="preserve"> </w:t>
      </w:r>
    </w:p>
    <w:p w:rsidR="004C480C" w:rsidRDefault="0013141D" w:rsidP="004F4AA1">
      <w:pPr>
        <w:spacing w:line="360" w:lineRule="auto"/>
        <w:ind w:left="720" w:hanging="720"/>
        <w:jc w:val="both"/>
        <w:rPr>
          <w:u w:val="none"/>
          <w:lang w:val="en-ZA"/>
        </w:rPr>
      </w:pPr>
      <w:r>
        <w:rPr>
          <w:u w:val="none"/>
          <w:lang w:val="en-ZA"/>
        </w:rPr>
        <w:t>[5]</w:t>
      </w:r>
      <w:r w:rsidR="00DB37FE">
        <w:rPr>
          <w:u w:val="none"/>
          <w:lang w:val="en-ZA"/>
        </w:rPr>
        <w:tab/>
      </w:r>
      <w:r w:rsidR="00647F88">
        <w:rPr>
          <w:u w:val="none"/>
          <w:lang w:val="en-ZA"/>
        </w:rPr>
        <w:t>The Founding Affidavit of KTA is deposed to by Nathan Lindsay Hittler who describes himself as the</w:t>
      </w:r>
      <w:r w:rsidR="00BE57EE">
        <w:rPr>
          <w:u w:val="none"/>
          <w:lang w:val="en-ZA"/>
        </w:rPr>
        <w:t xml:space="preserve"> Chief Executive Officer of C</w:t>
      </w:r>
      <w:r w:rsidR="00FA023F">
        <w:rPr>
          <w:u w:val="none"/>
          <w:lang w:val="en-ZA"/>
        </w:rPr>
        <w:t>o</w:t>
      </w:r>
      <w:r w:rsidR="00BE57EE">
        <w:rPr>
          <w:u w:val="none"/>
          <w:lang w:val="en-ZA"/>
        </w:rPr>
        <w:t>rwi</w:t>
      </w:r>
      <w:r w:rsidR="00FA023F">
        <w:rPr>
          <w:u w:val="none"/>
          <w:lang w:val="en-ZA"/>
        </w:rPr>
        <w:t>ll</w:t>
      </w:r>
      <w:r w:rsidR="00647F88">
        <w:rPr>
          <w:u w:val="none"/>
          <w:lang w:val="en-ZA"/>
        </w:rPr>
        <w:t xml:space="preserve"> Investment Holdings (Pty) Ltd.  Mr Hittler says that he is the representative of the So</w:t>
      </w:r>
      <w:r w:rsidR="00BE57EE">
        <w:rPr>
          <w:u w:val="none"/>
          <w:lang w:val="en-ZA"/>
        </w:rPr>
        <w:t>le Shareholder of KTA being C</w:t>
      </w:r>
      <w:r w:rsidR="00FA023F">
        <w:rPr>
          <w:u w:val="none"/>
          <w:lang w:val="en-ZA"/>
        </w:rPr>
        <w:t>o</w:t>
      </w:r>
      <w:r w:rsidR="00BE57EE">
        <w:rPr>
          <w:u w:val="none"/>
          <w:lang w:val="en-ZA"/>
        </w:rPr>
        <w:t>rwi</w:t>
      </w:r>
      <w:r w:rsidR="00FA023F">
        <w:rPr>
          <w:u w:val="none"/>
          <w:lang w:val="en-ZA"/>
        </w:rPr>
        <w:t>ll</w:t>
      </w:r>
      <w:r w:rsidR="00647F88">
        <w:rPr>
          <w:u w:val="none"/>
          <w:lang w:val="en-ZA"/>
        </w:rPr>
        <w:t xml:space="preserve"> Investment.</w:t>
      </w:r>
    </w:p>
    <w:p w:rsidR="00647F88" w:rsidRDefault="00647F88" w:rsidP="004F4AA1">
      <w:pPr>
        <w:spacing w:line="360" w:lineRule="auto"/>
        <w:ind w:left="720" w:hanging="720"/>
        <w:jc w:val="both"/>
        <w:rPr>
          <w:u w:val="none"/>
          <w:lang w:val="en-ZA"/>
        </w:rPr>
      </w:pPr>
    </w:p>
    <w:p w:rsidR="007D3E71" w:rsidRDefault="00B77EBE" w:rsidP="00B77EBE">
      <w:pPr>
        <w:spacing w:line="360" w:lineRule="auto"/>
        <w:ind w:left="720" w:hanging="720"/>
        <w:jc w:val="both"/>
        <w:rPr>
          <w:u w:val="none"/>
          <w:lang w:val="en-ZA"/>
        </w:rPr>
      </w:pPr>
      <w:r>
        <w:rPr>
          <w:u w:val="none"/>
          <w:lang w:val="en-ZA"/>
        </w:rPr>
        <w:t>[</w:t>
      </w:r>
      <w:r w:rsidR="00452E60">
        <w:rPr>
          <w:u w:val="none"/>
          <w:lang w:val="en-ZA"/>
        </w:rPr>
        <w:t>6]</w:t>
      </w:r>
      <w:r>
        <w:rPr>
          <w:u w:val="none"/>
          <w:lang w:val="en-ZA"/>
        </w:rPr>
        <w:tab/>
      </w:r>
      <w:r w:rsidR="00647F88">
        <w:rPr>
          <w:u w:val="none"/>
          <w:lang w:val="en-ZA"/>
        </w:rPr>
        <w:t>Hittler says that he has been duly authorised to depose to the Founding Affidavit by virtue of a Director</w:t>
      </w:r>
      <w:r w:rsidR="00BE57EE">
        <w:rPr>
          <w:u w:val="none"/>
          <w:lang w:val="en-ZA"/>
        </w:rPr>
        <w:t>s</w:t>
      </w:r>
      <w:r w:rsidR="00647F88">
        <w:rPr>
          <w:u w:val="none"/>
          <w:lang w:val="en-ZA"/>
        </w:rPr>
        <w:t xml:space="preserve"> Resolution dated the 30</w:t>
      </w:r>
      <w:r w:rsidR="00647F88" w:rsidRPr="00647F88">
        <w:rPr>
          <w:u w:val="none"/>
          <w:vertAlign w:val="superscript"/>
          <w:lang w:val="en-ZA"/>
        </w:rPr>
        <w:t>th</w:t>
      </w:r>
      <w:r w:rsidR="00647F88">
        <w:rPr>
          <w:u w:val="none"/>
          <w:lang w:val="en-ZA"/>
        </w:rPr>
        <w:t xml:space="preserve"> July 2021.  He attaches such resolution as Annexure NH1.</w:t>
      </w:r>
      <w:r w:rsidR="00452E60">
        <w:rPr>
          <w:u w:val="none"/>
          <w:lang w:val="en-ZA"/>
        </w:rPr>
        <w:tab/>
      </w:r>
    </w:p>
    <w:p w:rsidR="00C730FB" w:rsidRDefault="00C730FB" w:rsidP="00DB2E83">
      <w:pPr>
        <w:spacing w:line="360" w:lineRule="auto"/>
        <w:jc w:val="both"/>
        <w:rPr>
          <w:u w:val="none"/>
          <w:lang w:val="en-ZA"/>
        </w:rPr>
      </w:pPr>
    </w:p>
    <w:p w:rsidR="007D3E71" w:rsidRDefault="009E4FCA" w:rsidP="00C2056B">
      <w:pPr>
        <w:spacing w:line="360" w:lineRule="auto"/>
        <w:ind w:left="720" w:hanging="720"/>
        <w:jc w:val="both"/>
        <w:rPr>
          <w:u w:val="none"/>
          <w:lang w:val="en-ZA"/>
        </w:rPr>
      </w:pPr>
      <w:r>
        <w:rPr>
          <w:u w:val="none"/>
          <w:lang w:val="en-ZA"/>
        </w:rPr>
        <w:t>[7]</w:t>
      </w:r>
      <w:r w:rsidR="00DB37FE">
        <w:rPr>
          <w:u w:val="none"/>
          <w:lang w:val="en-ZA"/>
        </w:rPr>
        <w:tab/>
      </w:r>
      <w:r w:rsidR="00C2056B">
        <w:rPr>
          <w:u w:val="none"/>
          <w:lang w:val="en-ZA"/>
        </w:rPr>
        <w:t xml:space="preserve"> </w:t>
      </w:r>
      <w:r w:rsidR="009514B0">
        <w:rPr>
          <w:u w:val="none"/>
          <w:lang w:val="en-ZA"/>
        </w:rPr>
        <w:t>The resolution is in actual fact dated the 16</w:t>
      </w:r>
      <w:r w:rsidR="009514B0" w:rsidRPr="009514B0">
        <w:rPr>
          <w:u w:val="none"/>
          <w:vertAlign w:val="superscript"/>
          <w:lang w:val="en-ZA"/>
        </w:rPr>
        <w:t>th</w:t>
      </w:r>
      <w:r w:rsidR="009514B0">
        <w:rPr>
          <w:u w:val="none"/>
          <w:lang w:val="en-ZA"/>
        </w:rPr>
        <w:t xml:space="preserve"> July 2021 and it appoints Messrs Memela Jones Incorporated to prosecute its claim against BP for payment of the amount of R2</w:t>
      </w:r>
      <w:r w:rsidR="006071DA">
        <w:rPr>
          <w:u w:val="none"/>
          <w:lang w:val="en-ZA"/>
        </w:rPr>
        <w:t> </w:t>
      </w:r>
      <w:r w:rsidR="009514B0">
        <w:rPr>
          <w:u w:val="none"/>
          <w:lang w:val="en-ZA"/>
        </w:rPr>
        <w:t>397</w:t>
      </w:r>
      <w:r w:rsidR="006071DA">
        <w:rPr>
          <w:u w:val="none"/>
          <w:lang w:val="en-ZA"/>
        </w:rPr>
        <w:t xml:space="preserve"> </w:t>
      </w:r>
      <w:r w:rsidR="009514B0">
        <w:rPr>
          <w:u w:val="none"/>
          <w:lang w:val="en-ZA"/>
        </w:rPr>
        <w:t>0</w:t>
      </w:r>
      <w:r w:rsidR="006071DA">
        <w:rPr>
          <w:u w:val="none"/>
          <w:lang w:val="en-ZA"/>
        </w:rPr>
        <w:t>14</w:t>
      </w:r>
      <w:r w:rsidR="009514B0">
        <w:rPr>
          <w:u w:val="none"/>
          <w:lang w:val="en-ZA"/>
        </w:rPr>
        <w:t>.00 (Two Mi</w:t>
      </w:r>
      <w:r w:rsidR="006071DA">
        <w:rPr>
          <w:u w:val="none"/>
          <w:lang w:val="en-ZA"/>
        </w:rPr>
        <w:t>llion Three Hundred and Ninety-Seven Thousand</w:t>
      </w:r>
      <w:r w:rsidR="009514B0">
        <w:rPr>
          <w:u w:val="none"/>
          <w:lang w:val="en-ZA"/>
        </w:rPr>
        <w:t xml:space="preserve"> and Fourteen Rands)</w:t>
      </w:r>
    </w:p>
    <w:p w:rsidR="00F3574B" w:rsidRDefault="00F3574B" w:rsidP="00DB2E83">
      <w:pPr>
        <w:spacing w:line="360" w:lineRule="auto"/>
        <w:jc w:val="both"/>
        <w:rPr>
          <w:u w:val="none"/>
          <w:lang w:val="en-ZA"/>
        </w:rPr>
      </w:pPr>
    </w:p>
    <w:p w:rsidR="007D3E71" w:rsidRDefault="00F3574B" w:rsidP="00856CB0">
      <w:pPr>
        <w:spacing w:line="360" w:lineRule="auto"/>
        <w:ind w:left="720" w:hanging="720"/>
        <w:jc w:val="both"/>
        <w:rPr>
          <w:u w:val="none"/>
          <w:lang w:val="en-ZA"/>
        </w:rPr>
      </w:pPr>
      <w:r>
        <w:rPr>
          <w:u w:val="none"/>
          <w:lang w:val="en-ZA"/>
        </w:rPr>
        <w:lastRenderedPageBreak/>
        <w:t>[8]</w:t>
      </w:r>
      <w:r w:rsidR="00C133E6">
        <w:rPr>
          <w:u w:val="none"/>
          <w:lang w:val="en-ZA"/>
        </w:rPr>
        <w:tab/>
      </w:r>
      <w:r w:rsidR="00856CB0">
        <w:rPr>
          <w:u w:val="none"/>
          <w:lang w:val="en-ZA"/>
        </w:rPr>
        <w:t xml:space="preserve"> </w:t>
      </w:r>
      <w:r w:rsidR="000F2C2E">
        <w:rPr>
          <w:u w:val="none"/>
          <w:lang w:val="en-ZA"/>
        </w:rPr>
        <w:t>On the 28</w:t>
      </w:r>
      <w:r w:rsidR="000F2C2E" w:rsidRPr="000F2C2E">
        <w:rPr>
          <w:u w:val="none"/>
          <w:vertAlign w:val="superscript"/>
          <w:lang w:val="en-ZA"/>
        </w:rPr>
        <w:t>th</w:t>
      </w:r>
      <w:r w:rsidR="000F2C2E">
        <w:rPr>
          <w:u w:val="none"/>
          <w:lang w:val="en-ZA"/>
        </w:rPr>
        <w:t xml:space="preserve"> September 2021 BP’s attorneys filed and served a notice in terms of Rule 7(1) disputing the authority of Memela Jones Incorporated to act on behalf of KTA.</w:t>
      </w:r>
    </w:p>
    <w:p w:rsidR="00D0699A" w:rsidRDefault="00D0699A" w:rsidP="00D0699A">
      <w:pPr>
        <w:spacing w:line="360" w:lineRule="auto"/>
        <w:jc w:val="both"/>
        <w:rPr>
          <w:u w:val="none"/>
          <w:lang w:val="en-ZA"/>
        </w:rPr>
      </w:pPr>
    </w:p>
    <w:p w:rsidR="00222875" w:rsidRPr="00222875" w:rsidRDefault="00D0699A" w:rsidP="004F4AA1">
      <w:pPr>
        <w:spacing w:line="360" w:lineRule="auto"/>
        <w:ind w:left="720" w:hanging="720"/>
        <w:jc w:val="both"/>
        <w:rPr>
          <w:sz w:val="22"/>
          <w:szCs w:val="22"/>
          <w:u w:val="none"/>
          <w:lang w:val="en-ZA"/>
        </w:rPr>
      </w:pPr>
      <w:r>
        <w:rPr>
          <w:u w:val="none"/>
          <w:lang w:val="en-ZA"/>
        </w:rPr>
        <w:t>[9]</w:t>
      </w:r>
      <w:r w:rsidR="004B6237">
        <w:rPr>
          <w:u w:val="none"/>
          <w:lang w:val="en-ZA"/>
        </w:rPr>
        <w:tab/>
        <w:t xml:space="preserve"> </w:t>
      </w:r>
      <w:r w:rsidR="000F2C2E">
        <w:rPr>
          <w:u w:val="none"/>
          <w:lang w:val="en-ZA"/>
        </w:rPr>
        <w:t>Similarly on the 27</w:t>
      </w:r>
      <w:r w:rsidR="000F2C2E" w:rsidRPr="000F2C2E">
        <w:rPr>
          <w:u w:val="none"/>
          <w:vertAlign w:val="superscript"/>
          <w:lang w:val="en-ZA"/>
        </w:rPr>
        <w:t>th</w:t>
      </w:r>
      <w:r w:rsidR="000F2C2E">
        <w:rPr>
          <w:u w:val="none"/>
          <w:lang w:val="en-ZA"/>
        </w:rPr>
        <w:t xml:space="preserve"> October 2021 KTA also filed a Rule 7(1) notice disputing the authority of Edward Nathan Sonnenberg Inc. and Rita Sikhondze</w:t>
      </w:r>
      <w:r w:rsidR="00BE57EE">
        <w:rPr>
          <w:u w:val="none"/>
          <w:lang w:val="en-ZA"/>
        </w:rPr>
        <w:t xml:space="preserve"> to</w:t>
      </w:r>
      <w:r w:rsidR="000F2C2E">
        <w:rPr>
          <w:u w:val="none"/>
          <w:lang w:val="en-ZA"/>
        </w:rPr>
        <w:t xml:space="preserve"> represent BP.</w:t>
      </w:r>
    </w:p>
    <w:p w:rsidR="00535D73" w:rsidRDefault="00535D73" w:rsidP="00D0699A">
      <w:pPr>
        <w:spacing w:line="360" w:lineRule="auto"/>
        <w:jc w:val="both"/>
        <w:rPr>
          <w:u w:val="none"/>
          <w:lang w:val="en-ZA"/>
        </w:rPr>
      </w:pPr>
    </w:p>
    <w:p w:rsidR="007A67D1" w:rsidRDefault="00535D73" w:rsidP="004F4AA1">
      <w:pPr>
        <w:spacing w:line="360" w:lineRule="auto"/>
        <w:ind w:left="720" w:hanging="720"/>
        <w:jc w:val="both"/>
        <w:rPr>
          <w:lang w:val="en-ZA"/>
        </w:rPr>
      </w:pPr>
      <w:r>
        <w:rPr>
          <w:u w:val="none"/>
          <w:lang w:val="en-ZA"/>
        </w:rPr>
        <w:t>[10]</w:t>
      </w:r>
      <w:r>
        <w:rPr>
          <w:u w:val="none"/>
          <w:lang w:val="en-ZA"/>
        </w:rPr>
        <w:tab/>
      </w:r>
      <w:r w:rsidR="00184AA4">
        <w:rPr>
          <w:u w:val="none"/>
          <w:lang w:val="en-ZA"/>
        </w:rPr>
        <w:t>On the 3</w:t>
      </w:r>
      <w:r w:rsidR="00184AA4" w:rsidRPr="00D41F6C">
        <w:rPr>
          <w:u w:val="none"/>
          <w:vertAlign w:val="superscript"/>
          <w:lang w:val="en-ZA"/>
        </w:rPr>
        <w:t>rd</w:t>
      </w:r>
      <w:r w:rsidR="00184AA4">
        <w:rPr>
          <w:u w:val="none"/>
          <w:lang w:val="en-ZA"/>
        </w:rPr>
        <w:t xml:space="preserve"> November 2021 </w:t>
      </w:r>
      <w:r w:rsidR="006C00EC">
        <w:rPr>
          <w:u w:val="none"/>
          <w:lang w:val="en-ZA"/>
        </w:rPr>
        <w:t>Ms Rita Sikhondze filed and deposed to the main Answering Affidavit and applied for condonation for the late filing thereof.   In the Answering Affidavit it was made clear that firstly no agreement exists between KTA and BP because the people who p</w:t>
      </w:r>
      <w:r w:rsidR="00BE57EE">
        <w:rPr>
          <w:u w:val="none"/>
          <w:lang w:val="en-ZA"/>
        </w:rPr>
        <w:t>ur</w:t>
      </w:r>
      <w:r w:rsidR="006C00EC">
        <w:rPr>
          <w:u w:val="none"/>
          <w:lang w:val="en-ZA"/>
        </w:rPr>
        <w:t>po</w:t>
      </w:r>
      <w:r w:rsidR="00BE57EE">
        <w:rPr>
          <w:u w:val="none"/>
          <w:lang w:val="en-ZA"/>
        </w:rPr>
        <w:t>rt</w:t>
      </w:r>
      <w:r w:rsidR="006C00EC">
        <w:rPr>
          <w:u w:val="none"/>
          <w:lang w:val="en-ZA"/>
        </w:rPr>
        <w:t>ed to</w:t>
      </w:r>
      <w:r w:rsidR="00BE57EE">
        <w:rPr>
          <w:u w:val="none"/>
          <w:lang w:val="en-ZA"/>
        </w:rPr>
        <w:t xml:space="preserve"> act for</w:t>
      </w:r>
      <w:r w:rsidR="006C00EC">
        <w:rPr>
          <w:u w:val="none"/>
          <w:lang w:val="en-ZA"/>
        </w:rPr>
        <w:t xml:space="preserve"> KTA had not been authorised thereto. </w:t>
      </w:r>
    </w:p>
    <w:p w:rsidR="002E7BA5" w:rsidRPr="007A67D1" w:rsidRDefault="002E7BA5" w:rsidP="00AB74B5">
      <w:pPr>
        <w:spacing w:line="360" w:lineRule="auto"/>
        <w:jc w:val="both"/>
        <w:rPr>
          <w:lang w:val="en-ZA"/>
        </w:rPr>
      </w:pPr>
    </w:p>
    <w:p w:rsidR="00CA60C8" w:rsidRDefault="00FF42A6" w:rsidP="007A67D1">
      <w:pPr>
        <w:spacing w:line="360" w:lineRule="auto"/>
        <w:ind w:left="720" w:hanging="720"/>
        <w:jc w:val="both"/>
        <w:rPr>
          <w:u w:val="none"/>
          <w:lang w:val="en-ZA"/>
        </w:rPr>
      </w:pPr>
      <w:r>
        <w:rPr>
          <w:u w:val="none"/>
          <w:lang w:val="en-ZA"/>
        </w:rPr>
        <w:t>[11]</w:t>
      </w:r>
      <w:r w:rsidR="000220E1">
        <w:rPr>
          <w:u w:val="none"/>
          <w:lang w:val="en-ZA"/>
        </w:rPr>
        <w:tab/>
      </w:r>
      <w:r w:rsidR="00D41F6C">
        <w:rPr>
          <w:u w:val="none"/>
          <w:lang w:val="en-ZA"/>
        </w:rPr>
        <w:t xml:space="preserve">On the </w:t>
      </w:r>
      <w:r w:rsidR="00184AA4">
        <w:rPr>
          <w:u w:val="none"/>
          <w:lang w:val="en-ZA"/>
        </w:rPr>
        <w:t>11</w:t>
      </w:r>
      <w:r w:rsidR="00184AA4" w:rsidRPr="00184AA4">
        <w:rPr>
          <w:u w:val="none"/>
          <w:vertAlign w:val="superscript"/>
          <w:lang w:val="en-ZA"/>
        </w:rPr>
        <w:t>th</w:t>
      </w:r>
      <w:r w:rsidR="00184AA4">
        <w:rPr>
          <w:u w:val="none"/>
          <w:lang w:val="en-ZA"/>
        </w:rPr>
        <w:t xml:space="preserve"> </w:t>
      </w:r>
      <w:r w:rsidR="00D41F6C">
        <w:rPr>
          <w:u w:val="none"/>
          <w:lang w:val="en-ZA"/>
        </w:rPr>
        <w:t>November 2021</w:t>
      </w:r>
      <w:r w:rsidR="00184AA4">
        <w:rPr>
          <w:u w:val="none"/>
          <w:lang w:val="en-ZA"/>
        </w:rPr>
        <w:t xml:space="preserve"> Memela Jones Incorporated filed a second Rule 7(1) notice still objecting or querying the authority of Rita Sikhondze to have filed an Answering Affidavit on behalf of BP.  Fo</w:t>
      </w:r>
      <w:r w:rsidR="00BE57EE">
        <w:rPr>
          <w:u w:val="none"/>
          <w:lang w:val="en-ZA"/>
        </w:rPr>
        <w:t>u</w:t>
      </w:r>
      <w:r w:rsidR="00184AA4">
        <w:rPr>
          <w:u w:val="none"/>
          <w:lang w:val="en-ZA"/>
        </w:rPr>
        <w:t>r days after this notice M</w:t>
      </w:r>
      <w:r w:rsidR="00BE57EE">
        <w:rPr>
          <w:u w:val="none"/>
          <w:lang w:val="en-ZA"/>
        </w:rPr>
        <w:t>emela Jones Incorporated withdre</w:t>
      </w:r>
      <w:r w:rsidR="00184AA4">
        <w:rPr>
          <w:u w:val="none"/>
          <w:lang w:val="en-ZA"/>
        </w:rPr>
        <w:t xml:space="preserve">w as attorneys of record for KTA. </w:t>
      </w:r>
    </w:p>
    <w:p w:rsidR="00222875" w:rsidRDefault="00222875" w:rsidP="00DB2E83">
      <w:pPr>
        <w:spacing w:line="360" w:lineRule="auto"/>
        <w:jc w:val="both"/>
        <w:rPr>
          <w:u w:val="none"/>
          <w:lang w:val="en-ZA"/>
        </w:rPr>
      </w:pPr>
    </w:p>
    <w:p w:rsidR="00277588" w:rsidRDefault="00222875" w:rsidP="00BF251B">
      <w:pPr>
        <w:spacing w:line="360" w:lineRule="auto"/>
        <w:ind w:left="720" w:hanging="650"/>
        <w:jc w:val="both"/>
        <w:rPr>
          <w:u w:val="none"/>
          <w:lang w:val="en-ZA"/>
        </w:rPr>
      </w:pPr>
      <w:r>
        <w:rPr>
          <w:u w:val="none"/>
          <w:lang w:val="en-ZA"/>
        </w:rPr>
        <w:t>[</w:t>
      </w:r>
      <w:r w:rsidR="00FF42A6">
        <w:rPr>
          <w:u w:val="none"/>
          <w:lang w:val="en-ZA"/>
        </w:rPr>
        <w:t>12]</w:t>
      </w:r>
      <w:r w:rsidR="00CA60C8">
        <w:rPr>
          <w:u w:val="none"/>
          <w:lang w:val="en-ZA"/>
        </w:rPr>
        <w:tab/>
      </w:r>
      <w:r w:rsidR="001A2481">
        <w:rPr>
          <w:u w:val="none"/>
          <w:lang w:val="en-ZA"/>
        </w:rPr>
        <w:t>On the 19</w:t>
      </w:r>
      <w:r w:rsidR="001A2481" w:rsidRPr="001A2481">
        <w:rPr>
          <w:u w:val="none"/>
          <w:vertAlign w:val="superscript"/>
          <w:lang w:val="en-ZA"/>
        </w:rPr>
        <w:t>th</w:t>
      </w:r>
      <w:r w:rsidR="001A2481">
        <w:rPr>
          <w:u w:val="none"/>
          <w:lang w:val="en-ZA"/>
        </w:rPr>
        <w:t xml:space="preserve"> November 2021 Mr Hittler filed a notice in terms of Rule 16A in which he indicated that hence forth all pleadings in this matter had to be served on him at 79 Maud Street Florida Extension 2, Roodepoort. </w:t>
      </w:r>
    </w:p>
    <w:p w:rsidR="00277588" w:rsidRDefault="00277588" w:rsidP="00DB2E83">
      <w:pPr>
        <w:spacing w:line="360" w:lineRule="auto"/>
        <w:jc w:val="both"/>
        <w:rPr>
          <w:u w:val="none"/>
          <w:lang w:val="en-ZA"/>
        </w:rPr>
      </w:pPr>
    </w:p>
    <w:p w:rsidR="004C088E" w:rsidRPr="004C088E" w:rsidRDefault="004C088E" w:rsidP="00DB2E83">
      <w:pPr>
        <w:spacing w:line="360" w:lineRule="auto"/>
        <w:jc w:val="both"/>
        <w:rPr>
          <w:lang w:val="en-ZA"/>
        </w:rPr>
      </w:pPr>
      <w:r w:rsidRPr="004C088E">
        <w:rPr>
          <w:lang w:val="en-ZA"/>
        </w:rPr>
        <w:t>THE APPLICATION TO GRANT LEAVE TO FILE FURTHER AFFIDAVIT BY BP</w:t>
      </w:r>
    </w:p>
    <w:p w:rsidR="004C088E" w:rsidRDefault="004C088E" w:rsidP="00DB2E83">
      <w:pPr>
        <w:spacing w:line="360" w:lineRule="auto"/>
        <w:jc w:val="both"/>
        <w:rPr>
          <w:u w:val="none"/>
          <w:lang w:val="en-ZA"/>
        </w:rPr>
      </w:pPr>
    </w:p>
    <w:p w:rsidR="00495B46" w:rsidRDefault="00987F3C" w:rsidP="00C66966">
      <w:pPr>
        <w:spacing w:line="360" w:lineRule="auto"/>
        <w:ind w:left="720" w:hanging="720"/>
        <w:jc w:val="both"/>
        <w:rPr>
          <w:u w:val="none"/>
          <w:lang w:val="en-ZA"/>
        </w:rPr>
      </w:pPr>
      <w:r>
        <w:rPr>
          <w:u w:val="none"/>
          <w:lang w:val="en-ZA"/>
        </w:rPr>
        <w:t>[</w:t>
      </w:r>
      <w:r w:rsidR="00FF42A6" w:rsidRPr="00AC2568">
        <w:rPr>
          <w:u w:val="none"/>
          <w:lang w:val="en-ZA"/>
        </w:rPr>
        <w:t>13]</w:t>
      </w:r>
      <w:r w:rsidR="00CE501D">
        <w:rPr>
          <w:u w:val="none"/>
          <w:lang w:val="en-ZA"/>
        </w:rPr>
        <w:tab/>
      </w:r>
      <w:r w:rsidR="00672E04">
        <w:rPr>
          <w:u w:val="none"/>
          <w:lang w:val="en-ZA"/>
        </w:rPr>
        <w:t>On the 13</w:t>
      </w:r>
      <w:r w:rsidR="00672E04" w:rsidRPr="00672E04">
        <w:rPr>
          <w:u w:val="none"/>
          <w:vertAlign w:val="superscript"/>
          <w:lang w:val="en-ZA"/>
        </w:rPr>
        <w:t>th</w:t>
      </w:r>
      <w:r w:rsidR="00672E04">
        <w:rPr>
          <w:u w:val="none"/>
          <w:lang w:val="en-ZA"/>
        </w:rPr>
        <w:t xml:space="preserve"> February 2022 BP filed a notice of application in which they seek leave that a further affidavit by Rita Sikhondze dated 1</w:t>
      </w:r>
      <w:r w:rsidR="00672E04" w:rsidRPr="00672E04">
        <w:rPr>
          <w:u w:val="none"/>
          <w:vertAlign w:val="superscript"/>
          <w:lang w:val="en-ZA"/>
        </w:rPr>
        <w:t>st</w:t>
      </w:r>
      <w:r w:rsidR="00995F95">
        <w:rPr>
          <w:u w:val="none"/>
          <w:lang w:val="en-ZA"/>
        </w:rPr>
        <w:t xml:space="preserve"> February 2022 be admitted as</w:t>
      </w:r>
      <w:r w:rsidR="00672E04">
        <w:rPr>
          <w:u w:val="none"/>
          <w:lang w:val="en-ZA"/>
        </w:rPr>
        <w:t xml:space="preserve"> evidence in the main application</w:t>
      </w:r>
      <w:r w:rsidR="00995F95">
        <w:rPr>
          <w:u w:val="none"/>
          <w:lang w:val="en-ZA"/>
        </w:rPr>
        <w:t xml:space="preserve">.  The notice of motion was served on KTA c/o Nathan Lindsay Hittler at 79 Maud Street, Florida Ext 2, Roodepoort. </w:t>
      </w:r>
      <w:r w:rsidR="00722F14">
        <w:rPr>
          <w:u w:val="none"/>
          <w:lang w:val="en-ZA"/>
        </w:rPr>
        <w:tab/>
      </w:r>
    </w:p>
    <w:p w:rsidR="00C66966" w:rsidRDefault="00C66966" w:rsidP="00C66966">
      <w:pPr>
        <w:spacing w:line="360" w:lineRule="auto"/>
        <w:ind w:left="720" w:hanging="720"/>
        <w:jc w:val="both"/>
        <w:rPr>
          <w:u w:val="none"/>
          <w:lang w:val="en-ZA"/>
        </w:rPr>
      </w:pPr>
    </w:p>
    <w:p w:rsidR="00495B46" w:rsidRDefault="0063028E" w:rsidP="004F4AA1">
      <w:pPr>
        <w:spacing w:line="360" w:lineRule="auto"/>
        <w:ind w:left="720" w:hanging="720"/>
        <w:jc w:val="both"/>
        <w:rPr>
          <w:u w:val="none"/>
          <w:lang w:val="en-ZA"/>
        </w:rPr>
      </w:pPr>
      <w:r>
        <w:rPr>
          <w:u w:val="none"/>
          <w:lang w:val="en-ZA"/>
        </w:rPr>
        <w:t>[14]</w:t>
      </w:r>
      <w:r w:rsidR="00722F14">
        <w:rPr>
          <w:u w:val="none"/>
          <w:lang w:val="en-ZA"/>
        </w:rPr>
        <w:tab/>
      </w:r>
      <w:r w:rsidR="00BE57EE">
        <w:rPr>
          <w:u w:val="none"/>
          <w:lang w:val="en-ZA"/>
        </w:rPr>
        <w:t>The affidavit i</w:t>
      </w:r>
      <w:r w:rsidR="00995F95">
        <w:rPr>
          <w:u w:val="none"/>
          <w:lang w:val="en-ZA"/>
        </w:rPr>
        <w:t xml:space="preserve">s described as a Supplementary Answering Affidavit to the Founding Affidavit.  It was as a result of the information provided by Mr Hittler in the rule 35(13) application that necessitated the filing of this Supplementary </w:t>
      </w:r>
      <w:r w:rsidR="00995F95">
        <w:rPr>
          <w:u w:val="none"/>
          <w:lang w:val="en-ZA"/>
        </w:rPr>
        <w:lastRenderedPageBreak/>
        <w:t>Answering Affidavit.  BP maintain that the requested documents in the 35(13) notice were necessary to ena</w:t>
      </w:r>
      <w:r w:rsidR="00BE57EE">
        <w:rPr>
          <w:u w:val="none"/>
          <w:lang w:val="en-ZA"/>
        </w:rPr>
        <w:t>ble BP</w:t>
      </w:r>
      <w:r w:rsidR="00B5445C">
        <w:rPr>
          <w:u w:val="none"/>
          <w:lang w:val="en-ZA"/>
        </w:rPr>
        <w:t xml:space="preserve"> to deal</w:t>
      </w:r>
      <w:r w:rsidR="00995F95">
        <w:rPr>
          <w:u w:val="none"/>
          <w:lang w:val="en-ZA"/>
        </w:rPr>
        <w:t xml:space="preserve"> fully with Hittler’</w:t>
      </w:r>
      <w:r w:rsidR="004E3DEC">
        <w:rPr>
          <w:u w:val="none"/>
          <w:lang w:val="en-ZA"/>
        </w:rPr>
        <w:t>s allegations that Cor</w:t>
      </w:r>
      <w:r w:rsidR="00995F95">
        <w:rPr>
          <w:u w:val="none"/>
          <w:lang w:val="en-ZA"/>
        </w:rPr>
        <w:t>will is the Shareholder of KTA</w:t>
      </w:r>
      <w:r w:rsidR="00B5445C">
        <w:rPr>
          <w:u w:val="none"/>
          <w:lang w:val="en-ZA"/>
        </w:rPr>
        <w:t>.</w:t>
      </w:r>
    </w:p>
    <w:p w:rsidR="00995F95" w:rsidRDefault="00995F95" w:rsidP="004F4AA1">
      <w:pPr>
        <w:spacing w:line="360" w:lineRule="auto"/>
        <w:ind w:left="720" w:hanging="720"/>
        <w:jc w:val="both"/>
        <w:rPr>
          <w:u w:val="none"/>
          <w:lang w:val="en-ZA"/>
        </w:rPr>
      </w:pPr>
    </w:p>
    <w:p w:rsidR="0023249E" w:rsidRDefault="0063028E" w:rsidP="004F4AA1">
      <w:pPr>
        <w:spacing w:line="360" w:lineRule="auto"/>
        <w:ind w:left="720" w:hanging="720"/>
        <w:jc w:val="both"/>
        <w:rPr>
          <w:u w:val="none"/>
          <w:lang w:val="en-ZA"/>
        </w:rPr>
      </w:pPr>
      <w:r>
        <w:rPr>
          <w:u w:val="none"/>
          <w:lang w:val="en-ZA"/>
        </w:rPr>
        <w:t>[15]</w:t>
      </w:r>
      <w:r w:rsidR="00AA7876">
        <w:rPr>
          <w:u w:val="none"/>
          <w:lang w:val="en-ZA"/>
        </w:rPr>
        <w:tab/>
      </w:r>
      <w:r w:rsidR="00BE57EE">
        <w:rPr>
          <w:u w:val="none"/>
          <w:lang w:val="en-ZA"/>
        </w:rPr>
        <w:t>Rita Sikhondze on behalf of BP</w:t>
      </w:r>
      <w:r w:rsidR="002279A0">
        <w:rPr>
          <w:u w:val="none"/>
          <w:lang w:val="en-ZA"/>
        </w:rPr>
        <w:t xml:space="preserve"> contends that the further Answering Affidavit is relevant and provides further ventilation of the issues in question and it is in the best in</w:t>
      </w:r>
      <w:r w:rsidR="00BE57EE">
        <w:rPr>
          <w:u w:val="none"/>
          <w:lang w:val="en-ZA"/>
        </w:rPr>
        <w:t>terest of justice to permit BP</w:t>
      </w:r>
      <w:r w:rsidR="002279A0">
        <w:rPr>
          <w:u w:val="none"/>
          <w:lang w:val="en-ZA"/>
        </w:rPr>
        <w:t xml:space="preserve"> to supplement the initial Answering Affidavit.</w:t>
      </w:r>
    </w:p>
    <w:p w:rsidR="002279A0" w:rsidRDefault="002279A0" w:rsidP="004F4AA1">
      <w:pPr>
        <w:spacing w:line="360" w:lineRule="auto"/>
        <w:ind w:left="720" w:hanging="720"/>
        <w:jc w:val="both"/>
        <w:rPr>
          <w:u w:val="none"/>
          <w:lang w:val="en-ZA"/>
        </w:rPr>
      </w:pPr>
    </w:p>
    <w:p w:rsidR="00C6199F" w:rsidRDefault="001C3DF4" w:rsidP="004F4AA1">
      <w:pPr>
        <w:spacing w:line="360" w:lineRule="auto"/>
        <w:ind w:left="720" w:hanging="720"/>
        <w:jc w:val="both"/>
        <w:rPr>
          <w:lang w:val="en-ZA"/>
        </w:rPr>
      </w:pPr>
      <w:r w:rsidRPr="001C3DF4">
        <w:rPr>
          <w:u w:val="none"/>
          <w:lang w:val="en-ZA"/>
        </w:rPr>
        <w:t>[16]</w:t>
      </w:r>
      <w:r w:rsidR="001D559E">
        <w:rPr>
          <w:u w:val="none"/>
          <w:lang w:val="en-ZA"/>
        </w:rPr>
        <w:tab/>
      </w:r>
      <w:r w:rsidR="00BE57EE">
        <w:rPr>
          <w:u w:val="none"/>
          <w:lang w:val="en-ZA"/>
        </w:rPr>
        <w:t>The Applicant BP</w:t>
      </w:r>
      <w:r w:rsidR="00492366">
        <w:rPr>
          <w:u w:val="none"/>
          <w:lang w:val="en-ZA"/>
        </w:rPr>
        <w:t xml:space="preserve"> has also raised a point in </w:t>
      </w:r>
      <w:r w:rsidR="00492366" w:rsidRPr="00492366">
        <w:rPr>
          <w:i/>
          <w:u w:val="none"/>
          <w:lang w:val="en-ZA"/>
        </w:rPr>
        <w:t>limine</w:t>
      </w:r>
      <w:r w:rsidR="00492366">
        <w:rPr>
          <w:u w:val="none"/>
          <w:lang w:val="en-ZA"/>
        </w:rPr>
        <w:t xml:space="preserve"> that since the withdrawal of Memela Jones Incorporated as attorneys </w:t>
      </w:r>
      <w:r w:rsidR="00BE57EE">
        <w:rPr>
          <w:u w:val="none"/>
          <w:lang w:val="en-ZA"/>
        </w:rPr>
        <w:t>of record for the Respondent</w:t>
      </w:r>
      <w:r w:rsidR="00492366">
        <w:rPr>
          <w:u w:val="none"/>
          <w:lang w:val="en-ZA"/>
        </w:rPr>
        <w:t xml:space="preserve"> that the company is accordingly not represented in accordance with the rules.</w:t>
      </w:r>
    </w:p>
    <w:p w:rsidR="002E7BA5" w:rsidRPr="00C6199F" w:rsidRDefault="002E7BA5" w:rsidP="00DB2E83">
      <w:pPr>
        <w:spacing w:line="360" w:lineRule="auto"/>
        <w:jc w:val="both"/>
        <w:rPr>
          <w:lang w:val="en-ZA"/>
        </w:rPr>
      </w:pPr>
    </w:p>
    <w:p w:rsidR="00EC6BD2" w:rsidRDefault="001C3DF4" w:rsidP="004F4AA1">
      <w:pPr>
        <w:spacing w:line="360" w:lineRule="auto"/>
        <w:ind w:left="720" w:hanging="720"/>
        <w:jc w:val="both"/>
        <w:rPr>
          <w:u w:val="none"/>
          <w:lang w:val="en-ZA"/>
        </w:rPr>
      </w:pPr>
      <w:r w:rsidRPr="001C3DF4">
        <w:rPr>
          <w:u w:val="none"/>
          <w:lang w:val="en-ZA"/>
        </w:rPr>
        <w:t>[17]</w:t>
      </w:r>
      <w:r w:rsidR="00C6199F">
        <w:rPr>
          <w:u w:val="none"/>
          <w:lang w:val="en-ZA"/>
        </w:rPr>
        <w:tab/>
      </w:r>
      <w:r w:rsidR="00BE57EE">
        <w:rPr>
          <w:u w:val="none"/>
          <w:lang w:val="en-ZA"/>
        </w:rPr>
        <w:t>It is common cause that BP</w:t>
      </w:r>
      <w:r w:rsidR="00EC6BD2">
        <w:rPr>
          <w:u w:val="none"/>
          <w:lang w:val="en-ZA"/>
        </w:rPr>
        <w:t xml:space="preserve"> launched an application in terms of Rule 35(13) in which it sought the court to authorise the delivery of certain documents set out in terms of Rule 35 (14).  </w:t>
      </w:r>
      <w:r w:rsidR="00BE57EE">
        <w:rPr>
          <w:u w:val="none"/>
          <w:lang w:val="en-ZA"/>
        </w:rPr>
        <w:t>When BP</w:t>
      </w:r>
      <w:r w:rsidR="00EC6BD2">
        <w:rPr>
          <w:u w:val="none"/>
          <w:lang w:val="en-ZA"/>
        </w:rPr>
        <w:t xml:space="preserve"> filed its main Answering Affidavit it had not as yet been furnished with the Rule 35 documents as a result</w:t>
      </w:r>
      <w:r w:rsidR="00BE57EE">
        <w:rPr>
          <w:u w:val="none"/>
          <w:lang w:val="en-ZA"/>
        </w:rPr>
        <w:t xml:space="preserve"> in the Answering Affidavit BP</w:t>
      </w:r>
      <w:r w:rsidR="00EC6BD2">
        <w:rPr>
          <w:u w:val="none"/>
          <w:lang w:val="en-ZA"/>
        </w:rPr>
        <w:t xml:space="preserve"> made it clear in advance that depending on the outcome of its application in terms of Rule 35(13) it may be necessary to supplement the Answering Affidavit</w:t>
      </w:r>
      <w:r w:rsidR="00BE57EE">
        <w:rPr>
          <w:u w:val="none"/>
          <w:lang w:val="en-ZA"/>
        </w:rPr>
        <w:t>.  That time is now because BP</w:t>
      </w:r>
      <w:r w:rsidR="00EC6BD2">
        <w:rPr>
          <w:u w:val="none"/>
          <w:lang w:val="en-ZA"/>
        </w:rPr>
        <w:t xml:space="preserve"> is now satisfied that the required documents have been furnished.</w:t>
      </w:r>
    </w:p>
    <w:p w:rsidR="00CB7719" w:rsidRDefault="00EC6BD2" w:rsidP="004F4AA1">
      <w:pPr>
        <w:spacing w:line="360" w:lineRule="auto"/>
        <w:ind w:left="720" w:hanging="720"/>
        <w:jc w:val="both"/>
        <w:rPr>
          <w:u w:val="none"/>
          <w:lang w:val="en-ZA"/>
        </w:rPr>
      </w:pPr>
      <w:r>
        <w:rPr>
          <w:u w:val="none"/>
          <w:lang w:val="en-ZA"/>
        </w:rPr>
        <w:t xml:space="preserve"> </w:t>
      </w:r>
    </w:p>
    <w:p w:rsidR="005C7339" w:rsidRDefault="001C3DF4" w:rsidP="00B2069A">
      <w:pPr>
        <w:spacing w:line="360" w:lineRule="auto"/>
        <w:ind w:left="720" w:hanging="720"/>
        <w:jc w:val="both"/>
        <w:rPr>
          <w:u w:val="none"/>
          <w:lang w:val="en-ZA"/>
        </w:rPr>
      </w:pPr>
      <w:r w:rsidRPr="001C3DF4">
        <w:rPr>
          <w:u w:val="none"/>
          <w:lang w:val="en-ZA"/>
        </w:rPr>
        <w:t>[18]</w:t>
      </w:r>
      <w:r w:rsidR="00CB7719">
        <w:rPr>
          <w:u w:val="none"/>
          <w:lang w:val="en-ZA"/>
        </w:rPr>
        <w:tab/>
      </w:r>
      <w:r w:rsidR="00617B83">
        <w:rPr>
          <w:u w:val="none"/>
          <w:lang w:val="en-ZA"/>
        </w:rPr>
        <w:t xml:space="preserve">At the core of the dispute in this matter is the </w:t>
      </w:r>
      <w:r w:rsidR="00617B83" w:rsidRPr="00617B83">
        <w:rPr>
          <w:i/>
          <w:u w:val="none"/>
          <w:lang w:val="en-ZA"/>
        </w:rPr>
        <w:t>locus standi</w:t>
      </w:r>
      <w:r w:rsidR="00617B83">
        <w:rPr>
          <w:u w:val="none"/>
          <w:lang w:val="en-ZA"/>
        </w:rPr>
        <w:t xml:space="preserve"> of people who purport to act on behalf </w:t>
      </w:r>
      <w:r w:rsidR="00BE57EE">
        <w:rPr>
          <w:u w:val="none"/>
          <w:lang w:val="en-ZA"/>
        </w:rPr>
        <w:t xml:space="preserve">of </w:t>
      </w:r>
      <w:r w:rsidR="00617B83">
        <w:rPr>
          <w:u w:val="none"/>
          <w:lang w:val="en-ZA"/>
        </w:rPr>
        <w:t>KTA both as director</w:t>
      </w:r>
      <w:r w:rsidR="00BE57EE">
        <w:rPr>
          <w:u w:val="none"/>
          <w:lang w:val="en-ZA"/>
        </w:rPr>
        <w:t>s</w:t>
      </w:r>
      <w:r w:rsidR="00617B83">
        <w:rPr>
          <w:u w:val="none"/>
          <w:lang w:val="en-ZA"/>
        </w:rPr>
        <w:t xml:space="preserve"> or shareholders.  Hittler has been unable </w:t>
      </w:r>
      <w:r w:rsidR="00BE57EE">
        <w:rPr>
          <w:u w:val="none"/>
          <w:lang w:val="en-ZA"/>
        </w:rPr>
        <w:t>to provide a share transfer f</w:t>
      </w:r>
      <w:r w:rsidR="000268B4">
        <w:rPr>
          <w:u w:val="none"/>
          <w:lang w:val="en-ZA"/>
        </w:rPr>
        <w:t>o</w:t>
      </w:r>
      <w:r w:rsidR="00BE57EE">
        <w:rPr>
          <w:u w:val="none"/>
          <w:lang w:val="en-ZA"/>
        </w:rPr>
        <w:t>r</w:t>
      </w:r>
      <w:r w:rsidR="000268B4">
        <w:rPr>
          <w:u w:val="none"/>
          <w:lang w:val="en-ZA"/>
        </w:rPr>
        <w:t>m transferring KTA shares to Corwill.  He has also failed to furnish an agreement in terms of which Corwill purportedly acquired shareholding in KTA.  It is this new evidence that BP seeks leave that it be placed before this Court for the proper ventilation of the issues.  There is in my view a huge dispute of facts in this matter.</w:t>
      </w:r>
    </w:p>
    <w:p w:rsidR="00E10383" w:rsidRPr="001C3DF4" w:rsidRDefault="00E10383" w:rsidP="00DB2E83">
      <w:pPr>
        <w:spacing w:line="360" w:lineRule="auto"/>
        <w:jc w:val="both"/>
        <w:rPr>
          <w:u w:val="none"/>
          <w:lang w:val="en-ZA"/>
        </w:rPr>
      </w:pPr>
    </w:p>
    <w:p w:rsidR="005C7339" w:rsidRDefault="001C3DF4" w:rsidP="00C66966">
      <w:pPr>
        <w:spacing w:line="360" w:lineRule="auto"/>
        <w:ind w:left="720" w:hanging="720"/>
        <w:jc w:val="both"/>
        <w:rPr>
          <w:u w:val="none"/>
          <w:lang w:val="en-ZA"/>
        </w:rPr>
      </w:pPr>
      <w:r w:rsidRPr="001C3DF4">
        <w:rPr>
          <w:u w:val="none"/>
          <w:lang w:val="en-ZA"/>
        </w:rPr>
        <w:t>[19</w:t>
      </w:r>
      <w:r w:rsidR="001E5892">
        <w:rPr>
          <w:u w:val="none"/>
          <w:lang w:val="en-ZA"/>
        </w:rPr>
        <w:t>]</w:t>
      </w:r>
      <w:r w:rsidR="00E42DD9">
        <w:rPr>
          <w:u w:val="none"/>
          <w:lang w:val="en-ZA"/>
        </w:rPr>
        <w:tab/>
      </w:r>
      <w:r w:rsidR="006501D6">
        <w:rPr>
          <w:u w:val="none"/>
          <w:lang w:val="en-ZA"/>
        </w:rPr>
        <w:t xml:space="preserve">The general and ordinary rule in our law is </w:t>
      </w:r>
      <w:r w:rsidR="00BE57EE">
        <w:rPr>
          <w:u w:val="none"/>
          <w:lang w:val="en-ZA"/>
        </w:rPr>
        <w:t>t</w:t>
      </w:r>
      <w:r w:rsidR="006501D6">
        <w:rPr>
          <w:u w:val="none"/>
          <w:lang w:val="en-ZA"/>
        </w:rPr>
        <w:t xml:space="preserve">hat of three sets of affidavits namely the Founding, Answering and lastly Replying affidavit.  This rule </w:t>
      </w:r>
      <w:r w:rsidR="00BE57EE">
        <w:rPr>
          <w:u w:val="none"/>
          <w:lang w:val="en-ZA"/>
        </w:rPr>
        <w:t>is</w:t>
      </w:r>
      <w:r w:rsidR="006501D6">
        <w:rPr>
          <w:u w:val="none"/>
          <w:lang w:val="en-ZA"/>
        </w:rPr>
        <w:t xml:space="preserve"> however, not static and does not preclude a Court on good cause show</w:t>
      </w:r>
      <w:r w:rsidR="00BE57EE">
        <w:rPr>
          <w:u w:val="none"/>
          <w:lang w:val="en-ZA"/>
        </w:rPr>
        <w:t>n</w:t>
      </w:r>
      <w:r w:rsidR="006501D6">
        <w:rPr>
          <w:u w:val="none"/>
          <w:lang w:val="en-ZA"/>
        </w:rPr>
        <w:t xml:space="preserve"> to allow further affidavit</w:t>
      </w:r>
      <w:r w:rsidR="00BE57EE">
        <w:rPr>
          <w:u w:val="none"/>
          <w:lang w:val="en-ZA"/>
        </w:rPr>
        <w:t>s</w:t>
      </w:r>
      <w:r w:rsidR="006501D6">
        <w:rPr>
          <w:u w:val="none"/>
          <w:lang w:val="en-ZA"/>
        </w:rPr>
        <w:t>.  In this</w:t>
      </w:r>
      <w:r w:rsidR="00BE57EE">
        <w:rPr>
          <w:u w:val="none"/>
          <w:lang w:val="en-ZA"/>
        </w:rPr>
        <w:t xml:space="preserve"> regard the</w:t>
      </w:r>
      <w:r w:rsidR="006501D6">
        <w:rPr>
          <w:u w:val="none"/>
          <w:lang w:val="en-ZA"/>
        </w:rPr>
        <w:t xml:space="preserve"> Appellate Division per </w:t>
      </w:r>
      <w:r w:rsidR="006501D6" w:rsidRPr="004E3DEC">
        <w:rPr>
          <w:u w:val="none"/>
          <w:lang w:val="en-ZA"/>
        </w:rPr>
        <w:t>Ogilrie JA</w:t>
      </w:r>
      <w:r w:rsidR="006501D6" w:rsidRPr="006501D6">
        <w:rPr>
          <w:b/>
          <w:u w:val="none"/>
          <w:lang w:val="en-ZA"/>
        </w:rPr>
        <w:t xml:space="preserve"> </w:t>
      </w:r>
      <w:r w:rsidR="006501D6" w:rsidRPr="004E3DEC">
        <w:rPr>
          <w:u w:val="none"/>
          <w:lang w:val="en-ZA"/>
        </w:rPr>
        <w:t>in</w:t>
      </w:r>
      <w:r w:rsidR="006501D6" w:rsidRPr="006501D6">
        <w:rPr>
          <w:b/>
          <w:u w:val="none"/>
          <w:lang w:val="en-ZA"/>
        </w:rPr>
        <w:t xml:space="preserve"> James Brown </w:t>
      </w:r>
      <w:r w:rsidR="006501D6" w:rsidRPr="006501D6">
        <w:rPr>
          <w:b/>
          <w:u w:val="none"/>
          <w:lang w:val="en-ZA"/>
        </w:rPr>
        <w:lastRenderedPageBreak/>
        <w:t>and Hammer (Pty) Ltd v Simmons 1963 (4) SA 656 (A) at 660 D –F</w:t>
      </w:r>
      <w:r w:rsidR="006501D6">
        <w:rPr>
          <w:u w:val="none"/>
          <w:lang w:val="en-ZA"/>
        </w:rPr>
        <w:t xml:space="preserve"> made the following authoritative pronouncement:   </w:t>
      </w:r>
    </w:p>
    <w:p w:rsidR="007D3A9E" w:rsidRDefault="007D3A9E" w:rsidP="00DB2E83">
      <w:pPr>
        <w:spacing w:line="360" w:lineRule="auto"/>
        <w:jc w:val="both"/>
        <w:rPr>
          <w:u w:val="none"/>
          <w:lang w:val="en-ZA"/>
        </w:rPr>
      </w:pPr>
    </w:p>
    <w:p w:rsidR="006501D6" w:rsidRPr="00B532BD" w:rsidRDefault="006501D6" w:rsidP="00B532BD">
      <w:pPr>
        <w:spacing w:line="360" w:lineRule="auto"/>
        <w:ind w:left="1440"/>
        <w:jc w:val="both"/>
        <w:rPr>
          <w:sz w:val="22"/>
          <w:szCs w:val="22"/>
          <w:u w:val="none"/>
          <w:lang w:val="en-ZA"/>
        </w:rPr>
      </w:pPr>
      <w:r w:rsidRPr="00B532BD">
        <w:rPr>
          <w:sz w:val="22"/>
          <w:szCs w:val="22"/>
          <w:u w:val="none"/>
          <w:lang w:val="en-ZA"/>
        </w:rPr>
        <w:t>“It is in the interest of the administration of Justice</w:t>
      </w:r>
      <w:r w:rsidR="00B532BD" w:rsidRPr="00B532BD">
        <w:rPr>
          <w:sz w:val="22"/>
          <w:szCs w:val="22"/>
          <w:u w:val="none"/>
          <w:lang w:val="en-ZA"/>
        </w:rPr>
        <w:t xml:space="preserve"> that the well-known and well established general rules regarding the number of sets and the proper sequences of affidavits in motion proceedings should ordinarily be observed.  That is not to say that those general rules must always be rigidly applied, some flexibility, controlled by the presiding judge exercising his discretion in relation to the facts of the case before him, must necessarily also be permitted.”    </w:t>
      </w:r>
    </w:p>
    <w:p w:rsidR="00B532BD" w:rsidRDefault="00B532BD" w:rsidP="00CA7657">
      <w:pPr>
        <w:spacing w:line="360" w:lineRule="auto"/>
        <w:ind w:left="720" w:hanging="720"/>
        <w:jc w:val="both"/>
        <w:rPr>
          <w:u w:val="none"/>
          <w:lang w:val="en-ZA"/>
        </w:rPr>
      </w:pPr>
    </w:p>
    <w:p w:rsidR="005C7339" w:rsidRDefault="001C3DF4" w:rsidP="00CA7657">
      <w:pPr>
        <w:spacing w:line="360" w:lineRule="auto"/>
        <w:ind w:left="720" w:hanging="720"/>
        <w:jc w:val="both"/>
        <w:rPr>
          <w:u w:val="none"/>
          <w:lang w:val="en-ZA"/>
        </w:rPr>
      </w:pPr>
      <w:r>
        <w:rPr>
          <w:u w:val="none"/>
          <w:lang w:val="en-ZA"/>
        </w:rPr>
        <w:t>[20]</w:t>
      </w:r>
      <w:r w:rsidR="00B532BD">
        <w:rPr>
          <w:u w:val="none"/>
          <w:lang w:val="en-ZA"/>
        </w:rPr>
        <w:tab/>
        <w:t>In order for KTA to succeed in its opposition to the filing of a further affidavit it must</w:t>
      </w:r>
      <w:r w:rsidR="00BE57EE">
        <w:rPr>
          <w:u w:val="none"/>
          <w:lang w:val="en-ZA"/>
        </w:rPr>
        <w:t xml:space="preserve"> prove that the Applicant BP</w:t>
      </w:r>
      <w:r w:rsidR="00E34C9A">
        <w:rPr>
          <w:u w:val="none"/>
          <w:lang w:val="en-ZA"/>
        </w:rPr>
        <w:t xml:space="preserve"> is acting </w:t>
      </w:r>
      <w:r w:rsidR="00E34C9A" w:rsidRPr="00E34C9A">
        <w:rPr>
          <w:i/>
          <w:u w:val="none"/>
          <w:lang w:val="en-ZA"/>
        </w:rPr>
        <w:t>malafide</w:t>
      </w:r>
      <w:r w:rsidR="00BE57EE">
        <w:rPr>
          <w:u w:val="none"/>
          <w:lang w:val="en-ZA"/>
        </w:rPr>
        <w:t xml:space="preserve"> and that</w:t>
      </w:r>
      <w:r w:rsidR="00E34C9A">
        <w:rPr>
          <w:u w:val="none"/>
          <w:lang w:val="en-ZA"/>
        </w:rPr>
        <w:t xml:space="preserve"> KTA will be prejudiced in the further conduct of its claim. </w:t>
      </w:r>
    </w:p>
    <w:p w:rsidR="00CA7657" w:rsidRDefault="00CA7657" w:rsidP="00DB2E83">
      <w:pPr>
        <w:spacing w:line="360" w:lineRule="auto"/>
        <w:jc w:val="both"/>
        <w:rPr>
          <w:u w:val="none"/>
          <w:lang w:val="en-ZA"/>
        </w:rPr>
      </w:pPr>
    </w:p>
    <w:p w:rsidR="000D47FC" w:rsidRDefault="001E5892" w:rsidP="008C6993">
      <w:pPr>
        <w:spacing w:line="360" w:lineRule="auto"/>
        <w:ind w:left="720" w:hanging="720"/>
        <w:jc w:val="both"/>
        <w:rPr>
          <w:u w:val="none"/>
          <w:lang w:val="en-ZA"/>
        </w:rPr>
      </w:pPr>
      <w:r>
        <w:rPr>
          <w:u w:val="none"/>
          <w:lang w:val="en-ZA"/>
        </w:rPr>
        <w:t>[21]</w:t>
      </w:r>
      <w:r w:rsidR="00CA7657">
        <w:rPr>
          <w:u w:val="none"/>
          <w:lang w:val="en-ZA"/>
        </w:rPr>
        <w:tab/>
      </w:r>
      <w:r w:rsidR="008C6993">
        <w:rPr>
          <w:u w:val="none"/>
          <w:lang w:val="en-ZA"/>
        </w:rPr>
        <w:t xml:space="preserve"> </w:t>
      </w:r>
      <w:r w:rsidR="00136190">
        <w:rPr>
          <w:u w:val="none"/>
          <w:lang w:val="en-ZA"/>
        </w:rPr>
        <w:t xml:space="preserve">I take the view that it is in the interest of justice to grant this application as the Respondent KTA has failed to demonstrate any material prejudice in the conduct of its case.  The real issue is about the </w:t>
      </w:r>
      <w:r w:rsidR="00136190" w:rsidRPr="00136190">
        <w:rPr>
          <w:i/>
          <w:u w:val="none"/>
          <w:lang w:val="en-ZA"/>
        </w:rPr>
        <w:t>locus standi</w:t>
      </w:r>
      <w:r w:rsidR="00136190">
        <w:rPr>
          <w:u w:val="none"/>
          <w:lang w:val="en-ZA"/>
        </w:rPr>
        <w:t xml:space="preserve"> of the person</w:t>
      </w:r>
      <w:r w:rsidR="00BE57EE">
        <w:rPr>
          <w:u w:val="none"/>
          <w:lang w:val="en-ZA"/>
        </w:rPr>
        <w:t>s</w:t>
      </w:r>
      <w:r w:rsidR="00136190">
        <w:rPr>
          <w:u w:val="none"/>
          <w:lang w:val="en-ZA"/>
        </w:rPr>
        <w:t xml:space="preserve"> who say they act on behalf of KTA.</w:t>
      </w:r>
    </w:p>
    <w:p w:rsidR="00EC0F4F" w:rsidRDefault="00EC0F4F" w:rsidP="00DB2E83">
      <w:pPr>
        <w:spacing w:line="360" w:lineRule="auto"/>
        <w:jc w:val="both"/>
        <w:rPr>
          <w:u w:val="none"/>
          <w:lang w:val="en-ZA"/>
        </w:rPr>
      </w:pPr>
    </w:p>
    <w:p w:rsidR="00B532BD" w:rsidRDefault="001E5892" w:rsidP="00136190">
      <w:pPr>
        <w:spacing w:line="360" w:lineRule="auto"/>
        <w:ind w:left="720" w:hanging="720"/>
        <w:jc w:val="both"/>
        <w:rPr>
          <w:u w:val="none"/>
          <w:lang w:val="en-ZA"/>
        </w:rPr>
      </w:pPr>
      <w:r>
        <w:rPr>
          <w:u w:val="none"/>
          <w:lang w:val="en-ZA"/>
        </w:rPr>
        <w:t>[22]</w:t>
      </w:r>
      <w:r w:rsidR="007C24B6">
        <w:rPr>
          <w:u w:val="none"/>
          <w:lang w:val="en-ZA"/>
        </w:rPr>
        <w:tab/>
      </w:r>
      <w:r w:rsidR="00136190">
        <w:rPr>
          <w:u w:val="none"/>
          <w:lang w:val="en-ZA"/>
        </w:rPr>
        <w:t xml:space="preserve">In </w:t>
      </w:r>
      <w:r w:rsidR="00136190" w:rsidRPr="00136190">
        <w:rPr>
          <w:b/>
          <w:u w:val="none"/>
          <w:lang w:val="en-ZA"/>
        </w:rPr>
        <w:t>Milne NO v Fabric House (Pty) Ltd 1957 (3) SA 63 (N) at 65A</w:t>
      </w:r>
      <w:r w:rsidR="00136190">
        <w:rPr>
          <w:u w:val="none"/>
          <w:lang w:val="en-ZA"/>
        </w:rPr>
        <w:t xml:space="preserve"> it was held that it is essentially a question of fairness to both sides whether </w:t>
      </w:r>
      <w:r w:rsidR="00BE57EE">
        <w:rPr>
          <w:u w:val="none"/>
          <w:lang w:val="en-ZA"/>
        </w:rPr>
        <w:t>further</w:t>
      </w:r>
      <w:r w:rsidR="00136190">
        <w:rPr>
          <w:u w:val="none"/>
          <w:lang w:val="en-ZA"/>
        </w:rPr>
        <w:t xml:space="preserve"> sets of affidavit</w:t>
      </w:r>
      <w:r w:rsidR="00BE57EE">
        <w:rPr>
          <w:u w:val="none"/>
          <w:lang w:val="en-ZA"/>
        </w:rPr>
        <w:t>s</w:t>
      </w:r>
      <w:r w:rsidR="00136190">
        <w:rPr>
          <w:u w:val="none"/>
          <w:lang w:val="en-ZA"/>
        </w:rPr>
        <w:t xml:space="preserve"> should be permitted.</w:t>
      </w:r>
    </w:p>
    <w:p w:rsidR="00B532BD" w:rsidRDefault="00B532BD" w:rsidP="00DB2E83">
      <w:pPr>
        <w:spacing w:line="360" w:lineRule="auto"/>
        <w:jc w:val="both"/>
        <w:rPr>
          <w:u w:val="none"/>
          <w:lang w:val="en-ZA"/>
        </w:rPr>
      </w:pPr>
    </w:p>
    <w:p w:rsidR="00B532BD" w:rsidRDefault="00B532BD" w:rsidP="00136190">
      <w:pPr>
        <w:spacing w:line="360" w:lineRule="auto"/>
        <w:ind w:left="720" w:hanging="720"/>
        <w:jc w:val="both"/>
        <w:rPr>
          <w:u w:val="none"/>
          <w:lang w:val="en-ZA"/>
        </w:rPr>
      </w:pPr>
      <w:r>
        <w:rPr>
          <w:u w:val="none"/>
          <w:lang w:val="en-ZA"/>
        </w:rPr>
        <w:t>[23]</w:t>
      </w:r>
      <w:r w:rsidR="00BE57EE">
        <w:rPr>
          <w:u w:val="none"/>
          <w:lang w:val="en-ZA"/>
        </w:rPr>
        <w:tab/>
        <w:t>The Applicant BP</w:t>
      </w:r>
      <w:r w:rsidR="00136190">
        <w:rPr>
          <w:u w:val="none"/>
          <w:lang w:val="en-ZA"/>
        </w:rPr>
        <w:t xml:space="preserve"> has demonstrated and shown substantial grounds why this further affidavit by Sikhondze should be allowed as evidence.  Holmes J in Milne (supra) summarised it as follows: </w:t>
      </w:r>
    </w:p>
    <w:p w:rsidR="00136190" w:rsidRDefault="00136190" w:rsidP="00136190">
      <w:pPr>
        <w:spacing w:line="360" w:lineRule="auto"/>
        <w:ind w:left="720" w:hanging="720"/>
        <w:jc w:val="both"/>
        <w:rPr>
          <w:u w:val="none"/>
          <w:lang w:val="en-ZA"/>
        </w:rPr>
      </w:pPr>
    </w:p>
    <w:p w:rsidR="00136190" w:rsidRPr="00136190" w:rsidRDefault="00136190" w:rsidP="00136190">
      <w:pPr>
        <w:spacing w:line="360" w:lineRule="auto"/>
        <w:ind w:left="1440"/>
        <w:jc w:val="both"/>
        <w:rPr>
          <w:sz w:val="22"/>
          <w:szCs w:val="22"/>
          <w:u w:val="none"/>
          <w:lang w:val="en-ZA"/>
        </w:rPr>
      </w:pPr>
      <w:r>
        <w:rPr>
          <w:u w:val="none"/>
          <w:lang w:val="en-ZA"/>
        </w:rPr>
        <w:t>“</w:t>
      </w:r>
      <w:r w:rsidRPr="00136190">
        <w:rPr>
          <w:sz w:val="22"/>
          <w:szCs w:val="22"/>
          <w:u w:val="none"/>
          <w:lang w:val="en-ZA"/>
        </w:rPr>
        <w:t xml:space="preserve">In my view it is neither necessary nor desirable </w:t>
      </w:r>
      <w:r w:rsidR="00BE57EE">
        <w:rPr>
          <w:sz w:val="22"/>
          <w:szCs w:val="22"/>
          <w:u w:val="none"/>
          <w:lang w:val="en-ZA"/>
        </w:rPr>
        <w:t>t</w:t>
      </w:r>
      <w:r w:rsidRPr="00136190">
        <w:rPr>
          <w:sz w:val="22"/>
          <w:szCs w:val="22"/>
          <w:u w:val="none"/>
          <w:lang w:val="en-ZA"/>
        </w:rPr>
        <w:t>o say more than that the Court has a discretion to be exercised judiciary upon consideration of the facts of each case and that it is basically a question of fairness to both sides.</w:t>
      </w:r>
      <w:r>
        <w:rPr>
          <w:sz w:val="22"/>
          <w:szCs w:val="22"/>
          <w:u w:val="none"/>
          <w:lang w:val="en-ZA"/>
        </w:rPr>
        <w:t>”</w:t>
      </w:r>
    </w:p>
    <w:p w:rsidR="00260A2A" w:rsidRDefault="00260A2A" w:rsidP="00DB2E83">
      <w:pPr>
        <w:spacing w:line="360" w:lineRule="auto"/>
        <w:jc w:val="both"/>
        <w:rPr>
          <w:u w:val="none"/>
          <w:lang w:val="en-ZA"/>
        </w:rPr>
      </w:pPr>
    </w:p>
    <w:p w:rsidR="001E5036" w:rsidRDefault="00B532BD" w:rsidP="00260A2A">
      <w:pPr>
        <w:spacing w:line="360" w:lineRule="auto"/>
        <w:ind w:left="720" w:hanging="720"/>
        <w:jc w:val="both"/>
        <w:rPr>
          <w:u w:val="none"/>
          <w:lang w:val="en-ZA"/>
        </w:rPr>
      </w:pPr>
      <w:r>
        <w:rPr>
          <w:u w:val="none"/>
          <w:lang w:val="en-ZA"/>
        </w:rPr>
        <w:t>[24]</w:t>
      </w:r>
      <w:r w:rsidR="00260A2A">
        <w:rPr>
          <w:u w:val="none"/>
          <w:lang w:val="en-ZA"/>
        </w:rPr>
        <w:tab/>
        <w:t xml:space="preserve">On the facts of this matter there can be no suggestion of any </w:t>
      </w:r>
      <w:r w:rsidR="00260A2A" w:rsidRPr="00260A2A">
        <w:rPr>
          <w:i/>
          <w:u w:val="none"/>
          <w:lang w:val="en-ZA"/>
        </w:rPr>
        <w:t>malafides</w:t>
      </w:r>
      <w:r w:rsidR="00260A2A">
        <w:rPr>
          <w:u w:val="none"/>
          <w:lang w:val="en-ZA"/>
        </w:rPr>
        <w:t xml:space="preserve"> or culpabl</w:t>
      </w:r>
      <w:r w:rsidR="00BE57EE">
        <w:rPr>
          <w:u w:val="none"/>
          <w:lang w:val="en-ZA"/>
        </w:rPr>
        <w:t>e remissness on the part of BP.  BP</w:t>
      </w:r>
      <w:r w:rsidR="00260A2A">
        <w:rPr>
          <w:u w:val="none"/>
          <w:lang w:val="en-ZA"/>
        </w:rPr>
        <w:t xml:space="preserve"> indicated</w:t>
      </w:r>
      <w:r w:rsidR="00D24981">
        <w:rPr>
          <w:u w:val="none"/>
          <w:lang w:val="en-ZA"/>
        </w:rPr>
        <w:t xml:space="preserve"> well in advance that depending on the receipt of documents requested in its Rule 35(14) notice it </w:t>
      </w:r>
      <w:r w:rsidR="00D24981">
        <w:rPr>
          <w:u w:val="none"/>
          <w:lang w:val="en-ZA"/>
        </w:rPr>
        <w:lastRenderedPageBreak/>
        <w:t>reserves the right to file further Answering Affidavit.  This is in my view no surprise to the Respondent. In any case KTA can never be prejudiced by the filing of that affidavit.  The affidavit is there to put full facts before the court for a proper ventilation of the issues.</w:t>
      </w:r>
    </w:p>
    <w:p w:rsidR="00B532BD" w:rsidRDefault="00D24981" w:rsidP="00260A2A">
      <w:pPr>
        <w:spacing w:line="360" w:lineRule="auto"/>
        <w:ind w:left="720" w:hanging="720"/>
        <w:jc w:val="both"/>
        <w:rPr>
          <w:u w:val="none"/>
          <w:lang w:val="en-ZA"/>
        </w:rPr>
      </w:pPr>
      <w:r>
        <w:rPr>
          <w:u w:val="none"/>
          <w:lang w:val="en-ZA"/>
        </w:rPr>
        <w:t xml:space="preserve"> </w:t>
      </w:r>
      <w:r w:rsidR="00260A2A">
        <w:rPr>
          <w:u w:val="none"/>
          <w:lang w:val="en-ZA"/>
        </w:rPr>
        <w:t xml:space="preserve">  </w:t>
      </w:r>
    </w:p>
    <w:p w:rsidR="00B532BD" w:rsidRDefault="00B532BD" w:rsidP="001E5036">
      <w:pPr>
        <w:spacing w:line="360" w:lineRule="auto"/>
        <w:ind w:left="720" w:hanging="720"/>
        <w:jc w:val="both"/>
        <w:rPr>
          <w:u w:val="none"/>
          <w:lang w:val="en-ZA"/>
        </w:rPr>
      </w:pPr>
      <w:r>
        <w:rPr>
          <w:u w:val="none"/>
          <w:lang w:val="en-ZA"/>
        </w:rPr>
        <w:t>[25]</w:t>
      </w:r>
      <w:r w:rsidR="001E5036">
        <w:rPr>
          <w:u w:val="none"/>
          <w:lang w:val="en-ZA"/>
        </w:rPr>
        <w:tab/>
        <w:t>The Respondent</w:t>
      </w:r>
      <w:r w:rsidR="00BE57EE">
        <w:rPr>
          <w:u w:val="none"/>
          <w:lang w:val="en-ZA"/>
        </w:rPr>
        <w:t>’s</w:t>
      </w:r>
      <w:r w:rsidR="001E5036">
        <w:rPr>
          <w:u w:val="none"/>
          <w:lang w:val="en-ZA"/>
        </w:rPr>
        <w:t xml:space="preserve"> interest is that it be paid a certain large amount of</w:t>
      </w:r>
      <w:r w:rsidR="00BE57EE">
        <w:rPr>
          <w:u w:val="none"/>
          <w:lang w:val="en-ZA"/>
        </w:rPr>
        <w:t xml:space="preserve"> money based on a notarial deed.  The Applicant BP</w:t>
      </w:r>
      <w:r w:rsidR="001E5036">
        <w:rPr>
          <w:u w:val="none"/>
          <w:lang w:val="en-ZA"/>
        </w:rPr>
        <w:t xml:space="preserve"> says that money that is due is not due to the party that now pur</w:t>
      </w:r>
      <w:r w:rsidR="00BE57EE">
        <w:rPr>
          <w:u w:val="none"/>
          <w:lang w:val="en-ZA"/>
        </w:rPr>
        <w:t>ports to be the Applicant.  BP</w:t>
      </w:r>
      <w:r w:rsidR="001E5036">
        <w:rPr>
          <w:u w:val="none"/>
          <w:lang w:val="en-ZA"/>
        </w:rPr>
        <w:t xml:space="preserve"> does not want to make payment to a wrong and non-existent entity.  It is therefore only fair that the Respondents prove their </w:t>
      </w:r>
      <w:r w:rsidR="001E5036" w:rsidRPr="001E5036">
        <w:rPr>
          <w:i/>
          <w:u w:val="none"/>
          <w:lang w:val="en-ZA"/>
        </w:rPr>
        <w:t>locus Standi</w:t>
      </w:r>
      <w:r w:rsidR="00BE57EE">
        <w:rPr>
          <w:u w:val="none"/>
          <w:lang w:val="en-ZA"/>
        </w:rPr>
        <w:t>. I</w:t>
      </w:r>
      <w:r w:rsidR="001E5036">
        <w:rPr>
          <w:u w:val="none"/>
          <w:lang w:val="en-ZA"/>
        </w:rPr>
        <w:t xml:space="preserve">n the result </w:t>
      </w:r>
      <w:r w:rsidR="00BE57EE">
        <w:rPr>
          <w:u w:val="none"/>
          <w:lang w:val="en-ZA"/>
        </w:rPr>
        <w:t xml:space="preserve">I </w:t>
      </w:r>
      <w:r w:rsidR="001E5036">
        <w:rPr>
          <w:u w:val="none"/>
          <w:lang w:val="en-ZA"/>
        </w:rPr>
        <w:t>find that the further affidavit by Rita Sikhondze should be admitted.</w:t>
      </w:r>
    </w:p>
    <w:p w:rsidR="001E5036" w:rsidRDefault="001E5036" w:rsidP="00DB2E83">
      <w:pPr>
        <w:spacing w:line="360" w:lineRule="auto"/>
        <w:jc w:val="both"/>
        <w:rPr>
          <w:u w:val="none"/>
          <w:lang w:val="en-ZA"/>
        </w:rPr>
      </w:pPr>
    </w:p>
    <w:p w:rsidR="002533B5" w:rsidRPr="002533B5" w:rsidRDefault="002533B5" w:rsidP="00DB2E83">
      <w:pPr>
        <w:spacing w:line="360" w:lineRule="auto"/>
        <w:jc w:val="both"/>
        <w:rPr>
          <w:lang w:val="en-ZA"/>
        </w:rPr>
      </w:pPr>
      <w:r w:rsidRPr="002533B5">
        <w:rPr>
          <w:lang w:val="en-ZA"/>
        </w:rPr>
        <w:t>DOES MR NATHAN HITTLER HAVE THE NECESSARY AUTHORITY TO REPRESENT KTA?</w:t>
      </w:r>
    </w:p>
    <w:p w:rsidR="002533B5" w:rsidRDefault="002533B5" w:rsidP="00DB2E83">
      <w:pPr>
        <w:spacing w:line="360" w:lineRule="auto"/>
        <w:jc w:val="both"/>
        <w:rPr>
          <w:u w:val="none"/>
          <w:lang w:val="en-ZA"/>
        </w:rPr>
      </w:pPr>
    </w:p>
    <w:p w:rsidR="00B532BD" w:rsidRDefault="00B532BD" w:rsidP="002533B5">
      <w:pPr>
        <w:spacing w:line="360" w:lineRule="auto"/>
        <w:ind w:left="720" w:hanging="720"/>
        <w:jc w:val="both"/>
        <w:rPr>
          <w:u w:val="none"/>
          <w:lang w:val="en-ZA"/>
        </w:rPr>
      </w:pPr>
      <w:r>
        <w:rPr>
          <w:u w:val="none"/>
          <w:lang w:val="en-ZA"/>
        </w:rPr>
        <w:t>[26]</w:t>
      </w:r>
      <w:r w:rsidR="001E5036">
        <w:rPr>
          <w:u w:val="none"/>
          <w:lang w:val="en-ZA"/>
        </w:rPr>
        <w:tab/>
      </w:r>
      <w:r w:rsidR="002533B5">
        <w:rPr>
          <w:u w:val="none"/>
          <w:lang w:val="en-ZA"/>
        </w:rPr>
        <w:t>On the 10</w:t>
      </w:r>
      <w:r w:rsidR="002533B5" w:rsidRPr="002533B5">
        <w:rPr>
          <w:u w:val="none"/>
          <w:vertAlign w:val="superscript"/>
          <w:lang w:val="en-ZA"/>
        </w:rPr>
        <w:t>th</w:t>
      </w:r>
      <w:r w:rsidR="00BE57EE">
        <w:rPr>
          <w:u w:val="none"/>
          <w:lang w:val="en-ZA"/>
        </w:rPr>
        <w:t xml:space="preserve"> May 2022 BP</w:t>
      </w:r>
      <w:r w:rsidR="002533B5">
        <w:rPr>
          <w:u w:val="none"/>
          <w:lang w:val="en-ZA"/>
        </w:rPr>
        <w:t xml:space="preserve"> delivered supplementary heads of argument in which they referred to an as yet unreported judgment handed down on the 5</w:t>
      </w:r>
      <w:r w:rsidR="002533B5" w:rsidRPr="002533B5">
        <w:rPr>
          <w:u w:val="none"/>
          <w:vertAlign w:val="superscript"/>
          <w:lang w:val="en-ZA"/>
        </w:rPr>
        <w:t>th</w:t>
      </w:r>
      <w:r w:rsidR="002533B5">
        <w:rPr>
          <w:u w:val="none"/>
          <w:lang w:val="en-ZA"/>
        </w:rPr>
        <w:t xml:space="preserve"> April 2022 in this division in which judgment the eligibility of Mr Hittler to represent KTA in certain proceedings was dealt with.  It is the case of </w:t>
      </w:r>
      <w:r w:rsidR="00BE57EE">
        <w:rPr>
          <w:b/>
          <w:u w:val="none"/>
          <w:lang w:val="en-ZA"/>
        </w:rPr>
        <w:t>Corwil</w:t>
      </w:r>
      <w:r w:rsidR="002533B5" w:rsidRPr="002533B5">
        <w:rPr>
          <w:b/>
          <w:u w:val="none"/>
          <w:lang w:val="en-ZA"/>
        </w:rPr>
        <w:t xml:space="preserve"> Investments Holdings (Pty) Ltd &amp; Another v Investec </w:t>
      </w:r>
      <w:r w:rsidR="002533B5">
        <w:rPr>
          <w:b/>
          <w:u w:val="none"/>
          <w:lang w:val="en-ZA"/>
        </w:rPr>
        <w:t>Securities (Pty) Ltd Case No.</w:t>
      </w:r>
      <w:r w:rsidR="002533B5" w:rsidRPr="002533B5">
        <w:rPr>
          <w:b/>
          <w:u w:val="none"/>
          <w:lang w:val="en-ZA"/>
        </w:rPr>
        <w:t xml:space="preserve"> 11126/2021</w:t>
      </w:r>
      <w:r w:rsidR="002533B5">
        <w:rPr>
          <w:u w:val="none"/>
          <w:lang w:val="en-ZA"/>
        </w:rPr>
        <w:t xml:space="preserve">. </w:t>
      </w:r>
    </w:p>
    <w:p w:rsidR="002533B5" w:rsidRDefault="002533B5" w:rsidP="00DB2E83">
      <w:pPr>
        <w:spacing w:line="360" w:lineRule="auto"/>
        <w:jc w:val="both"/>
        <w:rPr>
          <w:u w:val="none"/>
          <w:lang w:val="en-ZA"/>
        </w:rPr>
      </w:pPr>
    </w:p>
    <w:p w:rsidR="00B532BD" w:rsidRDefault="00B532BD" w:rsidP="00E16214">
      <w:pPr>
        <w:spacing w:line="360" w:lineRule="auto"/>
        <w:ind w:left="720" w:hanging="720"/>
        <w:jc w:val="both"/>
        <w:rPr>
          <w:u w:val="none"/>
          <w:lang w:val="en-ZA"/>
        </w:rPr>
      </w:pPr>
      <w:r>
        <w:rPr>
          <w:u w:val="none"/>
          <w:lang w:val="en-ZA"/>
        </w:rPr>
        <w:t>[27]</w:t>
      </w:r>
      <w:r w:rsidR="00E16214">
        <w:rPr>
          <w:u w:val="none"/>
          <w:lang w:val="en-ZA"/>
        </w:rPr>
        <w:tab/>
        <w:t xml:space="preserve">It is common cause that Mr Hittler is presently </w:t>
      </w:r>
      <w:r w:rsidR="004E3DEC">
        <w:rPr>
          <w:u w:val="none"/>
          <w:lang w:val="en-ZA"/>
        </w:rPr>
        <w:t>a</w:t>
      </w:r>
      <w:r w:rsidR="00BE57EE">
        <w:rPr>
          <w:u w:val="none"/>
          <w:lang w:val="en-ZA"/>
        </w:rPr>
        <w:t>n</w:t>
      </w:r>
      <w:r w:rsidR="00E16214">
        <w:rPr>
          <w:u w:val="none"/>
          <w:lang w:val="en-ZA"/>
        </w:rPr>
        <w:t xml:space="preserve"> </w:t>
      </w:r>
      <w:r w:rsidR="00BE57EE">
        <w:rPr>
          <w:u w:val="none"/>
          <w:lang w:val="en-ZA"/>
        </w:rPr>
        <w:t>un</w:t>
      </w:r>
      <w:r w:rsidR="00E16214">
        <w:rPr>
          <w:u w:val="none"/>
          <w:lang w:val="en-ZA"/>
        </w:rPr>
        <w:t>rehabilitated insolvent and is thus barred from occupying a position of a director in any company.   In the Corwill matter Manoim J ruled that the legal position is quite clear in that Mr Hittler who is not a legal practitioner nor a director cannot represen</w:t>
      </w:r>
      <w:r w:rsidR="00BE57EE">
        <w:rPr>
          <w:u w:val="none"/>
          <w:lang w:val="en-ZA"/>
        </w:rPr>
        <w:t>t Corwill in resisting the join</w:t>
      </w:r>
      <w:r w:rsidR="00E16214">
        <w:rPr>
          <w:u w:val="none"/>
          <w:lang w:val="en-ZA"/>
        </w:rPr>
        <w:t xml:space="preserve">der application in that matter. </w:t>
      </w:r>
    </w:p>
    <w:p w:rsidR="00E16214" w:rsidRDefault="00E16214" w:rsidP="00E16214">
      <w:pPr>
        <w:spacing w:line="360" w:lineRule="auto"/>
        <w:ind w:left="720" w:hanging="720"/>
        <w:jc w:val="both"/>
        <w:rPr>
          <w:u w:val="none"/>
          <w:lang w:val="en-ZA"/>
        </w:rPr>
      </w:pPr>
    </w:p>
    <w:p w:rsidR="00556B95" w:rsidRDefault="00B532BD" w:rsidP="00556B95">
      <w:pPr>
        <w:spacing w:line="360" w:lineRule="auto"/>
        <w:ind w:left="720" w:hanging="720"/>
        <w:jc w:val="both"/>
        <w:rPr>
          <w:u w:val="none"/>
          <w:lang w:val="en-ZA"/>
        </w:rPr>
      </w:pPr>
      <w:r>
        <w:rPr>
          <w:u w:val="none"/>
          <w:lang w:val="en-ZA"/>
        </w:rPr>
        <w:t>[28]</w:t>
      </w:r>
      <w:r w:rsidR="00556B95">
        <w:rPr>
          <w:u w:val="none"/>
          <w:lang w:val="en-ZA"/>
        </w:rPr>
        <w:tab/>
        <w:t xml:space="preserve">In the matter of </w:t>
      </w:r>
      <w:r w:rsidR="00556B95" w:rsidRPr="00556B95">
        <w:rPr>
          <w:b/>
          <w:u w:val="none"/>
          <w:lang w:val="en-ZA"/>
        </w:rPr>
        <w:t>Mano</w:t>
      </w:r>
      <w:r w:rsidR="00BE57EE">
        <w:rPr>
          <w:b/>
          <w:u w:val="none"/>
          <w:lang w:val="en-ZA"/>
        </w:rPr>
        <w:t>ng</w:t>
      </w:r>
      <w:r w:rsidR="00556B95" w:rsidRPr="00556B95">
        <w:rPr>
          <w:b/>
          <w:u w:val="none"/>
          <w:lang w:val="en-ZA"/>
        </w:rPr>
        <w:t xml:space="preserve"> and Associates (Pty) Ltd v Minister of Public Works </w:t>
      </w:r>
      <w:r w:rsidR="00FA023F" w:rsidRPr="00556B95">
        <w:rPr>
          <w:b/>
          <w:u w:val="none"/>
          <w:lang w:val="en-ZA"/>
        </w:rPr>
        <w:t>and</w:t>
      </w:r>
      <w:r w:rsidR="00556B95" w:rsidRPr="00556B95">
        <w:rPr>
          <w:b/>
          <w:u w:val="none"/>
          <w:lang w:val="en-ZA"/>
        </w:rPr>
        <w:t xml:space="preserve"> Another 2010 (2) SA 167 (SCA)</w:t>
      </w:r>
      <w:r w:rsidR="00556B95">
        <w:rPr>
          <w:u w:val="none"/>
          <w:lang w:val="en-ZA"/>
        </w:rPr>
        <w:t xml:space="preserve"> the SCA made an exception to the general rule that a company may not conduct litigation except by the appearance of Counsel or in certain circumstances attorneys.  The Court found that cases would arise where the administration of justice might require some relaxation of the general rule.  That their occurrence was likely to be rare and </w:t>
      </w:r>
      <w:r w:rsidR="00556B95">
        <w:rPr>
          <w:u w:val="none"/>
          <w:lang w:val="en-ZA"/>
        </w:rPr>
        <w:lastRenderedPageBreak/>
        <w:t>circumstance exceptional or at least unusual.  In the final analysis the Court found that in each instance leave to represent a company whilst not being Counsel or attorney had to be sought by way of a properly motivated timeously lodged formal application showing good cause why in the particular case the rule prohibiting non-professional representation should be relaxed.</w:t>
      </w:r>
    </w:p>
    <w:p w:rsidR="00B532BD" w:rsidRDefault="00556B95" w:rsidP="00556B95">
      <w:pPr>
        <w:spacing w:line="360" w:lineRule="auto"/>
        <w:ind w:left="720" w:hanging="720"/>
        <w:jc w:val="both"/>
        <w:rPr>
          <w:u w:val="none"/>
          <w:lang w:val="en-ZA"/>
        </w:rPr>
      </w:pPr>
      <w:r>
        <w:rPr>
          <w:u w:val="none"/>
          <w:lang w:val="en-ZA"/>
        </w:rPr>
        <w:t xml:space="preserve">  </w:t>
      </w:r>
    </w:p>
    <w:p w:rsidR="00556B95" w:rsidRDefault="00B532BD" w:rsidP="00556B95">
      <w:pPr>
        <w:spacing w:line="360" w:lineRule="auto"/>
        <w:ind w:left="720" w:hanging="720"/>
        <w:jc w:val="both"/>
        <w:rPr>
          <w:u w:val="none"/>
          <w:lang w:val="en-ZA"/>
        </w:rPr>
      </w:pPr>
      <w:r>
        <w:rPr>
          <w:u w:val="none"/>
          <w:lang w:val="en-ZA"/>
        </w:rPr>
        <w:t>[29]</w:t>
      </w:r>
      <w:r w:rsidR="00556B95">
        <w:rPr>
          <w:u w:val="none"/>
          <w:lang w:val="en-ZA"/>
        </w:rPr>
        <w:tab/>
        <w:t xml:space="preserve">In the present matter Mr Hittler has not placed before this Court a well-motivated application why he should be the legal mouthpiece of KTA.  He is </w:t>
      </w:r>
      <w:r w:rsidR="00FA023F">
        <w:rPr>
          <w:u w:val="none"/>
          <w:lang w:val="en-ZA"/>
        </w:rPr>
        <w:t>an</w:t>
      </w:r>
      <w:r w:rsidR="00556B95">
        <w:rPr>
          <w:u w:val="none"/>
          <w:lang w:val="en-ZA"/>
        </w:rPr>
        <w:t xml:space="preserve"> un- rehabilitated insolvent and lack</w:t>
      </w:r>
      <w:r w:rsidR="00BE57EE">
        <w:rPr>
          <w:u w:val="none"/>
          <w:lang w:val="en-ZA"/>
        </w:rPr>
        <w:t>s</w:t>
      </w:r>
      <w:r w:rsidR="00556B95">
        <w:rPr>
          <w:u w:val="none"/>
          <w:lang w:val="en-ZA"/>
        </w:rPr>
        <w:t xml:space="preserve"> the necessary </w:t>
      </w:r>
      <w:r w:rsidR="00556B95" w:rsidRPr="00556B95">
        <w:rPr>
          <w:i/>
          <w:u w:val="none"/>
          <w:lang w:val="en-ZA"/>
        </w:rPr>
        <w:t xml:space="preserve">locus standi </w:t>
      </w:r>
      <w:r w:rsidR="00556B95">
        <w:rPr>
          <w:u w:val="none"/>
          <w:lang w:val="en-ZA"/>
        </w:rPr>
        <w:t>to litigate.  He can only do so with the consent of the trustee in his estate.</w:t>
      </w:r>
    </w:p>
    <w:p w:rsidR="00B532BD" w:rsidRDefault="00556B95" w:rsidP="00DB2E83">
      <w:pPr>
        <w:spacing w:line="360" w:lineRule="auto"/>
        <w:jc w:val="both"/>
        <w:rPr>
          <w:u w:val="none"/>
          <w:lang w:val="en-ZA"/>
        </w:rPr>
      </w:pPr>
      <w:r>
        <w:rPr>
          <w:u w:val="none"/>
          <w:lang w:val="en-ZA"/>
        </w:rPr>
        <w:t xml:space="preserve"> </w:t>
      </w:r>
    </w:p>
    <w:p w:rsidR="00556B95" w:rsidRPr="00556B95" w:rsidRDefault="00556B95" w:rsidP="00DB2E83">
      <w:pPr>
        <w:spacing w:line="360" w:lineRule="auto"/>
        <w:jc w:val="both"/>
        <w:rPr>
          <w:lang w:val="en-ZA"/>
        </w:rPr>
      </w:pPr>
      <w:r w:rsidRPr="00556B95">
        <w:rPr>
          <w:lang w:val="en-ZA"/>
        </w:rPr>
        <w:t>CONCLUSION</w:t>
      </w:r>
    </w:p>
    <w:p w:rsidR="00556B95" w:rsidRDefault="00556B95" w:rsidP="00DB2E83">
      <w:pPr>
        <w:spacing w:line="360" w:lineRule="auto"/>
        <w:jc w:val="both"/>
        <w:rPr>
          <w:u w:val="none"/>
          <w:lang w:val="en-ZA"/>
        </w:rPr>
      </w:pPr>
    </w:p>
    <w:p w:rsidR="00B532BD" w:rsidRDefault="00B532BD" w:rsidP="00354600">
      <w:pPr>
        <w:spacing w:line="360" w:lineRule="auto"/>
        <w:ind w:left="720" w:hanging="720"/>
        <w:jc w:val="both"/>
        <w:rPr>
          <w:u w:val="none"/>
          <w:lang w:val="en-ZA"/>
        </w:rPr>
      </w:pPr>
      <w:r>
        <w:rPr>
          <w:u w:val="none"/>
          <w:lang w:val="en-ZA"/>
        </w:rPr>
        <w:t>[30]</w:t>
      </w:r>
      <w:r w:rsidR="00556B95">
        <w:rPr>
          <w:u w:val="none"/>
          <w:lang w:val="en-ZA"/>
        </w:rPr>
        <w:tab/>
        <w:t xml:space="preserve">In the final analysis I have come to the conclusion that KTA will not be prejudiced by the admission into evidence of the affidavit deposed to by Rita Sikhondze, secondly Mr Nathan Hittler has no right to represent KTA as if he is Counsel or attorney in </w:t>
      </w:r>
      <w:r w:rsidR="00354600">
        <w:rPr>
          <w:u w:val="none"/>
          <w:lang w:val="en-ZA"/>
        </w:rPr>
        <w:t>this matter.</w:t>
      </w:r>
    </w:p>
    <w:p w:rsidR="00B532BD" w:rsidRDefault="00B532BD" w:rsidP="00DB2E83">
      <w:pPr>
        <w:spacing w:line="360" w:lineRule="auto"/>
        <w:jc w:val="both"/>
        <w:rPr>
          <w:u w:val="none"/>
          <w:lang w:val="en-ZA"/>
        </w:rPr>
      </w:pPr>
    </w:p>
    <w:p w:rsidR="000D47FC" w:rsidRDefault="00354600" w:rsidP="00DB2E83">
      <w:pPr>
        <w:spacing w:line="360" w:lineRule="auto"/>
        <w:jc w:val="both"/>
        <w:rPr>
          <w:u w:val="none"/>
          <w:lang w:val="en-ZA"/>
        </w:rPr>
      </w:pPr>
      <w:r>
        <w:rPr>
          <w:u w:val="none"/>
          <w:lang w:val="en-ZA"/>
        </w:rPr>
        <w:t>[31]</w:t>
      </w:r>
      <w:r>
        <w:rPr>
          <w:u w:val="none"/>
          <w:lang w:val="en-ZA"/>
        </w:rPr>
        <w:tab/>
        <w:t xml:space="preserve">In the </w:t>
      </w:r>
      <w:r w:rsidR="00BC0882">
        <w:rPr>
          <w:u w:val="none"/>
          <w:lang w:val="en-ZA"/>
        </w:rPr>
        <w:t>result I mak</w:t>
      </w:r>
      <w:r w:rsidR="008C6993">
        <w:rPr>
          <w:u w:val="none"/>
          <w:lang w:val="en-ZA"/>
        </w:rPr>
        <w:t>e the following order:</w:t>
      </w:r>
    </w:p>
    <w:p w:rsidR="000D47FC" w:rsidRDefault="000D47FC" w:rsidP="00DB2E83">
      <w:pPr>
        <w:spacing w:line="360" w:lineRule="auto"/>
        <w:jc w:val="both"/>
        <w:rPr>
          <w:u w:val="none"/>
          <w:lang w:val="en-ZA"/>
        </w:rPr>
      </w:pPr>
    </w:p>
    <w:p w:rsidR="00354600" w:rsidRDefault="00354600" w:rsidP="00DB2E83">
      <w:pPr>
        <w:spacing w:line="360" w:lineRule="auto"/>
        <w:jc w:val="both"/>
        <w:rPr>
          <w:lang w:val="en-ZA"/>
        </w:rPr>
      </w:pPr>
      <w:r>
        <w:rPr>
          <w:u w:val="none"/>
          <w:lang w:val="en-ZA"/>
        </w:rPr>
        <w:tab/>
      </w:r>
      <w:r w:rsidRPr="00354600">
        <w:rPr>
          <w:lang w:val="en-ZA"/>
        </w:rPr>
        <w:t>ORDER</w:t>
      </w:r>
    </w:p>
    <w:p w:rsidR="00E44033" w:rsidRPr="00354600" w:rsidRDefault="00E44033" w:rsidP="00DB2E83">
      <w:pPr>
        <w:spacing w:line="360" w:lineRule="auto"/>
        <w:jc w:val="both"/>
        <w:rPr>
          <w:lang w:val="en-ZA"/>
        </w:rPr>
      </w:pPr>
    </w:p>
    <w:p w:rsidR="00354600" w:rsidRDefault="00354600" w:rsidP="00F375AB">
      <w:pPr>
        <w:pStyle w:val="ListParagraph"/>
        <w:numPr>
          <w:ilvl w:val="0"/>
          <w:numId w:val="15"/>
        </w:numPr>
        <w:spacing w:line="360" w:lineRule="auto"/>
        <w:jc w:val="both"/>
        <w:rPr>
          <w:u w:val="none"/>
          <w:lang w:val="en-ZA"/>
        </w:rPr>
      </w:pPr>
      <w:r>
        <w:rPr>
          <w:u w:val="none"/>
          <w:lang w:val="en-ZA"/>
        </w:rPr>
        <w:t xml:space="preserve">BP Southern Africa (Pty) Ltd (BPSA) is hereby granted leave to </w:t>
      </w:r>
      <w:r w:rsidR="00FA023F">
        <w:rPr>
          <w:u w:val="none"/>
          <w:lang w:val="en-ZA"/>
        </w:rPr>
        <w:t>file the</w:t>
      </w:r>
      <w:r>
        <w:rPr>
          <w:u w:val="none"/>
          <w:lang w:val="en-ZA"/>
        </w:rPr>
        <w:t xml:space="preserve"> affidavit of Rita Sikhondze da</w:t>
      </w:r>
      <w:r w:rsidR="00E44033">
        <w:rPr>
          <w:u w:val="none"/>
          <w:lang w:val="en-ZA"/>
        </w:rPr>
        <w:t>t</w:t>
      </w:r>
      <w:r>
        <w:rPr>
          <w:u w:val="none"/>
          <w:lang w:val="en-ZA"/>
        </w:rPr>
        <w:t>ed the 1</w:t>
      </w:r>
      <w:r w:rsidRPr="00354600">
        <w:rPr>
          <w:u w:val="none"/>
          <w:vertAlign w:val="superscript"/>
          <w:lang w:val="en-ZA"/>
        </w:rPr>
        <w:t>st</w:t>
      </w:r>
      <w:r>
        <w:rPr>
          <w:u w:val="none"/>
          <w:lang w:val="en-ZA"/>
        </w:rPr>
        <w:t xml:space="preserve"> February 2022 in the main application instituted by KTA under case number 40729/2021.</w:t>
      </w:r>
    </w:p>
    <w:p w:rsidR="00354600" w:rsidRDefault="00354600" w:rsidP="00354600">
      <w:pPr>
        <w:pStyle w:val="ListParagraph"/>
        <w:spacing w:line="360" w:lineRule="auto"/>
        <w:ind w:left="1440"/>
        <w:jc w:val="both"/>
        <w:rPr>
          <w:u w:val="none"/>
          <w:lang w:val="en-ZA"/>
        </w:rPr>
      </w:pPr>
    </w:p>
    <w:p w:rsidR="00354600" w:rsidRDefault="00354600" w:rsidP="00F375AB">
      <w:pPr>
        <w:pStyle w:val="ListParagraph"/>
        <w:numPr>
          <w:ilvl w:val="0"/>
          <w:numId w:val="15"/>
        </w:numPr>
        <w:spacing w:line="360" w:lineRule="auto"/>
        <w:jc w:val="both"/>
        <w:rPr>
          <w:u w:val="none"/>
          <w:lang w:val="en-ZA"/>
        </w:rPr>
      </w:pPr>
      <w:r>
        <w:rPr>
          <w:u w:val="none"/>
          <w:lang w:val="en-ZA"/>
        </w:rPr>
        <w:t>KTA is ordered to pay costs of this a</w:t>
      </w:r>
      <w:r w:rsidR="00F375AB" w:rsidRPr="00F375AB">
        <w:rPr>
          <w:u w:val="none"/>
          <w:lang w:val="en-ZA"/>
        </w:rPr>
        <w:t>pplicat</w:t>
      </w:r>
      <w:r w:rsidR="001A4049">
        <w:rPr>
          <w:u w:val="none"/>
          <w:lang w:val="en-ZA"/>
        </w:rPr>
        <w:t>ion</w:t>
      </w:r>
      <w:r>
        <w:rPr>
          <w:u w:val="none"/>
          <w:lang w:val="en-ZA"/>
        </w:rPr>
        <w:t xml:space="preserve"> on </w:t>
      </w:r>
      <w:r w:rsidR="00BE57EE">
        <w:rPr>
          <w:u w:val="none"/>
          <w:lang w:val="en-ZA"/>
        </w:rPr>
        <w:t xml:space="preserve">a </w:t>
      </w:r>
      <w:r>
        <w:rPr>
          <w:u w:val="none"/>
          <w:lang w:val="en-ZA"/>
        </w:rPr>
        <w:t>party and party scale including the costs of Counsel employed.</w:t>
      </w:r>
    </w:p>
    <w:p w:rsidR="00354600" w:rsidRDefault="00354600" w:rsidP="00354600">
      <w:pPr>
        <w:pStyle w:val="ListParagraph"/>
        <w:rPr>
          <w:u w:val="none"/>
          <w:lang w:val="en-ZA"/>
        </w:rPr>
      </w:pPr>
    </w:p>
    <w:p w:rsidR="00750BB8" w:rsidRPr="00354600" w:rsidRDefault="00750BB8" w:rsidP="00354600">
      <w:pPr>
        <w:pStyle w:val="ListParagraph"/>
        <w:rPr>
          <w:u w:val="none"/>
          <w:lang w:val="en-ZA"/>
        </w:rPr>
      </w:pPr>
    </w:p>
    <w:p w:rsidR="00F375AB" w:rsidRPr="009F12F8" w:rsidRDefault="00354600" w:rsidP="009F12F8">
      <w:pPr>
        <w:spacing w:line="360" w:lineRule="auto"/>
        <w:jc w:val="both"/>
        <w:rPr>
          <w:u w:val="none"/>
          <w:lang w:val="en-ZA"/>
        </w:rPr>
      </w:pPr>
      <w:r>
        <w:rPr>
          <w:u w:val="none"/>
          <w:lang w:val="en-ZA"/>
        </w:rPr>
        <w:t xml:space="preserve">Dated at Johannesburg on this </w:t>
      </w:r>
      <w:r w:rsidR="00463545">
        <w:rPr>
          <w:u w:val="none"/>
          <w:lang w:val="en-ZA"/>
        </w:rPr>
        <w:t>10</w:t>
      </w:r>
      <w:r w:rsidR="00BE57EE" w:rsidRPr="00BE57EE">
        <w:rPr>
          <w:u w:val="none"/>
          <w:vertAlign w:val="superscript"/>
          <w:lang w:val="en-ZA"/>
        </w:rPr>
        <w:t>th</w:t>
      </w:r>
      <w:r w:rsidR="00BE57EE">
        <w:rPr>
          <w:u w:val="none"/>
          <w:lang w:val="en-ZA"/>
        </w:rPr>
        <w:t xml:space="preserve"> </w:t>
      </w:r>
      <w:r w:rsidR="00F375AB" w:rsidRPr="009F12F8">
        <w:rPr>
          <w:u w:val="none"/>
          <w:lang w:val="en-ZA"/>
        </w:rPr>
        <w:t xml:space="preserve">day of </w:t>
      </w:r>
      <w:r w:rsidR="004F1B25" w:rsidRPr="009F12F8">
        <w:rPr>
          <w:u w:val="none"/>
          <w:lang w:val="en-ZA"/>
        </w:rPr>
        <w:t>August 2022</w:t>
      </w:r>
      <w:r w:rsidR="00F375AB" w:rsidRPr="009F12F8">
        <w:rPr>
          <w:u w:val="none"/>
          <w:lang w:val="en-ZA"/>
        </w:rPr>
        <w:t xml:space="preserve"> </w:t>
      </w:r>
    </w:p>
    <w:p w:rsidR="00F375AB" w:rsidRDefault="00F375AB" w:rsidP="00DB2E83">
      <w:pPr>
        <w:tabs>
          <w:tab w:val="right" w:pos="0"/>
        </w:tabs>
        <w:spacing w:line="360" w:lineRule="auto"/>
        <w:jc w:val="both"/>
        <w:rPr>
          <w:u w:val="none"/>
          <w:lang w:val="en-ZA"/>
        </w:rPr>
      </w:pPr>
    </w:p>
    <w:p w:rsidR="00FD2553" w:rsidRDefault="00FD2553" w:rsidP="00DB2E83">
      <w:pPr>
        <w:tabs>
          <w:tab w:val="right" w:pos="0"/>
        </w:tabs>
        <w:spacing w:line="360" w:lineRule="auto"/>
        <w:jc w:val="both"/>
        <w:rPr>
          <w:u w:val="none"/>
          <w:lang w:val="en-ZA"/>
        </w:rPr>
      </w:pPr>
    </w:p>
    <w:p w:rsidR="001A4049" w:rsidRDefault="001A4049" w:rsidP="00DB2E83">
      <w:pPr>
        <w:tabs>
          <w:tab w:val="right" w:pos="0"/>
        </w:tabs>
        <w:spacing w:line="360" w:lineRule="auto"/>
        <w:jc w:val="both"/>
        <w:rPr>
          <w:u w:val="none"/>
          <w:lang w:val="en-ZA"/>
        </w:rPr>
      </w:pPr>
    </w:p>
    <w:p w:rsidR="001A4049" w:rsidRDefault="001A4049" w:rsidP="00DB2E83">
      <w:pPr>
        <w:tabs>
          <w:tab w:val="right" w:pos="0"/>
        </w:tabs>
        <w:spacing w:line="360" w:lineRule="auto"/>
        <w:jc w:val="both"/>
        <w:rPr>
          <w:u w:val="none"/>
          <w:lang w:val="en-ZA"/>
        </w:rPr>
      </w:pPr>
    </w:p>
    <w:p w:rsidR="00213AB7" w:rsidRDefault="00213AB7" w:rsidP="00DB2E83">
      <w:pPr>
        <w:tabs>
          <w:tab w:val="right" w:pos="0"/>
        </w:tabs>
        <w:spacing w:line="360" w:lineRule="auto"/>
        <w:jc w:val="both"/>
        <w:rPr>
          <w:u w:val="none"/>
          <w:lang w:val="en-ZA"/>
        </w:rPr>
      </w:pPr>
    </w:p>
    <w:p w:rsidR="001A4049" w:rsidRDefault="001A4049" w:rsidP="00DB2E83">
      <w:pPr>
        <w:tabs>
          <w:tab w:val="right" w:pos="0"/>
        </w:tabs>
        <w:spacing w:line="360" w:lineRule="auto"/>
        <w:jc w:val="both"/>
        <w:rPr>
          <w:u w:val="none"/>
          <w:lang w:val="en-ZA"/>
        </w:rPr>
      </w:pPr>
    </w:p>
    <w:p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rsidR="00534990" w:rsidRDefault="00534990" w:rsidP="00DB2E83">
      <w:pPr>
        <w:tabs>
          <w:tab w:val="right" w:pos="0"/>
        </w:tabs>
        <w:jc w:val="both"/>
        <w:rPr>
          <w:b/>
          <w:u w:val="none"/>
          <w:lang w:val="en-ZA"/>
        </w:rPr>
      </w:pPr>
    </w:p>
    <w:p w:rsidR="001A4049" w:rsidRDefault="001A4049" w:rsidP="00DB2E83">
      <w:pPr>
        <w:tabs>
          <w:tab w:val="right" w:pos="0"/>
        </w:tabs>
        <w:jc w:val="both"/>
        <w:rPr>
          <w:b/>
          <w:u w:val="none"/>
          <w:lang w:val="en-ZA"/>
        </w:rPr>
      </w:pPr>
    </w:p>
    <w:p w:rsidR="00C979F4" w:rsidRDefault="00C979F4" w:rsidP="00DB2E83">
      <w:pPr>
        <w:tabs>
          <w:tab w:val="right" w:pos="0"/>
        </w:tabs>
        <w:jc w:val="both"/>
        <w:rPr>
          <w:b/>
        </w:rPr>
      </w:pPr>
      <w:r>
        <w:rPr>
          <w:b/>
        </w:rPr>
        <w:t>Appearances:</w:t>
      </w:r>
    </w:p>
    <w:p w:rsidR="00C979F4" w:rsidRDefault="00C979F4" w:rsidP="00DB2E83">
      <w:pPr>
        <w:tabs>
          <w:tab w:val="right" w:pos="0"/>
        </w:tabs>
        <w:jc w:val="both"/>
        <w:rPr>
          <w:u w:val="none"/>
        </w:rPr>
      </w:pPr>
    </w:p>
    <w:p w:rsidR="00C979F4" w:rsidRDefault="00784C21" w:rsidP="00DB2E83">
      <w:pPr>
        <w:tabs>
          <w:tab w:val="right" w:pos="0"/>
        </w:tabs>
        <w:jc w:val="both"/>
        <w:rPr>
          <w:u w:val="none"/>
        </w:rPr>
      </w:pPr>
      <w:r>
        <w:rPr>
          <w:u w:val="none"/>
        </w:rPr>
        <w:t>DATE OF HEARING</w:t>
      </w:r>
      <w:r>
        <w:rPr>
          <w:u w:val="none"/>
        </w:rPr>
        <w:tab/>
        <w:t>:</w:t>
      </w:r>
      <w:r>
        <w:rPr>
          <w:u w:val="none"/>
        </w:rPr>
        <w:tab/>
        <w:t>2</w:t>
      </w:r>
      <w:r w:rsidR="00E44033">
        <w:rPr>
          <w:u w:val="none"/>
        </w:rPr>
        <w:t>1</w:t>
      </w:r>
      <w:r>
        <w:rPr>
          <w:u w:val="none"/>
        </w:rPr>
        <w:t xml:space="preserve"> JUNE </w:t>
      </w:r>
      <w:r w:rsidR="007306D4">
        <w:rPr>
          <w:u w:val="none"/>
        </w:rPr>
        <w:t>202</w:t>
      </w:r>
      <w:r w:rsidR="004F1B25">
        <w:rPr>
          <w:u w:val="none"/>
        </w:rPr>
        <w:t>2</w:t>
      </w:r>
    </w:p>
    <w:p w:rsidR="00C979F4" w:rsidRDefault="00534990" w:rsidP="00DB2E83">
      <w:pPr>
        <w:tabs>
          <w:tab w:val="right" w:pos="0"/>
        </w:tabs>
        <w:jc w:val="both"/>
        <w:rPr>
          <w:u w:val="none"/>
        </w:rPr>
      </w:pPr>
      <w:r>
        <w:rPr>
          <w:u w:val="none"/>
        </w:rPr>
        <w:t>DATE OF JUDGMENT</w:t>
      </w:r>
      <w:r>
        <w:rPr>
          <w:u w:val="none"/>
        </w:rPr>
        <w:tab/>
        <w:t>:</w:t>
      </w:r>
      <w:r w:rsidR="008A5427">
        <w:rPr>
          <w:u w:val="none"/>
        </w:rPr>
        <w:tab/>
      </w:r>
      <w:r w:rsidR="00463545">
        <w:rPr>
          <w:u w:val="none"/>
        </w:rPr>
        <w:t>1</w:t>
      </w:r>
      <w:r w:rsidR="00BE57EE">
        <w:rPr>
          <w:u w:val="none"/>
        </w:rPr>
        <w:t xml:space="preserve">0 </w:t>
      </w:r>
      <w:r w:rsidR="004F1B25">
        <w:rPr>
          <w:u w:val="none"/>
        </w:rPr>
        <w:t xml:space="preserve">AUGUST </w:t>
      </w:r>
      <w:r w:rsidR="00C979F4">
        <w:rPr>
          <w:u w:val="none"/>
        </w:rPr>
        <w:t>20</w:t>
      </w:r>
      <w:r w:rsidR="004F1B25">
        <w:rPr>
          <w:u w:val="none"/>
        </w:rPr>
        <w:t>22</w:t>
      </w:r>
    </w:p>
    <w:p w:rsidR="002E6DC7" w:rsidRDefault="002E6DC7" w:rsidP="00DB2E83">
      <w:pPr>
        <w:tabs>
          <w:tab w:val="right" w:pos="0"/>
        </w:tabs>
        <w:jc w:val="both"/>
        <w:rPr>
          <w:u w:val="none"/>
        </w:rPr>
      </w:pPr>
    </w:p>
    <w:p w:rsidR="00D1731B" w:rsidRDefault="004E3DEC" w:rsidP="00DB2E83">
      <w:pPr>
        <w:tabs>
          <w:tab w:val="right" w:pos="0"/>
        </w:tabs>
        <w:jc w:val="both"/>
        <w:rPr>
          <w:u w:val="none"/>
        </w:rPr>
      </w:pPr>
      <w:r>
        <w:rPr>
          <w:u w:val="none"/>
        </w:rPr>
        <w:t>FOR APPLICANT</w:t>
      </w:r>
      <w:r>
        <w:rPr>
          <w:u w:val="none"/>
        </w:rPr>
        <w:tab/>
      </w:r>
      <w:r>
        <w:rPr>
          <w:u w:val="none"/>
        </w:rPr>
        <w:tab/>
        <w:t>:</w:t>
      </w:r>
      <w:r>
        <w:rPr>
          <w:u w:val="none"/>
        </w:rPr>
        <w:tab/>
        <w:t xml:space="preserve">ADV G HERHOLDT </w:t>
      </w:r>
    </w:p>
    <w:p w:rsidR="004E3DEC" w:rsidRDefault="00C979F4" w:rsidP="00DB2E83">
      <w:pPr>
        <w:tabs>
          <w:tab w:val="right" w:pos="0"/>
        </w:tabs>
        <w:jc w:val="both"/>
        <w:rPr>
          <w:u w:val="none"/>
        </w:rPr>
      </w:pPr>
      <w:r>
        <w:rPr>
          <w:u w:val="none"/>
        </w:rPr>
        <w:t>INSTRUCTED BY</w:t>
      </w:r>
      <w:r>
        <w:rPr>
          <w:u w:val="none"/>
        </w:rPr>
        <w:tab/>
      </w:r>
      <w:r>
        <w:rPr>
          <w:u w:val="none"/>
        </w:rPr>
        <w:tab/>
        <w:t>:</w:t>
      </w:r>
      <w:r>
        <w:rPr>
          <w:u w:val="none"/>
        </w:rPr>
        <w:tab/>
      </w:r>
      <w:r w:rsidR="00D1731B">
        <w:rPr>
          <w:u w:val="none"/>
        </w:rPr>
        <w:t>MESSRS</w:t>
      </w:r>
      <w:r>
        <w:rPr>
          <w:u w:val="none"/>
        </w:rPr>
        <w:t xml:space="preserve"> </w:t>
      </w:r>
      <w:r w:rsidR="004E3DEC">
        <w:rPr>
          <w:u w:val="none"/>
        </w:rPr>
        <w:t xml:space="preserve">EDWARD NATHAN &amp;  </w:t>
      </w:r>
    </w:p>
    <w:p w:rsidR="00C979F4" w:rsidRDefault="004E3DEC" w:rsidP="00DB2E83">
      <w:pPr>
        <w:tabs>
          <w:tab w:val="right" w:pos="0"/>
        </w:tabs>
        <w:jc w:val="both"/>
        <w:rPr>
          <w:u w:val="none"/>
        </w:rPr>
      </w:pPr>
      <w:r>
        <w:rPr>
          <w:u w:val="none"/>
        </w:rPr>
        <w:tab/>
      </w:r>
      <w:r>
        <w:rPr>
          <w:u w:val="none"/>
        </w:rPr>
        <w:tab/>
      </w:r>
      <w:r>
        <w:rPr>
          <w:u w:val="none"/>
        </w:rPr>
        <w:tab/>
      </w:r>
      <w:r>
        <w:rPr>
          <w:u w:val="none"/>
        </w:rPr>
        <w:tab/>
      </w:r>
      <w:r>
        <w:rPr>
          <w:u w:val="none"/>
        </w:rPr>
        <w:tab/>
        <w:t xml:space="preserve">SONNENBERGS ATTORNEYS </w:t>
      </w:r>
    </w:p>
    <w:p w:rsidR="006B2EAE" w:rsidRDefault="006B2EAE" w:rsidP="006B2EAE">
      <w:pPr>
        <w:tabs>
          <w:tab w:val="right" w:pos="0"/>
        </w:tabs>
        <w:jc w:val="both"/>
        <w:rPr>
          <w:u w:val="none"/>
        </w:rPr>
      </w:pPr>
    </w:p>
    <w:p w:rsidR="006B2EAE" w:rsidRDefault="00E44033" w:rsidP="006B2EAE">
      <w:pPr>
        <w:tabs>
          <w:tab w:val="right" w:pos="0"/>
        </w:tabs>
        <w:jc w:val="both"/>
        <w:rPr>
          <w:u w:val="none"/>
        </w:rPr>
      </w:pPr>
      <w:r>
        <w:rPr>
          <w:u w:val="none"/>
        </w:rPr>
        <w:t>FOR RESPONDENT</w:t>
      </w:r>
      <w:r>
        <w:rPr>
          <w:u w:val="none"/>
        </w:rPr>
        <w:tab/>
        <w:t>:</w:t>
      </w:r>
      <w:r>
        <w:rPr>
          <w:u w:val="none"/>
        </w:rPr>
        <w:tab/>
      </w:r>
      <w:r w:rsidR="004E3DEC">
        <w:rPr>
          <w:u w:val="none"/>
        </w:rPr>
        <w:t>MR</w:t>
      </w:r>
      <w:r>
        <w:rPr>
          <w:u w:val="none"/>
        </w:rPr>
        <w:t xml:space="preserve"> </w:t>
      </w:r>
      <w:r w:rsidR="004E3DEC">
        <w:rPr>
          <w:u w:val="none"/>
        </w:rPr>
        <w:t>N HITTLER</w:t>
      </w:r>
    </w:p>
    <w:p w:rsidR="00784C21" w:rsidRDefault="00D72C69" w:rsidP="006B2EAE">
      <w:pPr>
        <w:spacing w:line="360" w:lineRule="auto"/>
        <w:jc w:val="both"/>
        <w:rPr>
          <w:u w:val="none"/>
        </w:rPr>
      </w:pPr>
      <w:r>
        <w:rPr>
          <w:u w:val="none"/>
        </w:rPr>
        <w:tab/>
      </w:r>
    </w:p>
    <w:p w:rsidR="00784C21" w:rsidRDefault="00784C21" w:rsidP="006B2EAE">
      <w:pPr>
        <w:spacing w:line="360" w:lineRule="auto"/>
        <w:jc w:val="both"/>
        <w:rPr>
          <w:u w:val="none"/>
        </w:rPr>
      </w:pPr>
    </w:p>
    <w:p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04" w:rsidRDefault="00832804" w:rsidP="00ED13B4">
      <w:r>
        <w:separator/>
      </w:r>
    </w:p>
  </w:endnote>
  <w:endnote w:type="continuationSeparator" w:id="0">
    <w:p w:rsidR="00832804" w:rsidRDefault="00832804"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04" w:rsidRDefault="00832804" w:rsidP="00ED13B4">
      <w:r>
        <w:separator/>
      </w:r>
    </w:p>
  </w:footnote>
  <w:footnote w:type="continuationSeparator" w:id="0">
    <w:p w:rsidR="00832804" w:rsidRDefault="00832804"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8"/>
  </w:num>
  <w:num w:numId="5">
    <w:abstractNumId w:val="4"/>
  </w:num>
  <w:num w:numId="6">
    <w:abstractNumId w:val="14"/>
  </w:num>
  <w:num w:numId="7">
    <w:abstractNumId w:val="12"/>
  </w:num>
  <w:num w:numId="8">
    <w:abstractNumId w:val="9"/>
  </w:num>
  <w:num w:numId="9">
    <w:abstractNumId w:val="2"/>
  </w:num>
  <w:num w:numId="10">
    <w:abstractNumId w:val="13"/>
  </w:num>
  <w:num w:numId="11">
    <w:abstractNumId w:val="7"/>
  </w:num>
  <w:num w:numId="12">
    <w:abstractNumId w:val="6"/>
  </w:num>
  <w:num w:numId="13">
    <w:abstractNumId w:val="3"/>
  </w:num>
  <w:num w:numId="14">
    <w:abstractNumId w:val="11"/>
  </w:num>
  <w:num w:numId="15">
    <w:abstractNumId w:val="16"/>
  </w:num>
  <w:num w:numId="16">
    <w:abstractNumId w:val="8"/>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14622"/>
    <w:rsid w:val="000220E1"/>
    <w:rsid w:val="00022C32"/>
    <w:rsid w:val="00022EFE"/>
    <w:rsid w:val="000268B4"/>
    <w:rsid w:val="00047E9E"/>
    <w:rsid w:val="00052AA9"/>
    <w:rsid w:val="00056C3B"/>
    <w:rsid w:val="00070BB1"/>
    <w:rsid w:val="0007175E"/>
    <w:rsid w:val="000D47FC"/>
    <w:rsid w:val="000E154B"/>
    <w:rsid w:val="000E2E08"/>
    <w:rsid w:val="000E7FAA"/>
    <w:rsid w:val="000F1B54"/>
    <w:rsid w:val="000F2C2E"/>
    <w:rsid w:val="000F5440"/>
    <w:rsid w:val="00103D83"/>
    <w:rsid w:val="00115735"/>
    <w:rsid w:val="00130C7D"/>
    <w:rsid w:val="0013141D"/>
    <w:rsid w:val="00136190"/>
    <w:rsid w:val="001479D7"/>
    <w:rsid w:val="001559D5"/>
    <w:rsid w:val="00155E66"/>
    <w:rsid w:val="00184AA4"/>
    <w:rsid w:val="0019491A"/>
    <w:rsid w:val="00196B72"/>
    <w:rsid w:val="001A2481"/>
    <w:rsid w:val="001A4049"/>
    <w:rsid w:val="001B50CC"/>
    <w:rsid w:val="001C3DF4"/>
    <w:rsid w:val="001D17B1"/>
    <w:rsid w:val="001D559E"/>
    <w:rsid w:val="001E44F2"/>
    <w:rsid w:val="001E5036"/>
    <w:rsid w:val="001E5892"/>
    <w:rsid w:val="002013CB"/>
    <w:rsid w:val="00213AB7"/>
    <w:rsid w:val="00221FA9"/>
    <w:rsid w:val="00222875"/>
    <w:rsid w:val="002279A0"/>
    <w:rsid w:val="00230D25"/>
    <w:rsid w:val="0023249E"/>
    <w:rsid w:val="002533B5"/>
    <w:rsid w:val="00253FBB"/>
    <w:rsid w:val="00260A2A"/>
    <w:rsid w:val="0027182E"/>
    <w:rsid w:val="00271AB5"/>
    <w:rsid w:val="00272FE6"/>
    <w:rsid w:val="00277588"/>
    <w:rsid w:val="002809BF"/>
    <w:rsid w:val="002859D3"/>
    <w:rsid w:val="002A5AC6"/>
    <w:rsid w:val="002B2CB5"/>
    <w:rsid w:val="002B5E06"/>
    <w:rsid w:val="002C092D"/>
    <w:rsid w:val="002C11BA"/>
    <w:rsid w:val="002C5339"/>
    <w:rsid w:val="002D3985"/>
    <w:rsid w:val="002D7934"/>
    <w:rsid w:val="002E0404"/>
    <w:rsid w:val="002E6DC7"/>
    <w:rsid w:val="002E7BA5"/>
    <w:rsid w:val="002F29D6"/>
    <w:rsid w:val="00311648"/>
    <w:rsid w:val="00312A9C"/>
    <w:rsid w:val="003501B5"/>
    <w:rsid w:val="00352193"/>
    <w:rsid w:val="00354600"/>
    <w:rsid w:val="003616C6"/>
    <w:rsid w:val="003674DD"/>
    <w:rsid w:val="003B60D1"/>
    <w:rsid w:val="003B6AB3"/>
    <w:rsid w:val="003C6F6C"/>
    <w:rsid w:val="003E7C02"/>
    <w:rsid w:val="004013BB"/>
    <w:rsid w:val="00427E21"/>
    <w:rsid w:val="00452E60"/>
    <w:rsid w:val="00463545"/>
    <w:rsid w:val="00492366"/>
    <w:rsid w:val="00495B46"/>
    <w:rsid w:val="00495C97"/>
    <w:rsid w:val="004B6237"/>
    <w:rsid w:val="004C088E"/>
    <w:rsid w:val="004C42B4"/>
    <w:rsid w:val="004C480C"/>
    <w:rsid w:val="004D6F12"/>
    <w:rsid w:val="004E35BA"/>
    <w:rsid w:val="004E395A"/>
    <w:rsid w:val="004E3DEC"/>
    <w:rsid w:val="004E4DEF"/>
    <w:rsid w:val="004F1B25"/>
    <w:rsid w:val="004F4AA1"/>
    <w:rsid w:val="004F61E6"/>
    <w:rsid w:val="00500F27"/>
    <w:rsid w:val="00503EB0"/>
    <w:rsid w:val="0052556B"/>
    <w:rsid w:val="005329B5"/>
    <w:rsid w:val="00534990"/>
    <w:rsid w:val="00535D73"/>
    <w:rsid w:val="00540FAA"/>
    <w:rsid w:val="00543E21"/>
    <w:rsid w:val="0055373D"/>
    <w:rsid w:val="00556B95"/>
    <w:rsid w:val="00563968"/>
    <w:rsid w:val="005706FF"/>
    <w:rsid w:val="0057169D"/>
    <w:rsid w:val="0057239A"/>
    <w:rsid w:val="00572BF5"/>
    <w:rsid w:val="0057363D"/>
    <w:rsid w:val="005814F9"/>
    <w:rsid w:val="005A0F7C"/>
    <w:rsid w:val="005A45D7"/>
    <w:rsid w:val="005A7B34"/>
    <w:rsid w:val="005B1778"/>
    <w:rsid w:val="005C09F1"/>
    <w:rsid w:val="005C7339"/>
    <w:rsid w:val="005D7AC9"/>
    <w:rsid w:val="005E5F15"/>
    <w:rsid w:val="005F5824"/>
    <w:rsid w:val="006001D8"/>
    <w:rsid w:val="006071DA"/>
    <w:rsid w:val="00615099"/>
    <w:rsid w:val="0061535A"/>
    <w:rsid w:val="00617B83"/>
    <w:rsid w:val="00627D12"/>
    <w:rsid w:val="0063028E"/>
    <w:rsid w:val="00631C8B"/>
    <w:rsid w:val="0063322E"/>
    <w:rsid w:val="00640070"/>
    <w:rsid w:val="00647F88"/>
    <w:rsid w:val="006501D6"/>
    <w:rsid w:val="0065145F"/>
    <w:rsid w:val="006549D9"/>
    <w:rsid w:val="0065508E"/>
    <w:rsid w:val="006700EF"/>
    <w:rsid w:val="00672E04"/>
    <w:rsid w:val="00674B87"/>
    <w:rsid w:val="006764D9"/>
    <w:rsid w:val="00682A70"/>
    <w:rsid w:val="00697E1B"/>
    <w:rsid w:val="006A43AD"/>
    <w:rsid w:val="006B2EAE"/>
    <w:rsid w:val="006C00EC"/>
    <w:rsid w:val="006C3CEA"/>
    <w:rsid w:val="006D5C58"/>
    <w:rsid w:val="006E3D7E"/>
    <w:rsid w:val="006E5F97"/>
    <w:rsid w:val="006F1DB9"/>
    <w:rsid w:val="006F6D22"/>
    <w:rsid w:val="00710789"/>
    <w:rsid w:val="007147EB"/>
    <w:rsid w:val="0071550B"/>
    <w:rsid w:val="00717C92"/>
    <w:rsid w:val="00722F14"/>
    <w:rsid w:val="00727609"/>
    <w:rsid w:val="007306D4"/>
    <w:rsid w:val="00750BB8"/>
    <w:rsid w:val="00753745"/>
    <w:rsid w:val="00756D6A"/>
    <w:rsid w:val="00764C93"/>
    <w:rsid w:val="00770704"/>
    <w:rsid w:val="0077263B"/>
    <w:rsid w:val="00773BBD"/>
    <w:rsid w:val="007755FC"/>
    <w:rsid w:val="007817DE"/>
    <w:rsid w:val="007826D6"/>
    <w:rsid w:val="00784C21"/>
    <w:rsid w:val="00791812"/>
    <w:rsid w:val="007A1A53"/>
    <w:rsid w:val="007A2B77"/>
    <w:rsid w:val="007A67D1"/>
    <w:rsid w:val="007B5C10"/>
    <w:rsid w:val="007C24B6"/>
    <w:rsid w:val="007C4A9B"/>
    <w:rsid w:val="007C51FE"/>
    <w:rsid w:val="007C6DA7"/>
    <w:rsid w:val="007D3A9E"/>
    <w:rsid w:val="007D3E71"/>
    <w:rsid w:val="007F1D1D"/>
    <w:rsid w:val="008126CC"/>
    <w:rsid w:val="00832804"/>
    <w:rsid w:val="008409AD"/>
    <w:rsid w:val="008531D7"/>
    <w:rsid w:val="00856CB0"/>
    <w:rsid w:val="00862293"/>
    <w:rsid w:val="008735CA"/>
    <w:rsid w:val="008740D0"/>
    <w:rsid w:val="00886DF5"/>
    <w:rsid w:val="00896E6D"/>
    <w:rsid w:val="008A14CA"/>
    <w:rsid w:val="008A4425"/>
    <w:rsid w:val="008A5427"/>
    <w:rsid w:val="008B58E6"/>
    <w:rsid w:val="008C0367"/>
    <w:rsid w:val="008C2365"/>
    <w:rsid w:val="008C6993"/>
    <w:rsid w:val="008C6D79"/>
    <w:rsid w:val="008E1A6D"/>
    <w:rsid w:val="008E27C7"/>
    <w:rsid w:val="008E7E0D"/>
    <w:rsid w:val="008F0FFB"/>
    <w:rsid w:val="008F1073"/>
    <w:rsid w:val="008F22FB"/>
    <w:rsid w:val="008F37B1"/>
    <w:rsid w:val="008F453A"/>
    <w:rsid w:val="009033C9"/>
    <w:rsid w:val="009054FB"/>
    <w:rsid w:val="00911E0B"/>
    <w:rsid w:val="00915C45"/>
    <w:rsid w:val="00945A1B"/>
    <w:rsid w:val="00946EE3"/>
    <w:rsid w:val="009514B0"/>
    <w:rsid w:val="009528D8"/>
    <w:rsid w:val="00954AF3"/>
    <w:rsid w:val="00980D57"/>
    <w:rsid w:val="00980DA1"/>
    <w:rsid w:val="00981B12"/>
    <w:rsid w:val="00987F3C"/>
    <w:rsid w:val="00991E61"/>
    <w:rsid w:val="00995F95"/>
    <w:rsid w:val="009B453A"/>
    <w:rsid w:val="009C434F"/>
    <w:rsid w:val="009C5724"/>
    <w:rsid w:val="009E28C7"/>
    <w:rsid w:val="009E4FCA"/>
    <w:rsid w:val="009E5D6C"/>
    <w:rsid w:val="009F12F8"/>
    <w:rsid w:val="009F6300"/>
    <w:rsid w:val="00A11FCA"/>
    <w:rsid w:val="00A20F58"/>
    <w:rsid w:val="00A25B90"/>
    <w:rsid w:val="00A307E4"/>
    <w:rsid w:val="00A340CB"/>
    <w:rsid w:val="00A6799C"/>
    <w:rsid w:val="00A765D6"/>
    <w:rsid w:val="00A812E2"/>
    <w:rsid w:val="00AA7476"/>
    <w:rsid w:val="00AA7876"/>
    <w:rsid w:val="00AB1B66"/>
    <w:rsid w:val="00AB74B5"/>
    <w:rsid w:val="00AC2568"/>
    <w:rsid w:val="00AE485B"/>
    <w:rsid w:val="00AE6EA0"/>
    <w:rsid w:val="00AF07A2"/>
    <w:rsid w:val="00B05448"/>
    <w:rsid w:val="00B2069A"/>
    <w:rsid w:val="00B26819"/>
    <w:rsid w:val="00B27116"/>
    <w:rsid w:val="00B3005E"/>
    <w:rsid w:val="00B405F9"/>
    <w:rsid w:val="00B513DF"/>
    <w:rsid w:val="00B524CC"/>
    <w:rsid w:val="00B532BD"/>
    <w:rsid w:val="00B5445C"/>
    <w:rsid w:val="00B6007F"/>
    <w:rsid w:val="00B73308"/>
    <w:rsid w:val="00B75421"/>
    <w:rsid w:val="00B77EBE"/>
    <w:rsid w:val="00B77ED0"/>
    <w:rsid w:val="00B93332"/>
    <w:rsid w:val="00BC0882"/>
    <w:rsid w:val="00BC3C07"/>
    <w:rsid w:val="00BE57EE"/>
    <w:rsid w:val="00BF251B"/>
    <w:rsid w:val="00C0156E"/>
    <w:rsid w:val="00C0275B"/>
    <w:rsid w:val="00C133E6"/>
    <w:rsid w:val="00C13BC9"/>
    <w:rsid w:val="00C15B5E"/>
    <w:rsid w:val="00C1603C"/>
    <w:rsid w:val="00C2056B"/>
    <w:rsid w:val="00C21B48"/>
    <w:rsid w:val="00C6199F"/>
    <w:rsid w:val="00C63D4C"/>
    <w:rsid w:val="00C66966"/>
    <w:rsid w:val="00C730FB"/>
    <w:rsid w:val="00C96AA7"/>
    <w:rsid w:val="00C979F4"/>
    <w:rsid w:val="00CA60C8"/>
    <w:rsid w:val="00CA7657"/>
    <w:rsid w:val="00CB7719"/>
    <w:rsid w:val="00CC2513"/>
    <w:rsid w:val="00CC35B5"/>
    <w:rsid w:val="00CD6672"/>
    <w:rsid w:val="00CE501D"/>
    <w:rsid w:val="00CE7889"/>
    <w:rsid w:val="00CF3D2D"/>
    <w:rsid w:val="00D052CF"/>
    <w:rsid w:val="00D0699A"/>
    <w:rsid w:val="00D1731B"/>
    <w:rsid w:val="00D24981"/>
    <w:rsid w:val="00D41F6C"/>
    <w:rsid w:val="00D47FF2"/>
    <w:rsid w:val="00D604A7"/>
    <w:rsid w:val="00D62427"/>
    <w:rsid w:val="00D6299A"/>
    <w:rsid w:val="00D64A54"/>
    <w:rsid w:val="00D6511F"/>
    <w:rsid w:val="00D72C69"/>
    <w:rsid w:val="00D95F9A"/>
    <w:rsid w:val="00DB2E83"/>
    <w:rsid w:val="00DB37FE"/>
    <w:rsid w:val="00DB4DCF"/>
    <w:rsid w:val="00DC4AD5"/>
    <w:rsid w:val="00DD6A31"/>
    <w:rsid w:val="00E10383"/>
    <w:rsid w:val="00E16214"/>
    <w:rsid w:val="00E26A27"/>
    <w:rsid w:val="00E31106"/>
    <w:rsid w:val="00E34C9A"/>
    <w:rsid w:val="00E42DD9"/>
    <w:rsid w:val="00E44033"/>
    <w:rsid w:val="00E631B8"/>
    <w:rsid w:val="00E7083F"/>
    <w:rsid w:val="00E74E79"/>
    <w:rsid w:val="00E848A9"/>
    <w:rsid w:val="00E84E8E"/>
    <w:rsid w:val="00E9058E"/>
    <w:rsid w:val="00E9178F"/>
    <w:rsid w:val="00EA02A0"/>
    <w:rsid w:val="00EA34A9"/>
    <w:rsid w:val="00EA61BA"/>
    <w:rsid w:val="00EC0F4F"/>
    <w:rsid w:val="00EC1AB5"/>
    <w:rsid w:val="00EC6BD2"/>
    <w:rsid w:val="00ED13B4"/>
    <w:rsid w:val="00ED397E"/>
    <w:rsid w:val="00ED60F2"/>
    <w:rsid w:val="00EE01DE"/>
    <w:rsid w:val="00EE6AE5"/>
    <w:rsid w:val="00EF343A"/>
    <w:rsid w:val="00F01CD8"/>
    <w:rsid w:val="00F11431"/>
    <w:rsid w:val="00F1169C"/>
    <w:rsid w:val="00F11952"/>
    <w:rsid w:val="00F14F41"/>
    <w:rsid w:val="00F15496"/>
    <w:rsid w:val="00F162EF"/>
    <w:rsid w:val="00F22F3D"/>
    <w:rsid w:val="00F3193C"/>
    <w:rsid w:val="00F33AA1"/>
    <w:rsid w:val="00F3574B"/>
    <w:rsid w:val="00F375AB"/>
    <w:rsid w:val="00F55E04"/>
    <w:rsid w:val="00F60B72"/>
    <w:rsid w:val="00F707D2"/>
    <w:rsid w:val="00F739D1"/>
    <w:rsid w:val="00F9407A"/>
    <w:rsid w:val="00FA023F"/>
    <w:rsid w:val="00FA3B0A"/>
    <w:rsid w:val="00FA4756"/>
    <w:rsid w:val="00FB0C8C"/>
    <w:rsid w:val="00FB2D51"/>
    <w:rsid w:val="00FC1E5C"/>
    <w:rsid w:val="00FC25FF"/>
    <w:rsid w:val="00FD008D"/>
    <w:rsid w:val="00FD2553"/>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E359-A843-47E2-B7AB-F025D765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2022-08-04T14:04:00Z</cp:lastPrinted>
  <dcterms:created xsi:type="dcterms:W3CDTF">2022-08-15T08:30:00Z</dcterms:created>
  <dcterms:modified xsi:type="dcterms:W3CDTF">2022-08-15T08:30:00Z</dcterms:modified>
</cp:coreProperties>
</file>