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F2" w:rsidRDefault="00782AF2" w:rsidP="00782AF2">
      <w:pPr>
        <w:spacing w:after="0" w:line="360" w:lineRule="auto"/>
        <w:jc w:val="center"/>
        <w:rPr>
          <w:rFonts w:ascii="Arial" w:eastAsia="SimSun" w:hAnsi="Arial" w:cs="Arial"/>
          <w:b/>
          <w:sz w:val="24"/>
          <w:szCs w:val="24"/>
          <w:lang w:val="en-GB" w:eastAsia="zh-CN"/>
        </w:rPr>
      </w:pPr>
      <w:bookmarkStart w:id="0" w:name="_GoBack"/>
      <w:bookmarkEnd w:id="0"/>
      <w:r>
        <w:rPr>
          <w:rFonts w:ascii="Arial" w:eastAsia="SimSun" w:hAnsi="Arial" w:cs="Arial"/>
          <w:b/>
          <w:noProof/>
          <w:sz w:val="24"/>
          <w:szCs w:val="24"/>
          <w:lang w:val="en-ZA" w:eastAsia="en-ZA"/>
        </w:rPr>
        <w:drawing>
          <wp:inline distT="0" distB="0" distL="0" distR="0" wp14:anchorId="4F6901E2" wp14:editId="0A7A14CB">
            <wp:extent cx="1362075" cy="1362075"/>
            <wp:effectExtent l="0" t="0" r="9525" b="9525"/>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782AF2" w:rsidRDefault="00782AF2" w:rsidP="00782AF2">
      <w:pPr>
        <w:spacing w:after="0" w:line="360" w:lineRule="auto"/>
        <w:jc w:val="center"/>
        <w:rPr>
          <w:rFonts w:ascii="Arial" w:eastAsia="SimSun" w:hAnsi="Arial" w:cs="Arial"/>
          <w:b/>
          <w:sz w:val="24"/>
          <w:szCs w:val="24"/>
          <w:lang w:val="en-GB" w:eastAsia="zh-CN"/>
        </w:rPr>
      </w:pPr>
    </w:p>
    <w:p w:rsidR="00782AF2" w:rsidRDefault="00782AF2" w:rsidP="00782AF2">
      <w:pPr>
        <w:spacing w:after="0" w:line="360" w:lineRule="auto"/>
        <w:jc w:val="center"/>
        <w:rPr>
          <w:rFonts w:ascii="Arial" w:eastAsia="SimSun" w:hAnsi="Arial" w:cs="Arial"/>
          <w:b/>
          <w:sz w:val="24"/>
          <w:szCs w:val="24"/>
          <w:lang w:val="en-GB" w:eastAsia="zh-CN"/>
        </w:rPr>
      </w:pPr>
      <w:r>
        <w:rPr>
          <w:rFonts w:ascii="Arial" w:eastAsia="SimSun" w:hAnsi="Arial" w:cs="Arial"/>
          <w:b/>
          <w:sz w:val="24"/>
          <w:szCs w:val="24"/>
          <w:lang w:val="en-GB" w:eastAsia="zh-CN"/>
        </w:rPr>
        <w:t xml:space="preserve"> IN THE HIGH COURT OF SOUTH AFRICA</w:t>
      </w:r>
    </w:p>
    <w:p w:rsidR="00782AF2" w:rsidRDefault="00782AF2" w:rsidP="00782AF2">
      <w:pPr>
        <w:spacing w:after="0" w:line="360" w:lineRule="auto"/>
        <w:jc w:val="center"/>
        <w:rPr>
          <w:rFonts w:ascii="Arial" w:eastAsia="SimSun" w:hAnsi="Arial" w:cs="Arial"/>
          <w:b/>
          <w:sz w:val="24"/>
          <w:szCs w:val="24"/>
          <w:lang w:val="en-GB" w:eastAsia="zh-CN"/>
        </w:rPr>
      </w:pPr>
      <w:r>
        <w:rPr>
          <w:rFonts w:ascii="Arial" w:eastAsia="SimSun" w:hAnsi="Arial" w:cs="Arial"/>
          <w:b/>
          <w:sz w:val="24"/>
          <w:szCs w:val="24"/>
          <w:lang w:val="en-GB" w:eastAsia="zh-CN"/>
        </w:rPr>
        <w:t xml:space="preserve">GAUTENG </w:t>
      </w:r>
      <w:r w:rsidR="00C1063E">
        <w:rPr>
          <w:rFonts w:ascii="Arial" w:eastAsia="SimSun" w:hAnsi="Arial" w:cs="Arial"/>
          <w:b/>
          <w:sz w:val="24"/>
          <w:szCs w:val="24"/>
          <w:lang w:val="en-GB" w:eastAsia="zh-CN"/>
        </w:rPr>
        <w:t xml:space="preserve">LOCAL </w:t>
      </w:r>
      <w:r>
        <w:rPr>
          <w:rFonts w:ascii="Arial" w:eastAsia="SimSun" w:hAnsi="Arial" w:cs="Arial"/>
          <w:b/>
          <w:sz w:val="24"/>
          <w:szCs w:val="24"/>
          <w:lang w:val="en-GB" w:eastAsia="zh-CN"/>
        </w:rPr>
        <w:t xml:space="preserve">DIVISION, </w:t>
      </w:r>
      <w:r w:rsidR="00C1063E">
        <w:rPr>
          <w:rFonts w:ascii="Arial" w:eastAsia="SimSun" w:hAnsi="Arial" w:cs="Arial"/>
          <w:b/>
          <w:sz w:val="24"/>
          <w:szCs w:val="24"/>
          <w:lang w:val="en-GB" w:eastAsia="zh-CN"/>
        </w:rPr>
        <w:t>JOHANNESBURG</w:t>
      </w:r>
    </w:p>
    <w:p w:rsidR="00782AF2" w:rsidRDefault="00782AF2" w:rsidP="00782AF2">
      <w:pPr>
        <w:spacing w:after="0" w:line="360" w:lineRule="auto"/>
        <w:jc w:val="right"/>
        <w:rPr>
          <w:rFonts w:ascii="Arial" w:eastAsia="SimSun" w:hAnsi="Arial" w:cs="Arial"/>
          <w:b/>
          <w:i/>
          <w:sz w:val="24"/>
          <w:szCs w:val="24"/>
          <w:lang w:val="en-GB" w:eastAsia="zh-CN"/>
        </w:rPr>
      </w:pPr>
    </w:p>
    <w:tbl>
      <w:tblPr>
        <w:tblW w:w="9039" w:type="dxa"/>
        <w:tblLook w:val="04A0" w:firstRow="1" w:lastRow="0" w:firstColumn="1" w:lastColumn="0" w:noHBand="0" w:noVBand="1"/>
      </w:tblPr>
      <w:tblGrid>
        <w:gridCol w:w="5886"/>
        <w:gridCol w:w="3153"/>
      </w:tblGrid>
      <w:tr w:rsidR="00782AF2" w:rsidTr="00D71C6C">
        <w:tc>
          <w:tcPr>
            <w:tcW w:w="5886" w:type="dxa"/>
            <w:hideMark/>
          </w:tcPr>
          <w:p w:rsidR="00782AF2" w:rsidRDefault="00782AF2" w:rsidP="00D71C6C">
            <w:pPr>
              <w:spacing w:after="0" w:line="360" w:lineRule="auto"/>
              <w:jc w:val="both"/>
              <w:rPr>
                <w:rFonts w:ascii="Arial" w:eastAsia="SimSun" w:hAnsi="Arial" w:cs="Arial"/>
                <w:b/>
                <w:sz w:val="24"/>
                <w:szCs w:val="24"/>
                <w:lang w:val="en-GB" w:eastAsia="zh-CN"/>
              </w:rPr>
            </w:pPr>
            <w:r>
              <w:rPr>
                <w:noProof/>
                <w:lang w:val="en-ZA" w:eastAsia="en-ZA"/>
              </w:rPr>
              <mc:AlternateContent>
                <mc:Choice Requires="wps">
                  <w:drawing>
                    <wp:anchor distT="45720" distB="45720" distL="114300" distR="114300" simplePos="0" relativeHeight="251659264" behindDoc="0" locked="0" layoutInCell="1" allowOverlap="1" wp14:anchorId="2E030A10" wp14:editId="45A5E699">
                      <wp:simplePos x="0" y="0"/>
                      <wp:positionH relativeFrom="column">
                        <wp:posOffset>64770</wp:posOffset>
                      </wp:positionH>
                      <wp:positionV relativeFrom="paragraph">
                        <wp:posOffset>289560</wp:posOffset>
                      </wp:positionV>
                      <wp:extent cx="3574415" cy="1381125"/>
                      <wp:effectExtent l="0" t="0" r="2603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1381125"/>
                              </a:xfrm>
                              <a:prstGeom prst="rect">
                                <a:avLst/>
                              </a:prstGeom>
                              <a:solidFill>
                                <a:srgbClr val="FFFFFF"/>
                              </a:solidFill>
                              <a:ln w="9525">
                                <a:solidFill>
                                  <a:srgbClr val="000000"/>
                                </a:solidFill>
                                <a:miter lim="800000"/>
                                <a:headEnd/>
                                <a:tailEnd/>
                              </a:ln>
                            </wps:spPr>
                            <wps:txbx>
                              <w:txbxContent>
                                <w:p w:rsidR="00A36DA4" w:rsidRDefault="00A36DA4" w:rsidP="00782AF2">
                                  <w:pPr>
                                    <w:ind w:right="-768"/>
                                    <w:rPr>
                                      <w:rFonts w:ascii="Arial" w:hAnsi="Arial" w:cs="Arial"/>
                                      <w:sz w:val="20"/>
                                      <w:szCs w:val="20"/>
                                    </w:rPr>
                                  </w:pPr>
                                  <w:r>
                                    <w:rPr>
                                      <w:rFonts w:ascii="Arial" w:hAnsi="Arial" w:cs="Arial"/>
                                      <w:sz w:val="20"/>
                                      <w:szCs w:val="20"/>
                                    </w:rPr>
                                    <w:t>(1) REPORTABLE: NO</w:t>
                                  </w:r>
                                </w:p>
                                <w:p w:rsidR="00A36DA4" w:rsidRDefault="00A36DA4" w:rsidP="00782AF2">
                                  <w:pPr>
                                    <w:ind w:right="-768"/>
                                    <w:rPr>
                                      <w:rFonts w:ascii="Arial" w:hAnsi="Arial" w:cs="Arial"/>
                                      <w:sz w:val="20"/>
                                      <w:szCs w:val="20"/>
                                    </w:rPr>
                                  </w:pPr>
                                  <w:r>
                                    <w:rPr>
                                      <w:rFonts w:ascii="Arial" w:hAnsi="Arial" w:cs="Arial"/>
                                      <w:sz w:val="20"/>
                                      <w:szCs w:val="20"/>
                                    </w:rPr>
                                    <w:t>(2) OF INTEREST TO OTHER JUDGES: NO</w:t>
                                  </w:r>
                                </w:p>
                                <w:p w:rsidR="00A36DA4" w:rsidRDefault="00A36DA4" w:rsidP="00782AF2">
                                  <w:pPr>
                                    <w:ind w:right="-768"/>
                                    <w:rPr>
                                      <w:rFonts w:ascii="Arial" w:hAnsi="Arial" w:cs="Arial"/>
                                      <w:sz w:val="20"/>
                                      <w:szCs w:val="20"/>
                                    </w:rPr>
                                  </w:pPr>
                                  <w:r>
                                    <w:rPr>
                                      <w:rFonts w:ascii="Arial" w:hAnsi="Arial" w:cs="Arial"/>
                                      <w:sz w:val="20"/>
                                      <w:szCs w:val="20"/>
                                    </w:rPr>
                                    <w:t>(3) REVISED: NO</w:t>
                                  </w:r>
                                </w:p>
                                <w:p w:rsidR="00A36DA4" w:rsidRDefault="00A36DA4" w:rsidP="00782A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36DA4" w:rsidRDefault="00A36DA4" w:rsidP="00782AF2">
                                  <w:pPr>
                                    <w:rPr>
                                      <w:rFonts w:ascii="Arial" w:hAnsi="Arial" w:cs="Arial"/>
                                      <w:sz w:val="20"/>
                                      <w:szCs w:val="20"/>
                                    </w:rPr>
                                  </w:pPr>
                                  <w:r>
                                    <w:rPr>
                                      <w:rFonts w:ascii="Arial" w:hAnsi="Arial" w:cs="Arial"/>
                                      <w:sz w:val="20"/>
                                      <w:szCs w:val="20"/>
                                    </w:rPr>
                                    <w:t>DAT</w:t>
                                  </w:r>
                                  <w:r w:rsidR="00224DB4">
                                    <w:rPr>
                                      <w:rFonts w:ascii="Arial" w:hAnsi="Arial" w:cs="Arial"/>
                                      <w:sz w:val="20"/>
                                      <w:szCs w:val="20"/>
                                    </w:rPr>
                                    <w:t>E: 11</w:t>
                                  </w:r>
                                  <w:r>
                                    <w:rPr>
                                      <w:rFonts w:ascii="Arial" w:hAnsi="Arial" w:cs="Arial"/>
                                      <w:sz w:val="20"/>
                                      <w:szCs w:val="20"/>
                                    </w:rPr>
                                    <w:t xml:space="preserve"> AUGUST 2022</w:t>
                                  </w:r>
                                  <w:r>
                                    <w:rPr>
                                      <w:rFonts w:ascii="Arial" w:hAnsi="Arial" w:cs="Arial"/>
                                      <w:sz w:val="20"/>
                                      <w:szCs w:val="20"/>
                                    </w:rPr>
                                    <w:tab/>
                                    <w:t xml:space="preserve">       SIGNATURE:</w:t>
                                  </w:r>
                                </w:p>
                                <w:p w:rsidR="00A36DA4" w:rsidRDefault="00A36DA4" w:rsidP="00782AF2">
                                  <w:pPr>
                                    <w:rPr>
                                      <w:rFonts w:ascii="Arial" w:hAnsi="Arial" w:cs="Arial"/>
                                      <w:sz w:val="20"/>
                                      <w:szCs w:val="20"/>
                                    </w:rPr>
                                  </w:pPr>
                                </w:p>
                                <w:p w:rsidR="00A36DA4" w:rsidRDefault="00A36DA4" w:rsidP="00782AF2">
                                  <w:pPr>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DATE: 19 October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030A10" id="_x0000_t202" coordsize="21600,21600" o:spt="202" path="m,l,21600r21600,l21600,xe">
                      <v:stroke joinstyle="miter"/>
                      <v:path gradientshapeok="t" o:connecttype="rect"/>
                    </v:shapetype>
                    <v:shape id="Text Box 7" o:spid="_x0000_s1026" type="#_x0000_t202" style="position:absolute;left:0;text-align:left;margin-left:5.1pt;margin-top:22.8pt;width:281.4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">
                      <v:textbox>
                        <w:txbxContent>
                          <w:p w:rsidR="00A36DA4" w:rsidRDefault="00A36DA4" w:rsidP="00782AF2">
                            <w:pPr>
                              <w:ind w:right="-768"/>
                              <w:rPr>
                                <w:rFonts w:ascii="Arial" w:hAnsi="Arial" w:cs="Arial"/>
                                <w:sz w:val="20"/>
                                <w:szCs w:val="20"/>
                              </w:rPr>
                            </w:pPr>
                            <w:r>
                              <w:rPr>
                                <w:rFonts w:ascii="Arial" w:hAnsi="Arial" w:cs="Arial"/>
                                <w:sz w:val="20"/>
                                <w:szCs w:val="20"/>
                              </w:rPr>
                              <w:t>(1) REPORTABLE: NO</w:t>
                            </w:r>
                          </w:p>
                          <w:p w:rsidR="00A36DA4" w:rsidRDefault="00A36DA4" w:rsidP="00782AF2">
                            <w:pPr>
                              <w:ind w:right="-768"/>
                              <w:rPr>
                                <w:rFonts w:ascii="Arial" w:hAnsi="Arial" w:cs="Arial"/>
                                <w:sz w:val="20"/>
                                <w:szCs w:val="20"/>
                              </w:rPr>
                            </w:pPr>
                            <w:r>
                              <w:rPr>
                                <w:rFonts w:ascii="Arial" w:hAnsi="Arial" w:cs="Arial"/>
                                <w:sz w:val="20"/>
                                <w:szCs w:val="20"/>
                              </w:rPr>
                              <w:t>(2) OF INTEREST TO OTHER JUDGES: NO</w:t>
                            </w:r>
                          </w:p>
                          <w:p w:rsidR="00A36DA4" w:rsidRDefault="00A36DA4" w:rsidP="00782AF2">
                            <w:pPr>
                              <w:ind w:right="-768"/>
                              <w:rPr>
                                <w:rFonts w:ascii="Arial" w:hAnsi="Arial" w:cs="Arial"/>
                                <w:sz w:val="20"/>
                                <w:szCs w:val="20"/>
                              </w:rPr>
                            </w:pPr>
                            <w:r>
                              <w:rPr>
                                <w:rFonts w:ascii="Arial" w:hAnsi="Arial" w:cs="Arial"/>
                                <w:sz w:val="20"/>
                                <w:szCs w:val="20"/>
                              </w:rPr>
                              <w:t>(3) REVISED: NO</w:t>
                            </w:r>
                          </w:p>
                          <w:p w:rsidR="00A36DA4" w:rsidRDefault="00A36DA4" w:rsidP="00782AF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36DA4" w:rsidRDefault="00A36DA4" w:rsidP="00782AF2">
                            <w:pPr>
                              <w:rPr>
                                <w:rFonts w:ascii="Arial" w:hAnsi="Arial" w:cs="Arial"/>
                                <w:sz w:val="20"/>
                                <w:szCs w:val="20"/>
                              </w:rPr>
                            </w:pPr>
                            <w:r>
                              <w:rPr>
                                <w:rFonts w:ascii="Arial" w:hAnsi="Arial" w:cs="Arial"/>
                                <w:sz w:val="20"/>
                                <w:szCs w:val="20"/>
                              </w:rPr>
                              <w:t>DAT</w:t>
                            </w:r>
                            <w:r w:rsidR="00224DB4">
                              <w:rPr>
                                <w:rFonts w:ascii="Arial" w:hAnsi="Arial" w:cs="Arial"/>
                                <w:sz w:val="20"/>
                                <w:szCs w:val="20"/>
                              </w:rPr>
                              <w:t>E: 11</w:t>
                            </w:r>
                            <w:r>
                              <w:rPr>
                                <w:rFonts w:ascii="Arial" w:hAnsi="Arial" w:cs="Arial"/>
                                <w:sz w:val="20"/>
                                <w:szCs w:val="20"/>
                              </w:rPr>
                              <w:t xml:space="preserve"> AUGUST 2022</w:t>
                            </w:r>
                            <w:r>
                              <w:rPr>
                                <w:rFonts w:ascii="Arial" w:hAnsi="Arial" w:cs="Arial"/>
                                <w:sz w:val="20"/>
                                <w:szCs w:val="20"/>
                              </w:rPr>
                              <w:tab/>
                              <w:t xml:space="preserve">       SIGNATURE:</w:t>
                            </w:r>
                          </w:p>
                          <w:p w:rsidR="00A36DA4" w:rsidRDefault="00A36DA4" w:rsidP="00782AF2">
                            <w:pPr>
                              <w:rPr>
                                <w:rFonts w:ascii="Arial" w:hAnsi="Arial" w:cs="Arial"/>
                                <w:sz w:val="20"/>
                                <w:szCs w:val="20"/>
                              </w:rPr>
                            </w:pPr>
                          </w:p>
                          <w:p w:rsidR="00A36DA4" w:rsidRDefault="00A36DA4" w:rsidP="00782AF2">
                            <w:pPr>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DATE: 19 October 2020</w:t>
                            </w:r>
                          </w:p>
                        </w:txbxContent>
                      </v:textbox>
                      <w10:wrap type="square"/>
                    </v:shape>
                  </w:pict>
                </mc:Fallback>
              </mc:AlternateContent>
            </w:r>
          </w:p>
        </w:tc>
        <w:tc>
          <w:tcPr>
            <w:tcW w:w="3153" w:type="dxa"/>
          </w:tcPr>
          <w:p w:rsidR="00782AF2" w:rsidRDefault="00782AF2" w:rsidP="00D71C6C">
            <w:pPr>
              <w:widowControl w:val="0"/>
              <w:spacing w:after="240" w:line="360" w:lineRule="auto"/>
              <w:jc w:val="right"/>
              <w:rPr>
                <w:rFonts w:ascii="Arial" w:eastAsia="Times New Roman" w:hAnsi="Arial" w:cs="Arial"/>
                <w:b/>
                <w:sz w:val="24"/>
                <w:szCs w:val="24"/>
                <w:lang w:val="en-ZA"/>
              </w:rPr>
            </w:pPr>
            <w:r>
              <w:rPr>
                <w:rFonts w:ascii="Arial" w:eastAsia="Times New Roman" w:hAnsi="Arial" w:cs="Arial"/>
                <w:sz w:val="24"/>
                <w:szCs w:val="24"/>
                <w:lang w:val="en-ZA"/>
              </w:rPr>
              <w:t xml:space="preserve">    </w:t>
            </w:r>
            <w:r w:rsidR="003A02D7">
              <w:rPr>
                <w:rFonts w:ascii="Arial" w:eastAsia="Times New Roman" w:hAnsi="Arial" w:cs="Arial"/>
                <w:sz w:val="24"/>
                <w:szCs w:val="24"/>
                <w:lang w:val="en-ZA"/>
              </w:rPr>
              <w:t xml:space="preserve"> </w:t>
            </w:r>
            <w:r>
              <w:rPr>
                <w:rFonts w:ascii="Arial" w:eastAsia="Times New Roman" w:hAnsi="Arial" w:cs="Arial"/>
                <w:b/>
                <w:sz w:val="24"/>
                <w:szCs w:val="24"/>
                <w:lang w:val="en-ZA"/>
              </w:rPr>
              <w:t xml:space="preserve">CASE </w:t>
            </w:r>
            <w:r w:rsidR="00C502FA">
              <w:rPr>
                <w:rFonts w:ascii="Arial" w:eastAsia="Times New Roman" w:hAnsi="Arial" w:cs="Arial"/>
                <w:b/>
                <w:sz w:val="24"/>
                <w:szCs w:val="24"/>
                <w:lang w:val="en-ZA"/>
              </w:rPr>
              <w:t>NO: 38240/2020</w:t>
            </w:r>
            <w:r>
              <w:rPr>
                <w:rFonts w:ascii="Arial" w:eastAsia="Times New Roman" w:hAnsi="Arial" w:cs="Arial"/>
                <w:b/>
                <w:sz w:val="24"/>
                <w:szCs w:val="24"/>
                <w:lang w:val="en-ZA"/>
              </w:rPr>
              <w:fldChar w:fldCharType="begin"/>
            </w:r>
            <w:r>
              <w:rPr>
                <w:rFonts w:ascii="Arial" w:eastAsia="Times New Roman" w:hAnsi="Arial" w:cs="Arial"/>
                <w:b/>
                <w:sz w:val="24"/>
                <w:szCs w:val="24"/>
                <w:lang w:val="en-ZA"/>
              </w:rPr>
              <w:instrText xml:space="preserve">  </w:instrText>
            </w:r>
            <w:r>
              <w:rPr>
                <w:rFonts w:ascii="Arial" w:eastAsia="Times New Roman" w:hAnsi="Arial" w:cs="Arial"/>
                <w:b/>
                <w:sz w:val="24"/>
                <w:szCs w:val="24"/>
                <w:lang w:val="en-ZA"/>
              </w:rPr>
              <w:fldChar w:fldCharType="end"/>
            </w:r>
          </w:p>
          <w:p w:rsidR="00782AF2" w:rsidRDefault="00782AF2" w:rsidP="00D71C6C">
            <w:pPr>
              <w:spacing w:after="0" w:line="360" w:lineRule="auto"/>
              <w:rPr>
                <w:rFonts w:ascii="Arial" w:eastAsia="SimSun" w:hAnsi="Arial" w:cs="Arial"/>
                <w:sz w:val="24"/>
                <w:szCs w:val="24"/>
                <w:lang w:val="en-GB" w:eastAsia="zh-CN"/>
              </w:rPr>
            </w:pPr>
          </w:p>
          <w:p w:rsidR="00782AF2" w:rsidRDefault="00782AF2" w:rsidP="00D71C6C">
            <w:pPr>
              <w:spacing w:after="0" w:line="360" w:lineRule="auto"/>
              <w:rPr>
                <w:rFonts w:ascii="Arial" w:eastAsia="SimSun" w:hAnsi="Arial" w:cs="Arial"/>
                <w:sz w:val="24"/>
                <w:szCs w:val="24"/>
                <w:lang w:val="en-GB" w:eastAsia="zh-CN"/>
              </w:rPr>
            </w:pPr>
          </w:p>
          <w:p w:rsidR="00782AF2" w:rsidRDefault="00782AF2" w:rsidP="00D71C6C">
            <w:pPr>
              <w:spacing w:after="0" w:line="360" w:lineRule="auto"/>
              <w:rPr>
                <w:rFonts w:ascii="Arial" w:eastAsia="SimSun" w:hAnsi="Arial" w:cs="Arial"/>
                <w:sz w:val="24"/>
                <w:szCs w:val="24"/>
                <w:lang w:val="en-GB" w:eastAsia="zh-CN"/>
              </w:rPr>
            </w:pPr>
          </w:p>
          <w:p w:rsidR="00782AF2" w:rsidRDefault="00782AF2" w:rsidP="00D71C6C">
            <w:pPr>
              <w:spacing w:after="0" w:line="360" w:lineRule="auto"/>
              <w:rPr>
                <w:rFonts w:ascii="Arial" w:eastAsia="SimSun" w:hAnsi="Arial" w:cs="Arial"/>
                <w:sz w:val="24"/>
                <w:szCs w:val="24"/>
                <w:lang w:val="en-GB" w:eastAsia="zh-CN"/>
              </w:rPr>
            </w:pPr>
          </w:p>
        </w:tc>
      </w:tr>
    </w:tbl>
    <w:p w:rsidR="00782AF2" w:rsidRDefault="00782AF2"/>
    <w:p w:rsidR="00782AF2" w:rsidRPr="00E1127E" w:rsidRDefault="00782AF2">
      <w:pPr>
        <w:rPr>
          <w:rFonts w:ascii="Times New Roman" w:hAnsi="Times New Roman" w:cs="Times New Roman"/>
          <w:sz w:val="26"/>
          <w:szCs w:val="26"/>
        </w:rPr>
      </w:pPr>
      <w:r w:rsidRPr="00E1127E">
        <w:rPr>
          <w:rFonts w:ascii="Times New Roman" w:hAnsi="Times New Roman" w:cs="Times New Roman"/>
          <w:sz w:val="26"/>
          <w:szCs w:val="26"/>
        </w:rPr>
        <w:t>In the matter between:</w:t>
      </w:r>
    </w:p>
    <w:p w:rsidR="00782AF2" w:rsidRPr="00E1127E" w:rsidRDefault="00782AF2">
      <w:pPr>
        <w:rPr>
          <w:rFonts w:ascii="Times New Roman" w:hAnsi="Times New Roman" w:cs="Times New Roman"/>
          <w:sz w:val="26"/>
          <w:szCs w:val="26"/>
        </w:rPr>
      </w:pPr>
    </w:p>
    <w:p w:rsidR="00C502FA" w:rsidRDefault="00C502FA">
      <w:pPr>
        <w:rPr>
          <w:rFonts w:ascii="Times New Roman" w:hAnsi="Times New Roman" w:cs="Times New Roman"/>
          <w:sz w:val="26"/>
          <w:szCs w:val="26"/>
        </w:rPr>
      </w:pPr>
      <w:r>
        <w:rPr>
          <w:rFonts w:ascii="Times New Roman" w:hAnsi="Times New Roman" w:cs="Times New Roman"/>
          <w:sz w:val="26"/>
          <w:szCs w:val="26"/>
        </w:rPr>
        <w:t>STEPHEN LEONARD STOCH</w:t>
      </w:r>
      <w:r w:rsidR="00C1063E" w:rsidRPr="00E1127E">
        <w:rPr>
          <w:rFonts w:ascii="Times New Roman" w:hAnsi="Times New Roman" w:cs="Times New Roman"/>
          <w:sz w:val="26"/>
          <w:szCs w:val="26"/>
        </w:rPr>
        <w:t xml:space="preserve"> </w:t>
      </w:r>
      <w:r w:rsidR="002F282F">
        <w:rPr>
          <w:rFonts w:ascii="Times New Roman" w:hAnsi="Times New Roman" w:cs="Times New Roman"/>
          <w:sz w:val="26"/>
          <w:szCs w:val="26"/>
        </w:rPr>
        <w:t xml:space="preserve"> </w:t>
      </w:r>
      <w:r w:rsidR="002F282F">
        <w:rPr>
          <w:rFonts w:ascii="Times New Roman" w:hAnsi="Times New Roman" w:cs="Times New Roman"/>
          <w:sz w:val="26"/>
          <w:szCs w:val="26"/>
        </w:rPr>
        <w:tab/>
        <w:t xml:space="preserve">       </w:t>
      </w:r>
      <w:r w:rsidR="00E1127E" w:rsidRPr="00E1127E">
        <w:rPr>
          <w:rFonts w:ascii="Times New Roman" w:hAnsi="Times New Roman" w:cs="Times New Roman"/>
          <w:sz w:val="26"/>
          <w:szCs w:val="26"/>
        </w:rPr>
        <w:t xml:space="preserve">                               </w:t>
      </w:r>
      <w:r w:rsidR="00C85C95">
        <w:rPr>
          <w:rFonts w:ascii="Times New Roman" w:hAnsi="Times New Roman" w:cs="Times New Roman"/>
          <w:sz w:val="26"/>
          <w:szCs w:val="26"/>
        </w:rPr>
        <w:t xml:space="preserve">       </w:t>
      </w:r>
      <w:r>
        <w:rPr>
          <w:rFonts w:ascii="Times New Roman" w:hAnsi="Times New Roman" w:cs="Times New Roman"/>
          <w:sz w:val="26"/>
          <w:szCs w:val="26"/>
        </w:rPr>
        <w:t xml:space="preserve">                 </w:t>
      </w:r>
      <w:r w:rsidR="00C85C95">
        <w:rPr>
          <w:rFonts w:ascii="Times New Roman" w:hAnsi="Times New Roman" w:cs="Times New Roman"/>
          <w:sz w:val="26"/>
          <w:szCs w:val="26"/>
        </w:rPr>
        <w:t xml:space="preserve"> </w:t>
      </w:r>
      <w:r>
        <w:rPr>
          <w:rFonts w:ascii="Times New Roman" w:hAnsi="Times New Roman" w:cs="Times New Roman"/>
          <w:sz w:val="26"/>
          <w:szCs w:val="26"/>
        </w:rPr>
        <w:t xml:space="preserve">First </w:t>
      </w:r>
      <w:r w:rsidR="00782AF2" w:rsidRPr="00E1127E">
        <w:rPr>
          <w:rFonts w:ascii="Times New Roman" w:hAnsi="Times New Roman" w:cs="Times New Roman"/>
          <w:sz w:val="26"/>
          <w:szCs w:val="26"/>
        </w:rPr>
        <w:t>Applicant</w:t>
      </w:r>
    </w:p>
    <w:p w:rsidR="00C502FA" w:rsidRDefault="00C502FA">
      <w:pPr>
        <w:rPr>
          <w:rFonts w:ascii="Times New Roman" w:hAnsi="Times New Roman" w:cs="Times New Roman"/>
          <w:sz w:val="26"/>
          <w:szCs w:val="26"/>
        </w:rPr>
      </w:pPr>
      <w:r>
        <w:rPr>
          <w:rFonts w:ascii="Times New Roman" w:hAnsi="Times New Roman" w:cs="Times New Roman"/>
          <w:sz w:val="26"/>
          <w:szCs w:val="26"/>
        </w:rPr>
        <w:t xml:space="preserve">CAROLYN WENDY RAPHAELY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1C08CB">
        <w:rPr>
          <w:rFonts w:ascii="Times New Roman" w:hAnsi="Times New Roman" w:cs="Times New Roman"/>
          <w:sz w:val="26"/>
          <w:szCs w:val="26"/>
        </w:rPr>
        <w:t xml:space="preserve"> </w:t>
      </w:r>
      <w:r>
        <w:rPr>
          <w:rFonts w:ascii="Times New Roman" w:hAnsi="Times New Roman" w:cs="Times New Roman"/>
          <w:sz w:val="26"/>
          <w:szCs w:val="26"/>
        </w:rPr>
        <w:t xml:space="preserve"> Second Applicant</w:t>
      </w:r>
    </w:p>
    <w:p w:rsidR="00C85C95" w:rsidRPr="00E1127E" w:rsidRDefault="00C85C95">
      <w:pPr>
        <w:rPr>
          <w:rFonts w:ascii="Times New Roman" w:hAnsi="Times New Roman" w:cs="Times New Roman"/>
          <w:sz w:val="26"/>
          <w:szCs w:val="26"/>
        </w:rPr>
      </w:pPr>
    </w:p>
    <w:p w:rsidR="00782AF2" w:rsidRPr="00E1127E" w:rsidRDefault="00782AF2">
      <w:pPr>
        <w:rPr>
          <w:rFonts w:ascii="Times New Roman" w:hAnsi="Times New Roman" w:cs="Times New Roman"/>
          <w:sz w:val="26"/>
          <w:szCs w:val="26"/>
        </w:rPr>
      </w:pPr>
      <w:r w:rsidRPr="00E1127E">
        <w:rPr>
          <w:rFonts w:ascii="Times New Roman" w:hAnsi="Times New Roman" w:cs="Times New Roman"/>
          <w:sz w:val="26"/>
          <w:szCs w:val="26"/>
        </w:rPr>
        <w:t xml:space="preserve">And </w:t>
      </w:r>
    </w:p>
    <w:p w:rsidR="00782AF2" w:rsidRPr="00E1127E" w:rsidRDefault="00782AF2">
      <w:pPr>
        <w:rPr>
          <w:rFonts w:ascii="Times New Roman" w:hAnsi="Times New Roman" w:cs="Times New Roman"/>
          <w:sz w:val="26"/>
          <w:szCs w:val="26"/>
        </w:rPr>
      </w:pPr>
    </w:p>
    <w:p w:rsidR="00EF0705" w:rsidRPr="00E1127E" w:rsidRDefault="00C502FA">
      <w:pPr>
        <w:rPr>
          <w:rFonts w:ascii="Times New Roman" w:hAnsi="Times New Roman" w:cs="Times New Roman"/>
          <w:sz w:val="26"/>
          <w:szCs w:val="26"/>
        </w:rPr>
      </w:pPr>
      <w:r>
        <w:rPr>
          <w:rFonts w:ascii="Times New Roman" w:hAnsi="Times New Roman" w:cs="Times New Roman"/>
          <w:sz w:val="26"/>
          <w:szCs w:val="26"/>
        </w:rPr>
        <w:t>ZWELIBANZI VINCENT MNTAMBO N</w:t>
      </w:r>
      <w:r w:rsidR="00CD33FF">
        <w:rPr>
          <w:rFonts w:ascii="Times New Roman" w:hAnsi="Times New Roman" w:cs="Times New Roman"/>
          <w:sz w:val="26"/>
          <w:szCs w:val="26"/>
        </w:rPr>
        <w:t>.</w:t>
      </w:r>
      <w:r>
        <w:rPr>
          <w:rFonts w:ascii="Times New Roman" w:hAnsi="Times New Roman" w:cs="Times New Roman"/>
          <w:sz w:val="26"/>
          <w:szCs w:val="26"/>
        </w:rPr>
        <w:t>O</w:t>
      </w:r>
      <w:r w:rsidR="00CD33FF">
        <w:rPr>
          <w:rFonts w:ascii="Times New Roman" w:hAnsi="Times New Roman" w:cs="Times New Roman"/>
          <w:sz w:val="26"/>
          <w:szCs w:val="26"/>
        </w:rPr>
        <w:t>.</w:t>
      </w:r>
      <w:r w:rsidR="00782AF2" w:rsidRPr="00E1127E">
        <w:rPr>
          <w:rFonts w:ascii="Times New Roman" w:hAnsi="Times New Roman" w:cs="Times New Roman"/>
          <w:sz w:val="26"/>
          <w:szCs w:val="26"/>
        </w:rPr>
        <w:tab/>
      </w:r>
      <w:r w:rsidR="00782AF2" w:rsidRPr="00E1127E">
        <w:rPr>
          <w:rFonts w:ascii="Times New Roman" w:hAnsi="Times New Roman" w:cs="Times New Roman"/>
          <w:sz w:val="26"/>
          <w:szCs w:val="26"/>
        </w:rPr>
        <w:tab/>
      </w:r>
      <w:r w:rsidR="00C1063E" w:rsidRPr="00E1127E">
        <w:rPr>
          <w:rFonts w:ascii="Times New Roman" w:hAnsi="Times New Roman" w:cs="Times New Roman"/>
          <w:sz w:val="26"/>
          <w:szCs w:val="26"/>
        </w:rPr>
        <w:t xml:space="preserve"> </w:t>
      </w:r>
      <w:r>
        <w:rPr>
          <w:rFonts w:ascii="Times New Roman" w:hAnsi="Times New Roman" w:cs="Times New Roman"/>
          <w:sz w:val="26"/>
          <w:szCs w:val="26"/>
        </w:rPr>
        <w:t xml:space="preserve">                           </w:t>
      </w:r>
      <w:r w:rsidR="00EF0705" w:rsidRPr="00E1127E">
        <w:rPr>
          <w:rFonts w:ascii="Times New Roman" w:hAnsi="Times New Roman" w:cs="Times New Roman"/>
          <w:sz w:val="26"/>
          <w:szCs w:val="26"/>
        </w:rPr>
        <w:t>First</w:t>
      </w:r>
      <w:r w:rsidR="00C1063E" w:rsidRPr="00E1127E">
        <w:rPr>
          <w:rFonts w:ascii="Times New Roman" w:hAnsi="Times New Roman" w:cs="Times New Roman"/>
          <w:sz w:val="26"/>
          <w:szCs w:val="26"/>
        </w:rPr>
        <w:t xml:space="preserve"> </w:t>
      </w:r>
      <w:r w:rsidR="00782AF2" w:rsidRPr="00E1127E">
        <w:rPr>
          <w:rFonts w:ascii="Times New Roman" w:hAnsi="Times New Roman" w:cs="Times New Roman"/>
          <w:sz w:val="26"/>
          <w:szCs w:val="26"/>
        </w:rPr>
        <w:t xml:space="preserve">Respondent </w:t>
      </w:r>
    </w:p>
    <w:p w:rsidR="00EF0705" w:rsidRDefault="00C502FA">
      <w:pPr>
        <w:rPr>
          <w:rFonts w:ascii="Times New Roman" w:hAnsi="Times New Roman" w:cs="Times New Roman"/>
          <w:sz w:val="26"/>
          <w:szCs w:val="26"/>
        </w:rPr>
      </w:pPr>
      <w:r>
        <w:rPr>
          <w:rFonts w:ascii="Times New Roman" w:hAnsi="Times New Roman" w:cs="Times New Roman"/>
          <w:sz w:val="26"/>
          <w:szCs w:val="26"/>
        </w:rPr>
        <w:t xml:space="preserve">ZWELETHEMBA GANUGANU MNTAMBO </w:t>
      </w:r>
      <w:r w:rsidR="001C08CB">
        <w:rPr>
          <w:rFonts w:ascii="Times New Roman" w:hAnsi="Times New Roman" w:cs="Times New Roman"/>
          <w:sz w:val="26"/>
          <w:szCs w:val="26"/>
        </w:rPr>
        <w:t>N</w:t>
      </w:r>
      <w:r w:rsidR="00CD33FF">
        <w:rPr>
          <w:rFonts w:ascii="Times New Roman" w:hAnsi="Times New Roman" w:cs="Times New Roman"/>
          <w:sz w:val="26"/>
          <w:szCs w:val="26"/>
        </w:rPr>
        <w:t>.</w:t>
      </w:r>
      <w:r w:rsidR="001C08CB">
        <w:rPr>
          <w:rFonts w:ascii="Times New Roman" w:hAnsi="Times New Roman" w:cs="Times New Roman"/>
          <w:sz w:val="26"/>
          <w:szCs w:val="26"/>
        </w:rPr>
        <w:t>O</w:t>
      </w:r>
      <w:r w:rsidR="00CD33FF">
        <w:rPr>
          <w:rFonts w:ascii="Times New Roman" w:hAnsi="Times New Roman" w:cs="Times New Roman"/>
          <w:sz w:val="26"/>
          <w:szCs w:val="26"/>
        </w:rPr>
        <w:t>.</w:t>
      </w:r>
      <w:r>
        <w:rPr>
          <w:rFonts w:ascii="Times New Roman" w:hAnsi="Times New Roman" w:cs="Times New Roman"/>
          <w:sz w:val="26"/>
          <w:szCs w:val="26"/>
        </w:rPr>
        <w:t xml:space="preserve">                 </w:t>
      </w:r>
      <w:r w:rsidR="00CD33FF">
        <w:rPr>
          <w:rFonts w:ascii="Times New Roman" w:hAnsi="Times New Roman" w:cs="Times New Roman"/>
          <w:sz w:val="26"/>
          <w:szCs w:val="26"/>
        </w:rPr>
        <w:t xml:space="preserve">        </w:t>
      </w:r>
      <w:r w:rsidR="001C08CB">
        <w:rPr>
          <w:rFonts w:ascii="Times New Roman" w:hAnsi="Times New Roman" w:cs="Times New Roman"/>
          <w:sz w:val="26"/>
          <w:szCs w:val="26"/>
        </w:rPr>
        <w:t xml:space="preserve">  </w:t>
      </w:r>
      <w:r w:rsidR="00EF0705" w:rsidRPr="00E1127E">
        <w:rPr>
          <w:rFonts w:ascii="Times New Roman" w:hAnsi="Times New Roman" w:cs="Times New Roman"/>
          <w:sz w:val="26"/>
          <w:szCs w:val="26"/>
        </w:rPr>
        <w:t xml:space="preserve">Second </w:t>
      </w:r>
      <w:r>
        <w:rPr>
          <w:rFonts w:ascii="Times New Roman" w:hAnsi="Times New Roman" w:cs="Times New Roman"/>
          <w:sz w:val="26"/>
          <w:szCs w:val="26"/>
        </w:rPr>
        <w:t xml:space="preserve">Respondent </w:t>
      </w:r>
    </w:p>
    <w:p w:rsidR="00C502FA" w:rsidRDefault="00C502FA">
      <w:pPr>
        <w:rPr>
          <w:rFonts w:ascii="Times New Roman" w:hAnsi="Times New Roman" w:cs="Times New Roman"/>
          <w:sz w:val="26"/>
          <w:szCs w:val="26"/>
        </w:rPr>
      </w:pPr>
      <w:r>
        <w:rPr>
          <w:rFonts w:ascii="Times New Roman" w:hAnsi="Times New Roman" w:cs="Times New Roman"/>
          <w:sz w:val="26"/>
          <w:szCs w:val="26"/>
        </w:rPr>
        <w:t>MZWAKHE KUT</w:t>
      </w:r>
      <w:r w:rsidR="00CD33FF">
        <w:rPr>
          <w:rFonts w:ascii="Times New Roman" w:hAnsi="Times New Roman" w:cs="Times New Roman"/>
          <w:sz w:val="26"/>
          <w:szCs w:val="26"/>
        </w:rPr>
        <w:t>L</w:t>
      </w:r>
      <w:r>
        <w:rPr>
          <w:rFonts w:ascii="Times New Roman" w:hAnsi="Times New Roman" w:cs="Times New Roman"/>
          <w:sz w:val="26"/>
          <w:szCs w:val="26"/>
        </w:rPr>
        <w:t>WANO MNTAMBO N</w:t>
      </w:r>
      <w:r w:rsidR="00CD33FF">
        <w:rPr>
          <w:rFonts w:ascii="Times New Roman" w:hAnsi="Times New Roman" w:cs="Times New Roman"/>
          <w:sz w:val="26"/>
          <w:szCs w:val="26"/>
        </w:rPr>
        <w:t>.</w:t>
      </w:r>
      <w:r>
        <w:rPr>
          <w:rFonts w:ascii="Times New Roman" w:hAnsi="Times New Roman" w:cs="Times New Roman"/>
          <w:sz w:val="26"/>
          <w:szCs w:val="26"/>
        </w:rPr>
        <w:t>O</w:t>
      </w:r>
      <w:r w:rsidR="00CD33FF">
        <w:rPr>
          <w:rFonts w:ascii="Times New Roman" w:hAnsi="Times New Roman" w:cs="Times New Roman"/>
          <w:sz w:val="26"/>
          <w:szCs w:val="26"/>
        </w:rPr>
        <w:t>.</w:t>
      </w:r>
      <w:r>
        <w:rPr>
          <w:rFonts w:ascii="Times New Roman" w:hAnsi="Times New Roman" w:cs="Times New Roman"/>
          <w:sz w:val="26"/>
          <w:szCs w:val="26"/>
        </w:rPr>
        <w:t xml:space="preserve">                                       Third Respondent</w:t>
      </w:r>
    </w:p>
    <w:p w:rsidR="001C08CB" w:rsidRDefault="001C08CB">
      <w:pPr>
        <w:rPr>
          <w:rFonts w:ascii="Times New Roman" w:hAnsi="Times New Roman" w:cs="Times New Roman"/>
          <w:sz w:val="26"/>
          <w:szCs w:val="26"/>
        </w:rPr>
      </w:pPr>
      <w:r>
        <w:rPr>
          <w:rFonts w:ascii="Times New Roman" w:hAnsi="Times New Roman" w:cs="Times New Roman"/>
          <w:sz w:val="26"/>
          <w:szCs w:val="26"/>
        </w:rPr>
        <w:t>WANDILE KAMOGELO MNTAMBO N</w:t>
      </w:r>
      <w:r w:rsidR="00CD33FF">
        <w:rPr>
          <w:rFonts w:ascii="Times New Roman" w:hAnsi="Times New Roman" w:cs="Times New Roman"/>
          <w:sz w:val="26"/>
          <w:szCs w:val="26"/>
        </w:rPr>
        <w:t>.</w:t>
      </w:r>
      <w:r>
        <w:rPr>
          <w:rFonts w:ascii="Times New Roman" w:hAnsi="Times New Roman" w:cs="Times New Roman"/>
          <w:sz w:val="26"/>
          <w:szCs w:val="26"/>
        </w:rPr>
        <w:t>O</w:t>
      </w:r>
      <w:r w:rsidR="00CD33FF">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Fourth Respondent</w:t>
      </w:r>
    </w:p>
    <w:p w:rsidR="001C08CB" w:rsidRPr="00E1127E" w:rsidRDefault="001C08CB">
      <w:pPr>
        <w:rPr>
          <w:rFonts w:ascii="Times New Roman" w:hAnsi="Times New Roman" w:cs="Times New Roman"/>
          <w:sz w:val="26"/>
          <w:szCs w:val="26"/>
        </w:rPr>
      </w:pPr>
      <w:r>
        <w:rPr>
          <w:rFonts w:ascii="Times New Roman" w:hAnsi="Times New Roman" w:cs="Times New Roman"/>
          <w:sz w:val="26"/>
          <w:szCs w:val="26"/>
        </w:rPr>
        <w:t>JACOB</w:t>
      </w:r>
      <w:r w:rsidR="00CD33FF">
        <w:rPr>
          <w:rFonts w:ascii="Times New Roman" w:hAnsi="Times New Roman" w:cs="Times New Roman"/>
          <w:sz w:val="26"/>
          <w:szCs w:val="26"/>
        </w:rPr>
        <w:t>US</w:t>
      </w:r>
      <w:r>
        <w:rPr>
          <w:rFonts w:ascii="Times New Roman" w:hAnsi="Times New Roman" w:cs="Times New Roman"/>
          <w:sz w:val="26"/>
          <w:szCs w:val="26"/>
        </w:rPr>
        <w:t xml:space="preserve"> PETRUS ROSSOUW N</w:t>
      </w:r>
      <w:r w:rsidR="00CD33FF">
        <w:rPr>
          <w:rFonts w:ascii="Times New Roman" w:hAnsi="Times New Roman" w:cs="Times New Roman"/>
          <w:sz w:val="26"/>
          <w:szCs w:val="26"/>
        </w:rPr>
        <w:t>.</w:t>
      </w:r>
      <w:r>
        <w:rPr>
          <w:rFonts w:ascii="Times New Roman" w:hAnsi="Times New Roman" w:cs="Times New Roman"/>
          <w:sz w:val="26"/>
          <w:szCs w:val="26"/>
        </w:rPr>
        <w:t>O</w:t>
      </w:r>
      <w:r w:rsidR="00CD33FF">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Fifth Respondent</w:t>
      </w:r>
    </w:p>
    <w:p w:rsidR="00E1127E" w:rsidRPr="00E1127E" w:rsidRDefault="00E1127E">
      <w:pPr>
        <w:rPr>
          <w:rFonts w:ascii="Times New Roman" w:hAnsi="Times New Roman" w:cs="Times New Roman"/>
          <w:sz w:val="26"/>
          <w:szCs w:val="26"/>
        </w:rPr>
      </w:pPr>
    </w:p>
    <w:p w:rsidR="00C600A4" w:rsidRDefault="00C600A4" w:rsidP="00C600A4">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C600A4" w:rsidRDefault="00C600A4" w:rsidP="00782AF2">
      <w:pPr>
        <w:jc w:val="center"/>
        <w:rPr>
          <w:rFonts w:ascii="Times New Roman" w:hAnsi="Times New Roman" w:cs="Times New Roman"/>
          <w:sz w:val="24"/>
          <w:szCs w:val="24"/>
        </w:rPr>
      </w:pPr>
    </w:p>
    <w:p w:rsidR="00782AF2" w:rsidRPr="00E56FC1" w:rsidRDefault="007304E6" w:rsidP="00782AF2">
      <w:pPr>
        <w:jc w:val="center"/>
        <w:rPr>
          <w:rFonts w:ascii="Times New Roman" w:hAnsi="Times New Roman" w:cs="Times New Roman"/>
          <w:b/>
          <w:sz w:val="24"/>
          <w:szCs w:val="24"/>
        </w:rPr>
      </w:pPr>
      <w:r>
        <w:rPr>
          <w:rFonts w:ascii="Times New Roman" w:hAnsi="Times New Roman" w:cs="Times New Roman"/>
          <w:b/>
          <w:sz w:val="24"/>
          <w:szCs w:val="24"/>
        </w:rPr>
        <w:t>JUDG</w:t>
      </w:r>
      <w:r w:rsidR="00782AF2" w:rsidRPr="00E56FC1">
        <w:rPr>
          <w:rFonts w:ascii="Times New Roman" w:hAnsi="Times New Roman" w:cs="Times New Roman"/>
          <w:b/>
          <w:sz w:val="24"/>
          <w:szCs w:val="24"/>
        </w:rPr>
        <w:t>MENT</w:t>
      </w:r>
    </w:p>
    <w:p w:rsidR="00782AF2" w:rsidRPr="00DB2659" w:rsidRDefault="00782AF2" w:rsidP="00782AF2">
      <w:pPr>
        <w:rPr>
          <w:rFonts w:ascii="Times New Roman" w:hAnsi="Times New Roman" w:cs="Times New Roman"/>
          <w:b/>
          <w:sz w:val="24"/>
          <w:szCs w:val="24"/>
        </w:rPr>
      </w:pPr>
      <w:r w:rsidRPr="00DB2659">
        <w:rPr>
          <w:rFonts w:ascii="Times New Roman" w:hAnsi="Times New Roman" w:cs="Times New Roman"/>
          <w:b/>
          <w:sz w:val="24"/>
          <w:szCs w:val="24"/>
        </w:rPr>
        <w:t>_____________________________________________________</w:t>
      </w:r>
      <w:r w:rsidR="00DB2659">
        <w:rPr>
          <w:rFonts w:ascii="Times New Roman" w:hAnsi="Times New Roman" w:cs="Times New Roman"/>
          <w:b/>
          <w:sz w:val="24"/>
          <w:szCs w:val="24"/>
        </w:rPr>
        <w:t>_________________________</w:t>
      </w:r>
    </w:p>
    <w:p w:rsidR="006F1BE1" w:rsidRPr="006F1BE1" w:rsidRDefault="006F1BE1" w:rsidP="006F1BE1">
      <w:pPr>
        <w:tabs>
          <w:tab w:val="left" w:pos="1134"/>
        </w:tabs>
        <w:spacing w:line="360" w:lineRule="auto"/>
        <w:jc w:val="both"/>
        <w:rPr>
          <w:rFonts w:ascii="Arial" w:eastAsia="SimSun" w:hAnsi="Arial" w:cs="Arial"/>
          <w:b/>
          <w:i/>
          <w:iCs/>
          <w:sz w:val="24"/>
          <w:szCs w:val="24"/>
          <w:lang w:val="en-GB" w:eastAsia="zh-CN"/>
        </w:rPr>
      </w:pPr>
      <w:r w:rsidRPr="00E71FA9">
        <w:rPr>
          <w:rFonts w:ascii="Arial" w:eastAsia="Arial Unicode MS" w:hAnsi="Arial" w:cs="Arial"/>
          <w:bCs/>
          <w:i/>
          <w:sz w:val="24"/>
          <w:szCs w:val="24"/>
          <w:lang w:val="en-GB" w:eastAsia="zh-CN"/>
        </w:rPr>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w:t>
      </w:r>
      <w:r w:rsidR="00B6142E">
        <w:rPr>
          <w:rFonts w:ascii="Arial" w:eastAsia="Arial Unicode MS" w:hAnsi="Arial" w:cs="Arial"/>
          <w:bCs/>
          <w:i/>
          <w:sz w:val="24"/>
          <w:szCs w:val="24"/>
          <w:lang w:val="en-GB" w:eastAsia="zh-CN"/>
        </w:rPr>
        <w:t xml:space="preserve">for hand-down is deemed to be </w:t>
      </w:r>
      <w:r w:rsidR="00224DB4">
        <w:rPr>
          <w:rFonts w:ascii="Arial" w:eastAsia="Arial Unicode MS" w:hAnsi="Arial" w:cs="Arial"/>
          <w:bCs/>
          <w:i/>
          <w:sz w:val="24"/>
          <w:szCs w:val="24"/>
          <w:lang w:val="en-GB" w:eastAsia="zh-CN"/>
        </w:rPr>
        <w:t>11</w:t>
      </w:r>
      <w:r w:rsidR="00CE3095">
        <w:rPr>
          <w:rFonts w:ascii="Arial" w:eastAsia="Arial Unicode MS" w:hAnsi="Arial" w:cs="Arial"/>
          <w:bCs/>
          <w:i/>
          <w:sz w:val="24"/>
          <w:szCs w:val="24"/>
          <w:lang w:val="en-GB" w:eastAsia="zh-CN"/>
        </w:rPr>
        <w:t xml:space="preserve"> August</w:t>
      </w:r>
      <w:r w:rsidR="00C85C95">
        <w:rPr>
          <w:rFonts w:ascii="Arial" w:eastAsia="Arial Unicode MS" w:hAnsi="Arial" w:cs="Arial"/>
          <w:bCs/>
          <w:i/>
          <w:sz w:val="24"/>
          <w:szCs w:val="24"/>
          <w:lang w:val="en-GB" w:eastAsia="zh-CN"/>
        </w:rPr>
        <w:t xml:space="preserve"> 2022</w:t>
      </w:r>
      <w:r w:rsidR="00AD4016">
        <w:rPr>
          <w:rFonts w:ascii="Arial" w:eastAsia="Arial Unicode MS" w:hAnsi="Arial" w:cs="Arial"/>
          <w:bCs/>
          <w:i/>
          <w:sz w:val="24"/>
          <w:szCs w:val="24"/>
          <w:lang w:val="en-GB" w:eastAsia="zh-CN"/>
        </w:rPr>
        <w:t>.</w:t>
      </w:r>
    </w:p>
    <w:p w:rsidR="00782AF2" w:rsidRPr="00C85C95" w:rsidRDefault="00782AF2" w:rsidP="00782AF2">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
          <w:bCs/>
          <w:kern w:val="25"/>
          <w:sz w:val="28"/>
          <w:szCs w:val="28"/>
          <w:lang w:val="en-ZA"/>
        </w:rPr>
      </w:pPr>
      <w:r w:rsidRPr="00C85C95">
        <w:rPr>
          <w:rFonts w:ascii="Times New Roman" w:eastAsia="Times New Roman" w:hAnsi="Times New Roman" w:cs="Times New Roman"/>
          <w:b/>
          <w:bCs/>
          <w:kern w:val="25"/>
          <w:sz w:val="28"/>
          <w:szCs w:val="28"/>
          <w:lang w:val="en-ZA"/>
        </w:rPr>
        <w:t>MOTHA AJ</w:t>
      </w:r>
    </w:p>
    <w:p w:rsidR="00C85C95" w:rsidRPr="00C85C95" w:rsidRDefault="00C85C95" w:rsidP="00C85C95">
      <w:pPr>
        <w:rPr>
          <w:rFonts w:ascii="Times New Roman" w:hAnsi="Times New Roman" w:cs="Times New Roman"/>
          <w:sz w:val="28"/>
        </w:rPr>
      </w:pPr>
    </w:p>
    <w:p w:rsidR="004152B9" w:rsidRDefault="00766656" w:rsidP="001067EB">
      <w:pPr>
        <w:pStyle w:val="ListParagraph"/>
        <w:numPr>
          <w:ilvl w:val="0"/>
          <w:numId w:val="31"/>
        </w:numPr>
        <w:spacing w:after="0" w:line="360" w:lineRule="auto"/>
        <w:ind w:hanging="720"/>
        <w:jc w:val="both"/>
        <w:rPr>
          <w:rFonts w:ascii="Times New Roman" w:hAnsi="Times New Roman" w:cs="Times New Roman"/>
          <w:sz w:val="28"/>
        </w:rPr>
      </w:pPr>
      <w:r>
        <w:rPr>
          <w:rFonts w:ascii="Times New Roman" w:hAnsi="Times New Roman" w:cs="Times New Roman"/>
          <w:sz w:val="28"/>
        </w:rPr>
        <w:t xml:space="preserve"> “G</w:t>
      </w:r>
      <w:r w:rsidR="008F78AE">
        <w:rPr>
          <w:rFonts w:ascii="Times New Roman" w:hAnsi="Times New Roman" w:cs="Times New Roman"/>
          <w:sz w:val="28"/>
        </w:rPr>
        <w:t>ood fences make good neighbo</w:t>
      </w:r>
      <w:r w:rsidR="008C0300">
        <w:rPr>
          <w:rFonts w:ascii="Times New Roman" w:hAnsi="Times New Roman" w:cs="Times New Roman"/>
          <w:sz w:val="28"/>
        </w:rPr>
        <w:t>u</w:t>
      </w:r>
      <w:r w:rsidR="008F78AE">
        <w:rPr>
          <w:rFonts w:ascii="Times New Roman" w:hAnsi="Times New Roman" w:cs="Times New Roman"/>
          <w:sz w:val="28"/>
        </w:rPr>
        <w:t>rs</w:t>
      </w:r>
      <w:r>
        <w:rPr>
          <w:rFonts w:ascii="Times New Roman" w:hAnsi="Times New Roman" w:cs="Times New Roman"/>
          <w:sz w:val="28"/>
        </w:rPr>
        <w:t>”</w:t>
      </w:r>
      <w:r w:rsidR="00C02258" w:rsidRPr="00C02258">
        <w:rPr>
          <w:rFonts w:ascii="Times New Roman" w:hAnsi="Times New Roman" w:cs="Times New Roman"/>
          <w:sz w:val="28"/>
        </w:rPr>
        <w:t xml:space="preserve"> </w:t>
      </w:r>
      <w:r w:rsidR="00C02258">
        <w:rPr>
          <w:rFonts w:ascii="Times New Roman" w:hAnsi="Times New Roman" w:cs="Times New Roman"/>
          <w:sz w:val="28"/>
        </w:rPr>
        <w:t xml:space="preserve">writes Robert Frost in Mending Wall. </w:t>
      </w:r>
      <w:r w:rsidR="00E10292">
        <w:rPr>
          <w:rFonts w:ascii="Times New Roman" w:hAnsi="Times New Roman" w:cs="Times New Roman"/>
          <w:sz w:val="28"/>
        </w:rPr>
        <w:t>The double g</w:t>
      </w:r>
      <w:r w:rsidR="008F78AE">
        <w:rPr>
          <w:rFonts w:ascii="Times New Roman" w:hAnsi="Times New Roman" w:cs="Times New Roman"/>
          <w:sz w:val="28"/>
        </w:rPr>
        <w:t>arages</w:t>
      </w:r>
      <w:r w:rsidR="00E10292">
        <w:rPr>
          <w:rFonts w:ascii="Times New Roman" w:hAnsi="Times New Roman" w:cs="Times New Roman"/>
          <w:sz w:val="28"/>
        </w:rPr>
        <w:t xml:space="preserve"> built on one of the litigants’ vacation home are a source of contestation between the parties. </w:t>
      </w:r>
      <w:r w:rsidR="007B0D06">
        <w:rPr>
          <w:rFonts w:ascii="Times New Roman" w:hAnsi="Times New Roman" w:cs="Times New Roman"/>
          <w:sz w:val="28"/>
        </w:rPr>
        <w:t xml:space="preserve">Having failed to </w:t>
      </w:r>
      <w:r w:rsidR="004E4BC4">
        <w:rPr>
          <w:rFonts w:ascii="Times New Roman" w:hAnsi="Times New Roman" w:cs="Times New Roman"/>
          <w:sz w:val="28"/>
        </w:rPr>
        <w:t xml:space="preserve">live as good neighbours </w:t>
      </w:r>
      <w:r w:rsidR="00620113">
        <w:rPr>
          <w:rFonts w:ascii="Times New Roman" w:hAnsi="Times New Roman" w:cs="Times New Roman"/>
          <w:sz w:val="28"/>
        </w:rPr>
        <w:t>in</w:t>
      </w:r>
      <w:r w:rsidR="007B0D06">
        <w:rPr>
          <w:rFonts w:ascii="Times New Roman" w:hAnsi="Times New Roman" w:cs="Times New Roman"/>
          <w:sz w:val="28"/>
        </w:rPr>
        <w:t xml:space="preserve"> their </w:t>
      </w:r>
      <w:r w:rsidR="00620113">
        <w:rPr>
          <w:rFonts w:ascii="Times New Roman" w:hAnsi="Times New Roman" w:cs="Times New Roman"/>
          <w:sz w:val="28"/>
        </w:rPr>
        <w:t>holiday homes</w:t>
      </w:r>
      <w:r w:rsidR="007B0D06">
        <w:rPr>
          <w:rFonts w:ascii="Times New Roman" w:hAnsi="Times New Roman" w:cs="Times New Roman"/>
          <w:sz w:val="28"/>
        </w:rPr>
        <w:t>, t</w:t>
      </w:r>
      <w:r w:rsidR="00620113">
        <w:rPr>
          <w:rFonts w:ascii="Times New Roman" w:hAnsi="Times New Roman" w:cs="Times New Roman"/>
          <w:sz w:val="28"/>
        </w:rPr>
        <w:t>he</w:t>
      </w:r>
      <w:r w:rsidR="00E10292">
        <w:rPr>
          <w:rFonts w:ascii="Times New Roman" w:hAnsi="Times New Roman" w:cs="Times New Roman"/>
          <w:sz w:val="28"/>
        </w:rPr>
        <w:t>y</w:t>
      </w:r>
      <w:r w:rsidR="007B0D06">
        <w:rPr>
          <w:rFonts w:ascii="Times New Roman" w:hAnsi="Times New Roman" w:cs="Times New Roman"/>
          <w:sz w:val="28"/>
        </w:rPr>
        <w:t xml:space="preserve"> </w:t>
      </w:r>
      <w:r w:rsidR="004E4BC4">
        <w:rPr>
          <w:rFonts w:ascii="Times New Roman" w:hAnsi="Times New Roman" w:cs="Times New Roman"/>
          <w:sz w:val="28"/>
        </w:rPr>
        <w:t>turn to</w:t>
      </w:r>
      <w:r w:rsidR="00620113">
        <w:rPr>
          <w:rFonts w:ascii="Times New Roman" w:hAnsi="Times New Roman" w:cs="Times New Roman"/>
          <w:sz w:val="28"/>
        </w:rPr>
        <w:t xml:space="preserve"> the law </w:t>
      </w:r>
      <w:r w:rsidR="004E4BC4">
        <w:rPr>
          <w:rFonts w:ascii="Times New Roman" w:hAnsi="Times New Roman" w:cs="Times New Roman"/>
          <w:sz w:val="28"/>
        </w:rPr>
        <w:t>for good fences</w:t>
      </w:r>
      <w:r w:rsidR="008C0300">
        <w:rPr>
          <w:rFonts w:ascii="Times New Roman" w:hAnsi="Times New Roman" w:cs="Times New Roman"/>
          <w:sz w:val="28"/>
        </w:rPr>
        <w:t>.</w:t>
      </w:r>
      <w:r>
        <w:rPr>
          <w:rFonts w:ascii="Times New Roman" w:hAnsi="Times New Roman" w:cs="Times New Roman"/>
          <w:sz w:val="28"/>
        </w:rPr>
        <w:t xml:space="preserve"> </w:t>
      </w:r>
    </w:p>
    <w:p w:rsidR="004152B9" w:rsidRDefault="004152B9" w:rsidP="004152B9">
      <w:pPr>
        <w:pStyle w:val="ListParagraph"/>
        <w:spacing w:after="0" w:line="360" w:lineRule="auto"/>
        <w:jc w:val="both"/>
        <w:rPr>
          <w:rFonts w:ascii="Times New Roman" w:hAnsi="Times New Roman" w:cs="Times New Roman"/>
          <w:sz w:val="28"/>
        </w:rPr>
      </w:pPr>
    </w:p>
    <w:p w:rsidR="00C74992" w:rsidRDefault="00E10292" w:rsidP="001067EB">
      <w:pPr>
        <w:pStyle w:val="ListParagraph"/>
        <w:numPr>
          <w:ilvl w:val="0"/>
          <w:numId w:val="31"/>
        </w:numPr>
        <w:spacing w:after="0" w:line="360" w:lineRule="auto"/>
        <w:ind w:hanging="720"/>
        <w:jc w:val="both"/>
        <w:rPr>
          <w:rFonts w:ascii="Times New Roman" w:hAnsi="Times New Roman" w:cs="Times New Roman"/>
          <w:sz w:val="28"/>
        </w:rPr>
      </w:pPr>
      <w:r>
        <w:rPr>
          <w:rFonts w:ascii="Times New Roman" w:hAnsi="Times New Roman" w:cs="Times New Roman"/>
          <w:sz w:val="28"/>
        </w:rPr>
        <w:t xml:space="preserve">In </w:t>
      </w:r>
      <w:r w:rsidRPr="00E10292">
        <w:rPr>
          <w:rFonts w:ascii="Times New Roman" w:hAnsi="Times New Roman" w:cs="Times New Roman"/>
          <w:i/>
          <w:sz w:val="28"/>
        </w:rPr>
        <w:t>casu,</w:t>
      </w:r>
      <w:r>
        <w:rPr>
          <w:rFonts w:ascii="Times New Roman" w:hAnsi="Times New Roman" w:cs="Times New Roman"/>
          <w:i/>
          <w:sz w:val="28"/>
        </w:rPr>
        <w:t xml:space="preserve"> </w:t>
      </w:r>
      <w:r w:rsidRPr="00E10292">
        <w:rPr>
          <w:rFonts w:ascii="Times New Roman" w:hAnsi="Times New Roman" w:cs="Times New Roman"/>
          <w:sz w:val="28"/>
        </w:rPr>
        <w:t xml:space="preserve">the Applicants </w:t>
      </w:r>
      <w:r>
        <w:rPr>
          <w:rFonts w:ascii="Times New Roman" w:hAnsi="Times New Roman" w:cs="Times New Roman"/>
          <w:sz w:val="28"/>
        </w:rPr>
        <w:t>seek an order to evict and interdict</w:t>
      </w:r>
      <w:r w:rsidR="00265150">
        <w:rPr>
          <w:rFonts w:ascii="Times New Roman" w:hAnsi="Times New Roman" w:cs="Times New Roman"/>
          <w:sz w:val="28"/>
        </w:rPr>
        <w:t xml:space="preserve"> Maculisane Mntambo family Trust</w:t>
      </w:r>
      <w:r w:rsidR="008F58CD">
        <w:rPr>
          <w:rFonts w:ascii="Times New Roman" w:hAnsi="Times New Roman" w:cs="Times New Roman"/>
          <w:sz w:val="28"/>
        </w:rPr>
        <w:t xml:space="preserve"> (“Trust”) from the garages situated at e</w:t>
      </w:r>
      <w:r w:rsidR="00265150">
        <w:rPr>
          <w:rFonts w:ascii="Times New Roman" w:hAnsi="Times New Roman" w:cs="Times New Roman"/>
          <w:sz w:val="28"/>
        </w:rPr>
        <w:t>rf:</w:t>
      </w:r>
      <w:r w:rsidR="0005248D">
        <w:rPr>
          <w:rFonts w:ascii="Times New Roman" w:hAnsi="Times New Roman" w:cs="Times New Roman"/>
          <w:sz w:val="28"/>
        </w:rPr>
        <w:t xml:space="preserve"> </w:t>
      </w:r>
      <w:r w:rsidR="00265150">
        <w:rPr>
          <w:rFonts w:ascii="Times New Roman" w:hAnsi="Times New Roman" w:cs="Times New Roman"/>
          <w:sz w:val="28"/>
        </w:rPr>
        <w:t>571, Keurboomstrand, Bitou Municipality</w:t>
      </w:r>
      <w:r w:rsidR="004E4BC4">
        <w:rPr>
          <w:rFonts w:ascii="Times New Roman" w:hAnsi="Times New Roman" w:cs="Times New Roman"/>
          <w:sz w:val="28"/>
        </w:rPr>
        <w:t>. T</w:t>
      </w:r>
      <w:r>
        <w:rPr>
          <w:rFonts w:ascii="Times New Roman" w:hAnsi="Times New Roman" w:cs="Times New Roman"/>
          <w:sz w:val="28"/>
        </w:rPr>
        <w:t>hey</w:t>
      </w:r>
      <w:r w:rsidR="000575B7">
        <w:rPr>
          <w:rFonts w:ascii="Times New Roman" w:hAnsi="Times New Roman" w:cs="Times New Roman"/>
          <w:sz w:val="28"/>
        </w:rPr>
        <w:t xml:space="preserve"> </w:t>
      </w:r>
      <w:r w:rsidR="004E4BC4">
        <w:rPr>
          <w:rFonts w:ascii="Times New Roman" w:hAnsi="Times New Roman" w:cs="Times New Roman"/>
          <w:sz w:val="28"/>
        </w:rPr>
        <w:t xml:space="preserve">also </w:t>
      </w:r>
      <w:r>
        <w:rPr>
          <w:rFonts w:ascii="Times New Roman" w:hAnsi="Times New Roman" w:cs="Times New Roman"/>
          <w:sz w:val="28"/>
        </w:rPr>
        <w:t>ask for</w:t>
      </w:r>
      <w:r w:rsidR="000575B7">
        <w:rPr>
          <w:rFonts w:ascii="Times New Roman" w:hAnsi="Times New Roman" w:cs="Times New Roman"/>
          <w:sz w:val="28"/>
        </w:rPr>
        <w:t xml:space="preserve"> </w:t>
      </w:r>
      <w:r w:rsidR="00E1336F">
        <w:rPr>
          <w:rFonts w:ascii="Times New Roman" w:hAnsi="Times New Roman" w:cs="Times New Roman"/>
          <w:sz w:val="28"/>
        </w:rPr>
        <w:t xml:space="preserve">an order </w:t>
      </w:r>
      <w:r w:rsidR="008F58CD">
        <w:rPr>
          <w:rFonts w:ascii="Times New Roman" w:hAnsi="Times New Roman" w:cs="Times New Roman"/>
          <w:sz w:val="28"/>
        </w:rPr>
        <w:t>directing the Trust</w:t>
      </w:r>
      <w:r w:rsidR="000575B7">
        <w:rPr>
          <w:rFonts w:ascii="Times New Roman" w:hAnsi="Times New Roman" w:cs="Times New Roman"/>
          <w:sz w:val="28"/>
        </w:rPr>
        <w:t xml:space="preserve"> to disconnect the sewerage pipes of the property situated on </w:t>
      </w:r>
      <w:r w:rsidR="008F58CD">
        <w:rPr>
          <w:rFonts w:ascii="Times New Roman" w:hAnsi="Times New Roman" w:cs="Times New Roman"/>
          <w:sz w:val="28"/>
        </w:rPr>
        <w:t>e</w:t>
      </w:r>
      <w:r w:rsidR="000575B7">
        <w:rPr>
          <w:rFonts w:ascii="Times New Roman" w:hAnsi="Times New Roman" w:cs="Times New Roman"/>
          <w:sz w:val="28"/>
        </w:rPr>
        <w:t>rf:</w:t>
      </w:r>
      <w:r w:rsidR="000A529D">
        <w:rPr>
          <w:rFonts w:ascii="Times New Roman" w:hAnsi="Times New Roman" w:cs="Times New Roman"/>
          <w:sz w:val="28"/>
        </w:rPr>
        <w:t xml:space="preserve"> </w:t>
      </w:r>
      <w:r w:rsidR="000575B7">
        <w:rPr>
          <w:rFonts w:ascii="Times New Roman" w:hAnsi="Times New Roman" w:cs="Times New Roman"/>
          <w:sz w:val="28"/>
        </w:rPr>
        <w:t xml:space="preserve">572, Keurboomstrand, Bitou Municipality from the septic tank situated on </w:t>
      </w:r>
      <w:r w:rsidR="008F58CD">
        <w:rPr>
          <w:rFonts w:ascii="Times New Roman" w:hAnsi="Times New Roman" w:cs="Times New Roman"/>
          <w:sz w:val="28"/>
        </w:rPr>
        <w:t>e</w:t>
      </w:r>
      <w:r w:rsidR="000575B7">
        <w:rPr>
          <w:rFonts w:ascii="Times New Roman" w:hAnsi="Times New Roman" w:cs="Times New Roman"/>
          <w:sz w:val="28"/>
        </w:rPr>
        <w:t xml:space="preserve">rf: 571. </w:t>
      </w:r>
    </w:p>
    <w:p w:rsidR="00C74992" w:rsidRPr="00C74992" w:rsidRDefault="00C74992" w:rsidP="00C74992">
      <w:pPr>
        <w:pStyle w:val="ListParagraph"/>
        <w:rPr>
          <w:rFonts w:ascii="Times New Roman" w:hAnsi="Times New Roman" w:cs="Times New Roman"/>
          <w:sz w:val="28"/>
        </w:rPr>
      </w:pPr>
    </w:p>
    <w:p w:rsidR="00C85C95" w:rsidRPr="00C85C95" w:rsidRDefault="00E1336F" w:rsidP="001067EB">
      <w:pPr>
        <w:pStyle w:val="ListParagraph"/>
        <w:numPr>
          <w:ilvl w:val="0"/>
          <w:numId w:val="31"/>
        </w:numPr>
        <w:spacing w:after="0" w:line="360" w:lineRule="auto"/>
        <w:ind w:hanging="720"/>
        <w:jc w:val="both"/>
        <w:rPr>
          <w:rFonts w:ascii="Times New Roman" w:hAnsi="Times New Roman" w:cs="Times New Roman"/>
          <w:sz w:val="28"/>
        </w:rPr>
      </w:pPr>
      <w:r>
        <w:rPr>
          <w:rFonts w:ascii="Times New Roman" w:hAnsi="Times New Roman" w:cs="Times New Roman"/>
          <w:sz w:val="28"/>
        </w:rPr>
        <w:t>In response, t</w:t>
      </w:r>
      <w:r w:rsidR="000575B7">
        <w:rPr>
          <w:rFonts w:ascii="Times New Roman" w:hAnsi="Times New Roman" w:cs="Times New Roman"/>
          <w:sz w:val="28"/>
        </w:rPr>
        <w:t>he Respondents</w:t>
      </w:r>
      <w:r w:rsidR="004C5D2E">
        <w:rPr>
          <w:rFonts w:ascii="Times New Roman" w:hAnsi="Times New Roman" w:cs="Times New Roman"/>
          <w:sz w:val="28"/>
        </w:rPr>
        <w:t xml:space="preserve"> </w:t>
      </w:r>
      <w:r w:rsidR="00C74992">
        <w:rPr>
          <w:rFonts w:ascii="Times New Roman" w:hAnsi="Times New Roman" w:cs="Times New Roman"/>
          <w:sz w:val="28"/>
        </w:rPr>
        <w:t>bring a counter-application</w:t>
      </w:r>
      <w:r w:rsidR="000A529D">
        <w:rPr>
          <w:rFonts w:ascii="Times New Roman" w:hAnsi="Times New Roman" w:cs="Times New Roman"/>
          <w:sz w:val="28"/>
        </w:rPr>
        <w:t xml:space="preserve"> </w:t>
      </w:r>
      <w:r w:rsidR="00C74992">
        <w:rPr>
          <w:rFonts w:ascii="Times New Roman" w:hAnsi="Times New Roman" w:cs="Times New Roman"/>
          <w:sz w:val="28"/>
        </w:rPr>
        <w:t>for an</w:t>
      </w:r>
      <w:r w:rsidR="000A529D">
        <w:rPr>
          <w:rFonts w:ascii="Times New Roman" w:hAnsi="Times New Roman" w:cs="Times New Roman"/>
          <w:sz w:val="28"/>
        </w:rPr>
        <w:t xml:space="preserve"> order </w:t>
      </w:r>
      <w:r w:rsidR="00FF284F">
        <w:rPr>
          <w:rFonts w:ascii="Times New Roman" w:hAnsi="Times New Roman" w:cs="Times New Roman"/>
          <w:sz w:val="28"/>
        </w:rPr>
        <w:t>instructing</w:t>
      </w:r>
      <w:r w:rsidR="000A529D">
        <w:rPr>
          <w:rFonts w:ascii="Times New Roman" w:hAnsi="Times New Roman" w:cs="Times New Roman"/>
          <w:sz w:val="28"/>
        </w:rPr>
        <w:t xml:space="preserve"> the Applicants to provide</w:t>
      </w:r>
      <w:r w:rsidR="004A3A0C">
        <w:rPr>
          <w:rFonts w:ascii="Times New Roman" w:hAnsi="Times New Roman" w:cs="Times New Roman"/>
          <w:sz w:val="28"/>
        </w:rPr>
        <w:t>, attest or sign</w:t>
      </w:r>
      <w:r w:rsidR="000A529D">
        <w:rPr>
          <w:rFonts w:ascii="Times New Roman" w:hAnsi="Times New Roman" w:cs="Times New Roman"/>
          <w:sz w:val="28"/>
        </w:rPr>
        <w:t xml:space="preserve"> all the</w:t>
      </w:r>
      <w:r w:rsidR="00E10292">
        <w:rPr>
          <w:rFonts w:ascii="Times New Roman" w:hAnsi="Times New Roman" w:cs="Times New Roman"/>
          <w:sz w:val="28"/>
        </w:rPr>
        <w:t xml:space="preserve"> necessary</w:t>
      </w:r>
      <w:r w:rsidR="004A3A0C">
        <w:rPr>
          <w:rFonts w:ascii="Times New Roman" w:hAnsi="Times New Roman" w:cs="Times New Roman"/>
          <w:sz w:val="28"/>
        </w:rPr>
        <w:t xml:space="preserve"> documents, including the Power of Attorney and draft Deed of Servitude appended to annexure “FA18”,</w:t>
      </w:r>
      <w:r w:rsidR="000A529D">
        <w:rPr>
          <w:rFonts w:ascii="Times New Roman" w:hAnsi="Times New Roman" w:cs="Times New Roman"/>
          <w:sz w:val="28"/>
        </w:rPr>
        <w:t xml:space="preserve"> </w:t>
      </w:r>
      <w:r w:rsidR="00E10292">
        <w:rPr>
          <w:rFonts w:ascii="Times New Roman" w:hAnsi="Times New Roman" w:cs="Times New Roman"/>
          <w:sz w:val="28"/>
        </w:rPr>
        <w:t xml:space="preserve">in order to register </w:t>
      </w:r>
      <w:r w:rsidR="000A529D">
        <w:rPr>
          <w:rFonts w:ascii="Times New Roman" w:hAnsi="Times New Roman" w:cs="Times New Roman"/>
          <w:sz w:val="28"/>
        </w:rPr>
        <w:t xml:space="preserve">a servitude over </w:t>
      </w:r>
      <w:r w:rsidR="00256B86">
        <w:rPr>
          <w:rFonts w:ascii="Times New Roman" w:hAnsi="Times New Roman" w:cs="Times New Roman"/>
          <w:sz w:val="28"/>
        </w:rPr>
        <w:t xml:space="preserve">erf 571 in favour of and for </w:t>
      </w:r>
      <w:r w:rsidR="000A529D">
        <w:rPr>
          <w:rFonts w:ascii="Times New Roman" w:hAnsi="Times New Roman" w:cs="Times New Roman"/>
          <w:sz w:val="28"/>
        </w:rPr>
        <w:t>the</w:t>
      </w:r>
      <w:r w:rsidR="00256B86">
        <w:rPr>
          <w:rFonts w:ascii="Times New Roman" w:hAnsi="Times New Roman" w:cs="Times New Roman"/>
          <w:sz w:val="28"/>
        </w:rPr>
        <w:t xml:space="preserve"> benefit of erf 572</w:t>
      </w:r>
      <w:r w:rsidR="000A529D">
        <w:rPr>
          <w:rFonts w:ascii="Times New Roman" w:hAnsi="Times New Roman" w:cs="Times New Roman"/>
          <w:sz w:val="28"/>
        </w:rPr>
        <w:t>.</w:t>
      </w:r>
      <w:r w:rsidR="004C5D2E">
        <w:rPr>
          <w:rFonts w:ascii="Times New Roman" w:hAnsi="Times New Roman" w:cs="Times New Roman"/>
          <w:sz w:val="28"/>
        </w:rPr>
        <w:t xml:space="preserve"> </w:t>
      </w:r>
    </w:p>
    <w:p w:rsidR="00C85C95" w:rsidRDefault="00C85C95" w:rsidP="00C85C95">
      <w:pPr>
        <w:rPr>
          <w:rFonts w:ascii="Times New Roman" w:hAnsi="Times New Roman" w:cs="Times New Roman"/>
          <w:sz w:val="28"/>
          <w:szCs w:val="28"/>
        </w:rPr>
      </w:pPr>
    </w:p>
    <w:p w:rsidR="006F0237" w:rsidRDefault="006F0237" w:rsidP="00C85C95">
      <w:pPr>
        <w:rPr>
          <w:rFonts w:ascii="Times New Roman" w:hAnsi="Times New Roman" w:cs="Times New Roman"/>
          <w:sz w:val="28"/>
          <w:szCs w:val="28"/>
        </w:rPr>
      </w:pPr>
    </w:p>
    <w:p w:rsidR="00C85C95" w:rsidRDefault="00EB0C23" w:rsidP="007304E6">
      <w:pPr>
        <w:tabs>
          <w:tab w:val="left" w:pos="360"/>
        </w:tabs>
        <w:spacing w:line="259" w:lineRule="auto"/>
        <w:ind w:left="360" w:hanging="360"/>
        <w:rPr>
          <w:rFonts w:ascii="Times New Roman" w:hAnsi="Times New Roman" w:cs="Times New Roman"/>
          <w:b/>
          <w:sz w:val="28"/>
          <w:szCs w:val="28"/>
          <w:u w:val="single"/>
        </w:rPr>
      </w:pPr>
      <w:r>
        <w:rPr>
          <w:rFonts w:ascii="Times New Roman" w:hAnsi="Times New Roman" w:cs="Times New Roman"/>
          <w:b/>
          <w:sz w:val="28"/>
          <w:szCs w:val="28"/>
          <w:u w:val="single"/>
        </w:rPr>
        <w:t xml:space="preserve">BACKGROUND </w:t>
      </w:r>
      <w:r w:rsidR="00E84FD1" w:rsidRPr="007304E6">
        <w:rPr>
          <w:rFonts w:ascii="Times New Roman" w:hAnsi="Times New Roman" w:cs="Times New Roman"/>
          <w:b/>
          <w:sz w:val="28"/>
          <w:szCs w:val="28"/>
          <w:u w:val="single"/>
        </w:rPr>
        <w:t>FACTS</w:t>
      </w:r>
      <w:r w:rsidR="00C85C95" w:rsidRPr="007304E6">
        <w:rPr>
          <w:rFonts w:ascii="Times New Roman" w:hAnsi="Times New Roman" w:cs="Times New Roman"/>
          <w:b/>
          <w:sz w:val="28"/>
          <w:szCs w:val="28"/>
          <w:u w:val="single"/>
        </w:rPr>
        <w:t xml:space="preserve"> </w:t>
      </w:r>
    </w:p>
    <w:p w:rsidR="00AA7274" w:rsidRPr="007304E6" w:rsidRDefault="00AA7274" w:rsidP="007304E6">
      <w:pPr>
        <w:tabs>
          <w:tab w:val="left" w:pos="360"/>
        </w:tabs>
        <w:spacing w:line="259" w:lineRule="auto"/>
        <w:ind w:left="360" w:hanging="360"/>
        <w:rPr>
          <w:rFonts w:ascii="Times New Roman" w:hAnsi="Times New Roman" w:cs="Times New Roman"/>
          <w:b/>
          <w:sz w:val="28"/>
          <w:szCs w:val="28"/>
          <w:u w:val="single"/>
        </w:rPr>
      </w:pPr>
    </w:p>
    <w:p w:rsidR="00C85C95" w:rsidRPr="007304E6" w:rsidRDefault="004E4BC4" w:rsidP="007304E6">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This matter emanates from</w:t>
      </w:r>
      <w:r w:rsidR="00EB0C23">
        <w:rPr>
          <w:rFonts w:ascii="Times New Roman" w:hAnsi="Times New Roman" w:cs="Times New Roman"/>
          <w:sz w:val="28"/>
          <w:szCs w:val="28"/>
        </w:rPr>
        <w:t xml:space="preserve"> a small housing estate </w:t>
      </w:r>
      <w:r w:rsidR="008A3D75">
        <w:rPr>
          <w:rFonts w:ascii="Times New Roman" w:hAnsi="Times New Roman" w:cs="Times New Roman"/>
          <w:sz w:val="28"/>
          <w:szCs w:val="28"/>
        </w:rPr>
        <w:t>called “Keurbaai”,</w:t>
      </w:r>
      <w:r w:rsidR="00FF284F">
        <w:rPr>
          <w:rFonts w:ascii="Times New Roman" w:hAnsi="Times New Roman" w:cs="Times New Roman"/>
          <w:sz w:val="28"/>
          <w:szCs w:val="28"/>
        </w:rPr>
        <w:t xml:space="preserve"> in</w:t>
      </w:r>
      <w:r w:rsidR="00C74992">
        <w:rPr>
          <w:rFonts w:ascii="Times New Roman" w:hAnsi="Times New Roman" w:cs="Times New Roman"/>
          <w:sz w:val="28"/>
          <w:szCs w:val="28"/>
        </w:rPr>
        <w:t xml:space="preserve"> </w:t>
      </w:r>
      <w:r w:rsidR="00EB0C23">
        <w:rPr>
          <w:rFonts w:ascii="Times New Roman" w:hAnsi="Times New Roman" w:cs="Times New Roman"/>
          <w:sz w:val="28"/>
          <w:szCs w:val="28"/>
        </w:rPr>
        <w:t>Keurboomstrand</w:t>
      </w:r>
      <w:r w:rsidR="00C74992">
        <w:rPr>
          <w:rFonts w:ascii="Times New Roman" w:hAnsi="Times New Roman" w:cs="Times New Roman"/>
          <w:sz w:val="28"/>
          <w:szCs w:val="28"/>
        </w:rPr>
        <w:t xml:space="preserve">. </w:t>
      </w:r>
      <w:r w:rsidR="004152B9">
        <w:rPr>
          <w:rFonts w:ascii="Times New Roman" w:hAnsi="Times New Roman" w:cs="Times New Roman"/>
          <w:sz w:val="28"/>
          <w:szCs w:val="28"/>
        </w:rPr>
        <w:t>Developed in the early 1980s, Keurbaai Shareblock (Pty) Ltd</w:t>
      </w:r>
      <w:r w:rsidR="00FF284F">
        <w:rPr>
          <w:rFonts w:ascii="Times New Roman" w:hAnsi="Times New Roman" w:cs="Times New Roman"/>
          <w:sz w:val="28"/>
          <w:szCs w:val="28"/>
        </w:rPr>
        <w:t xml:space="preserve"> (“Shareblock Company”)</w:t>
      </w:r>
      <w:r w:rsidR="00F02996">
        <w:rPr>
          <w:rFonts w:ascii="Times New Roman" w:hAnsi="Times New Roman" w:cs="Times New Roman"/>
          <w:sz w:val="28"/>
          <w:szCs w:val="28"/>
        </w:rPr>
        <w:t xml:space="preserve"> </w:t>
      </w:r>
      <w:r w:rsidR="00234D72">
        <w:rPr>
          <w:rFonts w:ascii="Times New Roman" w:hAnsi="Times New Roman" w:cs="Times New Roman"/>
          <w:sz w:val="28"/>
          <w:szCs w:val="28"/>
        </w:rPr>
        <w:t xml:space="preserve">owned </w:t>
      </w:r>
      <w:r w:rsidR="00333590">
        <w:rPr>
          <w:rFonts w:ascii="Times New Roman" w:hAnsi="Times New Roman" w:cs="Times New Roman"/>
          <w:sz w:val="28"/>
          <w:szCs w:val="28"/>
        </w:rPr>
        <w:t xml:space="preserve">all the land situated at Keurbaai </w:t>
      </w:r>
      <w:r w:rsidR="00025BE8">
        <w:rPr>
          <w:rFonts w:ascii="Times New Roman" w:hAnsi="Times New Roman" w:cs="Times New Roman"/>
          <w:sz w:val="28"/>
          <w:szCs w:val="28"/>
        </w:rPr>
        <w:t xml:space="preserve">under </w:t>
      </w:r>
      <w:r w:rsidR="00FF284F">
        <w:rPr>
          <w:rFonts w:ascii="Times New Roman" w:hAnsi="Times New Roman" w:cs="Times New Roman"/>
          <w:sz w:val="28"/>
          <w:szCs w:val="28"/>
        </w:rPr>
        <w:t>a consolidated e</w:t>
      </w:r>
      <w:r w:rsidR="00333590">
        <w:rPr>
          <w:rFonts w:ascii="Times New Roman" w:hAnsi="Times New Roman" w:cs="Times New Roman"/>
          <w:sz w:val="28"/>
          <w:szCs w:val="28"/>
        </w:rPr>
        <w:t xml:space="preserve">rf </w:t>
      </w:r>
      <w:r w:rsidR="00F02996">
        <w:rPr>
          <w:rFonts w:ascii="Times New Roman" w:hAnsi="Times New Roman" w:cs="Times New Roman"/>
          <w:sz w:val="28"/>
          <w:szCs w:val="28"/>
        </w:rPr>
        <w:t>566</w:t>
      </w:r>
      <w:r w:rsidR="00234D72">
        <w:rPr>
          <w:rFonts w:ascii="Times New Roman" w:hAnsi="Times New Roman" w:cs="Times New Roman"/>
          <w:sz w:val="28"/>
          <w:szCs w:val="28"/>
        </w:rPr>
        <w:t>.</w:t>
      </w:r>
      <w:r w:rsidR="00333590">
        <w:rPr>
          <w:rFonts w:ascii="Times New Roman" w:hAnsi="Times New Roman" w:cs="Times New Roman"/>
          <w:sz w:val="28"/>
          <w:szCs w:val="28"/>
        </w:rPr>
        <w:t xml:space="preserve"> </w:t>
      </w:r>
      <w:r w:rsidR="004152B9">
        <w:rPr>
          <w:rFonts w:ascii="Times New Roman" w:hAnsi="Times New Roman" w:cs="Times New Roman"/>
          <w:sz w:val="28"/>
          <w:szCs w:val="28"/>
        </w:rPr>
        <w:t xml:space="preserve">Subject to user agreement, </w:t>
      </w:r>
      <w:r w:rsidR="00FF284F">
        <w:rPr>
          <w:rFonts w:ascii="Times New Roman" w:hAnsi="Times New Roman" w:cs="Times New Roman"/>
          <w:sz w:val="28"/>
          <w:szCs w:val="28"/>
        </w:rPr>
        <w:t>the Shareblock C</w:t>
      </w:r>
      <w:r w:rsidR="009E09CC">
        <w:rPr>
          <w:rFonts w:ascii="Times New Roman" w:hAnsi="Times New Roman" w:cs="Times New Roman"/>
          <w:sz w:val="28"/>
          <w:szCs w:val="28"/>
        </w:rPr>
        <w:t xml:space="preserve">ompany issued </w:t>
      </w:r>
      <w:r w:rsidR="003C0DEE">
        <w:rPr>
          <w:rFonts w:ascii="Times New Roman" w:hAnsi="Times New Roman" w:cs="Times New Roman"/>
          <w:sz w:val="28"/>
          <w:szCs w:val="28"/>
        </w:rPr>
        <w:t>a number of share</w:t>
      </w:r>
      <w:r w:rsidR="009E09CC">
        <w:rPr>
          <w:rFonts w:ascii="Times New Roman" w:hAnsi="Times New Roman" w:cs="Times New Roman"/>
          <w:sz w:val="28"/>
          <w:szCs w:val="28"/>
        </w:rPr>
        <w:t>s</w:t>
      </w:r>
      <w:r w:rsidR="008A3D75">
        <w:rPr>
          <w:rFonts w:ascii="Times New Roman" w:hAnsi="Times New Roman" w:cs="Times New Roman"/>
          <w:sz w:val="28"/>
          <w:szCs w:val="28"/>
        </w:rPr>
        <w:t>,</w:t>
      </w:r>
      <w:r w:rsidR="00333590">
        <w:rPr>
          <w:rFonts w:ascii="Times New Roman" w:hAnsi="Times New Roman" w:cs="Times New Roman"/>
          <w:sz w:val="28"/>
          <w:szCs w:val="28"/>
        </w:rPr>
        <w:t xml:space="preserve"> </w:t>
      </w:r>
      <w:r w:rsidR="00DD0D9B">
        <w:rPr>
          <w:rFonts w:ascii="Times New Roman" w:hAnsi="Times New Roman" w:cs="Times New Roman"/>
          <w:sz w:val="28"/>
          <w:szCs w:val="28"/>
        </w:rPr>
        <w:t>each</w:t>
      </w:r>
      <w:r w:rsidR="00333590">
        <w:rPr>
          <w:rFonts w:ascii="Times New Roman" w:hAnsi="Times New Roman" w:cs="Times New Roman"/>
          <w:sz w:val="28"/>
          <w:szCs w:val="28"/>
        </w:rPr>
        <w:t xml:space="preserve"> enti</w:t>
      </w:r>
      <w:r w:rsidR="00DD0D9B">
        <w:rPr>
          <w:rFonts w:ascii="Times New Roman" w:hAnsi="Times New Roman" w:cs="Times New Roman"/>
          <w:sz w:val="28"/>
          <w:szCs w:val="28"/>
        </w:rPr>
        <w:t>tling</w:t>
      </w:r>
      <w:r w:rsidR="00333590">
        <w:rPr>
          <w:rFonts w:ascii="Times New Roman" w:hAnsi="Times New Roman" w:cs="Times New Roman"/>
          <w:sz w:val="28"/>
          <w:szCs w:val="28"/>
        </w:rPr>
        <w:t xml:space="preserve"> owners thereof to the exclusive use and enjoyment of </w:t>
      </w:r>
      <w:r w:rsidR="00BA4342">
        <w:rPr>
          <w:rFonts w:ascii="Times New Roman" w:hAnsi="Times New Roman" w:cs="Times New Roman"/>
          <w:sz w:val="28"/>
          <w:szCs w:val="28"/>
        </w:rPr>
        <w:t>their sites</w:t>
      </w:r>
      <w:r w:rsidR="00B63E66">
        <w:rPr>
          <w:rFonts w:ascii="Times New Roman" w:hAnsi="Times New Roman" w:cs="Times New Roman"/>
          <w:sz w:val="28"/>
          <w:szCs w:val="28"/>
        </w:rPr>
        <w:t>, namely a fictional section</w:t>
      </w:r>
      <w:r w:rsidR="00FF284F">
        <w:rPr>
          <w:rFonts w:ascii="Times New Roman" w:hAnsi="Times New Roman" w:cs="Times New Roman"/>
          <w:sz w:val="28"/>
          <w:szCs w:val="28"/>
        </w:rPr>
        <w:t xml:space="preserve"> of the consolidated e</w:t>
      </w:r>
      <w:r w:rsidR="00333590">
        <w:rPr>
          <w:rFonts w:ascii="Times New Roman" w:hAnsi="Times New Roman" w:cs="Times New Roman"/>
          <w:sz w:val="28"/>
          <w:szCs w:val="28"/>
        </w:rPr>
        <w:t>rf.</w:t>
      </w:r>
      <w:r w:rsidR="00B63E66">
        <w:rPr>
          <w:rStyle w:val="FootnoteReference"/>
          <w:rFonts w:ascii="Times New Roman" w:hAnsi="Times New Roman" w:cs="Times New Roman"/>
          <w:sz w:val="28"/>
          <w:szCs w:val="28"/>
        </w:rPr>
        <w:footnoteReference w:id="1"/>
      </w:r>
      <w:r w:rsidR="00333590">
        <w:rPr>
          <w:rFonts w:ascii="Times New Roman" w:hAnsi="Times New Roman" w:cs="Times New Roman"/>
          <w:sz w:val="28"/>
          <w:szCs w:val="28"/>
        </w:rPr>
        <w:t xml:space="preserve"> </w:t>
      </w:r>
    </w:p>
    <w:p w:rsidR="004C15C3" w:rsidRPr="003C0DEE" w:rsidRDefault="004C15C3" w:rsidP="003C0DEE">
      <w:pPr>
        <w:spacing w:line="259" w:lineRule="auto"/>
        <w:jc w:val="both"/>
        <w:rPr>
          <w:rFonts w:ascii="Times New Roman" w:hAnsi="Times New Roman" w:cs="Times New Roman"/>
          <w:sz w:val="28"/>
          <w:szCs w:val="28"/>
        </w:rPr>
      </w:pPr>
    </w:p>
    <w:p w:rsidR="00821838" w:rsidRDefault="00333590" w:rsidP="001067EB">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Some of these sections had houses built on them, whilst others were empty stands. In the late 1990s the shareholders of the Sh</w:t>
      </w:r>
      <w:r w:rsidR="00FF284F">
        <w:rPr>
          <w:rFonts w:ascii="Times New Roman" w:hAnsi="Times New Roman" w:cs="Times New Roman"/>
          <w:sz w:val="28"/>
          <w:szCs w:val="28"/>
        </w:rPr>
        <w:t>areblock C</w:t>
      </w:r>
      <w:r w:rsidR="00A44636">
        <w:rPr>
          <w:rFonts w:ascii="Times New Roman" w:hAnsi="Times New Roman" w:cs="Times New Roman"/>
          <w:sz w:val="28"/>
          <w:szCs w:val="28"/>
        </w:rPr>
        <w:t>ompany took a decision</w:t>
      </w:r>
      <w:r>
        <w:rPr>
          <w:rFonts w:ascii="Times New Roman" w:hAnsi="Times New Roman" w:cs="Times New Roman"/>
          <w:sz w:val="28"/>
          <w:szCs w:val="28"/>
        </w:rPr>
        <w:t xml:space="preserve"> to subdivide the consoli</w:t>
      </w:r>
      <w:r w:rsidR="00FF284F">
        <w:rPr>
          <w:rFonts w:ascii="Times New Roman" w:hAnsi="Times New Roman" w:cs="Times New Roman"/>
          <w:sz w:val="28"/>
          <w:szCs w:val="28"/>
        </w:rPr>
        <w:t>dated e</w:t>
      </w:r>
      <w:r w:rsidR="008A3D75">
        <w:rPr>
          <w:rFonts w:ascii="Times New Roman" w:hAnsi="Times New Roman" w:cs="Times New Roman"/>
          <w:sz w:val="28"/>
          <w:szCs w:val="28"/>
        </w:rPr>
        <w:t xml:space="preserve">rf into individual erven, </w:t>
      </w:r>
      <w:r>
        <w:rPr>
          <w:rFonts w:ascii="Times New Roman" w:hAnsi="Times New Roman" w:cs="Times New Roman"/>
          <w:sz w:val="28"/>
          <w:szCs w:val="28"/>
        </w:rPr>
        <w:t>and the remaining portion as shared property.</w:t>
      </w:r>
      <w:r w:rsidR="00A44636">
        <w:rPr>
          <w:rFonts w:ascii="Times New Roman" w:hAnsi="Times New Roman" w:cs="Times New Roman"/>
          <w:sz w:val="28"/>
          <w:szCs w:val="28"/>
        </w:rPr>
        <w:t xml:space="preserve"> The goal was to transfer</w:t>
      </w:r>
      <w:r w:rsidR="00DD0D9B">
        <w:rPr>
          <w:rFonts w:ascii="Times New Roman" w:hAnsi="Times New Roman" w:cs="Times New Roman"/>
          <w:sz w:val="28"/>
          <w:szCs w:val="28"/>
        </w:rPr>
        <w:t xml:space="preserve"> the</w:t>
      </w:r>
      <w:r w:rsidR="00A44636">
        <w:rPr>
          <w:rFonts w:ascii="Times New Roman" w:hAnsi="Times New Roman" w:cs="Times New Roman"/>
          <w:sz w:val="28"/>
          <w:szCs w:val="28"/>
        </w:rPr>
        <w:t xml:space="preserve"> individual </w:t>
      </w:r>
      <w:r w:rsidR="00FF284F">
        <w:rPr>
          <w:rFonts w:ascii="Times New Roman" w:hAnsi="Times New Roman" w:cs="Times New Roman"/>
          <w:sz w:val="28"/>
          <w:szCs w:val="28"/>
        </w:rPr>
        <w:t xml:space="preserve"> erven from the Shareblock C</w:t>
      </w:r>
      <w:r w:rsidR="0075246A">
        <w:rPr>
          <w:rFonts w:ascii="Times New Roman" w:hAnsi="Times New Roman" w:cs="Times New Roman"/>
          <w:sz w:val="28"/>
          <w:szCs w:val="28"/>
        </w:rPr>
        <w:t>ompany to individual shareholders. This process</w:t>
      </w:r>
      <w:r w:rsidR="00201904">
        <w:rPr>
          <w:rFonts w:ascii="Times New Roman" w:hAnsi="Times New Roman" w:cs="Times New Roman"/>
          <w:sz w:val="28"/>
          <w:szCs w:val="28"/>
        </w:rPr>
        <w:t>,</w:t>
      </w:r>
      <w:r w:rsidR="0075246A">
        <w:rPr>
          <w:rFonts w:ascii="Times New Roman" w:hAnsi="Times New Roman" w:cs="Times New Roman"/>
          <w:sz w:val="28"/>
          <w:szCs w:val="28"/>
        </w:rPr>
        <w:t xml:space="preserve"> </w:t>
      </w:r>
      <w:r w:rsidR="001D14A8">
        <w:rPr>
          <w:rFonts w:ascii="Times New Roman" w:hAnsi="Times New Roman" w:cs="Times New Roman"/>
          <w:sz w:val="28"/>
          <w:szCs w:val="28"/>
        </w:rPr>
        <w:t xml:space="preserve">which </w:t>
      </w:r>
      <w:r w:rsidR="00600DD1">
        <w:rPr>
          <w:rFonts w:ascii="Times New Roman" w:hAnsi="Times New Roman" w:cs="Times New Roman"/>
          <w:sz w:val="28"/>
          <w:szCs w:val="28"/>
        </w:rPr>
        <w:t>would result in each owner holding an individual title</w:t>
      </w:r>
      <w:r w:rsidR="00201904">
        <w:rPr>
          <w:rFonts w:ascii="Times New Roman" w:hAnsi="Times New Roman" w:cs="Times New Roman"/>
          <w:sz w:val="28"/>
          <w:szCs w:val="28"/>
        </w:rPr>
        <w:t xml:space="preserve">, is the </w:t>
      </w:r>
      <w:r w:rsidR="005F4D41">
        <w:rPr>
          <w:rFonts w:ascii="Times New Roman" w:hAnsi="Times New Roman" w:cs="Times New Roman"/>
          <w:sz w:val="28"/>
          <w:szCs w:val="28"/>
        </w:rPr>
        <w:t>genesi</w:t>
      </w:r>
      <w:r w:rsidR="00201904">
        <w:rPr>
          <w:rFonts w:ascii="Times New Roman" w:hAnsi="Times New Roman" w:cs="Times New Roman"/>
          <w:sz w:val="28"/>
          <w:szCs w:val="28"/>
        </w:rPr>
        <w:t>s</w:t>
      </w:r>
      <w:r w:rsidR="00600DD1">
        <w:rPr>
          <w:rFonts w:ascii="Times New Roman" w:hAnsi="Times New Roman" w:cs="Times New Roman"/>
          <w:sz w:val="28"/>
          <w:szCs w:val="28"/>
        </w:rPr>
        <w:t xml:space="preserve"> </w:t>
      </w:r>
      <w:r w:rsidR="00A44636">
        <w:rPr>
          <w:rFonts w:ascii="Times New Roman" w:hAnsi="Times New Roman" w:cs="Times New Roman"/>
          <w:sz w:val="28"/>
          <w:szCs w:val="28"/>
        </w:rPr>
        <w:t xml:space="preserve">of </w:t>
      </w:r>
      <w:r w:rsidR="00600DD1">
        <w:rPr>
          <w:rFonts w:ascii="Times New Roman" w:hAnsi="Times New Roman" w:cs="Times New Roman"/>
          <w:sz w:val="28"/>
          <w:szCs w:val="28"/>
        </w:rPr>
        <w:t>this conflict.</w:t>
      </w:r>
      <w:r w:rsidR="0075246A">
        <w:rPr>
          <w:rFonts w:ascii="Times New Roman" w:hAnsi="Times New Roman" w:cs="Times New Roman"/>
          <w:sz w:val="28"/>
          <w:szCs w:val="28"/>
        </w:rPr>
        <w:t xml:space="preserve"> </w:t>
      </w:r>
      <w:r w:rsidR="009E44D6">
        <w:rPr>
          <w:rFonts w:ascii="Times New Roman" w:hAnsi="Times New Roman" w:cs="Times New Roman"/>
          <w:sz w:val="28"/>
          <w:szCs w:val="28"/>
        </w:rPr>
        <w:t xml:space="preserve"> </w:t>
      </w:r>
    </w:p>
    <w:p w:rsidR="00821838" w:rsidRDefault="00821838" w:rsidP="00821838">
      <w:pPr>
        <w:pStyle w:val="ListParagraph"/>
        <w:spacing w:after="0" w:line="360" w:lineRule="auto"/>
        <w:jc w:val="both"/>
        <w:rPr>
          <w:rFonts w:ascii="Times New Roman" w:hAnsi="Times New Roman" w:cs="Times New Roman"/>
          <w:sz w:val="28"/>
          <w:szCs w:val="28"/>
        </w:rPr>
      </w:pPr>
    </w:p>
    <w:p w:rsidR="00333590" w:rsidRDefault="0075246A" w:rsidP="001067EB">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Due to the </w:t>
      </w:r>
      <w:r w:rsidR="00DD0D9B">
        <w:rPr>
          <w:rFonts w:ascii="Times New Roman" w:hAnsi="Times New Roman" w:cs="Times New Roman"/>
          <w:sz w:val="28"/>
          <w:szCs w:val="28"/>
        </w:rPr>
        <w:t>significant</w:t>
      </w:r>
      <w:r w:rsidR="001D14A8">
        <w:rPr>
          <w:rFonts w:ascii="Times New Roman" w:hAnsi="Times New Roman" w:cs="Times New Roman"/>
          <w:sz w:val="28"/>
          <w:szCs w:val="28"/>
        </w:rPr>
        <w:t xml:space="preserve"> transfer duty </w:t>
      </w:r>
      <w:r w:rsidR="00FF284F">
        <w:rPr>
          <w:rFonts w:ascii="Times New Roman" w:hAnsi="Times New Roman" w:cs="Times New Roman"/>
          <w:sz w:val="28"/>
          <w:szCs w:val="28"/>
        </w:rPr>
        <w:t xml:space="preserve">required for </w:t>
      </w:r>
      <w:r w:rsidR="00821838">
        <w:rPr>
          <w:rFonts w:ascii="Times New Roman" w:hAnsi="Times New Roman" w:cs="Times New Roman"/>
          <w:sz w:val="28"/>
          <w:szCs w:val="28"/>
        </w:rPr>
        <w:t>the transfer o</w:t>
      </w:r>
      <w:r w:rsidR="00FF284F">
        <w:rPr>
          <w:rFonts w:ascii="Times New Roman" w:hAnsi="Times New Roman" w:cs="Times New Roman"/>
          <w:sz w:val="28"/>
          <w:szCs w:val="28"/>
        </w:rPr>
        <w:t>f an erven from the Shareblock C</w:t>
      </w:r>
      <w:r w:rsidR="00821838">
        <w:rPr>
          <w:rFonts w:ascii="Times New Roman" w:hAnsi="Times New Roman" w:cs="Times New Roman"/>
          <w:sz w:val="28"/>
          <w:szCs w:val="28"/>
        </w:rPr>
        <w:t>ompany to an individual shareholder, none of the</w:t>
      </w:r>
      <w:r w:rsidR="00060EAD">
        <w:rPr>
          <w:rFonts w:ascii="Times New Roman" w:hAnsi="Times New Roman" w:cs="Times New Roman"/>
          <w:sz w:val="28"/>
          <w:szCs w:val="28"/>
        </w:rPr>
        <w:t xml:space="preserve"> shareholders took</w:t>
      </w:r>
      <w:r w:rsidR="005F4D41">
        <w:rPr>
          <w:rFonts w:ascii="Times New Roman" w:hAnsi="Times New Roman" w:cs="Times New Roman"/>
          <w:sz w:val="28"/>
          <w:szCs w:val="28"/>
        </w:rPr>
        <w:t xml:space="preserve"> transfer.</w:t>
      </w:r>
      <w:r w:rsidR="00821838">
        <w:rPr>
          <w:rFonts w:ascii="Times New Roman" w:hAnsi="Times New Roman" w:cs="Times New Roman"/>
          <w:sz w:val="28"/>
          <w:szCs w:val="28"/>
        </w:rPr>
        <w:t xml:space="preserve"> </w:t>
      </w:r>
      <w:r w:rsidR="005F4D41">
        <w:rPr>
          <w:rFonts w:ascii="Times New Roman" w:hAnsi="Times New Roman" w:cs="Times New Roman"/>
          <w:sz w:val="28"/>
          <w:szCs w:val="28"/>
        </w:rPr>
        <w:t xml:space="preserve">In 2013 </w:t>
      </w:r>
      <w:r w:rsidR="00FC76C2">
        <w:rPr>
          <w:rFonts w:ascii="Times New Roman" w:hAnsi="Times New Roman" w:cs="Times New Roman"/>
          <w:sz w:val="28"/>
          <w:szCs w:val="28"/>
        </w:rPr>
        <w:t xml:space="preserve">certain changes to the </w:t>
      </w:r>
      <w:r w:rsidR="00F43216">
        <w:rPr>
          <w:rFonts w:ascii="Times New Roman" w:hAnsi="Times New Roman" w:cs="Times New Roman"/>
          <w:sz w:val="28"/>
          <w:szCs w:val="28"/>
        </w:rPr>
        <w:t xml:space="preserve">tax regime </w:t>
      </w:r>
      <w:r w:rsidR="00FF284F">
        <w:rPr>
          <w:rFonts w:ascii="Times New Roman" w:hAnsi="Times New Roman" w:cs="Times New Roman"/>
          <w:sz w:val="28"/>
          <w:szCs w:val="28"/>
        </w:rPr>
        <w:t>were introduced</w:t>
      </w:r>
      <w:r w:rsidR="005F4D41">
        <w:rPr>
          <w:rFonts w:ascii="Times New Roman" w:hAnsi="Times New Roman" w:cs="Times New Roman"/>
          <w:sz w:val="28"/>
          <w:szCs w:val="28"/>
        </w:rPr>
        <w:t>,</w:t>
      </w:r>
      <w:r w:rsidR="00F43216">
        <w:rPr>
          <w:rFonts w:ascii="Times New Roman" w:hAnsi="Times New Roman" w:cs="Times New Roman"/>
          <w:sz w:val="28"/>
          <w:szCs w:val="28"/>
        </w:rPr>
        <w:t xml:space="preserve"> </w:t>
      </w:r>
      <w:r w:rsidR="00FF284F">
        <w:rPr>
          <w:rFonts w:ascii="Times New Roman" w:hAnsi="Times New Roman" w:cs="Times New Roman"/>
          <w:sz w:val="28"/>
          <w:szCs w:val="28"/>
        </w:rPr>
        <w:t>and these</w:t>
      </w:r>
      <w:r w:rsidR="00FC76C2">
        <w:rPr>
          <w:rFonts w:ascii="Times New Roman" w:hAnsi="Times New Roman" w:cs="Times New Roman"/>
          <w:sz w:val="28"/>
          <w:szCs w:val="28"/>
        </w:rPr>
        <w:t xml:space="preserve"> made it possible for </w:t>
      </w:r>
      <w:r w:rsidR="005F4D41">
        <w:rPr>
          <w:rFonts w:ascii="Times New Roman" w:hAnsi="Times New Roman" w:cs="Times New Roman"/>
          <w:sz w:val="28"/>
          <w:szCs w:val="28"/>
        </w:rPr>
        <w:t xml:space="preserve">the </w:t>
      </w:r>
      <w:r w:rsidR="00FF284F">
        <w:rPr>
          <w:rFonts w:ascii="Times New Roman" w:hAnsi="Times New Roman" w:cs="Times New Roman"/>
          <w:sz w:val="28"/>
          <w:szCs w:val="28"/>
        </w:rPr>
        <w:t>Shareblock C</w:t>
      </w:r>
      <w:r w:rsidR="00F43216">
        <w:rPr>
          <w:rFonts w:ascii="Times New Roman" w:hAnsi="Times New Roman" w:cs="Times New Roman"/>
          <w:sz w:val="28"/>
          <w:szCs w:val="28"/>
        </w:rPr>
        <w:t>ompany to transfer individual er</w:t>
      </w:r>
      <w:r w:rsidR="000248CD">
        <w:rPr>
          <w:rFonts w:ascii="Times New Roman" w:hAnsi="Times New Roman" w:cs="Times New Roman"/>
          <w:sz w:val="28"/>
          <w:szCs w:val="28"/>
        </w:rPr>
        <w:t>ven to shareholders at a minimal</w:t>
      </w:r>
      <w:r w:rsidR="00FF284F">
        <w:rPr>
          <w:rFonts w:ascii="Times New Roman" w:hAnsi="Times New Roman" w:cs="Times New Roman"/>
          <w:sz w:val="28"/>
          <w:szCs w:val="28"/>
        </w:rPr>
        <w:t xml:space="preserve"> cost</w:t>
      </w:r>
      <w:r w:rsidR="005F4D41">
        <w:rPr>
          <w:rFonts w:ascii="Times New Roman" w:hAnsi="Times New Roman" w:cs="Times New Roman"/>
          <w:sz w:val="28"/>
          <w:szCs w:val="28"/>
        </w:rPr>
        <w:t>.</w:t>
      </w:r>
      <w:r w:rsidR="001C51F8">
        <w:rPr>
          <w:rStyle w:val="FootnoteReference"/>
          <w:rFonts w:ascii="Times New Roman" w:hAnsi="Times New Roman" w:cs="Times New Roman"/>
          <w:sz w:val="28"/>
          <w:szCs w:val="28"/>
        </w:rPr>
        <w:footnoteReference w:id="2"/>
      </w:r>
    </w:p>
    <w:p w:rsidR="00333590" w:rsidRDefault="00333590" w:rsidP="00333590">
      <w:pPr>
        <w:pStyle w:val="ListParagraph"/>
        <w:spacing w:after="0" w:line="360" w:lineRule="auto"/>
        <w:jc w:val="both"/>
        <w:rPr>
          <w:rFonts w:ascii="Times New Roman" w:hAnsi="Times New Roman" w:cs="Times New Roman"/>
          <w:sz w:val="28"/>
          <w:szCs w:val="28"/>
        </w:rPr>
      </w:pPr>
    </w:p>
    <w:p w:rsidR="00333590" w:rsidRPr="00025BE8" w:rsidRDefault="00333590" w:rsidP="00025BE8">
      <w:pPr>
        <w:spacing w:after="0" w:line="360" w:lineRule="auto"/>
        <w:jc w:val="both"/>
        <w:rPr>
          <w:rFonts w:ascii="Times New Roman" w:hAnsi="Times New Roman" w:cs="Times New Roman"/>
          <w:sz w:val="28"/>
          <w:szCs w:val="28"/>
        </w:rPr>
      </w:pPr>
    </w:p>
    <w:p w:rsidR="00C91F98" w:rsidRDefault="00AC7A74" w:rsidP="00E87DEC">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It bears mentioning that both</w:t>
      </w:r>
      <w:r w:rsidR="00025BE8">
        <w:rPr>
          <w:rFonts w:ascii="Times New Roman" w:hAnsi="Times New Roman" w:cs="Times New Roman"/>
          <w:sz w:val="28"/>
          <w:szCs w:val="28"/>
        </w:rPr>
        <w:t xml:space="preserve"> </w:t>
      </w:r>
      <w:r w:rsidR="00225177">
        <w:rPr>
          <w:rFonts w:ascii="Times New Roman" w:hAnsi="Times New Roman" w:cs="Times New Roman"/>
          <w:sz w:val="28"/>
          <w:szCs w:val="28"/>
        </w:rPr>
        <w:t>e</w:t>
      </w:r>
      <w:r w:rsidR="008D201C">
        <w:rPr>
          <w:rFonts w:ascii="Times New Roman" w:hAnsi="Times New Roman" w:cs="Times New Roman"/>
          <w:sz w:val="28"/>
          <w:szCs w:val="28"/>
        </w:rPr>
        <w:t xml:space="preserve">rf 571 </w:t>
      </w:r>
      <w:r w:rsidR="001D14A8">
        <w:rPr>
          <w:rFonts w:ascii="Times New Roman" w:hAnsi="Times New Roman" w:cs="Times New Roman"/>
          <w:sz w:val="28"/>
          <w:szCs w:val="28"/>
        </w:rPr>
        <w:t xml:space="preserve">and its </w:t>
      </w:r>
      <w:r w:rsidR="008A3D75">
        <w:rPr>
          <w:rFonts w:ascii="Times New Roman" w:hAnsi="Times New Roman" w:cs="Times New Roman"/>
          <w:sz w:val="28"/>
          <w:szCs w:val="28"/>
        </w:rPr>
        <w:t xml:space="preserve">immediate </w:t>
      </w:r>
      <w:r w:rsidR="00225177">
        <w:rPr>
          <w:rFonts w:ascii="Times New Roman" w:hAnsi="Times New Roman" w:cs="Times New Roman"/>
          <w:sz w:val="28"/>
          <w:szCs w:val="28"/>
        </w:rPr>
        <w:t>neighbour e</w:t>
      </w:r>
      <w:r w:rsidR="001D14A8">
        <w:rPr>
          <w:rFonts w:ascii="Times New Roman" w:hAnsi="Times New Roman" w:cs="Times New Roman"/>
          <w:sz w:val="28"/>
          <w:szCs w:val="28"/>
        </w:rPr>
        <w:t xml:space="preserve">rf </w:t>
      </w:r>
      <w:r w:rsidR="003F72E5">
        <w:rPr>
          <w:rFonts w:ascii="Times New Roman" w:hAnsi="Times New Roman" w:cs="Times New Roman"/>
          <w:sz w:val="28"/>
          <w:szCs w:val="28"/>
        </w:rPr>
        <w:t>572</w:t>
      </w:r>
      <w:r w:rsidR="00225177">
        <w:rPr>
          <w:rFonts w:ascii="Times New Roman" w:hAnsi="Times New Roman" w:cs="Times New Roman"/>
          <w:sz w:val="28"/>
          <w:szCs w:val="28"/>
        </w:rPr>
        <w:t xml:space="preserve"> were owned by the Shareblock C</w:t>
      </w:r>
      <w:r w:rsidR="00974650">
        <w:rPr>
          <w:rFonts w:ascii="Times New Roman" w:hAnsi="Times New Roman" w:cs="Times New Roman"/>
          <w:sz w:val="28"/>
          <w:szCs w:val="28"/>
        </w:rPr>
        <w:t xml:space="preserve">ompany as </w:t>
      </w:r>
      <w:r w:rsidR="008A3D75">
        <w:rPr>
          <w:rFonts w:ascii="Times New Roman" w:hAnsi="Times New Roman" w:cs="Times New Roman"/>
          <w:sz w:val="28"/>
          <w:szCs w:val="28"/>
        </w:rPr>
        <w:t>semi-</w:t>
      </w:r>
      <w:r w:rsidR="003F72E5">
        <w:rPr>
          <w:rFonts w:ascii="Times New Roman" w:hAnsi="Times New Roman" w:cs="Times New Roman"/>
          <w:sz w:val="28"/>
          <w:szCs w:val="28"/>
        </w:rPr>
        <w:t>detached units comprising of one single building; and were</w:t>
      </w:r>
      <w:r w:rsidR="008D201C">
        <w:rPr>
          <w:rFonts w:ascii="Times New Roman" w:hAnsi="Times New Roman" w:cs="Times New Roman"/>
          <w:sz w:val="28"/>
          <w:szCs w:val="28"/>
        </w:rPr>
        <w:t xml:space="preserve"> </w:t>
      </w:r>
      <w:r w:rsidR="003F72E5">
        <w:rPr>
          <w:rFonts w:ascii="Times New Roman" w:hAnsi="Times New Roman" w:cs="Times New Roman"/>
          <w:sz w:val="28"/>
          <w:szCs w:val="28"/>
        </w:rPr>
        <w:t xml:space="preserve">a part of a housing block constructed on </w:t>
      </w:r>
      <w:r w:rsidR="000248CD">
        <w:rPr>
          <w:rFonts w:ascii="Times New Roman" w:hAnsi="Times New Roman" w:cs="Times New Roman"/>
          <w:sz w:val="28"/>
          <w:szCs w:val="28"/>
        </w:rPr>
        <w:t xml:space="preserve">an </w:t>
      </w:r>
      <w:r w:rsidR="003F72E5">
        <w:rPr>
          <w:rFonts w:ascii="Times New Roman" w:hAnsi="Times New Roman" w:cs="Times New Roman"/>
          <w:sz w:val="28"/>
          <w:szCs w:val="28"/>
        </w:rPr>
        <w:t>undivided land which later became units 5 and 6 on erf 571 and erf 572</w:t>
      </w:r>
      <w:r w:rsidR="008A3D75">
        <w:rPr>
          <w:rFonts w:ascii="Times New Roman" w:hAnsi="Times New Roman" w:cs="Times New Roman"/>
          <w:sz w:val="28"/>
          <w:szCs w:val="28"/>
        </w:rPr>
        <w:t>,</w:t>
      </w:r>
      <w:r w:rsidR="00225177">
        <w:rPr>
          <w:rFonts w:ascii="Times New Roman" w:hAnsi="Times New Roman" w:cs="Times New Roman"/>
          <w:sz w:val="28"/>
          <w:szCs w:val="28"/>
        </w:rPr>
        <w:t xml:space="preserve"> respectively.</w:t>
      </w:r>
      <w:r w:rsidR="00974650">
        <w:rPr>
          <w:rFonts w:ascii="Times New Roman" w:hAnsi="Times New Roman" w:cs="Times New Roman"/>
          <w:sz w:val="28"/>
          <w:szCs w:val="28"/>
        </w:rPr>
        <w:t xml:space="preserve"> </w:t>
      </w:r>
      <w:r w:rsidR="00225177">
        <w:rPr>
          <w:rFonts w:ascii="Times New Roman" w:hAnsi="Times New Roman" w:cs="Times New Roman"/>
          <w:sz w:val="28"/>
          <w:szCs w:val="28"/>
        </w:rPr>
        <w:t>The original owner of the house on e</w:t>
      </w:r>
      <w:r w:rsidR="00EE0CC4">
        <w:rPr>
          <w:rFonts w:ascii="Times New Roman" w:hAnsi="Times New Roman" w:cs="Times New Roman"/>
          <w:sz w:val="28"/>
          <w:szCs w:val="28"/>
        </w:rPr>
        <w:t xml:space="preserve">rf 571 was </w:t>
      </w:r>
      <w:r w:rsidR="00EB5C1E">
        <w:rPr>
          <w:rFonts w:ascii="Times New Roman" w:hAnsi="Times New Roman" w:cs="Times New Roman"/>
          <w:sz w:val="28"/>
          <w:szCs w:val="28"/>
        </w:rPr>
        <w:t>F. van Niekerk</w:t>
      </w:r>
      <w:r w:rsidR="00225177">
        <w:rPr>
          <w:rFonts w:ascii="Times New Roman" w:hAnsi="Times New Roman" w:cs="Times New Roman"/>
          <w:sz w:val="28"/>
          <w:szCs w:val="28"/>
        </w:rPr>
        <w:t>,</w:t>
      </w:r>
      <w:r w:rsidR="00EB5C1E">
        <w:rPr>
          <w:rFonts w:ascii="Times New Roman" w:hAnsi="Times New Roman" w:cs="Times New Roman"/>
          <w:sz w:val="28"/>
          <w:szCs w:val="28"/>
        </w:rPr>
        <w:t xml:space="preserve"> and </w:t>
      </w:r>
      <w:r w:rsidR="00225177">
        <w:rPr>
          <w:rFonts w:ascii="Times New Roman" w:hAnsi="Times New Roman" w:cs="Times New Roman"/>
          <w:sz w:val="28"/>
          <w:szCs w:val="28"/>
        </w:rPr>
        <w:t>W. Labuschagne owned the house on e</w:t>
      </w:r>
      <w:r w:rsidR="008A3D75">
        <w:rPr>
          <w:rFonts w:ascii="Times New Roman" w:hAnsi="Times New Roman" w:cs="Times New Roman"/>
          <w:sz w:val="28"/>
          <w:szCs w:val="28"/>
        </w:rPr>
        <w:t>rf 572</w:t>
      </w:r>
      <w:r w:rsidR="00E94C64">
        <w:rPr>
          <w:rFonts w:ascii="Times New Roman" w:hAnsi="Times New Roman" w:cs="Times New Roman"/>
          <w:sz w:val="28"/>
          <w:szCs w:val="28"/>
        </w:rPr>
        <w:t>.</w:t>
      </w:r>
      <w:r w:rsidR="00692F30">
        <w:rPr>
          <w:rStyle w:val="FootnoteReference"/>
          <w:rFonts w:ascii="Times New Roman" w:hAnsi="Times New Roman" w:cs="Times New Roman"/>
          <w:sz w:val="28"/>
          <w:szCs w:val="28"/>
        </w:rPr>
        <w:footnoteReference w:id="3"/>
      </w:r>
      <w:r w:rsidR="008A3D75">
        <w:rPr>
          <w:rFonts w:ascii="Times New Roman" w:hAnsi="Times New Roman" w:cs="Times New Roman"/>
          <w:sz w:val="28"/>
          <w:szCs w:val="28"/>
        </w:rPr>
        <w:t>(These were brothers-in-law).</w:t>
      </w:r>
      <w:r w:rsidR="00C32B59">
        <w:rPr>
          <w:rFonts w:ascii="Times New Roman" w:hAnsi="Times New Roman" w:cs="Times New Roman"/>
          <w:sz w:val="28"/>
          <w:szCs w:val="28"/>
        </w:rPr>
        <w:t xml:space="preserve"> </w:t>
      </w:r>
      <w:r w:rsidR="00E87DEC">
        <w:rPr>
          <w:rFonts w:ascii="Times New Roman" w:hAnsi="Times New Roman" w:cs="Times New Roman"/>
          <w:sz w:val="28"/>
          <w:szCs w:val="28"/>
        </w:rPr>
        <w:t xml:space="preserve">Four garages were built </w:t>
      </w:r>
      <w:r w:rsidR="000248CD">
        <w:rPr>
          <w:rFonts w:ascii="Times New Roman" w:hAnsi="Times New Roman" w:cs="Times New Roman"/>
          <w:sz w:val="28"/>
          <w:szCs w:val="28"/>
        </w:rPr>
        <w:t>on e</w:t>
      </w:r>
      <w:r w:rsidR="00427339">
        <w:rPr>
          <w:rFonts w:ascii="Times New Roman" w:hAnsi="Times New Roman" w:cs="Times New Roman"/>
          <w:sz w:val="28"/>
          <w:szCs w:val="28"/>
        </w:rPr>
        <w:t xml:space="preserve">rf 571 </w:t>
      </w:r>
      <w:r w:rsidR="005F429D">
        <w:rPr>
          <w:rFonts w:ascii="Times New Roman" w:hAnsi="Times New Roman" w:cs="Times New Roman"/>
          <w:sz w:val="28"/>
          <w:szCs w:val="28"/>
        </w:rPr>
        <w:t>to service both</w:t>
      </w:r>
      <w:r w:rsidR="00974650">
        <w:rPr>
          <w:rFonts w:ascii="Times New Roman" w:hAnsi="Times New Roman" w:cs="Times New Roman"/>
          <w:sz w:val="28"/>
          <w:szCs w:val="28"/>
        </w:rPr>
        <w:t xml:space="preserve"> houses.</w:t>
      </w:r>
      <w:r w:rsidR="00427339">
        <w:rPr>
          <w:rFonts w:ascii="Times New Roman" w:hAnsi="Times New Roman" w:cs="Times New Roman"/>
          <w:sz w:val="28"/>
          <w:szCs w:val="28"/>
        </w:rPr>
        <w:t xml:space="preserve"> </w:t>
      </w:r>
      <w:r w:rsidR="00974650">
        <w:rPr>
          <w:rFonts w:ascii="Times New Roman" w:hAnsi="Times New Roman" w:cs="Times New Roman"/>
          <w:sz w:val="28"/>
          <w:szCs w:val="28"/>
        </w:rPr>
        <w:t>T</w:t>
      </w:r>
      <w:r w:rsidR="00367534">
        <w:rPr>
          <w:rFonts w:ascii="Times New Roman" w:hAnsi="Times New Roman" w:cs="Times New Roman"/>
          <w:sz w:val="28"/>
          <w:szCs w:val="28"/>
        </w:rPr>
        <w:t>he</w:t>
      </w:r>
      <w:r w:rsidR="000248CD">
        <w:rPr>
          <w:rFonts w:ascii="Times New Roman" w:hAnsi="Times New Roman" w:cs="Times New Roman"/>
          <w:sz w:val="28"/>
          <w:szCs w:val="28"/>
        </w:rPr>
        <w:t xml:space="preserve"> </w:t>
      </w:r>
      <w:r w:rsidR="005F429D">
        <w:rPr>
          <w:rFonts w:ascii="Times New Roman" w:hAnsi="Times New Roman" w:cs="Times New Roman"/>
          <w:sz w:val="28"/>
          <w:szCs w:val="28"/>
        </w:rPr>
        <w:t xml:space="preserve">two garages </w:t>
      </w:r>
      <w:r w:rsidR="000248CD">
        <w:rPr>
          <w:rFonts w:ascii="Times New Roman" w:hAnsi="Times New Roman" w:cs="Times New Roman"/>
          <w:sz w:val="28"/>
          <w:szCs w:val="28"/>
        </w:rPr>
        <w:t xml:space="preserve">located on the eastern side </w:t>
      </w:r>
      <w:r w:rsidR="00E87DEC">
        <w:rPr>
          <w:rFonts w:ascii="Times New Roman" w:hAnsi="Times New Roman" w:cs="Times New Roman"/>
          <w:sz w:val="28"/>
          <w:szCs w:val="28"/>
        </w:rPr>
        <w:t>were used by the owner of e</w:t>
      </w:r>
      <w:r w:rsidR="00427339">
        <w:rPr>
          <w:rFonts w:ascii="Times New Roman" w:hAnsi="Times New Roman" w:cs="Times New Roman"/>
          <w:sz w:val="28"/>
          <w:szCs w:val="28"/>
        </w:rPr>
        <w:t xml:space="preserve">rf 571 </w:t>
      </w:r>
      <w:r w:rsidR="00974650">
        <w:rPr>
          <w:rFonts w:ascii="Times New Roman" w:hAnsi="Times New Roman" w:cs="Times New Roman"/>
          <w:sz w:val="28"/>
          <w:szCs w:val="28"/>
        </w:rPr>
        <w:t xml:space="preserve">whilst </w:t>
      </w:r>
      <w:r w:rsidR="00367534">
        <w:rPr>
          <w:rFonts w:ascii="Times New Roman" w:hAnsi="Times New Roman" w:cs="Times New Roman"/>
          <w:sz w:val="28"/>
          <w:szCs w:val="28"/>
        </w:rPr>
        <w:t xml:space="preserve">the other </w:t>
      </w:r>
      <w:r w:rsidR="00EC24E7">
        <w:rPr>
          <w:rFonts w:ascii="Times New Roman" w:hAnsi="Times New Roman" w:cs="Times New Roman"/>
          <w:sz w:val="28"/>
          <w:szCs w:val="28"/>
        </w:rPr>
        <w:t xml:space="preserve">two on the western side </w:t>
      </w:r>
      <w:r w:rsidR="00644A85">
        <w:rPr>
          <w:rFonts w:ascii="Times New Roman" w:hAnsi="Times New Roman" w:cs="Times New Roman"/>
          <w:sz w:val="28"/>
          <w:szCs w:val="28"/>
        </w:rPr>
        <w:t>belonged to the</w:t>
      </w:r>
      <w:r w:rsidR="00E87DEC">
        <w:rPr>
          <w:rFonts w:ascii="Times New Roman" w:hAnsi="Times New Roman" w:cs="Times New Roman"/>
          <w:sz w:val="28"/>
          <w:szCs w:val="28"/>
        </w:rPr>
        <w:t xml:space="preserve"> owner of e</w:t>
      </w:r>
      <w:r w:rsidR="00427339">
        <w:rPr>
          <w:rFonts w:ascii="Times New Roman" w:hAnsi="Times New Roman" w:cs="Times New Roman"/>
          <w:sz w:val="28"/>
          <w:szCs w:val="28"/>
        </w:rPr>
        <w:t>rf 572.</w:t>
      </w:r>
    </w:p>
    <w:p w:rsidR="00C91F98" w:rsidRDefault="00C91F98" w:rsidP="00C91F98">
      <w:pPr>
        <w:pStyle w:val="ListParagraph"/>
        <w:spacing w:after="0" w:line="360" w:lineRule="auto"/>
        <w:jc w:val="both"/>
        <w:rPr>
          <w:rFonts w:ascii="Times New Roman" w:hAnsi="Times New Roman" w:cs="Times New Roman"/>
          <w:sz w:val="28"/>
          <w:szCs w:val="28"/>
        </w:rPr>
      </w:pPr>
    </w:p>
    <w:p w:rsidR="0039681D" w:rsidRPr="00C91F98" w:rsidRDefault="00E87DEC" w:rsidP="00C91F98">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It was practical and convenient that the garages be constructed under unit 5 to service both units, 5 and 6.  </w:t>
      </w:r>
      <w:r w:rsidR="00C91F98">
        <w:rPr>
          <w:rFonts w:ascii="Times New Roman" w:hAnsi="Times New Roman" w:cs="Times New Roman"/>
          <w:sz w:val="28"/>
          <w:szCs w:val="28"/>
        </w:rPr>
        <w:t xml:space="preserve">The Respondents’ house was hidden from view by a large bush in front of it. </w:t>
      </w:r>
      <w:r w:rsidR="00C91F98" w:rsidRPr="00E87DEC">
        <w:rPr>
          <w:rFonts w:ascii="Times New Roman" w:hAnsi="Times New Roman" w:cs="Times New Roman"/>
          <w:sz w:val="28"/>
          <w:szCs w:val="28"/>
        </w:rPr>
        <w:t>The designer did not anticipate any individual ownership of the fictional divisions.</w:t>
      </w:r>
      <w:r w:rsidR="00DD1E83" w:rsidRPr="00C91F98">
        <w:rPr>
          <w:rFonts w:ascii="Times New Roman" w:hAnsi="Times New Roman" w:cs="Times New Roman"/>
          <w:sz w:val="28"/>
          <w:szCs w:val="28"/>
        </w:rPr>
        <w:t>The first Respondent made</w:t>
      </w:r>
      <w:r w:rsidR="00FD14D4" w:rsidRPr="00C91F98">
        <w:rPr>
          <w:rFonts w:ascii="Times New Roman" w:hAnsi="Times New Roman" w:cs="Times New Roman"/>
          <w:sz w:val="28"/>
          <w:szCs w:val="28"/>
        </w:rPr>
        <w:t xml:space="preserve"> the point that there was no need for a formal agreement betw</w:t>
      </w:r>
      <w:r w:rsidR="003E6766" w:rsidRPr="00C91F98">
        <w:rPr>
          <w:rFonts w:ascii="Times New Roman" w:hAnsi="Times New Roman" w:cs="Times New Roman"/>
          <w:sz w:val="28"/>
          <w:szCs w:val="28"/>
        </w:rPr>
        <w:t>een Van Niekerk and Labuschagne</w:t>
      </w:r>
      <w:r w:rsidR="009978D0" w:rsidRPr="00C91F98">
        <w:rPr>
          <w:rFonts w:ascii="Times New Roman" w:hAnsi="Times New Roman" w:cs="Times New Roman"/>
          <w:sz w:val="28"/>
          <w:szCs w:val="28"/>
        </w:rPr>
        <w:t>,</w:t>
      </w:r>
      <w:r w:rsidR="003E6766" w:rsidRPr="00C91F98">
        <w:rPr>
          <w:rFonts w:ascii="Times New Roman" w:hAnsi="Times New Roman" w:cs="Times New Roman"/>
          <w:sz w:val="28"/>
          <w:szCs w:val="28"/>
        </w:rPr>
        <w:t xml:space="preserve"> </w:t>
      </w:r>
      <w:r w:rsidR="00FD14D4" w:rsidRPr="00C91F98">
        <w:rPr>
          <w:rFonts w:ascii="Times New Roman" w:hAnsi="Times New Roman" w:cs="Times New Roman"/>
          <w:sz w:val="28"/>
          <w:szCs w:val="28"/>
        </w:rPr>
        <w:t xml:space="preserve">since </w:t>
      </w:r>
      <w:r w:rsidR="0039681D" w:rsidRPr="00C91F98">
        <w:rPr>
          <w:rFonts w:ascii="Times New Roman" w:hAnsi="Times New Roman" w:cs="Times New Roman"/>
          <w:sz w:val="28"/>
          <w:szCs w:val="28"/>
        </w:rPr>
        <w:t xml:space="preserve">the properties were consolidated under </w:t>
      </w:r>
      <w:r w:rsidR="003E6766" w:rsidRPr="00C91F98">
        <w:rPr>
          <w:rFonts w:ascii="Times New Roman" w:hAnsi="Times New Roman" w:cs="Times New Roman"/>
          <w:sz w:val="28"/>
          <w:szCs w:val="28"/>
        </w:rPr>
        <w:t>e</w:t>
      </w:r>
      <w:r w:rsidR="0039681D" w:rsidRPr="00C91F98">
        <w:rPr>
          <w:rFonts w:ascii="Times New Roman" w:hAnsi="Times New Roman" w:cs="Times New Roman"/>
          <w:sz w:val="28"/>
          <w:szCs w:val="28"/>
        </w:rPr>
        <w:t>rf 5</w:t>
      </w:r>
      <w:r w:rsidR="003E6766" w:rsidRPr="00C91F98">
        <w:rPr>
          <w:rFonts w:ascii="Times New Roman" w:hAnsi="Times New Roman" w:cs="Times New Roman"/>
          <w:sz w:val="28"/>
          <w:szCs w:val="28"/>
        </w:rPr>
        <w:t>66 and owned by the Shareblock C</w:t>
      </w:r>
      <w:r w:rsidR="0039681D" w:rsidRPr="00C91F98">
        <w:rPr>
          <w:rFonts w:ascii="Times New Roman" w:hAnsi="Times New Roman" w:cs="Times New Roman"/>
          <w:sz w:val="28"/>
          <w:szCs w:val="28"/>
        </w:rPr>
        <w:t>ompany.</w:t>
      </w:r>
      <w:r w:rsidR="00F75EC5" w:rsidRPr="00C91F98">
        <w:rPr>
          <w:rFonts w:ascii="Times New Roman" w:hAnsi="Times New Roman" w:cs="Times New Roman"/>
          <w:sz w:val="28"/>
          <w:szCs w:val="28"/>
        </w:rPr>
        <w:t xml:space="preserve"> </w:t>
      </w:r>
    </w:p>
    <w:p w:rsidR="00070726" w:rsidRPr="00F75EC5" w:rsidRDefault="00070726" w:rsidP="00F75EC5">
      <w:pPr>
        <w:spacing w:after="0" w:line="360" w:lineRule="auto"/>
        <w:jc w:val="both"/>
        <w:rPr>
          <w:rFonts w:ascii="Times New Roman" w:hAnsi="Times New Roman" w:cs="Times New Roman"/>
          <w:sz w:val="28"/>
          <w:szCs w:val="28"/>
        </w:rPr>
      </w:pPr>
    </w:p>
    <w:p w:rsidR="00E766D3" w:rsidRDefault="00427339" w:rsidP="001067EB">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The Applicant</w:t>
      </w:r>
      <w:r w:rsidR="00181DA9">
        <w:rPr>
          <w:rFonts w:ascii="Times New Roman" w:hAnsi="Times New Roman" w:cs="Times New Roman"/>
          <w:sz w:val="28"/>
          <w:szCs w:val="28"/>
        </w:rPr>
        <w:t>s</w:t>
      </w:r>
      <w:r>
        <w:rPr>
          <w:rFonts w:ascii="Times New Roman" w:hAnsi="Times New Roman" w:cs="Times New Roman"/>
          <w:sz w:val="28"/>
          <w:szCs w:val="28"/>
        </w:rPr>
        <w:t xml:space="preserve"> bought the shares in the Shareblock in 1999 after the subdivision had been granted.</w:t>
      </w:r>
      <w:r w:rsidR="00E94C64">
        <w:rPr>
          <w:rFonts w:ascii="Times New Roman" w:hAnsi="Times New Roman" w:cs="Times New Roman"/>
          <w:sz w:val="28"/>
          <w:szCs w:val="28"/>
        </w:rPr>
        <w:t xml:space="preserve"> </w:t>
      </w:r>
      <w:r w:rsidR="00947021">
        <w:rPr>
          <w:rFonts w:ascii="Times New Roman" w:hAnsi="Times New Roman" w:cs="Times New Roman"/>
          <w:sz w:val="28"/>
          <w:szCs w:val="28"/>
        </w:rPr>
        <w:t>Since the Shareblock C</w:t>
      </w:r>
      <w:r>
        <w:rPr>
          <w:rFonts w:ascii="Times New Roman" w:hAnsi="Times New Roman" w:cs="Times New Roman"/>
          <w:sz w:val="28"/>
          <w:szCs w:val="28"/>
        </w:rPr>
        <w:t>ompany owned the development</w:t>
      </w:r>
      <w:r w:rsidR="007A7F5E">
        <w:rPr>
          <w:rFonts w:ascii="Times New Roman" w:hAnsi="Times New Roman" w:cs="Times New Roman"/>
          <w:sz w:val="28"/>
          <w:szCs w:val="28"/>
        </w:rPr>
        <w:t>, it had</w:t>
      </w:r>
      <w:r>
        <w:rPr>
          <w:rFonts w:ascii="Times New Roman" w:hAnsi="Times New Roman" w:cs="Times New Roman"/>
          <w:sz w:val="28"/>
          <w:szCs w:val="28"/>
        </w:rPr>
        <w:t xml:space="preserve"> a strict reg</w:t>
      </w:r>
      <w:r w:rsidR="00BE3F2E">
        <w:rPr>
          <w:rFonts w:ascii="Times New Roman" w:hAnsi="Times New Roman" w:cs="Times New Roman"/>
          <w:sz w:val="28"/>
          <w:szCs w:val="28"/>
        </w:rPr>
        <w:t>ime in place regarding tampering with</w:t>
      </w:r>
      <w:r>
        <w:rPr>
          <w:rFonts w:ascii="Times New Roman" w:hAnsi="Times New Roman" w:cs="Times New Roman"/>
          <w:sz w:val="28"/>
          <w:szCs w:val="28"/>
        </w:rPr>
        <w:t xml:space="preserve"> the existing aesthetic of Keurbaai. </w:t>
      </w:r>
      <w:r w:rsidR="00947021">
        <w:rPr>
          <w:rFonts w:ascii="Times New Roman" w:hAnsi="Times New Roman" w:cs="Times New Roman"/>
          <w:sz w:val="28"/>
          <w:szCs w:val="28"/>
        </w:rPr>
        <w:t>In order to preserve the existing aesthetic of the complex, s</w:t>
      </w:r>
      <w:r>
        <w:rPr>
          <w:rFonts w:ascii="Times New Roman" w:hAnsi="Times New Roman" w:cs="Times New Roman"/>
          <w:sz w:val="28"/>
          <w:szCs w:val="28"/>
        </w:rPr>
        <w:t>hareholders were precluded from effecting wholesale alterations to their houses.</w:t>
      </w:r>
    </w:p>
    <w:p w:rsidR="00E766D3" w:rsidRDefault="00E766D3" w:rsidP="00E766D3">
      <w:pPr>
        <w:pStyle w:val="ListParagraph"/>
        <w:spacing w:after="0" w:line="360" w:lineRule="auto"/>
        <w:jc w:val="both"/>
        <w:rPr>
          <w:rFonts w:ascii="Times New Roman" w:hAnsi="Times New Roman" w:cs="Times New Roman"/>
          <w:sz w:val="28"/>
          <w:szCs w:val="28"/>
        </w:rPr>
      </w:pPr>
    </w:p>
    <w:p w:rsidR="004C15C3" w:rsidRDefault="00F75EC5" w:rsidP="00D71C6C">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Upon the sale of his</w:t>
      </w:r>
      <w:r w:rsidR="00E766D3" w:rsidRPr="00BF4542">
        <w:rPr>
          <w:rFonts w:ascii="Times New Roman" w:hAnsi="Times New Roman" w:cs="Times New Roman"/>
          <w:sz w:val="28"/>
          <w:szCs w:val="28"/>
        </w:rPr>
        <w:t xml:space="preserve"> </w:t>
      </w:r>
      <w:r w:rsidR="00A377D0">
        <w:rPr>
          <w:rFonts w:ascii="Times New Roman" w:hAnsi="Times New Roman" w:cs="Times New Roman"/>
          <w:sz w:val="28"/>
          <w:szCs w:val="28"/>
        </w:rPr>
        <w:t xml:space="preserve">Shareblock </w:t>
      </w:r>
      <w:r>
        <w:rPr>
          <w:rFonts w:ascii="Times New Roman" w:hAnsi="Times New Roman" w:cs="Times New Roman"/>
          <w:sz w:val="28"/>
          <w:szCs w:val="28"/>
        </w:rPr>
        <w:t>to t</w:t>
      </w:r>
      <w:r w:rsidR="00367534">
        <w:rPr>
          <w:rFonts w:ascii="Times New Roman" w:hAnsi="Times New Roman" w:cs="Times New Roman"/>
          <w:sz w:val="28"/>
          <w:szCs w:val="28"/>
        </w:rPr>
        <w:t>he Applicants,</w:t>
      </w:r>
      <w:r>
        <w:rPr>
          <w:rFonts w:ascii="Times New Roman" w:hAnsi="Times New Roman" w:cs="Times New Roman"/>
          <w:sz w:val="28"/>
          <w:szCs w:val="28"/>
        </w:rPr>
        <w:t xml:space="preserve"> </w:t>
      </w:r>
      <w:r w:rsidR="00E94C64" w:rsidRPr="00BF4542">
        <w:rPr>
          <w:rFonts w:ascii="Times New Roman" w:hAnsi="Times New Roman" w:cs="Times New Roman"/>
          <w:sz w:val="28"/>
          <w:szCs w:val="28"/>
        </w:rPr>
        <w:t xml:space="preserve">Van Niekerk </w:t>
      </w:r>
      <w:r w:rsidR="00E766D3" w:rsidRPr="00BF4542">
        <w:rPr>
          <w:rFonts w:ascii="Times New Roman" w:hAnsi="Times New Roman" w:cs="Times New Roman"/>
          <w:sz w:val="28"/>
          <w:szCs w:val="28"/>
        </w:rPr>
        <w:t>requested</w:t>
      </w:r>
      <w:r>
        <w:rPr>
          <w:rFonts w:ascii="Times New Roman" w:hAnsi="Times New Roman" w:cs="Times New Roman"/>
          <w:sz w:val="28"/>
          <w:szCs w:val="28"/>
        </w:rPr>
        <w:t xml:space="preserve"> them </w:t>
      </w:r>
      <w:r w:rsidR="00E766D3" w:rsidRPr="00BF4542">
        <w:rPr>
          <w:rFonts w:ascii="Times New Roman" w:hAnsi="Times New Roman" w:cs="Times New Roman"/>
          <w:sz w:val="28"/>
          <w:szCs w:val="28"/>
        </w:rPr>
        <w:t>to allow</w:t>
      </w:r>
      <w:r w:rsidR="00E94C64" w:rsidRPr="00BF4542">
        <w:rPr>
          <w:rFonts w:ascii="Times New Roman" w:hAnsi="Times New Roman" w:cs="Times New Roman"/>
          <w:sz w:val="28"/>
          <w:szCs w:val="28"/>
        </w:rPr>
        <w:t xml:space="preserve"> Labuschagne to </w:t>
      </w:r>
      <w:r w:rsidR="00E766D3" w:rsidRPr="00BF4542">
        <w:rPr>
          <w:rFonts w:ascii="Times New Roman" w:hAnsi="Times New Roman" w:cs="Times New Roman"/>
          <w:sz w:val="28"/>
          <w:szCs w:val="28"/>
        </w:rPr>
        <w:t xml:space="preserve">continue utilizing the garages. </w:t>
      </w:r>
      <w:r w:rsidR="00A377D0">
        <w:rPr>
          <w:rFonts w:ascii="Times New Roman" w:hAnsi="Times New Roman" w:cs="Times New Roman"/>
          <w:sz w:val="28"/>
          <w:szCs w:val="28"/>
        </w:rPr>
        <w:t>L</w:t>
      </w:r>
      <w:r w:rsidR="00367534">
        <w:rPr>
          <w:rFonts w:ascii="Times New Roman" w:hAnsi="Times New Roman" w:cs="Times New Roman"/>
          <w:sz w:val="28"/>
          <w:szCs w:val="28"/>
        </w:rPr>
        <w:t xml:space="preserve">abuschagne later </w:t>
      </w:r>
      <w:r w:rsidR="00E766D3" w:rsidRPr="00BF4542">
        <w:rPr>
          <w:rFonts w:ascii="Times New Roman" w:hAnsi="Times New Roman" w:cs="Times New Roman"/>
          <w:sz w:val="28"/>
          <w:szCs w:val="28"/>
        </w:rPr>
        <w:t>sold his shares to V. van Heerden who</w:t>
      </w:r>
      <w:r w:rsidR="00F050F5">
        <w:rPr>
          <w:rFonts w:ascii="Times New Roman" w:hAnsi="Times New Roman" w:cs="Times New Roman"/>
          <w:sz w:val="28"/>
          <w:szCs w:val="28"/>
        </w:rPr>
        <w:t xml:space="preserve"> </w:t>
      </w:r>
      <w:r w:rsidR="00367534">
        <w:rPr>
          <w:rFonts w:ascii="Times New Roman" w:hAnsi="Times New Roman" w:cs="Times New Roman"/>
          <w:sz w:val="28"/>
          <w:szCs w:val="28"/>
        </w:rPr>
        <w:t xml:space="preserve">also </w:t>
      </w:r>
      <w:r w:rsidR="00F050F5">
        <w:rPr>
          <w:rFonts w:ascii="Times New Roman" w:hAnsi="Times New Roman" w:cs="Times New Roman"/>
          <w:sz w:val="28"/>
          <w:szCs w:val="28"/>
        </w:rPr>
        <w:t xml:space="preserve">used the garages to </w:t>
      </w:r>
      <w:r w:rsidR="00453955">
        <w:rPr>
          <w:rFonts w:ascii="Times New Roman" w:hAnsi="Times New Roman" w:cs="Times New Roman"/>
          <w:sz w:val="28"/>
          <w:szCs w:val="28"/>
        </w:rPr>
        <w:t>park and</w:t>
      </w:r>
      <w:r w:rsidR="00F050F5">
        <w:rPr>
          <w:rFonts w:ascii="Times New Roman" w:hAnsi="Times New Roman" w:cs="Times New Roman"/>
          <w:sz w:val="28"/>
          <w:szCs w:val="28"/>
        </w:rPr>
        <w:t xml:space="preserve"> access</w:t>
      </w:r>
      <w:r w:rsidR="00E766D3" w:rsidRPr="00BF4542">
        <w:rPr>
          <w:rFonts w:ascii="Times New Roman" w:hAnsi="Times New Roman" w:cs="Times New Roman"/>
          <w:sz w:val="28"/>
          <w:szCs w:val="28"/>
        </w:rPr>
        <w:t xml:space="preserve"> </w:t>
      </w:r>
      <w:r w:rsidR="00947021">
        <w:rPr>
          <w:rFonts w:ascii="Times New Roman" w:hAnsi="Times New Roman" w:cs="Times New Roman"/>
          <w:sz w:val="28"/>
          <w:szCs w:val="28"/>
        </w:rPr>
        <w:t>e</w:t>
      </w:r>
      <w:r w:rsidR="00453955">
        <w:rPr>
          <w:rFonts w:ascii="Times New Roman" w:hAnsi="Times New Roman" w:cs="Times New Roman"/>
          <w:sz w:val="28"/>
          <w:szCs w:val="28"/>
        </w:rPr>
        <w:t>rf 572. He</w:t>
      </w:r>
      <w:r w:rsidR="00F27249">
        <w:rPr>
          <w:rFonts w:ascii="Times New Roman" w:hAnsi="Times New Roman" w:cs="Times New Roman"/>
          <w:sz w:val="28"/>
          <w:szCs w:val="28"/>
        </w:rPr>
        <w:t>,</w:t>
      </w:r>
      <w:r w:rsidR="00453955">
        <w:rPr>
          <w:rFonts w:ascii="Times New Roman" w:hAnsi="Times New Roman" w:cs="Times New Roman"/>
          <w:sz w:val="28"/>
          <w:szCs w:val="28"/>
        </w:rPr>
        <w:t xml:space="preserve"> i</w:t>
      </w:r>
      <w:r w:rsidR="00E766D3" w:rsidRPr="00BF4542">
        <w:rPr>
          <w:rFonts w:ascii="Times New Roman" w:hAnsi="Times New Roman" w:cs="Times New Roman"/>
          <w:sz w:val="28"/>
          <w:szCs w:val="28"/>
        </w:rPr>
        <w:t>n turn</w:t>
      </w:r>
      <w:r w:rsidR="00F27249">
        <w:rPr>
          <w:rFonts w:ascii="Times New Roman" w:hAnsi="Times New Roman" w:cs="Times New Roman"/>
          <w:sz w:val="28"/>
          <w:szCs w:val="28"/>
        </w:rPr>
        <w:t>,</w:t>
      </w:r>
      <w:r w:rsidR="00E766D3" w:rsidRPr="00BF4542">
        <w:rPr>
          <w:rFonts w:ascii="Times New Roman" w:hAnsi="Times New Roman" w:cs="Times New Roman"/>
          <w:sz w:val="28"/>
          <w:szCs w:val="28"/>
        </w:rPr>
        <w:t xml:space="preserve"> sold his shares to the Trust in or </w:t>
      </w:r>
      <w:r w:rsidR="00453955">
        <w:rPr>
          <w:rFonts w:ascii="Times New Roman" w:hAnsi="Times New Roman" w:cs="Times New Roman"/>
          <w:sz w:val="28"/>
          <w:szCs w:val="28"/>
        </w:rPr>
        <w:t xml:space="preserve">about August </w:t>
      </w:r>
      <w:r w:rsidR="00E766D3" w:rsidRPr="00BF4542">
        <w:rPr>
          <w:rFonts w:ascii="Times New Roman" w:hAnsi="Times New Roman" w:cs="Times New Roman"/>
          <w:sz w:val="28"/>
          <w:szCs w:val="28"/>
        </w:rPr>
        <w:t>2013.</w:t>
      </w:r>
      <w:r w:rsidR="00E94C64" w:rsidRPr="00BF4542">
        <w:rPr>
          <w:rFonts w:ascii="Times New Roman" w:hAnsi="Times New Roman" w:cs="Times New Roman"/>
          <w:sz w:val="28"/>
          <w:szCs w:val="28"/>
        </w:rPr>
        <w:t xml:space="preserve"> </w:t>
      </w:r>
      <w:r w:rsidR="00367534">
        <w:rPr>
          <w:rFonts w:ascii="Times New Roman" w:hAnsi="Times New Roman" w:cs="Times New Roman"/>
          <w:sz w:val="28"/>
          <w:szCs w:val="28"/>
        </w:rPr>
        <w:t>For what it is worth, t</w:t>
      </w:r>
      <w:r w:rsidR="00453955">
        <w:rPr>
          <w:rFonts w:ascii="Times New Roman" w:hAnsi="Times New Roman" w:cs="Times New Roman"/>
          <w:sz w:val="28"/>
          <w:szCs w:val="28"/>
        </w:rPr>
        <w:t xml:space="preserve">he first Applicant was </w:t>
      </w:r>
      <w:r w:rsidR="00A377D0">
        <w:rPr>
          <w:rFonts w:ascii="Times New Roman" w:hAnsi="Times New Roman" w:cs="Times New Roman"/>
          <w:sz w:val="28"/>
          <w:szCs w:val="28"/>
        </w:rPr>
        <w:t xml:space="preserve">at one stage </w:t>
      </w:r>
      <w:r w:rsidR="00453955">
        <w:rPr>
          <w:rFonts w:ascii="Times New Roman" w:hAnsi="Times New Roman" w:cs="Times New Roman"/>
          <w:sz w:val="28"/>
          <w:szCs w:val="28"/>
        </w:rPr>
        <w:t>the Chairman of the Shareblock</w:t>
      </w:r>
      <w:r w:rsidR="00947021">
        <w:rPr>
          <w:rFonts w:ascii="Times New Roman" w:hAnsi="Times New Roman" w:cs="Times New Roman"/>
          <w:sz w:val="28"/>
          <w:szCs w:val="28"/>
        </w:rPr>
        <w:t xml:space="preserve"> C</w:t>
      </w:r>
      <w:r w:rsidR="00453955">
        <w:rPr>
          <w:rFonts w:ascii="Times New Roman" w:hAnsi="Times New Roman" w:cs="Times New Roman"/>
          <w:sz w:val="28"/>
          <w:szCs w:val="28"/>
        </w:rPr>
        <w:t>ompany.</w:t>
      </w:r>
      <w:r w:rsidR="00AC0CF5">
        <w:rPr>
          <w:rFonts w:ascii="Times New Roman" w:hAnsi="Times New Roman" w:cs="Times New Roman"/>
          <w:sz w:val="28"/>
          <w:szCs w:val="28"/>
        </w:rPr>
        <w:t xml:space="preserve"> </w:t>
      </w:r>
    </w:p>
    <w:p w:rsidR="00BF4542" w:rsidRPr="00BF4542" w:rsidRDefault="00BF4542" w:rsidP="00BF4542">
      <w:pPr>
        <w:pStyle w:val="ListParagraph"/>
        <w:rPr>
          <w:rFonts w:ascii="Times New Roman" w:hAnsi="Times New Roman" w:cs="Times New Roman"/>
          <w:sz w:val="28"/>
          <w:szCs w:val="28"/>
        </w:rPr>
      </w:pPr>
    </w:p>
    <w:p w:rsidR="00382D43" w:rsidRDefault="007A7F5E" w:rsidP="00D31452">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The Applicants</w:t>
      </w:r>
      <w:r w:rsidR="00367534">
        <w:rPr>
          <w:rFonts w:ascii="Times New Roman" w:hAnsi="Times New Roman" w:cs="Times New Roman"/>
          <w:sz w:val="28"/>
          <w:szCs w:val="28"/>
        </w:rPr>
        <w:t xml:space="preserve"> permitted </w:t>
      </w:r>
      <w:r w:rsidR="00BF4542">
        <w:rPr>
          <w:rFonts w:ascii="Times New Roman" w:hAnsi="Times New Roman" w:cs="Times New Roman"/>
          <w:sz w:val="28"/>
          <w:szCs w:val="28"/>
        </w:rPr>
        <w:t>the Trust to utilize the garages</w:t>
      </w:r>
      <w:r w:rsidR="00367534">
        <w:rPr>
          <w:rFonts w:ascii="Times New Roman" w:hAnsi="Times New Roman" w:cs="Times New Roman"/>
          <w:sz w:val="28"/>
          <w:szCs w:val="28"/>
        </w:rPr>
        <w:t>.</w:t>
      </w:r>
      <w:r w:rsidR="00831902" w:rsidRPr="00367534">
        <w:rPr>
          <w:rFonts w:ascii="Times New Roman" w:hAnsi="Times New Roman" w:cs="Times New Roman"/>
          <w:sz w:val="28"/>
          <w:szCs w:val="28"/>
        </w:rPr>
        <w:t xml:space="preserve"> According to the Applicants they did not intend utilizing the garages for their cars</w:t>
      </w:r>
      <w:r w:rsidR="00947021">
        <w:rPr>
          <w:rFonts w:ascii="Times New Roman" w:hAnsi="Times New Roman" w:cs="Times New Roman"/>
          <w:sz w:val="28"/>
          <w:szCs w:val="28"/>
        </w:rPr>
        <w:t>,</w:t>
      </w:r>
      <w:r w:rsidR="00831902" w:rsidRPr="00367534">
        <w:rPr>
          <w:rFonts w:ascii="Times New Roman" w:hAnsi="Times New Roman" w:cs="Times New Roman"/>
          <w:sz w:val="28"/>
          <w:szCs w:val="28"/>
        </w:rPr>
        <w:t xml:space="preserve"> and they were not permitted to alter the property in any significant way. </w:t>
      </w:r>
      <w:r w:rsidR="00D31452">
        <w:rPr>
          <w:rFonts w:ascii="Times New Roman" w:hAnsi="Times New Roman" w:cs="Times New Roman"/>
          <w:sz w:val="28"/>
          <w:szCs w:val="28"/>
        </w:rPr>
        <w:t>In 2014</w:t>
      </w:r>
      <w:r w:rsidR="00947021">
        <w:rPr>
          <w:rFonts w:ascii="Times New Roman" w:hAnsi="Times New Roman" w:cs="Times New Roman"/>
          <w:sz w:val="28"/>
          <w:szCs w:val="28"/>
        </w:rPr>
        <w:t>,</w:t>
      </w:r>
      <w:r w:rsidR="00D31452">
        <w:rPr>
          <w:rFonts w:ascii="Times New Roman" w:hAnsi="Times New Roman" w:cs="Times New Roman"/>
          <w:sz w:val="28"/>
          <w:szCs w:val="28"/>
        </w:rPr>
        <w:t xml:space="preserve"> t</w:t>
      </w:r>
      <w:r w:rsidR="00831902" w:rsidRPr="00D31452">
        <w:rPr>
          <w:rFonts w:ascii="Times New Roman" w:hAnsi="Times New Roman" w:cs="Times New Roman"/>
          <w:sz w:val="28"/>
          <w:szCs w:val="28"/>
        </w:rPr>
        <w:t>he first Applicant</w:t>
      </w:r>
      <w:r w:rsidR="009978D0">
        <w:rPr>
          <w:rFonts w:ascii="Times New Roman" w:hAnsi="Times New Roman" w:cs="Times New Roman"/>
          <w:sz w:val="28"/>
          <w:szCs w:val="28"/>
        </w:rPr>
        <w:t xml:space="preserve"> and</w:t>
      </w:r>
      <w:r w:rsidR="00FE4B7C" w:rsidRPr="00D31452">
        <w:rPr>
          <w:rFonts w:ascii="Times New Roman" w:hAnsi="Times New Roman" w:cs="Times New Roman"/>
          <w:sz w:val="28"/>
          <w:szCs w:val="28"/>
        </w:rPr>
        <w:t xml:space="preserve"> first Respondent met and</w:t>
      </w:r>
      <w:r w:rsidR="00831902" w:rsidRPr="00D31452">
        <w:rPr>
          <w:rFonts w:ascii="Times New Roman" w:hAnsi="Times New Roman" w:cs="Times New Roman"/>
          <w:sz w:val="28"/>
          <w:szCs w:val="28"/>
        </w:rPr>
        <w:t xml:space="preserve"> discuss</w:t>
      </w:r>
      <w:r w:rsidR="00947021">
        <w:rPr>
          <w:rFonts w:ascii="Times New Roman" w:hAnsi="Times New Roman" w:cs="Times New Roman"/>
          <w:sz w:val="28"/>
          <w:szCs w:val="28"/>
        </w:rPr>
        <w:t>ed</w:t>
      </w:r>
      <w:r w:rsidR="00FE4B7C" w:rsidRPr="00D31452">
        <w:rPr>
          <w:rFonts w:ascii="Times New Roman" w:hAnsi="Times New Roman" w:cs="Times New Roman"/>
          <w:sz w:val="28"/>
          <w:szCs w:val="28"/>
        </w:rPr>
        <w:t xml:space="preserve"> registering a </w:t>
      </w:r>
      <w:r w:rsidR="00831902" w:rsidRPr="00D31452">
        <w:rPr>
          <w:rFonts w:ascii="Times New Roman" w:hAnsi="Times New Roman" w:cs="Times New Roman"/>
          <w:sz w:val="28"/>
          <w:szCs w:val="28"/>
        </w:rPr>
        <w:t xml:space="preserve">servitude </w:t>
      </w:r>
      <w:r w:rsidR="00FE4B7C" w:rsidRPr="00D31452">
        <w:rPr>
          <w:rFonts w:ascii="Times New Roman" w:hAnsi="Times New Roman" w:cs="Times New Roman"/>
          <w:sz w:val="28"/>
          <w:szCs w:val="28"/>
        </w:rPr>
        <w:t>over the Applicants’ property which would formalise</w:t>
      </w:r>
      <w:r w:rsidR="00831902" w:rsidRPr="00D31452">
        <w:rPr>
          <w:rFonts w:ascii="Times New Roman" w:hAnsi="Times New Roman" w:cs="Times New Roman"/>
          <w:sz w:val="28"/>
          <w:szCs w:val="28"/>
        </w:rPr>
        <w:t xml:space="preserve"> the </w:t>
      </w:r>
      <w:r w:rsidR="00FE4B7C" w:rsidRPr="00D31452">
        <w:rPr>
          <w:rFonts w:ascii="Times New Roman" w:hAnsi="Times New Roman" w:cs="Times New Roman"/>
          <w:sz w:val="28"/>
          <w:szCs w:val="28"/>
        </w:rPr>
        <w:t xml:space="preserve">permission, the </w:t>
      </w:r>
      <w:r w:rsidR="00831902" w:rsidRPr="00D31452">
        <w:rPr>
          <w:rFonts w:ascii="Times New Roman" w:hAnsi="Times New Roman" w:cs="Times New Roman"/>
          <w:sz w:val="28"/>
          <w:szCs w:val="28"/>
        </w:rPr>
        <w:t>owner</w:t>
      </w:r>
      <w:r w:rsidR="00947021">
        <w:rPr>
          <w:rFonts w:ascii="Times New Roman" w:hAnsi="Times New Roman" w:cs="Times New Roman"/>
          <w:sz w:val="28"/>
          <w:szCs w:val="28"/>
        </w:rPr>
        <w:t>s</w:t>
      </w:r>
      <w:r w:rsidR="00831902" w:rsidRPr="00D31452">
        <w:rPr>
          <w:rFonts w:ascii="Times New Roman" w:hAnsi="Times New Roman" w:cs="Times New Roman"/>
          <w:sz w:val="28"/>
          <w:szCs w:val="28"/>
        </w:rPr>
        <w:t xml:space="preserve"> of the Trust property </w:t>
      </w:r>
      <w:r w:rsidR="00FE4B7C" w:rsidRPr="00D31452">
        <w:rPr>
          <w:rFonts w:ascii="Times New Roman" w:hAnsi="Times New Roman" w:cs="Times New Roman"/>
          <w:sz w:val="28"/>
          <w:szCs w:val="28"/>
        </w:rPr>
        <w:t xml:space="preserve">already had, </w:t>
      </w:r>
      <w:r w:rsidR="00831902" w:rsidRPr="00D31452">
        <w:rPr>
          <w:rFonts w:ascii="Times New Roman" w:hAnsi="Times New Roman" w:cs="Times New Roman"/>
          <w:sz w:val="28"/>
          <w:szCs w:val="28"/>
        </w:rPr>
        <w:t>to continue ut</w:t>
      </w:r>
      <w:r w:rsidR="00FE4B7C" w:rsidRPr="00D31452">
        <w:rPr>
          <w:rFonts w:ascii="Times New Roman" w:hAnsi="Times New Roman" w:cs="Times New Roman"/>
          <w:sz w:val="28"/>
          <w:szCs w:val="28"/>
        </w:rPr>
        <w:t>ilizing the garages and</w:t>
      </w:r>
      <w:r w:rsidR="00831902" w:rsidRPr="00D31452">
        <w:rPr>
          <w:rFonts w:ascii="Times New Roman" w:hAnsi="Times New Roman" w:cs="Times New Roman"/>
          <w:sz w:val="28"/>
          <w:szCs w:val="28"/>
        </w:rPr>
        <w:t xml:space="preserve"> accessing the Trust property from the Applicants’ property.</w:t>
      </w:r>
    </w:p>
    <w:p w:rsidR="009978D0" w:rsidRPr="00847C59" w:rsidRDefault="009978D0" w:rsidP="00847C59">
      <w:pPr>
        <w:spacing w:after="0" w:line="360" w:lineRule="auto"/>
        <w:jc w:val="both"/>
        <w:rPr>
          <w:rFonts w:ascii="Times New Roman" w:hAnsi="Times New Roman" w:cs="Times New Roman"/>
          <w:sz w:val="28"/>
          <w:szCs w:val="28"/>
        </w:rPr>
      </w:pPr>
    </w:p>
    <w:p w:rsidR="007A7606" w:rsidRDefault="007A7606" w:rsidP="007A7606">
      <w:pPr>
        <w:pStyle w:val="ListParagraph"/>
        <w:spacing w:after="0" w:line="360" w:lineRule="auto"/>
        <w:ind w:left="0"/>
        <w:jc w:val="both"/>
        <w:rPr>
          <w:rFonts w:ascii="Times New Roman" w:hAnsi="Times New Roman" w:cs="Times New Roman"/>
          <w:b/>
          <w:sz w:val="28"/>
          <w:szCs w:val="28"/>
          <w:u w:val="single"/>
        </w:rPr>
      </w:pPr>
      <w:r w:rsidRPr="007A7606">
        <w:rPr>
          <w:rFonts w:ascii="Times New Roman" w:hAnsi="Times New Roman" w:cs="Times New Roman"/>
          <w:b/>
          <w:sz w:val="28"/>
          <w:szCs w:val="28"/>
          <w:u w:val="single"/>
        </w:rPr>
        <w:t>ISSUES</w:t>
      </w:r>
      <w:r>
        <w:rPr>
          <w:rFonts w:ascii="Times New Roman" w:hAnsi="Times New Roman" w:cs="Times New Roman"/>
          <w:b/>
          <w:sz w:val="28"/>
          <w:szCs w:val="28"/>
          <w:u w:val="single"/>
        </w:rPr>
        <w:t xml:space="preserve"> CONFRONTING THE PARTIES</w:t>
      </w:r>
    </w:p>
    <w:p w:rsidR="007A7606" w:rsidRDefault="007A7606" w:rsidP="007A7606">
      <w:pPr>
        <w:pStyle w:val="ListParagraph"/>
        <w:spacing w:after="0" w:line="360" w:lineRule="auto"/>
        <w:ind w:left="0"/>
        <w:jc w:val="both"/>
        <w:rPr>
          <w:rFonts w:ascii="Times New Roman" w:hAnsi="Times New Roman" w:cs="Times New Roman"/>
          <w:b/>
          <w:sz w:val="28"/>
          <w:szCs w:val="28"/>
          <w:u w:val="single"/>
        </w:rPr>
      </w:pPr>
    </w:p>
    <w:p w:rsidR="002F4889" w:rsidRPr="007A7606" w:rsidRDefault="007837FA" w:rsidP="007A7606">
      <w:pPr>
        <w:pStyle w:val="ListParagraph"/>
        <w:numPr>
          <w:ilvl w:val="0"/>
          <w:numId w:val="31"/>
        </w:numPr>
        <w:spacing w:after="0" w:line="360" w:lineRule="auto"/>
        <w:ind w:hanging="720"/>
        <w:jc w:val="both"/>
        <w:rPr>
          <w:rFonts w:ascii="Times New Roman" w:hAnsi="Times New Roman" w:cs="Times New Roman"/>
          <w:sz w:val="28"/>
          <w:szCs w:val="28"/>
        </w:rPr>
      </w:pPr>
      <w:r w:rsidRPr="007A7606">
        <w:rPr>
          <w:rFonts w:ascii="Times New Roman" w:hAnsi="Times New Roman" w:cs="Times New Roman"/>
          <w:sz w:val="28"/>
          <w:szCs w:val="28"/>
        </w:rPr>
        <w:t>On 23 April 2014</w:t>
      </w:r>
      <w:r w:rsidR="006769B9">
        <w:rPr>
          <w:rFonts w:ascii="Times New Roman" w:hAnsi="Times New Roman" w:cs="Times New Roman"/>
          <w:sz w:val="28"/>
          <w:szCs w:val="28"/>
        </w:rPr>
        <w:t>, the first Applicant</w:t>
      </w:r>
      <w:r w:rsidRPr="007A7606">
        <w:rPr>
          <w:rFonts w:ascii="Times New Roman" w:hAnsi="Times New Roman" w:cs="Times New Roman"/>
          <w:sz w:val="28"/>
          <w:szCs w:val="28"/>
        </w:rPr>
        <w:t xml:space="preserve"> addressed an email to </w:t>
      </w:r>
      <w:r w:rsidR="006769B9">
        <w:rPr>
          <w:rFonts w:ascii="Times New Roman" w:hAnsi="Times New Roman" w:cs="Times New Roman"/>
          <w:sz w:val="28"/>
          <w:szCs w:val="28"/>
        </w:rPr>
        <w:t xml:space="preserve">the first Respondent and Chairman of the Shareblock Company, Simeon Peerutin. </w:t>
      </w:r>
      <w:r w:rsidR="00647C5E" w:rsidRPr="007A7606">
        <w:rPr>
          <w:rFonts w:ascii="Times New Roman" w:hAnsi="Times New Roman" w:cs="Times New Roman"/>
          <w:sz w:val="28"/>
          <w:szCs w:val="28"/>
        </w:rPr>
        <w:t xml:space="preserve">In this email the </w:t>
      </w:r>
      <w:r w:rsidR="006769B9">
        <w:rPr>
          <w:rFonts w:ascii="Times New Roman" w:hAnsi="Times New Roman" w:cs="Times New Roman"/>
          <w:sz w:val="28"/>
          <w:szCs w:val="28"/>
        </w:rPr>
        <w:t xml:space="preserve">first </w:t>
      </w:r>
      <w:r w:rsidR="00647C5E" w:rsidRPr="007A7606">
        <w:rPr>
          <w:rFonts w:ascii="Times New Roman" w:hAnsi="Times New Roman" w:cs="Times New Roman"/>
          <w:sz w:val="28"/>
          <w:szCs w:val="28"/>
        </w:rPr>
        <w:t xml:space="preserve">Applicant stated </w:t>
      </w:r>
      <w:r w:rsidR="002F4889" w:rsidRPr="007A7606">
        <w:rPr>
          <w:rFonts w:ascii="Times New Roman" w:hAnsi="Times New Roman" w:cs="Times New Roman"/>
          <w:sz w:val="28"/>
          <w:szCs w:val="28"/>
        </w:rPr>
        <w:t>the following:</w:t>
      </w:r>
    </w:p>
    <w:p w:rsidR="007528DF" w:rsidRPr="00A36BD0" w:rsidRDefault="007528DF" w:rsidP="00A36BD0">
      <w:pPr>
        <w:rPr>
          <w:rFonts w:ascii="Times New Roman" w:hAnsi="Times New Roman" w:cs="Times New Roman"/>
          <w:sz w:val="28"/>
          <w:szCs w:val="28"/>
        </w:rPr>
      </w:pPr>
    </w:p>
    <w:p w:rsidR="007528DF" w:rsidRPr="00A36BD0" w:rsidRDefault="00A36BD0" w:rsidP="00A36BD0">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w:t>
      </w:r>
      <w:r w:rsidR="008413AE" w:rsidRPr="00A36BD0">
        <w:rPr>
          <w:rFonts w:ascii="Times New Roman" w:hAnsi="Times New Roman" w:cs="Times New Roman"/>
          <w:sz w:val="28"/>
          <w:szCs w:val="28"/>
        </w:rPr>
        <w:t>Hi Simmy</w:t>
      </w:r>
    </w:p>
    <w:p w:rsidR="008413AE" w:rsidRPr="008413AE" w:rsidRDefault="008413AE" w:rsidP="008413AE">
      <w:pPr>
        <w:pStyle w:val="ListParagraph"/>
        <w:rPr>
          <w:rFonts w:ascii="Times New Roman" w:hAnsi="Times New Roman" w:cs="Times New Roman"/>
          <w:sz w:val="28"/>
          <w:szCs w:val="28"/>
        </w:rPr>
      </w:pPr>
    </w:p>
    <w:p w:rsidR="008413AE" w:rsidRDefault="008413AE" w:rsidP="008413AE">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As we are now proceeding with the transfer of the remaining </w:t>
      </w:r>
      <w:r w:rsidR="00453955">
        <w:rPr>
          <w:rFonts w:ascii="Times New Roman" w:hAnsi="Times New Roman" w:cs="Times New Roman"/>
          <w:sz w:val="28"/>
          <w:szCs w:val="28"/>
        </w:rPr>
        <w:t>part</w:t>
      </w:r>
      <w:r>
        <w:rPr>
          <w:rFonts w:ascii="Times New Roman" w:hAnsi="Times New Roman" w:cs="Times New Roman"/>
          <w:sz w:val="28"/>
          <w:szCs w:val="28"/>
        </w:rPr>
        <w:t xml:space="preserve"> of the Shareblock to the shareholders, there is one issue that Zweli (Vincent) and I need to resolve. He basically owns the two left-most garages under No 5 and I am thus obliged to provide him with a servitude to access these garages.</w:t>
      </w:r>
    </w:p>
    <w:p w:rsidR="008413AE" w:rsidRDefault="008413AE" w:rsidP="008413AE">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While all o</w:t>
      </w:r>
      <w:r w:rsidR="00453955">
        <w:rPr>
          <w:rFonts w:ascii="Times New Roman" w:hAnsi="Times New Roman" w:cs="Times New Roman"/>
          <w:sz w:val="28"/>
          <w:szCs w:val="28"/>
        </w:rPr>
        <w:t>f the houses were owned by the S</w:t>
      </w:r>
      <w:r>
        <w:rPr>
          <w:rFonts w:ascii="Times New Roman" w:hAnsi="Times New Roman" w:cs="Times New Roman"/>
          <w:sz w:val="28"/>
          <w:szCs w:val="28"/>
        </w:rPr>
        <w:t xml:space="preserve">hareblock this was not an </w:t>
      </w:r>
      <w:r w:rsidR="00333573">
        <w:rPr>
          <w:rFonts w:ascii="Times New Roman" w:hAnsi="Times New Roman" w:cs="Times New Roman"/>
          <w:sz w:val="28"/>
          <w:szCs w:val="28"/>
        </w:rPr>
        <w:t>issue and we simply allowed the owners of unit 6 to park on half the front of our erf (571). Now that we have to create a formal servitude, we need to create a balance between giving Zweli access and preserving the value of our erf. The bigger the servitude, the lower our value.</w:t>
      </w:r>
    </w:p>
    <w:p w:rsidR="001670ED" w:rsidRDefault="001670ED" w:rsidP="008413AE">
      <w:pPr>
        <w:pStyle w:val="ListParagraph"/>
        <w:spacing w:after="0" w:line="360" w:lineRule="auto"/>
        <w:jc w:val="both"/>
        <w:rPr>
          <w:rFonts w:ascii="Times New Roman" w:hAnsi="Times New Roman" w:cs="Times New Roman"/>
          <w:sz w:val="28"/>
          <w:szCs w:val="28"/>
        </w:rPr>
      </w:pPr>
    </w:p>
    <w:p w:rsidR="00333573" w:rsidRDefault="00333573" w:rsidP="008413AE">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In addition, Zweli needs to ensure that he has sufficient parking. Note that the piece of ground opposite No 6 IS taken up by the electric box and is a servitude in favour of all Keurbaai houses.</w:t>
      </w:r>
    </w:p>
    <w:p w:rsidR="001670ED" w:rsidRDefault="001670ED" w:rsidP="008413AE">
      <w:pPr>
        <w:pStyle w:val="ListParagraph"/>
        <w:spacing w:after="0" w:line="360" w:lineRule="auto"/>
        <w:jc w:val="both"/>
        <w:rPr>
          <w:rFonts w:ascii="Times New Roman" w:hAnsi="Times New Roman" w:cs="Times New Roman"/>
          <w:sz w:val="28"/>
          <w:szCs w:val="28"/>
        </w:rPr>
      </w:pPr>
    </w:p>
    <w:p w:rsidR="001670ED" w:rsidRDefault="00333573" w:rsidP="008413AE">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I have come with a sketch that I think might work and thought I’d ask for your architectural opinion. It will necessitate Zweli removing about half of the bush</w:t>
      </w:r>
      <w:r w:rsidR="00136A26">
        <w:rPr>
          <w:rFonts w:ascii="Times New Roman" w:hAnsi="Times New Roman" w:cs="Times New Roman"/>
          <w:sz w:val="28"/>
          <w:szCs w:val="28"/>
        </w:rPr>
        <w:t xml:space="preserve"> in front of his house, but I would suggest he keeps as much as possible as close to the house as possible as to avoid exposing more brick work to the road. As it stands, it is rather nice that No 6 is hidden</w:t>
      </w:r>
      <w:r w:rsidR="001670ED">
        <w:rPr>
          <w:rFonts w:ascii="Times New Roman" w:hAnsi="Times New Roman" w:cs="Times New Roman"/>
          <w:sz w:val="28"/>
          <w:szCs w:val="28"/>
        </w:rPr>
        <w:t>…</w:t>
      </w:r>
    </w:p>
    <w:p w:rsidR="00E63A81" w:rsidRDefault="00E63A81" w:rsidP="008413AE">
      <w:pPr>
        <w:pStyle w:val="ListParagraph"/>
        <w:spacing w:after="0" w:line="360" w:lineRule="auto"/>
        <w:jc w:val="both"/>
        <w:rPr>
          <w:rFonts w:ascii="Times New Roman" w:hAnsi="Times New Roman" w:cs="Times New Roman"/>
          <w:sz w:val="28"/>
          <w:szCs w:val="28"/>
        </w:rPr>
      </w:pPr>
    </w:p>
    <w:p w:rsidR="00007921" w:rsidRDefault="001670ED" w:rsidP="008413AE">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Zweli what are your thoughts?</w:t>
      </w:r>
      <w:r w:rsidR="00007921">
        <w:rPr>
          <w:rFonts w:ascii="Times New Roman" w:hAnsi="Times New Roman" w:cs="Times New Roman"/>
          <w:sz w:val="28"/>
          <w:szCs w:val="28"/>
        </w:rPr>
        <w:t>”</w:t>
      </w:r>
      <w:r w:rsidR="00A36BD0">
        <w:rPr>
          <w:rStyle w:val="FootnoteReference"/>
          <w:rFonts w:ascii="Times New Roman" w:hAnsi="Times New Roman" w:cs="Times New Roman"/>
          <w:sz w:val="28"/>
          <w:szCs w:val="28"/>
        </w:rPr>
        <w:footnoteReference w:id="4"/>
      </w:r>
    </w:p>
    <w:p w:rsidR="00007921" w:rsidRDefault="00007921" w:rsidP="008413AE">
      <w:pPr>
        <w:pStyle w:val="ListParagraph"/>
        <w:spacing w:after="0" w:line="360" w:lineRule="auto"/>
        <w:jc w:val="both"/>
        <w:rPr>
          <w:rFonts w:ascii="Times New Roman" w:hAnsi="Times New Roman" w:cs="Times New Roman"/>
          <w:sz w:val="28"/>
          <w:szCs w:val="28"/>
        </w:rPr>
      </w:pPr>
    </w:p>
    <w:p w:rsidR="00FA74E0" w:rsidRDefault="0011752B" w:rsidP="00FA74E0">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At this stage, i</w:t>
      </w:r>
      <w:r w:rsidR="005D020C">
        <w:rPr>
          <w:rFonts w:ascii="Times New Roman" w:hAnsi="Times New Roman" w:cs="Times New Roman"/>
          <w:sz w:val="28"/>
          <w:szCs w:val="28"/>
        </w:rPr>
        <w:t>t was</w:t>
      </w:r>
      <w:r w:rsidR="00A66BCB">
        <w:rPr>
          <w:rFonts w:ascii="Times New Roman" w:hAnsi="Times New Roman" w:cs="Times New Roman"/>
          <w:sz w:val="28"/>
          <w:szCs w:val="28"/>
        </w:rPr>
        <w:t xml:space="preserve"> beyond </w:t>
      </w:r>
      <w:r w:rsidR="005D020C">
        <w:rPr>
          <w:rFonts w:ascii="Times New Roman" w:hAnsi="Times New Roman" w:cs="Times New Roman"/>
          <w:sz w:val="28"/>
          <w:szCs w:val="28"/>
        </w:rPr>
        <w:t xml:space="preserve">any </w:t>
      </w:r>
      <w:r w:rsidR="00A66BCB">
        <w:rPr>
          <w:rFonts w:ascii="Times New Roman" w:hAnsi="Times New Roman" w:cs="Times New Roman"/>
          <w:sz w:val="28"/>
          <w:szCs w:val="28"/>
        </w:rPr>
        <w:t>question that the</w:t>
      </w:r>
      <w:r>
        <w:rPr>
          <w:rFonts w:ascii="Times New Roman" w:hAnsi="Times New Roman" w:cs="Times New Roman"/>
          <w:sz w:val="28"/>
          <w:szCs w:val="28"/>
        </w:rPr>
        <w:t xml:space="preserve"> parties regarded the</w:t>
      </w:r>
      <w:r w:rsidR="003A1E87">
        <w:rPr>
          <w:rFonts w:ascii="Times New Roman" w:hAnsi="Times New Roman" w:cs="Times New Roman"/>
          <w:sz w:val="28"/>
          <w:szCs w:val="28"/>
        </w:rPr>
        <w:t xml:space="preserve"> two</w:t>
      </w:r>
      <w:r w:rsidR="00A66BCB">
        <w:rPr>
          <w:rFonts w:ascii="Times New Roman" w:hAnsi="Times New Roman" w:cs="Times New Roman"/>
          <w:sz w:val="28"/>
          <w:szCs w:val="28"/>
        </w:rPr>
        <w:t xml:space="preserve"> garages</w:t>
      </w:r>
      <w:r>
        <w:rPr>
          <w:rFonts w:ascii="Times New Roman" w:hAnsi="Times New Roman" w:cs="Times New Roman"/>
          <w:sz w:val="28"/>
          <w:szCs w:val="28"/>
        </w:rPr>
        <w:t xml:space="preserve"> </w:t>
      </w:r>
      <w:r w:rsidR="003A1E87">
        <w:rPr>
          <w:rFonts w:ascii="Times New Roman" w:hAnsi="Times New Roman" w:cs="Times New Roman"/>
          <w:sz w:val="28"/>
          <w:szCs w:val="28"/>
        </w:rPr>
        <w:t xml:space="preserve">on the western side </w:t>
      </w:r>
      <w:r>
        <w:rPr>
          <w:rFonts w:ascii="Times New Roman" w:hAnsi="Times New Roman" w:cs="Times New Roman"/>
          <w:sz w:val="28"/>
          <w:szCs w:val="28"/>
        </w:rPr>
        <w:t>as belonging</w:t>
      </w:r>
      <w:r w:rsidR="003A1E87">
        <w:rPr>
          <w:rFonts w:ascii="Times New Roman" w:hAnsi="Times New Roman" w:cs="Times New Roman"/>
          <w:sz w:val="28"/>
          <w:szCs w:val="28"/>
        </w:rPr>
        <w:t xml:space="preserve"> to e</w:t>
      </w:r>
      <w:r w:rsidR="00A66BCB">
        <w:rPr>
          <w:rFonts w:ascii="Times New Roman" w:hAnsi="Times New Roman" w:cs="Times New Roman"/>
          <w:sz w:val="28"/>
          <w:szCs w:val="28"/>
        </w:rPr>
        <w:t>rf 572. Hence</w:t>
      </w:r>
      <w:r w:rsidR="006C09AF">
        <w:rPr>
          <w:rFonts w:ascii="Times New Roman" w:hAnsi="Times New Roman" w:cs="Times New Roman"/>
          <w:sz w:val="28"/>
          <w:szCs w:val="28"/>
        </w:rPr>
        <w:t>,</w:t>
      </w:r>
      <w:r w:rsidR="00A66BCB">
        <w:rPr>
          <w:rFonts w:ascii="Times New Roman" w:hAnsi="Times New Roman" w:cs="Times New Roman"/>
          <w:sz w:val="28"/>
          <w:szCs w:val="28"/>
        </w:rPr>
        <w:t xml:space="preserve"> </w:t>
      </w:r>
      <w:r w:rsidR="00FF7E23">
        <w:rPr>
          <w:rFonts w:ascii="Times New Roman" w:hAnsi="Times New Roman" w:cs="Times New Roman"/>
          <w:sz w:val="28"/>
          <w:szCs w:val="28"/>
        </w:rPr>
        <w:t>t</w:t>
      </w:r>
      <w:r w:rsidR="00FF7E23" w:rsidRPr="00AD58DB">
        <w:rPr>
          <w:rFonts w:ascii="Times New Roman" w:hAnsi="Times New Roman" w:cs="Times New Roman"/>
          <w:sz w:val="28"/>
          <w:szCs w:val="28"/>
        </w:rPr>
        <w:t>he Respondents effected improvements by building a storeroom at the back of the garages</w:t>
      </w:r>
      <w:r w:rsidR="002F3CB2">
        <w:rPr>
          <w:rFonts w:ascii="Times New Roman" w:hAnsi="Times New Roman" w:cs="Times New Roman"/>
          <w:sz w:val="28"/>
          <w:szCs w:val="28"/>
        </w:rPr>
        <w:t>,</w:t>
      </w:r>
      <w:r w:rsidR="00FF7E23" w:rsidRPr="00AD58DB">
        <w:rPr>
          <w:rFonts w:ascii="Times New Roman" w:hAnsi="Times New Roman" w:cs="Times New Roman"/>
          <w:sz w:val="28"/>
          <w:szCs w:val="28"/>
        </w:rPr>
        <w:t xml:space="preserve"> i</w:t>
      </w:r>
      <w:r w:rsidR="002F3CB2">
        <w:rPr>
          <w:rFonts w:ascii="Times New Roman" w:hAnsi="Times New Roman" w:cs="Times New Roman"/>
          <w:sz w:val="28"/>
          <w:szCs w:val="28"/>
        </w:rPr>
        <w:t>nstalling electric g</w:t>
      </w:r>
      <w:r w:rsidR="001E5FD4">
        <w:rPr>
          <w:rFonts w:ascii="Times New Roman" w:hAnsi="Times New Roman" w:cs="Times New Roman"/>
          <w:sz w:val="28"/>
          <w:szCs w:val="28"/>
        </w:rPr>
        <w:t xml:space="preserve">arage doors, a geyser and </w:t>
      </w:r>
      <w:r w:rsidR="005D020C">
        <w:rPr>
          <w:rFonts w:ascii="Times New Roman" w:hAnsi="Times New Roman" w:cs="Times New Roman"/>
          <w:sz w:val="28"/>
          <w:szCs w:val="28"/>
        </w:rPr>
        <w:t xml:space="preserve">DB </w:t>
      </w:r>
      <w:r w:rsidR="002F3CB2">
        <w:rPr>
          <w:rFonts w:ascii="Times New Roman" w:hAnsi="Times New Roman" w:cs="Times New Roman"/>
          <w:sz w:val="28"/>
          <w:szCs w:val="28"/>
        </w:rPr>
        <w:t>board.</w:t>
      </w:r>
      <w:r w:rsidR="00FF7E23">
        <w:rPr>
          <w:rFonts w:ascii="Times New Roman" w:hAnsi="Times New Roman" w:cs="Times New Roman"/>
          <w:sz w:val="28"/>
          <w:szCs w:val="28"/>
        </w:rPr>
        <w:t xml:space="preserve"> </w:t>
      </w:r>
      <w:r w:rsidR="00416315">
        <w:rPr>
          <w:rFonts w:ascii="Times New Roman" w:hAnsi="Times New Roman" w:cs="Times New Roman"/>
          <w:sz w:val="28"/>
          <w:szCs w:val="28"/>
        </w:rPr>
        <w:t>The Applicants did not object to these improvements</w:t>
      </w:r>
      <w:r>
        <w:rPr>
          <w:rFonts w:ascii="Times New Roman" w:hAnsi="Times New Roman" w:cs="Times New Roman"/>
          <w:sz w:val="28"/>
          <w:szCs w:val="28"/>
        </w:rPr>
        <w:t xml:space="preserve"> as they understood these garages to belong to erf 572</w:t>
      </w:r>
      <w:r w:rsidR="00416315">
        <w:rPr>
          <w:rFonts w:ascii="Times New Roman" w:hAnsi="Times New Roman" w:cs="Times New Roman"/>
          <w:sz w:val="28"/>
          <w:szCs w:val="28"/>
        </w:rPr>
        <w:t xml:space="preserve">. </w:t>
      </w:r>
      <w:r w:rsidR="00FF7E23">
        <w:rPr>
          <w:rFonts w:ascii="Times New Roman" w:hAnsi="Times New Roman" w:cs="Times New Roman"/>
          <w:sz w:val="28"/>
          <w:szCs w:val="28"/>
        </w:rPr>
        <w:t>Therefore,</w:t>
      </w:r>
      <w:r w:rsidR="00416315">
        <w:rPr>
          <w:rFonts w:ascii="Times New Roman" w:hAnsi="Times New Roman" w:cs="Times New Roman"/>
          <w:sz w:val="28"/>
          <w:szCs w:val="28"/>
        </w:rPr>
        <w:t xml:space="preserve"> </w:t>
      </w:r>
      <w:r w:rsidR="00A66BCB">
        <w:rPr>
          <w:rFonts w:ascii="Times New Roman" w:hAnsi="Times New Roman" w:cs="Times New Roman"/>
          <w:sz w:val="28"/>
          <w:szCs w:val="28"/>
        </w:rPr>
        <w:t>the</w:t>
      </w:r>
      <w:r w:rsidR="006C09AF">
        <w:rPr>
          <w:rFonts w:ascii="Times New Roman" w:hAnsi="Times New Roman" w:cs="Times New Roman"/>
          <w:sz w:val="28"/>
          <w:szCs w:val="28"/>
        </w:rPr>
        <w:t xml:space="preserve"> only issue up for discussion was a servitu</w:t>
      </w:r>
      <w:r>
        <w:rPr>
          <w:rFonts w:ascii="Times New Roman" w:hAnsi="Times New Roman" w:cs="Times New Roman"/>
          <w:sz w:val="28"/>
          <w:szCs w:val="28"/>
        </w:rPr>
        <w:t>de granting the T</w:t>
      </w:r>
      <w:r w:rsidR="006C09AF">
        <w:rPr>
          <w:rFonts w:ascii="Times New Roman" w:hAnsi="Times New Roman" w:cs="Times New Roman"/>
          <w:sz w:val="28"/>
          <w:szCs w:val="28"/>
        </w:rPr>
        <w:t xml:space="preserve">rust the right of way to access their garages. </w:t>
      </w:r>
      <w:r>
        <w:rPr>
          <w:rFonts w:ascii="Times New Roman" w:hAnsi="Times New Roman" w:cs="Times New Roman"/>
          <w:sz w:val="28"/>
          <w:szCs w:val="28"/>
        </w:rPr>
        <w:t>Accordingly</w:t>
      </w:r>
      <w:r w:rsidR="00A66BCB" w:rsidRPr="00A66BCB">
        <w:rPr>
          <w:rFonts w:ascii="Times New Roman" w:hAnsi="Times New Roman" w:cs="Times New Roman"/>
          <w:sz w:val="28"/>
          <w:szCs w:val="28"/>
        </w:rPr>
        <w:t>,</w:t>
      </w:r>
      <w:r w:rsidR="006C09AF">
        <w:rPr>
          <w:rFonts w:ascii="Times New Roman" w:hAnsi="Times New Roman" w:cs="Times New Roman"/>
          <w:sz w:val="28"/>
          <w:szCs w:val="28"/>
        </w:rPr>
        <w:t xml:space="preserve"> during the </w:t>
      </w:r>
      <w:r w:rsidR="00E12215" w:rsidRPr="00A66BCB">
        <w:rPr>
          <w:rFonts w:ascii="Times New Roman" w:hAnsi="Times New Roman" w:cs="Times New Roman"/>
          <w:sz w:val="28"/>
          <w:szCs w:val="28"/>
        </w:rPr>
        <w:t xml:space="preserve">transfer </w:t>
      </w:r>
      <w:r>
        <w:rPr>
          <w:rFonts w:ascii="Times New Roman" w:hAnsi="Times New Roman" w:cs="Times New Roman"/>
          <w:sz w:val="28"/>
          <w:szCs w:val="28"/>
        </w:rPr>
        <w:t>of e</w:t>
      </w:r>
      <w:r w:rsidR="00A66BCB" w:rsidRPr="00A66BCB">
        <w:rPr>
          <w:rFonts w:ascii="Times New Roman" w:hAnsi="Times New Roman" w:cs="Times New Roman"/>
          <w:sz w:val="28"/>
          <w:szCs w:val="28"/>
        </w:rPr>
        <w:t xml:space="preserve">rf 571 </w:t>
      </w:r>
      <w:r w:rsidR="003A1E87">
        <w:rPr>
          <w:rFonts w:ascii="Times New Roman" w:hAnsi="Times New Roman" w:cs="Times New Roman"/>
          <w:sz w:val="28"/>
          <w:szCs w:val="28"/>
        </w:rPr>
        <w:t>from the Shareblock C</w:t>
      </w:r>
      <w:r w:rsidR="00E12215" w:rsidRPr="00A66BCB">
        <w:rPr>
          <w:rFonts w:ascii="Times New Roman" w:hAnsi="Times New Roman" w:cs="Times New Roman"/>
          <w:sz w:val="28"/>
          <w:szCs w:val="28"/>
        </w:rPr>
        <w:t xml:space="preserve">ompany into </w:t>
      </w:r>
      <w:r w:rsidR="006C09AF">
        <w:rPr>
          <w:rFonts w:ascii="Times New Roman" w:hAnsi="Times New Roman" w:cs="Times New Roman"/>
          <w:sz w:val="28"/>
          <w:szCs w:val="28"/>
        </w:rPr>
        <w:t xml:space="preserve">the </w:t>
      </w:r>
      <w:r w:rsidR="00A66BCB" w:rsidRPr="00A66BCB">
        <w:rPr>
          <w:rFonts w:ascii="Times New Roman" w:hAnsi="Times New Roman" w:cs="Times New Roman"/>
          <w:sz w:val="28"/>
          <w:szCs w:val="28"/>
        </w:rPr>
        <w:t>shareholder</w:t>
      </w:r>
      <w:r w:rsidR="00E12215" w:rsidRPr="00A66BCB">
        <w:rPr>
          <w:rFonts w:ascii="Times New Roman" w:hAnsi="Times New Roman" w:cs="Times New Roman"/>
          <w:sz w:val="28"/>
          <w:szCs w:val="28"/>
        </w:rPr>
        <w:t xml:space="preserve"> </w:t>
      </w:r>
      <w:r w:rsidR="009978D0">
        <w:rPr>
          <w:rFonts w:ascii="Times New Roman" w:hAnsi="Times New Roman" w:cs="Times New Roman"/>
          <w:sz w:val="28"/>
          <w:szCs w:val="28"/>
        </w:rPr>
        <w:t xml:space="preserve">this </w:t>
      </w:r>
      <w:r w:rsidR="009978D0">
        <w:rPr>
          <w:rFonts w:ascii="Times New Roman" w:hAnsi="Times New Roman" w:cs="Times New Roman"/>
          <w:sz w:val="28"/>
          <w:szCs w:val="28"/>
        </w:rPr>
        <w:lastRenderedPageBreak/>
        <w:t>should have been attended to</w:t>
      </w:r>
      <w:r w:rsidR="006C09AF">
        <w:rPr>
          <w:rFonts w:ascii="Times New Roman" w:hAnsi="Times New Roman" w:cs="Times New Roman"/>
          <w:sz w:val="28"/>
          <w:szCs w:val="28"/>
        </w:rPr>
        <w:t xml:space="preserve">. </w:t>
      </w:r>
      <w:r w:rsidR="003A1E87">
        <w:rPr>
          <w:rFonts w:ascii="Times New Roman" w:hAnsi="Times New Roman" w:cs="Times New Roman"/>
          <w:sz w:val="28"/>
          <w:szCs w:val="28"/>
        </w:rPr>
        <w:t>However, the Shareblock C</w:t>
      </w:r>
      <w:r w:rsidR="00FA74E0">
        <w:rPr>
          <w:rFonts w:ascii="Times New Roman" w:hAnsi="Times New Roman" w:cs="Times New Roman"/>
          <w:sz w:val="28"/>
          <w:szCs w:val="28"/>
        </w:rPr>
        <w:t>ompany d</w:t>
      </w:r>
      <w:r>
        <w:rPr>
          <w:rFonts w:ascii="Times New Roman" w:hAnsi="Times New Roman" w:cs="Times New Roman"/>
          <w:sz w:val="28"/>
          <w:szCs w:val="28"/>
        </w:rPr>
        <w:t>id not register a servitude on erf 571 in favour of e</w:t>
      </w:r>
      <w:r w:rsidR="00FA74E0">
        <w:rPr>
          <w:rFonts w:ascii="Times New Roman" w:hAnsi="Times New Roman" w:cs="Times New Roman"/>
          <w:sz w:val="28"/>
          <w:szCs w:val="28"/>
        </w:rPr>
        <w:t>rf 572 when the properties were subdivided.</w:t>
      </w:r>
      <w:r w:rsidR="003A1E87">
        <w:rPr>
          <w:rFonts w:ascii="Times New Roman" w:hAnsi="Times New Roman" w:cs="Times New Roman"/>
          <w:sz w:val="28"/>
          <w:szCs w:val="28"/>
        </w:rPr>
        <w:t xml:space="preserve"> It could not have been the design in the Shareblock Company that erf 571 would have four garages and erf 572 would have none. </w:t>
      </w:r>
    </w:p>
    <w:p w:rsidR="00FA74E0" w:rsidRDefault="00FA74E0" w:rsidP="00FA74E0">
      <w:pPr>
        <w:tabs>
          <w:tab w:val="left" w:pos="630"/>
        </w:tabs>
        <w:spacing w:after="0" w:line="360" w:lineRule="auto"/>
        <w:ind w:left="360"/>
        <w:jc w:val="both"/>
        <w:rPr>
          <w:rFonts w:ascii="Times New Roman" w:hAnsi="Times New Roman" w:cs="Times New Roman"/>
          <w:sz w:val="28"/>
          <w:szCs w:val="28"/>
        </w:rPr>
      </w:pPr>
    </w:p>
    <w:p w:rsidR="00902FF8" w:rsidRPr="0011752B" w:rsidRDefault="001703A9" w:rsidP="0011752B">
      <w:pPr>
        <w:pStyle w:val="ListParagraph"/>
        <w:numPr>
          <w:ilvl w:val="0"/>
          <w:numId w:val="31"/>
        </w:numPr>
        <w:tabs>
          <w:tab w:val="left" w:pos="630"/>
        </w:tabs>
        <w:spacing w:after="0" w:line="360" w:lineRule="auto"/>
        <w:ind w:hanging="720"/>
        <w:jc w:val="both"/>
        <w:rPr>
          <w:rFonts w:ascii="Times New Roman" w:hAnsi="Times New Roman" w:cs="Times New Roman"/>
          <w:sz w:val="28"/>
          <w:szCs w:val="28"/>
        </w:rPr>
      </w:pPr>
      <w:r w:rsidRPr="0011752B">
        <w:rPr>
          <w:rFonts w:ascii="Times New Roman" w:hAnsi="Times New Roman" w:cs="Times New Roman"/>
          <w:sz w:val="28"/>
          <w:szCs w:val="28"/>
        </w:rPr>
        <w:t>On 23 April 2014</w:t>
      </w:r>
      <w:r w:rsidR="003A53FE">
        <w:rPr>
          <w:rFonts w:ascii="Times New Roman" w:hAnsi="Times New Roman" w:cs="Times New Roman"/>
          <w:sz w:val="28"/>
          <w:szCs w:val="28"/>
        </w:rPr>
        <w:t>,</w:t>
      </w:r>
      <w:r w:rsidRPr="0011752B">
        <w:rPr>
          <w:rFonts w:ascii="Times New Roman" w:hAnsi="Times New Roman" w:cs="Times New Roman"/>
          <w:sz w:val="28"/>
          <w:szCs w:val="28"/>
        </w:rPr>
        <w:t xml:space="preserve"> the first Respondent requested a copy of the document signed by the first Applicant granting a right of way to th</w:t>
      </w:r>
      <w:r w:rsidR="002516B1">
        <w:rPr>
          <w:rFonts w:ascii="Times New Roman" w:hAnsi="Times New Roman" w:cs="Times New Roman"/>
          <w:sz w:val="28"/>
          <w:szCs w:val="28"/>
        </w:rPr>
        <w:t>e successors in title to e</w:t>
      </w:r>
      <w:r w:rsidR="00902FF8" w:rsidRPr="0011752B">
        <w:rPr>
          <w:rFonts w:ascii="Times New Roman" w:hAnsi="Times New Roman" w:cs="Times New Roman"/>
          <w:sz w:val="28"/>
          <w:szCs w:val="28"/>
        </w:rPr>
        <w:t>rf 572.</w:t>
      </w:r>
      <w:r w:rsidR="0011752B">
        <w:rPr>
          <w:rFonts w:ascii="Times New Roman" w:hAnsi="Times New Roman" w:cs="Times New Roman"/>
          <w:sz w:val="28"/>
          <w:szCs w:val="28"/>
        </w:rPr>
        <w:t>For assista</w:t>
      </w:r>
      <w:r w:rsidR="001E5FD4">
        <w:rPr>
          <w:rFonts w:ascii="Times New Roman" w:hAnsi="Times New Roman" w:cs="Times New Roman"/>
          <w:sz w:val="28"/>
          <w:szCs w:val="28"/>
        </w:rPr>
        <w:t xml:space="preserve">nce with the registration of </w:t>
      </w:r>
      <w:r w:rsidR="00A9664F">
        <w:rPr>
          <w:rFonts w:ascii="Times New Roman" w:hAnsi="Times New Roman" w:cs="Times New Roman"/>
          <w:sz w:val="28"/>
          <w:szCs w:val="28"/>
        </w:rPr>
        <w:t>the</w:t>
      </w:r>
      <w:r w:rsidR="001E5FD4">
        <w:rPr>
          <w:rFonts w:ascii="Times New Roman" w:hAnsi="Times New Roman" w:cs="Times New Roman"/>
          <w:sz w:val="28"/>
          <w:szCs w:val="28"/>
        </w:rPr>
        <w:t xml:space="preserve"> </w:t>
      </w:r>
      <w:r w:rsidR="0011752B">
        <w:rPr>
          <w:rFonts w:ascii="Times New Roman" w:hAnsi="Times New Roman" w:cs="Times New Roman"/>
          <w:sz w:val="28"/>
          <w:szCs w:val="28"/>
        </w:rPr>
        <w:t>servitude, t</w:t>
      </w:r>
      <w:r w:rsidR="0011752B" w:rsidRPr="0011752B">
        <w:rPr>
          <w:rFonts w:ascii="Times New Roman" w:hAnsi="Times New Roman" w:cs="Times New Roman"/>
          <w:sz w:val="28"/>
          <w:szCs w:val="28"/>
        </w:rPr>
        <w:t xml:space="preserve">he </w:t>
      </w:r>
      <w:r w:rsidR="00FD6C50">
        <w:rPr>
          <w:rFonts w:ascii="Times New Roman" w:hAnsi="Times New Roman" w:cs="Times New Roman"/>
          <w:sz w:val="28"/>
          <w:szCs w:val="28"/>
        </w:rPr>
        <w:t xml:space="preserve">Applicants recommended </w:t>
      </w:r>
      <w:r w:rsidR="0011752B" w:rsidRPr="0011752B">
        <w:rPr>
          <w:rFonts w:ascii="Times New Roman" w:hAnsi="Times New Roman" w:cs="Times New Roman"/>
          <w:sz w:val="28"/>
          <w:szCs w:val="28"/>
        </w:rPr>
        <w:t>the services of Steyn De Villiers, a notary public.</w:t>
      </w:r>
      <w:r w:rsidR="002516B1">
        <w:rPr>
          <w:rFonts w:ascii="Times New Roman" w:hAnsi="Times New Roman" w:cs="Times New Roman"/>
          <w:sz w:val="28"/>
          <w:szCs w:val="28"/>
        </w:rPr>
        <w:t xml:space="preserve"> The first Respondent</w:t>
      </w:r>
      <w:r w:rsidR="00902FF8" w:rsidRPr="0011752B">
        <w:rPr>
          <w:rFonts w:ascii="Times New Roman" w:hAnsi="Times New Roman" w:cs="Times New Roman"/>
          <w:sz w:val="28"/>
          <w:szCs w:val="28"/>
        </w:rPr>
        <w:t xml:space="preserve"> requested </w:t>
      </w:r>
      <w:r w:rsidR="002516B1">
        <w:rPr>
          <w:rFonts w:ascii="Times New Roman" w:hAnsi="Times New Roman" w:cs="Times New Roman"/>
          <w:sz w:val="28"/>
          <w:szCs w:val="28"/>
        </w:rPr>
        <w:t xml:space="preserve">the first Applicant </w:t>
      </w:r>
      <w:r w:rsidR="009978D0">
        <w:rPr>
          <w:rFonts w:ascii="Times New Roman" w:hAnsi="Times New Roman" w:cs="Times New Roman"/>
          <w:sz w:val="28"/>
          <w:szCs w:val="28"/>
        </w:rPr>
        <w:t>to give Steyn De Villiers</w:t>
      </w:r>
      <w:r w:rsidR="00902FF8" w:rsidRPr="0011752B">
        <w:rPr>
          <w:rFonts w:ascii="Times New Roman" w:hAnsi="Times New Roman" w:cs="Times New Roman"/>
          <w:sz w:val="28"/>
          <w:szCs w:val="28"/>
        </w:rPr>
        <w:t xml:space="preserve"> instr</w:t>
      </w:r>
      <w:r w:rsidR="009978D0">
        <w:rPr>
          <w:rFonts w:ascii="Times New Roman" w:hAnsi="Times New Roman" w:cs="Times New Roman"/>
          <w:sz w:val="28"/>
          <w:szCs w:val="28"/>
        </w:rPr>
        <w:t>uctions to go ahead</w:t>
      </w:r>
      <w:r w:rsidR="00AF584B">
        <w:rPr>
          <w:rFonts w:ascii="Times New Roman" w:hAnsi="Times New Roman" w:cs="Times New Roman"/>
          <w:sz w:val="28"/>
          <w:szCs w:val="28"/>
        </w:rPr>
        <w:t>;</w:t>
      </w:r>
      <w:r w:rsidR="009978D0">
        <w:rPr>
          <w:rFonts w:ascii="Times New Roman" w:hAnsi="Times New Roman" w:cs="Times New Roman"/>
          <w:sz w:val="28"/>
          <w:szCs w:val="28"/>
        </w:rPr>
        <w:t xml:space="preserve"> </w:t>
      </w:r>
      <w:r w:rsidR="00AF584B">
        <w:rPr>
          <w:rFonts w:ascii="Times New Roman" w:hAnsi="Times New Roman" w:cs="Times New Roman"/>
          <w:sz w:val="28"/>
          <w:szCs w:val="28"/>
        </w:rPr>
        <w:t xml:space="preserve">and </w:t>
      </w:r>
      <w:r w:rsidR="00DB7B0A">
        <w:rPr>
          <w:rFonts w:ascii="Times New Roman" w:hAnsi="Times New Roman" w:cs="Times New Roman"/>
          <w:sz w:val="28"/>
          <w:szCs w:val="28"/>
        </w:rPr>
        <w:t>also</w:t>
      </w:r>
      <w:r w:rsidR="00902FF8" w:rsidRPr="0011752B">
        <w:rPr>
          <w:rFonts w:ascii="Times New Roman" w:hAnsi="Times New Roman" w:cs="Times New Roman"/>
          <w:sz w:val="28"/>
          <w:szCs w:val="28"/>
        </w:rPr>
        <w:t xml:space="preserve"> </w:t>
      </w:r>
      <w:r w:rsidR="001B3A61">
        <w:rPr>
          <w:rFonts w:ascii="Times New Roman" w:hAnsi="Times New Roman" w:cs="Times New Roman"/>
          <w:sz w:val="28"/>
          <w:szCs w:val="28"/>
        </w:rPr>
        <w:t xml:space="preserve">enquired </w:t>
      </w:r>
      <w:r w:rsidR="002516B1">
        <w:rPr>
          <w:rFonts w:ascii="Times New Roman" w:hAnsi="Times New Roman" w:cs="Times New Roman"/>
          <w:sz w:val="28"/>
          <w:szCs w:val="28"/>
        </w:rPr>
        <w:t xml:space="preserve">about </w:t>
      </w:r>
      <w:r w:rsidR="001B3A61">
        <w:rPr>
          <w:rFonts w:ascii="Times New Roman" w:hAnsi="Times New Roman" w:cs="Times New Roman"/>
          <w:sz w:val="28"/>
          <w:szCs w:val="28"/>
        </w:rPr>
        <w:t>the</w:t>
      </w:r>
      <w:r w:rsidR="00902FF8" w:rsidRPr="0011752B">
        <w:rPr>
          <w:rFonts w:ascii="Times New Roman" w:hAnsi="Times New Roman" w:cs="Times New Roman"/>
          <w:sz w:val="28"/>
          <w:szCs w:val="28"/>
        </w:rPr>
        <w:t xml:space="preserve"> costs</w:t>
      </w:r>
      <w:r w:rsidR="003A53FE">
        <w:rPr>
          <w:rFonts w:ascii="Times New Roman" w:hAnsi="Times New Roman" w:cs="Times New Roman"/>
          <w:sz w:val="28"/>
          <w:szCs w:val="28"/>
        </w:rPr>
        <w:t xml:space="preserve"> he would have to bear</w:t>
      </w:r>
      <w:r w:rsidR="00902FF8" w:rsidRPr="0011752B">
        <w:rPr>
          <w:rFonts w:ascii="Times New Roman" w:hAnsi="Times New Roman" w:cs="Times New Roman"/>
          <w:sz w:val="28"/>
          <w:szCs w:val="28"/>
        </w:rPr>
        <w:t>.</w:t>
      </w:r>
      <w:r w:rsidR="00902FF8">
        <w:rPr>
          <w:rStyle w:val="FootnoteReference"/>
          <w:rFonts w:ascii="Times New Roman" w:hAnsi="Times New Roman" w:cs="Times New Roman"/>
          <w:sz w:val="28"/>
          <w:szCs w:val="28"/>
        </w:rPr>
        <w:footnoteReference w:id="5"/>
      </w:r>
      <w:r w:rsidR="0019634A" w:rsidRPr="0011752B">
        <w:rPr>
          <w:rFonts w:ascii="Times New Roman" w:hAnsi="Times New Roman" w:cs="Times New Roman"/>
          <w:sz w:val="28"/>
          <w:szCs w:val="28"/>
        </w:rPr>
        <w:t xml:space="preserve"> </w:t>
      </w:r>
      <w:r w:rsidR="00DB7B0A">
        <w:rPr>
          <w:rFonts w:ascii="Times New Roman" w:hAnsi="Times New Roman" w:cs="Times New Roman"/>
          <w:sz w:val="28"/>
          <w:szCs w:val="28"/>
        </w:rPr>
        <w:t>In response  the first Applicant</w:t>
      </w:r>
      <w:r w:rsidR="00902FF8" w:rsidRPr="0011752B">
        <w:rPr>
          <w:rFonts w:ascii="Times New Roman" w:hAnsi="Times New Roman" w:cs="Times New Roman"/>
          <w:sz w:val="28"/>
          <w:szCs w:val="28"/>
        </w:rPr>
        <w:t xml:space="preserve"> </w:t>
      </w:r>
      <w:r w:rsidR="00DB7B0A">
        <w:rPr>
          <w:rFonts w:ascii="Times New Roman" w:hAnsi="Times New Roman" w:cs="Times New Roman"/>
          <w:sz w:val="28"/>
          <w:szCs w:val="28"/>
        </w:rPr>
        <w:t>sent</w:t>
      </w:r>
      <w:r w:rsidR="003A53FE">
        <w:rPr>
          <w:rFonts w:ascii="Times New Roman" w:hAnsi="Times New Roman" w:cs="Times New Roman"/>
          <w:sz w:val="28"/>
          <w:szCs w:val="28"/>
        </w:rPr>
        <w:t xml:space="preserve"> an email to both</w:t>
      </w:r>
      <w:r w:rsidR="00902FF8" w:rsidRPr="0011752B">
        <w:rPr>
          <w:rFonts w:ascii="Times New Roman" w:hAnsi="Times New Roman" w:cs="Times New Roman"/>
          <w:sz w:val="28"/>
          <w:szCs w:val="28"/>
        </w:rPr>
        <w:t xml:space="preserve"> Steyn De Villiers and the first Respondent stating the following:</w:t>
      </w:r>
    </w:p>
    <w:p w:rsidR="00902FF8" w:rsidRPr="00847C59" w:rsidRDefault="00902FF8" w:rsidP="00847C59">
      <w:pPr>
        <w:rPr>
          <w:rFonts w:ascii="Times New Roman" w:hAnsi="Times New Roman" w:cs="Times New Roman"/>
          <w:sz w:val="28"/>
          <w:szCs w:val="28"/>
        </w:rPr>
      </w:pPr>
    </w:p>
    <w:p w:rsidR="00902FF8" w:rsidRDefault="00902FF8" w:rsidP="00902FF8">
      <w:pPr>
        <w:spacing w:after="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“1. </w:t>
      </w:r>
      <w:r w:rsidRPr="00902FF8">
        <w:rPr>
          <w:rFonts w:ascii="Times New Roman" w:hAnsi="Times New Roman" w:cs="Times New Roman"/>
          <w:sz w:val="28"/>
          <w:szCs w:val="28"/>
        </w:rPr>
        <w:t xml:space="preserve">Fact – you basically own the western garages and are hence entitled to </w:t>
      </w:r>
    </w:p>
    <w:p w:rsidR="00902FF8" w:rsidRPr="00902FF8" w:rsidRDefault="00902FF8" w:rsidP="00902FF8">
      <w:pPr>
        <w:spacing w:after="0"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02FF8">
        <w:rPr>
          <w:rFonts w:ascii="Times New Roman" w:hAnsi="Times New Roman" w:cs="Times New Roman"/>
          <w:sz w:val="28"/>
          <w:szCs w:val="28"/>
        </w:rPr>
        <w:t>a servitude to them.</w:t>
      </w:r>
    </w:p>
    <w:p w:rsidR="00902FF8" w:rsidRPr="00902FF8" w:rsidRDefault="00902FF8" w:rsidP="00902FF8">
      <w:pPr>
        <w:pStyle w:val="ListParagraph"/>
        <w:numPr>
          <w:ilvl w:val="0"/>
          <w:numId w:val="41"/>
        </w:numPr>
        <w:spacing w:after="0" w:line="360" w:lineRule="auto"/>
        <w:jc w:val="both"/>
        <w:rPr>
          <w:rFonts w:ascii="Times New Roman" w:hAnsi="Times New Roman" w:cs="Times New Roman"/>
          <w:sz w:val="28"/>
          <w:szCs w:val="28"/>
        </w:rPr>
      </w:pPr>
      <w:r w:rsidRPr="00902FF8">
        <w:rPr>
          <w:rFonts w:ascii="Times New Roman" w:hAnsi="Times New Roman" w:cs="Times New Roman"/>
          <w:sz w:val="28"/>
          <w:szCs w:val="28"/>
        </w:rPr>
        <w:t>Fact – as you are entitled to use the garages, we are obliged to provide access to them.</w:t>
      </w:r>
      <w:r w:rsidR="00597493">
        <w:rPr>
          <w:rFonts w:ascii="Times New Roman" w:hAnsi="Times New Roman" w:cs="Times New Roman"/>
          <w:sz w:val="28"/>
          <w:szCs w:val="28"/>
        </w:rPr>
        <w:t>”</w:t>
      </w:r>
      <w:r>
        <w:rPr>
          <w:rStyle w:val="FootnoteReference"/>
          <w:rFonts w:ascii="Times New Roman" w:hAnsi="Times New Roman" w:cs="Times New Roman"/>
          <w:sz w:val="28"/>
          <w:szCs w:val="28"/>
        </w:rPr>
        <w:footnoteReference w:id="6"/>
      </w:r>
    </w:p>
    <w:p w:rsidR="00902FF8" w:rsidRDefault="00902FF8" w:rsidP="00902FF8">
      <w:pPr>
        <w:pStyle w:val="ListParagraph"/>
        <w:spacing w:after="0" w:line="360" w:lineRule="auto"/>
        <w:jc w:val="both"/>
        <w:rPr>
          <w:rFonts w:ascii="Times New Roman" w:hAnsi="Times New Roman" w:cs="Times New Roman"/>
          <w:sz w:val="28"/>
          <w:szCs w:val="28"/>
        </w:rPr>
      </w:pPr>
    </w:p>
    <w:p w:rsidR="0033396D" w:rsidRDefault="005F4AB7" w:rsidP="002B4972">
      <w:pPr>
        <w:pStyle w:val="ListParagraph"/>
        <w:numPr>
          <w:ilvl w:val="0"/>
          <w:numId w:val="31"/>
        </w:numPr>
        <w:spacing w:after="0" w:line="360" w:lineRule="auto"/>
        <w:ind w:hanging="810"/>
        <w:jc w:val="both"/>
        <w:rPr>
          <w:rFonts w:ascii="Times New Roman" w:hAnsi="Times New Roman" w:cs="Times New Roman"/>
          <w:sz w:val="28"/>
          <w:szCs w:val="28"/>
        </w:rPr>
      </w:pPr>
      <w:r>
        <w:rPr>
          <w:rFonts w:ascii="Times New Roman" w:hAnsi="Times New Roman" w:cs="Times New Roman"/>
          <w:sz w:val="28"/>
          <w:szCs w:val="28"/>
        </w:rPr>
        <w:t>On 24 April 2014</w:t>
      </w:r>
      <w:r w:rsidR="003A53FE">
        <w:rPr>
          <w:rFonts w:ascii="Times New Roman" w:hAnsi="Times New Roman" w:cs="Times New Roman"/>
          <w:sz w:val="28"/>
          <w:szCs w:val="28"/>
        </w:rPr>
        <w:t>,</w:t>
      </w:r>
      <w:r>
        <w:rPr>
          <w:rFonts w:ascii="Times New Roman" w:hAnsi="Times New Roman" w:cs="Times New Roman"/>
          <w:sz w:val="28"/>
          <w:szCs w:val="28"/>
        </w:rPr>
        <w:t xml:space="preserve"> the first Applicant sent his </w:t>
      </w:r>
      <w:r w:rsidR="00513DCA">
        <w:rPr>
          <w:rFonts w:ascii="Times New Roman" w:hAnsi="Times New Roman" w:cs="Times New Roman"/>
          <w:sz w:val="28"/>
          <w:szCs w:val="28"/>
        </w:rPr>
        <w:t xml:space="preserve">sketch </w:t>
      </w:r>
      <w:r>
        <w:rPr>
          <w:rFonts w:ascii="Times New Roman" w:hAnsi="Times New Roman" w:cs="Times New Roman"/>
          <w:sz w:val="28"/>
          <w:szCs w:val="28"/>
        </w:rPr>
        <w:t>of how the servitude should look like</w:t>
      </w:r>
      <w:r w:rsidR="007D1CED">
        <w:rPr>
          <w:rFonts w:ascii="Times New Roman" w:hAnsi="Times New Roman" w:cs="Times New Roman"/>
          <w:sz w:val="28"/>
          <w:szCs w:val="28"/>
        </w:rPr>
        <w:t>.</w:t>
      </w:r>
      <w:r w:rsidR="00F72F9F">
        <w:rPr>
          <w:rFonts w:ascii="Times New Roman" w:hAnsi="Times New Roman" w:cs="Times New Roman"/>
          <w:sz w:val="28"/>
          <w:szCs w:val="28"/>
        </w:rPr>
        <w:t xml:space="preserve"> </w:t>
      </w:r>
      <w:r w:rsidR="007D1CED">
        <w:rPr>
          <w:rFonts w:ascii="Times New Roman" w:hAnsi="Times New Roman" w:cs="Times New Roman"/>
          <w:sz w:val="28"/>
          <w:szCs w:val="28"/>
        </w:rPr>
        <w:t xml:space="preserve">The first Respondent acknowledged the first Applicant’s initiative and suggested </w:t>
      </w:r>
      <w:r w:rsidR="00BE2D14">
        <w:rPr>
          <w:rFonts w:ascii="Times New Roman" w:hAnsi="Times New Roman" w:cs="Times New Roman"/>
          <w:sz w:val="28"/>
          <w:szCs w:val="28"/>
        </w:rPr>
        <w:t xml:space="preserve">  that the servitude</w:t>
      </w:r>
      <w:r w:rsidR="001B144D">
        <w:rPr>
          <w:rFonts w:ascii="Times New Roman" w:hAnsi="Times New Roman" w:cs="Times New Roman"/>
          <w:sz w:val="28"/>
          <w:szCs w:val="28"/>
        </w:rPr>
        <w:t>,</w:t>
      </w:r>
      <w:r w:rsidR="00BE2D14">
        <w:rPr>
          <w:rFonts w:ascii="Times New Roman" w:hAnsi="Times New Roman" w:cs="Times New Roman"/>
          <w:sz w:val="28"/>
          <w:szCs w:val="28"/>
        </w:rPr>
        <w:t xml:space="preserve"> in order to protect the </w:t>
      </w:r>
      <w:r w:rsidR="00196D66">
        <w:rPr>
          <w:rFonts w:ascii="Times New Roman" w:hAnsi="Times New Roman" w:cs="Times New Roman"/>
          <w:sz w:val="28"/>
          <w:szCs w:val="28"/>
        </w:rPr>
        <w:t>value of the first Applicant’s e</w:t>
      </w:r>
      <w:r w:rsidR="00BE2D14">
        <w:rPr>
          <w:rFonts w:ascii="Times New Roman" w:hAnsi="Times New Roman" w:cs="Times New Roman"/>
          <w:sz w:val="28"/>
          <w:szCs w:val="28"/>
        </w:rPr>
        <w:t>rf</w:t>
      </w:r>
      <w:r w:rsidR="001B144D">
        <w:rPr>
          <w:rFonts w:ascii="Times New Roman" w:hAnsi="Times New Roman" w:cs="Times New Roman"/>
          <w:sz w:val="28"/>
          <w:szCs w:val="28"/>
        </w:rPr>
        <w:t xml:space="preserve">, </w:t>
      </w:r>
      <w:r w:rsidR="00BE2D14">
        <w:rPr>
          <w:rFonts w:ascii="Times New Roman" w:hAnsi="Times New Roman" w:cs="Times New Roman"/>
          <w:sz w:val="28"/>
          <w:szCs w:val="28"/>
        </w:rPr>
        <w:t xml:space="preserve">should be registered on the garages and not on the </w:t>
      </w:r>
      <w:r w:rsidR="00BE2D14">
        <w:rPr>
          <w:rFonts w:ascii="Times New Roman" w:hAnsi="Times New Roman" w:cs="Times New Roman"/>
          <w:sz w:val="28"/>
          <w:szCs w:val="28"/>
        </w:rPr>
        <w:lastRenderedPageBreak/>
        <w:t>driveway</w:t>
      </w:r>
      <w:r w:rsidR="00513DCA">
        <w:rPr>
          <w:rFonts w:ascii="Times New Roman" w:hAnsi="Times New Roman" w:cs="Times New Roman"/>
          <w:sz w:val="28"/>
          <w:szCs w:val="28"/>
        </w:rPr>
        <w:t>.</w:t>
      </w:r>
      <w:r w:rsidR="00BE2D14">
        <w:rPr>
          <w:rStyle w:val="FootnoteReference"/>
          <w:rFonts w:ascii="Times New Roman" w:hAnsi="Times New Roman" w:cs="Times New Roman"/>
          <w:sz w:val="28"/>
          <w:szCs w:val="28"/>
        </w:rPr>
        <w:footnoteReference w:id="7"/>
      </w:r>
      <w:r w:rsidR="00513DCA">
        <w:rPr>
          <w:rFonts w:ascii="Times New Roman" w:hAnsi="Times New Roman" w:cs="Times New Roman"/>
          <w:sz w:val="28"/>
          <w:szCs w:val="28"/>
        </w:rPr>
        <w:t xml:space="preserve"> </w:t>
      </w:r>
      <w:r w:rsidR="001B144D">
        <w:rPr>
          <w:rFonts w:ascii="Times New Roman" w:hAnsi="Times New Roman" w:cs="Times New Roman"/>
          <w:sz w:val="28"/>
          <w:szCs w:val="28"/>
        </w:rPr>
        <w:t xml:space="preserve">Then </w:t>
      </w:r>
      <w:r w:rsidR="0033396D">
        <w:rPr>
          <w:rFonts w:ascii="Times New Roman" w:hAnsi="Times New Roman" w:cs="Times New Roman"/>
          <w:sz w:val="28"/>
          <w:szCs w:val="28"/>
        </w:rPr>
        <w:t>the parties could agree on the terms and conditions of the use of the driveway.</w:t>
      </w:r>
      <w:r w:rsidR="0033396D">
        <w:rPr>
          <w:rStyle w:val="FootnoteReference"/>
          <w:rFonts w:ascii="Times New Roman" w:hAnsi="Times New Roman" w:cs="Times New Roman"/>
          <w:sz w:val="28"/>
          <w:szCs w:val="28"/>
        </w:rPr>
        <w:footnoteReference w:id="8"/>
      </w:r>
      <w:r w:rsidR="0033396D">
        <w:rPr>
          <w:rFonts w:ascii="Times New Roman" w:hAnsi="Times New Roman" w:cs="Times New Roman"/>
          <w:sz w:val="28"/>
          <w:szCs w:val="28"/>
        </w:rPr>
        <w:t xml:space="preserve"> </w:t>
      </w:r>
    </w:p>
    <w:p w:rsidR="0033396D" w:rsidRDefault="0033396D" w:rsidP="0033396D">
      <w:pPr>
        <w:pStyle w:val="ListParagraph"/>
        <w:spacing w:after="0" w:line="360" w:lineRule="auto"/>
        <w:jc w:val="both"/>
        <w:rPr>
          <w:rFonts w:ascii="Times New Roman" w:hAnsi="Times New Roman" w:cs="Times New Roman"/>
          <w:sz w:val="28"/>
          <w:szCs w:val="28"/>
        </w:rPr>
      </w:pPr>
    </w:p>
    <w:p w:rsidR="00513DCA" w:rsidRDefault="003A53FE" w:rsidP="002B4972">
      <w:pPr>
        <w:pStyle w:val="ListParagraph"/>
        <w:numPr>
          <w:ilvl w:val="0"/>
          <w:numId w:val="31"/>
        </w:numPr>
        <w:spacing w:after="0" w:line="360" w:lineRule="auto"/>
        <w:ind w:hanging="810"/>
        <w:jc w:val="both"/>
        <w:rPr>
          <w:rFonts w:ascii="Times New Roman" w:hAnsi="Times New Roman" w:cs="Times New Roman"/>
          <w:sz w:val="28"/>
          <w:szCs w:val="28"/>
        </w:rPr>
      </w:pPr>
      <w:r>
        <w:rPr>
          <w:rFonts w:ascii="Times New Roman" w:hAnsi="Times New Roman" w:cs="Times New Roman"/>
          <w:sz w:val="28"/>
          <w:szCs w:val="28"/>
        </w:rPr>
        <w:t>Having suggested a different route to the first Applicant’s sketch, o</w:t>
      </w:r>
      <w:r w:rsidR="00FE3AB7">
        <w:rPr>
          <w:rFonts w:ascii="Times New Roman" w:hAnsi="Times New Roman" w:cs="Times New Roman"/>
          <w:sz w:val="28"/>
          <w:szCs w:val="28"/>
        </w:rPr>
        <w:t>n 25 April 2014</w:t>
      </w:r>
      <w:r>
        <w:rPr>
          <w:rFonts w:ascii="Times New Roman" w:hAnsi="Times New Roman" w:cs="Times New Roman"/>
          <w:sz w:val="28"/>
          <w:szCs w:val="28"/>
        </w:rPr>
        <w:t>,</w:t>
      </w:r>
      <w:r w:rsidR="00FE3AB7">
        <w:rPr>
          <w:rFonts w:ascii="Times New Roman" w:hAnsi="Times New Roman" w:cs="Times New Roman"/>
          <w:sz w:val="28"/>
          <w:szCs w:val="28"/>
        </w:rPr>
        <w:t xml:space="preserve"> the first Respondent suggested that </w:t>
      </w:r>
      <w:r w:rsidR="001B144D">
        <w:rPr>
          <w:rFonts w:ascii="Times New Roman" w:hAnsi="Times New Roman" w:cs="Times New Roman"/>
          <w:sz w:val="28"/>
          <w:szCs w:val="28"/>
        </w:rPr>
        <w:t xml:space="preserve">the </w:t>
      </w:r>
      <w:r w:rsidR="00AF584B">
        <w:rPr>
          <w:rFonts w:ascii="Times New Roman" w:hAnsi="Times New Roman" w:cs="Times New Roman"/>
          <w:sz w:val="28"/>
          <w:szCs w:val="28"/>
        </w:rPr>
        <w:t>parties sought advice from</w:t>
      </w:r>
      <w:r w:rsidR="00FE3AB7">
        <w:rPr>
          <w:rFonts w:ascii="Times New Roman" w:hAnsi="Times New Roman" w:cs="Times New Roman"/>
          <w:sz w:val="28"/>
          <w:szCs w:val="28"/>
        </w:rPr>
        <w:t xml:space="preserve"> </w:t>
      </w:r>
      <w:r w:rsidR="00D21621">
        <w:rPr>
          <w:rFonts w:ascii="Times New Roman" w:hAnsi="Times New Roman" w:cs="Times New Roman"/>
          <w:sz w:val="28"/>
          <w:szCs w:val="28"/>
        </w:rPr>
        <w:t xml:space="preserve">the </w:t>
      </w:r>
      <w:r w:rsidR="00FE3AB7">
        <w:rPr>
          <w:rFonts w:ascii="Times New Roman" w:hAnsi="Times New Roman" w:cs="Times New Roman"/>
          <w:sz w:val="28"/>
          <w:szCs w:val="28"/>
        </w:rPr>
        <w:t xml:space="preserve">professionals in order to arrive at </w:t>
      </w:r>
      <w:r w:rsidR="001B144D">
        <w:rPr>
          <w:rFonts w:ascii="Times New Roman" w:hAnsi="Times New Roman" w:cs="Times New Roman"/>
          <w:sz w:val="28"/>
          <w:szCs w:val="28"/>
        </w:rPr>
        <w:t xml:space="preserve">a </w:t>
      </w:r>
      <w:r w:rsidR="00FE3AB7">
        <w:rPr>
          <w:rFonts w:ascii="Times New Roman" w:hAnsi="Times New Roman" w:cs="Times New Roman"/>
          <w:sz w:val="28"/>
          <w:szCs w:val="28"/>
        </w:rPr>
        <w:t>practical and effective solution.</w:t>
      </w:r>
      <w:r w:rsidR="00FE3AB7">
        <w:rPr>
          <w:rStyle w:val="FootnoteReference"/>
          <w:rFonts w:ascii="Times New Roman" w:hAnsi="Times New Roman" w:cs="Times New Roman"/>
          <w:sz w:val="28"/>
          <w:szCs w:val="28"/>
        </w:rPr>
        <w:footnoteReference w:id="9"/>
      </w:r>
      <w:r w:rsidR="00D16651">
        <w:rPr>
          <w:rFonts w:ascii="Times New Roman" w:hAnsi="Times New Roman" w:cs="Times New Roman"/>
          <w:sz w:val="28"/>
          <w:szCs w:val="28"/>
        </w:rPr>
        <w:t xml:space="preserve"> The first Respondent was interested to keep as much of the vegetation as possible</w:t>
      </w:r>
      <w:r w:rsidR="001B144D">
        <w:rPr>
          <w:rFonts w:ascii="Times New Roman" w:hAnsi="Times New Roman" w:cs="Times New Roman"/>
          <w:sz w:val="28"/>
          <w:szCs w:val="28"/>
        </w:rPr>
        <w:t>, especially the milk-wood trees</w:t>
      </w:r>
      <w:r w:rsidR="00D16651">
        <w:rPr>
          <w:rFonts w:ascii="Times New Roman" w:hAnsi="Times New Roman" w:cs="Times New Roman"/>
          <w:sz w:val="28"/>
          <w:szCs w:val="28"/>
        </w:rPr>
        <w:t xml:space="preserve"> that had grown to a good size. </w:t>
      </w:r>
      <w:r w:rsidR="00D21621">
        <w:rPr>
          <w:rFonts w:ascii="Times New Roman" w:hAnsi="Times New Roman" w:cs="Times New Roman"/>
          <w:sz w:val="28"/>
          <w:szCs w:val="28"/>
        </w:rPr>
        <w:t>H</w:t>
      </w:r>
      <w:r w:rsidR="00D16651">
        <w:rPr>
          <w:rFonts w:ascii="Times New Roman" w:hAnsi="Times New Roman" w:cs="Times New Roman"/>
          <w:sz w:val="28"/>
          <w:szCs w:val="28"/>
        </w:rPr>
        <w:t>e was</w:t>
      </w:r>
      <w:r w:rsidR="00D21621">
        <w:rPr>
          <w:rFonts w:ascii="Times New Roman" w:hAnsi="Times New Roman" w:cs="Times New Roman"/>
          <w:sz w:val="28"/>
          <w:szCs w:val="28"/>
        </w:rPr>
        <w:t>, however,</w:t>
      </w:r>
      <w:r w:rsidR="00D16651">
        <w:rPr>
          <w:rFonts w:ascii="Times New Roman" w:hAnsi="Times New Roman" w:cs="Times New Roman"/>
          <w:sz w:val="28"/>
          <w:szCs w:val="28"/>
        </w:rPr>
        <w:t xml:space="preserve"> willing to cut and remove some ground and vegetation in order to create parking for two cars.</w:t>
      </w:r>
      <w:r w:rsidR="00D16651">
        <w:rPr>
          <w:rStyle w:val="FootnoteReference"/>
          <w:rFonts w:ascii="Times New Roman" w:hAnsi="Times New Roman" w:cs="Times New Roman"/>
          <w:sz w:val="28"/>
          <w:szCs w:val="28"/>
        </w:rPr>
        <w:footnoteReference w:id="10"/>
      </w:r>
    </w:p>
    <w:p w:rsidR="00534A5F" w:rsidRDefault="00534A5F" w:rsidP="008F3399">
      <w:pPr>
        <w:spacing w:after="0" w:line="360" w:lineRule="auto"/>
        <w:jc w:val="both"/>
        <w:rPr>
          <w:rFonts w:ascii="Times New Roman" w:hAnsi="Times New Roman" w:cs="Times New Roman"/>
          <w:sz w:val="28"/>
          <w:szCs w:val="28"/>
        </w:rPr>
      </w:pPr>
    </w:p>
    <w:p w:rsidR="00352377" w:rsidRDefault="009B7127" w:rsidP="002B4972">
      <w:pPr>
        <w:pStyle w:val="ListParagraph"/>
        <w:numPr>
          <w:ilvl w:val="0"/>
          <w:numId w:val="31"/>
        </w:numPr>
        <w:spacing w:after="0" w:line="360" w:lineRule="auto"/>
        <w:ind w:hanging="720"/>
        <w:jc w:val="both"/>
        <w:rPr>
          <w:rFonts w:ascii="Times New Roman" w:hAnsi="Times New Roman" w:cs="Times New Roman"/>
          <w:sz w:val="28"/>
          <w:szCs w:val="28"/>
        </w:rPr>
      </w:pPr>
      <w:r w:rsidRPr="002B4972">
        <w:rPr>
          <w:rFonts w:ascii="Times New Roman" w:hAnsi="Times New Roman" w:cs="Times New Roman"/>
          <w:sz w:val="28"/>
          <w:szCs w:val="28"/>
        </w:rPr>
        <w:t>On 15 October 2015</w:t>
      </w:r>
      <w:r w:rsidR="0023255D">
        <w:rPr>
          <w:rFonts w:ascii="Times New Roman" w:hAnsi="Times New Roman" w:cs="Times New Roman"/>
          <w:sz w:val="28"/>
          <w:szCs w:val="28"/>
        </w:rPr>
        <w:t>,</w:t>
      </w:r>
      <w:r w:rsidR="00924614">
        <w:rPr>
          <w:rFonts w:ascii="Times New Roman" w:hAnsi="Times New Roman" w:cs="Times New Roman"/>
          <w:sz w:val="28"/>
          <w:szCs w:val="28"/>
        </w:rPr>
        <w:t xml:space="preserve"> </w:t>
      </w:r>
      <w:r w:rsidR="0023255D">
        <w:rPr>
          <w:rFonts w:ascii="Times New Roman" w:hAnsi="Times New Roman" w:cs="Times New Roman"/>
          <w:sz w:val="28"/>
          <w:szCs w:val="28"/>
        </w:rPr>
        <w:t xml:space="preserve">Steyn De Villiers </w:t>
      </w:r>
      <w:r w:rsidR="00F72F9F">
        <w:rPr>
          <w:rFonts w:ascii="Times New Roman" w:hAnsi="Times New Roman" w:cs="Times New Roman"/>
          <w:sz w:val="28"/>
          <w:szCs w:val="28"/>
        </w:rPr>
        <w:t>drafted an email with a draft</w:t>
      </w:r>
      <w:r w:rsidRPr="002B4972">
        <w:rPr>
          <w:rFonts w:ascii="Times New Roman" w:hAnsi="Times New Roman" w:cs="Times New Roman"/>
          <w:sz w:val="28"/>
          <w:szCs w:val="28"/>
        </w:rPr>
        <w:t xml:space="preserve"> res</w:t>
      </w:r>
      <w:r w:rsidR="00AF584B">
        <w:rPr>
          <w:rFonts w:ascii="Times New Roman" w:hAnsi="Times New Roman" w:cs="Times New Roman"/>
          <w:sz w:val="28"/>
          <w:szCs w:val="28"/>
        </w:rPr>
        <w:t>olution, Power of Attorney and</w:t>
      </w:r>
      <w:r w:rsidRPr="002B4972">
        <w:rPr>
          <w:rFonts w:ascii="Times New Roman" w:hAnsi="Times New Roman" w:cs="Times New Roman"/>
          <w:sz w:val="28"/>
          <w:szCs w:val="28"/>
        </w:rPr>
        <w:t xml:space="preserve"> notarial deed for the registration of the servitude over the Applicants</w:t>
      </w:r>
      <w:r w:rsidR="0023255D">
        <w:rPr>
          <w:rFonts w:ascii="Times New Roman" w:hAnsi="Times New Roman" w:cs="Times New Roman"/>
          <w:sz w:val="28"/>
          <w:szCs w:val="28"/>
        </w:rPr>
        <w:t>’</w:t>
      </w:r>
      <w:r w:rsidRPr="002B4972">
        <w:rPr>
          <w:rFonts w:ascii="Times New Roman" w:hAnsi="Times New Roman" w:cs="Times New Roman"/>
          <w:sz w:val="28"/>
          <w:szCs w:val="28"/>
        </w:rPr>
        <w:t xml:space="preserve"> property.</w:t>
      </w:r>
      <w:r w:rsidR="00B22ACE">
        <w:rPr>
          <w:rFonts w:ascii="Times New Roman" w:hAnsi="Times New Roman" w:cs="Times New Roman"/>
          <w:sz w:val="28"/>
          <w:szCs w:val="28"/>
        </w:rPr>
        <w:t xml:space="preserve"> The first Applicant indicated that he was “pretty much happy to go along with a verbal description for now</w:t>
      </w:r>
      <w:r w:rsidR="00C05692">
        <w:rPr>
          <w:rFonts w:ascii="Times New Roman" w:hAnsi="Times New Roman" w:cs="Times New Roman"/>
          <w:sz w:val="28"/>
          <w:szCs w:val="28"/>
        </w:rPr>
        <w:t>, but my suggestion is that this be done properly from the get-go. Do the survey now and get everything registered by the book. The diagram below is pretty much what I had in mind.”</w:t>
      </w:r>
      <w:r w:rsidR="00B22ACE">
        <w:rPr>
          <w:rStyle w:val="FootnoteReference"/>
          <w:rFonts w:ascii="Times New Roman" w:hAnsi="Times New Roman" w:cs="Times New Roman"/>
          <w:sz w:val="28"/>
          <w:szCs w:val="28"/>
        </w:rPr>
        <w:footnoteReference w:id="11"/>
      </w:r>
      <w:r w:rsidR="00FF7E23">
        <w:rPr>
          <w:rFonts w:ascii="Times New Roman" w:hAnsi="Times New Roman" w:cs="Times New Roman"/>
          <w:sz w:val="28"/>
          <w:szCs w:val="28"/>
        </w:rPr>
        <w:t xml:space="preserve"> </w:t>
      </w:r>
    </w:p>
    <w:p w:rsidR="005B5447" w:rsidRPr="005B5447" w:rsidRDefault="005B5447" w:rsidP="005B5447">
      <w:pPr>
        <w:pStyle w:val="ListParagraph"/>
        <w:rPr>
          <w:rFonts w:ascii="Times New Roman" w:hAnsi="Times New Roman" w:cs="Times New Roman"/>
          <w:sz w:val="28"/>
          <w:szCs w:val="28"/>
        </w:rPr>
      </w:pPr>
    </w:p>
    <w:p w:rsidR="005B5447" w:rsidRPr="005B5447" w:rsidRDefault="005B5447" w:rsidP="005B5447">
      <w:pPr>
        <w:pStyle w:val="ListParagraph"/>
        <w:numPr>
          <w:ilvl w:val="0"/>
          <w:numId w:val="31"/>
        </w:numPr>
        <w:spacing w:after="0" w:line="360" w:lineRule="auto"/>
        <w:ind w:hanging="720"/>
        <w:jc w:val="both"/>
        <w:rPr>
          <w:rFonts w:ascii="Times New Roman" w:hAnsi="Times New Roman" w:cs="Times New Roman"/>
          <w:sz w:val="28"/>
          <w:szCs w:val="28"/>
        </w:rPr>
      </w:pPr>
      <w:r w:rsidRPr="002B4972">
        <w:rPr>
          <w:rFonts w:ascii="Times New Roman" w:hAnsi="Times New Roman" w:cs="Times New Roman"/>
          <w:sz w:val="28"/>
          <w:szCs w:val="28"/>
        </w:rPr>
        <w:t>The Applicants</w:t>
      </w:r>
      <w:r w:rsidR="00D21621">
        <w:rPr>
          <w:rFonts w:ascii="Times New Roman" w:hAnsi="Times New Roman" w:cs="Times New Roman"/>
          <w:sz w:val="28"/>
          <w:szCs w:val="28"/>
        </w:rPr>
        <w:t xml:space="preserve"> wanted</w:t>
      </w:r>
      <w:r>
        <w:rPr>
          <w:rFonts w:ascii="Times New Roman" w:hAnsi="Times New Roman" w:cs="Times New Roman"/>
          <w:sz w:val="28"/>
          <w:szCs w:val="28"/>
        </w:rPr>
        <w:t xml:space="preserve"> to retain as much of their e</w:t>
      </w:r>
      <w:r w:rsidRPr="002B4972">
        <w:rPr>
          <w:rFonts w:ascii="Times New Roman" w:hAnsi="Times New Roman" w:cs="Times New Roman"/>
          <w:sz w:val="28"/>
          <w:szCs w:val="28"/>
        </w:rPr>
        <w:t>rf as possible as they would possibly extend the balcony o</w:t>
      </w:r>
      <w:r w:rsidR="000940D1">
        <w:rPr>
          <w:rFonts w:ascii="Times New Roman" w:hAnsi="Times New Roman" w:cs="Times New Roman"/>
          <w:sz w:val="28"/>
          <w:szCs w:val="28"/>
        </w:rPr>
        <w:t xml:space="preserve">n the north of </w:t>
      </w:r>
      <w:r w:rsidR="00947740">
        <w:rPr>
          <w:rFonts w:ascii="Times New Roman" w:hAnsi="Times New Roman" w:cs="Times New Roman"/>
          <w:sz w:val="28"/>
          <w:szCs w:val="28"/>
        </w:rPr>
        <w:t>their</w:t>
      </w:r>
      <w:r w:rsidR="00D21621">
        <w:rPr>
          <w:rFonts w:ascii="Times New Roman" w:hAnsi="Times New Roman" w:cs="Times New Roman"/>
          <w:sz w:val="28"/>
          <w:szCs w:val="28"/>
        </w:rPr>
        <w:t xml:space="preserve"> house and might</w:t>
      </w:r>
      <w:r w:rsidRPr="002B4972">
        <w:rPr>
          <w:rFonts w:ascii="Times New Roman" w:hAnsi="Times New Roman" w:cs="Times New Roman"/>
          <w:sz w:val="28"/>
          <w:szCs w:val="28"/>
        </w:rPr>
        <w:t xml:space="preserve"> need a column on the western boundary.</w:t>
      </w:r>
      <w:r>
        <w:rPr>
          <w:rStyle w:val="FootnoteReference"/>
          <w:rFonts w:ascii="Times New Roman" w:hAnsi="Times New Roman" w:cs="Times New Roman"/>
          <w:sz w:val="28"/>
          <w:szCs w:val="28"/>
        </w:rPr>
        <w:footnoteReference w:id="12"/>
      </w:r>
      <w:r w:rsidRPr="002B4972">
        <w:rPr>
          <w:rFonts w:ascii="Times New Roman" w:hAnsi="Times New Roman" w:cs="Times New Roman"/>
          <w:sz w:val="28"/>
          <w:szCs w:val="28"/>
        </w:rPr>
        <w:t xml:space="preserve">  </w:t>
      </w:r>
    </w:p>
    <w:p w:rsidR="00615FC3" w:rsidRDefault="00615FC3" w:rsidP="00615FC3">
      <w:pPr>
        <w:pStyle w:val="ListParagraph"/>
        <w:rPr>
          <w:rFonts w:ascii="Times New Roman" w:hAnsi="Times New Roman" w:cs="Times New Roman"/>
          <w:sz w:val="28"/>
          <w:szCs w:val="28"/>
        </w:rPr>
      </w:pPr>
    </w:p>
    <w:p w:rsidR="00847C59" w:rsidRPr="00615FC3" w:rsidRDefault="00847C59" w:rsidP="00615FC3">
      <w:pPr>
        <w:pStyle w:val="ListParagraph"/>
        <w:rPr>
          <w:rFonts w:ascii="Times New Roman" w:hAnsi="Times New Roman" w:cs="Times New Roman"/>
          <w:sz w:val="28"/>
          <w:szCs w:val="28"/>
        </w:rPr>
      </w:pPr>
    </w:p>
    <w:p w:rsidR="001F2757" w:rsidRDefault="00615FC3" w:rsidP="00615FC3">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On 27 June 2016</w:t>
      </w:r>
      <w:r w:rsidR="00D21621">
        <w:rPr>
          <w:rFonts w:ascii="Times New Roman" w:hAnsi="Times New Roman" w:cs="Times New Roman"/>
          <w:sz w:val="28"/>
          <w:szCs w:val="28"/>
        </w:rPr>
        <w:t>,</w:t>
      </w:r>
      <w:r>
        <w:rPr>
          <w:rFonts w:ascii="Times New Roman" w:hAnsi="Times New Roman" w:cs="Times New Roman"/>
          <w:sz w:val="28"/>
          <w:szCs w:val="28"/>
        </w:rPr>
        <w:t xml:space="preserve"> Steyn De Villiers emailed the first Applicant and stated that</w:t>
      </w:r>
      <w:r w:rsidR="00947740">
        <w:rPr>
          <w:rFonts w:ascii="Times New Roman" w:hAnsi="Times New Roman" w:cs="Times New Roman"/>
          <w:sz w:val="28"/>
          <w:szCs w:val="28"/>
        </w:rPr>
        <w:t>:</w:t>
      </w:r>
    </w:p>
    <w:p w:rsidR="001F2757" w:rsidRPr="001F2757" w:rsidRDefault="001F2757" w:rsidP="001F2757">
      <w:pPr>
        <w:pStyle w:val="ListParagraph"/>
        <w:rPr>
          <w:rFonts w:ascii="Times New Roman" w:hAnsi="Times New Roman" w:cs="Times New Roman"/>
          <w:sz w:val="28"/>
          <w:szCs w:val="28"/>
        </w:rPr>
      </w:pPr>
    </w:p>
    <w:p w:rsidR="00615FC3" w:rsidRDefault="00615FC3" w:rsidP="001F2757">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“Your letter below and the basic terms of the servitude seems to be the basis of the servitude namely:</w:t>
      </w:r>
    </w:p>
    <w:p w:rsidR="00615FC3" w:rsidRPr="00615FC3" w:rsidRDefault="00615FC3" w:rsidP="00615FC3">
      <w:pPr>
        <w:pStyle w:val="ListParagraph"/>
        <w:rPr>
          <w:rFonts w:ascii="Times New Roman" w:hAnsi="Times New Roman" w:cs="Times New Roman"/>
          <w:sz w:val="28"/>
          <w:szCs w:val="28"/>
        </w:rPr>
      </w:pPr>
    </w:p>
    <w:p w:rsidR="00615FC3" w:rsidRDefault="00615FC3" w:rsidP="00615FC3">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-Access route commencing at 3m wide and increasing to 6m(parallel to boundary) to access garage area (6x6m) as depicted in your letter</w:t>
      </w:r>
      <w:r w:rsidR="001F2757">
        <w:rPr>
          <w:rFonts w:ascii="Times New Roman" w:hAnsi="Times New Roman" w:cs="Times New Roman"/>
          <w:sz w:val="28"/>
          <w:szCs w:val="28"/>
        </w:rPr>
        <w:t>,</w:t>
      </w:r>
      <w:r>
        <w:rPr>
          <w:rFonts w:ascii="Times New Roman" w:hAnsi="Times New Roman" w:cs="Times New Roman"/>
          <w:sz w:val="28"/>
          <w:szCs w:val="28"/>
        </w:rPr>
        <w:t xml:space="preserve"> and</w:t>
      </w:r>
    </w:p>
    <w:p w:rsidR="00615FC3" w:rsidRDefault="00615FC3" w:rsidP="00615FC3">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 described in my draft agreement.</w:t>
      </w:r>
    </w:p>
    <w:p w:rsidR="00615FC3" w:rsidRDefault="00615FC3" w:rsidP="00615FC3">
      <w:pPr>
        <w:pStyle w:val="ListParagraph"/>
        <w:spacing w:after="0" w:line="360" w:lineRule="auto"/>
        <w:jc w:val="both"/>
        <w:rPr>
          <w:rFonts w:ascii="Times New Roman" w:hAnsi="Times New Roman" w:cs="Times New Roman"/>
          <w:sz w:val="28"/>
          <w:szCs w:val="28"/>
        </w:rPr>
      </w:pPr>
    </w:p>
    <w:p w:rsidR="00615FC3" w:rsidRDefault="00615FC3" w:rsidP="00615FC3">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On the strength of the above the Surveyor can plot the servitude area and draw the Diagram for</w:t>
      </w:r>
      <w:r w:rsidR="001F2757">
        <w:rPr>
          <w:rFonts w:ascii="Times New Roman" w:hAnsi="Times New Roman" w:cs="Times New Roman"/>
          <w:sz w:val="28"/>
          <w:szCs w:val="28"/>
        </w:rPr>
        <w:t xml:space="preserve"> approval by the Surveyor Gen</w:t>
      </w:r>
      <w:r>
        <w:rPr>
          <w:rFonts w:ascii="Times New Roman" w:hAnsi="Times New Roman" w:cs="Times New Roman"/>
          <w:sz w:val="28"/>
          <w:szCs w:val="28"/>
        </w:rPr>
        <w:t>, I need authority from you and Mntambo Trust to instruct the Surveyor and incur such costs obo Mtambo Trust who has to pay the costs.</w:t>
      </w:r>
    </w:p>
    <w:p w:rsidR="00B41CF6" w:rsidRDefault="00B41CF6" w:rsidP="00615FC3">
      <w:pPr>
        <w:pStyle w:val="ListParagraph"/>
        <w:spacing w:after="0" w:line="360" w:lineRule="auto"/>
        <w:jc w:val="both"/>
        <w:rPr>
          <w:rFonts w:ascii="Times New Roman" w:hAnsi="Times New Roman" w:cs="Times New Roman"/>
          <w:sz w:val="28"/>
          <w:szCs w:val="28"/>
        </w:rPr>
      </w:pPr>
    </w:p>
    <w:p w:rsidR="00422768" w:rsidRDefault="00615FC3" w:rsidP="005B5447">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Please phone me if anything is not clear.”</w:t>
      </w:r>
      <w:r w:rsidR="001F2757">
        <w:rPr>
          <w:rStyle w:val="FootnoteReference"/>
          <w:rFonts w:ascii="Times New Roman" w:hAnsi="Times New Roman" w:cs="Times New Roman"/>
          <w:sz w:val="28"/>
          <w:szCs w:val="28"/>
        </w:rPr>
        <w:footnoteReference w:id="13"/>
      </w:r>
    </w:p>
    <w:p w:rsidR="005B5447" w:rsidRPr="005B5447" w:rsidRDefault="005B5447" w:rsidP="005B5447">
      <w:pPr>
        <w:pStyle w:val="ListParagraph"/>
        <w:spacing w:after="0" w:line="360" w:lineRule="auto"/>
        <w:jc w:val="both"/>
        <w:rPr>
          <w:rFonts w:ascii="Times New Roman" w:hAnsi="Times New Roman" w:cs="Times New Roman"/>
          <w:sz w:val="28"/>
          <w:szCs w:val="28"/>
        </w:rPr>
      </w:pPr>
    </w:p>
    <w:p w:rsidR="00326BF6" w:rsidRDefault="00FF7E23" w:rsidP="00F35789">
      <w:pPr>
        <w:pStyle w:val="ListParagraph"/>
        <w:numPr>
          <w:ilvl w:val="0"/>
          <w:numId w:val="31"/>
        </w:numPr>
        <w:spacing w:after="0" w:line="360" w:lineRule="auto"/>
        <w:ind w:hanging="720"/>
        <w:jc w:val="both"/>
        <w:rPr>
          <w:rFonts w:ascii="Times New Roman" w:hAnsi="Times New Roman" w:cs="Times New Roman"/>
          <w:sz w:val="28"/>
          <w:szCs w:val="28"/>
        </w:rPr>
      </w:pPr>
      <w:r w:rsidRPr="00F35789">
        <w:rPr>
          <w:rFonts w:ascii="Times New Roman" w:hAnsi="Times New Roman" w:cs="Times New Roman"/>
          <w:sz w:val="28"/>
          <w:szCs w:val="28"/>
        </w:rPr>
        <w:t xml:space="preserve">Procrastination is a thief of time. </w:t>
      </w:r>
      <w:r w:rsidR="001A4F5A" w:rsidRPr="00F35789">
        <w:rPr>
          <w:rFonts w:ascii="Times New Roman" w:hAnsi="Times New Roman" w:cs="Times New Roman"/>
          <w:sz w:val="28"/>
          <w:szCs w:val="28"/>
        </w:rPr>
        <w:t xml:space="preserve">There was no activity for a number of years. </w:t>
      </w:r>
      <w:r w:rsidR="00F35789" w:rsidRPr="00F35789">
        <w:rPr>
          <w:rFonts w:ascii="Times New Roman" w:hAnsi="Times New Roman" w:cs="Times New Roman"/>
          <w:sz w:val="28"/>
          <w:szCs w:val="28"/>
        </w:rPr>
        <w:t>In 2018 owners at Keurbaai began to construct houses which were fundamental</w:t>
      </w:r>
      <w:r w:rsidR="00052B24">
        <w:rPr>
          <w:rFonts w:ascii="Times New Roman" w:hAnsi="Times New Roman" w:cs="Times New Roman"/>
          <w:sz w:val="28"/>
          <w:szCs w:val="28"/>
        </w:rPr>
        <w:t>ly</w:t>
      </w:r>
      <w:r w:rsidR="00F35789" w:rsidRPr="00F35789">
        <w:rPr>
          <w:rFonts w:ascii="Times New Roman" w:hAnsi="Times New Roman" w:cs="Times New Roman"/>
          <w:sz w:val="28"/>
          <w:szCs w:val="28"/>
        </w:rPr>
        <w:t xml:space="preserve"> different </w:t>
      </w:r>
      <w:r w:rsidR="001A4F5A" w:rsidRPr="00F35789">
        <w:rPr>
          <w:rFonts w:ascii="Times New Roman" w:hAnsi="Times New Roman" w:cs="Times New Roman"/>
          <w:sz w:val="28"/>
          <w:szCs w:val="28"/>
        </w:rPr>
        <w:t xml:space="preserve">from the aesthetic structure of other houses. All the restrictions on the aesthetic development were removed. The Applicants began to consider utilizing the garages as </w:t>
      </w:r>
      <w:r w:rsidR="00F35789">
        <w:rPr>
          <w:rFonts w:ascii="Times New Roman" w:hAnsi="Times New Roman" w:cs="Times New Roman"/>
          <w:sz w:val="28"/>
          <w:szCs w:val="28"/>
        </w:rPr>
        <w:t xml:space="preserve">an </w:t>
      </w:r>
      <w:r w:rsidR="001A4F5A" w:rsidRPr="00F35789">
        <w:rPr>
          <w:rFonts w:ascii="Times New Roman" w:hAnsi="Times New Roman" w:cs="Times New Roman"/>
          <w:sz w:val="28"/>
          <w:szCs w:val="28"/>
        </w:rPr>
        <w:t xml:space="preserve">additional living area. </w:t>
      </w:r>
    </w:p>
    <w:p w:rsidR="00326BF6" w:rsidRPr="00326BF6" w:rsidRDefault="00326BF6" w:rsidP="00326BF6">
      <w:pPr>
        <w:pStyle w:val="ListParagraph"/>
        <w:rPr>
          <w:rFonts w:ascii="Times New Roman" w:hAnsi="Times New Roman" w:cs="Times New Roman"/>
          <w:sz w:val="28"/>
          <w:szCs w:val="28"/>
        </w:rPr>
      </w:pPr>
    </w:p>
    <w:p w:rsidR="001A4F5A" w:rsidRPr="00F35789" w:rsidRDefault="001A4F5A" w:rsidP="00F35789">
      <w:pPr>
        <w:pStyle w:val="ListParagraph"/>
        <w:numPr>
          <w:ilvl w:val="0"/>
          <w:numId w:val="31"/>
        </w:numPr>
        <w:spacing w:after="0" w:line="360" w:lineRule="auto"/>
        <w:ind w:hanging="720"/>
        <w:jc w:val="both"/>
        <w:rPr>
          <w:rFonts w:ascii="Times New Roman" w:hAnsi="Times New Roman" w:cs="Times New Roman"/>
          <w:sz w:val="28"/>
          <w:szCs w:val="28"/>
        </w:rPr>
      </w:pPr>
      <w:r w:rsidRPr="00F35789">
        <w:rPr>
          <w:rFonts w:ascii="Times New Roman" w:hAnsi="Times New Roman" w:cs="Times New Roman"/>
          <w:sz w:val="28"/>
          <w:szCs w:val="28"/>
        </w:rPr>
        <w:t xml:space="preserve">On 01 March </w:t>
      </w:r>
      <w:r w:rsidR="00296D68" w:rsidRPr="00F35789">
        <w:rPr>
          <w:rFonts w:ascii="Times New Roman" w:hAnsi="Times New Roman" w:cs="Times New Roman"/>
          <w:sz w:val="28"/>
          <w:szCs w:val="28"/>
        </w:rPr>
        <w:t>2018</w:t>
      </w:r>
      <w:r w:rsidR="00F72D20">
        <w:rPr>
          <w:rFonts w:ascii="Times New Roman" w:hAnsi="Times New Roman" w:cs="Times New Roman"/>
          <w:sz w:val="28"/>
          <w:szCs w:val="28"/>
        </w:rPr>
        <w:t>,</w:t>
      </w:r>
      <w:r w:rsidR="00296D68" w:rsidRPr="00F35789">
        <w:rPr>
          <w:rFonts w:ascii="Times New Roman" w:hAnsi="Times New Roman" w:cs="Times New Roman"/>
          <w:sz w:val="28"/>
          <w:szCs w:val="28"/>
        </w:rPr>
        <w:t xml:space="preserve"> the </w:t>
      </w:r>
      <w:r w:rsidR="00807B53">
        <w:rPr>
          <w:rFonts w:ascii="Times New Roman" w:hAnsi="Times New Roman" w:cs="Times New Roman"/>
          <w:sz w:val="28"/>
          <w:szCs w:val="28"/>
        </w:rPr>
        <w:t>first Applicant enquired from</w:t>
      </w:r>
      <w:r w:rsidR="00326BF6">
        <w:rPr>
          <w:rFonts w:ascii="Times New Roman" w:hAnsi="Times New Roman" w:cs="Times New Roman"/>
          <w:sz w:val="28"/>
          <w:szCs w:val="28"/>
        </w:rPr>
        <w:t xml:space="preserve"> the Respondents </w:t>
      </w:r>
      <w:r w:rsidR="00807B53">
        <w:rPr>
          <w:rFonts w:ascii="Times New Roman" w:hAnsi="Times New Roman" w:cs="Times New Roman"/>
          <w:sz w:val="28"/>
          <w:szCs w:val="28"/>
        </w:rPr>
        <w:t xml:space="preserve">whether they </w:t>
      </w:r>
      <w:r w:rsidR="00326BF6">
        <w:rPr>
          <w:rFonts w:ascii="Times New Roman" w:hAnsi="Times New Roman" w:cs="Times New Roman"/>
          <w:sz w:val="28"/>
          <w:szCs w:val="28"/>
        </w:rPr>
        <w:t xml:space="preserve">still wanted to proceed with the servitude and expressed that they were considering plans for the northern portion of the </w:t>
      </w:r>
      <w:r w:rsidR="00F72D20">
        <w:rPr>
          <w:rFonts w:ascii="Times New Roman" w:hAnsi="Times New Roman" w:cs="Times New Roman"/>
          <w:sz w:val="28"/>
          <w:szCs w:val="28"/>
        </w:rPr>
        <w:t>e</w:t>
      </w:r>
      <w:r w:rsidR="00326BF6">
        <w:rPr>
          <w:rFonts w:ascii="Times New Roman" w:hAnsi="Times New Roman" w:cs="Times New Roman"/>
          <w:sz w:val="28"/>
          <w:szCs w:val="28"/>
        </w:rPr>
        <w:t xml:space="preserve">rf. </w:t>
      </w:r>
      <w:r w:rsidR="00947740">
        <w:rPr>
          <w:rFonts w:ascii="Times New Roman" w:hAnsi="Times New Roman" w:cs="Times New Roman"/>
          <w:sz w:val="28"/>
          <w:szCs w:val="28"/>
        </w:rPr>
        <w:t xml:space="preserve">Relying on the </w:t>
      </w:r>
      <w:r w:rsidR="00F314CE">
        <w:rPr>
          <w:rFonts w:ascii="Times New Roman" w:hAnsi="Times New Roman" w:cs="Times New Roman"/>
          <w:sz w:val="28"/>
          <w:szCs w:val="28"/>
        </w:rPr>
        <w:t xml:space="preserve">institutional </w:t>
      </w:r>
      <w:r w:rsidR="00947740">
        <w:rPr>
          <w:rFonts w:ascii="Times New Roman" w:hAnsi="Times New Roman" w:cs="Times New Roman"/>
          <w:sz w:val="28"/>
          <w:szCs w:val="28"/>
        </w:rPr>
        <w:t>history,</w:t>
      </w:r>
      <w:r w:rsidR="00F314CE">
        <w:rPr>
          <w:rFonts w:ascii="Times New Roman" w:hAnsi="Times New Roman" w:cs="Times New Roman"/>
          <w:sz w:val="28"/>
          <w:szCs w:val="28"/>
        </w:rPr>
        <w:t xml:space="preserve"> </w:t>
      </w:r>
      <w:r w:rsidR="004D7298">
        <w:rPr>
          <w:rFonts w:ascii="Times New Roman" w:hAnsi="Times New Roman" w:cs="Times New Roman"/>
          <w:sz w:val="28"/>
          <w:szCs w:val="28"/>
        </w:rPr>
        <w:t xml:space="preserve">the first Respondent mentioned that the original owners </w:t>
      </w:r>
      <w:r w:rsidR="004D7298">
        <w:rPr>
          <w:rFonts w:ascii="Times New Roman" w:hAnsi="Times New Roman" w:cs="Times New Roman"/>
          <w:sz w:val="28"/>
          <w:szCs w:val="28"/>
        </w:rPr>
        <w:lastRenderedPageBreak/>
        <w:t>of no. 5 and 6 had an agreement in terms of which no.6 had the right to use the driveway and the garages which</w:t>
      </w:r>
      <w:r w:rsidR="006B01D7">
        <w:rPr>
          <w:rFonts w:ascii="Times New Roman" w:hAnsi="Times New Roman" w:cs="Times New Roman"/>
          <w:sz w:val="28"/>
          <w:szCs w:val="28"/>
        </w:rPr>
        <w:t xml:space="preserve"> </w:t>
      </w:r>
      <w:r w:rsidR="004D7298">
        <w:rPr>
          <w:rFonts w:ascii="Times New Roman" w:hAnsi="Times New Roman" w:cs="Times New Roman"/>
          <w:sz w:val="28"/>
          <w:szCs w:val="28"/>
        </w:rPr>
        <w:t>are the property of no.5.</w:t>
      </w:r>
      <w:r w:rsidR="004D7298">
        <w:rPr>
          <w:rStyle w:val="FootnoteReference"/>
          <w:rFonts w:ascii="Times New Roman" w:hAnsi="Times New Roman" w:cs="Times New Roman"/>
          <w:sz w:val="28"/>
          <w:szCs w:val="28"/>
        </w:rPr>
        <w:footnoteReference w:id="14"/>
      </w:r>
      <w:r w:rsidR="004D7298">
        <w:rPr>
          <w:rFonts w:ascii="Times New Roman" w:hAnsi="Times New Roman" w:cs="Times New Roman"/>
          <w:sz w:val="28"/>
          <w:szCs w:val="28"/>
        </w:rPr>
        <w:t xml:space="preserve"> </w:t>
      </w:r>
    </w:p>
    <w:p w:rsidR="00F314CE" w:rsidRPr="00847C59" w:rsidRDefault="00F314CE" w:rsidP="00847C59">
      <w:pPr>
        <w:spacing w:after="0" w:line="360" w:lineRule="auto"/>
        <w:jc w:val="both"/>
        <w:rPr>
          <w:rFonts w:ascii="Times New Roman" w:hAnsi="Times New Roman" w:cs="Times New Roman"/>
          <w:sz w:val="28"/>
          <w:szCs w:val="28"/>
        </w:rPr>
      </w:pPr>
    </w:p>
    <w:p w:rsidR="00AF08C9" w:rsidRDefault="00F72D20" w:rsidP="00AD58DB">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For the first time, on 25 December 2018</w:t>
      </w:r>
      <w:r w:rsidR="00A511D8">
        <w:rPr>
          <w:rFonts w:ascii="Times New Roman" w:hAnsi="Times New Roman" w:cs="Times New Roman"/>
          <w:sz w:val="28"/>
          <w:szCs w:val="28"/>
        </w:rPr>
        <w:t xml:space="preserve">, the first Applicant stated that the garages were built on their property and actually were part of their house. </w:t>
      </w:r>
      <w:r w:rsidR="006B01D7">
        <w:rPr>
          <w:rFonts w:ascii="Times New Roman" w:hAnsi="Times New Roman" w:cs="Times New Roman"/>
          <w:sz w:val="28"/>
          <w:szCs w:val="28"/>
        </w:rPr>
        <w:t xml:space="preserve">Clearly the gloves were now off. </w:t>
      </w:r>
      <w:r w:rsidR="00D04252">
        <w:rPr>
          <w:rFonts w:ascii="Times New Roman" w:hAnsi="Times New Roman" w:cs="Times New Roman"/>
          <w:sz w:val="28"/>
          <w:szCs w:val="28"/>
        </w:rPr>
        <w:t xml:space="preserve">In </w:t>
      </w:r>
      <w:r>
        <w:rPr>
          <w:rFonts w:ascii="Times New Roman" w:hAnsi="Times New Roman" w:cs="Times New Roman"/>
          <w:sz w:val="28"/>
          <w:szCs w:val="28"/>
        </w:rPr>
        <w:t>the</w:t>
      </w:r>
      <w:r w:rsidR="006B01D7">
        <w:rPr>
          <w:rFonts w:ascii="Times New Roman" w:hAnsi="Times New Roman" w:cs="Times New Roman"/>
          <w:sz w:val="28"/>
          <w:szCs w:val="28"/>
        </w:rPr>
        <w:t xml:space="preserve"> </w:t>
      </w:r>
      <w:r w:rsidR="00AF08C9">
        <w:rPr>
          <w:rFonts w:ascii="Times New Roman" w:hAnsi="Times New Roman" w:cs="Times New Roman"/>
          <w:sz w:val="28"/>
          <w:szCs w:val="28"/>
        </w:rPr>
        <w:t xml:space="preserve">email </w:t>
      </w:r>
      <w:r w:rsidR="00D04252">
        <w:rPr>
          <w:rFonts w:ascii="Times New Roman" w:hAnsi="Times New Roman" w:cs="Times New Roman"/>
          <w:sz w:val="28"/>
          <w:szCs w:val="28"/>
        </w:rPr>
        <w:t xml:space="preserve">he stated </w:t>
      </w:r>
      <w:r w:rsidR="00AF08C9">
        <w:rPr>
          <w:rFonts w:ascii="Times New Roman" w:hAnsi="Times New Roman" w:cs="Times New Roman"/>
          <w:sz w:val="28"/>
          <w:szCs w:val="28"/>
        </w:rPr>
        <w:t>the following:</w:t>
      </w:r>
    </w:p>
    <w:p w:rsidR="00052B24" w:rsidRDefault="00052B24" w:rsidP="00052B24">
      <w:pPr>
        <w:pStyle w:val="ListParagraph"/>
        <w:spacing w:after="0" w:line="360" w:lineRule="auto"/>
        <w:jc w:val="both"/>
        <w:rPr>
          <w:rFonts w:ascii="Times New Roman" w:hAnsi="Times New Roman" w:cs="Times New Roman"/>
          <w:sz w:val="28"/>
          <w:szCs w:val="28"/>
        </w:rPr>
      </w:pPr>
    </w:p>
    <w:p w:rsidR="00AF08C9" w:rsidRPr="00F314CE" w:rsidRDefault="00AF08C9" w:rsidP="00F314CE">
      <w:pPr>
        <w:spacing w:after="0" w:line="360" w:lineRule="auto"/>
        <w:ind w:left="720"/>
        <w:jc w:val="both"/>
        <w:rPr>
          <w:rFonts w:ascii="Times New Roman" w:hAnsi="Times New Roman" w:cs="Times New Roman"/>
          <w:sz w:val="28"/>
          <w:szCs w:val="28"/>
        </w:rPr>
      </w:pPr>
      <w:r w:rsidRPr="00F314CE">
        <w:rPr>
          <w:rFonts w:ascii="Times New Roman" w:hAnsi="Times New Roman" w:cs="Times New Roman"/>
          <w:sz w:val="28"/>
          <w:szCs w:val="28"/>
        </w:rPr>
        <w:t xml:space="preserve">“I have been giving some thought to the servitude </w:t>
      </w:r>
      <w:r w:rsidR="00052B24">
        <w:rPr>
          <w:rFonts w:ascii="Times New Roman" w:hAnsi="Times New Roman" w:cs="Times New Roman"/>
          <w:sz w:val="28"/>
          <w:szCs w:val="28"/>
        </w:rPr>
        <w:t>a</w:t>
      </w:r>
      <w:r w:rsidRPr="00F314CE">
        <w:rPr>
          <w:rFonts w:ascii="Times New Roman" w:hAnsi="Times New Roman" w:cs="Times New Roman"/>
          <w:sz w:val="28"/>
          <w:szCs w:val="28"/>
        </w:rPr>
        <w:t>gain and to the use of the garages. While we have agreed to grant a servitude to acces</w:t>
      </w:r>
      <w:r w:rsidR="009C329C" w:rsidRPr="00F314CE">
        <w:rPr>
          <w:rFonts w:ascii="Times New Roman" w:hAnsi="Times New Roman" w:cs="Times New Roman"/>
          <w:sz w:val="28"/>
          <w:szCs w:val="28"/>
        </w:rPr>
        <w:t>s</w:t>
      </w:r>
      <w:r w:rsidRPr="00F314CE">
        <w:rPr>
          <w:rFonts w:ascii="Times New Roman" w:hAnsi="Times New Roman" w:cs="Times New Roman"/>
          <w:sz w:val="28"/>
          <w:szCs w:val="28"/>
        </w:rPr>
        <w:t xml:space="preserve"> the two right-most garages (as you are aware), the actual status of the garages per se is a bit moot. Although Frik allowed Wally (I think his brother in law) access to the rightmost garages and we have continued that “tradition” Wally, I do not know the long term implications of this are.</w:t>
      </w:r>
    </w:p>
    <w:p w:rsidR="00AF08C9" w:rsidRDefault="00AF08C9" w:rsidP="00AF08C9">
      <w:pPr>
        <w:pStyle w:val="ListParagraph"/>
        <w:spacing w:after="0" w:line="360" w:lineRule="auto"/>
        <w:jc w:val="both"/>
        <w:rPr>
          <w:rFonts w:ascii="Times New Roman" w:hAnsi="Times New Roman" w:cs="Times New Roman"/>
          <w:sz w:val="28"/>
          <w:szCs w:val="28"/>
        </w:rPr>
      </w:pPr>
    </w:p>
    <w:p w:rsidR="00AF08C9" w:rsidRDefault="00AF08C9" w:rsidP="009C329C">
      <w:pPr>
        <w:spacing w:after="0" w:line="360" w:lineRule="auto"/>
        <w:ind w:left="720"/>
        <w:jc w:val="both"/>
        <w:rPr>
          <w:rFonts w:ascii="Times New Roman" w:hAnsi="Times New Roman" w:cs="Times New Roman"/>
          <w:sz w:val="28"/>
          <w:szCs w:val="28"/>
        </w:rPr>
      </w:pPr>
      <w:r w:rsidRPr="00AF08C9">
        <w:rPr>
          <w:rFonts w:ascii="Times New Roman" w:hAnsi="Times New Roman" w:cs="Times New Roman"/>
          <w:sz w:val="28"/>
          <w:szCs w:val="28"/>
        </w:rPr>
        <w:t xml:space="preserve">As you are aware, </w:t>
      </w:r>
      <w:r>
        <w:rPr>
          <w:rFonts w:ascii="Times New Roman" w:hAnsi="Times New Roman" w:cs="Times New Roman"/>
          <w:sz w:val="28"/>
          <w:szCs w:val="28"/>
        </w:rPr>
        <w:t>the garages are built on our property and are actually part of our house. There is no sectional title of the garages in favour of erf 572  and I am under no obligation to grant such sectional title rights.</w:t>
      </w:r>
    </w:p>
    <w:p w:rsidR="00AF08C9" w:rsidRDefault="00AF08C9" w:rsidP="00AF08C9">
      <w:pPr>
        <w:spacing w:after="0" w:line="360" w:lineRule="auto"/>
        <w:ind w:left="360"/>
        <w:jc w:val="both"/>
        <w:rPr>
          <w:rFonts w:ascii="Times New Roman" w:hAnsi="Times New Roman" w:cs="Times New Roman"/>
          <w:sz w:val="28"/>
          <w:szCs w:val="28"/>
        </w:rPr>
      </w:pPr>
    </w:p>
    <w:p w:rsidR="00AF08C9" w:rsidRDefault="00AF08C9" w:rsidP="009C329C">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Have you consider building garages on erf 572 or possible creating parking facilities for your erf. Erf 572 is currently the only Erf without parking and/or garage facilities. Wouldn’t be that the cleanest solution?</w:t>
      </w:r>
    </w:p>
    <w:p w:rsidR="00AF08C9" w:rsidRDefault="00AF08C9" w:rsidP="00AF08C9">
      <w:pPr>
        <w:spacing w:after="0" w:line="360" w:lineRule="auto"/>
        <w:ind w:left="360"/>
        <w:jc w:val="both"/>
        <w:rPr>
          <w:rFonts w:ascii="Times New Roman" w:hAnsi="Times New Roman" w:cs="Times New Roman"/>
          <w:sz w:val="28"/>
          <w:szCs w:val="28"/>
        </w:rPr>
      </w:pPr>
    </w:p>
    <w:p w:rsidR="00AF08C9" w:rsidRDefault="00AF08C9" w:rsidP="009C329C">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Of course, we can establish the servitude, but what of the garages that are on our property and are part of our house? Is it not time that we resolve this issue?</w:t>
      </w:r>
    </w:p>
    <w:p w:rsidR="00AF08C9" w:rsidRDefault="00AF08C9" w:rsidP="009C329C">
      <w:pPr>
        <w:spacing w:after="0" w:line="360" w:lineRule="auto"/>
        <w:ind w:left="360" w:firstLine="360"/>
        <w:jc w:val="both"/>
        <w:rPr>
          <w:rFonts w:ascii="Times New Roman" w:hAnsi="Times New Roman" w:cs="Times New Roman"/>
          <w:sz w:val="28"/>
          <w:szCs w:val="28"/>
        </w:rPr>
      </w:pPr>
      <w:r>
        <w:rPr>
          <w:rFonts w:ascii="Times New Roman" w:hAnsi="Times New Roman" w:cs="Times New Roman"/>
          <w:sz w:val="28"/>
          <w:szCs w:val="28"/>
        </w:rPr>
        <w:t>Regards</w:t>
      </w:r>
    </w:p>
    <w:p w:rsidR="00AF08C9" w:rsidRDefault="00AF08C9" w:rsidP="009C329C">
      <w:pPr>
        <w:spacing w:after="0" w:line="360" w:lineRule="auto"/>
        <w:ind w:left="360" w:firstLine="360"/>
        <w:jc w:val="both"/>
        <w:rPr>
          <w:rFonts w:ascii="Times New Roman" w:hAnsi="Times New Roman" w:cs="Times New Roman"/>
          <w:sz w:val="28"/>
          <w:szCs w:val="28"/>
        </w:rPr>
      </w:pPr>
      <w:r>
        <w:rPr>
          <w:rFonts w:ascii="Times New Roman" w:hAnsi="Times New Roman" w:cs="Times New Roman"/>
          <w:sz w:val="28"/>
          <w:szCs w:val="28"/>
        </w:rPr>
        <w:t>Leonard</w:t>
      </w:r>
    </w:p>
    <w:p w:rsidR="009C329C" w:rsidRDefault="009C329C" w:rsidP="009C329C">
      <w:pPr>
        <w:spacing w:after="0" w:line="360" w:lineRule="auto"/>
        <w:ind w:left="360" w:firstLine="360"/>
        <w:jc w:val="both"/>
        <w:rPr>
          <w:rFonts w:ascii="Times New Roman" w:hAnsi="Times New Roman" w:cs="Times New Roman"/>
          <w:sz w:val="28"/>
          <w:szCs w:val="28"/>
        </w:rPr>
      </w:pPr>
    </w:p>
    <w:p w:rsidR="00AF08C9" w:rsidRDefault="00AF08C9" w:rsidP="007A3563">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PS. I had a look for my purchase agreement</w:t>
      </w:r>
      <w:r w:rsidR="007F6062">
        <w:rPr>
          <w:rFonts w:ascii="Times New Roman" w:hAnsi="Times New Roman" w:cs="Times New Roman"/>
          <w:sz w:val="28"/>
          <w:szCs w:val="28"/>
        </w:rPr>
        <w:t>,</w:t>
      </w:r>
      <w:r>
        <w:rPr>
          <w:rFonts w:ascii="Times New Roman" w:hAnsi="Times New Roman" w:cs="Times New Roman"/>
          <w:sz w:val="28"/>
          <w:szCs w:val="28"/>
        </w:rPr>
        <w:t xml:space="preserve"> but cannot find it. I fear it was</w:t>
      </w:r>
      <w:r w:rsidR="009C329C">
        <w:rPr>
          <w:rFonts w:ascii="Times New Roman" w:hAnsi="Times New Roman" w:cs="Times New Roman"/>
          <w:sz w:val="28"/>
          <w:szCs w:val="28"/>
        </w:rPr>
        <w:t xml:space="preserve"> thrown away du</w:t>
      </w:r>
      <w:r w:rsidR="007F6062">
        <w:rPr>
          <w:rFonts w:ascii="Times New Roman" w:hAnsi="Times New Roman" w:cs="Times New Roman"/>
          <w:sz w:val="28"/>
          <w:szCs w:val="28"/>
        </w:rPr>
        <w:t>ring a major cleanup-I threw out</w:t>
      </w:r>
      <w:r w:rsidR="009C329C">
        <w:rPr>
          <w:rFonts w:ascii="Times New Roman" w:hAnsi="Times New Roman" w:cs="Times New Roman"/>
          <w:sz w:val="28"/>
          <w:szCs w:val="28"/>
        </w:rPr>
        <w:t xml:space="preserve"> almost all documents older than 7 years. All I have is the title deed</w:t>
      </w:r>
      <w:r w:rsidR="007F6062">
        <w:rPr>
          <w:rFonts w:ascii="Times New Roman" w:hAnsi="Times New Roman" w:cs="Times New Roman"/>
          <w:sz w:val="28"/>
          <w:szCs w:val="28"/>
        </w:rPr>
        <w:t>,</w:t>
      </w:r>
      <w:r w:rsidR="009C329C">
        <w:rPr>
          <w:rFonts w:ascii="Times New Roman" w:hAnsi="Times New Roman" w:cs="Times New Roman"/>
          <w:sz w:val="28"/>
          <w:szCs w:val="28"/>
        </w:rPr>
        <w:t xml:space="preserve"> which mentions nothing about the garages or the driveway.”</w:t>
      </w:r>
      <w:r w:rsidR="009C329C">
        <w:rPr>
          <w:rStyle w:val="FootnoteReference"/>
          <w:rFonts w:ascii="Times New Roman" w:hAnsi="Times New Roman" w:cs="Times New Roman"/>
          <w:sz w:val="28"/>
          <w:szCs w:val="28"/>
        </w:rPr>
        <w:footnoteReference w:id="15"/>
      </w:r>
    </w:p>
    <w:p w:rsidR="00282352" w:rsidRPr="00847C59" w:rsidRDefault="00282352" w:rsidP="00847C59">
      <w:pPr>
        <w:spacing w:after="0" w:line="360" w:lineRule="auto"/>
        <w:jc w:val="both"/>
        <w:rPr>
          <w:rFonts w:ascii="Times New Roman" w:hAnsi="Times New Roman" w:cs="Times New Roman"/>
          <w:sz w:val="28"/>
          <w:szCs w:val="28"/>
        </w:rPr>
      </w:pPr>
    </w:p>
    <w:p w:rsidR="00DC7467" w:rsidRPr="00DC7467" w:rsidRDefault="00F314CE" w:rsidP="00AD58DB">
      <w:pPr>
        <w:pStyle w:val="ListParagraph"/>
        <w:numPr>
          <w:ilvl w:val="0"/>
          <w:numId w:val="31"/>
        </w:numPr>
        <w:spacing w:after="0" w:line="360" w:lineRule="auto"/>
        <w:ind w:hanging="720"/>
        <w:jc w:val="both"/>
        <w:rPr>
          <w:rFonts w:ascii="Times New Roman" w:hAnsi="Times New Roman" w:cs="Times New Roman"/>
          <w:i/>
          <w:sz w:val="28"/>
          <w:szCs w:val="28"/>
        </w:rPr>
      </w:pPr>
      <w:r>
        <w:rPr>
          <w:rFonts w:ascii="Times New Roman" w:hAnsi="Times New Roman" w:cs="Times New Roman"/>
          <w:sz w:val="28"/>
          <w:szCs w:val="28"/>
        </w:rPr>
        <w:t>On 28 December 2018</w:t>
      </w:r>
      <w:r w:rsidR="00F72D20">
        <w:rPr>
          <w:rFonts w:ascii="Times New Roman" w:hAnsi="Times New Roman" w:cs="Times New Roman"/>
          <w:sz w:val="28"/>
          <w:szCs w:val="28"/>
        </w:rPr>
        <w:t>,</w:t>
      </w:r>
      <w:r>
        <w:rPr>
          <w:rFonts w:ascii="Times New Roman" w:hAnsi="Times New Roman" w:cs="Times New Roman"/>
          <w:sz w:val="28"/>
          <w:szCs w:val="28"/>
        </w:rPr>
        <w:t xml:space="preserve"> the first Respondent dispatched an email in which he acknowledged their </w:t>
      </w:r>
      <w:r w:rsidR="009B71E4">
        <w:rPr>
          <w:rFonts w:ascii="Times New Roman" w:hAnsi="Times New Roman" w:cs="Times New Roman"/>
          <w:sz w:val="28"/>
          <w:szCs w:val="28"/>
        </w:rPr>
        <w:t>lackadaisical handling of the matter which led to the loss of vital information. Of paramount importan</w:t>
      </w:r>
      <w:r w:rsidR="00DC7467">
        <w:rPr>
          <w:rFonts w:ascii="Times New Roman" w:hAnsi="Times New Roman" w:cs="Times New Roman"/>
          <w:sz w:val="28"/>
          <w:szCs w:val="28"/>
        </w:rPr>
        <w:t>ce is that he again acknowledged</w:t>
      </w:r>
      <w:r w:rsidR="009B71E4">
        <w:rPr>
          <w:rFonts w:ascii="Times New Roman" w:hAnsi="Times New Roman" w:cs="Times New Roman"/>
          <w:sz w:val="28"/>
          <w:szCs w:val="28"/>
        </w:rPr>
        <w:t xml:space="preserve"> the Applicants’ ownership of the land and garages.</w:t>
      </w:r>
      <w:r w:rsidR="00D04252">
        <w:rPr>
          <w:rFonts w:ascii="Times New Roman" w:hAnsi="Times New Roman" w:cs="Times New Roman"/>
          <w:sz w:val="28"/>
          <w:szCs w:val="28"/>
        </w:rPr>
        <w:t xml:space="preserve"> On the same day, </w:t>
      </w:r>
      <w:r w:rsidR="000E19EB">
        <w:rPr>
          <w:rFonts w:ascii="Times New Roman" w:hAnsi="Times New Roman" w:cs="Times New Roman"/>
          <w:sz w:val="28"/>
          <w:szCs w:val="28"/>
        </w:rPr>
        <w:t>the first Applicant</w:t>
      </w:r>
      <w:r w:rsidR="00DC7467">
        <w:rPr>
          <w:rFonts w:ascii="Times New Roman" w:hAnsi="Times New Roman" w:cs="Times New Roman"/>
          <w:sz w:val="28"/>
          <w:szCs w:val="28"/>
        </w:rPr>
        <w:t xml:space="preserve"> suggested the following options:</w:t>
      </w:r>
    </w:p>
    <w:p w:rsidR="00DC7467" w:rsidRPr="00DC7467" w:rsidRDefault="00DC7467" w:rsidP="00DC7467">
      <w:pPr>
        <w:pStyle w:val="ListParagraph"/>
        <w:spacing w:after="0" w:line="360" w:lineRule="auto"/>
        <w:jc w:val="both"/>
        <w:rPr>
          <w:rFonts w:ascii="Times New Roman" w:hAnsi="Times New Roman" w:cs="Times New Roman"/>
          <w:i/>
          <w:sz w:val="28"/>
          <w:szCs w:val="28"/>
        </w:rPr>
      </w:pPr>
    </w:p>
    <w:p w:rsidR="00DC7467" w:rsidRPr="00DC7467" w:rsidRDefault="005D759F" w:rsidP="00DC7467">
      <w:pPr>
        <w:pStyle w:val="ListParagraph"/>
        <w:numPr>
          <w:ilvl w:val="0"/>
          <w:numId w:val="44"/>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w:t>
      </w:r>
      <w:r w:rsidR="00DC7467">
        <w:rPr>
          <w:rFonts w:ascii="Times New Roman" w:hAnsi="Times New Roman" w:cs="Times New Roman"/>
          <w:sz w:val="28"/>
          <w:szCs w:val="28"/>
        </w:rPr>
        <w:t>Rental of a tandem garage space with direct access and parking space on that access- the term and rental would need to be discussed;</w:t>
      </w:r>
    </w:p>
    <w:p w:rsidR="00DC7467" w:rsidRPr="00DC7467" w:rsidRDefault="00DC7467" w:rsidP="00DC7467">
      <w:pPr>
        <w:pStyle w:val="ListParagraph"/>
        <w:spacing w:after="0" w:line="360" w:lineRule="auto"/>
        <w:ind w:left="1080"/>
        <w:jc w:val="both"/>
        <w:rPr>
          <w:rFonts w:ascii="Times New Roman" w:hAnsi="Times New Roman" w:cs="Times New Roman"/>
          <w:i/>
          <w:sz w:val="28"/>
          <w:szCs w:val="28"/>
        </w:rPr>
      </w:pPr>
    </w:p>
    <w:p w:rsidR="00DC7467" w:rsidRPr="00882AA3" w:rsidRDefault="00DC7467" w:rsidP="00DC7467">
      <w:pPr>
        <w:pStyle w:val="ListParagraph"/>
        <w:numPr>
          <w:ilvl w:val="0"/>
          <w:numId w:val="44"/>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Sale of a tandem garage space to you and sectional title</w:t>
      </w:r>
      <w:r w:rsidR="00882AA3">
        <w:rPr>
          <w:rFonts w:ascii="Times New Roman" w:hAnsi="Times New Roman" w:cs="Times New Roman"/>
          <w:sz w:val="28"/>
          <w:szCs w:val="28"/>
        </w:rPr>
        <w:t xml:space="preserve"> of that portion of my property;</w:t>
      </w:r>
    </w:p>
    <w:p w:rsidR="00882AA3" w:rsidRPr="00882AA3" w:rsidRDefault="00882AA3" w:rsidP="00882AA3">
      <w:pPr>
        <w:pStyle w:val="ListParagraph"/>
        <w:rPr>
          <w:rFonts w:ascii="Times New Roman" w:hAnsi="Times New Roman" w:cs="Times New Roman"/>
          <w:i/>
          <w:sz w:val="28"/>
          <w:szCs w:val="28"/>
        </w:rPr>
      </w:pPr>
    </w:p>
    <w:p w:rsidR="00882AA3" w:rsidRDefault="00882AA3" w:rsidP="00DC7467">
      <w:pPr>
        <w:pStyle w:val="ListParagraph"/>
        <w:numPr>
          <w:ilvl w:val="0"/>
          <w:numId w:val="44"/>
        </w:numPr>
        <w:spacing w:after="0" w:line="360" w:lineRule="auto"/>
        <w:jc w:val="both"/>
        <w:rPr>
          <w:rFonts w:ascii="Times New Roman" w:hAnsi="Times New Roman" w:cs="Times New Roman"/>
          <w:sz w:val="28"/>
          <w:szCs w:val="28"/>
        </w:rPr>
      </w:pPr>
      <w:r w:rsidRPr="00882AA3">
        <w:rPr>
          <w:rFonts w:ascii="Times New Roman" w:hAnsi="Times New Roman" w:cs="Times New Roman"/>
          <w:sz w:val="28"/>
          <w:szCs w:val="28"/>
        </w:rPr>
        <w:t>You build a garage on your property and we can discuss a servitude of access to your property on my property</w:t>
      </w:r>
      <w:r w:rsidR="005D759F">
        <w:rPr>
          <w:rFonts w:ascii="Times New Roman" w:hAnsi="Times New Roman" w:cs="Times New Roman"/>
          <w:sz w:val="28"/>
          <w:szCs w:val="28"/>
        </w:rPr>
        <w:t>.”</w:t>
      </w:r>
      <w:r w:rsidR="005D759F">
        <w:rPr>
          <w:rStyle w:val="FootnoteReference"/>
          <w:rFonts w:ascii="Times New Roman" w:hAnsi="Times New Roman" w:cs="Times New Roman"/>
          <w:sz w:val="28"/>
          <w:szCs w:val="28"/>
        </w:rPr>
        <w:footnoteReference w:id="16"/>
      </w:r>
    </w:p>
    <w:p w:rsidR="00B04278" w:rsidRPr="00B04278" w:rsidRDefault="00B04278" w:rsidP="00B04278">
      <w:pPr>
        <w:pStyle w:val="ListParagraph"/>
        <w:rPr>
          <w:rFonts w:ascii="Times New Roman" w:hAnsi="Times New Roman" w:cs="Times New Roman"/>
          <w:sz w:val="28"/>
          <w:szCs w:val="28"/>
        </w:rPr>
      </w:pPr>
    </w:p>
    <w:p w:rsidR="003B4239" w:rsidRDefault="003B4239" w:rsidP="00B04278">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At this stage it was</w:t>
      </w:r>
      <w:r w:rsidR="004806DA">
        <w:rPr>
          <w:rFonts w:ascii="Times New Roman" w:hAnsi="Times New Roman" w:cs="Times New Roman"/>
          <w:sz w:val="28"/>
          <w:szCs w:val="28"/>
        </w:rPr>
        <w:t xml:space="preserve"> clear that the parties were</w:t>
      </w:r>
      <w:r>
        <w:rPr>
          <w:rFonts w:ascii="Times New Roman" w:hAnsi="Times New Roman" w:cs="Times New Roman"/>
          <w:sz w:val="28"/>
          <w:szCs w:val="28"/>
        </w:rPr>
        <w:t xml:space="preserve"> locking horns. The</w:t>
      </w:r>
      <w:r w:rsidR="00BD51F7">
        <w:rPr>
          <w:rFonts w:ascii="Times New Roman" w:hAnsi="Times New Roman" w:cs="Times New Roman"/>
          <w:sz w:val="28"/>
          <w:szCs w:val="28"/>
        </w:rPr>
        <w:t xml:space="preserve"> Applicants </w:t>
      </w:r>
      <w:r w:rsidR="000E19EB">
        <w:rPr>
          <w:rFonts w:ascii="Times New Roman" w:hAnsi="Times New Roman" w:cs="Times New Roman"/>
          <w:sz w:val="28"/>
          <w:szCs w:val="28"/>
        </w:rPr>
        <w:t xml:space="preserve">further </w:t>
      </w:r>
      <w:r>
        <w:rPr>
          <w:rFonts w:ascii="Times New Roman" w:hAnsi="Times New Roman" w:cs="Times New Roman"/>
          <w:sz w:val="28"/>
          <w:szCs w:val="28"/>
        </w:rPr>
        <w:t>stated the following:</w:t>
      </w:r>
    </w:p>
    <w:p w:rsidR="003B4239" w:rsidRPr="003B4239" w:rsidRDefault="003B4239" w:rsidP="003B4239">
      <w:pPr>
        <w:spacing w:after="0" w:line="360" w:lineRule="auto"/>
        <w:jc w:val="both"/>
        <w:rPr>
          <w:rFonts w:ascii="Times New Roman" w:hAnsi="Times New Roman" w:cs="Times New Roman"/>
          <w:sz w:val="28"/>
          <w:szCs w:val="28"/>
        </w:rPr>
      </w:pPr>
    </w:p>
    <w:p w:rsidR="003B4239" w:rsidRDefault="003B4239" w:rsidP="003B4239">
      <w:pPr>
        <w:pStyle w:val="ListParagraph"/>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“I bought my property in 1999 as it was a condition of purchase that individual title be granted and allowed the original owner of your property continued access to the garages.</w:t>
      </w:r>
    </w:p>
    <w:p w:rsidR="003B4239" w:rsidRDefault="003B4239" w:rsidP="003B4239">
      <w:pPr>
        <w:spacing w:after="0" w:line="360" w:lineRule="auto"/>
        <w:jc w:val="both"/>
        <w:rPr>
          <w:rFonts w:ascii="Times New Roman" w:hAnsi="Times New Roman" w:cs="Times New Roman"/>
          <w:sz w:val="28"/>
          <w:szCs w:val="28"/>
        </w:rPr>
      </w:pPr>
    </w:p>
    <w:p w:rsidR="00B04278" w:rsidRPr="003B4239" w:rsidRDefault="003B4239" w:rsidP="003B4239">
      <w:pPr>
        <w:spacing w:after="0"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In the spirit of good neighborliness I allowed the arrangement with purchasers of your property. At no stage was it intended that legal or property rights were intended to be created on my land- I appreciate that you have recognized this.” </w:t>
      </w:r>
      <w:r>
        <w:rPr>
          <w:rStyle w:val="FootnoteReference"/>
          <w:rFonts w:ascii="Times New Roman" w:hAnsi="Times New Roman" w:cs="Times New Roman"/>
          <w:sz w:val="28"/>
          <w:szCs w:val="28"/>
        </w:rPr>
        <w:footnoteReference w:id="17"/>
      </w:r>
      <w:r w:rsidRPr="003B4239">
        <w:rPr>
          <w:rFonts w:ascii="Times New Roman" w:hAnsi="Times New Roman" w:cs="Times New Roman"/>
          <w:sz w:val="28"/>
          <w:szCs w:val="28"/>
        </w:rPr>
        <w:t xml:space="preserve"> </w:t>
      </w:r>
    </w:p>
    <w:p w:rsidR="00DC7467" w:rsidRPr="00DC7467" w:rsidRDefault="00DC7467" w:rsidP="00DC7467">
      <w:pPr>
        <w:pStyle w:val="ListParagraph"/>
        <w:spacing w:after="0" w:line="360" w:lineRule="auto"/>
        <w:jc w:val="both"/>
        <w:rPr>
          <w:rFonts w:ascii="Times New Roman" w:hAnsi="Times New Roman" w:cs="Times New Roman"/>
          <w:i/>
          <w:sz w:val="28"/>
          <w:szCs w:val="28"/>
        </w:rPr>
      </w:pPr>
    </w:p>
    <w:p w:rsidR="004B3461" w:rsidRPr="00387351" w:rsidRDefault="00F72D20" w:rsidP="00AD58DB">
      <w:pPr>
        <w:pStyle w:val="ListParagraph"/>
        <w:numPr>
          <w:ilvl w:val="0"/>
          <w:numId w:val="31"/>
        </w:numPr>
        <w:spacing w:after="0" w:line="360" w:lineRule="auto"/>
        <w:ind w:hanging="720"/>
        <w:jc w:val="both"/>
        <w:rPr>
          <w:rFonts w:ascii="Times New Roman" w:hAnsi="Times New Roman" w:cs="Times New Roman"/>
          <w:i/>
          <w:sz w:val="28"/>
          <w:szCs w:val="28"/>
        </w:rPr>
      </w:pPr>
      <w:r>
        <w:rPr>
          <w:rFonts w:ascii="Times New Roman" w:hAnsi="Times New Roman" w:cs="Times New Roman"/>
          <w:sz w:val="28"/>
          <w:szCs w:val="28"/>
        </w:rPr>
        <w:t>The battle lines were drawn.</w:t>
      </w:r>
      <w:r w:rsidR="007846C0">
        <w:rPr>
          <w:rFonts w:ascii="Times New Roman" w:hAnsi="Times New Roman" w:cs="Times New Roman"/>
          <w:sz w:val="28"/>
          <w:szCs w:val="28"/>
        </w:rPr>
        <w:t xml:space="preserve"> </w:t>
      </w:r>
      <w:r>
        <w:rPr>
          <w:rFonts w:ascii="Times New Roman" w:hAnsi="Times New Roman" w:cs="Times New Roman"/>
          <w:sz w:val="28"/>
          <w:szCs w:val="28"/>
        </w:rPr>
        <w:t>O</w:t>
      </w:r>
      <w:r w:rsidR="00A16FEC">
        <w:rPr>
          <w:rFonts w:ascii="Times New Roman" w:hAnsi="Times New Roman" w:cs="Times New Roman"/>
          <w:sz w:val="28"/>
          <w:szCs w:val="28"/>
        </w:rPr>
        <w:t>n 23 March 2019</w:t>
      </w:r>
      <w:r>
        <w:rPr>
          <w:rFonts w:ascii="Times New Roman" w:hAnsi="Times New Roman" w:cs="Times New Roman"/>
          <w:sz w:val="28"/>
          <w:szCs w:val="28"/>
        </w:rPr>
        <w:t>,</w:t>
      </w:r>
      <w:r w:rsidR="00A16FEC">
        <w:rPr>
          <w:rFonts w:ascii="Times New Roman" w:hAnsi="Times New Roman" w:cs="Times New Roman"/>
          <w:sz w:val="28"/>
          <w:szCs w:val="28"/>
        </w:rPr>
        <w:t xml:space="preserve"> the first Respondent</w:t>
      </w:r>
      <w:r w:rsidR="00B579D6">
        <w:rPr>
          <w:rFonts w:ascii="Times New Roman" w:hAnsi="Times New Roman" w:cs="Times New Roman"/>
          <w:sz w:val="28"/>
          <w:szCs w:val="28"/>
        </w:rPr>
        <w:t xml:space="preserve"> copied </w:t>
      </w:r>
      <w:r w:rsidR="005C35B3">
        <w:rPr>
          <w:rFonts w:ascii="Times New Roman" w:hAnsi="Times New Roman" w:cs="Times New Roman"/>
          <w:sz w:val="28"/>
          <w:szCs w:val="28"/>
        </w:rPr>
        <w:t>the first Applicant</w:t>
      </w:r>
      <w:r>
        <w:rPr>
          <w:rFonts w:ascii="Times New Roman" w:hAnsi="Times New Roman" w:cs="Times New Roman"/>
          <w:sz w:val="28"/>
          <w:szCs w:val="28"/>
        </w:rPr>
        <w:t xml:space="preserve"> the legal advice from his lawyers, Cezanne Britain.It </w:t>
      </w:r>
      <w:r w:rsidR="005C35B3">
        <w:rPr>
          <w:rFonts w:ascii="Times New Roman" w:hAnsi="Times New Roman" w:cs="Times New Roman"/>
          <w:sz w:val="28"/>
          <w:szCs w:val="28"/>
        </w:rPr>
        <w:t xml:space="preserve"> </w:t>
      </w:r>
      <w:r w:rsidR="00120DDC">
        <w:rPr>
          <w:rFonts w:ascii="Times New Roman" w:hAnsi="Times New Roman" w:cs="Times New Roman"/>
          <w:sz w:val="28"/>
          <w:szCs w:val="28"/>
        </w:rPr>
        <w:t>categoric</w:t>
      </w:r>
      <w:r w:rsidR="007C4F80">
        <w:rPr>
          <w:rFonts w:ascii="Times New Roman" w:hAnsi="Times New Roman" w:cs="Times New Roman"/>
          <w:sz w:val="28"/>
          <w:szCs w:val="28"/>
        </w:rPr>
        <w:t>ally</w:t>
      </w:r>
      <w:r w:rsidR="00120DDC">
        <w:rPr>
          <w:rFonts w:ascii="Times New Roman" w:hAnsi="Times New Roman" w:cs="Times New Roman"/>
          <w:sz w:val="28"/>
          <w:szCs w:val="28"/>
        </w:rPr>
        <w:t xml:space="preserve"> </w:t>
      </w:r>
      <w:r w:rsidR="005C35B3">
        <w:rPr>
          <w:rFonts w:ascii="Times New Roman" w:hAnsi="Times New Roman" w:cs="Times New Roman"/>
          <w:sz w:val="28"/>
          <w:szCs w:val="28"/>
        </w:rPr>
        <w:t>stated that there was an unregistered praedial servitude in favour of the Respondents’ property as a result of a m</w:t>
      </w:r>
      <w:r w:rsidR="004B3461">
        <w:rPr>
          <w:rFonts w:ascii="Times New Roman" w:hAnsi="Times New Roman" w:cs="Times New Roman"/>
          <w:sz w:val="28"/>
          <w:szCs w:val="28"/>
        </w:rPr>
        <w:t>utu</w:t>
      </w:r>
      <w:r w:rsidR="007C4F80">
        <w:rPr>
          <w:rFonts w:ascii="Times New Roman" w:hAnsi="Times New Roman" w:cs="Times New Roman"/>
          <w:sz w:val="28"/>
          <w:szCs w:val="28"/>
        </w:rPr>
        <w:t>al agreement between the original owners</w:t>
      </w:r>
      <w:r w:rsidR="005C35B3">
        <w:rPr>
          <w:rFonts w:ascii="Times New Roman" w:hAnsi="Times New Roman" w:cs="Times New Roman"/>
          <w:sz w:val="28"/>
          <w:szCs w:val="28"/>
        </w:rPr>
        <w:t>.</w:t>
      </w:r>
      <w:r w:rsidR="004B3461">
        <w:rPr>
          <w:rFonts w:ascii="Times New Roman" w:hAnsi="Times New Roman" w:cs="Times New Roman"/>
          <w:sz w:val="28"/>
          <w:szCs w:val="28"/>
        </w:rPr>
        <w:t xml:space="preserve"> </w:t>
      </w:r>
      <w:r w:rsidR="00C35DD8">
        <w:rPr>
          <w:rFonts w:ascii="Times New Roman" w:hAnsi="Times New Roman" w:cs="Times New Roman"/>
          <w:sz w:val="28"/>
          <w:szCs w:val="28"/>
        </w:rPr>
        <w:t>It</w:t>
      </w:r>
      <w:r>
        <w:rPr>
          <w:rFonts w:ascii="Times New Roman" w:hAnsi="Times New Roman" w:cs="Times New Roman"/>
          <w:sz w:val="28"/>
          <w:szCs w:val="28"/>
        </w:rPr>
        <w:t>,</w:t>
      </w:r>
      <w:r w:rsidR="00C35DD8">
        <w:rPr>
          <w:rFonts w:ascii="Times New Roman" w:hAnsi="Times New Roman" w:cs="Times New Roman"/>
          <w:sz w:val="28"/>
          <w:szCs w:val="28"/>
        </w:rPr>
        <w:t xml:space="preserve"> further</w:t>
      </w:r>
      <w:r>
        <w:rPr>
          <w:rFonts w:ascii="Times New Roman" w:hAnsi="Times New Roman" w:cs="Times New Roman"/>
          <w:sz w:val="28"/>
          <w:szCs w:val="28"/>
        </w:rPr>
        <w:t>,</w:t>
      </w:r>
      <w:r w:rsidR="00C35DD8">
        <w:rPr>
          <w:rFonts w:ascii="Times New Roman" w:hAnsi="Times New Roman" w:cs="Times New Roman"/>
          <w:sz w:val="28"/>
          <w:szCs w:val="28"/>
        </w:rPr>
        <w:t xml:space="preserve"> sta</w:t>
      </w:r>
      <w:r w:rsidR="007846C0">
        <w:rPr>
          <w:rFonts w:ascii="Times New Roman" w:hAnsi="Times New Roman" w:cs="Times New Roman"/>
          <w:sz w:val="28"/>
          <w:szCs w:val="28"/>
        </w:rPr>
        <w:t xml:space="preserve">ted that the Applicants and </w:t>
      </w:r>
      <w:r w:rsidR="00C35DD8">
        <w:rPr>
          <w:rFonts w:ascii="Times New Roman" w:hAnsi="Times New Roman" w:cs="Times New Roman"/>
          <w:sz w:val="28"/>
          <w:szCs w:val="28"/>
        </w:rPr>
        <w:t xml:space="preserve">Respondents reached an agreement to </w:t>
      </w:r>
      <w:r w:rsidR="002D0B9A">
        <w:rPr>
          <w:rFonts w:ascii="Times New Roman" w:hAnsi="Times New Roman" w:cs="Times New Roman"/>
          <w:sz w:val="28"/>
          <w:szCs w:val="28"/>
        </w:rPr>
        <w:t>have the right of</w:t>
      </w:r>
      <w:r w:rsidR="00052B24">
        <w:rPr>
          <w:rFonts w:ascii="Times New Roman" w:hAnsi="Times New Roman" w:cs="Times New Roman"/>
          <w:sz w:val="28"/>
          <w:szCs w:val="28"/>
        </w:rPr>
        <w:t xml:space="preserve"> passage</w:t>
      </w:r>
      <w:r>
        <w:rPr>
          <w:rFonts w:ascii="Times New Roman" w:hAnsi="Times New Roman" w:cs="Times New Roman"/>
          <w:sz w:val="28"/>
          <w:szCs w:val="28"/>
        </w:rPr>
        <w:t>,</w:t>
      </w:r>
      <w:r w:rsidR="00052B24">
        <w:rPr>
          <w:rFonts w:ascii="Times New Roman" w:hAnsi="Times New Roman" w:cs="Times New Roman"/>
          <w:sz w:val="28"/>
          <w:szCs w:val="28"/>
        </w:rPr>
        <w:t xml:space="preserve"> access and use formalis</w:t>
      </w:r>
      <w:r w:rsidR="002D0B9A">
        <w:rPr>
          <w:rFonts w:ascii="Times New Roman" w:hAnsi="Times New Roman" w:cs="Times New Roman"/>
          <w:sz w:val="28"/>
          <w:szCs w:val="28"/>
        </w:rPr>
        <w:t>e</w:t>
      </w:r>
      <w:r w:rsidR="00052B24">
        <w:rPr>
          <w:rFonts w:ascii="Times New Roman" w:hAnsi="Times New Roman" w:cs="Times New Roman"/>
          <w:sz w:val="28"/>
          <w:szCs w:val="28"/>
        </w:rPr>
        <w:t>d by registering a</w:t>
      </w:r>
      <w:r w:rsidR="002D0B9A">
        <w:rPr>
          <w:rFonts w:ascii="Times New Roman" w:hAnsi="Times New Roman" w:cs="Times New Roman"/>
          <w:sz w:val="28"/>
          <w:szCs w:val="28"/>
        </w:rPr>
        <w:t xml:space="preserve"> servitude. Therefore, </w:t>
      </w:r>
      <w:r w:rsidR="000E19EB">
        <w:rPr>
          <w:rFonts w:ascii="Times New Roman" w:hAnsi="Times New Roman" w:cs="Times New Roman"/>
          <w:sz w:val="28"/>
          <w:szCs w:val="28"/>
        </w:rPr>
        <w:t>they maintained,</w:t>
      </w:r>
      <w:r w:rsidR="00052B24">
        <w:rPr>
          <w:rFonts w:ascii="Times New Roman" w:hAnsi="Times New Roman" w:cs="Times New Roman"/>
          <w:sz w:val="28"/>
          <w:szCs w:val="28"/>
        </w:rPr>
        <w:t xml:space="preserve"> there was</w:t>
      </w:r>
      <w:r w:rsidR="002D0B9A">
        <w:rPr>
          <w:rFonts w:ascii="Times New Roman" w:hAnsi="Times New Roman" w:cs="Times New Roman"/>
          <w:sz w:val="28"/>
          <w:szCs w:val="28"/>
        </w:rPr>
        <w:t xml:space="preserve"> an existing </w:t>
      </w:r>
      <w:r w:rsidR="002D0B9A" w:rsidRPr="002D0B9A">
        <w:rPr>
          <w:rFonts w:ascii="Times New Roman" w:hAnsi="Times New Roman" w:cs="Times New Roman"/>
          <w:i/>
          <w:sz w:val="28"/>
          <w:szCs w:val="28"/>
        </w:rPr>
        <w:t>de facto</w:t>
      </w:r>
      <w:r w:rsidR="00C35DD8" w:rsidRPr="002D0B9A">
        <w:rPr>
          <w:rFonts w:ascii="Times New Roman" w:hAnsi="Times New Roman" w:cs="Times New Roman"/>
          <w:i/>
          <w:sz w:val="28"/>
          <w:szCs w:val="28"/>
        </w:rPr>
        <w:t xml:space="preserve"> </w:t>
      </w:r>
      <w:r w:rsidR="002D0B9A" w:rsidRPr="002D0B9A">
        <w:rPr>
          <w:rFonts w:ascii="Times New Roman" w:hAnsi="Times New Roman" w:cs="Times New Roman"/>
          <w:sz w:val="28"/>
          <w:szCs w:val="28"/>
        </w:rPr>
        <w:t>unregistered praedial servitude in favour of the Trust</w:t>
      </w:r>
      <w:r w:rsidR="002D0B9A">
        <w:rPr>
          <w:rFonts w:ascii="Times New Roman" w:hAnsi="Times New Roman" w:cs="Times New Roman"/>
          <w:sz w:val="28"/>
          <w:szCs w:val="28"/>
        </w:rPr>
        <w:t>.</w:t>
      </w:r>
      <w:r w:rsidR="001955B9">
        <w:rPr>
          <w:rStyle w:val="FootnoteReference"/>
          <w:rFonts w:ascii="Times New Roman" w:hAnsi="Times New Roman" w:cs="Times New Roman"/>
          <w:sz w:val="28"/>
          <w:szCs w:val="28"/>
        </w:rPr>
        <w:footnoteReference w:id="18"/>
      </w:r>
    </w:p>
    <w:p w:rsidR="00387351" w:rsidRPr="00CC0D65" w:rsidRDefault="00387351" w:rsidP="00387351">
      <w:pPr>
        <w:pStyle w:val="ListParagraph"/>
        <w:spacing w:after="0" w:line="360" w:lineRule="auto"/>
        <w:jc w:val="both"/>
        <w:rPr>
          <w:rFonts w:ascii="Times New Roman" w:hAnsi="Times New Roman" w:cs="Times New Roman"/>
          <w:i/>
          <w:sz w:val="28"/>
          <w:szCs w:val="28"/>
        </w:rPr>
      </w:pPr>
    </w:p>
    <w:p w:rsidR="001955B9" w:rsidRPr="006038F1" w:rsidRDefault="00CC0D65" w:rsidP="006038F1">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On 12 April 2019</w:t>
      </w:r>
      <w:r w:rsidR="00F72D20">
        <w:rPr>
          <w:rFonts w:ascii="Times New Roman" w:hAnsi="Times New Roman" w:cs="Times New Roman"/>
          <w:sz w:val="28"/>
          <w:szCs w:val="28"/>
        </w:rPr>
        <w:t>,</w:t>
      </w:r>
      <w:r>
        <w:rPr>
          <w:rFonts w:ascii="Times New Roman" w:hAnsi="Times New Roman" w:cs="Times New Roman"/>
          <w:sz w:val="28"/>
          <w:szCs w:val="28"/>
        </w:rPr>
        <w:t xml:space="preserve"> </w:t>
      </w:r>
      <w:r w:rsidR="00387351">
        <w:rPr>
          <w:rFonts w:ascii="Times New Roman" w:hAnsi="Times New Roman" w:cs="Times New Roman"/>
          <w:sz w:val="28"/>
          <w:szCs w:val="28"/>
        </w:rPr>
        <w:t xml:space="preserve">the Applicants’ lawyers, Bernadt Vukic Potash and Getz, sent a letter disputing the existence of </w:t>
      </w:r>
      <w:r w:rsidR="002001AD">
        <w:rPr>
          <w:rFonts w:ascii="Times New Roman" w:hAnsi="Times New Roman" w:cs="Times New Roman"/>
          <w:sz w:val="28"/>
          <w:szCs w:val="28"/>
        </w:rPr>
        <w:t>a praedial servitude and stated that at best there was an informal discussion between the Applicants a</w:t>
      </w:r>
      <w:r w:rsidR="000E19EB">
        <w:rPr>
          <w:rFonts w:ascii="Times New Roman" w:hAnsi="Times New Roman" w:cs="Times New Roman"/>
          <w:sz w:val="28"/>
          <w:szCs w:val="28"/>
        </w:rPr>
        <w:t>nd</w:t>
      </w:r>
      <w:r w:rsidR="00052B24">
        <w:rPr>
          <w:rFonts w:ascii="Times New Roman" w:hAnsi="Times New Roman" w:cs="Times New Roman"/>
          <w:sz w:val="28"/>
          <w:szCs w:val="28"/>
        </w:rPr>
        <w:t xml:space="preserve"> Respondents regarding a</w:t>
      </w:r>
      <w:r w:rsidR="002001AD">
        <w:rPr>
          <w:rFonts w:ascii="Times New Roman" w:hAnsi="Times New Roman" w:cs="Times New Roman"/>
          <w:sz w:val="28"/>
          <w:szCs w:val="28"/>
        </w:rPr>
        <w:t xml:space="preserve"> possible conclusion of an agreement.</w:t>
      </w:r>
      <w:r w:rsidR="006038F1">
        <w:rPr>
          <w:rFonts w:ascii="Times New Roman" w:hAnsi="Times New Roman" w:cs="Times New Roman"/>
          <w:sz w:val="28"/>
          <w:szCs w:val="28"/>
        </w:rPr>
        <w:t xml:space="preserve"> It bears mentioning that the Attorneys </w:t>
      </w:r>
      <w:r w:rsidR="000E19EB">
        <w:rPr>
          <w:rFonts w:ascii="Times New Roman" w:hAnsi="Times New Roman" w:cs="Times New Roman"/>
          <w:sz w:val="28"/>
          <w:szCs w:val="28"/>
        </w:rPr>
        <w:t>of the Applicant</w:t>
      </w:r>
      <w:r w:rsidR="00F72D20">
        <w:rPr>
          <w:rFonts w:ascii="Times New Roman" w:hAnsi="Times New Roman" w:cs="Times New Roman"/>
          <w:sz w:val="28"/>
          <w:szCs w:val="28"/>
        </w:rPr>
        <w:t>s</w:t>
      </w:r>
      <w:r w:rsidR="000E19EB">
        <w:rPr>
          <w:rFonts w:ascii="Times New Roman" w:hAnsi="Times New Roman" w:cs="Times New Roman"/>
          <w:sz w:val="28"/>
          <w:szCs w:val="28"/>
        </w:rPr>
        <w:t xml:space="preserve"> stated</w:t>
      </w:r>
      <w:r w:rsidR="006038F1">
        <w:rPr>
          <w:rFonts w:ascii="Times New Roman" w:hAnsi="Times New Roman" w:cs="Times New Roman"/>
          <w:sz w:val="28"/>
          <w:szCs w:val="28"/>
        </w:rPr>
        <w:t xml:space="preserve"> that the use of the garages could only</w:t>
      </w:r>
      <w:r w:rsidR="00F72D20">
        <w:rPr>
          <w:rFonts w:ascii="Times New Roman" w:hAnsi="Times New Roman" w:cs="Times New Roman"/>
          <w:sz w:val="28"/>
          <w:szCs w:val="28"/>
        </w:rPr>
        <w:t xml:space="preserve"> be terminated on </w:t>
      </w:r>
      <w:r w:rsidR="006038F1">
        <w:rPr>
          <w:rFonts w:ascii="Times New Roman" w:hAnsi="Times New Roman" w:cs="Times New Roman"/>
          <w:sz w:val="28"/>
          <w:szCs w:val="28"/>
        </w:rPr>
        <w:t>reasonable notice.</w:t>
      </w:r>
      <w:r w:rsidR="007768A6">
        <w:rPr>
          <w:rStyle w:val="FootnoteReference"/>
          <w:rFonts w:ascii="Times New Roman" w:hAnsi="Times New Roman" w:cs="Times New Roman"/>
          <w:sz w:val="28"/>
          <w:szCs w:val="28"/>
        </w:rPr>
        <w:footnoteReference w:id="19"/>
      </w:r>
    </w:p>
    <w:p w:rsidR="001955B9" w:rsidRPr="001955B9" w:rsidRDefault="001955B9" w:rsidP="001955B9">
      <w:pPr>
        <w:pStyle w:val="ListParagraph"/>
        <w:rPr>
          <w:rFonts w:ascii="Times New Roman" w:hAnsi="Times New Roman" w:cs="Times New Roman"/>
          <w:sz w:val="28"/>
          <w:szCs w:val="28"/>
        </w:rPr>
      </w:pPr>
    </w:p>
    <w:p w:rsidR="006727FE" w:rsidRPr="006727FE" w:rsidRDefault="006727FE" w:rsidP="00AD58DB">
      <w:pPr>
        <w:pStyle w:val="ListParagraph"/>
        <w:numPr>
          <w:ilvl w:val="0"/>
          <w:numId w:val="31"/>
        </w:numPr>
        <w:spacing w:after="0" w:line="360" w:lineRule="auto"/>
        <w:ind w:hanging="720"/>
        <w:jc w:val="both"/>
        <w:rPr>
          <w:rFonts w:ascii="Times New Roman" w:hAnsi="Times New Roman" w:cs="Times New Roman"/>
          <w:i/>
          <w:sz w:val="28"/>
          <w:szCs w:val="28"/>
        </w:rPr>
      </w:pPr>
      <w:r>
        <w:rPr>
          <w:rFonts w:ascii="Times New Roman" w:hAnsi="Times New Roman" w:cs="Times New Roman"/>
          <w:sz w:val="28"/>
          <w:szCs w:val="28"/>
        </w:rPr>
        <w:lastRenderedPageBreak/>
        <w:t>Mr. De Vil</w:t>
      </w:r>
      <w:r w:rsidR="00F60929">
        <w:rPr>
          <w:rFonts w:ascii="Times New Roman" w:hAnsi="Times New Roman" w:cs="Times New Roman"/>
          <w:sz w:val="28"/>
          <w:szCs w:val="28"/>
        </w:rPr>
        <w:t>l</w:t>
      </w:r>
      <w:r>
        <w:rPr>
          <w:rFonts w:ascii="Times New Roman" w:hAnsi="Times New Roman" w:cs="Times New Roman"/>
          <w:sz w:val="28"/>
          <w:szCs w:val="28"/>
        </w:rPr>
        <w:t xml:space="preserve">iers communicated </w:t>
      </w:r>
      <w:r w:rsidR="00FA68AE">
        <w:rPr>
          <w:rFonts w:ascii="Times New Roman" w:hAnsi="Times New Roman" w:cs="Times New Roman"/>
          <w:sz w:val="28"/>
          <w:szCs w:val="28"/>
        </w:rPr>
        <w:t xml:space="preserve">to </w:t>
      </w:r>
      <w:r>
        <w:rPr>
          <w:rFonts w:ascii="Times New Roman" w:hAnsi="Times New Roman" w:cs="Times New Roman"/>
          <w:sz w:val="28"/>
          <w:szCs w:val="28"/>
        </w:rPr>
        <w:t>the Respondents’ lawyers</w:t>
      </w:r>
      <w:r w:rsidR="00FA68AE">
        <w:rPr>
          <w:rFonts w:ascii="Times New Roman" w:hAnsi="Times New Roman" w:cs="Times New Roman"/>
          <w:sz w:val="28"/>
          <w:szCs w:val="28"/>
        </w:rPr>
        <w:t>,</w:t>
      </w:r>
      <w:r w:rsidR="0086542A">
        <w:rPr>
          <w:rFonts w:ascii="Times New Roman" w:hAnsi="Times New Roman" w:cs="Times New Roman"/>
          <w:sz w:val="28"/>
          <w:szCs w:val="28"/>
        </w:rPr>
        <w:t xml:space="preserve"> on 30</w:t>
      </w:r>
      <w:r w:rsidR="00FA68AE">
        <w:rPr>
          <w:rFonts w:ascii="Times New Roman" w:hAnsi="Times New Roman" w:cs="Times New Roman"/>
          <w:sz w:val="28"/>
          <w:szCs w:val="28"/>
        </w:rPr>
        <w:t xml:space="preserve"> May 2019, </w:t>
      </w:r>
      <w:r>
        <w:rPr>
          <w:rFonts w:ascii="Times New Roman" w:hAnsi="Times New Roman" w:cs="Times New Roman"/>
          <w:sz w:val="28"/>
          <w:szCs w:val="28"/>
        </w:rPr>
        <w:t xml:space="preserve"> that he had retired and was winding down his practice and sent to them the following:</w:t>
      </w:r>
    </w:p>
    <w:p w:rsidR="006727FE" w:rsidRDefault="006727FE" w:rsidP="006727FE">
      <w:pPr>
        <w:pStyle w:val="ListParagraph"/>
        <w:rPr>
          <w:rFonts w:ascii="Times New Roman" w:hAnsi="Times New Roman" w:cs="Times New Roman"/>
          <w:sz w:val="28"/>
          <w:szCs w:val="28"/>
        </w:rPr>
      </w:pPr>
    </w:p>
    <w:p w:rsidR="006727FE" w:rsidRDefault="006727FE" w:rsidP="00F60929">
      <w:pPr>
        <w:pStyle w:val="ListParagraph"/>
        <w:numPr>
          <w:ilvl w:val="0"/>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Trust resolution</w:t>
      </w:r>
      <w:r w:rsidR="007839F9">
        <w:rPr>
          <w:rFonts w:ascii="Times New Roman" w:hAnsi="Times New Roman" w:cs="Times New Roman"/>
          <w:sz w:val="28"/>
          <w:szCs w:val="28"/>
        </w:rPr>
        <w:t>.</w:t>
      </w:r>
    </w:p>
    <w:p w:rsidR="006727FE" w:rsidRDefault="006727FE" w:rsidP="00F60929">
      <w:pPr>
        <w:pStyle w:val="ListParagraph"/>
        <w:numPr>
          <w:ilvl w:val="0"/>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Copy of original D/T33049/2014</w:t>
      </w:r>
      <w:r w:rsidR="007839F9">
        <w:rPr>
          <w:rFonts w:ascii="Times New Roman" w:hAnsi="Times New Roman" w:cs="Times New Roman"/>
          <w:sz w:val="28"/>
          <w:szCs w:val="28"/>
        </w:rPr>
        <w:t>.</w:t>
      </w:r>
    </w:p>
    <w:p w:rsidR="006727FE" w:rsidRDefault="006727FE" w:rsidP="00F60929">
      <w:pPr>
        <w:pStyle w:val="ListParagraph"/>
        <w:numPr>
          <w:ilvl w:val="0"/>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Power of Attorney with draft notarial agreement annexed to register the servitude in general terms for signature</w:t>
      </w:r>
      <w:r w:rsidR="007839F9">
        <w:rPr>
          <w:rFonts w:ascii="Times New Roman" w:hAnsi="Times New Roman" w:cs="Times New Roman"/>
          <w:sz w:val="28"/>
          <w:szCs w:val="28"/>
        </w:rPr>
        <w:t>.</w:t>
      </w:r>
    </w:p>
    <w:p w:rsidR="006727FE" w:rsidRDefault="006727FE" w:rsidP="00F60929">
      <w:pPr>
        <w:pStyle w:val="ListParagraph"/>
        <w:numPr>
          <w:ilvl w:val="0"/>
          <w:numId w:val="45"/>
        </w:numPr>
        <w:spacing w:after="0" w:line="360" w:lineRule="auto"/>
        <w:rPr>
          <w:rFonts w:ascii="Times New Roman" w:hAnsi="Times New Roman" w:cs="Times New Roman"/>
          <w:sz w:val="28"/>
          <w:szCs w:val="28"/>
        </w:rPr>
      </w:pPr>
      <w:r>
        <w:rPr>
          <w:rFonts w:ascii="Times New Roman" w:hAnsi="Times New Roman" w:cs="Times New Roman"/>
          <w:sz w:val="28"/>
          <w:szCs w:val="28"/>
        </w:rPr>
        <w:t>General plan to be annexed to Not. Agmt</w:t>
      </w:r>
      <w:r w:rsidR="007839F9">
        <w:rPr>
          <w:rFonts w:ascii="Times New Roman" w:hAnsi="Times New Roman" w:cs="Times New Roman"/>
          <w:sz w:val="28"/>
          <w:szCs w:val="28"/>
        </w:rPr>
        <w:t>.</w:t>
      </w:r>
      <w:r>
        <w:rPr>
          <w:rFonts w:ascii="Times New Roman" w:hAnsi="Times New Roman" w:cs="Times New Roman"/>
          <w:sz w:val="28"/>
          <w:szCs w:val="28"/>
        </w:rPr>
        <w:t xml:space="preserve"> </w:t>
      </w:r>
    </w:p>
    <w:p w:rsidR="007839F9" w:rsidRDefault="007839F9" w:rsidP="007839F9">
      <w:pPr>
        <w:pStyle w:val="ListParagraph"/>
        <w:ind w:left="1080"/>
        <w:rPr>
          <w:rFonts w:ascii="Times New Roman" w:hAnsi="Times New Roman" w:cs="Times New Roman"/>
          <w:sz w:val="28"/>
          <w:szCs w:val="28"/>
        </w:rPr>
      </w:pPr>
    </w:p>
    <w:p w:rsidR="007839F9" w:rsidRDefault="007839F9" w:rsidP="007839F9">
      <w:pPr>
        <w:pStyle w:val="ListParagraph"/>
        <w:numPr>
          <w:ilvl w:val="0"/>
          <w:numId w:val="31"/>
        </w:numPr>
        <w:spacing w:after="0" w:line="360" w:lineRule="auto"/>
        <w:ind w:hanging="806"/>
        <w:rPr>
          <w:rFonts w:ascii="Times New Roman" w:hAnsi="Times New Roman" w:cs="Times New Roman"/>
          <w:sz w:val="28"/>
          <w:szCs w:val="28"/>
        </w:rPr>
      </w:pPr>
      <w:r>
        <w:rPr>
          <w:rFonts w:ascii="Times New Roman" w:hAnsi="Times New Roman" w:cs="Times New Roman"/>
          <w:sz w:val="28"/>
          <w:szCs w:val="28"/>
        </w:rPr>
        <w:t>Since he did not have authority to appoint a surveyor to survey the servitude area he would proceed to have the servitude registered in general terms as per d</w:t>
      </w:r>
      <w:r w:rsidR="00F16762">
        <w:rPr>
          <w:rFonts w:ascii="Times New Roman" w:hAnsi="Times New Roman" w:cs="Times New Roman"/>
          <w:sz w:val="28"/>
          <w:szCs w:val="28"/>
        </w:rPr>
        <w:t>escription in the drafts.</w:t>
      </w:r>
      <w:r>
        <w:rPr>
          <w:rStyle w:val="FootnoteReference"/>
          <w:rFonts w:ascii="Times New Roman" w:hAnsi="Times New Roman" w:cs="Times New Roman"/>
          <w:sz w:val="28"/>
          <w:szCs w:val="28"/>
        </w:rPr>
        <w:footnoteReference w:id="20"/>
      </w:r>
      <w:r w:rsidR="00FA68AE" w:rsidRPr="00FA68AE">
        <w:rPr>
          <w:rFonts w:ascii="Times New Roman" w:hAnsi="Times New Roman" w:cs="Times New Roman"/>
          <w:sz w:val="28"/>
          <w:szCs w:val="28"/>
        </w:rPr>
        <w:t xml:space="preserve"> </w:t>
      </w:r>
      <w:r w:rsidR="0086542A">
        <w:rPr>
          <w:rFonts w:ascii="Times New Roman" w:hAnsi="Times New Roman" w:cs="Times New Roman"/>
          <w:sz w:val="28"/>
          <w:szCs w:val="28"/>
        </w:rPr>
        <w:t>The following day o</w:t>
      </w:r>
      <w:r w:rsidR="00FA68AE">
        <w:rPr>
          <w:rFonts w:ascii="Times New Roman" w:hAnsi="Times New Roman" w:cs="Times New Roman"/>
          <w:sz w:val="28"/>
          <w:szCs w:val="28"/>
        </w:rPr>
        <w:t>n 31 May 2019, the first Respondent sent an email to Mr. Steyn De Villiers indicating that he was no longer prepared to approve of or sign any servitude in favour of erf 572.</w:t>
      </w:r>
      <w:r w:rsidR="00FA68AE">
        <w:rPr>
          <w:rStyle w:val="FootnoteReference"/>
          <w:rFonts w:ascii="Times New Roman" w:hAnsi="Times New Roman" w:cs="Times New Roman"/>
          <w:sz w:val="28"/>
          <w:szCs w:val="28"/>
        </w:rPr>
        <w:footnoteReference w:id="21"/>
      </w:r>
    </w:p>
    <w:p w:rsidR="00EB052E" w:rsidRDefault="00EB052E" w:rsidP="00EB052E">
      <w:pPr>
        <w:pStyle w:val="ListParagraph"/>
        <w:spacing w:after="0" w:line="360" w:lineRule="auto"/>
        <w:rPr>
          <w:rFonts w:ascii="Times New Roman" w:hAnsi="Times New Roman" w:cs="Times New Roman"/>
          <w:sz w:val="28"/>
          <w:szCs w:val="28"/>
        </w:rPr>
      </w:pPr>
    </w:p>
    <w:p w:rsidR="00EB052E" w:rsidRDefault="00EB052E" w:rsidP="003A6499">
      <w:pPr>
        <w:pStyle w:val="ListParagraph"/>
        <w:numPr>
          <w:ilvl w:val="0"/>
          <w:numId w:val="31"/>
        </w:numPr>
        <w:spacing w:after="0" w:line="360" w:lineRule="auto"/>
        <w:ind w:hanging="806"/>
        <w:jc w:val="both"/>
        <w:rPr>
          <w:rFonts w:ascii="Times New Roman" w:hAnsi="Times New Roman" w:cs="Times New Roman"/>
          <w:sz w:val="28"/>
          <w:szCs w:val="28"/>
        </w:rPr>
      </w:pPr>
      <w:r>
        <w:rPr>
          <w:rFonts w:ascii="Times New Roman" w:hAnsi="Times New Roman" w:cs="Times New Roman"/>
          <w:sz w:val="28"/>
          <w:szCs w:val="28"/>
        </w:rPr>
        <w:t>Mention must be made that the notarial deed of servitude</w:t>
      </w:r>
      <w:r w:rsidR="00D719B9">
        <w:rPr>
          <w:rFonts w:ascii="Times New Roman" w:hAnsi="Times New Roman" w:cs="Times New Roman"/>
          <w:sz w:val="28"/>
          <w:szCs w:val="28"/>
        </w:rPr>
        <w:t>,</w:t>
      </w:r>
      <w:r>
        <w:rPr>
          <w:rFonts w:ascii="Times New Roman" w:hAnsi="Times New Roman" w:cs="Times New Roman"/>
          <w:sz w:val="28"/>
          <w:szCs w:val="28"/>
        </w:rPr>
        <w:t xml:space="preserve"> </w:t>
      </w:r>
      <w:r w:rsidR="00D719B9">
        <w:rPr>
          <w:rFonts w:ascii="Times New Roman" w:hAnsi="Times New Roman" w:cs="Times New Roman"/>
          <w:sz w:val="28"/>
          <w:szCs w:val="28"/>
        </w:rPr>
        <w:t xml:space="preserve">as drafted by Steyn De Villiers, </w:t>
      </w:r>
      <w:r>
        <w:rPr>
          <w:rFonts w:ascii="Times New Roman" w:hAnsi="Times New Roman" w:cs="Times New Roman"/>
          <w:sz w:val="28"/>
          <w:szCs w:val="28"/>
        </w:rPr>
        <w:t>entitled erf</w:t>
      </w:r>
      <w:r w:rsidR="00F16762">
        <w:rPr>
          <w:rFonts w:ascii="Times New Roman" w:hAnsi="Times New Roman" w:cs="Times New Roman"/>
          <w:sz w:val="28"/>
          <w:szCs w:val="28"/>
        </w:rPr>
        <w:t xml:space="preserve"> </w:t>
      </w:r>
      <w:r>
        <w:rPr>
          <w:rFonts w:ascii="Times New Roman" w:hAnsi="Times New Roman" w:cs="Times New Roman"/>
          <w:sz w:val="28"/>
          <w:szCs w:val="28"/>
        </w:rPr>
        <w:t>572 a right of way 3m wide over erf 571 to give vehicle access to a servitude of a double garage parking area 6x6 metres on erf 571</w:t>
      </w:r>
      <w:r w:rsidR="00F713E6">
        <w:rPr>
          <w:rFonts w:ascii="Times New Roman" w:hAnsi="Times New Roman" w:cs="Times New Roman"/>
          <w:sz w:val="28"/>
          <w:szCs w:val="28"/>
        </w:rPr>
        <w:t xml:space="preserve">. The concerns of the Applicants were taken on board in that they reserved the right to extend the balcony to the north </w:t>
      </w:r>
      <w:r w:rsidR="00CE1D69">
        <w:rPr>
          <w:rFonts w:ascii="Times New Roman" w:hAnsi="Times New Roman" w:cs="Times New Roman"/>
          <w:sz w:val="28"/>
          <w:szCs w:val="28"/>
        </w:rPr>
        <w:t>of the dwelling over the width of the house and to construct a column on the western boundary for as long as it d</w:t>
      </w:r>
      <w:r w:rsidR="00BE35C9">
        <w:rPr>
          <w:rFonts w:ascii="Times New Roman" w:hAnsi="Times New Roman" w:cs="Times New Roman"/>
          <w:sz w:val="28"/>
          <w:szCs w:val="28"/>
        </w:rPr>
        <w:t>id</w:t>
      </w:r>
      <w:r w:rsidR="00CE1D69">
        <w:rPr>
          <w:rFonts w:ascii="Times New Roman" w:hAnsi="Times New Roman" w:cs="Times New Roman"/>
          <w:sz w:val="28"/>
          <w:szCs w:val="28"/>
        </w:rPr>
        <w:t xml:space="preserve"> not interfere with the use of the servitude.</w:t>
      </w:r>
      <w:r w:rsidR="00F713E6">
        <w:rPr>
          <w:rFonts w:ascii="Times New Roman" w:hAnsi="Times New Roman" w:cs="Times New Roman"/>
          <w:sz w:val="28"/>
          <w:szCs w:val="28"/>
        </w:rPr>
        <w:t xml:space="preserve"> </w:t>
      </w:r>
    </w:p>
    <w:p w:rsidR="007839F9" w:rsidRPr="006727FE" w:rsidRDefault="007839F9" w:rsidP="007839F9">
      <w:pPr>
        <w:pStyle w:val="ListParagraph"/>
        <w:rPr>
          <w:rFonts w:ascii="Times New Roman" w:hAnsi="Times New Roman" w:cs="Times New Roman"/>
          <w:sz w:val="28"/>
          <w:szCs w:val="28"/>
        </w:rPr>
      </w:pPr>
    </w:p>
    <w:p w:rsidR="00CC0D65" w:rsidRPr="00524C35" w:rsidRDefault="00C720D6" w:rsidP="00AD58DB">
      <w:pPr>
        <w:pStyle w:val="ListParagraph"/>
        <w:numPr>
          <w:ilvl w:val="0"/>
          <w:numId w:val="31"/>
        </w:numPr>
        <w:spacing w:after="0" w:line="360" w:lineRule="auto"/>
        <w:ind w:hanging="720"/>
        <w:jc w:val="both"/>
        <w:rPr>
          <w:rFonts w:ascii="Times New Roman" w:hAnsi="Times New Roman" w:cs="Times New Roman"/>
          <w:i/>
          <w:sz w:val="28"/>
          <w:szCs w:val="28"/>
        </w:rPr>
      </w:pPr>
      <w:r>
        <w:rPr>
          <w:rFonts w:ascii="Times New Roman" w:hAnsi="Times New Roman" w:cs="Times New Roman"/>
          <w:sz w:val="28"/>
          <w:szCs w:val="28"/>
        </w:rPr>
        <w:t>On 12 June 2019</w:t>
      </w:r>
      <w:r w:rsidR="00D719B9">
        <w:rPr>
          <w:rFonts w:ascii="Times New Roman" w:hAnsi="Times New Roman" w:cs="Times New Roman"/>
          <w:sz w:val="28"/>
          <w:szCs w:val="28"/>
        </w:rPr>
        <w:t>,</w:t>
      </w:r>
      <w:r>
        <w:rPr>
          <w:rFonts w:ascii="Times New Roman" w:hAnsi="Times New Roman" w:cs="Times New Roman"/>
          <w:sz w:val="28"/>
          <w:szCs w:val="28"/>
        </w:rPr>
        <w:t xml:space="preserve"> </w:t>
      </w:r>
      <w:r w:rsidR="00A57397">
        <w:rPr>
          <w:rFonts w:ascii="Times New Roman" w:hAnsi="Times New Roman" w:cs="Times New Roman"/>
          <w:sz w:val="28"/>
          <w:szCs w:val="28"/>
        </w:rPr>
        <w:t xml:space="preserve">the Respondents’ lawyers wrote to the Applicants’ lawyers and indicated that </w:t>
      </w:r>
      <w:r w:rsidR="009C5D90">
        <w:rPr>
          <w:rFonts w:ascii="Times New Roman" w:hAnsi="Times New Roman" w:cs="Times New Roman"/>
          <w:sz w:val="28"/>
          <w:szCs w:val="28"/>
        </w:rPr>
        <w:t>while</w:t>
      </w:r>
      <w:r w:rsidR="00A57397">
        <w:rPr>
          <w:rFonts w:ascii="Times New Roman" w:hAnsi="Times New Roman" w:cs="Times New Roman"/>
          <w:sz w:val="28"/>
          <w:szCs w:val="28"/>
        </w:rPr>
        <w:t xml:space="preserve"> there is no registered servitude over Erf 571 the </w:t>
      </w:r>
      <w:r w:rsidR="00A57397">
        <w:rPr>
          <w:rFonts w:ascii="Times New Roman" w:hAnsi="Times New Roman" w:cs="Times New Roman"/>
          <w:sz w:val="28"/>
          <w:szCs w:val="28"/>
        </w:rPr>
        <w:lastRenderedPageBreak/>
        <w:t xml:space="preserve">parties had an oral agreement to </w:t>
      </w:r>
      <w:r w:rsidR="009C5D90">
        <w:rPr>
          <w:rFonts w:ascii="Times New Roman" w:hAnsi="Times New Roman" w:cs="Times New Roman"/>
          <w:sz w:val="28"/>
          <w:szCs w:val="28"/>
        </w:rPr>
        <w:t>register one</w:t>
      </w:r>
      <w:r w:rsidR="00A57397">
        <w:rPr>
          <w:rFonts w:ascii="Times New Roman" w:hAnsi="Times New Roman" w:cs="Times New Roman"/>
          <w:sz w:val="28"/>
          <w:szCs w:val="28"/>
        </w:rPr>
        <w:t>.</w:t>
      </w:r>
      <w:r w:rsidR="009C5D90">
        <w:rPr>
          <w:rFonts w:ascii="Times New Roman" w:hAnsi="Times New Roman" w:cs="Times New Roman"/>
          <w:sz w:val="28"/>
          <w:szCs w:val="28"/>
        </w:rPr>
        <w:t xml:space="preserve"> They recorded that the Applicants were reneging on th</w:t>
      </w:r>
      <w:r w:rsidR="00524C35">
        <w:rPr>
          <w:rFonts w:ascii="Times New Roman" w:hAnsi="Times New Roman" w:cs="Times New Roman"/>
          <w:sz w:val="28"/>
          <w:szCs w:val="28"/>
        </w:rPr>
        <w:t xml:space="preserve">e agreement between the parties and </w:t>
      </w:r>
      <w:r w:rsidR="000E19EB">
        <w:rPr>
          <w:rFonts w:ascii="Times New Roman" w:hAnsi="Times New Roman" w:cs="Times New Roman"/>
          <w:sz w:val="28"/>
          <w:szCs w:val="28"/>
        </w:rPr>
        <w:t>suggested three options, namely:</w:t>
      </w:r>
      <w:r w:rsidR="00524C35">
        <w:rPr>
          <w:rFonts w:ascii="Times New Roman" w:hAnsi="Times New Roman" w:cs="Times New Roman"/>
          <w:sz w:val="28"/>
          <w:szCs w:val="28"/>
        </w:rPr>
        <w:t xml:space="preserve"> </w:t>
      </w:r>
    </w:p>
    <w:p w:rsidR="00524C35" w:rsidRPr="00524C35" w:rsidRDefault="00524C35" w:rsidP="00524C35">
      <w:pPr>
        <w:pStyle w:val="ListParagraph"/>
        <w:rPr>
          <w:rFonts w:ascii="Times New Roman" w:hAnsi="Times New Roman" w:cs="Times New Roman"/>
          <w:i/>
          <w:sz w:val="28"/>
          <w:szCs w:val="28"/>
        </w:rPr>
      </w:pPr>
    </w:p>
    <w:p w:rsidR="00524C35" w:rsidRDefault="000C4D73" w:rsidP="00524C35">
      <w:pPr>
        <w:pStyle w:val="ListParagraph"/>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24C35">
        <w:rPr>
          <w:rFonts w:ascii="Times New Roman" w:hAnsi="Times New Roman" w:cs="Times New Roman"/>
          <w:sz w:val="28"/>
          <w:szCs w:val="28"/>
        </w:rPr>
        <w:t>Proceeding with the registration of the servitude, as originally agreed and intended, given that the paperwork has already been prepared;</w:t>
      </w:r>
    </w:p>
    <w:p w:rsidR="00C742EB" w:rsidRDefault="00C742EB" w:rsidP="00C742EB">
      <w:pPr>
        <w:pStyle w:val="ListParagraph"/>
        <w:spacing w:after="0" w:line="360" w:lineRule="auto"/>
        <w:ind w:left="1440"/>
        <w:jc w:val="both"/>
        <w:rPr>
          <w:rFonts w:ascii="Times New Roman" w:hAnsi="Times New Roman" w:cs="Times New Roman"/>
          <w:sz w:val="28"/>
          <w:szCs w:val="28"/>
        </w:rPr>
      </w:pPr>
    </w:p>
    <w:p w:rsidR="00524C35" w:rsidRDefault="00524C35" w:rsidP="00524C35">
      <w:pPr>
        <w:pStyle w:val="ListParagraph"/>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Varying the terms of the existing agreement by negotiation and agreement and proceeding with the registration of the servitude; or</w:t>
      </w:r>
    </w:p>
    <w:p w:rsidR="00C742EB" w:rsidRPr="00C742EB" w:rsidRDefault="00C742EB" w:rsidP="00C742EB">
      <w:pPr>
        <w:spacing w:after="0" w:line="360" w:lineRule="auto"/>
        <w:jc w:val="both"/>
        <w:rPr>
          <w:rFonts w:ascii="Times New Roman" w:hAnsi="Times New Roman" w:cs="Times New Roman"/>
          <w:sz w:val="28"/>
          <w:szCs w:val="28"/>
        </w:rPr>
      </w:pPr>
    </w:p>
    <w:p w:rsidR="00524C35" w:rsidRDefault="00524C35" w:rsidP="00524C35">
      <w:pPr>
        <w:pStyle w:val="ListParagraph"/>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As an alternative to the registration of a servitude, by the parties entering into a 99-year lease with rental and nominal amount of </w:t>
      </w:r>
      <w:r w:rsidR="000C4D73">
        <w:rPr>
          <w:rFonts w:ascii="Times New Roman" w:hAnsi="Times New Roman" w:cs="Times New Roman"/>
          <w:sz w:val="28"/>
          <w:szCs w:val="28"/>
        </w:rPr>
        <w:t>R100 per annum to be paid by our client to your client.”</w:t>
      </w:r>
      <w:r w:rsidR="000C4D73">
        <w:rPr>
          <w:rStyle w:val="FootnoteReference"/>
          <w:rFonts w:ascii="Times New Roman" w:hAnsi="Times New Roman" w:cs="Times New Roman"/>
          <w:sz w:val="28"/>
          <w:szCs w:val="28"/>
        </w:rPr>
        <w:footnoteReference w:id="22"/>
      </w:r>
    </w:p>
    <w:p w:rsidR="00A2401F" w:rsidRPr="00A2401F" w:rsidRDefault="00A2401F" w:rsidP="00A2401F">
      <w:pPr>
        <w:pStyle w:val="ListParagraph"/>
        <w:rPr>
          <w:rFonts w:ascii="Times New Roman" w:hAnsi="Times New Roman" w:cs="Times New Roman"/>
          <w:sz w:val="28"/>
          <w:szCs w:val="28"/>
        </w:rPr>
      </w:pPr>
    </w:p>
    <w:p w:rsidR="00281328" w:rsidRPr="00281328" w:rsidRDefault="000E19EB" w:rsidP="00281328">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The first salvo was fired o</w:t>
      </w:r>
      <w:r w:rsidR="00831505">
        <w:rPr>
          <w:rFonts w:ascii="Times New Roman" w:hAnsi="Times New Roman" w:cs="Times New Roman"/>
          <w:sz w:val="28"/>
          <w:szCs w:val="28"/>
        </w:rPr>
        <w:t xml:space="preserve">n 05 February 2020 </w:t>
      </w:r>
      <w:r>
        <w:rPr>
          <w:rFonts w:ascii="Times New Roman" w:hAnsi="Times New Roman" w:cs="Times New Roman"/>
          <w:sz w:val="28"/>
          <w:szCs w:val="28"/>
        </w:rPr>
        <w:t xml:space="preserve">when </w:t>
      </w:r>
      <w:r w:rsidR="00831505">
        <w:rPr>
          <w:rFonts w:ascii="Times New Roman" w:hAnsi="Times New Roman" w:cs="Times New Roman"/>
          <w:sz w:val="28"/>
          <w:szCs w:val="28"/>
        </w:rPr>
        <w:t>the Applicants’ Attorneys sent a letter to the Respondents’ Attorneys intimating the commencements of the proceedings. On 11 February 2020</w:t>
      </w:r>
      <w:r w:rsidR="00D719B9">
        <w:rPr>
          <w:rFonts w:ascii="Times New Roman" w:hAnsi="Times New Roman" w:cs="Times New Roman"/>
          <w:sz w:val="28"/>
          <w:szCs w:val="28"/>
        </w:rPr>
        <w:t>,</w:t>
      </w:r>
      <w:r w:rsidR="00831505">
        <w:rPr>
          <w:rFonts w:ascii="Times New Roman" w:hAnsi="Times New Roman" w:cs="Times New Roman"/>
          <w:sz w:val="28"/>
          <w:szCs w:val="28"/>
        </w:rPr>
        <w:t xml:space="preserve"> the Applicants employed new lawyers, Knowles Husain Lindsay Inc.</w:t>
      </w:r>
      <w:r w:rsidR="00281328">
        <w:rPr>
          <w:rFonts w:ascii="Times New Roman" w:hAnsi="Times New Roman" w:cs="Times New Roman"/>
          <w:sz w:val="28"/>
          <w:szCs w:val="28"/>
        </w:rPr>
        <w:t xml:space="preserve"> </w:t>
      </w:r>
      <w:r w:rsidR="00281328" w:rsidRPr="00281328">
        <w:rPr>
          <w:rFonts w:ascii="Times New Roman" w:hAnsi="Times New Roman" w:cs="Times New Roman"/>
          <w:sz w:val="28"/>
          <w:szCs w:val="28"/>
        </w:rPr>
        <w:t xml:space="preserve">Despite being prepared to allow the Trust to continue utilizing the garages, the Applicants were no longer willing to register a servitude over their property. They </w:t>
      </w:r>
      <w:r w:rsidR="00281328">
        <w:rPr>
          <w:rFonts w:ascii="Times New Roman" w:hAnsi="Times New Roman" w:cs="Times New Roman"/>
          <w:sz w:val="28"/>
          <w:szCs w:val="28"/>
        </w:rPr>
        <w:t xml:space="preserve">had </w:t>
      </w:r>
      <w:r w:rsidR="00281328" w:rsidRPr="00281328">
        <w:rPr>
          <w:rFonts w:ascii="Times New Roman" w:hAnsi="Times New Roman" w:cs="Times New Roman"/>
          <w:sz w:val="28"/>
          <w:szCs w:val="28"/>
        </w:rPr>
        <w:t>changed their mind.</w:t>
      </w:r>
      <w:r w:rsidR="00281328">
        <w:rPr>
          <w:rStyle w:val="FootnoteReference"/>
          <w:rFonts w:ascii="Times New Roman" w:hAnsi="Times New Roman" w:cs="Times New Roman"/>
          <w:sz w:val="28"/>
          <w:szCs w:val="28"/>
        </w:rPr>
        <w:footnoteReference w:id="23"/>
      </w:r>
      <w:r w:rsidR="00281328" w:rsidRPr="00281328">
        <w:rPr>
          <w:rFonts w:ascii="Times New Roman" w:hAnsi="Times New Roman" w:cs="Times New Roman"/>
          <w:sz w:val="28"/>
          <w:szCs w:val="28"/>
        </w:rPr>
        <w:t xml:space="preserve"> </w:t>
      </w:r>
    </w:p>
    <w:p w:rsidR="003C412F" w:rsidRDefault="003C412F" w:rsidP="003C412F">
      <w:pPr>
        <w:pStyle w:val="ListParagraph"/>
        <w:rPr>
          <w:rFonts w:ascii="Times New Roman" w:hAnsi="Times New Roman" w:cs="Times New Roman"/>
          <w:i/>
          <w:sz w:val="28"/>
          <w:szCs w:val="28"/>
        </w:rPr>
      </w:pPr>
    </w:p>
    <w:p w:rsidR="007F407A" w:rsidRPr="007F407A" w:rsidRDefault="007F407A" w:rsidP="007F407A">
      <w:pPr>
        <w:pStyle w:val="ListParagraph"/>
        <w:ind w:left="0"/>
        <w:rPr>
          <w:rFonts w:ascii="Times New Roman" w:hAnsi="Times New Roman" w:cs="Times New Roman"/>
          <w:b/>
          <w:sz w:val="28"/>
          <w:szCs w:val="28"/>
          <w:u w:val="single"/>
        </w:rPr>
      </w:pPr>
      <w:r w:rsidRPr="007F407A">
        <w:rPr>
          <w:rFonts w:ascii="Times New Roman" w:hAnsi="Times New Roman" w:cs="Times New Roman"/>
          <w:b/>
          <w:sz w:val="28"/>
          <w:szCs w:val="28"/>
          <w:u w:val="single"/>
        </w:rPr>
        <w:t>THE ISSUE OF SEWERAGE</w:t>
      </w:r>
    </w:p>
    <w:p w:rsidR="007F407A" w:rsidRPr="003C412F" w:rsidRDefault="007F407A" w:rsidP="003C412F">
      <w:pPr>
        <w:pStyle w:val="ListParagraph"/>
        <w:rPr>
          <w:rFonts w:ascii="Times New Roman" w:hAnsi="Times New Roman" w:cs="Times New Roman"/>
          <w:i/>
          <w:sz w:val="28"/>
          <w:szCs w:val="28"/>
        </w:rPr>
      </w:pPr>
    </w:p>
    <w:p w:rsidR="00A56BDD" w:rsidRPr="00A56BDD" w:rsidRDefault="00116123" w:rsidP="003C412F">
      <w:pPr>
        <w:pStyle w:val="ListParagraph"/>
        <w:numPr>
          <w:ilvl w:val="0"/>
          <w:numId w:val="31"/>
        </w:numPr>
        <w:spacing w:after="0" w:line="360" w:lineRule="auto"/>
        <w:ind w:hanging="720"/>
        <w:jc w:val="both"/>
        <w:rPr>
          <w:rFonts w:ascii="Times New Roman" w:hAnsi="Times New Roman" w:cs="Times New Roman"/>
          <w:i/>
          <w:sz w:val="28"/>
          <w:szCs w:val="28"/>
        </w:rPr>
      </w:pPr>
      <w:r>
        <w:rPr>
          <w:rFonts w:ascii="Times New Roman" w:hAnsi="Times New Roman" w:cs="Times New Roman"/>
          <w:sz w:val="28"/>
          <w:szCs w:val="28"/>
        </w:rPr>
        <w:t>With the result of the development in the area</w:t>
      </w:r>
      <w:r w:rsidR="00D13EDB">
        <w:rPr>
          <w:rFonts w:ascii="Times New Roman" w:hAnsi="Times New Roman" w:cs="Times New Roman"/>
          <w:sz w:val="28"/>
          <w:szCs w:val="28"/>
        </w:rPr>
        <w:t>,</w:t>
      </w:r>
      <w:r>
        <w:rPr>
          <w:rFonts w:ascii="Times New Roman" w:hAnsi="Times New Roman" w:cs="Times New Roman"/>
          <w:sz w:val="28"/>
          <w:szCs w:val="28"/>
        </w:rPr>
        <w:t xml:space="preserve"> the</w:t>
      </w:r>
      <w:r w:rsidR="00D13EDB">
        <w:rPr>
          <w:rFonts w:ascii="Times New Roman" w:hAnsi="Times New Roman" w:cs="Times New Roman"/>
          <w:sz w:val="28"/>
          <w:szCs w:val="28"/>
        </w:rPr>
        <w:t xml:space="preserve"> Municipality</w:t>
      </w:r>
      <w:r>
        <w:rPr>
          <w:rFonts w:ascii="Times New Roman" w:hAnsi="Times New Roman" w:cs="Times New Roman"/>
          <w:sz w:val="28"/>
          <w:szCs w:val="28"/>
        </w:rPr>
        <w:t xml:space="preserve"> </w:t>
      </w:r>
      <w:r w:rsidR="00D13EDB">
        <w:rPr>
          <w:rFonts w:ascii="Times New Roman" w:hAnsi="Times New Roman" w:cs="Times New Roman"/>
          <w:sz w:val="28"/>
          <w:szCs w:val="28"/>
        </w:rPr>
        <w:t>instructed</w:t>
      </w:r>
      <w:r>
        <w:rPr>
          <w:rFonts w:ascii="Times New Roman" w:hAnsi="Times New Roman" w:cs="Times New Roman"/>
          <w:sz w:val="28"/>
          <w:szCs w:val="28"/>
        </w:rPr>
        <w:t xml:space="preserve"> the owners of Keurbaai to disconnect their sewerage system from the old septic tanks and connect their plumbing system </w:t>
      </w:r>
      <w:r w:rsidR="00FC6D3A">
        <w:rPr>
          <w:rFonts w:ascii="Times New Roman" w:hAnsi="Times New Roman" w:cs="Times New Roman"/>
          <w:sz w:val="28"/>
          <w:szCs w:val="28"/>
        </w:rPr>
        <w:t xml:space="preserve">into the municipal wastewater </w:t>
      </w:r>
      <w:r>
        <w:rPr>
          <w:rFonts w:ascii="Times New Roman" w:hAnsi="Times New Roman" w:cs="Times New Roman"/>
          <w:sz w:val="28"/>
          <w:szCs w:val="28"/>
        </w:rPr>
        <w:t>system.</w:t>
      </w:r>
      <w:r w:rsidR="00A56BDD">
        <w:rPr>
          <w:rFonts w:ascii="Times New Roman" w:hAnsi="Times New Roman" w:cs="Times New Roman"/>
          <w:sz w:val="28"/>
          <w:szCs w:val="28"/>
        </w:rPr>
        <w:t xml:space="preserve"> Again the parties were involved in another skirmish because the</w:t>
      </w:r>
      <w:r w:rsidR="006B075F">
        <w:rPr>
          <w:rFonts w:ascii="Times New Roman" w:hAnsi="Times New Roman" w:cs="Times New Roman"/>
          <w:sz w:val="28"/>
          <w:szCs w:val="28"/>
        </w:rPr>
        <w:t xml:space="preserve"> </w:t>
      </w:r>
      <w:r w:rsidR="006B075F">
        <w:rPr>
          <w:rFonts w:ascii="Times New Roman" w:hAnsi="Times New Roman" w:cs="Times New Roman"/>
          <w:sz w:val="28"/>
          <w:szCs w:val="28"/>
        </w:rPr>
        <w:lastRenderedPageBreak/>
        <w:t>second</w:t>
      </w:r>
      <w:r w:rsidR="00A56BDD">
        <w:rPr>
          <w:rFonts w:ascii="Times New Roman" w:hAnsi="Times New Roman" w:cs="Times New Roman"/>
          <w:sz w:val="28"/>
          <w:szCs w:val="28"/>
        </w:rPr>
        <w:t xml:space="preserve"> Respondent refused the first Applicant entry into the garages. As this would become important later</w:t>
      </w:r>
      <w:r w:rsidR="007F407A">
        <w:rPr>
          <w:rFonts w:ascii="Times New Roman" w:hAnsi="Times New Roman" w:cs="Times New Roman"/>
          <w:sz w:val="28"/>
          <w:szCs w:val="28"/>
        </w:rPr>
        <w:t>,</w:t>
      </w:r>
      <w:r w:rsidR="00A56BDD">
        <w:rPr>
          <w:rFonts w:ascii="Times New Roman" w:hAnsi="Times New Roman" w:cs="Times New Roman"/>
          <w:sz w:val="28"/>
          <w:szCs w:val="28"/>
        </w:rPr>
        <w:t xml:space="preserve"> it is worth mentioning that he stated the following:</w:t>
      </w:r>
    </w:p>
    <w:p w:rsidR="00A56BDD" w:rsidRPr="00A63F4C" w:rsidRDefault="00A56BDD" w:rsidP="00A63F4C">
      <w:pPr>
        <w:spacing w:after="0" w:line="360" w:lineRule="auto"/>
        <w:jc w:val="both"/>
        <w:rPr>
          <w:rFonts w:ascii="Times New Roman" w:hAnsi="Times New Roman" w:cs="Times New Roman"/>
          <w:sz w:val="28"/>
          <w:szCs w:val="28"/>
        </w:rPr>
      </w:pPr>
    </w:p>
    <w:p w:rsidR="00A56BDD" w:rsidRPr="00A63F4C" w:rsidRDefault="00A63F4C" w:rsidP="00A63F4C">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A56BDD">
        <w:rPr>
          <w:rFonts w:ascii="Times New Roman" w:hAnsi="Times New Roman" w:cs="Times New Roman"/>
          <w:sz w:val="28"/>
          <w:szCs w:val="28"/>
        </w:rPr>
        <w:t>In the interim, I wish to reiterate that you may not gain entry into my garage without my consent to do so, and further not engage with those in my employ to do so without my permission.</w:t>
      </w:r>
      <w:r>
        <w:rPr>
          <w:rFonts w:ascii="Times New Roman" w:hAnsi="Times New Roman" w:cs="Times New Roman"/>
          <w:sz w:val="28"/>
          <w:szCs w:val="28"/>
        </w:rPr>
        <w:t>”</w:t>
      </w:r>
      <w:r w:rsidR="00A56BDD">
        <w:rPr>
          <w:rStyle w:val="FootnoteReference"/>
          <w:rFonts w:ascii="Times New Roman" w:hAnsi="Times New Roman" w:cs="Times New Roman"/>
          <w:sz w:val="28"/>
          <w:szCs w:val="28"/>
        </w:rPr>
        <w:footnoteReference w:id="24"/>
      </w:r>
    </w:p>
    <w:p w:rsidR="00A56BDD" w:rsidRDefault="00A56BDD" w:rsidP="00A56BDD">
      <w:pPr>
        <w:pStyle w:val="ListParagraph"/>
        <w:spacing w:after="0" w:line="360" w:lineRule="auto"/>
        <w:jc w:val="both"/>
        <w:rPr>
          <w:rFonts w:ascii="Times New Roman" w:hAnsi="Times New Roman" w:cs="Times New Roman"/>
          <w:sz w:val="28"/>
          <w:szCs w:val="28"/>
        </w:rPr>
      </w:pPr>
    </w:p>
    <w:p w:rsidR="004B3461" w:rsidRPr="00A2401F" w:rsidRDefault="007F407A" w:rsidP="006B075F">
      <w:pPr>
        <w:pStyle w:val="ListParagraph"/>
        <w:numPr>
          <w:ilvl w:val="0"/>
          <w:numId w:val="31"/>
        </w:numPr>
        <w:spacing w:after="0" w:line="360" w:lineRule="auto"/>
        <w:ind w:hanging="720"/>
        <w:jc w:val="both"/>
        <w:rPr>
          <w:rFonts w:ascii="Times New Roman" w:hAnsi="Times New Roman" w:cs="Times New Roman"/>
          <w:i/>
          <w:sz w:val="28"/>
          <w:szCs w:val="28"/>
        </w:rPr>
      </w:pPr>
      <w:r>
        <w:rPr>
          <w:rFonts w:ascii="Times New Roman" w:hAnsi="Times New Roman" w:cs="Times New Roman"/>
          <w:sz w:val="28"/>
          <w:szCs w:val="28"/>
        </w:rPr>
        <w:t>In response t</w:t>
      </w:r>
      <w:r w:rsidR="006B075F">
        <w:rPr>
          <w:rFonts w:ascii="Times New Roman" w:hAnsi="Times New Roman" w:cs="Times New Roman"/>
          <w:sz w:val="28"/>
          <w:szCs w:val="28"/>
        </w:rPr>
        <w:t xml:space="preserve">he first Applicant </w:t>
      </w:r>
      <w:r>
        <w:rPr>
          <w:rFonts w:ascii="Times New Roman" w:hAnsi="Times New Roman" w:cs="Times New Roman"/>
          <w:sz w:val="28"/>
          <w:szCs w:val="28"/>
        </w:rPr>
        <w:t>reminded the second</w:t>
      </w:r>
      <w:r w:rsidR="006B075F">
        <w:rPr>
          <w:rFonts w:ascii="Times New Roman" w:hAnsi="Times New Roman" w:cs="Times New Roman"/>
          <w:sz w:val="28"/>
          <w:szCs w:val="28"/>
        </w:rPr>
        <w:t xml:space="preserve"> Respondent </w:t>
      </w:r>
      <w:r>
        <w:rPr>
          <w:rFonts w:ascii="Times New Roman" w:hAnsi="Times New Roman" w:cs="Times New Roman"/>
          <w:sz w:val="28"/>
          <w:szCs w:val="28"/>
        </w:rPr>
        <w:t xml:space="preserve">that the first Respondent </w:t>
      </w:r>
      <w:r w:rsidR="006B075F">
        <w:rPr>
          <w:rFonts w:ascii="Times New Roman" w:hAnsi="Times New Roman" w:cs="Times New Roman"/>
          <w:sz w:val="28"/>
          <w:szCs w:val="28"/>
        </w:rPr>
        <w:t xml:space="preserve">had already acknowledged </w:t>
      </w:r>
      <w:r w:rsidR="00BE35C9">
        <w:rPr>
          <w:rFonts w:ascii="Times New Roman" w:hAnsi="Times New Roman" w:cs="Times New Roman"/>
          <w:sz w:val="28"/>
          <w:szCs w:val="28"/>
        </w:rPr>
        <w:t xml:space="preserve">their ownership of the garages. </w:t>
      </w:r>
      <w:r w:rsidR="00757200">
        <w:rPr>
          <w:rFonts w:ascii="Times New Roman" w:hAnsi="Times New Roman" w:cs="Times New Roman"/>
          <w:sz w:val="28"/>
          <w:szCs w:val="28"/>
        </w:rPr>
        <w:t xml:space="preserve">Erf 571 has a servitude registered on it in favour of erf 572 for the passage of </w:t>
      </w:r>
      <w:r w:rsidR="00CB3DEE">
        <w:rPr>
          <w:rFonts w:ascii="Times New Roman" w:hAnsi="Times New Roman" w:cs="Times New Roman"/>
          <w:sz w:val="28"/>
          <w:szCs w:val="28"/>
        </w:rPr>
        <w:t>or provision of water, sewerage</w:t>
      </w:r>
      <w:r w:rsidR="00757200">
        <w:rPr>
          <w:rFonts w:ascii="Times New Roman" w:hAnsi="Times New Roman" w:cs="Times New Roman"/>
          <w:sz w:val="28"/>
          <w:szCs w:val="28"/>
        </w:rPr>
        <w:t xml:space="preserve"> drainage, electricity and other services, </w:t>
      </w:r>
      <w:r w:rsidR="00CB3DEE">
        <w:rPr>
          <w:rFonts w:ascii="Times New Roman" w:hAnsi="Times New Roman" w:cs="Times New Roman"/>
          <w:sz w:val="28"/>
          <w:szCs w:val="28"/>
        </w:rPr>
        <w:t xml:space="preserve">including telephone, radio and television services, and </w:t>
      </w:r>
      <w:r w:rsidR="00757200">
        <w:rPr>
          <w:rFonts w:ascii="Times New Roman" w:hAnsi="Times New Roman" w:cs="Times New Roman"/>
          <w:sz w:val="28"/>
          <w:szCs w:val="28"/>
        </w:rPr>
        <w:t>through or by means of pipes, wires, cables or ducts</w:t>
      </w:r>
      <w:r w:rsidR="00CB3DEE">
        <w:rPr>
          <w:rFonts w:ascii="Times New Roman" w:hAnsi="Times New Roman" w:cs="Times New Roman"/>
          <w:sz w:val="28"/>
          <w:szCs w:val="28"/>
        </w:rPr>
        <w:t xml:space="preserve"> existing in or under within erf</w:t>
      </w:r>
      <w:r w:rsidR="00757200">
        <w:rPr>
          <w:rFonts w:ascii="Times New Roman" w:hAnsi="Times New Roman" w:cs="Times New Roman"/>
          <w:sz w:val="28"/>
          <w:szCs w:val="28"/>
        </w:rPr>
        <w:t>.</w:t>
      </w:r>
      <w:r w:rsidR="00CB3DEE">
        <w:rPr>
          <w:rStyle w:val="FootnoteReference"/>
          <w:rFonts w:ascii="Times New Roman" w:hAnsi="Times New Roman" w:cs="Times New Roman"/>
          <w:sz w:val="28"/>
          <w:szCs w:val="28"/>
        </w:rPr>
        <w:footnoteReference w:id="25"/>
      </w:r>
      <w:r w:rsidR="00757200">
        <w:rPr>
          <w:rFonts w:ascii="Times New Roman" w:hAnsi="Times New Roman" w:cs="Times New Roman"/>
          <w:sz w:val="28"/>
          <w:szCs w:val="28"/>
        </w:rPr>
        <w:t xml:space="preserve"> This was inserted when the Sh</w:t>
      </w:r>
      <w:r>
        <w:rPr>
          <w:rFonts w:ascii="Times New Roman" w:hAnsi="Times New Roman" w:cs="Times New Roman"/>
          <w:sz w:val="28"/>
          <w:szCs w:val="28"/>
        </w:rPr>
        <w:t>areblock Company decided to sub</w:t>
      </w:r>
      <w:r w:rsidR="00757200">
        <w:rPr>
          <w:rFonts w:ascii="Times New Roman" w:hAnsi="Times New Roman" w:cs="Times New Roman"/>
          <w:sz w:val="28"/>
          <w:szCs w:val="28"/>
        </w:rPr>
        <w:t>divide the consolidated erf</w:t>
      </w:r>
      <w:r>
        <w:rPr>
          <w:rFonts w:ascii="Times New Roman" w:hAnsi="Times New Roman" w:cs="Times New Roman"/>
          <w:sz w:val="28"/>
          <w:szCs w:val="28"/>
        </w:rPr>
        <w:t>.</w:t>
      </w:r>
      <w:r w:rsidR="00757200">
        <w:rPr>
          <w:rFonts w:ascii="Times New Roman" w:hAnsi="Times New Roman" w:cs="Times New Roman"/>
          <w:sz w:val="28"/>
          <w:szCs w:val="28"/>
        </w:rPr>
        <w:t xml:space="preserve"> </w:t>
      </w:r>
      <w:r w:rsidR="00C720D6">
        <w:rPr>
          <w:rFonts w:ascii="Times New Roman" w:hAnsi="Times New Roman" w:cs="Times New Roman"/>
          <w:sz w:val="28"/>
          <w:szCs w:val="28"/>
        </w:rPr>
        <w:t xml:space="preserve">I </w:t>
      </w:r>
      <w:r>
        <w:rPr>
          <w:rFonts w:ascii="Times New Roman" w:hAnsi="Times New Roman" w:cs="Times New Roman"/>
          <w:sz w:val="28"/>
          <w:szCs w:val="28"/>
        </w:rPr>
        <w:t>was</w:t>
      </w:r>
      <w:r w:rsidR="00BE35C9">
        <w:rPr>
          <w:rFonts w:ascii="Times New Roman" w:hAnsi="Times New Roman" w:cs="Times New Roman"/>
          <w:sz w:val="28"/>
          <w:szCs w:val="28"/>
        </w:rPr>
        <w:t xml:space="preserve"> informed during </w:t>
      </w:r>
      <w:r>
        <w:rPr>
          <w:rFonts w:ascii="Times New Roman" w:hAnsi="Times New Roman" w:cs="Times New Roman"/>
          <w:sz w:val="28"/>
          <w:szCs w:val="28"/>
        </w:rPr>
        <w:t xml:space="preserve">the hearing </w:t>
      </w:r>
      <w:r w:rsidR="00BE35C9">
        <w:rPr>
          <w:rFonts w:ascii="Times New Roman" w:hAnsi="Times New Roman" w:cs="Times New Roman"/>
          <w:sz w:val="28"/>
          <w:szCs w:val="28"/>
        </w:rPr>
        <w:t>that this issue</w:t>
      </w:r>
      <w:r w:rsidR="00C720D6">
        <w:rPr>
          <w:rFonts w:ascii="Times New Roman" w:hAnsi="Times New Roman" w:cs="Times New Roman"/>
          <w:sz w:val="28"/>
          <w:szCs w:val="28"/>
        </w:rPr>
        <w:t xml:space="preserve"> has become moot.</w:t>
      </w:r>
      <w:r w:rsidR="0038407F">
        <w:rPr>
          <w:rFonts w:ascii="Times New Roman" w:hAnsi="Times New Roman" w:cs="Times New Roman"/>
          <w:sz w:val="28"/>
          <w:szCs w:val="28"/>
        </w:rPr>
        <w:t xml:space="preserve"> </w:t>
      </w:r>
      <w:r>
        <w:rPr>
          <w:rFonts w:ascii="Times New Roman" w:hAnsi="Times New Roman" w:cs="Times New Roman"/>
          <w:sz w:val="28"/>
          <w:szCs w:val="28"/>
        </w:rPr>
        <w:t xml:space="preserve">The Applicants’ </w:t>
      </w:r>
      <w:r w:rsidR="0038407F">
        <w:rPr>
          <w:rFonts w:ascii="Times New Roman" w:hAnsi="Times New Roman" w:cs="Times New Roman"/>
          <w:sz w:val="28"/>
          <w:szCs w:val="28"/>
        </w:rPr>
        <w:t xml:space="preserve">Counsel </w:t>
      </w:r>
      <w:r>
        <w:rPr>
          <w:rFonts w:ascii="Times New Roman" w:hAnsi="Times New Roman" w:cs="Times New Roman"/>
          <w:sz w:val="28"/>
          <w:szCs w:val="28"/>
        </w:rPr>
        <w:t>submitted</w:t>
      </w:r>
      <w:r w:rsidR="0038407F">
        <w:rPr>
          <w:rFonts w:ascii="Times New Roman" w:hAnsi="Times New Roman" w:cs="Times New Roman"/>
          <w:sz w:val="28"/>
          <w:szCs w:val="28"/>
        </w:rPr>
        <w:t xml:space="preserve"> that there was no need for me to wa</w:t>
      </w:r>
      <w:r w:rsidR="006C3C3E">
        <w:rPr>
          <w:rFonts w:ascii="Times New Roman" w:hAnsi="Times New Roman" w:cs="Times New Roman"/>
          <w:sz w:val="28"/>
          <w:szCs w:val="28"/>
        </w:rPr>
        <w:t>ste time on this issue as it had</w:t>
      </w:r>
      <w:r w:rsidR="0038407F">
        <w:rPr>
          <w:rFonts w:ascii="Times New Roman" w:hAnsi="Times New Roman" w:cs="Times New Roman"/>
          <w:sz w:val="28"/>
          <w:szCs w:val="28"/>
        </w:rPr>
        <w:t xml:space="preserve"> become peripheral</w:t>
      </w:r>
      <w:r w:rsidR="001C5DA7">
        <w:rPr>
          <w:rFonts w:ascii="Times New Roman" w:hAnsi="Times New Roman" w:cs="Times New Roman"/>
          <w:sz w:val="28"/>
          <w:szCs w:val="28"/>
        </w:rPr>
        <w:t>.</w:t>
      </w:r>
      <w:r w:rsidR="00156C5A">
        <w:rPr>
          <w:rFonts w:ascii="Times New Roman" w:hAnsi="Times New Roman" w:cs="Times New Roman"/>
          <w:sz w:val="28"/>
          <w:szCs w:val="28"/>
        </w:rPr>
        <w:t xml:space="preserve"> </w:t>
      </w:r>
      <w:r w:rsidR="00995E68">
        <w:rPr>
          <w:rFonts w:ascii="Times New Roman" w:hAnsi="Times New Roman" w:cs="Times New Roman"/>
          <w:sz w:val="28"/>
          <w:szCs w:val="28"/>
        </w:rPr>
        <w:t>Both the Applicants’ sewerage and Trust property’s eastern sewerage systems have already bee</w:t>
      </w:r>
      <w:r w:rsidR="00BF7F19">
        <w:rPr>
          <w:rFonts w:ascii="Times New Roman" w:hAnsi="Times New Roman" w:cs="Times New Roman"/>
          <w:sz w:val="28"/>
          <w:szCs w:val="28"/>
        </w:rPr>
        <w:t xml:space="preserve">n connected to the new system. </w:t>
      </w:r>
      <w:r w:rsidR="00995E68">
        <w:rPr>
          <w:rFonts w:ascii="Times New Roman" w:hAnsi="Times New Roman" w:cs="Times New Roman"/>
          <w:sz w:val="28"/>
          <w:szCs w:val="28"/>
        </w:rPr>
        <w:t>I,</w:t>
      </w:r>
      <w:r w:rsidR="00BF7F19">
        <w:rPr>
          <w:rFonts w:ascii="Times New Roman" w:hAnsi="Times New Roman" w:cs="Times New Roman"/>
          <w:sz w:val="28"/>
          <w:szCs w:val="28"/>
        </w:rPr>
        <w:t xml:space="preserve"> </w:t>
      </w:r>
      <w:r w:rsidR="00B93AF7">
        <w:rPr>
          <w:rFonts w:ascii="Times New Roman" w:hAnsi="Times New Roman" w:cs="Times New Roman"/>
          <w:sz w:val="28"/>
          <w:szCs w:val="28"/>
        </w:rPr>
        <w:t>th</w:t>
      </w:r>
      <w:r w:rsidR="00BF7F19">
        <w:rPr>
          <w:rFonts w:ascii="Times New Roman" w:hAnsi="Times New Roman" w:cs="Times New Roman"/>
          <w:sz w:val="28"/>
          <w:szCs w:val="28"/>
        </w:rPr>
        <w:t xml:space="preserve">erefore, </w:t>
      </w:r>
      <w:r w:rsidR="00B93AF7">
        <w:rPr>
          <w:rFonts w:ascii="Times New Roman" w:hAnsi="Times New Roman" w:cs="Times New Roman"/>
          <w:sz w:val="28"/>
          <w:szCs w:val="28"/>
        </w:rPr>
        <w:t xml:space="preserve">make </w:t>
      </w:r>
      <w:r w:rsidR="00BF7F19">
        <w:rPr>
          <w:rFonts w:ascii="Times New Roman" w:hAnsi="Times New Roman" w:cs="Times New Roman"/>
          <w:sz w:val="28"/>
          <w:szCs w:val="28"/>
        </w:rPr>
        <w:t>no pronouncement on</w:t>
      </w:r>
      <w:r w:rsidR="00B93AF7">
        <w:rPr>
          <w:rFonts w:ascii="Times New Roman" w:hAnsi="Times New Roman" w:cs="Times New Roman"/>
          <w:sz w:val="28"/>
          <w:szCs w:val="28"/>
        </w:rPr>
        <w:t xml:space="preserve"> this issue</w:t>
      </w:r>
      <w:r w:rsidR="00995E68">
        <w:rPr>
          <w:rFonts w:ascii="Times New Roman" w:hAnsi="Times New Roman" w:cs="Times New Roman"/>
          <w:sz w:val="28"/>
          <w:szCs w:val="28"/>
        </w:rPr>
        <w:t>.</w:t>
      </w:r>
      <w:r w:rsidR="00B93AF7">
        <w:rPr>
          <w:rFonts w:ascii="Times New Roman" w:hAnsi="Times New Roman" w:cs="Times New Roman"/>
          <w:sz w:val="28"/>
          <w:szCs w:val="28"/>
        </w:rPr>
        <w:t xml:space="preserve">   </w:t>
      </w:r>
      <w:r w:rsidR="0038407F">
        <w:rPr>
          <w:rFonts w:ascii="Times New Roman" w:hAnsi="Times New Roman" w:cs="Times New Roman"/>
          <w:sz w:val="28"/>
          <w:szCs w:val="28"/>
        </w:rPr>
        <w:t xml:space="preserve">  </w:t>
      </w:r>
    </w:p>
    <w:p w:rsidR="006A6692" w:rsidRPr="006A6692" w:rsidRDefault="006A6692" w:rsidP="006A6692">
      <w:pPr>
        <w:pStyle w:val="ListParagraph"/>
        <w:rPr>
          <w:rFonts w:ascii="Times New Roman" w:hAnsi="Times New Roman" w:cs="Times New Roman"/>
          <w:sz w:val="28"/>
          <w:szCs w:val="28"/>
        </w:rPr>
      </w:pPr>
    </w:p>
    <w:p w:rsidR="00DD68EE" w:rsidRDefault="001C5DA7" w:rsidP="00DD68EE">
      <w:pPr>
        <w:pStyle w:val="ListParagraph"/>
        <w:ind w:left="0"/>
        <w:jc w:val="both"/>
        <w:rPr>
          <w:rFonts w:ascii="Times New Roman" w:hAnsi="Times New Roman" w:cs="Times New Roman"/>
          <w:b/>
          <w:sz w:val="28"/>
          <w:szCs w:val="28"/>
          <w:u w:val="single"/>
        </w:rPr>
      </w:pPr>
      <w:r>
        <w:rPr>
          <w:rFonts w:ascii="Times New Roman" w:hAnsi="Times New Roman" w:cs="Times New Roman"/>
          <w:b/>
          <w:sz w:val="28"/>
          <w:szCs w:val="28"/>
          <w:u w:val="single"/>
        </w:rPr>
        <w:t>ADDRESS BY THE PARTIES</w:t>
      </w:r>
      <w:r w:rsidR="00426FB6">
        <w:rPr>
          <w:rFonts w:ascii="Times New Roman" w:hAnsi="Times New Roman" w:cs="Times New Roman"/>
          <w:b/>
          <w:sz w:val="28"/>
          <w:szCs w:val="28"/>
          <w:u w:val="single"/>
        </w:rPr>
        <w:t xml:space="preserve"> AND THE LAW</w:t>
      </w:r>
    </w:p>
    <w:p w:rsidR="00E23425" w:rsidRPr="006D4E60" w:rsidRDefault="00E23425" w:rsidP="006D4E60">
      <w:pPr>
        <w:spacing w:after="0" w:line="360" w:lineRule="auto"/>
        <w:jc w:val="both"/>
        <w:rPr>
          <w:rFonts w:ascii="Times New Roman" w:hAnsi="Times New Roman" w:cs="Times New Roman"/>
          <w:color w:val="242121"/>
          <w:sz w:val="28"/>
          <w:szCs w:val="28"/>
          <w:shd w:val="clear" w:color="auto" w:fill="FFFFFF"/>
        </w:rPr>
      </w:pPr>
    </w:p>
    <w:p w:rsidR="00E062F7" w:rsidRPr="00E062F7" w:rsidRDefault="009D449D" w:rsidP="00E062F7">
      <w:pPr>
        <w:pStyle w:val="ListParagraph"/>
        <w:numPr>
          <w:ilvl w:val="0"/>
          <w:numId w:val="31"/>
        </w:numPr>
        <w:spacing w:after="0" w:line="360" w:lineRule="auto"/>
        <w:ind w:hanging="720"/>
        <w:jc w:val="both"/>
        <w:rPr>
          <w:rFonts w:ascii="Verdana" w:hAnsi="Verdana"/>
          <w:color w:val="242121"/>
          <w:sz w:val="27"/>
          <w:szCs w:val="27"/>
          <w:shd w:val="clear" w:color="auto" w:fill="FFFFFF"/>
        </w:rPr>
      </w:pPr>
      <w:r w:rsidRPr="00E062F7">
        <w:rPr>
          <w:rFonts w:ascii="Times New Roman" w:hAnsi="Times New Roman" w:cs="Times New Roman"/>
          <w:sz w:val="28"/>
          <w:szCs w:val="28"/>
        </w:rPr>
        <w:t>The Applicants</w:t>
      </w:r>
      <w:r w:rsidR="00EB0D99" w:rsidRPr="00E062F7">
        <w:rPr>
          <w:rFonts w:ascii="Times New Roman" w:hAnsi="Times New Roman" w:cs="Times New Roman"/>
          <w:sz w:val="28"/>
          <w:szCs w:val="28"/>
        </w:rPr>
        <w:t xml:space="preserve"> argue</w:t>
      </w:r>
      <w:r w:rsidRPr="00E062F7">
        <w:rPr>
          <w:rFonts w:ascii="Times New Roman" w:hAnsi="Times New Roman" w:cs="Times New Roman"/>
          <w:sz w:val="28"/>
          <w:szCs w:val="28"/>
        </w:rPr>
        <w:t>d</w:t>
      </w:r>
      <w:r w:rsidR="00EB0D99" w:rsidRPr="00E062F7">
        <w:rPr>
          <w:rFonts w:ascii="Times New Roman" w:hAnsi="Times New Roman" w:cs="Times New Roman"/>
          <w:sz w:val="28"/>
          <w:szCs w:val="28"/>
        </w:rPr>
        <w:t xml:space="preserve"> that this matter does not fall under</w:t>
      </w:r>
      <w:r w:rsidR="006D769D">
        <w:rPr>
          <w:rFonts w:ascii="Times New Roman" w:hAnsi="Times New Roman" w:cs="Times New Roman"/>
          <w:sz w:val="28"/>
          <w:szCs w:val="28"/>
        </w:rPr>
        <w:t xml:space="preserve"> the</w:t>
      </w:r>
      <w:r w:rsidR="00EB0D99" w:rsidRPr="00E062F7">
        <w:rPr>
          <w:rFonts w:ascii="Times New Roman" w:hAnsi="Times New Roman" w:cs="Times New Roman"/>
          <w:sz w:val="28"/>
          <w:szCs w:val="28"/>
        </w:rPr>
        <w:t xml:space="preserve"> </w:t>
      </w:r>
      <w:r w:rsidRPr="00E062F7">
        <w:rPr>
          <w:rFonts w:ascii="Times New Roman" w:hAnsi="Times New Roman" w:cs="Times New Roman"/>
          <w:color w:val="000000" w:themeColor="text1"/>
          <w:sz w:val="28"/>
          <w:szCs w:val="28"/>
          <w:shd w:val="clear" w:color="auto" w:fill="FFFFFF"/>
        </w:rPr>
        <w:t>Prevention of Illegal Eviction from and Unlawful Occupation of Land Act</w:t>
      </w:r>
      <w:r w:rsidR="006D769D">
        <w:rPr>
          <w:rFonts w:ascii="Times New Roman" w:hAnsi="Times New Roman" w:cs="Times New Roman"/>
          <w:color w:val="000000" w:themeColor="text1"/>
          <w:sz w:val="28"/>
          <w:szCs w:val="28"/>
          <w:shd w:val="clear" w:color="auto" w:fill="FFFFFF"/>
        </w:rPr>
        <w:t xml:space="preserve"> 19 of</w:t>
      </w:r>
      <w:r w:rsidRPr="00E062F7">
        <w:rPr>
          <w:rFonts w:ascii="Times New Roman" w:hAnsi="Times New Roman" w:cs="Times New Roman"/>
          <w:color w:val="000000" w:themeColor="text1"/>
          <w:sz w:val="28"/>
          <w:szCs w:val="28"/>
          <w:shd w:val="clear" w:color="auto" w:fill="FFFFFF"/>
        </w:rPr>
        <w:t xml:space="preserve"> 1998</w:t>
      </w:r>
      <w:r w:rsidR="00E062F7">
        <w:rPr>
          <w:rFonts w:ascii="Times New Roman" w:hAnsi="Times New Roman" w:cs="Times New Roman"/>
          <w:sz w:val="28"/>
          <w:szCs w:val="28"/>
        </w:rPr>
        <w:t xml:space="preserve">. </w:t>
      </w:r>
      <w:r w:rsidRPr="00E062F7">
        <w:rPr>
          <w:rFonts w:ascii="Times New Roman" w:hAnsi="Times New Roman" w:cs="Times New Roman"/>
          <w:sz w:val="28"/>
          <w:szCs w:val="28"/>
        </w:rPr>
        <w:lastRenderedPageBreak/>
        <w:t>Counsel for the Applicants</w:t>
      </w:r>
      <w:r w:rsidR="00EB0D99" w:rsidRPr="00E062F7">
        <w:rPr>
          <w:rFonts w:ascii="Times New Roman" w:hAnsi="Times New Roman" w:cs="Times New Roman"/>
          <w:sz w:val="28"/>
          <w:szCs w:val="28"/>
        </w:rPr>
        <w:t xml:space="preserve"> referred to the matter of </w:t>
      </w:r>
      <w:r w:rsidR="00594F50">
        <w:rPr>
          <w:rFonts w:ascii="Times New Roman" w:hAnsi="Times New Roman" w:cs="Times New Roman"/>
          <w:i/>
          <w:sz w:val="28"/>
          <w:szCs w:val="28"/>
        </w:rPr>
        <w:t>Barnet and another v</w:t>
      </w:r>
      <w:r w:rsidR="00EB0D99" w:rsidRPr="00E062F7">
        <w:rPr>
          <w:rFonts w:ascii="Times New Roman" w:hAnsi="Times New Roman" w:cs="Times New Roman"/>
          <w:i/>
          <w:sz w:val="28"/>
          <w:szCs w:val="28"/>
        </w:rPr>
        <w:t xml:space="preserve"> Minister of land affairs and others</w:t>
      </w:r>
      <w:r w:rsidR="00E062F7">
        <w:rPr>
          <w:rStyle w:val="FootnoteReference"/>
          <w:rFonts w:ascii="Times New Roman" w:hAnsi="Times New Roman" w:cs="Times New Roman"/>
          <w:i/>
          <w:sz w:val="28"/>
          <w:szCs w:val="28"/>
        </w:rPr>
        <w:footnoteReference w:id="26"/>
      </w:r>
      <w:r w:rsidR="00EB0D99" w:rsidRPr="00E062F7">
        <w:rPr>
          <w:rFonts w:ascii="Times New Roman" w:hAnsi="Times New Roman" w:cs="Times New Roman"/>
          <w:i/>
          <w:sz w:val="28"/>
          <w:szCs w:val="28"/>
        </w:rPr>
        <w:t xml:space="preserve"> </w:t>
      </w:r>
      <w:r w:rsidR="00594F50" w:rsidRPr="00594F50">
        <w:rPr>
          <w:rFonts w:ascii="Times New Roman" w:hAnsi="Times New Roman" w:cs="Times New Roman"/>
          <w:sz w:val="28"/>
          <w:szCs w:val="28"/>
        </w:rPr>
        <w:t>in which</w:t>
      </w:r>
      <w:r w:rsidR="00E062F7" w:rsidRPr="00E062F7">
        <w:rPr>
          <w:rFonts w:ascii="Times New Roman" w:hAnsi="Times New Roman" w:cs="Times New Roman"/>
          <w:sz w:val="28"/>
          <w:szCs w:val="28"/>
        </w:rPr>
        <w:t xml:space="preserve"> the Court stated the following:</w:t>
      </w:r>
    </w:p>
    <w:p w:rsidR="00E062F7" w:rsidRDefault="00E062F7" w:rsidP="009D449D">
      <w:pPr>
        <w:spacing w:after="0" w:line="360" w:lineRule="auto"/>
        <w:jc w:val="both"/>
        <w:rPr>
          <w:rFonts w:ascii="Verdana" w:hAnsi="Verdana"/>
          <w:color w:val="242121"/>
          <w:sz w:val="27"/>
          <w:szCs w:val="27"/>
          <w:shd w:val="clear" w:color="auto" w:fill="FFFFFF"/>
        </w:rPr>
      </w:pPr>
    </w:p>
    <w:p w:rsidR="00E062F7" w:rsidRDefault="00E062F7" w:rsidP="00E062F7">
      <w:pPr>
        <w:spacing w:after="0" w:line="360" w:lineRule="auto"/>
        <w:ind w:left="1440"/>
        <w:jc w:val="both"/>
        <w:rPr>
          <w:rFonts w:ascii="Times New Roman" w:hAnsi="Times New Roman" w:cs="Times New Roman"/>
          <w:sz w:val="28"/>
          <w:szCs w:val="28"/>
        </w:rPr>
      </w:pPr>
      <w:r>
        <w:rPr>
          <w:rFonts w:ascii="Verdana" w:hAnsi="Verdana"/>
          <w:color w:val="242121"/>
          <w:sz w:val="27"/>
          <w:szCs w:val="27"/>
          <w:shd w:val="clear" w:color="auto" w:fill="FFFFFF"/>
        </w:rPr>
        <w:t>“</w:t>
      </w:r>
      <w:r w:rsidRPr="00E062F7">
        <w:rPr>
          <w:rFonts w:ascii="Times New Roman" w:hAnsi="Times New Roman" w:cs="Times New Roman"/>
          <w:i/>
          <w:color w:val="242121"/>
          <w:sz w:val="28"/>
          <w:szCs w:val="28"/>
          <w:shd w:val="clear" w:color="auto" w:fill="FFFFFF"/>
        </w:rPr>
        <w:t>This leads to the next question: can the cottages on the sites that were put up by the defendants for holiday purposes be said to be their homes, in the context of PIE? I think not.”</w:t>
      </w:r>
      <w:r w:rsidR="00EB0D99" w:rsidRPr="00EB0D99">
        <w:rPr>
          <w:rFonts w:ascii="Times New Roman" w:hAnsi="Times New Roman" w:cs="Times New Roman"/>
          <w:sz w:val="28"/>
          <w:szCs w:val="28"/>
        </w:rPr>
        <w:t xml:space="preserve"> </w:t>
      </w:r>
      <w:r>
        <w:rPr>
          <w:rStyle w:val="FootnoteReference"/>
          <w:rFonts w:ascii="Times New Roman" w:hAnsi="Times New Roman" w:cs="Times New Roman"/>
          <w:sz w:val="28"/>
          <w:szCs w:val="28"/>
        </w:rPr>
        <w:footnoteReference w:id="27"/>
      </w:r>
    </w:p>
    <w:p w:rsidR="00E062F7" w:rsidRDefault="00E062F7" w:rsidP="009D449D">
      <w:pPr>
        <w:spacing w:after="0" w:line="360" w:lineRule="auto"/>
        <w:jc w:val="both"/>
        <w:rPr>
          <w:rFonts w:ascii="Times New Roman" w:hAnsi="Times New Roman" w:cs="Times New Roman"/>
          <w:sz w:val="28"/>
          <w:szCs w:val="28"/>
        </w:rPr>
      </w:pPr>
    </w:p>
    <w:p w:rsidR="00EB0D99" w:rsidRDefault="003049F7" w:rsidP="00E062F7">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The C</w:t>
      </w:r>
      <w:r w:rsidR="00EB0D99" w:rsidRPr="00E062F7">
        <w:rPr>
          <w:rFonts w:ascii="Times New Roman" w:hAnsi="Times New Roman" w:cs="Times New Roman"/>
          <w:sz w:val="28"/>
          <w:szCs w:val="28"/>
        </w:rPr>
        <w:t>ourt said PIE only applied to the eviction of persons from their homes. The term home required an element of regular occupation, coupled with some degree of permanency. Cottages erected for holiday purposes and visited occasionally over weekends and during vacation by persons who have the</w:t>
      </w:r>
      <w:r w:rsidR="000349B4">
        <w:rPr>
          <w:rFonts w:ascii="Times New Roman" w:hAnsi="Times New Roman" w:cs="Times New Roman"/>
          <w:sz w:val="28"/>
          <w:szCs w:val="28"/>
        </w:rPr>
        <w:t>ir habitual dwellings elsewhere</w:t>
      </w:r>
      <w:r w:rsidR="00EB0D99" w:rsidRPr="00E062F7">
        <w:rPr>
          <w:rFonts w:ascii="Times New Roman" w:hAnsi="Times New Roman" w:cs="Times New Roman"/>
          <w:sz w:val="28"/>
          <w:szCs w:val="28"/>
        </w:rPr>
        <w:t xml:space="preserve"> did not qualify as homes in the context of PIE.</w:t>
      </w:r>
      <w:r w:rsidR="00594F50">
        <w:rPr>
          <w:rFonts w:ascii="Times New Roman" w:hAnsi="Times New Roman" w:cs="Times New Roman"/>
          <w:sz w:val="28"/>
          <w:szCs w:val="28"/>
        </w:rPr>
        <w:t xml:space="preserve"> If PIE</w:t>
      </w:r>
      <w:r w:rsidR="005330B1">
        <w:rPr>
          <w:rFonts w:ascii="Times New Roman" w:hAnsi="Times New Roman" w:cs="Times New Roman"/>
          <w:sz w:val="28"/>
          <w:szCs w:val="28"/>
        </w:rPr>
        <w:t xml:space="preserve"> does not apply to </w:t>
      </w:r>
      <w:r w:rsidR="002137B7">
        <w:rPr>
          <w:rFonts w:ascii="Times New Roman" w:hAnsi="Times New Roman" w:cs="Times New Roman"/>
          <w:sz w:val="28"/>
          <w:szCs w:val="28"/>
        </w:rPr>
        <w:t xml:space="preserve">an eviction from </w:t>
      </w:r>
      <w:r w:rsidR="005330B1">
        <w:rPr>
          <w:rFonts w:ascii="Times New Roman" w:hAnsi="Times New Roman" w:cs="Times New Roman"/>
          <w:sz w:val="28"/>
          <w:szCs w:val="28"/>
        </w:rPr>
        <w:t xml:space="preserve">a cottage </w:t>
      </w:r>
      <w:r w:rsidR="002137B7">
        <w:rPr>
          <w:rFonts w:ascii="Times New Roman" w:hAnsi="Times New Roman" w:cs="Times New Roman"/>
          <w:sz w:val="28"/>
          <w:szCs w:val="28"/>
        </w:rPr>
        <w:t xml:space="preserve">used </w:t>
      </w:r>
      <w:r w:rsidR="005330B1">
        <w:rPr>
          <w:rFonts w:ascii="Times New Roman" w:hAnsi="Times New Roman" w:cs="Times New Roman"/>
          <w:sz w:val="28"/>
          <w:szCs w:val="28"/>
        </w:rPr>
        <w:t>for holiday purposes</w:t>
      </w:r>
      <w:r w:rsidR="002137B7">
        <w:rPr>
          <w:rFonts w:ascii="Times New Roman" w:hAnsi="Times New Roman" w:cs="Times New Roman"/>
          <w:sz w:val="28"/>
          <w:szCs w:val="28"/>
        </w:rPr>
        <w:t>,</w:t>
      </w:r>
      <w:r w:rsidR="005330B1">
        <w:rPr>
          <w:rFonts w:ascii="Times New Roman" w:hAnsi="Times New Roman" w:cs="Times New Roman"/>
          <w:sz w:val="28"/>
          <w:szCs w:val="28"/>
        </w:rPr>
        <w:t xml:space="preserve"> it</w:t>
      </w:r>
      <w:r w:rsidR="006A5465">
        <w:rPr>
          <w:rFonts w:ascii="Times New Roman" w:hAnsi="Times New Roman" w:cs="Times New Roman"/>
          <w:sz w:val="28"/>
          <w:szCs w:val="28"/>
        </w:rPr>
        <w:t>,</w:t>
      </w:r>
      <w:r w:rsidR="005330B1">
        <w:rPr>
          <w:rFonts w:ascii="Times New Roman" w:hAnsi="Times New Roman" w:cs="Times New Roman"/>
          <w:sz w:val="28"/>
          <w:szCs w:val="28"/>
        </w:rPr>
        <w:t xml:space="preserve"> certainly</w:t>
      </w:r>
      <w:r w:rsidR="006A5465">
        <w:rPr>
          <w:rFonts w:ascii="Times New Roman" w:hAnsi="Times New Roman" w:cs="Times New Roman"/>
          <w:sz w:val="28"/>
          <w:szCs w:val="28"/>
        </w:rPr>
        <w:t>,</w:t>
      </w:r>
      <w:r w:rsidR="005330B1">
        <w:rPr>
          <w:rFonts w:ascii="Times New Roman" w:hAnsi="Times New Roman" w:cs="Times New Roman"/>
          <w:sz w:val="28"/>
          <w:szCs w:val="28"/>
        </w:rPr>
        <w:t xml:space="preserve"> cannot apply to</w:t>
      </w:r>
      <w:r w:rsidR="002137B7">
        <w:rPr>
          <w:rFonts w:ascii="Times New Roman" w:hAnsi="Times New Roman" w:cs="Times New Roman"/>
          <w:sz w:val="28"/>
          <w:szCs w:val="28"/>
        </w:rPr>
        <w:t xml:space="preserve"> an eviction from</w:t>
      </w:r>
      <w:r w:rsidR="005109AA">
        <w:rPr>
          <w:rFonts w:ascii="Times New Roman" w:hAnsi="Times New Roman" w:cs="Times New Roman"/>
          <w:sz w:val="28"/>
          <w:szCs w:val="28"/>
        </w:rPr>
        <w:t xml:space="preserve"> a holiday home</w:t>
      </w:r>
      <w:r w:rsidR="006A5465">
        <w:rPr>
          <w:rFonts w:ascii="Times New Roman" w:hAnsi="Times New Roman" w:cs="Times New Roman"/>
          <w:sz w:val="28"/>
          <w:szCs w:val="28"/>
        </w:rPr>
        <w:t>’s</w:t>
      </w:r>
      <w:r w:rsidR="005109AA">
        <w:rPr>
          <w:rFonts w:ascii="Times New Roman" w:hAnsi="Times New Roman" w:cs="Times New Roman"/>
          <w:sz w:val="28"/>
          <w:szCs w:val="28"/>
        </w:rPr>
        <w:t xml:space="preserve"> garage</w:t>
      </w:r>
      <w:r w:rsidR="005330B1">
        <w:rPr>
          <w:rFonts w:ascii="Times New Roman" w:hAnsi="Times New Roman" w:cs="Times New Roman"/>
          <w:sz w:val="28"/>
          <w:szCs w:val="28"/>
        </w:rPr>
        <w:t>.</w:t>
      </w:r>
      <w:r w:rsidR="00BB4092">
        <w:rPr>
          <w:rFonts w:ascii="Times New Roman" w:hAnsi="Times New Roman" w:cs="Times New Roman"/>
          <w:sz w:val="28"/>
          <w:szCs w:val="28"/>
        </w:rPr>
        <w:t xml:space="preserve"> Anyway, </w:t>
      </w:r>
      <w:r w:rsidR="005330B1">
        <w:rPr>
          <w:rFonts w:ascii="Times New Roman" w:hAnsi="Times New Roman" w:cs="Times New Roman"/>
          <w:sz w:val="28"/>
          <w:szCs w:val="28"/>
        </w:rPr>
        <w:t>this issue was not pursued by the Respondents’ Counsel.</w:t>
      </w:r>
      <w:r w:rsidR="00EB0D99" w:rsidRPr="00E062F7">
        <w:rPr>
          <w:rFonts w:ascii="Times New Roman" w:hAnsi="Times New Roman" w:cs="Times New Roman"/>
          <w:sz w:val="28"/>
          <w:szCs w:val="28"/>
        </w:rPr>
        <w:t xml:space="preserve"> </w:t>
      </w:r>
    </w:p>
    <w:p w:rsidR="00BB4092" w:rsidRPr="00BB4092" w:rsidRDefault="00BB4092" w:rsidP="00433647">
      <w:pPr>
        <w:spacing w:after="0" w:line="360" w:lineRule="auto"/>
        <w:jc w:val="both"/>
        <w:rPr>
          <w:rFonts w:ascii="Times New Roman" w:hAnsi="Times New Roman" w:cs="Times New Roman"/>
          <w:sz w:val="28"/>
          <w:szCs w:val="28"/>
        </w:rPr>
      </w:pPr>
    </w:p>
    <w:p w:rsidR="002F27BC" w:rsidRDefault="00522628" w:rsidP="00BB4092">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Applicants’ Counsel submitted that the Respondents repudiated by refusing to recognize </w:t>
      </w:r>
      <w:r w:rsidR="00ED18B2">
        <w:rPr>
          <w:rFonts w:ascii="Times New Roman" w:hAnsi="Times New Roman" w:cs="Times New Roman"/>
          <w:sz w:val="28"/>
          <w:szCs w:val="28"/>
        </w:rPr>
        <w:t>their ownership of the garag</w:t>
      </w:r>
      <w:r w:rsidR="00433647">
        <w:rPr>
          <w:rFonts w:ascii="Times New Roman" w:hAnsi="Times New Roman" w:cs="Times New Roman"/>
          <w:sz w:val="28"/>
          <w:szCs w:val="28"/>
        </w:rPr>
        <w:t xml:space="preserve">es. </w:t>
      </w:r>
      <w:r w:rsidR="005109AA">
        <w:rPr>
          <w:rFonts w:ascii="Times New Roman" w:hAnsi="Times New Roman" w:cs="Times New Roman"/>
          <w:sz w:val="28"/>
          <w:szCs w:val="28"/>
        </w:rPr>
        <w:t>He</w:t>
      </w:r>
      <w:r w:rsidR="002F27BC">
        <w:rPr>
          <w:rFonts w:ascii="Times New Roman" w:hAnsi="Times New Roman" w:cs="Times New Roman"/>
          <w:sz w:val="28"/>
          <w:szCs w:val="28"/>
        </w:rPr>
        <w:t xml:space="preserve"> </w:t>
      </w:r>
      <w:r w:rsidR="00EB0D99" w:rsidRPr="00BB4092">
        <w:rPr>
          <w:rFonts w:ascii="Times New Roman" w:hAnsi="Times New Roman" w:cs="Times New Roman"/>
          <w:sz w:val="28"/>
          <w:szCs w:val="28"/>
        </w:rPr>
        <w:t xml:space="preserve">indicated that </w:t>
      </w:r>
      <w:r w:rsidR="002F27BC">
        <w:rPr>
          <w:rFonts w:ascii="Times New Roman" w:hAnsi="Times New Roman" w:cs="Times New Roman"/>
          <w:sz w:val="28"/>
          <w:szCs w:val="28"/>
        </w:rPr>
        <w:t xml:space="preserve">the Applicants </w:t>
      </w:r>
      <w:r w:rsidR="00EB0D99" w:rsidRPr="00BB4092">
        <w:rPr>
          <w:rFonts w:ascii="Times New Roman" w:hAnsi="Times New Roman" w:cs="Times New Roman"/>
          <w:sz w:val="28"/>
          <w:szCs w:val="28"/>
        </w:rPr>
        <w:t xml:space="preserve">were amenable </w:t>
      </w:r>
      <w:r w:rsidR="002F27BC">
        <w:rPr>
          <w:rFonts w:ascii="Times New Roman" w:hAnsi="Times New Roman" w:cs="Times New Roman"/>
          <w:sz w:val="28"/>
          <w:szCs w:val="28"/>
        </w:rPr>
        <w:t xml:space="preserve">but </w:t>
      </w:r>
      <w:r w:rsidR="00B93AF7">
        <w:rPr>
          <w:rFonts w:ascii="Times New Roman" w:hAnsi="Times New Roman" w:cs="Times New Roman"/>
          <w:sz w:val="28"/>
          <w:szCs w:val="28"/>
        </w:rPr>
        <w:t>had</w:t>
      </w:r>
      <w:r w:rsidR="00433647">
        <w:rPr>
          <w:rFonts w:ascii="Times New Roman" w:hAnsi="Times New Roman" w:cs="Times New Roman"/>
          <w:sz w:val="28"/>
          <w:szCs w:val="28"/>
        </w:rPr>
        <w:t xml:space="preserve"> not </w:t>
      </w:r>
      <w:r w:rsidR="00855FEB">
        <w:rPr>
          <w:rFonts w:ascii="Times New Roman" w:hAnsi="Times New Roman" w:cs="Times New Roman"/>
          <w:sz w:val="28"/>
          <w:szCs w:val="28"/>
        </w:rPr>
        <w:t>agreed</w:t>
      </w:r>
      <w:r w:rsidR="002F27BC">
        <w:rPr>
          <w:rFonts w:ascii="Times New Roman" w:hAnsi="Times New Roman" w:cs="Times New Roman"/>
          <w:sz w:val="28"/>
          <w:szCs w:val="28"/>
        </w:rPr>
        <w:t xml:space="preserve"> </w:t>
      </w:r>
      <w:r w:rsidR="00EB0D99" w:rsidRPr="00BB4092">
        <w:rPr>
          <w:rFonts w:ascii="Times New Roman" w:hAnsi="Times New Roman" w:cs="Times New Roman"/>
          <w:sz w:val="28"/>
          <w:szCs w:val="28"/>
        </w:rPr>
        <w:t>to the registration of a servitude.</w:t>
      </w:r>
      <w:r w:rsidR="00C14587">
        <w:rPr>
          <w:rStyle w:val="FootnoteReference"/>
          <w:rFonts w:ascii="Times New Roman" w:hAnsi="Times New Roman" w:cs="Times New Roman"/>
          <w:sz w:val="28"/>
          <w:szCs w:val="28"/>
        </w:rPr>
        <w:footnoteReference w:id="28"/>
      </w:r>
      <w:r w:rsidR="00EB0D99" w:rsidRPr="00BB4092">
        <w:rPr>
          <w:rFonts w:ascii="Times New Roman" w:hAnsi="Times New Roman" w:cs="Times New Roman"/>
          <w:sz w:val="28"/>
          <w:szCs w:val="28"/>
        </w:rPr>
        <w:t xml:space="preserve"> Ho</w:t>
      </w:r>
      <w:r w:rsidR="002F27BC">
        <w:rPr>
          <w:rFonts w:ascii="Times New Roman" w:hAnsi="Times New Roman" w:cs="Times New Roman"/>
          <w:sz w:val="28"/>
          <w:szCs w:val="28"/>
        </w:rPr>
        <w:t xml:space="preserve">wever, they </w:t>
      </w:r>
      <w:r w:rsidR="00433647">
        <w:rPr>
          <w:rFonts w:ascii="Times New Roman" w:hAnsi="Times New Roman" w:cs="Times New Roman"/>
          <w:sz w:val="28"/>
          <w:szCs w:val="28"/>
        </w:rPr>
        <w:t xml:space="preserve">had </w:t>
      </w:r>
      <w:r w:rsidR="002F27BC">
        <w:rPr>
          <w:rFonts w:ascii="Times New Roman" w:hAnsi="Times New Roman" w:cs="Times New Roman"/>
          <w:sz w:val="28"/>
          <w:szCs w:val="28"/>
        </w:rPr>
        <w:t>change</w:t>
      </w:r>
      <w:r>
        <w:rPr>
          <w:rFonts w:ascii="Times New Roman" w:hAnsi="Times New Roman" w:cs="Times New Roman"/>
          <w:sz w:val="28"/>
          <w:szCs w:val="28"/>
        </w:rPr>
        <w:t>d</w:t>
      </w:r>
      <w:r w:rsidR="00433647">
        <w:rPr>
          <w:rFonts w:ascii="Times New Roman" w:hAnsi="Times New Roman" w:cs="Times New Roman"/>
          <w:sz w:val="28"/>
          <w:szCs w:val="28"/>
        </w:rPr>
        <w:t xml:space="preserve"> their minds and intended to use the garages to build additional rooms.</w:t>
      </w:r>
      <w:r w:rsidR="00433647">
        <w:rPr>
          <w:rStyle w:val="FootnoteReference"/>
          <w:rFonts w:ascii="Times New Roman" w:hAnsi="Times New Roman" w:cs="Times New Roman"/>
          <w:sz w:val="28"/>
          <w:szCs w:val="28"/>
        </w:rPr>
        <w:footnoteReference w:id="29"/>
      </w:r>
    </w:p>
    <w:p w:rsidR="002F27BC" w:rsidRDefault="002F27BC" w:rsidP="002F27BC">
      <w:pPr>
        <w:pStyle w:val="ListParagraph"/>
        <w:spacing w:after="0" w:line="360" w:lineRule="auto"/>
        <w:jc w:val="both"/>
        <w:rPr>
          <w:rFonts w:ascii="Times New Roman" w:hAnsi="Times New Roman" w:cs="Times New Roman"/>
          <w:sz w:val="28"/>
          <w:szCs w:val="28"/>
        </w:rPr>
      </w:pPr>
    </w:p>
    <w:p w:rsidR="00196BF7" w:rsidRDefault="005109AA" w:rsidP="00196BF7">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Responding to a </w:t>
      </w:r>
      <w:r w:rsidR="002F27BC">
        <w:rPr>
          <w:rFonts w:ascii="Times New Roman" w:hAnsi="Times New Roman" w:cs="Times New Roman"/>
          <w:sz w:val="28"/>
          <w:szCs w:val="28"/>
        </w:rPr>
        <w:t>question</w:t>
      </w:r>
      <w:r w:rsidR="005316AD">
        <w:rPr>
          <w:rFonts w:ascii="Times New Roman" w:hAnsi="Times New Roman" w:cs="Times New Roman"/>
          <w:sz w:val="28"/>
          <w:szCs w:val="28"/>
        </w:rPr>
        <w:t xml:space="preserve"> from the Court</w:t>
      </w:r>
      <w:r w:rsidR="001C49A7">
        <w:rPr>
          <w:rFonts w:ascii="Times New Roman" w:hAnsi="Times New Roman" w:cs="Times New Roman"/>
          <w:sz w:val="28"/>
          <w:szCs w:val="28"/>
        </w:rPr>
        <w:t xml:space="preserve"> about the cancellation of the contract</w:t>
      </w:r>
      <w:r w:rsidR="00E14B8C">
        <w:rPr>
          <w:rFonts w:ascii="Times New Roman" w:hAnsi="Times New Roman" w:cs="Times New Roman"/>
          <w:sz w:val="28"/>
          <w:szCs w:val="28"/>
        </w:rPr>
        <w:t>,</w:t>
      </w:r>
      <w:r w:rsidR="002F27BC">
        <w:rPr>
          <w:rFonts w:ascii="Times New Roman" w:hAnsi="Times New Roman" w:cs="Times New Roman"/>
          <w:sz w:val="28"/>
          <w:szCs w:val="28"/>
        </w:rPr>
        <w:t xml:space="preserve"> </w:t>
      </w:r>
      <w:r w:rsidR="00EB0D99" w:rsidRPr="00BB4092">
        <w:rPr>
          <w:rFonts w:ascii="Times New Roman" w:hAnsi="Times New Roman" w:cs="Times New Roman"/>
          <w:sz w:val="28"/>
          <w:szCs w:val="28"/>
        </w:rPr>
        <w:t xml:space="preserve">Counsel for the </w:t>
      </w:r>
      <w:r w:rsidR="001C49A7">
        <w:rPr>
          <w:rFonts w:ascii="Times New Roman" w:hAnsi="Times New Roman" w:cs="Times New Roman"/>
          <w:sz w:val="28"/>
          <w:szCs w:val="28"/>
        </w:rPr>
        <w:t>Applicants</w:t>
      </w:r>
      <w:r w:rsidR="00EB0D99" w:rsidRPr="00BB4092">
        <w:rPr>
          <w:rFonts w:ascii="Times New Roman" w:hAnsi="Times New Roman" w:cs="Times New Roman"/>
          <w:sz w:val="28"/>
          <w:szCs w:val="28"/>
        </w:rPr>
        <w:t xml:space="preserve"> </w:t>
      </w:r>
      <w:r w:rsidR="00E14B8C">
        <w:rPr>
          <w:rFonts w:ascii="Times New Roman" w:hAnsi="Times New Roman" w:cs="Times New Roman"/>
          <w:sz w:val="28"/>
          <w:szCs w:val="28"/>
        </w:rPr>
        <w:t xml:space="preserve">submitted that the Applicants </w:t>
      </w:r>
      <w:r w:rsidR="00EB0D99" w:rsidRPr="00BB4092">
        <w:rPr>
          <w:rFonts w:ascii="Times New Roman" w:hAnsi="Times New Roman" w:cs="Times New Roman"/>
          <w:sz w:val="28"/>
          <w:szCs w:val="28"/>
        </w:rPr>
        <w:t xml:space="preserve">did not </w:t>
      </w:r>
      <w:r w:rsidR="00164502">
        <w:rPr>
          <w:rFonts w:ascii="Times New Roman" w:hAnsi="Times New Roman" w:cs="Times New Roman"/>
          <w:sz w:val="28"/>
          <w:szCs w:val="28"/>
        </w:rPr>
        <w:lastRenderedPageBreak/>
        <w:t xml:space="preserve">cancel nor </w:t>
      </w:r>
      <w:r w:rsidR="00EB0D99" w:rsidRPr="00BB4092">
        <w:rPr>
          <w:rFonts w:ascii="Times New Roman" w:hAnsi="Times New Roman" w:cs="Times New Roman"/>
          <w:sz w:val="28"/>
          <w:szCs w:val="28"/>
        </w:rPr>
        <w:t>terminate the agreement,</w:t>
      </w:r>
      <w:r w:rsidR="00E14B8C">
        <w:rPr>
          <w:rFonts w:ascii="Times New Roman" w:hAnsi="Times New Roman" w:cs="Times New Roman"/>
          <w:sz w:val="28"/>
          <w:szCs w:val="28"/>
        </w:rPr>
        <w:t xml:space="preserve"> but </w:t>
      </w:r>
      <w:r w:rsidR="00EB0D99" w:rsidRPr="00BB4092">
        <w:rPr>
          <w:rFonts w:ascii="Times New Roman" w:hAnsi="Times New Roman" w:cs="Times New Roman"/>
          <w:sz w:val="28"/>
          <w:szCs w:val="28"/>
        </w:rPr>
        <w:t>reserve</w:t>
      </w:r>
      <w:r w:rsidR="00E14B8C">
        <w:rPr>
          <w:rFonts w:ascii="Times New Roman" w:hAnsi="Times New Roman" w:cs="Times New Roman"/>
          <w:sz w:val="28"/>
          <w:szCs w:val="28"/>
        </w:rPr>
        <w:t>d</w:t>
      </w:r>
      <w:r w:rsidR="00EB0D99" w:rsidRPr="00BB4092">
        <w:rPr>
          <w:rFonts w:ascii="Times New Roman" w:hAnsi="Times New Roman" w:cs="Times New Roman"/>
          <w:sz w:val="28"/>
          <w:szCs w:val="28"/>
        </w:rPr>
        <w:t xml:space="preserve"> the right to terminate on reasonable notice.</w:t>
      </w:r>
      <w:r w:rsidR="00ED18B2">
        <w:rPr>
          <w:rFonts w:ascii="Times New Roman" w:hAnsi="Times New Roman" w:cs="Times New Roman"/>
          <w:sz w:val="28"/>
          <w:szCs w:val="28"/>
        </w:rPr>
        <w:t xml:space="preserve"> </w:t>
      </w:r>
      <w:r w:rsidR="006D4E60">
        <w:rPr>
          <w:rFonts w:ascii="Times New Roman" w:hAnsi="Times New Roman" w:cs="Times New Roman"/>
          <w:sz w:val="28"/>
          <w:szCs w:val="28"/>
        </w:rPr>
        <w:t>As stated above, he argued further,</w:t>
      </w:r>
      <w:r w:rsidR="00216589">
        <w:rPr>
          <w:rFonts w:ascii="Times New Roman" w:hAnsi="Times New Roman" w:cs="Times New Roman"/>
          <w:sz w:val="28"/>
          <w:szCs w:val="28"/>
        </w:rPr>
        <w:t xml:space="preserve"> </w:t>
      </w:r>
      <w:r w:rsidR="00EF4775" w:rsidRPr="00313480">
        <w:rPr>
          <w:rFonts w:ascii="Times New Roman" w:hAnsi="Times New Roman" w:cs="Times New Roman"/>
          <w:sz w:val="28"/>
          <w:szCs w:val="28"/>
        </w:rPr>
        <w:t xml:space="preserve">the </w:t>
      </w:r>
      <w:r w:rsidR="004B446D">
        <w:rPr>
          <w:rFonts w:ascii="Times New Roman" w:hAnsi="Times New Roman" w:cs="Times New Roman"/>
          <w:sz w:val="28"/>
          <w:szCs w:val="28"/>
        </w:rPr>
        <w:t>Respondents’ refusal to acknowledge the Applicants’</w:t>
      </w:r>
      <w:r w:rsidR="00EF4775" w:rsidRPr="00313480">
        <w:rPr>
          <w:rFonts w:ascii="Times New Roman" w:hAnsi="Times New Roman" w:cs="Times New Roman"/>
          <w:sz w:val="28"/>
          <w:szCs w:val="28"/>
        </w:rPr>
        <w:t xml:space="preserve"> ownership of the garages amounted to a </w:t>
      </w:r>
      <w:r w:rsidR="00216589">
        <w:rPr>
          <w:rFonts w:ascii="Times New Roman" w:hAnsi="Times New Roman" w:cs="Times New Roman"/>
          <w:sz w:val="28"/>
          <w:szCs w:val="28"/>
        </w:rPr>
        <w:t>repudiat</w:t>
      </w:r>
      <w:r w:rsidR="006D4E60">
        <w:rPr>
          <w:rFonts w:ascii="Times New Roman" w:hAnsi="Times New Roman" w:cs="Times New Roman"/>
          <w:sz w:val="28"/>
          <w:szCs w:val="28"/>
        </w:rPr>
        <w:t>i</w:t>
      </w:r>
      <w:r w:rsidR="00216589">
        <w:rPr>
          <w:rFonts w:ascii="Times New Roman" w:hAnsi="Times New Roman" w:cs="Times New Roman"/>
          <w:sz w:val="28"/>
          <w:szCs w:val="28"/>
        </w:rPr>
        <w:t>on</w:t>
      </w:r>
      <w:r w:rsidR="00216589" w:rsidRPr="00310D87">
        <w:rPr>
          <w:rFonts w:ascii="Times New Roman" w:hAnsi="Times New Roman" w:cs="Times New Roman"/>
          <w:sz w:val="28"/>
          <w:szCs w:val="28"/>
        </w:rPr>
        <w:t xml:space="preserve"> which the Applicants accepted and terminated </w:t>
      </w:r>
      <w:r w:rsidR="00216589">
        <w:rPr>
          <w:rFonts w:ascii="Times New Roman" w:hAnsi="Times New Roman" w:cs="Times New Roman"/>
          <w:sz w:val="28"/>
          <w:szCs w:val="28"/>
        </w:rPr>
        <w:t xml:space="preserve">for the first time </w:t>
      </w:r>
      <w:r w:rsidR="00216589" w:rsidRPr="00310D87">
        <w:rPr>
          <w:rFonts w:ascii="Times New Roman" w:hAnsi="Times New Roman" w:cs="Times New Roman"/>
          <w:sz w:val="28"/>
          <w:szCs w:val="28"/>
        </w:rPr>
        <w:t>in the founding affidavit, at paragraph 147.3.</w:t>
      </w:r>
    </w:p>
    <w:p w:rsidR="00196BF7" w:rsidRPr="00196BF7" w:rsidRDefault="00196BF7" w:rsidP="00196BF7">
      <w:pPr>
        <w:pStyle w:val="ListParagraph"/>
        <w:rPr>
          <w:rFonts w:ascii="Times New Roman" w:hAnsi="Times New Roman" w:cs="Times New Roman"/>
          <w:sz w:val="28"/>
          <w:szCs w:val="28"/>
        </w:rPr>
      </w:pPr>
    </w:p>
    <w:p w:rsidR="004B446D" w:rsidRDefault="005109AA" w:rsidP="00C31762">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To use his words, he submitted</w:t>
      </w:r>
      <w:r w:rsidR="00C478A1" w:rsidRPr="00196BF7">
        <w:rPr>
          <w:rFonts w:ascii="Times New Roman" w:hAnsi="Times New Roman" w:cs="Times New Roman"/>
          <w:sz w:val="28"/>
          <w:szCs w:val="28"/>
        </w:rPr>
        <w:t xml:space="preserve"> </w:t>
      </w:r>
      <w:r>
        <w:rPr>
          <w:rFonts w:ascii="Times New Roman" w:hAnsi="Times New Roman" w:cs="Times New Roman"/>
          <w:sz w:val="28"/>
          <w:szCs w:val="28"/>
        </w:rPr>
        <w:t>that the Applicants</w:t>
      </w:r>
      <w:r w:rsidR="00C478A1" w:rsidRPr="00196BF7">
        <w:rPr>
          <w:rFonts w:ascii="Times New Roman" w:hAnsi="Times New Roman" w:cs="Times New Roman"/>
          <w:sz w:val="28"/>
          <w:szCs w:val="28"/>
        </w:rPr>
        <w:t xml:space="preserve"> </w:t>
      </w:r>
      <w:r w:rsidR="00313480" w:rsidRPr="00196BF7">
        <w:rPr>
          <w:rFonts w:ascii="Times New Roman" w:hAnsi="Times New Roman" w:cs="Times New Roman"/>
          <w:sz w:val="28"/>
          <w:szCs w:val="28"/>
        </w:rPr>
        <w:t>did</w:t>
      </w:r>
      <w:r w:rsidR="00EB0D99" w:rsidRPr="00196BF7">
        <w:rPr>
          <w:rFonts w:ascii="Times New Roman" w:hAnsi="Times New Roman" w:cs="Times New Roman"/>
          <w:sz w:val="28"/>
          <w:szCs w:val="28"/>
        </w:rPr>
        <w:t xml:space="preserve"> not say </w:t>
      </w:r>
      <w:r w:rsidR="00313480" w:rsidRPr="00196BF7">
        <w:rPr>
          <w:rFonts w:ascii="Times New Roman" w:hAnsi="Times New Roman" w:cs="Times New Roman"/>
          <w:sz w:val="28"/>
          <w:szCs w:val="28"/>
        </w:rPr>
        <w:t>th</w:t>
      </w:r>
      <w:r>
        <w:rPr>
          <w:rFonts w:ascii="Times New Roman" w:hAnsi="Times New Roman" w:cs="Times New Roman"/>
          <w:sz w:val="28"/>
          <w:szCs w:val="28"/>
        </w:rPr>
        <w:t>e Respondents</w:t>
      </w:r>
      <w:r w:rsidR="00313480" w:rsidRPr="00196BF7">
        <w:rPr>
          <w:rFonts w:ascii="Times New Roman" w:hAnsi="Times New Roman" w:cs="Times New Roman"/>
          <w:sz w:val="28"/>
          <w:szCs w:val="28"/>
        </w:rPr>
        <w:t xml:space="preserve"> </w:t>
      </w:r>
      <w:r w:rsidR="00216589">
        <w:rPr>
          <w:rFonts w:ascii="Times New Roman" w:hAnsi="Times New Roman" w:cs="Times New Roman"/>
          <w:sz w:val="28"/>
          <w:szCs w:val="28"/>
        </w:rPr>
        <w:t>should</w:t>
      </w:r>
      <w:r w:rsidR="00EB0D99" w:rsidRPr="00196BF7">
        <w:rPr>
          <w:rFonts w:ascii="Times New Roman" w:hAnsi="Times New Roman" w:cs="Times New Roman"/>
          <w:sz w:val="28"/>
          <w:szCs w:val="28"/>
        </w:rPr>
        <w:t xml:space="preserve"> get out tomorrow or in a </w:t>
      </w:r>
      <w:r w:rsidR="00EF4775" w:rsidRPr="00196BF7">
        <w:rPr>
          <w:rFonts w:ascii="Times New Roman" w:hAnsi="Times New Roman" w:cs="Times New Roman"/>
          <w:sz w:val="28"/>
          <w:szCs w:val="28"/>
        </w:rPr>
        <w:t>years’ time</w:t>
      </w:r>
      <w:r w:rsidR="00EB0D99" w:rsidRPr="00196BF7">
        <w:rPr>
          <w:rFonts w:ascii="Times New Roman" w:hAnsi="Times New Roman" w:cs="Times New Roman"/>
          <w:sz w:val="28"/>
          <w:szCs w:val="28"/>
        </w:rPr>
        <w:t>.</w:t>
      </w:r>
      <w:r w:rsidR="00B93AF7">
        <w:rPr>
          <w:rFonts w:ascii="Times New Roman" w:hAnsi="Times New Roman" w:cs="Times New Roman"/>
          <w:sz w:val="28"/>
          <w:szCs w:val="28"/>
        </w:rPr>
        <w:t xml:space="preserve"> </w:t>
      </w:r>
      <w:r w:rsidR="00196BF7" w:rsidRPr="00196BF7">
        <w:rPr>
          <w:rFonts w:ascii="Times New Roman" w:hAnsi="Times New Roman" w:cs="Times New Roman"/>
          <w:sz w:val="28"/>
          <w:szCs w:val="28"/>
        </w:rPr>
        <w:t>In essence his submission was</w:t>
      </w:r>
      <w:r w:rsidR="00206EBE" w:rsidRPr="00196BF7">
        <w:rPr>
          <w:rFonts w:ascii="Times New Roman" w:hAnsi="Times New Roman" w:cs="Times New Roman"/>
          <w:sz w:val="28"/>
          <w:szCs w:val="28"/>
        </w:rPr>
        <w:t xml:space="preserve"> that t</w:t>
      </w:r>
      <w:r w:rsidR="00EB0D99" w:rsidRPr="00196BF7">
        <w:rPr>
          <w:rFonts w:ascii="Times New Roman" w:hAnsi="Times New Roman" w:cs="Times New Roman"/>
          <w:sz w:val="28"/>
          <w:szCs w:val="28"/>
        </w:rPr>
        <w:t>he</w:t>
      </w:r>
      <w:r w:rsidR="00A171B9">
        <w:rPr>
          <w:rFonts w:ascii="Times New Roman" w:hAnsi="Times New Roman" w:cs="Times New Roman"/>
          <w:sz w:val="28"/>
          <w:szCs w:val="28"/>
        </w:rPr>
        <w:t xml:space="preserve"> Applicants</w:t>
      </w:r>
      <w:r w:rsidR="00EB0D99" w:rsidRPr="00196BF7">
        <w:rPr>
          <w:rFonts w:ascii="Times New Roman" w:hAnsi="Times New Roman" w:cs="Times New Roman"/>
          <w:sz w:val="28"/>
          <w:szCs w:val="28"/>
        </w:rPr>
        <w:t xml:space="preserve"> always remained the owne</w:t>
      </w:r>
      <w:r>
        <w:rPr>
          <w:rFonts w:ascii="Times New Roman" w:hAnsi="Times New Roman" w:cs="Times New Roman"/>
          <w:sz w:val="28"/>
          <w:szCs w:val="28"/>
        </w:rPr>
        <w:t>rs of the garages subject to a</w:t>
      </w:r>
      <w:r w:rsidR="00EB0D99" w:rsidRPr="00196BF7">
        <w:rPr>
          <w:rFonts w:ascii="Times New Roman" w:hAnsi="Times New Roman" w:cs="Times New Roman"/>
          <w:sz w:val="28"/>
          <w:szCs w:val="28"/>
        </w:rPr>
        <w:t xml:space="preserve"> personal right </w:t>
      </w:r>
      <w:r w:rsidR="00196BF7" w:rsidRPr="00196BF7">
        <w:rPr>
          <w:rFonts w:ascii="Times New Roman" w:hAnsi="Times New Roman" w:cs="Times New Roman"/>
          <w:sz w:val="28"/>
          <w:szCs w:val="28"/>
        </w:rPr>
        <w:t>terminable on reasonable notice.</w:t>
      </w:r>
      <w:r w:rsidR="00EB0D99" w:rsidRPr="00196BF7">
        <w:rPr>
          <w:rFonts w:ascii="Times New Roman" w:hAnsi="Times New Roman" w:cs="Times New Roman"/>
          <w:sz w:val="28"/>
          <w:szCs w:val="28"/>
        </w:rPr>
        <w:t xml:space="preserve"> However</w:t>
      </w:r>
      <w:r w:rsidR="00206EBE" w:rsidRPr="00196BF7">
        <w:rPr>
          <w:rFonts w:ascii="Times New Roman" w:hAnsi="Times New Roman" w:cs="Times New Roman"/>
          <w:sz w:val="28"/>
          <w:szCs w:val="28"/>
        </w:rPr>
        <w:t>,</w:t>
      </w:r>
      <w:r w:rsidR="00B93AF7">
        <w:rPr>
          <w:rFonts w:ascii="Times New Roman" w:hAnsi="Times New Roman" w:cs="Times New Roman"/>
          <w:sz w:val="28"/>
          <w:szCs w:val="28"/>
        </w:rPr>
        <w:t xml:space="preserve"> things had</w:t>
      </w:r>
      <w:r>
        <w:rPr>
          <w:rFonts w:ascii="Times New Roman" w:hAnsi="Times New Roman" w:cs="Times New Roman"/>
          <w:sz w:val="28"/>
          <w:szCs w:val="28"/>
        </w:rPr>
        <w:t xml:space="preserve"> changed and the Applicants</w:t>
      </w:r>
      <w:r w:rsidR="00EB0D99" w:rsidRPr="00196BF7">
        <w:rPr>
          <w:rFonts w:ascii="Times New Roman" w:hAnsi="Times New Roman" w:cs="Times New Roman"/>
          <w:sz w:val="28"/>
          <w:szCs w:val="28"/>
        </w:rPr>
        <w:t xml:space="preserve"> want</w:t>
      </w:r>
      <w:r w:rsidR="00B93AF7">
        <w:rPr>
          <w:rFonts w:ascii="Times New Roman" w:hAnsi="Times New Roman" w:cs="Times New Roman"/>
          <w:sz w:val="28"/>
          <w:szCs w:val="28"/>
        </w:rPr>
        <w:t>ed</w:t>
      </w:r>
      <w:r w:rsidR="00EB0D99" w:rsidRPr="00196BF7">
        <w:rPr>
          <w:rFonts w:ascii="Times New Roman" w:hAnsi="Times New Roman" w:cs="Times New Roman"/>
          <w:sz w:val="28"/>
          <w:szCs w:val="28"/>
        </w:rPr>
        <w:t xml:space="preserve"> to get the value of the</w:t>
      </w:r>
      <w:r>
        <w:rPr>
          <w:rFonts w:ascii="Times New Roman" w:hAnsi="Times New Roman" w:cs="Times New Roman"/>
          <w:sz w:val="28"/>
          <w:szCs w:val="28"/>
        </w:rPr>
        <w:t>ir</w:t>
      </w:r>
      <w:r w:rsidR="00EB0D99" w:rsidRPr="00196BF7">
        <w:rPr>
          <w:rFonts w:ascii="Times New Roman" w:hAnsi="Times New Roman" w:cs="Times New Roman"/>
          <w:sz w:val="28"/>
          <w:szCs w:val="28"/>
        </w:rPr>
        <w:t xml:space="preserve"> property</w:t>
      </w:r>
      <w:r w:rsidR="00B93AF7">
        <w:rPr>
          <w:rFonts w:ascii="Times New Roman" w:hAnsi="Times New Roman" w:cs="Times New Roman"/>
          <w:sz w:val="28"/>
          <w:szCs w:val="28"/>
        </w:rPr>
        <w:t>; i</w:t>
      </w:r>
      <w:r w:rsidR="00206EBE" w:rsidRPr="00196BF7">
        <w:rPr>
          <w:rFonts w:ascii="Times New Roman" w:hAnsi="Times New Roman" w:cs="Times New Roman"/>
          <w:sz w:val="28"/>
          <w:szCs w:val="28"/>
        </w:rPr>
        <w:t>n the same way the Respondents</w:t>
      </w:r>
      <w:r w:rsidR="00196BF7">
        <w:rPr>
          <w:rFonts w:ascii="Times New Roman" w:hAnsi="Times New Roman" w:cs="Times New Roman"/>
          <w:sz w:val="28"/>
          <w:szCs w:val="28"/>
        </w:rPr>
        <w:t xml:space="preserve"> want</w:t>
      </w:r>
      <w:r w:rsidR="00496F70">
        <w:rPr>
          <w:rFonts w:ascii="Times New Roman" w:hAnsi="Times New Roman" w:cs="Times New Roman"/>
          <w:sz w:val="28"/>
          <w:szCs w:val="28"/>
        </w:rPr>
        <w:t>ed</w:t>
      </w:r>
      <w:r w:rsidR="00196BF7">
        <w:rPr>
          <w:rFonts w:ascii="Times New Roman" w:hAnsi="Times New Roman" w:cs="Times New Roman"/>
          <w:sz w:val="28"/>
          <w:szCs w:val="28"/>
        </w:rPr>
        <w:t xml:space="preserve"> to get the value of their</w:t>
      </w:r>
      <w:r w:rsidR="00EB0D99" w:rsidRPr="00196BF7">
        <w:rPr>
          <w:rFonts w:ascii="Times New Roman" w:hAnsi="Times New Roman" w:cs="Times New Roman"/>
          <w:sz w:val="28"/>
          <w:szCs w:val="28"/>
        </w:rPr>
        <w:t xml:space="preserve"> property by not cl</w:t>
      </w:r>
      <w:r w:rsidR="00206EBE" w:rsidRPr="00196BF7">
        <w:rPr>
          <w:rFonts w:ascii="Times New Roman" w:hAnsi="Times New Roman" w:cs="Times New Roman"/>
          <w:sz w:val="28"/>
          <w:szCs w:val="28"/>
        </w:rPr>
        <w:t>earing up the bushes</w:t>
      </w:r>
      <w:r w:rsidR="00496F70">
        <w:rPr>
          <w:rFonts w:ascii="Times New Roman" w:hAnsi="Times New Roman" w:cs="Times New Roman"/>
          <w:sz w:val="28"/>
          <w:szCs w:val="28"/>
        </w:rPr>
        <w:t>, because</w:t>
      </w:r>
      <w:r w:rsidR="00196BF7">
        <w:rPr>
          <w:rFonts w:ascii="Times New Roman" w:hAnsi="Times New Roman" w:cs="Times New Roman"/>
          <w:sz w:val="28"/>
          <w:szCs w:val="28"/>
        </w:rPr>
        <w:t xml:space="preserve"> </w:t>
      </w:r>
      <w:r w:rsidR="004B446D">
        <w:rPr>
          <w:rFonts w:ascii="Times New Roman" w:hAnsi="Times New Roman" w:cs="Times New Roman"/>
          <w:sz w:val="28"/>
          <w:szCs w:val="28"/>
        </w:rPr>
        <w:t xml:space="preserve">they </w:t>
      </w:r>
      <w:r w:rsidR="00196BF7">
        <w:rPr>
          <w:rFonts w:ascii="Times New Roman" w:hAnsi="Times New Roman" w:cs="Times New Roman"/>
          <w:sz w:val="28"/>
          <w:szCs w:val="28"/>
        </w:rPr>
        <w:t>want</w:t>
      </w:r>
      <w:r w:rsidR="00496F70">
        <w:rPr>
          <w:rFonts w:ascii="Times New Roman" w:hAnsi="Times New Roman" w:cs="Times New Roman"/>
          <w:sz w:val="28"/>
          <w:szCs w:val="28"/>
        </w:rPr>
        <w:t>ed</w:t>
      </w:r>
      <w:r w:rsidR="00196BF7">
        <w:rPr>
          <w:rFonts w:ascii="Times New Roman" w:hAnsi="Times New Roman" w:cs="Times New Roman"/>
          <w:sz w:val="28"/>
          <w:szCs w:val="28"/>
        </w:rPr>
        <w:t xml:space="preserve"> </w:t>
      </w:r>
      <w:r w:rsidR="00206EBE" w:rsidRPr="00196BF7">
        <w:rPr>
          <w:rFonts w:ascii="Times New Roman" w:hAnsi="Times New Roman" w:cs="Times New Roman"/>
          <w:sz w:val="28"/>
          <w:szCs w:val="28"/>
        </w:rPr>
        <w:t>privacy. The Applicants</w:t>
      </w:r>
      <w:r w:rsidR="00EB0D99" w:rsidRPr="00196BF7">
        <w:rPr>
          <w:rFonts w:ascii="Times New Roman" w:hAnsi="Times New Roman" w:cs="Times New Roman"/>
          <w:sz w:val="28"/>
          <w:szCs w:val="28"/>
        </w:rPr>
        <w:t xml:space="preserve"> </w:t>
      </w:r>
      <w:r w:rsidR="00496F70">
        <w:rPr>
          <w:rFonts w:ascii="Times New Roman" w:hAnsi="Times New Roman" w:cs="Times New Roman"/>
          <w:sz w:val="28"/>
          <w:szCs w:val="28"/>
        </w:rPr>
        <w:t xml:space="preserve">were </w:t>
      </w:r>
      <w:r w:rsidR="00EB0D99" w:rsidRPr="00196BF7">
        <w:rPr>
          <w:rFonts w:ascii="Times New Roman" w:hAnsi="Times New Roman" w:cs="Times New Roman"/>
          <w:sz w:val="28"/>
          <w:szCs w:val="28"/>
        </w:rPr>
        <w:t>no longer</w:t>
      </w:r>
      <w:r w:rsidR="00496F70">
        <w:rPr>
          <w:rFonts w:ascii="Times New Roman" w:hAnsi="Times New Roman" w:cs="Times New Roman"/>
          <w:sz w:val="28"/>
          <w:szCs w:val="28"/>
        </w:rPr>
        <w:t xml:space="preserve"> willing</w:t>
      </w:r>
      <w:r w:rsidR="00EB0D99" w:rsidRPr="00196BF7">
        <w:rPr>
          <w:rFonts w:ascii="Times New Roman" w:hAnsi="Times New Roman" w:cs="Times New Roman"/>
          <w:sz w:val="28"/>
          <w:szCs w:val="28"/>
        </w:rPr>
        <w:t xml:space="preserve"> to register the servitude</w:t>
      </w:r>
      <w:r w:rsidR="00496F70">
        <w:rPr>
          <w:rFonts w:ascii="Times New Roman" w:hAnsi="Times New Roman" w:cs="Times New Roman"/>
          <w:sz w:val="28"/>
          <w:szCs w:val="28"/>
        </w:rPr>
        <w:t>,</w:t>
      </w:r>
      <w:r w:rsidR="00EB0D99" w:rsidRPr="00196BF7">
        <w:rPr>
          <w:rFonts w:ascii="Times New Roman" w:hAnsi="Times New Roman" w:cs="Times New Roman"/>
          <w:sz w:val="28"/>
          <w:szCs w:val="28"/>
        </w:rPr>
        <w:t xml:space="preserve"> and </w:t>
      </w:r>
      <w:r w:rsidR="00206EBE" w:rsidRPr="00196BF7">
        <w:rPr>
          <w:rFonts w:ascii="Times New Roman" w:hAnsi="Times New Roman" w:cs="Times New Roman"/>
          <w:sz w:val="28"/>
          <w:szCs w:val="28"/>
        </w:rPr>
        <w:t>they did</w:t>
      </w:r>
      <w:r w:rsidR="00EB0D99" w:rsidRPr="00196BF7">
        <w:rPr>
          <w:rFonts w:ascii="Times New Roman" w:hAnsi="Times New Roman" w:cs="Times New Roman"/>
          <w:sz w:val="28"/>
          <w:szCs w:val="28"/>
        </w:rPr>
        <w:t xml:space="preserve"> not have any legal obligation</w:t>
      </w:r>
      <w:r w:rsidR="00091C46">
        <w:rPr>
          <w:rFonts w:ascii="Times New Roman" w:hAnsi="Times New Roman" w:cs="Times New Roman"/>
          <w:sz w:val="28"/>
          <w:szCs w:val="28"/>
        </w:rPr>
        <w:t xml:space="preserve"> or</w:t>
      </w:r>
      <w:r w:rsidR="00EB0D99" w:rsidRPr="00196BF7">
        <w:rPr>
          <w:rFonts w:ascii="Times New Roman" w:hAnsi="Times New Roman" w:cs="Times New Roman"/>
          <w:sz w:val="28"/>
          <w:szCs w:val="28"/>
        </w:rPr>
        <w:t xml:space="preserve"> agreement</w:t>
      </w:r>
      <w:r w:rsidR="00091C46">
        <w:rPr>
          <w:rFonts w:ascii="Times New Roman" w:hAnsi="Times New Roman" w:cs="Times New Roman"/>
          <w:sz w:val="28"/>
          <w:szCs w:val="28"/>
        </w:rPr>
        <w:t>,</w:t>
      </w:r>
      <w:r w:rsidR="00EB0D99" w:rsidRPr="00196BF7">
        <w:rPr>
          <w:rFonts w:ascii="Times New Roman" w:hAnsi="Times New Roman" w:cs="Times New Roman"/>
          <w:sz w:val="28"/>
          <w:szCs w:val="28"/>
        </w:rPr>
        <w:t xml:space="preserve"> </w:t>
      </w:r>
      <w:r w:rsidR="00E34BB6" w:rsidRPr="00196BF7">
        <w:rPr>
          <w:rFonts w:ascii="Times New Roman" w:hAnsi="Times New Roman" w:cs="Times New Roman"/>
          <w:sz w:val="28"/>
          <w:szCs w:val="28"/>
        </w:rPr>
        <w:t>as the agreement was not in</w:t>
      </w:r>
      <w:r w:rsidR="00EB0D99" w:rsidRPr="00196BF7">
        <w:rPr>
          <w:rFonts w:ascii="Times New Roman" w:hAnsi="Times New Roman" w:cs="Times New Roman"/>
          <w:sz w:val="28"/>
          <w:szCs w:val="28"/>
        </w:rPr>
        <w:t xml:space="preserve"> writing.</w:t>
      </w:r>
      <w:r w:rsidR="004B446D">
        <w:rPr>
          <w:rFonts w:ascii="Times New Roman" w:hAnsi="Times New Roman" w:cs="Times New Roman"/>
          <w:sz w:val="28"/>
          <w:szCs w:val="28"/>
        </w:rPr>
        <w:t xml:space="preserve"> Section 2(1) of the Alienation of Land Act 68 of 1981 had not been complied with.</w:t>
      </w:r>
      <w:r w:rsidR="00496F70">
        <w:rPr>
          <w:rFonts w:ascii="Times New Roman" w:hAnsi="Times New Roman" w:cs="Times New Roman"/>
          <w:sz w:val="28"/>
          <w:szCs w:val="28"/>
        </w:rPr>
        <w:t xml:space="preserve"> </w:t>
      </w:r>
    </w:p>
    <w:p w:rsidR="004B446D" w:rsidRPr="004B446D" w:rsidRDefault="004B446D" w:rsidP="004B446D">
      <w:pPr>
        <w:pStyle w:val="ListParagraph"/>
        <w:rPr>
          <w:rFonts w:ascii="Times New Roman" w:hAnsi="Times New Roman" w:cs="Times New Roman"/>
          <w:sz w:val="28"/>
          <w:szCs w:val="28"/>
        </w:rPr>
      </w:pPr>
    </w:p>
    <w:p w:rsidR="00310D87" w:rsidRPr="00310D87" w:rsidRDefault="00496F70" w:rsidP="00310D87">
      <w:pPr>
        <w:pStyle w:val="ListParagraph"/>
        <w:numPr>
          <w:ilvl w:val="0"/>
          <w:numId w:val="31"/>
        </w:numPr>
        <w:shd w:val="clear" w:color="auto" w:fill="FFFFFF"/>
        <w:spacing w:before="240" w:after="0" w:line="360" w:lineRule="auto"/>
        <w:ind w:hanging="720"/>
        <w:jc w:val="both"/>
        <w:rPr>
          <w:rFonts w:ascii="Times New Roman" w:hAnsi="Times New Roman" w:cs="Times New Roman"/>
          <w:i/>
          <w:color w:val="242121"/>
          <w:sz w:val="28"/>
          <w:szCs w:val="28"/>
          <w:shd w:val="clear" w:color="auto" w:fill="FFFFFF"/>
          <w:lang w:val="en-ZA"/>
        </w:rPr>
      </w:pPr>
      <w:r w:rsidRPr="00310D87">
        <w:rPr>
          <w:rFonts w:ascii="Times New Roman" w:hAnsi="Times New Roman" w:cs="Times New Roman"/>
          <w:sz w:val="28"/>
          <w:szCs w:val="28"/>
        </w:rPr>
        <w:t>The Applicants</w:t>
      </w:r>
      <w:r w:rsidR="009C6A56" w:rsidRPr="00310D87">
        <w:rPr>
          <w:rFonts w:ascii="Times New Roman" w:hAnsi="Times New Roman" w:cs="Times New Roman"/>
          <w:sz w:val="28"/>
          <w:szCs w:val="28"/>
        </w:rPr>
        <w:t xml:space="preserve"> </w:t>
      </w:r>
      <w:r w:rsidRPr="00310D87">
        <w:rPr>
          <w:rFonts w:ascii="Times New Roman" w:hAnsi="Times New Roman" w:cs="Times New Roman"/>
          <w:sz w:val="28"/>
          <w:szCs w:val="28"/>
        </w:rPr>
        <w:t>had</w:t>
      </w:r>
      <w:r w:rsidR="009C6A56" w:rsidRPr="00310D87">
        <w:rPr>
          <w:rFonts w:ascii="Times New Roman" w:hAnsi="Times New Roman" w:cs="Times New Roman"/>
          <w:sz w:val="28"/>
          <w:szCs w:val="28"/>
        </w:rPr>
        <w:t xml:space="preserve"> a legal right to terminate on reasonable </w:t>
      </w:r>
      <w:r w:rsidRPr="00310D87">
        <w:rPr>
          <w:rFonts w:ascii="Times New Roman" w:hAnsi="Times New Roman" w:cs="Times New Roman"/>
          <w:sz w:val="28"/>
          <w:szCs w:val="28"/>
        </w:rPr>
        <w:t>notice if and when they</w:t>
      </w:r>
      <w:r w:rsidR="009C6A56" w:rsidRPr="00310D87">
        <w:rPr>
          <w:rFonts w:ascii="Times New Roman" w:hAnsi="Times New Roman" w:cs="Times New Roman"/>
          <w:sz w:val="28"/>
          <w:szCs w:val="28"/>
        </w:rPr>
        <w:t xml:space="preserve"> want</w:t>
      </w:r>
      <w:r w:rsidRPr="00310D87">
        <w:rPr>
          <w:rFonts w:ascii="Times New Roman" w:hAnsi="Times New Roman" w:cs="Times New Roman"/>
          <w:sz w:val="28"/>
          <w:szCs w:val="28"/>
        </w:rPr>
        <w:t>ed</w:t>
      </w:r>
      <w:r w:rsidR="009C6A56" w:rsidRPr="00310D87">
        <w:rPr>
          <w:rFonts w:ascii="Times New Roman" w:hAnsi="Times New Roman" w:cs="Times New Roman"/>
          <w:sz w:val="28"/>
          <w:szCs w:val="28"/>
        </w:rPr>
        <w:t xml:space="preserve"> to </w:t>
      </w:r>
      <w:r w:rsidRPr="00310D87">
        <w:rPr>
          <w:rFonts w:ascii="Times New Roman" w:hAnsi="Times New Roman" w:cs="Times New Roman"/>
          <w:sz w:val="28"/>
          <w:szCs w:val="28"/>
        </w:rPr>
        <w:t xml:space="preserve">start </w:t>
      </w:r>
      <w:r w:rsidR="00C55C9A" w:rsidRPr="00310D87">
        <w:rPr>
          <w:rFonts w:ascii="Times New Roman" w:hAnsi="Times New Roman" w:cs="Times New Roman"/>
          <w:sz w:val="28"/>
          <w:szCs w:val="28"/>
        </w:rPr>
        <w:t>renovating</w:t>
      </w:r>
      <w:r w:rsidR="009C6A56" w:rsidRPr="00310D87">
        <w:rPr>
          <w:rFonts w:ascii="Times New Roman" w:hAnsi="Times New Roman" w:cs="Times New Roman"/>
          <w:sz w:val="28"/>
          <w:szCs w:val="28"/>
        </w:rPr>
        <w:t xml:space="preserve">, </w:t>
      </w:r>
      <w:r w:rsidRPr="00310D87">
        <w:rPr>
          <w:rFonts w:ascii="Times New Roman" w:hAnsi="Times New Roman" w:cs="Times New Roman"/>
          <w:sz w:val="28"/>
          <w:szCs w:val="28"/>
        </w:rPr>
        <w:t>argued the</w:t>
      </w:r>
      <w:r w:rsidR="004B446D" w:rsidRPr="00310D87">
        <w:rPr>
          <w:rFonts w:ascii="Times New Roman" w:hAnsi="Times New Roman" w:cs="Times New Roman"/>
          <w:sz w:val="28"/>
          <w:szCs w:val="28"/>
        </w:rPr>
        <w:t xml:space="preserve"> Applicant</w:t>
      </w:r>
      <w:r w:rsidR="009C6A56" w:rsidRPr="00310D87">
        <w:rPr>
          <w:rFonts w:ascii="Times New Roman" w:hAnsi="Times New Roman" w:cs="Times New Roman"/>
          <w:sz w:val="28"/>
          <w:szCs w:val="28"/>
        </w:rPr>
        <w:t>s</w:t>
      </w:r>
      <w:r w:rsidR="004B446D" w:rsidRPr="00310D87">
        <w:rPr>
          <w:rFonts w:ascii="Times New Roman" w:hAnsi="Times New Roman" w:cs="Times New Roman"/>
          <w:sz w:val="28"/>
          <w:szCs w:val="28"/>
        </w:rPr>
        <w:t>’</w:t>
      </w:r>
      <w:r w:rsidR="00C55C9A" w:rsidRPr="00310D87">
        <w:rPr>
          <w:rFonts w:ascii="Times New Roman" w:hAnsi="Times New Roman" w:cs="Times New Roman"/>
          <w:sz w:val="28"/>
          <w:szCs w:val="28"/>
        </w:rPr>
        <w:t xml:space="preserve"> C</w:t>
      </w:r>
      <w:r w:rsidR="00C31762" w:rsidRPr="00310D87">
        <w:rPr>
          <w:rFonts w:ascii="Times New Roman" w:hAnsi="Times New Roman" w:cs="Times New Roman"/>
          <w:sz w:val="28"/>
          <w:szCs w:val="28"/>
        </w:rPr>
        <w:t>ounsel.</w:t>
      </w:r>
      <w:r w:rsidR="00C55C9A" w:rsidRPr="00310D87">
        <w:rPr>
          <w:rFonts w:ascii="Times New Roman" w:hAnsi="Times New Roman" w:cs="Times New Roman"/>
          <w:sz w:val="28"/>
          <w:szCs w:val="28"/>
        </w:rPr>
        <w:t xml:space="preserve"> </w:t>
      </w:r>
      <w:r w:rsidR="006F5EC6" w:rsidRPr="00310D87">
        <w:rPr>
          <w:rFonts w:ascii="Times New Roman" w:hAnsi="Times New Roman" w:cs="Times New Roman"/>
          <w:sz w:val="28"/>
          <w:szCs w:val="28"/>
        </w:rPr>
        <w:t>At best</w:t>
      </w:r>
      <w:r w:rsidR="00C31762" w:rsidRPr="00310D87">
        <w:rPr>
          <w:rFonts w:ascii="Times New Roman" w:hAnsi="Times New Roman" w:cs="Times New Roman"/>
          <w:sz w:val="28"/>
          <w:szCs w:val="28"/>
        </w:rPr>
        <w:t>, he submitted,</w:t>
      </w:r>
      <w:r w:rsidR="006F5EC6" w:rsidRPr="00310D87">
        <w:rPr>
          <w:rFonts w:ascii="Times New Roman" w:hAnsi="Times New Roman" w:cs="Times New Roman"/>
          <w:sz w:val="28"/>
          <w:szCs w:val="28"/>
        </w:rPr>
        <w:t xml:space="preserve"> the Respondents </w:t>
      </w:r>
      <w:r w:rsidR="00310D87" w:rsidRPr="00310D87">
        <w:rPr>
          <w:rFonts w:ascii="Times New Roman" w:hAnsi="Times New Roman" w:cs="Times New Roman"/>
          <w:sz w:val="28"/>
          <w:szCs w:val="28"/>
        </w:rPr>
        <w:t xml:space="preserve">could </w:t>
      </w:r>
      <w:r w:rsidR="006F5EC6" w:rsidRPr="00310D87">
        <w:rPr>
          <w:rFonts w:ascii="Times New Roman" w:hAnsi="Times New Roman" w:cs="Times New Roman"/>
          <w:sz w:val="28"/>
          <w:szCs w:val="28"/>
        </w:rPr>
        <w:t>continue to use the garages if there is no termination</w:t>
      </w:r>
      <w:r w:rsidR="00C31762" w:rsidRPr="00310D87">
        <w:rPr>
          <w:rFonts w:ascii="Times New Roman" w:hAnsi="Times New Roman" w:cs="Times New Roman"/>
          <w:sz w:val="28"/>
          <w:szCs w:val="28"/>
        </w:rPr>
        <w:t>. This</w:t>
      </w:r>
      <w:r w:rsidR="00216589">
        <w:rPr>
          <w:rFonts w:ascii="Times New Roman" w:hAnsi="Times New Roman" w:cs="Times New Roman"/>
          <w:sz w:val="28"/>
          <w:szCs w:val="28"/>
        </w:rPr>
        <w:t xml:space="preserve"> is in line with paragraph 74 in</w:t>
      </w:r>
      <w:r w:rsidR="00C31762" w:rsidRPr="00310D87">
        <w:rPr>
          <w:rFonts w:ascii="Times New Roman" w:hAnsi="Times New Roman" w:cs="Times New Roman"/>
          <w:sz w:val="28"/>
          <w:szCs w:val="28"/>
        </w:rPr>
        <w:t xml:space="preserve"> </w:t>
      </w:r>
      <w:r w:rsidR="00363FF1" w:rsidRPr="00310D87">
        <w:rPr>
          <w:rFonts w:ascii="Times New Roman" w:hAnsi="Times New Roman" w:cs="Times New Roman"/>
          <w:sz w:val="28"/>
          <w:szCs w:val="28"/>
        </w:rPr>
        <w:t>the founding affidavit</w:t>
      </w:r>
      <w:r w:rsidR="00C31762" w:rsidRPr="00310D87">
        <w:rPr>
          <w:rFonts w:ascii="Times New Roman" w:hAnsi="Times New Roman" w:cs="Times New Roman"/>
          <w:sz w:val="28"/>
          <w:szCs w:val="28"/>
        </w:rPr>
        <w:t xml:space="preserve"> in which</w:t>
      </w:r>
      <w:r w:rsidR="00363FF1" w:rsidRPr="00310D87">
        <w:rPr>
          <w:rFonts w:ascii="Times New Roman" w:hAnsi="Times New Roman" w:cs="Times New Roman"/>
          <w:sz w:val="28"/>
          <w:szCs w:val="28"/>
        </w:rPr>
        <w:t xml:space="preserve"> the Applicants mentioned their preparedness to allow the Trust to continue utilizing the garages until the commencement of the garage development. </w:t>
      </w:r>
      <w:r w:rsidR="00A171B9">
        <w:rPr>
          <w:rFonts w:ascii="Times New Roman" w:hAnsi="Times New Roman" w:cs="Times New Roman"/>
          <w:sz w:val="28"/>
          <w:szCs w:val="28"/>
        </w:rPr>
        <w:t>To me, i</w:t>
      </w:r>
      <w:r w:rsidR="00363FF1" w:rsidRPr="00310D87">
        <w:rPr>
          <w:rFonts w:ascii="Times New Roman" w:hAnsi="Times New Roman" w:cs="Times New Roman"/>
          <w:sz w:val="28"/>
          <w:szCs w:val="28"/>
        </w:rPr>
        <w:t xml:space="preserve">t is clear that the Applicants wanted a </w:t>
      </w:r>
      <w:r w:rsidR="00607BEC">
        <w:rPr>
          <w:rFonts w:ascii="Times New Roman" w:hAnsi="Times New Roman" w:cs="Times New Roman"/>
          <w:sz w:val="28"/>
          <w:szCs w:val="28"/>
        </w:rPr>
        <w:t xml:space="preserve">way to justify terminating the </w:t>
      </w:r>
      <w:r w:rsidR="00607BEC" w:rsidRPr="00607BEC">
        <w:rPr>
          <w:rFonts w:ascii="Times New Roman" w:hAnsi="Times New Roman" w:cs="Times New Roman"/>
          <w:i/>
          <w:sz w:val="28"/>
          <w:szCs w:val="28"/>
        </w:rPr>
        <w:t>status quo</w:t>
      </w:r>
      <w:r w:rsidR="00363FF1" w:rsidRPr="00310D87">
        <w:rPr>
          <w:rFonts w:ascii="Times New Roman" w:hAnsi="Times New Roman" w:cs="Times New Roman"/>
          <w:sz w:val="28"/>
          <w:szCs w:val="28"/>
        </w:rPr>
        <w:t>.</w:t>
      </w:r>
      <w:r w:rsidR="000D610D" w:rsidRPr="00310D87">
        <w:rPr>
          <w:rFonts w:ascii="Times New Roman" w:hAnsi="Times New Roman" w:cs="Times New Roman"/>
          <w:sz w:val="28"/>
          <w:szCs w:val="28"/>
        </w:rPr>
        <w:t xml:space="preserve"> </w:t>
      </w:r>
    </w:p>
    <w:p w:rsidR="00310D87" w:rsidRPr="00310D87" w:rsidRDefault="00310D87" w:rsidP="00310D87">
      <w:pPr>
        <w:pStyle w:val="ListParagraph"/>
        <w:rPr>
          <w:rFonts w:ascii="Times New Roman" w:hAnsi="Times New Roman" w:cs="Times New Roman"/>
          <w:color w:val="000000" w:themeColor="text1"/>
          <w:sz w:val="28"/>
          <w:szCs w:val="28"/>
        </w:rPr>
      </w:pPr>
    </w:p>
    <w:p w:rsidR="000E1DB0" w:rsidRPr="00310D87" w:rsidRDefault="009948CE" w:rsidP="00310D87">
      <w:pPr>
        <w:pStyle w:val="ListParagraph"/>
        <w:numPr>
          <w:ilvl w:val="0"/>
          <w:numId w:val="31"/>
        </w:numPr>
        <w:shd w:val="clear" w:color="auto" w:fill="FFFFFF"/>
        <w:spacing w:before="240" w:after="0" w:line="360" w:lineRule="auto"/>
        <w:ind w:hanging="720"/>
        <w:jc w:val="both"/>
        <w:rPr>
          <w:rFonts w:ascii="Times New Roman" w:hAnsi="Times New Roman" w:cs="Times New Roman"/>
          <w:i/>
          <w:color w:val="242121"/>
          <w:sz w:val="28"/>
          <w:szCs w:val="28"/>
          <w:shd w:val="clear" w:color="auto" w:fill="FFFFFF"/>
          <w:lang w:val="en-ZA"/>
        </w:rPr>
      </w:pPr>
      <w:r w:rsidRPr="00310D87">
        <w:rPr>
          <w:rFonts w:ascii="Times New Roman" w:hAnsi="Times New Roman" w:cs="Times New Roman"/>
          <w:color w:val="000000" w:themeColor="text1"/>
          <w:sz w:val="28"/>
          <w:szCs w:val="28"/>
        </w:rPr>
        <w:lastRenderedPageBreak/>
        <w:t>Addressing the issue</w:t>
      </w:r>
      <w:r w:rsidR="007A2C4D" w:rsidRPr="00310D87">
        <w:rPr>
          <w:rFonts w:ascii="Times New Roman" w:hAnsi="Times New Roman" w:cs="Times New Roman"/>
          <w:color w:val="000000" w:themeColor="text1"/>
          <w:sz w:val="28"/>
          <w:szCs w:val="28"/>
        </w:rPr>
        <w:t xml:space="preserve"> of repudiation</w:t>
      </w:r>
      <w:r w:rsidR="007B3130">
        <w:rPr>
          <w:rFonts w:ascii="Times New Roman" w:hAnsi="Times New Roman" w:cs="Times New Roman"/>
          <w:color w:val="000000" w:themeColor="text1"/>
          <w:sz w:val="28"/>
          <w:szCs w:val="28"/>
        </w:rPr>
        <w:t xml:space="preserve">, the Applicants’ Counsel </w:t>
      </w:r>
      <w:r w:rsidR="007A2C4D" w:rsidRPr="00310D87">
        <w:rPr>
          <w:rFonts w:ascii="Times New Roman" w:hAnsi="Times New Roman" w:cs="Times New Roman"/>
          <w:color w:val="000000" w:themeColor="text1"/>
          <w:sz w:val="28"/>
          <w:szCs w:val="28"/>
        </w:rPr>
        <w:t xml:space="preserve">referred to the matter of </w:t>
      </w:r>
      <w:r w:rsidR="007A2C4D" w:rsidRPr="00310D87">
        <w:rPr>
          <w:rFonts w:ascii="Times New Roman" w:eastAsia="Times New Roman" w:hAnsi="Times New Roman" w:cs="Times New Roman"/>
          <w:i/>
          <w:color w:val="000000" w:themeColor="text1"/>
          <w:sz w:val="28"/>
          <w:szCs w:val="28"/>
        </w:rPr>
        <w:t>Datacolor International (Pty) Ltd. v Intamerket (Pty) Ltd.</w:t>
      </w:r>
      <w:r w:rsidR="007A2C4D">
        <w:rPr>
          <w:rStyle w:val="FootnoteReference"/>
          <w:rFonts w:ascii="Times New Roman" w:eastAsia="Times New Roman" w:hAnsi="Times New Roman" w:cs="Times New Roman"/>
          <w:i/>
          <w:color w:val="000000" w:themeColor="text1"/>
          <w:sz w:val="28"/>
          <w:szCs w:val="28"/>
        </w:rPr>
        <w:footnoteReference w:id="30"/>
      </w:r>
      <w:r w:rsidR="007A2C4D" w:rsidRPr="00310D87">
        <w:rPr>
          <w:rFonts w:ascii="Times New Roman" w:eastAsia="Times New Roman" w:hAnsi="Times New Roman" w:cs="Times New Roman"/>
          <w:color w:val="000000" w:themeColor="text1"/>
          <w:sz w:val="28"/>
          <w:szCs w:val="28"/>
        </w:rPr>
        <w:t xml:space="preserve">The Court in </w:t>
      </w:r>
      <w:r w:rsidR="007A2C4D" w:rsidRPr="00310D87">
        <w:rPr>
          <w:rFonts w:ascii="Times New Roman" w:eastAsia="Times New Roman" w:hAnsi="Times New Roman" w:cs="Times New Roman"/>
          <w:i/>
          <w:color w:val="000000" w:themeColor="text1"/>
          <w:sz w:val="28"/>
          <w:szCs w:val="28"/>
        </w:rPr>
        <w:t xml:space="preserve">Datacolor </w:t>
      </w:r>
      <w:r w:rsidR="007A2C4D" w:rsidRPr="00310D87">
        <w:rPr>
          <w:rFonts w:ascii="Times New Roman" w:eastAsia="Times New Roman" w:hAnsi="Times New Roman" w:cs="Times New Roman"/>
          <w:color w:val="000000" w:themeColor="text1"/>
          <w:sz w:val="28"/>
          <w:szCs w:val="28"/>
        </w:rPr>
        <w:t xml:space="preserve">repeated that the test for repudiation is not subjective but objective. A notional reasonable person in the position of the Applicants needs to also arrive at the conclusion that the Respondents repudiated. Therefore, </w:t>
      </w:r>
      <w:r w:rsidR="00F729CE" w:rsidRPr="00310D87">
        <w:rPr>
          <w:rFonts w:ascii="Times New Roman" w:eastAsia="Times New Roman" w:hAnsi="Times New Roman" w:cs="Times New Roman"/>
          <w:color w:val="000000" w:themeColor="text1"/>
          <w:sz w:val="28"/>
          <w:szCs w:val="28"/>
        </w:rPr>
        <w:t>the ques</w:t>
      </w:r>
      <w:r w:rsidR="001705EE" w:rsidRPr="00310D87">
        <w:rPr>
          <w:rFonts w:ascii="Times New Roman" w:eastAsia="Times New Roman" w:hAnsi="Times New Roman" w:cs="Times New Roman"/>
          <w:color w:val="000000" w:themeColor="text1"/>
          <w:sz w:val="28"/>
          <w:szCs w:val="28"/>
        </w:rPr>
        <w:t>tion is did</w:t>
      </w:r>
      <w:r w:rsidR="007A2C4D" w:rsidRPr="00310D87">
        <w:rPr>
          <w:rFonts w:ascii="Times New Roman" w:eastAsia="Times New Roman" w:hAnsi="Times New Roman" w:cs="Times New Roman"/>
          <w:color w:val="000000" w:themeColor="text1"/>
          <w:sz w:val="28"/>
          <w:szCs w:val="28"/>
        </w:rPr>
        <w:t xml:space="preserve"> the refusal </w:t>
      </w:r>
      <w:r w:rsidR="007A5298" w:rsidRPr="00310D87">
        <w:rPr>
          <w:rFonts w:ascii="Times New Roman" w:eastAsia="Times New Roman" w:hAnsi="Times New Roman" w:cs="Times New Roman"/>
          <w:color w:val="000000" w:themeColor="text1"/>
          <w:sz w:val="28"/>
          <w:szCs w:val="28"/>
        </w:rPr>
        <w:t xml:space="preserve">by the second Respondent to </w:t>
      </w:r>
      <w:r w:rsidR="00F729CE" w:rsidRPr="00310D87">
        <w:rPr>
          <w:rFonts w:ascii="Times New Roman" w:eastAsia="Times New Roman" w:hAnsi="Times New Roman" w:cs="Times New Roman"/>
          <w:color w:val="000000" w:themeColor="text1"/>
          <w:sz w:val="28"/>
          <w:szCs w:val="28"/>
        </w:rPr>
        <w:t xml:space="preserve">allow the Applicants to access the </w:t>
      </w:r>
      <w:r w:rsidR="001705EE" w:rsidRPr="00310D87">
        <w:rPr>
          <w:rFonts w:ascii="Times New Roman" w:eastAsia="Times New Roman" w:hAnsi="Times New Roman" w:cs="Times New Roman"/>
          <w:color w:val="000000" w:themeColor="text1"/>
          <w:sz w:val="28"/>
          <w:szCs w:val="28"/>
        </w:rPr>
        <w:t>garages amount to a repudiation?</w:t>
      </w:r>
      <w:r w:rsidR="006E3305">
        <w:rPr>
          <w:rFonts w:ascii="Times New Roman" w:hAnsi="Times New Roman" w:cs="Times New Roman"/>
          <w:color w:val="242121"/>
          <w:sz w:val="28"/>
          <w:szCs w:val="28"/>
          <w:shd w:val="clear" w:color="auto" w:fill="FFFFFF"/>
          <w:lang w:val="en-ZA"/>
        </w:rPr>
        <w:t xml:space="preserve"> The Applicants</w:t>
      </w:r>
      <w:r w:rsidR="000E1DB0" w:rsidRPr="00310D87">
        <w:rPr>
          <w:rFonts w:ascii="Times New Roman" w:hAnsi="Times New Roman" w:cs="Times New Roman"/>
          <w:color w:val="242121"/>
          <w:sz w:val="28"/>
          <w:szCs w:val="28"/>
          <w:shd w:val="clear" w:color="auto" w:fill="FFFFFF"/>
          <w:lang w:val="en-ZA"/>
        </w:rPr>
        <w:t xml:space="preserve"> understood the refusal by the Respondents to grant them access to the garages</w:t>
      </w:r>
      <w:r w:rsidR="00C3054D">
        <w:rPr>
          <w:rFonts w:ascii="Times New Roman" w:hAnsi="Times New Roman" w:cs="Times New Roman"/>
          <w:color w:val="242121"/>
          <w:sz w:val="28"/>
          <w:szCs w:val="28"/>
          <w:shd w:val="clear" w:color="auto" w:fill="FFFFFF"/>
          <w:lang w:val="en-ZA"/>
        </w:rPr>
        <w:t>, acknowledge their ownership of the garages and to terminate on a reasonable notice to</w:t>
      </w:r>
      <w:r w:rsidR="000E1DB0" w:rsidRPr="00310D87">
        <w:rPr>
          <w:rFonts w:ascii="Times New Roman" w:hAnsi="Times New Roman" w:cs="Times New Roman"/>
          <w:color w:val="242121"/>
          <w:sz w:val="28"/>
          <w:szCs w:val="28"/>
          <w:shd w:val="clear" w:color="auto" w:fill="FFFFFF"/>
          <w:lang w:val="en-ZA"/>
        </w:rPr>
        <w:t xml:space="preserve"> amount to </w:t>
      </w:r>
      <w:r w:rsidR="00C31762" w:rsidRPr="00310D87">
        <w:rPr>
          <w:rFonts w:ascii="Times New Roman" w:hAnsi="Times New Roman" w:cs="Times New Roman"/>
          <w:color w:val="242121"/>
          <w:sz w:val="28"/>
          <w:szCs w:val="28"/>
          <w:shd w:val="clear" w:color="auto" w:fill="FFFFFF"/>
          <w:lang w:val="en-ZA"/>
        </w:rPr>
        <w:t xml:space="preserve">a </w:t>
      </w:r>
      <w:r w:rsidR="000E1DB0" w:rsidRPr="00310D87">
        <w:rPr>
          <w:rFonts w:ascii="Times New Roman" w:hAnsi="Times New Roman" w:cs="Times New Roman"/>
          <w:color w:val="242121"/>
          <w:sz w:val="28"/>
          <w:szCs w:val="28"/>
          <w:shd w:val="clear" w:color="auto" w:fill="FFFFFF"/>
          <w:lang w:val="en-ZA"/>
        </w:rPr>
        <w:t xml:space="preserve">repudiation. In the matter </w:t>
      </w:r>
      <w:r w:rsidR="000E1DB0" w:rsidRPr="00310D87">
        <w:rPr>
          <w:rFonts w:ascii="Times New Roman" w:hAnsi="Times New Roman" w:cs="Times New Roman"/>
          <w:sz w:val="28"/>
          <w:szCs w:val="28"/>
          <w:shd w:val="clear" w:color="auto" w:fill="FFFFFF"/>
          <w:lang w:val="en-ZA"/>
        </w:rPr>
        <w:t xml:space="preserve">of </w:t>
      </w:r>
      <w:r w:rsidR="000E1DB0" w:rsidRPr="00310D87">
        <w:rPr>
          <w:rFonts w:ascii="Times New Roman" w:eastAsia="Times New Roman" w:hAnsi="Times New Roman" w:cs="Times New Roman"/>
          <w:i/>
          <w:sz w:val="28"/>
          <w:szCs w:val="28"/>
        </w:rPr>
        <w:t>Datacolor International (Pty) Ltd. v Intamerket</w:t>
      </w:r>
      <w:r w:rsidR="000E1DB0">
        <w:rPr>
          <w:rStyle w:val="FootnoteReference"/>
          <w:rFonts w:ascii="Times New Roman" w:eastAsia="Times New Roman" w:hAnsi="Times New Roman" w:cs="Times New Roman"/>
          <w:sz w:val="28"/>
          <w:szCs w:val="28"/>
        </w:rPr>
        <w:footnoteReference w:id="31"/>
      </w:r>
      <w:r w:rsidR="000E1DB0" w:rsidRPr="00310D87">
        <w:rPr>
          <w:rFonts w:ascii="Times New Roman" w:eastAsia="Times New Roman" w:hAnsi="Times New Roman" w:cs="Times New Roman"/>
          <w:sz w:val="28"/>
          <w:szCs w:val="28"/>
        </w:rPr>
        <w:t xml:space="preserve"> </w:t>
      </w:r>
      <w:r w:rsidR="000E1DB0" w:rsidRPr="00310D87">
        <w:rPr>
          <w:rFonts w:ascii="Times New Roman" w:eastAsia="Times New Roman" w:hAnsi="Times New Roman" w:cs="Times New Roman"/>
          <w:i/>
          <w:sz w:val="28"/>
          <w:szCs w:val="28"/>
        </w:rPr>
        <w:t xml:space="preserve">(Pty) Ltd </w:t>
      </w:r>
      <w:r w:rsidR="000E1DB0" w:rsidRPr="00310D87">
        <w:rPr>
          <w:rFonts w:ascii="Times New Roman" w:eastAsia="Times New Roman" w:hAnsi="Times New Roman" w:cs="Times New Roman"/>
          <w:sz w:val="28"/>
          <w:szCs w:val="28"/>
        </w:rPr>
        <w:t xml:space="preserve">the Court held: </w:t>
      </w:r>
    </w:p>
    <w:p w:rsidR="007A2C4D" w:rsidRPr="000E1DB0" w:rsidRDefault="000E1DB0" w:rsidP="001D4738">
      <w:pPr>
        <w:pStyle w:val="western"/>
        <w:shd w:val="clear" w:color="auto" w:fill="FFFFFF"/>
        <w:spacing w:before="144" w:beforeAutospacing="0" w:after="0" w:afterAutospacing="0" w:line="360" w:lineRule="auto"/>
        <w:ind w:left="1440" w:right="720"/>
        <w:jc w:val="both"/>
        <w:rPr>
          <w:i/>
          <w:color w:val="242121"/>
          <w:sz w:val="28"/>
          <w:szCs w:val="28"/>
        </w:rPr>
      </w:pPr>
      <w:r w:rsidRPr="00CB4499">
        <w:rPr>
          <w:i/>
          <w:color w:val="242121"/>
          <w:sz w:val="28"/>
          <w:szCs w:val="28"/>
        </w:rPr>
        <w:t>“Where one party to a contract, without lawful grounds, indicates to the other party in words or by conduct a deliberate and unequivocal intention no longer to be bound by the contract, he is said to “repudiate” the contract ... Where that happens, the other party to the contract may elect to accept the repudiation and rescind the contract. If he does so, the contract comes to an end upon communication of his acceptance of repudiation and rescission to the party who has repudiated ...”</w:t>
      </w:r>
      <w:r>
        <w:rPr>
          <w:rStyle w:val="FootnoteReference"/>
          <w:i/>
          <w:color w:val="242121"/>
          <w:sz w:val="28"/>
          <w:szCs w:val="28"/>
        </w:rPr>
        <w:footnoteReference w:id="32"/>
      </w:r>
    </w:p>
    <w:p w:rsidR="00EB0D99" w:rsidRPr="00EB0D99" w:rsidRDefault="00EB0D99" w:rsidP="009D449D">
      <w:pPr>
        <w:spacing w:after="0" w:line="360" w:lineRule="auto"/>
        <w:jc w:val="both"/>
        <w:rPr>
          <w:rFonts w:ascii="Times New Roman" w:hAnsi="Times New Roman" w:cs="Times New Roman"/>
          <w:sz w:val="28"/>
          <w:szCs w:val="28"/>
        </w:rPr>
      </w:pPr>
    </w:p>
    <w:p w:rsidR="000D4852" w:rsidRDefault="002D3712" w:rsidP="00D71C6C">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Finally, he</w:t>
      </w:r>
      <w:r w:rsidRPr="006361B6">
        <w:rPr>
          <w:rFonts w:ascii="Times New Roman" w:hAnsi="Times New Roman" w:cs="Times New Roman"/>
          <w:sz w:val="28"/>
          <w:szCs w:val="28"/>
        </w:rPr>
        <w:t xml:space="preserve"> submit</w:t>
      </w:r>
      <w:r>
        <w:rPr>
          <w:rFonts w:ascii="Times New Roman" w:hAnsi="Times New Roman" w:cs="Times New Roman"/>
          <w:sz w:val="28"/>
          <w:szCs w:val="28"/>
        </w:rPr>
        <w:t>ted</w:t>
      </w:r>
      <w:r w:rsidRPr="006361B6">
        <w:rPr>
          <w:rFonts w:ascii="Times New Roman" w:hAnsi="Times New Roman" w:cs="Times New Roman"/>
          <w:sz w:val="28"/>
          <w:szCs w:val="28"/>
        </w:rPr>
        <w:t xml:space="preserve"> that even if th</w:t>
      </w:r>
      <w:r>
        <w:rPr>
          <w:rFonts w:ascii="Times New Roman" w:hAnsi="Times New Roman" w:cs="Times New Roman"/>
          <w:sz w:val="28"/>
          <w:szCs w:val="28"/>
        </w:rPr>
        <w:t>ere was an agreement it was inchoate,</w:t>
      </w:r>
      <w:r w:rsidRPr="006361B6">
        <w:rPr>
          <w:rFonts w:ascii="Times New Roman" w:hAnsi="Times New Roman" w:cs="Times New Roman"/>
          <w:sz w:val="28"/>
          <w:szCs w:val="28"/>
        </w:rPr>
        <w:t xml:space="preserve"> because it lacked the essentiali</w:t>
      </w:r>
      <w:r>
        <w:rPr>
          <w:rFonts w:ascii="Times New Roman" w:hAnsi="Times New Roman" w:cs="Times New Roman"/>
          <w:sz w:val="28"/>
          <w:szCs w:val="28"/>
        </w:rPr>
        <w:t>a of a servitude</w:t>
      </w:r>
      <w:r w:rsidRPr="006361B6">
        <w:rPr>
          <w:rFonts w:ascii="Times New Roman" w:hAnsi="Times New Roman" w:cs="Times New Roman"/>
          <w:sz w:val="28"/>
          <w:szCs w:val="28"/>
        </w:rPr>
        <w:t>.</w:t>
      </w:r>
      <w:r>
        <w:rPr>
          <w:rFonts w:ascii="Times New Roman" w:hAnsi="Times New Roman" w:cs="Times New Roman"/>
          <w:sz w:val="28"/>
          <w:szCs w:val="28"/>
        </w:rPr>
        <w:t xml:space="preserve"> </w:t>
      </w:r>
      <w:r w:rsidR="005213B6" w:rsidRPr="006361B6">
        <w:rPr>
          <w:rFonts w:ascii="Times New Roman" w:hAnsi="Times New Roman" w:cs="Times New Roman"/>
          <w:sz w:val="28"/>
          <w:szCs w:val="28"/>
        </w:rPr>
        <w:t xml:space="preserve"> Hence</w:t>
      </w:r>
      <w:r w:rsidR="001E3B5D">
        <w:rPr>
          <w:rFonts w:ascii="Times New Roman" w:hAnsi="Times New Roman" w:cs="Times New Roman"/>
          <w:sz w:val="28"/>
          <w:szCs w:val="28"/>
        </w:rPr>
        <w:t>,</w:t>
      </w:r>
      <w:r w:rsidR="007B3130">
        <w:rPr>
          <w:rFonts w:ascii="Times New Roman" w:hAnsi="Times New Roman" w:cs="Times New Roman"/>
          <w:sz w:val="28"/>
          <w:szCs w:val="28"/>
        </w:rPr>
        <w:t xml:space="preserve"> he submitted that to grant</w:t>
      </w:r>
      <w:r w:rsidR="005213B6" w:rsidRPr="006361B6">
        <w:rPr>
          <w:rFonts w:ascii="Times New Roman" w:hAnsi="Times New Roman" w:cs="Times New Roman"/>
          <w:sz w:val="28"/>
          <w:szCs w:val="28"/>
        </w:rPr>
        <w:t xml:space="preserve"> the counter</w:t>
      </w:r>
      <w:r w:rsidR="001E3B5D">
        <w:rPr>
          <w:rFonts w:ascii="Times New Roman" w:hAnsi="Times New Roman" w:cs="Times New Roman"/>
          <w:sz w:val="28"/>
          <w:szCs w:val="28"/>
        </w:rPr>
        <w:t>-</w:t>
      </w:r>
      <w:r w:rsidR="005213B6" w:rsidRPr="006361B6">
        <w:rPr>
          <w:rFonts w:ascii="Times New Roman" w:hAnsi="Times New Roman" w:cs="Times New Roman"/>
          <w:sz w:val="28"/>
          <w:szCs w:val="28"/>
        </w:rPr>
        <w:t>applicati</w:t>
      </w:r>
      <w:r w:rsidR="00613674">
        <w:rPr>
          <w:rFonts w:ascii="Times New Roman" w:hAnsi="Times New Roman" w:cs="Times New Roman"/>
          <w:sz w:val="28"/>
          <w:szCs w:val="28"/>
        </w:rPr>
        <w:t xml:space="preserve">on </w:t>
      </w:r>
      <w:r w:rsidR="007B3130">
        <w:rPr>
          <w:rFonts w:ascii="Times New Roman" w:hAnsi="Times New Roman" w:cs="Times New Roman"/>
          <w:sz w:val="28"/>
          <w:szCs w:val="28"/>
        </w:rPr>
        <w:t xml:space="preserve">would amount to giving </w:t>
      </w:r>
      <w:r w:rsidR="00C3054D">
        <w:rPr>
          <w:rFonts w:ascii="Times New Roman" w:hAnsi="Times New Roman" w:cs="Times New Roman"/>
          <w:sz w:val="28"/>
          <w:szCs w:val="28"/>
        </w:rPr>
        <w:t>a blank cheque</w:t>
      </w:r>
      <w:r w:rsidR="007B3130">
        <w:rPr>
          <w:rFonts w:ascii="Times New Roman" w:hAnsi="Times New Roman" w:cs="Times New Roman"/>
          <w:sz w:val="28"/>
          <w:szCs w:val="28"/>
        </w:rPr>
        <w:t>,</w:t>
      </w:r>
      <w:r w:rsidR="00C3054D">
        <w:rPr>
          <w:rFonts w:ascii="Times New Roman" w:hAnsi="Times New Roman" w:cs="Times New Roman"/>
          <w:sz w:val="28"/>
          <w:szCs w:val="28"/>
        </w:rPr>
        <w:t xml:space="preserve"> as there </w:t>
      </w:r>
      <w:r w:rsidR="00C3054D">
        <w:rPr>
          <w:rFonts w:ascii="Times New Roman" w:hAnsi="Times New Roman" w:cs="Times New Roman"/>
          <w:sz w:val="28"/>
          <w:szCs w:val="28"/>
        </w:rPr>
        <w:lastRenderedPageBreak/>
        <w:t>was</w:t>
      </w:r>
      <w:r w:rsidR="00613674">
        <w:rPr>
          <w:rFonts w:ascii="Times New Roman" w:hAnsi="Times New Roman" w:cs="Times New Roman"/>
          <w:sz w:val="28"/>
          <w:szCs w:val="28"/>
        </w:rPr>
        <w:t xml:space="preserve"> </w:t>
      </w:r>
      <w:r w:rsidR="005213B6" w:rsidRPr="006361B6">
        <w:rPr>
          <w:rFonts w:ascii="Times New Roman" w:hAnsi="Times New Roman" w:cs="Times New Roman"/>
          <w:sz w:val="28"/>
          <w:szCs w:val="28"/>
        </w:rPr>
        <w:t xml:space="preserve">no </w:t>
      </w:r>
      <w:r w:rsidR="00613674">
        <w:rPr>
          <w:rFonts w:ascii="Times New Roman" w:hAnsi="Times New Roman" w:cs="Times New Roman"/>
          <w:sz w:val="28"/>
          <w:szCs w:val="28"/>
        </w:rPr>
        <w:t>agreement on the diagram</w:t>
      </w:r>
      <w:r w:rsidR="005213B6" w:rsidRPr="006361B6">
        <w:rPr>
          <w:rFonts w:ascii="Times New Roman" w:hAnsi="Times New Roman" w:cs="Times New Roman"/>
          <w:sz w:val="28"/>
          <w:szCs w:val="28"/>
        </w:rPr>
        <w:t xml:space="preserve"> and </w:t>
      </w:r>
      <w:r w:rsidR="00C3054D">
        <w:rPr>
          <w:rFonts w:ascii="Times New Roman" w:hAnsi="Times New Roman" w:cs="Times New Roman"/>
          <w:sz w:val="28"/>
          <w:szCs w:val="28"/>
        </w:rPr>
        <w:t>the services of a</w:t>
      </w:r>
      <w:r w:rsidR="00613674">
        <w:rPr>
          <w:rFonts w:ascii="Times New Roman" w:hAnsi="Times New Roman" w:cs="Times New Roman"/>
          <w:sz w:val="28"/>
          <w:szCs w:val="28"/>
        </w:rPr>
        <w:t xml:space="preserve"> </w:t>
      </w:r>
      <w:r w:rsidR="005213B6" w:rsidRPr="006361B6">
        <w:rPr>
          <w:rFonts w:ascii="Times New Roman" w:hAnsi="Times New Roman" w:cs="Times New Roman"/>
          <w:sz w:val="28"/>
          <w:szCs w:val="28"/>
        </w:rPr>
        <w:t>survey</w:t>
      </w:r>
      <w:r w:rsidR="00C3054D">
        <w:rPr>
          <w:rFonts w:ascii="Times New Roman" w:hAnsi="Times New Roman" w:cs="Times New Roman"/>
          <w:sz w:val="28"/>
          <w:szCs w:val="28"/>
        </w:rPr>
        <w:t>or had</w:t>
      </w:r>
      <w:r w:rsidR="00613674">
        <w:rPr>
          <w:rFonts w:ascii="Times New Roman" w:hAnsi="Times New Roman" w:cs="Times New Roman"/>
          <w:sz w:val="28"/>
          <w:szCs w:val="28"/>
        </w:rPr>
        <w:t xml:space="preserve"> not been secured</w:t>
      </w:r>
      <w:r w:rsidR="005213B6" w:rsidRPr="006361B6">
        <w:rPr>
          <w:rFonts w:ascii="Times New Roman" w:hAnsi="Times New Roman" w:cs="Times New Roman"/>
          <w:sz w:val="28"/>
          <w:szCs w:val="28"/>
        </w:rPr>
        <w:t>.</w:t>
      </w:r>
      <w:r w:rsidR="00613674">
        <w:rPr>
          <w:rFonts w:ascii="Times New Roman" w:hAnsi="Times New Roman" w:cs="Times New Roman"/>
          <w:sz w:val="28"/>
          <w:szCs w:val="28"/>
        </w:rPr>
        <w:t xml:space="preserve"> The argument goes,</w:t>
      </w:r>
      <w:r w:rsidR="001E3B5D">
        <w:rPr>
          <w:rFonts w:ascii="Times New Roman" w:hAnsi="Times New Roman" w:cs="Times New Roman"/>
          <w:sz w:val="28"/>
          <w:szCs w:val="28"/>
        </w:rPr>
        <w:t xml:space="preserve"> the first Respondent</w:t>
      </w:r>
      <w:r w:rsidR="003C748F">
        <w:rPr>
          <w:rFonts w:ascii="Times New Roman" w:hAnsi="Times New Roman" w:cs="Times New Roman"/>
          <w:sz w:val="28"/>
          <w:szCs w:val="28"/>
        </w:rPr>
        <w:t>,</w:t>
      </w:r>
      <w:r w:rsidR="001E3B5D">
        <w:rPr>
          <w:rFonts w:ascii="Times New Roman" w:hAnsi="Times New Roman" w:cs="Times New Roman"/>
          <w:sz w:val="28"/>
          <w:szCs w:val="28"/>
        </w:rPr>
        <w:t xml:space="preserve"> a billionaire who purchased three properties in Plettenberg Bay simply for the purpose of protecting the view of his</w:t>
      </w:r>
      <w:r w:rsidR="003C748F">
        <w:rPr>
          <w:rFonts w:ascii="Times New Roman" w:hAnsi="Times New Roman" w:cs="Times New Roman"/>
          <w:sz w:val="28"/>
          <w:szCs w:val="28"/>
        </w:rPr>
        <w:t xml:space="preserve"> second </w:t>
      </w:r>
      <w:r w:rsidR="001E3B5D">
        <w:rPr>
          <w:rFonts w:ascii="Times New Roman" w:hAnsi="Times New Roman" w:cs="Times New Roman"/>
          <w:sz w:val="28"/>
          <w:szCs w:val="28"/>
        </w:rPr>
        <w:t>holiday home</w:t>
      </w:r>
      <w:r w:rsidR="003C748F">
        <w:rPr>
          <w:rFonts w:ascii="Times New Roman" w:hAnsi="Times New Roman" w:cs="Times New Roman"/>
          <w:sz w:val="28"/>
          <w:szCs w:val="28"/>
        </w:rPr>
        <w:t>,</w:t>
      </w:r>
      <w:r w:rsidR="003C748F">
        <w:rPr>
          <w:rStyle w:val="FootnoteReference"/>
          <w:rFonts w:ascii="Times New Roman" w:hAnsi="Times New Roman" w:cs="Times New Roman"/>
          <w:sz w:val="28"/>
          <w:szCs w:val="28"/>
        </w:rPr>
        <w:footnoteReference w:id="33"/>
      </w:r>
      <w:r w:rsidR="00944CC1">
        <w:rPr>
          <w:rFonts w:ascii="Times New Roman" w:hAnsi="Times New Roman" w:cs="Times New Roman"/>
          <w:sz w:val="28"/>
          <w:szCs w:val="28"/>
        </w:rPr>
        <w:t xml:space="preserve"> can afford to build</w:t>
      </w:r>
      <w:r w:rsidR="003C748F">
        <w:rPr>
          <w:rFonts w:ascii="Times New Roman" w:hAnsi="Times New Roman" w:cs="Times New Roman"/>
          <w:sz w:val="28"/>
          <w:szCs w:val="28"/>
        </w:rPr>
        <w:t xml:space="preserve"> garages on erf 572.</w:t>
      </w:r>
      <w:r w:rsidR="005213B6" w:rsidRPr="006361B6">
        <w:rPr>
          <w:rFonts w:ascii="Times New Roman" w:hAnsi="Times New Roman" w:cs="Times New Roman"/>
          <w:sz w:val="28"/>
          <w:szCs w:val="28"/>
        </w:rPr>
        <w:t xml:space="preserve"> </w:t>
      </w:r>
      <w:r w:rsidR="00EB0D99" w:rsidRPr="006361B6">
        <w:rPr>
          <w:rFonts w:ascii="Times New Roman" w:hAnsi="Times New Roman" w:cs="Times New Roman"/>
          <w:sz w:val="28"/>
          <w:szCs w:val="28"/>
        </w:rPr>
        <w:t>Ultimately</w:t>
      </w:r>
      <w:r w:rsidR="000D4852">
        <w:rPr>
          <w:rFonts w:ascii="Times New Roman" w:hAnsi="Times New Roman" w:cs="Times New Roman"/>
          <w:sz w:val="28"/>
          <w:szCs w:val="28"/>
        </w:rPr>
        <w:t>,</w:t>
      </w:r>
      <w:r w:rsidR="00EB0D99" w:rsidRPr="006361B6">
        <w:rPr>
          <w:rFonts w:ascii="Times New Roman" w:hAnsi="Times New Roman" w:cs="Times New Roman"/>
          <w:sz w:val="28"/>
          <w:szCs w:val="28"/>
        </w:rPr>
        <w:t xml:space="preserve"> </w:t>
      </w:r>
      <w:r w:rsidR="00C3054D">
        <w:rPr>
          <w:rFonts w:ascii="Times New Roman" w:hAnsi="Times New Roman" w:cs="Times New Roman"/>
          <w:sz w:val="28"/>
          <w:szCs w:val="28"/>
        </w:rPr>
        <w:t>it was</w:t>
      </w:r>
      <w:r w:rsidR="000D4852">
        <w:rPr>
          <w:rFonts w:ascii="Times New Roman" w:hAnsi="Times New Roman" w:cs="Times New Roman"/>
          <w:sz w:val="28"/>
          <w:szCs w:val="28"/>
        </w:rPr>
        <w:t xml:space="preserve"> submitted, the Trust need</w:t>
      </w:r>
      <w:r w:rsidR="00613674">
        <w:rPr>
          <w:rFonts w:ascii="Times New Roman" w:hAnsi="Times New Roman" w:cs="Times New Roman"/>
          <w:sz w:val="28"/>
          <w:szCs w:val="28"/>
        </w:rPr>
        <w:t>s</w:t>
      </w:r>
      <w:r w:rsidR="00EB0D99" w:rsidRPr="006361B6">
        <w:rPr>
          <w:rFonts w:ascii="Times New Roman" w:hAnsi="Times New Roman" w:cs="Times New Roman"/>
          <w:sz w:val="28"/>
          <w:szCs w:val="28"/>
        </w:rPr>
        <w:t xml:space="preserve"> to clear up the </w:t>
      </w:r>
      <w:r w:rsidR="009172E1">
        <w:rPr>
          <w:rFonts w:ascii="Times New Roman" w:hAnsi="Times New Roman" w:cs="Times New Roman"/>
          <w:sz w:val="28"/>
          <w:szCs w:val="28"/>
        </w:rPr>
        <w:t xml:space="preserve">garden and have a parking area. </w:t>
      </w:r>
      <w:r w:rsidR="00DC111C">
        <w:rPr>
          <w:rFonts w:ascii="Times New Roman" w:hAnsi="Times New Roman" w:cs="Times New Roman"/>
          <w:sz w:val="28"/>
          <w:szCs w:val="28"/>
        </w:rPr>
        <w:t>Only in t</w:t>
      </w:r>
      <w:r w:rsidR="000D4852">
        <w:rPr>
          <w:rFonts w:ascii="Times New Roman" w:hAnsi="Times New Roman" w:cs="Times New Roman"/>
          <w:sz w:val="28"/>
          <w:szCs w:val="28"/>
        </w:rPr>
        <w:t>he replying affidavit do</w:t>
      </w:r>
      <w:r w:rsidR="00DC111C">
        <w:rPr>
          <w:rFonts w:ascii="Times New Roman" w:hAnsi="Times New Roman" w:cs="Times New Roman"/>
          <w:sz w:val="28"/>
          <w:szCs w:val="28"/>
        </w:rPr>
        <w:t xml:space="preserve"> the Applicant</w:t>
      </w:r>
      <w:r w:rsidR="009172E1">
        <w:rPr>
          <w:rFonts w:ascii="Times New Roman" w:hAnsi="Times New Roman" w:cs="Times New Roman"/>
          <w:sz w:val="28"/>
          <w:szCs w:val="28"/>
        </w:rPr>
        <w:t>s</w:t>
      </w:r>
      <w:r w:rsidR="00DC111C">
        <w:rPr>
          <w:rFonts w:ascii="Times New Roman" w:hAnsi="Times New Roman" w:cs="Times New Roman"/>
          <w:sz w:val="28"/>
          <w:szCs w:val="28"/>
        </w:rPr>
        <w:t xml:space="preserve"> </w:t>
      </w:r>
      <w:r w:rsidR="00A171B9">
        <w:rPr>
          <w:rFonts w:ascii="Times New Roman" w:hAnsi="Times New Roman" w:cs="Times New Roman"/>
          <w:sz w:val="28"/>
          <w:szCs w:val="28"/>
        </w:rPr>
        <w:t xml:space="preserve">raise </w:t>
      </w:r>
      <w:r w:rsidR="000D4852">
        <w:rPr>
          <w:rFonts w:ascii="Times New Roman" w:hAnsi="Times New Roman" w:cs="Times New Roman"/>
          <w:sz w:val="28"/>
          <w:szCs w:val="28"/>
        </w:rPr>
        <w:t xml:space="preserve">the issue of </w:t>
      </w:r>
      <w:r w:rsidR="00DC111C">
        <w:rPr>
          <w:rFonts w:ascii="Times New Roman" w:hAnsi="Times New Roman" w:cs="Times New Roman"/>
          <w:sz w:val="28"/>
          <w:szCs w:val="28"/>
        </w:rPr>
        <w:t>prescription</w:t>
      </w:r>
      <w:r w:rsidR="00944CC1">
        <w:rPr>
          <w:rFonts w:ascii="Times New Roman" w:hAnsi="Times New Roman" w:cs="Times New Roman"/>
          <w:sz w:val="28"/>
          <w:szCs w:val="28"/>
        </w:rPr>
        <w:t xml:space="preserve">, </w:t>
      </w:r>
      <w:r w:rsidR="00A171B9">
        <w:rPr>
          <w:rFonts w:ascii="Times New Roman" w:hAnsi="Times New Roman" w:cs="Times New Roman"/>
          <w:sz w:val="28"/>
          <w:szCs w:val="28"/>
        </w:rPr>
        <w:t xml:space="preserve">however, it was not </w:t>
      </w:r>
      <w:r w:rsidR="00944CC1">
        <w:rPr>
          <w:rFonts w:ascii="Times New Roman" w:hAnsi="Times New Roman" w:cs="Times New Roman"/>
          <w:sz w:val="28"/>
          <w:szCs w:val="28"/>
        </w:rPr>
        <w:t>pursued.</w:t>
      </w:r>
    </w:p>
    <w:p w:rsidR="00207491" w:rsidRDefault="00207491" w:rsidP="00207491">
      <w:pPr>
        <w:pStyle w:val="ListParagraph"/>
        <w:spacing w:after="0" w:line="360" w:lineRule="auto"/>
        <w:jc w:val="both"/>
        <w:rPr>
          <w:rFonts w:ascii="Times New Roman" w:hAnsi="Times New Roman" w:cs="Times New Roman"/>
          <w:sz w:val="28"/>
          <w:szCs w:val="28"/>
        </w:rPr>
      </w:pPr>
    </w:p>
    <w:p w:rsidR="00403CBF" w:rsidRDefault="00207491" w:rsidP="009D449D">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In the same way a servitud</w:t>
      </w:r>
      <w:r w:rsidR="004868A3">
        <w:rPr>
          <w:rFonts w:ascii="Times New Roman" w:hAnsi="Times New Roman" w:cs="Times New Roman"/>
          <w:sz w:val="28"/>
          <w:szCs w:val="28"/>
        </w:rPr>
        <w:t>e was registered</w:t>
      </w:r>
      <w:r>
        <w:rPr>
          <w:rFonts w:ascii="Times New Roman" w:hAnsi="Times New Roman" w:cs="Times New Roman"/>
          <w:sz w:val="28"/>
          <w:szCs w:val="28"/>
        </w:rPr>
        <w:t xml:space="preserve"> for the water</w:t>
      </w:r>
      <w:r w:rsidR="004868A3">
        <w:rPr>
          <w:rFonts w:ascii="Times New Roman" w:hAnsi="Times New Roman" w:cs="Times New Roman"/>
          <w:sz w:val="28"/>
          <w:szCs w:val="28"/>
        </w:rPr>
        <w:t xml:space="preserve"> re</w:t>
      </w:r>
      <w:r w:rsidR="00A171B9">
        <w:rPr>
          <w:rFonts w:ascii="Times New Roman" w:hAnsi="Times New Roman" w:cs="Times New Roman"/>
          <w:sz w:val="28"/>
          <w:szCs w:val="28"/>
        </w:rPr>
        <w:t>ticulation,</w:t>
      </w:r>
      <w:r w:rsidR="00944CC1">
        <w:rPr>
          <w:rFonts w:ascii="Times New Roman" w:hAnsi="Times New Roman" w:cs="Times New Roman"/>
          <w:sz w:val="28"/>
          <w:szCs w:val="28"/>
        </w:rPr>
        <w:t xml:space="preserve"> servitude</w:t>
      </w:r>
      <w:r w:rsidR="00A171B9">
        <w:rPr>
          <w:rFonts w:ascii="Times New Roman" w:hAnsi="Times New Roman" w:cs="Times New Roman"/>
          <w:sz w:val="28"/>
          <w:szCs w:val="28"/>
        </w:rPr>
        <w:t>s</w:t>
      </w:r>
      <w:r w:rsidR="00944CC1">
        <w:rPr>
          <w:rFonts w:ascii="Times New Roman" w:hAnsi="Times New Roman" w:cs="Times New Roman"/>
          <w:sz w:val="28"/>
          <w:szCs w:val="28"/>
        </w:rPr>
        <w:t xml:space="preserve"> for the</w:t>
      </w:r>
      <w:r>
        <w:rPr>
          <w:rFonts w:ascii="Times New Roman" w:hAnsi="Times New Roman" w:cs="Times New Roman"/>
          <w:sz w:val="28"/>
          <w:szCs w:val="28"/>
        </w:rPr>
        <w:t xml:space="preserve"> right of way and </w:t>
      </w:r>
      <w:r w:rsidR="00944CC1">
        <w:rPr>
          <w:rFonts w:ascii="Times New Roman" w:hAnsi="Times New Roman" w:cs="Times New Roman"/>
          <w:sz w:val="28"/>
          <w:szCs w:val="28"/>
        </w:rPr>
        <w:t xml:space="preserve">use of </w:t>
      </w:r>
      <w:r>
        <w:rPr>
          <w:rFonts w:ascii="Times New Roman" w:hAnsi="Times New Roman" w:cs="Times New Roman"/>
          <w:sz w:val="28"/>
          <w:szCs w:val="28"/>
        </w:rPr>
        <w:t xml:space="preserve">garages were supposed to </w:t>
      </w:r>
      <w:r w:rsidR="00944CC1">
        <w:rPr>
          <w:rFonts w:ascii="Times New Roman" w:hAnsi="Times New Roman" w:cs="Times New Roman"/>
          <w:sz w:val="28"/>
          <w:szCs w:val="28"/>
        </w:rPr>
        <w:t xml:space="preserve">have </w:t>
      </w:r>
      <w:r>
        <w:rPr>
          <w:rFonts w:ascii="Times New Roman" w:hAnsi="Times New Roman" w:cs="Times New Roman"/>
          <w:sz w:val="28"/>
          <w:szCs w:val="28"/>
        </w:rPr>
        <w:t>be</w:t>
      </w:r>
      <w:r w:rsidR="004868A3">
        <w:rPr>
          <w:rFonts w:ascii="Times New Roman" w:hAnsi="Times New Roman" w:cs="Times New Roman"/>
          <w:sz w:val="28"/>
          <w:szCs w:val="28"/>
        </w:rPr>
        <w:t>en registered</w:t>
      </w:r>
      <w:r>
        <w:rPr>
          <w:rFonts w:ascii="Times New Roman" w:hAnsi="Times New Roman" w:cs="Times New Roman"/>
          <w:sz w:val="28"/>
          <w:szCs w:val="28"/>
        </w:rPr>
        <w:t xml:space="preserve">. </w:t>
      </w:r>
      <w:r w:rsidR="00944CC1">
        <w:rPr>
          <w:rFonts w:ascii="Times New Roman" w:hAnsi="Times New Roman" w:cs="Times New Roman"/>
          <w:sz w:val="28"/>
          <w:szCs w:val="28"/>
        </w:rPr>
        <w:t xml:space="preserve">The Respondents’ failure </w:t>
      </w:r>
      <w:r w:rsidR="00164502">
        <w:rPr>
          <w:rFonts w:ascii="Times New Roman" w:hAnsi="Times New Roman" w:cs="Times New Roman"/>
          <w:sz w:val="28"/>
          <w:szCs w:val="28"/>
        </w:rPr>
        <w:t>to strike whilst the iron was</w:t>
      </w:r>
      <w:r w:rsidR="00403CBF">
        <w:rPr>
          <w:rFonts w:ascii="Times New Roman" w:hAnsi="Times New Roman" w:cs="Times New Roman"/>
          <w:sz w:val="28"/>
          <w:szCs w:val="28"/>
        </w:rPr>
        <w:t xml:space="preserve"> still hot led to the Applicant</w:t>
      </w:r>
      <w:r w:rsidR="00164502">
        <w:rPr>
          <w:rFonts w:ascii="Times New Roman" w:hAnsi="Times New Roman" w:cs="Times New Roman"/>
          <w:sz w:val="28"/>
          <w:szCs w:val="28"/>
        </w:rPr>
        <w:t>s</w:t>
      </w:r>
      <w:r w:rsidR="00403CBF">
        <w:rPr>
          <w:rFonts w:ascii="Times New Roman" w:hAnsi="Times New Roman" w:cs="Times New Roman"/>
          <w:sz w:val="28"/>
          <w:szCs w:val="28"/>
        </w:rPr>
        <w:t>’</w:t>
      </w:r>
      <w:r w:rsidR="00164502">
        <w:rPr>
          <w:rFonts w:ascii="Times New Roman" w:hAnsi="Times New Roman" w:cs="Times New Roman"/>
          <w:sz w:val="28"/>
          <w:szCs w:val="28"/>
        </w:rPr>
        <w:t xml:space="preserve"> volt face. By any means the Applicants want</w:t>
      </w:r>
      <w:r w:rsidR="00403CBF">
        <w:rPr>
          <w:rFonts w:ascii="Times New Roman" w:hAnsi="Times New Roman" w:cs="Times New Roman"/>
          <w:sz w:val="28"/>
          <w:szCs w:val="28"/>
        </w:rPr>
        <w:t>ed</w:t>
      </w:r>
      <w:r w:rsidR="00164502">
        <w:rPr>
          <w:rFonts w:ascii="Times New Roman" w:hAnsi="Times New Roman" w:cs="Times New Roman"/>
          <w:sz w:val="28"/>
          <w:szCs w:val="28"/>
        </w:rPr>
        <w:t xml:space="preserve"> out of the agreement. Hence, they argue</w:t>
      </w:r>
      <w:r w:rsidR="00647EC3">
        <w:rPr>
          <w:rFonts w:ascii="Times New Roman" w:hAnsi="Times New Roman" w:cs="Times New Roman"/>
          <w:sz w:val="28"/>
          <w:szCs w:val="28"/>
        </w:rPr>
        <w:t>d</w:t>
      </w:r>
      <w:r w:rsidR="00164502">
        <w:rPr>
          <w:rFonts w:ascii="Times New Roman" w:hAnsi="Times New Roman" w:cs="Times New Roman"/>
          <w:sz w:val="28"/>
          <w:szCs w:val="28"/>
        </w:rPr>
        <w:t xml:space="preserve"> that there was an inchoate agreement, and yet their pivotal point is repudiation. It begs the question</w:t>
      </w:r>
      <w:r w:rsidR="007E650C">
        <w:rPr>
          <w:rFonts w:ascii="Times New Roman" w:hAnsi="Times New Roman" w:cs="Times New Roman"/>
          <w:sz w:val="28"/>
          <w:szCs w:val="28"/>
        </w:rPr>
        <w:t xml:space="preserve"> can one repudiate a non-existent </w:t>
      </w:r>
      <w:r w:rsidR="00164502">
        <w:rPr>
          <w:rFonts w:ascii="Times New Roman" w:hAnsi="Times New Roman" w:cs="Times New Roman"/>
          <w:sz w:val="28"/>
          <w:szCs w:val="28"/>
        </w:rPr>
        <w:t>contract</w:t>
      </w:r>
      <w:r w:rsidR="007E650C">
        <w:rPr>
          <w:rFonts w:ascii="Times New Roman" w:hAnsi="Times New Roman" w:cs="Times New Roman"/>
          <w:sz w:val="28"/>
          <w:szCs w:val="28"/>
        </w:rPr>
        <w:t>? Further</w:t>
      </w:r>
      <w:r w:rsidR="006E3305">
        <w:rPr>
          <w:rFonts w:ascii="Times New Roman" w:hAnsi="Times New Roman" w:cs="Times New Roman"/>
          <w:sz w:val="28"/>
          <w:szCs w:val="28"/>
        </w:rPr>
        <w:t xml:space="preserve">, the Applicants on more than one occasion </w:t>
      </w:r>
      <w:r w:rsidR="007E650C">
        <w:rPr>
          <w:rFonts w:ascii="Times New Roman" w:hAnsi="Times New Roman" w:cs="Times New Roman"/>
          <w:sz w:val="28"/>
          <w:szCs w:val="28"/>
        </w:rPr>
        <w:t xml:space="preserve">insisted </w:t>
      </w:r>
      <w:r w:rsidR="00A7233A">
        <w:rPr>
          <w:rFonts w:ascii="Times New Roman" w:hAnsi="Times New Roman" w:cs="Times New Roman"/>
          <w:sz w:val="28"/>
          <w:szCs w:val="28"/>
        </w:rPr>
        <w:t>that they</w:t>
      </w:r>
      <w:r w:rsidR="006E3305">
        <w:rPr>
          <w:rFonts w:ascii="Times New Roman" w:hAnsi="Times New Roman" w:cs="Times New Roman"/>
          <w:sz w:val="28"/>
          <w:szCs w:val="28"/>
        </w:rPr>
        <w:t xml:space="preserve"> had</w:t>
      </w:r>
      <w:r w:rsidR="00A7233A">
        <w:rPr>
          <w:rFonts w:ascii="Times New Roman" w:hAnsi="Times New Roman" w:cs="Times New Roman"/>
          <w:sz w:val="28"/>
          <w:szCs w:val="28"/>
        </w:rPr>
        <w:t xml:space="preserve"> changed their minds</w:t>
      </w:r>
      <w:r w:rsidR="00B22B00">
        <w:rPr>
          <w:rFonts w:ascii="Times New Roman" w:hAnsi="Times New Roman" w:cs="Times New Roman"/>
          <w:sz w:val="28"/>
          <w:szCs w:val="28"/>
        </w:rPr>
        <w:t>. Facts changed agreement</w:t>
      </w:r>
      <w:r w:rsidR="007E650C">
        <w:rPr>
          <w:rFonts w:ascii="Times New Roman" w:hAnsi="Times New Roman" w:cs="Times New Roman"/>
          <w:sz w:val="28"/>
          <w:szCs w:val="28"/>
        </w:rPr>
        <w:t>s change, said the App</w:t>
      </w:r>
      <w:r w:rsidR="00403CBF">
        <w:rPr>
          <w:rFonts w:ascii="Times New Roman" w:hAnsi="Times New Roman" w:cs="Times New Roman"/>
          <w:sz w:val="28"/>
          <w:szCs w:val="28"/>
        </w:rPr>
        <w:t>licants’ C</w:t>
      </w:r>
      <w:r w:rsidR="007E650C">
        <w:rPr>
          <w:rFonts w:ascii="Times New Roman" w:hAnsi="Times New Roman" w:cs="Times New Roman"/>
          <w:sz w:val="28"/>
          <w:szCs w:val="28"/>
        </w:rPr>
        <w:t>ounsel</w:t>
      </w:r>
      <w:r w:rsidR="00B22B00">
        <w:rPr>
          <w:rFonts w:ascii="Times New Roman" w:hAnsi="Times New Roman" w:cs="Times New Roman"/>
          <w:sz w:val="28"/>
          <w:szCs w:val="28"/>
        </w:rPr>
        <w:t>.</w:t>
      </w:r>
      <w:r>
        <w:rPr>
          <w:rFonts w:ascii="Times New Roman" w:hAnsi="Times New Roman" w:cs="Times New Roman"/>
          <w:sz w:val="28"/>
          <w:szCs w:val="28"/>
        </w:rPr>
        <w:t xml:space="preserve"> </w:t>
      </w:r>
    </w:p>
    <w:p w:rsidR="00403CBF" w:rsidRPr="00403CBF" w:rsidRDefault="00403CBF" w:rsidP="00403CBF">
      <w:pPr>
        <w:pStyle w:val="ListParagraph"/>
        <w:rPr>
          <w:rFonts w:ascii="Times New Roman" w:hAnsi="Times New Roman" w:cs="Times New Roman"/>
          <w:sz w:val="28"/>
          <w:szCs w:val="28"/>
        </w:rPr>
      </w:pPr>
    </w:p>
    <w:p w:rsidR="009E732B" w:rsidRPr="009E732B" w:rsidRDefault="009E732B" w:rsidP="006E3305">
      <w:pPr>
        <w:pStyle w:val="ListParagraph"/>
        <w:numPr>
          <w:ilvl w:val="0"/>
          <w:numId w:val="31"/>
        </w:numPr>
        <w:shd w:val="clear" w:color="auto" w:fill="FFFFFF"/>
        <w:spacing w:before="240" w:after="0" w:line="360" w:lineRule="auto"/>
        <w:ind w:hanging="720"/>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In e</w:t>
      </w:r>
      <w:r w:rsidR="00922E45">
        <w:rPr>
          <w:rFonts w:ascii="Times New Roman" w:hAnsi="Times New Roman" w:cs="Times New Roman"/>
          <w:sz w:val="28"/>
          <w:szCs w:val="28"/>
        </w:rPr>
        <w:t>xamining the purported</w:t>
      </w:r>
      <w:r w:rsidR="00403CBF" w:rsidRPr="00403CBF">
        <w:rPr>
          <w:rFonts w:ascii="Times New Roman" w:hAnsi="Times New Roman" w:cs="Times New Roman"/>
          <w:sz w:val="28"/>
          <w:szCs w:val="28"/>
        </w:rPr>
        <w:t xml:space="preserve"> repudiation</w:t>
      </w:r>
      <w:r>
        <w:rPr>
          <w:rFonts w:ascii="Times New Roman" w:hAnsi="Times New Roman" w:cs="Times New Roman"/>
          <w:sz w:val="28"/>
          <w:szCs w:val="28"/>
        </w:rPr>
        <w:t xml:space="preserve">, I need to look at the two parts that have been said to make up an act of repudiation. </w:t>
      </w:r>
      <w:r w:rsidR="00922E45">
        <w:rPr>
          <w:rFonts w:ascii="Times New Roman" w:hAnsi="Times New Roman" w:cs="Times New Roman"/>
          <w:sz w:val="28"/>
          <w:szCs w:val="28"/>
        </w:rPr>
        <w:t>Dealing with this issue, t</w:t>
      </w:r>
      <w:r>
        <w:rPr>
          <w:rFonts w:ascii="Times New Roman" w:hAnsi="Times New Roman" w:cs="Times New Roman"/>
          <w:sz w:val="28"/>
          <w:szCs w:val="28"/>
        </w:rPr>
        <w:t xml:space="preserve">he Court in  </w:t>
      </w:r>
      <w:r w:rsidRPr="009E732B">
        <w:rPr>
          <w:rFonts w:ascii="Times New Roman" w:hAnsi="Times New Roman" w:cs="Times New Roman"/>
          <w:i/>
          <w:sz w:val="28"/>
          <w:szCs w:val="28"/>
        </w:rPr>
        <w:t>Datacolor</w:t>
      </w:r>
      <w:r>
        <w:rPr>
          <w:rFonts w:ascii="Times New Roman" w:hAnsi="Times New Roman" w:cs="Times New Roman"/>
          <w:sz w:val="28"/>
          <w:szCs w:val="28"/>
        </w:rPr>
        <w:t xml:space="preserve"> said the following:</w:t>
      </w:r>
    </w:p>
    <w:p w:rsidR="009E732B" w:rsidRDefault="009E732B" w:rsidP="009E732B">
      <w:pPr>
        <w:pStyle w:val="ListParagraph"/>
        <w:rPr>
          <w:rFonts w:ascii="Times New Roman" w:hAnsi="Times New Roman" w:cs="Times New Roman"/>
          <w:sz w:val="28"/>
          <w:szCs w:val="28"/>
        </w:rPr>
      </w:pPr>
    </w:p>
    <w:p w:rsidR="009E732B" w:rsidRPr="00F4012C" w:rsidRDefault="009E732B" w:rsidP="009E732B">
      <w:pPr>
        <w:pStyle w:val="western"/>
        <w:shd w:val="clear" w:color="auto" w:fill="FFFFFF"/>
        <w:spacing w:before="144" w:beforeAutospacing="0" w:after="0" w:afterAutospacing="0" w:line="360" w:lineRule="auto"/>
        <w:ind w:left="720"/>
        <w:jc w:val="both"/>
        <w:rPr>
          <w:i/>
          <w:color w:val="242121"/>
          <w:sz w:val="28"/>
          <w:szCs w:val="28"/>
        </w:rPr>
      </w:pPr>
      <w:r w:rsidRPr="00F4012C">
        <w:rPr>
          <w:i/>
          <w:color w:val="242121"/>
          <w:sz w:val="28"/>
          <w:szCs w:val="28"/>
          <w:shd w:val="clear" w:color="auto" w:fill="FFFFFF"/>
          <w:lang w:val="en-ZA"/>
        </w:rPr>
        <w:t>“</w:t>
      </w:r>
      <w:r w:rsidRPr="00F4012C">
        <w:rPr>
          <w:i/>
          <w:color w:val="242121"/>
          <w:sz w:val="28"/>
          <w:szCs w:val="28"/>
          <w:lang w:val="en-GB"/>
        </w:rPr>
        <w:t xml:space="preserve">Repudiation has sometimes been said to consist of two parts: the act of repudiation by the guilty party, evincing a deliberate and unequivocal intention no longer to be bound by the agreement, and the act of his adversary, “accepting” and thus completing the breach. So for example Winn LJ </w:t>
      </w:r>
      <w:r w:rsidRPr="00F4012C">
        <w:rPr>
          <w:i/>
          <w:color w:val="242121"/>
          <w:sz w:val="28"/>
          <w:szCs w:val="28"/>
          <w:lang w:val="en-GB"/>
        </w:rPr>
        <w:lastRenderedPageBreak/>
        <w:t>remarked in </w:t>
      </w:r>
      <w:r w:rsidRPr="00F4012C">
        <w:rPr>
          <w:i/>
          <w:iCs/>
          <w:color w:val="242121"/>
          <w:sz w:val="28"/>
          <w:szCs w:val="28"/>
          <w:lang w:val="en-GB"/>
        </w:rPr>
        <w:t>Denmark Productions Ltd v Boscobel Productions Ltd </w:t>
      </w:r>
      <w:hyperlink r:id="rId9" w:tooltip="View LawCiteRecord" w:history="1">
        <w:r w:rsidRPr="00F4012C">
          <w:rPr>
            <w:b/>
            <w:bCs/>
            <w:i/>
            <w:color w:val="0B4B0B"/>
            <w:sz w:val="28"/>
            <w:szCs w:val="28"/>
            <w:u w:val="single"/>
            <w:lang w:val="en-GB"/>
          </w:rPr>
          <w:t>[1969] 1 QB 699</w:t>
        </w:r>
      </w:hyperlink>
      <w:r w:rsidRPr="00F4012C">
        <w:rPr>
          <w:i/>
          <w:color w:val="242121"/>
          <w:sz w:val="28"/>
          <w:szCs w:val="28"/>
          <w:lang w:val="en-GB"/>
        </w:rPr>
        <w:t> at 731F-732A:</w:t>
      </w:r>
    </w:p>
    <w:p w:rsidR="009E732B" w:rsidRPr="00F4012C" w:rsidRDefault="009E732B" w:rsidP="009E732B">
      <w:pPr>
        <w:shd w:val="clear" w:color="auto" w:fill="FFFFFF"/>
        <w:spacing w:before="144" w:after="0" w:line="360" w:lineRule="auto"/>
        <w:ind w:left="1440" w:right="720"/>
        <w:jc w:val="both"/>
        <w:rPr>
          <w:rFonts w:ascii="Times New Roman" w:eastAsia="Times New Roman" w:hAnsi="Times New Roman" w:cs="Times New Roman"/>
          <w:i/>
          <w:color w:val="242121"/>
          <w:sz w:val="28"/>
          <w:szCs w:val="28"/>
        </w:rPr>
      </w:pPr>
      <w:r w:rsidRPr="00F4012C">
        <w:rPr>
          <w:rFonts w:ascii="Times New Roman" w:eastAsia="Times New Roman" w:hAnsi="Times New Roman" w:cs="Times New Roman"/>
          <w:i/>
          <w:color w:val="242121"/>
          <w:sz w:val="28"/>
          <w:szCs w:val="28"/>
        </w:rPr>
        <w:t>“</w:t>
      </w:r>
      <w:r w:rsidRPr="00F4012C">
        <w:rPr>
          <w:rFonts w:ascii="Times New Roman" w:eastAsia="Times New Roman" w:hAnsi="Times New Roman" w:cs="Times New Roman"/>
          <w:i/>
          <w:color w:val="242121"/>
          <w:sz w:val="28"/>
          <w:szCs w:val="28"/>
          <w:lang w:val="en-GB"/>
        </w:rPr>
        <w:t>Where A and B are parties to an executory contract, if A intimates by word or conduct that he no longer intends, or is unable, to perform it, or to perform it in a particular manner, he is, in effect, making an offer to B to treat the contract as dissolved or varied so far as it relates to the future. If B elects to treat the contract as thereby repudiated, he is deemed, according to the language of many decided cases, to ‘accept the repudiation’ and is thereupon entitled (a) to sue for damages in respect of any earlier breach committed by A </w:t>
      </w:r>
      <w:r w:rsidRPr="00F4012C">
        <w:rPr>
          <w:rFonts w:ascii="Times New Roman" w:eastAsia="Times New Roman" w:hAnsi="Times New Roman" w:cs="Times New Roman"/>
          <w:i/>
          <w:iCs/>
          <w:color w:val="242121"/>
          <w:sz w:val="28"/>
          <w:szCs w:val="28"/>
          <w:lang w:val="en-GB"/>
        </w:rPr>
        <w:t>and</w:t>
      </w:r>
      <w:r w:rsidRPr="00F4012C">
        <w:rPr>
          <w:rFonts w:ascii="Times New Roman" w:eastAsia="Times New Roman" w:hAnsi="Times New Roman" w:cs="Times New Roman"/>
          <w:i/>
          <w:color w:val="242121"/>
          <w:sz w:val="28"/>
          <w:szCs w:val="28"/>
          <w:lang w:val="en-GB"/>
        </w:rPr>
        <w:t> for damages in respect of the repudiation, (b) to refrain from himself performing the contract any further.”</w:t>
      </w:r>
      <w:r>
        <w:rPr>
          <w:rStyle w:val="FootnoteReference"/>
          <w:rFonts w:ascii="Times New Roman" w:eastAsia="Times New Roman" w:hAnsi="Times New Roman" w:cs="Times New Roman"/>
          <w:i/>
          <w:color w:val="242121"/>
          <w:sz w:val="28"/>
          <w:szCs w:val="28"/>
          <w:lang w:val="en-GB"/>
        </w:rPr>
        <w:footnoteReference w:id="34"/>
      </w:r>
    </w:p>
    <w:p w:rsidR="009E732B" w:rsidRDefault="009E732B" w:rsidP="009E732B">
      <w:pPr>
        <w:pStyle w:val="ListParagraph"/>
        <w:rPr>
          <w:rFonts w:ascii="Times New Roman" w:hAnsi="Times New Roman" w:cs="Times New Roman"/>
          <w:sz w:val="28"/>
          <w:szCs w:val="28"/>
        </w:rPr>
      </w:pPr>
    </w:p>
    <w:p w:rsidR="00403CBF" w:rsidRPr="00C07F23" w:rsidRDefault="00774A29" w:rsidP="00C07F23">
      <w:pPr>
        <w:pStyle w:val="ListParagraph"/>
        <w:numPr>
          <w:ilvl w:val="0"/>
          <w:numId w:val="31"/>
        </w:numPr>
        <w:spacing w:after="0" w:line="360" w:lineRule="auto"/>
        <w:ind w:hanging="720"/>
        <w:jc w:val="both"/>
        <w:rPr>
          <w:rFonts w:ascii="Times New Roman" w:hAnsi="Times New Roman" w:cs="Times New Roman"/>
          <w:sz w:val="28"/>
          <w:szCs w:val="28"/>
        </w:rPr>
      </w:pPr>
      <w:r w:rsidRPr="00C07F23">
        <w:rPr>
          <w:rFonts w:ascii="Times New Roman" w:hAnsi="Times New Roman" w:cs="Times New Roman"/>
          <w:sz w:val="28"/>
          <w:szCs w:val="28"/>
        </w:rPr>
        <w:t xml:space="preserve">In </w:t>
      </w:r>
      <w:r w:rsidRPr="00C07F23">
        <w:rPr>
          <w:rFonts w:ascii="Times New Roman" w:hAnsi="Times New Roman" w:cs="Times New Roman"/>
          <w:i/>
          <w:sz w:val="28"/>
          <w:szCs w:val="28"/>
        </w:rPr>
        <w:t xml:space="preserve">casu, </w:t>
      </w:r>
      <w:r w:rsidRPr="00C07F23">
        <w:rPr>
          <w:rFonts w:ascii="Times New Roman" w:hAnsi="Times New Roman" w:cs="Times New Roman"/>
          <w:sz w:val="28"/>
          <w:szCs w:val="28"/>
        </w:rPr>
        <w:t>t</w:t>
      </w:r>
      <w:r w:rsidR="00403CBF" w:rsidRPr="00C07F23">
        <w:rPr>
          <w:rFonts w:ascii="Times New Roman" w:hAnsi="Times New Roman" w:cs="Times New Roman"/>
          <w:sz w:val="28"/>
          <w:szCs w:val="28"/>
        </w:rPr>
        <w:t xml:space="preserve">he parties regarded the </w:t>
      </w:r>
      <w:r w:rsidR="00E72C71" w:rsidRPr="00C07F23">
        <w:rPr>
          <w:rFonts w:ascii="Times New Roman" w:hAnsi="Times New Roman" w:cs="Times New Roman"/>
          <w:sz w:val="28"/>
          <w:szCs w:val="28"/>
        </w:rPr>
        <w:t xml:space="preserve">western </w:t>
      </w:r>
      <w:r w:rsidR="00403CBF" w:rsidRPr="00C07F23">
        <w:rPr>
          <w:rFonts w:ascii="Times New Roman" w:hAnsi="Times New Roman" w:cs="Times New Roman"/>
          <w:sz w:val="28"/>
          <w:szCs w:val="28"/>
        </w:rPr>
        <w:t>garages as belonging to the Trust</w:t>
      </w:r>
      <w:r w:rsidR="007A6949" w:rsidRPr="00C07F23">
        <w:rPr>
          <w:rFonts w:ascii="Times New Roman" w:hAnsi="Times New Roman" w:cs="Times New Roman"/>
          <w:sz w:val="28"/>
          <w:szCs w:val="28"/>
        </w:rPr>
        <w:t>,</w:t>
      </w:r>
      <w:r w:rsidR="00403CBF" w:rsidRPr="00C07F23">
        <w:rPr>
          <w:rFonts w:ascii="Times New Roman" w:hAnsi="Times New Roman" w:cs="Times New Roman"/>
          <w:sz w:val="28"/>
          <w:szCs w:val="28"/>
        </w:rPr>
        <w:t xml:space="preserve"> hence, the improvements thereon.</w:t>
      </w:r>
      <w:r w:rsidR="00C07F23" w:rsidRPr="00C07F23">
        <w:rPr>
          <w:rFonts w:ascii="Times New Roman" w:hAnsi="Times New Roman" w:cs="Times New Roman"/>
          <w:sz w:val="28"/>
          <w:szCs w:val="28"/>
        </w:rPr>
        <w:t xml:space="preserve"> Fact </w:t>
      </w:r>
      <w:r w:rsidR="007A6949" w:rsidRPr="00C07F23">
        <w:rPr>
          <w:rFonts w:ascii="Times New Roman" w:hAnsi="Times New Roman" w:cs="Times New Roman"/>
          <w:sz w:val="28"/>
          <w:szCs w:val="28"/>
        </w:rPr>
        <w:t xml:space="preserve">you basically own the western garages and are hence entitled to </w:t>
      </w:r>
      <w:r w:rsidR="00C07F23">
        <w:rPr>
          <w:rFonts w:ascii="Times New Roman" w:hAnsi="Times New Roman" w:cs="Times New Roman"/>
          <w:sz w:val="28"/>
          <w:szCs w:val="28"/>
        </w:rPr>
        <w:t>a</w:t>
      </w:r>
      <w:r w:rsidR="007A62CA">
        <w:rPr>
          <w:rFonts w:ascii="Times New Roman" w:hAnsi="Times New Roman" w:cs="Times New Roman"/>
          <w:sz w:val="28"/>
          <w:szCs w:val="28"/>
        </w:rPr>
        <w:t xml:space="preserve"> servitude, said the Applicants</w:t>
      </w:r>
      <w:r w:rsidR="00C07F23">
        <w:rPr>
          <w:rFonts w:ascii="Times New Roman" w:hAnsi="Times New Roman" w:cs="Times New Roman"/>
          <w:sz w:val="28"/>
          <w:szCs w:val="28"/>
        </w:rPr>
        <w:t xml:space="preserve">. </w:t>
      </w:r>
      <w:r w:rsidR="00403CBF" w:rsidRPr="00C07F23">
        <w:rPr>
          <w:rFonts w:ascii="Times New Roman" w:hAnsi="Times New Roman" w:cs="Times New Roman"/>
          <w:sz w:val="28"/>
          <w:szCs w:val="28"/>
        </w:rPr>
        <w:t>It cannot come from the mouth</w:t>
      </w:r>
      <w:r w:rsidR="00E72C71" w:rsidRPr="00C07F23">
        <w:rPr>
          <w:rFonts w:ascii="Times New Roman" w:hAnsi="Times New Roman" w:cs="Times New Roman"/>
          <w:sz w:val="28"/>
          <w:szCs w:val="28"/>
        </w:rPr>
        <w:t>s</w:t>
      </w:r>
      <w:r w:rsidR="00403CBF" w:rsidRPr="00C07F23">
        <w:rPr>
          <w:rFonts w:ascii="Times New Roman" w:hAnsi="Times New Roman" w:cs="Times New Roman"/>
          <w:sz w:val="28"/>
          <w:szCs w:val="28"/>
        </w:rPr>
        <w:t xml:space="preserve"> of the Applicants that the </w:t>
      </w:r>
      <w:r w:rsidR="00E72C71" w:rsidRPr="00C07F23">
        <w:rPr>
          <w:rFonts w:ascii="Times New Roman" w:hAnsi="Times New Roman" w:cs="Times New Roman"/>
          <w:sz w:val="28"/>
          <w:szCs w:val="28"/>
        </w:rPr>
        <w:t xml:space="preserve">Respondents’ </w:t>
      </w:r>
      <w:r w:rsidR="00403CBF" w:rsidRPr="00C07F23">
        <w:rPr>
          <w:rFonts w:ascii="Times New Roman" w:hAnsi="Times New Roman" w:cs="Times New Roman"/>
          <w:sz w:val="28"/>
          <w:szCs w:val="28"/>
        </w:rPr>
        <w:t>assertion of ownership of the garages amounts t</w:t>
      </w:r>
      <w:r w:rsidR="003F4B98" w:rsidRPr="00C07F23">
        <w:rPr>
          <w:rFonts w:ascii="Times New Roman" w:hAnsi="Times New Roman" w:cs="Times New Roman"/>
          <w:sz w:val="28"/>
          <w:szCs w:val="28"/>
        </w:rPr>
        <w:t>o a repudiation. Upon a proper analysis of the facts, it could not</w:t>
      </w:r>
      <w:r w:rsidR="00E72C71" w:rsidRPr="00C07F23">
        <w:rPr>
          <w:rFonts w:ascii="Times New Roman" w:hAnsi="Times New Roman" w:cs="Times New Roman"/>
          <w:sz w:val="28"/>
          <w:szCs w:val="28"/>
        </w:rPr>
        <w:t xml:space="preserve"> </w:t>
      </w:r>
      <w:r w:rsidR="003F4B98" w:rsidRPr="00C07F23">
        <w:rPr>
          <w:rFonts w:ascii="Times New Roman" w:hAnsi="Times New Roman" w:cs="Times New Roman"/>
          <w:sz w:val="28"/>
          <w:szCs w:val="28"/>
        </w:rPr>
        <w:t>have been intended to deprive</w:t>
      </w:r>
      <w:r w:rsidR="00E72C71" w:rsidRPr="00C07F23">
        <w:rPr>
          <w:rFonts w:ascii="Times New Roman" w:hAnsi="Times New Roman" w:cs="Times New Roman"/>
          <w:sz w:val="28"/>
          <w:szCs w:val="28"/>
        </w:rPr>
        <w:t xml:space="preserve"> erf 572</w:t>
      </w:r>
      <w:r w:rsidR="00620730" w:rsidRPr="00C07F23">
        <w:rPr>
          <w:rFonts w:ascii="Times New Roman" w:hAnsi="Times New Roman" w:cs="Times New Roman"/>
          <w:sz w:val="28"/>
          <w:szCs w:val="28"/>
        </w:rPr>
        <w:t xml:space="preserve"> </w:t>
      </w:r>
      <w:r w:rsidR="00E72C71" w:rsidRPr="00C07F23">
        <w:rPr>
          <w:rFonts w:ascii="Times New Roman" w:hAnsi="Times New Roman" w:cs="Times New Roman"/>
          <w:sz w:val="28"/>
          <w:szCs w:val="28"/>
        </w:rPr>
        <w:t xml:space="preserve">of garages and grant erf 571 four garages. </w:t>
      </w:r>
      <w:r w:rsidR="003F4B98" w:rsidRPr="00C07F23">
        <w:rPr>
          <w:rFonts w:ascii="Times New Roman" w:hAnsi="Times New Roman" w:cs="Times New Roman"/>
          <w:sz w:val="28"/>
          <w:szCs w:val="28"/>
        </w:rPr>
        <w:t>Even the location of these garages bear testimony to the fact that they were intended to service erf 572.</w:t>
      </w:r>
      <w:r w:rsidR="007A62CA" w:rsidRPr="007A62CA">
        <w:rPr>
          <w:rFonts w:ascii="Times New Roman" w:hAnsi="Times New Roman" w:cs="Times New Roman"/>
          <w:sz w:val="28"/>
          <w:szCs w:val="28"/>
        </w:rPr>
        <w:t xml:space="preserve"> </w:t>
      </w:r>
      <w:r w:rsidR="007A62CA" w:rsidRPr="00C07F23">
        <w:rPr>
          <w:rFonts w:ascii="Times New Roman" w:hAnsi="Times New Roman" w:cs="Times New Roman"/>
          <w:sz w:val="28"/>
          <w:szCs w:val="28"/>
        </w:rPr>
        <w:t>The simple truth is that they changed their minds. Repudiation is simply a ruse to deal with their failure to give reasonable notice</w:t>
      </w:r>
      <w:r w:rsidR="007A62CA">
        <w:rPr>
          <w:rFonts w:ascii="Times New Roman" w:hAnsi="Times New Roman" w:cs="Times New Roman"/>
          <w:sz w:val="28"/>
          <w:szCs w:val="28"/>
        </w:rPr>
        <w:t xml:space="preserve"> and </w:t>
      </w:r>
      <w:r w:rsidR="00922E45">
        <w:rPr>
          <w:rFonts w:ascii="Times New Roman" w:hAnsi="Times New Roman" w:cs="Times New Roman"/>
          <w:sz w:val="28"/>
          <w:szCs w:val="28"/>
        </w:rPr>
        <w:t xml:space="preserve">ultimately </w:t>
      </w:r>
      <w:r w:rsidR="007A62CA">
        <w:rPr>
          <w:rFonts w:ascii="Times New Roman" w:hAnsi="Times New Roman" w:cs="Times New Roman"/>
          <w:sz w:val="28"/>
          <w:szCs w:val="28"/>
        </w:rPr>
        <w:t>compensation</w:t>
      </w:r>
      <w:r w:rsidR="007A62CA" w:rsidRPr="00C07F23">
        <w:rPr>
          <w:rFonts w:ascii="Times New Roman" w:hAnsi="Times New Roman" w:cs="Times New Roman"/>
          <w:sz w:val="28"/>
          <w:szCs w:val="28"/>
        </w:rPr>
        <w:t>.</w:t>
      </w:r>
      <w:r w:rsidR="003F4B98" w:rsidRPr="00C07F23">
        <w:rPr>
          <w:rFonts w:ascii="Times New Roman" w:hAnsi="Times New Roman" w:cs="Times New Roman"/>
          <w:sz w:val="28"/>
          <w:szCs w:val="28"/>
        </w:rPr>
        <w:t xml:space="preserve"> </w:t>
      </w:r>
      <w:r w:rsidR="007A62CA">
        <w:rPr>
          <w:rFonts w:ascii="Times New Roman" w:hAnsi="Times New Roman" w:cs="Times New Roman"/>
          <w:sz w:val="28"/>
          <w:szCs w:val="28"/>
        </w:rPr>
        <w:t xml:space="preserve"> </w:t>
      </w:r>
      <w:r w:rsidR="00620730" w:rsidRPr="00C07F23">
        <w:rPr>
          <w:rFonts w:ascii="Times New Roman" w:hAnsi="Times New Roman" w:cs="Times New Roman"/>
          <w:sz w:val="28"/>
          <w:szCs w:val="28"/>
        </w:rPr>
        <w:t>Hitherto,</w:t>
      </w:r>
      <w:r w:rsidRPr="00C07F23">
        <w:rPr>
          <w:rFonts w:ascii="Times New Roman" w:hAnsi="Times New Roman" w:cs="Times New Roman"/>
          <w:sz w:val="28"/>
          <w:szCs w:val="28"/>
        </w:rPr>
        <w:t xml:space="preserve"> the Respondents are in lawful occupation of the garages. </w:t>
      </w:r>
      <w:r w:rsidR="007A62CA">
        <w:rPr>
          <w:rFonts w:ascii="Times New Roman" w:hAnsi="Times New Roman" w:cs="Times New Roman"/>
          <w:sz w:val="28"/>
          <w:szCs w:val="28"/>
        </w:rPr>
        <w:t>Accordingly, I regard this</w:t>
      </w:r>
      <w:r w:rsidR="003F4B98" w:rsidRPr="00C07F23">
        <w:rPr>
          <w:rFonts w:ascii="Times New Roman" w:hAnsi="Times New Roman" w:cs="Times New Roman"/>
          <w:sz w:val="28"/>
          <w:szCs w:val="28"/>
        </w:rPr>
        <w:t xml:space="preserve"> argument to be without substance. </w:t>
      </w:r>
    </w:p>
    <w:p w:rsidR="00403CBF" w:rsidRPr="00403CBF" w:rsidRDefault="00403CBF" w:rsidP="00403CBF">
      <w:pPr>
        <w:pStyle w:val="ListParagraph"/>
        <w:rPr>
          <w:rFonts w:ascii="Times New Roman" w:hAnsi="Times New Roman" w:cs="Times New Roman"/>
          <w:color w:val="000000" w:themeColor="text1"/>
          <w:sz w:val="28"/>
          <w:szCs w:val="28"/>
        </w:rPr>
      </w:pPr>
    </w:p>
    <w:p w:rsidR="00EA5324" w:rsidRPr="00EA5324" w:rsidRDefault="00275C77" w:rsidP="006E3305">
      <w:pPr>
        <w:pStyle w:val="ListParagraph"/>
        <w:numPr>
          <w:ilvl w:val="0"/>
          <w:numId w:val="31"/>
        </w:numPr>
        <w:shd w:val="clear" w:color="auto" w:fill="FFFFFF"/>
        <w:spacing w:before="240" w:after="0" w:line="360" w:lineRule="auto"/>
        <w:ind w:hanging="720"/>
        <w:jc w:val="both"/>
        <w:rPr>
          <w:rFonts w:ascii="Times New Roman" w:eastAsia="Times New Roman" w:hAnsi="Times New Roman" w:cs="Times New Roman"/>
          <w:color w:val="000000" w:themeColor="text1"/>
          <w:sz w:val="28"/>
          <w:szCs w:val="28"/>
        </w:rPr>
      </w:pPr>
      <w:r w:rsidRPr="00403CBF">
        <w:rPr>
          <w:rFonts w:ascii="Times New Roman" w:hAnsi="Times New Roman" w:cs="Times New Roman"/>
          <w:color w:val="000000" w:themeColor="text1"/>
          <w:sz w:val="28"/>
          <w:szCs w:val="28"/>
        </w:rPr>
        <w:t xml:space="preserve">Relying on </w:t>
      </w:r>
      <w:r w:rsidR="00403CBF" w:rsidRPr="00403CBF">
        <w:rPr>
          <w:rFonts w:ascii="Times New Roman" w:eastAsia="Times New Roman" w:hAnsi="Times New Roman" w:cs="Times New Roman"/>
          <w:i/>
          <w:color w:val="000000" w:themeColor="text1"/>
          <w:sz w:val="28"/>
          <w:szCs w:val="28"/>
        </w:rPr>
        <w:t>Seale and Others v Minister of Public Works and Others</w:t>
      </w:r>
      <w:r w:rsidR="00403CBF">
        <w:rPr>
          <w:rStyle w:val="FootnoteReference"/>
          <w:rFonts w:ascii="Times New Roman" w:eastAsia="Times New Roman" w:hAnsi="Times New Roman" w:cs="Times New Roman"/>
          <w:color w:val="000000" w:themeColor="text1"/>
          <w:sz w:val="28"/>
          <w:szCs w:val="28"/>
        </w:rPr>
        <w:footnoteReference w:id="35"/>
      </w:r>
      <w:r w:rsidR="00403CBF">
        <w:rPr>
          <w:rFonts w:ascii="Times New Roman" w:eastAsia="Times New Roman" w:hAnsi="Times New Roman" w:cs="Times New Roman"/>
          <w:i/>
          <w:color w:val="000000" w:themeColor="text1"/>
          <w:sz w:val="28"/>
          <w:szCs w:val="28"/>
        </w:rPr>
        <w:t>,</w:t>
      </w:r>
      <w:r w:rsidR="002620D6">
        <w:rPr>
          <w:rFonts w:ascii="Times New Roman" w:eastAsia="Times New Roman" w:hAnsi="Times New Roman" w:cs="Times New Roman"/>
          <w:i/>
          <w:color w:val="000000" w:themeColor="text1"/>
          <w:sz w:val="28"/>
          <w:szCs w:val="28"/>
        </w:rPr>
        <w:t xml:space="preserve"> </w:t>
      </w:r>
      <w:r w:rsidR="002620D6" w:rsidRPr="002620D6">
        <w:rPr>
          <w:rFonts w:ascii="Times New Roman" w:eastAsia="Times New Roman" w:hAnsi="Times New Roman" w:cs="Times New Roman"/>
          <w:color w:val="000000" w:themeColor="text1"/>
          <w:sz w:val="28"/>
          <w:szCs w:val="28"/>
        </w:rPr>
        <w:t xml:space="preserve">Counsel for </w:t>
      </w:r>
      <w:r w:rsidR="008C64B1">
        <w:rPr>
          <w:rFonts w:ascii="Times New Roman" w:eastAsia="Times New Roman" w:hAnsi="Times New Roman" w:cs="Times New Roman"/>
          <w:color w:val="000000" w:themeColor="text1"/>
          <w:sz w:val="28"/>
          <w:szCs w:val="28"/>
        </w:rPr>
        <w:t xml:space="preserve">the </w:t>
      </w:r>
      <w:r w:rsidR="002620D6" w:rsidRPr="002620D6">
        <w:rPr>
          <w:rFonts w:ascii="Times New Roman" w:eastAsia="Times New Roman" w:hAnsi="Times New Roman" w:cs="Times New Roman"/>
          <w:color w:val="000000" w:themeColor="text1"/>
          <w:sz w:val="28"/>
          <w:szCs w:val="28"/>
        </w:rPr>
        <w:t>Applicants</w:t>
      </w:r>
      <w:r w:rsidR="00403CBF">
        <w:rPr>
          <w:rFonts w:ascii="Times New Roman" w:eastAsia="Times New Roman" w:hAnsi="Times New Roman" w:cs="Times New Roman"/>
          <w:i/>
          <w:color w:val="000000" w:themeColor="text1"/>
          <w:sz w:val="28"/>
          <w:szCs w:val="28"/>
        </w:rPr>
        <w:t xml:space="preserve"> </w:t>
      </w:r>
      <w:r w:rsidRPr="00403CBF">
        <w:rPr>
          <w:rFonts w:ascii="Times New Roman" w:hAnsi="Times New Roman" w:cs="Times New Roman"/>
          <w:sz w:val="28"/>
          <w:szCs w:val="28"/>
        </w:rPr>
        <w:t>argued that at best this was an agreeme</w:t>
      </w:r>
      <w:r w:rsidR="00933747">
        <w:rPr>
          <w:rFonts w:ascii="Times New Roman" w:hAnsi="Times New Roman" w:cs="Times New Roman"/>
          <w:sz w:val="28"/>
          <w:szCs w:val="28"/>
        </w:rPr>
        <w:t>nt to agree</w:t>
      </w:r>
      <w:r w:rsidR="00C50DBC">
        <w:rPr>
          <w:rFonts w:ascii="Times New Roman" w:hAnsi="Times New Roman" w:cs="Times New Roman"/>
          <w:sz w:val="28"/>
          <w:szCs w:val="28"/>
        </w:rPr>
        <w:t xml:space="preserve">. In that instance the Court in </w:t>
      </w:r>
      <w:r w:rsidR="00C50DBC" w:rsidRPr="00C50DBC">
        <w:rPr>
          <w:rFonts w:ascii="Times New Roman" w:hAnsi="Times New Roman" w:cs="Times New Roman"/>
          <w:i/>
          <w:sz w:val="28"/>
          <w:szCs w:val="28"/>
        </w:rPr>
        <w:t xml:space="preserve">Seale </w:t>
      </w:r>
      <w:r w:rsidR="00EA5324">
        <w:rPr>
          <w:rFonts w:ascii="Times New Roman" w:hAnsi="Times New Roman" w:cs="Times New Roman"/>
          <w:sz w:val="28"/>
          <w:szCs w:val="28"/>
        </w:rPr>
        <w:t>held the following:</w:t>
      </w:r>
    </w:p>
    <w:p w:rsidR="00EA5324" w:rsidRPr="00EA5324" w:rsidRDefault="00EA5324" w:rsidP="00EA5324">
      <w:pPr>
        <w:pStyle w:val="ListParagraph"/>
        <w:rPr>
          <w:rFonts w:ascii="Times New Roman" w:hAnsi="Times New Roman" w:cs="Times New Roman"/>
          <w:sz w:val="28"/>
          <w:szCs w:val="28"/>
        </w:rPr>
      </w:pPr>
    </w:p>
    <w:p w:rsidR="00EA5324" w:rsidRDefault="00EA5324" w:rsidP="00EA5324">
      <w:pPr>
        <w:pStyle w:val="ListParagraph"/>
        <w:shd w:val="clear" w:color="auto" w:fill="FFFFFF"/>
        <w:spacing w:before="240" w:after="0" w:line="360" w:lineRule="auto"/>
        <w:ind w:left="1440"/>
        <w:jc w:val="both"/>
        <w:rPr>
          <w:rFonts w:ascii="Times New Roman" w:hAnsi="Times New Roman" w:cs="Times New Roman"/>
          <w:sz w:val="28"/>
          <w:szCs w:val="28"/>
        </w:rPr>
      </w:pPr>
      <w:r>
        <w:rPr>
          <w:rFonts w:ascii="Arial" w:hAnsi="Arial" w:cs="Arial"/>
          <w:color w:val="242121"/>
          <w:shd w:val="clear" w:color="auto" w:fill="FFFFFF"/>
        </w:rPr>
        <w:t>“</w:t>
      </w:r>
      <w:r w:rsidRPr="00EA5324">
        <w:rPr>
          <w:rFonts w:ascii="Times New Roman" w:hAnsi="Times New Roman" w:cs="Times New Roman"/>
          <w:i/>
          <w:color w:val="242121"/>
          <w:sz w:val="28"/>
          <w:szCs w:val="28"/>
          <w:shd w:val="clear" w:color="auto" w:fill="FFFFFF"/>
        </w:rPr>
        <w:t>Our law in respect of the enforceability of an agreement to agree developed in the following manner. In </w:t>
      </w:r>
      <w:r w:rsidRPr="00EA5324">
        <w:rPr>
          <w:rFonts w:ascii="Times New Roman" w:hAnsi="Times New Roman" w:cs="Times New Roman"/>
          <w:i/>
          <w:iCs/>
          <w:color w:val="242121"/>
          <w:sz w:val="28"/>
          <w:szCs w:val="28"/>
          <w:shd w:val="clear" w:color="auto" w:fill="FFFFFF"/>
        </w:rPr>
        <w:t>Premier of the Free State Provincial Government and Others v Firechem Free State (Pty) Ltd.</w:t>
      </w:r>
      <w:r w:rsidRPr="00EA5324">
        <w:rPr>
          <w:rFonts w:ascii="Times New Roman" w:hAnsi="Times New Roman" w:cs="Times New Roman"/>
          <w:i/>
          <w:color w:val="242121"/>
          <w:sz w:val="28"/>
          <w:szCs w:val="28"/>
          <w:shd w:val="clear" w:color="auto" w:fill="FFFFFF"/>
        </w:rPr>
        <w:t> </w:t>
      </w:r>
      <w:hyperlink r:id="rId10" w:tooltip="View LawCiteRecord" w:history="1">
        <w:r w:rsidRPr="00EA5324">
          <w:rPr>
            <w:rFonts w:ascii="Times New Roman" w:hAnsi="Times New Roman" w:cs="Times New Roman"/>
            <w:b/>
            <w:bCs/>
            <w:i/>
            <w:color w:val="0B4B0B"/>
            <w:sz w:val="28"/>
            <w:szCs w:val="28"/>
            <w:u w:val="single"/>
            <w:shd w:val="clear" w:color="auto" w:fill="FFFFFF"/>
          </w:rPr>
          <w:t>2000 (4) SA 413</w:t>
        </w:r>
      </w:hyperlink>
      <w:r w:rsidRPr="00EA5324">
        <w:rPr>
          <w:rFonts w:ascii="Times New Roman" w:hAnsi="Times New Roman" w:cs="Times New Roman"/>
          <w:i/>
          <w:color w:val="242121"/>
          <w:sz w:val="28"/>
          <w:szCs w:val="28"/>
          <w:shd w:val="clear" w:color="auto" w:fill="FFFFFF"/>
        </w:rPr>
        <w:t> (SCA); </w:t>
      </w:r>
      <w:hyperlink r:id="rId11" w:tooltip="View LawCiteRecord" w:history="1">
        <w:r w:rsidRPr="00EA5324">
          <w:rPr>
            <w:rFonts w:ascii="Times New Roman" w:hAnsi="Times New Roman" w:cs="Times New Roman"/>
            <w:b/>
            <w:bCs/>
            <w:i/>
            <w:color w:val="0B4B0B"/>
            <w:sz w:val="28"/>
            <w:szCs w:val="28"/>
            <w:u w:val="single"/>
            <w:shd w:val="clear" w:color="auto" w:fill="FFFFFF"/>
          </w:rPr>
          <w:t>[2000] 3 All SA 247</w:t>
        </w:r>
      </w:hyperlink>
      <w:r w:rsidRPr="00EA5324">
        <w:rPr>
          <w:rFonts w:ascii="Times New Roman" w:hAnsi="Times New Roman" w:cs="Times New Roman"/>
          <w:i/>
          <w:color w:val="242121"/>
          <w:sz w:val="28"/>
          <w:szCs w:val="28"/>
          <w:shd w:val="clear" w:color="auto" w:fill="FFFFFF"/>
        </w:rPr>
        <w:t> (A) at 431G-H Schutz JA said, with reference to earlier authority, that ‘an agreement that the parties will negotiate to conclude another agreement is not enforceable, because of the absolute discretion vested in the parties to agree or disagree’. In </w:t>
      </w:r>
      <w:r w:rsidRPr="00EA5324">
        <w:rPr>
          <w:rFonts w:ascii="Times New Roman" w:hAnsi="Times New Roman" w:cs="Times New Roman"/>
          <w:i/>
          <w:iCs/>
          <w:color w:val="242121"/>
          <w:sz w:val="28"/>
          <w:szCs w:val="28"/>
          <w:shd w:val="clear" w:color="auto" w:fill="FFFFFF"/>
        </w:rPr>
        <w:t>Southernport Developments (Pty) Ltd v Transnet Ltd</w:t>
      </w:r>
      <w:r w:rsidRPr="00EA5324">
        <w:rPr>
          <w:rFonts w:ascii="Times New Roman" w:hAnsi="Times New Roman" w:cs="Times New Roman"/>
          <w:i/>
          <w:color w:val="242121"/>
          <w:sz w:val="28"/>
          <w:szCs w:val="28"/>
          <w:shd w:val="clear" w:color="auto" w:fill="FFFFFF"/>
        </w:rPr>
        <w:t> </w:t>
      </w:r>
      <w:hyperlink r:id="rId12" w:tooltip="View LawCiteRecord" w:history="1">
        <w:r w:rsidRPr="00EA5324">
          <w:rPr>
            <w:rFonts w:ascii="Times New Roman" w:hAnsi="Times New Roman" w:cs="Times New Roman"/>
            <w:b/>
            <w:bCs/>
            <w:i/>
            <w:color w:val="0B4B0B"/>
            <w:sz w:val="28"/>
            <w:szCs w:val="28"/>
            <w:u w:val="single"/>
            <w:shd w:val="clear" w:color="auto" w:fill="FFFFFF"/>
          </w:rPr>
          <w:t>2005 (2) SA 202</w:t>
        </w:r>
      </w:hyperlink>
      <w:r w:rsidRPr="00EA5324">
        <w:rPr>
          <w:rFonts w:ascii="Times New Roman" w:hAnsi="Times New Roman" w:cs="Times New Roman"/>
          <w:i/>
          <w:color w:val="242121"/>
          <w:sz w:val="28"/>
          <w:szCs w:val="28"/>
          <w:shd w:val="clear" w:color="auto" w:fill="FFFFFF"/>
        </w:rPr>
        <w:t> (SCA); </w:t>
      </w:r>
      <w:hyperlink r:id="rId13" w:tooltip="View LawCiteRecord" w:history="1">
        <w:r w:rsidRPr="00EA5324">
          <w:rPr>
            <w:rFonts w:ascii="Times New Roman" w:hAnsi="Times New Roman" w:cs="Times New Roman"/>
            <w:b/>
            <w:bCs/>
            <w:i/>
            <w:color w:val="0B4B0B"/>
            <w:sz w:val="28"/>
            <w:szCs w:val="28"/>
            <w:u w:val="single"/>
            <w:shd w:val="clear" w:color="auto" w:fill="FFFFFF"/>
          </w:rPr>
          <w:t>[2005] 2 All SA 16</w:t>
        </w:r>
      </w:hyperlink>
      <w:r w:rsidRPr="00EA5324">
        <w:rPr>
          <w:rFonts w:ascii="Times New Roman" w:hAnsi="Times New Roman" w:cs="Times New Roman"/>
          <w:i/>
          <w:color w:val="242121"/>
          <w:sz w:val="28"/>
          <w:szCs w:val="28"/>
          <w:shd w:val="clear" w:color="auto" w:fill="FFFFFF"/>
        </w:rPr>
        <w:t> (SCA) at 208C-D Ponnan AJA, writing for the court, held that the </w:t>
      </w:r>
      <w:r w:rsidRPr="00EA5324">
        <w:rPr>
          <w:rFonts w:ascii="Times New Roman" w:hAnsi="Times New Roman" w:cs="Times New Roman"/>
          <w:i/>
          <w:iCs/>
          <w:color w:val="242121"/>
          <w:sz w:val="28"/>
          <w:szCs w:val="28"/>
          <w:shd w:val="clear" w:color="auto" w:fill="FFFFFF"/>
        </w:rPr>
        <w:t>dictum</w:t>
      </w:r>
      <w:r w:rsidRPr="00EA5324">
        <w:rPr>
          <w:rFonts w:ascii="Times New Roman" w:hAnsi="Times New Roman" w:cs="Times New Roman"/>
          <w:i/>
          <w:color w:val="242121"/>
          <w:sz w:val="28"/>
          <w:szCs w:val="28"/>
          <w:shd w:val="clear" w:color="auto" w:fill="FFFFFF"/>
        </w:rPr>
        <w:t> in </w:t>
      </w:r>
      <w:r w:rsidRPr="00EA5324">
        <w:rPr>
          <w:rFonts w:ascii="Times New Roman" w:hAnsi="Times New Roman" w:cs="Times New Roman"/>
          <w:i/>
          <w:iCs/>
          <w:color w:val="242121"/>
          <w:sz w:val="28"/>
          <w:szCs w:val="28"/>
          <w:shd w:val="clear" w:color="auto" w:fill="FFFFFF"/>
        </w:rPr>
        <w:t>Firechem</w:t>
      </w:r>
      <w:r w:rsidRPr="00EA5324">
        <w:rPr>
          <w:rFonts w:ascii="Times New Roman" w:hAnsi="Times New Roman" w:cs="Times New Roman"/>
          <w:i/>
          <w:color w:val="242121"/>
          <w:sz w:val="28"/>
          <w:szCs w:val="28"/>
          <w:shd w:val="clear" w:color="auto" w:fill="FFFFFF"/>
        </w:rPr>
        <w:t> is not applicable to a contract that contains what he referred to as a deadlock-breaking mechanism. By that he meant provisions that prescribe further steps to be followed in the event of the failure of the negotiations.”</w:t>
      </w:r>
      <w:r w:rsidRPr="00EA5324">
        <w:rPr>
          <w:rStyle w:val="FootnoteReference"/>
          <w:rFonts w:ascii="Times New Roman" w:hAnsi="Times New Roman" w:cs="Times New Roman"/>
          <w:i/>
          <w:color w:val="242121"/>
          <w:sz w:val="28"/>
          <w:szCs w:val="28"/>
          <w:shd w:val="clear" w:color="auto" w:fill="FFFFFF"/>
        </w:rPr>
        <w:footnoteReference w:id="36"/>
      </w:r>
    </w:p>
    <w:p w:rsidR="00EA5324" w:rsidRDefault="00EA5324" w:rsidP="00EA5324">
      <w:pPr>
        <w:pStyle w:val="ListParagraph"/>
        <w:shd w:val="clear" w:color="auto" w:fill="FFFFFF"/>
        <w:spacing w:before="240" w:after="0" w:line="360" w:lineRule="auto"/>
        <w:jc w:val="both"/>
        <w:rPr>
          <w:rFonts w:ascii="Times New Roman" w:hAnsi="Times New Roman" w:cs="Times New Roman"/>
          <w:sz w:val="28"/>
          <w:szCs w:val="28"/>
        </w:rPr>
      </w:pPr>
    </w:p>
    <w:p w:rsidR="00E8633F" w:rsidRPr="00E8633F" w:rsidRDefault="008C64B1" w:rsidP="00E8633F">
      <w:pPr>
        <w:pStyle w:val="ListParagraph"/>
        <w:numPr>
          <w:ilvl w:val="0"/>
          <w:numId w:val="31"/>
        </w:numPr>
        <w:shd w:val="clear" w:color="auto" w:fill="FFFFFF"/>
        <w:spacing w:before="240" w:after="0" w:line="360" w:lineRule="auto"/>
        <w:ind w:hanging="720"/>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He concluded</w:t>
      </w:r>
      <w:r w:rsidR="00E8633F">
        <w:rPr>
          <w:rFonts w:ascii="Times New Roman" w:hAnsi="Times New Roman" w:cs="Times New Roman"/>
          <w:sz w:val="28"/>
          <w:szCs w:val="28"/>
        </w:rPr>
        <w:t xml:space="preserve"> that</w:t>
      </w:r>
      <w:r>
        <w:rPr>
          <w:rFonts w:ascii="Times New Roman" w:hAnsi="Times New Roman" w:cs="Times New Roman"/>
          <w:sz w:val="28"/>
          <w:szCs w:val="28"/>
        </w:rPr>
        <w:t>,</w:t>
      </w:r>
      <w:r w:rsidR="00E8633F">
        <w:rPr>
          <w:rFonts w:ascii="Times New Roman" w:hAnsi="Times New Roman" w:cs="Times New Roman"/>
          <w:sz w:val="28"/>
          <w:szCs w:val="28"/>
        </w:rPr>
        <w:t xml:space="preserve"> i</w:t>
      </w:r>
      <w:r w:rsidR="00794CBB" w:rsidRPr="00403CBF">
        <w:rPr>
          <w:rFonts w:ascii="Times New Roman" w:hAnsi="Times New Roman" w:cs="Times New Roman"/>
          <w:sz w:val="28"/>
          <w:szCs w:val="28"/>
        </w:rPr>
        <w:t>n this case</w:t>
      </w:r>
      <w:r>
        <w:rPr>
          <w:rFonts w:ascii="Times New Roman" w:hAnsi="Times New Roman" w:cs="Times New Roman"/>
          <w:sz w:val="28"/>
          <w:szCs w:val="28"/>
        </w:rPr>
        <w:t xml:space="preserve">, the contract is unenforceable because </w:t>
      </w:r>
      <w:r w:rsidR="00794CBB" w:rsidRPr="00403CBF">
        <w:rPr>
          <w:rFonts w:ascii="Times New Roman" w:hAnsi="Times New Roman" w:cs="Times New Roman"/>
          <w:sz w:val="28"/>
          <w:szCs w:val="28"/>
        </w:rPr>
        <w:t>there is no</w:t>
      </w:r>
      <w:r w:rsidR="00EB0D99" w:rsidRPr="00403CBF">
        <w:rPr>
          <w:rFonts w:ascii="Times New Roman" w:hAnsi="Times New Roman" w:cs="Times New Roman"/>
          <w:sz w:val="28"/>
          <w:szCs w:val="28"/>
        </w:rPr>
        <w:t xml:space="preserve"> deadlock</w:t>
      </w:r>
      <w:r>
        <w:rPr>
          <w:rFonts w:ascii="Times New Roman" w:hAnsi="Times New Roman" w:cs="Times New Roman"/>
          <w:sz w:val="28"/>
          <w:szCs w:val="28"/>
        </w:rPr>
        <w:t>-</w:t>
      </w:r>
      <w:r w:rsidR="00EB0D99" w:rsidRPr="00403CBF">
        <w:rPr>
          <w:rFonts w:ascii="Times New Roman" w:hAnsi="Times New Roman" w:cs="Times New Roman"/>
          <w:sz w:val="28"/>
          <w:szCs w:val="28"/>
        </w:rPr>
        <w:t xml:space="preserve">breaking mechanism </w:t>
      </w:r>
      <w:r w:rsidR="00E8633F">
        <w:rPr>
          <w:rFonts w:ascii="Times New Roman" w:hAnsi="Times New Roman" w:cs="Times New Roman"/>
          <w:sz w:val="28"/>
          <w:szCs w:val="28"/>
        </w:rPr>
        <w:t xml:space="preserve">such as the one mentioned in </w:t>
      </w:r>
      <w:r w:rsidR="00E8633F" w:rsidRPr="00AE4D02">
        <w:rPr>
          <w:rFonts w:ascii="Times New Roman" w:hAnsi="Times New Roman" w:cs="Times New Roman"/>
          <w:i/>
          <w:sz w:val="28"/>
          <w:szCs w:val="28"/>
        </w:rPr>
        <w:t>Seale</w:t>
      </w:r>
      <w:r w:rsidR="00AE4D02">
        <w:rPr>
          <w:rFonts w:ascii="Times New Roman" w:hAnsi="Times New Roman" w:cs="Times New Roman"/>
          <w:i/>
          <w:sz w:val="28"/>
          <w:szCs w:val="28"/>
        </w:rPr>
        <w:t>’s</w:t>
      </w:r>
      <w:r w:rsidR="00AE4D02" w:rsidRPr="00AE4D02">
        <w:rPr>
          <w:rFonts w:ascii="Times New Roman" w:hAnsi="Times New Roman" w:cs="Times New Roman"/>
          <w:sz w:val="28"/>
          <w:szCs w:val="28"/>
        </w:rPr>
        <w:t xml:space="preserve"> case</w:t>
      </w:r>
      <w:r w:rsidR="00AE4D02">
        <w:rPr>
          <w:rFonts w:ascii="Times New Roman" w:hAnsi="Times New Roman" w:cs="Times New Roman"/>
          <w:sz w:val="28"/>
          <w:szCs w:val="28"/>
        </w:rPr>
        <w:t>,</w:t>
      </w:r>
      <w:r w:rsidR="00E8633F" w:rsidRPr="00AE4D02">
        <w:rPr>
          <w:rFonts w:ascii="Times New Roman" w:hAnsi="Times New Roman" w:cs="Times New Roman"/>
          <w:i/>
          <w:sz w:val="28"/>
          <w:szCs w:val="28"/>
        </w:rPr>
        <w:t xml:space="preserve"> </w:t>
      </w:r>
      <w:r w:rsidR="00B23DD7">
        <w:rPr>
          <w:rFonts w:ascii="Times New Roman" w:hAnsi="Times New Roman" w:cs="Times New Roman"/>
          <w:sz w:val="28"/>
          <w:szCs w:val="28"/>
        </w:rPr>
        <w:t>where the Court held</w:t>
      </w:r>
      <w:r w:rsidR="00E8633F">
        <w:rPr>
          <w:rFonts w:ascii="Times New Roman" w:hAnsi="Times New Roman" w:cs="Times New Roman"/>
          <w:sz w:val="28"/>
          <w:szCs w:val="28"/>
        </w:rPr>
        <w:t>:</w:t>
      </w:r>
    </w:p>
    <w:p w:rsidR="00E8633F" w:rsidRPr="00E8633F" w:rsidRDefault="00E8633F" w:rsidP="00E8633F">
      <w:pPr>
        <w:pStyle w:val="ListParagraph"/>
        <w:shd w:val="clear" w:color="auto" w:fill="FFFFFF"/>
        <w:spacing w:before="240" w:after="0" w:line="360" w:lineRule="auto"/>
        <w:jc w:val="both"/>
        <w:rPr>
          <w:rFonts w:ascii="Times New Roman" w:eastAsia="Times New Roman" w:hAnsi="Times New Roman" w:cs="Times New Roman"/>
          <w:color w:val="000000" w:themeColor="text1"/>
          <w:sz w:val="28"/>
          <w:szCs w:val="28"/>
        </w:rPr>
      </w:pPr>
    </w:p>
    <w:p w:rsidR="00E8633F" w:rsidRPr="00E8633F" w:rsidRDefault="00E8633F" w:rsidP="00E8633F">
      <w:pPr>
        <w:pStyle w:val="ListParagraph"/>
        <w:shd w:val="clear" w:color="auto" w:fill="FFFFFF"/>
        <w:spacing w:before="240" w:after="0" w:line="360" w:lineRule="auto"/>
        <w:ind w:left="1440"/>
        <w:jc w:val="both"/>
        <w:rPr>
          <w:rFonts w:ascii="Times New Roman" w:hAnsi="Times New Roman" w:cs="Times New Roman"/>
          <w:i/>
          <w:color w:val="242121"/>
          <w:sz w:val="28"/>
          <w:szCs w:val="28"/>
          <w:shd w:val="clear" w:color="auto" w:fill="FFFFFF"/>
        </w:rPr>
      </w:pPr>
      <w:r w:rsidRPr="00E8633F">
        <w:rPr>
          <w:rFonts w:ascii="Times New Roman" w:hAnsi="Times New Roman" w:cs="Times New Roman"/>
          <w:i/>
          <w:iCs/>
          <w:color w:val="242121"/>
          <w:sz w:val="28"/>
          <w:szCs w:val="28"/>
          <w:shd w:val="clear" w:color="auto" w:fill="FFFFFF"/>
        </w:rPr>
        <w:t>“Letaba Sawmills (Edms) Bpk. v Majovi (Edms) Bpk. </w:t>
      </w:r>
      <w:hyperlink r:id="rId14" w:tooltip="View Case" w:history="1">
        <w:r w:rsidRPr="00E8633F">
          <w:rPr>
            <w:rFonts w:ascii="Times New Roman" w:hAnsi="Times New Roman" w:cs="Times New Roman"/>
            <w:b/>
            <w:bCs/>
            <w:i/>
            <w:color w:val="0B4B0B"/>
            <w:sz w:val="28"/>
            <w:szCs w:val="28"/>
            <w:u w:val="single"/>
            <w:shd w:val="clear" w:color="auto" w:fill="FFFFFF"/>
          </w:rPr>
          <w:t>[1992] ZASCA 195</w:t>
        </w:r>
      </w:hyperlink>
      <w:r w:rsidRPr="00E8633F">
        <w:rPr>
          <w:rFonts w:ascii="Times New Roman" w:hAnsi="Times New Roman" w:cs="Times New Roman"/>
          <w:i/>
          <w:color w:val="242121"/>
          <w:sz w:val="28"/>
          <w:szCs w:val="28"/>
          <w:shd w:val="clear" w:color="auto" w:fill="FFFFFF"/>
        </w:rPr>
        <w:t>; </w:t>
      </w:r>
      <w:hyperlink r:id="rId15" w:tooltip="View LawCiteRecord" w:history="1">
        <w:r w:rsidRPr="00E8633F">
          <w:rPr>
            <w:rFonts w:ascii="Times New Roman" w:hAnsi="Times New Roman" w:cs="Times New Roman"/>
            <w:b/>
            <w:bCs/>
            <w:i/>
            <w:color w:val="0B4B0B"/>
            <w:sz w:val="28"/>
            <w:szCs w:val="28"/>
            <w:u w:val="single"/>
            <w:shd w:val="clear" w:color="auto" w:fill="FFFFFF"/>
          </w:rPr>
          <w:t>1993 (1) SA 768</w:t>
        </w:r>
      </w:hyperlink>
      <w:r w:rsidRPr="00E8633F">
        <w:rPr>
          <w:rFonts w:ascii="Times New Roman" w:hAnsi="Times New Roman" w:cs="Times New Roman"/>
          <w:i/>
          <w:color w:val="242121"/>
          <w:sz w:val="28"/>
          <w:szCs w:val="28"/>
          <w:shd w:val="clear" w:color="auto" w:fill="FFFFFF"/>
        </w:rPr>
        <w:t> (AD); </w:t>
      </w:r>
      <w:hyperlink r:id="rId16" w:tooltip="View LawCiteRecord" w:history="1">
        <w:r w:rsidRPr="00E8633F">
          <w:rPr>
            <w:rFonts w:ascii="Times New Roman" w:hAnsi="Times New Roman" w:cs="Times New Roman"/>
            <w:b/>
            <w:bCs/>
            <w:i/>
            <w:color w:val="0B4B0B"/>
            <w:sz w:val="28"/>
            <w:szCs w:val="28"/>
            <w:u w:val="single"/>
            <w:shd w:val="clear" w:color="auto" w:fill="FFFFFF"/>
          </w:rPr>
          <w:t>[1993] 1 All SA 359</w:t>
        </w:r>
      </w:hyperlink>
      <w:r w:rsidRPr="00E8633F">
        <w:rPr>
          <w:rFonts w:ascii="Times New Roman" w:hAnsi="Times New Roman" w:cs="Times New Roman"/>
          <w:i/>
          <w:color w:val="242121"/>
          <w:sz w:val="28"/>
          <w:szCs w:val="28"/>
          <w:shd w:val="clear" w:color="auto" w:fill="FFFFFF"/>
        </w:rPr>
        <w:t xml:space="preserve"> (A) provided an </w:t>
      </w:r>
      <w:r w:rsidRPr="00E8633F">
        <w:rPr>
          <w:rFonts w:ascii="Times New Roman" w:hAnsi="Times New Roman" w:cs="Times New Roman"/>
          <w:i/>
          <w:color w:val="242121"/>
          <w:sz w:val="28"/>
          <w:szCs w:val="28"/>
          <w:shd w:val="clear" w:color="auto" w:fill="FFFFFF"/>
        </w:rPr>
        <w:lastRenderedPageBreak/>
        <w:t>example of such a deadlock-breaking mechanism. There an option to renew a lease on the basis that in the event of the parties failing to agree on the rental, a market-related rental would be determined by arbitrators, was held to be enforceable. </w:t>
      </w:r>
      <w:r w:rsidRPr="00E8633F">
        <w:rPr>
          <w:rFonts w:ascii="Times New Roman" w:hAnsi="Times New Roman" w:cs="Times New Roman"/>
          <w:i/>
          <w:iCs/>
          <w:color w:val="242121"/>
          <w:sz w:val="28"/>
          <w:szCs w:val="28"/>
          <w:shd w:val="clear" w:color="auto" w:fill="FFFFFF"/>
        </w:rPr>
        <w:t>Southernport</w:t>
      </w:r>
      <w:r w:rsidRPr="00E8633F">
        <w:rPr>
          <w:rFonts w:ascii="Times New Roman" w:hAnsi="Times New Roman" w:cs="Times New Roman"/>
          <w:i/>
          <w:color w:val="242121"/>
          <w:sz w:val="28"/>
          <w:szCs w:val="28"/>
          <w:shd w:val="clear" w:color="auto" w:fill="FFFFFF"/>
        </w:rPr>
        <w:t> similarly dealt with an option to lease specified properties (or agreed portions thereof) ‘on the terms and conditions . . . negotiated between the parties in good faith’. The court held at 211F-G that the enforceability of the option had been saved by a provision that should the parties be unable to agree on any of the terms and conditions, the dispute would be referred to an arbitrator whose decision would be final and binding.”</w:t>
      </w:r>
      <w:r>
        <w:rPr>
          <w:rStyle w:val="FootnoteReference"/>
          <w:rFonts w:ascii="Times New Roman" w:hAnsi="Times New Roman" w:cs="Times New Roman"/>
          <w:i/>
          <w:color w:val="242121"/>
          <w:sz w:val="28"/>
          <w:szCs w:val="28"/>
          <w:shd w:val="clear" w:color="auto" w:fill="FFFFFF"/>
        </w:rPr>
        <w:footnoteReference w:id="37"/>
      </w:r>
    </w:p>
    <w:p w:rsidR="00E8633F" w:rsidRPr="00E8633F" w:rsidRDefault="00E8633F" w:rsidP="00E8633F">
      <w:pPr>
        <w:pStyle w:val="ListParagraph"/>
        <w:shd w:val="clear" w:color="auto" w:fill="FFFFFF"/>
        <w:spacing w:before="240" w:after="0" w:line="360" w:lineRule="auto"/>
        <w:jc w:val="both"/>
        <w:rPr>
          <w:rFonts w:ascii="Times New Roman" w:hAnsi="Times New Roman" w:cs="Times New Roman"/>
          <w:sz w:val="28"/>
          <w:szCs w:val="28"/>
        </w:rPr>
      </w:pPr>
    </w:p>
    <w:p w:rsidR="00EB0D99" w:rsidRPr="00FB22A8" w:rsidRDefault="00B23DD7" w:rsidP="00AE4D02">
      <w:pPr>
        <w:pStyle w:val="ListParagraph"/>
        <w:numPr>
          <w:ilvl w:val="0"/>
          <w:numId w:val="31"/>
        </w:numPr>
        <w:shd w:val="clear" w:color="auto" w:fill="FFFFFF"/>
        <w:spacing w:before="240" w:after="0" w:line="360" w:lineRule="auto"/>
        <w:ind w:hanging="720"/>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Referring to, </w:t>
      </w:r>
      <w:r w:rsidRPr="00B23DD7">
        <w:rPr>
          <w:rFonts w:ascii="Times New Roman" w:hAnsi="Times New Roman" w:cs="Times New Roman"/>
          <w:i/>
          <w:sz w:val="28"/>
          <w:szCs w:val="28"/>
        </w:rPr>
        <w:t>inter alia</w:t>
      </w:r>
      <w:r>
        <w:rPr>
          <w:rFonts w:ascii="Times New Roman" w:hAnsi="Times New Roman" w:cs="Times New Roman"/>
          <w:sz w:val="28"/>
          <w:szCs w:val="28"/>
        </w:rPr>
        <w:t xml:space="preserve">, </w:t>
      </w:r>
      <w:r w:rsidRPr="00B23DD7">
        <w:rPr>
          <w:rFonts w:ascii="Times New Roman" w:hAnsi="Times New Roman" w:cs="Times New Roman"/>
          <w:i/>
          <w:sz w:val="28"/>
          <w:szCs w:val="28"/>
        </w:rPr>
        <w:t>Thorpe and Others v Trittenwein and Another</w:t>
      </w:r>
      <w:r>
        <w:rPr>
          <w:rStyle w:val="FootnoteReference"/>
          <w:rFonts w:ascii="Times New Roman" w:hAnsi="Times New Roman" w:cs="Times New Roman"/>
          <w:i/>
          <w:sz w:val="28"/>
          <w:szCs w:val="28"/>
        </w:rPr>
        <w:footnoteReference w:id="38"/>
      </w:r>
      <w:r>
        <w:rPr>
          <w:rFonts w:ascii="Times New Roman" w:hAnsi="Times New Roman" w:cs="Times New Roman"/>
          <w:i/>
          <w:sz w:val="28"/>
          <w:szCs w:val="28"/>
        </w:rPr>
        <w:t>,</w:t>
      </w:r>
      <w:r>
        <w:rPr>
          <w:rFonts w:ascii="Times New Roman" w:hAnsi="Times New Roman" w:cs="Times New Roman"/>
          <w:sz w:val="28"/>
          <w:szCs w:val="28"/>
        </w:rPr>
        <w:t xml:space="preserve"> h</w:t>
      </w:r>
      <w:r w:rsidR="00794CBB" w:rsidRPr="00403CBF">
        <w:rPr>
          <w:rFonts w:ascii="Times New Roman" w:hAnsi="Times New Roman" w:cs="Times New Roman"/>
          <w:sz w:val="28"/>
          <w:szCs w:val="28"/>
        </w:rPr>
        <w:t xml:space="preserve">e </w:t>
      </w:r>
      <w:r>
        <w:rPr>
          <w:rFonts w:ascii="Times New Roman" w:hAnsi="Times New Roman" w:cs="Times New Roman"/>
          <w:sz w:val="28"/>
          <w:szCs w:val="28"/>
        </w:rPr>
        <w:t xml:space="preserve">argued that the Trust did not give the first Respondent (Mr. Mntambo) the authority to act on its behalf nor did other trustees give their signatures.  Unlike in </w:t>
      </w:r>
      <w:r w:rsidR="00EB0D99" w:rsidRPr="00403CBF">
        <w:rPr>
          <w:rFonts w:ascii="Times New Roman" w:hAnsi="Times New Roman" w:cs="Times New Roman"/>
          <w:sz w:val="28"/>
          <w:szCs w:val="28"/>
        </w:rPr>
        <w:t xml:space="preserve">partnerships where one partner can bind the rest of the partners trust have to act jointly unless the trust deed says otherwise. </w:t>
      </w:r>
      <w:r>
        <w:rPr>
          <w:rFonts w:ascii="Times New Roman" w:hAnsi="Times New Roman" w:cs="Times New Roman"/>
          <w:sz w:val="28"/>
          <w:szCs w:val="28"/>
        </w:rPr>
        <w:t>If regard is heard to the fact that Steyn De Villiers was in pos</w:t>
      </w:r>
      <w:r w:rsidR="00ED37E2">
        <w:rPr>
          <w:rFonts w:ascii="Times New Roman" w:hAnsi="Times New Roman" w:cs="Times New Roman"/>
          <w:sz w:val="28"/>
          <w:szCs w:val="28"/>
        </w:rPr>
        <w:t xml:space="preserve">session of the Trust resolution, this argument, as pointed out by the Respondents’ Counsel, is a non-starter. </w:t>
      </w:r>
      <w:r w:rsidR="00C955D5">
        <w:rPr>
          <w:rFonts w:ascii="Times New Roman" w:hAnsi="Times New Roman" w:cs="Times New Roman"/>
          <w:sz w:val="28"/>
          <w:szCs w:val="28"/>
        </w:rPr>
        <w:t>Finally, he argued that a</w:t>
      </w:r>
      <w:r w:rsidR="00794CBB" w:rsidRPr="00403CBF">
        <w:rPr>
          <w:rFonts w:ascii="Times New Roman" w:hAnsi="Times New Roman" w:cs="Times New Roman"/>
          <w:sz w:val="28"/>
          <w:szCs w:val="28"/>
        </w:rPr>
        <w:t>t the date at which Mr. Mnta</w:t>
      </w:r>
      <w:r w:rsidR="00EB0D99" w:rsidRPr="00403CBF">
        <w:rPr>
          <w:rFonts w:ascii="Times New Roman" w:hAnsi="Times New Roman" w:cs="Times New Roman"/>
          <w:sz w:val="28"/>
          <w:szCs w:val="28"/>
        </w:rPr>
        <w:t>mbo purported to reach this agreement the trust did not own the prope</w:t>
      </w:r>
      <w:r w:rsidR="00794CBB" w:rsidRPr="00403CBF">
        <w:rPr>
          <w:rFonts w:ascii="Times New Roman" w:hAnsi="Times New Roman" w:cs="Times New Roman"/>
          <w:sz w:val="28"/>
          <w:szCs w:val="28"/>
        </w:rPr>
        <w:t xml:space="preserve">rty. It was owned by </w:t>
      </w:r>
      <w:r w:rsidR="00C955D5">
        <w:rPr>
          <w:rFonts w:ascii="Times New Roman" w:hAnsi="Times New Roman" w:cs="Times New Roman"/>
          <w:sz w:val="28"/>
          <w:szCs w:val="28"/>
        </w:rPr>
        <w:t xml:space="preserve">the </w:t>
      </w:r>
      <w:r w:rsidR="00794CBB" w:rsidRPr="00403CBF">
        <w:rPr>
          <w:rFonts w:ascii="Times New Roman" w:hAnsi="Times New Roman" w:cs="Times New Roman"/>
          <w:sz w:val="28"/>
          <w:szCs w:val="28"/>
        </w:rPr>
        <w:t>Shareblock</w:t>
      </w:r>
      <w:r w:rsidR="00C955D5">
        <w:rPr>
          <w:rFonts w:ascii="Times New Roman" w:hAnsi="Times New Roman" w:cs="Times New Roman"/>
          <w:sz w:val="28"/>
          <w:szCs w:val="28"/>
        </w:rPr>
        <w:t xml:space="preserve"> Company</w:t>
      </w:r>
      <w:r w:rsidR="00EB0D99" w:rsidRPr="00403CBF">
        <w:rPr>
          <w:rFonts w:ascii="Times New Roman" w:hAnsi="Times New Roman" w:cs="Times New Roman"/>
          <w:sz w:val="28"/>
          <w:szCs w:val="28"/>
        </w:rPr>
        <w:t>.</w:t>
      </w:r>
      <w:r w:rsidR="00C955D5">
        <w:rPr>
          <w:rFonts w:ascii="Times New Roman" w:hAnsi="Times New Roman" w:cs="Times New Roman"/>
          <w:sz w:val="28"/>
          <w:szCs w:val="28"/>
        </w:rPr>
        <w:t xml:space="preserve"> The Respondents’ Counsel made short work of this argument by pointing out that this is in consistent with the facts of the case, the Applicants allowed the Respondents to continue using the garages.</w:t>
      </w:r>
      <w:r w:rsidR="00EB0D99" w:rsidRPr="00403CBF">
        <w:rPr>
          <w:rFonts w:ascii="Times New Roman" w:hAnsi="Times New Roman" w:cs="Times New Roman"/>
          <w:sz w:val="28"/>
          <w:szCs w:val="28"/>
        </w:rPr>
        <w:t xml:space="preserve"> </w:t>
      </w:r>
    </w:p>
    <w:p w:rsidR="006361B6" w:rsidRPr="00EB0D99" w:rsidRDefault="006361B6" w:rsidP="009D449D">
      <w:pPr>
        <w:spacing w:after="0" w:line="360" w:lineRule="auto"/>
        <w:jc w:val="both"/>
        <w:rPr>
          <w:rFonts w:ascii="Times New Roman" w:hAnsi="Times New Roman" w:cs="Times New Roman"/>
          <w:sz w:val="28"/>
          <w:szCs w:val="28"/>
        </w:rPr>
      </w:pPr>
    </w:p>
    <w:p w:rsidR="00EB05F0" w:rsidRPr="00EB05F0" w:rsidRDefault="006361B6" w:rsidP="007228D6">
      <w:pPr>
        <w:pStyle w:val="ListParagraph"/>
        <w:numPr>
          <w:ilvl w:val="0"/>
          <w:numId w:val="31"/>
        </w:numPr>
        <w:spacing w:after="0" w:line="360" w:lineRule="auto"/>
        <w:ind w:hanging="720"/>
        <w:jc w:val="both"/>
        <w:rPr>
          <w:rFonts w:ascii="Times New Roman" w:hAnsi="Times New Roman" w:cs="Times New Roman"/>
          <w:b/>
          <w:sz w:val="28"/>
          <w:szCs w:val="28"/>
          <w:u w:val="single"/>
        </w:rPr>
      </w:pPr>
      <w:r>
        <w:rPr>
          <w:rFonts w:ascii="Times New Roman" w:hAnsi="Times New Roman" w:cs="Times New Roman"/>
          <w:sz w:val="28"/>
          <w:szCs w:val="28"/>
        </w:rPr>
        <w:t>Res</w:t>
      </w:r>
      <w:r w:rsidR="00613674">
        <w:rPr>
          <w:rFonts w:ascii="Times New Roman" w:hAnsi="Times New Roman" w:cs="Times New Roman"/>
          <w:sz w:val="28"/>
          <w:szCs w:val="28"/>
        </w:rPr>
        <w:t>pondents</w:t>
      </w:r>
      <w:r w:rsidR="00FB22A8">
        <w:rPr>
          <w:rFonts w:ascii="Times New Roman" w:hAnsi="Times New Roman" w:cs="Times New Roman"/>
          <w:sz w:val="28"/>
          <w:szCs w:val="28"/>
        </w:rPr>
        <w:t>’ Counsel</w:t>
      </w:r>
      <w:r w:rsidR="00613674">
        <w:rPr>
          <w:rFonts w:ascii="Times New Roman" w:hAnsi="Times New Roman" w:cs="Times New Roman"/>
          <w:sz w:val="28"/>
          <w:szCs w:val="28"/>
        </w:rPr>
        <w:t xml:space="preserve"> seized on the submission,</w:t>
      </w:r>
      <w:r>
        <w:rPr>
          <w:rFonts w:ascii="Times New Roman" w:hAnsi="Times New Roman" w:cs="Times New Roman"/>
          <w:sz w:val="28"/>
          <w:szCs w:val="28"/>
        </w:rPr>
        <w:t xml:space="preserve"> </w:t>
      </w:r>
      <w:r w:rsidR="00FB22A8">
        <w:rPr>
          <w:rFonts w:ascii="Times New Roman" w:hAnsi="Times New Roman" w:cs="Times New Roman"/>
          <w:sz w:val="28"/>
          <w:szCs w:val="28"/>
        </w:rPr>
        <w:t xml:space="preserve">made </w:t>
      </w:r>
      <w:r w:rsidR="00086ED6">
        <w:rPr>
          <w:rFonts w:ascii="Times New Roman" w:hAnsi="Times New Roman" w:cs="Times New Roman"/>
          <w:sz w:val="28"/>
          <w:szCs w:val="28"/>
        </w:rPr>
        <w:t xml:space="preserve">by </w:t>
      </w:r>
      <w:r w:rsidR="00FB22A8">
        <w:rPr>
          <w:rFonts w:ascii="Times New Roman" w:hAnsi="Times New Roman" w:cs="Times New Roman"/>
          <w:sz w:val="28"/>
          <w:szCs w:val="28"/>
        </w:rPr>
        <w:t>the Applicants’ Counsel</w:t>
      </w:r>
      <w:r w:rsidR="00613674">
        <w:rPr>
          <w:rFonts w:ascii="Times New Roman" w:hAnsi="Times New Roman" w:cs="Times New Roman"/>
          <w:sz w:val="28"/>
          <w:szCs w:val="28"/>
        </w:rPr>
        <w:t>,</w:t>
      </w:r>
      <w:r w:rsidR="00086ED6">
        <w:rPr>
          <w:rFonts w:ascii="Times New Roman" w:hAnsi="Times New Roman" w:cs="Times New Roman"/>
          <w:sz w:val="28"/>
          <w:szCs w:val="28"/>
        </w:rPr>
        <w:t xml:space="preserve"> that the Applicants </w:t>
      </w:r>
      <w:r w:rsidR="00086ED6" w:rsidRPr="00086ED6">
        <w:rPr>
          <w:rFonts w:ascii="Times New Roman" w:hAnsi="Times New Roman" w:cs="Times New Roman"/>
          <w:sz w:val="28"/>
          <w:szCs w:val="28"/>
        </w:rPr>
        <w:t xml:space="preserve">did not cancel nor terminate the agreement but </w:t>
      </w:r>
      <w:r w:rsidR="00086ED6" w:rsidRPr="00086ED6">
        <w:rPr>
          <w:rFonts w:ascii="Times New Roman" w:hAnsi="Times New Roman" w:cs="Times New Roman"/>
          <w:sz w:val="28"/>
          <w:szCs w:val="28"/>
        </w:rPr>
        <w:lastRenderedPageBreak/>
        <w:t>there was a repudiation</w:t>
      </w:r>
      <w:r w:rsidR="00164502">
        <w:rPr>
          <w:rFonts w:ascii="Times New Roman" w:hAnsi="Times New Roman" w:cs="Times New Roman"/>
          <w:sz w:val="28"/>
          <w:szCs w:val="28"/>
        </w:rPr>
        <w:t xml:space="preserve">. Relying on </w:t>
      </w:r>
      <w:r w:rsidR="007228D6" w:rsidRPr="007228D6">
        <w:rPr>
          <w:rFonts w:ascii="Times New Roman" w:hAnsi="Times New Roman" w:cs="Times New Roman"/>
          <w:i/>
          <w:sz w:val="28"/>
          <w:szCs w:val="28"/>
        </w:rPr>
        <w:t>Myaka v Havemann and Another</w:t>
      </w:r>
      <w:r w:rsidR="007228D6">
        <w:rPr>
          <w:rStyle w:val="FootnoteReference"/>
          <w:rFonts w:ascii="Times New Roman" w:hAnsi="Times New Roman" w:cs="Times New Roman"/>
          <w:i/>
          <w:sz w:val="28"/>
          <w:szCs w:val="28"/>
        </w:rPr>
        <w:footnoteReference w:id="39"/>
      </w:r>
      <w:r w:rsidR="007228D6">
        <w:rPr>
          <w:rFonts w:ascii="Times New Roman" w:hAnsi="Times New Roman" w:cs="Times New Roman"/>
          <w:sz w:val="28"/>
          <w:szCs w:val="28"/>
        </w:rPr>
        <w:t xml:space="preserve"> and </w:t>
      </w:r>
      <w:r w:rsidRPr="00EB5541">
        <w:rPr>
          <w:rFonts w:ascii="Times New Roman" w:hAnsi="Times New Roman" w:cs="Times New Roman"/>
          <w:i/>
          <w:sz w:val="28"/>
          <w:szCs w:val="28"/>
        </w:rPr>
        <w:t>Chetty v Naidoo</w:t>
      </w:r>
      <w:r w:rsidR="007228D6">
        <w:rPr>
          <w:rStyle w:val="FootnoteReference"/>
          <w:rFonts w:ascii="Times New Roman" w:hAnsi="Times New Roman" w:cs="Times New Roman"/>
          <w:i/>
          <w:sz w:val="28"/>
          <w:szCs w:val="28"/>
        </w:rPr>
        <w:footnoteReference w:id="40"/>
      </w:r>
      <w:r w:rsidR="00164502">
        <w:rPr>
          <w:rFonts w:ascii="Times New Roman" w:hAnsi="Times New Roman" w:cs="Times New Roman"/>
          <w:sz w:val="28"/>
          <w:szCs w:val="28"/>
        </w:rPr>
        <w:t>,</w:t>
      </w:r>
      <w:r w:rsidR="00EB5541">
        <w:rPr>
          <w:rFonts w:ascii="Times New Roman" w:hAnsi="Times New Roman" w:cs="Times New Roman"/>
          <w:sz w:val="28"/>
          <w:szCs w:val="28"/>
        </w:rPr>
        <w:t xml:space="preserve"> </w:t>
      </w:r>
      <w:r w:rsidR="00164502">
        <w:rPr>
          <w:rFonts w:ascii="Times New Roman" w:hAnsi="Times New Roman" w:cs="Times New Roman"/>
          <w:sz w:val="28"/>
          <w:szCs w:val="28"/>
        </w:rPr>
        <w:t>he pointed out that the</w:t>
      </w:r>
      <w:r w:rsidR="00EB5541">
        <w:rPr>
          <w:rFonts w:ascii="Times New Roman" w:hAnsi="Times New Roman" w:cs="Times New Roman"/>
          <w:sz w:val="28"/>
          <w:szCs w:val="28"/>
        </w:rPr>
        <w:t xml:space="preserve"> agreement was still in existence for the Respondents to make use of the garages</w:t>
      </w:r>
      <w:r w:rsidR="00E17051">
        <w:rPr>
          <w:rFonts w:ascii="Times New Roman" w:hAnsi="Times New Roman" w:cs="Times New Roman"/>
          <w:sz w:val="28"/>
          <w:szCs w:val="28"/>
        </w:rPr>
        <w:t>.</w:t>
      </w:r>
      <w:r w:rsidR="00EB5541">
        <w:rPr>
          <w:rFonts w:ascii="Times New Roman" w:hAnsi="Times New Roman" w:cs="Times New Roman"/>
          <w:sz w:val="28"/>
          <w:szCs w:val="28"/>
        </w:rPr>
        <w:t xml:space="preserve"> T</w:t>
      </w:r>
      <w:r w:rsidR="00EB5541" w:rsidRPr="00EB5541">
        <w:rPr>
          <w:rFonts w:ascii="Times New Roman" w:hAnsi="Times New Roman" w:cs="Times New Roman"/>
          <w:sz w:val="28"/>
          <w:szCs w:val="28"/>
        </w:rPr>
        <w:t>herefore</w:t>
      </w:r>
      <w:r w:rsidR="00164502">
        <w:rPr>
          <w:rFonts w:ascii="Times New Roman" w:hAnsi="Times New Roman" w:cs="Times New Roman"/>
          <w:sz w:val="28"/>
          <w:szCs w:val="28"/>
        </w:rPr>
        <w:t>,</w:t>
      </w:r>
      <w:r w:rsidR="00EB5541" w:rsidRPr="00EB5541">
        <w:rPr>
          <w:rFonts w:ascii="Times New Roman" w:hAnsi="Times New Roman" w:cs="Times New Roman"/>
          <w:sz w:val="28"/>
          <w:szCs w:val="28"/>
        </w:rPr>
        <w:t xml:space="preserve"> </w:t>
      </w:r>
      <w:r w:rsidR="00E17051">
        <w:rPr>
          <w:rFonts w:ascii="Times New Roman" w:hAnsi="Times New Roman" w:cs="Times New Roman"/>
          <w:sz w:val="28"/>
          <w:szCs w:val="28"/>
        </w:rPr>
        <w:t xml:space="preserve">the Applicants </w:t>
      </w:r>
      <w:r w:rsidR="00EB5541">
        <w:rPr>
          <w:rFonts w:ascii="Times New Roman" w:hAnsi="Times New Roman" w:cs="Times New Roman"/>
          <w:sz w:val="28"/>
          <w:szCs w:val="28"/>
        </w:rPr>
        <w:t>did not meet the requirements of</w:t>
      </w:r>
      <w:r w:rsidR="007228D6">
        <w:rPr>
          <w:rFonts w:ascii="Times New Roman" w:hAnsi="Times New Roman" w:cs="Times New Roman"/>
          <w:sz w:val="28"/>
          <w:szCs w:val="28"/>
        </w:rPr>
        <w:t xml:space="preserve"> a</w:t>
      </w:r>
      <w:r w:rsidR="00EB5541">
        <w:rPr>
          <w:rFonts w:ascii="Times New Roman" w:hAnsi="Times New Roman" w:cs="Times New Roman"/>
          <w:sz w:val="28"/>
          <w:szCs w:val="28"/>
        </w:rPr>
        <w:t xml:space="preserve"> </w:t>
      </w:r>
      <w:r w:rsidR="00EB5541" w:rsidRPr="00EB5541">
        <w:rPr>
          <w:rFonts w:ascii="Times New Roman" w:hAnsi="Times New Roman" w:cs="Times New Roman"/>
          <w:i/>
          <w:sz w:val="28"/>
          <w:szCs w:val="28"/>
        </w:rPr>
        <w:t>rei vindicato</w:t>
      </w:r>
      <w:r w:rsidR="00EB5541">
        <w:rPr>
          <w:rFonts w:ascii="Times New Roman" w:hAnsi="Times New Roman" w:cs="Times New Roman"/>
          <w:sz w:val="28"/>
          <w:szCs w:val="28"/>
        </w:rPr>
        <w:t>.</w:t>
      </w:r>
      <w:r w:rsidR="00EB05F0">
        <w:rPr>
          <w:rFonts w:ascii="Times New Roman" w:hAnsi="Times New Roman" w:cs="Times New Roman"/>
          <w:sz w:val="28"/>
          <w:szCs w:val="28"/>
        </w:rPr>
        <w:t xml:space="preserve"> </w:t>
      </w:r>
    </w:p>
    <w:p w:rsidR="00EB05F0" w:rsidRPr="00EB05F0" w:rsidRDefault="00EB05F0" w:rsidP="00EB05F0">
      <w:pPr>
        <w:pStyle w:val="ListParagraph"/>
        <w:spacing w:after="0" w:line="360" w:lineRule="auto"/>
        <w:rPr>
          <w:rFonts w:ascii="Times New Roman" w:hAnsi="Times New Roman" w:cs="Times New Roman"/>
          <w:b/>
          <w:sz w:val="28"/>
          <w:szCs w:val="28"/>
          <w:u w:val="single"/>
        </w:rPr>
      </w:pPr>
    </w:p>
    <w:p w:rsidR="00EB05F0" w:rsidRPr="00732D2C" w:rsidRDefault="00EB05F0" w:rsidP="00EB05F0">
      <w:pPr>
        <w:pStyle w:val="ListParagraph"/>
        <w:numPr>
          <w:ilvl w:val="0"/>
          <w:numId w:val="31"/>
        </w:numPr>
        <w:spacing w:after="0" w:line="360" w:lineRule="auto"/>
        <w:ind w:hanging="720"/>
        <w:rPr>
          <w:rFonts w:ascii="Times New Roman" w:hAnsi="Times New Roman" w:cs="Times New Roman"/>
          <w:b/>
          <w:sz w:val="28"/>
          <w:szCs w:val="28"/>
          <w:u w:val="single"/>
        </w:rPr>
      </w:pPr>
      <w:r>
        <w:rPr>
          <w:rFonts w:ascii="Times New Roman" w:hAnsi="Times New Roman" w:cs="Times New Roman"/>
          <w:sz w:val="28"/>
          <w:szCs w:val="28"/>
        </w:rPr>
        <w:t xml:space="preserve">The Court dealing with the subject of </w:t>
      </w:r>
      <w:r w:rsidRPr="00732D2C">
        <w:rPr>
          <w:rFonts w:ascii="Times New Roman" w:hAnsi="Times New Roman" w:cs="Times New Roman"/>
          <w:sz w:val="28"/>
          <w:szCs w:val="28"/>
        </w:rPr>
        <w:t xml:space="preserve">eviction in </w:t>
      </w:r>
      <w:r w:rsidRPr="00732D2C">
        <w:rPr>
          <w:rFonts w:ascii="Times New Roman" w:hAnsi="Times New Roman" w:cs="Times New Roman"/>
          <w:i/>
          <w:sz w:val="28"/>
          <w:szCs w:val="28"/>
        </w:rPr>
        <w:t>ACSA v Exclusive Books</w:t>
      </w:r>
      <w:r>
        <w:rPr>
          <w:rStyle w:val="FootnoteReference"/>
          <w:rFonts w:ascii="Times New Roman" w:hAnsi="Times New Roman" w:cs="Times New Roman"/>
          <w:i/>
          <w:sz w:val="28"/>
          <w:szCs w:val="28"/>
        </w:rPr>
        <w:footnoteReference w:id="41"/>
      </w:r>
      <w:r w:rsidRPr="00732D2C">
        <w:rPr>
          <w:rFonts w:ascii="Times New Roman" w:hAnsi="Times New Roman" w:cs="Times New Roman"/>
          <w:sz w:val="28"/>
          <w:szCs w:val="28"/>
        </w:rPr>
        <w:t xml:space="preserve"> held the following:</w:t>
      </w:r>
    </w:p>
    <w:p w:rsidR="00EB05F0" w:rsidRDefault="00EB05F0" w:rsidP="00EB05F0">
      <w:pPr>
        <w:rPr>
          <w:rFonts w:ascii="Times New Roman" w:hAnsi="Times New Roman" w:cs="Times New Roman"/>
          <w:b/>
          <w:sz w:val="28"/>
          <w:szCs w:val="28"/>
          <w:u w:val="single"/>
        </w:rPr>
      </w:pPr>
    </w:p>
    <w:p w:rsidR="00EB05F0" w:rsidRDefault="00EB05F0" w:rsidP="00EB05F0">
      <w:pPr>
        <w:spacing w:after="0" w:line="360" w:lineRule="auto"/>
        <w:ind w:left="1440"/>
        <w:jc w:val="both"/>
        <w:rPr>
          <w:rFonts w:ascii="Times New Roman" w:hAnsi="Times New Roman" w:cs="Times New Roman"/>
          <w:i/>
          <w:sz w:val="28"/>
          <w:szCs w:val="28"/>
        </w:rPr>
      </w:pPr>
      <w:r>
        <w:rPr>
          <w:rFonts w:ascii="Times New Roman" w:hAnsi="Times New Roman" w:cs="Times New Roman"/>
          <w:sz w:val="28"/>
          <w:szCs w:val="28"/>
        </w:rPr>
        <w:t>“</w:t>
      </w:r>
      <w:r w:rsidRPr="00C500DC">
        <w:rPr>
          <w:rFonts w:ascii="Times New Roman" w:hAnsi="Times New Roman" w:cs="Times New Roman"/>
          <w:i/>
          <w:sz w:val="28"/>
          <w:szCs w:val="28"/>
        </w:rPr>
        <w:t>It is trite that when claiming eviction an owner must aver and prove its ownership and that the occupier is in possession. If the owner alleges more than is necessary to vindicate its property, as ACSA did by alleging that the lease had been terminated on one month’s notice, it must show that the termination was lawful. In Myaka v Havemann10 Davis AJA settled some uncertainty in this regard by approving statements of Hathorn JP in Karim v Baccus11 and Greenberg J in Boshoff v Union Government, that once an owner has admitted to parting with possession by virtue of an agreement such as a lease, or a sale on instalments, he is bound by the admission, and bears the onus of proving that the reason for the possession has come to an end. The owner must prove lawful termination.</w:t>
      </w:r>
      <w:r>
        <w:rPr>
          <w:rFonts w:ascii="Times New Roman" w:hAnsi="Times New Roman" w:cs="Times New Roman"/>
          <w:i/>
          <w:sz w:val="28"/>
          <w:szCs w:val="28"/>
        </w:rPr>
        <w:t>”</w:t>
      </w:r>
      <w:r>
        <w:rPr>
          <w:rStyle w:val="FootnoteReference"/>
          <w:rFonts w:ascii="Times New Roman" w:hAnsi="Times New Roman" w:cs="Times New Roman"/>
          <w:i/>
          <w:sz w:val="28"/>
          <w:szCs w:val="28"/>
        </w:rPr>
        <w:footnoteReference w:id="42"/>
      </w:r>
      <w:r w:rsidRPr="00C500DC">
        <w:rPr>
          <w:rFonts w:ascii="Times New Roman" w:hAnsi="Times New Roman" w:cs="Times New Roman"/>
          <w:i/>
          <w:sz w:val="28"/>
          <w:szCs w:val="28"/>
        </w:rPr>
        <w:t xml:space="preserve"> </w:t>
      </w:r>
    </w:p>
    <w:p w:rsidR="00EB05F0" w:rsidRPr="00C500DC" w:rsidRDefault="00EB05F0" w:rsidP="00EB05F0">
      <w:pPr>
        <w:spacing w:after="0" w:line="360" w:lineRule="auto"/>
        <w:ind w:left="1440"/>
        <w:jc w:val="both"/>
        <w:rPr>
          <w:rFonts w:ascii="Times New Roman" w:hAnsi="Times New Roman" w:cs="Times New Roman"/>
          <w:i/>
          <w:sz w:val="28"/>
          <w:szCs w:val="28"/>
        </w:rPr>
      </w:pPr>
    </w:p>
    <w:p w:rsidR="00EB05F0" w:rsidRPr="00D42BF5" w:rsidRDefault="00EB05F0" w:rsidP="00EB05F0">
      <w:pPr>
        <w:pStyle w:val="ListParagraph"/>
        <w:numPr>
          <w:ilvl w:val="0"/>
          <w:numId w:val="31"/>
        </w:numPr>
        <w:spacing w:after="0" w:line="360" w:lineRule="auto"/>
        <w:ind w:hanging="630"/>
        <w:jc w:val="both"/>
        <w:rPr>
          <w:rFonts w:ascii="Times New Roman" w:hAnsi="Times New Roman" w:cs="Times New Roman"/>
          <w:i/>
          <w:sz w:val="28"/>
          <w:szCs w:val="28"/>
        </w:rPr>
      </w:pPr>
      <w:r>
        <w:rPr>
          <w:rFonts w:ascii="Times New Roman" w:hAnsi="Times New Roman" w:cs="Times New Roman"/>
          <w:sz w:val="28"/>
          <w:szCs w:val="28"/>
        </w:rPr>
        <w:t>In</w:t>
      </w:r>
      <w:r w:rsidRPr="00D42BF5">
        <w:rPr>
          <w:rFonts w:ascii="Times New Roman" w:hAnsi="Times New Roman" w:cs="Times New Roman"/>
          <w:i/>
          <w:sz w:val="28"/>
          <w:szCs w:val="28"/>
        </w:rPr>
        <w:t xml:space="preserve"> casu</w:t>
      </w:r>
      <w:r>
        <w:rPr>
          <w:rFonts w:ascii="Times New Roman" w:hAnsi="Times New Roman" w:cs="Times New Roman"/>
          <w:sz w:val="28"/>
          <w:szCs w:val="28"/>
        </w:rPr>
        <w:t>, The Applicants categorically stated that they had not terminated nor cancelled the contract. If anything there was a repudiation. It stands to reason that the Respondents are still in lawful occupation of the garages. In fact at paragraph 74 of the founding affidavit the Applicants mentioned that they are prepared to allow the Trust continue utilising</w:t>
      </w:r>
      <w:r w:rsidR="00922E45">
        <w:rPr>
          <w:rFonts w:ascii="Times New Roman" w:hAnsi="Times New Roman" w:cs="Times New Roman"/>
          <w:sz w:val="28"/>
          <w:szCs w:val="28"/>
        </w:rPr>
        <w:t xml:space="preserve"> the garages until they decide</w:t>
      </w:r>
      <w:r>
        <w:rPr>
          <w:rFonts w:ascii="Times New Roman" w:hAnsi="Times New Roman" w:cs="Times New Roman"/>
          <w:sz w:val="28"/>
          <w:szCs w:val="28"/>
        </w:rPr>
        <w:t xml:space="preserve"> to commence the development of the garages.</w:t>
      </w:r>
      <w:r>
        <w:rPr>
          <w:rStyle w:val="FootnoteReference"/>
          <w:rFonts w:ascii="Times New Roman" w:hAnsi="Times New Roman" w:cs="Times New Roman"/>
          <w:sz w:val="28"/>
          <w:szCs w:val="28"/>
        </w:rPr>
        <w:footnoteReference w:id="43"/>
      </w:r>
      <w:r>
        <w:rPr>
          <w:rFonts w:ascii="Times New Roman" w:hAnsi="Times New Roman" w:cs="Times New Roman"/>
          <w:sz w:val="28"/>
          <w:szCs w:val="28"/>
        </w:rPr>
        <w:t xml:space="preserve"> Referring to the </w:t>
      </w:r>
      <w:r w:rsidRPr="00395ECD">
        <w:rPr>
          <w:rFonts w:ascii="Times New Roman" w:hAnsi="Times New Roman" w:cs="Times New Roman"/>
          <w:i/>
          <w:sz w:val="28"/>
          <w:szCs w:val="28"/>
        </w:rPr>
        <w:t>locus classicus</w:t>
      </w:r>
      <w:r>
        <w:rPr>
          <w:rFonts w:ascii="Times New Roman" w:hAnsi="Times New Roman" w:cs="Times New Roman"/>
          <w:sz w:val="28"/>
          <w:szCs w:val="28"/>
        </w:rPr>
        <w:t xml:space="preserve"> </w:t>
      </w:r>
      <w:r w:rsidRPr="007A24EA">
        <w:rPr>
          <w:rFonts w:ascii="Times New Roman" w:hAnsi="Times New Roman" w:cs="Times New Roman"/>
          <w:i/>
          <w:sz w:val="28"/>
          <w:szCs w:val="28"/>
        </w:rPr>
        <w:t>Chetty v Naidoo</w:t>
      </w:r>
      <w:r>
        <w:rPr>
          <w:rFonts w:ascii="Times New Roman" w:hAnsi="Times New Roman" w:cs="Times New Roman"/>
          <w:sz w:val="28"/>
          <w:szCs w:val="28"/>
        </w:rPr>
        <w:t xml:space="preserve">, the Court in </w:t>
      </w:r>
      <w:r w:rsidRPr="007A24EA">
        <w:rPr>
          <w:rFonts w:ascii="Times New Roman" w:hAnsi="Times New Roman" w:cs="Times New Roman"/>
          <w:i/>
          <w:sz w:val="28"/>
          <w:szCs w:val="28"/>
        </w:rPr>
        <w:t>ACSA</w:t>
      </w:r>
      <w:r>
        <w:rPr>
          <w:rFonts w:ascii="Times New Roman" w:hAnsi="Times New Roman" w:cs="Times New Roman"/>
          <w:sz w:val="28"/>
          <w:szCs w:val="28"/>
        </w:rPr>
        <w:t xml:space="preserve"> stated the following:</w:t>
      </w:r>
    </w:p>
    <w:p w:rsidR="00EB05F0" w:rsidRPr="003956C9" w:rsidRDefault="00EB05F0" w:rsidP="00EB05F0">
      <w:pPr>
        <w:spacing w:after="0" w:line="360" w:lineRule="auto"/>
        <w:jc w:val="both"/>
        <w:rPr>
          <w:rFonts w:ascii="Times New Roman" w:hAnsi="Times New Roman" w:cs="Times New Roman"/>
          <w:i/>
          <w:sz w:val="28"/>
          <w:szCs w:val="28"/>
        </w:rPr>
      </w:pPr>
    </w:p>
    <w:p w:rsidR="00EB05F0" w:rsidRPr="00C500DC" w:rsidRDefault="00EB05F0" w:rsidP="00EB05F0">
      <w:pPr>
        <w:spacing w:after="0" w:line="360" w:lineRule="auto"/>
        <w:ind w:left="1440"/>
        <w:jc w:val="both"/>
        <w:rPr>
          <w:rFonts w:ascii="Times New Roman" w:hAnsi="Times New Roman" w:cs="Times New Roman"/>
          <w:b/>
          <w:i/>
          <w:sz w:val="28"/>
          <w:szCs w:val="28"/>
          <w:u w:val="single"/>
        </w:rPr>
      </w:pPr>
      <w:r>
        <w:rPr>
          <w:rFonts w:ascii="Times New Roman" w:hAnsi="Times New Roman" w:cs="Times New Roman"/>
          <w:i/>
          <w:sz w:val="28"/>
          <w:szCs w:val="28"/>
        </w:rPr>
        <w:t>“</w:t>
      </w:r>
      <w:r w:rsidRPr="00C500DC">
        <w:rPr>
          <w:rFonts w:ascii="Times New Roman" w:hAnsi="Times New Roman" w:cs="Times New Roman"/>
          <w:i/>
          <w:sz w:val="28"/>
          <w:szCs w:val="28"/>
        </w:rPr>
        <w:t xml:space="preserve">The incidence of the onus was discussed in depth by Jansen JA in Chetty v Naidoo, which confirmed the correctness of the approach in Myaka. He said: ‘It is inherent in the nature of ownership that possession of the res should normally be with the owner and it follows that no other person may withhold it from </w:t>
      </w:r>
      <w:r>
        <w:rPr>
          <w:rFonts w:ascii="Times New Roman" w:hAnsi="Times New Roman" w:cs="Times New Roman"/>
          <w:i/>
          <w:sz w:val="28"/>
          <w:szCs w:val="28"/>
        </w:rPr>
        <w:t>`</w:t>
      </w:r>
      <w:r w:rsidRPr="00C500DC">
        <w:rPr>
          <w:rFonts w:ascii="Times New Roman" w:hAnsi="Times New Roman" w:cs="Times New Roman"/>
          <w:i/>
          <w:sz w:val="28"/>
          <w:szCs w:val="28"/>
        </w:rPr>
        <w:t>the owner unless he is vested with some other right enforceable against the owner (eg a right of retention or a contractual right). An owner, in instituting a rei vindicatio, need, therefore, do no more than allege and prove that he is the owner and that the defendant is holding the res – the onus being on the defendant to allege and establish any right to continue to hold against the owner . . . But if he goes beyond alleging merely his ownership and the defendant being in possession (whether unqualified or described as “unlawful” or “against his will”) other considerations then come into play.</w:t>
      </w:r>
    </w:p>
    <w:p w:rsidR="00EB05F0" w:rsidRDefault="00EB05F0" w:rsidP="00EB05F0">
      <w:pPr>
        <w:spacing w:after="0" w:line="360" w:lineRule="auto"/>
        <w:ind w:left="1440"/>
        <w:jc w:val="both"/>
        <w:rPr>
          <w:rFonts w:ascii="Times New Roman" w:hAnsi="Times New Roman" w:cs="Times New Roman"/>
          <w:i/>
          <w:sz w:val="28"/>
          <w:szCs w:val="28"/>
        </w:rPr>
      </w:pPr>
      <w:r w:rsidRPr="00C500DC">
        <w:rPr>
          <w:rFonts w:ascii="Times New Roman" w:hAnsi="Times New Roman" w:cs="Times New Roman"/>
          <w:i/>
          <w:sz w:val="28"/>
          <w:szCs w:val="28"/>
        </w:rPr>
        <w:t>If he concedes in his particulars of claim that the defendant has an existing right to hold (eg, by conceding a lease or hire-purchase agreement), without also alleging that it has been terminated . . . his statement of claim obviously discloses no cause of action. If he does not concede an existing right to hold, but, nevertheless, says that a right to hold now would have existed but for a termination which has taken place, then ex facie the statement of claim he must at least prove the termination, which might, in the case of a contract, also entail proof of the terms of the contract.’</w:t>
      </w:r>
      <w:r>
        <w:rPr>
          <w:rStyle w:val="FootnoteReference"/>
          <w:rFonts w:ascii="Times New Roman" w:hAnsi="Times New Roman" w:cs="Times New Roman"/>
          <w:sz w:val="28"/>
          <w:szCs w:val="28"/>
        </w:rPr>
        <w:footnoteReference w:id="44"/>
      </w:r>
    </w:p>
    <w:p w:rsidR="00EB05F0" w:rsidRDefault="00EB05F0" w:rsidP="00EB05F0">
      <w:pPr>
        <w:spacing w:after="0" w:line="360" w:lineRule="auto"/>
        <w:ind w:left="1440"/>
        <w:jc w:val="both"/>
        <w:rPr>
          <w:rFonts w:ascii="Times New Roman" w:hAnsi="Times New Roman" w:cs="Times New Roman"/>
          <w:i/>
          <w:sz w:val="28"/>
          <w:szCs w:val="28"/>
        </w:rPr>
      </w:pPr>
    </w:p>
    <w:p w:rsidR="00EB05F0" w:rsidRDefault="00EB05F0" w:rsidP="00EB05F0">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Applicants have gone beyond merely alleging ownership and possession by the Respondents. I, therefore, agree with Counsel for the Respondents that the Applicants have failed to show that the Respondents are in unlawful occupation of the garages. The only time the termination is alleged is on the founding affidavit at paragraph 147.3. Counsel for the Applicants submitted that it is sufficient to give notice of termination of an agreement between the parties in their founding affidavit. To this end he relied on </w:t>
      </w:r>
      <w:r w:rsidRPr="001847C7">
        <w:rPr>
          <w:rFonts w:ascii="Times New Roman" w:hAnsi="Times New Roman" w:cs="Times New Roman"/>
          <w:i/>
          <w:sz w:val="28"/>
          <w:szCs w:val="28"/>
        </w:rPr>
        <w:t>Win Twice Properties (Pty) Ltd v Binos and Another</w:t>
      </w:r>
      <w:r w:rsidR="00922E45">
        <w:rPr>
          <w:rFonts w:ascii="Times New Roman" w:hAnsi="Times New Roman" w:cs="Times New Roman"/>
          <w:i/>
          <w:sz w:val="28"/>
          <w:szCs w:val="28"/>
        </w:rPr>
        <w:t>,</w:t>
      </w:r>
      <w:r>
        <w:rPr>
          <w:rStyle w:val="FootnoteReference"/>
          <w:rFonts w:ascii="Times New Roman" w:hAnsi="Times New Roman" w:cs="Times New Roman"/>
          <w:sz w:val="28"/>
          <w:szCs w:val="28"/>
        </w:rPr>
        <w:footnoteReference w:id="45"/>
      </w:r>
      <w:r>
        <w:rPr>
          <w:rFonts w:ascii="Times New Roman" w:hAnsi="Times New Roman" w:cs="Times New Roman"/>
          <w:i/>
          <w:sz w:val="28"/>
          <w:szCs w:val="28"/>
        </w:rPr>
        <w:t xml:space="preserve"> </w:t>
      </w:r>
      <w:r w:rsidRPr="00A6544C">
        <w:rPr>
          <w:rFonts w:ascii="Times New Roman" w:hAnsi="Times New Roman" w:cs="Times New Roman"/>
          <w:sz w:val="28"/>
          <w:szCs w:val="28"/>
        </w:rPr>
        <w:t xml:space="preserve">which </w:t>
      </w:r>
      <w:r>
        <w:rPr>
          <w:rFonts w:ascii="Times New Roman" w:hAnsi="Times New Roman" w:cs="Times New Roman"/>
          <w:sz w:val="28"/>
          <w:szCs w:val="28"/>
        </w:rPr>
        <w:t>stated that at common law notice of cancellation could be communicated in a pleading or application.</w:t>
      </w:r>
    </w:p>
    <w:p w:rsidR="00EB05F0" w:rsidRDefault="00EB05F0" w:rsidP="00EB05F0">
      <w:pPr>
        <w:spacing w:after="0" w:line="360" w:lineRule="auto"/>
        <w:jc w:val="both"/>
        <w:rPr>
          <w:rFonts w:ascii="Times New Roman" w:hAnsi="Times New Roman" w:cs="Times New Roman"/>
          <w:sz w:val="28"/>
          <w:szCs w:val="28"/>
        </w:rPr>
      </w:pPr>
    </w:p>
    <w:p w:rsidR="00EB05F0" w:rsidRPr="00FF6751" w:rsidRDefault="00EB05F0" w:rsidP="00EB05F0">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parties requested to file supplementary heads of argument in order to address the issue of termination that appears for the first time in the founding affidavit. What is patently obvious is that no reasonable notice can be talked of. The </w:t>
      </w:r>
      <w:r w:rsidRPr="00FF6751">
        <w:rPr>
          <w:rFonts w:ascii="Times New Roman" w:hAnsi="Times New Roman" w:cs="Times New Roman"/>
          <w:i/>
          <w:sz w:val="28"/>
          <w:szCs w:val="28"/>
        </w:rPr>
        <w:t>Win Twice Property</w:t>
      </w:r>
      <w:r>
        <w:rPr>
          <w:rFonts w:ascii="Times New Roman" w:hAnsi="Times New Roman" w:cs="Times New Roman"/>
          <w:sz w:val="28"/>
          <w:szCs w:val="28"/>
        </w:rPr>
        <w:t xml:space="preserve"> case </w:t>
      </w:r>
      <w:r w:rsidR="000604A4">
        <w:rPr>
          <w:rFonts w:ascii="Times New Roman" w:hAnsi="Times New Roman" w:cs="Times New Roman"/>
          <w:sz w:val="28"/>
          <w:szCs w:val="28"/>
        </w:rPr>
        <w:t xml:space="preserve">would only </w:t>
      </w:r>
      <w:r>
        <w:rPr>
          <w:rFonts w:ascii="Times New Roman" w:hAnsi="Times New Roman" w:cs="Times New Roman"/>
          <w:sz w:val="28"/>
          <w:szCs w:val="28"/>
        </w:rPr>
        <w:t>shoot into prominence</w:t>
      </w:r>
      <w:r w:rsidR="000604A4">
        <w:rPr>
          <w:rFonts w:ascii="Times New Roman" w:hAnsi="Times New Roman" w:cs="Times New Roman"/>
          <w:sz w:val="28"/>
          <w:szCs w:val="28"/>
        </w:rPr>
        <w:t xml:space="preserve"> if the Court agreed</w:t>
      </w:r>
      <w:r>
        <w:rPr>
          <w:rFonts w:ascii="Times New Roman" w:hAnsi="Times New Roman" w:cs="Times New Roman"/>
          <w:sz w:val="28"/>
          <w:szCs w:val="28"/>
        </w:rPr>
        <w:t xml:space="preserve"> with the Applicant</w:t>
      </w:r>
      <w:r w:rsidR="000604A4">
        <w:rPr>
          <w:rFonts w:ascii="Times New Roman" w:hAnsi="Times New Roman" w:cs="Times New Roman"/>
          <w:sz w:val="28"/>
          <w:szCs w:val="28"/>
        </w:rPr>
        <w:t>s</w:t>
      </w:r>
      <w:r>
        <w:rPr>
          <w:rFonts w:ascii="Times New Roman" w:hAnsi="Times New Roman" w:cs="Times New Roman"/>
          <w:sz w:val="28"/>
          <w:szCs w:val="28"/>
        </w:rPr>
        <w:t xml:space="preserve"> that there was a repudiation. Since I have already rejected this submission </w:t>
      </w:r>
      <w:r w:rsidR="002E0063">
        <w:rPr>
          <w:rFonts w:ascii="Times New Roman" w:hAnsi="Times New Roman" w:cs="Times New Roman"/>
          <w:sz w:val="28"/>
          <w:szCs w:val="28"/>
        </w:rPr>
        <w:t xml:space="preserve">it would be an exercise in futility to look at </w:t>
      </w:r>
      <w:r w:rsidRPr="00FF6751">
        <w:rPr>
          <w:rFonts w:ascii="Times New Roman" w:hAnsi="Times New Roman" w:cs="Times New Roman"/>
          <w:i/>
          <w:sz w:val="28"/>
          <w:szCs w:val="28"/>
        </w:rPr>
        <w:t>Win Twice Property</w:t>
      </w:r>
      <w:r w:rsidR="002E0063">
        <w:rPr>
          <w:rFonts w:ascii="Times New Roman" w:hAnsi="Times New Roman" w:cs="Times New Roman"/>
          <w:i/>
          <w:sz w:val="28"/>
          <w:szCs w:val="28"/>
        </w:rPr>
        <w:t xml:space="preserve"> </w:t>
      </w:r>
      <w:r w:rsidR="002E0063" w:rsidRPr="002E0063">
        <w:rPr>
          <w:rFonts w:ascii="Times New Roman" w:hAnsi="Times New Roman" w:cs="Times New Roman"/>
          <w:sz w:val="28"/>
          <w:szCs w:val="28"/>
        </w:rPr>
        <w:t>case</w:t>
      </w:r>
      <w:r>
        <w:rPr>
          <w:rFonts w:ascii="Times New Roman" w:hAnsi="Times New Roman" w:cs="Times New Roman"/>
          <w:sz w:val="28"/>
          <w:szCs w:val="28"/>
        </w:rPr>
        <w:t xml:space="preserve">. </w:t>
      </w:r>
    </w:p>
    <w:p w:rsidR="00EB5541" w:rsidRPr="00804832" w:rsidRDefault="00EB5541" w:rsidP="00804832">
      <w:pPr>
        <w:spacing w:after="0" w:line="360" w:lineRule="auto"/>
        <w:jc w:val="both"/>
        <w:rPr>
          <w:rFonts w:ascii="Times New Roman" w:hAnsi="Times New Roman" w:cs="Times New Roman"/>
          <w:sz w:val="28"/>
          <w:szCs w:val="28"/>
        </w:rPr>
      </w:pPr>
    </w:p>
    <w:p w:rsidR="00C94B4C" w:rsidRDefault="00A36DA4" w:rsidP="00ED5302">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For the</w:t>
      </w:r>
      <w:r w:rsidR="00E603F6">
        <w:rPr>
          <w:rFonts w:ascii="Times New Roman" w:hAnsi="Times New Roman" w:cs="Times New Roman"/>
          <w:sz w:val="28"/>
          <w:szCs w:val="28"/>
        </w:rPr>
        <w:t xml:space="preserve"> mere fact that </w:t>
      </w:r>
      <w:r>
        <w:rPr>
          <w:rFonts w:ascii="Times New Roman" w:hAnsi="Times New Roman" w:cs="Times New Roman"/>
          <w:sz w:val="28"/>
          <w:szCs w:val="28"/>
        </w:rPr>
        <w:t xml:space="preserve">the Applicants </w:t>
      </w:r>
      <w:r w:rsidR="00EB5541">
        <w:rPr>
          <w:rFonts w:ascii="Times New Roman" w:hAnsi="Times New Roman" w:cs="Times New Roman"/>
          <w:sz w:val="28"/>
          <w:szCs w:val="28"/>
        </w:rPr>
        <w:t>rely on repudiation was a clear indication that an agreement</w:t>
      </w:r>
      <w:r w:rsidR="00E870C7">
        <w:rPr>
          <w:rFonts w:ascii="Times New Roman" w:hAnsi="Times New Roman" w:cs="Times New Roman"/>
          <w:sz w:val="28"/>
          <w:szCs w:val="28"/>
        </w:rPr>
        <w:t xml:space="preserve"> existed between the parties, the Respondents’ Counsel submitted.</w:t>
      </w:r>
      <w:r w:rsidR="00057100">
        <w:rPr>
          <w:rFonts w:ascii="Times New Roman" w:hAnsi="Times New Roman" w:cs="Times New Roman"/>
          <w:sz w:val="28"/>
          <w:szCs w:val="28"/>
        </w:rPr>
        <w:t xml:space="preserve"> </w:t>
      </w:r>
      <w:r>
        <w:rPr>
          <w:rFonts w:ascii="Times New Roman" w:hAnsi="Times New Roman" w:cs="Times New Roman"/>
          <w:sz w:val="28"/>
          <w:szCs w:val="28"/>
        </w:rPr>
        <w:t>He argued</w:t>
      </w:r>
      <w:r w:rsidR="00C94B4C">
        <w:rPr>
          <w:rFonts w:ascii="Times New Roman" w:hAnsi="Times New Roman" w:cs="Times New Roman"/>
          <w:sz w:val="28"/>
          <w:szCs w:val="28"/>
        </w:rPr>
        <w:t xml:space="preserve"> that the Applicants had not exercised one of </w:t>
      </w:r>
      <w:r>
        <w:rPr>
          <w:rFonts w:ascii="Times New Roman" w:hAnsi="Times New Roman" w:cs="Times New Roman"/>
          <w:sz w:val="28"/>
          <w:szCs w:val="28"/>
        </w:rPr>
        <w:t xml:space="preserve">the </w:t>
      </w:r>
      <w:r w:rsidR="00C94B4C">
        <w:rPr>
          <w:rFonts w:ascii="Times New Roman" w:hAnsi="Times New Roman" w:cs="Times New Roman"/>
          <w:sz w:val="28"/>
          <w:szCs w:val="28"/>
        </w:rPr>
        <w:t>two choices following a repudiation, namely;</w:t>
      </w:r>
      <w:r w:rsidR="00ED5302">
        <w:rPr>
          <w:rFonts w:ascii="Times New Roman" w:hAnsi="Times New Roman" w:cs="Times New Roman"/>
          <w:sz w:val="28"/>
          <w:szCs w:val="28"/>
        </w:rPr>
        <w:t xml:space="preserve"> t</w:t>
      </w:r>
      <w:r w:rsidR="00C94B4C" w:rsidRPr="00ED5302">
        <w:rPr>
          <w:rFonts w:ascii="Times New Roman" w:hAnsi="Times New Roman" w:cs="Times New Roman"/>
          <w:sz w:val="28"/>
          <w:szCs w:val="28"/>
        </w:rPr>
        <w:t>o accept the repudiation and termi</w:t>
      </w:r>
      <w:r w:rsidR="00ED5302">
        <w:rPr>
          <w:rFonts w:ascii="Times New Roman" w:hAnsi="Times New Roman" w:cs="Times New Roman"/>
          <w:sz w:val="28"/>
          <w:szCs w:val="28"/>
        </w:rPr>
        <w:t>nate the contract or t</w:t>
      </w:r>
      <w:r w:rsidR="00C94B4C" w:rsidRPr="00ED5302">
        <w:rPr>
          <w:rFonts w:ascii="Times New Roman" w:hAnsi="Times New Roman" w:cs="Times New Roman"/>
          <w:sz w:val="28"/>
          <w:szCs w:val="28"/>
        </w:rPr>
        <w:t>o reject the repudiation and enforce the contract.</w:t>
      </w:r>
      <w:r w:rsidR="00ED5302">
        <w:rPr>
          <w:rFonts w:ascii="Times New Roman" w:hAnsi="Times New Roman" w:cs="Times New Roman"/>
          <w:sz w:val="28"/>
          <w:szCs w:val="28"/>
        </w:rPr>
        <w:t xml:space="preserve"> </w:t>
      </w:r>
      <w:r w:rsidR="00EB05F0">
        <w:rPr>
          <w:rFonts w:ascii="Times New Roman" w:hAnsi="Times New Roman" w:cs="Times New Roman"/>
          <w:sz w:val="28"/>
          <w:szCs w:val="28"/>
        </w:rPr>
        <w:t>This submission is incorrect if one has regard to paragraph 147.3 of the founding affidavit. Nonetheless</w:t>
      </w:r>
      <w:r>
        <w:rPr>
          <w:rFonts w:ascii="Times New Roman" w:hAnsi="Times New Roman" w:cs="Times New Roman"/>
          <w:sz w:val="28"/>
          <w:szCs w:val="28"/>
        </w:rPr>
        <w:t>,</w:t>
      </w:r>
      <w:r w:rsidR="00EB05F0">
        <w:rPr>
          <w:rFonts w:ascii="Times New Roman" w:hAnsi="Times New Roman" w:cs="Times New Roman"/>
          <w:sz w:val="28"/>
          <w:szCs w:val="28"/>
        </w:rPr>
        <w:t xml:space="preserve"> upon applying an objective test</w:t>
      </w:r>
      <w:r>
        <w:rPr>
          <w:rFonts w:ascii="Times New Roman" w:hAnsi="Times New Roman" w:cs="Times New Roman"/>
          <w:sz w:val="28"/>
          <w:szCs w:val="28"/>
        </w:rPr>
        <w:t>,</w:t>
      </w:r>
      <w:r w:rsidR="00EB05F0">
        <w:rPr>
          <w:rFonts w:ascii="Times New Roman" w:hAnsi="Times New Roman" w:cs="Times New Roman"/>
          <w:sz w:val="28"/>
          <w:szCs w:val="28"/>
        </w:rPr>
        <w:t xml:space="preserve"> </w:t>
      </w:r>
      <w:r>
        <w:rPr>
          <w:rFonts w:ascii="Times New Roman" w:hAnsi="Times New Roman" w:cs="Times New Roman"/>
          <w:sz w:val="28"/>
          <w:szCs w:val="28"/>
        </w:rPr>
        <w:t xml:space="preserve">referred to in </w:t>
      </w:r>
      <w:r w:rsidRPr="00A36DA4">
        <w:rPr>
          <w:rFonts w:ascii="Times New Roman" w:hAnsi="Times New Roman" w:cs="Times New Roman"/>
          <w:i/>
          <w:sz w:val="28"/>
          <w:szCs w:val="28"/>
        </w:rPr>
        <w:t>Datacolor</w:t>
      </w:r>
      <w:r>
        <w:rPr>
          <w:rFonts w:ascii="Times New Roman" w:hAnsi="Times New Roman" w:cs="Times New Roman"/>
          <w:sz w:val="28"/>
          <w:szCs w:val="28"/>
        </w:rPr>
        <w:t xml:space="preserve"> case, </w:t>
      </w:r>
      <w:r w:rsidR="00EB05F0">
        <w:rPr>
          <w:rFonts w:ascii="Times New Roman" w:hAnsi="Times New Roman" w:cs="Times New Roman"/>
          <w:sz w:val="28"/>
          <w:szCs w:val="28"/>
        </w:rPr>
        <w:t xml:space="preserve">on the facts, I found that there was no repudiation. </w:t>
      </w:r>
      <w:r w:rsidR="00ED5302">
        <w:rPr>
          <w:rFonts w:ascii="Times New Roman" w:hAnsi="Times New Roman" w:cs="Times New Roman"/>
          <w:sz w:val="28"/>
          <w:szCs w:val="28"/>
        </w:rPr>
        <w:t>Therefore, the</w:t>
      </w:r>
      <w:r w:rsidR="00EB05F0">
        <w:rPr>
          <w:rFonts w:ascii="Times New Roman" w:hAnsi="Times New Roman" w:cs="Times New Roman"/>
          <w:sz w:val="28"/>
          <w:szCs w:val="28"/>
        </w:rPr>
        <w:t xml:space="preserve"> Applicants </w:t>
      </w:r>
      <w:r>
        <w:rPr>
          <w:rFonts w:ascii="Times New Roman" w:hAnsi="Times New Roman" w:cs="Times New Roman"/>
          <w:sz w:val="28"/>
          <w:szCs w:val="28"/>
        </w:rPr>
        <w:t>could not</w:t>
      </w:r>
      <w:r w:rsidR="00ED5302">
        <w:rPr>
          <w:rFonts w:ascii="Times New Roman" w:hAnsi="Times New Roman" w:cs="Times New Roman"/>
          <w:sz w:val="28"/>
          <w:szCs w:val="28"/>
        </w:rPr>
        <w:t xml:space="preserve"> evict</w:t>
      </w:r>
      <w:r>
        <w:rPr>
          <w:rFonts w:ascii="Times New Roman" w:hAnsi="Times New Roman" w:cs="Times New Roman"/>
          <w:sz w:val="28"/>
          <w:szCs w:val="28"/>
        </w:rPr>
        <w:t xml:space="preserve"> the Respondents from </w:t>
      </w:r>
      <w:r w:rsidR="00ED5302">
        <w:rPr>
          <w:rFonts w:ascii="Times New Roman" w:hAnsi="Times New Roman" w:cs="Times New Roman"/>
          <w:sz w:val="28"/>
          <w:szCs w:val="28"/>
        </w:rPr>
        <w:t>using the garages.</w:t>
      </w:r>
    </w:p>
    <w:p w:rsidR="00A36DA4" w:rsidRPr="00A36DA4" w:rsidRDefault="00A36DA4" w:rsidP="00A36DA4">
      <w:pPr>
        <w:pStyle w:val="ListParagraph"/>
        <w:rPr>
          <w:rFonts w:ascii="Times New Roman" w:hAnsi="Times New Roman" w:cs="Times New Roman"/>
          <w:sz w:val="28"/>
          <w:szCs w:val="28"/>
        </w:rPr>
      </w:pPr>
    </w:p>
    <w:p w:rsidR="00A36DA4" w:rsidRDefault="00A36DA4" w:rsidP="00ED5302">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It is trite that in order to succeed in an interdict a party needs to prove a clear right, injury actually committed </w:t>
      </w:r>
      <w:r w:rsidR="0031696C">
        <w:rPr>
          <w:rFonts w:ascii="Times New Roman" w:hAnsi="Times New Roman" w:cs="Times New Roman"/>
          <w:sz w:val="28"/>
          <w:szCs w:val="28"/>
        </w:rPr>
        <w:t xml:space="preserve">or reasonably apprehended </w:t>
      </w:r>
      <w:r>
        <w:rPr>
          <w:rFonts w:ascii="Times New Roman" w:hAnsi="Times New Roman" w:cs="Times New Roman"/>
          <w:sz w:val="28"/>
          <w:szCs w:val="28"/>
        </w:rPr>
        <w:t>and lack of an adequate alternative remedy. In short</w:t>
      </w:r>
      <w:r w:rsidR="004B6F45">
        <w:rPr>
          <w:rFonts w:ascii="Times New Roman" w:hAnsi="Times New Roman" w:cs="Times New Roman"/>
          <w:sz w:val="28"/>
          <w:szCs w:val="28"/>
        </w:rPr>
        <w:t xml:space="preserve"> the requirements mentioned in</w:t>
      </w:r>
      <w:r>
        <w:rPr>
          <w:rFonts w:ascii="Times New Roman" w:hAnsi="Times New Roman" w:cs="Times New Roman"/>
          <w:sz w:val="28"/>
          <w:szCs w:val="28"/>
        </w:rPr>
        <w:t xml:space="preserve"> </w:t>
      </w:r>
      <w:r w:rsidRPr="00A36DA4">
        <w:rPr>
          <w:rFonts w:ascii="Times New Roman" w:hAnsi="Times New Roman" w:cs="Times New Roman"/>
          <w:i/>
          <w:sz w:val="28"/>
          <w:szCs w:val="28"/>
        </w:rPr>
        <w:t>Setlogelo v Setlogelo</w:t>
      </w:r>
      <w:r w:rsidR="004B6F45">
        <w:rPr>
          <w:rFonts w:ascii="Times New Roman" w:hAnsi="Times New Roman" w:cs="Times New Roman"/>
          <w:i/>
          <w:sz w:val="28"/>
          <w:szCs w:val="28"/>
        </w:rPr>
        <w:t>.</w:t>
      </w:r>
      <w:r>
        <w:rPr>
          <w:rStyle w:val="FootnoteReference"/>
          <w:rFonts w:ascii="Times New Roman" w:hAnsi="Times New Roman" w:cs="Times New Roman"/>
          <w:i/>
          <w:sz w:val="28"/>
          <w:szCs w:val="28"/>
        </w:rPr>
        <w:footnoteReference w:id="46"/>
      </w:r>
      <w:r w:rsidR="004B6F45">
        <w:rPr>
          <w:rFonts w:ascii="Times New Roman" w:hAnsi="Times New Roman" w:cs="Times New Roman"/>
          <w:i/>
          <w:sz w:val="28"/>
          <w:szCs w:val="28"/>
        </w:rPr>
        <w:t xml:space="preserve"> </w:t>
      </w:r>
      <w:r w:rsidR="00BC0368" w:rsidRPr="00BC0368">
        <w:rPr>
          <w:rFonts w:ascii="Times New Roman" w:hAnsi="Times New Roman" w:cs="Times New Roman"/>
          <w:sz w:val="28"/>
          <w:szCs w:val="28"/>
        </w:rPr>
        <w:t xml:space="preserve">Apart </w:t>
      </w:r>
      <w:r w:rsidR="00BC0368">
        <w:rPr>
          <w:rFonts w:ascii="Times New Roman" w:hAnsi="Times New Roman" w:cs="Times New Roman"/>
          <w:sz w:val="28"/>
          <w:szCs w:val="28"/>
        </w:rPr>
        <w:t>from</w:t>
      </w:r>
      <w:r w:rsidR="0013608D">
        <w:rPr>
          <w:rFonts w:ascii="Times New Roman" w:hAnsi="Times New Roman" w:cs="Times New Roman"/>
          <w:sz w:val="28"/>
          <w:szCs w:val="28"/>
        </w:rPr>
        <w:t xml:space="preserve"> that the Applicants have </w:t>
      </w:r>
      <w:r w:rsidR="00BC0368">
        <w:rPr>
          <w:rFonts w:ascii="Times New Roman" w:hAnsi="Times New Roman" w:cs="Times New Roman"/>
          <w:sz w:val="28"/>
          <w:szCs w:val="28"/>
        </w:rPr>
        <w:t xml:space="preserve">an </w:t>
      </w:r>
      <w:r w:rsidR="0013608D">
        <w:rPr>
          <w:rFonts w:ascii="Times New Roman" w:hAnsi="Times New Roman" w:cs="Times New Roman"/>
          <w:sz w:val="28"/>
          <w:szCs w:val="28"/>
        </w:rPr>
        <w:t xml:space="preserve">alternative remedy, they cannot prove any injury actually committed </w:t>
      </w:r>
      <w:r w:rsidR="00BC0368">
        <w:rPr>
          <w:rFonts w:ascii="Times New Roman" w:hAnsi="Times New Roman" w:cs="Times New Roman"/>
          <w:sz w:val="28"/>
          <w:szCs w:val="28"/>
        </w:rPr>
        <w:t xml:space="preserve">or reasonably apprehended when they </w:t>
      </w:r>
      <w:r w:rsidR="0013608D">
        <w:rPr>
          <w:rFonts w:ascii="Times New Roman" w:hAnsi="Times New Roman" w:cs="Times New Roman"/>
          <w:sz w:val="28"/>
          <w:szCs w:val="28"/>
        </w:rPr>
        <w:t>permitted the Re</w:t>
      </w:r>
      <w:r w:rsidR="00461C5A">
        <w:rPr>
          <w:rFonts w:ascii="Times New Roman" w:hAnsi="Times New Roman" w:cs="Times New Roman"/>
          <w:sz w:val="28"/>
          <w:szCs w:val="28"/>
        </w:rPr>
        <w:t>spondents to occupy the garages, which they said belong to them.</w:t>
      </w:r>
      <w:r w:rsidR="0013608D">
        <w:rPr>
          <w:rFonts w:ascii="Times New Roman" w:hAnsi="Times New Roman" w:cs="Times New Roman"/>
          <w:sz w:val="28"/>
          <w:szCs w:val="28"/>
        </w:rPr>
        <w:t xml:space="preserve"> Accordingly, </w:t>
      </w:r>
      <w:r w:rsidR="00461C5A">
        <w:rPr>
          <w:rFonts w:ascii="Times New Roman" w:hAnsi="Times New Roman" w:cs="Times New Roman"/>
          <w:sz w:val="28"/>
          <w:szCs w:val="28"/>
        </w:rPr>
        <w:t xml:space="preserve">the </w:t>
      </w:r>
      <w:r w:rsidR="0013608D">
        <w:rPr>
          <w:rFonts w:ascii="Times New Roman" w:hAnsi="Times New Roman" w:cs="Times New Roman"/>
          <w:sz w:val="28"/>
          <w:szCs w:val="28"/>
        </w:rPr>
        <w:t>Applicants cannot also succeed to interdict the Respondents from using the garages.</w:t>
      </w:r>
    </w:p>
    <w:p w:rsidR="00461C5A" w:rsidRPr="00461C5A" w:rsidRDefault="00461C5A" w:rsidP="00461C5A">
      <w:pPr>
        <w:pStyle w:val="ListParagraph"/>
        <w:rPr>
          <w:rFonts w:ascii="Times New Roman" w:hAnsi="Times New Roman" w:cs="Times New Roman"/>
          <w:sz w:val="28"/>
          <w:szCs w:val="28"/>
        </w:rPr>
      </w:pPr>
    </w:p>
    <w:p w:rsidR="00EB0D99" w:rsidRPr="00794CBB" w:rsidRDefault="00794CBB" w:rsidP="00794CBB">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long and short of Counsel for the Respondents’ submission was </w:t>
      </w:r>
      <w:r w:rsidR="00804832">
        <w:rPr>
          <w:rFonts w:ascii="Times New Roman" w:hAnsi="Times New Roman" w:cs="Times New Roman"/>
          <w:sz w:val="28"/>
          <w:szCs w:val="28"/>
        </w:rPr>
        <w:t>that t</w:t>
      </w:r>
      <w:r w:rsidR="00804832" w:rsidRPr="00D71C6C">
        <w:rPr>
          <w:rFonts w:ascii="Times New Roman" w:hAnsi="Times New Roman" w:cs="Times New Roman"/>
          <w:sz w:val="28"/>
          <w:szCs w:val="28"/>
        </w:rPr>
        <w:t>he arrangement between the parties was never subject to the lifting of the restrictions</w:t>
      </w:r>
      <w:r w:rsidR="00804832">
        <w:rPr>
          <w:rFonts w:ascii="Times New Roman" w:hAnsi="Times New Roman" w:cs="Times New Roman"/>
          <w:sz w:val="28"/>
          <w:szCs w:val="28"/>
        </w:rPr>
        <w:t xml:space="preserve"> on the development. </w:t>
      </w:r>
      <w:r w:rsidR="00804832" w:rsidRPr="00D71C6C">
        <w:rPr>
          <w:rFonts w:ascii="Times New Roman" w:hAnsi="Times New Roman" w:cs="Times New Roman"/>
          <w:sz w:val="28"/>
          <w:szCs w:val="28"/>
        </w:rPr>
        <w:t>Therefore</w:t>
      </w:r>
      <w:r w:rsidR="00804832">
        <w:rPr>
          <w:rFonts w:ascii="Times New Roman" w:hAnsi="Times New Roman" w:cs="Times New Roman"/>
          <w:sz w:val="28"/>
          <w:szCs w:val="28"/>
        </w:rPr>
        <w:t>,</w:t>
      </w:r>
      <w:r w:rsidR="00804832" w:rsidRPr="00D71C6C">
        <w:rPr>
          <w:rFonts w:ascii="Times New Roman" w:hAnsi="Times New Roman" w:cs="Times New Roman"/>
          <w:sz w:val="28"/>
          <w:szCs w:val="28"/>
        </w:rPr>
        <w:t xml:space="preserve"> </w:t>
      </w:r>
      <w:r w:rsidR="00804832">
        <w:rPr>
          <w:rFonts w:ascii="Times New Roman" w:hAnsi="Times New Roman" w:cs="Times New Roman"/>
          <w:sz w:val="28"/>
          <w:szCs w:val="28"/>
        </w:rPr>
        <w:t xml:space="preserve">the Applicants </w:t>
      </w:r>
      <w:r w:rsidR="00804832" w:rsidRPr="00D71C6C">
        <w:rPr>
          <w:rFonts w:ascii="Times New Roman" w:hAnsi="Times New Roman" w:cs="Times New Roman"/>
          <w:sz w:val="28"/>
          <w:szCs w:val="28"/>
        </w:rPr>
        <w:t>could not change their mind</w:t>
      </w:r>
      <w:r w:rsidR="00804832">
        <w:rPr>
          <w:rFonts w:ascii="Times New Roman" w:hAnsi="Times New Roman" w:cs="Times New Roman"/>
          <w:sz w:val="28"/>
          <w:szCs w:val="28"/>
        </w:rPr>
        <w:t>s</w:t>
      </w:r>
      <w:r w:rsidR="00804832" w:rsidRPr="00D71C6C">
        <w:rPr>
          <w:rFonts w:ascii="Times New Roman" w:hAnsi="Times New Roman" w:cs="Times New Roman"/>
          <w:sz w:val="28"/>
          <w:szCs w:val="28"/>
        </w:rPr>
        <w:t xml:space="preserve"> and want to b</w:t>
      </w:r>
      <w:r w:rsidR="00804832">
        <w:rPr>
          <w:rFonts w:ascii="Times New Roman" w:hAnsi="Times New Roman" w:cs="Times New Roman"/>
          <w:sz w:val="28"/>
          <w:szCs w:val="28"/>
        </w:rPr>
        <w:t>uild a swimming pool or a flat</w:t>
      </w:r>
      <w:r w:rsidR="00EB05F0">
        <w:rPr>
          <w:rFonts w:ascii="Times New Roman" w:hAnsi="Times New Roman" w:cs="Times New Roman"/>
          <w:sz w:val="28"/>
          <w:szCs w:val="28"/>
        </w:rPr>
        <w:t xml:space="preserve">. </w:t>
      </w:r>
      <w:r w:rsidR="00EB0D99" w:rsidRPr="00794CBB">
        <w:rPr>
          <w:rFonts w:ascii="Times New Roman" w:hAnsi="Times New Roman" w:cs="Times New Roman"/>
          <w:sz w:val="28"/>
          <w:szCs w:val="28"/>
        </w:rPr>
        <w:t xml:space="preserve">  </w:t>
      </w:r>
    </w:p>
    <w:p w:rsidR="00D71C6C" w:rsidRPr="00D71C6C" w:rsidRDefault="00D71C6C" w:rsidP="00D71C6C">
      <w:pPr>
        <w:pStyle w:val="ListParagraph"/>
        <w:spacing w:after="0" w:line="360" w:lineRule="auto"/>
        <w:jc w:val="both"/>
        <w:rPr>
          <w:rFonts w:ascii="Times New Roman" w:hAnsi="Times New Roman" w:cs="Times New Roman"/>
          <w:sz w:val="28"/>
          <w:szCs w:val="28"/>
        </w:rPr>
      </w:pPr>
    </w:p>
    <w:p w:rsidR="00EB0D99" w:rsidRDefault="00C11FF3" w:rsidP="009D449D">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I agree with this submission that e</w:t>
      </w:r>
      <w:r w:rsidR="00842213">
        <w:rPr>
          <w:rFonts w:ascii="Times New Roman" w:hAnsi="Times New Roman" w:cs="Times New Roman"/>
          <w:sz w:val="28"/>
          <w:szCs w:val="28"/>
        </w:rPr>
        <w:t>ven the failure to produce the</w:t>
      </w:r>
      <w:r w:rsidR="00EB0D99" w:rsidRPr="00D71C6C">
        <w:rPr>
          <w:rFonts w:ascii="Times New Roman" w:hAnsi="Times New Roman" w:cs="Times New Roman"/>
          <w:sz w:val="28"/>
          <w:szCs w:val="28"/>
        </w:rPr>
        <w:t xml:space="preserve"> document </w:t>
      </w:r>
      <w:r w:rsidR="00842213">
        <w:rPr>
          <w:rFonts w:ascii="Times New Roman" w:hAnsi="Times New Roman" w:cs="Times New Roman"/>
          <w:sz w:val="28"/>
          <w:szCs w:val="28"/>
        </w:rPr>
        <w:t>requested</w:t>
      </w:r>
      <w:r>
        <w:rPr>
          <w:rFonts w:ascii="Times New Roman" w:hAnsi="Times New Roman" w:cs="Times New Roman"/>
          <w:sz w:val="28"/>
          <w:szCs w:val="28"/>
        </w:rPr>
        <w:t xml:space="preserve"> by the Respondents</w:t>
      </w:r>
      <w:r w:rsidR="00842213">
        <w:rPr>
          <w:rFonts w:ascii="Times New Roman" w:hAnsi="Times New Roman" w:cs="Times New Roman"/>
          <w:sz w:val="28"/>
          <w:szCs w:val="28"/>
        </w:rPr>
        <w:t xml:space="preserve"> was not material because the Applicants mentioned that it was a condition of their purchase of the property to grant the </w:t>
      </w:r>
      <w:r w:rsidR="00CF1EE4">
        <w:rPr>
          <w:rFonts w:ascii="Times New Roman" w:hAnsi="Times New Roman" w:cs="Times New Roman"/>
          <w:sz w:val="28"/>
          <w:szCs w:val="28"/>
        </w:rPr>
        <w:t xml:space="preserve">owner of erf 572 </w:t>
      </w:r>
      <w:r w:rsidR="00842213">
        <w:rPr>
          <w:rFonts w:ascii="Times New Roman" w:hAnsi="Times New Roman" w:cs="Times New Roman"/>
          <w:sz w:val="28"/>
          <w:szCs w:val="28"/>
        </w:rPr>
        <w:t>access to the garages.</w:t>
      </w:r>
      <w:r w:rsidR="00EB0D99" w:rsidRPr="00D71C6C">
        <w:rPr>
          <w:rFonts w:ascii="Times New Roman" w:hAnsi="Times New Roman" w:cs="Times New Roman"/>
          <w:sz w:val="28"/>
          <w:szCs w:val="28"/>
        </w:rPr>
        <w:t xml:space="preserve"> They are the ones </w:t>
      </w:r>
      <w:r w:rsidR="00CF1EE4">
        <w:rPr>
          <w:rFonts w:ascii="Times New Roman" w:hAnsi="Times New Roman" w:cs="Times New Roman"/>
          <w:sz w:val="28"/>
          <w:szCs w:val="28"/>
        </w:rPr>
        <w:t xml:space="preserve">who </w:t>
      </w:r>
      <w:r w:rsidR="00961EE0">
        <w:rPr>
          <w:rFonts w:ascii="Times New Roman" w:hAnsi="Times New Roman" w:cs="Times New Roman"/>
          <w:sz w:val="28"/>
          <w:szCs w:val="28"/>
        </w:rPr>
        <w:t>referred the R</w:t>
      </w:r>
      <w:r w:rsidR="00D71C6C">
        <w:rPr>
          <w:rFonts w:ascii="Times New Roman" w:hAnsi="Times New Roman" w:cs="Times New Roman"/>
          <w:sz w:val="28"/>
          <w:szCs w:val="28"/>
        </w:rPr>
        <w:t>espondent</w:t>
      </w:r>
      <w:r w:rsidR="00961EE0">
        <w:rPr>
          <w:rFonts w:ascii="Times New Roman" w:hAnsi="Times New Roman" w:cs="Times New Roman"/>
          <w:sz w:val="28"/>
          <w:szCs w:val="28"/>
        </w:rPr>
        <w:t>s</w:t>
      </w:r>
      <w:r w:rsidR="00CF1EE4">
        <w:rPr>
          <w:rFonts w:ascii="Times New Roman" w:hAnsi="Times New Roman" w:cs="Times New Roman"/>
          <w:sz w:val="28"/>
          <w:szCs w:val="28"/>
        </w:rPr>
        <w:t xml:space="preserve"> to </w:t>
      </w:r>
      <w:r w:rsidR="00D71C6C">
        <w:rPr>
          <w:rFonts w:ascii="Times New Roman" w:hAnsi="Times New Roman" w:cs="Times New Roman"/>
          <w:sz w:val="28"/>
          <w:szCs w:val="28"/>
        </w:rPr>
        <w:t>Steyn De Villiers</w:t>
      </w:r>
      <w:r w:rsidR="00CF1EE4">
        <w:rPr>
          <w:rFonts w:ascii="Times New Roman" w:hAnsi="Times New Roman" w:cs="Times New Roman"/>
          <w:sz w:val="28"/>
          <w:szCs w:val="28"/>
        </w:rPr>
        <w:t>, a notary public</w:t>
      </w:r>
      <w:r w:rsidR="00EB0D99" w:rsidRPr="00D71C6C">
        <w:rPr>
          <w:rFonts w:ascii="Times New Roman" w:hAnsi="Times New Roman" w:cs="Times New Roman"/>
          <w:sz w:val="28"/>
          <w:szCs w:val="28"/>
        </w:rPr>
        <w:t xml:space="preserve">. The </w:t>
      </w:r>
      <w:r w:rsidR="00CF1EE4">
        <w:rPr>
          <w:rFonts w:ascii="Times New Roman" w:hAnsi="Times New Roman" w:cs="Times New Roman"/>
          <w:sz w:val="28"/>
          <w:szCs w:val="28"/>
        </w:rPr>
        <w:t>Applicants informed De Villiers that they were</w:t>
      </w:r>
      <w:r w:rsidR="00EB0D99" w:rsidRPr="00D71C6C">
        <w:rPr>
          <w:rFonts w:ascii="Times New Roman" w:hAnsi="Times New Roman" w:cs="Times New Roman"/>
          <w:sz w:val="28"/>
          <w:szCs w:val="28"/>
        </w:rPr>
        <w:t xml:space="preserve"> happy to proceed with a verbal description.</w:t>
      </w:r>
      <w:r w:rsidR="00CF1EE4">
        <w:rPr>
          <w:rFonts w:ascii="Times New Roman" w:hAnsi="Times New Roman" w:cs="Times New Roman"/>
          <w:sz w:val="28"/>
          <w:szCs w:val="28"/>
        </w:rPr>
        <w:t xml:space="preserve"> I am</w:t>
      </w:r>
      <w:r w:rsidR="009A146F">
        <w:rPr>
          <w:rFonts w:ascii="Times New Roman" w:hAnsi="Times New Roman" w:cs="Times New Roman"/>
          <w:sz w:val="28"/>
          <w:szCs w:val="28"/>
        </w:rPr>
        <w:t xml:space="preserve"> persuaded that the conspectus </w:t>
      </w:r>
      <w:r w:rsidR="00CF1EE4">
        <w:rPr>
          <w:rFonts w:ascii="Times New Roman" w:hAnsi="Times New Roman" w:cs="Times New Roman"/>
          <w:sz w:val="28"/>
          <w:szCs w:val="28"/>
        </w:rPr>
        <w:t xml:space="preserve">of evidence points to an agreement to register a servitude in order to formalize the </w:t>
      </w:r>
      <w:r w:rsidR="00CF1EE4" w:rsidRPr="00CF1EE4">
        <w:rPr>
          <w:rFonts w:ascii="Times New Roman" w:hAnsi="Times New Roman" w:cs="Times New Roman"/>
          <w:i/>
          <w:sz w:val="28"/>
          <w:szCs w:val="28"/>
        </w:rPr>
        <w:t>de facto</w:t>
      </w:r>
      <w:r w:rsidR="00EB0D99" w:rsidRPr="00D71C6C">
        <w:rPr>
          <w:rFonts w:ascii="Times New Roman" w:hAnsi="Times New Roman" w:cs="Times New Roman"/>
          <w:sz w:val="28"/>
          <w:szCs w:val="28"/>
        </w:rPr>
        <w:t xml:space="preserve"> </w:t>
      </w:r>
      <w:r w:rsidR="00CF1EE4">
        <w:rPr>
          <w:rFonts w:ascii="Times New Roman" w:hAnsi="Times New Roman" w:cs="Times New Roman"/>
          <w:sz w:val="28"/>
          <w:szCs w:val="28"/>
        </w:rPr>
        <w:t>recognition of the Respondents’ ownership of the garages. However, the question still remains was this an inchoate agreement?</w:t>
      </w:r>
      <w:r w:rsidR="00EB0D99" w:rsidRPr="00D71C6C">
        <w:rPr>
          <w:rFonts w:ascii="Times New Roman" w:hAnsi="Times New Roman" w:cs="Times New Roman"/>
          <w:sz w:val="28"/>
          <w:szCs w:val="28"/>
        </w:rPr>
        <w:t xml:space="preserve"> </w:t>
      </w:r>
    </w:p>
    <w:p w:rsidR="00D71C6C" w:rsidRPr="00D71C6C" w:rsidRDefault="00D71C6C" w:rsidP="00D71C6C">
      <w:pPr>
        <w:pStyle w:val="ListParagraph"/>
        <w:spacing w:after="0" w:line="360" w:lineRule="auto"/>
        <w:jc w:val="both"/>
        <w:rPr>
          <w:rFonts w:ascii="Times New Roman" w:hAnsi="Times New Roman" w:cs="Times New Roman"/>
          <w:sz w:val="28"/>
          <w:szCs w:val="28"/>
        </w:rPr>
      </w:pPr>
    </w:p>
    <w:p w:rsidR="00BA6C70" w:rsidRDefault="00CF1EE4" w:rsidP="00961EE0">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Turning to the </w:t>
      </w:r>
      <w:r w:rsidR="00961EE0">
        <w:rPr>
          <w:rFonts w:ascii="Times New Roman" w:hAnsi="Times New Roman" w:cs="Times New Roman"/>
          <w:sz w:val="28"/>
          <w:szCs w:val="28"/>
        </w:rPr>
        <w:t>Applicants’ submi</w:t>
      </w:r>
      <w:r w:rsidR="00BA6C70">
        <w:rPr>
          <w:rFonts w:ascii="Times New Roman" w:hAnsi="Times New Roman" w:cs="Times New Roman"/>
          <w:sz w:val="28"/>
          <w:szCs w:val="28"/>
        </w:rPr>
        <w:t>ssion that</w:t>
      </w:r>
      <w:r>
        <w:rPr>
          <w:rFonts w:ascii="Times New Roman" w:hAnsi="Times New Roman" w:cs="Times New Roman"/>
          <w:sz w:val="28"/>
          <w:szCs w:val="28"/>
        </w:rPr>
        <w:t xml:space="preserve"> the</w:t>
      </w:r>
      <w:r w:rsidR="00961EE0">
        <w:rPr>
          <w:rFonts w:ascii="Times New Roman" w:hAnsi="Times New Roman" w:cs="Times New Roman"/>
          <w:sz w:val="28"/>
          <w:szCs w:val="28"/>
        </w:rPr>
        <w:t xml:space="preserve"> agreement was inchoate because the parties had not drafted the diagram nor employed a surveyor, Counsel for the Respondents argued that those were the nitty-gritties</w:t>
      </w:r>
      <w:r w:rsidR="00EB0D99" w:rsidRPr="00961EE0">
        <w:rPr>
          <w:rFonts w:ascii="Times New Roman" w:hAnsi="Times New Roman" w:cs="Times New Roman"/>
          <w:sz w:val="28"/>
          <w:szCs w:val="28"/>
        </w:rPr>
        <w:t xml:space="preserve"> of the implementation of the agree</w:t>
      </w:r>
      <w:r w:rsidR="00BA6C70">
        <w:rPr>
          <w:rFonts w:ascii="Times New Roman" w:hAnsi="Times New Roman" w:cs="Times New Roman"/>
          <w:sz w:val="28"/>
          <w:szCs w:val="28"/>
        </w:rPr>
        <w:t>ment.</w:t>
      </w:r>
      <w:r w:rsidR="00842213">
        <w:rPr>
          <w:rFonts w:ascii="Times New Roman" w:hAnsi="Times New Roman" w:cs="Times New Roman"/>
          <w:sz w:val="28"/>
          <w:szCs w:val="28"/>
        </w:rPr>
        <w:t xml:space="preserve"> The first A</w:t>
      </w:r>
      <w:r w:rsidR="00BA6C70">
        <w:rPr>
          <w:rFonts w:ascii="Times New Roman" w:hAnsi="Times New Roman" w:cs="Times New Roman"/>
          <w:sz w:val="28"/>
          <w:szCs w:val="28"/>
        </w:rPr>
        <w:t>pplicant told Steyn</w:t>
      </w:r>
      <w:r w:rsidR="00EB0D99" w:rsidRPr="00961EE0">
        <w:rPr>
          <w:rFonts w:ascii="Times New Roman" w:hAnsi="Times New Roman" w:cs="Times New Roman"/>
          <w:sz w:val="28"/>
          <w:szCs w:val="28"/>
        </w:rPr>
        <w:t xml:space="preserve"> </w:t>
      </w:r>
      <w:r w:rsidR="00461C5A">
        <w:rPr>
          <w:rFonts w:ascii="Times New Roman" w:hAnsi="Times New Roman" w:cs="Times New Roman"/>
          <w:sz w:val="28"/>
          <w:szCs w:val="28"/>
        </w:rPr>
        <w:t xml:space="preserve">De Villiers </w:t>
      </w:r>
      <w:r w:rsidR="00EB0D99" w:rsidRPr="00961EE0">
        <w:rPr>
          <w:rFonts w:ascii="Times New Roman" w:hAnsi="Times New Roman" w:cs="Times New Roman"/>
          <w:sz w:val="28"/>
          <w:szCs w:val="28"/>
        </w:rPr>
        <w:t>that he was happy to go</w:t>
      </w:r>
      <w:r w:rsidR="00C11FF3">
        <w:rPr>
          <w:rFonts w:ascii="Times New Roman" w:hAnsi="Times New Roman" w:cs="Times New Roman"/>
          <w:sz w:val="28"/>
          <w:szCs w:val="28"/>
        </w:rPr>
        <w:t xml:space="preserve"> along wit</w:t>
      </w:r>
      <w:r w:rsidR="00F15374">
        <w:rPr>
          <w:rFonts w:ascii="Times New Roman" w:hAnsi="Times New Roman" w:cs="Times New Roman"/>
          <w:sz w:val="28"/>
          <w:szCs w:val="28"/>
        </w:rPr>
        <w:t xml:space="preserve">h </w:t>
      </w:r>
      <w:r w:rsidR="00461C5A">
        <w:rPr>
          <w:rFonts w:ascii="Times New Roman" w:hAnsi="Times New Roman" w:cs="Times New Roman"/>
          <w:sz w:val="28"/>
          <w:szCs w:val="28"/>
        </w:rPr>
        <w:t xml:space="preserve">the </w:t>
      </w:r>
      <w:r w:rsidR="00F15374">
        <w:rPr>
          <w:rFonts w:ascii="Times New Roman" w:hAnsi="Times New Roman" w:cs="Times New Roman"/>
          <w:sz w:val="28"/>
          <w:szCs w:val="28"/>
        </w:rPr>
        <w:t>verbal description.</w:t>
      </w:r>
      <w:r w:rsidR="00BA6C70">
        <w:rPr>
          <w:rFonts w:ascii="Times New Roman" w:hAnsi="Times New Roman" w:cs="Times New Roman"/>
          <w:sz w:val="28"/>
          <w:szCs w:val="28"/>
        </w:rPr>
        <w:t xml:space="preserve"> The Respondents’ Counsel hit the nail on the head that as a result of the</w:t>
      </w:r>
      <w:r w:rsidR="00EB0D99" w:rsidRPr="00961EE0">
        <w:rPr>
          <w:rFonts w:ascii="Times New Roman" w:hAnsi="Times New Roman" w:cs="Times New Roman"/>
          <w:sz w:val="28"/>
          <w:szCs w:val="28"/>
        </w:rPr>
        <w:t xml:space="preserve"> limitations being uplifted the</w:t>
      </w:r>
      <w:r w:rsidR="00A444D5">
        <w:rPr>
          <w:rFonts w:ascii="Times New Roman" w:hAnsi="Times New Roman" w:cs="Times New Roman"/>
          <w:sz w:val="28"/>
          <w:szCs w:val="28"/>
        </w:rPr>
        <w:t xml:space="preserve"> Applicants</w:t>
      </w:r>
      <w:r w:rsidR="00EB0D99" w:rsidRPr="00961EE0">
        <w:rPr>
          <w:rFonts w:ascii="Times New Roman" w:hAnsi="Times New Roman" w:cs="Times New Roman"/>
          <w:sz w:val="28"/>
          <w:szCs w:val="28"/>
        </w:rPr>
        <w:t xml:space="preserve"> consi</w:t>
      </w:r>
      <w:r w:rsidR="00A444D5">
        <w:rPr>
          <w:rFonts w:ascii="Times New Roman" w:hAnsi="Times New Roman" w:cs="Times New Roman"/>
          <w:sz w:val="28"/>
          <w:szCs w:val="28"/>
        </w:rPr>
        <w:t>dered expanding the house</w:t>
      </w:r>
      <w:r w:rsidR="00A25AB2">
        <w:rPr>
          <w:rFonts w:ascii="Times New Roman" w:hAnsi="Times New Roman" w:cs="Times New Roman"/>
          <w:sz w:val="28"/>
          <w:szCs w:val="28"/>
        </w:rPr>
        <w:t xml:space="preserve"> and</w:t>
      </w:r>
      <w:r w:rsidR="00A444D5">
        <w:rPr>
          <w:rFonts w:ascii="Times New Roman" w:hAnsi="Times New Roman" w:cs="Times New Roman"/>
          <w:sz w:val="28"/>
          <w:szCs w:val="28"/>
        </w:rPr>
        <w:t xml:space="preserve"> that is</w:t>
      </w:r>
      <w:r w:rsidR="00EB0D99" w:rsidRPr="00961EE0">
        <w:rPr>
          <w:rFonts w:ascii="Times New Roman" w:hAnsi="Times New Roman" w:cs="Times New Roman"/>
          <w:sz w:val="28"/>
          <w:szCs w:val="28"/>
        </w:rPr>
        <w:t xml:space="preserve"> when they changed their minds.</w:t>
      </w:r>
    </w:p>
    <w:p w:rsidR="00BA6C70" w:rsidRPr="00BA6C70" w:rsidRDefault="00BA6C70" w:rsidP="00BA6C70">
      <w:pPr>
        <w:pStyle w:val="ListParagraph"/>
        <w:rPr>
          <w:rFonts w:ascii="Times New Roman" w:hAnsi="Times New Roman" w:cs="Times New Roman"/>
          <w:sz w:val="28"/>
          <w:szCs w:val="28"/>
        </w:rPr>
      </w:pPr>
    </w:p>
    <w:p w:rsidR="00CA7891" w:rsidRDefault="00BA6C70" w:rsidP="00961EE0">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He submitted that the Applicants accepted the Respondents’ ownership of the garages, o</w:t>
      </w:r>
      <w:r w:rsidR="00EB0D99" w:rsidRPr="00961EE0">
        <w:rPr>
          <w:rFonts w:ascii="Times New Roman" w:hAnsi="Times New Roman" w:cs="Times New Roman"/>
          <w:sz w:val="28"/>
          <w:szCs w:val="28"/>
        </w:rPr>
        <w:t xml:space="preserve">therwise </w:t>
      </w:r>
      <w:r w:rsidR="00A444D5">
        <w:rPr>
          <w:rFonts w:ascii="Times New Roman" w:hAnsi="Times New Roman" w:cs="Times New Roman"/>
          <w:sz w:val="28"/>
          <w:szCs w:val="28"/>
        </w:rPr>
        <w:t>they would not</w:t>
      </w:r>
      <w:r w:rsidR="00EB0D99" w:rsidRPr="00961EE0">
        <w:rPr>
          <w:rFonts w:ascii="Times New Roman" w:hAnsi="Times New Roman" w:cs="Times New Roman"/>
          <w:sz w:val="28"/>
          <w:szCs w:val="28"/>
        </w:rPr>
        <w:t xml:space="preserve"> agree to grant </w:t>
      </w:r>
      <w:r>
        <w:rPr>
          <w:rFonts w:ascii="Times New Roman" w:hAnsi="Times New Roman" w:cs="Times New Roman"/>
          <w:sz w:val="28"/>
          <w:szCs w:val="28"/>
        </w:rPr>
        <w:t xml:space="preserve">a </w:t>
      </w:r>
      <w:r w:rsidR="00EB0D99" w:rsidRPr="00961EE0">
        <w:rPr>
          <w:rFonts w:ascii="Times New Roman" w:hAnsi="Times New Roman" w:cs="Times New Roman"/>
          <w:sz w:val="28"/>
          <w:szCs w:val="28"/>
        </w:rPr>
        <w:t>serv</w:t>
      </w:r>
      <w:r>
        <w:rPr>
          <w:rFonts w:ascii="Times New Roman" w:hAnsi="Times New Roman" w:cs="Times New Roman"/>
          <w:sz w:val="28"/>
          <w:szCs w:val="28"/>
        </w:rPr>
        <w:t>itude to the garages if there was</w:t>
      </w:r>
      <w:r w:rsidR="00EB0D99" w:rsidRPr="00961EE0">
        <w:rPr>
          <w:rFonts w:ascii="Times New Roman" w:hAnsi="Times New Roman" w:cs="Times New Roman"/>
          <w:sz w:val="28"/>
          <w:szCs w:val="28"/>
        </w:rPr>
        <w:t xml:space="preserve"> no permission to utilise the garages.</w:t>
      </w:r>
      <w:r w:rsidR="00A444D5">
        <w:rPr>
          <w:rFonts w:ascii="Times New Roman" w:hAnsi="Times New Roman" w:cs="Times New Roman"/>
          <w:sz w:val="28"/>
          <w:szCs w:val="28"/>
        </w:rPr>
        <w:t xml:space="preserve"> Puzzlingly, the Respondents’ Counsel submitted that</w:t>
      </w:r>
      <w:r>
        <w:rPr>
          <w:rFonts w:ascii="Times New Roman" w:hAnsi="Times New Roman" w:cs="Times New Roman"/>
          <w:sz w:val="28"/>
          <w:szCs w:val="28"/>
        </w:rPr>
        <w:t xml:space="preserve"> the Respondents</w:t>
      </w:r>
      <w:r w:rsidR="00A444D5">
        <w:rPr>
          <w:rFonts w:ascii="Times New Roman" w:hAnsi="Times New Roman" w:cs="Times New Roman"/>
          <w:sz w:val="28"/>
          <w:szCs w:val="28"/>
        </w:rPr>
        <w:t xml:space="preserve"> did</w:t>
      </w:r>
      <w:r w:rsidR="00EB0D99" w:rsidRPr="00961EE0">
        <w:rPr>
          <w:rFonts w:ascii="Times New Roman" w:hAnsi="Times New Roman" w:cs="Times New Roman"/>
          <w:sz w:val="28"/>
          <w:szCs w:val="28"/>
        </w:rPr>
        <w:t xml:space="preserve"> not ask for a servitude over the garages but over the driveway to access the garages</w:t>
      </w:r>
      <w:r w:rsidR="00EB1A58">
        <w:rPr>
          <w:rFonts w:ascii="Times New Roman" w:hAnsi="Times New Roman" w:cs="Times New Roman"/>
          <w:sz w:val="28"/>
          <w:szCs w:val="28"/>
        </w:rPr>
        <w:t xml:space="preserve">. This argument </w:t>
      </w:r>
      <w:r w:rsidR="00D818DD">
        <w:rPr>
          <w:rFonts w:ascii="Times New Roman" w:hAnsi="Times New Roman" w:cs="Times New Roman"/>
          <w:sz w:val="28"/>
          <w:szCs w:val="28"/>
        </w:rPr>
        <w:t>does not dovetail with the email sent by the first Respondent</w:t>
      </w:r>
      <w:r w:rsidR="00426EB7">
        <w:rPr>
          <w:rFonts w:ascii="Times New Roman" w:hAnsi="Times New Roman" w:cs="Times New Roman"/>
          <w:sz w:val="28"/>
          <w:szCs w:val="28"/>
        </w:rPr>
        <w:t xml:space="preserve">, on 28 December 2018, </w:t>
      </w:r>
      <w:r w:rsidR="00D818DD">
        <w:rPr>
          <w:rFonts w:ascii="Times New Roman" w:hAnsi="Times New Roman" w:cs="Times New Roman"/>
          <w:sz w:val="28"/>
          <w:szCs w:val="28"/>
        </w:rPr>
        <w:t xml:space="preserve">in which he acknowledged that the garages belonged to the Applicants. </w:t>
      </w:r>
      <w:r w:rsidR="00EB1A58">
        <w:rPr>
          <w:rFonts w:ascii="Times New Roman" w:hAnsi="Times New Roman" w:cs="Times New Roman"/>
          <w:sz w:val="28"/>
          <w:szCs w:val="28"/>
        </w:rPr>
        <w:t xml:space="preserve">Hence, </w:t>
      </w:r>
      <w:r w:rsidR="00426EB7">
        <w:rPr>
          <w:rFonts w:ascii="Times New Roman" w:hAnsi="Times New Roman" w:cs="Times New Roman"/>
          <w:sz w:val="28"/>
          <w:szCs w:val="28"/>
        </w:rPr>
        <w:t>the first Respondent suggested that the</w:t>
      </w:r>
      <w:r w:rsidR="00EB1A58">
        <w:rPr>
          <w:rFonts w:ascii="Times New Roman" w:hAnsi="Times New Roman" w:cs="Times New Roman"/>
          <w:sz w:val="28"/>
          <w:szCs w:val="28"/>
        </w:rPr>
        <w:t xml:space="preserve"> servitude be registered over the garages and the parties</w:t>
      </w:r>
      <w:r w:rsidR="00EB0D99" w:rsidRPr="00961EE0">
        <w:rPr>
          <w:rFonts w:ascii="Times New Roman" w:hAnsi="Times New Roman" w:cs="Times New Roman"/>
          <w:sz w:val="28"/>
          <w:szCs w:val="28"/>
        </w:rPr>
        <w:t xml:space="preserve"> </w:t>
      </w:r>
      <w:r w:rsidR="00EB1A58">
        <w:rPr>
          <w:rFonts w:ascii="Times New Roman" w:hAnsi="Times New Roman" w:cs="Times New Roman"/>
          <w:sz w:val="28"/>
          <w:szCs w:val="28"/>
        </w:rPr>
        <w:t xml:space="preserve">discuss the terms and conditions around the driveway. </w:t>
      </w:r>
      <w:r w:rsidR="00426EB7">
        <w:rPr>
          <w:rFonts w:ascii="Times New Roman" w:hAnsi="Times New Roman" w:cs="Times New Roman"/>
          <w:sz w:val="28"/>
          <w:szCs w:val="28"/>
        </w:rPr>
        <w:t>Even Steyn De Villiers’ proposal involved registering a 6m x 6m servitude over the garages.</w:t>
      </w:r>
    </w:p>
    <w:p w:rsidR="00A444D5" w:rsidRPr="00A444D5" w:rsidRDefault="00A444D5" w:rsidP="00A444D5">
      <w:pPr>
        <w:pStyle w:val="ListParagraph"/>
        <w:rPr>
          <w:rFonts w:ascii="Times New Roman" w:hAnsi="Times New Roman" w:cs="Times New Roman"/>
          <w:sz w:val="28"/>
          <w:szCs w:val="28"/>
        </w:rPr>
      </w:pPr>
    </w:p>
    <w:p w:rsidR="00DE0074" w:rsidRDefault="00A444D5" w:rsidP="00A25AB2">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parties seemed to use </w:t>
      </w:r>
      <w:r w:rsidR="00DE0074">
        <w:rPr>
          <w:rFonts w:ascii="Times New Roman" w:hAnsi="Times New Roman" w:cs="Times New Roman"/>
          <w:sz w:val="28"/>
          <w:szCs w:val="28"/>
        </w:rPr>
        <w:t>personal servitude and praedial servitude</w:t>
      </w:r>
      <w:r w:rsidR="00A25AB2">
        <w:rPr>
          <w:rFonts w:ascii="Times New Roman" w:hAnsi="Times New Roman" w:cs="Times New Roman"/>
          <w:sz w:val="28"/>
          <w:szCs w:val="28"/>
        </w:rPr>
        <w:t xml:space="preserve"> interchangeably. As much as</w:t>
      </w:r>
      <w:r w:rsidR="00DE0074">
        <w:rPr>
          <w:rFonts w:ascii="Times New Roman" w:hAnsi="Times New Roman" w:cs="Times New Roman"/>
          <w:sz w:val="28"/>
          <w:szCs w:val="28"/>
        </w:rPr>
        <w:t xml:space="preserve"> both</w:t>
      </w:r>
      <w:r w:rsidR="00A25AB2">
        <w:rPr>
          <w:rFonts w:ascii="Times New Roman" w:hAnsi="Times New Roman" w:cs="Times New Roman"/>
          <w:sz w:val="28"/>
          <w:szCs w:val="28"/>
        </w:rPr>
        <w:t xml:space="preserve"> these are</w:t>
      </w:r>
      <w:r w:rsidR="00DE0074">
        <w:rPr>
          <w:rFonts w:ascii="Times New Roman" w:hAnsi="Times New Roman" w:cs="Times New Roman"/>
          <w:sz w:val="28"/>
          <w:szCs w:val="28"/>
        </w:rPr>
        <w:t xml:space="preserve"> real rights</w:t>
      </w:r>
      <w:r w:rsidR="00A25AB2">
        <w:rPr>
          <w:rFonts w:ascii="Times New Roman" w:hAnsi="Times New Roman" w:cs="Times New Roman"/>
          <w:sz w:val="28"/>
          <w:szCs w:val="28"/>
        </w:rPr>
        <w:t>,</w:t>
      </w:r>
      <w:r w:rsidR="00DE0074">
        <w:rPr>
          <w:rFonts w:ascii="Times New Roman" w:hAnsi="Times New Roman" w:cs="Times New Roman"/>
          <w:sz w:val="28"/>
          <w:szCs w:val="28"/>
        </w:rPr>
        <w:t xml:space="preserve"> they </w:t>
      </w:r>
      <w:r w:rsidR="00A25AB2">
        <w:rPr>
          <w:rFonts w:ascii="Times New Roman" w:hAnsi="Times New Roman" w:cs="Times New Roman"/>
          <w:sz w:val="28"/>
          <w:szCs w:val="28"/>
        </w:rPr>
        <w:t>differ</w:t>
      </w:r>
      <w:r w:rsidR="00DE0074">
        <w:rPr>
          <w:rFonts w:ascii="Times New Roman" w:hAnsi="Times New Roman" w:cs="Times New Roman"/>
          <w:sz w:val="28"/>
          <w:szCs w:val="28"/>
        </w:rPr>
        <w:t xml:space="preserve"> in their application and impact. To put this issue into perspective</w:t>
      </w:r>
      <w:r w:rsidR="00A25AB2">
        <w:rPr>
          <w:rFonts w:ascii="Times New Roman" w:hAnsi="Times New Roman" w:cs="Times New Roman"/>
          <w:sz w:val="28"/>
          <w:szCs w:val="28"/>
        </w:rPr>
        <w:t>,</w:t>
      </w:r>
      <w:r w:rsidR="00DE0074">
        <w:rPr>
          <w:rFonts w:ascii="Times New Roman" w:hAnsi="Times New Roman" w:cs="Times New Roman"/>
          <w:sz w:val="28"/>
          <w:szCs w:val="28"/>
        </w:rPr>
        <w:t xml:space="preserve"> </w:t>
      </w:r>
      <w:r w:rsidR="00A25AB2">
        <w:rPr>
          <w:rFonts w:ascii="Times New Roman" w:hAnsi="Times New Roman" w:cs="Times New Roman"/>
          <w:sz w:val="28"/>
          <w:szCs w:val="28"/>
        </w:rPr>
        <w:t xml:space="preserve">reference must be made to the </w:t>
      </w:r>
      <w:r w:rsidR="00DE0074">
        <w:rPr>
          <w:rFonts w:ascii="Times New Roman" w:hAnsi="Times New Roman" w:cs="Times New Roman"/>
          <w:sz w:val="28"/>
          <w:szCs w:val="28"/>
        </w:rPr>
        <w:t xml:space="preserve">matter of </w:t>
      </w:r>
      <w:r w:rsidR="00DE0074" w:rsidRPr="00422144">
        <w:rPr>
          <w:rFonts w:ascii="Times New Roman" w:hAnsi="Times New Roman" w:cs="Times New Roman"/>
          <w:i/>
          <w:sz w:val="28"/>
          <w:szCs w:val="28"/>
        </w:rPr>
        <w:t>Ex Parte Geldenhuys</w:t>
      </w:r>
      <w:r w:rsidR="00DE0074">
        <w:rPr>
          <w:rStyle w:val="FootnoteReference"/>
          <w:rFonts w:ascii="Times New Roman" w:hAnsi="Times New Roman" w:cs="Times New Roman"/>
          <w:sz w:val="28"/>
          <w:szCs w:val="28"/>
        </w:rPr>
        <w:footnoteReference w:id="47"/>
      </w:r>
      <w:r w:rsidR="00DE0074">
        <w:rPr>
          <w:rFonts w:ascii="Times New Roman" w:hAnsi="Times New Roman" w:cs="Times New Roman"/>
          <w:i/>
          <w:sz w:val="28"/>
          <w:szCs w:val="28"/>
        </w:rPr>
        <w:t xml:space="preserve"> </w:t>
      </w:r>
      <w:r w:rsidR="00DE0074" w:rsidRPr="00DE0074">
        <w:rPr>
          <w:rFonts w:ascii="Times New Roman" w:hAnsi="Times New Roman" w:cs="Times New Roman"/>
          <w:sz w:val="28"/>
          <w:szCs w:val="28"/>
        </w:rPr>
        <w:t>where</w:t>
      </w:r>
      <w:r w:rsidR="00DE0074">
        <w:rPr>
          <w:rFonts w:ascii="Times New Roman" w:hAnsi="Times New Roman" w:cs="Times New Roman"/>
          <w:sz w:val="28"/>
          <w:szCs w:val="28"/>
        </w:rPr>
        <w:t xml:space="preserve"> the Court said:</w:t>
      </w:r>
    </w:p>
    <w:p w:rsidR="00DE0074" w:rsidRPr="00422144" w:rsidRDefault="00DE0074" w:rsidP="00DE0074">
      <w:pPr>
        <w:pStyle w:val="ListParagraph"/>
        <w:spacing w:after="0" w:line="360" w:lineRule="auto"/>
        <w:jc w:val="both"/>
        <w:rPr>
          <w:rFonts w:ascii="Times New Roman" w:hAnsi="Times New Roman" w:cs="Times New Roman"/>
          <w:i/>
          <w:sz w:val="28"/>
          <w:szCs w:val="28"/>
        </w:rPr>
      </w:pPr>
    </w:p>
    <w:p w:rsidR="00DE0074" w:rsidRDefault="00DE0074" w:rsidP="00DE0074">
      <w:pPr>
        <w:pStyle w:val="ListParagraph"/>
        <w:spacing w:after="0" w:line="360" w:lineRule="auto"/>
        <w:ind w:left="1440"/>
        <w:jc w:val="both"/>
        <w:rPr>
          <w:rFonts w:ascii="Times New Roman" w:hAnsi="Times New Roman" w:cs="Times New Roman"/>
          <w:i/>
          <w:sz w:val="28"/>
          <w:szCs w:val="28"/>
        </w:rPr>
      </w:pPr>
      <w:r w:rsidRPr="00422144">
        <w:rPr>
          <w:rFonts w:ascii="Times New Roman" w:hAnsi="Times New Roman" w:cs="Times New Roman"/>
          <w:i/>
          <w:sz w:val="28"/>
          <w:szCs w:val="28"/>
        </w:rPr>
        <w:t>“One has to look not so much to the right, but to the correlative obligation. If that obligation is the burden on the land, a subtraction from the dominium the corresponding right is real and registrable; if it is not such an obligation, but merely an obligation binding on some person or other, the corresponding right is a personal right or right in personam, and it cannot as a rule be registered”</w:t>
      </w:r>
      <w:r>
        <w:rPr>
          <w:rStyle w:val="FootnoteReference"/>
          <w:rFonts w:ascii="Times New Roman" w:hAnsi="Times New Roman" w:cs="Times New Roman"/>
          <w:i/>
          <w:sz w:val="28"/>
          <w:szCs w:val="28"/>
        </w:rPr>
        <w:footnoteReference w:id="48"/>
      </w:r>
      <w:r w:rsidRPr="00422144">
        <w:rPr>
          <w:rFonts w:ascii="Times New Roman" w:hAnsi="Times New Roman" w:cs="Times New Roman"/>
          <w:i/>
          <w:sz w:val="28"/>
          <w:szCs w:val="28"/>
        </w:rPr>
        <w:t xml:space="preserve">  </w:t>
      </w:r>
    </w:p>
    <w:p w:rsidR="001A56E3" w:rsidRPr="00422144" w:rsidRDefault="001A56E3" w:rsidP="00DE0074">
      <w:pPr>
        <w:pStyle w:val="ListParagraph"/>
        <w:spacing w:after="0" w:line="360" w:lineRule="auto"/>
        <w:ind w:left="1440"/>
        <w:jc w:val="both"/>
        <w:rPr>
          <w:rFonts w:ascii="Times New Roman" w:hAnsi="Times New Roman" w:cs="Times New Roman"/>
          <w:i/>
          <w:sz w:val="28"/>
          <w:szCs w:val="28"/>
        </w:rPr>
      </w:pPr>
    </w:p>
    <w:p w:rsidR="001A56E3" w:rsidRDefault="00A25AB2" w:rsidP="001A56E3">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Therefore, o</w:t>
      </w:r>
      <w:r w:rsidR="001A56E3">
        <w:rPr>
          <w:rFonts w:ascii="Times New Roman" w:hAnsi="Times New Roman" w:cs="Times New Roman"/>
          <w:sz w:val="28"/>
          <w:szCs w:val="28"/>
        </w:rPr>
        <w:t>ur Courts have developed a two-fold test to establish whether a condition is registrable on the Deeds office. These are:</w:t>
      </w:r>
    </w:p>
    <w:p w:rsidR="001A56E3" w:rsidRDefault="001A56E3" w:rsidP="001A56E3">
      <w:pPr>
        <w:pStyle w:val="ListParagraph"/>
        <w:spacing w:after="0" w:line="360" w:lineRule="auto"/>
        <w:jc w:val="both"/>
        <w:rPr>
          <w:rFonts w:ascii="Times New Roman" w:hAnsi="Times New Roman" w:cs="Times New Roman"/>
          <w:sz w:val="28"/>
          <w:szCs w:val="28"/>
        </w:rPr>
      </w:pPr>
    </w:p>
    <w:p w:rsidR="001A56E3" w:rsidRDefault="001A56E3" w:rsidP="001A56E3">
      <w:pPr>
        <w:pStyle w:val="ListParagraph"/>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subtraction from the dominium test; and</w:t>
      </w:r>
    </w:p>
    <w:p w:rsidR="001A56E3" w:rsidRDefault="001A56E3" w:rsidP="001A56E3">
      <w:pPr>
        <w:pStyle w:val="ListParagraph"/>
        <w:numPr>
          <w:ilvl w:val="0"/>
          <w:numId w:val="3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question whether or not the parties had the intention that the condition should bind both the present and the successors in title.</w:t>
      </w:r>
    </w:p>
    <w:p w:rsidR="001A56E3" w:rsidRDefault="001A56E3" w:rsidP="001A56E3">
      <w:pPr>
        <w:pStyle w:val="ListParagraph"/>
        <w:spacing w:after="0" w:line="360" w:lineRule="auto"/>
        <w:jc w:val="both"/>
        <w:rPr>
          <w:rFonts w:ascii="Times New Roman" w:hAnsi="Times New Roman" w:cs="Times New Roman"/>
          <w:sz w:val="28"/>
          <w:szCs w:val="28"/>
        </w:rPr>
      </w:pPr>
    </w:p>
    <w:p w:rsidR="007B19C4" w:rsidRDefault="001A56E3" w:rsidP="001A56E3">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Our law makes a distinction between a personal servitude and a praedial servitude. In short a personal servitude is a servitude registered against land in favour of a natural or other person. Therefore, it is a real right granted to the holder thereof in his or her personal capacity the right to do something on someone else’s property, or to prevent the land owner from exercising some or other ordinary powers as the owner thereon.</w:t>
      </w:r>
      <w:r>
        <w:rPr>
          <w:rStyle w:val="FootnoteReference"/>
          <w:rFonts w:ascii="Times New Roman" w:hAnsi="Times New Roman" w:cs="Times New Roman"/>
          <w:sz w:val="28"/>
          <w:szCs w:val="28"/>
        </w:rPr>
        <w:footnoteReference w:id="49"/>
      </w:r>
      <w:r>
        <w:rPr>
          <w:rFonts w:ascii="Times New Roman" w:hAnsi="Times New Roman" w:cs="Times New Roman"/>
          <w:sz w:val="28"/>
          <w:szCs w:val="28"/>
        </w:rPr>
        <w:t xml:space="preserve"> It is for the life span of the holder thereof who enjoys it in his personal capacity. </w:t>
      </w:r>
    </w:p>
    <w:p w:rsidR="007B19C4" w:rsidRDefault="007B19C4" w:rsidP="007B19C4">
      <w:pPr>
        <w:pStyle w:val="ListParagraph"/>
        <w:spacing w:after="0" w:line="360" w:lineRule="auto"/>
        <w:jc w:val="both"/>
        <w:rPr>
          <w:rFonts w:ascii="Times New Roman" w:hAnsi="Times New Roman" w:cs="Times New Roman"/>
          <w:sz w:val="28"/>
          <w:szCs w:val="28"/>
        </w:rPr>
      </w:pPr>
    </w:p>
    <w:p w:rsidR="001A56E3" w:rsidRDefault="001A56E3" w:rsidP="001A56E3">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Generally personal servitude are created by a bilateral notarial deed (signed by both the giver and the recipient of the servitude) which is registered in the Deed’s registry. However they can be created by a Court order or even by prescription where a person has openly exercised the right of servitude holder, as if he was entitled thereto, for an uninterrupted period of 30 years.</w:t>
      </w:r>
      <w:r w:rsidR="00F210BA">
        <w:rPr>
          <w:rFonts w:ascii="Times New Roman" w:hAnsi="Times New Roman" w:cs="Times New Roman"/>
          <w:sz w:val="28"/>
          <w:szCs w:val="28"/>
        </w:rPr>
        <w:t xml:space="preserve"> (“nec vi, nec claim, nec precario” i.e. without force without secrecy and without permission)</w:t>
      </w:r>
    </w:p>
    <w:p w:rsidR="001A56E3" w:rsidRDefault="001A56E3" w:rsidP="001A56E3">
      <w:pPr>
        <w:pStyle w:val="ListParagraph"/>
        <w:spacing w:after="0" w:line="360" w:lineRule="auto"/>
        <w:jc w:val="both"/>
        <w:rPr>
          <w:rFonts w:ascii="Times New Roman" w:hAnsi="Times New Roman" w:cs="Times New Roman"/>
          <w:sz w:val="28"/>
          <w:szCs w:val="28"/>
        </w:rPr>
      </w:pPr>
    </w:p>
    <w:p w:rsidR="001A56E3" w:rsidRDefault="001A56E3" w:rsidP="001A56E3">
      <w:pPr>
        <w:pStyle w:val="ListParagraph"/>
        <w:numPr>
          <w:ilvl w:val="0"/>
          <w:numId w:val="31"/>
        </w:numPr>
        <w:spacing w:after="0" w:line="360" w:lineRule="auto"/>
        <w:ind w:hanging="720"/>
        <w:jc w:val="both"/>
        <w:rPr>
          <w:rFonts w:ascii="Times New Roman" w:hAnsi="Times New Roman" w:cs="Times New Roman"/>
          <w:sz w:val="28"/>
          <w:szCs w:val="28"/>
        </w:rPr>
      </w:pPr>
      <w:r w:rsidRPr="00E87F65">
        <w:rPr>
          <w:rFonts w:ascii="Times New Roman" w:hAnsi="Times New Roman" w:cs="Times New Roman"/>
          <w:sz w:val="28"/>
          <w:szCs w:val="28"/>
        </w:rPr>
        <w:t xml:space="preserve">Whereas a praedial servitude involves two properties, the land entitled to the benefit from the servitude is called the dominant tenement and the land burdened by the servitude is called the servient tenement. The registered servitude is enjoyed by the registered owner of the dominant tenement in his capacity as the owner of such tenement. Therefore, a praedial servitude usually continues </w:t>
      </w:r>
      <w:r w:rsidRPr="00E87F65">
        <w:rPr>
          <w:rFonts w:ascii="Times New Roman" w:hAnsi="Times New Roman" w:cs="Times New Roman"/>
          <w:i/>
          <w:sz w:val="28"/>
          <w:szCs w:val="28"/>
        </w:rPr>
        <w:t>ad infinitum</w:t>
      </w:r>
      <w:r w:rsidRPr="00E87F65">
        <w:rPr>
          <w:rFonts w:ascii="Times New Roman" w:hAnsi="Times New Roman" w:cs="Times New Roman"/>
          <w:sz w:val="28"/>
          <w:szCs w:val="28"/>
        </w:rPr>
        <w:t xml:space="preserve"> and is a servitude in favour of another piece of land not in favour of another person.</w:t>
      </w:r>
    </w:p>
    <w:p w:rsidR="001A56E3" w:rsidRPr="00E87F65" w:rsidRDefault="001A56E3" w:rsidP="001A56E3">
      <w:pPr>
        <w:pStyle w:val="ListParagraph"/>
        <w:rPr>
          <w:rFonts w:ascii="Times New Roman" w:hAnsi="Times New Roman" w:cs="Times New Roman"/>
          <w:sz w:val="28"/>
          <w:szCs w:val="28"/>
        </w:rPr>
      </w:pPr>
    </w:p>
    <w:p w:rsidR="007B19C4" w:rsidRDefault="001A56E3" w:rsidP="001A56E3">
      <w:pPr>
        <w:pStyle w:val="ListParagraph"/>
        <w:numPr>
          <w:ilvl w:val="0"/>
          <w:numId w:val="31"/>
        </w:numPr>
        <w:spacing w:after="0" w:line="360" w:lineRule="auto"/>
        <w:ind w:hanging="720"/>
        <w:jc w:val="both"/>
        <w:rPr>
          <w:rFonts w:ascii="Times New Roman" w:hAnsi="Times New Roman" w:cs="Times New Roman"/>
          <w:sz w:val="28"/>
          <w:szCs w:val="28"/>
        </w:rPr>
      </w:pPr>
      <w:r w:rsidRPr="007F72D5">
        <w:rPr>
          <w:rFonts w:ascii="Times New Roman" w:hAnsi="Times New Roman" w:cs="Times New Roman"/>
          <w:sz w:val="28"/>
          <w:szCs w:val="28"/>
        </w:rPr>
        <w:t xml:space="preserve">Both the praedial and the personal servitudes are real rights; therefore, enforceable between the parties and also against third parties. </w:t>
      </w:r>
      <w:r w:rsidRPr="000E529B">
        <w:rPr>
          <w:rFonts w:ascii="Times New Roman" w:hAnsi="Times New Roman" w:cs="Times New Roman"/>
          <w:sz w:val="28"/>
          <w:szCs w:val="28"/>
        </w:rPr>
        <w:t>A servitude holder’s right is absolute and is enforceable against the whole world.</w:t>
      </w:r>
      <w:r>
        <w:rPr>
          <w:rFonts w:ascii="Times New Roman" w:hAnsi="Times New Roman" w:cs="Times New Roman"/>
          <w:sz w:val="28"/>
          <w:szCs w:val="28"/>
        </w:rPr>
        <w:t xml:space="preserve"> Through the letter written by</w:t>
      </w:r>
      <w:r w:rsidR="00A04999">
        <w:rPr>
          <w:rFonts w:ascii="Times New Roman" w:hAnsi="Times New Roman" w:cs="Times New Roman"/>
          <w:sz w:val="28"/>
          <w:szCs w:val="28"/>
        </w:rPr>
        <w:t xml:space="preserve"> the Respondents’ erstwhile Attorneys</w:t>
      </w:r>
      <w:r>
        <w:rPr>
          <w:rFonts w:ascii="Times New Roman" w:hAnsi="Times New Roman" w:cs="Times New Roman"/>
          <w:sz w:val="28"/>
          <w:szCs w:val="28"/>
        </w:rPr>
        <w:t xml:space="preserve"> Britain the Respondents were enforcing a praedial servitude. As is the case with personal servitudes praedial servitudes are created by an agreement between the owners of the respective properties and are registered by means of a bilateral notarial deed. Of significance is that a valid </w:t>
      </w:r>
      <w:r w:rsidRPr="002D5986">
        <w:rPr>
          <w:rFonts w:ascii="Times New Roman" w:hAnsi="Times New Roman" w:cs="Times New Roman"/>
          <w:i/>
          <w:sz w:val="28"/>
          <w:szCs w:val="28"/>
        </w:rPr>
        <w:t>causa</w:t>
      </w:r>
      <w:r>
        <w:rPr>
          <w:rFonts w:ascii="Times New Roman" w:hAnsi="Times New Roman" w:cs="Times New Roman"/>
          <w:sz w:val="28"/>
          <w:szCs w:val="28"/>
        </w:rPr>
        <w:t xml:space="preserve"> (legal ground) is required for the registration of a servitude, for example a sale, donation, exchange, partition agreement or testamentary bequest.</w:t>
      </w:r>
      <w:r>
        <w:rPr>
          <w:rStyle w:val="FootnoteReference"/>
          <w:rFonts w:ascii="Times New Roman" w:hAnsi="Times New Roman" w:cs="Times New Roman"/>
          <w:sz w:val="28"/>
          <w:szCs w:val="28"/>
        </w:rPr>
        <w:footnoteReference w:id="50"/>
      </w:r>
    </w:p>
    <w:p w:rsidR="007B19C4" w:rsidRDefault="007B19C4" w:rsidP="007B19C4">
      <w:pPr>
        <w:pStyle w:val="ListParagraph"/>
        <w:spacing w:after="0" w:line="360" w:lineRule="auto"/>
        <w:jc w:val="both"/>
        <w:rPr>
          <w:rFonts w:ascii="Times New Roman" w:hAnsi="Times New Roman" w:cs="Times New Roman"/>
          <w:sz w:val="28"/>
          <w:szCs w:val="28"/>
        </w:rPr>
      </w:pPr>
    </w:p>
    <w:p w:rsidR="007B19C4" w:rsidRDefault="007B19C4" w:rsidP="007B19C4">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Praedial servitudes may be described in three different ways namely;</w:t>
      </w:r>
    </w:p>
    <w:p w:rsidR="007B19C4" w:rsidRPr="008317CE" w:rsidRDefault="007B19C4" w:rsidP="007B19C4">
      <w:pPr>
        <w:spacing w:after="0" w:line="360" w:lineRule="auto"/>
        <w:jc w:val="both"/>
        <w:rPr>
          <w:rFonts w:ascii="Times New Roman" w:hAnsi="Times New Roman" w:cs="Times New Roman"/>
          <w:sz w:val="28"/>
          <w:szCs w:val="28"/>
        </w:rPr>
      </w:pPr>
    </w:p>
    <w:p w:rsidR="007B19C4" w:rsidRDefault="007B19C4" w:rsidP="007B19C4">
      <w:pPr>
        <w:pStyle w:val="ListParagraph"/>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By servitude diagram;</w:t>
      </w:r>
    </w:p>
    <w:p w:rsidR="007B19C4" w:rsidRDefault="007B19C4" w:rsidP="007B19C4">
      <w:pPr>
        <w:pStyle w:val="ListParagraph"/>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By description; or</w:t>
      </w:r>
    </w:p>
    <w:p w:rsidR="007B19C4" w:rsidRDefault="007B19C4" w:rsidP="007B19C4">
      <w:pPr>
        <w:pStyle w:val="ListParagraph"/>
        <w:numPr>
          <w:ilvl w:val="0"/>
          <w:numId w:val="4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In general terms.</w:t>
      </w:r>
    </w:p>
    <w:p w:rsidR="007B19C4" w:rsidRDefault="007B19C4" w:rsidP="007B19C4">
      <w:pPr>
        <w:pStyle w:val="ListParagraph"/>
        <w:spacing w:after="0" w:line="360" w:lineRule="auto"/>
        <w:ind w:left="1080"/>
        <w:jc w:val="both"/>
        <w:rPr>
          <w:rFonts w:ascii="Times New Roman" w:hAnsi="Times New Roman" w:cs="Times New Roman"/>
          <w:sz w:val="28"/>
          <w:szCs w:val="28"/>
        </w:rPr>
      </w:pPr>
    </w:p>
    <w:p w:rsidR="00EB6F3B" w:rsidRPr="007B19C4" w:rsidRDefault="001A56E3" w:rsidP="006D2052">
      <w:pPr>
        <w:pStyle w:val="ListParagraph"/>
        <w:numPr>
          <w:ilvl w:val="0"/>
          <w:numId w:val="31"/>
        </w:numPr>
        <w:spacing w:after="0" w:line="360" w:lineRule="auto"/>
        <w:ind w:hanging="720"/>
        <w:jc w:val="both"/>
        <w:rPr>
          <w:rFonts w:ascii="Times New Roman" w:hAnsi="Times New Roman" w:cs="Times New Roman"/>
          <w:sz w:val="28"/>
          <w:szCs w:val="28"/>
        </w:rPr>
      </w:pPr>
      <w:r w:rsidRPr="007B19C4">
        <w:rPr>
          <w:rFonts w:ascii="Times New Roman" w:hAnsi="Times New Roman" w:cs="Times New Roman"/>
          <w:sz w:val="28"/>
          <w:szCs w:val="28"/>
        </w:rPr>
        <w:t xml:space="preserve">The parties should be properly described and the land affected by the servitude must be sufficiently described including the terms and conditions to which the servitude are subject. These must be set out in the deed for example who is responsible for the maintenance of the servitude area and at whose expense, restrictions of use and the manner in which the parties ought to conduct themselves </w:t>
      </w:r>
      <w:r w:rsidR="00A04999" w:rsidRPr="007B19C4">
        <w:rPr>
          <w:rFonts w:ascii="Times New Roman" w:hAnsi="Times New Roman" w:cs="Times New Roman"/>
          <w:sz w:val="28"/>
          <w:szCs w:val="28"/>
        </w:rPr>
        <w:t xml:space="preserve">and </w:t>
      </w:r>
      <w:r w:rsidRPr="007B19C4">
        <w:rPr>
          <w:rFonts w:ascii="Times New Roman" w:hAnsi="Times New Roman" w:cs="Times New Roman"/>
          <w:sz w:val="28"/>
          <w:szCs w:val="28"/>
        </w:rPr>
        <w:t>the costs of registration.</w:t>
      </w:r>
      <w:r w:rsidR="007B19C4" w:rsidRPr="007B19C4">
        <w:rPr>
          <w:rFonts w:ascii="Times New Roman" w:hAnsi="Times New Roman" w:cs="Times New Roman"/>
          <w:sz w:val="28"/>
          <w:szCs w:val="28"/>
        </w:rPr>
        <w:t xml:space="preserve"> In </w:t>
      </w:r>
      <w:r w:rsidR="007B19C4" w:rsidRPr="007B19C4">
        <w:rPr>
          <w:rFonts w:ascii="Times New Roman" w:hAnsi="Times New Roman" w:cs="Times New Roman"/>
          <w:i/>
          <w:sz w:val="28"/>
          <w:szCs w:val="28"/>
        </w:rPr>
        <w:t>casu</w:t>
      </w:r>
      <w:r w:rsidR="007B19C4" w:rsidRPr="007B19C4">
        <w:rPr>
          <w:rFonts w:ascii="Times New Roman" w:hAnsi="Times New Roman" w:cs="Times New Roman"/>
          <w:sz w:val="28"/>
          <w:szCs w:val="28"/>
        </w:rPr>
        <w:t xml:space="preserve">, these requirements have not been complied with. </w:t>
      </w:r>
      <w:r w:rsidR="00EC57E7" w:rsidRPr="007B19C4">
        <w:rPr>
          <w:rFonts w:ascii="Times New Roman" w:hAnsi="Times New Roman" w:cs="Times New Roman"/>
          <w:sz w:val="28"/>
          <w:szCs w:val="28"/>
        </w:rPr>
        <w:t>To succeed in the counter-application</w:t>
      </w:r>
      <w:r w:rsidR="00426EB7" w:rsidRPr="007B19C4">
        <w:rPr>
          <w:rFonts w:ascii="Times New Roman" w:hAnsi="Times New Roman" w:cs="Times New Roman"/>
          <w:sz w:val="28"/>
          <w:szCs w:val="28"/>
        </w:rPr>
        <w:t>, as I see it,</w:t>
      </w:r>
      <w:r w:rsidR="00EC57E7" w:rsidRPr="007B19C4">
        <w:rPr>
          <w:rFonts w:ascii="Times New Roman" w:hAnsi="Times New Roman" w:cs="Times New Roman"/>
          <w:sz w:val="28"/>
          <w:szCs w:val="28"/>
        </w:rPr>
        <w:t xml:space="preserve"> the Respondents need to </w:t>
      </w:r>
      <w:r w:rsidR="00426EB7" w:rsidRPr="007B19C4">
        <w:rPr>
          <w:rFonts w:ascii="Times New Roman" w:hAnsi="Times New Roman" w:cs="Times New Roman"/>
          <w:sz w:val="28"/>
          <w:szCs w:val="28"/>
        </w:rPr>
        <w:t xml:space="preserve">skip over </w:t>
      </w:r>
      <w:r w:rsidR="00EC57E7" w:rsidRPr="007B19C4">
        <w:rPr>
          <w:rFonts w:ascii="Times New Roman" w:hAnsi="Times New Roman" w:cs="Times New Roman"/>
          <w:sz w:val="28"/>
          <w:szCs w:val="28"/>
        </w:rPr>
        <w:t xml:space="preserve">two </w:t>
      </w:r>
      <w:r w:rsidR="00CA7891" w:rsidRPr="007B19C4">
        <w:rPr>
          <w:rFonts w:ascii="Times New Roman" w:hAnsi="Times New Roman" w:cs="Times New Roman"/>
          <w:sz w:val="28"/>
          <w:szCs w:val="28"/>
        </w:rPr>
        <w:t>hurdle</w:t>
      </w:r>
      <w:r w:rsidR="00EC57E7" w:rsidRPr="007B19C4">
        <w:rPr>
          <w:rFonts w:ascii="Times New Roman" w:hAnsi="Times New Roman" w:cs="Times New Roman"/>
          <w:sz w:val="28"/>
          <w:szCs w:val="28"/>
        </w:rPr>
        <w:t>s</w:t>
      </w:r>
      <w:r w:rsidR="00EB6F3B" w:rsidRPr="007B19C4">
        <w:rPr>
          <w:rFonts w:ascii="Times New Roman" w:hAnsi="Times New Roman" w:cs="Times New Roman"/>
          <w:sz w:val="28"/>
          <w:szCs w:val="28"/>
        </w:rPr>
        <w:t>, namely:</w:t>
      </w:r>
    </w:p>
    <w:p w:rsidR="00EB6F3B" w:rsidRPr="00EB6F3B" w:rsidRDefault="00EB6F3B" w:rsidP="00EB6F3B">
      <w:pPr>
        <w:pStyle w:val="ListParagraph"/>
        <w:rPr>
          <w:rFonts w:ascii="Times New Roman" w:hAnsi="Times New Roman" w:cs="Times New Roman"/>
          <w:sz w:val="28"/>
          <w:szCs w:val="28"/>
        </w:rPr>
      </w:pPr>
    </w:p>
    <w:p w:rsidR="00EB6F3B" w:rsidRDefault="00EB6F3B" w:rsidP="00EB6F3B">
      <w:pPr>
        <w:pStyle w:val="ListParagraph"/>
        <w:numPr>
          <w:ilvl w:val="0"/>
          <w:numId w:val="4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argument that</w:t>
      </w:r>
      <w:r w:rsidR="0095156C">
        <w:rPr>
          <w:rFonts w:ascii="Times New Roman" w:hAnsi="Times New Roman" w:cs="Times New Roman"/>
          <w:sz w:val="28"/>
          <w:szCs w:val="28"/>
        </w:rPr>
        <w:t xml:space="preserve"> this was an inchoate agreement/agreement to agree.</w:t>
      </w:r>
    </w:p>
    <w:p w:rsidR="00123DB7" w:rsidRPr="00EB6F3B" w:rsidRDefault="00EB6F3B" w:rsidP="006E3305">
      <w:pPr>
        <w:pStyle w:val="ListParagraph"/>
        <w:numPr>
          <w:ilvl w:val="0"/>
          <w:numId w:val="48"/>
        </w:numPr>
        <w:spacing w:after="0" w:line="360" w:lineRule="auto"/>
        <w:jc w:val="both"/>
        <w:rPr>
          <w:rFonts w:ascii="Times New Roman" w:hAnsi="Times New Roman" w:cs="Times New Roman"/>
          <w:sz w:val="28"/>
          <w:szCs w:val="28"/>
        </w:rPr>
      </w:pPr>
      <w:r w:rsidRPr="00EB6F3B">
        <w:rPr>
          <w:rFonts w:ascii="Times New Roman" w:hAnsi="Times New Roman" w:cs="Times New Roman"/>
          <w:sz w:val="28"/>
          <w:szCs w:val="28"/>
        </w:rPr>
        <w:t xml:space="preserve">Section </w:t>
      </w:r>
      <w:r>
        <w:rPr>
          <w:rFonts w:ascii="Times New Roman" w:hAnsi="Times New Roman" w:cs="Times New Roman"/>
          <w:sz w:val="28"/>
          <w:szCs w:val="28"/>
        </w:rPr>
        <w:t>2 (</w:t>
      </w:r>
      <w:r w:rsidR="006C7288" w:rsidRPr="00EB6F3B">
        <w:rPr>
          <w:rFonts w:ascii="Times New Roman" w:hAnsi="Times New Roman" w:cs="Times New Roman"/>
          <w:sz w:val="28"/>
          <w:szCs w:val="28"/>
        </w:rPr>
        <w:t>1</w:t>
      </w:r>
      <w:r>
        <w:rPr>
          <w:rFonts w:ascii="Times New Roman" w:hAnsi="Times New Roman" w:cs="Times New Roman"/>
          <w:sz w:val="28"/>
          <w:szCs w:val="28"/>
        </w:rPr>
        <w:t>)</w:t>
      </w:r>
      <w:r w:rsidR="006C7288" w:rsidRPr="00EB6F3B">
        <w:rPr>
          <w:rFonts w:ascii="Times New Roman" w:hAnsi="Times New Roman" w:cs="Times New Roman"/>
          <w:sz w:val="28"/>
          <w:szCs w:val="28"/>
        </w:rPr>
        <w:t xml:space="preserve"> of</w:t>
      </w:r>
      <w:r w:rsidR="00CA7891" w:rsidRPr="00EB6F3B">
        <w:rPr>
          <w:rFonts w:ascii="Times New Roman" w:hAnsi="Times New Roman" w:cs="Times New Roman"/>
          <w:sz w:val="28"/>
          <w:szCs w:val="28"/>
        </w:rPr>
        <w:t xml:space="preserve"> Alienation of the Land Act </w:t>
      </w:r>
      <w:r>
        <w:rPr>
          <w:rFonts w:ascii="Times New Roman" w:hAnsi="Times New Roman" w:cs="Times New Roman"/>
          <w:sz w:val="28"/>
          <w:szCs w:val="28"/>
        </w:rPr>
        <w:t>68 of 1986 which</w:t>
      </w:r>
      <w:r w:rsidR="006C7288" w:rsidRPr="00EB6F3B">
        <w:rPr>
          <w:rFonts w:ascii="Times New Roman" w:hAnsi="Times New Roman" w:cs="Times New Roman"/>
          <w:sz w:val="28"/>
          <w:szCs w:val="28"/>
        </w:rPr>
        <w:t xml:space="preserve"> reads thus:</w:t>
      </w:r>
    </w:p>
    <w:p w:rsidR="00123DB7" w:rsidRPr="00C11FF3" w:rsidRDefault="00123DB7" w:rsidP="00C11FF3">
      <w:pPr>
        <w:spacing w:after="0" w:line="360" w:lineRule="auto"/>
        <w:rPr>
          <w:rFonts w:ascii="Times New Roman" w:hAnsi="Times New Roman" w:cs="Times New Roman"/>
          <w:sz w:val="28"/>
          <w:szCs w:val="28"/>
        </w:rPr>
      </w:pPr>
    </w:p>
    <w:p w:rsidR="006C7288" w:rsidRDefault="006C7288" w:rsidP="00123DB7">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156C">
        <w:rPr>
          <w:rFonts w:ascii="Times New Roman" w:hAnsi="Times New Roman" w:cs="Times New Roman"/>
          <w:sz w:val="28"/>
          <w:szCs w:val="28"/>
        </w:rPr>
        <w:t>“</w:t>
      </w:r>
      <w:r>
        <w:rPr>
          <w:rFonts w:ascii="Times New Roman" w:hAnsi="Times New Roman" w:cs="Times New Roman"/>
          <w:sz w:val="28"/>
          <w:szCs w:val="28"/>
        </w:rPr>
        <w:t xml:space="preserve">Formalities in respect of alienation of land </w:t>
      </w:r>
    </w:p>
    <w:p w:rsidR="006C7288" w:rsidRDefault="006C7288" w:rsidP="00123DB7">
      <w:pPr>
        <w:pStyle w:val="ListParagraph"/>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No alienation of land after the commencement of this section shall,</w:t>
      </w:r>
      <w:r w:rsidR="00EB6F3B">
        <w:rPr>
          <w:rFonts w:ascii="Times New Roman" w:hAnsi="Times New Roman" w:cs="Times New Roman"/>
          <w:sz w:val="28"/>
          <w:szCs w:val="28"/>
        </w:rPr>
        <w:t xml:space="preserve"> </w:t>
      </w:r>
      <w:r>
        <w:rPr>
          <w:rFonts w:ascii="Times New Roman" w:hAnsi="Times New Roman" w:cs="Times New Roman"/>
          <w:sz w:val="28"/>
          <w:szCs w:val="28"/>
        </w:rPr>
        <w:t xml:space="preserve">subject to the provisions of section 28, be of any force or effect unless it is contained in a deed of alienation signed by the parties thereto or by their agents acting on </w:t>
      </w:r>
      <w:r w:rsidR="00A75744">
        <w:rPr>
          <w:rFonts w:ascii="Times New Roman" w:hAnsi="Times New Roman" w:cs="Times New Roman"/>
          <w:sz w:val="28"/>
          <w:szCs w:val="28"/>
        </w:rPr>
        <w:t>their written authority.”</w:t>
      </w:r>
    </w:p>
    <w:p w:rsidR="00123DB7" w:rsidRDefault="00123DB7" w:rsidP="00123DB7">
      <w:pPr>
        <w:pStyle w:val="ListParagraph"/>
        <w:spacing w:after="0" w:line="360" w:lineRule="auto"/>
        <w:ind w:left="1110"/>
        <w:jc w:val="both"/>
        <w:rPr>
          <w:rFonts w:ascii="Times New Roman" w:hAnsi="Times New Roman" w:cs="Times New Roman"/>
          <w:sz w:val="28"/>
          <w:szCs w:val="28"/>
        </w:rPr>
      </w:pPr>
    </w:p>
    <w:p w:rsidR="00EB0D99" w:rsidRDefault="00842213" w:rsidP="00961EE0">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Focusing</w:t>
      </w:r>
      <w:r w:rsidR="00123DB7">
        <w:rPr>
          <w:rFonts w:ascii="Times New Roman" w:hAnsi="Times New Roman" w:cs="Times New Roman"/>
          <w:sz w:val="28"/>
          <w:szCs w:val="28"/>
        </w:rPr>
        <w:t xml:space="preserve"> on </w:t>
      </w:r>
      <w:r w:rsidR="00EB1A58">
        <w:rPr>
          <w:rFonts w:ascii="Times New Roman" w:hAnsi="Times New Roman" w:cs="Times New Roman"/>
          <w:sz w:val="28"/>
          <w:szCs w:val="28"/>
        </w:rPr>
        <w:t>Section 2(1) of ALA,</w:t>
      </w:r>
      <w:r>
        <w:rPr>
          <w:rFonts w:ascii="Times New Roman" w:hAnsi="Times New Roman" w:cs="Times New Roman"/>
          <w:sz w:val="28"/>
          <w:szCs w:val="28"/>
        </w:rPr>
        <w:t xml:space="preserve"> Counsel</w:t>
      </w:r>
      <w:r w:rsidR="00EB1A58">
        <w:rPr>
          <w:rFonts w:ascii="Times New Roman" w:hAnsi="Times New Roman" w:cs="Times New Roman"/>
          <w:sz w:val="28"/>
          <w:szCs w:val="28"/>
        </w:rPr>
        <w:t xml:space="preserve"> for the Respondents referred</w:t>
      </w:r>
      <w:r>
        <w:rPr>
          <w:rFonts w:ascii="Times New Roman" w:hAnsi="Times New Roman" w:cs="Times New Roman"/>
          <w:sz w:val="28"/>
          <w:szCs w:val="28"/>
        </w:rPr>
        <w:t xml:space="preserve"> to </w:t>
      </w:r>
      <w:r w:rsidR="00D97D78">
        <w:rPr>
          <w:rFonts w:ascii="Times New Roman" w:hAnsi="Times New Roman" w:cs="Times New Roman"/>
          <w:sz w:val="28"/>
          <w:szCs w:val="28"/>
        </w:rPr>
        <w:t xml:space="preserve">the definition of alienation </w:t>
      </w:r>
      <w:r w:rsidR="00821700">
        <w:rPr>
          <w:rFonts w:ascii="Times New Roman" w:hAnsi="Times New Roman" w:cs="Times New Roman"/>
          <w:sz w:val="28"/>
          <w:szCs w:val="28"/>
        </w:rPr>
        <w:t>under Section 1 of the Act which reads as follows:</w:t>
      </w:r>
    </w:p>
    <w:p w:rsidR="00852675" w:rsidRDefault="00852675" w:rsidP="00852675">
      <w:pPr>
        <w:pStyle w:val="ListParagraph"/>
        <w:spacing w:after="0" w:line="360" w:lineRule="auto"/>
        <w:jc w:val="both"/>
        <w:rPr>
          <w:rFonts w:ascii="Times New Roman" w:hAnsi="Times New Roman" w:cs="Times New Roman"/>
          <w:sz w:val="28"/>
          <w:szCs w:val="28"/>
        </w:rPr>
      </w:pPr>
    </w:p>
    <w:p w:rsidR="0095156C" w:rsidRDefault="00DE1AFC" w:rsidP="0095156C">
      <w:pPr>
        <w:pStyle w:val="ListParagraph"/>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821700">
        <w:rPr>
          <w:rFonts w:ascii="Times New Roman" w:hAnsi="Times New Roman" w:cs="Times New Roman"/>
          <w:sz w:val="28"/>
          <w:szCs w:val="28"/>
        </w:rPr>
        <w:t>alienate</w:t>
      </w:r>
      <w:r>
        <w:rPr>
          <w:rFonts w:ascii="Times New Roman" w:hAnsi="Times New Roman" w:cs="Times New Roman"/>
          <w:sz w:val="28"/>
          <w:szCs w:val="28"/>
        </w:rPr>
        <w:t>’</w:t>
      </w:r>
      <w:r w:rsidR="00821700">
        <w:rPr>
          <w:rFonts w:ascii="Times New Roman" w:hAnsi="Times New Roman" w:cs="Times New Roman"/>
          <w:sz w:val="28"/>
          <w:szCs w:val="28"/>
        </w:rPr>
        <w:t xml:space="preserve">, in relation to land, means sell, exchange or donate, irrespective of such sale, exchange or donation is subject to suspensive or resolutive condition, and </w:t>
      </w:r>
      <w:r>
        <w:rPr>
          <w:rFonts w:ascii="Times New Roman" w:hAnsi="Times New Roman" w:cs="Times New Roman"/>
          <w:sz w:val="28"/>
          <w:szCs w:val="28"/>
        </w:rPr>
        <w:t>‘</w:t>
      </w:r>
      <w:r w:rsidR="00821700">
        <w:rPr>
          <w:rFonts w:ascii="Times New Roman" w:hAnsi="Times New Roman" w:cs="Times New Roman"/>
          <w:sz w:val="28"/>
          <w:szCs w:val="28"/>
        </w:rPr>
        <w:t>alienation</w:t>
      </w:r>
      <w:r>
        <w:rPr>
          <w:rFonts w:ascii="Times New Roman" w:hAnsi="Times New Roman" w:cs="Times New Roman"/>
          <w:sz w:val="28"/>
          <w:szCs w:val="28"/>
        </w:rPr>
        <w:t>’</w:t>
      </w:r>
      <w:r w:rsidR="0095156C">
        <w:rPr>
          <w:rFonts w:ascii="Times New Roman" w:hAnsi="Times New Roman" w:cs="Times New Roman"/>
          <w:sz w:val="28"/>
          <w:szCs w:val="28"/>
        </w:rPr>
        <w:t xml:space="preserve"> has a corresponding meaning.” </w:t>
      </w:r>
    </w:p>
    <w:p w:rsidR="0095156C" w:rsidRDefault="0095156C" w:rsidP="0095156C">
      <w:pPr>
        <w:pStyle w:val="ListParagraph"/>
        <w:spacing w:after="0" w:line="360" w:lineRule="auto"/>
        <w:jc w:val="both"/>
        <w:rPr>
          <w:rFonts w:ascii="Times New Roman" w:hAnsi="Times New Roman" w:cs="Times New Roman"/>
          <w:sz w:val="28"/>
          <w:szCs w:val="28"/>
        </w:rPr>
      </w:pPr>
    </w:p>
    <w:p w:rsidR="00471558" w:rsidRPr="00847C59" w:rsidRDefault="00B86985" w:rsidP="0095156C">
      <w:pPr>
        <w:pStyle w:val="ListParagraph"/>
        <w:numPr>
          <w:ilvl w:val="0"/>
          <w:numId w:val="31"/>
        </w:numPr>
        <w:spacing w:after="0" w:line="360" w:lineRule="auto"/>
        <w:ind w:hanging="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Referring to</w:t>
      </w:r>
      <w:r w:rsidR="00EB1A58" w:rsidRPr="00A9679F">
        <w:rPr>
          <w:rFonts w:ascii="Times New Roman" w:hAnsi="Times New Roman" w:cs="Times New Roman"/>
          <w:color w:val="000000" w:themeColor="text1"/>
          <w:sz w:val="28"/>
          <w:szCs w:val="28"/>
        </w:rPr>
        <w:t xml:space="preserve"> </w:t>
      </w:r>
      <w:r w:rsidR="00EB1A58" w:rsidRPr="00A9679F">
        <w:rPr>
          <w:rFonts w:ascii="Times New Roman" w:hAnsi="Times New Roman" w:cs="Times New Roman"/>
          <w:i/>
          <w:color w:val="000000" w:themeColor="text1"/>
          <w:sz w:val="28"/>
          <w:szCs w:val="28"/>
        </w:rPr>
        <w:t>United Building Society Limited v Du Plessis,</w:t>
      </w:r>
      <w:r w:rsidR="00EB1A58" w:rsidRPr="00A9679F">
        <w:rPr>
          <w:rStyle w:val="FootnoteReference"/>
          <w:rFonts w:ascii="Times New Roman" w:hAnsi="Times New Roman" w:cs="Times New Roman"/>
          <w:color w:val="000000" w:themeColor="text1"/>
          <w:sz w:val="28"/>
          <w:szCs w:val="28"/>
        </w:rPr>
        <w:footnoteReference w:id="51"/>
      </w:r>
      <w:r w:rsidR="00EB1A58" w:rsidRPr="00A9679F">
        <w:rPr>
          <w:rFonts w:ascii="Times New Roman" w:hAnsi="Times New Roman" w:cs="Times New Roman"/>
          <w:color w:val="000000" w:themeColor="text1"/>
          <w:sz w:val="28"/>
          <w:szCs w:val="28"/>
        </w:rPr>
        <w:t>Counsel for the Respondents maintained that Section 2(1) of  ALA did not apply; since</w:t>
      </w:r>
      <w:r w:rsidR="00DE1AFC" w:rsidRPr="00A9679F">
        <w:rPr>
          <w:rFonts w:ascii="Times New Roman" w:hAnsi="Times New Roman" w:cs="Times New Roman"/>
          <w:color w:val="000000" w:themeColor="text1"/>
          <w:sz w:val="28"/>
          <w:szCs w:val="28"/>
        </w:rPr>
        <w:t xml:space="preserve"> the a</w:t>
      </w:r>
      <w:r w:rsidR="00123DB7" w:rsidRPr="00A9679F">
        <w:rPr>
          <w:rFonts w:ascii="Times New Roman" w:hAnsi="Times New Roman" w:cs="Times New Roman"/>
          <w:color w:val="000000" w:themeColor="text1"/>
          <w:sz w:val="28"/>
          <w:szCs w:val="28"/>
        </w:rPr>
        <w:t>greement between the parties neither fel</w:t>
      </w:r>
      <w:r w:rsidR="00DE1AFC" w:rsidRPr="00A9679F">
        <w:rPr>
          <w:rFonts w:ascii="Times New Roman" w:hAnsi="Times New Roman" w:cs="Times New Roman"/>
          <w:color w:val="000000" w:themeColor="text1"/>
          <w:sz w:val="28"/>
          <w:szCs w:val="28"/>
        </w:rPr>
        <w:t>l</w:t>
      </w:r>
      <w:r w:rsidR="00123DB7" w:rsidRPr="00A9679F">
        <w:rPr>
          <w:rFonts w:ascii="Times New Roman" w:hAnsi="Times New Roman" w:cs="Times New Roman"/>
          <w:color w:val="000000" w:themeColor="text1"/>
          <w:sz w:val="28"/>
          <w:szCs w:val="28"/>
        </w:rPr>
        <w:t xml:space="preserve"> under a sale, nor an exchange or </w:t>
      </w:r>
      <w:r w:rsidR="00EB6F3B" w:rsidRPr="00A9679F">
        <w:rPr>
          <w:rFonts w:ascii="Times New Roman" w:hAnsi="Times New Roman" w:cs="Times New Roman"/>
          <w:color w:val="000000" w:themeColor="text1"/>
          <w:sz w:val="28"/>
          <w:szCs w:val="28"/>
        </w:rPr>
        <w:t xml:space="preserve">a </w:t>
      </w:r>
      <w:r w:rsidR="00123DB7" w:rsidRPr="00A9679F">
        <w:rPr>
          <w:rFonts w:ascii="Times New Roman" w:hAnsi="Times New Roman" w:cs="Times New Roman"/>
          <w:color w:val="000000" w:themeColor="text1"/>
          <w:sz w:val="28"/>
          <w:szCs w:val="28"/>
        </w:rPr>
        <w:t>donation of land.</w:t>
      </w:r>
      <w:r w:rsidR="00EB1A58" w:rsidRPr="00A9679F">
        <w:rPr>
          <w:rFonts w:ascii="Times New Roman" w:hAnsi="Times New Roman" w:cs="Times New Roman"/>
          <w:color w:val="000000" w:themeColor="text1"/>
          <w:sz w:val="28"/>
          <w:szCs w:val="28"/>
        </w:rPr>
        <w:t xml:space="preserve"> </w:t>
      </w:r>
      <w:r w:rsidR="0095156C">
        <w:rPr>
          <w:rFonts w:ascii="Times New Roman" w:hAnsi="Times New Roman" w:cs="Times New Roman"/>
          <w:color w:val="000000" w:themeColor="text1"/>
          <w:sz w:val="28"/>
          <w:szCs w:val="28"/>
        </w:rPr>
        <w:t>Therefore</w:t>
      </w:r>
      <w:r w:rsidR="00C81680">
        <w:rPr>
          <w:rFonts w:ascii="Times New Roman" w:hAnsi="Times New Roman" w:cs="Times New Roman"/>
          <w:color w:val="000000" w:themeColor="text1"/>
          <w:sz w:val="28"/>
          <w:szCs w:val="28"/>
        </w:rPr>
        <w:t>,</w:t>
      </w:r>
      <w:r w:rsidR="0095156C">
        <w:rPr>
          <w:rFonts w:ascii="Times New Roman" w:hAnsi="Times New Roman" w:cs="Times New Roman"/>
          <w:color w:val="000000" w:themeColor="text1"/>
          <w:sz w:val="28"/>
          <w:szCs w:val="28"/>
        </w:rPr>
        <w:t xml:space="preserve"> the agreement</w:t>
      </w:r>
      <w:r w:rsidR="00C81680">
        <w:rPr>
          <w:rFonts w:ascii="Times New Roman" w:hAnsi="Times New Roman" w:cs="Times New Roman"/>
          <w:color w:val="000000" w:themeColor="text1"/>
          <w:sz w:val="28"/>
          <w:szCs w:val="28"/>
        </w:rPr>
        <w:t xml:space="preserve"> does not have to be in writing. The</w:t>
      </w:r>
      <w:r w:rsidR="00221F50">
        <w:rPr>
          <w:rFonts w:ascii="Times New Roman" w:hAnsi="Times New Roman" w:cs="Times New Roman"/>
          <w:color w:val="000000" w:themeColor="text1"/>
          <w:sz w:val="28"/>
          <w:szCs w:val="28"/>
        </w:rPr>
        <w:t xml:space="preserve"> Applicants’ Counsel argued that</w:t>
      </w:r>
      <w:r w:rsidR="00C81680">
        <w:rPr>
          <w:rFonts w:ascii="Times New Roman" w:hAnsi="Times New Roman" w:cs="Times New Roman"/>
          <w:color w:val="000000" w:themeColor="text1"/>
          <w:sz w:val="28"/>
          <w:szCs w:val="28"/>
        </w:rPr>
        <w:t xml:space="preserve"> the</w:t>
      </w:r>
      <w:r w:rsidR="00221F50">
        <w:rPr>
          <w:rFonts w:ascii="Times New Roman" w:hAnsi="Times New Roman" w:cs="Times New Roman"/>
          <w:color w:val="000000" w:themeColor="text1"/>
          <w:sz w:val="28"/>
          <w:szCs w:val="28"/>
        </w:rPr>
        <w:t xml:space="preserve"> </w:t>
      </w:r>
      <w:r w:rsidR="00B37500" w:rsidRPr="00A9679F">
        <w:rPr>
          <w:rFonts w:ascii="Times New Roman" w:hAnsi="Times New Roman" w:cs="Times New Roman"/>
          <w:i/>
          <w:color w:val="000000" w:themeColor="text1"/>
          <w:sz w:val="28"/>
          <w:szCs w:val="28"/>
        </w:rPr>
        <w:t>United Building</w:t>
      </w:r>
      <w:r w:rsidR="00B37500" w:rsidRPr="00A9679F">
        <w:rPr>
          <w:rFonts w:ascii="Times New Roman" w:hAnsi="Times New Roman" w:cs="Times New Roman"/>
          <w:color w:val="000000" w:themeColor="text1"/>
          <w:sz w:val="28"/>
          <w:szCs w:val="28"/>
        </w:rPr>
        <w:t xml:space="preserve"> case is distin</w:t>
      </w:r>
      <w:r w:rsidR="00221F50">
        <w:rPr>
          <w:rFonts w:ascii="Times New Roman" w:hAnsi="Times New Roman" w:cs="Times New Roman"/>
          <w:color w:val="000000" w:themeColor="text1"/>
          <w:sz w:val="28"/>
          <w:szCs w:val="28"/>
        </w:rPr>
        <w:t>guishable because it dealt with an insolvent estat</w:t>
      </w:r>
      <w:r>
        <w:rPr>
          <w:rFonts w:ascii="Times New Roman" w:hAnsi="Times New Roman" w:cs="Times New Roman"/>
          <w:color w:val="000000" w:themeColor="text1"/>
          <w:sz w:val="28"/>
          <w:szCs w:val="28"/>
        </w:rPr>
        <w:t xml:space="preserve">e in which the United Building </w:t>
      </w:r>
      <w:r w:rsidR="00C81680">
        <w:rPr>
          <w:rFonts w:ascii="Times New Roman" w:hAnsi="Times New Roman" w:cs="Times New Roman"/>
          <w:color w:val="000000" w:themeColor="text1"/>
          <w:sz w:val="28"/>
          <w:szCs w:val="28"/>
        </w:rPr>
        <w:t>Society</w:t>
      </w:r>
      <w:r w:rsidR="00221F50">
        <w:rPr>
          <w:rFonts w:ascii="Times New Roman" w:hAnsi="Times New Roman" w:cs="Times New Roman"/>
          <w:color w:val="000000" w:themeColor="text1"/>
          <w:sz w:val="28"/>
          <w:szCs w:val="28"/>
        </w:rPr>
        <w:t xml:space="preserve"> already </w:t>
      </w:r>
      <w:r w:rsidR="00C81680">
        <w:rPr>
          <w:rFonts w:ascii="Times New Roman" w:hAnsi="Times New Roman" w:cs="Times New Roman"/>
          <w:color w:val="000000" w:themeColor="text1"/>
          <w:sz w:val="28"/>
          <w:szCs w:val="28"/>
        </w:rPr>
        <w:t xml:space="preserve">had </w:t>
      </w:r>
      <w:r w:rsidR="00221F50">
        <w:rPr>
          <w:rFonts w:ascii="Times New Roman" w:hAnsi="Times New Roman" w:cs="Times New Roman"/>
          <w:color w:val="000000" w:themeColor="text1"/>
          <w:sz w:val="28"/>
          <w:szCs w:val="28"/>
        </w:rPr>
        <w:t xml:space="preserve">a </w:t>
      </w:r>
      <w:r w:rsidR="00C81680">
        <w:rPr>
          <w:rFonts w:ascii="Times New Roman" w:hAnsi="Times New Roman" w:cs="Times New Roman"/>
          <w:color w:val="000000" w:themeColor="text1"/>
          <w:sz w:val="28"/>
          <w:szCs w:val="28"/>
        </w:rPr>
        <w:t xml:space="preserve">real right as </w:t>
      </w:r>
      <w:r w:rsidR="00221F50">
        <w:rPr>
          <w:rFonts w:ascii="Times New Roman" w:hAnsi="Times New Roman" w:cs="Times New Roman"/>
          <w:color w:val="000000" w:themeColor="text1"/>
          <w:sz w:val="28"/>
          <w:szCs w:val="28"/>
        </w:rPr>
        <w:t>mortgage bond holder.</w:t>
      </w:r>
      <w:r w:rsidR="00B37500" w:rsidRPr="00A9679F">
        <w:rPr>
          <w:rFonts w:ascii="Times New Roman" w:hAnsi="Times New Roman" w:cs="Times New Roman"/>
          <w:color w:val="000000" w:themeColor="text1"/>
          <w:sz w:val="28"/>
          <w:szCs w:val="28"/>
        </w:rPr>
        <w:t xml:space="preserve"> </w:t>
      </w:r>
    </w:p>
    <w:p w:rsidR="00847C59" w:rsidRPr="00471558" w:rsidRDefault="00847C59" w:rsidP="00847C59">
      <w:pPr>
        <w:pStyle w:val="ListParagraph"/>
        <w:spacing w:after="0" w:line="360" w:lineRule="auto"/>
        <w:jc w:val="both"/>
        <w:rPr>
          <w:rFonts w:ascii="Times New Roman" w:eastAsia="Times New Roman" w:hAnsi="Times New Roman" w:cs="Times New Roman"/>
          <w:color w:val="000000" w:themeColor="text1"/>
          <w:sz w:val="28"/>
          <w:szCs w:val="28"/>
        </w:rPr>
      </w:pPr>
    </w:p>
    <w:p w:rsidR="00471558" w:rsidRPr="00A9679F" w:rsidRDefault="008223D5" w:rsidP="00471558">
      <w:pPr>
        <w:pStyle w:val="Heading2"/>
        <w:numPr>
          <w:ilvl w:val="0"/>
          <w:numId w:val="31"/>
        </w:numPr>
        <w:shd w:val="clear" w:color="auto" w:fill="FFFFFF"/>
        <w:spacing w:before="240" w:line="360" w:lineRule="auto"/>
        <w:ind w:hanging="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I agree with t</w:t>
      </w:r>
      <w:r w:rsidR="00C81680">
        <w:rPr>
          <w:rFonts w:ascii="Times New Roman" w:hAnsi="Times New Roman" w:cs="Times New Roman"/>
          <w:color w:val="000000" w:themeColor="text1"/>
          <w:sz w:val="28"/>
          <w:szCs w:val="28"/>
        </w:rPr>
        <w:t xml:space="preserve">he Applicants’ Counsel that </w:t>
      </w:r>
      <w:r w:rsidR="004668C4">
        <w:rPr>
          <w:rFonts w:ascii="Times New Roman" w:hAnsi="Times New Roman" w:cs="Times New Roman"/>
          <w:color w:val="000000" w:themeColor="text1"/>
          <w:sz w:val="28"/>
          <w:szCs w:val="28"/>
        </w:rPr>
        <w:t>a case on point in this matter is</w:t>
      </w:r>
      <w:r w:rsidR="00471558" w:rsidRPr="00A9679F">
        <w:rPr>
          <w:rFonts w:ascii="Times New Roman" w:hAnsi="Times New Roman" w:cs="Times New Roman"/>
          <w:color w:val="000000" w:themeColor="text1"/>
          <w:sz w:val="28"/>
          <w:szCs w:val="28"/>
        </w:rPr>
        <w:t xml:space="preserve"> </w:t>
      </w:r>
      <w:r w:rsidR="00471558" w:rsidRPr="00852675">
        <w:rPr>
          <w:rFonts w:ascii="Times New Roman" w:eastAsia="Times New Roman" w:hAnsi="Times New Roman" w:cs="Times New Roman"/>
          <w:i/>
          <w:color w:val="000000" w:themeColor="text1"/>
          <w:sz w:val="28"/>
          <w:szCs w:val="28"/>
        </w:rPr>
        <w:t>Van Rensburg and Another v Koekemoer and Others</w:t>
      </w:r>
      <w:r w:rsidR="004668C4">
        <w:rPr>
          <w:rFonts w:ascii="Times New Roman" w:eastAsia="Times New Roman" w:hAnsi="Times New Roman" w:cs="Times New Roman"/>
          <w:i/>
          <w:color w:val="000000" w:themeColor="text1"/>
          <w:sz w:val="28"/>
          <w:szCs w:val="28"/>
        </w:rPr>
        <w:t>,</w:t>
      </w:r>
      <w:r w:rsidR="00471558">
        <w:rPr>
          <w:rStyle w:val="FootnoteReference"/>
          <w:rFonts w:ascii="Times New Roman" w:eastAsia="Times New Roman" w:hAnsi="Times New Roman" w:cs="Times New Roman"/>
          <w:color w:val="000000" w:themeColor="text1"/>
          <w:sz w:val="28"/>
          <w:szCs w:val="28"/>
        </w:rPr>
        <w:footnoteReference w:id="52"/>
      </w:r>
      <w:r w:rsidR="004668C4" w:rsidRPr="004668C4">
        <w:rPr>
          <w:rFonts w:ascii="Times New Roman" w:eastAsia="Times New Roman" w:hAnsi="Times New Roman" w:cs="Times New Roman"/>
          <w:color w:val="000000" w:themeColor="text1"/>
          <w:sz w:val="28"/>
          <w:szCs w:val="28"/>
        </w:rPr>
        <w:t xml:space="preserve">in which the </w:t>
      </w:r>
      <w:r w:rsidR="00471558">
        <w:rPr>
          <w:rFonts w:ascii="Times New Roman" w:eastAsia="Times New Roman" w:hAnsi="Times New Roman" w:cs="Times New Roman"/>
          <w:color w:val="000000" w:themeColor="text1"/>
          <w:sz w:val="28"/>
          <w:szCs w:val="28"/>
        </w:rPr>
        <w:t xml:space="preserve"> Court held:</w:t>
      </w:r>
    </w:p>
    <w:p w:rsidR="00471558" w:rsidRDefault="00471558" w:rsidP="00471558">
      <w:pPr>
        <w:pStyle w:val="Style3"/>
        <w:spacing w:line="360" w:lineRule="auto"/>
        <w:jc w:val="both"/>
        <w:rPr>
          <w:rFonts w:ascii="Arial" w:hAnsi="Arial"/>
        </w:rPr>
      </w:pPr>
    </w:p>
    <w:p w:rsidR="00471558" w:rsidRDefault="00471558" w:rsidP="00471558">
      <w:pPr>
        <w:pStyle w:val="Style3"/>
        <w:spacing w:line="360" w:lineRule="auto"/>
        <w:ind w:left="720"/>
        <w:jc w:val="both"/>
      </w:pPr>
      <w:r>
        <w:rPr>
          <w:rFonts w:ascii="Arial" w:hAnsi="Arial"/>
        </w:rPr>
        <w:t>“</w:t>
      </w:r>
      <w:r w:rsidRPr="00A9679F">
        <w:rPr>
          <w:rStyle w:val="FontStyle30"/>
          <w:rFonts w:ascii="Times New Roman" w:hAnsi="Times New Roman" w:cs="Times New Roman"/>
          <w:i/>
          <w:sz w:val="28"/>
          <w:szCs w:val="28"/>
        </w:rPr>
        <w:t xml:space="preserve">Once it is concluded that a servitude such as </w:t>
      </w:r>
      <w:r w:rsidRPr="00A9679F">
        <w:rPr>
          <w:rStyle w:val="FontStyle35"/>
          <w:rFonts w:ascii="Times New Roman" w:hAnsi="Times New Roman" w:cs="Times New Roman"/>
          <w:i w:val="0"/>
          <w:iCs w:val="0"/>
          <w:sz w:val="28"/>
          <w:szCs w:val="28"/>
        </w:rPr>
        <w:t xml:space="preserve">habitatio </w:t>
      </w:r>
      <w:r w:rsidRPr="00A9679F">
        <w:rPr>
          <w:rStyle w:val="FontStyle30"/>
          <w:rFonts w:ascii="Times New Roman" w:hAnsi="Times New Roman" w:cs="Times New Roman"/>
          <w:i/>
          <w:sz w:val="28"/>
          <w:szCs w:val="28"/>
        </w:rPr>
        <w:t xml:space="preserve">or </w:t>
      </w:r>
      <w:r w:rsidRPr="00A9679F">
        <w:rPr>
          <w:rStyle w:val="FontStyle35"/>
          <w:rFonts w:ascii="Times New Roman" w:hAnsi="Times New Roman" w:cs="Times New Roman"/>
          <w:i w:val="0"/>
          <w:iCs w:val="0"/>
          <w:sz w:val="28"/>
          <w:szCs w:val="28"/>
        </w:rPr>
        <w:t xml:space="preserve">usus </w:t>
      </w:r>
      <w:r w:rsidRPr="00A9679F">
        <w:rPr>
          <w:rStyle w:val="FontStyle30"/>
          <w:rFonts w:ascii="Times New Roman" w:hAnsi="Times New Roman" w:cs="Times New Roman"/>
          <w:i/>
          <w:sz w:val="28"/>
          <w:szCs w:val="28"/>
        </w:rPr>
        <w:t xml:space="preserve">or </w:t>
      </w:r>
      <w:r w:rsidRPr="00A9679F">
        <w:rPr>
          <w:rStyle w:val="FontStyle35"/>
          <w:rFonts w:ascii="Times New Roman" w:hAnsi="Times New Roman" w:cs="Times New Roman"/>
          <w:i w:val="0"/>
          <w:iCs w:val="0"/>
          <w:sz w:val="28"/>
          <w:szCs w:val="28"/>
        </w:rPr>
        <w:t xml:space="preserve">usufructus </w:t>
      </w:r>
      <w:r w:rsidRPr="00A9679F">
        <w:rPr>
          <w:rStyle w:val="FontStyle30"/>
          <w:rFonts w:ascii="Times New Roman" w:hAnsi="Times New Roman" w:cs="Times New Roman"/>
          <w:i/>
          <w:sz w:val="28"/>
          <w:szCs w:val="28"/>
        </w:rPr>
        <w:t>constitutes a subtraction of the dominium in land it follows that any agreement granting such right has to be in writing and signed by the parties upon pain of being declared invalid in terms of the aforesaid sections. For the same reasons, mineral rights are also to be in writing to be valid.</w:t>
      </w:r>
      <w:r w:rsidRPr="00A9679F">
        <w:rPr>
          <w:rStyle w:val="FootnoteReference"/>
          <w:rFonts w:ascii="Times New Roman" w:hAnsi="Times New Roman" w:cs="Times New Roman"/>
          <w:i/>
          <w:sz w:val="28"/>
          <w:szCs w:val="28"/>
        </w:rPr>
        <w:footnoteReference w:customMarkFollows="1" w:id="53"/>
        <w:t>6</w:t>
      </w:r>
      <w:r w:rsidRPr="00A9679F">
        <w:rPr>
          <w:rStyle w:val="FontStyle30"/>
          <w:rFonts w:ascii="Times New Roman" w:hAnsi="Times New Roman" w:cs="Times New Roman"/>
          <w:i/>
          <w:sz w:val="28"/>
          <w:szCs w:val="28"/>
        </w:rPr>
        <w:t xml:space="preserve"> Units in a sectional titles scheme are also defined as "land" in section 1 of the Alienation of Land Act. All formalities pertaining to the sale and purchase of units have to comply with section 2(1) of the Act. In the light of these analogous situations, it seems</w:t>
      </w:r>
      <w:r w:rsidRPr="00A9679F">
        <w:rPr>
          <w:rStyle w:val="FontStyle31"/>
          <w:i/>
          <w:snapToGrid w:val="0"/>
          <w:sz w:val="28"/>
          <w:szCs w:val="28"/>
        </w:rPr>
        <w:t xml:space="preserve"> </w:t>
      </w:r>
      <w:r w:rsidRPr="00A9679F">
        <w:rPr>
          <w:rStyle w:val="FontStyle30"/>
          <w:rFonts w:ascii="Times New Roman" w:hAnsi="Times New Roman" w:cs="Times New Roman"/>
          <w:i/>
          <w:sz w:val="28"/>
          <w:szCs w:val="28"/>
        </w:rPr>
        <w:t xml:space="preserve">incongruous that a servitude of </w:t>
      </w:r>
      <w:r w:rsidRPr="00A9679F">
        <w:rPr>
          <w:rStyle w:val="FontStyle35"/>
          <w:rFonts w:ascii="Times New Roman" w:hAnsi="Times New Roman" w:cs="Times New Roman"/>
          <w:i w:val="0"/>
          <w:sz w:val="28"/>
          <w:szCs w:val="28"/>
        </w:rPr>
        <w:t xml:space="preserve">habitatio, usus </w:t>
      </w:r>
      <w:r w:rsidRPr="00A9679F">
        <w:rPr>
          <w:rStyle w:val="FontStyle30"/>
          <w:rFonts w:ascii="Times New Roman" w:hAnsi="Times New Roman" w:cs="Times New Roman"/>
          <w:i/>
          <w:sz w:val="28"/>
          <w:szCs w:val="28"/>
        </w:rPr>
        <w:t xml:space="preserve">or </w:t>
      </w:r>
      <w:r w:rsidRPr="00A9679F">
        <w:rPr>
          <w:rStyle w:val="FontStyle35"/>
          <w:rFonts w:ascii="Times New Roman" w:hAnsi="Times New Roman" w:cs="Times New Roman"/>
          <w:i w:val="0"/>
          <w:sz w:val="28"/>
          <w:szCs w:val="28"/>
        </w:rPr>
        <w:t xml:space="preserve">usufructus? </w:t>
      </w:r>
      <w:r w:rsidRPr="00A9679F">
        <w:rPr>
          <w:rStyle w:val="FontStyle30"/>
          <w:rFonts w:ascii="Times New Roman" w:hAnsi="Times New Roman" w:cs="Times New Roman"/>
          <w:i/>
          <w:sz w:val="28"/>
          <w:szCs w:val="28"/>
        </w:rPr>
        <w:t xml:space="preserve">orally concluded can be valid and enforceable. In each </w:t>
      </w:r>
      <w:r w:rsidRPr="00852675">
        <w:rPr>
          <w:rStyle w:val="FontStyle30"/>
          <w:rFonts w:ascii="Times New Roman" w:hAnsi="Times New Roman" w:cs="Times New Roman"/>
          <w:i/>
          <w:sz w:val="28"/>
          <w:szCs w:val="28"/>
        </w:rPr>
        <w:t xml:space="preserve">instance there is a measure of depravation of the owner's title to the immovable property. As such they </w:t>
      </w:r>
      <w:r w:rsidRPr="00852675">
        <w:rPr>
          <w:rStyle w:val="FontStyle30"/>
          <w:rFonts w:ascii="Arial" w:hAnsi="Arial"/>
          <w:i/>
        </w:rPr>
        <w:t>have to be in writing and signed by the parties to have any force whatsoever,</w:t>
      </w:r>
      <w:r>
        <w:rPr>
          <w:rFonts w:ascii="Arial" w:hAnsi="Arial"/>
          <w:i/>
          <w:sz w:val="26"/>
          <w:szCs w:val="26"/>
        </w:rPr>
        <w:t>”</w:t>
      </w:r>
      <w:r>
        <w:rPr>
          <w:rStyle w:val="FootnoteReference"/>
          <w:rFonts w:ascii="Arial" w:hAnsi="Arial"/>
          <w:i/>
          <w:sz w:val="26"/>
          <w:szCs w:val="26"/>
        </w:rPr>
        <w:footnoteReference w:id="54"/>
      </w:r>
    </w:p>
    <w:p w:rsidR="00221F50" w:rsidRPr="00221F50" w:rsidRDefault="00221F50" w:rsidP="00221F50">
      <w:pPr>
        <w:pStyle w:val="ListParagraph"/>
        <w:spacing w:after="0" w:line="360" w:lineRule="auto"/>
        <w:jc w:val="both"/>
        <w:rPr>
          <w:rFonts w:ascii="Times New Roman" w:eastAsia="Times New Roman" w:hAnsi="Times New Roman" w:cs="Times New Roman"/>
          <w:color w:val="000000" w:themeColor="text1"/>
          <w:sz w:val="28"/>
          <w:szCs w:val="28"/>
        </w:rPr>
      </w:pPr>
    </w:p>
    <w:p w:rsidR="00C65ED0" w:rsidRPr="00C65ED0" w:rsidRDefault="00C65ED0" w:rsidP="0095156C">
      <w:pPr>
        <w:pStyle w:val="ListParagraph"/>
        <w:numPr>
          <w:ilvl w:val="0"/>
          <w:numId w:val="31"/>
        </w:numPr>
        <w:spacing w:after="0" w:line="360" w:lineRule="auto"/>
        <w:ind w:hanging="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Even if </w:t>
      </w:r>
      <w:r w:rsidR="00E87C73">
        <w:rPr>
          <w:rFonts w:ascii="Times New Roman" w:hAnsi="Times New Roman" w:cs="Times New Roman"/>
          <w:color w:val="000000" w:themeColor="text1"/>
          <w:sz w:val="28"/>
          <w:szCs w:val="28"/>
        </w:rPr>
        <w:t>Counsel for the Respondents is correct that Section 2 (1) of the Act does not apply</w:t>
      </w:r>
      <w:r w:rsidR="008223D5">
        <w:rPr>
          <w:rFonts w:ascii="Times New Roman" w:hAnsi="Times New Roman" w:cs="Times New Roman"/>
          <w:color w:val="000000" w:themeColor="text1"/>
          <w:sz w:val="28"/>
          <w:szCs w:val="28"/>
        </w:rPr>
        <w:t>,</w:t>
      </w:r>
      <w:r w:rsidR="00E87C73">
        <w:rPr>
          <w:rFonts w:ascii="Times New Roman" w:hAnsi="Times New Roman" w:cs="Times New Roman"/>
          <w:color w:val="000000" w:themeColor="text1"/>
          <w:sz w:val="28"/>
          <w:szCs w:val="28"/>
        </w:rPr>
        <w:t xml:space="preserve"> I still cannot ignore what was stated in </w:t>
      </w:r>
      <w:r w:rsidR="00420AE5" w:rsidRPr="00C65ED0">
        <w:rPr>
          <w:rFonts w:ascii="Times New Roman" w:hAnsi="Times New Roman" w:cs="Times New Roman"/>
          <w:i/>
          <w:color w:val="000000" w:themeColor="text1"/>
          <w:sz w:val="28"/>
          <w:szCs w:val="28"/>
        </w:rPr>
        <w:t>Baron Investments</w:t>
      </w:r>
      <w:r w:rsidR="00420AE5" w:rsidRPr="00420AE5">
        <w:rPr>
          <w:rFonts w:ascii="Times New Roman" w:hAnsi="Times New Roman" w:cs="Times New Roman"/>
          <w:color w:val="000000" w:themeColor="text1"/>
          <w:sz w:val="28"/>
          <w:szCs w:val="28"/>
        </w:rPr>
        <w:t xml:space="preserve"> </w:t>
      </w:r>
      <w:r w:rsidR="00420AE5" w:rsidRPr="00420AE5">
        <w:rPr>
          <w:rFonts w:ascii="Times New Roman" w:hAnsi="Times New Roman" w:cs="Times New Roman"/>
          <w:i/>
          <w:color w:val="000000" w:themeColor="text1"/>
          <w:sz w:val="28"/>
          <w:szCs w:val="28"/>
        </w:rPr>
        <w:t>(Pty) Ltd v West Dune Properties 296 (Pty) Ltd and Others</w:t>
      </w:r>
      <w:r w:rsidR="00420AE5" w:rsidRPr="00E87C73">
        <w:rPr>
          <w:rFonts w:ascii="Times New Roman" w:hAnsi="Times New Roman" w:cs="Times New Roman"/>
          <w:i/>
          <w:sz w:val="28"/>
          <w:szCs w:val="28"/>
        </w:rPr>
        <w:t>.</w:t>
      </w:r>
      <w:r w:rsidR="00420AE5">
        <w:rPr>
          <w:rStyle w:val="FootnoteReference"/>
          <w:rFonts w:ascii="Times New Roman" w:hAnsi="Times New Roman" w:cs="Times New Roman"/>
          <w:i/>
          <w:sz w:val="28"/>
          <w:szCs w:val="28"/>
        </w:rPr>
        <w:footnoteReference w:id="55"/>
      </w:r>
      <w:r w:rsidRPr="00C65ED0">
        <w:rPr>
          <w:rFonts w:ascii="Times New Roman" w:hAnsi="Times New Roman" w:cs="Times New Roman"/>
          <w:sz w:val="28"/>
          <w:szCs w:val="28"/>
        </w:rPr>
        <w:t>The Court said</w:t>
      </w:r>
      <w:r>
        <w:rPr>
          <w:rFonts w:ascii="Times New Roman" w:hAnsi="Times New Roman" w:cs="Times New Roman"/>
          <w:sz w:val="28"/>
          <w:szCs w:val="28"/>
        </w:rPr>
        <w:t>:</w:t>
      </w:r>
    </w:p>
    <w:p w:rsidR="00C65ED0" w:rsidRPr="00C65ED0" w:rsidRDefault="00C65ED0" w:rsidP="00C65ED0">
      <w:pPr>
        <w:pStyle w:val="ListParagraph"/>
        <w:spacing w:after="0" w:line="360" w:lineRule="auto"/>
        <w:jc w:val="both"/>
        <w:rPr>
          <w:rFonts w:ascii="Times New Roman" w:eastAsia="Times New Roman" w:hAnsi="Times New Roman" w:cs="Times New Roman"/>
          <w:color w:val="000000" w:themeColor="text1"/>
          <w:sz w:val="28"/>
          <w:szCs w:val="28"/>
        </w:rPr>
      </w:pPr>
    </w:p>
    <w:p w:rsidR="00C65ED0" w:rsidRPr="00C65ED0" w:rsidRDefault="00C65ED0" w:rsidP="00C65ED0">
      <w:pPr>
        <w:pStyle w:val="ListParagraph"/>
        <w:spacing w:after="0" w:line="360" w:lineRule="auto"/>
        <w:ind w:left="1440"/>
        <w:jc w:val="both"/>
        <w:rPr>
          <w:rFonts w:ascii="Times New Roman" w:eastAsia="Times New Roman" w:hAnsi="Times New Roman" w:cs="Times New Roman"/>
          <w:i/>
          <w:color w:val="000000" w:themeColor="text1"/>
          <w:sz w:val="28"/>
          <w:szCs w:val="28"/>
        </w:rPr>
      </w:pPr>
      <w:r w:rsidRPr="00C65ED0">
        <w:rPr>
          <w:rFonts w:ascii="Times New Roman" w:eastAsia="Times New Roman" w:hAnsi="Times New Roman" w:cs="Times New Roman"/>
          <w:i/>
          <w:color w:val="000000" w:themeColor="text1"/>
          <w:sz w:val="28"/>
          <w:szCs w:val="28"/>
        </w:rPr>
        <w:t>“To order a new servitude to be registered, without the consent of the owner of the land (the Appellant) as requested by the Respondents in this matter, is to deprive the owner of a portion of his property, without any compensation therefor. This would be contrary to the provisions of s 25 (Bill of Rights) of the Constitution. Even in the case where a portion of land is taken away as a via necessitate, the Supreme Court of Appeal has held that adequate compensation therefor should be paid.”</w:t>
      </w:r>
      <w:r>
        <w:rPr>
          <w:rStyle w:val="FootnoteReference"/>
          <w:rFonts w:ascii="Times New Roman" w:eastAsia="Times New Roman" w:hAnsi="Times New Roman" w:cs="Times New Roman"/>
          <w:i/>
          <w:color w:val="000000" w:themeColor="text1"/>
          <w:sz w:val="28"/>
          <w:szCs w:val="28"/>
        </w:rPr>
        <w:footnoteReference w:id="56"/>
      </w:r>
    </w:p>
    <w:p w:rsidR="00C65ED0" w:rsidRDefault="00C65ED0" w:rsidP="00C65ED0">
      <w:pPr>
        <w:pStyle w:val="ListParagraph"/>
        <w:spacing w:after="0" w:line="360" w:lineRule="auto"/>
        <w:jc w:val="both"/>
        <w:rPr>
          <w:rFonts w:ascii="Times New Roman" w:eastAsia="Times New Roman" w:hAnsi="Times New Roman" w:cs="Times New Roman"/>
          <w:color w:val="000000" w:themeColor="text1"/>
          <w:sz w:val="28"/>
          <w:szCs w:val="28"/>
        </w:rPr>
      </w:pPr>
    </w:p>
    <w:p w:rsidR="00183C4F" w:rsidRPr="002A006B" w:rsidRDefault="00203CD5" w:rsidP="002A006B">
      <w:pPr>
        <w:pStyle w:val="ListParagraph"/>
        <w:numPr>
          <w:ilvl w:val="0"/>
          <w:numId w:val="31"/>
        </w:numPr>
        <w:spacing w:after="0" w:line="360" w:lineRule="auto"/>
        <w:ind w:hanging="720"/>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There is substance in the submission that the agreement was inchoate. I cannot turn a blind eye to the pr</w:t>
      </w:r>
      <w:r w:rsidR="008D1E19">
        <w:rPr>
          <w:rFonts w:ascii="Times New Roman" w:hAnsi="Times New Roman" w:cs="Times New Roman"/>
          <w:color w:val="000000" w:themeColor="text1"/>
          <w:sz w:val="28"/>
          <w:szCs w:val="28"/>
        </w:rPr>
        <w:t>oposals and counter proposals between</w:t>
      </w:r>
      <w:r>
        <w:rPr>
          <w:rFonts w:ascii="Times New Roman" w:hAnsi="Times New Roman" w:cs="Times New Roman"/>
          <w:color w:val="000000" w:themeColor="text1"/>
          <w:sz w:val="28"/>
          <w:szCs w:val="28"/>
        </w:rPr>
        <w:t xml:space="preserve"> the parties. On 28 December 2018 the Applicants made certain </w:t>
      </w:r>
      <w:r w:rsidR="007D7A67">
        <w:rPr>
          <w:rFonts w:ascii="Times New Roman" w:hAnsi="Times New Roman" w:cs="Times New Roman"/>
          <w:color w:val="000000" w:themeColor="text1"/>
          <w:sz w:val="28"/>
          <w:szCs w:val="28"/>
        </w:rPr>
        <w:t>overtures geared towards finding a solution. On 12 June 2019 the Respondents, through their lawyers responded with no less than three alternative solution</w:t>
      </w:r>
      <w:r w:rsidR="008D1E19">
        <w:rPr>
          <w:rFonts w:ascii="Times New Roman" w:hAnsi="Times New Roman" w:cs="Times New Roman"/>
          <w:color w:val="000000" w:themeColor="text1"/>
          <w:sz w:val="28"/>
          <w:szCs w:val="28"/>
        </w:rPr>
        <w:t>s</w:t>
      </w:r>
      <w:r w:rsidR="007D7A67">
        <w:rPr>
          <w:rFonts w:ascii="Times New Roman" w:hAnsi="Times New Roman" w:cs="Times New Roman"/>
          <w:color w:val="000000" w:themeColor="text1"/>
          <w:sz w:val="28"/>
          <w:szCs w:val="28"/>
        </w:rPr>
        <w:t xml:space="preserve"> to the problem. Therefore, the parties had not exhaus</w:t>
      </w:r>
      <w:r w:rsidR="00F93B77">
        <w:rPr>
          <w:rFonts w:ascii="Times New Roman" w:hAnsi="Times New Roman" w:cs="Times New Roman"/>
          <w:color w:val="000000" w:themeColor="text1"/>
          <w:sz w:val="28"/>
          <w:szCs w:val="28"/>
        </w:rPr>
        <w:t>ted their search for a solution to ratify the</w:t>
      </w:r>
      <w:r w:rsidR="006E7BE8" w:rsidRPr="00A9679F">
        <w:rPr>
          <w:rFonts w:ascii="Times New Roman" w:hAnsi="Times New Roman" w:cs="Times New Roman"/>
          <w:color w:val="000000" w:themeColor="text1"/>
          <w:sz w:val="28"/>
          <w:szCs w:val="28"/>
        </w:rPr>
        <w:t xml:space="preserve"> agreement between man and man following </w:t>
      </w:r>
      <w:r w:rsidR="00F93B77">
        <w:rPr>
          <w:rFonts w:ascii="Times New Roman" w:hAnsi="Times New Roman" w:cs="Times New Roman"/>
          <w:color w:val="000000" w:themeColor="text1"/>
          <w:sz w:val="28"/>
          <w:szCs w:val="28"/>
        </w:rPr>
        <w:t xml:space="preserve">their </w:t>
      </w:r>
      <w:r w:rsidR="00376672" w:rsidRPr="00A9679F">
        <w:rPr>
          <w:rFonts w:ascii="Times New Roman" w:hAnsi="Times New Roman" w:cs="Times New Roman"/>
          <w:color w:val="000000" w:themeColor="text1"/>
          <w:sz w:val="28"/>
          <w:szCs w:val="28"/>
        </w:rPr>
        <w:t xml:space="preserve">failure to capture </w:t>
      </w:r>
      <w:r w:rsidR="00511EE2">
        <w:rPr>
          <w:rFonts w:ascii="Times New Roman" w:hAnsi="Times New Roman" w:cs="Times New Roman"/>
          <w:color w:val="000000" w:themeColor="text1"/>
          <w:sz w:val="28"/>
          <w:szCs w:val="28"/>
        </w:rPr>
        <w:t xml:space="preserve">and reflect </w:t>
      </w:r>
      <w:r w:rsidR="00376672" w:rsidRPr="00A9679F">
        <w:rPr>
          <w:rFonts w:ascii="Times New Roman" w:hAnsi="Times New Roman" w:cs="Times New Roman"/>
          <w:color w:val="000000" w:themeColor="text1"/>
          <w:sz w:val="28"/>
          <w:szCs w:val="28"/>
        </w:rPr>
        <w:t xml:space="preserve">the </w:t>
      </w:r>
      <w:r w:rsidR="00511EE2">
        <w:rPr>
          <w:rFonts w:ascii="Times New Roman" w:hAnsi="Times New Roman" w:cs="Times New Roman"/>
          <w:color w:val="000000" w:themeColor="text1"/>
          <w:sz w:val="28"/>
          <w:szCs w:val="28"/>
        </w:rPr>
        <w:t xml:space="preserve">design in the </w:t>
      </w:r>
      <w:r w:rsidR="002F6C1E" w:rsidRPr="00A9679F">
        <w:rPr>
          <w:rFonts w:ascii="Times New Roman" w:hAnsi="Times New Roman" w:cs="Times New Roman"/>
          <w:color w:val="000000" w:themeColor="text1"/>
          <w:sz w:val="28"/>
          <w:szCs w:val="28"/>
        </w:rPr>
        <w:t xml:space="preserve">Shareblock scheme during </w:t>
      </w:r>
      <w:r w:rsidR="00511EE2">
        <w:rPr>
          <w:rFonts w:ascii="Times New Roman" w:hAnsi="Times New Roman" w:cs="Times New Roman"/>
          <w:color w:val="000000" w:themeColor="text1"/>
          <w:sz w:val="28"/>
          <w:szCs w:val="28"/>
        </w:rPr>
        <w:t xml:space="preserve">the </w:t>
      </w:r>
      <w:r w:rsidR="002F6C1E" w:rsidRPr="00A9679F">
        <w:rPr>
          <w:rFonts w:ascii="Times New Roman" w:hAnsi="Times New Roman" w:cs="Times New Roman"/>
          <w:color w:val="000000" w:themeColor="text1"/>
          <w:sz w:val="28"/>
          <w:szCs w:val="28"/>
        </w:rPr>
        <w:t xml:space="preserve">subdivision. </w:t>
      </w:r>
      <w:r w:rsidR="00123DB7" w:rsidRPr="00A9679F">
        <w:rPr>
          <w:rFonts w:ascii="Times New Roman" w:hAnsi="Times New Roman" w:cs="Times New Roman"/>
          <w:color w:val="000000" w:themeColor="text1"/>
          <w:sz w:val="28"/>
          <w:szCs w:val="28"/>
        </w:rPr>
        <w:t xml:space="preserve"> </w:t>
      </w:r>
    </w:p>
    <w:p w:rsidR="00183C4F" w:rsidRDefault="00183C4F" w:rsidP="00183C4F">
      <w:pPr>
        <w:pStyle w:val="ListParagraph"/>
        <w:spacing w:after="0" w:line="360" w:lineRule="auto"/>
        <w:jc w:val="both"/>
        <w:rPr>
          <w:rFonts w:ascii="Times New Roman" w:hAnsi="Times New Roman" w:cs="Times New Roman"/>
          <w:sz w:val="28"/>
          <w:szCs w:val="28"/>
        </w:rPr>
      </w:pPr>
    </w:p>
    <w:p w:rsidR="00B32AE1" w:rsidRPr="00B32AE1" w:rsidRDefault="00EB0D99" w:rsidP="005B478C">
      <w:pPr>
        <w:pStyle w:val="ListParagraph"/>
        <w:numPr>
          <w:ilvl w:val="0"/>
          <w:numId w:val="31"/>
        </w:numPr>
        <w:spacing w:after="0" w:line="360" w:lineRule="auto"/>
        <w:ind w:hanging="810"/>
        <w:jc w:val="both"/>
        <w:rPr>
          <w:rFonts w:ascii="Times New Roman" w:hAnsi="Times New Roman" w:cs="Times New Roman"/>
          <w:sz w:val="28"/>
          <w:szCs w:val="28"/>
        </w:rPr>
      </w:pPr>
      <w:r w:rsidRPr="005B478C">
        <w:rPr>
          <w:rFonts w:ascii="Times New Roman" w:hAnsi="Times New Roman" w:cs="Times New Roman"/>
          <w:sz w:val="28"/>
          <w:szCs w:val="28"/>
        </w:rPr>
        <w:t>In their submission f</w:t>
      </w:r>
      <w:r w:rsidR="002F6C1E">
        <w:rPr>
          <w:rFonts w:ascii="Times New Roman" w:hAnsi="Times New Roman" w:cs="Times New Roman"/>
          <w:sz w:val="28"/>
          <w:szCs w:val="28"/>
        </w:rPr>
        <w:t>or the relief</w:t>
      </w:r>
      <w:r w:rsidR="002A006B">
        <w:rPr>
          <w:rFonts w:ascii="Times New Roman" w:hAnsi="Times New Roman" w:cs="Times New Roman"/>
          <w:sz w:val="28"/>
          <w:szCs w:val="28"/>
        </w:rPr>
        <w:t>, Counsel for the Respondents referred me to the notarial deed of servitude drafted by De Villiers.</w:t>
      </w:r>
      <w:r w:rsidR="00BA4AE5">
        <w:rPr>
          <w:rFonts w:ascii="Times New Roman" w:hAnsi="Times New Roman" w:cs="Times New Roman"/>
          <w:sz w:val="28"/>
          <w:szCs w:val="28"/>
        </w:rPr>
        <w:t xml:space="preserve"> </w:t>
      </w:r>
      <w:r w:rsidR="00CE0E90">
        <w:rPr>
          <w:rFonts w:ascii="Times New Roman" w:hAnsi="Times New Roman" w:cs="Times New Roman"/>
          <w:sz w:val="28"/>
          <w:szCs w:val="28"/>
        </w:rPr>
        <w:t>In contradiction to the Respondents’ case, De Villiers creates a 6 x 6 metres double garage servitude</w:t>
      </w:r>
      <w:r w:rsidR="004114E5">
        <w:rPr>
          <w:rFonts w:ascii="Times New Roman" w:hAnsi="Times New Roman" w:cs="Times New Roman"/>
          <w:sz w:val="28"/>
          <w:szCs w:val="28"/>
        </w:rPr>
        <w:t xml:space="preserve"> over and above a 3 metre wide right of way servitude. In this instance </w:t>
      </w:r>
      <w:r w:rsidR="004114E5" w:rsidRPr="00403CBF">
        <w:rPr>
          <w:rFonts w:ascii="Times New Roman" w:eastAsia="Times New Roman" w:hAnsi="Times New Roman" w:cs="Times New Roman"/>
          <w:i/>
          <w:color w:val="000000" w:themeColor="text1"/>
          <w:sz w:val="28"/>
          <w:szCs w:val="28"/>
        </w:rPr>
        <w:t>Seale and Others v Minister of Public Works and Others</w:t>
      </w:r>
      <w:r w:rsidR="008D1E19">
        <w:rPr>
          <w:rFonts w:ascii="Times New Roman" w:eastAsia="Times New Roman" w:hAnsi="Times New Roman" w:cs="Times New Roman"/>
          <w:i/>
          <w:color w:val="000000" w:themeColor="text1"/>
          <w:sz w:val="28"/>
          <w:szCs w:val="28"/>
        </w:rPr>
        <w:t>, supra,</w:t>
      </w:r>
      <w:r w:rsidR="00B32AE1">
        <w:rPr>
          <w:rFonts w:ascii="Times New Roman" w:eastAsia="Times New Roman" w:hAnsi="Times New Roman" w:cs="Times New Roman"/>
          <w:i/>
          <w:color w:val="000000" w:themeColor="text1"/>
          <w:sz w:val="28"/>
          <w:szCs w:val="28"/>
        </w:rPr>
        <w:t xml:space="preserve"> </w:t>
      </w:r>
      <w:r w:rsidR="00B32AE1">
        <w:rPr>
          <w:rFonts w:ascii="Times New Roman" w:eastAsia="Times New Roman" w:hAnsi="Times New Roman" w:cs="Times New Roman"/>
          <w:color w:val="000000" w:themeColor="text1"/>
          <w:sz w:val="28"/>
          <w:szCs w:val="28"/>
        </w:rPr>
        <w:t>is instructive. The Court said if the intention is to con</w:t>
      </w:r>
      <w:r w:rsidR="008D1E19">
        <w:rPr>
          <w:rFonts w:ascii="Times New Roman" w:eastAsia="Times New Roman" w:hAnsi="Times New Roman" w:cs="Times New Roman"/>
          <w:color w:val="000000" w:themeColor="text1"/>
          <w:sz w:val="28"/>
          <w:szCs w:val="28"/>
        </w:rPr>
        <w:t xml:space="preserve">stitute a specific right of way, </w:t>
      </w:r>
      <w:r w:rsidR="00B32AE1">
        <w:rPr>
          <w:rFonts w:ascii="Times New Roman" w:eastAsia="Times New Roman" w:hAnsi="Times New Roman" w:cs="Times New Roman"/>
          <w:color w:val="000000" w:themeColor="text1"/>
          <w:sz w:val="28"/>
          <w:szCs w:val="28"/>
        </w:rPr>
        <w:t>until the route is agreed upon the agreement is inchoate. What the Respondents’ Counsel referred to as</w:t>
      </w:r>
      <w:r w:rsidR="008D1E19">
        <w:rPr>
          <w:rFonts w:ascii="Times New Roman" w:eastAsia="Times New Roman" w:hAnsi="Times New Roman" w:cs="Times New Roman"/>
          <w:color w:val="000000" w:themeColor="text1"/>
          <w:sz w:val="28"/>
          <w:szCs w:val="28"/>
        </w:rPr>
        <w:t xml:space="preserve"> merely</w:t>
      </w:r>
      <w:r w:rsidR="00B32AE1">
        <w:rPr>
          <w:rFonts w:ascii="Times New Roman" w:eastAsia="Times New Roman" w:hAnsi="Times New Roman" w:cs="Times New Roman"/>
          <w:color w:val="000000" w:themeColor="text1"/>
          <w:sz w:val="28"/>
          <w:szCs w:val="28"/>
        </w:rPr>
        <w:t xml:space="preserve"> nitty-</w:t>
      </w:r>
      <w:r w:rsidR="00987694">
        <w:rPr>
          <w:rFonts w:ascii="Times New Roman" w:eastAsia="Times New Roman" w:hAnsi="Times New Roman" w:cs="Times New Roman"/>
          <w:color w:val="000000" w:themeColor="text1"/>
          <w:sz w:val="28"/>
          <w:szCs w:val="28"/>
        </w:rPr>
        <w:t>gritties,</w:t>
      </w:r>
      <w:r w:rsidR="00B32AE1">
        <w:rPr>
          <w:rFonts w:ascii="Times New Roman" w:eastAsia="Times New Roman" w:hAnsi="Times New Roman" w:cs="Times New Roman"/>
          <w:color w:val="000000" w:themeColor="text1"/>
          <w:sz w:val="28"/>
          <w:szCs w:val="28"/>
        </w:rPr>
        <w:t xml:space="preserve"> </w:t>
      </w:r>
      <w:r w:rsidR="00987694">
        <w:rPr>
          <w:rFonts w:ascii="Times New Roman" w:eastAsia="Times New Roman" w:hAnsi="Times New Roman" w:cs="Times New Roman"/>
          <w:color w:val="000000" w:themeColor="text1"/>
          <w:sz w:val="28"/>
          <w:szCs w:val="28"/>
        </w:rPr>
        <w:t xml:space="preserve">indeed are nitty-gritties </w:t>
      </w:r>
      <w:r w:rsidR="008D1E19">
        <w:rPr>
          <w:rFonts w:ascii="Times New Roman" w:eastAsia="Times New Roman" w:hAnsi="Times New Roman" w:cs="Times New Roman"/>
          <w:color w:val="000000" w:themeColor="text1"/>
          <w:sz w:val="28"/>
          <w:szCs w:val="28"/>
        </w:rPr>
        <w:t>needed in order to succeed in</w:t>
      </w:r>
      <w:r w:rsidR="00987694">
        <w:rPr>
          <w:rFonts w:ascii="Times New Roman" w:eastAsia="Times New Roman" w:hAnsi="Times New Roman" w:cs="Times New Roman"/>
          <w:color w:val="000000" w:themeColor="text1"/>
          <w:sz w:val="28"/>
          <w:szCs w:val="28"/>
        </w:rPr>
        <w:t xml:space="preserve"> the counter-claim. </w:t>
      </w:r>
      <w:r w:rsidR="00B32AE1">
        <w:rPr>
          <w:rFonts w:ascii="Times New Roman" w:eastAsia="Times New Roman" w:hAnsi="Times New Roman" w:cs="Times New Roman"/>
          <w:color w:val="000000" w:themeColor="text1"/>
          <w:sz w:val="28"/>
          <w:szCs w:val="28"/>
        </w:rPr>
        <w:t>Accordingly, I cannot order the registration of the notarial deed of servitude.</w:t>
      </w:r>
    </w:p>
    <w:p w:rsidR="00442DCD" w:rsidRPr="00442DCD" w:rsidRDefault="00442DCD" w:rsidP="002B7519">
      <w:pPr>
        <w:spacing w:after="0" w:line="360" w:lineRule="auto"/>
        <w:jc w:val="both"/>
        <w:rPr>
          <w:rFonts w:ascii="Times New Roman" w:hAnsi="Times New Roman" w:cs="Times New Roman"/>
          <w:sz w:val="28"/>
          <w:szCs w:val="28"/>
        </w:rPr>
      </w:pPr>
    </w:p>
    <w:p w:rsidR="00847C59" w:rsidRPr="007B19C4" w:rsidRDefault="002A4BD2" w:rsidP="007B19C4">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hAnsi="Times New Roman" w:cs="Times New Roman"/>
          <w:b/>
          <w:color w:val="242121"/>
          <w:sz w:val="28"/>
          <w:szCs w:val="28"/>
          <w:u w:val="single"/>
          <w:shd w:val="clear" w:color="auto" w:fill="FFFFFF"/>
          <w:lang w:val="en-ZA"/>
        </w:rPr>
      </w:pPr>
      <w:r>
        <w:rPr>
          <w:rFonts w:ascii="Times New Roman" w:hAnsi="Times New Roman" w:cs="Times New Roman"/>
          <w:b/>
          <w:color w:val="242121"/>
          <w:sz w:val="28"/>
          <w:szCs w:val="28"/>
          <w:u w:val="single"/>
          <w:shd w:val="clear" w:color="auto" w:fill="FFFFFF"/>
          <w:lang w:val="en-ZA"/>
        </w:rPr>
        <w:t>CONCLUS</w:t>
      </w:r>
      <w:r w:rsidR="00F860A5">
        <w:rPr>
          <w:rFonts w:ascii="Times New Roman" w:hAnsi="Times New Roman" w:cs="Times New Roman"/>
          <w:b/>
          <w:color w:val="242121"/>
          <w:sz w:val="28"/>
          <w:szCs w:val="28"/>
          <w:u w:val="single"/>
          <w:shd w:val="clear" w:color="auto" w:fill="FFFFFF"/>
          <w:lang w:val="en-ZA"/>
        </w:rPr>
        <w:t>ION</w:t>
      </w:r>
    </w:p>
    <w:p w:rsidR="001C7F64" w:rsidRDefault="003305BB" w:rsidP="003305BB">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To sum the entire matter up, the Respondents’ lackluster handling of this matter and the Applicants’ volt face have costed both pa</w:t>
      </w:r>
      <w:r w:rsidR="00204C99">
        <w:rPr>
          <w:rFonts w:ascii="Times New Roman" w:hAnsi="Times New Roman" w:cs="Times New Roman"/>
          <w:sz w:val="28"/>
          <w:szCs w:val="28"/>
        </w:rPr>
        <w:t>rties a fortune. It is trite and a truism</w:t>
      </w:r>
      <w:r w:rsidR="007B19C4">
        <w:rPr>
          <w:rFonts w:ascii="Times New Roman" w:hAnsi="Times New Roman" w:cs="Times New Roman"/>
          <w:sz w:val="28"/>
          <w:szCs w:val="28"/>
        </w:rPr>
        <w:t xml:space="preserve"> that the Courts cannot create</w:t>
      </w:r>
      <w:r>
        <w:rPr>
          <w:rFonts w:ascii="Times New Roman" w:hAnsi="Times New Roman" w:cs="Times New Roman"/>
          <w:sz w:val="28"/>
          <w:szCs w:val="28"/>
        </w:rPr>
        <w:t xml:space="preserve"> contracts for the parties. In this instance </w:t>
      </w:r>
      <w:r w:rsidR="001C7F64">
        <w:rPr>
          <w:rFonts w:ascii="Times New Roman" w:hAnsi="Times New Roman" w:cs="Times New Roman"/>
          <w:sz w:val="28"/>
          <w:szCs w:val="28"/>
        </w:rPr>
        <w:t>the Court</w:t>
      </w:r>
      <w:r>
        <w:rPr>
          <w:rFonts w:ascii="Times New Roman" w:hAnsi="Times New Roman" w:cs="Times New Roman"/>
          <w:sz w:val="28"/>
          <w:szCs w:val="28"/>
        </w:rPr>
        <w:t xml:space="preserve"> was called </w:t>
      </w:r>
      <w:r w:rsidR="001C7F64">
        <w:rPr>
          <w:rFonts w:ascii="Times New Roman" w:hAnsi="Times New Roman" w:cs="Times New Roman"/>
          <w:sz w:val="28"/>
          <w:szCs w:val="28"/>
        </w:rPr>
        <w:t xml:space="preserve">upon </w:t>
      </w:r>
      <w:r>
        <w:rPr>
          <w:rFonts w:ascii="Times New Roman" w:hAnsi="Times New Roman" w:cs="Times New Roman"/>
          <w:sz w:val="28"/>
          <w:szCs w:val="28"/>
        </w:rPr>
        <w:t>to cancel</w:t>
      </w:r>
      <w:r w:rsidR="001C7F64">
        <w:rPr>
          <w:rFonts w:ascii="Times New Roman" w:hAnsi="Times New Roman" w:cs="Times New Roman"/>
          <w:sz w:val="28"/>
          <w:szCs w:val="28"/>
        </w:rPr>
        <w:t xml:space="preserve"> and in the same breath enforce the same</w:t>
      </w:r>
      <w:r>
        <w:rPr>
          <w:rFonts w:ascii="Times New Roman" w:hAnsi="Times New Roman" w:cs="Times New Roman"/>
          <w:sz w:val="28"/>
          <w:szCs w:val="28"/>
        </w:rPr>
        <w:t xml:space="preserve"> contract</w:t>
      </w:r>
      <w:r w:rsidR="001C7F64">
        <w:rPr>
          <w:rFonts w:ascii="Times New Roman" w:hAnsi="Times New Roman" w:cs="Times New Roman"/>
          <w:sz w:val="28"/>
          <w:szCs w:val="28"/>
        </w:rPr>
        <w:t xml:space="preserve"> because</w:t>
      </w:r>
      <w:r>
        <w:rPr>
          <w:rFonts w:ascii="Times New Roman" w:hAnsi="Times New Roman" w:cs="Times New Roman"/>
          <w:sz w:val="28"/>
          <w:szCs w:val="28"/>
        </w:rPr>
        <w:t xml:space="preserve"> the Applicants failed to cancel </w:t>
      </w:r>
      <w:r w:rsidR="001C7F64">
        <w:rPr>
          <w:rFonts w:ascii="Times New Roman" w:hAnsi="Times New Roman" w:cs="Times New Roman"/>
          <w:sz w:val="28"/>
          <w:szCs w:val="28"/>
        </w:rPr>
        <w:t xml:space="preserve">it </w:t>
      </w:r>
      <w:r>
        <w:rPr>
          <w:rFonts w:ascii="Times New Roman" w:hAnsi="Times New Roman" w:cs="Times New Roman"/>
          <w:sz w:val="28"/>
          <w:szCs w:val="28"/>
        </w:rPr>
        <w:t xml:space="preserve">timeously and </w:t>
      </w:r>
      <w:r w:rsidR="001C7F64">
        <w:rPr>
          <w:rFonts w:ascii="Times New Roman" w:hAnsi="Times New Roman" w:cs="Times New Roman"/>
          <w:sz w:val="28"/>
          <w:szCs w:val="28"/>
        </w:rPr>
        <w:t xml:space="preserve">the </w:t>
      </w:r>
      <w:r>
        <w:rPr>
          <w:rFonts w:ascii="Times New Roman" w:hAnsi="Times New Roman" w:cs="Times New Roman"/>
          <w:sz w:val="28"/>
          <w:szCs w:val="28"/>
        </w:rPr>
        <w:t xml:space="preserve">Respondents </w:t>
      </w:r>
      <w:r w:rsidR="002A4BD2">
        <w:rPr>
          <w:rFonts w:ascii="Times New Roman" w:hAnsi="Times New Roman" w:cs="Times New Roman"/>
          <w:sz w:val="28"/>
          <w:szCs w:val="28"/>
        </w:rPr>
        <w:t>failed</w:t>
      </w:r>
      <w:r>
        <w:rPr>
          <w:rFonts w:ascii="Times New Roman" w:hAnsi="Times New Roman" w:cs="Times New Roman"/>
          <w:sz w:val="28"/>
          <w:szCs w:val="28"/>
        </w:rPr>
        <w:t xml:space="preserve"> to enforce</w:t>
      </w:r>
      <w:r w:rsidR="001C7F64">
        <w:rPr>
          <w:rFonts w:ascii="Times New Roman" w:hAnsi="Times New Roman" w:cs="Times New Roman"/>
          <w:sz w:val="28"/>
          <w:szCs w:val="28"/>
        </w:rPr>
        <w:t xml:space="preserve"> it</w:t>
      </w:r>
      <w:r>
        <w:rPr>
          <w:rFonts w:ascii="Times New Roman" w:hAnsi="Times New Roman" w:cs="Times New Roman"/>
          <w:sz w:val="28"/>
          <w:szCs w:val="28"/>
        </w:rPr>
        <w:t xml:space="preserve"> timeously.</w:t>
      </w:r>
    </w:p>
    <w:p w:rsidR="001C7F64" w:rsidRDefault="001C7F64" w:rsidP="001C7F64">
      <w:pPr>
        <w:pStyle w:val="ListParagraph"/>
        <w:spacing w:after="0" w:line="360" w:lineRule="auto"/>
        <w:jc w:val="both"/>
        <w:rPr>
          <w:rFonts w:ascii="Times New Roman" w:hAnsi="Times New Roman" w:cs="Times New Roman"/>
          <w:sz w:val="28"/>
          <w:szCs w:val="28"/>
        </w:rPr>
      </w:pPr>
    </w:p>
    <w:p w:rsidR="00F4012C" w:rsidRPr="00170EA1" w:rsidRDefault="001C7F64" w:rsidP="003305BB">
      <w:pPr>
        <w:pStyle w:val="ListParagraph"/>
        <w:numPr>
          <w:ilvl w:val="0"/>
          <w:numId w:val="31"/>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w:t>
      </w:r>
      <w:r w:rsidR="002A4BD2">
        <w:rPr>
          <w:rFonts w:ascii="Times New Roman" w:hAnsi="Times New Roman" w:cs="Times New Roman"/>
          <w:sz w:val="28"/>
          <w:szCs w:val="28"/>
        </w:rPr>
        <w:t xml:space="preserve">purchasers </w:t>
      </w:r>
      <w:r>
        <w:rPr>
          <w:rFonts w:ascii="Times New Roman" w:hAnsi="Times New Roman" w:cs="Times New Roman"/>
          <w:sz w:val="28"/>
          <w:szCs w:val="28"/>
        </w:rPr>
        <w:t xml:space="preserve">of erf 572 </w:t>
      </w:r>
      <w:r w:rsidR="002A4BD2">
        <w:rPr>
          <w:rFonts w:ascii="Times New Roman" w:hAnsi="Times New Roman" w:cs="Times New Roman"/>
          <w:sz w:val="28"/>
          <w:szCs w:val="28"/>
        </w:rPr>
        <w:t xml:space="preserve">could not have purchased a house without garages. It is an accident of history and design that the garages were located on erf 571. </w:t>
      </w:r>
      <w:r w:rsidR="00550C48">
        <w:rPr>
          <w:rFonts w:ascii="Times New Roman" w:hAnsi="Times New Roman" w:cs="Times New Roman"/>
          <w:sz w:val="28"/>
          <w:szCs w:val="28"/>
        </w:rPr>
        <w:t>For the owner</w:t>
      </w:r>
      <w:r w:rsidR="00460019">
        <w:rPr>
          <w:rFonts w:ascii="Times New Roman" w:hAnsi="Times New Roman" w:cs="Times New Roman"/>
          <w:sz w:val="28"/>
          <w:szCs w:val="28"/>
        </w:rPr>
        <w:t>s</w:t>
      </w:r>
      <w:r w:rsidR="00550C48">
        <w:rPr>
          <w:rFonts w:ascii="Times New Roman" w:hAnsi="Times New Roman" w:cs="Times New Roman"/>
          <w:sz w:val="28"/>
          <w:szCs w:val="28"/>
        </w:rPr>
        <w:t xml:space="preserve"> of erf 571 to want to benefit from a d</w:t>
      </w:r>
      <w:r w:rsidR="00F205E5">
        <w:rPr>
          <w:rFonts w:ascii="Times New Roman" w:hAnsi="Times New Roman" w:cs="Times New Roman"/>
          <w:sz w:val="28"/>
          <w:szCs w:val="28"/>
        </w:rPr>
        <w:t>esign flaw</w:t>
      </w:r>
      <w:r w:rsidR="00460019">
        <w:rPr>
          <w:rFonts w:ascii="Times New Roman" w:hAnsi="Times New Roman" w:cs="Times New Roman"/>
          <w:sz w:val="28"/>
          <w:szCs w:val="28"/>
        </w:rPr>
        <w:t xml:space="preserve"> amounts to inequity, to say the least,</w:t>
      </w:r>
      <w:r w:rsidR="003E2EFC">
        <w:rPr>
          <w:rFonts w:ascii="Times New Roman" w:hAnsi="Times New Roman" w:cs="Times New Roman"/>
          <w:sz w:val="28"/>
          <w:szCs w:val="28"/>
        </w:rPr>
        <w:t xml:space="preserve"> especially when they </w:t>
      </w:r>
      <w:r w:rsidR="00460019">
        <w:rPr>
          <w:rFonts w:ascii="Times New Roman" w:hAnsi="Times New Roman" w:cs="Times New Roman"/>
          <w:sz w:val="28"/>
          <w:szCs w:val="28"/>
        </w:rPr>
        <w:t>knew about the condition when they</w:t>
      </w:r>
      <w:r w:rsidR="003E2EFC">
        <w:rPr>
          <w:rFonts w:ascii="Times New Roman" w:hAnsi="Times New Roman" w:cs="Times New Roman"/>
          <w:sz w:val="28"/>
          <w:szCs w:val="28"/>
        </w:rPr>
        <w:t xml:space="preserve"> purchase</w:t>
      </w:r>
      <w:r w:rsidR="00460019">
        <w:rPr>
          <w:rFonts w:ascii="Times New Roman" w:hAnsi="Times New Roman" w:cs="Times New Roman"/>
          <w:sz w:val="28"/>
          <w:szCs w:val="28"/>
        </w:rPr>
        <w:t>d the property</w:t>
      </w:r>
      <w:r w:rsidR="003E2EFC">
        <w:rPr>
          <w:rFonts w:ascii="Times New Roman" w:hAnsi="Times New Roman" w:cs="Times New Roman"/>
          <w:sz w:val="28"/>
          <w:szCs w:val="28"/>
        </w:rPr>
        <w:t>.</w:t>
      </w:r>
      <w:r w:rsidR="00F205E5">
        <w:rPr>
          <w:rFonts w:ascii="Times New Roman" w:hAnsi="Times New Roman" w:cs="Times New Roman"/>
          <w:sz w:val="28"/>
          <w:szCs w:val="28"/>
        </w:rPr>
        <w:t xml:space="preserve"> </w:t>
      </w:r>
      <w:r>
        <w:rPr>
          <w:rFonts w:ascii="Times New Roman" w:hAnsi="Times New Roman" w:cs="Times New Roman"/>
          <w:sz w:val="28"/>
          <w:szCs w:val="28"/>
        </w:rPr>
        <w:t>The result</w:t>
      </w:r>
      <w:r w:rsidR="00460019">
        <w:rPr>
          <w:rFonts w:ascii="Times New Roman" w:hAnsi="Times New Roman" w:cs="Times New Roman"/>
          <w:sz w:val="28"/>
          <w:szCs w:val="28"/>
        </w:rPr>
        <w:t xml:space="preserve"> of this judgment</w:t>
      </w:r>
      <w:r w:rsidR="009E4FC8">
        <w:rPr>
          <w:rFonts w:ascii="Times New Roman" w:hAnsi="Times New Roman" w:cs="Times New Roman"/>
          <w:sz w:val="28"/>
          <w:szCs w:val="28"/>
        </w:rPr>
        <w:t xml:space="preserve"> is that the </w:t>
      </w:r>
      <w:r w:rsidR="00BD7331">
        <w:rPr>
          <w:rFonts w:ascii="Times New Roman" w:hAnsi="Times New Roman" w:cs="Times New Roman"/>
          <w:i/>
          <w:sz w:val="28"/>
          <w:szCs w:val="28"/>
        </w:rPr>
        <w:t xml:space="preserve">status quo </w:t>
      </w:r>
      <w:r w:rsidR="009E4FC8">
        <w:rPr>
          <w:rFonts w:ascii="Times New Roman" w:hAnsi="Times New Roman" w:cs="Times New Roman"/>
          <w:sz w:val="28"/>
          <w:szCs w:val="28"/>
        </w:rPr>
        <w:t>remains.</w:t>
      </w:r>
      <w:r w:rsidR="004F5490">
        <w:rPr>
          <w:rFonts w:ascii="Times New Roman" w:hAnsi="Times New Roman" w:cs="Times New Roman"/>
          <w:sz w:val="28"/>
          <w:szCs w:val="28"/>
        </w:rPr>
        <w:t xml:space="preserve"> Therefore, </w:t>
      </w:r>
      <w:r w:rsidR="0033702F">
        <w:rPr>
          <w:rFonts w:ascii="Times New Roman" w:hAnsi="Times New Roman" w:cs="Times New Roman"/>
          <w:sz w:val="28"/>
          <w:szCs w:val="28"/>
        </w:rPr>
        <w:t xml:space="preserve">the ball is in the court of the parties to allow </w:t>
      </w:r>
      <w:r w:rsidR="004F5490">
        <w:rPr>
          <w:rFonts w:ascii="Times New Roman" w:hAnsi="Times New Roman" w:cs="Times New Roman"/>
          <w:sz w:val="28"/>
          <w:szCs w:val="28"/>
        </w:rPr>
        <w:t>common sense to prevail</w:t>
      </w:r>
      <w:r w:rsidR="0033702F">
        <w:rPr>
          <w:rFonts w:ascii="Times New Roman" w:hAnsi="Times New Roman" w:cs="Times New Roman"/>
          <w:sz w:val="28"/>
          <w:szCs w:val="28"/>
        </w:rPr>
        <w:t>.</w:t>
      </w:r>
      <w:r w:rsidR="009C088A">
        <w:rPr>
          <w:rFonts w:ascii="Times New Roman" w:hAnsi="Times New Roman" w:cs="Times New Roman"/>
          <w:sz w:val="28"/>
          <w:szCs w:val="28"/>
        </w:rPr>
        <w:t xml:space="preserve"> Good neighbours make good fences.</w:t>
      </w:r>
    </w:p>
    <w:p w:rsidR="00CF1ED3" w:rsidRDefault="00CF1ED3" w:rsidP="005C20CA">
      <w:pPr>
        <w:rPr>
          <w:rFonts w:ascii="Times New Roman" w:hAnsi="Times New Roman" w:cs="Times New Roman"/>
          <w:b/>
          <w:sz w:val="28"/>
          <w:szCs w:val="28"/>
          <w:u w:val="single"/>
        </w:rPr>
      </w:pPr>
    </w:p>
    <w:p w:rsidR="005C20CA" w:rsidRDefault="00F4012C" w:rsidP="00F20350">
      <w:pPr>
        <w:rPr>
          <w:rFonts w:ascii="Times New Roman" w:hAnsi="Times New Roman" w:cs="Times New Roman"/>
          <w:b/>
          <w:sz w:val="28"/>
          <w:szCs w:val="28"/>
          <w:u w:val="single"/>
        </w:rPr>
      </w:pPr>
      <w:r>
        <w:rPr>
          <w:rFonts w:ascii="Times New Roman" w:hAnsi="Times New Roman" w:cs="Times New Roman"/>
          <w:b/>
          <w:sz w:val="28"/>
          <w:szCs w:val="28"/>
          <w:u w:val="single"/>
        </w:rPr>
        <w:t>COSTS</w:t>
      </w:r>
    </w:p>
    <w:p w:rsidR="00847C59" w:rsidRPr="005C20CA" w:rsidRDefault="00847C59" w:rsidP="00F20350">
      <w:pPr>
        <w:rPr>
          <w:rFonts w:ascii="Times New Roman" w:hAnsi="Times New Roman" w:cs="Times New Roman"/>
          <w:b/>
          <w:sz w:val="28"/>
          <w:szCs w:val="28"/>
          <w:u w:val="single"/>
        </w:rPr>
      </w:pPr>
    </w:p>
    <w:p w:rsidR="005C20CA" w:rsidRPr="00C85C95" w:rsidRDefault="00F20350" w:rsidP="0033702F">
      <w:pPr>
        <w:spacing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It is trite that costs are </w:t>
      </w:r>
      <w:r w:rsidR="0033702F">
        <w:rPr>
          <w:rFonts w:ascii="Times New Roman" w:hAnsi="Times New Roman" w:cs="Times New Roman"/>
          <w:sz w:val="28"/>
          <w:szCs w:val="28"/>
        </w:rPr>
        <w:t>in the</w:t>
      </w:r>
      <w:r>
        <w:rPr>
          <w:rFonts w:ascii="Times New Roman" w:hAnsi="Times New Roman" w:cs="Times New Roman"/>
          <w:sz w:val="28"/>
          <w:szCs w:val="28"/>
        </w:rPr>
        <w:t xml:space="preserve"> discretion of the Court. I do not see any reason </w:t>
      </w:r>
      <w:r w:rsidR="009C088A">
        <w:rPr>
          <w:rFonts w:ascii="Times New Roman" w:hAnsi="Times New Roman" w:cs="Times New Roman"/>
          <w:sz w:val="28"/>
          <w:szCs w:val="28"/>
        </w:rPr>
        <w:t xml:space="preserve">why any of the parties should bear </w:t>
      </w:r>
      <w:r>
        <w:rPr>
          <w:rFonts w:ascii="Times New Roman" w:hAnsi="Times New Roman" w:cs="Times New Roman"/>
          <w:sz w:val="28"/>
          <w:szCs w:val="28"/>
        </w:rPr>
        <w:t>the costs of this application.</w:t>
      </w:r>
    </w:p>
    <w:p w:rsidR="000E0388" w:rsidRDefault="00113237" w:rsidP="00C85C95">
      <w:pPr>
        <w:rPr>
          <w:rFonts w:ascii="Times New Roman" w:hAnsi="Times New Roman" w:cs="Times New Roman"/>
          <w:b/>
          <w:sz w:val="28"/>
          <w:szCs w:val="28"/>
          <w:u w:val="single"/>
        </w:rPr>
      </w:pPr>
      <w:r w:rsidRPr="00113237">
        <w:rPr>
          <w:rFonts w:ascii="Times New Roman" w:hAnsi="Times New Roman" w:cs="Times New Roman"/>
          <w:b/>
          <w:sz w:val="28"/>
          <w:szCs w:val="28"/>
          <w:u w:val="single"/>
        </w:rPr>
        <w:t>ORDER</w:t>
      </w:r>
    </w:p>
    <w:p w:rsidR="00113237" w:rsidRPr="00113237" w:rsidRDefault="00113237" w:rsidP="00C85C95">
      <w:pPr>
        <w:rPr>
          <w:rFonts w:ascii="Times New Roman" w:hAnsi="Times New Roman" w:cs="Times New Roman"/>
          <w:b/>
          <w:sz w:val="28"/>
          <w:szCs w:val="28"/>
          <w:u w:val="single"/>
        </w:rPr>
      </w:pPr>
    </w:p>
    <w:p w:rsidR="00C85C95" w:rsidRDefault="00C85C95" w:rsidP="00C85C95">
      <w:pPr>
        <w:rPr>
          <w:rFonts w:ascii="Times New Roman" w:hAnsi="Times New Roman" w:cs="Times New Roman"/>
          <w:sz w:val="28"/>
          <w:szCs w:val="28"/>
        </w:rPr>
      </w:pPr>
      <w:r w:rsidRPr="00644AD6">
        <w:rPr>
          <w:rFonts w:ascii="Times New Roman" w:hAnsi="Times New Roman" w:cs="Times New Roman"/>
          <w:sz w:val="28"/>
          <w:szCs w:val="28"/>
        </w:rPr>
        <w:t>In the result the following order is made;</w:t>
      </w:r>
    </w:p>
    <w:p w:rsidR="00113237" w:rsidRPr="00644AD6" w:rsidRDefault="00113237" w:rsidP="00C85C95">
      <w:pPr>
        <w:rPr>
          <w:rFonts w:ascii="Times New Roman" w:hAnsi="Times New Roman" w:cs="Times New Roman"/>
          <w:sz w:val="28"/>
          <w:szCs w:val="28"/>
        </w:rPr>
      </w:pPr>
    </w:p>
    <w:p w:rsidR="00C85C95" w:rsidRPr="00644AD6" w:rsidRDefault="00AA7452" w:rsidP="00113237">
      <w:pPr>
        <w:pStyle w:val="ListParagraph"/>
        <w:numPr>
          <w:ilvl w:val="0"/>
          <w:numId w:val="32"/>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The Applicants’ application is dismissed.</w:t>
      </w:r>
    </w:p>
    <w:p w:rsidR="00C85C95" w:rsidRPr="00644AD6" w:rsidRDefault="00C85C95" w:rsidP="00C85C95">
      <w:pPr>
        <w:rPr>
          <w:rFonts w:ascii="Times New Roman" w:hAnsi="Times New Roman" w:cs="Times New Roman"/>
          <w:sz w:val="28"/>
          <w:szCs w:val="28"/>
        </w:rPr>
      </w:pPr>
    </w:p>
    <w:p w:rsidR="005C20CA" w:rsidRDefault="00AA7452" w:rsidP="00AA7452">
      <w:pPr>
        <w:pStyle w:val="ListParagraph"/>
        <w:numPr>
          <w:ilvl w:val="0"/>
          <w:numId w:val="32"/>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The Respondents’ counter-application is dismissed.</w:t>
      </w:r>
    </w:p>
    <w:p w:rsidR="00AA7452" w:rsidRPr="00AA7452" w:rsidRDefault="00AA7452" w:rsidP="00AA7452">
      <w:pPr>
        <w:pStyle w:val="ListParagraph"/>
        <w:rPr>
          <w:rFonts w:ascii="Times New Roman" w:hAnsi="Times New Roman" w:cs="Times New Roman"/>
          <w:sz w:val="28"/>
          <w:szCs w:val="28"/>
        </w:rPr>
      </w:pPr>
    </w:p>
    <w:p w:rsidR="00CB699C" w:rsidRPr="00AA7452" w:rsidRDefault="00170EA1" w:rsidP="00AA7452">
      <w:pPr>
        <w:pStyle w:val="ListParagraph"/>
        <w:numPr>
          <w:ilvl w:val="0"/>
          <w:numId w:val="32"/>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Each party is ordered to bear</w:t>
      </w:r>
      <w:r w:rsidR="00AA7452" w:rsidRPr="00AA7452">
        <w:rPr>
          <w:rFonts w:ascii="Times New Roman" w:hAnsi="Times New Roman" w:cs="Times New Roman"/>
          <w:sz w:val="28"/>
          <w:szCs w:val="28"/>
        </w:rPr>
        <w:t xml:space="preserve"> its own costs.</w:t>
      </w:r>
    </w:p>
    <w:p w:rsidR="00644AD6" w:rsidRPr="00644AD6" w:rsidRDefault="00644AD6" w:rsidP="00644AD6">
      <w:pPr>
        <w:pStyle w:val="ListParagraph"/>
        <w:rPr>
          <w:rFonts w:ascii="Times New Roman" w:eastAsia="Times New Roman" w:hAnsi="Times New Roman" w:cs="Times New Roman"/>
          <w:bCs/>
          <w:kern w:val="25"/>
          <w:sz w:val="28"/>
          <w:szCs w:val="28"/>
          <w:lang w:val="en-ZA"/>
        </w:rPr>
      </w:pPr>
    </w:p>
    <w:p w:rsidR="00575D5C" w:rsidRDefault="00575D5C" w:rsidP="00D61EE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i/>
          <w:kern w:val="25"/>
          <w:sz w:val="28"/>
          <w:szCs w:val="28"/>
          <w:lang w:val="en-ZA"/>
        </w:rPr>
      </w:pPr>
    </w:p>
    <w:p w:rsidR="00A568C1" w:rsidRPr="00E71FA9" w:rsidRDefault="00A568C1" w:rsidP="00A568C1">
      <w:pPr>
        <w:tabs>
          <w:tab w:val="left" w:pos="1134"/>
        </w:tabs>
        <w:spacing w:after="0" w:line="360" w:lineRule="auto"/>
        <w:contextualSpacing/>
        <w:rPr>
          <w:rFonts w:ascii="Gigi" w:eastAsia="SimSun" w:hAnsi="Gigi" w:cs="Times New Roman"/>
          <w:b/>
          <w:sz w:val="24"/>
          <w:szCs w:val="24"/>
          <w:lang w:val="en-GB" w:eastAsia="zh-CN"/>
        </w:rPr>
      </w:pPr>
    </w:p>
    <w:p w:rsidR="00A568C1" w:rsidRPr="00E71FA9" w:rsidRDefault="00A568C1" w:rsidP="00A568C1">
      <w:pPr>
        <w:tabs>
          <w:tab w:val="left" w:pos="1134"/>
        </w:tabs>
        <w:spacing w:after="0" w:line="360" w:lineRule="auto"/>
        <w:contextualSpacing/>
        <w:jc w:val="right"/>
        <w:rPr>
          <w:rFonts w:ascii="Gigi" w:eastAsia="SimSun" w:hAnsi="Gigi" w:cs="Times New Roman"/>
          <w:b/>
          <w:sz w:val="24"/>
          <w:szCs w:val="24"/>
          <w:lang w:val="en-GB" w:eastAsia="zh-CN"/>
        </w:rPr>
      </w:pPr>
      <w:r w:rsidRPr="00E71FA9">
        <w:rPr>
          <w:rFonts w:ascii="Gigi" w:eastAsia="SimSun" w:hAnsi="Gigi" w:cs="Times New Roman"/>
          <w:b/>
          <w:sz w:val="24"/>
          <w:szCs w:val="24"/>
          <w:lang w:val="en-GB" w:eastAsia="zh-CN"/>
        </w:rPr>
        <w:t>_____________________________________</w:t>
      </w:r>
    </w:p>
    <w:p w:rsidR="00A568C1" w:rsidRPr="00E71FA9" w:rsidRDefault="00A568C1" w:rsidP="00A568C1">
      <w:pPr>
        <w:tabs>
          <w:tab w:val="left" w:pos="1134"/>
        </w:tabs>
        <w:spacing w:after="0" w:line="360" w:lineRule="auto"/>
        <w:ind w:left="6480" w:firstLine="720"/>
        <w:contextualSpacing/>
        <w:jc w:val="right"/>
        <w:rPr>
          <w:rFonts w:ascii="Arial" w:eastAsia="SimSun" w:hAnsi="Arial" w:cs="Arial"/>
          <w:b/>
          <w:sz w:val="24"/>
          <w:szCs w:val="24"/>
          <w:lang w:val="en-GB" w:eastAsia="zh-CN"/>
        </w:rPr>
      </w:pPr>
      <w:r w:rsidRPr="00E71FA9">
        <w:rPr>
          <w:rFonts w:ascii="Arial" w:eastAsia="SimSun" w:hAnsi="Arial" w:cs="Arial"/>
          <w:b/>
          <w:sz w:val="24"/>
          <w:szCs w:val="24"/>
          <w:lang w:val="en-GB" w:eastAsia="zh-CN"/>
        </w:rPr>
        <w:t>MOTHA AJ</w:t>
      </w:r>
    </w:p>
    <w:p w:rsidR="00A568C1" w:rsidRPr="00E71FA9" w:rsidRDefault="00A568C1" w:rsidP="00A568C1">
      <w:pPr>
        <w:tabs>
          <w:tab w:val="left" w:pos="1134"/>
        </w:tabs>
        <w:spacing w:line="360" w:lineRule="auto"/>
        <w:jc w:val="right"/>
        <w:rPr>
          <w:rFonts w:ascii="Arial" w:eastAsia="SimSun" w:hAnsi="Arial" w:cs="Arial"/>
          <w:sz w:val="24"/>
          <w:szCs w:val="24"/>
          <w:lang w:val="en-GB" w:eastAsia="zh-CN"/>
        </w:rPr>
      </w:pPr>
      <w:r w:rsidRPr="00E71FA9">
        <w:rPr>
          <w:rFonts w:ascii="Arial" w:eastAsia="SimSun" w:hAnsi="Arial" w:cs="Arial"/>
          <w:sz w:val="24"/>
          <w:szCs w:val="24"/>
          <w:lang w:val="en-GB" w:eastAsia="zh-CN"/>
        </w:rPr>
        <w:t>ACTING JUDGE OF THE HIGH COURT</w:t>
      </w:r>
    </w:p>
    <w:p w:rsidR="00A568C1" w:rsidRPr="00E71FA9" w:rsidRDefault="00A568C1" w:rsidP="00A568C1">
      <w:pPr>
        <w:tabs>
          <w:tab w:val="left" w:pos="1134"/>
        </w:tabs>
        <w:spacing w:line="360" w:lineRule="auto"/>
        <w:jc w:val="right"/>
        <w:rPr>
          <w:rFonts w:ascii="Arial" w:eastAsia="SimSun" w:hAnsi="Arial" w:cs="Arial"/>
          <w:sz w:val="24"/>
          <w:szCs w:val="24"/>
          <w:lang w:val="en-GB" w:eastAsia="zh-CN"/>
        </w:rPr>
      </w:pPr>
      <w:r w:rsidRPr="00E71FA9">
        <w:rPr>
          <w:rFonts w:ascii="Arial" w:eastAsia="SimSun" w:hAnsi="Arial" w:cs="Arial"/>
          <w:sz w:val="24"/>
          <w:szCs w:val="24"/>
          <w:lang w:val="en-GB" w:eastAsia="zh-CN"/>
        </w:rPr>
        <w:t xml:space="preserve">GAUTENG </w:t>
      </w:r>
      <w:r>
        <w:rPr>
          <w:rFonts w:ascii="Arial" w:eastAsia="SimSun" w:hAnsi="Arial" w:cs="Arial"/>
          <w:sz w:val="24"/>
          <w:szCs w:val="24"/>
          <w:lang w:val="en-GB" w:eastAsia="zh-CN"/>
        </w:rPr>
        <w:t xml:space="preserve">LOCAL </w:t>
      </w:r>
      <w:r w:rsidRPr="00E71FA9">
        <w:rPr>
          <w:rFonts w:ascii="Arial" w:eastAsia="SimSun" w:hAnsi="Arial" w:cs="Arial"/>
          <w:sz w:val="24"/>
          <w:szCs w:val="24"/>
          <w:lang w:val="en-GB" w:eastAsia="zh-CN"/>
        </w:rPr>
        <w:t xml:space="preserve">DIVISION OF THE HIGH COURT, </w:t>
      </w:r>
      <w:r>
        <w:rPr>
          <w:rFonts w:ascii="Arial" w:eastAsia="SimSun" w:hAnsi="Arial" w:cs="Arial"/>
          <w:sz w:val="24"/>
          <w:szCs w:val="24"/>
          <w:lang w:val="en-GB" w:eastAsia="zh-CN"/>
        </w:rPr>
        <w:t>JOHANNESBURG</w:t>
      </w:r>
    </w:p>
    <w:p w:rsidR="00A568C1" w:rsidRDefault="00A568C1" w:rsidP="00A568C1">
      <w:pPr>
        <w:tabs>
          <w:tab w:val="left" w:pos="1134"/>
        </w:tabs>
        <w:autoSpaceDE w:val="0"/>
        <w:autoSpaceDN w:val="0"/>
        <w:adjustRightInd w:val="0"/>
        <w:spacing w:after="0" w:line="360" w:lineRule="auto"/>
        <w:rPr>
          <w:rFonts w:ascii="Arial" w:eastAsia="SimSun" w:hAnsi="Arial" w:cs="Arial"/>
          <w:color w:val="000000"/>
          <w:sz w:val="24"/>
          <w:szCs w:val="24"/>
        </w:rPr>
      </w:pPr>
    </w:p>
    <w:p w:rsidR="00A568C1" w:rsidRDefault="00A568C1" w:rsidP="00A568C1">
      <w:pPr>
        <w:tabs>
          <w:tab w:val="left" w:pos="1134"/>
        </w:tabs>
        <w:autoSpaceDE w:val="0"/>
        <w:autoSpaceDN w:val="0"/>
        <w:adjustRightInd w:val="0"/>
        <w:spacing w:after="0" w:line="360" w:lineRule="auto"/>
        <w:rPr>
          <w:rFonts w:ascii="Arial" w:eastAsia="SimSun" w:hAnsi="Arial" w:cs="Arial"/>
          <w:color w:val="000000"/>
          <w:sz w:val="24"/>
          <w:szCs w:val="24"/>
        </w:rPr>
      </w:pPr>
    </w:p>
    <w:p w:rsidR="00A568C1" w:rsidRDefault="00A568C1" w:rsidP="00A568C1">
      <w:pPr>
        <w:tabs>
          <w:tab w:val="left" w:pos="1134"/>
        </w:tabs>
        <w:autoSpaceDE w:val="0"/>
        <w:autoSpaceDN w:val="0"/>
        <w:adjustRightInd w:val="0"/>
        <w:spacing w:after="0" w:line="360" w:lineRule="auto"/>
        <w:rPr>
          <w:rFonts w:ascii="Arial" w:eastAsia="SimSun" w:hAnsi="Arial" w:cs="Arial"/>
          <w:color w:val="000000"/>
          <w:sz w:val="24"/>
          <w:szCs w:val="24"/>
        </w:rPr>
      </w:pPr>
    </w:p>
    <w:p w:rsidR="00A568C1" w:rsidRPr="00E71FA9" w:rsidRDefault="00A568C1" w:rsidP="00A568C1">
      <w:pPr>
        <w:tabs>
          <w:tab w:val="left" w:pos="1134"/>
        </w:tabs>
        <w:autoSpaceDE w:val="0"/>
        <w:autoSpaceDN w:val="0"/>
        <w:adjustRightInd w:val="0"/>
        <w:spacing w:after="0" w:line="360" w:lineRule="auto"/>
        <w:rPr>
          <w:rFonts w:ascii="Arial" w:eastAsia="SimSun" w:hAnsi="Arial" w:cs="Arial"/>
          <w:color w:val="000000"/>
          <w:sz w:val="24"/>
          <w:szCs w:val="24"/>
        </w:rPr>
      </w:pPr>
    </w:p>
    <w:p w:rsidR="00A568C1" w:rsidRPr="00E71FA9" w:rsidRDefault="00A568C1" w:rsidP="00A568C1">
      <w:pPr>
        <w:tabs>
          <w:tab w:val="left" w:pos="1134"/>
        </w:tabs>
        <w:autoSpaceDE w:val="0"/>
        <w:autoSpaceDN w:val="0"/>
        <w:adjustRightInd w:val="0"/>
        <w:spacing w:after="0" w:line="360" w:lineRule="auto"/>
        <w:jc w:val="right"/>
        <w:rPr>
          <w:rFonts w:ascii="Arial" w:eastAsia="SimSun" w:hAnsi="Arial" w:cs="Arial"/>
          <w:color w:val="000000"/>
          <w:sz w:val="24"/>
          <w:szCs w:val="24"/>
        </w:rPr>
      </w:pPr>
      <w:r>
        <w:rPr>
          <w:rFonts w:ascii="Arial" w:eastAsia="SimSun" w:hAnsi="Arial" w:cs="Arial"/>
          <w:color w:val="000000"/>
          <w:sz w:val="24"/>
          <w:szCs w:val="24"/>
        </w:rPr>
        <w:t>Date of hearing: 18 May 2022</w:t>
      </w:r>
    </w:p>
    <w:p w:rsidR="00A568C1" w:rsidRPr="00E71FA9" w:rsidRDefault="00A568C1" w:rsidP="00A568C1">
      <w:pPr>
        <w:tabs>
          <w:tab w:val="left" w:pos="1134"/>
        </w:tabs>
        <w:spacing w:line="360" w:lineRule="auto"/>
        <w:jc w:val="right"/>
        <w:rPr>
          <w:rFonts w:ascii="Arial" w:eastAsia="SimSun" w:hAnsi="Arial" w:cs="Arial"/>
          <w:sz w:val="24"/>
          <w:szCs w:val="24"/>
          <w:lang w:val="en-GB" w:eastAsia="zh-CN"/>
        </w:rPr>
      </w:pPr>
      <w:r>
        <w:rPr>
          <w:rFonts w:ascii="Arial" w:eastAsia="SimSun" w:hAnsi="Arial" w:cs="Arial"/>
          <w:sz w:val="24"/>
          <w:szCs w:val="24"/>
          <w:lang w:val="en-GB" w:eastAsia="zh-CN"/>
        </w:rPr>
        <w:t>Date</w:t>
      </w:r>
      <w:r w:rsidR="00224DB4">
        <w:rPr>
          <w:rFonts w:ascii="Arial" w:eastAsia="SimSun" w:hAnsi="Arial" w:cs="Arial"/>
          <w:sz w:val="24"/>
          <w:szCs w:val="24"/>
          <w:lang w:val="en-GB" w:eastAsia="zh-CN"/>
        </w:rPr>
        <w:t xml:space="preserve"> of judgment: 11 August </w:t>
      </w:r>
      <w:r>
        <w:rPr>
          <w:rFonts w:ascii="Arial" w:eastAsia="SimSun" w:hAnsi="Arial" w:cs="Arial"/>
          <w:sz w:val="24"/>
          <w:szCs w:val="24"/>
          <w:lang w:val="en-GB" w:eastAsia="zh-CN"/>
        </w:rPr>
        <w:t>2022</w:t>
      </w:r>
    </w:p>
    <w:p w:rsidR="00A568C1" w:rsidRDefault="00A568C1" w:rsidP="00A568C1">
      <w:pPr>
        <w:rPr>
          <w:rFonts w:ascii="Times New Roman" w:eastAsia="Times New Roman" w:hAnsi="Times New Roman" w:cs="Times New Roman"/>
          <w:bCs/>
          <w:kern w:val="25"/>
          <w:sz w:val="28"/>
          <w:szCs w:val="28"/>
          <w:lang w:val="en-ZA"/>
        </w:rPr>
      </w:pPr>
    </w:p>
    <w:p w:rsidR="00A568C1" w:rsidRDefault="00A568C1" w:rsidP="00A568C1">
      <w:pPr>
        <w:autoSpaceDE w:val="0"/>
        <w:autoSpaceDN w:val="0"/>
        <w:adjustRightInd w:val="0"/>
        <w:spacing w:after="0" w:line="360" w:lineRule="auto"/>
        <w:rPr>
          <w:rFonts w:ascii="Times New Roman" w:eastAsia="SimSun" w:hAnsi="Times New Roman" w:cs="Times New Roman"/>
          <w:b/>
          <w:bCs/>
          <w:color w:val="000000"/>
          <w:sz w:val="28"/>
          <w:szCs w:val="28"/>
        </w:rPr>
      </w:pPr>
      <w:r w:rsidRPr="00E71FA9">
        <w:rPr>
          <w:rFonts w:ascii="Times New Roman" w:eastAsia="SimSun" w:hAnsi="Times New Roman" w:cs="Times New Roman"/>
          <w:b/>
          <w:bCs/>
          <w:color w:val="000000"/>
          <w:sz w:val="28"/>
          <w:szCs w:val="28"/>
        </w:rPr>
        <w:t xml:space="preserve">Appearances: </w:t>
      </w:r>
    </w:p>
    <w:p w:rsidR="00A568C1" w:rsidRPr="00DA6A66" w:rsidRDefault="00A568C1" w:rsidP="00A568C1">
      <w:pPr>
        <w:autoSpaceDE w:val="0"/>
        <w:autoSpaceDN w:val="0"/>
        <w:adjustRightInd w:val="0"/>
        <w:spacing w:after="0" w:line="360" w:lineRule="auto"/>
        <w:rPr>
          <w:rFonts w:ascii="Times New Roman" w:eastAsia="SimSun" w:hAnsi="Times New Roman" w:cs="Times New Roman"/>
          <w:color w:val="000000"/>
          <w:sz w:val="28"/>
          <w:szCs w:val="28"/>
        </w:rPr>
      </w:pPr>
    </w:p>
    <w:p w:rsidR="00A568C1" w:rsidRPr="00DA6A66" w:rsidRDefault="00A568C1" w:rsidP="00A568C1">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For the Applicant</w:t>
      </w:r>
      <w:r w:rsidR="00224DB4">
        <w:rPr>
          <w:rFonts w:ascii="Times New Roman" w:eastAsia="Times New Roman" w:hAnsi="Times New Roman" w:cs="Times New Roman"/>
          <w:bCs/>
          <w:sz w:val="28"/>
          <w:szCs w:val="28"/>
        </w:rPr>
        <w:t>s</w:t>
      </w:r>
      <w:r w:rsidR="00171527">
        <w:rPr>
          <w:rFonts w:ascii="Times New Roman" w:eastAsia="Times New Roman" w:hAnsi="Times New Roman" w:cs="Times New Roman"/>
          <w:bCs/>
          <w:sz w:val="28"/>
          <w:szCs w:val="28"/>
        </w:rPr>
        <w:t xml:space="preserve">: </w:t>
      </w:r>
      <w:r w:rsidR="00DF36D6">
        <w:rPr>
          <w:rFonts w:ascii="Times New Roman" w:eastAsia="Times New Roman" w:hAnsi="Times New Roman" w:cs="Times New Roman"/>
          <w:bCs/>
          <w:sz w:val="28"/>
          <w:szCs w:val="28"/>
        </w:rPr>
        <w:t>Adv.</w:t>
      </w:r>
      <w:r w:rsidR="00171527">
        <w:rPr>
          <w:rFonts w:ascii="Times New Roman" w:eastAsia="Times New Roman" w:hAnsi="Times New Roman" w:cs="Times New Roman"/>
          <w:bCs/>
          <w:sz w:val="28"/>
          <w:szCs w:val="28"/>
        </w:rPr>
        <w:t xml:space="preserve"> </w:t>
      </w:r>
      <w:r w:rsidR="00224DB4">
        <w:rPr>
          <w:rFonts w:ascii="Times New Roman" w:eastAsia="Times New Roman" w:hAnsi="Times New Roman" w:cs="Times New Roman"/>
          <w:bCs/>
          <w:sz w:val="28"/>
          <w:szCs w:val="28"/>
        </w:rPr>
        <w:t>J.M. Hoffman</w:t>
      </w:r>
      <w:r w:rsidRPr="00DA6A66">
        <w:rPr>
          <w:rFonts w:ascii="Times New Roman" w:hAnsi="Times New Roman" w:cs="Times New Roman"/>
          <w:sz w:val="28"/>
          <w:szCs w:val="28"/>
        </w:rPr>
        <w:t xml:space="preserve"> </w:t>
      </w:r>
    </w:p>
    <w:p w:rsidR="00A568C1" w:rsidRPr="00E71FA9" w:rsidRDefault="00A568C1" w:rsidP="00A568C1">
      <w:pPr>
        <w:spacing w:after="0" w:line="360" w:lineRule="auto"/>
        <w:jc w:val="both"/>
        <w:rPr>
          <w:rFonts w:ascii="Times New Roman" w:eastAsia="Times New Roman" w:hAnsi="Times New Roman" w:cs="Times New Roman"/>
          <w:bCs/>
          <w:sz w:val="28"/>
          <w:szCs w:val="28"/>
        </w:rPr>
      </w:pPr>
      <w:r w:rsidRPr="00E71FA9">
        <w:rPr>
          <w:rFonts w:ascii="Times New Roman" w:eastAsia="Times New Roman" w:hAnsi="Times New Roman" w:cs="Times New Roman"/>
          <w:bCs/>
          <w:sz w:val="28"/>
          <w:szCs w:val="28"/>
        </w:rPr>
        <w:t>(Instructed by</w:t>
      </w:r>
      <w:r>
        <w:rPr>
          <w:rFonts w:ascii="Times New Roman" w:eastAsia="Times New Roman" w:hAnsi="Times New Roman" w:cs="Times New Roman"/>
          <w:bCs/>
          <w:sz w:val="28"/>
          <w:szCs w:val="28"/>
        </w:rPr>
        <w:t>:</w:t>
      </w:r>
      <w:r w:rsidR="007F4A8A">
        <w:rPr>
          <w:rFonts w:ascii="Times New Roman" w:eastAsia="Times New Roman" w:hAnsi="Times New Roman" w:cs="Times New Roman"/>
          <w:bCs/>
          <w:sz w:val="28"/>
          <w:szCs w:val="28"/>
        </w:rPr>
        <w:t xml:space="preserve"> Egon A. Oswald Attorneys)</w:t>
      </w:r>
      <w:r w:rsidRPr="00E71FA9">
        <w:rPr>
          <w:rFonts w:ascii="Times New Roman" w:eastAsia="Times New Roman" w:hAnsi="Times New Roman" w:cs="Times New Roman"/>
          <w:bCs/>
          <w:sz w:val="28"/>
          <w:szCs w:val="28"/>
        </w:rPr>
        <w:t xml:space="preserve"> </w:t>
      </w:r>
      <w:r w:rsidR="00224DB4">
        <w:rPr>
          <w:rFonts w:ascii="Times New Roman" w:eastAsia="Times New Roman" w:hAnsi="Times New Roman" w:cs="Times New Roman"/>
          <w:bCs/>
          <w:sz w:val="28"/>
          <w:szCs w:val="28"/>
        </w:rPr>
        <w:t xml:space="preserve">                             </w:t>
      </w:r>
    </w:p>
    <w:p w:rsidR="00A568C1" w:rsidRPr="00E71FA9" w:rsidRDefault="00A568C1" w:rsidP="00A568C1">
      <w:pPr>
        <w:spacing w:after="0" w:line="360" w:lineRule="auto"/>
        <w:jc w:val="both"/>
        <w:rPr>
          <w:rFonts w:ascii="Times New Roman" w:eastAsia="Times New Roman" w:hAnsi="Times New Roman" w:cs="Times New Roman"/>
          <w:bCs/>
          <w:sz w:val="28"/>
          <w:szCs w:val="28"/>
        </w:rPr>
      </w:pPr>
    </w:p>
    <w:p w:rsidR="00A568C1" w:rsidRPr="00E71FA9" w:rsidRDefault="00224DB4" w:rsidP="00A568C1">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For the</w:t>
      </w:r>
      <w:r w:rsidR="007F4A8A">
        <w:rPr>
          <w:rFonts w:ascii="Times New Roman" w:eastAsia="Times New Roman" w:hAnsi="Times New Roman" w:cs="Times New Roman"/>
          <w:bCs/>
          <w:sz w:val="28"/>
          <w:szCs w:val="28"/>
        </w:rPr>
        <w:t xml:space="preserve"> </w:t>
      </w:r>
      <w:r w:rsidR="00A568C1" w:rsidRPr="00E71FA9">
        <w:rPr>
          <w:rFonts w:ascii="Times New Roman" w:eastAsia="Times New Roman" w:hAnsi="Times New Roman" w:cs="Times New Roman"/>
          <w:bCs/>
          <w:sz w:val="28"/>
          <w:szCs w:val="28"/>
        </w:rPr>
        <w:t>Respondent</w:t>
      </w:r>
      <w:r w:rsidR="00171527">
        <w:rPr>
          <w:rFonts w:ascii="Times New Roman" w:eastAsia="Times New Roman" w:hAnsi="Times New Roman" w:cs="Times New Roman"/>
          <w:bCs/>
          <w:sz w:val="28"/>
          <w:szCs w:val="28"/>
        </w:rPr>
        <w:t>s</w:t>
      </w:r>
      <w:r w:rsidR="00A568C1" w:rsidRPr="00E71FA9">
        <w:rPr>
          <w:rFonts w:ascii="Times New Roman" w:eastAsia="Times New Roman" w:hAnsi="Times New Roman" w:cs="Times New Roman"/>
          <w:bCs/>
          <w:sz w:val="28"/>
          <w:szCs w:val="28"/>
        </w:rPr>
        <w:t xml:space="preserve">: </w:t>
      </w:r>
      <w:r w:rsidR="00A568C1">
        <w:rPr>
          <w:rFonts w:ascii="Times New Roman" w:eastAsia="Times New Roman" w:hAnsi="Times New Roman" w:cs="Times New Roman"/>
          <w:bCs/>
          <w:sz w:val="28"/>
          <w:szCs w:val="28"/>
        </w:rPr>
        <w:t xml:space="preserve">Adv. </w:t>
      </w:r>
      <w:r>
        <w:rPr>
          <w:rFonts w:ascii="Times New Roman" w:eastAsia="Times New Roman" w:hAnsi="Times New Roman" w:cs="Times New Roman"/>
          <w:bCs/>
          <w:sz w:val="28"/>
          <w:szCs w:val="28"/>
        </w:rPr>
        <w:t>Kennedy Tsatsawane SC</w:t>
      </w:r>
    </w:p>
    <w:p w:rsidR="00A568C1" w:rsidRPr="00E71FA9" w:rsidRDefault="00A568C1" w:rsidP="00A568C1">
      <w:pPr>
        <w:spacing w:after="0" w:line="360" w:lineRule="auto"/>
        <w:jc w:val="both"/>
        <w:rPr>
          <w:rFonts w:ascii="Times New Roman" w:eastAsia="Times New Roman" w:hAnsi="Times New Roman" w:cs="Times New Roman"/>
          <w:bCs/>
          <w:sz w:val="28"/>
          <w:szCs w:val="28"/>
        </w:rPr>
      </w:pPr>
      <w:r w:rsidRPr="00E71FA9">
        <w:rPr>
          <w:rFonts w:ascii="Times New Roman" w:eastAsia="Times New Roman" w:hAnsi="Times New Roman" w:cs="Times New Roman"/>
          <w:bCs/>
          <w:sz w:val="28"/>
          <w:szCs w:val="28"/>
        </w:rPr>
        <w:t>(Instructed by</w:t>
      </w:r>
      <w:r>
        <w:rPr>
          <w:rFonts w:ascii="Times New Roman" w:eastAsia="Times New Roman" w:hAnsi="Times New Roman" w:cs="Times New Roman"/>
          <w:bCs/>
          <w:sz w:val="28"/>
          <w:szCs w:val="28"/>
        </w:rPr>
        <w:t>:</w:t>
      </w:r>
      <w:r w:rsidRPr="00E71FA9">
        <w:rPr>
          <w:rFonts w:ascii="Times New Roman" w:eastAsia="Times New Roman" w:hAnsi="Times New Roman" w:cs="Times New Roman"/>
          <w:bCs/>
          <w:sz w:val="28"/>
          <w:szCs w:val="28"/>
        </w:rPr>
        <w:t xml:space="preserve"> </w:t>
      </w:r>
      <w:r w:rsidR="00AB352B">
        <w:rPr>
          <w:rFonts w:ascii="Times New Roman" w:eastAsia="Times New Roman" w:hAnsi="Times New Roman" w:cs="Times New Roman"/>
          <w:bCs/>
          <w:sz w:val="28"/>
          <w:szCs w:val="28"/>
        </w:rPr>
        <w:t>Knowles Husain Lindsay Inc.)</w:t>
      </w:r>
      <w:r w:rsidR="007F4A8A">
        <w:rPr>
          <w:rFonts w:ascii="Times New Roman" w:eastAsia="Times New Roman" w:hAnsi="Times New Roman" w:cs="Times New Roman"/>
          <w:bCs/>
          <w:sz w:val="28"/>
          <w:szCs w:val="28"/>
        </w:rPr>
        <w:t xml:space="preserve">                              </w:t>
      </w:r>
    </w:p>
    <w:p w:rsidR="00A568C1" w:rsidRPr="00E71FA9" w:rsidRDefault="00A568C1" w:rsidP="00A568C1">
      <w:pPr>
        <w:spacing w:line="360" w:lineRule="auto"/>
        <w:jc w:val="both"/>
      </w:pPr>
    </w:p>
    <w:p w:rsidR="00A568C1" w:rsidRPr="00D27D2B" w:rsidRDefault="00A568C1" w:rsidP="00A568C1">
      <w:pPr>
        <w:rPr>
          <w:rFonts w:ascii="Times New Roman" w:eastAsia="Times New Roman" w:hAnsi="Times New Roman" w:cs="Times New Roman"/>
          <w:bCs/>
          <w:kern w:val="25"/>
          <w:sz w:val="26"/>
          <w:szCs w:val="26"/>
          <w:lang w:val="en-ZA"/>
        </w:rPr>
      </w:pPr>
    </w:p>
    <w:p w:rsidR="00A568C1" w:rsidRPr="009120EC" w:rsidRDefault="00A568C1" w:rsidP="00D61EE5">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rPr>
          <w:rFonts w:ascii="Times New Roman" w:eastAsia="Times New Roman" w:hAnsi="Times New Roman" w:cs="Times New Roman"/>
          <w:bCs/>
          <w:i/>
          <w:kern w:val="25"/>
          <w:sz w:val="28"/>
          <w:szCs w:val="28"/>
          <w:lang w:val="en-ZA"/>
        </w:rPr>
      </w:pPr>
    </w:p>
    <w:sectPr w:rsidR="00A568C1" w:rsidRPr="009120EC" w:rsidSect="00C35EE3">
      <w:footerReference w:type="default" r:id="rId17"/>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C20" w:rsidRDefault="00972C20" w:rsidP="00ED4E0B">
      <w:pPr>
        <w:spacing w:after="0" w:line="240" w:lineRule="auto"/>
      </w:pPr>
      <w:r>
        <w:separator/>
      </w:r>
    </w:p>
  </w:endnote>
  <w:endnote w:type="continuationSeparator" w:id="0">
    <w:p w:rsidR="00972C20" w:rsidRDefault="00972C20" w:rsidP="00ED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gi">
    <w:panose1 w:val="0404050406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815990"/>
      <w:docPartObj>
        <w:docPartGallery w:val="Page Numbers (Bottom of Page)"/>
        <w:docPartUnique/>
      </w:docPartObj>
    </w:sdtPr>
    <w:sdtEndPr>
      <w:rPr>
        <w:noProof/>
      </w:rPr>
    </w:sdtEndPr>
    <w:sdtContent>
      <w:p w:rsidR="00A36DA4" w:rsidRDefault="00A36DA4">
        <w:pPr>
          <w:pStyle w:val="Footer"/>
          <w:jc w:val="center"/>
        </w:pPr>
        <w:r>
          <w:fldChar w:fldCharType="begin"/>
        </w:r>
        <w:r>
          <w:instrText xml:space="preserve"> PAGE   \* MERGEFORMAT </w:instrText>
        </w:r>
        <w:r>
          <w:fldChar w:fldCharType="separate"/>
        </w:r>
        <w:r w:rsidR="00F33FE8">
          <w:rPr>
            <w:noProof/>
          </w:rPr>
          <w:t>1</w:t>
        </w:r>
        <w:r>
          <w:rPr>
            <w:noProof/>
          </w:rPr>
          <w:fldChar w:fldCharType="end"/>
        </w:r>
      </w:p>
    </w:sdtContent>
  </w:sdt>
  <w:p w:rsidR="00A36DA4" w:rsidRDefault="00A3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C20" w:rsidRDefault="00972C20" w:rsidP="00ED4E0B">
      <w:pPr>
        <w:spacing w:after="0" w:line="240" w:lineRule="auto"/>
      </w:pPr>
      <w:r>
        <w:separator/>
      </w:r>
    </w:p>
  </w:footnote>
  <w:footnote w:type="continuationSeparator" w:id="0">
    <w:p w:rsidR="00972C20" w:rsidRDefault="00972C20" w:rsidP="00ED4E0B">
      <w:pPr>
        <w:spacing w:after="0" w:line="240" w:lineRule="auto"/>
      </w:pPr>
      <w:r>
        <w:continuationSeparator/>
      </w:r>
    </w:p>
  </w:footnote>
  <w:footnote w:id="1">
    <w:p w:rsidR="00A36DA4" w:rsidRDefault="00A36DA4">
      <w:pPr>
        <w:pStyle w:val="FootnoteText"/>
      </w:pPr>
      <w:r>
        <w:rPr>
          <w:rStyle w:val="FootnoteReference"/>
        </w:rPr>
        <w:footnoteRef/>
      </w:r>
      <w:r>
        <w:t xml:space="preserve"> Respondents’ Answering Affidavit para22 (001-123 Case Lines)</w:t>
      </w:r>
    </w:p>
  </w:footnote>
  <w:footnote w:id="2">
    <w:p w:rsidR="00A36DA4" w:rsidRDefault="00A36DA4">
      <w:pPr>
        <w:pStyle w:val="FootnoteText"/>
      </w:pPr>
      <w:r>
        <w:rPr>
          <w:rStyle w:val="FootnoteReference"/>
        </w:rPr>
        <w:footnoteRef/>
      </w:r>
      <w:r>
        <w:t xml:space="preserve"> FA para 23 (001-8)</w:t>
      </w:r>
    </w:p>
  </w:footnote>
  <w:footnote w:id="3">
    <w:p w:rsidR="00A36DA4" w:rsidRDefault="00A36DA4">
      <w:pPr>
        <w:pStyle w:val="FootnoteText"/>
      </w:pPr>
      <w:r>
        <w:rPr>
          <w:rStyle w:val="FootnoteReference"/>
        </w:rPr>
        <w:footnoteRef/>
      </w:r>
      <w:r>
        <w:t xml:space="preserve"> Supra para24 (001-124 CaseLines)</w:t>
      </w:r>
    </w:p>
  </w:footnote>
  <w:footnote w:id="4">
    <w:p w:rsidR="00A36DA4" w:rsidRDefault="00A36DA4">
      <w:pPr>
        <w:pStyle w:val="FootnoteText"/>
      </w:pPr>
      <w:r>
        <w:rPr>
          <w:rStyle w:val="FootnoteReference"/>
        </w:rPr>
        <w:footnoteRef/>
      </w:r>
      <w:r>
        <w:t xml:space="preserve"> Annexure FA5 (001-46)</w:t>
      </w:r>
    </w:p>
  </w:footnote>
  <w:footnote w:id="5">
    <w:p w:rsidR="00A36DA4" w:rsidRDefault="00A36DA4">
      <w:pPr>
        <w:pStyle w:val="FootnoteText"/>
      </w:pPr>
      <w:r>
        <w:rPr>
          <w:rStyle w:val="FootnoteReference"/>
        </w:rPr>
        <w:footnoteRef/>
      </w:r>
      <w:r>
        <w:t xml:space="preserve"> Annexure FA5 (001-48)</w:t>
      </w:r>
    </w:p>
  </w:footnote>
  <w:footnote w:id="6">
    <w:p w:rsidR="00A36DA4" w:rsidRDefault="00A36DA4" w:rsidP="00902FF8">
      <w:pPr>
        <w:pStyle w:val="FootnoteText"/>
      </w:pPr>
      <w:r>
        <w:rPr>
          <w:rStyle w:val="FootnoteReference"/>
        </w:rPr>
        <w:footnoteRef/>
      </w:r>
      <w:r>
        <w:t xml:space="preserve"> Email by Leonard Stoch (001-52 CaseLines)</w:t>
      </w:r>
    </w:p>
  </w:footnote>
  <w:footnote w:id="7">
    <w:p w:rsidR="00A36DA4" w:rsidRDefault="00A36DA4">
      <w:pPr>
        <w:pStyle w:val="FootnoteText"/>
      </w:pPr>
      <w:r>
        <w:rPr>
          <w:rStyle w:val="FootnoteReference"/>
        </w:rPr>
        <w:footnoteRef/>
      </w:r>
      <w:r>
        <w:t xml:space="preserve"> Annexure FA6 (001-51 CaseLines)</w:t>
      </w:r>
    </w:p>
  </w:footnote>
  <w:footnote w:id="8">
    <w:p w:rsidR="00A36DA4" w:rsidRDefault="00A36DA4">
      <w:pPr>
        <w:pStyle w:val="FootnoteText"/>
      </w:pPr>
      <w:r>
        <w:rPr>
          <w:rStyle w:val="FootnoteReference"/>
        </w:rPr>
        <w:footnoteRef/>
      </w:r>
      <w:r>
        <w:t xml:space="preserve"> Supra</w:t>
      </w:r>
    </w:p>
  </w:footnote>
  <w:footnote w:id="9">
    <w:p w:rsidR="00A36DA4" w:rsidRDefault="00A36DA4">
      <w:pPr>
        <w:pStyle w:val="FootnoteText"/>
      </w:pPr>
      <w:r>
        <w:rPr>
          <w:rStyle w:val="FootnoteReference"/>
        </w:rPr>
        <w:footnoteRef/>
      </w:r>
      <w:r>
        <w:t xml:space="preserve"> Email from Vincent Mntambo (001-52 CaseLines)</w:t>
      </w:r>
    </w:p>
  </w:footnote>
  <w:footnote w:id="10">
    <w:p w:rsidR="00A36DA4" w:rsidRDefault="00A36DA4">
      <w:pPr>
        <w:pStyle w:val="FootnoteText"/>
      </w:pPr>
      <w:r>
        <w:rPr>
          <w:rStyle w:val="FootnoteReference"/>
        </w:rPr>
        <w:footnoteRef/>
      </w:r>
      <w:r>
        <w:t xml:space="preserve"> Email dated 23 April 2014 (001-51 CaseLines)</w:t>
      </w:r>
    </w:p>
  </w:footnote>
  <w:footnote w:id="11">
    <w:p w:rsidR="00A36DA4" w:rsidRDefault="00A36DA4">
      <w:pPr>
        <w:pStyle w:val="FootnoteText"/>
      </w:pPr>
      <w:r>
        <w:rPr>
          <w:rStyle w:val="FootnoteReference"/>
        </w:rPr>
        <w:footnoteRef/>
      </w:r>
      <w:r>
        <w:t xml:space="preserve"> Annexure FA9 (001-53 CaseLines)</w:t>
      </w:r>
    </w:p>
  </w:footnote>
  <w:footnote w:id="12">
    <w:p w:rsidR="00A36DA4" w:rsidRDefault="00A36DA4" w:rsidP="005B5447">
      <w:pPr>
        <w:pStyle w:val="FootnoteText"/>
      </w:pPr>
      <w:r>
        <w:rPr>
          <w:rStyle w:val="FootnoteReference"/>
        </w:rPr>
        <w:footnoteRef/>
      </w:r>
      <w:r>
        <w:t xml:space="preserve"> Email by Leonard Stoch (001-53 CaseLines)</w:t>
      </w:r>
    </w:p>
  </w:footnote>
  <w:footnote w:id="13">
    <w:p w:rsidR="00A36DA4" w:rsidRDefault="00A36DA4">
      <w:pPr>
        <w:pStyle w:val="FootnoteText"/>
      </w:pPr>
      <w:r>
        <w:rPr>
          <w:rStyle w:val="FootnoteReference"/>
        </w:rPr>
        <w:footnoteRef/>
      </w:r>
      <w:r>
        <w:t xml:space="preserve"> Annexure ZM 14 (001-205 CaseLines)</w:t>
      </w:r>
    </w:p>
  </w:footnote>
  <w:footnote w:id="14">
    <w:p w:rsidR="00A36DA4" w:rsidRDefault="00A36DA4">
      <w:pPr>
        <w:pStyle w:val="FootnoteText"/>
      </w:pPr>
      <w:r>
        <w:rPr>
          <w:rStyle w:val="FootnoteReference"/>
        </w:rPr>
        <w:footnoteRef/>
      </w:r>
      <w:r>
        <w:t xml:space="preserve"> Annexure FA11 (001-56)</w:t>
      </w:r>
    </w:p>
  </w:footnote>
  <w:footnote w:id="15">
    <w:p w:rsidR="00A36DA4" w:rsidRDefault="00A36DA4">
      <w:pPr>
        <w:pStyle w:val="FootnoteText"/>
      </w:pPr>
      <w:r>
        <w:rPr>
          <w:rStyle w:val="FootnoteReference"/>
        </w:rPr>
        <w:footnoteRef/>
      </w:r>
      <w:r>
        <w:t xml:space="preserve"> Annexure 12 (001-57 CaseLines)/Also on 001-74</w:t>
      </w:r>
    </w:p>
  </w:footnote>
  <w:footnote w:id="16">
    <w:p w:rsidR="00A36DA4" w:rsidRDefault="00A36DA4">
      <w:pPr>
        <w:pStyle w:val="FootnoteText"/>
      </w:pPr>
      <w:r>
        <w:rPr>
          <w:rStyle w:val="FootnoteReference"/>
        </w:rPr>
        <w:footnoteRef/>
      </w:r>
      <w:r>
        <w:t xml:space="preserve"> Email (001-73 CaseLines)</w:t>
      </w:r>
    </w:p>
  </w:footnote>
  <w:footnote w:id="17">
    <w:p w:rsidR="00A36DA4" w:rsidRDefault="00A36DA4">
      <w:pPr>
        <w:pStyle w:val="FootnoteText"/>
      </w:pPr>
      <w:r>
        <w:rPr>
          <w:rStyle w:val="FootnoteReference"/>
        </w:rPr>
        <w:footnoteRef/>
      </w:r>
      <w:r>
        <w:t xml:space="preserve"> Supra</w:t>
      </w:r>
    </w:p>
  </w:footnote>
  <w:footnote w:id="18">
    <w:p w:rsidR="00A36DA4" w:rsidRDefault="00A36DA4">
      <w:pPr>
        <w:pStyle w:val="FootnoteText"/>
      </w:pPr>
      <w:r>
        <w:rPr>
          <w:rStyle w:val="FootnoteReference"/>
        </w:rPr>
        <w:footnoteRef/>
      </w:r>
      <w:r>
        <w:t xml:space="preserve"> Annexure FA14 (001-58 CaseLines)</w:t>
      </w:r>
    </w:p>
  </w:footnote>
  <w:footnote w:id="19">
    <w:p w:rsidR="00A36DA4" w:rsidRDefault="00A36DA4">
      <w:pPr>
        <w:pStyle w:val="FootnoteText"/>
      </w:pPr>
      <w:r>
        <w:rPr>
          <w:rStyle w:val="FootnoteReference"/>
        </w:rPr>
        <w:footnoteRef/>
      </w:r>
      <w:r>
        <w:t xml:space="preserve"> Annexure FA15 (001-59 CaseLines)</w:t>
      </w:r>
    </w:p>
  </w:footnote>
  <w:footnote w:id="20">
    <w:p w:rsidR="00A36DA4" w:rsidRDefault="00A36DA4">
      <w:pPr>
        <w:pStyle w:val="FootnoteText"/>
      </w:pPr>
      <w:r>
        <w:rPr>
          <w:rStyle w:val="FootnoteReference"/>
        </w:rPr>
        <w:footnoteRef/>
      </w:r>
      <w:r>
        <w:t xml:space="preserve"> Email by De Villiers (001-76 CaseLines)</w:t>
      </w:r>
    </w:p>
  </w:footnote>
  <w:footnote w:id="21">
    <w:p w:rsidR="00A36DA4" w:rsidRDefault="00A36DA4" w:rsidP="00FA68AE">
      <w:pPr>
        <w:pStyle w:val="FootnoteText"/>
      </w:pPr>
      <w:r>
        <w:rPr>
          <w:rStyle w:val="FootnoteReference"/>
        </w:rPr>
        <w:footnoteRef/>
      </w:r>
      <w:r>
        <w:t xml:space="preserve"> Annexure FA16 (001-62 CaseLines)</w:t>
      </w:r>
    </w:p>
  </w:footnote>
  <w:footnote w:id="22">
    <w:p w:rsidR="00A36DA4" w:rsidRDefault="00A36DA4">
      <w:pPr>
        <w:pStyle w:val="FootnoteText"/>
      </w:pPr>
      <w:r>
        <w:rPr>
          <w:rStyle w:val="FootnoteReference"/>
        </w:rPr>
        <w:footnoteRef/>
      </w:r>
      <w:r>
        <w:t xml:space="preserve"> Annexure FA18 (001-66 CaseLines)</w:t>
      </w:r>
    </w:p>
  </w:footnote>
  <w:footnote w:id="23">
    <w:p w:rsidR="00A36DA4" w:rsidRDefault="00A36DA4" w:rsidP="00281328">
      <w:pPr>
        <w:pStyle w:val="FootnoteText"/>
      </w:pPr>
      <w:r>
        <w:rPr>
          <w:rStyle w:val="FootnoteReference"/>
        </w:rPr>
        <w:footnoteRef/>
      </w:r>
      <w:r>
        <w:t xml:space="preserve"> FA PARA102 (001-27 CaseLines)</w:t>
      </w:r>
    </w:p>
  </w:footnote>
  <w:footnote w:id="24">
    <w:p w:rsidR="00A36DA4" w:rsidRDefault="00A36DA4">
      <w:pPr>
        <w:pStyle w:val="FootnoteText"/>
      </w:pPr>
      <w:r>
        <w:rPr>
          <w:rStyle w:val="FootnoteReference"/>
        </w:rPr>
        <w:footnoteRef/>
      </w:r>
      <w:r>
        <w:t xml:space="preserve"> Annexure FA 25 (001-97 CaseLines)</w:t>
      </w:r>
    </w:p>
  </w:footnote>
  <w:footnote w:id="25">
    <w:p w:rsidR="00A36DA4" w:rsidRDefault="00A36DA4">
      <w:pPr>
        <w:pStyle w:val="FootnoteText"/>
      </w:pPr>
      <w:r>
        <w:rPr>
          <w:rStyle w:val="FootnoteReference"/>
        </w:rPr>
        <w:footnoteRef/>
      </w:r>
      <w:r>
        <w:t xml:space="preserve"> RA  par 43.8 (001-233 CaseLines)</w:t>
      </w:r>
    </w:p>
  </w:footnote>
  <w:footnote w:id="26">
    <w:p w:rsidR="00A36DA4" w:rsidRPr="005330B1" w:rsidRDefault="00A36DA4">
      <w:pPr>
        <w:pStyle w:val="FootnoteText"/>
      </w:pPr>
      <w:r w:rsidRPr="005330B1">
        <w:rPr>
          <w:rStyle w:val="FootnoteReference"/>
        </w:rPr>
        <w:footnoteRef/>
      </w:r>
      <w:r w:rsidRPr="005330B1">
        <w:t xml:space="preserve"> </w:t>
      </w:r>
      <w:r w:rsidRPr="005330B1">
        <w:rPr>
          <w:rFonts w:ascii="Times New Roman" w:hAnsi="Times New Roman" w:cs="Times New Roman"/>
          <w:sz w:val="16"/>
          <w:szCs w:val="16"/>
        </w:rPr>
        <w:t>2007 (6) SA 313 (SCA).</w:t>
      </w:r>
    </w:p>
  </w:footnote>
  <w:footnote w:id="27">
    <w:p w:rsidR="00A36DA4" w:rsidRDefault="00A36DA4">
      <w:pPr>
        <w:pStyle w:val="FootnoteText"/>
      </w:pPr>
      <w:r>
        <w:rPr>
          <w:rStyle w:val="FootnoteReference"/>
        </w:rPr>
        <w:footnoteRef/>
      </w:r>
      <w:r>
        <w:t xml:space="preserve"> Supra para 38</w:t>
      </w:r>
    </w:p>
  </w:footnote>
  <w:footnote w:id="28">
    <w:p w:rsidR="00A36DA4" w:rsidRDefault="00A36DA4">
      <w:pPr>
        <w:pStyle w:val="FootnoteText"/>
      </w:pPr>
      <w:r>
        <w:rPr>
          <w:rStyle w:val="FootnoteReference"/>
        </w:rPr>
        <w:footnoteRef/>
      </w:r>
      <w:r>
        <w:t xml:space="preserve"> RA par 78.2 (001-250 CaseLines)</w:t>
      </w:r>
    </w:p>
  </w:footnote>
  <w:footnote w:id="29">
    <w:p w:rsidR="00A36DA4" w:rsidRDefault="00A36DA4">
      <w:pPr>
        <w:pStyle w:val="FootnoteText"/>
      </w:pPr>
      <w:r>
        <w:rPr>
          <w:rStyle w:val="FootnoteReference"/>
        </w:rPr>
        <w:footnoteRef/>
      </w:r>
      <w:r>
        <w:t xml:space="preserve"> Replying Affidavit para 55.5 (001-239 CaseLines)</w:t>
      </w:r>
    </w:p>
  </w:footnote>
  <w:footnote w:id="30">
    <w:p w:rsidR="00A36DA4" w:rsidRPr="009172E1" w:rsidRDefault="00A36DA4" w:rsidP="009172E1">
      <w:pPr>
        <w:pStyle w:val="Heading2"/>
        <w:shd w:val="clear" w:color="auto" w:fill="FFFFFF"/>
        <w:spacing w:before="240" w:line="360" w:lineRule="auto"/>
        <w:rPr>
          <w:rFonts w:ascii="Times New Roman" w:eastAsia="Times New Roman" w:hAnsi="Times New Roman" w:cs="Times New Roman"/>
          <w:color w:val="000000" w:themeColor="text1"/>
          <w:sz w:val="16"/>
          <w:szCs w:val="16"/>
        </w:rPr>
      </w:pPr>
      <w:r w:rsidRPr="007A2C4D">
        <w:rPr>
          <w:rStyle w:val="FootnoteReference"/>
          <w:color w:val="000000" w:themeColor="text1"/>
          <w:sz w:val="16"/>
          <w:szCs w:val="16"/>
        </w:rPr>
        <w:footnoteRef/>
      </w:r>
      <w:r w:rsidRPr="007A2C4D">
        <w:rPr>
          <w:color w:val="000000" w:themeColor="text1"/>
          <w:sz w:val="16"/>
          <w:szCs w:val="16"/>
        </w:rPr>
        <w:t xml:space="preserve"> </w:t>
      </w:r>
      <w:r w:rsidRPr="007A2C4D">
        <w:rPr>
          <w:rFonts w:ascii="Times New Roman" w:eastAsia="Times New Roman" w:hAnsi="Times New Roman" w:cs="Times New Roman"/>
          <w:color w:val="000000" w:themeColor="text1"/>
          <w:sz w:val="16"/>
          <w:szCs w:val="16"/>
        </w:rPr>
        <w:t>(2/99) [2000] ZASCA 81; 2001 (2) SA 284 (SCA); [2001] 1 All SA 581 (A) (30 November 2000)</w:t>
      </w:r>
    </w:p>
  </w:footnote>
  <w:footnote w:id="31">
    <w:p w:rsidR="00A36DA4" w:rsidRPr="00CB4499" w:rsidRDefault="00A36DA4" w:rsidP="000E1DB0">
      <w:pPr>
        <w:pStyle w:val="Heading2"/>
        <w:shd w:val="clear" w:color="auto" w:fill="FFFFFF"/>
        <w:spacing w:before="240" w:line="360" w:lineRule="auto"/>
        <w:jc w:val="both"/>
        <w:rPr>
          <w:rFonts w:ascii="Times New Roman" w:eastAsia="Times New Roman" w:hAnsi="Times New Roman" w:cs="Times New Roman"/>
          <w:color w:val="auto"/>
          <w:sz w:val="16"/>
          <w:szCs w:val="16"/>
        </w:rPr>
      </w:pPr>
      <w:r w:rsidRPr="007E1421">
        <w:rPr>
          <w:rStyle w:val="FootnoteReference"/>
          <w:color w:val="auto"/>
          <w:sz w:val="16"/>
          <w:szCs w:val="16"/>
        </w:rPr>
        <w:footnoteRef/>
      </w:r>
      <w:r w:rsidRPr="007E1421">
        <w:rPr>
          <w:color w:val="auto"/>
          <w:sz w:val="16"/>
          <w:szCs w:val="16"/>
        </w:rPr>
        <w:t xml:space="preserve"> </w:t>
      </w:r>
      <w:r w:rsidRPr="007E1421">
        <w:rPr>
          <w:rFonts w:ascii="Times New Roman" w:eastAsia="Times New Roman" w:hAnsi="Times New Roman" w:cs="Times New Roman"/>
          <w:color w:val="auto"/>
          <w:sz w:val="16"/>
          <w:szCs w:val="16"/>
        </w:rPr>
        <w:t>(</w:t>
      </w:r>
      <w:r w:rsidRPr="00CB4499">
        <w:rPr>
          <w:rFonts w:ascii="Times New Roman" w:eastAsia="Times New Roman" w:hAnsi="Times New Roman" w:cs="Times New Roman"/>
          <w:color w:val="auto"/>
          <w:sz w:val="16"/>
          <w:szCs w:val="16"/>
        </w:rPr>
        <w:t>2/99) [2000] ZASCA 81; 2001 (2) SA 284 (SCA); [2001] 1 All SA 581 (A) (30 November 2000)</w:t>
      </w:r>
      <w:r>
        <w:rPr>
          <w:rFonts w:ascii="Times New Roman" w:eastAsia="Times New Roman" w:hAnsi="Times New Roman" w:cs="Times New Roman"/>
          <w:color w:val="auto"/>
          <w:sz w:val="16"/>
          <w:szCs w:val="16"/>
        </w:rPr>
        <w:t xml:space="preserve"> </w:t>
      </w:r>
    </w:p>
    <w:p w:rsidR="00A36DA4" w:rsidRDefault="00A36DA4" w:rsidP="000E1DB0">
      <w:pPr>
        <w:pStyle w:val="FootnoteText"/>
      </w:pPr>
    </w:p>
  </w:footnote>
  <w:footnote w:id="32">
    <w:p w:rsidR="00A36DA4" w:rsidRDefault="00A36DA4" w:rsidP="000E1DB0">
      <w:pPr>
        <w:pStyle w:val="FootnoteText"/>
      </w:pPr>
      <w:r>
        <w:rPr>
          <w:rStyle w:val="FootnoteReference"/>
        </w:rPr>
        <w:footnoteRef/>
      </w:r>
      <w:r>
        <w:t xml:space="preserve">  Supra Para 16</w:t>
      </w:r>
    </w:p>
  </w:footnote>
  <w:footnote w:id="33">
    <w:p w:rsidR="00A36DA4" w:rsidRDefault="00A36DA4">
      <w:pPr>
        <w:pStyle w:val="FootnoteText"/>
      </w:pPr>
      <w:r>
        <w:rPr>
          <w:rStyle w:val="FootnoteReference"/>
        </w:rPr>
        <w:footnoteRef/>
      </w:r>
      <w:r>
        <w:t xml:space="preserve"> Replying and Answering Affidavit to Counter application para 22.3 (001-222 CaseLines)</w:t>
      </w:r>
    </w:p>
  </w:footnote>
  <w:footnote w:id="34">
    <w:p w:rsidR="00A36DA4" w:rsidRDefault="00A36DA4" w:rsidP="009E732B">
      <w:pPr>
        <w:pStyle w:val="FootnoteText"/>
      </w:pPr>
      <w:r>
        <w:rPr>
          <w:rStyle w:val="FootnoteReference"/>
        </w:rPr>
        <w:footnoteRef/>
      </w:r>
      <w:r>
        <w:t xml:space="preserve"> Datacolor  para 1</w:t>
      </w:r>
    </w:p>
  </w:footnote>
  <w:footnote w:id="35">
    <w:p w:rsidR="00A36DA4" w:rsidRPr="00403CBF" w:rsidRDefault="00A36DA4">
      <w:pPr>
        <w:pStyle w:val="FootnoteText"/>
        <w:rPr>
          <w:rFonts w:ascii="Times New Roman" w:hAnsi="Times New Roman" w:cs="Times New Roman"/>
          <w:sz w:val="16"/>
          <w:szCs w:val="16"/>
        </w:rPr>
      </w:pPr>
      <w:r w:rsidRPr="00403CBF">
        <w:rPr>
          <w:rStyle w:val="FootnoteReference"/>
          <w:rFonts w:ascii="Times New Roman" w:hAnsi="Times New Roman" w:cs="Times New Roman"/>
          <w:sz w:val="16"/>
          <w:szCs w:val="16"/>
        </w:rPr>
        <w:footnoteRef/>
      </w:r>
      <w:r w:rsidRPr="00403CBF">
        <w:rPr>
          <w:rFonts w:ascii="Times New Roman" w:hAnsi="Times New Roman" w:cs="Times New Roman"/>
          <w:sz w:val="16"/>
          <w:szCs w:val="16"/>
        </w:rPr>
        <w:t xml:space="preserve"> </w:t>
      </w:r>
      <w:r w:rsidRPr="00403CBF">
        <w:rPr>
          <w:rFonts w:ascii="Times New Roman" w:eastAsia="Times New Roman" w:hAnsi="Times New Roman" w:cs="Times New Roman"/>
          <w:color w:val="000000" w:themeColor="text1"/>
          <w:sz w:val="16"/>
          <w:szCs w:val="16"/>
        </w:rPr>
        <w:t>(899/2019) [2020] ZASCA 130 (15 October 2020)</w:t>
      </w:r>
    </w:p>
  </w:footnote>
  <w:footnote w:id="36">
    <w:p w:rsidR="00A36DA4" w:rsidRDefault="00A36DA4">
      <w:pPr>
        <w:pStyle w:val="FootnoteText"/>
      </w:pPr>
      <w:r>
        <w:rPr>
          <w:rStyle w:val="FootnoteReference"/>
        </w:rPr>
        <w:footnoteRef/>
      </w:r>
      <w:r>
        <w:t xml:space="preserve"> Supra par 28</w:t>
      </w:r>
    </w:p>
    <w:p w:rsidR="00A36DA4" w:rsidRDefault="00A36DA4">
      <w:pPr>
        <w:pStyle w:val="FootnoteText"/>
      </w:pPr>
    </w:p>
  </w:footnote>
  <w:footnote w:id="37">
    <w:p w:rsidR="00A36DA4" w:rsidRDefault="00A36DA4">
      <w:pPr>
        <w:pStyle w:val="FootnoteText"/>
      </w:pPr>
      <w:r>
        <w:rPr>
          <w:rStyle w:val="FootnoteReference"/>
        </w:rPr>
        <w:footnoteRef/>
      </w:r>
      <w:r>
        <w:t xml:space="preserve"> Supra par 29</w:t>
      </w:r>
    </w:p>
  </w:footnote>
  <w:footnote w:id="38">
    <w:p w:rsidR="00A36DA4" w:rsidRDefault="00A36DA4">
      <w:pPr>
        <w:pStyle w:val="FootnoteText"/>
      </w:pPr>
      <w:r>
        <w:rPr>
          <w:rStyle w:val="FootnoteReference"/>
        </w:rPr>
        <w:footnoteRef/>
      </w:r>
      <w:r>
        <w:t xml:space="preserve"> 2007 (2) SA 172 (SCA)</w:t>
      </w:r>
    </w:p>
  </w:footnote>
  <w:footnote w:id="39">
    <w:p w:rsidR="00A36DA4" w:rsidRDefault="00A36DA4">
      <w:pPr>
        <w:pStyle w:val="FootnoteText"/>
      </w:pPr>
      <w:r>
        <w:rPr>
          <w:rStyle w:val="FootnoteReference"/>
        </w:rPr>
        <w:footnoteRef/>
      </w:r>
      <w:r>
        <w:t xml:space="preserve"> 1948 (3) SA 457 (A)</w:t>
      </w:r>
    </w:p>
  </w:footnote>
  <w:footnote w:id="40">
    <w:p w:rsidR="00A36DA4" w:rsidRDefault="00A36DA4">
      <w:pPr>
        <w:pStyle w:val="FootnoteText"/>
      </w:pPr>
      <w:r>
        <w:rPr>
          <w:rStyle w:val="FootnoteReference"/>
        </w:rPr>
        <w:footnoteRef/>
      </w:r>
      <w:r>
        <w:t xml:space="preserve"> 1974 (3)SA 13 (A)</w:t>
      </w:r>
    </w:p>
  </w:footnote>
  <w:footnote w:id="41">
    <w:p w:rsidR="00A36DA4" w:rsidRDefault="00A36DA4" w:rsidP="00EB05F0">
      <w:pPr>
        <w:pStyle w:val="FootnoteText"/>
      </w:pPr>
      <w:r>
        <w:rPr>
          <w:rStyle w:val="FootnoteReference"/>
        </w:rPr>
        <w:footnoteRef/>
      </w:r>
      <w:r>
        <w:t xml:space="preserve"> </w:t>
      </w:r>
      <w:r w:rsidRPr="00A01028">
        <w:rPr>
          <w:rFonts w:ascii="Times New Roman" w:hAnsi="Times New Roman" w:cs="Times New Roman"/>
          <w:sz w:val="16"/>
          <w:szCs w:val="16"/>
        </w:rPr>
        <w:t>(945/2015) [2016] ZASCA 129 (27 September 2016)</w:t>
      </w:r>
    </w:p>
  </w:footnote>
  <w:footnote w:id="42">
    <w:p w:rsidR="00A36DA4" w:rsidRDefault="00A36DA4" w:rsidP="00EB05F0">
      <w:pPr>
        <w:pStyle w:val="FootnoteText"/>
      </w:pPr>
      <w:r>
        <w:rPr>
          <w:rStyle w:val="FootnoteReference"/>
        </w:rPr>
        <w:footnoteRef/>
      </w:r>
      <w:r>
        <w:t xml:space="preserve"> Supra para 24</w:t>
      </w:r>
    </w:p>
  </w:footnote>
  <w:footnote w:id="43">
    <w:p w:rsidR="00A36DA4" w:rsidRDefault="00A36DA4" w:rsidP="00EB05F0">
      <w:pPr>
        <w:pStyle w:val="FootnoteText"/>
      </w:pPr>
      <w:r>
        <w:rPr>
          <w:rStyle w:val="FootnoteReference"/>
        </w:rPr>
        <w:footnoteRef/>
      </w:r>
      <w:r>
        <w:t xml:space="preserve"> FA para 74 (001-19 CaseLines)</w:t>
      </w:r>
    </w:p>
  </w:footnote>
  <w:footnote w:id="44">
    <w:p w:rsidR="00A36DA4" w:rsidRDefault="00A36DA4" w:rsidP="00EB05F0">
      <w:pPr>
        <w:pStyle w:val="FootnoteText"/>
      </w:pPr>
      <w:r>
        <w:rPr>
          <w:rStyle w:val="FootnoteReference"/>
        </w:rPr>
        <w:footnoteRef/>
      </w:r>
      <w:r>
        <w:t xml:space="preserve"> Supra para 25 </w:t>
      </w:r>
    </w:p>
  </w:footnote>
  <w:footnote w:id="45">
    <w:p w:rsidR="00A36DA4" w:rsidRDefault="00A36DA4" w:rsidP="00EB05F0">
      <w:pPr>
        <w:pStyle w:val="FootnoteText"/>
      </w:pPr>
      <w:r>
        <w:rPr>
          <w:rStyle w:val="FootnoteReference"/>
        </w:rPr>
        <w:footnoteRef/>
      </w:r>
      <w:r>
        <w:t xml:space="preserve"> 2004 (4) SA 436 (W)</w:t>
      </w:r>
    </w:p>
  </w:footnote>
  <w:footnote w:id="46">
    <w:p w:rsidR="00A36DA4" w:rsidRDefault="00A36DA4">
      <w:pPr>
        <w:pStyle w:val="FootnoteText"/>
      </w:pPr>
      <w:r>
        <w:rPr>
          <w:rStyle w:val="FootnoteReference"/>
        </w:rPr>
        <w:footnoteRef/>
      </w:r>
      <w:r>
        <w:t xml:space="preserve"> 1914 AD 221</w:t>
      </w:r>
    </w:p>
  </w:footnote>
  <w:footnote w:id="47">
    <w:p w:rsidR="00A36DA4" w:rsidRDefault="00A36DA4" w:rsidP="00DE0074">
      <w:pPr>
        <w:pStyle w:val="FootnoteText"/>
      </w:pPr>
      <w:r>
        <w:rPr>
          <w:rStyle w:val="FootnoteReference"/>
        </w:rPr>
        <w:footnoteRef/>
      </w:r>
      <w:r>
        <w:t xml:space="preserve"> 1926 OPD 155</w:t>
      </w:r>
    </w:p>
  </w:footnote>
  <w:footnote w:id="48">
    <w:p w:rsidR="00A36DA4" w:rsidRDefault="00A36DA4" w:rsidP="00DE0074">
      <w:pPr>
        <w:pStyle w:val="FootnoteText"/>
      </w:pPr>
      <w:r>
        <w:rPr>
          <w:rStyle w:val="FootnoteReference"/>
        </w:rPr>
        <w:footnoteRef/>
      </w:r>
      <w:r>
        <w:t xml:space="preserve"> Supra at 164</w:t>
      </w:r>
    </w:p>
  </w:footnote>
  <w:footnote w:id="49">
    <w:p w:rsidR="00A36DA4" w:rsidRDefault="00A36DA4" w:rsidP="001A56E3">
      <w:pPr>
        <w:pStyle w:val="FootnoteText"/>
      </w:pPr>
      <w:r>
        <w:rPr>
          <w:rStyle w:val="FootnoteReference"/>
        </w:rPr>
        <w:footnoteRef/>
      </w:r>
      <w:r>
        <w:t xml:space="preserve"> Van Der Merwe at 135-136</w:t>
      </w:r>
    </w:p>
  </w:footnote>
  <w:footnote w:id="50">
    <w:p w:rsidR="00A36DA4" w:rsidRDefault="00A36DA4" w:rsidP="001A56E3">
      <w:pPr>
        <w:pStyle w:val="FootnoteText"/>
      </w:pPr>
      <w:r>
        <w:rPr>
          <w:rStyle w:val="FootnoteReference"/>
        </w:rPr>
        <w:footnoteRef/>
      </w:r>
      <w:r>
        <w:t xml:space="preserve"> Van Der Merwe at 136</w:t>
      </w:r>
    </w:p>
  </w:footnote>
  <w:footnote w:id="51">
    <w:p w:rsidR="00A36DA4" w:rsidRDefault="00A36DA4" w:rsidP="00852675">
      <w:pPr>
        <w:pStyle w:val="FootnoteText"/>
      </w:pPr>
      <w:r>
        <w:rPr>
          <w:rStyle w:val="FootnoteReference"/>
        </w:rPr>
        <w:footnoteRef/>
      </w:r>
      <w:r>
        <w:t xml:space="preserve"> 1990 (3) SA 75 (W) </w:t>
      </w:r>
    </w:p>
  </w:footnote>
  <w:footnote w:id="52">
    <w:p w:rsidR="00A36DA4" w:rsidRPr="00C65ED0" w:rsidRDefault="00A36DA4" w:rsidP="00471558">
      <w:pPr>
        <w:pStyle w:val="Heading2"/>
        <w:shd w:val="clear" w:color="auto" w:fill="FFFFFF"/>
        <w:spacing w:before="240" w:line="240" w:lineRule="auto"/>
        <w:jc w:val="both"/>
        <w:rPr>
          <w:rFonts w:ascii="Times New Roman" w:eastAsia="Times New Roman" w:hAnsi="Times New Roman" w:cs="Times New Roman"/>
          <w:color w:val="000000" w:themeColor="text1"/>
          <w:sz w:val="16"/>
          <w:szCs w:val="16"/>
        </w:rPr>
      </w:pPr>
      <w:r w:rsidRPr="00C65ED0">
        <w:rPr>
          <w:rStyle w:val="FootnoteReference"/>
          <w:rFonts w:ascii="Times New Roman" w:hAnsi="Times New Roman" w:cs="Times New Roman"/>
          <w:color w:val="000000" w:themeColor="text1"/>
          <w:sz w:val="16"/>
          <w:szCs w:val="16"/>
        </w:rPr>
        <w:footnoteRef/>
      </w:r>
      <w:r w:rsidRPr="00C65ED0">
        <w:rPr>
          <w:rFonts w:ascii="Times New Roman" w:hAnsi="Times New Roman" w:cs="Times New Roman"/>
          <w:color w:val="000000" w:themeColor="text1"/>
          <w:sz w:val="16"/>
          <w:szCs w:val="16"/>
        </w:rPr>
        <w:t xml:space="preserve"> </w:t>
      </w:r>
      <w:r w:rsidRPr="00C65ED0">
        <w:rPr>
          <w:rFonts w:ascii="Times New Roman" w:eastAsia="Times New Roman" w:hAnsi="Times New Roman" w:cs="Times New Roman"/>
          <w:color w:val="000000" w:themeColor="text1"/>
          <w:sz w:val="16"/>
          <w:szCs w:val="16"/>
        </w:rPr>
        <w:t>(2006/28207) [2010] ZAGPJHC 91; 2011 (1) SA 118 (GSJ) (11 October 2010)</w:t>
      </w:r>
    </w:p>
    <w:p w:rsidR="00A36DA4" w:rsidRPr="00C65ED0" w:rsidRDefault="00A36DA4" w:rsidP="00471558">
      <w:pPr>
        <w:pStyle w:val="FootnoteText"/>
        <w:rPr>
          <w:rFonts w:ascii="Times New Roman" w:hAnsi="Times New Roman" w:cs="Times New Roman"/>
          <w:sz w:val="16"/>
          <w:szCs w:val="16"/>
        </w:rPr>
      </w:pPr>
    </w:p>
  </w:footnote>
  <w:footnote w:id="53">
    <w:p w:rsidR="00A36DA4" w:rsidRPr="00C65ED0" w:rsidRDefault="00A36DA4" w:rsidP="00471558">
      <w:pPr>
        <w:pStyle w:val="FootnoteText"/>
        <w:rPr>
          <w:rFonts w:ascii="Times New Roman" w:eastAsiaTheme="minorEastAsia" w:hAnsi="Times New Roman" w:cs="Times New Roman"/>
          <w:color w:val="000000"/>
          <w:sz w:val="16"/>
          <w:szCs w:val="16"/>
        </w:rPr>
      </w:pPr>
      <w:r w:rsidRPr="00C65ED0">
        <w:rPr>
          <w:rStyle w:val="FootnoteReference"/>
          <w:rFonts w:ascii="Times New Roman" w:hAnsi="Times New Roman" w:cs="Times New Roman"/>
          <w:sz w:val="16"/>
          <w:szCs w:val="16"/>
        </w:rPr>
        <w:t>6</w:t>
      </w:r>
      <w:r w:rsidRPr="00C65ED0">
        <w:rPr>
          <w:rFonts w:ascii="Times New Roman" w:eastAsiaTheme="minorEastAsia" w:hAnsi="Times New Roman" w:cs="Times New Roman"/>
          <w:color w:val="000000"/>
          <w:sz w:val="16"/>
          <w:szCs w:val="16"/>
        </w:rPr>
        <w:t>See Silberberg and Schocman's 'The Law of Property" Fourth Edition, p 336, note 101.</w:t>
      </w:r>
    </w:p>
  </w:footnote>
  <w:footnote w:id="54">
    <w:p w:rsidR="00A36DA4" w:rsidRPr="00C65ED0" w:rsidRDefault="00A36DA4" w:rsidP="00471558">
      <w:pPr>
        <w:pStyle w:val="FootnoteText"/>
        <w:rPr>
          <w:rFonts w:ascii="Times New Roman" w:hAnsi="Times New Roman" w:cs="Times New Roman"/>
          <w:sz w:val="16"/>
          <w:szCs w:val="16"/>
        </w:rPr>
      </w:pPr>
      <w:r w:rsidRPr="00C65ED0">
        <w:rPr>
          <w:rStyle w:val="FootnoteReference"/>
          <w:rFonts w:ascii="Times New Roman" w:hAnsi="Times New Roman" w:cs="Times New Roman"/>
          <w:sz w:val="16"/>
          <w:szCs w:val="16"/>
        </w:rPr>
        <w:footnoteRef/>
      </w:r>
      <w:r w:rsidRPr="00C65ED0">
        <w:rPr>
          <w:rFonts w:ascii="Times New Roman" w:hAnsi="Times New Roman" w:cs="Times New Roman"/>
          <w:sz w:val="16"/>
          <w:szCs w:val="16"/>
        </w:rPr>
        <w:t xml:space="preserve"> Supra par 17</w:t>
      </w:r>
    </w:p>
  </w:footnote>
  <w:footnote w:id="55">
    <w:p w:rsidR="00A36DA4" w:rsidRDefault="00A36DA4" w:rsidP="00420AE5">
      <w:pPr>
        <w:pStyle w:val="FootnoteText"/>
      </w:pPr>
      <w:r w:rsidRPr="00C65ED0">
        <w:rPr>
          <w:rStyle w:val="FootnoteReference"/>
          <w:rFonts w:ascii="Times New Roman" w:hAnsi="Times New Roman" w:cs="Times New Roman"/>
          <w:sz w:val="16"/>
          <w:szCs w:val="16"/>
        </w:rPr>
        <w:footnoteRef/>
      </w:r>
      <w:r w:rsidRPr="00C65ED0">
        <w:rPr>
          <w:rFonts w:ascii="Times New Roman" w:hAnsi="Times New Roman" w:cs="Times New Roman"/>
          <w:sz w:val="16"/>
          <w:szCs w:val="16"/>
        </w:rPr>
        <w:t xml:space="preserve"> 2014(6) SA 286 (KZP)</w:t>
      </w:r>
    </w:p>
  </w:footnote>
  <w:footnote w:id="56">
    <w:p w:rsidR="00A36DA4" w:rsidRDefault="00A36DA4">
      <w:pPr>
        <w:pStyle w:val="FootnoteText"/>
      </w:pPr>
      <w:r>
        <w:rPr>
          <w:rStyle w:val="FootnoteReference"/>
        </w:rPr>
        <w:footnoteRef/>
      </w:r>
      <w:r>
        <w:t xml:space="preserve"> Supra par 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9B9"/>
    <w:multiLevelType w:val="hybridMultilevel"/>
    <w:tmpl w:val="62501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59DE"/>
    <w:multiLevelType w:val="hybridMultilevel"/>
    <w:tmpl w:val="19AC2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B482B"/>
    <w:multiLevelType w:val="multilevel"/>
    <w:tmpl w:val="65CCE176"/>
    <w:lvl w:ilvl="0">
      <w:start w:val="1"/>
      <w:numFmt w:val="decimal"/>
      <w:lvlText w:val="%1."/>
      <w:lvlJc w:val="left"/>
      <w:pPr>
        <w:ind w:left="720" w:hanging="360"/>
      </w:pPr>
      <w:rPr>
        <w:rFonts w:ascii="Times New Roman" w:hAnsi="Times New Roman" w:cs="Times New Roman" w:hint="default"/>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1DC699F"/>
    <w:multiLevelType w:val="hybridMultilevel"/>
    <w:tmpl w:val="CDFCBDCE"/>
    <w:lvl w:ilvl="0" w:tplc="11240E78">
      <w:start w:val="1"/>
      <w:numFmt w:val="decimal"/>
      <w:lvlText w:val="%1"/>
      <w:lvlJc w:val="left"/>
      <w:pPr>
        <w:ind w:left="1875" w:hanging="1155"/>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3126F"/>
    <w:multiLevelType w:val="hybridMultilevel"/>
    <w:tmpl w:val="20BE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64A0F"/>
    <w:multiLevelType w:val="multilevel"/>
    <w:tmpl w:val="C458E094"/>
    <w:lvl w:ilvl="0">
      <w:start w:val="1"/>
      <w:numFmt w:val="decimal"/>
      <w:lvlText w:val="%1."/>
      <w:lvlJc w:val="left"/>
      <w:pPr>
        <w:ind w:left="450" w:hanging="45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6120" w:hanging="180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6" w15:restartNumberingAfterBreak="0">
    <w:nsid w:val="1DCE175C"/>
    <w:multiLevelType w:val="multilevel"/>
    <w:tmpl w:val="DE1EC174"/>
    <w:lvl w:ilvl="0">
      <w:start w:val="1"/>
      <w:numFmt w:val="decimal"/>
      <w:lvlText w:val="%1."/>
      <w:lvlJc w:val="left"/>
      <w:pPr>
        <w:ind w:left="720" w:hanging="360"/>
      </w:pPr>
      <w:rPr>
        <w:rFonts w:ascii="Times New Roman" w:hAnsi="Times New Roman" w:cs="Times New Roman" w:hint="default"/>
        <w:b w:val="0"/>
        <w:i w:val="0"/>
        <w:color w:val="000000" w:themeColor="text1"/>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E415B9"/>
    <w:multiLevelType w:val="hybridMultilevel"/>
    <w:tmpl w:val="82E29870"/>
    <w:lvl w:ilvl="0" w:tplc="50CE8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F5A59"/>
    <w:multiLevelType w:val="hybridMultilevel"/>
    <w:tmpl w:val="C65C2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B82C1F"/>
    <w:multiLevelType w:val="hybridMultilevel"/>
    <w:tmpl w:val="9B4E9C82"/>
    <w:lvl w:ilvl="0" w:tplc="AB322B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A40B0E"/>
    <w:multiLevelType w:val="hybridMultilevel"/>
    <w:tmpl w:val="E7E011CC"/>
    <w:lvl w:ilvl="0" w:tplc="0D20D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2B09F4"/>
    <w:multiLevelType w:val="hybridMultilevel"/>
    <w:tmpl w:val="237A6070"/>
    <w:lvl w:ilvl="0" w:tplc="FEE43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831F43"/>
    <w:multiLevelType w:val="hybridMultilevel"/>
    <w:tmpl w:val="40E0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56C42"/>
    <w:multiLevelType w:val="hybridMultilevel"/>
    <w:tmpl w:val="38CC42C8"/>
    <w:lvl w:ilvl="0" w:tplc="32AAF7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B731DA"/>
    <w:multiLevelType w:val="hybridMultilevel"/>
    <w:tmpl w:val="C6E0F6B4"/>
    <w:lvl w:ilvl="0" w:tplc="574A3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F3A6D"/>
    <w:multiLevelType w:val="hybridMultilevel"/>
    <w:tmpl w:val="2D2C7542"/>
    <w:lvl w:ilvl="0" w:tplc="0420B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615CEB"/>
    <w:multiLevelType w:val="hybridMultilevel"/>
    <w:tmpl w:val="6EB0B6C4"/>
    <w:lvl w:ilvl="0" w:tplc="1C8A5570">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1141F"/>
    <w:multiLevelType w:val="hybridMultilevel"/>
    <w:tmpl w:val="574EBE48"/>
    <w:lvl w:ilvl="0" w:tplc="7F822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9C6FAE"/>
    <w:multiLevelType w:val="hybridMultilevel"/>
    <w:tmpl w:val="F79EF3A0"/>
    <w:lvl w:ilvl="0" w:tplc="3E5CB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E5E38"/>
    <w:multiLevelType w:val="hybridMultilevel"/>
    <w:tmpl w:val="90F6B9E0"/>
    <w:lvl w:ilvl="0" w:tplc="6F5802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0661BD"/>
    <w:multiLevelType w:val="hybridMultilevel"/>
    <w:tmpl w:val="CD90AB24"/>
    <w:lvl w:ilvl="0" w:tplc="A69AF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843C0"/>
    <w:multiLevelType w:val="hybridMultilevel"/>
    <w:tmpl w:val="A9829048"/>
    <w:lvl w:ilvl="0" w:tplc="2EF60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4908E0"/>
    <w:multiLevelType w:val="hybridMultilevel"/>
    <w:tmpl w:val="FCC002E6"/>
    <w:lvl w:ilvl="0" w:tplc="D52EC2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6039B4"/>
    <w:multiLevelType w:val="multilevel"/>
    <w:tmpl w:val="EC28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D70D0E"/>
    <w:multiLevelType w:val="hybridMultilevel"/>
    <w:tmpl w:val="4EC8E554"/>
    <w:lvl w:ilvl="0" w:tplc="322411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CE0220"/>
    <w:multiLevelType w:val="hybridMultilevel"/>
    <w:tmpl w:val="5102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47F98"/>
    <w:multiLevelType w:val="multilevel"/>
    <w:tmpl w:val="5E14A1E0"/>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A00328B"/>
    <w:multiLevelType w:val="hybridMultilevel"/>
    <w:tmpl w:val="75E8DA72"/>
    <w:lvl w:ilvl="0" w:tplc="7F2AD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8B46EC"/>
    <w:multiLevelType w:val="hybridMultilevel"/>
    <w:tmpl w:val="545CB0A2"/>
    <w:lvl w:ilvl="0" w:tplc="9DDA20F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E9602C"/>
    <w:multiLevelType w:val="hybridMultilevel"/>
    <w:tmpl w:val="B8EE1ED4"/>
    <w:lvl w:ilvl="0" w:tplc="29E80A84">
      <w:start w:val="1"/>
      <w:numFmt w:val="lowerLetter"/>
      <w:lvlText w:val="(%1)"/>
      <w:lvlJc w:val="left"/>
      <w:pPr>
        <w:ind w:left="1080" w:hanging="360"/>
      </w:pPr>
      <w:rPr>
        <w:rFonts w:eastAsiaTheme="minorHAns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440250"/>
    <w:multiLevelType w:val="hybridMultilevel"/>
    <w:tmpl w:val="F5263EC2"/>
    <w:lvl w:ilvl="0" w:tplc="F3F0F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BD04B5"/>
    <w:multiLevelType w:val="hybridMultilevel"/>
    <w:tmpl w:val="6FF6B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445D65"/>
    <w:multiLevelType w:val="hybridMultilevel"/>
    <w:tmpl w:val="576C2952"/>
    <w:lvl w:ilvl="0" w:tplc="E8B27B1C">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031CA0"/>
    <w:multiLevelType w:val="hybridMultilevel"/>
    <w:tmpl w:val="90A8071E"/>
    <w:lvl w:ilvl="0" w:tplc="574A3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BA6B8B"/>
    <w:multiLevelType w:val="hybridMultilevel"/>
    <w:tmpl w:val="D6900454"/>
    <w:lvl w:ilvl="0" w:tplc="8E6C4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B55B8D"/>
    <w:multiLevelType w:val="hybridMultilevel"/>
    <w:tmpl w:val="62501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15DD9"/>
    <w:multiLevelType w:val="hybridMultilevel"/>
    <w:tmpl w:val="85267888"/>
    <w:lvl w:ilvl="0" w:tplc="4A006C6A">
      <w:start w:val="1"/>
      <w:numFmt w:val="decimal"/>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7CC5789"/>
    <w:multiLevelType w:val="hybridMultilevel"/>
    <w:tmpl w:val="EB90B860"/>
    <w:lvl w:ilvl="0" w:tplc="8F56577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D15283"/>
    <w:multiLevelType w:val="hybridMultilevel"/>
    <w:tmpl w:val="63D426B2"/>
    <w:lvl w:ilvl="0" w:tplc="67128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4F5DD3"/>
    <w:multiLevelType w:val="hybridMultilevel"/>
    <w:tmpl w:val="8D04395C"/>
    <w:lvl w:ilvl="0" w:tplc="8C3EA9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BC149E"/>
    <w:multiLevelType w:val="hybridMultilevel"/>
    <w:tmpl w:val="575E15A8"/>
    <w:lvl w:ilvl="0" w:tplc="0D2232E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6647F3"/>
    <w:multiLevelType w:val="hybridMultilevel"/>
    <w:tmpl w:val="ABFC5F58"/>
    <w:lvl w:ilvl="0" w:tplc="3314E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4D6C4B"/>
    <w:multiLevelType w:val="hybridMultilevel"/>
    <w:tmpl w:val="B3D2FC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57A217C"/>
    <w:multiLevelType w:val="hybridMultilevel"/>
    <w:tmpl w:val="BEE29936"/>
    <w:lvl w:ilvl="0" w:tplc="A46082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880087"/>
    <w:multiLevelType w:val="hybridMultilevel"/>
    <w:tmpl w:val="4B705706"/>
    <w:lvl w:ilvl="0" w:tplc="E5C09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C34E39"/>
    <w:multiLevelType w:val="hybridMultilevel"/>
    <w:tmpl w:val="7FE62176"/>
    <w:lvl w:ilvl="0" w:tplc="732CBA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0E62E3"/>
    <w:multiLevelType w:val="multilevel"/>
    <w:tmpl w:val="C458E094"/>
    <w:lvl w:ilvl="0">
      <w:start w:val="1"/>
      <w:numFmt w:val="decimal"/>
      <w:lvlText w:val="%1."/>
      <w:lvlJc w:val="left"/>
      <w:pPr>
        <w:ind w:left="450" w:hanging="45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6120" w:hanging="180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47" w15:restartNumberingAfterBreak="0">
    <w:nsid w:val="79743585"/>
    <w:multiLevelType w:val="hybridMultilevel"/>
    <w:tmpl w:val="4E8E253A"/>
    <w:lvl w:ilvl="0" w:tplc="B5E0E156">
      <w:start w:val="1"/>
      <w:numFmt w:val="lowerLetter"/>
      <w:lvlText w:val="%1)"/>
      <w:lvlJc w:val="left"/>
      <w:pPr>
        <w:ind w:left="1080" w:hanging="360"/>
      </w:pPr>
      <w:rPr>
        <w:rFonts w:eastAsiaTheme="minorHAns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4C346B"/>
    <w:multiLevelType w:val="multilevel"/>
    <w:tmpl w:val="71D0D00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2454E0"/>
    <w:multiLevelType w:val="hybridMultilevel"/>
    <w:tmpl w:val="29E4760A"/>
    <w:lvl w:ilvl="0" w:tplc="15D85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6"/>
  </w:num>
  <w:num w:numId="3">
    <w:abstractNumId w:val="5"/>
  </w:num>
  <w:num w:numId="4">
    <w:abstractNumId w:val="42"/>
  </w:num>
  <w:num w:numId="5">
    <w:abstractNumId w:val="8"/>
  </w:num>
  <w:num w:numId="6">
    <w:abstractNumId w:val="31"/>
  </w:num>
  <w:num w:numId="7">
    <w:abstractNumId w:val="30"/>
  </w:num>
  <w:num w:numId="8">
    <w:abstractNumId w:val="43"/>
  </w:num>
  <w:num w:numId="9">
    <w:abstractNumId w:val="25"/>
  </w:num>
  <w:num w:numId="10">
    <w:abstractNumId w:val="4"/>
  </w:num>
  <w:num w:numId="11">
    <w:abstractNumId w:val="37"/>
  </w:num>
  <w:num w:numId="12">
    <w:abstractNumId w:val="29"/>
  </w:num>
  <w:num w:numId="13">
    <w:abstractNumId w:val="3"/>
  </w:num>
  <w:num w:numId="14">
    <w:abstractNumId w:val="16"/>
  </w:num>
  <w:num w:numId="15">
    <w:abstractNumId w:val="1"/>
  </w:num>
  <w:num w:numId="16">
    <w:abstractNumId w:val="48"/>
  </w:num>
  <w:num w:numId="17">
    <w:abstractNumId w:val="23"/>
  </w:num>
  <w:num w:numId="18">
    <w:abstractNumId w:val="0"/>
  </w:num>
  <w:num w:numId="19">
    <w:abstractNumId w:val="35"/>
  </w:num>
  <w:num w:numId="20">
    <w:abstractNumId w:val="27"/>
  </w:num>
  <w:num w:numId="21">
    <w:abstractNumId w:val="45"/>
  </w:num>
  <w:num w:numId="22">
    <w:abstractNumId w:val="47"/>
  </w:num>
  <w:num w:numId="23">
    <w:abstractNumId w:val="38"/>
  </w:num>
  <w:num w:numId="24">
    <w:abstractNumId w:val="9"/>
  </w:num>
  <w:num w:numId="25">
    <w:abstractNumId w:val="13"/>
  </w:num>
  <w:num w:numId="26">
    <w:abstractNumId w:val="39"/>
  </w:num>
  <w:num w:numId="27">
    <w:abstractNumId w:val="22"/>
  </w:num>
  <w:num w:numId="28">
    <w:abstractNumId w:val="32"/>
  </w:num>
  <w:num w:numId="29">
    <w:abstractNumId w:val="18"/>
  </w:num>
  <w:num w:numId="30">
    <w:abstractNumId w:val="20"/>
  </w:num>
  <w:num w:numId="31">
    <w:abstractNumId w:val="6"/>
  </w:num>
  <w:num w:numId="32">
    <w:abstractNumId w:val="12"/>
  </w:num>
  <w:num w:numId="33">
    <w:abstractNumId w:val="33"/>
  </w:num>
  <w:num w:numId="34">
    <w:abstractNumId w:val="14"/>
  </w:num>
  <w:num w:numId="35">
    <w:abstractNumId w:val="26"/>
  </w:num>
  <w:num w:numId="36">
    <w:abstractNumId w:val="7"/>
  </w:num>
  <w:num w:numId="37">
    <w:abstractNumId w:val="19"/>
  </w:num>
  <w:num w:numId="38">
    <w:abstractNumId w:val="17"/>
  </w:num>
  <w:num w:numId="39">
    <w:abstractNumId w:val="15"/>
  </w:num>
  <w:num w:numId="40">
    <w:abstractNumId w:val="49"/>
  </w:num>
  <w:num w:numId="41">
    <w:abstractNumId w:val="28"/>
  </w:num>
  <w:num w:numId="42">
    <w:abstractNumId w:val="34"/>
  </w:num>
  <w:num w:numId="43">
    <w:abstractNumId w:val="24"/>
  </w:num>
  <w:num w:numId="44">
    <w:abstractNumId w:val="40"/>
  </w:num>
  <w:num w:numId="45">
    <w:abstractNumId w:val="44"/>
  </w:num>
  <w:num w:numId="46">
    <w:abstractNumId w:val="10"/>
  </w:num>
  <w:num w:numId="47">
    <w:abstractNumId w:val="36"/>
  </w:num>
  <w:num w:numId="48">
    <w:abstractNumId w:val="11"/>
  </w:num>
  <w:num w:numId="49">
    <w:abstractNumId w:val="4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F2"/>
    <w:rsid w:val="00004F4C"/>
    <w:rsid w:val="00005492"/>
    <w:rsid w:val="00007921"/>
    <w:rsid w:val="00013756"/>
    <w:rsid w:val="000212F6"/>
    <w:rsid w:val="0002386D"/>
    <w:rsid w:val="000248CD"/>
    <w:rsid w:val="00025BE8"/>
    <w:rsid w:val="0003037F"/>
    <w:rsid w:val="000345D3"/>
    <w:rsid w:val="000349B4"/>
    <w:rsid w:val="000354DD"/>
    <w:rsid w:val="00036F0B"/>
    <w:rsid w:val="000370ED"/>
    <w:rsid w:val="00040BDB"/>
    <w:rsid w:val="0004177B"/>
    <w:rsid w:val="00043621"/>
    <w:rsid w:val="00044791"/>
    <w:rsid w:val="00051886"/>
    <w:rsid w:val="0005248D"/>
    <w:rsid w:val="00052B24"/>
    <w:rsid w:val="00054F5A"/>
    <w:rsid w:val="00056782"/>
    <w:rsid w:val="00057100"/>
    <w:rsid w:val="000575B7"/>
    <w:rsid w:val="00057745"/>
    <w:rsid w:val="000604A4"/>
    <w:rsid w:val="00060EAD"/>
    <w:rsid w:val="00062A32"/>
    <w:rsid w:val="00070726"/>
    <w:rsid w:val="00072404"/>
    <w:rsid w:val="0007446E"/>
    <w:rsid w:val="000745C0"/>
    <w:rsid w:val="0007497F"/>
    <w:rsid w:val="000774CB"/>
    <w:rsid w:val="00077716"/>
    <w:rsid w:val="000811EB"/>
    <w:rsid w:val="0008345D"/>
    <w:rsid w:val="00086182"/>
    <w:rsid w:val="00086ED6"/>
    <w:rsid w:val="00091C46"/>
    <w:rsid w:val="000937CF"/>
    <w:rsid w:val="000940D1"/>
    <w:rsid w:val="000A30E4"/>
    <w:rsid w:val="000A529D"/>
    <w:rsid w:val="000B4ACB"/>
    <w:rsid w:val="000C0BF3"/>
    <w:rsid w:val="000C2EE2"/>
    <w:rsid w:val="000C4D73"/>
    <w:rsid w:val="000C7DC2"/>
    <w:rsid w:val="000D2967"/>
    <w:rsid w:val="000D2BF3"/>
    <w:rsid w:val="000D4852"/>
    <w:rsid w:val="000D610D"/>
    <w:rsid w:val="000E0388"/>
    <w:rsid w:val="000E1733"/>
    <w:rsid w:val="000E19EB"/>
    <w:rsid w:val="000E1DB0"/>
    <w:rsid w:val="000E1F2F"/>
    <w:rsid w:val="000E3078"/>
    <w:rsid w:val="000E41B1"/>
    <w:rsid w:val="000E529B"/>
    <w:rsid w:val="000E772B"/>
    <w:rsid w:val="000F0504"/>
    <w:rsid w:val="000F1B6A"/>
    <w:rsid w:val="000F269A"/>
    <w:rsid w:val="000F483C"/>
    <w:rsid w:val="000F7163"/>
    <w:rsid w:val="00100605"/>
    <w:rsid w:val="00100808"/>
    <w:rsid w:val="00102169"/>
    <w:rsid w:val="00102B8C"/>
    <w:rsid w:val="001067EB"/>
    <w:rsid w:val="00106874"/>
    <w:rsid w:val="001101E0"/>
    <w:rsid w:val="00113237"/>
    <w:rsid w:val="0011502C"/>
    <w:rsid w:val="00116123"/>
    <w:rsid w:val="001167E9"/>
    <w:rsid w:val="00116918"/>
    <w:rsid w:val="0011752B"/>
    <w:rsid w:val="00120803"/>
    <w:rsid w:val="00120DDC"/>
    <w:rsid w:val="00121DF5"/>
    <w:rsid w:val="00122224"/>
    <w:rsid w:val="001229C2"/>
    <w:rsid w:val="00123DB7"/>
    <w:rsid w:val="00123F4D"/>
    <w:rsid w:val="00127321"/>
    <w:rsid w:val="0013058F"/>
    <w:rsid w:val="00130A9C"/>
    <w:rsid w:val="001327A1"/>
    <w:rsid w:val="00132C2F"/>
    <w:rsid w:val="00132ED6"/>
    <w:rsid w:val="001348C9"/>
    <w:rsid w:val="0013560D"/>
    <w:rsid w:val="0013608D"/>
    <w:rsid w:val="00136957"/>
    <w:rsid w:val="00136A26"/>
    <w:rsid w:val="00136DC2"/>
    <w:rsid w:val="00140A58"/>
    <w:rsid w:val="00140C73"/>
    <w:rsid w:val="00142962"/>
    <w:rsid w:val="00146DB8"/>
    <w:rsid w:val="00151136"/>
    <w:rsid w:val="00152F7D"/>
    <w:rsid w:val="00152FAF"/>
    <w:rsid w:val="00156901"/>
    <w:rsid w:val="00156C5A"/>
    <w:rsid w:val="00157736"/>
    <w:rsid w:val="001606F2"/>
    <w:rsid w:val="001627B5"/>
    <w:rsid w:val="00164502"/>
    <w:rsid w:val="00165780"/>
    <w:rsid w:val="00165AA6"/>
    <w:rsid w:val="001661C4"/>
    <w:rsid w:val="001670ED"/>
    <w:rsid w:val="00167B16"/>
    <w:rsid w:val="00170051"/>
    <w:rsid w:val="001703A9"/>
    <w:rsid w:val="001705EE"/>
    <w:rsid w:val="00170B20"/>
    <w:rsid w:val="00170EA1"/>
    <w:rsid w:val="00171527"/>
    <w:rsid w:val="001751BA"/>
    <w:rsid w:val="00175D21"/>
    <w:rsid w:val="00181AEB"/>
    <w:rsid w:val="00181DA9"/>
    <w:rsid w:val="0018325C"/>
    <w:rsid w:val="00183690"/>
    <w:rsid w:val="00183C4F"/>
    <w:rsid w:val="00184661"/>
    <w:rsid w:val="001847C7"/>
    <w:rsid w:val="00186E40"/>
    <w:rsid w:val="00187A72"/>
    <w:rsid w:val="001906BD"/>
    <w:rsid w:val="0019143F"/>
    <w:rsid w:val="00193148"/>
    <w:rsid w:val="001955B9"/>
    <w:rsid w:val="0019634A"/>
    <w:rsid w:val="00196BF7"/>
    <w:rsid w:val="00196D66"/>
    <w:rsid w:val="001A0A49"/>
    <w:rsid w:val="001A4F5A"/>
    <w:rsid w:val="001A5642"/>
    <w:rsid w:val="001A56E3"/>
    <w:rsid w:val="001B0980"/>
    <w:rsid w:val="001B144D"/>
    <w:rsid w:val="001B3340"/>
    <w:rsid w:val="001B3A61"/>
    <w:rsid w:val="001B49EB"/>
    <w:rsid w:val="001B5AA1"/>
    <w:rsid w:val="001C08CB"/>
    <w:rsid w:val="001C4346"/>
    <w:rsid w:val="001C49A7"/>
    <w:rsid w:val="001C4C79"/>
    <w:rsid w:val="001C506D"/>
    <w:rsid w:val="001C51F8"/>
    <w:rsid w:val="001C5DA7"/>
    <w:rsid w:val="001C61BE"/>
    <w:rsid w:val="001C7DCF"/>
    <w:rsid w:val="001C7EF3"/>
    <w:rsid w:val="001C7F64"/>
    <w:rsid w:val="001D14A8"/>
    <w:rsid w:val="001D2013"/>
    <w:rsid w:val="001D4620"/>
    <w:rsid w:val="001D46BA"/>
    <w:rsid w:val="001D4738"/>
    <w:rsid w:val="001D78CD"/>
    <w:rsid w:val="001E3B5D"/>
    <w:rsid w:val="001E5FD4"/>
    <w:rsid w:val="001E6A4B"/>
    <w:rsid w:val="001E7851"/>
    <w:rsid w:val="001F2757"/>
    <w:rsid w:val="001F2F3C"/>
    <w:rsid w:val="001F58C0"/>
    <w:rsid w:val="002001AD"/>
    <w:rsid w:val="00201904"/>
    <w:rsid w:val="00203CD5"/>
    <w:rsid w:val="00204C99"/>
    <w:rsid w:val="00206EBE"/>
    <w:rsid w:val="00207491"/>
    <w:rsid w:val="002124A2"/>
    <w:rsid w:val="002137B7"/>
    <w:rsid w:val="00214B7B"/>
    <w:rsid w:val="00216589"/>
    <w:rsid w:val="00221F50"/>
    <w:rsid w:val="00223287"/>
    <w:rsid w:val="0022331B"/>
    <w:rsid w:val="002241AA"/>
    <w:rsid w:val="00224DB4"/>
    <w:rsid w:val="00225177"/>
    <w:rsid w:val="002273C2"/>
    <w:rsid w:val="0023255D"/>
    <w:rsid w:val="00232DF8"/>
    <w:rsid w:val="00233AC8"/>
    <w:rsid w:val="00234929"/>
    <w:rsid w:val="00234D72"/>
    <w:rsid w:val="00236D5C"/>
    <w:rsid w:val="00240259"/>
    <w:rsid w:val="00241CD9"/>
    <w:rsid w:val="00242DCA"/>
    <w:rsid w:val="00247369"/>
    <w:rsid w:val="002516B1"/>
    <w:rsid w:val="0025206E"/>
    <w:rsid w:val="0025284C"/>
    <w:rsid w:val="00252C37"/>
    <w:rsid w:val="0025371D"/>
    <w:rsid w:val="00256B86"/>
    <w:rsid w:val="00260771"/>
    <w:rsid w:val="002620D6"/>
    <w:rsid w:val="00265150"/>
    <w:rsid w:val="002708E0"/>
    <w:rsid w:val="002741F3"/>
    <w:rsid w:val="0027441C"/>
    <w:rsid w:val="00275C77"/>
    <w:rsid w:val="00277403"/>
    <w:rsid w:val="00277BEE"/>
    <w:rsid w:val="00281328"/>
    <w:rsid w:val="002822C5"/>
    <w:rsid w:val="00282352"/>
    <w:rsid w:val="0028308C"/>
    <w:rsid w:val="00290D06"/>
    <w:rsid w:val="00292CC2"/>
    <w:rsid w:val="002937D0"/>
    <w:rsid w:val="00293A6E"/>
    <w:rsid w:val="0029625D"/>
    <w:rsid w:val="00296D68"/>
    <w:rsid w:val="00297773"/>
    <w:rsid w:val="002A006B"/>
    <w:rsid w:val="002A288D"/>
    <w:rsid w:val="002A4BD2"/>
    <w:rsid w:val="002A56F5"/>
    <w:rsid w:val="002A6355"/>
    <w:rsid w:val="002B1E7A"/>
    <w:rsid w:val="002B2322"/>
    <w:rsid w:val="002B32E9"/>
    <w:rsid w:val="002B40AB"/>
    <w:rsid w:val="002B4972"/>
    <w:rsid w:val="002B4B44"/>
    <w:rsid w:val="002B71F6"/>
    <w:rsid w:val="002B7519"/>
    <w:rsid w:val="002C0A4E"/>
    <w:rsid w:val="002C4C01"/>
    <w:rsid w:val="002C6440"/>
    <w:rsid w:val="002C6972"/>
    <w:rsid w:val="002D0B9A"/>
    <w:rsid w:val="002D1FC4"/>
    <w:rsid w:val="002D341A"/>
    <w:rsid w:val="002D3712"/>
    <w:rsid w:val="002D3E6A"/>
    <w:rsid w:val="002D45D6"/>
    <w:rsid w:val="002D577E"/>
    <w:rsid w:val="002D5986"/>
    <w:rsid w:val="002D5EEA"/>
    <w:rsid w:val="002E0063"/>
    <w:rsid w:val="002E1487"/>
    <w:rsid w:val="002E1E1C"/>
    <w:rsid w:val="002E2183"/>
    <w:rsid w:val="002E41C7"/>
    <w:rsid w:val="002E4F93"/>
    <w:rsid w:val="002F27BC"/>
    <w:rsid w:val="002F282F"/>
    <w:rsid w:val="002F3CB2"/>
    <w:rsid w:val="002F4645"/>
    <w:rsid w:val="002F4889"/>
    <w:rsid w:val="002F5BFF"/>
    <w:rsid w:val="002F6655"/>
    <w:rsid w:val="002F6C1E"/>
    <w:rsid w:val="00302ACA"/>
    <w:rsid w:val="003049CD"/>
    <w:rsid w:val="003049F7"/>
    <w:rsid w:val="0030793F"/>
    <w:rsid w:val="00310D87"/>
    <w:rsid w:val="003119E0"/>
    <w:rsid w:val="00312CCE"/>
    <w:rsid w:val="00313480"/>
    <w:rsid w:val="003151B6"/>
    <w:rsid w:val="003158E5"/>
    <w:rsid w:val="00315B58"/>
    <w:rsid w:val="0031696C"/>
    <w:rsid w:val="00317A6A"/>
    <w:rsid w:val="00320BBF"/>
    <w:rsid w:val="00321437"/>
    <w:rsid w:val="00321927"/>
    <w:rsid w:val="00322247"/>
    <w:rsid w:val="00322522"/>
    <w:rsid w:val="00325DF1"/>
    <w:rsid w:val="00326BF6"/>
    <w:rsid w:val="003275D3"/>
    <w:rsid w:val="003305BB"/>
    <w:rsid w:val="00331DBC"/>
    <w:rsid w:val="00333573"/>
    <w:rsid w:val="00333590"/>
    <w:rsid w:val="0033396D"/>
    <w:rsid w:val="00335DCB"/>
    <w:rsid w:val="0033629E"/>
    <w:rsid w:val="00336D45"/>
    <w:rsid w:val="0033702F"/>
    <w:rsid w:val="003439D4"/>
    <w:rsid w:val="00350F7A"/>
    <w:rsid w:val="00352377"/>
    <w:rsid w:val="00354AC5"/>
    <w:rsid w:val="0036123D"/>
    <w:rsid w:val="0036201D"/>
    <w:rsid w:val="00363FF1"/>
    <w:rsid w:val="00367534"/>
    <w:rsid w:val="0037112E"/>
    <w:rsid w:val="00376672"/>
    <w:rsid w:val="00376E92"/>
    <w:rsid w:val="003803DD"/>
    <w:rsid w:val="00380DF4"/>
    <w:rsid w:val="00382D43"/>
    <w:rsid w:val="0038407F"/>
    <w:rsid w:val="00386DE2"/>
    <w:rsid w:val="00387351"/>
    <w:rsid w:val="0038753F"/>
    <w:rsid w:val="00392F0B"/>
    <w:rsid w:val="003956C9"/>
    <w:rsid w:val="00395ECD"/>
    <w:rsid w:val="0039681D"/>
    <w:rsid w:val="003974EE"/>
    <w:rsid w:val="003A02D7"/>
    <w:rsid w:val="003A1E87"/>
    <w:rsid w:val="003A53FE"/>
    <w:rsid w:val="003A61C7"/>
    <w:rsid w:val="003A6499"/>
    <w:rsid w:val="003B0A7C"/>
    <w:rsid w:val="003B0C95"/>
    <w:rsid w:val="003B4239"/>
    <w:rsid w:val="003B483F"/>
    <w:rsid w:val="003B6266"/>
    <w:rsid w:val="003B6DA2"/>
    <w:rsid w:val="003C0DEE"/>
    <w:rsid w:val="003C412F"/>
    <w:rsid w:val="003C5321"/>
    <w:rsid w:val="003C63F9"/>
    <w:rsid w:val="003C6886"/>
    <w:rsid w:val="003C748F"/>
    <w:rsid w:val="003D144E"/>
    <w:rsid w:val="003D3106"/>
    <w:rsid w:val="003E2EFC"/>
    <w:rsid w:val="003E53EF"/>
    <w:rsid w:val="003E6766"/>
    <w:rsid w:val="003E75CA"/>
    <w:rsid w:val="003F4B98"/>
    <w:rsid w:val="003F59C2"/>
    <w:rsid w:val="003F72E5"/>
    <w:rsid w:val="003F76AD"/>
    <w:rsid w:val="003F78A9"/>
    <w:rsid w:val="004013F5"/>
    <w:rsid w:val="00401BFC"/>
    <w:rsid w:val="00402CE1"/>
    <w:rsid w:val="00403800"/>
    <w:rsid w:val="00403CBF"/>
    <w:rsid w:val="00405DB7"/>
    <w:rsid w:val="004114E5"/>
    <w:rsid w:val="00412CF7"/>
    <w:rsid w:val="004132A1"/>
    <w:rsid w:val="00413A42"/>
    <w:rsid w:val="004152B9"/>
    <w:rsid w:val="004155FE"/>
    <w:rsid w:val="00416315"/>
    <w:rsid w:val="004173B5"/>
    <w:rsid w:val="00420AE5"/>
    <w:rsid w:val="00422144"/>
    <w:rsid w:val="00422768"/>
    <w:rsid w:val="004235AC"/>
    <w:rsid w:val="00424461"/>
    <w:rsid w:val="00424B07"/>
    <w:rsid w:val="00425435"/>
    <w:rsid w:val="0042607B"/>
    <w:rsid w:val="00426EB7"/>
    <w:rsid w:val="00426FB6"/>
    <w:rsid w:val="00427339"/>
    <w:rsid w:val="00430769"/>
    <w:rsid w:val="004335D9"/>
    <w:rsid w:val="00433647"/>
    <w:rsid w:val="00436EFD"/>
    <w:rsid w:val="0043782D"/>
    <w:rsid w:val="00442DCD"/>
    <w:rsid w:val="00445F36"/>
    <w:rsid w:val="00450776"/>
    <w:rsid w:val="0045095D"/>
    <w:rsid w:val="00453955"/>
    <w:rsid w:val="004547CE"/>
    <w:rsid w:val="00456641"/>
    <w:rsid w:val="00460019"/>
    <w:rsid w:val="00460C69"/>
    <w:rsid w:val="00461C5A"/>
    <w:rsid w:val="0046398B"/>
    <w:rsid w:val="00465898"/>
    <w:rsid w:val="004668C4"/>
    <w:rsid w:val="00466EAA"/>
    <w:rsid w:val="00467B7E"/>
    <w:rsid w:val="00471558"/>
    <w:rsid w:val="0047395A"/>
    <w:rsid w:val="004758B4"/>
    <w:rsid w:val="004764F8"/>
    <w:rsid w:val="004806DA"/>
    <w:rsid w:val="00482A46"/>
    <w:rsid w:val="00482D4D"/>
    <w:rsid w:val="004868A3"/>
    <w:rsid w:val="00490E94"/>
    <w:rsid w:val="00492960"/>
    <w:rsid w:val="004942A9"/>
    <w:rsid w:val="004966E9"/>
    <w:rsid w:val="00496F70"/>
    <w:rsid w:val="004A00D7"/>
    <w:rsid w:val="004A3A0C"/>
    <w:rsid w:val="004A3E4B"/>
    <w:rsid w:val="004A69CD"/>
    <w:rsid w:val="004A7A59"/>
    <w:rsid w:val="004B061A"/>
    <w:rsid w:val="004B3461"/>
    <w:rsid w:val="004B3A3E"/>
    <w:rsid w:val="004B446D"/>
    <w:rsid w:val="004B47EA"/>
    <w:rsid w:val="004B5069"/>
    <w:rsid w:val="004B6F45"/>
    <w:rsid w:val="004C15C3"/>
    <w:rsid w:val="004C1F58"/>
    <w:rsid w:val="004C2881"/>
    <w:rsid w:val="004C38D8"/>
    <w:rsid w:val="004C4048"/>
    <w:rsid w:val="004C4912"/>
    <w:rsid w:val="004C4961"/>
    <w:rsid w:val="004C5D2E"/>
    <w:rsid w:val="004D4585"/>
    <w:rsid w:val="004D7298"/>
    <w:rsid w:val="004D7E69"/>
    <w:rsid w:val="004E0952"/>
    <w:rsid w:val="004E104D"/>
    <w:rsid w:val="004E4BC4"/>
    <w:rsid w:val="004E7BDC"/>
    <w:rsid w:val="004E7F81"/>
    <w:rsid w:val="004F067E"/>
    <w:rsid w:val="004F1CDD"/>
    <w:rsid w:val="004F5490"/>
    <w:rsid w:val="004F6D72"/>
    <w:rsid w:val="0050377E"/>
    <w:rsid w:val="00506FD9"/>
    <w:rsid w:val="005109AA"/>
    <w:rsid w:val="005114F7"/>
    <w:rsid w:val="00511EE2"/>
    <w:rsid w:val="00513DCA"/>
    <w:rsid w:val="0051403A"/>
    <w:rsid w:val="00515C84"/>
    <w:rsid w:val="00517125"/>
    <w:rsid w:val="005204CE"/>
    <w:rsid w:val="005213B6"/>
    <w:rsid w:val="00522628"/>
    <w:rsid w:val="005242EB"/>
    <w:rsid w:val="00524C35"/>
    <w:rsid w:val="005273E7"/>
    <w:rsid w:val="005302E4"/>
    <w:rsid w:val="00530909"/>
    <w:rsid w:val="005316AD"/>
    <w:rsid w:val="005330B1"/>
    <w:rsid w:val="0053385F"/>
    <w:rsid w:val="00534A5F"/>
    <w:rsid w:val="00537D3F"/>
    <w:rsid w:val="00543DC5"/>
    <w:rsid w:val="00547DBF"/>
    <w:rsid w:val="00550C48"/>
    <w:rsid w:val="00555F86"/>
    <w:rsid w:val="005569E0"/>
    <w:rsid w:val="0056082C"/>
    <w:rsid w:val="00563371"/>
    <w:rsid w:val="0056575F"/>
    <w:rsid w:val="0057198F"/>
    <w:rsid w:val="00573350"/>
    <w:rsid w:val="00575D5C"/>
    <w:rsid w:val="00577EC5"/>
    <w:rsid w:val="00580913"/>
    <w:rsid w:val="0058451B"/>
    <w:rsid w:val="00585E52"/>
    <w:rsid w:val="005863DD"/>
    <w:rsid w:val="00586858"/>
    <w:rsid w:val="0058757D"/>
    <w:rsid w:val="00591FB6"/>
    <w:rsid w:val="00594F50"/>
    <w:rsid w:val="005958C0"/>
    <w:rsid w:val="00596C0B"/>
    <w:rsid w:val="00597493"/>
    <w:rsid w:val="005A0E29"/>
    <w:rsid w:val="005A0FA6"/>
    <w:rsid w:val="005A438E"/>
    <w:rsid w:val="005A5678"/>
    <w:rsid w:val="005B385D"/>
    <w:rsid w:val="005B478C"/>
    <w:rsid w:val="005B5447"/>
    <w:rsid w:val="005B58B2"/>
    <w:rsid w:val="005C20CA"/>
    <w:rsid w:val="005C35B3"/>
    <w:rsid w:val="005C4B54"/>
    <w:rsid w:val="005D020C"/>
    <w:rsid w:val="005D2CCB"/>
    <w:rsid w:val="005D4625"/>
    <w:rsid w:val="005D759F"/>
    <w:rsid w:val="005D7FB8"/>
    <w:rsid w:val="005E585E"/>
    <w:rsid w:val="005E69D9"/>
    <w:rsid w:val="005E6A80"/>
    <w:rsid w:val="005E6BD5"/>
    <w:rsid w:val="005E7760"/>
    <w:rsid w:val="005E7A3E"/>
    <w:rsid w:val="005E7C80"/>
    <w:rsid w:val="005F00A0"/>
    <w:rsid w:val="005F2A15"/>
    <w:rsid w:val="005F2FC4"/>
    <w:rsid w:val="005F429D"/>
    <w:rsid w:val="005F4AB7"/>
    <w:rsid w:val="005F4D41"/>
    <w:rsid w:val="005F6429"/>
    <w:rsid w:val="00600358"/>
    <w:rsid w:val="00600DD1"/>
    <w:rsid w:val="006038F1"/>
    <w:rsid w:val="00605FAE"/>
    <w:rsid w:val="00607BEC"/>
    <w:rsid w:val="006132B8"/>
    <w:rsid w:val="00613674"/>
    <w:rsid w:val="006140C4"/>
    <w:rsid w:val="00615FC3"/>
    <w:rsid w:val="00620113"/>
    <w:rsid w:val="00620730"/>
    <w:rsid w:val="00620D23"/>
    <w:rsid w:val="00624812"/>
    <w:rsid w:val="00624908"/>
    <w:rsid w:val="00625289"/>
    <w:rsid w:val="00630626"/>
    <w:rsid w:val="00633F95"/>
    <w:rsid w:val="006361B6"/>
    <w:rsid w:val="00644A85"/>
    <w:rsid w:val="00644AD6"/>
    <w:rsid w:val="00645357"/>
    <w:rsid w:val="00647C5E"/>
    <w:rsid w:val="00647EC3"/>
    <w:rsid w:val="006518FD"/>
    <w:rsid w:val="00652917"/>
    <w:rsid w:val="00652E3E"/>
    <w:rsid w:val="00654E33"/>
    <w:rsid w:val="00655305"/>
    <w:rsid w:val="006553BE"/>
    <w:rsid w:val="0066583E"/>
    <w:rsid w:val="00667FD9"/>
    <w:rsid w:val="00670907"/>
    <w:rsid w:val="006727FE"/>
    <w:rsid w:val="00674EA2"/>
    <w:rsid w:val="006751E1"/>
    <w:rsid w:val="006769B9"/>
    <w:rsid w:val="00687DE8"/>
    <w:rsid w:val="006924C7"/>
    <w:rsid w:val="00692F30"/>
    <w:rsid w:val="006947BB"/>
    <w:rsid w:val="00695337"/>
    <w:rsid w:val="00697A01"/>
    <w:rsid w:val="006A056B"/>
    <w:rsid w:val="006A1E9E"/>
    <w:rsid w:val="006A37F0"/>
    <w:rsid w:val="006A3828"/>
    <w:rsid w:val="006A3A4B"/>
    <w:rsid w:val="006A5465"/>
    <w:rsid w:val="006A5B8F"/>
    <w:rsid w:val="006A6692"/>
    <w:rsid w:val="006B01D7"/>
    <w:rsid w:val="006B075F"/>
    <w:rsid w:val="006B1BC3"/>
    <w:rsid w:val="006B44A7"/>
    <w:rsid w:val="006B7E59"/>
    <w:rsid w:val="006C026D"/>
    <w:rsid w:val="006C0549"/>
    <w:rsid w:val="006C09AF"/>
    <w:rsid w:val="006C3C3E"/>
    <w:rsid w:val="006C69BE"/>
    <w:rsid w:val="006C7288"/>
    <w:rsid w:val="006C7883"/>
    <w:rsid w:val="006D0669"/>
    <w:rsid w:val="006D0EBA"/>
    <w:rsid w:val="006D135D"/>
    <w:rsid w:val="006D1965"/>
    <w:rsid w:val="006D1CFF"/>
    <w:rsid w:val="006D3F7B"/>
    <w:rsid w:val="006D4DB2"/>
    <w:rsid w:val="006D4E60"/>
    <w:rsid w:val="006D54A9"/>
    <w:rsid w:val="006D769D"/>
    <w:rsid w:val="006E09FA"/>
    <w:rsid w:val="006E2F15"/>
    <w:rsid w:val="006E3305"/>
    <w:rsid w:val="006E3BEF"/>
    <w:rsid w:val="006E698A"/>
    <w:rsid w:val="006E7BE8"/>
    <w:rsid w:val="006F0237"/>
    <w:rsid w:val="006F087D"/>
    <w:rsid w:val="006F18BE"/>
    <w:rsid w:val="006F1BE1"/>
    <w:rsid w:val="006F5EC6"/>
    <w:rsid w:val="006F79C1"/>
    <w:rsid w:val="007016F5"/>
    <w:rsid w:val="00710ABC"/>
    <w:rsid w:val="00710E6E"/>
    <w:rsid w:val="00711D52"/>
    <w:rsid w:val="0071313D"/>
    <w:rsid w:val="00716249"/>
    <w:rsid w:val="007228D6"/>
    <w:rsid w:val="00725E62"/>
    <w:rsid w:val="007301CC"/>
    <w:rsid w:val="007304E6"/>
    <w:rsid w:val="00732137"/>
    <w:rsid w:val="00732D2C"/>
    <w:rsid w:val="00733F21"/>
    <w:rsid w:val="00734E3E"/>
    <w:rsid w:val="00740CD1"/>
    <w:rsid w:val="00740FCC"/>
    <w:rsid w:val="00742417"/>
    <w:rsid w:val="00743C2C"/>
    <w:rsid w:val="0075044D"/>
    <w:rsid w:val="0075246A"/>
    <w:rsid w:val="007528DF"/>
    <w:rsid w:val="00755442"/>
    <w:rsid w:val="00757200"/>
    <w:rsid w:val="00762477"/>
    <w:rsid w:val="007644CA"/>
    <w:rsid w:val="00766656"/>
    <w:rsid w:val="0077029D"/>
    <w:rsid w:val="00773DFF"/>
    <w:rsid w:val="00774A29"/>
    <w:rsid w:val="007768A6"/>
    <w:rsid w:val="00776F00"/>
    <w:rsid w:val="0077703C"/>
    <w:rsid w:val="00782AF2"/>
    <w:rsid w:val="007837FA"/>
    <w:rsid w:val="007839F9"/>
    <w:rsid w:val="007846C0"/>
    <w:rsid w:val="007878DE"/>
    <w:rsid w:val="00791773"/>
    <w:rsid w:val="00794CBB"/>
    <w:rsid w:val="007957C1"/>
    <w:rsid w:val="00796B8C"/>
    <w:rsid w:val="00797867"/>
    <w:rsid w:val="007A24EA"/>
    <w:rsid w:val="007A2C4D"/>
    <w:rsid w:val="007A3563"/>
    <w:rsid w:val="007A5298"/>
    <w:rsid w:val="007A62CA"/>
    <w:rsid w:val="007A6949"/>
    <w:rsid w:val="007A7606"/>
    <w:rsid w:val="007A7F5E"/>
    <w:rsid w:val="007B0D06"/>
    <w:rsid w:val="007B19C4"/>
    <w:rsid w:val="007B1B31"/>
    <w:rsid w:val="007B217A"/>
    <w:rsid w:val="007B2A64"/>
    <w:rsid w:val="007B3130"/>
    <w:rsid w:val="007B6433"/>
    <w:rsid w:val="007C4F1C"/>
    <w:rsid w:val="007C4F80"/>
    <w:rsid w:val="007D1CED"/>
    <w:rsid w:val="007D320D"/>
    <w:rsid w:val="007D66F0"/>
    <w:rsid w:val="007D7A67"/>
    <w:rsid w:val="007E0405"/>
    <w:rsid w:val="007E0E1C"/>
    <w:rsid w:val="007E1421"/>
    <w:rsid w:val="007E26F8"/>
    <w:rsid w:val="007E3D16"/>
    <w:rsid w:val="007E5D17"/>
    <w:rsid w:val="007E650C"/>
    <w:rsid w:val="007E7407"/>
    <w:rsid w:val="007F344C"/>
    <w:rsid w:val="007F407A"/>
    <w:rsid w:val="007F4A8A"/>
    <w:rsid w:val="007F4E83"/>
    <w:rsid w:val="007F5B2B"/>
    <w:rsid w:val="007F6062"/>
    <w:rsid w:val="007F72D5"/>
    <w:rsid w:val="008007EC"/>
    <w:rsid w:val="00802271"/>
    <w:rsid w:val="00804832"/>
    <w:rsid w:val="00804E55"/>
    <w:rsid w:val="008074B1"/>
    <w:rsid w:val="008075D0"/>
    <w:rsid w:val="00807B53"/>
    <w:rsid w:val="008117AE"/>
    <w:rsid w:val="00811BBC"/>
    <w:rsid w:val="00816374"/>
    <w:rsid w:val="00820024"/>
    <w:rsid w:val="00820337"/>
    <w:rsid w:val="00820A38"/>
    <w:rsid w:val="0082126F"/>
    <w:rsid w:val="008215BC"/>
    <w:rsid w:val="00821700"/>
    <w:rsid w:val="00821838"/>
    <w:rsid w:val="008223D5"/>
    <w:rsid w:val="00823936"/>
    <w:rsid w:val="008241AC"/>
    <w:rsid w:val="00824356"/>
    <w:rsid w:val="00826FE0"/>
    <w:rsid w:val="00830FD4"/>
    <w:rsid w:val="00831505"/>
    <w:rsid w:val="008317CE"/>
    <w:rsid w:val="00831902"/>
    <w:rsid w:val="00833A2F"/>
    <w:rsid w:val="0083466B"/>
    <w:rsid w:val="008355E2"/>
    <w:rsid w:val="00835A82"/>
    <w:rsid w:val="008401A0"/>
    <w:rsid w:val="008413AE"/>
    <w:rsid w:val="00842213"/>
    <w:rsid w:val="008439B0"/>
    <w:rsid w:val="00843C3E"/>
    <w:rsid w:val="00844905"/>
    <w:rsid w:val="00847657"/>
    <w:rsid w:val="00847C59"/>
    <w:rsid w:val="00850037"/>
    <w:rsid w:val="00851BED"/>
    <w:rsid w:val="00852675"/>
    <w:rsid w:val="008531A5"/>
    <w:rsid w:val="00855FEB"/>
    <w:rsid w:val="00860BBF"/>
    <w:rsid w:val="00864018"/>
    <w:rsid w:val="00864527"/>
    <w:rsid w:val="0086542A"/>
    <w:rsid w:val="00871854"/>
    <w:rsid w:val="00872FD6"/>
    <w:rsid w:val="008736DA"/>
    <w:rsid w:val="0087575B"/>
    <w:rsid w:val="00877402"/>
    <w:rsid w:val="0088020D"/>
    <w:rsid w:val="0088095A"/>
    <w:rsid w:val="00882AA3"/>
    <w:rsid w:val="00883088"/>
    <w:rsid w:val="008850E8"/>
    <w:rsid w:val="00885565"/>
    <w:rsid w:val="00885E5B"/>
    <w:rsid w:val="00887851"/>
    <w:rsid w:val="00891429"/>
    <w:rsid w:val="0089427B"/>
    <w:rsid w:val="0089524C"/>
    <w:rsid w:val="008A3A7A"/>
    <w:rsid w:val="008A3D75"/>
    <w:rsid w:val="008A599B"/>
    <w:rsid w:val="008A61A6"/>
    <w:rsid w:val="008A75CF"/>
    <w:rsid w:val="008C0300"/>
    <w:rsid w:val="008C279A"/>
    <w:rsid w:val="008C2A1A"/>
    <w:rsid w:val="008C4582"/>
    <w:rsid w:val="008C501B"/>
    <w:rsid w:val="008C64B1"/>
    <w:rsid w:val="008C6F09"/>
    <w:rsid w:val="008C7C67"/>
    <w:rsid w:val="008D04B5"/>
    <w:rsid w:val="008D176D"/>
    <w:rsid w:val="008D1E19"/>
    <w:rsid w:val="008D201C"/>
    <w:rsid w:val="008D4EA3"/>
    <w:rsid w:val="008D50EE"/>
    <w:rsid w:val="008D5843"/>
    <w:rsid w:val="008E174F"/>
    <w:rsid w:val="008E70DB"/>
    <w:rsid w:val="008F2143"/>
    <w:rsid w:val="008F31FD"/>
    <w:rsid w:val="008F3399"/>
    <w:rsid w:val="008F58CD"/>
    <w:rsid w:val="008F5ED2"/>
    <w:rsid w:val="008F78AE"/>
    <w:rsid w:val="00901076"/>
    <w:rsid w:val="00902FF8"/>
    <w:rsid w:val="00904131"/>
    <w:rsid w:val="00911ACC"/>
    <w:rsid w:val="00911FD2"/>
    <w:rsid w:val="009120EC"/>
    <w:rsid w:val="00915406"/>
    <w:rsid w:val="009172E1"/>
    <w:rsid w:val="00922CCC"/>
    <w:rsid w:val="00922E45"/>
    <w:rsid w:val="009245B0"/>
    <w:rsid w:val="00924614"/>
    <w:rsid w:val="00927780"/>
    <w:rsid w:val="00932186"/>
    <w:rsid w:val="00933747"/>
    <w:rsid w:val="009340D4"/>
    <w:rsid w:val="00944CC1"/>
    <w:rsid w:val="00944DD5"/>
    <w:rsid w:val="00945706"/>
    <w:rsid w:val="00946B66"/>
    <w:rsid w:val="00947021"/>
    <w:rsid w:val="00947740"/>
    <w:rsid w:val="00950755"/>
    <w:rsid w:val="0095131D"/>
    <w:rsid w:val="0095156C"/>
    <w:rsid w:val="00952D2C"/>
    <w:rsid w:val="00952FFA"/>
    <w:rsid w:val="00955FC7"/>
    <w:rsid w:val="00961AAB"/>
    <w:rsid w:val="00961EE0"/>
    <w:rsid w:val="009657F2"/>
    <w:rsid w:val="00965E04"/>
    <w:rsid w:val="0097169A"/>
    <w:rsid w:val="00972C20"/>
    <w:rsid w:val="00974650"/>
    <w:rsid w:val="0097598B"/>
    <w:rsid w:val="00976AE5"/>
    <w:rsid w:val="00987694"/>
    <w:rsid w:val="00987EBD"/>
    <w:rsid w:val="009948CE"/>
    <w:rsid w:val="00995E68"/>
    <w:rsid w:val="009978D0"/>
    <w:rsid w:val="00997DB1"/>
    <w:rsid w:val="009A0B6F"/>
    <w:rsid w:val="009A146F"/>
    <w:rsid w:val="009A27E5"/>
    <w:rsid w:val="009A3619"/>
    <w:rsid w:val="009A4F3E"/>
    <w:rsid w:val="009A55A1"/>
    <w:rsid w:val="009A7AB9"/>
    <w:rsid w:val="009B5280"/>
    <w:rsid w:val="009B7127"/>
    <w:rsid w:val="009B71E4"/>
    <w:rsid w:val="009C088A"/>
    <w:rsid w:val="009C329C"/>
    <w:rsid w:val="009C3789"/>
    <w:rsid w:val="009C4BAE"/>
    <w:rsid w:val="009C4E04"/>
    <w:rsid w:val="009C51A4"/>
    <w:rsid w:val="009C5C9C"/>
    <w:rsid w:val="009C5D90"/>
    <w:rsid w:val="009C69DF"/>
    <w:rsid w:val="009C6A56"/>
    <w:rsid w:val="009D449D"/>
    <w:rsid w:val="009D4973"/>
    <w:rsid w:val="009E09CC"/>
    <w:rsid w:val="009E2A46"/>
    <w:rsid w:val="009E2CFD"/>
    <w:rsid w:val="009E44D6"/>
    <w:rsid w:val="009E4FC8"/>
    <w:rsid w:val="009E732B"/>
    <w:rsid w:val="009F02FC"/>
    <w:rsid w:val="009F4EAC"/>
    <w:rsid w:val="00A0041E"/>
    <w:rsid w:val="00A006C5"/>
    <w:rsid w:val="00A01011"/>
    <w:rsid w:val="00A01028"/>
    <w:rsid w:val="00A04999"/>
    <w:rsid w:val="00A04D7F"/>
    <w:rsid w:val="00A06BFA"/>
    <w:rsid w:val="00A10E63"/>
    <w:rsid w:val="00A13E1F"/>
    <w:rsid w:val="00A160A2"/>
    <w:rsid w:val="00A16846"/>
    <w:rsid w:val="00A16FEC"/>
    <w:rsid w:val="00A171B9"/>
    <w:rsid w:val="00A2401F"/>
    <w:rsid w:val="00A24CCB"/>
    <w:rsid w:val="00A25AB2"/>
    <w:rsid w:val="00A305A4"/>
    <w:rsid w:val="00A34E18"/>
    <w:rsid w:val="00A357B5"/>
    <w:rsid w:val="00A35849"/>
    <w:rsid w:val="00A36BD0"/>
    <w:rsid w:val="00A36DA4"/>
    <w:rsid w:val="00A376F2"/>
    <w:rsid w:val="00A377D0"/>
    <w:rsid w:val="00A41775"/>
    <w:rsid w:val="00A444D5"/>
    <w:rsid w:val="00A44636"/>
    <w:rsid w:val="00A44CBC"/>
    <w:rsid w:val="00A511D8"/>
    <w:rsid w:val="00A53C1B"/>
    <w:rsid w:val="00A54E8E"/>
    <w:rsid w:val="00A55B33"/>
    <w:rsid w:val="00A5616F"/>
    <w:rsid w:val="00A568C1"/>
    <w:rsid w:val="00A56BDD"/>
    <w:rsid w:val="00A57397"/>
    <w:rsid w:val="00A5789A"/>
    <w:rsid w:val="00A639B4"/>
    <w:rsid w:val="00A63F4C"/>
    <w:rsid w:val="00A6544C"/>
    <w:rsid w:val="00A65481"/>
    <w:rsid w:val="00A66BCB"/>
    <w:rsid w:val="00A67D5E"/>
    <w:rsid w:val="00A7233A"/>
    <w:rsid w:val="00A72433"/>
    <w:rsid w:val="00A75744"/>
    <w:rsid w:val="00A770AA"/>
    <w:rsid w:val="00A80811"/>
    <w:rsid w:val="00A81F3D"/>
    <w:rsid w:val="00A824D8"/>
    <w:rsid w:val="00A8320F"/>
    <w:rsid w:val="00A84BF4"/>
    <w:rsid w:val="00A85F3F"/>
    <w:rsid w:val="00A87100"/>
    <w:rsid w:val="00A87738"/>
    <w:rsid w:val="00A879C1"/>
    <w:rsid w:val="00A90C57"/>
    <w:rsid w:val="00A9664F"/>
    <w:rsid w:val="00A9679F"/>
    <w:rsid w:val="00A9721B"/>
    <w:rsid w:val="00A972A0"/>
    <w:rsid w:val="00A97BBD"/>
    <w:rsid w:val="00AA0EF1"/>
    <w:rsid w:val="00AA10D5"/>
    <w:rsid w:val="00AA7274"/>
    <w:rsid w:val="00AA7452"/>
    <w:rsid w:val="00AB025B"/>
    <w:rsid w:val="00AB0E22"/>
    <w:rsid w:val="00AB352B"/>
    <w:rsid w:val="00AB50BA"/>
    <w:rsid w:val="00AB5347"/>
    <w:rsid w:val="00AB768A"/>
    <w:rsid w:val="00AB79D3"/>
    <w:rsid w:val="00AC06B4"/>
    <w:rsid w:val="00AC09A7"/>
    <w:rsid w:val="00AC0CF5"/>
    <w:rsid w:val="00AC2086"/>
    <w:rsid w:val="00AC30E4"/>
    <w:rsid w:val="00AC48CF"/>
    <w:rsid w:val="00AC7A74"/>
    <w:rsid w:val="00AC7A86"/>
    <w:rsid w:val="00AD32C6"/>
    <w:rsid w:val="00AD34C8"/>
    <w:rsid w:val="00AD4016"/>
    <w:rsid w:val="00AD58DB"/>
    <w:rsid w:val="00AD5A00"/>
    <w:rsid w:val="00AD6242"/>
    <w:rsid w:val="00AD66DA"/>
    <w:rsid w:val="00AD6E7A"/>
    <w:rsid w:val="00AD7083"/>
    <w:rsid w:val="00AE027B"/>
    <w:rsid w:val="00AE0B4E"/>
    <w:rsid w:val="00AE0E13"/>
    <w:rsid w:val="00AE2ACA"/>
    <w:rsid w:val="00AE38C3"/>
    <w:rsid w:val="00AE4D02"/>
    <w:rsid w:val="00AE667F"/>
    <w:rsid w:val="00AF08C9"/>
    <w:rsid w:val="00AF2D8A"/>
    <w:rsid w:val="00AF3097"/>
    <w:rsid w:val="00AF3FE2"/>
    <w:rsid w:val="00AF473B"/>
    <w:rsid w:val="00AF5602"/>
    <w:rsid w:val="00AF584B"/>
    <w:rsid w:val="00AF5BFB"/>
    <w:rsid w:val="00AF70E2"/>
    <w:rsid w:val="00AF7DA7"/>
    <w:rsid w:val="00B02B6E"/>
    <w:rsid w:val="00B04278"/>
    <w:rsid w:val="00B06788"/>
    <w:rsid w:val="00B115FD"/>
    <w:rsid w:val="00B17647"/>
    <w:rsid w:val="00B21583"/>
    <w:rsid w:val="00B21A7F"/>
    <w:rsid w:val="00B22A89"/>
    <w:rsid w:val="00B22ACE"/>
    <w:rsid w:val="00B22B00"/>
    <w:rsid w:val="00B23DD7"/>
    <w:rsid w:val="00B2455D"/>
    <w:rsid w:val="00B24F67"/>
    <w:rsid w:val="00B25DD0"/>
    <w:rsid w:val="00B321D0"/>
    <w:rsid w:val="00B32AE1"/>
    <w:rsid w:val="00B3452B"/>
    <w:rsid w:val="00B3570B"/>
    <w:rsid w:val="00B36225"/>
    <w:rsid w:val="00B37500"/>
    <w:rsid w:val="00B41CF6"/>
    <w:rsid w:val="00B4713E"/>
    <w:rsid w:val="00B47B8E"/>
    <w:rsid w:val="00B56B18"/>
    <w:rsid w:val="00B57806"/>
    <w:rsid w:val="00B579C3"/>
    <w:rsid w:val="00B579D6"/>
    <w:rsid w:val="00B61056"/>
    <w:rsid w:val="00B6142E"/>
    <w:rsid w:val="00B63E66"/>
    <w:rsid w:val="00B643CA"/>
    <w:rsid w:val="00B651CB"/>
    <w:rsid w:val="00B66AC3"/>
    <w:rsid w:val="00B73368"/>
    <w:rsid w:val="00B73844"/>
    <w:rsid w:val="00B77E51"/>
    <w:rsid w:val="00B80B66"/>
    <w:rsid w:val="00B822A9"/>
    <w:rsid w:val="00B861BE"/>
    <w:rsid w:val="00B86985"/>
    <w:rsid w:val="00B93AF7"/>
    <w:rsid w:val="00B94834"/>
    <w:rsid w:val="00B97B09"/>
    <w:rsid w:val="00BA12EB"/>
    <w:rsid w:val="00BA18C7"/>
    <w:rsid w:val="00BA2C52"/>
    <w:rsid w:val="00BA4342"/>
    <w:rsid w:val="00BA4AE5"/>
    <w:rsid w:val="00BA6C70"/>
    <w:rsid w:val="00BA7269"/>
    <w:rsid w:val="00BB0C08"/>
    <w:rsid w:val="00BB202F"/>
    <w:rsid w:val="00BB23BF"/>
    <w:rsid w:val="00BB4092"/>
    <w:rsid w:val="00BB599E"/>
    <w:rsid w:val="00BB73A9"/>
    <w:rsid w:val="00BC0368"/>
    <w:rsid w:val="00BC2902"/>
    <w:rsid w:val="00BC3C7F"/>
    <w:rsid w:val="00BC4DA1"/>
    <w:rsid w:val="00BC5ECF"/>
    <w:rsid w:val="00BC6126"/>
    <w:rsid w:val="00BC6301"/>
    <w:rsid w:val="00BC7BA3"/>
    <w:rsid w:val="00BD0F82"/>
    <w:rsid w:val="00BD340B"/>
    <w:rsid w:val="00BD3CAF"/>
    <w:rsid w:val="00BD3FB8"/>
    <w:rsid w:val="00BD51F7"/>
    <w:rsid w:val="00BD67F9"/>
    <w:rsid w:val="00BD7331"/>
    <w:rsid w:val="00BD7F51"/>
    <w:rsid w:val="00BE2D14"/>
    <w:rsid w:val="00BE35C9"/>
    <w:rsid w:val="00BE3F2E"/>
    <w:rsid w:val="00BE567B"/>
    <w:rsid w:val="00BF0513"/>
    <w:rsid w:val="00BF285E"/>
    <w:rsid w:val="00BF3D2C"/>
    <w:rsid w:val="00BF4542"/>
    <w:rsid w:val="00BF637D"/>
    <w:rsid w:val="00BF7A36"/>
    <w:rsid w:val="00BF7F19"/>
    <w:rsid w:val="00C013A6"/>
    <w:rsid w:val="00C02258"/>
    <w:rsid w:val="00C02AA5"/>
    <w:rsid w:val="00C05692"/>
    <w:rsid w:val="00C06E28"/>
    <w:rsid w:val="00C07F23"/>
    <w:rsid w:val="00C1063E"/>
    <w:rsid w:val="00C11508"/>
    <w:rsid w:val="00C11FF3"/>
    <w:rsid w:val="00C1220C"/>
    <w:rsid w:val="00C122E5"/>
    <w:rsid w:val="00C13357"/>
    <w:rsid w:val="00C14587"/>
    <w:rsid w:val="00C14F33"/>
    <w:rsid w:val="00C3054D"/>
    <w:rsid w:val="00C3170A"/>
    <w:rsid w:val="00C31762"/>
    <w:rsid w:val="00C31AE3"/>
    <w:rsid w:val="00C32178"/>
    <w:rsid w:val="00C32B59"/>
    <w:rsid w:val="00C330A3"/>
    <w:rsid w:val="00C35DD8"/>
    <w:rsid w:val="00C35EE3"/>
    <w:rsid w:val="00C36EA9"/>
    <w:rsid w:val="00C4189B"/>
    <w:rsid w:val="00C478A1"/>
    <w:rsid w:val="00C500DC"/>
    <w:rsid w:val="00C502FA"/>
    <w:rsid w:val="00C50DBC"/>
    <w:rsid w:val="00C52295"/>
    <w:rsid w:val="00C52C98"/>
    <w:rsid w:val="00C5309A"/>
    <w:rsid w:val="00C54980"/>
    <w:rsid w:val="00C55C9A"/>
    <w:rsid w:val="00C600A4"/>
    <w:rsid w:val="00C633FF"/>
    <w:rsid w:val="00C65ED0"/>
    <w:rsid w:val="00C6772C"/>
    <w:rsid w:val="00C707D1"/>
    <w:rsid w:val="00C71A5E"/>
    <w:rsid w:val="00C720D6"/>
    <w:rsid w:val="00C7281A"/>
    <w:rsid w:val="00C742EB"/>
    <w:rsid w:val="00C74992"/>
    <w:rsid w:val="00C74FB8"/>
    <w:rsid w:val="00C80C0F"/>
    <w:rsid w:val="00C81680"/>
    <w:rsid w:val="00C817D6"/>
    <w:rsid w:val="00C81B35"/>
    <w:rsid w:val="00C839E1"/>
    <w:rsid w:val="00C83C3E"/>
    <w:rsid w:val="00C85683"/>
    <w:rsid w:val="00C85C95"/>
    <w:rsid w:val="00C909D4"/>
    <w:rsid w:val="00C91EBA"/>
    <w:rsid w:val="00C91F98"/>
    <w:rsid w:val="00C94B4C"/>
    <w:rsid w:val="00C955D5"/>
    <w:rsid w:val="00C96383"/>
    <w:rsid w:val="00CA085B"/>
    <w:rsid w:val="00CA3701"/>
    <w:rsid w:val="00CA7585"/>
    <w:rsid w:val="00CA7891"/>
    <w:rsid w:val="00CB0160"/>
    <w:rsid w:val="00CB08A0"/>
    <w:rsid w:val="00CB139E"/>
    <w:rsid w:val="00CB3DEE"/>
    <w:rsid w:val="00CB4499"/>
    <w:rsid w:val="00CB482D"/>
    <w:rsid w:val="00CB5740"/>
    <w:rsid w:val="00CB6277"/>
    <w:rsid w:val="00CB699C"/>
    <w:rsid w:val="00CC0D65"/>
    <w:rsid w:val="00CD03E1"/>
    <w:rsid w:val="00CD0753"/>
    <w:rsid w:val="00CD33FF"/>
    <w:rsid w:val="00CD403D"/>
    <w:rsid w:val="00CD7E8C"/>
    <w:rsid w:val="00CE0E90"/>
    <w:rsid w:val="00CE190D"/>
    <w:rsid w:val="00CE1D69"/>
    <w:rsid w:val="00CE1DD5"/>
    <w:rsid w:val="00CE3095"/>
    <w:rsid w:val="00CE3472"/>
    <w:rsid w:val="00CE4C51"/>
    <w:rsid w:val="00CE73EC"/>
    <w:rsid w:val="00CF1ED3"/>
    <w:rsid w:val="00CF1EE4"/>
    <w:rsid w:val="00CF2CE6"/>
    <w:rsid w:val="00CF6350"/>
    <w:rsid w:val="00D02E48"/>
    <w:rsid w:val="00D03C0A"/>
    <w:rsid w:val="00D04252"/>
    <w:rsid w:val="00D04860"/>
    <w:rsid w:val="00D05D01"/>
    <w:rsid w:val="00D074E7"/>
    <w:rsid w:val="00D10BA7"/>
    <w:rsid w:val="00D11DDC"/>
    <w:rsid w:val="00D12449"/>
    <w:rsid w:val="00D13EDB"/>
    <w:rsid w:val="00D15FC2"/>
    <w:rsid w:val="00D16651"/>
    <w:rsid w:val="00D21621"/>
    <w:rsid w:val="00D2467A"/>
    <w:rsid w:val="00D26541"/>
    <w:rsid w:val="00D276A5"/>
    <w:rsid w:val="00D27D2B"/>
    <w:rsid w:val="00D312D8"/>
    <w:rsid w:val="00D31452"/>
    <w:rsid w:val="00D329CF"/>
    <w:rsid w:val="00D33780"/>
    <w:rsid w:val="00D34AFD"/>
    <w:rsid w:val="00D365F8"/>
    <w:rsid w:val="00D40267"/>
    <w:rsid w:val="00D4072B"/>
    <w:rsid w:val="00D42BF5"/>
    <w:rsid w:val="00D42E13"/>
    <w:rsid w:val="00D430B0"/>
    <w:rsid w:val="00D45A47"/>
    <w:rsid w:val="00D518D7"/>
    <w:rsid w:val="00D52A9F"/>
    <w:rsid w:val="00D56A16"/>
    <w:rsid w:val="00D61B98"/>
    <w:rsid w:val="00D61D31"/>
    <w:rsid w:val="00D61EE5"/>
    <w:rsid w:val="00D634C6"/>
    <w:rsid w:val="00D719B9"/>
    <w:rsid w:val="00D71C6C"/>
    <w:rsid w:val="00D74897"/>
    <w:rsid w:val="00D764BF"/>
    <w:rsid w:val="00D766C1"/>
    <w:rsid w:val="00D8076B"/>
    <w:rsid w:val="00D818DD"/>
    <w:rsid w:val="00D825C6"/>
    <w:rsid w:val="00D84058"/>
    <w:rsid w:val="00D850AC"/>
    <w:rsid w:val="00D85C04"/>
    <w:rsid w:val="00D86E65"/>
    <w:rsid w:val="00D9101E"/>
    <w:rsid w:val="00D91F46"/>
    <w:rsid w:val="00D93876"/>
    <w:rsid w:val="00D9692B"/>
    <w:rsid w:val="00D97D78"/>
    <w:rsid w:val="00DA26FF"/>
    <w:rsid w:val="00DA5723"/>
    <w:rsid w:val="00DB0BA3"/>
    <w:rsid w:val="00DB2659"/>
    <w:rsid w:val="00DB3B16"/>
    <w:rsid w:val="00DB4359"/>
    <w:rsid w:val="00DB6A07"/>
    <w:rsid w:val="00DB7B0A"/>
    <w:rsid w:val="00DC111C"/>
    <w:rsid w:val="00DC1288"/>
    <w:rsid w:val="00DC20F0"/>
    <w:rsid w:val="00DC2EEF"/>
    <w:rsid w:val="00DC3CFB"/>
    <w:rsid w:val="00DC6B57"/>
    <w:rsid w:val="00DC6DF0"/>
    <w:rsid w:val="00DC7467"/>
    <w:rsid w:val="00DD0D9B"/>
    <w:rsid w:val="00DD1D2A"/>
    <w:rsid w:val="00DD1E83"/>
    <w:rsid w:val="00DD4CE1"/>
    <w:rsid w:val="00DD5146"/>
    <w:rsid w:val="00DD63FF"/>
    <w:rsid w:val="00DD68EE"/>
    <w:rsid w:val="00DE0074"/>
    <w:rsid w:val="00DE1AFC"/>
    <w:rsid w:val="00DE23C9"/>
    <w:rsid w:val="00DE3BCE"/>
    <w:rsid w:val="00DE675F"/>
    <w:rsid w:val="00DF36D6"/>
    <w:rsid w:val="00E062F7"/>
    <w:rsid w:val="00E064F3"/>
    <w:rsid w:val="00E10292"/>
    <w:rsid w:val="00E1127E"/>
    <w:rsid w:val="00E11599"/>
    <w:rsid w:val="00E12215"/>
    <w:rsid w:val="00E1336F"/>
    <w:rsid w:val="00E14B8C"/>
    <w:rsid w:val="00E14E7C"/>
    <w:rsid w:val="00E17051"/>
    <w:rsid w:val="00E172B6"/>
    <w:rsid w:val="00E23425"/>
    <w:rsid w:val="00E26595"/>
    <w:rsid w:val="00E3039F"/>
    <w:rsid w:val="00E324C0"/>
    <w:rsid w:val="00E34BB6"/>
    <w:rsid w:val="00E354EA"/>
    <w:rsid w:val="00E355BB"/>
    <w:rsid w:val="00E37FBC"/>
    <w:rsid w:val="00E40AF2"/>
    <w:rsid w:val="00E41AEF"/>
    <w:rsid w:val="00E4229E"/>
    <w:rsid w:val="00E43CA6"/>
    <w:rsid w:val="00E4605E"/>
    <w:rsid w:val="00E51769"/>
    <w:rsid w:val="00E53997"/>
    <w:rsid w:val="00E54E29"/>
    <w:rsid w:val="00E56FC1"/>
    <w:rsid w:val="00E603F6"/>
    <w:rsid w:val="00E6228E"/>
    <w:rsid w:val="00E63A81"/>
    <w:rsid w:val="00E653C1"/>
    <w:rsid w:val="00E66766"/>
    <w:rsid w:val="00E6777F"/>
    <w:rsid w:val="00E708ED"/>
    <w:rsid w:val="00E71FA9"/>
    <w:rsid w:val="00E72C71"/>
    <w:rsid w:val="00E72ECF"/>
    <w:rsid w:val="00E766D3"/>
    <w:rsid w:val="00E8204A"/>
    <w:rsid w:val="00E835BA"/>
    <w:rsid w:val="00E84FD1"/>
    <w:rsid w:val="00E85E4A"/>
    <w:rsid w:val="00E8633F"/>
    <w:rsid w:val="00E86840"/>
    <w:rsid w:val="00E870C7"/>
    <w:rsid w:val="00E878FD"/>
    <w:rsid w:val="00E87C73"/>
    <w:rsid w:val="00E87DEC"/>
    <w:rsid w:val="00E87F65"/>
    <w:rsid w:val="00E91FA3"/>
    <w:rsid w:val="00E92475"/>
    <w:rsid w:val="00E94C64"/>
    <w:rsid w:val="00E97D69"/>
    <w:rsid w:val="00EA44D0"/>
    <w:rsid w:val="00EA4FE6"/>
    <w:rsid w:val="00EA5324"/>
    <w:rsid w:val="00EB052E"/>
    <w:rsid w:val="00EB05F0"/>
    <w:rsid w:val="00EB0C23"/>
    <w:rsid w:val="00EB0D99"/>
    <w:rsid w:val="00EB15FA"/>
    <w:rsid w:val="00EB1A58"/>
    <w:rsid w:val="00EB366F"/>
    <w:rsid w:val="00EB46A3"/>
    <w:rsid w:val="00EB4BE2"/>
    <w:rsid w:val="00EB5541"/>
    <w:rsid w:val="00EB5C1E"/>
    <w:rsid w:val="00EB69ED"/>
    <w:rsid w:val="00EB6F3B"/>
    <w:rsid w:val="00EB7825"/>
    <w:rsid w:val="00EC24E7"/>
    <w:rsid w:val="00EC31C4"/>
    <w:rsid w:val="00EC4279"/>
    <w:rsid w:val="00EC57E7"/>
    <w:rsid w:val="00EC71B1"/>
    <w:rsid w:val="00ED18B2"/>
    <w:rsid w:val="00ED2696"/>
    <w:rsid w:val="00ED26AD"/>
    <w:rsid w:val="00ED2843"/>
    <w:rsid w:val="00ED37E2"/>
    <w:rsid w:val="00ED4E0B"/>
    <w:rsid w:val="00ED5302"/>
    <w:rsid w:val="00EE03F4"/>
    <w:rsid w:val="00EE0CC4"/>
    <w:rsid w:val="00EE266D"/>
    <w:rsid w:val="00EF0705"/>
    <w:rsid w:val="00EF1EF5"/>
    <w:rsid w:val="00EF4775"/>
    <w:rsid w:val="00EF54C0"/>
    <w:rsid w:val="00EF6929"/>
    <w:rsid w:val="00EF69BD"/>
    <w:rsid w:val="00F006F6"/>
    <w:rsid w:val="00F008EF"/>
    <w:rsid w:val="00F02996"/>
    <w:rsid w:val="00F0404A"/>
    <w:rsid w:val="00F04F23"/>
    <w:rsid w:val="00F050F5"/>
    <w:rsid w:val="00F05976"/>
    <w:rsid w:val="00F11B29"/>
    <w:rsid w:val="00F11FDE"/>
    <w:rsid w:val="00F13097"/>
    <w:rsid w:val="00F15374"/>
    <w:rsid w:val="00F16007"/>
    <w:rsid w:val="00F1667B"/>
    <w:rsid w:val="00F16762"/>
    <w:rsid w:val="00F178C0"/>
    <w:rsid w:val="00F20350"/>
    <w:rsid w:val="00F205E5"/>
    <w:rsid w:val="00F210BA"/>
    <w:rsid w:val="00F23A08"/>
    <w:rsid w:val="00F24207"/>
    <w:rsid w:val="00F244F0"/>
    <w:rsid w:val="00F2720A"/>
    <w:rsid w:val="00F27249"/>
    <w:rsid w:val="00F27A0E"/>
    <w:rsid w:val="00F314CE"/>
    <w:rsid w:val="00F33FE8"/>
    <w:rsid w:val="00F35789"/>
    <w:rsid w:val="00F4012C"/>
    <w:rsid w:val="00F43216"/>
    <w:rsid w:val="00F4483D"/>
    <w:rsid w:val="00F469B4"/>
    <w:rsid w:val="00F5239E"/>
    <w:rsid w:val="00F526B2"/>
    <w:rsid w:val="00F52DF9"/>
    <w:rsid w:val="00F53B0F"/>
    <w:rsid w:val="00F5617F"/>
    <w:rsid w:val="00F60929"/>
    <w:rsid w:val="00F61A34"/>
    <w:rsid w:val="00F713E6"/>
    <w:rsid w:val="00F72960"/>
    <w:rsid w:val="00F729CE"/>
    <w:rsid w:val="00F72D20"/>
    <w:rsid w:val="00F72F9F"/>
    <w:rsid w:val="00F73CB4"/>
    <w:rsid w:val="00F73EF1"/>
    <w:rsid w:val="00F75EC5"/>
    <w:rsid w:val="00F76530"/>
    <w:rsid w:val="00F768C3"/>
    <w:rsid w:val="00F81C9C"/>
    <w:rsid w:val="00F85338"/>
    <w:rsid w:val="00F8608C"/>
    <w:rsid w:val="00F860A5"/>
    <w:rsid w:val="00F873B8"/>
    <w:rsid w:val="00F87400"/>
    <w:rsid w:val="00F912A5"/>
    <w:rsid w:val="00F93B77"/>
    <w:rsid w:val="00F95582"/>
    <w:rsid w:val="00F96B77"/>
    <w:rsid w:val="00FA1CD6"/>
    <w:rsid w:val="00FA3036"/>
    <w:rsid w:val="00FA4FAC"/>
    <w:rsid w:val="00FA68AE"/>
    <w:rsid w:val="00FA74E0"/>
    <w:rsid w:val="00FB02A3"/>
    <w:rsid w:val="00FB0C07"/>
    <w:rsid w:val="00FB1B94"/>
    <w:rsid w:val="00FB22A8"/>
    <w:rsid w:val="00FB2B65"/>
    <w:rsid w:val="00FB3DCF"/>
    <w:rsid w:val="00FB4F0D"/>
    <w:rsid w:val="00FB776B"/>
    <w:rsid w:val="00FC6D3A"/>
    <w:rsid w:val="00FC76C2"/>
    <w:rsid w:val="00FD14D4"/>
    <w:rsid w:val="00FD3F47"/>
    <w:rsid w:val="00FD48D2"/>
    <w:rsid w:val="00FD6317"/>
    <w:rsid w:val="00FD6C50"/>
    <w:rsid w:val="00FE013B"/>
    <w:rsid w:val="00FE072C"/>
    <w:rsid w:val="00FE0E79"/>
    <w:rsid w:val="00FE361A"/>
    <w:rsid w:val="00FE3AB7"/>
    <w:rsid w:val="00FE3B6B"/>
    <w:rsid w:val="00FE4854"/>
    <w:rsid w:val="00FE4B7C"/>
    <w:rsid w:val="00FF0420"/>
    <w:rsid w:val="00FF284F"/>
    <w:rsid w:val="00FF5F0D"/>
    <w:rsid w:val="00FF637B"/>
    <w:rsid w:val="00FF6751"/>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5752A-1E10-47EF-9F18-D2465A24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F2"/>
    <w:pPr>
      <w:spacing w:after="160" w:line="254" w:lineRule="auto"/>
    </w:pPr>
  </w:style>
  <w:style w:type="paragraph" w:styleId="Heading2">
    <w:name w:val="heading 2"/>
    <w:basedOn w:val="Normal"/>
    <w:next w:val="Normal"/>
    <w:link w:val="Heading2Char"/>
    <w:uiPriority w:val="9"/>
    <w:unhideWhenUsed/>
    <w:qFormat/>
    <w:rsid w:val="00C52C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5D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AF2"/>
    <w:rPr>
      <w:rFonts w:ascii="Tahoma" w:hAnsi="Tahoma" w:cs="Tahoma"/>
      <w:sz w:val="16"/>
      <w:szCs w:val="16"/>
    </w:rPr>
  </w:style>
  <w:style w:type="paragraph" w:styleId="ListParagraph">
    <w:name w:val="List Paragraph"/>
    <w:basedOn w:val="Normal"/>
    <w:uiPriority w:val="34"/>
    <w:qFormat/>
    <w:rsid w:val="00DB2659"/>
    <w:pPr>
      <w:ind w:left="720"/>
      <w:contextualSpacing/>
    </w:pPr>
  </w:style>
  <w:style w:type="paragraph" w:styleId="Header">
    <w:name w:val="header"/>
    <w:basedOn w:val="Normal"/>
    <w:link w:val="HeaderChar"/>
    <w:uiPriority w:val="99"/>
    <w:unhideWhenUsed/>
    <w:rsid w:val="00ED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E0B"/>
  </w:style>
  <w:style w:type="paragraph" w:styleId="Footer">
    <w:name w:val="footer"/>
    <w:basedOn w:val="Normal"/>
    <w:link w:val="FooterChar"/>
    <w:uiPriority w:val="99"/>
    <w:unhideWhenUsed/>
    <w:rsid w:val="00ED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0B"/>
  </w:style>
  <w:style w:type="paragraph" w:styleId="NormalWeb">
    <w:name w:val="Normal (Web)"/>
    <w:basedOn w:val="Normal"/>
    <w:uiPriority w:val="99"/>
    <w:unhideWhenUsed/>
    <w:rsid w:val="0040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13F5"/>
  </w:style>
  <w:style w:type="character" w:styleId="Hyperlink">
    <w:name w:val="Hyperlink"/>
    <w:basedOn w:val="DefaultParagraphFont"/>
    <w:uiPriority w:val="99"/>
    <w:semiHidden/>
    <w:unhideWhenUsed/>
    <w:rsid w:val="004013F5"/>
    <w:rPr>
      <w:color w:val="0000FF"/>
      <w:u w:val="single"/>
    </w:rPr>
  </w:style>
  <w:style w:type="character" w:customStyle="1" w:styleId="Heading2Char">
    <w:name w:val="Heading 2 Char"/>
    <w:basedOn w:val="DefaultParagraphFont"/>
    <w:link w:val="Heading2"/>
    <w:uiPriority w:val="9"/>
    <w:rsid w:val="00C52C98"/>
    <w:rPr>
      <w:rFonts w:asciiTheme="majorHAnsi" w:eastAsiaTheme="majorEastAsia" w:hAnsiTheme="majorHAnsi" w:cstheme="majorBidi"/>
      <w:color w:val="365F91" w:themeColor="accent1" w:themeShade="BF"/>
      <w:sz w:val="26"/>
      <w:szCs w:val="26"/>
    </w:rPr>
  </w:style>
  <w:style w:type="paragraph" w:customStyle="1" w:styleId="western">
    <w:name w:val="western"/>
    <w:basedOn w:val="Normal"/>
    <w:rsid w:val="009F4EA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43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DC5"/>
    <w:rPr>
      <w:sz w:val="20"/>
      <w:szCs w:val="20"/>
    </w:rPr>
  </w:style>
  <w:style w:type="character" w:styleId="FootnoteReference">
    <w:name w:val="footnote reference"/>
    <w:basedOn w:val="DefaultParagraphFont"/>
    <w:uiPriority w:val="99"/>
    <w:semiHidden/>
    <w:unhideWhenUsed/>
    <w:rsid w:val="00543DC5"/>
    <w:rPr>
      <w:vertAlign w:val="superscript"/>
    </w:rPr>
  </w:style>
  <w:style w:type="character" w:customStyle="1" w:styleId="Heading3Char">
    <w:name w:val="Heading 3 Char"/>
    <w:basedOn w:val="DefaultParagraphFont"/>
    <w:link w:val="Heading3"/>
    <w:uiPriority w:val="9"/>
    <w:rsid w:val="00575D5C"/>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4221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144"/>
    <w:rPr>
      <w:sz w:val="20"/>
      <w:szCs w:val="20"/>
    </w:rPr>
  </w:style>
  <w:style w:type="character" w:styleId="EndnoteReference">
    <w:name w:val="endnote reference"/>
    <w:basedOn w:val="DefaultParagraphFont"/>
    <w:uiPriority w:val="99"/>
    <w:semiHidden/>
    <w:unhideWhenUsed/>
    <w:rsid w:val="00422144"/>
    <w:rPr>
      <w:vertAlign w:val="superscript"/>
    </w:rPr>
  </w:style>
  <w:style w:type="paragraph" w:customStyle="1" w:styleId="Style3">
    <w:name w:val="Style3"/>
    <w:basedOn w:val="Normal"/>
    <w:next w:val="Normal"/>
    <w:uiPriority w:val="99"/>
    <w:rsid w:val="00A9679F"/>
    <w:pPr>
      <w:widowControl w:val="0"/>
      <w:autoSpaceDE w:val="0"/>
      <w:autoSpaceDN w:val="0"/>
      <w:adjustRightInd w:val="0"/>
      <w:spacing w:after="0" w:line="240" w:lineRule="auto"/>
    </w:pPr>
    <w:rPr>
      <w:rFonts w:ascii="Cambria" w:eastAsia="Times New Roman" w:hAnsi="Cambria" w:cs="Cambria"/>
      <w:sz w:val="24"/>
      <w:szCs w:val="24"/>
    </w:rPr>
  </w:style>
  <w:style w:type="character" w:customStyle="1" w:styleId="FontStyle30">
    <w:name w:val="Font Style30"/>
    <w:basedOn w:val="DefaultParagraphFont"/>
    <w:uiPriority w:val="99"/>
    <w:rsid w:val="00A9679F"/>
    <w:rPr>
      <w:sz w:val="26"/>
      <w:szCs w:val="26"/>
    </w:rPr>
  </w:style>
  <w:style w:type="character" w:customStyle="1" w:styleId="FontStyle31">
    <w:name w:val="Font Style31"/>
    <w:basedOn w:val="DefaultParagraphFont"/>
    <w:uiPriority w:val="99"/>
    <w:rsid w:val="00A9679F"/>
    <w:rPr>
      <w:rFonts w:ascii="Times New Roman" w:eastAsia="Times New Roman" w:hAnsi="Times New Roman" w:cs="Times New Roman"/>
      <w:sz w:val="22"/>
      <w:szCs w:val="22"/>
    </w:rPr>
  </w:style>
  <w:style w:type="character" w:customStyle="1" w:styleId="FontStyle35">
    <w:name w:val="Font Style35"/>
    <w:basedOn w:val="DefaultParagraphFont"/>
    <w:uiPriority w:val="99"/>
    <w:rsid w:val="00A9679F"/>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654">
      <w:bodyDiv w:val="1"/>
      <w:marLeft w:val="0"/>
      <w:marRight w:val="0"/>
      <w:marTop w:val="0"/>
      <w:marBottom w:val="0"/>
      <w:divBdr>
        <w:top w:val="none" w:sz="0" w:space="0" w:color="auto"/>
        <w:left w:val="none" w:sz="0" w:space="0" w:color="auto"/>
        <w:bottom w:val="none" w:sz="0" w:space="0" w:color="auto"/>
        <w:right w:val="none" w:sz="0" w:space="0" w:color="auto"/>
      </w:divBdr>
    </w:div>
    <w:div w:id="97868368">
      <w:bodyDiv w:val="1"/>
      <w:marLeft w:val="0"/>
      <w:marRight w:val="0"/>
      <w:marTop w:val="0"/>
      <w:marBottom w:val="0"/>
      <w:divBdr>
        <w:top w:val="none" w:sz="0" w:space="0" w:color="auto"/>
        <w:left w:val="none" w:sz="0" w:space="0" w:color="auto"/>
        <w:bottom w:val="none" w:sz="0" w:space="0" w:color="auto"/>
        <w:right w:val="none" w:sz="0" w:space="0" w:color="auto"/>
      </w:divBdr>
    </w:div>
    <w:div w:id="215555695">
      <w:bodyDiv w:val="1"/>
      <w:marLeft w:val="0"/>
      <w:marRight w:val="0"/>
      <w:marTop w:val="0"/>
      <w:marBottom w:val="0"/>
      <w:divBdr>
        <w:top w:val="none" w:sz="0" w:space="0" w:color="auto"/>
        <w:left w:val="none" w:sz="0" w:space="0" w:color="auto"/>
        <w:bottom w:val="none" w:sz="0" w:space="0" w:color="auto"/>
        <w:right w:val="none" w:sz="0" w:space="0" w:color="auto"/>
      </w:divBdr>
    </w:div>
    <w:div w:id="224220516">
      <w:bodyDiv w:val="1"/>
      <w:marLeft w:val="0"/>
      <w:marRight w:val="0"/>
      <w:marTop w:val="0"/>
      <w:marBottom w:val="0"/>
      <w:divBdr>
        <w:top w:val="none" w:sz="0" w:space="0" w:color="auto"/>
        <w:left w:val="none" w:sz="0" w:space="0" w:color="auto"/>
        <w:bottom w:val="none" w:sz="0" w:space="0" w:color="auto"/>
        <w:right w:val="none" w:sz="0" w:space="0" w:color="auto"/>
      </w:divBdr>
    </w:div>
    <w:div w:id="319113562">
      <w:bodyDiv w:val="1"/>
      <w:marLeft w:val="0"/>
      <w:marRight w:val="0"/>
      <w:marTop w:val="0"/>
      <w:marBottom w:val="0"/>
      <w:divBdr>
        <w:top w:val="none" w:sz="0" w:space="0" w:color="auto"/>
        <w:left w:val="none" w:sz="0" w:space="0" w:color="auto"/>
        <w:bottom w:val="none" w:sz="0" w:space="0" w:color="auto"/>
        <w:right w:val="none" w:sz="0" w:space="0" w:color="auto"/>
      </w:divBdr>
    </w:div>
    <w:div w:id="379475786">
      <w:bodyDiv w:val="1"/>
      <w:marLeft w:val="0"/>
      <w:marRight w:val="0"/>
      <w:marTop w:val="0"/>
      <w:marBottom w:val="0"/>
      <w:divBdr>
        <w:top w:val="none" w:sz="0" w:space="0" w:color="auto"/>
        <w:left w:val="none" w:sz="0" w:space="0" w:color="auto"/>
        <w:bottom w:val="none" w:sz="0" w:space="0" w:color="auto"/>
        <w:right w:val="none" w:sz="0" w:space="0" w:color="auto"/>
      </w:divBdr>
    </w:div>
    <w:div w:id="454445823">
      <w:bodyDiv w:val="1"/>
      <w:marLeft w:val="0"/>
      <w:marRight w:val="0"/>
      <w:marTop w:val="0"/>
      <w:marBottom w:val="0"/>
      <w:divBdr>
        <w:top w:val="none" w:sz="0" w:space="0" w:color="auto"/>
        <w:left w:val="none" w:sz="0" w:space="0" w:color="auto"/>
        <w:bottom w:val="none" w:sz="0" w:space="0" w:color="auto"/>
        <w:right w:val="none" w:sz="0" w:space="0" w:color="auto"/>
      </w:divBdr>
    </w:div>
    <w:div w:id="539052374">
      <w:bodyDiv w:val="1"/>
      <w:marLeft w:val="0"/>
      <w:marRight w:val="0"/>
      <w:marTop w:val="0"/>
      <w:marBottom w:val="0"/>
      <w:divBdr>
        <w:top w:val="none" w:sz="0" w:space="0" w:color="auto"/>
        <w:left w:val="none" w:sz="0" w:space="0" w:color="auto"/>
        <w:bottom w:val="none" w:sz="0" w:space="0" w:color="auto"/>
        <w:right w:val="none" w:sz="0" w:space="0" w:color="auto"/>
      </w:divBdr>
    </w:div>
    <w:div w:id="561138207">
      <w:bodyDiv w:val="1"/>
      <w:marLeft w:val="0"/>
      <w:marRight w:val="0"/>
      <w:marTop w:val="0"/>
      <w:marBottom w:val="0"/>
      <w:divBdr>
        <w:top w:val="none" w:sz="0" w:space="0" w:color="auto"/>
        <w:left w:val="none" w:sz="0" w:space="0" w:color="auto"/>
        <w:bottom w:val="none" w:sz="0" w:space="0" w:color="auto"/>
        <w:right w:val="none" w:sz="0" w:space="0" w:color="auto"/>
      </w:divBdr>
    </w:div>
    <w:div w:id="608894985">
      <w:bodyDiv w:val="1"/>
      <w:marLeft w:val="0"/>
      <w:marRight w:val="0"/>
      <w:marTop w:val="0"/>
      <w:marBottom w:val="0"/>
      <w:divBdr>
        <w:top w:val="none" w:sz="0" w:space="0" w:color="auto"/>
        <w:left w:val="none" w:sz="0" w:space="0" w:color="auto"/>
        <w:bottom w:val="none" w:sz="0" w:space="0" w:color="auto"/>
        <w:right w:val="none" w:sz="0" w:space="0" w:color="auto"/>
      </w:divBdr>
    </w:div>
    <w:div w:id="762536649">
      <w:bodyDiv w:val="1"/>
      <w:marLeft w:val="0"/>
      <w:marRight w:val="0"/>
      <w:marTop w:val="0"/>
      <w:marBottom w:val="0"/>
      <w:divBdr>
        <w:top w:val="none" w:sz="0" w:space="0" w:color="auto"/>
        <w:left w:val="none" w:sz="0" w:space="0" w:color="auto"/>
        <w:bottom w:val="none" w:sz="0" w:space="0" w:color="auto"/>
        <w:right w:val="none" w:sz="0" w:space="0" w:color="auto"/>
      </w:divBdr>
    </w:div>
    <w:div w:id="877165134">
      <w:bodyDiv w:val="1"/>
      <w:marLeft w:val="0"/>
      <w:marRight w:val="0"/>
      <w:marTop w:val="0"/>
      <w:marBottom w:val="0"/>
      <w:divBdr>
        <w:top w:val="none" w:sz="0" w:space="0" w:color="auto"/>
        <w:left w:val="none" w:sz="0" w:space="0" w:color="auto"/>
        <w:bottom w:val="none" w:sz="0" w:space="0" w:color="auto"/>
        <w:right w:val="none" w:sz="0" w:space="0" w:color="auto"/>
      </w:divBdr>
    </w:div>
    <w:div w:id="929853039">
      <w:bodyDiv w:val="1"/>
      <w:marLeft w:val="0"/>
      <w:marRight w:val="0"/>
      <w:marTop w:val="0"/>
      <w:marBottom w:val="0"/>
      <w:divBdr>
        <w:top w:val="none" w:sz="0" w:space="0" w:color="auto"/>
        <w:left w:val="none" w:sz="0" w:space="0" w:color="auto"/>
        <w:bottom w:val="none" w:sz="0" w:space="0" w:color="auto"/>
        <w:right w:val="none" w:sz="0" w:space="0" w:color="auto"/>
      </w:divBdr>
    </w:div>
    <w:div w:id="1037127091">
      <w:bodyDiv w:val="1"/>
      <w:marLeft w:val="0"/>
      <w:marRight w:val="0"/>
      <w:marTop w:val="0"/>
      <w:marBottom w:val="0"/>
      <w:divBdr>
        <w:top w:val="none" w:sz="0" w:space="0" w:color="auto"/>
        <w:left w:val="none" w:sz="0" w:space="0" w:color="auto"/>
        <w:bottom w:val="none" w:sz="0" w:space="0" w:color="auto"/>
        <w:right w:val="none" w:sz="0" w:space="0" w:color="auto"/>
      </w:divBdr>
    </w:div>
    <w:div w:id="1175535628">
      <w:bodyDiv w:val="1"/>
      <w:marLeft w:val="0"/>
      <w:marRight w:val="0"/>
      <w:marTop w:val="0"/>
      <w:marBottom w:val="0"/>
      <w:divBdr>
        <w:top w:val="none" w:sz="0" w:space="0" w:color="auto"/>
        <w:left w:val="none" w:sz="0" w:space="0" w:color="auto"/>
        <w:bottom w:val="none" w:sz="0" w:space="0" w:color="auto"/>
        <w:right w:val="none" w:sz="0" w:space="0" w:color="auto"/>
      </w:divBdr>
    </w:div>
    <w:div w:id="1270744126">
      <w:bodyDiv w:val="1"/>
      <w:marLeft w:val="0"/>
      <w:marRight w:val="0"/>
      <w:marTop w:val="0"/>
      <w:marBottom w:val="0"/>
      <w:divBdr>
        <w:top w:val="none" w:sz="0" w:space="0" w:color="auto"/>
        <w:left w:val="none" w:sz="0" w:space="0" w:color="auto"/>
        <w:bottom w:val="none" w:sz="0" w:space="0" w:color="auto"/>
        <w:right w:val="none" w:sz="0" w:space="0" w:color="auto"/>
      </w:divBdr>
    </w:div>
    <w:div w:id="1309481888">
      <w:bodyDiv w:val="1"/>
      <w:marLeft w:val="0"/>
      <w:marRight w:val="0"/>
      <w:marTop w:val="0"/>
      <w:marBottom w:val="0"/>
      <w:divBdr>
        <w:top w:val="none" w:sz="0" w:space="0" w:color="auto"/>
        <w:left w:val="none" w:sz="0" w:space="0" w:color="auto"/>
        <w:bottom w:val="none" w:sz="0" w:space="0" w:color="auto"/>
        <w:right w:val="none" w:sz="0" w:space="0" w:color="auto"/>
      </w:divBdr>
    </w:div>
    <w:div w:id="1496147107">
      <w:bodyDiv w:val="1"/>
      <w:marLeft w:val="0"/>
      <w:marRight w:val="0"/>
      <w:marTop w:val="0"/>
      <w:marBottom w:val="0"/>
      <w:divBdr>
        <w:top w:val="none" w:sz="0" w:space="0" w:color="auto"/>
        <w:left w:val="none" w:sz="0" w:space="0" w:color="auto"/>
        <w:bottom w:val="none" w:sz="0" w:space="0" w:color="auto"/>
        <w:right w:val="none" w:sz="0" w:space="0" w:color="auto"/>
      </w:divBdr>
    </w:div>
    <w:div w:id="1522040350">
      <w:bodyDiv w:val="1"/>
      <w:marLeft w:val="0"/>
      <w:marRight w:val="0"/>
      <w:marTop w:val="0"/>
      <w:marBottom w:val="0"/>
      <w:divBdr>
        <w:top w:val="none" w:sz="0" w:space="0" w:color="auto"/>
        <w:left w:val="none" w:sz="0" w:space="0" w:color="auto"/>
        <w:bottom w:val="none" w:sz="0" w:space="0" w:color="auto"/>
        <w:right w:val="none" w:sz="0" w:space="0" w:color="auto"/>
      </w:divBdr>
    </w:div>
    <w:div w:id="1550343677">
      <w:bodyDiv w:val="1"/>
      <w:marLeft w:val="0"/>
      <w:marRight w:val="0"/>
      <w:marTop w:val="0"/>
      <w:marBottom w:val="0"/>
      <w:divBdr>
        <w:top w:val="none" w:sz="0" w:space="0" w:color="auto"/>
        <w:left w:val="none" w:sz="0" w:space="0" w:color="auto"/>
        <w:bottom w:val="none" w:sz="0" w:space="0" w:color="auto"/>
        <w:right w:val="none" w:sz="0" w:space="0" w:color="auto"/>
      </w:divBdr>
    </w:div>
    <w:div w:id="1669286067">
      <w:bodyDiv w:val="1"/>
      <w:marLeft w:val="0"/>
      <w:marRight w:val="0"/>
      <w:marTop w:val="0"/>
      <w:marBottom w:val="0"/>
      <w:divBdr>
        <w:top w:val="none" w:sz="0" w:space="0" w:color="auto"/>
        <w:left w:val="none" w:sz="0" w:space="0" w:color="auto"/>
        <w:bottom w:val="none" w:sz="0" w:space="0" w:color="auto"/>
        <w:right w:val="none" w:sz="0" w:space="0" w:color="auto"/>
      </w:divBdr>
    </w:div>
    <w:div w:id="1759668816">
      <w:bodyDiv w:val="1"/>
      <w:marLeft w:val="0"/>
      <w:marRight w:val="0"/>
      <w:marTop w:val="0"/>
      <w:marBottom w:val="0"/>
      <w:divBdr>
        <w:top w:val="none" w:sz="0" w:space="0" w:color="auto"/>
        <w:left w:val="none" w:sz="0" w:space="0" w:color="auto"/>
        <w:bottom w:val="none" w:sz="0" w:space="0" w:color="auto"/>
        <w:right w:val="none" w:sz="0" w:space="0" w:color="auto"/>
      </w:divBdr>
    </w:div>
    <w:div w:id="1826965790">
      <w:bodyDiv w:val="1"/>
      <w:marLeft w:val="0"/>
      <w:marRight w:val="0"/>
      <w:marTop w:val="0"/>
      <w:marBottom w:val="0"/>
      <w:divBdr>
        <w:top w:val="none" w:sz="0" w:space="0" w:color="auto"/>
        <w:left w:val="none" w:sz="0" w:space="0" w:color="auto"/>
        <w:bottom w:val="none" w:sz="0" w:space="0" w:color="auto"/>
        <w:right w:val="none" w:sz="0" w:space="0" w:color="auto"/>
      </w:divBdr>
    </w:div>
    <w:div w:id="1921482621">
      <w:bodyDiv w:val="1"/>
      <w:marLeft w:val="0"/>
      <w:marRight w:val="0"/>
      <w:marTop w:val="0"/>
      <w:marBottom w:val="0"/>
      <w:divBdr>
        <w:top w:val="none" w:sz="0" w:space="0" w:color="auto"/>
        <w:left w:val="none" w:sz="0" w:space="0" w:color="auto"/>
        <w:bottom w:val="none" w:sz="0" w:space="0" w:color="auto"/>
        <w:right w:val="none" w:sz="0" w:space="0" w:color="auto"/>
      </w:divBdr>
    </w:div>
    <w:div w:id="1950963923">
      <w:bodyDiv w:val="1"/>
      <w:marLeft w:val="0"/>
      <w:marRight w:val="0"/>
      <w:marTop w:val="0"/>
      <w:marBottom w:val="0"/>
      <w:divBdr>
        <w:top w:val="none" w:sz="0" w:space="0" w:color="auto"/>
        <w:left w:val="none" w:sz="0" w:space="0" w:color="auto"/>
        <w:bottom w:val="none" w:sz="0" w:space="0" w:color="auto"/>
        <w:right w:val="none" w:sz="0" w:space="0" w:color="auto"/>
      </w:divBdr>
    </w:div>
    <w:div w:id="20569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cgi-bin/LawCite?cit=%5b2005%5d%202%20All%20SA%20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2005%20%282%29%20SA%202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flii.org/cgi-bin/LawCite?cit=%5b1993%5d%201%20All%20SA%203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5b2000%5d%203%20All%20SA%20247" TargetMode="External"/><Relationship Id="rId5" Type="http://schemas.openxmlformats.org/officeDocument/2006/relationships/webSettings" Target="webSettings.xml"/><Relationship Id="rId15" Type="http://schemas.openxmlformats.org/officeDocument/2006/relationships/hyperlink" Target="http://www.saflii.org/cgi-bin/LawCite?cit=1993%20%281%29%20SA%20768" TargetMode="External"/><Relationship Id="rId10" Type="http://schemas.openxmlformats.org/officeDocument/2006/relationships/hyperlink" Target="http://www.saflii.org/cgi-bin/LawCite?cit=2000%20%284%29%20SA%204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flii.org/cgi-bin/LawCite?cit=%5b1969%5d%201%20QB%20699" TargetMode="External"/><Relationship Id="rId14" Type="http://schemas.openxmlformats.org/officeDocument/2006/relationships/hyperlink" Target="http://www.saflii.org/za/cases/ZASCA/1992/1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7E88-DF6A-4538-8849-68230EE4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7490</Words>
  <Characters>42697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Nong</dc:creator>
  <cp:lastModifiedBy>HOME</cp:lastModifiedBy>
  <cp:revision>2</cp:revision>
  <cp:lastPrinted>2022-08-11T11:09:00Z</cp:lastPrinted>
  <dcterms:created xsi:type="dcterms:W3CDTF">2022-08-18T17:00:00Z</dcterms:created>
  <dcterms:modified xsi:type="dcterms:W3CDTF">2022-08-18T17:00:00Z</dcterms:modified>
</cp:coreProperties>
</file>