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85" w:rsidRPr="0097259F" w:rsidRDefault="00972885" w:rsidP="00972885">
      <w:pPr>
        <w:spacing w:after="120"/>
        <w:jc w:val="center"/>
        <w:rPr>
          <w:b/>
          <w:u w:val="none"/>
          <w:lang w:val="en-ZA"/>
        </w:rPr>
      </w:pPr>
      <w:r w:rsidRPr="0097259F">
        <w:rPr>
          <w:b/>
          <w:u w:val="none"/>
          <w:lang w:val="en-ZA"/>
        </w:rPr>
        <w:t>REPUBLIC OF SOUTH AFRICA</w:t>
      </w:r>
    </w:p>
    <w:p w:rsidR="00972885" w:rsidRPr="0097259F" w:rsidRDefault="00972885" w:rsidP="00972885">
      <w:pPr>
        <w:jc w:val="center"/>
        <w:rPr>
          <w:b/>
          <w:u w:val="none"/>
          <w:lang w:val="en-ZA"/>
        </w:rPr>
      </w:pPr>
      <w:r w:rsidRPr="0097259F">
        <w:rPr>
          <w:b/>
          <w:noProof/>
          <w:u w:val="none"/>
          <w:lang w:val="en-ZA" w:eastAsia="en-ZA"/>
        </w:rPr>
        <w:drawing>
          <wp:inline distT="0" distB="0" distL="0" distR="0" wp14:anchorId="038E06D0" wp14:editId="7AA80697">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rsidR="00972885" w:rsidRPr="0097259F" w:rsidRDefault="00972885" w:rsidP="00972885">
      <w:pPr>
        <w:spacing w:before="120"/>
        <w:jc w:val="center"/>
        <w:rPr>
          <w:b/>
          <w:u w:val="none"/>
          <w:lang w:val="en-ZA"/>
        </w:rPr>
      </w:pPr>
      <w:r w:rsidRPr="0097259F">
        <w:rPr>
          <w:b/>
          <w:u w:val="none"/>
          <w:lang w:val="en-ZA"/>
        </w:rPr>
        <w:t>IN THE HIGH COURT OF SOUTH AFRICA</w:t>
      </w:r>
    </w:p>
    <w:p w:rsidR="00972885" w:rsidRPr="0097259F" w:rsidRDefault="00972885" w:rsidP="00972885">
      <w:pPr>
        <w:jc w:val="center"/>
        <w:rPr>
          <w:b/>
          <w:u w:val="none"/>
          <w:lang w:val="en-ZA"/>
        </w:rPr>
      </w:pPr>
      <w:r w:rsidRPr="0097259F">
        <w:rPr>
          <w:b/>
          <w:u w:val="none"/>
          <w:lang w:val="en-ZA"/>
        </w:rPr>
        <w:t>GAUTENG DIVISION, JOHANNEBURG</w:t>
      </w:r>
    </w:p>
    <w:p w:rsidR="00972885" w:rsidRPr="0097259F" w:rsidRDefault="00972885" w:rsidP="00972885">
      <w:pPr>
        <w:jc w:val="center"/>
        <w:rPr>
          <w:b/>
          <w:u w:val="none"/>
          <w:lang w:val="en-ZA"/>
        </w:rPr>
      </w:pPr>
    </w:p>
    <w:p w:rsidR="00972885" w:rsidRPr="0097259F" w:rsidRDefault="00972885" w:rsidP="00972885">
      <w:pPr>
        <w:jc w:val="right"/>
        <w:rPr>
          <w:b/>
          <w:u w:val="none"/>
        </w:rPr>
      </w:pPr>
      <w:r w:rsidRPr="0097259F">
        <w:rPr>
          <w:b/>
          <w:u w:val="none"/>
          <w:lang w:val="en-ZA"/>
        </w:rPr>
        <w:t>CASE NO</w:t>
      </w:r>
      <w:r w:rsidR="007932EB" w:rsidRPr="0097259F">
        <w:rPr>
          <w:b/>
          <w:u w:val="none"/>
          <w:lang w:val="en-ZA"/>
        </w:rPr>
        <w:t xml:space="preserve">: </w:t>
      </w:r>
      <w:r w:rsidR="007932EB" w:rsidRPr="0097259F">
        <w:rPr>
          <w:b/>
          <w:u w:val="none"/>
        </w:rPr>
        <w:t>42861/21</w:t>
      </w:r>
    </w:p>
    <w:p w:rsidR="007932EB" w:rsidRPr="0097259F" w:rsidRDefault="007932EB" w:rsidP="00972885">
      <w:pPr>
        <w:jc w:val="right"/>
        <w:rPr>
          <w:b/>
          <w:u w:val="none"/>
          <w:lang w:val="en-ZA"/>
        </w:rPr>
      </w:pPr>
      <w:r w:rsidRPr="0097259F">
        <w:rPr>
          <w:b/>
          <w:u w:val="none"/>
          <w:lang w:val="en-ZA"/>
        </w:rPr>
        <w:t>CASE NO</w:t>
      </w:r>
      <w:r w:rsidRPr="0097259F">
        <w:rPr>
          <w:b/>
          <w:u w:val="none"/>
        </w:rPr>
        <w:t>: 42862/21</w:t>
      </w:r>
    </w:p>
    <w:p w:rsidR="00972885" w:rsidRPr="0097259F" w:rsidRDefault="00972885" w:rsidP="00972885">
      <w:pPr>
        <w:jc w:val="both"/>
        <w:rPr>
          <w:u w:val="none"/>
        </w:rPr>
      </w:pPr>
    </w:p>
    <w:p w:rsidR="00972885" w:rsidRPr="0097259F" w:rsidRDefault="00972885" w:rsidP="00972885">
      <w:pPr>
        <w:jc w:val="both"/>
      </w:pPr>
    </w:p>
    <w:p w:rsidR="00972885" w:rsidRPr="0097259F" w:rsidRDefault="00972885" w:rsidP="00972885">
      <w:pPr>
        <w:jc w:val="both"/>
      </w:pPr>
      <w:r w:rsidRPr="0097259F">
        <w:rPr>
          <w:noProof/>
          <w:lang w:val="en-ZA" w:eastAsia="en-ZA"/>
        </w:rPr>
        <mc:AlternateContent>
          <mc:Choice Requires="wps">
            <w:drawing>
              <wp:anchor distT="0" distB="0" distL="114300" distR="114300" simplePos="0" relativeHeight="251659264" behindDoc="0" locked="0" layoutInCell="1" allowOverlap="1" wp14:anchorId="1B11D56E" wp14:editId="16359922">
                <wp:simplePos x="0" y="0"/>
                <wp:positionH relativeFrom="column">
                  <wp:posOffset>0</wp:posOffset>
                </wp:positionH>
                <wp:positionV relativeFrom="paragraph">
                  <wp:posOffset>49530</wp:posOffset>
                </wp:positionV>
                <wp:extent cx="3291840" cy="1311910"/>
                <wp:effectExtent l="0" t="0" r="22860" b="21590"/>
                <wp:wrapThrough wrapText="bothSides">
                  <wp:wrapPolygon edited="0">
                    <wp:start x="0" y="0"/>
                    <wp:lineTo x="0" y="21642"/>
                    <wp:lineTo x="21625" y="21642"/>
                    <wp:lineTo x="21625"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rsidR="00950FD7" w:rsidRDefault="00950FD7" w:rsidP="00972885">
                            <w:pPr>
                              <w:rPr>
                                <w:sz w:val="20"/>
                                <w:szCs w:val="20"/>
                              </w:rPr>
                            </w:pPr>
                          </w:p>
                          <w:p w:rsidR="00950FD7" w:rsidRPr="004B32DC" w:rsidRDefault="00067912" w:rsidP="00067912">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rsidR="00950FD7" w:rsidRPr="004B32DC" w:rsidRDefault="00067912" w:rsidP="00067912">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rsidR="00950FD7" w:rsidRPr="004B32DC" w:rsidRDefault="00067912" w:rsidP="00067912">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7932EB">
                              <w:rPr>
                                <w:sz w:val="20"/>
                                <w:szCs w:val="20"/>
                              </w:rPr>
                              <w:t>: NO</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B96819">
                              <w:rPr>
                                <w:b/>
                                <w:sz w:val="18"/>
                                <w:szCs w:val="18"/>
                                <w:u w:val="none"/>
                              </w:rPr>
                              <w:t>[ 15</w:t>
                            </w:r>
                            <w:r>
                              <w:rPr>
                                <w:b/>
                                <w:sz w:val="18"/>
                                <w:szCs w:val="18"/>
                                <w:u w:val="none"/>
                              </w:rPr>
                              <w:t xml:space="preserve"> </w:t>
                            </w:r>
                            <w:r w:rsidR="007932EB">
                              <w:rPr>
                                <w:b/>
                                <w:sz w:val="18"/>
                                <w:szCs w:val="18"/>
                                <w:u w:val="none"/>
                              </w:rPr>
                              <w:t xml:space="preserve">AUGUST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1D56E" id="_x0000_t202" coordsize="21600,21600" o:spt="202" path="m,l,21600r21600,l21600,xe">
                <v:stroke joinstyle="miter"/>
                <v:path gradientshapeok="t" o:connecttype="rect"/>
              </v:shapetype>
              <v:shape id="Text Box 1" o:spid="_x0000_s1026" type="#_x0000_t202" style="position:absolute;left:0;text-align:left;margin-left:0;margin-top:3.9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">
                <v:textbox>
                  <w:txbxContent>
                    <w:p w:rsidR="00950FD7" w:rsidRDefault="00950FD7" w:rsidP="00972885">
                      <w:pPr>
                        <w:rPr>
                          <w:sz w:val="20"/>
                          <w:szCs w:val="20"/>
                        </w:rPr>
                      </w:pPr>
                    </w:p>
                    <w:p w:rsidR="00950FD7" w:rsidRPr="004B32DC" w:rsidRDefault="00067912" w:rsidP="00067912">
                      <w:pPr>
                        <w:spacing w:before="120"/>
                        <w:ind w:left="567" w:hanging="386"/>
                        <w:rPr>
                          <w:sz w:val="20"/>
                          <w:szCs w:val="20"/>
                        </w:rPr>
                      </w:pPr>
                      <w:r w:rsidRPr="004B32DC">
                        <w:rPr>
                          <w:sz w:val="20"/>
                          <w:szCs w:val="20"/>
                          <w:u w:val="none"/>
                        </w:rPr>
                        <w:t>(1)</w:t>
                      </w:r>
                      <w:r w:rsidRPr="004B32DC">
                        <w:rPr>
                          <w:sz w:val="20"/>
                          <w:szCs w:val="20"/>
                          <w:u w:val="none"/>
                        </w:rPr>
                        <w:tab/>
                      </w:r>
                      <w:r w:rsidR="00950FD7">
                        <w:rPr>
                          <w:sz w:val="20"/>
                          <w:szCs w:val="20"/>
                        </w:rPr>
                        <w:t xml:space="preserve">REPORTABLE: </w:t>
                      </w:r>
                      <w:r w:rsidR="00950FD7" w:rsidRPr="004B32DC">
                        <w:rPr>
                          <w:sz w:val="20"/>
                          <w:szCs w:val="20"/>
                        </w:rPr>
                        <w:t xml:space="preserve"> NO</w:t>
                      </w:r>
                    </w:p>
                    <w:p w:rsidR="00950FD7" w:rsidRPr="004B32DC" w:rsidRDefault="00067912" w:rsidP="00067912">
                      <w:pPr>
                        <w:ind w:left="567" w:hanging="386"/>
                        <w:rPr>
                          <w:sz w:val="20"/>
                          <w:szCs w:val="20"/>
                        </w:rPr>
                      </w:pPr>
                      <w:r w:rsidRPr="004B32DC">
                        <w:rPr>
                          <w:sz w:val="20"/>
                          <w:szCs w:val="20"/>
                          <w:u w:val="none"/>
                        </w:rPr>
                        <w:t>(2)</w:t>
                      </w:r>
                      <w:r w:rsidRPr="004B32DC">
                        <w:rPr>
                          <w:sz w:val="20"/>
                          <w:szCs w:val="20"/>
                          <w:u w:val="none"/>
                        </w:rPr>
                        <w:tab/>
                      </w:r>
                      <w:r w:rsidR="00950FD7" w:rsidRPr="004B32DC">
                        <w:rPr>
                          <w:sz w:val="20"/>
                          <w:szCs w:val="20"/>
                        </w:rPr>
                        <w:t>OF INTEREST TO OTHER JU</w:t>
                      </w:r>
                      <w:r w:rsidR="00950FD7">
                        <w:rPr>
                          <w:sz w:val="20"/>
                          <w:szCs w:val="20"/>
                        </w:rPr>
                        <w:t xml:space="preserve">DGES: </w:t>
                      </w:r>
                      <w:r w:rsidR="00950FD7" w:rsidRPr="004B32DC">
                        <w:rPr>
                          <w:sz w:val="20"/>
                          <w:szCs w:val="20"/>
                        </w:rPr>
                        <w:t xml:space="preserve"> NO</w:t>
                      </w:r>
                    </w:p>
                    <w:p w:rsidR="00950FD7" w:rsidRPr="004B32DC" w:rsidRDefault="00067912" w:rsidP="00067912">
                      <w:pPr>
                        <w:ind w:left="567" w:hanging="386"/>
                        <w:rPr>
                          <w:sz w:val="20"/>
                          <w:szCs w:val="20"/>
                        </w:rPr>
                      </w:pPr>
                      <w:r w:rsidRPr="004B32DC">
                        <w:rPr>
                          <w:sz w:val="20"/>
                          <w:szCs w:val="20"/>
                          <w:u w:val="none"/>
                        </w:rPr>
                        <w:t>(3)</w:t>
                      </w:r>
                      <w:r w:rsidRPr="004B32DC">
                        <w:rPr>
                          <w:sz w:val="20"/>
                          <w:szCs w:val="20"/>
                          <w:u w:val="none"/>
                        </w:rPr>
                        <w:tab/>
                      </w:r>
                      <w:r w:rsidR="00950FD7" w:rsidRPr="004B32DC">
                        <w:rPr>
                          <w:sz w:val="20"/>
                          <w:szCs w:val="20"/>
                        </w:rPr>
                        <w:t>REVISED</w:t>
                      </w:r>
                      <w:r w:rsidR="007932EB">
                        <w:rPr>
                          <w:sz w:val="20"/>
                          <w:szCs w:val="20"/>
                        </w:rPr>
                        <w:t>: NO</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B96819">
                        <w:rPr>
                          <w:b/>
                          <w:sz w:val="18"/>
                          <w:szCs w:val="18"/>
                          <w:u w:val="none"/>
                        </w:rPr>
                        <w:t>[ 15</w:t>
                      </w:r>
                      <w:r>
                        <w:rPr>
                          <w:b/>
                          <w:sz w:val="18"/>
                          <w:szCs w:val="18"/>
                          <w:u w:val="none"/>
                        </w:rPr>
                        <w:t xml:space="preserve"> </w:t>
                      </w:r>
                      <w:r w:rsidR="007932EB">
                        <w:rPr>
                          <w:b/>
                          <w:sz w:val="18"/>
                          <w:szCs w:val="18"/>
                          <w:u w:val="none"/>
                        </w:rPr>
                        <w:t xml:space="preserve">AUGUST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w10:wrap type="through"/>
              </v:shape>
            </w:pict>
          </mc:Fallback>
        </mc:AlternateContent>
      </w:r>
    </w:p>
    <w:p w:rsidR="00972885" w:rsidRPr="0097259F" w:rsidRDefault="00972885" w:rsidP="00972885">
      <w:pPr>
        <w:jc w:val="both"/>
      </w:pPr>
      <w:bookmarkStart w:id="0" w:name="_GoBack"/>
      <w:bookmarkEnd w:id="0"/>
    </w:p>
    <w:p w:rsidR="00972885" w:rsidRPr="0097259F" w:rsidRDefault="00972885" w:rsidP="00972885">
      <w:pPr>
        <w:jc w:val="both"/>
      </w:pPr>
    </w:p>
    <w:p w:rsidR="00972885" w:rsidRPr="0097259F" w:rsidRDefault="00972885" w:rsidP="00972885">
      <w:pPr>
        <w:jc w:val="both"/>
      </w:pPr>
    </w:p>
    <w:p w:rsidR="00972885" w:rsidRPr="0097259F" w:rsidRDefault="00972885" w:rsidP="00972885">
      <w:pPr>
        <w:jc w:val="both"/>
      </w:pPr>
    </w:p>
    <w:p w:rsidR="00972885" w:rsidRPr="0097259F" w:rsidRDefault="00972885" w:rsidP="00972885">
      <w:pPr>
        <w:jc w:val="both"/>
      </w:pPr>
    </w:p>
    <w:p w:rsidR="00972885" w:rsidRPr="0097259F" w:rsidRDefault="00972885" w:rsidP="00972885">
      <w:pPr>
        <w:jc w:val="both"/>
      </w:pPr>
    </w:p>
    <w:p w:rsidR="00972885" w:rsidRPr="0097259F" w:rsidRDefault="00972885" w:rsidP="00972885">
      <w:pPr>
        <w:jc w:val="both"/>
      </w:pPr>
    </w:p>
    <w:p w:rsidR="00972885" w:rsidRPr="0097259F" w:rsidRDefault="00972885" w:rsidP="00972885">
      <w:pPr>
        <w:rPr>
          <w:u w:val="none"/>
        </w:rPr>
      </w:pPr>
    </w:p>
    <w:p w:rsidR="00972885" w:rsidRPr="0097259F" w:rsidRDefault="00972885" w:rsidP="00972885">
      <w:pPr>
        <w:rPr>
          <w:u w:val="none"/>
        </w:rPr>
      </w:pPr>
      <w:r w:rsidRPr="0097259F">
        <w:rPr>
          <w:u w:val="none"/>
        </w:rPr>
        <w:t>In the matter between:</w:t>
      </w:r>
    </w:p>
    <w:p w:rsidR="00972885" w:rsidRPr="0097259F" w:rsidRDefault="00972885" w:rsidP="00972885">
      <w:pPr>
        <w:rPr>
          <w:i/>
          <w:u w:val="none"/>
        </w:rPr>
      </w:pPr>
    </w:p>
    <w:p w:rsidR="00972885" w:rsidRPr="0097259F" w:rsidRDefault="00E46C4B" w:rsidP="00972885">
      <w:pPr>
        <w:rPr>
          <w:b/>
          <w:u w:val="none"/>
        </w:rPr>
      </w:pPr>
      <w:r w:rsidRPr="0097259F">
        <w:rPr>
          <w:b/>
          <w:u w:val="none"/>
        </w:rPr>
        <w:t>FIRST</w:t>
      </w:r>
      <w:r w:rsidR="00F80AEA" w:rsidRPr="0097259F">
        <w:rPr>
          <w:b/>
          <w:u w:val="none"/>
        </w:rPr>
        <w:t>RAND</w:t>
      </w:r>
      <w:r w:rsidRPr="0097259F">
        <w:rPr>
          <w:b/>
          <w:u w:val="none"/>
        </w:rPr>
        <w:t xml:space="preserve"> BANK</w:t>
      </w:r>
      <w:r w:rsidRPr="0097259F">
        <w:rPr>
          <w:b/>
          <w:u w:val="none"/>
        </w:rPr>
        <w:tab/>
      </w:r>
      <w:r w:rsidR="00F80AEA" w:rsidRPr="0097259F">
        <w:rPr>
          <w:b/>
          <w:u w:val="none"/>
        </w:rPr>
        <w:t xml:space="preserve"> LIMITED</w:t>
      </w:r>
      <w:r w:rsidRPr="0097259F">
        <w:rPr>
          <w:b/>
          <w:u w:val="none"/>
        </w:rPr>
        <w:tab/>
      </w:r>
      <w:r w:rsidRPr="0097259F">
        <w:rPr>
          <w:b/>
          <w:u w:val="none"/>
        </w:rPr>
        <w:tab/>
      </w:r>
      <w:r w:rsidRPr="0097259F">
        <w:rPr>
          <w:b/>
          <w:u w:val="none"/>
        </w:rPr>
        <w:tab/>
      </w:r>
      <w:r w:rsidRPr="0097259F">
        <w:rPr>
          <w:b/>
          <w:u w:val="none"/>
        </w:rPr>
        <w:tab/>
      </w:r>
      <w:r w:rsidRPr="0097259F">
        <w:rPr>
          <w:b/>
          <w:u w:val="none"/>
        </w:rPr>
        <w:tab/>
        <w:t xml:space="preserve">           APPLICANT</w:t>
      </w:r>
      <w:r w:rsidR="00972885" w:rsidRPr="0097259F">
        <w:rPr>
          <w:b/>
          <w:u w:val="none"/>
        </w:rPr>
        <w:tab/>
      </w:r>
      <w:r w:rsidR="00972885" w:rsidRPr="0097259F">
        <w:rPr>
          <w:b/>
          <w:u w:val="none"/>
        </w:rPr>
        <w:tab/>
      </w:r>
      <w:r w:rsidR="00972885" w:rsidRPr="0097259F">
        <w:rPr>
          <w:b/>
          <w:u w:val="none"/>
        </w:rPr>
        <w:tab/>
      </w:r>
      <w:r w:rsidR="00972885" w:rsidRPr="0097259F">
        <w:rPr>
          <w:b/>
          <w:u w:val="none"/>
        </w:rPr>
        <w:tab/>
      </w:r>
      <w:r w:rsidR="00972885" w:rsidRPr="0097259F">
        <w:rPr>
          <w:b/>
          <w:u w:val="none"/>
        </w:rPr>
        <w:tab/>
      </w:r>
      <w:r w:rsidR="00972885" w:rsidRPr="0097259F">
        <w:rPr>
          <w:b/>
          <w:u w:val="none"/>
        </w:rPr>
        <w:tab/>
        <w:t xml:space="preserve">     </w:t>
      </w:r>
      <w:r w:rsidR="00972885" w:rsidRPr="0097259F">
        <w:rPr>
          <w:b/>
          <w:u w:val="none"/>
        </w:rPr>
        <w:tab/>
      </w:r>
      <w:r w:rsidR="00972885" w:rsidRPr="0097259F">
        <w:rPr>
          <w:b/>
          <w:u w:val="none"/>
        </w:rPr>
        <w:tab/>
      </w:r>
    </w:p>
    <w:p w:rsidR="00972885" w:rsidRPr="0097259F" w:rsidRDefault="00972885" w:rsidP="00972885">
      <w:pPr>
        <w:rPr>
          <w:u w:val="none"/>
        </w:rPr>
      </w:pPr>
      <w:r w:rsidRPr="0097259F">
        <w:rPr>
          <w:u w:val="none"/>
        </w:rPr>
        <w:t>And</w:t>
      </w:r>
    </w:p>
    <w:p w:rsidR="00972885" w:rsidRPr="0097259F" w:rsidRDefault="00972885" w:rsidP="00972885">
      <w:pPr>
        <w:rPr>
          <w:u w:val="none"/>
        </w:rPr>
      </w:pPr>
    </w:p>
    <w:p w:rsidR="007932EB" w:rsidRPr="0097259F" w:rsidRDefault="007932EB" w:rsidP="007932EB">
      <w:pPr>
        <w:tabs>
          <w:tab w:val="left" w:pos="-720"/>
          <w:tab w:val="left" w:pos="0"/>
        </w:tabs>
        <w:suppressAutoHyphens/>
        <w:spacing w:line="360" w:lineRule="auto"/>
        <w:ind w:left="720" w:hanging="720"/>
        <w:rPr>
          <w:b/>
          <w:u w:val="none"/>
        </w:rPr>
      </w:pPr>
      <w:r w:rsidRPr="0097259F">
        <w:rPr>
          <w:b/>
          <w:bCs/>
          <w:spacing w:val="-3"/>
          <w:u w:val="none"/>
        </w:rPr>
        <w:t xml:space="preserve">K2016522263 (SOUTH AFRICA) PROPRIETARY LIMITED           </w:t>
      </w:r>
      <w:r w:rsidR="00E46C4B" w:rsidRPr="0097259F">
        <w:rPr>
          <w:b/>
          <w:u w:val="none"/>
        </w:rPr>
        <w:t>RESPONDENT</w:t>
      </w:r>
      <w:r w:rsidR="00972885" w:rsidRPr="0097259F">
        <w:rPr>
          <w:b/>
          <w:u w:val="none"/>
        </w:rPr>
        <w:tab/>
      </w:r>
    </w:p>
    <w:p w:rsidR="007932EB" w:rsidRPr="0097259F" w:rsidRDefault="007932EB" w:rsidP="007932EB">
      <w:pPr>
        <w:tabs>
          <w:tab w:val="left" w:pos="-720"/>
          <w:tab w:val="left" w:pos="0"/>
        </w:tabs>
        <w:suppressAutoHyphens/>
        <w:spacing w:line="360" w:lineRule="auto"/>
        <w:ind w:left="720" w:hanging="720"/>
        <w:rPr>
          <w:b/>
          <w:u w:val="none"/>
        </w:rPr>
      </w:pPr>
    </w:p>
    <w:p w:rsidR="007932EB" w:rsidRPr="0097259F" w:rsidRDefault="007932EB" w:rsidP="007932EB">
      <w:pPr>
        <w:rPr>
          <w:u w:val="none"/>
        </w:rPr>
      </w:pPr>
      <w:r w:rsidRPr="0097259F">
        <w:rPr>
          <w:u w:val="none"/>
        </w:rPr>
        <w:t>In the matter between:</w:t>
      </w:r>
    </w:p>
    <w:p w:rsidR="007932EB" w:rsidRPr="0097259F" w:rsidRDefault="007932EB" w:rsidP="007932EB">
      <w:pPr>
        <w:tabs>
          <w:tab w:val="left" w:pos="-720"/>
          <w:tab w:val="left" w:pos="0"/>
        </w:tabs>
        <w:suppressAutoHyphens/>
        <w:spacing w:line="360" w:lineRule="auto"/>
        <w:ind w:left="720" w:hanging="720"/>
        <w:rPr>
          <w:b/>
          <w:u w:val="none"/>
        </w:rPr>
      </w:pPr>
    </w:p>
    <w:p w:rsidR="007932EB" w:rsidRPr="0097259F" w:rsidRDefault="00972885" w:rsidP="007932EB">
      <w:pPr>
        <w:rPr>
          <w:i/>
          <w:u w:val="none"/>
        </w:rPr>
      </w:pPr>
      <w:r w:rsidRPr="0097259F">
        <w:rPr>
          <w:b/>
          <w:u w:val="none"/>
        </w:rPr>
        <w:tab/>
      </w:r>
    </w:p>
    <w:p w:rsidR="007932EB" w:rsidRPr="0097259F" w:rsidRDefault="007932EB" w:rsidP="007932EB">
      <w:pPr>
        <w:tabs>
          <w:tab w:val="left" w:pos="-720"/>
          <w:tab w:val="left" w:pos="0"/>
        </w:tabs>
        <w:suppressAutoHyphens/>
        <w:spacing w:line="360" w:lineRule="auto"/>
        <w:ind w:left="720" w:hanging="720"/>
        <w:rPr>
          <w:b/>
          <w:u w:val="none"/>
        </w:rPr>
      </w:pPr>
      <w:r w:rsidRPr="0097259F">
        <w:rPr>
          <w:b/>
          <w:u w:val="none"/>
        </w:rPr>
        <w:t>FIRSTRAND BANK</w:t>
      </w:r>
      <w:r w:rsidRPr="0097259F">
        <w:rPr>
          <w:b/>
          <w:u w:val="none"/>
        </w:rPr>
        <w:tab/>
        <w:t xml:space="preserve"> LIMITED</w:t>
      </w:r>
      <w:r w:rsidRPr="0097259F">
        <w:rPr>
          <w:b/>
          <w:u w:val="none"/>
        </w:rPr>
        <w:tab/>
      </w:r>
      <w:r w:rsidRPr="0097259F">
        <w:rPr>
          <w:b/>
          <w:u w:val="none"/>
        </w:rPr>
        <w:tab/>
      </w:r>
      <w:r w:rsidRPr="0097259F">
        <w:rPr>
          <w:b/>
          <w:u w:val="none"/>
        </w:rPr>
        <w:tab/>
      </w:r>
      <w:r w:rsidRPr="0097259F">
        <w:rPr>
          <w:b/>
          <w:u w:val="none"/>
        </w:rPr>
        <w:tab/>
      </w:r>
      <w:r w:rsidRPr="0097259F">
        <w:rPr>
          <w:b/>
          <w:u w:val="none"/>
        </w:rPr>
        <w:tab/>
        <w:t xml:space="preserve">           APPLICANT</w:t>
      </w:r>
    </w:p>
    <w:p w:rsidR="007932EB" w:rsidRPr="0097259F" w:rsidRDefault="007932EB" w:rsidP="007932EB">
      <w:pPr>
        <w:tabs>
          <w:tab w:val="left" w:pos="-720"/>
          <w:tab w:val="left" w:pos="0"/>
        </w:tabs>
        <w:suppressAutoHyphens/>
        <w:spacing w:line="360" w:lineRule="auto"/>
        <w:ind w:left="720" w:hanging="720"/>
        <w:rPr>
          <w:b/>
          <w:u w:val="none"/>
        </w:rPr>
      </w:pPr>
    </w:p>
    <w:p w:rsidR="007932EB" w:rsidRPr="009D2A0B" w:rsidRDefault="007932EB" w:rsidP="007932EB">
      <w:pPr>
        <w:tabs>
          <w:tab w:val="left" w:pos="-720"/>
          <w:tab w:val="left" w:pos="0"/>
        </w:tabs>
        <w:suppressAutoHyphens/>
        <w:spacing w:line="360" w:lineRule="auto"/>
        <w:ind w:left="720" w:hanging="720"/>
        <w:rPr>
          <w:u w:val="none"/>
        </w:rPr>
      </w:pPr>
      <w:r w:rsidRPr="009D2A0B">
        <w:rPr>
          <w:u w:val="none"/>
        </w:rPr>
        <w:t xml:space="preserve">And </w:t>
      </w:r>
      <w:r w:rsidR="00972885" w:rsidRPr="009D2A0B">
        <w:rPr>
          <w:u w:val="none"/>
        </w:rPr>
        <w:tab/>
      </w:r>
    </w:p>
    <w:p w:rsidR="007932EB" w:rsidRPr="0097259F" w:rsidRDefault="007932EB" w:rsidP="007932EB">
      <w:pPr>
        <w:tabs>
          <w:tab w:val="left" w:pos="-720"/>
          <w:tab w:val="left" w:pos="0"/>
        </w:tabs>
        <w:suppressAutoHyphens/>
        <w:spacing w:line="360" w:lineRule="auto"/>
        <w:ind w:left="720" w:hanging="720"/>
        <w:rPr>
          <w:b/>
          <w:u w:val="none"/>
        </w:rPr>
      </w:pPr>
    </w:p>
    <w:p w:rsidR="00972885" w:rsidRPr="0097259F" w:rsidRDefault="00AB013D" w:rsidP="007932EB">
      <w:pPr>
        <w:tabs>
          <w:tab w:val="left" w:pos="-720"/>
          <w:tab w:val="left" w:pos="0"/>
        </w:tabs>
        <w:suppressAutoHyphens/>
        <w:spacing w:line="360" w:lineRule="auto"/>
        <w:ind w:left="720" w:hanging="720"/>
        <w:rPr>
          <w:b/>
          <w:bCs/>
          <w:spacing w:val="-3"/>
          <w:u w:val="none"/>
        </w:rPr>
      </w:pPr>
      <w:r w:rsidRPr="0097259F">
        <w:rPr>
          <w:b/>
          <w:u w:val="none"/>
          <w:lang w:val="en-US"/>
        </w:rPr>
        <w:t>TUMELO PATRICK MATLALA                                                      RESPONDENT</w:t>
      </w:r>
      <w:r w:rsidR="00972885" w:rsidRPr="0097259F">
        <w:rPr>
          <w:b/>
          <w:u w:val="none"/>
        </w:rPr>
        <w:tab/>
      </w:r>
      <w:r w:rsidR="00972885" w:rsidRPr="0097259F">
        <w:rPr>
          <w:b/>
          <w:u w:val="none"/>
        </w:rPr>
        <w:tab/>
        <w:t xml:space="preserve">     </w:t>
      </w:r>
      <w:r w:rsidR="00972885" w:rsidRPr="0097259F">
        <w:rPr>
          <w:b/>
          <w:u w:val="none"/>
        </w:rPr>
        <w:tab/>
      </w:r>
      <w:r w:rsidR="00972885" w:rsidRPr="0097259F">
        <w:rPr>
          <w:b/>
          <w:u w:val="none"/>
        </w:rPr>
        <w:tab/>
      </w:r>
    </w:p>
    <w:p w:rsidR="00972885" w:rsidRPr="0097259F" w:rsidRDefault="00972885" w:rsidP="00972885">
      <w:pPr>
        <w:rPr>
          <w:u w:val="none"/>
        </w:rPr>
      </w:pPr>
      <w:r w:rsidRPr="0097259F">
        <w:rPr>
          <w:u w:val="none"/>
          <w:lang w:val="en-ZA"/>
        </w:rPr>
        <w:t xml:space="preserve">___________________________________________________________________ </w:t>
      </w:r>
    </w:p>
    <w:p w:rsidR="00972885" w:rsidRPr="0097259F" w:rsidRDefault="00972885" w:rsidP="00972885">
      <w:pPr>
        <w:tabs>
          <w:tab w:val="right" w:pos="8280"/>
        </w:tabs>
        <w:jc w:val="both"/>
        <w:rPr>
          <w:u w:val="none"/>
          <w:lang w:val="en-ZA"/>
        </w:rPr>
      </w:pPr>
    </w:p>
    <w:p w:rsidR="00972885" w:rsidRPr="0097259F" w:rsidRDefault="00E46C4B" w:rsidP="00972885">
      <w:pPr>
        <w:tabs>
          <w:tab w:val="right" w:pos="8280"/>
        </w:tabs>
        <w:jc w:val="center"/>
        <w:rPr>
          <w:b/>
          <w:u w:val="none"/>
          <w:lang w:val="en-ZA"/>
        </w:rPr>
      </w:pPr>
      <w:r w:rsidRPr="0097259F">
        <w:rPr>
          <w:b/>
          <w:u w:val="none"/>
          <w:lang w:val="en-ZA"/>
        </w:rPr>
        <w:t>J</w:t>
      </w:r>
      <w:r w:rsidR="00972885" w:rsidRPr="0097259F">
        <w:rPr>
          <w:b/>
          <w:u w:val="none"/>
          <w:lang w:val="en-ZA"/>
        </w:rPr>
        <w:t xml:space="preserve"> U D G M E N T</w:t>
      </w:r>
    </w:p>
    <w:p w:rsidR="00972885" w:rsidRPr="0097259F" w:rsidRDefault="00972885" w:rsidP="00972885">
      <w:pPr>
        <w:tabs>
          <w:tab w:val="right" w:pos="8280"/>
        </w:tabs>
        <w:rPr>
          <w:u w:val="none"/>
          <w:lang w:val="en-ZA"/>
        </w:rPr>
      </w:pPr>
      <w:r w:rsidRPr="0097259F">
        <w:rPr>
          <w:u w:val="none"/>
          <w:lang w:val="en-ZA"/>
        </w:rPr>
        <w:t xml:space="preserve">___________________________________________________________________ </w:t>
      </w:r>
    </w:p>
    <w:p w:rsidR="00972885" w:rsidRPr="0097259F" w:rsidRDefault="00972885" w:rsidP="00972885"/>
    <w:p w:rsidR="00972885" w:rsidRPr="005976B1" w:rsidRDefault="00972885" w:rsidP="00EF0779">
      <w:pPr>
        <w:spacing w:line="360" w:lineRule="auto"/>
        <w:rPr>
          <w:b/>
          <w:u w:val="none"/>
        </w:rPr>
      </w:pPr>
      <w:r w:rsidRPr="0097259F">
        <w:rPr>
          <w:b/>
          <w:u w:val="none"/>
        </w:rPr>
        <w:t>MUDAU, J:</w:t>
      </w: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w:t>
      </w:r>
      <w:r w:rsidRPr="0097259F">
        <w:rPr>
          <w:color w:val="000000"/>
          <w:u w:val="none"/>
        </w:rPr>
        <w:tab/>
      </w:r>
      <w:r w:rsidR="00DA7DF5" w:rsidRPr="00067912">
        <w:rPr>
          <w:u w:val="none"/>
        </w:rPr>
        <w:t>There are two opposed applications under case numbers 2021/42861 and 2021/42862, respectively. The parties agreed that these two matters are related and must be heard together. The deponents to the affidavits are the same in both matters. The applicant in case no 2021/42861, First National Bank (“FNB”) seeks the final winding up of the respondent, K2016522263 (South Africa) Proprietary Limited based on inability to pay debts owing to the applicant, as contemplated in terms of the provisions of section 345 read with Section 344(f) of the Companies Act 61 of 1973.</w:t>
      </w:r>
    </w:p>
    <w:p w:rsidR="00EF0779" w:rsidRPr="0097259F" w:rsidRDefault="00EF0779" w:rsidP="00EF0779">
      <w:pPr>
        <w:pStyle w:val="ListParagraph"/>
        <w:spacing w:before="120" w:after="120" w:line="360" w:lineRule="auto"/>
        <w:ind w:left="692"/>
        <w:jc w:val="both"/>
        <w:rPr>
          <w:color w:val="000000"/>
          <w:u w:val="none"/>
          <w:shd w:val="clear" w:color="auto" w:fill="FFFFFF"/>
        </w:rPr>
      </w:pPr>
    </w:p>
    <w:p w:rsidR="008B40F2"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[2]</w:t>
      </w:r>
      <w:r w:rsidRPr="0097259F">
        <w:rPr>
          <w:color w:val="000000"/>
          <w:u w:val="none"/>
        </w:rPr>
        <w:tab/>
      </w:r>
      <w:r w:rsidR="00DA7DF5" w:rsidRPr="00067912">
        <w:rPr>
          <w:u w:val="none"/>
        </w:rPr>
        <w:t>The applicant alleges that, the respondent is currently indebted to it in the sum of R496 919.25 as at 1 July 2021 pursuant to a written loan agreement and a written re-advance and a future use restatement agreement concluded between the applicant and respondent, both duly represented, on 10 July 2019 and 11 October 2019 at Germiston, respectively.</w:t>
      </w:r>
    </w:p>
    <w:p w:rsidR="008B40F2" w:rsidRPr="0097259F" w:rsidRDefault="008B40F2" w:rsidP="008B40F2">
      <w:pPr>
        <w:pStyle w:val="ListParagraph"/>
        <w:rPr>
          <w:u w:val="none"/>
        </w:rPr>
      </w:pPr>
    </w:p>
    <w:p w:rsidR="008B40F2"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[3]</w:t>
      </w:r>
      <w:r w:rsidRPr="0097259F">
        <w:rPr>
          <w:color w:val="000000"/>
          <w:u w:val="none"/>
        </w:rPr>
        <w:tab/>
      </w:r>
      <w:r w:rsidR="00DA7DF5" w:rsidRPr="00067912">
        <w:rPr>
          <w:u w:val="none"/>
        </w:rPr>
        <w:t>The written loan agreement was conditional upon the respondent providing inter alia the following security; a limited suretyship by Tumelo Patrick Matlala (“Matlala”), the sole director of the respondent under case number 2021/42861, in favour of the applicant for all obligations of the respondent to the applicant. Also, the registration of a covering mortgage bond in favour of the applicant by the respondent over the respondent’s immovable property, being: remaining Extent of Erf 3 Union Township, Registration Division I.R., The Province of Gauteng, Title Deed No.: T2615/2019, Local Authority, Ekurhuleni Metropolitan Municipality, measuring 410 (Four Hundred and Ten) Square Metres in extent (“the property”).</w:t>
      </w:r>
    </w:p>
    <w:p w:rsidR="00462BF9" w:rsidRPr="0097259F" w:rsidRDefault="00DA7DF5" w:rsidP="008B40F2">
      <w:pPr>
        <w:pStyle w:val="ListParagraph"/>
        <w:spacing w:before="120" w:after="120" w:line="360" w:lineRule="auto"/>
        <w:ind w:left="692"/>
        <w:jc w:val="both"/>
        <w:rPr>
          <w:color w:val="000000"/>
          <w:u w:val="none"/>
          <w:shd w:val="clear" w:color="auto" w:fill="FFFFFF"/>
        </w:rPr>
      </w:pPr>
      <w:r w:rsidRPr="0097259F">
        <w:rPr>
          <w:u w:val="none"/>
        </w:rPr>
        <w:t xml:space="preserve"> </w:t>
      </w: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[4]</w:t>
      </w:r>
      <w:r w:rsidRPr="0097259F">
        <w:rPr>
          <w:color w:val="000000"/>
          <w:u w:val="none"/>
        </w:rPr>
        <w:tab/>
      </w:r>
      <w:r w:rsidR="00DA7DF5" w:rsidRPr="00067912">
        <w:rPr>
          <w:color w:val="242121"/>
          <w:sz w:val="26"/>
          <w:szCs w:val="26"/>
          <w:u w:val="none"/>
          <w:shd w:val="clear" w:color="auto" w:fill="FFFFFF"/>
        </w:rPr>
        <w:t>T</w:t>
      </w:r>
      <w:r w:rsidR="00DA7DF5" w:rsidRPr="00067912">
        <w:rPr>
          <w:u w:val="none"/>
        </w:rPr>
        <w:t>he applicant in case no 2021/42862, First National Bank (“FNB”) seeks</w:t>
      </w:r>
      <w:r w:rsidR="00DA7DF5" w:rsidRPr="00067912">
        <w:rPr>
          <w:sz w:val="23"/>
          <w:szCs w:val="23"/>
          <w:u w:val="none"/>
        </w:rPr>
        <w:t xml:space="preserve"> to obtain a money judgment against the Matlala in his capacity as surety and co-princip</w:t>
      </w:r>
      <w:r w:rsidR="005976B1" w:rsidRPr="00067912">
        <w:rPr>
          <w:sz w:val="23"/>
          <w:szCs w:val="23"/>
          <w:u w:val="none"/>
        </w:rPr>
        <w:t xml:space="preserve">al debtor in the amount of R496 </w:t>
      </w:r>
      <w:r w:rsidR="00DA7DF5" w:rsidRPr="00067912">
        <w:rPr>
          <w:sz w:val="23"/>
          <w:szCs w:val="23"/>
          <w:u w:val="none"/>
        </w:rPr>
        <w:t>919.25 together with interest and costs (“the money judgment application”).</w:t>
      </w:r>
    </w:p>
    <w:p w:rsidR="008B40F2" w:rsidRPr="0097259F" w:rsidRDefault="008B40F2" w:rsidP="008B40F2">
      <w:pPr>
        <w:pStyle w:val="ListParagraph"/>
        <w:rPr>
          <w:color w:val="000000"/>
          <w:u w:val="none"/>
          <w:shd w:val="clear" w:color="auto" w:fill="FFFFFF"/>
        </w:rPr>
      </w:pPr>
    </w:p>
    <w:p w:rsidR="008B40F2" w:rsidRPr="0097259F" w:rsidRDefault="008B40F2" w:rsidP="008B40F2">
      <w:pPr>
        <w:pStyle w:val="ListParagraph"/>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[5]</w:t>
      </w:r>
      <w:r w:rsidRPr="0097259F">
        <w:rPr>
          <w:color w:val="000000"/>
          <w:u w:val="none"/>
        </w:rPr>
        <w:tab/>
      </w:r>
      <w:r w:rsidR="00DA7DF5" w:rsidRPr="00067912">
        <w:rPr>
          <w:u w:val="none"/>
        </w:rPr>
        <w:t>On 27 June 2019</w:t>
      </w:r>
      <w:r w:rsidR="00462BF9" w:rsidRPr="00067912">
        <w:rPr>
          <w:u w:val="none"/>
        </w:rPr>
        <w:t>,</w:t>
      </w:r>
      <w:r w:rsidR="00DA7DF5" w:rsidRPr="00067912">
        <w:rPr>
          <w:u w:val="none"/>
        </w:rPr>
        <w:t xml:space="preserve"> Matlala bound himself in favour of the applicant as surety and co-principal debtor, jointly and severally with the respondent, for all the latter’s obligations to the applicant. On the same date and at Germiston, a mortgage bond number B16614/2019 was executed in favour of the applicant over the property. The respondent provided a written cession and pledge of property income in favour of the applicant over the property. Pursuant to the written loan agreement, the applicant le</w:t>
      </w:r>
      <w:r w:rsidR="005976B1" w:rsidRPr="00067912">
        <w:rPr>
          <w:u w:val="none"/>
        </w:rPr>
        <w:t>nt and advanced the sum of R410 </w:t>
      </w:r>
      <w:r w:rsidR="00DA7DF5" w:rsidRPr="00067912">
        <w:rPr>
          <w:u w:val="none"/>
        </w:rPr>
        <w:t>000.00 to the respondent and otherwise complied with all its obligations in terms of the written loan agreement. The applicant alleges that, it lent and advanced the further sum of R190 000.00 to the respondent and otherwise complied with all its obligations in terms of the written re-advance and future use restatement agreement.</w:t>
      </w:r>
    </w:p>
    <w:p w:rsidR="008B40F2" w:rsidRPr="0097259F" w:rsidRDefault="008B40F2" w:rsidP="008B40F2">
      <w:pPr>
        <w:pStyle w:val="ListParagraph"/>
        <w:spacing w:before="120" w:after="120" w:line="360" w:lineRule="auto"/>
        <w:ind w:left="692"/>
        <w:jc w:val="both"/>
        <w:rPr>
          <w:color w:val="000000"/>
          <w:u w:val="none"/>
          <w:shd w:val="clear" w:color="auto" w:fill="FFFFFF"/>
        </w:rPr>
      </w:pPr>
    </w:p>
    <w:p w:rsidR="008B40F2"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[6]</w:t>
      </w:r>
      <w:r w:rsidRPr="0097259F">
        <w:rPr>
          <w:color w:val="000000"/>
          <w:u w:val="none"/>
        </w:rPr>
        <w:tab/>
      </w:r>
      <w:r w:rsidR="00DA7DF5" w:rsidRPr="00067912">
        <w:rPr>
          <w:u w:val="none"/>
        </w:rPr>
        <w:t>Clauses 14.1, 14.2 and 14.2.2 read with clause 14.3 and 14.3.1 of the standard terms and conditions of the written loan agreement stipulates that, in the event of the respondent failing to pay any amount due in terms of the loan agreement, the applicant will have the right, without prejudice to any other rights which it may have, and without further notice, to accelerate or place on demand payment of the outstanding balance, which shall immediately become due and payable.</w:t>
      </w:r>
    </w:p>
    <w:p w:rsidR="008B40F2" w:rsidRPr="0097259F" w:rsidRDefault="008B40F2" w:rsidP="008B40F2">
      <w:pPr>
        <w:pStyle w:val="ListParagraph"/>
        <w:rPr>
          <w:u w:val="none"/>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[7]</w:t>
      </w:r>
      <w:r w:rsidRPr="0097259F">
        <w:rPr>
          <w:color w:val="000000"/>
          <w:u w:val="none"/>
        </w:rPr>
        <w:tab/>
      </w:r>
      <w:r w:rsidR="000379E7" w:rsidRPr="00067912">
        <w:rPr>
          <w:u w:val="none"/>
        </w:rPr>
        <w:t xml:space="preserve">The applicant alleges that </w:t>
      </w:r>
      <w:r w:rsidR="00DA7DF5" w:rsidRPr="00067912">
        <w:rPr>
          <w:u w:val="none"/>
        </w:rPr>
        <w:t>the respondent</w:t>
      </w:r>
      <w:r w:rsidR="000379E7" w:rsidRPr="00067912">
        <w:rPr>
          <w:u w:val="none"/>
        </w:rPr>
        <w:t>,</w:t>
      </w:r>
      <w:r w:rsidR="00DA7DF5" w:rsidRPr="00067912">
        <w:rPr>
          <w:u w:val="none"/>
        </w:rPr>
        <w:t xml:space="preserve"> in breach of both loan agreements, failed to maintain t</w:t>
      </w:r>
      <w:r w:rsidR="0097259F" w:rsidRPr="00067912">
        <w:rPr>
          <w:u w:val="none"/>
        </w:rPr>
        <w:t xml:space="preserve">he repayment arrangements of R7 </w:t>
      </w:r>
      <w:r w:rsidR="00DA7DF5" w:rsidRPr="00067912">
        <w:rPr>
          <w:u w:val="none"/>
        </w:rPr>
        <w:t>438.50 per month and as a consequence, the applicant demands payment of the entire indebtedness, being the accelerated amount. The failure to maintain the monthly agreed upon repayment instalments constituted a default event as referred to in the loan agreements. Notice as anticipated by clause 14.3 according to the applicant was provided to the respondent on 9 June 2021.</w:t>
      </w:r>
      <w:r w:rsidR="00D2697B" w:rsidRPr="00067912">
        <w:rPr>
          <w:u w:val="none"/>
        </w:rPr>
        <w:t xml:space="preserve"> This is admitted.</w:t>
      </w:r>
      <w:r w:rsidR="00DA7DF5" w:rsidRPr="00067912">
        <w:rPr>
          <w:u w:val="none"/>
        </w:rPr>
        <w:t xml:space="preserve"> Demand was made on 13 July 2021 in terms of section 345 of Act 61 of 1973 </w:t>
      </w:r>
      <w:r w:rsidR="00462BF9" w:rsidRPr="00067912">
        <w:rPr>
          <w:u w:val="none"/>
        </w:rPr>
        <w:t>(“</w:t>
      </w:r>
      <w:r w:rsidR="00DA7DF5" w:rsidRPr="00067912">
        <w:rPr>
          <w:u w:val="none"/>
        </w:rPr>
        <w:t xml:space="preserve">the 1973 Companies Act”) and a copy was delivered to the respondent at its registered address which delivery was effected through registered post; and the Sheriff </w:t>
      </w:r>
      <w:r w:rsidR="00DA7DF5" w:rsidRPr="00067912">
        <w:rPr>
          <w:u w:val="none"/>
        </w:rPr>
        <w:lastRenderedPageBreak/>
        <w:t>fixed a copy of the demand to the main entrance at its principal place of business. The return of service issued by the Sheriff in question records:</w:t>
      </w:r>
    </w:p>
    <w:p w:rsidR="00DA7DF5" w:rsidRPr="000379E7" w:rsidRDefault="00DA7DF5" w:rsidP="000379E7">
      <w:pPr>
        <w:pStyle w:val="ListParagraph"/>
        <w:spacing w:before="120" w:after="120" w:line="360" w:lineRule="auto"/>
        <w:ind w:left="1440"/>
        <w:jc w:val="both"/>
        <w:rPr>
          <w:sz w:val="22"/>
          <w:szCs w:val="22"/>
          <w:u w:val="none"/>
        </w:rPr>
      </w:pPr>
      <w:r w:rsidRPr="000379E7">
        <w:rPr>
          <w:sz w:val="22"/>
          <w:szCs w:val="22"/>
          <w:u w:val="none"/>
        </w:rPr>
        <w:t xml:space="preserve">“On this day of July 2021 at 11:20 I properly served the LETTER OF DEMAND I.T.O SECTION 345 OF THE COMPANIES ACT 61 OF 1973 in this matter by leaving /delivering a copy thereof by affixing it to the MAIN ENTRANCE of the REGISTERED ADDRESS of K2016522263 (SOUTH AFRICA) (PTY) LTD at MANAGING DIRECTOR OF K2016522263 (SOUTH AFRICA) (PTY) LTD 74 BLACK REEF ROAD, GERMISTON 1401, which is kept locked and thus prevents alternative service.” </w:t>
      </w:r>
    </w:p>
    <w:p w:rsidR="008B40F2" w:rsidRPr="0097259F" w:rsidRDefault="008B40F2" w:rsidP="00EF0779">
      <w:pPr>
        <w:pStyle w:val="ListParagraph"/>
        <w:spacing w:before="120" w:after="120" w:line="360" w:lineRule="auto"/>
        <w:ind w:left="692"/>
        <w:jc w:val="both"/>
        <w:rPr>
          <w:color w:val="000000"/>
          <w:sz w:val="22"/>
          <w:szCs w:val="22"/>
          <w:u w:val="none"/>
          <w:shd w:val="clear" w:color="auto" w:fill="FFFFFF"/>
        </w:rPr>
      </w:pPr>
    </w:p>
    <w:p w:rsidR="008B40F2"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[8]</w:t>
      </w:r>
      <w:r w:rsidRPr="0097259F">
        <w:rPr>
          <w:color w:val="000000"/>
          <w:u w:val="none"/>
        </w:rPr>
        <w:tab/>
      </w:r>
      <w:r w:rsidR="00DA7DF5" w:rsidRPr="00067912">
        <w:rPr>
          <w:u w:val="none"/>
        </w:rPr>
        <w:t>It is common cause that, 74 BLACK REEF ROAD, GERMISTON serves as both the business and residential address albeit with separate gates. The Sheriff in a supplementary affidavit confirms that: the property situated at 74 Black Reef Road, Dinwiddie, Germiston has two entrances, one gate, referred to by Matlala as the main gate which gate leads to a portion of the premises dedicated to medical suites and a secondary gate, not mentioned by Matlala, which gate leads to the premises of the respondent.</w:t>
      </w:r>
    </w:p>
    <w:p w:rsidR="00DA7DF5" w:rsidRPr="0097259F" w:rsidRDefault="00DA7DF5" w:rsidP="008B40F2">
      <w:pPr>
        <w:pStyle w:val="ListParagraph"/>
        <w:spacing w:before="120" w:after="120" w:line="360" w:lineRule="auto"/>
        <w:ind w:left="692"/>
        <w:jc w:val="both"/>
        <w:rPr>
          <w:color w:val="000000"/>
          <w:u w:val="none"/>
          <w:shd w:val="clear" w:color="auto" w:fill="FFFFFF"/>
        </w:rPr>
      </w:pPr>
      <w:r w:rsidRPr="0097259F">
        <w:rPr>
          <w:u w:val="none"/>
        </w:rPr>
        <w:t xml:space="preserve">  </w:t>
      </w:r>
    </w:p>
    <w:p w:rsidR="008B40F2"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[9]</w:t>
      </w:r>
      <w:r w:rsidRPr="0097259F">
        <w:rPr>
          <w:color w:val="000000"/>
          <w:u w:val="none"/>
        </w:rPr>
        <w:tab/>
      </w:r>
      <w:r w:rsidR="00DA7DF5" w:rsidRPr="00067912">
        <w:rPr>
          <w:u w:val="none"/>
        </w:rPr>
        <w:t>The</w:t>
      </w:r>
      <w:r w:rsidR="000379E7" w:rsidRPr="00067912">
        <w:rPr>
          <w:u w:val="none"/>
        </w:rPr>
        <w:t xml:space="preserve"> sheriff further explained that</w:t>
      </w:r>
      <w:r w:rsidR="00DA7DF5" w:rsidRPr="00067912">
        <w:rPr>
          <w:u w:val="none"/>
        </w:rPr>
        <w:t xml:space="preserve"> </w:t>
      </w:r>
      <w:r w:rsidR="00DA7DF5" w:rsidRPr="00067912">
        <w:rPr>
          <w:sz w:val="23"/>
          <w:szCs w:val="23"/>
          <w:u w:val="none"/>
        </w:rPr>
        <w:t>he had to serve several legal processes in recent times on the respondent and/or Matlala and because of the consistent closure of the secondary gate, but was compelled to serve the relevant pr</w:t>
      </w:r>
      <w:r w:rsidR="0081512C" w:rsidRPr="00067912">
        <w:rPr>
          <w:sz w:val="23"/>
          <w:szCs w:val="23"/>
          <w:u w:val="none"/>
        </w:rPr>
        <w:t>ocesses at the medical suites. T</w:t>
      </w:r>
      <w:r w:rsidR="00DA7DF5" w:rsidRPr="00067912">
        <w:rPr>
          <w:sz w:val="23"/>
          <w:szCs w:val="23"/>
          <w:u w:val="none"/>
        </w:rPr>
        <w:t>he Sheriff was in possession of Matlala’s mobile number. Matlala failed to answer the call made to him and knowing that the persons at the medical suites would refuse to accept service, he had no alternative but to effect service by affixing.</w:t>
      </w:r>
    </w:p>
    <w:p w:rsidR="008B40F2" w:rsidRPr="0097259F" w:rsidRDefault="008B40F2" w:rsidP="008B40F2">
      <w:pPr>
        <w:pStyle w:val="ListParagraph"/>
        <w:rPr>
          <w:color w:val="000000"/>
          <w:u w:val="none"/>
          <w:shd w:val="clear" w:color="auto" w:fill="FFFFFF"/>
        </w:rPr>
      </w:pPr>
    </w:p>
    <w:p w:rsidR="008B40F2"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[10]</w:t>
      </w:r>
      <w:r w:rsidRPr="0097259F">
        <w:rPr>
          <w:color w:val="000000"/>
          <w:u w:val="none"/>
        </w:rPr>
        <w:tab/>
      </w:r>
      <w:r w:rsidR="00DA7DF5" w:rsidRPr="00067912">
        <w:rPr>
          <w:u w:val="none"/>
        </w:rPr>
        <w:t xml:space="preserve">In opposing these applications, </w:t>
      </w:r>
      <w:r w:rsidR="00DA7DF5" w:rsidRPr="00067912">
        <w:rPr>
          <w:sz w:val="23"/>
          <w:szCs w:val="23"/>
          <w:u w:val="none"/>
        </w:rPr>
        <w:t>the respondent (Matlala) advances the exact same grounds.</w:t>
      </w:r>
      <w:r w:rsidR="00DA7DF5" w:rsidRPr="00067912">
        <w:rPr>
          <w:u w:val="none"/>
        </w:rPr>
        <w:t xml:space="preserve"> Mr Matlala says the respondents came to know about the letter of demand after the Sheriff of the Court delivered the papers on the 12 October 2021 at his residential address. The liquidation and money judgment applications were served on his daughter, a minor child born on 8 July 2005. It is common cause that the daughter was above the age of 16 when she accepted the papers.</w:t>
      </w:r>
      <w:r w:rsidR="00DF05CF" w:rsidRPr="00067912">
        <w:rPr>
          <w:u w:val="none"/>
        </w:rPr>
        <w:t xml:space="preserve"> The requirement</w:t>
      </w:r>
      <w:r w:rsidR="0049646D" w:rsidRPr="00067912">
        <w:rPr>
          <w:u w:val="none"/>
        </w:rPr>
        <w:t>s of r</w:t>
      </w:r>
      <w:r w:rsidR="00DF05CF" w:rsidRPr="00067912">
        <w:rPr>
          <w:u w:val="none"/>
        </w:rPr>
        <w:t>ule 4(1) (a)</w:t>
      </w:r>
      <w:r w:rsidR="0049646D" w:rsidRPr="00067912">
        <w:rPr>
          <w:u w:val="none"/>
        </w:rPr>
        <w:t xml:space="preserve"> of the Uniform Rules</w:t>
      </w:r>
      <w:r w:rsidR="00DF05CF" w:rsidRPr="00067912">
        <w:rPr>
          <w:u w:val="none"/>
        </w:rPr>
        <w:t xml:space="preserve"> in relation to service were thus satisfied.</w:t>
      </w:r>
      <w:r w:rsidR="00DA7DF5" w:rsidRPr="00067912">
        <w:rPr>
          <w:u w:val="none"/>
        </w:rPr>
        <w:t xml:space="preserve"> The respondent does not dispute that the address </w:t>
      </w:r>
      <w:r w:rsidR="00DA7DF5" w:rsidRPr="00067912">
        <w:rPr>
          <w:u w:val="none"/>
        </w:rPr>
        <w:lastRenderedPageBreak/>
        <w:t>at which the demand was served at no 74 Black Reef Road, Germiston, constitutes the respondent’s registered address which also serves as his residential address, but it is the content of the return of service that is challenged.</w:t>
      </w:r>
    </w:p>
    <w:p w:rsidR="008B40F2" w:rsidRPr="0097259F" w:rsidRDefault="008B40F2" w:rsidP="008B40F2">
      <w:pPr>
        <w:pStyle w:val="ListParagraph"/>
        <w:rPr>
          <w:u w:val="none"/>
        </w:rPr>
      </w:pPr>
    </w:p>
    <w:p w:rsidR="00DA7DF5" w:rsidRPr="0097259F" w:rsidRDefault="00DA7DF5" w:rsidP="008B40F2">
      <w:pPr>
        <w:pStyle w:val="ListParagraph"/>
        <w:spacing w:before="120" w:after="120" w:line="360" w:lineRule="auto"/>
        <w:ind w:left="692"/>
        <w:jc w:val="both"/>
        <w:rPr>
          <w:color w:val="000000"/>
          <w:u w:val="none"/>
          <w:shd w:val="clear" w:color="auto" w:fill="FFFFFF"/>
        </w:rPr>
      </w:pPr>
      <w:r w:rsidRPr="0097259F">
        <w:rPr>
          <w:u w:val="none"/>
        </w:rPr>
        <w:t xml:space="preserve"> </w:t>
      </w: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[11]</w:t>
      </w:r>
      <w:r w:rsidRPr="0097259F">
        <w:rPr>
          <w:color w:val="000000"/>
          <w:u w:val="none"/>
        </w:rPr>
        <w:tab/>
      </w:r>
      <w:r w:rsidR="00DA7DF5" w:rsidRPr="00067912">
        <w:rPr>
          <w:u w:val="none"/>
        </w:rPr>
        <w:t>I</w:t>
      </w:r>
      <w:r w:rsidR="00335B96" w:rsidRPr="00067912">
        <w:rPr>
          <w:u w:val="none"/>
        </w:rPr>
        <w:t>t is trite that</w:t>
      </w:r>
      <w:r w:rsidR="00DA7DF5" w:rsidRPr="00067912">
        <w:rPr>
          <w:u w:val="none"/>
        </w:rPr>
        <w:t xml:space="preserve"> a demand left at the registered office is a demand for such purposes even if it does not in fact come to the attention of the company</w:t>
      </w:r>
      <w:r w:rsidR="00462BF9" w:rsidRPr="0097259F">
        <w:rPr>
          <w:rStyle w:val="FootnoteReference"/>
          <w:u w:val="none"/>
        </w:rPr>
        <w:footnoteReference w:id="1"/>
      </w:r>
      <w:r w:rsidR="00DA7DF5" w:rsidRPr="00067912">
        <w:rPr>
          <w:u w:val="none"/>
        </w:rPr>
        <w:t>. In our law, the return of service issued by the Sheriff having attended to service of the demand constitutes prima facie evidence that there has been due compliance with section 345(1)(a)(i) as far as delivery of the said demand is concerned. Section 43(2) of the Superior Courts Act of 2013 provides that: “(2) The return of the Sheriff or Deputy Sheriff of what has been done upon any process of the Court, shall be prima facie evidence of all matters therein stated.”</w:t>
      </w:r>
    </w:p>
    <w:p w:rsidR="008B40F2" w:rsidRPr="0097259F" w:rsidRDefault="008B40F2" w:rsidP="008B40F2">
      <w:pPr>
        <w:pStyle w:val="ListParagraph"/>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[12]</w:t>
      </w:r>
      <w:r w:rsidRPr="0097259F">
        <w:rPr>
          <w:color w:val="000000"/>
          <w:u w:val="none"/>
        </w:rPr>
        <w:tab/>
      </w:r>
      <w:r w:rsidR="00DA7DF5" w:rsidRPr="00067912">
        <w:rPr>
          <w:u w:val="none"/>
        </w:rPr>
        <w:t xml:space="preserve">The court in </w:t>
      </w:r>
      <w:r w:rsidR="00DA7DF5" w:rsidRPr="00067912">
        <w:rPr>
          <w:i/>
          <w:u w:val="none"/>
        </w:rPr>
        <w:t>Van Vuuren v Jansen</w:t>
      </w:r>
      <w:r w:rsidR="00462BF9" w:rsidRPr="0097259F">
        <w:rPr>
          <w:rStyle w:val="FootnoteReference"/>
          <w:u w:val="none"/>
        </w:rPr>
        <w:footnoteReference w:id="2"/>
      </w:r>
      <w:r w:rsidR="0081512C" w:rsidRPr="00067912">
        <w:rPr>
          <w:u w:val="none"/>
        </w:rPr>
        <w:t xml:space="preserve"> held that a</w:t>
      </w:r>
      <w:r w:rsidR="00DA7DF5" w:rsidRPr="00067912">
        <w:rPr>
          <w:u w:val="none"/>
        </w:rPr>
        <w:t xml:space="preserve"> sheriff's return of service is regarded as prima facie evidence</w:t>
      </w:r>
      <w:r w:rsidR="0081512C" w:rsidRPr="00067912">
        <w:rPr>
          <w:u w:val="none"/>
        </w:rPr>
        <w:t xml:space="preserve"> of the truth of its contents and a</w:t>
      </w:r>
      <w:r w:rsidR="00DA7DF5" w:rsidRPr="00067912">
        <w:rPr>
          <w:u w:val="none"/>
        </w:rPr>
        <w:t xml:space="preserve"> Court will require clear and satisfac</w:t>
      </w:r>
      <w:r w:rsidR="0081512C" w:rsidRPr="00067912">
        <w:rPr>
          <w:u w:val="none"/>
        </w:rPr>
        <w:t>tory proof that it is incorrect</w:t>
      </w:r>
      <w:r w:rsidR="00DA7DF5" w:rsidRPr="00067912">
        <w:rPr>
          <w:u w:val="none"/>
        </w:rPr>
        <w:t>.  The attack on the integrity of the return of service in circumstances where no alternative method of service was achievable, constitutes substantial compliance with the requirements of Act 63 of 1971. I am satisfied in this instance that the return of service issued by the Sheriff having attended to service of the demand constitutes prima facie evidence that there has been due compliance with section 345(1)(a)(i) as far as delivery of the said demand is concerned.</w:t>
      </w:r>
      <w:r w:rsidR="00DA7DF5" w:rsidRPr="00067912">
        <w:rPr>
          <w:sz w:val="23"/>
          <w:szCs w:val="23"/>
          <w:u w:val="none"/>
        </w:rPr>
        <w:t xml:space="preserve"> Effective service of the application to liquidate has been achieved especially under circumstances where an affidavit opposing the relief claimed has been delivered on behalf of the respondent.</w:t>
      </w:r>
    </w:p>
    <w:p w:rsidR="008B40F2" w:rsidRPr="0097259F" w:rsidRDefault="008B40F2" w:rsidP="008B40F2">
      <w:pPr>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[13]</w:t>
      </w:r>
      <w:r w:rsidRPr="0097259F">
        <w:rPr>
          <w:color w:val="000000"/>
          <w:u w:val="none"/>
        </w:rPr>
        <w:tab/>
      </w:r>
      <w:r w:rsidR="00DA7DF5" w:rsidRPr="00067912">
        <w:rPr>
          <w:u w:val="none"/>
        </w:rPr>
        <w:t>I</w:t>
      </w:r>
      <w:r w:rsidR="00335B96" w:rsidRPr="00067912">
        <w:rPr>
          <w:u w:val="none"/>
        </w:rPr>
        <w:t>t is trite that winding</w:t>
      </w:r>
      <w:r w:rsidR="00DA7DF5" w:rsidRPr="00067912">
        <w:rPr>
          <w:u w:val="none"/>
        </w:rPr>
        <w:t>-up proceedings are not to be used to enforce payment of a debt that is disputed on bona fide and reasonable grounds</w:t>
      </w:r>
      <w:r w:rsidR="00462BF9" w:rsidRPr="0097259F">
        <w:rPr>
          <w:rStyle w:val="FootnoteReference"/>
          <w:u w:val="none"/>
        </w:rPr>
        <w:footnoteReference w:id="3"/>
      </w:r>
      <w:r w:rsidR="00DA7DF5" w:rsidRPr="00067912">
        <w:rPr>
          <w:u w:val="none"/>
        </w:rPr>
        <w:t xml:space="preserve">  This is known as </w:t>
      </w:r>
      <w:r w:rsidR="00DA7DF5" w:rsidRPr="00067912">
        <w:rPr>
          <w:u w:val="none"/>
        </w:rPr>
        <w:lastRenderedPageBreak/>
        <w:t>the so-called 'Badenhorst rule'.  Where, however, the respondent's indebtedness has, prima facie, been established, the onus is on it to show that this indebtedness is indeed disputed on bona fide and reasonable grounds</w:t>
      </w:r>
      <w:r w:rsidR="00462BF9" w:rsidRPr="0097259F">
        <w:rPr>
          <w:rStyle w:val="FootnoteReference"/>
          <w:u w:val="none"/>
        </w:rPr>
        <w:footnoteReference w:id="4"/>
      </w:r>
      <w:r w:rsidR="00462BF9" w:rsidRPr="00067912">
        <w:rPr>
          <w:u w:val="none"/>
        </w:rPr>
        <w:t>.</w:t>
      </w:r>
    </w:p>
    <w:p w:rsidR="008B40F2" w:rsidRPr="0097259F" w:rsidRDefault="008B40F2" w:rsidP="008B40F2">
      <w:pPr>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[14]</w:t>
      </w:r>
      <w:r w:rsidRPr="0097259F">
        <w:rPr>
          <w:color w:val="000000"/>
          <w:u w:val="none"/>
        </w:rPr>
        <w:tab/>
      </w:r>
      <w:r w:rsidR="00D36F7A" w:rsidRPr="00067912">
        <w:rPr>
          <w:color w:val="000000"/>
          <w:u w:val="none"/>
          <w:shd w:val="clear" w:color="auto" w:fill="FFFFFF"/>
          <w:lang w:val="en-CA"/>
        </w:rPr>
        <w:t>S</w:t>
      </w:r>
      <w:r w:rsidR="00335B96" w:rsidRPr="00067912">
        <w:rPr>
          <w:color w:val="000000"/>
          <w:u w:val="none"/>
          <w:shd w:val="clear" w:color="auto" w:fill="FFFFFF"/>
          <w:lang w:val="en-CA"/>
        </w:rPr>
        <w:t>ection 344</w:t>
      </w:r>
      <w:r w:rsidR="00D36F7A" w:rsidRPr="00067912">
        <w:rPr>
          <w:color w:val="000000"/>
          <w:u w:val="none"/>
          <w:shd w:val="clear" w:color="auto" w:fill="FFFFFF"/>
          <w:lang w:val="en-CA"/>
        </w:rPr>
        <w:t>(</w:t>
      </w:r>
      <w:r w:rsidR="00984C0B" w:rsidRPr="00067912">
        <w:rPr>
          <w:color w:val="000000"/>
          <w:u w:val="none"/>
          <w:shd w:val="clear" w:color="auto" w:fill="FFFFFF"/>
          <w:lang w:val="en-CA"/>
        </w:rPr>
        <w:t>f) of</w:t>
      </w:r>
      <w:r w:rsidR="00DA7DF5" w:rsidRPr="00067912">
        <w:rPr>
          <w:color w:val="000000"/>
          <w:u w:val="none"/>
          <w:shd w:val="clear" w:color="auto" w:fill="FFFFFF"/>
        </w:rPr>
        <w:t xml:space="preserve"> the 1973 </w:t>
      </w:r>
      <w:r w:rsidR="00D36F7A" w:rsidRPr="00067912">
        <w:rPr>
          <w:color w:val="000000"/>
          <w:u w:val="none"/>
          <w:shd w:val="clear" w:color="auto" w:fill="FFFFFF"/>
        </w:rPr>
        <w:t>Companies Act</w:t>
      </w:r>
      <w:r w:rsidR="00DA7DF5" w:rsidRPr="00067912">
        <w:rPr>
          <w:color w:val="000000"/>
          <w:u w:val="none"/>
          <w:shd w:val="clear" w:color="auto" w:fill="FFFFFF"/>
          <w:lang w:val="en-CA"/>
        </w:rPr>
        <w:t> provides that a company may be wound up by the Court if “</w:t>
      </w:r>
      <w:r w:rsidR="00DA7DF5" w:rsidRPr="00067912">
        <w:rPr>
          <w:i/>
          <w:iCs/>
          <w:color w:val="000000"/>
          <w:u w:val="none"/>
          <w:shd w:val="clear" w:color="auto" w:fill="FFFFFF"/>
          <w:lang w:val="en-CA"/>
        </w:rPr>
        <w:t>the</w:t>
      </w:r>
      <w:r w:rsidR="00DA7DF5" w:rsidRPr="00067912">
        <w:rPr>
          <w:color w:val="242121"/>
          <w:u w:val="none"/>
          <w:shd w:val="clear" w:color="auto" w:fill="FFFFFF"/>
        </w:rPr>
        <w:t> </w:t>
      </w:r>
      <w:r w:rsidR="00DA7DF5" w:rsidRPr="00067912">
        <w:rPr>
          <w:i/>
          <w:iCs/>
          <w:color w:val="000000"/>
          <w:u w:val="none"/>
          <w:shd w:val="clear" w:color="auto" w:fill="FFFFFF"/>
          <w:lang w:val="en-CA"/>
        </w:rPr>
        <w:t>company is unable to pay its debts as prescribed in</w:t>
      </w:r>
      <w:r w:rsidR="00984C0B" w:rsidRPr="00067912">
        <w:rPr>
          <w:i/>
          <w:iCs/>
          <w:color w:val="000000"/>
          <w:u w:val="none"/>
          <w:shd w:val="clear" w:color="auto" w:fill="FFFFFF"/>
          <w:lang w:val="en-CA"/>
        </w:rPr>
        <w:t xml:space="preserve"> section 345”. </w:t>
      </w:r>
      <w:r w:rsidR="00984C0B" w:rsidRPr="00067912">
        <w:rPr>
          <w:iCs/>
          <w:color w:val="000000"/>
          <w:u w:val="none"/>
          <w:shd w:val="clear" w:color="auto" w:fill="FFFFFF"/>
          <w:lang w:val="en-CA"/>
        </w:rPr>
        <w:t>Section 345 (1) (b)</w:t>
      </w:r>
      <w:r w:rsidR="00984C0B" w:rsidRPr="00067912">
        <w:rPr>
          <w:color w:val="000000"/>
          <w:u w:val="none"/>
          <w:shd w:val="clear" w:color="auto" w:fill="FFFFFF"/>
          <w:lang w:val="en-CA"/>
        </w:rPr>
        <w:t>,</w:t>
      </w:r>
      <w:r w:rsidR="00DA7DF5" w:rsidRPr="00067912">
        <w:rPr>
          <w:color w:val="000000"/>
          <w:u w:val="none"/>
          <w:shd w:val="clear" w:color="auto" w:fill="FFFFFF"/>
          <w:lang w:val="en-CA"/>
        </w:rPr>
        <w:t xml:space="preserve"> for its part, provides that a company “</w:t>
      </w:r>
      <w:r w:rsidR="00DA7DF5" w:rsidRPr="00067912">
        <w:rPr>
          <w:i/>
          <w:iCs/>
          <w:color w:val="000000"/>
          <w:u w:val="none"/>
          <w:shd w:val="clear" w:color="auto" w:fill="FFFFFF"/>
          <w:lang w:val="en-CA"/>
        </w:rPr>
        <w:t>shall be deemed to be unable to pay its debts if … any process issued on a judgment, decree or order of any court in favour of a creditor of the company is returned by the sheriff or the messenger with an endorsement that he has not found sufficient disposable property to satisfy the judgment, decree or order or that any disposable property found did not upon sale satisfy such process”</w:t>
      </w:r>
      <w:r w:rsidR="006B2B5A" w:rsidRPr="00067912">
        <w:rPr>
          <w:i/>
          <w:iCs/>
          <w:color w:val="000000"/>
          <w:u w:val="none"/>
          <w:shd w:val="clear" w:color="auto" w:fill="FFFFFF"/>
          <w:lang w:val="en-CA"/>
        </w:rPr>
        <w:t>.</w:t>
      </w:r>
    </w:p>
    <w:p w:rsidR="008B40F2" w:rsidRPr="0097259F" w:rsidRDefault="008B40F2" w:rsidP="008B40F2">
      <w:pPr>
        <w:spacing w:before="120" w:after="120" w:line="360" w:lineRule="auto"/>
        <w:ind w:left="692"/>
        <w:jc w:val="both"/>
        <w:rPr>
          <w:color w:val="000000"/>
          <w:u w:val="none"/>
          <w:shd w:val="clear" w:color="auto" w:fill="FFFFFF"/>
        </w:rPr>
      </w:pPr>
    </w:p>
    <w:p w:rsidR="00DA7DF5" w:rsidRPr="00067912" w:rsidRDefault="00067912" w:rsidP="00067912">
      <w:pPr>
        <w:tabs>
          <w:tab w:val="left" w:pos="690"/>
        </w:tabs>
        <w:spacing w:before="120" w:after="120" w:line="360" w:lineRule="auto"/>
        <w:ind w:left="690" w:hanging="690"/>
        <w:jc w:val="both"/>
        <w:rPr>
          <w:color w:val="000000"/>
          <w:u w:val="none"/>
          <w:shd w:val="clear" w:color="auto" w:fill="FFFFFF"/>
        </w:rPr>
      </w:pPr>
      <w:r w:rsidRPr="0097259F">
        <w:rPr>
          <w:color w:val="000000"/>
          <w:u w:val="none"/>
        </w:rPr>
        <w:t>[15]</w:t>
      </w:r>
      <w:r w:rsidRPr="0097259F">
        <w:rPr>
          <w:color w:val="000000"/>
          <w:u w:val="none"/>
        </w:rPr>
        <w:tab/>
      </w:r>
      <w:r w:rsidR="00DA7DF5" w:rsidRPr="00067912">
        <w:rPr>
          <w:u w:val="none"/>
        </w:rPr>
        <w:t>The respondent alleges as to the merits of the application that, the respondent managed to reduce the arrears amount of R 11 629.79 to R 3 129.79 between the 14 June 2021 and 02 September 2021 as per the remedial plan in place with the applicant. The failure of the respondent to pay the instalment for May and June 2021 occurred as a result of the Covid-19 lockdown restrictions and since then the business has returned to normality. The respondent is adamant that it is solvent as its assets exceed its liabilities. The allegation by respondent that the bond account is paid up is not supported by evidence in support of such allegation. According to the applicant as at 10 November 2021 was and remains</w:t>
      </w:r>
      <w:r w:rsidR="004D79AA" w:rsidRPr="00067912">
        <w:rPr>
          <w:u w:val="none"/>
        </w:rPr>
        <w:t xml:space="preserve"> in arrears in the amount of R6 </w:t>
      </w:r>
      <w:r w:rsidR="00DA7DF5" w:rsidRPr="00067912">
        <w:rPr>
          <w:u w:val="none"/>
        </w:rPr>
        <w:t xml:space="preserve">822.46, which the respondent in </w:t>
      </w:r>
      <w:r w:rsidR="00D2697B" w:rsidRPr="00067912">
        <w:rPr>
          <w:u w:val="none"/>
        </w:rPr>
        <w:t>their answering affidavit</w:t>
      </w:r>
      <w:r w:rsidR="00DA7DF5" w:rsidRPr="00067912">
        <w:rPr>
          <w:u w:val="none"/>
        </w:rPr>
        <w:t>, indicated tha</w:t>
      </w:r>
      <w:r w:rsidR="004D79AA" w:rsidRPr="00067912">
        <w:rPr>
          <w:u w:val="none"/>
        </w:rPr>
        <w:t xml:space="preserve">t it </w:t>
      </w:r>
      <w:r w:rsidR="00D2697B" w:rsidRPr="00067912">
        <w:rPr>
          <w:u w:val="none"/>
        </w:rPr>
        <w:t>the arrears amount was reduced to R 3 129.79 when the applications were launched.</w:t>
      </w:r>
      <w:r w:rsidR="00DA7DF5" w:rsidRPr="00067912">
        <w:rPr>
          <w:u w:val="none"/>
        </w:rPr>
        <w:t xml:space="preserve"> The applicant, is only required to establish an indebtedness of no less than R100.00.</w:t>
      </w:r>
    </w:p>
    <w:p w:rsidR="008B40F2" w:rsidRPr="0097259F" w:rsidRDefault="008B40F2" w:rsidP="008B40F2">
      <w:pPr>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[16]</w:t>
      </w:r>
      <w:r w:rsidRPr="0097259F">
        <w:rPr>
          <w:color w:val="000000"/>
          <w:u w:val="none"/>
        </w:rPr>
        <w:tab/>
      </w:r>
      <w:r w:rsidR="00DA7DF5" w:rsidRPr="00067912">
        <w:rPr>
          <w:u w:val="none"/>
        </w:rPr>
        <w:t xml:space="preserve">The respondent alleges that as a direct result of its failure to have maintained the monthly agreed upon instalments and at the request of Matlala that the parties had entered into a remedial plan. The allegations in this regard were </w:t>
      </w:r>
      <w:r w:rsidR="00DA7DF5" w:rsidRPr="00067912">
        <w:rPr>
          <w:u w:val="none"/>
        </w:rPr>
        <w:lastRenderedPageBreak/>
        <w:t>denied by the applicant. The respondent failed to provide any proof of the conclusion or the existence of a repayment plan or arrangement</w:t>
      </w:r>
      <w:r w:rsidR="008B40F2" w:rsidRPr="00067912">
        <w:rPr>
          <w:u w:val="none"/>
        </w:rPr>
        <w:t>.</w:t>
      </w:r>
    </w:p>
    <w:p w:rsidR="008B40F2" w:rsidRPr="0097259F" w:rsidRDefault="008B40F2" w:rsidP="008B40F2">
      <w:pPr>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[17]</w:t>
      </w:r>
      <w:r w:rsidRPr="0097259F">
        <w:rPr>
          <w:color w:val="000000"/>
          <w:u w:val="none"/>
        </w:rPr>
        <w:tab/>
      </w:r>
      <w:r w:rsidR="00DA7DF5" w:rsidRPr="00067912">
        <w:rPr>
          <w:u w:val="none"/>
        </w:rPr>
        <w:t xml:space="preserve">The loan agreements provide that the applicant would be entitled to prove the respondent’s indebtedness by way of a certificate of balance which the applicant complied with in both instances. The law regarding certificates of balances remains, it stands as prima facie proof of the substance of its contents in </w:t>
      </w:r>
      <w:r w:rsidR="0081512C" w:rsidRPr="00067912">
        <w:rPr>
          <w:u w:val="none"/>
        </w:rPr>
        <w:t>any litigation to exact payment</w:t>
      </w:r>
      <w:r w:rsidR="0081512C">
        <w:rPr>
          <w:rStyle w:val="FootnoteReference"/>
          <w:u w:val="none"/>
        </w:rPr>
        <w:footnoteReference w:id="5"/>
      </w:r>
      <w:r w:rsidR="0081512C" w:rsidRPr="00067912">
        <w:rPr>
          <w:u w:val="none"/>
        </w:rPr>
        <w:t>.</w:t>
      </w:r>
      <w:r w:rsidR="00DA7DF5" w:rsidRPr="00067912">
        <w:rPr>
          <w:u w:val="none"/>
        </w:rPr>
        <w:t xml:space="preserve"> The certificate of balance in these applications remains unchallenged.</w:t>
      </w:r>
    </w:p>
    <w:p w:rsidR="00DA7DF5" w:rsidRPr="0097259F" w:rsidRDefault="00DA7DF5" w:rsidP="00EF0779">
      <w:pPr>
        <w:pStyle w:val="ListParagraph"/>
        <w:spacing w:before="120" w:after="120" w:line="360" w:lineRule="auto"/>
        <w:ind w:left="692"/>
        <w:jc w:val="both"/>
        <w:rPr>
          <w:color w:val="000000"/>
          <w:u w:val="none"/>
          <w:shd w:val="clear" w:color="auto" w:fill="FFFFFF"/>
        </w:rPr>
      </w:pPr>
    </w:p>
    <w:p w:rsidR="005A00B8" w:rsidRPr="009D2A0B" w:rsidRDefault="00DA7DF5" w:rsidP="005A00B8">
      <w:pPr>
        <w:pStyle w:val="ListParagraph"/>
        <w:spacing w:before="120" w:after="120" w:line="360" w:lineRule="auto"/>
        <w:ind w:left="692"/>
        <w:jc w:val="both"/>
        <w:rPr>
          <w:u w:val="none"/>
        </w:rPr>
      </w:pPr>
      <w:r w:rsidRPr="009D2A0B">
        <w:rPr>
          <w:u w:val="none"/>
        </w:rPr>
        <w:t>The liquidation application</w:t>
      </w:r>
    </w:p>
    <w:p w:rsidR="009D2A0B" w:rsidRPr="00067912" w:rsidRDefault="00067912" w:rsidP="00067912">
      <w:pPr>
        <w:tabs>
          <w:tab w:val="left" w:pos="2"/>
        </w:tabs>
        <w:spacing w:before="120" w:after="120" w:line="360" w:lineRule="auto"/>
        <w:ind w:left="692" w:hanging="690"/>
        <w:jc w:val="both"/>
        <w:rPr>
          <w:u w:val="none"/>
        </w:rPr>
      </w:pPr>
      <w:r w:rsidRPr="00B90AF4">
        <w:rPr>
          <w:u w:val="none"/>
        </w:rPr>
        <w:t>[18]</w:t>
      </w:r>
      <w:r w:rsidRPr="00B90AF4">
        <w:rPr>
          <w:u w:val="none"/>
        </w:rPr>
        <w:tab/>
      </w:r>
      <w:r w:rsidR="00DA7DF5" w:rsidRPr="00067912">
        <w:rPr>
          <w:u w:val="none"/>
        </w:rPr>
        <w:t xml:space="preserve">After a proper reading and consideration of the affidavits and annexures thereto, and submissions by both parties with reference to relevant case law, I am satisfied that the applicant has made a prima facie case that the granting of a provisional order of winding-up of the respondent on the ground that the respondent is unable to pay its debt is justified </w:t>
      </w:r>
      <w:r w:rsidR="00DA7DF5" w:rsidRPr="00067912">
        <w:rPr>
          <w:color w:val="000000"/>
          <w:u w:val="none"/>
          <w:shd w:val="clear" w:color="auto" w:fill="FFFFFF"/>
        </w:rPr>
        <w:t>as described in section 345</w:t>
      </w:r>
      <w:r w:rsidR="00DA7DF5" w:rsidRPr="00067912">
        <w:rPr>
          <w:u w:val="none"/>
        </w:rPr>
        <w:t>. The respondent is clearly indebted to the applicant. The respondent’s version is found to be far-fetched and untenable.</w:t>
      </w:r>
      <w:r w:rsidR="00D14A37" w:rsidRPr="00067912">
        <w:rPr>
          <w:u w:val="none"/>
        </w:rPr>
        <w:t xml:space="preserve"> This court is entitled to take a robust approach.</w:t>
      </w:r>
      <w:r w:rsidR="00B90AF4" w:rsidRPr="00067912">
        <w:rPr>
          <w:u w:val="none"/>
        </w:rPr>
        <w:t xml:space="preserve"> There is no bona fide dispute whether the debt is due and payable even on the respondent’s own version from the papers. </w:t>
      </w:r>
      <w:r w:rsidR="00DA7DF5" w:rsidRPr="00067912">
        <w:rPr>
          <w:u w:val="none"/>
        </w:rPr>
        <w:t xml:space="preserve">The issues raised by the respondent in opposing the claim of the applicant, is not regarded sufficient to constitute a bona fide dispute on reasonable grounds in relation to the liquidation application. </w:t>
      </w:r>
    </w:p>
    <w:p w:rsidR="009D2A0B" w:rsidRPr="00B90AF4" w:rsidRDefault="009D2A0B" w:rsidP="009D2A0B">
      <w:pPr>
        <w:pStyle w:val="ListParagraph"/>
        <w:spacing w:before="120" w:after="120" w:line="360" w:lineRule="auto"/>
        <w:ind w:left="692"/>
        <w:jc w:val="both"/>
        <w:rPr>
          <w:u w:val="none"/>
        </w:rPr>
      </w:pPr>
      <w:r>
        <w:rPr>
          <w:u w:val="none"/>
        </w:rPr>
        <w:t>The money judgment application</w:t>
      </w:r>
    </w:p>
    <w:p w:rsidR="00DA7DF5" w:rsidRPr="00067912" w:rsidRDefault="00067912" w:rsidP="00067912">
      <w:pPr>
        <w:tabs>
          <w:tab w:val="left" w:pos="2"/>
        </w:tabs>
        <w:spacing w:before="120" w:after="120" w:line="360" w:lineRule="auto"/>
        <w:ind w:left="692" w:hanging="690"/>
        <w:jc w:val="both"/>
        <w:rPr>
          <w:color w:val="000000"/>
          <w:u w:val="none"/>
          <w:shd w:val="clear" w:color="auto" w:fill="FFFFFF"/>
        </w:rPr>
      </w:pPr>
      <w:r w:rsidRPr="0097259F">
        <w:rPr>
          <w:color w:val="000000"/>
          <w:u w:val="none"/>
        </w:rPr>
        <w:t>[19]</w:t>
      </w:r>
      <w:r w:rsidRPr="0097259F">
        <w:rPr>
          <w:color w:val="000000"/>
          <w:u w:val="none"/>
        </w:rPr>
        <w:tab/>
      </w:r>
      <w:r w:rsidR="00DA7DF5" w:rsidRPr="00067912">
        <w:rPr>
          <w:sz w:val="23"/>
          <w:szCs w:val="23"/>
          <w:u w:val="none"/>
        </w:rPr>
        <w:t xml:space="preserve">The respondent, by extension on the basis of the suretyship agreement is indebted to the </w:t>
      </w:r>
      <w:r w:rsidR="0081512C" w:rsidRPr="00067912">
        <w:rPr>
          <w:sz w:val="23"/>
          <w:szCs w:val="23"/>
          <w:u w:val="none"/>
        </w:rPr>
        <w:t xml:space="preserve">applicant in the amount of R496 </w:t>
      </w:r>
      <w:r w:rsidR="00DA7DF5" w:rsidRPr="00067912">
        <w:rPr>
          <w:sz w:val="23"/>
          <w:szCs w:val="23"/>
          <w:u w:val="none"/>
        </w:rPr>
        <w:t>919.25 together with interest at the applicable prime rate</w:t>
      </w:r>
      <w:r w:rsidR="009D2A0B" w:rsidRPr="00067912">
        <w:rPr>
          <w:sz w:val="23"/>
          <w:szCs w:val="23"/>
          <w:u w:val="none"/>
        </w:rPr>
        <w:t>.</w:t>
      </w:r>
    </w:p>
    <w:p w:rsidR="00DA7DF5" w:rsidRPr="0097259F" w:rsidRDefault="00DA7DF5" w:rsidP="00EF0779">
      <w:pPr>
        <w:pStyle w:val="ListParagraph"/>
        <w:spacing w:before="120" w:after="120" w:line="360" w:lineRule="auto"/>
        <w:ind w:left="692"/>
        <w:jc w:val="both"/>
        <w:rPr>
          <w:color w:val="000000"/>
          <w:u w:val="none"/>
          <w:shd w:val="clear" w:color="auto" w:fill="FFFFFF"/>
        </w:rPr>
      </w:pPr>
    </w:p>
    <w:p w:rsidR="00DA7DF5" w:rsidRPr="00067912" w:rsidRDefault="00067912" w:rsidP="00067912">
      <w:pPr>
        <w:tabs>
          <w:tab w:val="left" w:pos="2"/>
        </w:tabs>
        <w:spacing w:before="120" w:line="360" w:lineRule="auto"/>
        <w:ind w:left="692" w:hanging="690"/>
        <w:jc w:val="both"/>
        <w:rPr>
          <w:color w:val="000000"/>
          <w:u w:val="none"/>
          <w:shd w:val="clear" w:color="auto" w:fill="FFFFFF"/>
        </w:rPr>
      </w:pPr>
      <w:r w:rsidRPr="0097259F">
        <w:rPr>
          <w:color w:val="000000"/>
          <w:u w:val="none"/>
        </w:rPr>
        <w:t>[20]</w:t>
      </w:r>
      <w:r w:rsidRPr="0097259F">
        <w:rPr>
          <w:color w:val="000000"/>
          <w:u w:val="none"/>
        </w:rPr>
        <w:tab/>
      </w:r>
      <w:r w:rsidR="00DA7DF5" w:rsidRPr="00067912">
        <w:rPr>
          <w:rFonts w:eastAsiaTheme="minorHAnsi"/>
          <w:u w:val="none"/>
          <w:lang w:eastAsia="en-US"/>
        </w:rPr>
        <w:t>The following order is made</w:t>
      </w:r>
      <w:r w:rsidR="00DA7DF5" w:rsidRPr="00067912">
        <w:rPr>
          <w:u w:val="none"/>
        </w:rPr>
        <w:t xml:space="preserve"> in respect of case no</w:t>
      </w:r>
      <w:r w:rsidR="00DA7DF5" w:rsidRPr="00067912">
        <w:rPr>
          <w:rFonts w:eastAsiaTheme="minorHAnsi"/>
          <w:u w:val="none"/>
          <w:lang w:eastAsia="en-US"/>
        </w:rPr>
        <w:t>:</w:t>
      </w:r>
      <w:r w:rsidR="00984C0B" w:rsidRPr="00067912">
        <w:rPr>
          <w:rFonts w:eastAsiaTheme="minorHAnsi"/>
          <w:u w:val="none"/>
          <w:lang w:eastAsia="en-US"/>
        </w:rPr>
        <w:t xml:space="preserve"> </w:t>
      </w:r>
      <w:r w:rsidR="00984C0B" w:rsidRPr="00067912">
        <w:rPr>
          <w:u w:val="none"/>
        </w:rPr>
        <w:t>2021/</w:t>
      </w:r>
      <w:r w:rsidR="00DA7DF5" w:rsidRPr="00067912">
        <w:rPr>
          <w:u w:val="none"/>
        </w:rPr>
        <w:t>42861</w:t>
      </w:r>
    </w:p>
    <w:p w:rsidR="00DA7DF5" w:rsidRPr="0097259F" w:rsidRDefault="0081512C" w:rsidP="00B5142E">
      <w:pPr>
        <w:pStyle w:val="NormalWeb"/>
        <w:shd w:val="clear" w:color="auto" w:fill="FFFFFF"/>
        <w:spacing w:before="0" w:beforeAutospacing="0" w:after="0" w:afterAutospacing="0" w:line="360" w:lineRule="auto"/>
        <w:ind w:left="1418" w:hanging="709"/>
        <w:jc w:val="both"/>
        <w:rPr>
          <w:rFonts w:ascii="Arial" w:hAnsi="Arial" w:cs="Arial"/>
        </w:rPr>
      </w:pPr>
      <w:r>
        <w:rPr>
          <w:rFonts w:ascii="Arial" w:hAnsi="Arial" w:cs="Arial"/>
        </w:rPr>
        <w:t>1.</w:t>
      </w:r>
      <w:r>
        <w:rPr>
          <w:rFonts w:ascii="Arial" w:hAnsi="Arial" w:cs="Arial"/>
        </w:rPr>
        <w:tab/>
      </w:r>
      <w:r w:rsidR="00DA7DF5" w:rsidRPr="0097259F">
        <w:rPr>
          <w:rFonts w:ascii="Arial" w:hAnsi="Arial" w:cs="Arial"/>
        </w:rPr>
        <w:t xml:space="preserve">The respondent is placed under provisional winding-up in the hands of the Master of the High Court. </w:t>
      </w:r>
    </w:p>
    <w:p w:rsidR="00DA7DF5" w:rsidRPr="0097259F" w:rsidRDefault="00DA7DF5" w:rsidP="00B5142E">
      <w:pPr>
        <w:pStyle w:val="NormalWeb"/>
        <w:shd w:val="clear" w:color="auto" w:fill="FFFFFF"/>
        <w:spacing w:before="0" w:beforeAutospacing="0" w:after="0" w:afterAutospacing="0" w:line="360" w:lineRule="auto"/>
        <w:ind w:left="1418" w:hanging="709"/>
        <w:jc w:val="both"/>
        <w:rPr>
          <w:rFonts w:ascii="Arial" w:hAnsi="Arial" w:cs="Arial"/>
        </w:rPr>
      </w:pPr>
      <w:r w:rsidRPr="0097259F">
        <w:rPr>
          <w:rFonts w:ascii="Arial" w:hAnsi="Arial" w:cs="Arial"/>
        </w:rPr>
        <w:lastRenderedPageBreak/>
        <w:t>2.</w:t>
      </w:r>
      <w:r w:rsidR="0081512C">
        <w:rPr>
          <w:rFonts w:ascii="Arial" w:hAnsi="Arial" w:cs="Arial"/>
        </w:rPr>
        <w:tab/>
      </w:r>
      <w:r w:rsidRPr="0097259F">
        <w:rPr>
          <w:rFonts w:ascii="Arial" w:hAnsi="Arial" w:cs="Arial"/>
        </w:rPr>
        <w:t>A rule nisi is issued with return date on</w:t>
      </w:r>
      <w:r w:rsidR="0013784D">
        <w:rPr>
          <w:rFonts w:ascii="Arial" w:hAnsi="Arial" w:cs="Arial"/>
        </w:rPr>
        <w:t xml:space="preserve"> Wednesday, 12</w:t>
      </w:r>
      <w:r w:rsidRPr="0097259F">
        <w:rPr>
          <w:rFonts w:ascii="Arial" w:hAnsi="Arial" w:cs="Arial"/>
        </w:rPr>
        <w:t xml:space="preserve"> </w:t>
      </w:r>
      <w:r w:rsidR="0013784D">
        <w:rPr>
          <w:rFonts w:ascii="Arial" w:hAnsi="Arial" w:cs="Arial"/>
        </w:rPr>
        <w:t>October 2022</w:t>
      </w:r>
      <w:r w:rsidRPr="0097259F">
        <w:rPr>
          <w:rFonts w:ascii="Arial" w:hAnsi="Arial" w:cs="Arial"/>
        </w:rPr>
        <w:t xml:space="preserve"> at 10 am</w:t>
      </w:r>
      <w:r w:rsidR="0013784D">
        <w:rPr>
          <w:rFonts w:ascii="Arial" w:hAnsi="Arial" w:cs="Arial"/>
        </w:rPr>
        <w:t>,</w:t>
      </w:r>
      <w:r w:rsidRPr="0097259F">
        <w:rPr>
          <w:rFonts w:ascii="Arial" w:hAnsi="Arial" w:cs="Arial"/>
        </w:rPr>
        <w:t xml:space="preserve"> calling on the respondent and interested parties to show cause why the respondent should not be placed under final winding-up. </w:t>
      </w:r>
    </w:p>
    <w:p w:rsidR="00DA7DF5" w:rsidRPr="0097259F" w:rsidRDefault="0081512C" w:rsidP="00B5142E">
      <w:pPr>
        <w:pStyle w:val="NormalWeb"/>
        <w:shd w:val="clear" w:color="auto" w:fill="FFFFFF"/>
        <w:spacing w:before="0" w:beforeAutospacing="0" w:after="0" w:afterAutospacing="0" w:line="360" w:lineRule="auto"/>
        <w:ind w:left="1418" w:hanging="709"/>
        <w:jc w:val="both"/>
        <w:rPr>
          <w:rFonts w:ascii="Arial" w:hAnsi="Arial" w:cs="Arial"/>
        </w:rPr>
      </w:pPr>
      <w:r>
        <w:rPr>
          <w:rFonts w:ascii="Arial" w:hAnsi="Arial" w:cs="Arial"/>
        </w:rPr>
        <w:t>3.</w:t>
      </w:r>
      <w:r>
        <w:rPr>
          <w:rFonts w:ascii="Arial" w:hAnsi="Arial" w:cs="Arial"/>
        </w:rPr>
        <w:tab/>
      </w:r>
      <w:r w:rsidR="00DA7DF5" w:rsidRPr="0097259F">
        <w:rPr>
          <w:rFonts w:ascii="Arial" w:hAnsi="Arial" w:cs="Arial"/>
        </w:rPr>
        <w:t xml:space="preserve">This order is to be served as follows: </w:t>
      </w:r>
    </w:p>
    <w:p w:rsidR="00DA7DF5" w:rsidRPr="0097259F" w:rsidRDefault="0081512C" w:rsidP="00B5142E">
      <w:pPr>
        <w:pStyle w:val="NormalWeb"/>
        <w:shd w:val="clear" w:color="auto" w:fill="FFFFFF"/>
        <w:spacing w:before="0" w:beforeAutospacing="0" w:after="0" w:afterAutospacing="0" w:line="360" w:lineRule="auto"/>
        <w:ind w:left="1418"/>
        <w:jc w:val="both"/>
        <w:rPr>
          <w:rFonts w:ascii="Arial" w:hAnsi="Arial" w:cs="Arial"/>
        </w:rPr>
      </w:pPr>
      <w:r>
        <w:rPr>
          <w:rFonts w:ascii="Arial" w:hAnsi="Arial" w:cs="Arial"/>
        </w:rPr>
        <w:t>3.1</w:t>
      </w:r>
      <w:r>
        <w:rPr>
          <w:rFonts w:ascii="Arial" w:hAnsi="Arial" w:cs="Arial"/>
        </w:rPr>
        <w:tab/>
      </w:r>
      <w:r w:rsidR="00DA7DF5" w:rsidRPr="0097259F">
        <w:rPr>
          <w:rFonts w:ascii="Arial" w:hAnsi="Arial" w:cs="Arial"/>
        </w:rPr>
        <w:t xml:space="preserve">by the sheriff on: </w:t>
      </w:r>
    </w:p>
    <w:p w:rsidR="00DA7DF5" w:rsidRPr="0097259F" w:rsidRDefault="00752E3D" w:rsidP="00B5142E">
      <w:pPr>
        <w:pStyle w:val="NormalWeb"/>
        <w:shd w:val="clear" w:color="auto" w:fill="FFFFFF"/>
        <w:spacing w:before="0" w:beforeAutospacing="0" w:after="0" w:afterAutospacing="0" w:line="360" w:lineRule="auto"/>
        <w:ind w:left="2138" w:firstLine="22"/>
        <w:jc w:val="both"/>
        <w:rPr>
          <w:rFonts w:ascii="Arial" w:hAnsi="Arial" w:cs="Arial"/>
        </w:rPr>
      </w:pPr>
      <w:r>
        <w:rPr>
          <w:rFonts w:ascii="Arial" w:hAnsi="Arial" w:cs="Arial"/>
        </w:rPr>
        <w:t>3.1.1</w:t>
      </w:r>
      <w:r>
        <w:rPr>
          <w:rFonts w:ascii="Arial" w:hAnsi="Arial" w:cs="Arial"/>
        </w:rPr>
        <w:tab/>
      </w:r>
      <w:r w:rsidR="00DA7DF5" w:rsidRPr="0097259F">
        <w:rPr>
          <w:rFonts w:ascii="Arial" w:hAnsi="Arial" w:cs="Arial"/>
        </w:rPr>
        <w:t>the respondent at its principal place of business;</w:t>
      </w:r>
    </w:p>
    <w:p w:rsidR="00DA7DF5" w:rsidRPr="0097259F" w:rsidRDefault="0081512C" w:rsidP="00B5142E">
      <w:pPr>
        <w:pStyle w:val="NormalWeb"/>
        <w:shd w:val="clear" w:color="auto" w:fill="FFFFFF"/>
        <w:spacing w:before="0" w:beforeAutospacing="0" w:after="0" w:afterAutospacing="0" w:line="360" w:lineRule="auto"/>
        <w:ind w:left="2878" w:hanging="740"/>
        <w:jc w:val="both"/>
        <w:rPr>
          <w:rFonts w:ascii="Arial" w:hAnsi="Arial" w:cs="Arial"/>
        </w:rPr>
      </w:pPr>
      <w:r>
        <w:rPr>
          <w:rFonts w:ascii="Arial" w:hAnsi="Arial" w:cs="Arial"/>
        </w:rPr>
        <w:t>3.1.2</w:t>
      </w:r>
      <w:r>
        <w:rPr>
          <w:rFonts w:ascii="Arial" w:hAnsi="Arial" w:cs="Arial"/>
        </w:rPr>
        <w:tab/>
      </w:r>
      <w:r w:rsidR="00DA7DF5" w:rsidRPr="0097259F">
        <w:rPr>
          <w:rFonts w:ascii="Arial" w:hAnsi="Arial" w:cs="Arial"/>
        </w:rPr>
        <w:t>the employees of the respondent at its principal place of business;</w:t>
      </w:r>
    </w:p>
    <w:p w:rsidR="00DA7DF5" w:rsidRPr="0097259F" w:rsidRDefault="0081512C" w:rsidP="00B5142E">
      <w:pPr>
        <w:pStyle w:val="NormalWeb"/>
        <w:shd w:val="clear" w:color="auto" w:fill="FFFFFF"/>
        <w:spacing w:before="0" w:beforeAutospacing="0" w:after="0" w:afterAutospacing="0" w:line="360" w:lineRule="auto"/>
        <w:ind w:left="1396" w:firstLine="720"/>
        <w:jc w:val="both"/>
        <w:rPr>
          <w:rFonts w:ascii="Arial" w:hAnsi="Arial" w:cs="Arial"/>
        </w:rPr>
      </w:pPr>
      <w:r>
        <w:rPr>
          <w:rFonts w:ascii="Arial" w:hAnsi="Arial" w:cs="Arial"/>
        </w:rPr>
        <w:t>3.1.3</w:t>
      </w:r>
      <w:r>
        <w:rPr>
          <w:rFonts w:ascii="Arial" w:hAnsi="Arial" w:cs="Arial"/>
        </w:rPr>
        <w:tab/>
      </w:r>
      <w:r w:rsidR="00DA7DF5" w:rsidRPr="0097259F">
        <w:rPr>
          <w:rFonts w:ascii="Arial" w:hAnsi="Arial" w:cs="Arial"/>
        </w:rPr>
        <w:t>the South African Revenue Service;</w:t>
      </w:r>
    </w:p>
    <w:p w:rsidR="00DA7DF5" w:rsidRPr="0097259F" w:rsidRDefault="0081512C" w:rsidP="00B5142E">
      <w:pPr>
        <w:pStyle w:val="NormalWeb"/>
        <w:shd w:val="clear" w:color="auto" w:fill="FFFFFF"/>
        <w:spacing w:before="0" w:beforeAutospacing="0" w:after="0" w:afterAutospacing="0" w:line="360" w:lineRule="auto"/>
        <w:ind w:left="2876" w:hanging="760"/>
        <w:jc w:val="both"/>
        <w:rPr>
          <w:rFonts w:ascii="Arial" w:hAnsi="Arial" w:cs="Arial"/>
        </w:rPr>
      </w:pPr>
      <w:r>
        <w:rPr>
          <w:rFonts w:ascii="Arial" w:hAnsi="Arial" w:cs="Arial"/>
        </w:rPr>
        <w:t>3.2</w:t>
      </w:r>
      <w:r>
        <w:rPr>
          <w:rFonts w:ascii="Arial" w:hAnsi="Arial" w:cs="Arial"/>
        </w:rPr>
        <w:tab/>
      </w:r>
      <w:r w:rsidR="00DA7DF5" w:rsidRPr="0097259F">
        <w:rPr>
          <w:rFonts w:ascii="Arial" w:hAnsi="Arial" w:cs="Arial"/>
        </w:rPr>
        <w:t xml:space="preserve">on creditors of the respondent by one publication on the Citizen newspaper. </w:t>
      </w:r>
    </w:p>
    <w:p w:rsidR="00DA7DF5" w:rsidRDefault="0081512C" w:rsidP="00B5142E">
      <w:pPr>
        <w:pStyle w:val="NormalWeb"/>
        <w:shd w:val="clear" w:color="auto" w:fill="FFFFFF"/>
        <w:spacing w:before="0" w:beforeAutospacing="0" w:after="0" w:afterAutospacing="0" w:line="360" w:lineRule="auto"/>
        <w:ind w:left="1418" w:hanging="709"/>
        <w:jc w:val="both"/>
        <w:rPr>
          <w:rFonts w:ascii="Arial" w:hAnsi="Arial" w:cs="Arial"/>
        </w:rPr>
      </w:pPr>
      <w:r>
        <w:rPr>
          <w:rFonts w:ascii="Arial" w:hAnsi="Arial" w:cs="Arial"/>
        </w:rPr>
        <w:t>4.</w:t>
      </w:r>
      <w:r>
        <w:rPr>
          <w:rFonts w:ascii="Arial" w:hAnsi="Arial" w:cs="Arial"/>
        </w:rPr>
        <w:tab/>
      </w:r>
      <w:r w:rsidR="00DA7DF5" w:rsidRPr="0097259F">
        <w:rPr>
          <w:rFonts w:ascii="Arial" w:hAnsi="Arial" w:cs="Arial"/>
        </w:rPr>
        <w:t>The costs of this application will be costs in the liquidation.</w:t>
      </w:r>
    </w:p>
    <w:p w:rsidR="0081512C" w:rsidRPr="0097259F" w:rsidRDefault="0081512C" w:rsidP="00EF0779">
      <w:pPr>
        <w:pStyle w:val="NormalWeb"/>
        <w:shd w:val="clear" w:color="auto" w:fill="FFFFFF"/>
        <w:spacing w:before="144" w:beforeAutospacing="0" w:after="288" w:afterAutospacing="0" w:line="360" w:lineRule="auto"/>
        <w:ind w:left="1418" w:hanging="709"/>
        <w:jc w:val="both"/>
        <w:rPr>
          <w:rFonts w:ascii="Arial" w:hAnsi="Arial" w:cs="Arial"/>
        </w:rPr>
      </w:pPr>
    </w:p>
    <w:p w:rsidR="00984C0B" w:rsidRPr="0097259F" w:rsidRDefault="00DA7DF5" w:rsidP="00EF0779">
      <w:pPr>
        <w:spacing w:after="600" w:line="360" w:lineRule="auto"/>
        <w:ind w:right="-153"/>
        <w:jc w:val="both"/>
        <w:rPr>
          <w:u w:val="none"/>
        </w:rPr>
      </w:pPr>
      <w:r w:rsidRPr="0097259F">
        <w:rPr>
          <w:rFonts w:eastAsiaTheme="minorHAnsi"/>
          <w:u w:val="none"/>
          <w:lang w:eastAsia="en-US"/>
        </w:rPr>
        <w:t>The following order is made</w:t>
      </w:r>
      <w:r w:rsidRPr="0097259F">
        <w:rPr>
          <w:u w:val="none"/>
        </w:rPr>
        <w:t xml:space="preserve"> in respect of case no</w:t>
      </w:r>
      <w:r w:rsidRPr="0097259F">
        <w:rPr>
          <w:rFonts w:eastAsiaTheme="minorHAnsi"/>
          <w:u w:val="none"/>
          <w:lang w:eastAsia="en-US"/>
        </w:rPr>
        <w:t>:</w:t>
      </w:r>
      <w:r w:rsidRPr="0097259F">
        <w:rPr>
          <w:u w:val="none"/>
        </w:rPr>
        <w:t xml:space="preserve"> </w:t>
      </w:r>
      <w:r w:rsidR="00984C0B" w:rsidRPr="0097259F">
        <w:rPr>
          <w:u w:val="none"/>
        </w:rPr>
        <w:t>2021/</w:t>
      </w:r>
      <w:r w:rsidRPr="0097259F">
        <w:rPr>
          <w:u w:val="none"/>
        </w:rPr>
        <w:t>42862</w:t>
      </w:r>
      <w:r w:rsidR="00984C0B" w:rsidRPr="0097259F">
        <w:rPr>
          <w:u w:val="none"/>
        </w:rPr>
        <w:t xml:space="preserve"> </w:t>
      </w:r>
      <w:r w:rsidR="00335B96" w:rsidRPr="0097259F">
        <w:rPr>
          <w:u w:val="none"/>
        </w:rPr>
        <w:t>(the</w:t>
      </w:r>
      <w:r w:rsidR="00984C0B" w:rsidRPr="0097259F">
        <w:rPr>
          <w:u w:val="none"/>
        </w:rPr>
        <w:t xml:space="preserve"> money judgment application)</w:t>
      </w:r>
    </w:p>
    <w:p w:rsidR="00DA7DF5" w:rsidRPr="00067912" w:rsidRDefault="00067912" w:rsidP="00067912">
      <w:pPr>
        <w:spacing w:line="360" w:lineRule="auto"/>
        <w:ind w:left="851" w:right="-153" w:hanging="851"/>
        <w:jc w:val="both"/>
        <w:rPr>
          <w:u w:val="none"/>
        </w:rPr>
      </w:pPr>
      <w:r w:rsidRPr="0097259F">
        <w:rPr>
          <w:rFonts w:ascii="Helvetica" w:hAnsi="Helvetica" w:cs="Helvetica"/>
          <w:bCs/>
          <w:sz w:val="23"/>
          <w:szCs w:val="23"/>
          <w:u w:val="none"/>
        </w:rPr>
        <w:t>[19]</w:t>
      </w:r>
      <w:r w:rsidRPr="0097259F">
        <w:rPr>
          <w:rFonts w:ascii="Helvetica" w:hAnsi="Helvetica" w:cs="Helvetica"/>
          <w:bCs/>
          <w:sz w:val="23"/>
          <w:szCs w:val="23"/>
          <w:u w:val="none"/>
        </w:rPr>
        <w:tab/>
      </w:r>
      <w:r w:rsidR="00984C0B" w:rsidRPr="00067912">
        <w:rPr>
          <w:u w:val="none"/>
        </w:rPr>
        <w:t>J</w:t>
      </w:r>
      <w:r w:rsidR="00DA7DF5" w:rsidRPr="00067912">
        <w:rPr>
          <w:u w:val="none"/>
        </w:rPr>
        <w:t>udgment is granted against the respondent in the following terms:</w:t>
      </w:r>
    </w:p>
    <w:p w:rsidR="00DA7DF5" w:rsidRPr="00067912" w:rsidRDefault="00067912" w:rsidP="00067912">
      <w:pPr>
        <w:spacing w:line="360" w:lineRule="auto"/>
        <w:ind w:left="1701" w:right="-153" w:hanging="850"/>
        <w:jc w:val="both"/>
        <w:rPr>
          <w:u w:val="none"/>
        </w:rPr>
      </w:pPr>
      <w:r w:rsidRPr="0097259F">
        <w:rPr>
          <w:rFonts w:ascii="Helvetica" w:hAnsi="Helvetica" w:cs="Helvetica"/>
          <w:bCs/>
          <w:sz w:val="23"/>
          <w:szCs w:val="23"/>
          <w:u w:val="none"/>
        </w:rPr>
        <w:t>19.1.</w:t>
      </w:r>
      <w:r w:rsidRPr="0097259F">
        <w:rPr>
          <w:rFonts w:ascii="Helvetica" w:hAnsi="Helvetica" w:cs="Helvetica"/>
          <w:bCs/>
          <w:sz w:val="23"/>
          <w:szCs w:val="23"/>
          <w:u w:val="none"/>
        </w:rPr>
        <w:tab/>
      </w:r>
      <w:r w:rsidR="00DA7DF5" w:rsidRPr="00067912">
        <w:rPr>
          <w:u w:val="none"/>
        </w:rPr>
        <w:t>payment of the amount of R496,919.25;</w:t>
      </w:r>
    </w:p>
    <w:p w:rsidR="00DA7DF5" w:rsidRPr="00067912" w:rsidRDefault="00067912" w:rsidP="00067912">
      <w:pPr>
        <w:spacing w:line="360" w:lineRule="auto"/>
        <w:ind w:left="1701" w:right="-153" w:hanging="850"/>
        <w:jc w:val="both"/>
        <w:rPr>
          <w:u w:val="none"/>
        </w:rPr>
      </w:pPr>
      <w:r w:rsidRPr="0097259F">
        <w:rPr>
          <w:rFonts w:ascii="Helvetica" w:hAnsi="Helvetica" w:cs="Helvetica"/>
          <w:bCs/>
          <w:sz w:val="23"/>
          <w:szCs w:val="23"/>
          <w:u w:val="none"/>
        </w:rPr>
        <w:t>19.2.</w:t>
      </w:r>
      <w:r w:rsidRPr="0097259F">
        <w:rPr>
          <w:rFonts w:ascii="Helvetica" w:hAnsi="Helvetica" w:cs="Helvetica"/>
          <w:bCs/>
          <w:sz w:val="23"/>
          <w:szCs w:val="23"/>
          <w:u w:val="none"/>
        </w:rPr>
        <w:tab/>
      </w:r>
      <w:r w:rsidR="00DA7DF5" w:rsidRPr="00067912">
        <w:rPr>
          <w:u w:val="none"/>
        </w:rPr>
        <w:t>payment of interest on the aforesaid amount at the rate of 1% per annum above the prime interest rate (currently 7%) calculated daily and compounded monthly in arrears from 1 July 2021 to date of final payment; and</w:t>
      </w:r>
    </w:p>
    <w:p w:rsidR="00DA7DF5" w:rsidRPr="00067912" w:rsidRDefault="00067912" w:rsidP="00067912">
      <w:pPr>
        <w:spacing w:line="360" w:lineRule="auto"/>
        <w:ind w:left="1701" w:right="-153" w:hanging="850"/>
        <w:jc w:val="both"/>
        <w:rPr>
          <w:u w:val="none"/>
        </w:rPr>
      </w:pPr>
      <w:r w:rsidRPr="0097259F">
        <w:rPr>
          <w:rFonts w:ascii="Helvetica" w:hAnsi="Helvetica" w:cs="Helvetica"/>
          <w:bCs/>
          <w:sz w:val="23"/>
          <w:szCs w:val="23"/>
          <w:u w:val="none"/>
        </w:rPr>
        <w:t>19.3.</w:t>
      </w:r>
      <w:r w:rsidRPr="0097259F">
        <w:rPr>
          <w:rFonts w:ascii="Helvetica" w:hAnsi="Helvetica" w:cs="Helvetica"/>
          <w:bCs/>
          <w:sz w:val="23"/>
          <w:szCs w:val="23"/>
          <w:u w:val="none"/>
        </w:rPr>
        <w:tab/>
      </w:r>
      <w:r w:rsidR="00DA7DF5" w:rsidRPr="00067912">
        <w:rPr>
          <w:u w:val="none"/>
        </w:rPr>
        <w:t>costs of suit such costs to be taxed on the attorney and client scale.</w:t>
      </w:r>
    </w:p>
    <w:p w:rsidR="00972885" w:rsidRPr="0097259F" w:rsidRDefault="00984C0B" w:rsidP="00EF0779">
      <w:pPr>
        <w:spacing w:before="240" w:after="160" w:line="360" w:lineRule="auto"/>
        <w:ind w:left="6480"/>
        <w:jc w:val="both"/>
      </w:pPr>
      <w:r w:rsidRPr="0097259F">
        <w:rPr>
          <w:rFonts w:eastAsiaTheme="minorHAnsi"/>
          <w:lang w:eastAsia="en-US"/>
        </w:rPr>
        <w:t xml:space="preserve">      </w:t>
      </w:r>
      <w:r w:rsidR="00972885" w:rsidRPr="0097259F">
        <w:rPr>
          <w:b/>
          <w:u w:val="none"/>
        </w:rPr>
        <w:t>________________</w:t>
      </w:r>
    </w:p>
    <w:p w:rsidR="00972885" w:rsidRPr="0097259F" w:rsidRDefault="00972885" w:rsidP="00EF0779">
      <w:pPr>
        <w:spacing w:line="360" w:lineRule="auto"/>
        <w:jc w:val="right"/>
        <w:rPr>
          <w:b/>
          <w:u w:val="none"/>
        </w:rPr>
      </w:pPr>
      <w:r w:rsidRPr="0097259F">
        <w:rPr>
          <w:b/>
          <w:u w:val="none"/>
        </w:rPr>
        <w:t xml:space="preserve"> MUDAU J</w:t>
      </w:r>
    </w:p>
    <w:p w:rsidR="00972885" w:rsidRPr="0097259F" w:rsidRDefault="00972885" w:rsidP="00EF0779">
      <w:pPr>
        <w:spacing w:line="360" w:lineRule="auto"/>
        <w:jc w:val="right"/>
        <w:rPr>
          <w:b/>
          <w:u w:val="none"/>
        </w:rPr>
      </w:pPr>
      <w:r w:rsidRPr="0097259F">
        <w:rPr>
          <w:b/>
          <w:u w:val="none"/>
        </w:rPr>
        <w:t>[Judge of the High Court]</w:t>
      </w:r>
    </w:p>
    <w:p w:rsidR="00972885" w:rsidRPr="0097259F" w:rsidRDefault="00972885" w:rsidP="00EF0779">
      <w:pPr>
        <w:spacing w:line="360" w:lineRule="auto"/>
        <w:jc w:val="right"/>
        <w:rPr>
          <w:b/>
          <w:u w:val="none"/>
        </w:rPr>
      </w:pPr>
    </w:p>
    <w:p w:rsidR="00972885" w:rsidRPr="0097259F" w:rsidRDefault="00972885" w:rsidP="00EF0779">
      <w:pPr>
        <w:spacing w:line="360" w:lineRule="auto"/>
        <w:jc w:val="right"/>
        <w:rPr>
          <w:b/>
          <w:u w:val="none"/>
        </w:rPr>
      </w:pPr>
    </w:p>
    <w:p w:rsidR="00972885" w:rsidRPr="0097259F" w:rsidRDefault="00972885" w:rsidP="00EF0779">
      <w:pPr>
        <w:spacing w:line="360" w:lineRule="auto"/>
        <w:jc w:val="right"/>
        <w:rPr>
          <w:b/>
          <w:u w:val="none"/>
        </w:rPr>
      </w:pPr>
    </w:p>
    <w:p w:rsidR="00972885" w:rsidRPr="0097259F" w:rsidRDefault="00972885" w:rsidP="00EF0779">
      <w:pPr>
        <w:spacing w:line="360" w:lineRule="auto"/>
        <w:jc w:val="both"/>
        <w:rPr>
          <w:u w:val="none"/>
        </w:rPr>
      </w:pPr>
    </w:p>
    <w:p w:rsidR="00972885" w:rsidRPr="0097259F" w:rsidRDefault="00972885" w:rsidP="00EF0779">
      <w:pPr>
        <w:spacing w:line="360" w:lineRule="auto"/>
        <w:jc w:val="both"/>
        <w:rPr>
          <w:u w:val="none"/>
        </w:rPr>
      </w:pPr>
      <w:r w:rsidRPr="0097259F">
        <w:rPr>
          <w:u w:val="none"/>
        </w:rPr>
        <w:t>APPEARANCES</w:t>
      </w:r>
    </w:p>
    <w:p w:rsidR="00972885" w:rsidRPr="0097259F" w:rsidRDefault="00E46C4B" w:rsidP="00EF0779">
      <w:pPr>
        <w:spacing w:line="360" w:lineRule="auto"/>
        <w:jc w:val="both"/>
        <w:rPr>
          <w:u w:val="none"/>
        </w:rPr>
      </w:pPr>
      <w:r w:rsidRPr="0097259F">
        <w:rPr>
          <w:u w:val="none"/>
        </w:rPr>
        <w:t>For the Applicant:</w:t>
      </w:r>
      <w:r w:rsidR="00972885" w:rsidRPr="0097259F">
        <w:rPr>
          <w:u w:val="none"/>
        </w:rPr>
        <w:tab/>
      </w:r>
      <w:r w:rsidR="00972885" w:rsidRPr="0097259F">
        <w:rPr>
          <w:u w:val="none"/>
        </w:rPr>
        <w:tab/>
      </w:r>
      <w:r w:rsidR="00972885" w:rsidRPr="0097259F">
        <w:rPr>
          <w:u w:val="none"/>
        </w:rPr>
        <w:tab/>
      </w:r>
      <w:r w:rsidR="007F2CD8" w:rsidRPr="0097259F">
        <w:rPr>
          <w:u w:val="none"/>
        </w:rPr>
        <w:t>Adv</w:t>
      </w:r>
      <w:r w:rsidR="00AB5C7A" w:rsidRPr="0097259F">
        <w:rPr>
          <w:u w:val="none"/>
        </w:rPr>
        <w:t>.</w:t>
      </w:r>
      <w:r w:rsidR="007F2CD8" w:rsidRPr="0097259F">
        <w:rPr>
          <w:u w:val="none"/>
        </w:rPr>
        <w:t xml:space="preserve"> </w:t>
      </w:r>
      <w:r w:rsidR="00984C0B" w:rsidRPr="0097259F">
        <w:rPr>
          <w:bCs/>
          <w:sz w:val="23"/>
          <w:szCs w:val="23"/>
          <w:u w:val="none"/>
        </w:rPr>
        <w:t>S Aucamp</w:t>
      </w:r>
    </w:p>
    <w:p w:rsidR="00972885" w:rsidRPr="0097259F" w:rsidRDefault="00972885" w:rsidP="00EF0779">
      <w:pPr>
        <w:spacing w:line="360" w:lineRule="auto"/>
        <w:jc w:val="both"/>
        <w:rPr>
          <w:u w:val="none"/>
        </w:rPr>
      </w:pPr>
      <w:r w:rsidRPr="0097259F">
        <w:rPr>
          <w:u w:val="none"/>
        </w:rPr>
        <w:lastRenderedPageBreak/>
        <w:t>Instructed by:</w:t>
      </w:r>
      <w:r w:rsidRPr="0097259F">
        <w:rPr>
          <w:u w:val="none"/>
        </w:rPr>
        <w:tab/>
      </w:r>
      <w:r w:rsidR="00AB5C7A" w:rsidRPr="0097259F">
        <w:rPr>
          <w:u w:val="none"/>
        </w:rPr>
        <w:tab/>
      </w:r>
      <w:r w:rsidR="00AB5C7A" w:rsidRPr="0097259F">
        <w:rPr>
          <w:u w:val="none"/>
        </w:rPr>
        <w:tab/>
      </w:r>
      <w:r w:rsidR="008F0AFD" w:rsidRPr="0097259F">
        <w:rPr>
          <w:u w:val="none"/>
        </w:rPr>
        <w:t>Smit, Jones &amp; Pratt Incorporated</w:t>
      </w:r>
      <w:r w:rsidR="008F0AFD" w:rsidRPr="0097259F">
        <w:rPr>
          <w:u w:val="none"/>
        </w:rPr>
        <w:tab/>
      </w:r>
    </w:p>
    <w:p w:rsidR="00972885" w:rsidRPr="0097259F" w:rsidRDefault="00972885" w:rsidP="00EF0779">
      <w:pPr>
        <w:spacing w:line="360" w:lineRule="auto"/>
        <w:jc w:val="both"/>
        <w:rPr>
          <w:u w:val="none"/>
        </w:rPr>
      </w:pPr>
      <w:r w:rsidRPr="0097259F">
        <w:rPr>
          <w:u w:val="none"/>
        </w:rPr>
        <w:tab/>
      </w:r>
      <w:r w:rsidRPr="0097259F">
        <w:rPr>
          <w:u w:val="none"/>
        </w:rPr>
        <w:tab/>
      </w:r>
      <w:r w:rsidRPr="0097259F">
        <w:rPr>
          <w:u w:val="none"/>
        </w:rPr>
        <w:tab/>
      </w:r>
      <w:r w:rsidRPr="0097259F">
        <w:rPr>
          <w:u w:val="none"/>
        </w:rPr>
        <w:tab/>
      </w:r>
      <w:r w:rsidRPr="0097259F">
        <w:rPr>
          <w:u w:val="none"/>
        </w:rPr>
        <w:tab/>
      </w:r>
      <w:r w:rsidRPr="0097259F">
        <w:rPr>
          <w:u w:val="none"/>
        </w:rPr>
        <w:tab/>
      </w:r>
      <w:r w:rsidRPr="0097259F">
        <w:rPr>
          <w:u w:val="none"/>
        </w:rPr>
        <w:tab/>
      </w:r>
    </w:p>
    <w:p w:rsidR="00AB5C7A" w:rsidRPr="0097259F" w:rsidRDefault="00972885" w:rsidP="00EF0779">
      <w:pPr>
        <w:spacing w:line="360" w:lineRule="auto"/>
        <w:jc w:val="both"/>
        <w:rPr>
          <w:u w:val="none"/>
        </w:rPr>
      </w:pPr>
      <w:r w:rsidRPr="0097259F">
        <w:rPr>
          <w:u w:val="none"/>
        </w:rPr>
        <w:t>For the Respondent</w:t>
      </w:r>
      <w:r w:rsidR="00984C0B" w:rsidRPr="0097259F">
        <w:rPr>
          <w:u w:val="none"/>
        </w:rPr>
        <w:t>s</w:t>
      </w:r>
      <w:r w:rsidRPr="0097259F">
        <w:rPr>
          <w:u w:val="none"/>
        </w:rPr>
        <w:t>:</w:t>
      </w:r>
      <w:r w:rsidRPr="0097259F">
        <w:rPr>
          <w:u w:val="none"/>
        </w:rPr>
        <w:tab/>
      </w:r>
      <w:r w:rsidR="00AB5C7A" w:rsidRPr="0097259F">
        <w:rPr>
          <w:u w:val="none"/>
        </w:rPr>
        <w:tab/>
      </w:r>
      <w:r w:rsidR="00984C0B" w:rsidRPr="0097259F">
        <w:rPr>
          <w:u w:val="none"/>
        </w:rPr>
        <w:t>Mr Matlala in person</w:t>
      </w:r>
    </w:p>
    <w:p w:rsidR="00972885" w:rsidRPr="0097259F" w:rsidRDefault="00972885" w:rsidP="00EF0779">
      <w:pPr>
        <w:spacing w:line="360" w:lineRule="auto"/>
        <w:jc w:val="both"/>
        <w:rPr>
          <w:u w:val="none"/>
        </w:rPr>
      </w:pPr>
      <w:r w:rsidRPr="0097259F">
        <w:rPr>
          <w:u w:val="none"/>
        </w:rPr>
        <w:tab/>
      </w:r>
    </w:p>
    <w:p w:rsidR="00AB5C7A" w:rsidRPr="0097259F" w:rsidRDefault="00AB5C7A" w:rsidP="00EF0779">
      <w:pPr>
        <w:spacing w:line="360" w:lineRule="auto"/>
        <w:jc w:val="both"/>
        <w:rPr>
          <w:u w:val="none"/>
        </w:rPr>
      </w:pPr>
      <w:r w:rsidRPr="0097259F">
        <w:rPr>
          <w:u w:val="none"/>
        </w:rPr>
        <w:t xml:space="preserve">Date of Hearing: </w:t>
      </w:r>
      <w:r w:rsidRPr="0097259F">
        <w:rPr>
          <w:u w:val="none"/>
        </w:rPr>
        <w:tab/>
      </w:r>
      <w:r w:rsidRPr="0097259F">
        <w:rPr>
          <w:u w:val="none"/>
        </w:rPr>
        <w:tab/>
      </w:r>
      <w:r w:rsidRPr="0097259F">
        <w:rPr>
          <w:u w:val="none"/>
        </w:rPr>
        <w:tab/>
      </w:r>
      <w:r w:rsidR="00984C0B" w:rsidRPr="0097259F">
        <w:rPr>
          <w:u w:val="none"/>
        </w:rPr>
        <w:t xml:space="preserve">27 July </w:t>
      </w:r>
      <w:r w:rsidRPr="0097259F">
        <w:rPr>
          <w:u w:val="none"/>
        </w:rPr>
        <w:t>2022</w:t>
      </w:r>
      <w:r w:rsidRPr="0097259F">
        <w:rPr>
          <w:u w:val="none"/>
        </w:rPr>
        <w:tab/>
      </w:r>
      <w:r w:rsidRPr="0097259F">
        <w:rPr>
          <w:u w:val="none"/>
        </w:rPr>
        <w:tab/>
      </w:r>
    </w:p>
    <w:p w:rsidR="00AB5C7A" w:rsidRPr="0097259F" w:rsidRDefault="00AB5C7A" w:rsidP="00EF0779">
      <w:pPr>
        <w:spacing w:line="360" w:lineRule="auto"/>
        <w:jc w:val="both"/>
        <w:rPr>
          <w:u w:val="none"/>
        </w:rPr>
      </w:pPr>
      <w:r w:rsidRPr="0097259F">
        <w:rPr>
          <w:u w:val="none"/>
        </w:rPr>
        <w:t>Date of Judgment:</w:t>
      </w:r>
      <w:r w:rsidRPr="0097259F">
        <w:rPr>
          <w:u w:val="none"/>
        </w:rPr>
        <w:tab/>
      </w:r>
      <w:r w:rsidR="00B96819">
        <w:rPr>
          <w:u w:val="none"/>
        </w:rPr>
        <w:tab/>
      </w:r>
      <w:r w:rsidR="00B96819">
        <w:rPr>
          <w:u w:val="none"/>
        </w:rPr>
        <w:tab/>
        <w:t>15</w:t>
      </w:r>
      <w:r w:rsidR="00C32774" w:rsidRPr="0097259F">
        <w:rPr>
          <w:u w:val="none"/>
        </w:rPr>
        <w:t xml:space="preserve"> </w:t>
      </w:r>
      <w:r w:rsidR="008F0AFD" w:rsidRPr="0097259F">
        <w:rPr>
          <w:u w:val="none"/>
        </w:rPr>
        <w:t>August</w:t>
      </w:r>
      <w:r w:rsidRPr="0097259F">
        <w:rPr>
          <w:u w:val="none"/>
        </w:rPr>
        <w:t xml:space="preserve"> 2022</w:t>
      </w:r>
    </w:p>
    <w:p w:rsidR="00972885" w:rsidRDefault="00972885" w:rsidP="00972885">
      <w:pPr>
        <w:spacing w:line="480" w:lineRule="auto"/>
        <w:jc w:val="both"/>
        <w:rPr>
          <w:u w:val="none"/>
        </w:rPr>
      </w:pPr>
      <w:r w:rsidRPr="007169FE">
        <w:rPr>
          <w:u w:val="none"/>
        </w:rPr>
        <w:tab/>
      </w:r>
      <w:r w:rsidRPr="007169FE">
        <w:rPr>
          <w:u w:val="none"/>
        </w:rPr>
        <w:tab/>
      </w:r>
      <w:r w:rsidRPr="007169FE">
        <w:rPr>
          <w:u w:val="none"/>
        </w:rPr>
        <w:tab/>
      </w:r>
    </w:p>
    <w:p w:rsidR="002F15B7" w:rsidRPr="0097259F" w:rsidRDefault="002F15B7" w:rsidP="0097259F">
      <w:pPr>
        <w:spacing w:line="480" w:lineRule="auto"/>
        <w:jc w:val="both"/>
        <w:rPr>
          <w:u w:val="none"/>
        </w:rPr>
      </w:pPr>
    </w:p>
    <w:sectPr w:rsidR="002F15B7" w:rsidRPr="0097259F" w:rsidSect="000B37FD">
      <w:footerReference w:type="default" r:id="rId9"/>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B8" w:rsidRDefault="008A77B8" w:rsidP="00972885">
      <w:r>
        <w:separator/>
      </w:r>
    </w:p>
  </w:endnote>
  <w:endnote w:type="continuationSeparator" w:id="0">
    <w:p w:rsidR="008A77B8" w:rsidRDefault="008A77B8"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430784">
      <w:rPr>
        <w:noProof/>
        <w:u w:val="none"/>
      </w:rPr>
      <w:t>4</w:t>
    </w:r>
    <w:r w:rsidRPr="009C3009">
      <w:rPr>
        <w:noProof/>
        <w:u w:val="none"/>
      </w:rPr>
      <w:fldChar w:fldCharType="end"/>
    </w:r>
  </w:p>
  <w:p w:rsidR="00950FD7" w:rsidRDefault="0095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B8" w:rsidRDefault="008A77B8" w:rsidP="00972885">
      <w:r>
        <w:separator/>
      </w:r>
    </w:p>
  </w:footnote>
  <w:footnote w:type="continuationSeparator" w:id="0">
    <w:p w:rsidR="008A77B8" w:rsidRDefault="008A77B8" w:rsidP="00972885">
      <w:r>
        <w:continuationSeparator/>
      </w:r>
    </w:p>
  </w:footnote>
  <w:footnote w:id="1">
    <w:p w:rsidR="00462BF9" w:rsidRDefault="00462BF9" w:rsidP="00462BF9">
      <w:pPr>
        <w:pStyle w:val="FootnoteText"/>
      </w:pPr>
      <w:r w:rsidRPr="00462BF9">
        <w:rPr>
          <w:rStyle w:val="FootnoteReference"/>
          <w:u w:val="none"/>
        </w:rPr>
        <w:footnoteRef/>
      </w:r>
      <w:r w:rsidRPr="00462BF9">
        <w:rPr>
          <w:u w:val="none"/>
        </w:rPr>
        <w:t xml:space="preserve"> </w:t>
      </w:r>
      <w:r w:rsidRPr="00335B96">
        <w:rPr>
          <w:i/>
          <w:u w:val="none"/>
        </w:rPr>
        <w:t>Wolhuter Steel (Welkom) (Pty) Ltd v Jatu Construction (Pty) Ltd</w:t>
      </w:r>
      <w:r w:rsidRPr="00D36F7A">
        <w:rPr>
          <w:u w:val="none"/>
        </w:rPr>
        <w:t xml:space="preserve"> 1983 (3) SA 815 (O) at 824</w:t>
      </w:r>
      <w:r>
        <w:rPr>
          <w:u w:val="none"/>
        </w:rPr>
        <w:t xml:space="preserve">; </w:t>
      </w:r>
      <w:r w:rsidRPr="00D36F7A">
        <w:rPr>
          <w:u w:val="none"/>
        </w:rPr>
        <w:t xml:space="preserve">Body </w:t>
      </w:r>
      <w:r w:rsidRPr="00335B96">
        <w:rPr>
          <w:i/>
          <w:u w:val="none"/>
        </w:rPr>
        <w:t>Corporate of Fish Eagle v Group Twelve Investments (Pty) Ltd</w:t>
      </w:r>
      <w:r w:rsidR="00335B96">
        <w:rPr>
          <w:u w:val="none"/>
        </w:rPr>
        <w:t xml:space="preserve"> 2003 (5) SA 414 (W) at 418B–</w:t>
      </w:r>
      <w:r w:rsidRPr="00D36F7A">
        <w:rPr>
          <w:u w:val="none"/>
        </w:rPr>
        <w:t>C)</w:t>
      </w:r>
    </w:p>
  </w:footnote>
  <w:footnote w:id="2">
    <w:p w:rsidR="00462BF9" w:rsidRPr="00462BF9" w:rsidRDefault="00462BF9" w:rsidP="00462BF9">
      <w:pPr>
        <w:pStyle w:val="FootnoteText"/>
        <w:rPr>
          <w:u w:val="none"/>
        </w:rPr>
      </w:pPr>
      <w:r w:rsidRPr="00462BF9">
        <w:rPr>
          <w:rStyle w:val="FootnoteReference"/>
          <w:u w:val="none"/>
        </w:rPr>
        <w:footnoteRef/>
      </w:r>
      <w:r w:rsidRPr="00462BF9">
        <w:rPr>
          <w:u w:val="none"/>
        </w:rPr>
        <w:t xml:space="preserve"> 1977</w:t>
      </w:r>
      <w:r w:rsidRPr="00462BF9">
        <w:rPr>
          <w:u w:val="none"/>
          <w:lang w:val="en-ZA"/>
        </w:rPr>
        <w:t xml:space="preserve"> (3) SA 1062 (T) at 1062)</w:t>
      </w:r>
    </w:p>
  </w:footnote>
  <w:footnote w:id="3">
    <w:p w:rsidR="00462BF9" w:rsidRDefault="00462BF9">
      <w:pPr>
        <w:pStyle w:val="FootnoteText"/>
      </w:pPr>
      <w:r w:rsidRPr="00462BF9">
        <w:rPr>
          <w:rStyle w:val="FootnoteReference"/>
          <w:u w:val="none"/>
        </w:rPr>
        <w:footnoteRef/>
      </w:r>
      <w:r w:rsidRPr="00462BF9">
        <w:rPr>
          <w:u w:val="none"/>
        </w:rPr>
        <w:t xml:space="preserve"> </w:t>
      </w:r>
      <w:r w:rsidRPr="00335B96">
        <w:rPr>
          <w:i/>
          <w:u w:val="none"/>
        </w:rPr>
        <w:t>See Badenhorst v Northern Construction Enterprises (Pty) Ltd</w:t>
      </w:r>
      <w:r w:rsidRPr="00D36F7A">
        <w:rPr>
          <w:u w:val="none"/>
        </w:rPr>
        <w:t> </w:t>
      </w:r>
      <w:hyperlink r:id="rId1" w:tgtFrame="main" w:history="1">
        <w:r w:rsidRPr="00D36F7A">
          <w:rPr>
            <w:u w:val="none"/>
          </w:rPr>
          <w:t>1956 (2) SA 346 (T)</w:t>
        </w:r>
      </w:hyperlink>
      <w:r w:rsidRPr="00D36F7A">
        <w:rPr>
          <w:u w:val="none"/>
        </w:rPr>
        <w:t> at 347 – 348 and </w:t>
      </w:r>
      <w:r w:rsidRPr="00335B96">
        <w:rPr>
          <w:i/>
          <w:u w:val="none"/>
        </w:rPr>
        <w:t>Kalil v Decotex (Pty) Ltd and Another</w:t>
      </w:r>
      <w:r w:rsidRPr="00D36F7A">
        <w:rPr>
          <w:u w:val="none"/>
        </w:rPr>
        <w:t> </w:t>
      </w:r>
      <w:hyperlink r:id="rId2" w:tgtFrame="main" w:history="1">
        <w:r w:rsidRPr="00D36F7A">
          <w:rPr>
            <w:u w:val="none"/>
          </w:rPr>
          <w:t>1988 (1) SA 943 (A)</w:t>
        </w:r>
      </w:hyperlink>
      <w:r w:rsidRPr="00D36F7A">
        <w:rPr>
          <w:u w:val="none"/>
        </w:rPr>
        <w:t> ([1987] ZASCA 156) at 980D.)</w:t>
      </w:r>
    </w:p>
  </w:footnote>
  <w:footnote w:id="4">
    <w:p w:rsidR="00462BF9" w:rsidRDefault="00462BF9">
      <w:pPr>
        <w:pStyle w:val="FootnoteText"/>
      </w:pPr>
      <w:r w:rsidRPr="00462BF9">
        <w:rPr>
          <w:rStyle w:val="FootnoteReference"/>
          <w:u w:val="none"/>
        </w:rPr>
        <w:footnoteRef/>
      </w:r>
      <w:r w:rsidR="0081512C">
        <w:rPr>
          <w:u w:val="none"/>
        </w:rPr>
        <w:t xml:space="preserve"> </w:t>
      </w:r>
      <w:r w:rsidRPr="00335B96">
        <w:rPr>
          <w:i/>
          <w:u w:val="none"/>
        </w:rPr>
        <w:t>Kalil v Decotex</w:t>
      </w:r>
      <w:r>
        <w:rPr>
          <w:u w:val="none"/>
        </w:rPr>
        <w:t> supra n3</w:t>
      </w:r>
      <w:r w:rsidRPr="00D36F7A">
        <w:rPr>
          <w:u w:val="none"/>
        </w:rPr>
        <w:t xml:space="preserve"> at 980C</w:t>
      </w:r>
      <w:r>
        <w:rPr>
          <w:u w:val="none"/>
        </w:rPr>
        <w:t>.</w:t>
      </w:r>
    </w:p>
  </w:footnote>
  <w:footnote w:id="5">
    <w:p w:rsidR="0081512C" w:rsidRPr="0081512C" w:rsidRDefault="0081512C" w:rsidP="0081512C">
      <w:pPr>
        <w:pStyle w:val="FootnoteText"/>
        <w:jc w:val="both"/>
        <w:rPr>
          <w:u w:val="none"/>
        </w:rPr>
      </w:pPr>
      <w:r w:rsidRPr="0081512C">
        <w:rPr>
          <w:rStyle w:val="FootnoteReference"/>
          <w:u w:val="none"/>
        </w:rPr>
        <w:footnoteRef/>
      </w:r>
      <w:r w:rsidRPr="0081512C">
        <w:rPr>
          <w:u w:val="none"/>
        </w:rPr>
        <w:t xml:space="preserve"> </w:t>
      </w:r>
      <w:r w:rsidRPr="0081512C">
        <w:rPr>
          <w:i/>
          <w:u w:val="none"/>
        </w:rPr>
        <w:t>Senekal</w:t>
      </w:r>
      <w:r w:rsidRPr="0081512C">
        <w:rPr>
          <w:i/>
          <w:u w:val="none"/>
          <w:lang w:val="en-US"/>
        </w:rPr>
        <w:t xml:space="preserve"> v Trust Bank of Africa Ltd</w:t>
      </w:r>
      <w:r w:rsidRPr="0081512C">
        <w:rPr>
          <w:u w:val="none"/>
          <w:lang w:val="en-US"/>
        </w:rPr>
        <w:t xml:space="preserve"> 1978 (3) SA 375 (A) at 38H-383A</w:t>
      </w:r>
      <w:r w:rsidRPr="0081512C">
        <w:rPr>
          <w:u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98E1B62"/>
    <w:multiLevelType w:val="multilevel"/>
    <w:tmpl w:val="FA44955E"/>
    <w:lvl w:ilvl="0">
      <w:start w:val="19"/>
      <w:numFmt w:val="decimal"/>
      <w:lvlText w:val="[%1]"/>
      <w:lvlJc w:val="left"/>
      <w:pPr>
        <w:ind w:left="851" w:hanging="851"/>
      </w:pPr>
      <w:rPr>
        <w:rFonts w:ascii="Helvetica" w:hAnsi="Helvetica" w:cs="Helvetica" w:hint="default"/>
        <w:b w:val="0"/>
        <w:bCs/>
        <w:sz w:val="23"/>
        <w:szCs w:val="23"/>
      </w:rPr>
    </w:lvl>
    <w:lvl w:ilvl="1">
      <w:start w:val="1"/>
      <w:numFmt w:val="decimal"/>
      <w:lvlText w:val="%1.%2."/>
      <w:lvlJc w:val="left"/>
      <w:pPr>
        <w:ind w:left="792" w:hanging="432"/>
      </w:pPr>
      <w:rPr>
        <w:rFonts w:ascii="Helvetica" w:hAnsi="Helvetica" w:cs="Helvetica" w:hint="default"/>
        <w:b w:val="0"/>
        <w:bCs/>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3568"/>
    <w:rsid w:val="00005C13"/>
    <w:rsid w:val="00006473"/>
    <w:rsid w:val="00025103"/>
    <w:rsid w:val="000379E7"/>
    <w:rsid w:val="00040252"/>
    <w:rsid w:val="00040BC6"/>
    <w:rsid w:val="000438D4"/>
    <w:rsid w:val="00050245"/>
    <w:rsid w:val="00056EBC"/>
    <w:rsid w:val="0006028C"/>
    <w:rsid w:val="00060E0E"/>
    <w:rsid w:val="00062F1C"/>
    <w:rsid w:val="00065807"/>
    <w:rsid w:val="00067912"/>
    <w:rsid w:val="0007043B"/>
    <w:rsid w:val="00084C83"/>
    <w:rsid w:val="000B17FD"/>
    <w:rsid w:val="000B1B1B"/>
    <w:rsid w:val="000B37FD"/>
    <w:rsid w:val="000B4065"/>
    <w:rsid w:val="000F33AB"/>
    <w:rsid w:val="000F52AC"/>
    <w:rsid w:val="00105735"/>
    <w:rsid w:val="001237FC"/>
    <w:rsid w:val="00132D4C"/>
    <w:rsid w:val="00133C1C"/>
    <w:rsid w:val="0013784D"/>
    <w:rsid w:val="00151AAE"/>
    <w:rsid w:val="001563C2"/>
    <w:rsid w:val="00165D36"/>
    <w:rsid w:val="00166666"/>
    <w:rsid w:val="00174C94"/>
    <w:rsid w:val="0019115F"/>
    <w:rsid w:val="00191EFB"/>
    <w:rsid w:val="00194AF9"/>
    <w:rsid w:val="001B3808"/>
    <w:rsid w:val="001C0ABC"/>
    <w:rsid w:val="001D7A2E"/>
    <w:rsid w:val="00221778"/>
    <w:rsid w:val="00250361"/>
    <w:rsid w:val="002665E7"/>
    <w:rsid w:val="00271C0D"/>
    <w:rsid w:val="00275743"/>
    <w:rsid w:val="00297060"/>
    <w:rsid w:val="002A1772"/>
    <w:rsid w:val="002A296C"/>
    <w:rsid w:val="002B2470"/>
    <w:rsid w:val="002C3876"/>
    <w:rsid w:val="002F15B7"/>
    <w:rsid w:val="002F1F31"/>
    <w:rsid w:val="003027FA"/>
    <w:rsid w:val="0031746F"/>
    <w:rsid w:val="003249B7"/>
    <w:rsid w:val="00332284"/>
    <w:rsid w:val="003342E8"/>
    <w:rsid w:val="00335B96"/>
    <w:rsid w:val="00336854"/>
    <w:rsid w:val="00337D04"/>
    <w:rsid w:val="00343D2E"/>
    <w:rsid w:val="00345B11"/>
    <w:rsid w:val="00352B4A"/>
    <w:rsid w:val="00363E49"/>
    <w:rsid w:val="003646D2"/>
    <w:rsid w:val="003662D5"/>
    <w:rsid w:val="00377918"/>
    <w:rsid w:val="003A47E3"/>
    <w:rsid w:val="003C3A52"/>
    <w:rsid w:val="003D1B00"/>
    <w:rsid w:val="003E305A"/>
    <w:rsid w:val="003F3209"/>
    <w:rsid w:val="003F5571"/>
    <w:rsid w:val="00412E9F"/>
    <w:rsid w:val="0042116E"/>
    <w:rsid w:val="00430784"/>
    <w:rsid w:val="00452390"/>
    <w:rsid w:val="0045365F"/>
    <w:rsid w:val="00462BF9"/>
    <w:rsid w:val="0046446A"/>
    <w:rsid w:val="00466B83"/>
    <w:rsid w:val="00482A5D"/>
    <w:rsid w:val="00485E21"/>
    <w:rsid w:val="0049646D"/>
    <w:rsid w:val="004A0C86"/>
    <w:rsid w:val="004A2A28"/>
    <w:rsid w:val="004A7673"/>
    <w:rsid w:val="004B2FEC"/>
    <w:rsid w:val="004B477A"/>
    <w:rsid w:val="004B618A"/>
    <w:rsid w:val="004C2A9F"/>
    <w:rsid w:val="004D0633"/>
    <w:rsid w:val="004D79AA"/>
    <w:rsid w:val="004E24F2"/>
    <w:rsid w:val="004E76E3"/>
    <w:rsid w:val="00513231"/>
    <w:rsid w:val="0052629A"/>
    <w:rsid w:val="00527823"/>
    <w:rsid w:val="005355A8"/>
    <w:rsid w:val="00544A10"/>
    <w:rsid w:val="00551E22"/>
    <w:rsid w:val="0055700B"/>
    <w:rsid w:val="00564959"/>
    <w:rsid w:val="00587F50"/>
    <w:rsid w:val="005976B1"/>
    <w:rsid w:val="005A00B8"/>
    <w:rsid w:val="005A0379"/>
    <w:rsid w:val="005A26C1"/>
    <w:rsid w:val="005B5071"/>
    <w:rsid w:val="005B7E52"/>
    <w:rsid w:val="005C5F26"/>
    <w:rsid w:val="005D64FC"/>
    <w:rsid w:val="005F625B"/>
    <w:rsid w:val="00605CA1"/>
    <w:rsid w:val="006561BA"/>
    <w:rsid w:val="00660D40"/>
    <w:rsid w:val="00666686"/>
    <w:rsid w:val="00680C88"/>
    <w:rsid w:val="00683F75"/>
    <w:rsid w:val="00685C78"/>
    <w:rsid w:val="00686DFE"/>
    <w:rsid w:val="006873E8"/>
    <w:rsid w:val="006A315B"/>
    <w:rsid w:val="006B2B5A"/>
    <w:rsid w:val="006D0272"/>
    <w:rsid w:val="006D4B46"/>
    <w:rsid w:val="006F35B4"/>
    <w:rsid w:val="006F680B"/>
    <w:rsid w:val="0070213C"/>
    <w:rsid w:val="00707E4D"/>
    <w:rsid w:val="007326AF"/>
    <w:rsid w:val="00733BAF"/>
    <w:rsid w:val="00736FB9"/>
    <w:rsid w:val="007516D8"/>
    <w:rsid w:val="00752E3D"/>
    <w:rsid w:val="00755C71"/>
    <w:rsid w:val="00760637"/>
    <w:rsid w:val="00760952"/>
    <w:rsid w:val="0076143F"/>
    <w:rsid w:val="007629EA"/>
    <w:rsid w:val="007874CA"/>
    <w:rsid w:val="007932EB"/>
    <w:rsid w:val="0079472A"/>
    <w:rsid w:val="007C5106"/>
    <w:rsid w:val="007C5B13"/>
    <w:rsid w:val="007C7128"/>
    <w:rsid w:val="007D20FF"/>
    <w:rsid w:val="007D42FD"/>
    <w:rsid w:val="007E0B40"/>
    <w:rsid w:val="007E37BB"/>
    <w:rsid w:val="007F2CD8"/>
    <w:rsid w:val="008008F5"/>
    <w:rsid w:val="00802CB7"/>
    <w:rsid w:val="00803E28"/>
    <w:rsid w:val="0081512C"/>
    <w:rsid w:val="0081776B"/>
    <w:rsid w:val="008245CC"/>
    <w:rsid w:val="008913D4"/>
    <w:rsid w:val="00895009"/>
    <w:rsid w:val="00896220"/>
    <w:rsid w:val="008A0517"/>
    <w:rsid w:val="008A1284"/>
    <w:rsid w:val="008A76BD"/>
    <w:rsid w:val="008A77B8"/>
    <w:rsid w:val="008B2A7A"/>
    <w:rsid w:val="008B2C05"/>
    <w:rsid w:val="008B40F2"/>
    <w:rsid w:val="008C5BFD"/>
    <w:rsid w:val="008E2DCA"/>
    <w:rsid w:val="008E34C1"/>
    <w:rsid w:val="008F0AFD"/>
    <w:rsid w:val="009126C3"/>
    <w:rsid w:val="00914270"/>
    <w:rsid w:val="00932DD0"/>
    <w:rsid w:val="009347D4"/>
    <w:rsid w:val="00940FB0"/>
    <w:rsid w:val="00950FD7"/>
    <w:rsid w:val="009544D0"/>
    <w:rsid w:val="00967CBF"/>
    <w:rsid w:val="0097259F"/>
    <w:rsid w:val="00972885"/>
    <w:rsid w:val="00973A4D"/>
    <w:rsid w:val="0098325E"/>
    <w:rsid w:val="00984C0B"/>
    <w:rsid w:val="009923A9"/>
    <w:rsid w:val="00995270"/>
    <w:rsid w:val="009A1942"/>
    <w:rsid w:val="009C2214"/>
    <w:rsid w:val="009C5B3E"/>
    <w:rsid w:val="009D2A0B"/>
    <w:rsid w:val="009D5B97"/>
    <w:rsid w:val="009E2F8D"/>
    <w:rsid w:val="00A049D1"/>
    <w:rsid w:val="00A151BD"/>
    <w:rsid w:val="00A310C0"/>
    <w:rsid w:val="00A36A32"/>
    <w:rsid w:val="00A50EC3"/>
    <w:rsid w:val="00A57F04"/>
    <w:rsid w:val="00A75ADC"/>
    <w:rsid w:val="00AA1A32"/>
    <w:rsid w:val="00AA1C30"/>
    <w:rsid w:val="00AB013D"/>
    <w:rsid w:val="00AB5C7A"/>
    <w:rsid w:val="00AC42F7"/>
    <w:rsid w:val="00AD2973"/>
    <w:rsid w:val="00AD461C"/>
    <w:rsid w:val="00AD676B"/>
    <w:rsid w:val="00B001FA"/>
    <w:rsid w:val="00B11FF8"/>
    <w:rsid w:val="00B12CCF"/>
    <w:rsid w:val="00B133FF"/>
    <w:rsid w:val="00B1389D"/>
    <w:rsid w:val="00B26670"/>
    <w:rsid w:val="00B359E1"/>
    <w:rsid w:val="00B40DCC"/>
    <w:rsid w:val="00B45D32"/>
    <w:rsid w:val="00B5142E"/>
    <w:rsid w:val="00B55CF3"/>
    <w:rsid w:val="00B56AE1"/>
    <w:rsid w:val="00B60F27"/>
    <w:rsid w:val="00B65A1F"/>
    <w:rsid w:val="00B90AF4"/>
    <w:rsid w:val="00B96819"/>
    <w:rsid w:val="00BA4FB5"/>
    <w:rsid w:val="00BC21AF"/>
    <w:rsid w:val="00BC2380"/>
    <w:rsid w:val="00BD47DD"/>
    <w:rsid w:val="00BE4164"/>
    <w:rsid w:val="00C05303"/>
    <w:rsid w:val="00C10D19"/>
    <w:rsid w:val="00C21B81"/>
    <w:rsid w:val="00C32774"/>
    <w:rsid w:val="00C3599D"/>
    <w:rsid w:val="00C563F0"/>
    <w:rsid w:val="00C6513B"/>
    <w:rsid w:val="00C651C6"/>
    <w:rsid w:val="00C77298"/>
    <w:rsid w:val="00C828E5"/>
    <w:rsid w:val="00C83B48"/>
    <w:rsid w:val="00C869A2"/>
    <w:rsid w:val="00C877A3"/>
    <w:rsid w:val="00C911E4"/>
    <w:rsid w:val="00CA02BB"/>
    <w:rsid w:val="00CA3C09"/>
    <w:rsid w:val="00CA74FD"/>
    <w:rsid w:val="00CB63B3"/>
    <w:rsid w:val="00CC5EC2"/>
    <w:rsid w:val="00CD600D"/>
    <w:rsid w:val="00CF38BD"/>
    <w:rsid w:val="00D00D3B"/>
    <w:rsid w:val="00D14A37"/>
    <w:rsid w:val="00D215E1"/>
    <w:rsid w:val="00D24081"/>
    <w:rsid w:val="00D255B4"/>
    <w:rsid w:val="00D2697B"/>
    <w:rsid w:val="00D36F7A"/>
    <w:rsid w:val="00D42C9D"/>
    <w:rsid w:val="00D43D1F"/>
    <w:rsid w:val="00D47DF3"/>
    <w:rsid w:val="00D72FCC"/>
    <w:rsid w:val="00D76E49"/>
    <w:rsid w:val="00D9296C"/>
    <w:rsid w:val="00DA7DF5"/>
    <w:rsid w:val="00DB413C"/>
    <w:rsid w:val="00DB5720"/>
    <w:rsid w:val="00DC1600"/>
    <w:rsid w:val="00DD0A39"/>
    <w:rsid w:val="00DD3454"/>
    <w:rsid w:val="00DE5E75"/>
    <w:rsid w:val="00DF0295"/>
    <w:rsid w:val="00DF05CF"/>
    <w:rsid w:val="00E02F5D"/>
    <w:rsid w:val="00E13935"/>
    <w:rsid w:val="00E140A6"/>
    <w:rsid w:val="00E230E2"/>
    <w:rsid w:val="00E46C4B"/>
    <w:rsid w:val="00E47285"/>
    <w:rsid w:val="00E474D3"/>
    <w:rsid w:val="00E67160"/>
    <w:rsid w:val="00E67600"/>
    <w:rsid w:val="00E72D68"/>
    <w:rsid w:val="00E900DD"/>
    <w:rsid w:val="00EA3BEB"/>
    <w:rsid w:val="00EB1876"/>
    <w:rsid w:val="00EB3E31"/>
    <w:rsid w:val="00EC75A1"/>
    <w:rsid w:val="00ED21CB"/>
    <w:rsid w:val="00EE3042"/>
    <w:rsid w:val="00EE6932"/>
    <w:rsid w:val="00EF0779"/>
    <w:rsid w:val="00EF4158"/>
    <w:rsid w:val="00F00262"/>
    <w:rsid w:val="00F13CE2"/>
    <w:rsid w:val="00F16159"/>
    <w:rsid w:val="00F45739"/>
    <w:rsid w:val="00F457AD"/>
    <w:rsid w:val="00F463FA"/>
    <w:rsid w:val="00F80AEA"/>
    <w:rsid w:val="00F8197D"/>
    <w:rsid w:val="00F92B55"/>
    <w:rsid w:val="00F9357B"/>
    <w:rsid w:val="00F976AA"/>
    <w:rsid w:val="00FA66DC"/>
    <w:rsid w:val="00FA790D"/>
    <w:rsid w:val="00FB4F23"/>
    <w:rsid w:val="00FC0A00"/>
    <w:rsid w:val="00FC4D4A"/>
    <w:rsid w:val="00FC6C86"/>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uiPriority w:val="99"/>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paragraph" w:styleId="NormalWeb">
    <w:name w:val="Normal (Web)"/>
    <w:basedOn w:val="Normal"/>
    <w:uiPriority w:val="99"/>
    <w:semiHidden/>
    <w:unhideWhenUsed/>
    <w:rsid w:val="00DA7DF5"/>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81943%27%5d&amp;xhitlist_md=target-id=0-0-0-196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562346%27%5d&amp;xhitlist_md=target-id=0-0-0-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31FB-CA4A-4BF9-8E8D-32346993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HOME</cp:lastModifiedBy>
  <cp:revision>4</cp:revision>
  <cp:lastPrinted>2022-08-15T09:17:00Z</cp:lastPrinted>
  <dcterms:created xsi:type="dcterms:W3CDTF">2022-08-20T14:06:00Z</dcterms:created>
  <dcterms:modified xsi:type="dcterms:W3CDTF">2022-08-20T14:09:00Z</dcterms:modified>
</cp:coreProperties>
</file>