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13" w:rsidRPr="002A1560" w:rsidRDefault="00343A13" w:rsidP="00343A13">
      <w:pPr>
        <w:spacing w:line="360" w:lineRule="auto"/>
        <w:jc w:val="center"/>
        <w:rPr>
          <w:rFonts w:ascii="Arial" w:hAnsi="Arial" w:cs="Arial"/>
          <w:b/>
          <w:sz w:val="24"/>
          <w:szCs w:val="24"/>
        </w:rPr>
      </w:pPr>
      <w:bookmarkStart w:id="0" w:name="_GoBack"/>
      <w:bookmarkEnd w:id="0"/>
      <w:r w:rsidRPr="002A1560">
        <w:rPr>
          <w:rFonts w:ascii="Arial" w:hAnsi="Arial" w:cs="Arial"/>
          <w:b/>
          <w:sz w:val="24"/>
          <w:szCs w:val="24"/>
        </w:rPr>
        <w:t>REPUBLIC OF SOUTH AFRICA</w:t>
      </w:r>
    </w:p>
    <w:p w:rsidR="00343A13" w:rsidRPr="00E45425" w:rsidRDefault="00343A13" w:rsidP="00343A13">
      <w:pPr>
        <w:spacing w:line="360" w:lineRule="auto"/>
        <w:jc w:val="center"/>
        <w:rPr>
          <w:rFonts w:ascii="Arial" w:hAnsi="Arial" w:cs="Arial"/>
          <w:b/>
        </w:rPr>
      </w:pPr>
      <w:r>
        <w:rPr>
          <w:noProof/>
          <w:lang w:eastAsia="en-ZA"/>
        </w:rPr>
        <w:drawing>
          <wp:inline distT="0" distB="0" distL="0" distR="0" wp14:anchorId="37272FB5" wp14:editId="755DF1FE">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343A13" w:rsidRPr="002A1560" w:rsidRDefault="00343A13" w:rsidP="00343A13">
      <w:pPr>
        <w:spacing w:after="0"/>
        <w:jc w:val="center"/>
        <w:rPr>
          <w:rFonts w:ascii="Arial" w:hAnsi="Arial" w:cs="Arial"/>
          <w:b/>
          <w:sz w:val="24"/>
          <w:szCs w:val="24"/>
        </w:rPr>
      </w:pPr>
      <w:r w:rsidRPr="002A1560">
        <w:rPr>
          <w:rFonts w:ascii="Arial" w:hAnsi="Arial" w:cs="Arial"/>
          <w:b/>
          <w:sz w:val="24"/>
          <w:szCs w:val="24"/>
        </w:rPr>
        <w:t>IN THE HIGH COURT</w:t>
      </w:r>
      <w:r>
        <w:rPr>
          <w:rFonts w:ascii="Arial" w:hAnsi="Arial" w:cs="Arial"/>
          <w:b/>
          <w:sz w:val="24"/>
          <w:szCs w:val="24"/>
        </w:rPr>
        <w:t xml:space="preserve"> OF SOUTH AFRICA</w:t>
      </w:r>
    </w:p>
    <w:p w:rsidR="00343A13" w:rsidRDefault="00343A13" w:rsidP="00343A13">
      <w:pPr>
        <w:spacing w:after="0"/>
        <w:jc w:val="center"/>
        <w:rPr>
          <w:rFonts w:ascii="Arial" w:hAnsi="Arial" w:cs="Arial"/>
          <w:b/>
          <w:sz w:val="24"/>
          <w:szCs w:val="24"/>
        </w:rPr>
      </w:pPr>
      <w:r w:rsidRPr="002A1560">
        <w:rPr>
          <w:rFonts w:ascii="Arial" w:hAnsi="Arial" w:cs="Arial"/>
          <w:b/>
          <w:sz w:val="24"/>
          <w:szCs w:val="24"/>
        </w:rPr>
        <w:t>(</w:t>
      </w:r>
      <w:r>
        <w:rPr>
          <w:rFonts w:ascii="Arial" w:hAnsi="Arial" w:cs="Arial"/>
          <w:b/>
          <w:sz w:val="24"/>
          <w:szCs w:val="24"/>
        </w:rPr>
        <w:t>GAUTENG LOCAL DIVISION, JOHANNESBURG</w:t>
      </w:r>
      <w:r w:rsidRPr="002A1560">
        <w:rPr>
          <w:rFonts w:ascii="Arial" w:hAnsi="Arial" w:cs="Arial"/>
          <w:b/>
          <w:sz w:val="24"/>
          <w:szCs w:val="24"/>
        </w:rPr>
        <w:t>)</w:t>
      </w:r>
    </w:p>
    <w:p w:rsidR="005F1054" w:rsidRPr="00343A13" w:rsidRDefault="005F1054" w:rsidP="005F1054">
      <w:pPr>
        <w:rPr>
          <w:sz w:val="24"/>
          <w:szCs w:val="24"/>
        </w:rPr>
      </w:pPr>
    </w:p>
    <w:p w:rsidR="00343A13" w:rsidRDefault="005F1054" w:rsidP="00343A13">
      <w:r w:rsidRPr="00343A13">
        <w:rPr>
          <w:rFonts w:ascii="Arial" w:hAnsi="Arial" w:cs="Arial"/>
          <w:sz w:val="24"/>
          <w:szCs w:val="24"/>
        </w:rPr>
        <w:t xml:space="preserve">            </w:t>
      </w:r>
    </w:p>
    <w:p w:rsidR="005F1054" w:rsidRDefault="00343A13" w:rsidP="005F1054">
      <w:pPr>
        <w:jc w:val="center"/>
        <w:rPr>
          <w:rFonts w:ascii="Arial" w:hAnsi="Arial" w:cs="Arial"/>
          <w:b/>
          <w:bCs/>
          <w:sz w:val="24"/>
          <w:szCs w:val="24"/>
        </w:rPr>
      </w:pPr>
      <w:r>
        <w:rPr>
          <w:noProof/>
          <w:lang w:eastAsia="en-ZA"/>
        </w:rPr>
        <mc:AlternateContent>
          <mc:Choice Requires="wps">
            <w:drawing>
              <wp:anchor distT="45720" distB="45720" distL="114300" distR="114300" simplePos="0" relativeHeight="251659264" behindDoc="0" locked="0" layoutInCell="1" allowOverlap="1">
                <wp:simplePos x="0" y="0"/>
                <wp:positionH relativeFrom="column">
                  <wp:posOffset>-6350</wp:posOffset>
                </wp:positionH>
                <wp:positionV relativeFrom="paragraph">
                  <wp:posOffset>195580</wp:posOffset>
                </wp:positionV>
                <wp:extent cx="4121150" cy="1454150"/>
                <wp:effectExtent l="12700" t="1270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1454150"/>
                        </a:xfrm>
                        <a:prstGeom prst="rect">
                          <a:avLst/>
                        </a:prstGeom>
                        <a:solidFill>
                          <a:srgbClr val="FFFFFF"/>
                        </a:solidFill>
                        <a:ln w="9525">
                          <a:solidFill>
                            <a:srgbClr val="000000"/>
                          </a:solidFill>
                          <a:miter lim="800000"/>
                          <a:headEnd/>
                          <a:tailEnd/>
                        </a:ln>
                      </wps:spPr>
                      <wps:txbx>
                        <w:txbxContent>
                          <w:p w:rsidR="00343A13" w:rsidRDefault="00343A13" w:rsidP="00343A13"/>
                          <w:p w:rsidR="00343A13" w:rsidRDefault="00343A13" w:rsidP="00343A13">
                            <w:r>
                              <w:t>(1)</w:t>
                            </w:r>
                            <w:r>
                              <w:tab/>
                              <w:t xml:space="preserve">REPORTABLE: YES / NO </w:t>
                            </w:r>
                          </w:p>
                          <w:p w:rsidR="00343A13" w:rsidRDefault="00343A13" w:rsidP="00343A13">
                            <w:r>
                              <w:t>(2)</w:t>
                            </w:r>
                            <w:r>
                              <w:tab/>
                              <w:t>OF INTEREST TO OTHER JUDGES: YES / NO</w:t>
                            </w:r>
                          </w:p>
                          <w:p w:rsidR="00343A13" w:rsidRDefault="00343A13" w:rsidP="00343A13">
                            <w:r>
                              <w:t>(3)</w:t>
                            </w:r>
                            <w:r>
                              <w:tab/>
                              <w:t xml:space="preserve">REVISED: YES/ NO </w:t>
                            </w:r>
                          </w:p>
                          <w:p w:rsidR="00343A13" w:rsidRDefault="00343A13" w:rsidP="00343A13">
                            <w:r>
                              <w:t xml:space="preserve">DATE: 24 AUGUST 2022 </w:t>
                            </w:r>
                            <w:r w:rsidR="00377814">
                              <w:t xml:space="preserve">                               </w:t>
                            </w:r>
                            <w:r>
                              <w:t>JUDGE: T THUPAATLASE AJ</w:t>
                            </w:r>
                          </w:p>
                          <w:p w:rsidR="00343A13" w:rsidRDefault="00343A13" w:rsidP="00343A13"/>
                          <w:p w:rsidR="00343A13" w:rsidRDefault="00343A13" w:rsidP="00343A13"/>
                          <w:p w:rsidR="00343A13" w:rsidRDefault="00343A13" w:rsidP="00343A13">
                            <w:r>
                              <w:t xml:space="preserve"> 10 JUNE 2022</w:t>
                            </w:r>
                            <w:r>
                              <w:tab/>
                            </w:r>
                            <w:r>
                              <w:tab/>
                              <w:t>FHD VAN OOSTEN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15.4pt;width:324.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">
                <v:textbox>
                  <w:txbxContent>
                    <w:p w:rsidR="00343A13" w:rsidRDefault="00343A13" w:rsidP="00343A13"/>
                    <w:p w:rsidR="00343A13" w:rsidRDefault="00343A13" w:rsidP="00343A13">
                      <w:r>
                        <w:t>(1)</w:t>
                      </w:r>
                      <w:r>
                        <w:tab/>
                        <w:t xml:space="preserve">REPORTABLE: </w:t>
                      </w:r>
                      <w:r>
                        <w:t xml:space="preserve">YES / </w:t>
                      </w:r>
                      <w:r>
                        <w:t xml:space="preserve">NO </w:t>
                      </w:r>
                    </w:p>
                    <w:p w:rsidR="00343A13" w:rsidRDefault="00343A13" w:rsidP="00343A13">
                      <w:r>
                        <w:t>(2)</w:t>
                      </w:r>
                      <w:r>
                        <w:tab/>
                        <w:t>OF INTEREST TO OTHER JUDGES: YES</w:t>
                      </w:r>
                      <w:r>
                        <w:t xml:space="preserve"> / NO</w:t>
                      </w:r>
                    </w:p>
                    <w:p w:rsidR="00343A13" w:rsidRDefault="00343A13" w:rsidP="00343A13">
                      <w:r>
                        <w:t>(3)</w:t>
                      </w:r>
                      <w:r>
                        <w:tab/>
                        <w:t>REVISED</w:t>
                      </w:r>
                      <w:r>
                        <w:t xml:space="preserve">: YES/ NO </w:t>
                      </w:r>
                    </w:p>
                    <w:p w:rsidR="00343A13" w:rsidRDefault="00343A13" w:rsidP="00343A13">
                      <w:r>
                        <w:t xml:space="preserve">DATE: 24 AUGUST 2022 </w:t>
                      </w:r>
                      <w:r w:rsidR="00377814">
                        <w:t xml:space="preserve">                               </w:t>
                      </w:r>
                      <w:r>
                        <w:t>JUDGE: T THUPAATLASE AJ</w:t>
                      </w:r>
                    </w:p>
                    <w:p w:rsidR="00343A13" w:rsidRDefault="00343A13" w:rsidP="00343A13"/>
                    <w:p w:rsidR="00343A13" w:rsidRDefault="00343A13" w:rsidP="00343A13"/>
                    <w:p w:rsidR="00343A13" w:rsidRDefault="00343A13" w:rsidP="00343A13">
                      <w:r>
                        <w:t xml:space="preserve"> 10 JUNE 2022</w:t>
                      </w:r>
                      <w:r>
                        <w:tab/>
                      </w:r>
                      <w:r>
                        <w:tab/>
                        <w:t>FHD VAN OOSTEN</w:t>
                      </w:r>
                    </w:p>
                  </w:txbxContent>
                </v:textbox>
                <w10:wrap type="square"/>
              </v:shape>
            </w:pict>
          </mc:Fallback>
        </mc:AlternateContent>
      </w:r>
      <w:r w:rsidR="005F1054" w:rsidRPr="00343A13">
        <w:rPr>
          <w:rFonts w:ascii="Arial" w:hAnsi="Arial" w:cs="Arial"/>
          <w:sz w:val="24"/>
          <w:szCs w:val="24"/>
        </w:rPr>
        <w:t xml:space="preserve">                                                                      </w:t>
      </w:r>
      <w:r w:rsidR="005F1054" w:rsidRPr="00343A13">
        <w:rPr>
          <w:rFonts w:ascii="Arial" w:hAnsi="Arial" w:cs="Arial"/>
          <w:b/>
          <w:bCs/>
          <w:sz w:val="24"/>
          <w:szCs w:val="24"/>
        </w:rPr>
        <w:t>C</w:t>
      </w:r>
      <w:r w:rsidR="00430004" w:rsidRPr="00343A13">
        <w:rPr>
          <w:rFonts w:ascii="Arial" w:hAnsi="Arial" w:cs="Arial"/>
          <w:b/>
          <w:bCs/>
          <w:sz w:val="24"/>
          <w:szCs w:val="24"/>
        </w:rPr>
        <w:t>ase</w:t>
      </w:r>
      <w:r w:rsidR="005F1054" w:rsidRPr="00343A13">
        <w:rPr>
          <w:rFonts w:ascii="Arial" w:hAnsi="Arial" w:cs="Arial"/>
          <w:b/>
          <w:bCs/>
          <w:sz w:val="24"/>
          <w:szCs w:val="24"/>
        </w:rPr>
        <w:t xml:space="preserve"> N</w:t>
      </w:r>
      <w:r w:rsidR="00430004" w:rsidRPr="00343A13">
        <w:rPr>
          <w:rFonts w:ascii="Arial" w:hAnsi="Arial" w:cs="Arial"/>
          <w:b/>
          <w:bCs/>
          <w:sz w:val="24"/>
          <w:szCs w:val="24"/>
        </w:rPr>
        <w:t>o</w:t>
      </w:r>
      <w:r w:rsidR="005F1054" w:rsidRPr="00343A13">
        <w:rPr>
          <w:rFonts w:ascii="Arial" w:hAnsi="Arial" w:cs="Arial"/>
          <w:b/>
          <w:bCs/>
          <w:sz w:val="24"/>
          <w:szCs w:val="24"/>
        </w:rPr>
        <w:t xml:space="preserve">. </w:t>
      </w:r>
      <w:r>
        <w:rPr>
          <w:rFonts w:ascii="Arial" w:hAnsi="Arial" w:cs="Arial"/>
          <w:b/>
          <w:bCs/>
          <w:sz w:val="24"/>
          <w:szCs w:val="24"/>
        </w:rPr>
        <w:t>20</w:t>
      </w:r>
      <w:r w:rsidR="00B37420" w:rsidRPr="00343A13">
        <w:rPr>
          <w:rFonts w:ascii="Arial" w:hAnsi="Arial" w:cs="Arial"/>
          <w:b/>
          <w:bCs/>
          <w:sz w:val="24"/>
          <w:szCs w:val="24"/>
        </w:rPr>
        <w:t>22/3648</w:t>
      </w:r>
    </w:p>
    <w:p w:rsidR="00343A13" w:rsidRPr="00343A13" w:rsidRDefault="00343A13" w:rsidP="00343A13">
      <w:pPr>
        <w:rPr>
          <w:rFonts w:ascii="Arial" w:hAnsi="Arial" w:cs="Arial"/>
          <w:b/>
          <w:bCs/>
          <w:sz w:val="24"/>
          <w:szCs w:val="24"/>
        </w:rPr>
      </w:pPr>
    </w:p>
    <w:p w:rsidR="00343A13" w:rsidRDefault="00343A13" w:rsidP="005F1054">
      <w:pPr>
        <w:rPr>
          <w:rFonts w:ascii="Arial" w:hAnsi="Arial" w:cs="Arial"/>
          <w:b/>
          <w:bCs/>
          <w:sz w:val="24"/>
          <w:szCs w:val="24"/>
        </w:rPr>
      </w:pPr>
    </w:p>
    <w:p w:rsidR="00343A13" w:rsidRDefault="00343A13" w:rsidP="005F1054">
      <w:pPr>
        <w:rPr>
          <w:rFonts w:ascii="Arial" w:hAnsi="Arial" w:cs="Arial"/>
          <w:b/>
          <w:bCs/>
          <w:sz w:val="24"/>
          <w:szCs w:val="24"/>
        </w:rPr>
      </w:pPr>
    </w:p>
    <w:p w:rsidR="00343A13" w:rsidRDefault="00343A13" w:rsidP="005F1054">
      <w:pPr>
        <w:rPr>
          <w:rFonts w:ascii="Arial" w:hAnsi="Arial" w:cs="Arial"/>
          <w:b/>
          <w:bCs/>
          <w:sz w:val="24"/>
          <w:szCs w:val="24"/>
        </w:rPr>
      </w:pPr>
    </w:p>
    <w:p w:rsidR="00343A13" w:rsidRDefault="00343A13" w:rsidP="005F1054">
      <w:pPr>
        <w:rPr>
          <w:rFonts w:ascii="Arial" w:hAnsi="Arial" w:cs="Arial"/>
          <w:b/>
          <w:bCs/>
          <w:sz w:val="24"/>
          <w:szCs w:val="24"/>
        </w:rPr>
      </w:pPr>
    </w:p>
    <w:p w:rsidR="005F1054" w:rsidRPr="00343A13" w:rsidRDefault="005F1054" w:rsidP="005F1054">
      <w:pPr>
        <w:rPr>
          <w:rFonts w:ascii="Arial" w:hAnsi="Arial" w:cs="Arial"/>
          <w:b/>
          <w:bCs/>
          <w:sz w:val="24"/>
          <w:szCs w:val="24"/>
        </w:rPr>
      </w:pPr>
      <w:r w:rsidRPr="00343A13">
        <w:rPr>
          <w:rFonts w:ascii="Arial" w:hAnsi="Arial" w:cs="Arial"/>
          <w:b/>
          <w:bCs/>
          <w:sz w:val="24"/>
          <w:szCs w:val="24"/>
        </w:rPr>
        <w:t>I</w:t>
      </w:r>
      <w:r w:rsidR="00184489" w:rsidRPr="00343A13">
        <w:rPr>
          <w:rFonts w:ascii="Arial" w:hAnsi="Arial" w:cs="Arial"/>
          <w:b/>
          <w:bCs/>
          <w:sz w:val="24"/>
          <w:szCs w:val="24"/>
        </w:rPr>
        <w:t>n</w:t>
      </w:r>
      <w:r w:rsidRPr="00343A13">
        <w:rPr>
          <w:rFonts w:ascii="Arial" w:hAnsi="Arial" w:cs="Arial"/>
          <w:b/>
          <w:bCs/>
          <w:sz w:val="24"/>
          <w:szCs w:val="24"/>
        </w:rPr>
        <w:t xml:space="preserve"> </w:t>
      </w:r>
      <w:r w:rsidR="00430004" w:rsidRPr="00343A13">
        <w:rPr>
          <w:rFonts w:ascii="Arial" w:hAnsi="Arial" w:cs="Arial"/>
          <w:b/>
          <w:bCs/>
          <w:sz w:val="24"/>
          <w:szCs w:val="24"/>
        </w:rPr>
        <w:t>the matter</w:t>
      </w:r>
      <w:r w:rsidRPr="00343A13">
        <w:rPr>
          <w:rFonts w:ascii="Arial" w:hAnsi="Arial" w:cs="Arial"/>
          <w:b/>
          <w:bCs/>
          <w:sz w:val="24"/>
          <w:szCs w:val="24"/>
        </w:rPr>
        <w:t xml:space="preserve"> </w:t>
      </w:r>
      <w:r w:rsidR="00430004" w:rsidRPr="00343A13">
        <w:rPr>
          <w:rFonts w:ascii="Arial" w:hAnsi="Arial" w:cs="Arial"/>
          <w:b/>
          <w:bCs/>
          <w:sz w:val="24"/>
          <w:szCs w:val="24"/>
        </w:rPr>
        <w:t>between</w:t>
      </w:r>
      <w:r w:rsidRPr="00343A13">
        <w:rPr>
          <w:rFonts w:ascii="Arial" w:hAnsi="Arial" w:cs="Arial"/>
          <w:b/>
          <w:bCs/>
          <w:sz w:val="24"/>
          <w:szCs w:val="24"/>
        </w:rPr>
        <w:t>:</w:t>
      </w:r>
    </w:p>
    <w:p w:rsidR="005F1054" w:rsidRPr="00343A13" w:rsidRDefault="00C6331D" w:rsidP="005F1054">
      <w:pPr>
        <w:rPr>
          <w:rFonts w:ascii="Arial" w:hAnsi="Arial" w:cs="Arial"/>
          <w:b/>
          <w:bCs/>
          <w:sz w:val="24"/>
          <w:szCs w:val="24"/>
        </w:rPr>
      </w:pPr>
      <w:r>
        <w:rPr>
          <w:rFonts w:ascii="Arial" w:hAnsi="Arial" w:cs="Arial"/>
          <w:b/>
          <w:bCs/>
          <w:sz w:val="24"/>
          <w:szCs w:val="24"/>
        </w:rPr>
        <w:t>Breadline</w:t>
      </w:r>
      <w:r w:rsidR="00184489" w:rsidRPr="00343A13">
        <w:rPr>
          <w:rFonts w:ascii="Arial" w:hAnsi="Arial" w:cs="Arial"/>
          <w:b/>
          <w:bCs/>
          <w:sz w:val="24"/>
          <w:szCs w:val="24"/>
        </w:rPr>
        <w:t xml:space="preserve"> Africa RSA (NPC) </w:t>
      </w:r>
      <w:r w:rsidR="005F1054" w:rsidRPr="00343A13">
        <w:rPr>
          <w:rFonts w:ascii="Arial" w:hAnsi="Arial" w:cs="Arial"/>
          <w:b/>
          <w:bCs/>
          <w:sz w:val="24"/>
          <w:szCs w:val="24"/>
        </w:rPr>
        <w:tab/>
      </w:r>
      <w:r w:rsidR="005F1054" w:rsidRPr="00343A13">
        <w:rPr>
          <w:rFonts w:ascii="Arial" w:hAnsi="Arial" w:cs="Arial"/>
          <w:b/>
          <w:bCs/>
          <w:sz w:val="24"/>
          <w:szCs w:val="24"/>
        </w:rPr>
        <w:tab/>
      </w:r>
      <w:r w:rsidR="005F1054" w:rsidRPr="00343A13">
        <w:rPr>
          <w:rFonts w:ascii="Arial" w:hAnsi="Arial" w:cs="Arial"/>
          <w:b/>
          <w:bCs/>
          <w:sz w:val="24"/>
          <w:szCs w:val="24"/>
        </w:rPr>
        <w:tab/>
      </w:r>
      <w:r w:rsidR="005F1054" w:rsidRPr="00343A13">
        <w:rPr>
          <w:rFonts w:ascii="Arial" w:hAnsi="Arial" w:cs="Arial"/>
          <w:b/>
          <w:bCs/>
          <w:sz w:val="24"/>
          <w:szCs w:val="24"/>
        </w:rPr>
        <w:tab/>
      </w:r>
      <w:r w:rsidR="00343A13">
        <w:rPr>
          <w:rFonts w:ascii="Arial" w:hAnsi="Arial" w:cs="Arial"/>
          <w:b/>
          <w:bCs/>
          <w:sz w:val="24"/>
          <w:szCs w:val="24"/>
        </w:rPr>
        <w:t xml:space="preserve">       </w:t>
      </w:r>
      <w:r w:rsidR="00184489" w:rsidRPr="00343A13">
        <w:rPr>
          <w:rFonts w:ascii="Arial" w:hAnsi="Arial" w:cs="Arial"/>
          <w:b/>
          <w:bCs/>
          <w:sz w:val="24"/>
          <w:szCs w:val="24"/>
        </w:rPr>
        <w:t>1</w:t>
      </w:r>
      <w:r w:rsidR="00184489" w:rsidRPr="00343A13">
        <w:rPr>
          <w:rFonts w:ascii="Arial" w:hAnsi="Arial" w:cs="Arial"/>
          <w:b/>
          <w:bCs/>
          <w:sz w:val="24"/>
          <w:szCs w:val="24"/>
          <w:vertAlign w:val="superscript"/>
        </w:rPr>
        <w:t>st</w:t>
      </w:r>
      <w:r w:rsidR="00184489" w:rsidRPr="00343A13">
        <w:rPr>
          <w:rFonts w:ascii="Arial" w:hAnsi="Arial" w:cs="Arial"/>
          <w:b/>
          <w:bCs/>
          <w:sz w:val="24"/>
          <w:szCs w:val="24"/>
        </w:rPr>
        <w:t xml:space="preserve"> Applicant </w:t>
      </w:r>
    </w:p>
    <w:p w:rsidR="00184489" w:rsidRPr="00343A13" w:rsidRDefault="00184489" w:rsidP="005F1054">
      <w:pPr>
        <w:rPr>
          <w:rFonts w:ascii="Arial" w:hAnsi="Arial" w:cs="Arial"/>
          <w:b/>
          <w:bCs/>
          <w:sz w:val="24"/>
          <w:szCs w:val="24"/>
        </w:rPr>
      </w:pPr>
      <w:r w:rsidRPr="00343A13">
        <w:rPr>
          <w:rFonts w:ascii="Arial" w:hAnsi="Arial" w:cs="Arial"/>
          <w:b/>
          <w:bCs/>
          <w:sz w:val="24"/>
          <w:szCs w:val="24"/>
        </w:rPr>
        <w:t>Marion Wagner- Snyders</w:t>
      </w:r>
      <w:r w:rsidRPr="00343A13">
        <w:rPr>
          <w:rFonts w:ascii="Arial" w:hAnsi="Arial" w:cs="Arial"/>
          <w:b/>
          <w:bCs/>
          <w:sz w:val="24"/>
          <w:szCs w:val="24"/>
        </w:rPr>
        <w:tab/>
      </w:r>
      <w:r w:rsidRPr="00343A13">
        <w:rPr>
          <w:rFonts w:ascii="Arial" w:hAnsi="Arial" w:cs="Arial"/>
          <w:b/>
          <w:bCs/>
          <w:sz w:val="24"/>
          <w:szCs w:val="24"/>
        </w:rPr>
        <w:tab/>
      </w:r>
      <w:r w:rsidRPr="00343A13">
        <w:rPr>
          <w:rFonts w:ascii="Arial" w:hAnsi="Arial" w:cs="Arial"/>
          <w:b/>
          <w:bCs/>
          <w:sz w:val="24"/>
          <w:szCs w:val="24"/>
        </w:rPr>
        <w:tab/>
      </w:r>
      <w:r w:rsidRPr="00343A13">
        <w:rPr>
          <w:rFonts w:ascii="Arial" w:hAnsi="Arial" w:cs="Arial"/>
          <w:b/>
          <w:bCs/>
          <w:sz w:val="24"/>
          <w:szCs w:val="24"/>
        </w:rPr>
        <w:tab/>
      </w:r>
      <w:r w:rsidR="00430004" w:rsidRPr="00343A13">
        <w:rPr>
          <w:rFonts w:ascii="Arial" w:hAnsi="Arial" w:cs="Arial"/>
          <w:b/>
          <w:bCs/>
          <w:sz w:val="24"/>
          <w:szCs w:val="24"/>
        </w:rPr>
        <w:t xml:space="preserve">          </w:t>
      </w:r>
      <w:r w:rsidR="00343A13">
        <w:rPr>
          <w:rFonts w:ascii="Arial" w:hAnsi="Arial" w:cs="Arial"/>
          <w:b/>
          <w:bCs/>
          <w:sz w:val="24"/>
          <w:szCs w:val="24"/>
        </w:rPr>
        <w:t xml:space="preserve">        </w:t>
      </w:r>
      <w:r w:rsidRPr="00343A13">
        <w:rPr>
          <w:rFonts w:ascii="Arial" w:hAnsi="Arial" w:cs="Arial"/>
          <w:b/>
          <w:bCs/>
          <w:sz w:val="24"/>
          <w:szCs w:val="24"/>
        </w:rPr>
        <w:t>2</w:t>
      </w:r>
      <w:r w:rsidRPr="00343A13">
        <w:rPr>
          <w:rFonts w:ascii="Arial" w:hAnsi="Arial" w:cs="Arial"/>
          <w:b/>
          <w:bCs/>
          <w:sz w:val="24"/>
          <w:szCs w:val="24"/>
          <w:vertAlign w:val="superscript"/>
        </w:rPr>
        <w:t>nd</w:t>
      </w:r>
      <w:r w:rsidRPr="00343A13">
        <w:rPr>
          <w:rFonts w:ascii="Arial" w:hAnsi="Arial" w:cs="Arial"/>
          <w:b/>
          <w:bCs/>
          <w:sz w:val="24"/>
          <w:szCs w:val="24"/>
        </w:rPr>
        <w:t xml:space="preserve"> Applicant  </w:t>
      </w:r>
    </w:p>
    <w:p w:rsidR="005F1054" w:rsidRPr="00343A13" w:rsidRDefault="005F1054" w:rsidP="005F1054">
      <w:pPr>
        <w:rPr>
          <w:rFonts w:ascii="Arial" w:hAnsi="Arial" w:cs="Arial"/>
          <w:b/>
          <w:bCs/>
          <w:sz w:val="24"/>
          <w:szCs w:val="24"/>
        </w:rPr>
      </w:pPr>
      <w:r w:rsidRPr="00343A13">
        <w:rPr>
          <w:rFonts w:ascii="Arial" w:hAnsi="Arial" w:cs="Arial"/>
          <w:b/>
          <w:bCs/>
          <w:sz w:val="24"/>
          <w:szCs w:val="24"/>
        </w:rPr>
        <w:t>A</w:t>
      </w:r>
      <w:r w:rsidR="00184489" w:rsidRPr="00343A13">
        <w:rPr>
          <w:rFonts w:ascii="Arial" w:hAnsi="Arial" w:cs="Arial"/>
          <w:b/>
          <w:bCs/>
          <w:sz w:val="24"/>
          <w:szCs w:val="24"/>
        </w:rPr>
        <w:t xml:space="preserve">nd </w:t>
      </w:r>
    </w:p>
    <w:p w:rsidR="005F1054" w:rsidRPr="00343A13" w:rsidRDefault="00184489" w:rsidP="005F1054">
      <w:pPr>
        <w:rPr>
          <w:b/>
          <w:bCs/>
          <w:sz w:val="24"/>
          <w:szCs w:val="24"/>
        </w:rPr>
      </w:pPr>
      <w:r w:rsidRPr="00343A13">
        <w:rPr>
          <w:rFonts w:ascii="Arial" w:hAnsi="Arial" w:cs="Arial"/>
          <w:b/>
          <w:bCs/>
          <w:sz w:val="24"/>
          <w:szCs w:val="24"/>
        </w:rPr>
        <w:t xml:space="preserve">Farzeen Bhana </w:t>
      </w:r>
      <w:r w:rsidR="005F1054" w:rsidRPr="00343A13">
        <w:rPr>
          <w:rFonts w:ascii="Arial" w:hAnsi="Arial" w:cs="Arial"/>
          <w:b/>
          <w:bCs/>
          <w:sz w:val="24"/>
          <w:szCs w:val="24"/>
        </w:rPr>
        <w:tab/>
      </w:r>
      <w:r w:rsidR="005F1054" w:rsidRPr="00343A13">
        <w:rPr>
          <w:rFonts w:ascii="Arial" w:hAnsi="Arial" w:cs="Arial"/>
          <w:b/>
          <w:bCs/>
          <w:sz w:val="24"/>
          <w:szCs w:val="24"/>
        </w:rPr>
        <w:tab/>
      </w:r>
      <w:r w:rsidR="005F1054" w:rsidRPr="00343A13">
        <w:rPr>
          <w:rFonts w:ascii="Arial" w:hAnsi="Arial" w:cs="Arial"/>
          <w:b/>
          <w:bCs/>
          <w:sz w:val="24"/>
          <w:szCs w:val="24"/>
        </w:rPr>
        <w:tab/>
      </w:r>
      <w:r w:rsidR="005F1054" w:rsidRPr="00343A13">
        <w:rPr>
          <w:rFonts w:ascii="Arial" w:hAnsi="Arial" w:cs="Arial"/>
          <w:b/>
          <w:bCs/>
          <w:sz w:val="24"/>
          <w:szCs w:val="24"/>
        </w:rPr>
        <w:tab/>
        <w:t xml:space="preserve">          </w:t>
      </w:r>
      <w:r w:rsidRPr="00343A13">
        <w:rPr>
          <w:rFonts w:ascii="Arial" w:hAnsi="Arial" w:cs="Arial"/>
          <w:b/>
          <w:bCs/>
          <w:sz w:val="24"/>
          <w:szCs w:val="24"/>
        </w:rPr>
        <w:t xml:space="preserve">                  Respondent</w:t>
      </w:r>
      <w:r w:rsidRPr="00343A13">
        <w:rPr>
          <w:b/>
          <w:bCs/>
          <w:sz w:val="24"/>
          <w:szCs w:val="24"/>
        </w:rPr>
        <w:t xml:space="preserve"> </w:t>
      </w:r>
    </w:p>
    <w:p w:rsidR="000B76CD" w:rsidRDefault="000B76CD" w:rsidP="005F1054">
      <w:pPr>
        <w:rPr>
          <w:b/>
          <w:bCs/>
        </w:rPr>
      </w:pPr>
    </w:p>
    <w:p w:rsidR="00F13F65" w:rsidRPr="002162FC" w:rsidRDefault="002162FC" w:rsidP="005F1054">
      <w:pPr>
        <w:rPr>
          <w:rFonts w:ascii="Arial" w:hAnsi="Arial" w:cs="Arial"/>
          <w:b/>
          <w:sz w:val="24"/>
          <w:szCs w:val="24"/>
        </w:rPr>
      </w:pPr>
      <w:r w:rsidRPr="002162FC">
        <w:rPr>
          <w:rFonts w:ascii="Arial" w:hAnsi="Arial" w:cs="Arial"/>
          <w:b/>
          <w:sz w:val="24"/>
          <w:szCs w:val="24"/>
        </w:rPr>
        <w:t>__________________________________________________________</w:t>
      </w:r>
      <w:r>
        <w:rPr>
          <w:rFonts w:ascii="Arial" w:hAnsi="Arial" w:cs="Arial"/>
          <w:b/>
          <w:sz w:val="24"/>
          <w:szCs w:val="24"/>
        </w:rPr>
        <w:t>_________</w:t>
      </w:r>
    </w:p>
    <w:p w:rsidR="002162FC" w:rsidRDefault="002162FC" w:rsidP="002162FC">
      <w:pPr>
        <w:jc w:val="center"/>
        <w:rPr>
          <w:rFonts w:ascii="Arial" w:hAnsi="Arial" w:cs="Arial"/>
          <w:b/>
          <w:sz w:val="24"/>
          <w:szCs w:val="24"/>
        </w:rPr>
      </w:pPr>
      <w:r w:rsidRPr="002162FC">
        <w:rPr>
          <w:rFonts w:ascii="Arial" w:hAnsi="Arial" w:cs="Arial"/>
          <w:b/>
          <w:sz w:val="24"/>
          <w:szCs w:val="24"/>
        </w:rPr>
        <w:t>JUDGMENT</w:t>
      </w:r>
    </w:p>
    <w:p w:rsidR="002162FC" w:rsidRPr="002162FC" w:rsidRDefault="002162FC" w:rsidP="002162FC">
      <w:pPr>
        <w:jc w:val="center"/>
        <w:rPr>
          <w:rFonts w:ascii="Arial" w:hAnsi="Arial" w:cs="Arial"/>
          <w:b/>
          <w:sz w:val="24"/>
          <w:szCs w:val="24"/>
        </w:rPr>
      </w:pPr>
      <w:r>
        <w:rPr>
          <w:rFonts w:ascii="Arial" w:hAnsi="Arial" w:cs="Arial"/>
          <w:b/>
          <w:sz w:val="24"/>
          <w:szCs w:val="24"/>
        </w:rPr>
        <w:t>___________________________________________________________________</w:t>
      </w:r>
    </w:p>
    <w:p w:rsidR="00D06561" w:rsidRPr="00D06561" w:rsidRDefault="000B76CD" w:rsidP="005F1054">
      <w:pPr>
        <w:rPr>
          <w:rFonts w:ascii="Arial" w:hAnsi="Arial" w:cs="Arial"/>
          <w:b/>
          <w:sz w:val="24"/>
          <w:szCs w:val="24"/>
        </w:rPr>
      </w:pPr>
      <w:r w:rsidRPr="002162FC">
        <w:rPr>
          <w:rFonts w:ascii="Arial" w:hAnsi="Arial" w:cs="Arial"/>
          <w:b/>
          <w:sz w:val="24"/>
          <w:szCs w:val="24"/>
        </w:rPr>
        <w:t>Thupaatlase AJ</w:t>
      </w:r>
    </w:p>
    <w:p w:rsidR="00D06561" w:rsidRDefault="00D06561" w:rsidP="005F1054">
      <w:pPr>
        <w:rPr>
          <w:rFonts w:ascii="Arial" w:hAnsi="Arial" w:cs="Arial"/>
          <w:b/>
          <w:bCs/>
          <w:sz w:val="24"/>
          <w:szCs w:val="24"/>
        </w:rPr>
      </w:pPr>
    </w:p>
    <w:p w:rsidR="00D06561" w:rsidRDefault="00D06561" w:rsidP="005F1054">
      <w:pPr>
        <w:rPr>
          <w:rFonts w:ascii="Arial" w:hAnsi="Arial" w:cs="Arial"/>
          <w:b/>
          <w:bCs/>
          <w:sz w:val="24"/>
          <w:szCs w:val="24"/>
        </w:rPr>
      </w:pPr>
    </w:p>
    <w:p w:rsidR="00D06561" w:rsidRDefault="00D06561" w:rsidP="005F1054">
      <w:pPr>
        <w:rPr>
          <w:rFonts w:ascii="Arial" w:hAnsi="Arial" w:cs="Arial"/>
          <w:b/>
          <w:bCs/>
          <w:sz w:val="24"/>
          <w:szCs w:val="24"/>
        </w:rPr>
      </w:pPr>
    </w:p>
    <w:p w:rsidR="00D06561" w:rsidRDefault="00D06561" w:rsidP="005F1054">
      <w:pPr>
        <w:rPr>
          <w:rFonts w:ascii="Arial" w:hAnsi="Arial" w:cs="Arial"/>
          <w:b/>
          <w:bCs/>
          <w:sz w:val="24"/>
          <w:szCs w:val="24"/>
        </w:rPr>
      </w:pPr>
    </w:p>
    <w:p w:rsidR="007745E5" w:rsidRPr="002162FC" w:rsidRDefault="002B0AD0" w:rsidP="005F1054">
      <w:pPr>
        <w:rPr>
          <w:rFonts w:ascii="Arial" w:hAnsi="Arial" w:cs="Arial"/>
          <w:b/>
          <w:bCs/>
          <w:sz w:val="24"/>
          <w:szCs w:val="24"/>
        </w:rPr>
      </w:pPr>
      <w:r w:rsidRPr="002162FC">
        <w:rPr>
          <w:rFonts w:ascii="Arial" w:hAnsi="Arial" w:cs="Arial"/>
          <w:b/>
          <w:bCs/>
          <w:sz w:val="24"/>
          <w:szCs w:val="24"/>
        </w:rPr>
        <w:lastRenderedPageBreak/>
        <w:t>Introduction</w:t>
      </w:r>
    </w:p>
    <w:p w:rsidR="002B0AD0" w:rsidRPr="002162FC" w:rsidRDefault="002B0AD0" w:rsidP="000C2A63">
      <w:pPr>
        <w:spacing w:before="100" w:beforeAutospacing="1" w:after="360" w:line="480" w:lineRule="auto"/>
        <w:rPr>
          <w:rFonts w:ascii="Arial" w:hAnsi="Arial" w:cs="Arial"/>
          <w:sz w:val="24"/>
          <w:szCs w:val="24"/>
        </w:rPr>
      </w:pPr>
      <w:r w:rsidRPr="002162FC">
        <w:rPr>
          <w:rFonts w:ascii="Arial" w:hAnsi="Arial" w:cs="Arial"/>
          <w:sz w:val="24"/>
          <w:szCs w:val="24"/>
        </w:rPr>
        <w:t>[1]</w:t>
      </w:r>
      <w:r w:rsidR="00BA1206" w:rsidRPr="002162FC">
        <w:rPr>
          <w:rFonts w:ascii="Arial" w:hAnsi="Arial" w:cs="Arial"/>
          <w:sz w:val="24"/>
          <w:szCs w:val="24"/>
        </w:rPr>
        <w:t xml:space="preserve"> This is an unopposed application </w:t>
      </w:r>
      <w:r w:rsidR="009C004F" w:rsidRPr="002162FC">
        <w:rPr>
          <w:rFonts w:ascii="Arial" w:hAnsi="Arial" w:cs="Arial"/>
          <w:sz w:val="24"/>
          <w:szCs w:val="24"/>
        </w:rPr>
        <w:t xml:space="preserve">directing that the respondent to be declared a delinquent director in terms of Section 162(5) </w:t>
      </w:r>
      <w:r w:rsidR="005202AA" w:rsidRPr="002162FC">
        <w:rPr>
          <w:rFonts w:ascii="Arial" w:hAnsi="Arial" w:cs="Arial"/>
          <w:sz w:val="24"/>
          <w:szCs w:val="24"/>
        </w:rPr>
        <w:t>(c</w:t>
      </w:r>
      <w:r w:rsidR="009C004F" w:rsidRPr="002162FC">
        <w:rPr>
          <w:rFonts w:ascii="Arial" w:hAnsi="Arial" w:cs="Arial"/>
          <w:sz w:val="24"/>
          <w:szCs w:val="24"/>
        </w:rPr>
        <w:t>)</w:t>
      </w:r>
      <w:r w:rsidR="0049053E" w:rsidRPr="002162FC">
        <w:rPr>
          <w:rStyle w:val="FootnoteReference"/>
          <w:rFonts w:ascii="Arial" w:hAnsi="Arial"/>
          <w:sz w:val="24"/>
          <w:szCs w:val="24"/>
        </w:rPr>
        <w:footnoteReference w:id="1"/>
      </w:r>
      <w:r w:rsidR="009C004F" w:rsidRPr="002162FC">
        <w:rPr>
          <w:rFonts w:ascii="Arial" w:hAnsi="Arial" w:cs="Arial"/>
          <w:sz w:val="24"/>
          <w:szCs w:val="24"/>
        </w:rPr>
        <w:t xml:space="preserve"> of the Companies Act, 71 of 2008 and further directing that respondent pays costs of this application. </w:t>
      </w:r>
    </w:p>
    <w:p w:rsidR="00F328B0" w:rsidRPr="002162FC" w:rsidRDefault="009C004F" w:rsidP="000C2A63">
      <w:pPr>
        <w:spacing w:before="100" w:beforeAutospacing="1" w:after="360" w:line="480" w:lineRule="auto"/>
        <w:rPr>
          <w:rFonts w:ascii="Arial" w:hAnsi="Arial" w:cs="Arial"/>
          <w:sz w:val="24"/>
          <w:szCs w:val="24"/>
        </w:rPr>
      </w:pPr>
      <w:r w:rsidRPr="002162FC">
        <w:rPr>
          <w:rFonts w:ascii="Arial" w:hAnsi="Arial" w:cs="Arial"/>
          <w:sz w:val="24"/>
          <w:szCs w:val="24"/>
        </w:rPr>
        <w:t xml:space="preserve">[2] The </w:t>
      </w:r>
      <w:r w:rsidR="00413CC3" w:rsidRPr="002162FC">
        <w:rPr>
          <w:rFonts w:ascii="Arial" w:hAnsi="Arial" w:cs="Arial"/>
          <w:sz w:val="24"/>
          <w:szCs w:val="24"/>
        </w:rPr>
        <w:t>first a</w:t>
      </w:r>
      <w:r w:rsidRPr="002162FC">
        <w:rPr>
          <w:rFonts w:ascii="Arial" w:hAnsi="Arial" w:cs="Arial"/>
          <w:sz w:val="24"/>
          <w:szCs w:val="24"/>
        </w:rPr>
        <w:t xml:space="preserve">pplicant is </w:t>
      </w:r>
      <w:r w:rsidR="005202AA" w:rsidRPr="002162FC">
        <w:rPr>
          <w:rFonts w:ascii="Arial" w:hAnsi="Arial" w:cs="Arial"/>
          <w:sz w:val="24"/>
          <w:szCs w:val="24"/>
        </w:rPr>
        <w:t xml:space="preserve">a registered NPC with registration number 2006/015075/08. The </w:t>
      </w:r>
      <w:r w:rsidR="00F55B7C" w:rsidRPr="002162FC">
        <w:rPr>
          <w:rFonts w:ascii="Arial" w:hAnsi="Arial" w:cs="Arial"/>
          <w:sz w:val="24"/>
          <w:szCs w:val="24"/>
        </w:rPr>
        <w:t>first</w:t>
      </w:r>
      <w:r w:rsidR="005202AA" w:rsidRPr="002162FC">
        <w:rPr>
          <w:rFonts w:ascii="Arial" w:hAnsi="Arial" w:cs="Arial"/>
          <w:sz w:val="24"/>
          <w:szCs w:val="24"/>
        </w:rPr>
        <w:t xml:space="preserve"> Applicant is the genesis of </w:t>
      </w:r>
      <w:r w:rsidR="00F55B7C" w:rsidRPr="002162FC">
        <w:rPr>
          <w:rFonts w:ascii="Arial" w:hAnsi="Arial" w:cs="Arial"/>
          <w:sz w:val="24"/>
          <w:szCs w:val="24"/>
        </w:rPr>
        <w:t>m</w:t>
      </w:r>
      <w:r w:rsidR="005202AA" w:rsidRPr="002162FC">
        <w:rPr>
          <w:rFonts w:ascii="Arial" w:hAnsi="Arial" w:cs="Arial"/>
          <w:sz w:val="24"/>
          <w:szCs w:val="24"/>
        </w:rPr>
        <w:t xml:space="preserve">any primary juristic </w:t>
      </w:r>
      <w:r w:rsidR="00E66038" w:rsidRPr="002162FC">
        <w:rPr>
          <w:rFonts w:ascii="Arial" w:hAnsi="Arial" w:cs="Arial"/>
          <w:sz w:val="24"/>
          <w:szCs w:val="24"/>
        </w:rPr>
        <w:t>entities of</w:t>
      </w:r>
      <w:r w:rsidR="005202AA" w:rsidRPr="002162FC">
        <w:rPr>
          <w:rFonts w:ascii="Arial" w:hAnsi="Arial" w:cs="Arial"/>
          <w:sz w:val="24"/>
          <w:szCs w:val="24"/>
        </w:rPr>
        <w:t xml:space="preserve"> a larger international public benefit organisation</w:t>
      </w:r>
      <w:r w:rsidR="00F55B7C" w:rsidRPr="002162FC">
        <w:rPr>
          <w:rFonts w:ascii="Arial" w:hAnsi="Arial" w:cs="Arial"/>
          <w:sz w:val="24"/>
          <w:szCs w:val="24"/>
        </w:rPr>
        <w:t>s</w:t>
      </w:r>
      <w:r w:rsidR="005202AA" w:rsidRPr="002162FC">
        <w:rPr>
          <w:rFonts w:ascii="Arial" w:hAnsi="Arial" w:cs="Arial"/>
          <w:sz w:val="24"/>
          <w:szCs w:val="24"/>
        </w:rPr>
        <w:t xml:space="preserve"> called Breadlines Africa (BLA) and was established in 1993</w:t>
      </w:r>
      <w:r w:rsidR="00AE2D58" w:rsidRPr="002162FC">
        <w:rPr>
          <w:rFonts w:ascii="Arial" w:hAnsi="Arial" w:cs="Arial"/>
          <w:sz w:val="24"/>
          <w:szCs w:val="24"/>
        </w:rPr>
        <w:t>.</w:t>
      </w:r>
    </w:p>
    <w:p w:rsidR="00A70B1B" w:rsidRPr="002162FC" w:rsidRDefault="00413CC3" w:rsidP="000C2A63">
      <w:pPr>
        <w:spacing w:before="100" w:beforeAutospacing="1" w:after="360" w:line="480" w:lineRule="auto"/>
        <w:rPr>
          <w:rFonts w:ascii="Arial" w:hAnsi="Arial" w:cs="Arial"/>
          <w:sz w:val="24"/>
          <w:szCs w:val="24"/>
        </w:rPr>
      </w:pPr>
      <w:r w:rsidRPr="002162FC">
        <w:rPr>
          <w:rFonts w:ascii="Arial" w:hAnsi="Arial" w:cs="Arial"/>
          <w:sz w:val="24"/>
          <w:szCs w:val="24"/>
        </w:rPr>
        <w:t>[</w:t>
      </w:r>
      <w:r w:rsidR="00DC1258" w:rsidRPr="002162FC">
        <w:rPr>
          <w:rFonts w:ascii="Arial" w:hAnsi="Arial" w:cs="Arial"/>
          <w:sz w:val="24"/>
          <w:szCs w:val="24"/>
        </w:rPr>
        <w:t>3</w:t>
      </w:r>
      <w:r w:rsidRPr="002162FC">
        <w:rPr>
          <w:rFonts w:ascii="Arial" w:hAnsi="Arial" w:cs="Arial"/>
          <w:sz w:val="24"/>
          <w:szCs w:val="24"/>
        </w:rPr>
        <w:t xml:space="preserve">] The stated object of the first applicant </w:t>
      </w:r>
      <w:r w:rsidR="00AF748A" w:rsidRPr="002162FC">
        <w:rPr>
          <w:rFonts w:ascii="Arial" w:hAnsi="Arial" w:cs="Arial"/>
          <w:sz w:val="24"/>
          <w:szCs w:val="24"/>
        </w:rPr>
        <w:t xml:space="preserve">is to undertake a range of activities and projects including the provision of funding </w:t>
      </w:r>
      <w:r w:rsidR="00A448B8" w:rsidRPr="002162FC">
        <w:rPr>
          <w:rFonts w:ascii="Arial" w:hAnsi="Arial" w:cs="Arial"/>
          <w:sz w:val="24"/>
          <w:szCs w:val="24"/>
        </w:rPr>
        <w:t>and other practical assistance in order to address conditions of poverty</w:t>
      </w:r>
      <w:r w:rsidR="00530EE7" w:rsidRPr="002162FC">
        <w:rPr>
          <w:rFonts w:ascii="Arial" w:hAnsi="Arial" w:cs="Arial"/>
          <w:sz w:val="24"/>
          <w:szCs w:val="24"/>
        </w:rPr>
        <w:t>.</w:t>
      </w:r>
    </w:p>
    <w:p w:rsidR="00A70B1B" w:rsidRPr="002162FC" w:rsidRDefault="00A448B8" w:rsidP="000C2A63">
      <w:pPr>
        <w:spacing w:before="100" w:beforeAutospacing="1" w:after="360" w:line="480" w:lineRule="auto"/>
        <w:rPr>
          <w:rFonts w:ascii="Arial" w:hAnsi="Arial" w:cs="Arial"/>
          <w:sz w:val="24"/>
          <w:szCs w:val="24"/>
        </w:rPr>
      </w:pPr>
      <w:r w:rsidRPr="002162FC">
        <w:rPr>
          <w:rFonts w:ascii="Arial" w:hAnsi="Arial" w:cs="Arial"/>
          <w:sz w:val="24"/>
          <w:szCs w:val="24"/>
        </w:rPr>
        <w:t>[</w:t>
      </w:r>
      <w:r w:rsidR="00AE2D58" w:rsidRPr="002162FC">
        <w:rPr>
          <w:rFonts w:ascii="Arial" w:hAnsi="Arial" w:cs="Arial"/>
          <w:sz w:val="24"/>
          <w:szCs w:val="24"/>
        </w:rPr>
        <w:t>4</w:t>
      </w:r>
      <w:r w:rsidRPr="002162FC">
        <w:rPr>
          <w:rFonts w:ascii="Arial" w:hAnsi="Arial" w:cs="Arial"/>
          <w:sz w:val="24"/>
          <w:szCs w:val="24"/>
        </w:rPr>
        <w:t>] The second applicant is one of the directors of the first applicant. She deposed to a founding affidavit in support of this application</w:t>
      </w:r>
      <w:r w:rsidR="00A70B1B" w:rsidRPr="002162FC">
        <w:rPr>
          <w:rFonts w:ascii="Arial" w:hAnsi="Arial" w:cs="Arial"/>
          <w:sz w:val="24"/>
          <w:szCs w:val="24"/>
        </w:rPr>
        <w:t>.</w:t>
      </w:r>
      <w:r w:rsidR="00BC3932" w:rsidRPr="002162FC">
        <w:rPr>
          <w:rFonts w:ascii="Arial" w:hAnsi="Arial" w:cs="Arial"/>
          <w:sz w:val="24"/>
          <w:szCs w:val="24"/>
        </w:rPr>
        <w:t xml:space="preserve"> The</w:t>
      </w:r>
      <w:r w:rsidR="00BC3932">
        <w:rPr>
          <w:rFonts w:ascii="Arial" w:hAnsi="Arial" w:cs="Arial"/>
          <w:sz w:val="28"/>
          <w:szCs w:val="28"/>
        </w:rPr>
        <w:t xml:space="preserve"> </w:t>
      </w:r>
      <w:r w:rsidR="00BC3932" w:rsidRPr="002162FC">
        <w:rPr>
          <w:rFonts w:ascii="Arial" w:hAnsi="Arial" w:cs="Arial"/>
          <w:sz w:val="24"/>
          <w:szCs w:val="24"/>
        </w:rPr>
        <w:t>application is unopposed. The respondent was personally served with a notice of this application on 09</w:t>
      </w:r>
      <w:r w:rsidR="00BC3932" w:rsidRPr="002162FC">
        <w:rPr>
          <w:rFonts w:ascii="Arial" w:hAnsi="Arial" w:cs="Arial"/>
          <w:sz w:val="24"/>
          <w:szCs w:val="24"/>
          <w:vertAlign w:val="superscript"/>
        </w:rPr>
        <w:t>th</w:t>
      </w:r>
      <w:r w:rsidR="00BC3932" w:rsidRPr="002162FC">
        <w:rPr>
          <w:rFonts w:ascii="Arial" w:hAnsi="Arial" w:cs="Arial"/>
          <w:sz w:val="24"/>
          <w:szCs w:val="24"/>
        </w:rPr>
        <w:t xml:space="preserve"> February 2022.</w:t>
      </w:r>
    </w:p>
    <w:p w:rsidR="00D06561" w:rsidRDefault="00D06561" w:rsidP="000C2A63">
      <w:pPr>
        <w:spacing w:before="100" w:beforeAutospacing="1" w:after="360" w:line="480" w:lineRule="auto"/>
        <w:rPr>
          <w:rFonts w:ascii="Arial" w:hAnsi="Arial" w:cs="Arial"/>
          <w:b/>
          <w:bCs/>
          <w:sz w:val="24"/>
          <w:szCs w:val="24"/>
        </w:rPr>
      </w:pPr>
    </w:p>
    <w:p w:rsidR="00F22305" w:rsidRPr="002162FC" w:rsidRDefault="00F22305" w:rsidP="000C2A63">
      <w:pPr>
        <w:spacing w:before="100" w:beforeAutospacing="1" w:after="360" w:line="480" w:lineRule="auto"/>
        <w:rPr>
          <w:rFonts w:ascii="Arial" w:hAnsi="Arial" w:cs="Arial"/>
          <w:b/>
          <w:bCs/>
          <w:sz w:val="24"/>
          <w:szCs w:val="24"/>
        </w:rPr>
      </w:pPr>
      <w:r w:rsidRPr="002162FC">
        <w:rPr>
          <w:rFonts w:ascii="Arial" w:hAnsi="Arial" w:cs="Arial"/>
          <w:b/>
          <w:bCs/>
          <w:sz w:val="24"/>
          <w:szCs w:val="24"/>
        </w:rPr>
        <w:lastRenderedPageBreak/>
        <w:t xml:space="preserve">Evidence </w:t>
      </w:r>
    </w:p>
    <w:p w:rsidR="005E05D0" w:rsidRPr="002162FC" w:rsidRDefault="00A70B1B" w:rsidP="000C2A63">
      <w:pPr>
        <w:spacing w:before="100" w:beforeAutospacing="1" w:after="360" w:line="480" w:lineRule="auto"/>
        <w:rPr>
          <w:rFonts w:ascii="Arial" w:hAnsi="Arial" w:cs="Arial"/>
          <w:sz w:val="24"/>
          <w:szCs w:val="24"/>
        </w:rPr>
      </w:pPr>
      <w:r w:rsidRPr="002162FC">
        <w:rPr>
          <w:rFonts w:ascii="Arial" w:hAnsi="Arial" w:cs="Arial"/>
          <w:sz w:val="24"/>
          <w:szCs w:val="24"/>
        </w:rPr>
        <w:t>[</w:t>
      </w:r>
      <w:r w:rsidR="00AE2D58" w:rsidRPr="002162FC">
        <w:rPr>
          <w:rFonts w:ascii="Arial" w:hAnsi="Arial" w:cs="Arial"/>
          <w:sz w:val="24"/>
          <w:szCs w:val="24"/>
        </w:rPr>
        <w:t>5</w:t>
      </w:r>
      <w:r w:rsidRPr="002162FC">
        <w:rPr>
          <w:rFonts w:ascii="Arial" w:hAnsi="Arial" w:cs="Arial"/>
          <w:sz w:val="24"/>
          <w:szCs w:val="24"/>
        </w:rPr>
        <w:t>] T</w:t>
      </w:r>
      <w:r w:rsidR="005E05D0" w:rsidRPr="002162FC">
        <w:rPr>
          <w:rFonts w:ascii="Arial" w:hAnsi="Arial" w:cs="Arial"/>
          <w:sz w:val="24"/>
          <w:szCs w:val="24"/>
        </w:rPr>
        <w:t xml:space="preserve">he affidavit of the second </w:t>
      </w:r>
      <w:r w:rsidR="003635D9" w:rsidRPr="002162FC">
        <w:rPr>
          <w:rFonts w:ascii="Arial" w:hAnsi="Arial" w:cs="Arial"/>
          <w:sz w:val="24"/>
          <w:szCs w:val="24"/>
        </w:rPr>
        <w:t xml:space="preserve">applicant </w:t>
      </w:r>
      <w:r w:rsidR="005E05D0" w:rsidRPr="002162FC">
        <w:rPr>
          <w:rFonts w:ascii="Arial" w:hAnsi="Arial" w:cs="Arial"/>
          <w:sz w:val="24"/>
          <w:szCs w:val="24"/>
        </w:rPr>
        <w:t>provides in graphic details the conduct of the respondent which it is argued,</w:t>
      </w:r>
      <w:r w:rsidR="00E53C82" w:rsidRPr="002162FC">
        <w:rPr>
          <w:rFonts w:ascii="Arial" w:hAnsi="Arial" w:cs="Arial"/>
          <w:sz w:val="24"/>
          <w:szCs w:val="24"/>
        </w:rPr>
        <w:t xml:space="preserve"> warrants that she should</w:t>
      </w:r>
      <w:r w:rsidR="005E05D0" w:rsidRPr="002162FC">
        <w:rPr>
          <w:rFonts w:ascii="Arial" w:hAnsi="Arial" w:cs="Arial"/>
          <w:sz w:val="24"/>
          <w:szCs w:val="24"/>
        </w:rPr>
        <w:t xml:space="preserve"> be declared a delinquent director. The affidavit re</w:t>
      </w:r>
      <w:r w:rsidRPr="002162FC">
        <w:rPr>
          <w:rFonts w:ascii="Arial" w:hAnsi="Arial" w:cs="Arial"/>
          <w:sz w:val="24"/>
          <w:szCs w:val="24"/>
        </w:rPr>
        <w:t xml:space="preserve">veals that during her interview for a position to the board of BLA, she presented a falsified CV. The CV gave a list of University qualifications from Wits University and London School of Economics and other post graduate qualifications. Upon investigations it was established that she didn’t have any of those qualifications. </w:t>
      </w:r>
      <w:r w:rsidR="00D906C3" w:rsidRPr="002162FC">
        <w:rPr>
          <w:rFonts w:ascii="Arial" w:hAnsi="Arial" w:cs="Arial"/>
          <w:sz w:val="24"/>
          <w:szCs w:val="24"/>
        </w:rPr>
        <w:t xml:space="preserve">She also </w:t>
      </w:r>
      <w:r w:rsidR="00F9498C" w:rsidRPr="002162FC">
        <w:rPr>
          <w:rFonts w:ascii="Arial" w:hAnsi="Arial" w:cs="Arial"/>
          <w:sz w:val="24"/>
          <w:szCs w:val="24"/>
        </w:rPr>
        <w:t>presented a false reference.</w:t>
      </w:r>
    </w:p>
    <w:p w:rsidR="00F22305" w:rsidRPr="002162FC" w:rsidRDefault="00A70B1B" w:rsidP="000C2A63">
      <w:pPr>
        <w:spacing w:before="100" w:beforeAutospacing="1" w:after="360" w:line="360" w:lineRule="auto"/>
        <w:rPr>
          <w:rFonts w:ascii="Arial" w:hAnsi="Arial" w:cs="Arial"/>
          <w:sz w:val="24"/>
          <w:szCs w:val="24"/>
        </w:rPr>
      </w:pPr>
      <w:r w:rsidRPr="002162FC">
        <w:rPr>
          <w:rFonts w:ascii="Arial" w:hAnsi="Arial" w:cs="Arial"/>
          <w:sz w:val="24"/>
          <w:szCs w:val="24"/>
        </w:rPr>
        <w:t>[</w:t>
      </w:r>
      <w:r w:rsidR="00AE2D58" w:rsidRPr="002162FC">
        <w:rPr>
          <w:rFonts w:ascii="Arial" w:hAnsi="Arial" w:cs="Arial"/>
          <w:sz w:val="24"/>
          <w:szCs w:val="24"/>
        </w:rPr>
        <w:t>6</w:t>
      </w:r>
      <w:r w:rsidRPr="002162FC">
        <w:rPr>
          <w:rFonts w:ascii="Arial" w:hAnsi="Arial" w:cs="Arial"/>
          <w:sz w:val="24"/>
          <w:szCs w:val="24"/>
        </w:rPr>
        <w:t xml:space="preserve">] The respondent attended </w:t>
      </w:r>
      <w:r w:rsidR="005C4C25" w:rsidRPr="002162FC">
        <w:rPr>
          <w:rFonts w:ascii="Arial" w:hAnsi="Arial" w:cs="Arial"/>
          <w:sz w:val="24"/>
          <w:szCs w:val="24"/>
        </w:rPr>
        <w:t>international board meetings of BLA and made false presentations</w:t>
      </w:r>
      <w:r w:rsidR="00F9498C" w:rsidRPr="002162FC">
        <w:rPr>
          <w:rFonts w:ascii="Arial" w:hAnsi="Arial" w:cs="Arial"/>
          <w:sz w:val="24"/>
          <w:szCs w:val="24"/>
        </w:rPr>
        <w:t xml:space="preserve"> about the work she claimed to be doing in furtherance of the aims and objectives of the first respondent</w:t>
      </w:r>
      <w:r w:rsidR="005C4C25" w:rsidRPr="002162FC">
        <w:rPr>
          <w:rFonts w:ascii="Arial" w:hAnsi="Arial" w:cs="Arial"/>
          <w:sz w:val="24"/>
          <w:szCs w:val="24"/>
        </w:rPr>
        <w:t>.</w:t>
      </w:r>
      <w:r w:rsidR="00D906C3" w:rsidRPr="002162FC">
        <w:rPr>
          <w:rFonts w:ascii="Arial" w:hAnsi="Arial" w:cs="Arial"/>
          <w:sz w:val="24"/>
          <w:szCs w:val="24"/>
        </w:rPr>
        <w:t xml:space="preserve"> The respondent also presented a doctored invoice to try and defraud the first applicant.</w:t>
      </w:r>
      <w:r w:rsidR="00F22305" w:rsidRPr="002162FC">
        <w:rPr>
          <w:rFonts w:ascii="Arial" w:hAnsi="Arial" w:cs="Arial"/>
          <w:sz w:val="24"/>
          <w:szCs w:val="24"/>
        </w:rPr>
        <w:t xml:space="preserve"> The scheme of fraud perpetrated by the respondent also involved false emails.</w:t>
      </w:r>
    </w:p>
    <w:p w:rsidR="00F22305" w:rsidRPr="002162FC" w:rsidRDefault="00F22305" w:rsidP="000C2A63">
      <w:pPr>
        <w:spacing w:before="100" w:beforeAutospacing="1" w:after="360" w:line="480" w:lineRule="auto"/>
        <w:rPr>
          <w:rFonts w:ascii="Arial" w:hAnsi="Arial" w:cs="Arial"/>
          <w:b/>
          <w:bCs/>
          <w:sz w:val="24"/>
          <w:szCs w:val="24"/>
        </w:rPr>
      </w:pPr>
      <w:r w:rsidRPr="002162FC">
        <w:rPr>
          <w:rFonts w:ascii="Arial" w:hAnsi="Arial" w:cs="Arial"/>
          <w:b/>
          <w:bCs/>
          <w:sz w:val="24"/>
          <w:szCs w:val="24"/>
        </w:rPr>
        <w:t xml:space="preserve">Legal </w:t>
      </w:r>
      <w:r w:rsidR="00506B06" w:rsidRPr="002162FC">
        <w:rPr>
          <w:rFonts w:ascii="Arial" w:hAnsi="Arial" w:cs="Arial"/>
          <w:b/>
          <w:bCs/>
          <w:sz w:val="24"/>
          <w:szCs w:val="24"/>
        </w:rPr>
        <w:t>Framework</w:t>
      </w:r>
      <w:r w:rsidRPr="002162FC">
        <w:rPr>
          <w:rFonts w:ascii="Arial" w:hAnsi="Arial" w:cs="Arial"/>
          <w:b/>
          <w:bCs/>
          <w:sz w:val="24"/>
          <w:szCs w:val="24"/>
        </w:rPr>
        <w:t xml:space="preserve"> </w:t>
      </w:r>
    </w:p>
    <w:p w:rsidR="00506B06" w:rsidRPr="002162FC" w:rsidRDefault="00506B06" w:rsidP="000C2A63">
      <w:pPr>
        <w:spacing w:before="100" w:beforeAutospacing="1" w:after="360" w:line="480" w:lineRule="auto"/>
        <w:rPr>
          <w:rFonts w:ascii="Arial" w:hAnsi="Arial" w:cs="Arial"/>
          <w:sz w:val="24"/>
          <w:szCs w:val="24"/>
        </w:rPr>
      </w:pPr>
      <w:r w:rsidRPr="002162FC">
        <w:rPr>
          <w:rFonts w:ascii="Arial" w:hAnsi="Arial" w:cs="Arial"/>
          <w:sz w:val="24"/>
          <w:szCs w:val="24"/>
        </w:rPr>
        <w:t>[</w:t>
      </w:r>
      <w:r w:rsidR="00AE2D58" w:rsidRPr="002162FC">
        <w:rPr>
          <w:rFonts w:ascii="Arial" w:hAnsi="Arial" w:cs="Arial"/>
          <w:sz w:val="24"/>
          <w:szCs w:val="24"/>
        </w:rPr>
        <w:t>7</w:t>
      </w:r>
      <w:r w:rsidRPr="002162FC">
        <w:rPr>
          <w:rFonts w:ascii="Arial" w:hAnsi="Arial" w:cs="Arial"/>
          <w:sz w:val="24"/>
          <w:szCs w:val="24"/>
        </w:rPr>
        <w:t>] Section 162 (5) (</w:t>
      </w:r>
      <w:r w:rsidR="00704A67" w:rsidRPr="002162FC">
        <w:rPr>
          <w:rFonts w:ascii="Arial" w:hAnsi="Arial" w:cs="Arial"/>
          <w:sz w:val="24"/>
          <w:szCs w:val="24"/>
        </w:rPr>
        <w:t>c)</w:t>
      </w:r>
      <w:r w:rsidRPr="002162FC">
        <w:rPr>
          <w:rFonts w:ascii="Arial" w:hAnsi="Arial" w:cs="Arial"/>
          <w:sz w:val="24"/>
          <w:szCs w:val="24"/>
        </w:rPr>
        <w:t xml:space="preserve"> of the Companies Act, 71 of 2008 (the Act) read with sections 76 (2)</w:t>
      </w:r>
      <w:r w:rsidR="00F36E90" w:rsidRPr="002162FC">
        <w:rPr>
          <w:rStyle w:val="FootnoteReference"/>
          <w:rFonts w:ascii="Arial" w:hAnsi="Arial"/>
          <w:sz w:val="24"/>
          <w:szCs w:val="24"/>
        </w:rPr>
        <w:footnoteReference w:id="2"/>
      </w:r>
      <w:r w:rsidRPr="002162FC">
        <w:rPr>
          <w:rFonts w:ascii="Arial" w:hAnsi="Arial" w:cs="Arial"/>
          <w:sz w:val="24"/>
          <w:szCs w:val="24"/>
        </w:rPr>
        <w:t>, 76(3)</w:t>
      </w:r>
      <w:r w:rsidR="00534F64" w:rsidRPr="002162FC">
        <w:rPr>
          <w:rStyle w:val="FootnoteReference"/>
          <w:rFonts w:ascii="Arial" w:hAnsi="Arial"/>
          <w:sz w:val="24"/>
          <w:szCs w:val="24"/>
        </w:rPr>
        <w:footnoteReference w:id="3"/>
      </w:r>
      <w:r w:rsidRPr="002162FC">
        <w:rPr>
          <w:rFonts w:ascii="Arial" w:hAnsi="Arial" w:cs="Arial"/>
          <w:sz w:val="24"/>
          <w:szCs w:val="24"/>
        </w:rPr>
        <w:t xml:space="preserve"> and 77(3)</w:t>
      </w:r>
      <w:r w:rsidR="00DC6F6A" w:rsidRPr="002162FC">
        <w:rPr>
          <w:rStyle w:val="FootnoteReference"/>
          <w:rFonts w:ascii="Arial" w:hAnsi="Arial"/>
          <w:sz w:val="24"/>
          <w:szCs w:val="24"/>
        </w:rPr>
        <w:footnoteReference w:id="4"/>
      </w:r>
      <w:r w:rsidRPr="002162FC">
        <w:rPr>
          <w:rFonts w:ascii="Arial" w:hAnsi="Arial" w:cs="Arial"/>
          <w:sz w:val="24"/>
          <w:szCs w:val="24"/>
        </w:rPr>
        <w:t xml:space="preserve"> of the Act provides the requirements to be satisfied in order to succeed </w:t>
      </w:r>
      <w:r w:rsidR="00704606" w:rsidRPr="002162FC">
        <w:rPr>
          <w:rFonts w:ascii="Arial" w:hAnsi="Arial" w:cs="Arial"/>
          <w:sz w:val="24"/>
          <w:szCs w:val="24"/>
        </w:rPr>
        <w:t xml:space="preserve">in </w:t>
      </w:r>
      <w:r w:rsidRPr="002162FC">
        <w:rPr>
          <w:rFonts w:ascii="Arial" w:hAnsi="Arial" w:cs="Arial"/>
          <w:sz w:val="24"/>
          <w:szCs w:val="24"/>
        </w:rPr>
        <w:t xml:space="preserve">an application to declare a director a delinquent director. </w:t>
      </w:r>
    </w:p>
    <w:p w:rsidR="00B55D5C" w:rsidRPr="002162FC" w:rsidRDefault="00B55D5C" w:rsidP="00AE2D58">
      <w:pPr>
        <w:spacing w:before="100" w:beforeAutospacing="1" w:after="360" w:line="480" w:lineRule="auto"/>
        <w:rPr>
          <w:rFonts w:ascii="Arial" w:hAnsi="Arial" w:cs="Arial"/>
          <w:sz w:val="24"/>
          <w:szCs w:val="24"/>
        </w:rPr>
      </w:pPr>
      <w:r w:rsidRPr="002162FC">
        <w:rPr>
          <w:rFonts w:ascii="Arial" w:hAnsi="Arial" w:cs="Arial"/>
          <w:sz w:val="24"/>
          <w:szCs w:val="24"/>
        </w:rPr>
        <w:lastRenderedPageBreak/>
        <w:t>[</w:t>
      </w:r>
      <w:r w:rsidR="00AE2D58" w:rsidRPr="002162FC">
        <w:rPr>
          <w:rFonts w:ascii="Arial" w:hAnsi="Arial" w:cs="Arial"/>
          <w:sz w:val="24"/>
          <w:szCs w:val="24"/>
        </w:rPr>
        <w:t>8</w:t>
      </w:r>
      <w:r w:rsidRPr="002162FC">
        <w:rPr>
          <w:rFonts w:ascii="Arial" w:hAnsi="Arial" w:cs="Arial"/>
          <w:sz w:val="24"/>
          <w:szCs w:val="24"/>
        </w:rPr>
        <w:t>]</w:t>
      </w:r>
      <w:r w:rsidR="00704A67" w:rsidRPr="002162FC">
        <w:rPr>
          <w:rFonts w:ascii="Arial" w:hAnsi="Arial" w:cs="Arial"/>
          <w:sz w:val="24"/>
          <w:szCs w:val="24"/>
        </w:rPr>
        <w:t xml:space="preserve"> As already indicated the affidavit in support of the application wa</w:t>
      </w:r>
      <w:r w:rsidR="00AE2D58" w:rsidRPr="002162FC">
        <w:rPr>
          <w:rFonts w:ascii="Arial" w:hAnsi="Arial" w:cs="Arial"/>
          <w:sz w:val="24"/>
          <w:szCs w:val="24"/>
        </w:rPr>
        <w:t xml:space="preserve">s </w:t>
      </w:r>
      <w:r w:rsidR="00704A67" w:rsidRPr="002162FC">
        <w:rPr>
          <w:rFonts w:ascii="Arial" w:hAnsi="Arial" w:cs="Arial"/>
          <w:sz w:val="24"/>
          <w:szCs w:val="24"/>
        </w:rPr>
        <w:t xml:space="preserve">deposed to by the second applicant who is a director of the first applicant. Section 162 of the Act gives a very wide range of </w:t>
      </w:r>
      <w:r w:rsidR="002836B8" w:rsidRPr="002162FC">
        <w:rPr>
          <w:rFonts w:ascii="Arial" w:hAnsi="Arial" w:cs="Arial"/>
          <w:sz w:val="24"/>
          <w:szCs w:val="24"/>
        </w:rPr>
        <w:t>persons’</w:t>
      </w:r>
      <w:r w:rsidR="00704A67" w:rsidRPr="002162FC">
        <w:rPr>
          <w:rFonts w:ascii="Arial" w:hAnsi="Arial" w:cs="Arial"/>
          <w:sz w:val="24"/>
          <w:szCs w:val="24"/>
        </w:rPr>
        <w:t xml:space="preserve"> </w:t>
      </w:r>
      <w:r w:rsidR="00704A67" w:rsidRPr="002162FC">
        <w:rPr>
          <w:rFonts w:ascii="Arial" w:hAnsi="Arial" w:cs="Arial"/>
          <w:i/>
          <w:iCs/>
          <w:sz w:val="24"/>
          <w:szCs w:val="24"/>
        </w:rPr>
        <w:t>locus standi</w:t>
      </w:r>
      <w:r w:rsidR="00704A67" w:rsidRPr="002162FC">
        <w:rPr>
          <w:rFonts w:ascii="Arial" w:hAnsi="Arial" w:cs="Arial"/>
          <w:sz w:val="24"/>
          <w:szCs w:val="24"/>
        </w:rPr>
        <w:t xml:space="preserve"> to </w:t>
      </w:r>
      <w:r w:rsidR="00BC3932" w:rsidRPr="002162FC">
        <w:rPr>
          <w:rFonts w:ascii="Arial" w:hAnsi="Arial" w:cs="Arial"/>
          <w:sz w:val="24"/>
          <w:szCs w:val="24"/>
        </w:rPr>
        <w:t xml:space="preserve">can </w:t>
      </w:r>
      <w:r w:rsidR="00704A67" w:rsidRPr="002162FC">
        <w:rPr>
          <w:rFonts w:ascii="Arial" w:hAnsi="Arial" w:cs="Arial"/>
          <w:sz w:val="24"/>
          <w:szCs w:val="24"/>
        </w:rPr>
        <w:t>apply to court to declare a director delinquent</w:t>
      </w:r>
      <w:r w:rsidR="00970DAE" w:rsidRPr="002162FC">
        <w:rPr>
          <w:rFonts w:ascii="Arial" w:hAnsi="Arial" w:cs="Arial"/>
          <w:sz w:val="24"/>
          <w:szCs w:val="24"/>
        </w:rPr>
        <w:t xml:space="preserve">, this </w:t>
      </w:r>
      <w:r w:rsidR="00704A67" w:rsidRPr="002162FC">
        <w:rPr>
          <w:rFonts w:ascii="Arial" w:hAnsi="Arial" w:cs="Arial"/>
          <w:sz w:val="24"/>
          <w:szCs w:val="24"/>
        </w:rPr>
        <w:t>include a director</w:t>
      </w:r>
      <w:r w:rsidR="00970DAE" w:rsidRPr="002162FC">
        <w:rPr>
          <w:rFonts w:ascii="Arial" w:hAnsi="Arial" w:cs="Arial"/>
          <w:sz w:val="24"/>
          <w:szCs w:val="24"/>
        </w:rPr>
        <w:t xml:space="preserve"> of </w:t>
      </w:r>
      <w:r w:rsidR="0038041F" w:rsidRPr="002162FC">
        <w:rPr>
          <w:rFonts w:ascii="Arial" w:hAnsi="Arial" w:cs="Arial"/>
          <w:sz w:val="24"/>
          <w:szCs w:val="24"/>
        </w:rPr>
        <w:t>the company</w:t>
      </w:r>
      <w:r w:rsidR="00704A67" w:rsidRPr="002162FC">
        <w:rPr>
          <w:rFonts w:ascii="Arial" w:hAnsi="Arial" w:cs="Arial"/>
          <w:sz w:val="24"/>
          <w:szCs w:val="24"/>
        </w:rPr>
        <w:t xml:space="preserve">. The second applicant therefore has the requisite </w:t>
      </w:r>
      <w:r w:rsidR="00704A67" w:rsidRPr="002162FC">
        <w:rPr>
          <w:rFonts w:ascii="Arial" w:hAnsi="Arial" w:cs="Arial"/>
          <w:i/>
          <w:iCs/>
          <w:sz w:val="24"/>
          <w:szCs w:val="24"/>
        </w:rPr>
        <w:t>locus standi</w:t>
      </w:r>
      <w:r w:rsidR="00704A67" w:rsidRPr="002162FC">
        <w:rPr>
          <w:rFonts w:ascii="Arial" w:hAnsi="Arial" w:cs="Arial"/>
          <w:sz w:val="24"/>
          <w:szCs w:val="24"/>
        </w:rPr>
        <w:t xml:space="preserve"> to bring the present application.</w:t>
      </w:r>
    </w:p>
    <w:p w:rsidR="008311B1" w:rsidRPr="002162FC" w:rsidRDefault="008311B1" w:rsidP="000C2A63">
      <w:pPr>
        <w:spacing w:before="100" w:beforeAutospacing="1" w:after="360" w:line="480" w:lineRule="auto"/>
        <w:rPr>
          <w:rFonts w:ascii="Arial" w:hAnsi="Arial" w:cs="Arial"/>
          <w:sz w:val="24"/>
          <w:szCs w:val="24"/>
        </w:rPr>
      </w:pPr>
      <w:r w:rsidRPr="002162FC">
        <w:rPr>
          <w:rFonts w:ascii="Arial" w:hAnsi="Arial" w:cs="Arial"/>
          <w:sz w:val="24"/>
          <w:szCs w:val="24"/>
        </w:rPr>
        <w:t>[</w:t>
      </w:r>
      <w:r w:rsidR="004B285C" w:rsidRPr="002162FC">
        <w:rPr>
          <w:rFonts w:ascii="Arial" w:hAnsi="Arial" w:cs="Arial"/>
          <w:sz w:val="24"/>
          <w:szCs w:val="24"/>
        </w:rPr>
        <w:t>9</w:t>
      </w:r>
      <w:r w:rsidRPr="002162FC">
        <w:rPr>
          <w:rFonts w:ascii="Arial" w:hAnsi="Arial" w:cs="Arial"/>
          <w:sz w:val="24"/>
          <w:szCs w:val="24"/>
        </w:rPr>
        <w:t xml:space="preserve">] The question of legal standing is critical to be determined. It </w:t>
      </w:r>
      <w:r w:rsidR="00970DAE" w:rsidRPr="002162FC">
        <w:rPr>
          <w:rFonts w:ascii="Arial" w:hAnsi="Arial" w:cs="Arial"/>
          <w:sz w:val="24"/>
          <w:szCs w:val="24"/>
        </w:rPr>
        <w:t xml:space="preserve">is </w:t>
      </w:r>
      <w:r w:rsidRPr="002162FC">
        <w:rPr>
          <w:rFonts w:ascii="Arial" w:hAnsi="Arial" w:cs="Arial"/>
          <w:sz w:val="24"/>
          <w:szCs w:val="24"/>
        </w:rPr>
        <w:t xml:space="preserve">because </w:t>
      </w:r>
      <w:r w:rsidR="00783BD1" w:rsidRPr="002162FC">
        <w:rPr>
          <w:rFonts w:ascii="Arial" w:hAnsi="Arial" w:cs="Arial"/>
          <w:sz w:val="24"/>
          <w:szCs w:val="24"/>
        </w:rPr>
        <w:t>‘</w:t>
      </w:r>
      <w:r w:rsidR="00783BD1" w:rsidRPr="002162FC">
        <w:rPr>
          <w:rFonts w:ascii="Arial" w:hAnsi="Arial" w:cs="Arial"/>
          <w:i/>
          <w:iCs/>
          <w:sz w:val="24"/>
          <w:szCs w:val="24"/>
        </w:rPr>
        <w:t>in</w:t>
      </w:r>
      <w:r w:rsidRPr="002162FC">
        <w:rPr>
          <w:rFonts w:ascii="Arial" w:hAnsi="Arial" w:cs="Arial"/>
          <w:i/>
          <w:iCs/>
          <w:sz w:val="24"/>
          <w:szCs w:val="24"/>
        </w:rPr>
        <w:t xml:space="preserve"> the light of the extensive range of persons who are empowered to apply to court to disqualify a director from holding office under section 162 (2) of the Act, it becomes important to guard against abuse of the section. This because </w:t>
      </w:r>
      <w:r w:rsidR="00783BD1" w:rsidRPr="002162FC">
        <w:rPr>
          <w:rFonts w:ascii="Arial" w:hAnsi="Arial" w:cs="Arial"/>
          <w:i/>
          <w:iCs/>
          <w:sz w:val="24"/>
          <w:szCs w:val="24"/>
        </w:rPr>
        <w:t xml:space="preserve">frivolous and vexatious applications may be lodged </w:t>
      </w:r>
      <w:r w:rsidR="00970DAE" w:rsidRPr="002162FC">
        <w:rPr>
          <w:rFonts w:ascii="Arial" w:hAnsi="Arial" w:cs="Arial"/>
          <w:i/>
          <w:iCs/>
          <w:sz w:val="24"/>
          <w:szCs w:val="24"/>
        </w:rPr>
        <w:t xml:space="preserve">by </w:t>
      </w:r>
      <w:r w:rsidR="00783BD1" w:rsidRPr="002162FC">
        <w:rPr>
          <w:rFonts w:ascii="Arial" w:hAnsi="Arial" w:cs="Arial"/>
          <w:i/>
          <w:iCs/>
          <w:sz w:val="24"/>
          <w:szCs w:val="24"/>
        </w:rPr>
        <w:t>persons with locus standi</w:t>
      </w:r>
      <w:r w:rsidR="00AB6798" w:rsidRPr="002162FC">
        <w:rPr>
          <w:rStyle w:val="FootnoteReference"/>
          <w:rFonts w:ascii="Arial" w:hAnsi="Arial"/>
          <w:i/>
          <w:iCs/>
          <w:sz w:val="24"/>
          <w:szCs w:val="24"/>
        </w:rPr>
        <w:footnoteReference w:id="5"/>
      </w:r>
      <w:r w:rsidR="00783BD1" w:rsidRPr="002162FC">
        <w:rPr>
          <w:rFonts w:ascii="Arial" w:hAnsi="Arial" w:cs="Arial"/>
          <w:i/>
          <w:iCs/>
          <w:sz w:val="24"/>
          <w:szCs w:val="24"/>
        </w:rPr>
        <w:t>’</w:t>
      </w:r>
      <w:r w:rsidR="00783BD1" w:rsidRPr="002162FC">
        <w:rPr>
          <w:rFonts w:ascii="Arial" w:hAnsi="Arial" w:cs="Arial"/>
          <w:sz w:val="24"/>
          <w:szCs w:val="24"/>
        </w:rPr>
        <w:t xml:space="preserve">. Upon reading of the founding </w:t>
      </w:r>
      <w:r w:rsidR="004B285C" w:rsidRPr="002162FC">
        <w:rPr>
          <w:rFonts w:ascii="Arial" w:hAnsi="Arial" w:cs="Arial"/>
          <w:sz w:val="24"/>
          <w:szCs w:val="24"/>
        </w:rPr>
        <w:t>affidavit,</w:t>
      </w:r>
      <w:r w:rsidR="00970DAE" w:rsidRPr="002162FC">
        <w:rPr>
          <w:rFonts w:ascii="Arial" w:hAnsi="Arial" w:cs="Arial"/>
          <w:sz w:val="24"/>
          <w:szCs w:val="24"/>
        </w:rPr>
        <w:t xml:space="preserve"> </w:t>
      </w:r>
      <w:r w:rsidR="00783BD1" w:rsidRPr="002162FC">
        <w:rPr>
          <w:rFonts w:ascii="Arial" w:hAnsi="Arial" w:cs="Arial"/>
          <w:sz w:val="24"/>
          <w:szCs w:val="24"/>
        </w:rPr>
        <w:t>I am satisfied that legal standing has been established and that the applicant</w:t>
      </w:r>
      <w:r w:rsidR="00970DAE" w:rsidRPr="002162FC">
        <w:rPr>
          <w:rFonts w:ascii="Arial" w:hAnsi="Arial" w:cs="Arial"/>
          <w:sz w:val="24"/>
          <w:szCs w:val="24"/>
        </w:rPr>
        <w:t xml:space="preserve"> is</w:t>
      </w:r>
      <w:r w:rsidR="00783BD1" w:rsidRPr="002162FC">
        <w:rPr>
          <w:rFonts w:ascii="Arial" w:hAnsi="Arial" w:cs="Arial"/>
          <w:sz w:val="24"/>
          <w:szCs w:val="24"/>
        </w:rPr>
        <w:t xml:space="preserve"> not motivated by malice</w:t>
      </w:r>
      <w:r w:rsidR="00BC3932" w:rsidRPr="002162FC">
        <w:rPr>
          <w:rFonts w:ascii="Arial" w:hAnsi="Arial" w:cs="Arial"/>
          <w:sz w:val="24"/>
          <w:szCs w:val="24"/>
        </w:rPr>
        <w:t xml:space="preserve"> and further she is not frivolous or vexatious.</w:t>
      </w:r>
    </w:p>
    <w:p w:rsidR="001703C8" w:rsidRPr="002162FC" w:rsidRDefault="006E2A58" w:rsidP="000C2A63">
      <w:pPr>
        <w:spacing w:before="100" w:beforeAutospacing="1" w:after="360" w:line="480" w:lineRule="auto"/>
        <w:rPr>
          <w:rFonts w:ascii="Arial" w:hAnsi="Arial" w:cs="Arial"/>
          <w:i/>
          <w:iCs/>
          <w:sz w:val="24"/>
          <w:szCs w:val="24"/>
        </w:rPr>
      </w:pPr>
      <w:r w:rsidRPr="002162FC">
        <w:rPr>
          <w:rFonts w:ascii="Arial" w:hAnsi="Arial" w:cs="Arial"/>
          <w:sz w:val="24"/>
          <w:szCs w:val="24"/>
        </w:rPr>
        <w:t>[1</w:t>
      </w:r>
      <w:r w:rsidR="004B285C" w:rsidRPr="002162FC">
        <w:rPr>
          <w:rFonts w:ascii="Arial" w:hAnsi="Arial" w:cs="Arial"/>
          <w:sz w:val="24"/>
          <w:szCs w:val="24"/>
        </w:rPr>
        <w:t>0</w:t>
      </w:r>
      <w:r w:rsidRPr="002162FC">
        <w:rPr>
          <w:rFonts w:ascii="Arial" w:hAnsi="Arial" w:cs="Arial"/>
          <w:sz w:val="24"/>
          <w:szCs w:val="24"/>
        </w:rPr>
        <w:t xml:space="preserve">] </w:t>
      </w:r>
      <w:r w:rsidR="001E55EC" w:rsidRPr="002162FC">
        <w:rPr>
          <w:rFonts w:ascii="Arial" w:hAnsi="Arial" w:cs="Arial"/>
          <w:sz w:val="24"/>
          <w:szCs w:val="24"/>
        </w:rPr>
        <w:t>I</w:t>
      </w:r>
      <w:r w:rsidRPr="002162FC">
        <w:rPr>
          <w:rFonts w:ascii="Arial" w:hAnsi="Arial" w:cs="Arial"/>
          <w:sz w:val="24"/>
          <w:szCs w:val="24"/>
        </w:rPr>
        <w:t xml:space="preserve">n order for an applicant to succeed in obtaining a declaration of delinquency, very serious misconduct must be demonstrated.  In the judgment of </w:t>
      </w:r>
      <w:r w:rsidRPr="002162FC">
        <w:rPr>
          <w:rFonts w:ascii="Arial" w:hAnsi="Arial" w:cs="Arial"/>
          <w:b/>
          <w:bCs/>
          <w:i/>
          <w:iCs/>
          <w:sz w:val="24"/>
          <w:szCs w:val="24"/>
        </w:rPr>
        <w:t xml:space="preserve">Lewis Group Ltd v </w:t>
      </w:r>
      <w:r w:rsidR="001E55EC" w:rsidRPr="002162FC">
        <w:rPr>
          <w:rFonts w:ascii="Arial" w:hAnsi="Arial" w:cs="Arial"/>
          <w:b/>
          <w:bCs/>
          <w:i/>
          <w:iCs/>
          <w:sz w:val="24"/>
          <w:szCs w:val="24"/>
        </w:rPr>
        <w:t>Woolman and Others</w:t>
      </w:r>
      <w:r w:rsidR="001E55EC" w:rsidRPr="002162FC">
        <w:rPr>
          <w:rFonts w:ascii="Arial" w:hAnsi="Arial" w:cs="Arial"/>
          <w:sz w:val="24"/>
          <w:szCs w:val="24"/>
        </w:rPr>
        <w:t xml:space="preserve"> 2017 (2) SA 547 (WCC) at para [18] the following is stated in this regard</w:t>
      </w:r>
      <w:r w:rsidR="001E55EC" w:rsidRPr="002162FC">
        <w:rPr>
          <w:rFonts w:ascii="Arial" w:hAnsi="Arial" w:cs="Arial"/>
          <w:i/>
          <w:iCs/>
          <w:sz w:val="24"/>
          <w:szCs w:val="24"/>
        </w:rPr>
        <w:t xml:space="preserve">: ‘It follows that for a company or any of its shareholders to succeed in obtaining a declaration of delinquency in respect of any of the company’s directors or former directors, they must demonstrate very serious misconduct by the person concerned. The relevant </w:t>
      </w:r>
      <w:r w:rsidR="009705B3" w:rsidRPr="002162FC">
        <w:rPr>
          <w:rFonts w:ascii="Arial" w:hAnsi="Arial" w:cs="Arial"/>
          <w:i/>
          <w:iCs/>
          <w:sz w:val="24"/>
          <w:szCs w:val="24"/>
        </w:rPr>
        <w:t>causes of delinquency entail either dishonesty, wilful misconduct, or gross negligence. Establishing so-called ‘ordinary’ negligence, poor business decision making or misguided reliance by a director on incorrect professional advice will not be enough.’</w:t>
      </w:r>
    </w:p>
    <w:p w:rsidR="00F22305" w:rsidRPr="002162FC" w:rsidRDefault="009705B3" w:rsidP="000C2A63">
      <w:pPr>
        <w:spacing w:before="100" w:beforeAutospacing="1" w:after="360" w:line="480" w:lineRule="auto"/>
        <w:rPr>
          <w:rFonts w:ascii="Arial" w:hAnsi="Arial" w:cs="Arial"/>
          <w:sz w:val="24"/>
          <w:szCs w:val="24"/>
        </w:rPr>
      </w:pPr>
      <w:r w:rsidRPr="002162FC">
        <w:rPr>
          <w:rFonts w:ascii="Arial" w:hAnsi="Arial" w:cs="Arial"/>
          <w:sz w:val="24"/>
          <w:szCs w:val="24"/>
        </w:rPr>
        <w:t>[1</w:t>
      </w:r>
      <w:r w:rsidR="004B285C" w:rsidRPr="002162FC">
        <w:rPr>
          <w:rFonts w:ascii="Arial" w:hAnsi="Arial" w:cs="Arial"/>
          <w:sz w:val="24"/>
          <w:szCs w:val="24"/>
        </w:rPr>
        <w:t>1</w:t>
      </w:r>
      <w:r w:rsidRPr="002162FC">
        <w:rPr>
          <w:rFonts w:ascii="Arial" w:hAnsi="Arial" w:cs="Arial"/>
          <w:sz w:val="24"/>
          <w:szCs w:val="24"/>
        </w:rPr>
        <w:t xml:space="preserve">] </w:t>
      </w:r>
      <w:r w:rsidR="004770A0" w:rsidRPr="002162FC">
        <w:rPr>
          <w:rFonts w:ascii="Arial" w:hAnsi="Arial" w:cs="Arial"/>
          <w:sz w:val="24"/>
          <w:szCs w:val="24"/>
        </w:rPr>
        <w:t>It is also important to understand the rationale for the enactment of this provision. In the case of</w:t>
      </w:r>
      <w:r w:rsidR="004770A0" w:rsidRPr="002162FC">
        <w:rPr>
          <w:rFonts w:ascii="Arial" w:hAnsi="Arial" w:cs="Arial"/>
          <w:b/>
          <w:bCs/>
          <w:i/>
          <w:iCs/>
          <w:sz w:val="24"/>
          <w:szCs w:val="24"/>
        </w:rPr>
        <w:t xml:space="preserve"> Gihwala and Others v Grancy Property Ltd and Others</w:t>
      </w:r>
      <w:r w:rsidR="004770A0" w:rsidRPr="002162FC">
        <w:rPr>
          <w:rFonts w:ascii="Arial" w:hAnsi="Arial" w:cs="Arial"/>
          <w:sz w:val="24"/>
          <w:szCs w:val="24"/>
        </w:rPr>
        <w:t xml:space="preserve"> 2017 (2) SA </w:t>
      </w:r>
      <w:r w:rsidR="00354E7F" w:rsidRPr="002162FC">
        <w:rPr>
          <w:rFonts w:ascii="Arial" w:hAnsi="Arial" w:cs="Arial"/>
          <w:sz w:val="24"/>
          <w:szCs w:val="24"/>
        </w:rPr>
        <w:t>SSA 337 (SCA) at para [142] the court held that ‘</w:t>
      </w:r>
      <w:r w:rsidR="00354E7F" w:rsidRPr="002162FC">
        <w:rPr>
          <w:rFonts w:ascii="Arial" w:hAnsi="Arial" w:cs="Arial"/>
          <w:i/>
          <w:iCs/>
          <w:sz w:val="24"/>
          <w:szCs w:val="24"/>
        </w:rPr>
        <w:t>In order to assess these arguments, it is appropriate first to examine the purpose of section 162 (5). Contrary to the submissions on behalf of Mr Gihwala and Mr Manala, it is not a penal provision.</w:t>
      </w:r>
      <w:r w:rsidR="00145A30" w:rsidRPr="002162FC">
        <w:rPr>
          <w:rFonts w:ascii="Arial" w:hAnsi="Arial" w:cs="Arial"/>
          <w:i/>
          <w:iCs/>
          <w:sz w:val="24"/>
          <w:szCs w:val="24"/>
        </w:rPr>
        <w:t xml:space="preserve"> Its purpose is to protect the investing public, whether sophisticated or unsophisticated, against the type of conduct that leads to an order of delinquency, and to protect those who deal with companies against misconduct of delinquent directors.’</w:t>
      </w:r>
      <w:r w:rsidR="00582DFE" w:rsidRPr="002162FC">
        <w:rPr>
          <w:rFonts w:ascii="Arial" w:hAnsi="Arial" w:cs="Arial"/>
          <w:i/>
          <w:iCs/>
          <w:sz w:val="24"/>
          <w:szCs w:val="24"/>
        </w:rPr>
        <w:t xml:space="preserve"> See also</w:t>
      </w:r>
      <w:r w:rsidR="00582DFE" w:rsidRPr="002162FC">
        <w:rPr>
          <w:rFonts w:ascii="Arial" w:hAnsi="Arial" w:cs="Arial"/>
          <w:b/>
          <w:bCs/>
          <w:i/>
          <w:iCs/>
          <w:sz w:val="24"/>
          <w:szCs w:val="24"/>
        </w:rPr>
        <w:t xml:space="preserve"> Msimang NO and Another Katuliiba and Others</w:t>
      </w:r>
      <w:r w:rsidR="00582DFE" w:rsidRPr="002162FC">
        <w:rPr>
          <w:rFonts w:ascii="Arial" w:hAnsi="Arial" w:cs="Arial"/>
          <w:i/>
          <w:iCs/>
          <w:sz w:val="24"/>
          <w:szCs w:val="24"/>
        </w:rPr>
        <w:t xml:space="preserve"> [2013] 1 SA 580 (GSJ) </w:t>
      </w:r>
      <w:r w:rsidR="00582DFE" w:rsidRPr="002162FC">
        <w:rPr>
          <w:rFonts w:ascii="Arial" w:hAnsi="Arial" w:cs="Arial"/>
          <w:sz w:val="24"/>
          <w:szCs w:val="24"/>
        </w:rPr>
        <w:t xml:space="preserve">where the judge </w:t>
      </w:r>
      <w:r w:rsidR="00E34296" w:rsidRPr="002162FC">
        <w:rPr>
          <w:rFonts w:ascii="Arial" w:hAnsi="Arial" w:cs="Arial"/>
          <w:sz w:val="24"/>
          <w:szCs w:val="24"/>
        </w:rPr>
        <w:t>of</w:t>
      </w:r>
      <w:r w:rsidR="00582DFE" w:rsidRPr="002162FC">
        <w:rPr>
          <w:rFonts w:ascii="Arial" w:hAnsi="Arial" w:cs="Arial"/>
          <w:sz w:val="24"/>
          <w:szCs w:val="24"/>
        </w:rPr>
        <w:t xml:space="preserve"> this division expressed the same viewpoint.</w:t>
      </w:r>
    </w:p>
    <w:p w:rsidR="00F22305" w:rsidRPr="002162FC" w:rsidRDefault="00663E63" w:rsidP="000C2A63">
      <w:pPr>
        <w:spacing w:before="100" w:beforeAutospacing="1" w:after="360" w:line="480" w:lineRule="auto"/>
        <w:rPr>
          <w:rFonts w:ascii="Arial" w:hAnsi="Arial" w:cs="Arial"/>
          <w:sz w:val="24"/>
          <w:szCs w:val="24"/>
        </w:rPr>
      </w:pPr>
      <w:r w:rsidRPr="002162FC">
        <w:rPr>
          <w:rFonts w:ascii="Arial" w:hAnsi="Arial" w:cs="Arial"/>
          <w:sz w:val="24"/>
          <w:szCs w:val="24"/>
        </w:rPr>
        <w:t>[1</w:t>
      </w:r>
      <w:r w:rsidR="004B285C" w:rsidRPr="002162FC">
        <w:rPr>
          <w:rFonts w:ascii="Arial" w:hAnsi="Arial" w:cs="Arial"/>
          <w:sz w:val="24"/>
          <w:szCs w:val="24"/>
        </w:rPr>
        <w:t>2</w:t>
      </w:r>
      <w:r w:rsidRPr="002162FC">
        <w:rPr>
          <w:rFonts w:ascii="Arial" w:hAnsi="Arial" w:cs="Arial"/>
          <w:sz w:val="24"/>
          <w:szCs w:val="24"/>
        </w:rPr>
        <w:t xml:space="preserve">] </w:t>
      </w:r>
      <w:r w:rsidR="00DB3B99" w:rsidRPr="002162FC">
        <w:rPr>
          <w:rFonts w:ascii="Arial" w:hAnsi="Arial" w:cs="Arial"/>
          <w:sz w:val="24"/>
          <w:szCs w:val="24"/>
        </w:rPr>
        <w:t>The question whether</w:t>
      </w:r>
      <w:r w:rsidRPr="002162FC">
        <w:rPr>
          <w:rFonts w:ascii="Arial" w:hAnsi="Arial" w:cs="Arial"/>
          <w:sz w:val="24"/>
          <w:szCs w:val="24"/>
        </w:rPr>
        <w:t xml:space="preserve"> the grounds of complaint, considered in the context of the evidence contain in the founding affidavit in the current proceedings, make out a sustainable case capable of supporting the order sought </w:t>
      </w:r>
      <w:r w:rsidR="003038FF" w:rsidRPr="002162FC">
        <w:rPr>
          <w:rFonts w:ascii="Arial" w:hAnsi="Arial" w:cs="Arial"/>
          <w:sz w:val="24"/>
          <w:szCs w:val="24"/>
        </w:rPr>
        <w:t>in</w:t>
      </w:r>
      <w:r w:rsidRPr="002162FC">
        <w:rPr>
          <w:rFonts w:ascii="Arial" w:hAnsi="Arial" w:cs="Arial"/>
          <w:sz w:val="24"/>
          <w:szCs w:val="24"/>
        </w:rPr>
        <w:t xml:space="preserve"> terms of section 165 (3) will be considered presently to the extent necessary. It also important to note that the respondent has not opposed the application and the facts as stated in the founding affidavit</w:t>
      </w:r>
      <w:r w:rsidR="00EF51CC" w:rsidRPr="002162FC">
        <w:rPr>
          <w:rFonts w:ascii="Arial" w:hAnsi="Arial" w:cs="Arial"/>
          <w:sz w:val="24"/>
          <w:szCs w:val="24"/>
        </w:rPr>
        <w:t xml:space="preserve"> are not disputed.</w:t>
      </w:r>
    </w:p>
    <w:p w:rsidR="00667870" w:rsidRPr="002162FC" w:rsidRDefault="001703C8" w:rsidP="000C2A63">
      <w:pPr>
        <w:spacing w:before="100" w:beforeAutospacing="1" w:after="360" w:line="480" w:lineRule="auto"/>
        <w:rPr>
          <w:rFonts w:ascii="Arial" w:hAnsi="Arial" w:cs="Arial"/>
          <w:sz w:val="24"/>
          <w:szCs w:val="24"/>
        </w:rPr>
      </w:pPr>
      <w:r w:rsidRPr="002162FC">
        <w:rPr>
          <w:rFonts w:ascii="Arial" w:hAnsi="Arial" w:cs="Arial"/>
          <w:sz w:val="24"/>
          <w:szCs w:val="24"/>
        </w:rPr>
        <w:t>[1</w:t>
      </w:r>
      <w:r w:rsidR="004B285C" w:rsidRPr="002162FC">
        <w:rPr>
          <w:rFonts w:ascii="Arial" w:hAnsi="Arial" w:cs="Arial"/>
          <w:sz w:val="24"/>
          <w:szCs w:val="24"/>
        </w:rPr>
        <w:t>3</w:t>
      </w:r>
      <w:r w:rsidRPr="002162FC">
        <w:rPr>
          <w:rFonts w:ascii="Arial" w:hAnsi="Arial" w:cs="Arial"/>
          <w:sz w:val="24"/>
          <w:szCs w:val="24"/>
        </w:rPr>
        <w:t xml:space="preserve">] The correct legal position is therefore that a director must be declared </w:t>
      </w:r>
      <w:r w:rsidR="00D27E66" w:rsidRPr="002162FC">
        <w:rPr>
          <w:rFonts w:ascii="Arial" w:hAnsi="Arial" w:cs="Arial"/>
          <w:sz w:val="24"/>
          <w:szCs w:val="24"/>
        </w:rPr>
        <w:t xml:space="preserve">delinquent director </w:t>
      </w:r>
      <w:r w:rsidRPr="002162FC">
        <w:rPr>
          <w:rFonts w:ascii="Arial" w:hAnsi="Arial" w:cs="Arial"/>
          <w:sz w:val="24"/>
          <w:szCs w:val="24"/>
        </w:rPr>
        <w:t xml:space="preserve">if such a director has by gross negligence inflicted harm on the company. </w:t>
      </w:r>
      <w:r w:rsidR="00195C60" w:rsidRPr="002162FC">
        <w:rPr>
          <w:rFonts w:ascii="Arial" w:hAnsi="Arial" w:cs="Arial"/>
          <w:sz w:val="24"/>
          <w:szCs w:val="24"/>
        </w:rPr>
        <w:t xml:space="preserve">It is correct that if any of the grounds set out in section 162 are satisfied, a court is obliged to make an order declaring a person to be a delinquent director, thereby disqualifying him or her from office. This is made clear by the word ‘must’ </w:t>
      </w:r>
      <w:r w:rsidR="00DB3B99" w:rsidRPr="002162FC">
        <w:rPr>
          <w:rFonts w:ascii="Arial" w:hAnsi="Arial" w:cs="Arial"/>
          <w:sz w:val="24"/>
          <w:szCs w:val="24"/>
        </w:rPr>
        <w:t xml:space="preserve">used </w:t>
      </w:r>
      <w:r w:rsidR="00195C60" w:rsidRPr="002162FC">
        <w:rPr>
          <w:rFonts w:ascii="Arial" w:hAnsi="Arial" w:cs="Arial"/>
          <w:sz w:val="24"/>
          <w:szCs w:val="24"/>
        </w:rPr>
        <w:t>in section 162(5).</w:t>
      </w:r>
      <w:r w:rsidR="00DB3B99" w:rsidRPr="002162FC">
        <w:rPr>
          <w:rFonts w:ascii="Arial" w:hAnsi="Arial" w:cs="Arial"/>
          <w:sz w:val="24"/>
          <w:szCs w:val="24"/>
        </w:rPr>
        <w:t xml:space="preserve"> The use of the word makes it mandatory for the court to declare a director if the evidence establishes such conduct.</w:t>
      </w:r>
      <w:r w:rsidR="00667870" w:rsidRPr="002162FC">
        <w:rPr>
          <w:rFonts w:ascii="Arial" w:hAnsi="Arial" w:cs="Arial"/>
          <w:sz w:val="24"/>
          <w:szCs w:val="24"/>
        </w:rPr>
        <w:t xml:space="preserve"> </w:t>
      </w:r>
    </w:p>
    <w:p w:rsidR="001703C8" w:rsidRPr="002162FC" w:rsidRDefault="00667870" w:rsidP="000C2A63">
      <w:pPr>
        <w:spacing w:before="100" w:beforeAutospacing="1" w:after="360" w:line="480" w:lineRule="auto"/>
        <w:rPr>
          <w:rFonts w:ascii="Arial" w:hAnsi="Arial" w:cs="Arial"/>
          <w:sz w:val="24"/>
          <w:szCs w:val="24"/>
        </w:rPr>
      </w:pPr>
      <w:r w:rsidRPr="002162FC">
        <w:rPr>
          <w:rFonts w:ascii="Arial" w:hAnsi="Arial" w:cs="Arial"/>
          <w:sz w:val="24"/>
          <w:szCs w:val="24"/>
        </w:rPr>
        <w:t>[14] A court has no discretion but to declare a director acting in the manner contemplated in s 77(3)</w:t>
      </w:r>
      <w:r w:rsidRPr="002162FC">
        <w:rPr>
          <w:rFonts w:ascii="Arial" w:hAnsi="Arial" w:cs="Arial"/>
          <w:i/>
          <w:iCs/>
          <w:sz w:val="24"/>
          <w:szCs w:val="24"/>
        </w:rPr>
        <w:t>(b)</w:t>
      </w:r>
      <w:r w:rsidRPr="002162FC">
        <w:rPr>
          <w:rFonts w:ascii="Arial" w:hAnsi="Arial" w:cs="Arial"/>
          <w:sz w:val="24"/>
          <w:szCs w:val="24"/>
        </w:rPr>
        <w:t> of the Companies Act 71 of 2008 to be a delinquent director in terms of s 162(5)</w:t>
      </w:r>
      <w:r w:rsidRPr="002162FC">
        <w:rPr>
          <w:rFonts w:ascii="Arial" w:hAnsi="Arial" w:cs="Arial"/>
          <w:i/>
          <w:iCs/>
          <w:sz w:val="24"/>
          <w:szCs w:val="24"/>
        </w:rPr>
        <w:t>(c)</w:t>
      </w:r>
      <w:r w:rsidRPr="002162FC">
        <w:rPr>
          <w:rFonts w:ascii="Arial" w:hAnsi="Arial" w:cs="Arial"/>
          <w:sz w:val="24"/>
          <w:szCs w:val="24"/>
        </w:rPr>
        <w:t>(iv)</w:t>
      </w:r>
      <w:r w:rsidRPr="002162FC">
        <w:rPr>
          <w:rFonts w:ascii="Arial" w:hAnsi="Arial" w:cs="Arial"/>
          <w:i/>
          <w:iCs/>
          <w:sz w:val="24"/>
          <w:szCs w:val="24"/>
        </w:rPr>
        <w:t xml:space="preserve"> (bb)</w:t>
      </w:r>
      <w:r w:rsidRPr="002162FC">
        <w:rPr>
          <w:rFonts w:ascii="Arial" w:hAnsi="Arial" w:cs="Arial"/>
          <w:sz w:val="24"/>
          <w:szCs w:val="24"/>
        </w:rPr>
        <w:t xml:space="preserve">. The consequence of an order of delinquency is that such a person is disqualified from being a director of the company. See </w:t>
      </w:r>
      <w:r w:rsidRPr="002162FC">
        <w:rPr>
          <w:rFonts w:ascii="Arial" w:hAnsi="Arial" w:cs="Arial"/>
          <w:b/>
          <w:bCs/>
          <w:i/>
          <w:iCs/>
          <w:sz w:val="24"/>
          <w:szCs w:val="24"/>
        </w:rPr>
        <w:t>Rabinowitz v Van Graan and Others</w:t>
      </w:r>
      <w:r w:rsidRPr="002162FC">
        <w:rPr>
          <w:rFonts w:ascii="Arial" w:hAnsi="Arial" w:cs="Arial"/>
          <w:b/>
          <w:bCs/>
          <w:sz w:val="24"/>
          <w:szCs w:val="24"/>
        </w:rPr>
        <w:t xml:space="preserve"> </w:t>
      </w:r>
      <w:r w:rsidRPr="002162FC">
        <w:rPr>
          <w:rFonts w:ascii="Arial" w:hAnsi="Arial" w:cs="Arial"/>
          <w:sz w:val="24"/>
          <w:szCs w:val="24"/>
        </w:rPr>
        <w:t>2013 (5) SA 315 (GSJ)</w:t>
      </w:r>
    </w:p>
    <w:p w:rsidR="008C5AD3" w:rsidRPr="002162FC" w:rsidRDefault="008C5AD3" w:rsidP="000C2A63">
      <w:pPr>
        <w:spacing w:before="100" w:beforeAutospacing="1" w:after="360" w:line="480" w:lineRule="auto"/>
        <w:rPr>
          <w:rFonts w:ascii="Arial" w:hAnsi="Arial" w:cs="Arial"/>
          <w:sz w:val="24"/>
          <w:szCs w:val="24"/>
        </w:rPr>
      </w:pPr>
      <w:r w:rsidRPr="002162FC">
        <w:rPr>
          <w:rFonts w:ascii="Arial" w:hAnsi="Arial" w:cs="Arial"/>
          <w:sz w:val="24"/>
          <w:szCs w:val="24"/>
        </w:rPr>
        <w:t>[1</w:t>
      </w:r>
      <w:r w:rsidR="00667870" w:rsidRPr="002162FC">
        <w:rPr>
          <w:rFonts w:ascii="Arial" w:hAnsi="Arial" w:cs="Arial"/>
          <w:sz w:val="24"/>
          <w:szCs w:val="24"/>
        </w:rPr>
        <w:t>5</w:t>
      </w:r>
      <w:r w:rsidRPr="002162FC">
        <w:rPr>
          <w:rFonts w:ascii="Arial" w:hAnsi="Arial" w:cs="Arial"/>
          <w:sz w:val="24"/>
          <w:szCs w:val="24"/>
        </w:rPr>
        <w:t>] The evidence shows that the respondent breach the trust, wilfully misconducted herself and abused her position as director of the company. In the process as per Section 162 (</w:t>
      </w:r>
      <w:r w:rsidR="00670768" w:rsidRPr="002162FC">
        <w:rPr>
          <w:rFonts w:ascii="Arial" w:hAnsi="Arial" w:cs="Arial"/>
          <w:sz w:val="24"/>
          <w:szCs w:val="24"/>
        </w:rPr>
        <w:t>c)</w:t>
      </w:r>
      <w:r w:rsidRPr="002162FC">
        <w:rPr>
          <w:rFonts w:ascii="Arial" w:hAnsi="Arial" w:cs="Arial"/>
          <w:sz w:val="24"/>
          <w:szCs w:val="24"/>
        </w:rPr>
        <w:t xml:space="preserve"> (1) and (iv) (aa) she also breached various aspects of Sections 76 and 77 of the Act. In particular Sections 76(2) (a); </w:t>
      </w:r>
      <w:r w:rsidR="00670768" w:rsidRPr="002162FC">
        <w:rPr>
          <w:rFonts w:ascii="Arial" w:hAnsi="Arial" w:cs="Arial"/>
          <w:sz w:val="24"/>
          <w:szCs w:val="24"/>
        </w:rPr>
        <w:t>76 (3); 77 (2) and 77 (3).</w:t>
      </w:r>
    </w:p>
    <w:p w:rsidR="00670768" w:rsidRPr="002162FC" w:rsidRDefault="00670768" w:rsidP="000C2A63">
      <w:pPr>
        <w:spacing w:before="100" w:beforeAutospacing="1" w:after="360" w:line="480" w:lineRule="auto"/>
        <w:rPr>
          <w:rFonts w:ascii="Arial" w:hAnsi="Arial" w:cs="Arial"/>
          <w:sz w:val="24"/>
          <w:szCs w:val="24"/>
        </w:rPr>
      </w:pPr>
      <w:r w:rsidRPr="002162FC">
        <w:rPr>
          <w:rFonts w:ascii="Arial" w:hAnsi="Arial" w:cs="Arial"/>
          <w:sz w:val="24"/>
          <w:szCs w:val="24"/>
        </w:rPr>
        <w:t>[1</w:t>
      </w:r>
      <w:r w:rsidR="00667870" w:rsidRPr="002162FC">
        <w:rPr>
          <w:rFonts w:ascii="Arial" w:hAnsi="Arial" w:cs="Arial"/>
          <w:sz w:val="24"/>
          <w:szCs w:val="24"/>
        </w:rPr>
        <w:t>6</w:t>
      </w:r>
      <w:r w:rsidRPr="002162FC">
        <w:rPr>
          <w:rFonts w:ascii="Arial" w:hAnsi="Arial" w:cs="Arial"/>
          <w:sz w:val="24"/>
          <w:szCs w:val="24"/>
        </w:rPr>
        <w:t xml:space="preserve">] The respondent owed a duty </w:t>
      </w:r>
      <w:r w:rsidR="00147A95" w:rsidRPr="002162FC">
        <w:rPr>
          <w:rFonts w:ascii="Arial" w:hAnsi="Arial" w:cs="Arial"/>
          <w:sz w:val="24"/>
          <w:szCs w:val="24"/>
        </w:rPr>
        <w:t>not only</w:t>
      </w:r>
      <w:r w:rsidRPr="002162FC">
        <w:rPr>
          <w:rFonts w:ascii="Arial" w:hAnsi="Arial" w:cs="Arial"/>
          <w:sz w:val="24"/>
          <w:szCs w:val="24"/>
        </w:rPr>
        <w:t xml:space="preserve"> </w:t>
      </w:r>
      <w:r w:rsidR="00147A95" w:rsidRPr="002162FC">
        <w:rPr>
          <w:rFonts w:ascii="Arial" w:hAnsi="Arial" w:cs="Arial"/>
          <w:sz w:val="24"/>
          <w:szCs w:val="24"/>
        </w:rPr>
        <w:t xml:space="preserve">to </w:t>
      </w:r>
      <w:r w:rsidRPr="002162FC">
        <w:rPr>
          <w:rFonts w:ascii="Arial" w:hAnsi="Arial" w:cs="Arial"/>
          <w:sz w:val="24"/>
          <w:szCs w:val="24"/>
        </w:rPr>
        <w:t xml:space="preserve">the first applicant but also to the international board on which </w:t>
      </w:r>
      <w:r w:rsidR="00147A95" w:rsidRPr="002162FC">
        <w:rPr>
          <w:rFonts w:ascii="Arial" w:hAnsi="Arial" w:cs="Arial"/>
          <w:sz w:val="24"/>
          <w:szCs w:val="24"/>
        </w:rPr>
        <w:t xml:space="preserve">she </w:t>
      </w:r>
      <w:r w:rsidRPr="002162FC">
        <w:rPr>
          <w:rFonts w:ascii="Arial" w:hAnsi="Arial" w:cs="Arial"/>
          <w:sz w:val="24"/>
          <w:szCs w:val="24"/>
        </w:rPr>
        <w:t xml:space="preserve">served. The respondent acted in the most egregious manner towards </w:t>
      </w:r>
      <w:r w:rsidR="000A041F" w:rsidRPr="002162FC">
        <w:rPr>
          <w:rFonts w:ascii="Arial" w:hAnsi="Arial" w:cs="Arial"/>
          <w:sz w:val="24"/>
          <w:szCs w:val="24"/>
        </w:rPr>
        <w:t>the first</w:t>
      </w:r>
      <w:r w:rsidRPr="002162FC">
        <w:rPr>
          <w:rFonts w:ascii="Arial" w:hAnsi="Arial" w:cs="Arial"/>
          <w:sz w:val="24"/>
          <w:szCs w:val="24"/>
        </w:rPr>
        <w:t xml:space="preserve"> applicant. This is illustrated by her attempt to defraud the first applicant in both February 2020 and June 2020 by presenting false </w:t>
      </w:r>
      <w:r w:rsidR="009F1C75" w:rsidRPr="002162FC">
        <w:rPr>
          <w:rFonts w:ascii="Arial" w:hAnsi="Arial" w:cs="Arial"/>
          <w:sz w:val="24"/>
          <w:szCs w:val="24"/>
        </w:rPr>
        <w:t xml:space="preserve">invoices. </w:t>
      </w:r>
      <w:r w:rsidR="007C51EF" w:rsidRPr="002162FC">
        <w:rPr>
          <w:rFonts w:ascii="Arial" w:hAnsi="Arial" w:cs="Arial"/>
          <w:sz w:val="24"/>
          <w:szCs w:val="24"/>
        </w:rPr>
        <w:t xml:space="preserve">In seeking </w:t>
      </w:r>
      <w:r w:rsidR="002F2346" w:rsidRPr="002162FC">
        <w:rPr>
          <w:rFonts w:ascii="Arial" w:hAnsi="Arial" w:cs="Arial"/>
          <w:sz w:val="24"/>
          <w:szCs w:val="24"/>
        </w:rPr>
        <w:t>her own personal benefit in this fraudulent manner, the respondent grossly misused her position as a director.</w:t>
      </w:r>
      <w:r w:rsidR="001021EE" w:rsidRPr="002162FC">
        <w:rPr>
          <w:rFonts w:ascii="Arial" w:hAnsi="Arial" w:cs="Arial"/>
          <w:sz w:val="24"/>
          <w:szCs w:val="24"/>
        </w:rPr>
        <w:t xml:space="preserve"> This conduct falls squarely within section 162 (5) (</w:t>
      </w:r>
      <w:r w:rsidR="00667870" w:rsidRPr="002162FC">
        <w:rPr>
          <w:rFonts w:ascii="Arial" w:hAnsi="Arial" w:cs="Arial"/>
          <w:sz w:val="24"/>
          <w:szCs w:val="24"/>
        </w:rPr>
        <w:t>c)</w:t>
      </w:r>
      <w:r w:rsidR="001021EE" w:rsidRPr="002162FC">
        <w:rPr>
          <w:rFonts w:ascii="Arial" w:hAnsi="Arial" w:cs="Arial"/>
          <w:sz w:val="24"/>
          <w:szCs w:val="24"/>
        </w:rPr>
        <w:t xml:space="preserve"> of the Companies Act, 2008. The action involved gross abuse of the position as director. See </w:t>
      </w:r>
      <w:r w:rsidR="001021EE" w:rsidRPr="002162FC">
        <w:rPr>
          <w:rFonts w:ascii="Arial" w:hAnsi="Arial" w:cs="Arial"/>
          <w:b/>
          <w:bCs/>
          <w:i/>
          <w:iCs/>
          <w:sz w:val="24"/>
          <w:szCs w:val="24"/>
        </w:rPr>
        <w:t xml:space="preserve">Gihwala </w:t>
      </w:r>
      <w:r w:rsidR="001021EE" w:rsidRPr="002162FC">
        <w:rPr>
          <w:rFonts w:ascii="Arial" w:hAnsi="Arial" w:cs="Arial"/>
          <w:sz w:val="24"/>
          <w:szCs w:val="24"/>
        </w:rPr>
        <w:t>at para [138].</w:t>
      </w:r>
    </w:p>
    <w:p w:rsidR="004B285C" w:rsidRPr="002162FC" w:rsidRDefault="00582DFE" w:rsidP="000C2A63">
      <w:pPr>
        <w:spacing w:before="100" w:beforeAutospacing="1" w:after="360" w:line="480" w:lineRule="auto"/>
        <w:rPr>
          <w:rFonts w:ascii="Arial" w:hAnsi="Arial" w:cs="Arial"/>
          <w:sz w:val="24"/>
          <w:szCs w:val="24"/>
        </w:rPr>
      </w:pPr>
      <w:r w:rsidRPr="002162FC">
        <w:rPr>
          <w:rFonts w:ascii="Arial" w:hAnsi="Arial" w:cs="Arial"/>
          <w:sz w:val="24"/>
          <w:szCs w:val="24"/>
        </w:rPr>
        <w:t>[1</w:t>
      </w:r>
      <w:r w:rsidR="00667870" w:rsidRPr="002162FC">
        <w:rPr>
          <w:rFonts w:ascii="Arial" w:hAnsi="Arial" w:cs="Arial"/>
          <w:sz w:val="24"/>
          <w:szCs w:val="24"/>
        </w:rPr>
        <w:t>7</w:t>
      </w:r>
      <w:r w:rsidR="00147A95" w:rsidRPr="002162FC">
        <w:rPr>
          <w:rFonts w:ascii="Arial" w:hAnsi="Arial" w:cs="Arial"/>
          <w:sz w:val="24"/>
          <w:szCs w:val="24"/>
        </w:rPr>
        <w:t xml:space="preserve">] It is my </w:t>
      </w:r>
      <w:r w:rsidR="004B285C" w:rsidRPr="002162FC">
        <w:rPr>
          <w:rFonts w:ascii="Arial" w:hAnsi="Arial" w:cs="Arial"/>
          <w:sz w:val="24"/>
          <w:szCs w:val="24"/>
        </w:rPr>
        <w:t xml:space="preserve">considered </w:t>
      </w:r>
      <w:r w:rsidR="00147A95" w:rsidRPr="002162FC">
        <w:rPr>
          <w:rFonts w:ascii="Arial" w:hAnsi="Arial" w:cs="Arial"/>
          <w:sz w:val="24"/>
          <w:szCs w:val="24"/>
        </w:rPr>
        <w:t xml:space="preserve">view that the conduct of the respondent </w:t>
      </w:r>
      <w:r w:rsidR="007C11A9" w:rsidRPr="002162FC">
        <w:rPr>
          <w:rFonts w:ascii="Arial" w:hAnsi="Arial" w:cs="Arial"/>
          <w:sz w:val="24"/>
          <w:szCs w:val="24"/>
        </w:rPr>
        <w:t>fell short of the standard expected of a director to such an extent that it amounts to wilful misconduct, breach of trust and a gross abuse of her position as a director.</w:t>
      </w:r>
      <w:r w:rsidR="000A041F" w:rsidRPr="002162FC">
        <w:rPr>
          <w:rFonts w:ascii="Arial" w:hAnsi="Arial" w:cs="Arial"/>
          <w:sz w:val="24"/>
          <w:szCs w:val="24"/>
        </w:rPr>
        <w:t xml:space="preserve"> The conduct of respondent not only amounts to a serious breach of her fiduciary duty as a director </w:t>
      </w:r>
      <w:r w:rsidR="00C40818" w:rsidRPr="002162FC">
        <w:rPr>
          <w:rFonts w:ascii="Arial" w:hAnsi="Arial" w:cs="Arial"/>
          <w:sz w:val="24"/>
          <w:szCs w:val="24"/>
        </w:rPr>
        <w:t xml:space="preserve">of the first applicant but also led to breach of trust between </w:t>
      </w:r>
      <w:r w:rsidR="00A43784" w:rsidRPr="002162FC">
        <w:rPr>
          <w:rFonts w:ascii="Arial" w:hAnsi="Arial" w:cs="Arial"/>
          <w:sz w:val="24"/>
          <w:szCs w:val="24"/>
        </w:rPr>
        <w:t>herself</w:t>
      </w:r>
      <w:r w:rsidR="00C40818" w:rsidRPr="002162FC">
        <w:rPr>
          <w:rFonts w:ascii="Arial" w:hAnsi="Arial" w:cs="Arial"/>
          <w:sz w:val="24"/>
          <w:szCs w:val="24"/>
        </w:rPr>
        <w:t xml:space="preserve"> as a director and the first respondent</w:t>
      </w:r>
      <w:r w:rsidR="00285197" w:rsidRPr="002162FC">
        <w:rPr>
          <w:rFonts w:ascii="Arial" w:hAnsi="Arial" w:cs="Arial"/>
          <w:sz w:val="24"/>
          <w:szCs w:val="24"/>
        </w:rPr>
        <w:t>.</w:t>
      </w:r>
    </w:p>
    <w:p w:rsidR="00285197" w:rsidRPr="002162FC" w:rsidRDefault="00285197" w:rsidP="000C2A63">
      <w:pPr>
        <w:spacing w:before="100" w:beforeAutospacing="1" w:after="360" w:line="480" w:lineRule="auto"/>
        <w:rPr>
          <w:rFonts w:ascii="Arial" w:hAnsi="Arial" w:cs="Arial"/>
          <w:sz w:val="24"/>
          <w:szCs w:val="24"/>
        </w:rPr>
      </w:pPr>
      <w:r w:rsidRPr="002162FC">
        <w:rPr>
          <w:rFonts w:ascii="Arial" w:hAnsi="Arial" w:cs="Arial"/>
          <w:sz w:val="24"/>
          <w:szCs w:val="24"/>
        </w:rPr>
        <w:t>[1</w:t>
      </w:r>
      <w:r w:rsidR="00667870" w:rsidRPr="002162FC">
        <w:rPr>
          <w:rFonts w:ascii="Arial" w:hAnsi="Arial" w:cs="Arial"/>
          <w:sz w:val="24"/>
          <w:szCs w:val="24"/>
        </w:rPr>
        <w:t>8</w:t>
      </w:r>
      <w:r w:rsidRPr="002162FC">
        <w:rPr>
          <w:rFonts w:ascii="Arial" w:hAnsi="Arial" w:cs="Arial"/>
          <w:sz w:val="24"/>
          <w:szCs w:val="24"/>
        </w:rPr>
        <w:t xml:space="preserve">] While no monetary harm was done to the first and its board, the reputational harm and risk </w:t>
      </w:r>
      <w:r w:rsidR="00D27E66" w:rsidRPr="002162FC">
        <w:rPr>
          <w:rFonts w:ascii="Arial" w:hAnsi="Arial" w:cs="Arial"/>
          <w:sz w:val="24"/>
          <w:szCs w:val="24"/>
        </w:rPr>
        <w:t xml:space="preserve">was immense. </w:t>
      </w:r>
      <w:r w:rsidR="0046608F" w:rsidRPr="002162FC">
        <w:rPr>
          <w:rFonts w:ascii="Arial" w:hAnsi="Arial" w:cs="Arial"/>
          <w:sz w:val="24"/>
          <w:szCs w:val="24"/>
        </w:rPr>
        <w:t>The respondent intentionally and fraudulently manufactured documents to procure payment from the first applicant, for another company of which she is the sole director.</w:t>
      </w:r>
    </w:p>
    <w:p w:rsidR="006405B4" w:rsidRPr="002162FC" w:rsidRDefault="006405B4" w:rsidP="000C2A63">
      <w:pPr>
        <w:spacing w:before="100" w:beforeAutospacing="1" w:after="360" w:line="480" w:lineRule="auto"/>
        <w:rPr>
          <w:rFonts w:ascii="Arial" w:hAnsi="Arial" w:cs="Arial"/>
          <w:sz w:val="24"/>
          <w:szCs w:val="24"/>
        </w:rPr>
      </w:pPr>
      <w:r w:rsidRPr="002162FC">
        <w:rPr>
          <w:rFonts w:ascii="Arial" w:hAnsi="Arial" w:cs="Arial"/>
          <w:sz w:val="24"/>
          <w:szCs w:val="24"/>
        </w:rPr>
        <w:t>[1</w:t>
      </w:r>
      <w:r w:rsidR="00667870" w:rsidRPr="002162FC">
        <w:rPr>
          <w:rFonts w:ascii="Arial" w:hAnsi="Arial" w:cs="Arial"/>
          <w:sz w:val="24"/>
          <w:szCs w:val="24"/>
        </w:rPr>
        <w:t>9</w:t>
      </w:r>
      <w:r w:rsidRPr="002162FC">
        <w:rPr>
          <w:rFonts w:ascii="Arial" w:hAnsi="Arial" w:cs="Arial"/>
          <w:sz w:val="24"/>
          <w:szCs w:val="24"/>
        </w:rPr>
        <w:t xml:space="preserve">] I find that </w:t>
      </w:r>
      <w:r w:rsidR="007C51EF" w:rsidRPr="002162FC">
        <w:rPr>
          <w:rFonts w:ascii="Arial" w:hAnsi="Arial" w:cs="Arial"/>
          <w:sz w:val="24"/>
          <w:szCs w:val="24"/>
        </w:rPr>
        <w:t xml:space="preserve">there </w:t>
      </w:r>
      <w:r w:rsidRPr="002162FC">
        <w:rPr>
          <w:rFonts w:ascii="Arial" w:hAnsi="Arial" w:cs="Arial"/>
          <w:sz w:val="24"/>
          <w:szCs w:val="24"/>
        </w:rPr>
        <w:t>can be no justification for the respondent’s aforesaid conduct. The relief sought in the Notice of Motion is warranted as measure to protect the first applicant, its clients as well as the general public from the conduct of the respondent. I</w:t>
      </w:r>
      <w:r w:rsidR="00B351DD">
        <w:rPr>
          <w:rFonts w:ascii="Arial" w:hAnsi="Arial" w:cs="Arial"/>
          <w:sz w:val="24"/>
          <w:szCs w:val="24"/>
        </w:rPr>
        <w:t>t</w:t>
      </w:r>
      <w:r w:rsidRPr="002162FC">
        <w:rPr>
          <w:rFonts w:ascii="Arial" w:hAnsi="Arial" w:cs="Arial"/>
          <w:sz w:val="24"/>
          <w:szCs w:val="24"/>
        </w:rPr>
        <w:t xml:space="preserve"> needs mentioning that the first applicant is a non-profit organization that relies on donor funding. </w:t>
      </w:r>
      <w:r w:rsidR="00A86901" w:rsidRPr="002162FC">
        <w:rPr>
          <w:rFonts w:ascii="Arial" w:hAnsi="Arial" w:cs="Arial"/>
          <w:sz w:val="24"/>
          <w:szCs w:val="24"/>
        </w:rPr>
        <w:t>The integrity of the first applicant is its agency to ensure that funds are donated in order to fulfil its objectives.</w:t>
      </w:r>
    </w:p>
    <w:p w:rsidR="00192A88" w:rsidRPr="002162FC" w:rsidRDefault="00192A88" w:rsidP="000C2A63">
      <w:pPr>
        <w:spacing w:before="100" w:beforeAutospacing="1" w:after="360" w:line="480" w:lineRule="auto"/>
        <w:rPr>
          <w:rFonts w:ascii="Arial" w:hAnsi="Arial" w:cs="Arial"/>
          <w:sz w:val="24"/>
          <w:szCs w:val="24"/>
        </w:rPr>
      </w:pPr>
      <w:r w:rsidRPr="002162FC">
        <w:rPr>
          <w:rFonts w:ascii="Arial" w:hAnsi="Arial" w:cs="Arial"/>
          <w:sz w:val="24"/>
          <w:szCs w:val="24"/>
        </w:rPr>
        <w:t>[</w:t>
      </w:r>
      <w:r w:rsidR="00667870" w:rsidRPr="002162FC">
        <w:rPr>
          <w:rFonts w:ascii="Arial" w:hAnsi="Arial" w:cs="Arial"/>
          <w:sz w:val="24"/>
          <w:szCs w:val="24"/>
        </w:rPr>
        <w:t>20</w:t>
      </w:r>
      <w:r w:rsidRPr="002162FC">
        <w:rPr>
          <w:rFonts w:ascii="Arial" w:hAnsi="Arial" w:cs="Arial"/>
          <w:sz w:val="24"/>
          <w:szCs w:val="24"/>
        </w:rPr>
        <w:t>] I accordingly grant the following order:</w:t>
      </w:r>
    </w:p>
    <w:p w:rsidR="00192A88" w:rsidRPr="002162FC" w:rsidRDefault="00667870" w:rsidP="00B351DD">
      <w:pPr>
        <w:spacing w:before="100" w:beforeAutospacing="1" w:after="360" w:line="480" w:lineRule="auto"/>
        <w:rPr>
          <w:rFonts w:ascii="Arial" w:hAnsi="Arial" w:cs="Arial"/>
          <w:sz w:val="24"/>
          <w:szCs w:val="24"/>
        </w:rPr>
      </w:pPr>
      <w:r w:rsidRPr="002162FC">
        <w:rPr>
          <w:rFonts w:ascii="Arial" w:hAnsi="Arial" w:cs="Arial"/>
          <w:sz w:val="24"/>
          <w:szCs w:val="24"/>
        </w:rPr>
        <w:t>20.1</w:t>
      </w:r>
      <w:r w:rsidR="00192A88" w:rsidRPr="002162FC">
        <w:rPr>
          <w:rFonts w:ascii="Arial" w:hAnsi="Arial" w:cs="Arial"/>
          <w:sz w:val="24"/>
          <w:szCs w:val="24"/>
        </w:rPr>
        <w:t xml:space="preserve"> The Respondent is declared a delinquent director in terms of the p</w:t>
      </w:r>
      <w:r w:rsidR="00377814">
        <w:rPr>
          <w:rFonts w:ascii="Arial" w:hAnsi="Arial" w:cs="Arial"/>
          <w:sz w:val="24"/>
          <w:szCs w:val="24"/>
        </w:rPr>
        <w:t>rovisions of section 162 (5)</w:t>
      </w:r>
      <w:r w:rsidR="00192A88" w:rsidRPr="002162FC">
        <w:rPr>
          <w:rFonts w:ascii="Arial" w:hAnsi="Arial" w:cs="Arial"/>
          <w:sz w:val="24"/>
          <w:szCs w:val="24"/>
        </w:rPr>
        <w:t>(c) of the Companies Act 71 of 2008.</w:t>
      </w:r>
    </w:p>
    <w:p w:rsidR="00192A88" w:rsidRDefault="00667870" w:rsidP="00B351DD">
      <w:pPr>
        <w:spacing w:before="100" w:beforeAutospacing="1" w:after="360" w:line="480" w:lineRule="auto"/>
        <w:rPr>
          <w:rFonts w:ascii="Arial" w:hAnsi="Arial" w:cs="Arial"/>
          <w:sz w:val="24"/>
          <w:szCs w:val="24"/>
        </w:rPr>
      </w:pPr>
      <w:r w:rsidRPr="002162FC">
        <w:rPr>
          <w:rFonts w:ascii="Arial" w:hAnsi="Arial" w:cs="Arial"/>
          <w:sz w:val="24"/>
          <w:szCs w:val="24"/>
        </w:rPr>
        <w:t xml:space="preserve">20.2 </w:t>
      </w:r>
      <w:r w:rsidR="00192A88" w:rsidRPr="002162FC">
        <w:rPr>
          <w:rFonts w:ascii="Arial" w:hAnsi="Arial" w:cs="Arial"/>
          <w:sz w:val="24"/>
          <w:szCs w:val="24"/>
        </w:rPr>
        <w:t xml:space="preserve">The Respondent is ordered to pay the costs of this application. </w:t>
      </w:r>
    </w:p>
    <w:p w:rsidR="00B351DD" w:rsidRPr="002162FC" w:rsidRDefault="00B351DD" w:rsidP="00B351DD">
      <w:pPr>
        <w:spacing w:after="0" w:line="480" w:lineRule="auto"/>
        <w:ind w:firstLine="720"/>
        <w:jc w:val="right"/>
        <w:rPr>
          <w:rFonts w:ascii="Arial" w:hAnsi="Arial" w:cs="Arial"/>
          <w:sz w:val="24"/>
          <w:szCs w:val="24"/>
        </w:rPr>
      </w:pPr>
      <w:r>
        <w:rPr>
          <w:rFonts w:ascii="Arial" w:hAnsi="Arial" w:cs="Arial"/>
          <w:sz w:val="24"/>
          <w:szCs w:val="24"/>
        </w:rPr>
        <w:t>____________________</w:t>
      </w:r>
    </w:p>
    <w:p w:rsidR="00B351DD" w:rsidRDefault="00192A88" w:rsidP="00B351DD">
      <w:pPr>
        <w:spacing w:after="0" w:line="240" w:lineRule="auto"/>
        <w:ind w:left="720"/>
        <w:jc w:val="right"/>
        <w:rPr>
          <w:rFonts w:ascii="Arial" w:hAnsi="Arial" w:cs="Arial"/>
          <w:b/>
          <w:sz w:val="24"/>
          <w:szCs w:val="24"/>
        </w:rPr>
      </w:pPr>
      <w:r w:rsidRPr="00B351DD">
        <w:rPr>
          <w:rFonts w:ascii="Arial" w:hAnsi="Arial" w:cs="Arial"/>
          <w:b/>
          <w:sz w:val="24"/>
          <w:szCs w:val="24"/>
        </w:rPr>
        <w:t xml:space="preserve">T Thupaatlase </w:t>
      </w:r>
    </w:p>
    <w:p w:rsidR="00192A88" w:rsidRPr="00B351DD" w:rsidRDefault="00192A88" w:rsidP="00B351DD">
      <w:pPr>
        <w:spacing w:after="0" w:line="240" w:lineRule="auto"/>
        <w:ind w:left="720"/>
        <w:jc w:val="right"/>
        <w:rPr>
          <w:rFonts w:ascii="Arial" w:hAnsi="Arial" w:cs="Arial"/>
          <w:b/>
          <w:sz w:val="24"/>
          <w:szCs w:val="24"/>
        </w:rPr>
      </w:pPr>
      <w:r w:rsidRPr="00B351DD">
        <w:rPr>
          <w:rFonts w:ascii="Arial" w:hAnsi="Arial" w:cs="Arial"/>
          <w:b/>
          <w:sz w:val="24"/>
          <w:szCs w:val="24"/>
        </w:rPr>
        <w:t xml:space="preserve">Acting Judge </w:t>
      </w:r>
    </w:p>
    <w:p w:rsidR="00D3442D" w:rsidRDefault="002162FC" w:rsidP="00503CD7">
      <w:pPr>
        <w:spacing w:before="100" w:beforeAutospacing="1" w:after="0" w:line="240" w:lineRule="auto"/>
        <w:ind w:left="720"/>
        <w:rPr>
          <w:rFonts w:ascii="Arial" w:hAnsi="Arial" w:cs="Arial"/>
          <w:sz w:val="24"/>
          <w:szCs w:val="24"/>
        </w:rPr>
      </w:pPr>
      <w:r>
        <w:rPr>
          <w:rFonts w:ascii="Arial" w:hAnsi="Arial" w:cs="Arial"/>
          <w:sz w:val="24"/>
          <w:szCs w:val="24"/>
        </w:rPr>
        <w:t>Heard on: 02 August 2022</w:t>
      </w:r>
    </w:p>
    <w:p w:rsidR="00194964" w:rsidRDefault="00194964" w:rsidP="002162FC">
      <w:pPr>
        <w:spacing w:before="100" w:beforeAutospacing="1" w:after="0" w:line="240" w:lineRule="auto"/>
        <w:ind w:left="720"/>
        <w:rPr>
          <w:rFonts w:ascii="Arial" w:hAnsi="Arial" w:cs="Arial"/>
          <w:sz w:val="24"/>
          <w:szCs w:val="24"/>
        </w:rPr>
      </w:pPr>
      <w:r w:rsidRPr="002162FC">
        <w:rPr>
          <w:rFonts w:ascii="Arial" w:hAnsi="Arial" w:cs="Arial"/>
          <w:sz w:val="24"/>
          <w:szCs w:val="24"/>
        </w:rPr>
        <w:t>Judgment Delivered: 24 August 2022</w:t>
      </w:r>
    </w:p>
    <w:p w:rsidR="00503CD7" w:rsidRPr="002162FC" w:rsidRDefault="00503CD7" w:rsidP="002162FC">
      <w:pPr>
        <w:spacing w:before="100" w:beforeAutospacing="1" w:after="0" w:line="240" w:lineRule="auto"/>
        <w:ind w:left="720"/>
        <w:rPr>
          <w:rFonts w:ascii="Arial" w:hAnsi="Arial" w:cs="Arial"/>
          <w:sz w:val="24"/>
          <w:szCs w:val="24"/>
        </w:rPr>
      </w:pPr>
    </w:p>
    <w:p w:rsidR="00D06561" w:rsidRPr="002510C9" w:rsidRDefault="002510C9" w:rsidP="002162FC">
      <w:pPr>
        <w:spacing w:before="100" w:beforeAutospacing="1" w:after="0" w:line="240" w:lineRule="auto"/>
        <w:ind w:left="720"/>
        <w:rPr>
          <w:rFonts w:ascii="Arial" w:hAnsi="Arial" w:cs="Arial"/>
          <w:b/>
          <w:sz w:val="24"/>
          <w:szCs w:val="24"/>
          <w:u w:val="single"/>
        </w:rPr>
      </w:pPr>
      <w:r w:rsidRPr="002510C9">
        <w:rPr>
          <w:rFonts w:ascii="Arial" w:hAnsi="Arial" w:cs="Arial"/>
          <w:b/>
          <w:sz w:val="24"/>
          <w:szCs w:val="24"/>
          <w:u w:val="single"/>
        </w:rPr>
        <w:t>APPEAR</w:t>
      </w:r>
      <w:r>
        <w:rPr>
          <w:rFonts w:ascii="Arial" w:hAnsi="Arial" w:cs="Arial"/>
          <w:b/>
          <w:sz w:val="24"/>
          <w:szCs w:val="24"/>
          <w:u w:val="single"/>
        </w:rPr>
        <w:t>A</w:t>
      </w:r>
      <w:r w:rsidRPr="002510C9">
        <w:rPr>
          <w:rFonts w:ascii="Arial" w:hAnsi="Arial" w:cs="Arial"/>
          <w:b/>
          <w:sz w:val="24"/>
          <w:szCs w:val="24"/>
          <w:u w:val="single"/>
        </w:rPr>
        <w:t>NCES:</w:t>
      </w:r>
    </w:p>
    <w:p w:rsidR="007745E5" w:rsidRPr="00B351DD" w:rsidRDefault="00194964" w:rsidP="002162FC">
      <w:pPr>
        <w:spacing w:before="100" w:beforeAutospacing="1" w:after="0" w:line="240" w:lineRule="auto"/>
        <w:ind w:left="720"/>
        <w:rPr>
          <w:rFonts w:ascii="Arial" w:hAnsi="Arial" w:cs="Arial"/>
          <w:b/>
          <w:sz w:val="24"/>
          <w:szCs w:val="24"/>
        </w:rPr>
      </w:pPr>
      <w:r w:rsidRPr="00B351DD">
        <w:rPr>
          <w:rFonts w:ascii="Arial" w:hAnsi="Arial" w:cs="Arial"/>
          <w:b/>
          <w:sz w:val="24"/>
          <w:szCs w:val="24"/>
        </w:rPr>
        <w:t>For the Applicant</w:t>
      </w:r>
    </w:p>
    <w:p w:rsidR="00194964" w:rsidRPr="002162FC" w:rsidRDefault="00194964" w:rsidP="002162FC">
      <w:pPr>
        <w:spacing w:before="100" w:beforeAutospacing="1" w:after="0" w:line="240" w:lineRule="auto"/>
        <w:ind w:left="720"/>
        <w:rPr>
          <w:rFonts w:ascii="Arial" w:hAnsi="Arial" w:cs="Arial"/>
          <w:sz w:val="24"/>
          <w:szCs w:val="24"/>
        </w:rPr>
      </w:pPr>
      <w:r w:rsidRPr="002162FC">
        <w:rPr>
          <w:rFonts w:ascii="Arial" w:hAnsi="Arial" w:cs="Arial"/>
          <w:sz w:val="24"/>
          <w:szCs w:val="24"/>
        </w:rPr>
        <w:t>Attorneys:</w:t>
      </w:r>
      <w:r w:rsidR="007745E5" w:rsidRPr="002162FC">
        <w:rPr>
          <w:rFonts w:ascii="Arial" w:hAnsi="Arial" w:cs="Arial"/>
          <w:sz w:val="24"/>
          <w:szCs w:val="24"/>
        </w:rPr>
        <w:t xml:space="preserve"> Shepstone &amp; Wylie Attorneys </w:t>
      </w:r>
    </w:p>
    <w:p w:rsidR="00B351DD" w:rsidRDefault="00B351DD" w:rsidP="002162FC">
      <w:pPr>
        <w:spacing w:before="100" w:beforeAutospacing="1" w:after="0" w:line="240" w:lineRule="auto"/>
        <w:ind w:left="720"/>
        <w:rPr>
          <w:rFonts w:ascii="Arial" w:hAnsi="Arial" w:cs="Arial"/>
          <w:sz w:val="24"/>
          <w:szCs w:val="24"/>
        </w:rPr>
      </w:pPr>
      <w:r>
        <w:rPr>
          <w:rFonts w:ascii="Arial" w:hAnsi="Arial" w:cs="Arial"/>
          <w:sz w:val="24"/>
          <w:szCs w:val="24"/>
        </w:rPr>
        <w:t>Counsel:</w:t>
      </w:r>
      <w:r w:rsidR="00377814">
        <w:rPr>
          <w:rFonts w:ascii="Arial" w:hAnsi="Arial" w:cs="Arial"/>
          <w:sz w:val="24"/>
          <w:szCs w:val="24"/>
        </w:rPr>
        <w:t xml:space="preserve"> Advocate Dale Lubbe </w:t>
      </w:r>
    </w:p>
    <w:p w:rsidR="00A43784" w:rsidRPr="002162FC" w:rsidRDefault="00194964" w:rsidP="00B351DD">
      <w:pPr>
        <w:spacing w:before="100" w:beforeAutospacing="1" w:after="0" w:line="240" w:lineRule="auto"/>
        <w:ind w:left="720"/>
        <w:rPr>
          <w:rFonts w:ascii="Arial" w:hAnsi="Arial" w:cs="Arial"/>
          <w:sz w:val="24"/>
          <w:szCs w:val="24"/>
        </w:rPr>
      </w:pPr>
      <w:r w:rsidRPr="00B351DD">
        <w:rPr>
          <w:rFonts w:ascii="Arial" w:hAnsi="Arial" w:cs="Arial"/>
          <w:b/>
          <w:sz w:val="24"/>
          <w:szCs w:val="24"/>
        </w:rPr>
        <w:t>For the Respondent</w:t>
      </w:r>
      <w:r w:rsidRPr="002162FC">
        <w:rPr>
          <w:rFonts w:ascii="Arial" w:hAnsi="Arial" w:cs="Arial"/>
          <w:sz w:val="24"/>
          <w:szCs w:val="24"/>
        </w:rPr>
        <w:t>: No Appearance</w:t>
      </w:r>
    </w:p>
    <w:sectPr w:rsidR="00A43784" w:rsidRPr="002162F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8A3" w:rsidRDefault="005B08A3" w:rsidP="00AC2667">
      <w:pPr>
        <w:spacing w:after="0" w:line="240" w:lineRule="auto"/>
      </w:pPr>
      <w:r>
        <w:separator/>
      </w:r>
    </w:p>
  </w:endnote>
  <w:endnote w:type="continuationSeparator" w:id="0">
    <w:p w:rsidR="005B08A3" w:rsidRDefault="005B08A3" w:rsidP="00AC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imes New Roman"/>
    <w:panose1 w:val="020F0502020204030204"/>
    <w:charset w:val="00"/>
    <w:family w:val="swiss"/>
    <w:pitch w:val="variable"/>
    <w:sig w:usb0="E0002AFF" w:usb1="4000ACFF" w:usb2="00000001" w:usb3="00000000" w:csb0="000001FF" w:csb1="00000000"/>
  </w:font>
  <w:font w:name="Times New Roman">
    <w:altName w:val="Tahoma"/>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HEBREW LIGH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86437"/>
      <w:docPartObj>
        <w:docPartGallery w:val="Page Numbers (Bottom of Page)"/>
        <w:docPartUnique/>
      </w:docPartObj>
    </w:sdtPr>
    <w:sdtEndPr>
      <w:rPr>
        <w:noProof/>
      </w:rPr>
    </w:sdtEndPr>
    <w:sdtContent>
      <w:p w:rsidR="00A55A4B" w:rsidRDefault="00A55A4B">
        <w:pPr>
          <w:pStyle w:val="Footer"/>
          <w:jc w:val="center"/>
        </w:pPr>
        <w:r>
          <w:fldChar w:fldCharType="begin"/>
        </w:r>
        <w:r>
          <w:instrText xml:space="preserve"> PAGE   \* MERGEFORMAT </w:instrText>
        </w:r>
        <w:r>
          <w:fldChar w:fldCharType="separate"/>
        </w:r>
        <w:r w:rsidR="00420BFE">
          <w:rPr>
            <w:noProof/>
          </w:rPr>
          <w:t>2</w:t>
        </w:r>
        <w:r>
          <w:rPr>
            <w:noProof/>
          </w:rPr>
          <w:fldChar w:fldCharType="end"/>
        </w:r>
      </w:p>
    </w:sdtContent>
  </w:sdt>
  <w:p w:rsidR="00A55A4B" w:rsidRDefault="00A55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8A3" w:rsidRDefault="005B08A3" w:rsidP="00AC2667">
      <w:pPr>
        <w:spacing w:after="0" w:line="240" w:lineRule="auto"/>
      </w:pPr>
      <w:r>
        <w:separator/>
      </w:r>
    </w:p>
  </w:footnote>
  <w:footnote w:type="continuationSeparator" w:id="0">
    <w:p w:rsidR="005B08A3" w:rsidRDefault="005B08A3" w:rsidP="00AC2667">
      <w:pPr>
        <w:spacing w:after="0" w:line="240" w:lineRule="auto"/>
      </w:pPr>
      <w:r>
        <w:continuationSeparator/>
      </w:r>
    </w:p>
  </w:footnote>
  <w:footnote w:id="1">
    <w:p w:rsidR="0049053E" w:rsidRDefault="0049053E">
      <w:pPr>
        <w:pStyle w:val="FootnoteText"/>
      </w:pPr>
      <w:r>
        <w:rPr>
          <w:rStyle w:val="FootnoteReference"/>
        </w:rPr>
        <w:footnoteRef/>
      </w:r>
      <w:r>
        <w:t xml:space="preserve"> </w:t>
      </w:r>
      <w:r w:rsidRPr="0049053E">
        <w:t>(5) A court must make an order declaring a person to be a delinquent director if the person </w:t>
      </w:r>
    </w:p>
    <w:p w:rsidR="002142D3" w:rsidRDefault="002142D3">
      <w:pPr>
        <w:pStyle w:val="FootnoteText"/>
      </w:pPr>
      <w:r w:rsidRPr="002142D3">
        <w:t>(c)    while a director —     </w:t>
      </w:r>
    </w:p>
    <w:p w:rsidR="00DC6F6A" w:rsidRDefault="002142D3">
      <w:pPr>
        <w:pStyle w:val="FootnoteText"/>
      </w:pPr>
      <w:r w:rsidRPr="002142D3">
        <w:t>  (i)  grossly abused the position of director;      (ii)  took personal advantage of information or an opportunity, contrary to section 76(2)(</w:t>
      </w:r>
      <w:r w:rsidR="00CE6CED" w:rsidRPr="002142D3">
        <w:t>a) ;</w:t>
      </w:r>
      <w:r w:rsidRPr="002142D3">
        <w:t xml:space="preserve">     (iii)  intentionally, or by gross negligence, inflicted harm upon the company or a subsidiary of the company</w:t>
      </w:r>
    </w:p>
    <w:p w:rsidR="00CE6CED" w:rsidRDefault="00DC6F6A">
      <w:pPr>
        <w:pStyle w:val="FootnoteText"/>
      </w:pPr>
      <w:r>
        <w:t>c</w:t>
      </w:r>
      <w:r w:rsidR="002142D3" w:rsidRPr="002142D3">
        <w:t xml:space="preserve">ontrary to section 76(2) (a); </w:t>
      </w:r>
    </w:p>
    <w:p w:rsidR="006C11E5" w:rsidRDefault="002142D3">
      <w:pPr>
        <w:pStyle w:val="FootnoteText"/>
      </w:pPr>
      <w:r w:rsidRPr="002142D3">
        <w:t>  (iv)  acted in a manner — (</w:t>
      </w:r>
      <w:r w:rsidR="00B1042E" w:rsidRPr="002142D3">
        <w:t>aa) that</w:t>
      </w:r>
      <w:r w:rsidRPr="002142D3">
        <w:t> amounted to gross negligence, wilful misconduct or breach of trust in relation to the performance of the director’s functions within, and duties to, the company; or (</w:t>
      </w:r>
      <w:r w:rsidR="002836B8" w:rsidRPr="002142D3">
        <w:t>bb) contemplated</w:t>
      </w:r>
      <w:r w:rsidRPr="002142D3">
        <w:t> in section 77(3)(a), (b) or (c);</w:t>
      </w:r>
    </w:p>
  </w:footnote>
  <w:footnote w:id="2">
    <w:p w:rsidR="00C73756" w:rsidRDefault="00F36E90">
      <w:pPr>
        <w:pStyle w:val="FootnoteText"/>
      </w:pPr>
      <w:r>
        <w:rPr>
          <w:rStyle w:val="FootnoteReference"/>
        </w:rPr>
        <w:footnoteRef/>
      </w:r>
      <w:r>
        <w:t xml:space="preserve"> </w:t>
      </w:r>
      <w:r w:rsidR="00F9542F" w:rsidRPr="00F9542F">
        <w:t xml:space="preserve">(2) A director of a company must — </w:t>
      </w:r>
    </w:p>
    <w:p w:rsidR="006C11E5" w:rsidRDefault="00F9542F">
      <w:pPr>
        <w:pStyle w:val="FootnoteText"/>
      </w:pPr>
      <w:r w:rsidRPr="00F9542F">
        <w:t>(</w:t>
      </w:r>
      <w:r w:rsidR="00C73756" w:rsidRPr="00F9542F">
        <w:t>a)</w:t>
      </w:r>
      <w:r w:rsidRPr="00F9542F">
        <w:t>not use the position of director, or any information obtained while acting in the capacity of a director </w:t>
      </w:r>
      <w:r w:rsidR="002836B8" w:rsidRPr="00F9542F">
        <w:t>— (</w:t>
      </w:r>
      <w:r w:rsidRPr="00F9542F">
        <w:t>i</w:t>
      </w:r>
      <w:r w:rsidR="002836B8" w:rsidRPr="00F9542F">
        <w:t>) to</w:t>
      </w:r>
      <w:r w:rsidRPr="00F9542F">
        <w:t> gain an advantage for the director, or for another person other than the company or a wholly</w:t>
      </w:r>
      <w:r w:rsidRPr="00F9542F">
        <w:softHyphen/>
        <w:t>owned subsidiary of the company; </w:t>
      </w:r>
      <w:r w:rsidR="002836B8" w:rsidRPr="00F9542F">
        <w:t>or (</w:t>
      </w:r>
      <w:r w:rsidRPr="00F9542F">
        <w:t>ii</w:t>
      </w:r>
      <w:r w:rsidR="002836B8" w:rsidRPr="00F9542F">
        <w:t>) to</w:t>
      </w:r>
      <w:r w:rsidRPr="00F9542F">
        <w:t> knowingly cause harm to the company or a subsidiary of the company; </w:t>
      </w:r>
    </w:p>
  </w:footnote>
  <w:footnote w:id="3">
    <w:p w:rsidR="00D31650" w:rsidRDefault="00534F64">
      <w:pPr>
        <w:pStyle w:val="FootnoteText"/>
      </w:pPr>
      <w:r>
        <w:rPr>
          <w:rStyle w:val="FootnoteReference"/>
        </w:rPr>
        <w:footnoteRef/>
      </w:r>
      <w:r w:rsidR="00D31650" w:rsidRPr="00D31650">
        <w:t>3) Subject to subsections (4) and (5), a director of a company, when acting in that capacity, must exercise the powers and perform the functions of director —</w:t>
      </w:r>
    </w:p>
    <w:p w:rsidR="006C11E5" w:rsidRDefault="00D31650">
      <w:pPr>
        <w:pStyle w:val="FootnoteText"/>
      </w:pPr>
      <w:r w:rsidRPr="00D31650">
        <w:t xml:space="preserve"> (a)    in good faith and for a proper purpose; (b)    in the best interests of the company; and (c)    with the degree of care, skill and diligence that may reasonably be expected of a person —</w:t>
      </w:r>
    </w:p>
  </w:footnote>
  <w:footnote w:id="4">
    <w:p w:rsidR="006C11E5" w:rsidRDefault="00DC6F6A">
      <w:pPr>
        <w:pStyle w:val="FootnoteText"/>
      </w:pPr>
      <w:r>
        <w:rPr>
          <w:rStyle w:val="FootnoteReference"/>
        </w:rPr>
        <w:footnoteRef/>
      </w:r>
      <w:r w:rsidRPr="00DC6F6A">
        <w:t>(3) A director of a company is liable for any loss, damages or costs sustained by the company as a direct or in</w:t>
      </w:r>
      <w:r>
        <w:t xml:space="preserve"> </w:t>
      </w:r>
      <w:r w:rsidRPr="00DC6F6A">
        <w:t>direct consequence of the director having — (c)    been a party to an act or omission by the company despite knowing that the act or omission was calculated to defraud a creditor, employee or shareholder of the company, or had another fraudulent purpose;</w:t>
      </w:r>
    </w:p>
  </w:footnote>
  <w:footnote w:id="5">
    <w:p w:rsidR="006C11E5" w:rsidRDefault="00AB6798">
      <w:pPr>
        <w:pStyle w:val="FootnoteText"/>
      </w:pPr>
      <w:r>
        <w:rPr>
          <w:rStyle w:val="FootnoteReference"/>
        </w:rPr>
        <w:footnoteRef/>
      </w:r>
      <w:r>
        <w:t xml:space="preserve"> R Cassim </w:t>
      </w:r>
      <w:r w:rsidR="004B3494">
        <w:t>“A</w:t>
      </w:r>
      <w:r>
        <w:t xml:space="preserve"> Comparative Discussion of Judicial Disqualification of Directors under South African Companies Act” </w:t>
      </w:r>
      <w:r w:rsidRPr="004B3494">
        <w:rPr>
          <w:b/>
          <w:bCs/>
          <w:i/>
          <w:iCs/>
        </w:rPr>
        <w:t>Journal of African Law</w:t>
      </w:r>
      <w:r>
        <w:t>, 65 Vol. 65</w:t>
      </w:r>
      <w:r w:rsidR="004B3494">
        <w:t xml:space="preserve"> No.</w:t>
      </w:r>
      <w:r>
        <w:t xml:space="preserve"> 1 (2021) page </w:t>
      </w:r>
      <w:r w:rsidR="004B3494">
        <w:t>92</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54"/>
    <w:rsid w:val="000020D4"/>
    <w:rsid w:val="00011EF9"/>
    <w:rsid w:val="00032E6C"/>
    <w:rsid w:val="000358DE"/>
    <w:rsid w:val="000422CC"/>
    <w:rsid w:val="00043FC4"/>
    <w:rsid w:val="000540C6"/>
    <w:rsid w:val="00062B3F"/>
    <w:rsid w:val="00065968"/>
    <w:rsid w:val="000703D8"/>
    <w:rsid w:val="000863CF"/>
    <w:rsid w:val="000A041F"/>
    <w:rsid w:val="000A0895"/>
    <w:rsid w:val="000B76CD"/>
    <w:rsid w:val="000C2A63"/>
    <w:rsid w:val="000C2B8D"/>
    <w:rsid w:val="000D3DF0"/>
    <w:rsid w:val="000D569D"/>
    <w:rsid w:val="000F4997"/>
    <w:rsid w:val="000F51FA"/>
    <w:rsid w:val="001021EE"/>
    <w:rsid w:val="00113531"/>
    <w:rsid w:val="00116A65"/>
    <w:rsid w:val="001238F9"/>
    <w:rsid w:val="00133955"/>
    <w:rsid w:val="001352CE"/>
    <w:rsid w:val="0014305B"/>
    <w:rsid w:val="00145A30"/>
    <w:rsid w:val="00145F69"/>
    <w:rsid w:val="001460D6"/>
    <w:rsid w:val="00147A95"/>
    <w:rsid w:val="00151C1F"/>
    <w:rsid w:val="001533D9"/>
    <w:rsid w:val="001620BE"/>
    <w:rsid w:val="001634D6"/>
    <w:rsid w:val="0016471B"/>
    <w:rsid w:val="001703C8"/>
    <w:rsid w:val="00172190"/>
    <w:rsid w:val="00177EF5"/>
    <w:rsid w:val="00180A00"/>
    <w:rsid w:val="00184489"/>
    <w:rsid w:val="00186B60"/>
    <w:rsid w:val="00192A88"/>
    <w:rsid w:val="00194964"/>
    <w:rsid w:val="00195C60"/>
    <w:rsid w:val="001A3593"/>
    <w:rsid w:val="001A7267"/>
    <w:rsid w:val="001B3190"/>
    <w:rsid w:val="001C674A"/>
    <w:rsid w:val="001C7A32"/>
    <w:rsid w:val="001D322E"/>
    <w:rsid w:val="001E511C"/>
    <w:rsid w:val="001E55EC"/>
    <w:rsid w:val="002142D3"/>
    <w:rsid w:val="002162FC"/>
    <w:rsid w:val="0023392B"/>
    <w:rsid w:val="002510C9"/>
    <w:rsid w:val="002521AC"/>
    <w:rsid w:val="002836B8"/>
    <w:rsid w:val="00285197"/>
    <w:rsid w:val="0028534B"/>
    <w:rsid w:val="002A11E0"/>
    <w:rsid w:val="002B0AD0"/>
    <w:rsid w:val="002B1E52"/>
    <w:rsid w:val="002B3AEC"/>
    <w:rsid w:val="002B7D15"/>
    <w:rsid w:val="002C3810"/>
    <w:rsid w:val="002C7355"/>
    <w:rsid w:val="002F2346"/>
    <w:rsid w:val="003038FF"/>
    <w:rsid w:val="00311AA2"/>
    <w:rsid w:val="00317466"/>
    <w:rsid w:val="003274BB"/>
    <w:rsid w:val="00342850"/>
    <w:rsid w:val="00343A13"/>
    <w:rsid w:val="00345A0D"/>
    <w:rsid w:val="00354E7F"/>
    <w:rsid w:val="003635D9"/>
    <w:rsid w:val="00371068"/>
    <w:rsid w:val="00372B70"/>
    <w:rsid w:val="003740FE"/>
    <w:rsid w:val="00377814"/>
    <w:rsid w:val="00377CFB"/>
    <w:rsid w:val="0038041F"/>
    <w:rsid w:val="00390552"/>
    <w:rsid w:val="003A4683"/>
    <w:rsid w:val="003A5CFC"/>
    <w:rsid w:val="003A70B0"/>
    <w:rsid w:val="003B3FF6"/>
    <w:rsid w:val="003C15FE"/>
    <w:rsid w:val="003D0867"/>
    <w:rsid w:val="003E3C4B"/>
    <w:rsid w:val="00400DE1"/>
    <w:rsid w:val="0040290B"/>
    <w:rsid w:val="00403FD8"/>
    <w:rsid w:val="00413CC3"/>
    <w:rsid w:val="00420BFE"/>
    <w:rsid w:val="00422ADD"/>
    <w:rsid w:val="00427899"/>
    <w:rsid w:val="00430004"/>
    <w:rsid w:val="004307E6"/>
    <w:rsid w:val="0044384E"/>
    <w:rsid w:val="004516B1"/>
    <w:rsid w:val="0046608F"/>
    <w:rsid w:val="00471D32"/>
    <w:rsid w:val="00471E8E"/>
    <w:rsid w:val="004770A0"/>
    <w:rsid w:val="0049053E"/>
    <w:rsid w:val="004A28BB"/>
    <w:rsid w:val="004B285C"/>
    <w:rsid w:val="004B3494"/>
    <w:rsid w:val="004C6A73"/>
    <w:rsid w:val="004E1763"/>
    <w:rsid w:val="004E4F33"/>
    <w:rsid w:val="005017C9"/>
    <w:rsid w:val="00503CD7"/>
    <w:rsid w:val="00506B06"/>
    <w:rsid w:val="00514E53"/>
    <w:rsid w:val="005155BC"/>
    <w:rsid w:val="005202AA"/>
    <w:rsid w:val="00530EE7"/>
    <w:rsid w:val="00534F64"/>
    <w:rsid w:val="005444B1"/>
    <w:rsid w:val="005553F9"/>
    <w:rsid w:val="00556A12"/>
    <w:rsid w:val="00566B36"/>
    <w:rsid w:val="00582DFE"/>
    <w:rsid w:val="00583AAA"/>
    <w:rsid w:val="00584472"/>
    <w:rsid w:val="005856DF"/>
    <w:rsid w:val="005B08A3"/>
    <w:rsid w:val="005B4FED"/>
    <w:rsid w:val="005C4C25"/>
    <w:rsid w:val="005D0539"/>
    <w:rsid w:val="005E05D0"/>
    <w:rsid w:val="005E6D2C"/>
    <w:rsid w:val="005F1054"/>
    <w:rsid w:val="00603241"/>
    <w:rsid w:val="006131F7"/>
    <w:rsid w:val="00615833"/>
    <w:rsid w:val="00622B1B"/>
    <w:rsid w:val="006276A4"/>
    <w:rsid w:val="006405B4"/>
    <w:rsid w:val="0064295D"/>
    <w:rsid w:val="00651152"/>
    <w:rsid w:val="0066071B"/>
    <w:rsid w:val="00663E63"/>
    <w:rsid w:val="00667870"/>
    <w:rsid w:val="00670768"/>
    <w:rsid w:val="006770EA"/>
    <w:rsid w:val="00682B42"/>
    <w:rsid w:val="006850F2"/>
    <w:rsid w:val="0069384F"/>
    <w:rsid w:val="006955B9"/>
    <w:rsid w:val="006A3D0A"/>
    <w:rsid w:val="006B1B97"/>
    <w:rsid w:val="006C11E5"/>
    <w:rsid w:val="006E0324"/>
    <w:rsid w:val="006E1AD3"/>
    <w:rsid w:val="006E2A58"/>
    <w:rsid w:val="006E79EE"/>
    <w:rsid w:val="00704606"/>
    <w:rsid w:val="00704A67"/>
    <w:rsid w:val="00706B90"/>
    <w:rsid w:val="007362B4"/>
    <w:rsid w:val="007524B3"/>
    <w:rsid w:val="0075345E"/>
    <w:rsid w:val="00763610"/>
    <w:rsid w:val="007745E5"/>
    <w:rsid w:val="00774B62"/>
    <w:rsid w:val="0077551E"/>
    <w:rsid w:val="00783BD1"/>
    <w:rsid w:val="00796189"/>
    <w:rsid w:val="00796A37"/>
    <w:rsid w:val="007B270B"/>
    <w:rsid w:val="007B5448"/>
    <w:rsid w:val="007C11A9"/>
    <w:rsid w:val="007C1846"/>
    <w:rsid w:val="007C196F"/>
    <w:rsid w:val="007C51EF"/>
    <w:rsid w:val="007C6AA7"/>
    <w:rsid w:val="007C6DA0"/>
    <w:rsid w:val="007D0C23"/>
    <w:rsid w:val="007E1D3A"/>
    <w:rsid w:val="007E7DEE"/>
    <w:rsid w:val="00803098"/>
    <w:rsid w:val="008065FC"/>
    <w:rsid w:val="008311B1"/>
    <w:rsid w:val="00842CD3"/>
    <w:rsid w:val="00854401"/>
    <w:rsid w:val="0085544F"/>
    <w:rsid w:val="008604D8"/>
    <w:rsid w:val="00880955"/>
    <w:rsid w:val="008827BB"/>
    <w:rsid w:val="0088561F"/>
    <w:rsid w:val="0088799C"/>
    <w:rsid w:val="00890F55"/>
    <w:rsid w:val="008B54D6"/>
    <w:rsid w:val="008B7128"/>
    <w:rsid w:val="008C5AD3"/>
    <w:rsid w:val="008F0C93"/>
    <w:rsid w:val="008F4441"/>
    <w:rsid w:val="008F51FE"/>
    <w:rsid w:val="0090423F"/>
    <w:rsid w:val="009062FD"/>
    <w:rsid w:val="00910262"/>
    <w:rsid w:val="0091036E"/>
    <w:rsid w:val="0091531B"/>
    <w:rsid w:val="0093761D"/>
    <w:rsid w:val="0096079C"/>
    <w:rsid w:val="009705B3"/>
    <w:rsid w:val="00970DAE"/>
    <w:rsid w:val="00987CBB"/>
    <w:rsid w:val="009A02BD"/>
    <w:rsid w:val="009B790C"/>
    <w:rsid w:val="009C004F"/>
    <w:rsid w:val="009C28CC"/>
    <w:rsid w:val="009E544E"/>
    <w:rsid w:val="009F1C75"/>
    <w:rsid w:val="00A14B72"/>
    <w:rsid w:val="00A434E8"/>
    <w:rsid w:val="00A43784"/>
    <w:rsid w:val="00A448B8"/>
    <w:rsid w:val="00A46457"/>
    <w:rsid w:val="00A51404"/>
    <w:rsid w:val="00A55A4B"/>
    <w:rsid w:val="00A61743"/>
    <w:rsid w:val="00A70B1B"/>
    <w:rsid w:val="00A76342"/>
    <w:rsid w:val="00A76A29"/>
    <w:rsid w:val="00A86901"/>
    <w:rsid w:val="00AA4D83"/>
    <w:rsid w:val="00AB6798"/>
    <w:rsid w:val="00AC2667"/>
    <w:rsid w:val="00AD06D2"/>
    <w:rsid w:val="00AE2D58"/>
    <w:rsid w:val="00AE6EE6"/>
    <w:rsid w:val="00AF2554"/>
    <w:rsid w:val="00AF2DF0"/>
    <w:rsid w:val="00AF748A"/>
    <w:rsid w:val="00B0333D"/>
    <w:rsid w:val="00B055A1"/>
    <w:rsid w:val="00B1042E"/>
    <w:rsid w:val="00B211B0"/>
    <w:rsid w:val="00B22279"/>
    <w:rsid w:val="00B23119"/>
    <w:rsid w:val="00B26B52"/>
    <w:rsid w:val="00B34992"/>
    <w:rsid w:val="00B351DD"/>
    <w:rsid w:val="00B37420"/>
    <w:rsid w:val="00B55D5C"/>
    <w:rsid w:val="00B66EA6"/>
    <w:rsid w:val="00B71A93"/>
    <w:rsid w:val="00B75DEA"/>
    <w:rsid w:val="00B848F3"/>
    <w:rsid w:val="00B94B48"/>
    <w:rsid w:val="00B97048"/>
    <w:rsid w:val="00BA1206"/>
    <w:rsid w:val="00BA6F71"/>
    <w:rsid w:val="00BC18A1"/>
    <w:rsid w:val="00BC3932"/>
    <w:rsid w:val="00C00118"/>
    <w:rsid w:val="00C107E7"/>
    <w:rsid w:val="00C143A2"/>
    <w:rsid w:val="00C16397"/>
    <w:rsid w:val="00C32C0A"/>
    <w:rsid w:val="00C40818"/>
    <w:rsid w:val="00C6331D"/>
    <w:rsid w:val="00C644DF"/>
    <w:rsid w:val="00C655D4"/>
    <w:rsid w:val="00C73756"/>
    <w:rsid w:val="00C840F5"/>
    <w:rsid w:val="00C94A82"/>
    <w:rsid w:val="00CA455C"/>
    <w:rsid w:val="00CB19E1"/>
    <w:rsid w:val="00CC5D36"/>
    <w:rsid w:val="00CC7566"/>
    <w:rsid w:val="00CD217A"/>
    <w:rsid w:val="00CD677E"/>
    <w:rsid w:val="00CE6CED"/>
    <w:rsid w:val="00CF519F"/>
    <w:rsid w:val="00D06561"/>
    <w:rsid w:val="00D23732"/>
    <w:rsid w:val="00D27E66"/>
    <w:rsid w:val="00D31650"/>
    <w:rsid w:val="00D3442D"/>
    <w:rsid w:val="00D5723C"/>
    <w:rsid w:val="00D57CA5"/>
    <w:rsid w:val="00D65CE1"/>
    <w:rsid w:val="00D67374"/>
    <w:rsid w:val="00D75C8A"/>
    <w:rsid w:val="00D906C3"/>
    <w:rsid w:val="00DA006A"/>
    <w:rsid w:val="00DB23B8"/>
    <w:rsid w:val="00DB3B99"/>
    <w:rsid w:val="00DC1258"/>
    <w:rsid w:val="00DC568B"/>
    <w:rsid w:val="00DC6F6A"/>
    <w:rsid w:val="00DD26B2"/>
    <w:rsid w:val="00DD6B10"/>
    <w:rsid w:val="00DD7E62"/>
    <w:rsid w:val="00E34296"/>
    <w:rsid w:val="00E43E6B"/>
    <w:rsid w:val="00E474D7"/>
    <w:rsid w:val="00E53C82"/>
    <w:rsid w:val="00E62362"/>
    <w:rsid w:val="00E66038"/>
    <w:rsid w:val="00EB2D2B"/>
    <w:rsid w:val="00EE5501"/>
    <w:rsid w:val="00EF51CC"/>
    <w:rsid w:val="00F018B9"/>
    <w:rsid w:val="00F11DBD"/>
    <w:rsid w:val="00F13F65"/>
    <w:rsid w:val="00F146EC"/>
    <w:rsid w:val="00F15B93"/>
    <w:rsid w:val="00F1625B"/>
    <w:rsid w:val="00F22305"/>
    <w:rsid w:val="00F328B0"/>
    <w:rsid w:val="00F36E90"/>
    <w:rsid w:val="00F510F8"/>
    <w:rsid w:val="00F55B7C"/>
    <w:rsid w:val="00F92A4F"/>
    <w:rsid w:val="00F9498C"/>
    <w:rsid w:val="00F94D06"/>
    <w:rsid w:val="00F9542F"/>
    <w:rsid w:val="00FB1F5E"/>
    <w:rsid w:val="00FF33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6750AA-3DE5-4361-85D0-55F561A9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266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C2667"/>
    <w:rPr>
      <w:rFonts w:cs="Times New Roman"/>
      <w:sz w:val="20"/>
      <w:szCs w:val="20"/>
    </w:rPr>
  </w:style>
  <w:style w:type="character" w:styleId="FootnoteReference">
    <w:name w:val="footnote reference"/>
    <w:basedOn w:val="DefaultParagraphFont"/>
    <w:uiPriority w:val="99"/>
    <w:semiHidden/>
    <w:unhideWhenUsed/>
    <w:rsid w:val="00AC2667"/>
    <w:rPr>
      <w:rFonts w:cs="Times New Roman"/>
      <w:vertAlign w:val="superscript"/>
    </w:rPr>
  </w:style>
  <w:style w:type="paragraph" w:styleId="Header">
    <w:name w:val="header"/>
    <w:basedOn w:val="Normal"/>
    <w:link w:val="HeaderChar"/>
    <w:uiPriority w:val="99"/>
    <w:unhideWhenUsed/>
    <w:rsid w:val="00A55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A4B"/>
    <w:rPr>
      <w:rFonts w:cs="Times New Roman"/>
    </w:rPr>
  </w:style>
  <w:style w:type="paragraph" w:styleId="Footer">
    <w:name w:val="footer"/>
    <w:basedOn w:val="Normal"/>
    <w:link w:val="FooterChar"/>
    <w:uiPriority w:val="99"/>
    <w:unhideWhenUsed/>
    <w:rsid w:val="00A55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A4B"/>
    <w:rPr>
      <w:rFonts w:cs="Times New Roman"/>
    </w:rPr>
  </w:style>
  <w:style w:type="paragraph" w:styleId="BalloonText">
    <w:name w:val="Balloon Text"/>
    <w:basedOn w:val="Normal"/>
    <w:link w:val="BalloonTextChar"/>
    <w:uiPriority w:val="99"/>
    <w:semiHidden/>
    <w:unhideWhenUsed/>
    <w:rsid w:val="00DA0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374D5-8A50-4AE5-9CDB-FFC6827B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Thupaatlase Tebogo</dc:creator>
  <cp:keywords/>
  <dc:description/>
  <cp:lastModifiedBy>Lazarus Rakgwale</cp:lastModifiedBy>
  <cp:revision>2</cp:revision>
  <cp:lastPrinted>2022-08-18T10:16:00Z</cp:lastPrinted>
  <dcterms:created xsi:type="dcterms:W3CDTF">2022-08-29T07:15:00Z</dcterms:created>
  <dcterms:modified xsi:type="dcterms:W3CDTF">2022-08-29T07:15:00Z</dcterms:modified>
</cp:coreProperties>
</file>