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3BC56" w14:textId="77777777" w:rsidR="00BF219B" w:rsidRDefault="00BF219B" w:rsidP="00BF219B">
      <w:pPr>
        <w:spacing w:line="360" w:lineRule="auto"/>
        <w:ind w:left="292" w:hangingChars="127" w:hanging="292"/>
        <w:jc w:val="center"/>
        <w:rPr>
          <w:rFonts w:cs="Arial"/>
          <w:bCs/>
          <w:color w:val="1D1C1D"/>
          <w:sz w:val="23"/>
          <w:szCs w:val="23"/>
          <w:shd w:val="clear" w:color="auto" w:fill="F8F8F8"/>
        </w:rPr>
      </w:pPr>
      <w:r>
        <w:rPr>
          <w:rFonts w:cs="Arial"/>
          <w:bCs/>
          <w:color w:val="1D1C1D"/>
          <w:sz w:val="23"/>
          <w:szCs w:val="23"/>
          <w:shd w:val="clear" w:color="auto" w:fill="F8F8F8"/>
        </w:rPr>
        <w:t>Editorial note: Certain information has been redacted from this judgment in compliance with the law.</w:t>
      </w:r>
    </w:p>
    <w:p w14:paraId="26E11274" w14:textId="77777777" w:rsidR="00DC1F46" w:rsidRDefault="00DC1F46" w:rsidP="00A361B1">
      <w:pPr>
        <w:pStyle w:val="Title"/>
        <w:rPr>
          <w:rFonts w:ascii="Arial" w:hAnsi="Arial"/>
        </w:rPr>
      </w:pPr>
      <w:r>
        <w:rPr>
          <w:b w:val="0"/>
          <w:noProof/>
          <w:lang w:val="en-US"/>
        </w:rPr>
        <w:drawing>
          <wp:inline distT="0" distB="0" distL="0" distR="0" wp14:anchorId="0E50E0D6" wp14:editId="4FCE352D">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238DA4F0" w14:textId="77777777" w:rsidR="00DC1F46" w:rsidRDefault="00DC1F46" w:rsidP="00A361B1">
      <w:pPr>
        <w:pStyle w:val="Title"/>
        <w:rPr>
          <w:rFonts w:ascii="Arial" w:hAnsi="Arial"/>
        </w:rPr>
      </w:pPr>
    </w:p>
    <w:p w14:paraId="0BFD58E4" w14:textId="77777777" w:rsidR="00A361B1" w:rsidRDefault="00A361B1" w:rsidP="00A361B1">
      <w:pPr>
        <w:pStyle w:val="Title"/>
        <w:rPr>
          <w:rFonts w:ascii="Arial" w:hAnsi="Arial"/>
        </w:rPr>
      </w:pPr>
      <w:r>
        <w:rPr>
          <w:rFonts w:ascii="Arial" w:hAnsi="Arial"/>
        </w:rPr>
        <w:t xml:space="preserve">IN THE </w:t>
      </w:r>
      <w:r w:rsidR="00670F73">
        <w:rPr>
          <w:rFonts w:ascii="Arial" w:hAnsi="Arial"/>
        </w:rPr>
        <w:t>HIGH COURT OF SOUTH AFRICA</w:t>
      </w:r>
      <w:r>
        <w:rPr>
          <w:rFonts w:ascii="Arial" w:hAnsi="Arial"/>
        </w:rPr>
        <w:t xml:space="preserve"> </w:t>
      </w:r>
    </w:p>
    <w:p w14:paraId="1147E42B" w14:textId="77777777" w:rsidR="00A361B1" w:rsidRDefault="00DC1F46" w:rsidP="000054B8">
      <w:pPr>
        <w:pStyle w:val="Title"/>
        <w:rPr>
          <w:rFonts w:ascii="Arial" w:hAnsi="Arial"/>
        </w:rPr>
      </w:pPr>
      <w:r>
        <w:rPr>
          <w:rFonts w:ascii="Arial" w:hAnsi="Arial"/>
        </w:rPr>
        <w:t xml:space="preserve">GAUTENG </w:t>
      </w:r>
      <w:r w:rsidR="007F7B9D">
        <w:rPr>
          <w:rFonts w:ascii="Arial" w:hAnsi="Arial"/>
        </w:rPr>
        <w:t xml:space="preserve">LOCAL </w:t>
      </w:r>
      <w:r w:rsidR="00670F73">
        <w:rPr>
          <w:rFonts w:ascii="Arial" w:hAnsi="Arial"/>
        </w:rPr>
        <w:t>DIVISION</w:t>
      </w:r>
      <w:r w:rsidR="00225D7F">
        <w:rPr>
          <w:rFonts w:ascii="Arial" w:hAnsi="Arial"/>
        </w:rPr>
        <w:t xml:space="preserve">, </w:t>
      </w:r>
      <w:r w:rsidR="007F7B9D">
        <w:rPr>
          <w:rFonts w:ascii="Arial" w:hAnsi="Arial"/>
        </w:rPr>
        <w:t>JOHANNESBURG</w:t>
      </w:r>
    </w:p>
    <w:p w14:paraId="0E090816" w14:textId="77777777" w:rsidR="00F91A4A" w:rsidRDefault="00F91A4A" w:rsidP="00A361B1">
      <w:pPr>
        <w:pStyle w:val="Title"/>
        <w:rPr>
          <w:rFonts w:ascii="Arial" w:hAnsi="Arial"/>
          <w:sz w:val="24"/>
        </w:rPr>
      </w:pPr>
    </w:p>
    <w:p w14:paraId="0B87EBE4" w14:textId="3666E9E7" w:rsidR="00A361B1" w:rsidRDefault="00A361B1" w:rsidP="00DC1F46">
      <w:pPr>
        <w:pStyle w:val="Title"/>
        <w:tabs>
          <w:tab w:val="left" w:pos="7560"/>
        </w:tabs>
        <w:ind w:left="5760"/>
        <w:jc w:val="left"/>
        <w:rPr>
          <w:rFonts w:ascii="Arial" w:hAnsi="Arial"/>
          <w:sz w:val="24"/>
        </w:rPr>
      </w:pPr>
      <w:r>
        <w:rPr>
          <w:rFonts w:ascii="Arial" w:hAnsi="Arial"/>
          <w:sz w:val="24"/>
        </w:rPr>
        <w:t xml:space="preserve">CASE NO: </w:t>
      </w:r>
      <w:r w:rsidR="00DA7B79">
        <w:rPr>
          <w:rFonts w:ascii="Arial" w:hAnsi="Arial"/>
          <w:sz w:val="24"/>
        </w:rPr>
        <w:t>21137/2017</w:t>
      </w:r>
    </w:p>
    <w:p w14:paraId="787150A2" w14:textId="77777777" w:rsidR="00A361B1" w:rsidRDefault="00A361B1" w:rsidP="00A361B1">
      <w:pPr>
        <w:pStyle w:val="Myown"/>
        <w:tabs>
          <w:tab w:val="clear" w:pos="709"/>
        </w:tabs>
        <w:spacing w:before="0" w:after="0" w:line="240" w:lineRule="auto"/>
        <w:ind w:left="709" w:hanging="709"/>
      </w:pPr>
    </w:p>
    <w:p w14:paraId="2E2F49A5" w14:textId="77777777" w:rsidR="00DC1F46" w:rsidRDefault="00DC1F46" w:rsidP="00DC1F46">
      <w:pPr>
        <w:jc w:val="both"/>
      </w:pPr>
      <w:r>
        <w:rPr>
          <w:noProof/>
          <w:lang w:val="en-US"/>
        </w:rPr>
        <mc:AlternateContent>
          <mc:Choice Requires="wps">
            <w:drawing>
              <wp:anchor distT="0" distB="0" distL="114300" distR="114300" simplePos="0" relativeHeight="251659264" behindDoc="0" locked="0" layoutInCell="1" allowOverlap="1" wp14:anchorId="34DAEB78" wp14:editId="4D88388E">
                <wp:simplePos x="0" y="0"/>
                <wp:positionH relativeFrom="column">
                  <wp:posOffset>0</wp:posOffset>
                </wp:positionH>
                <wp:positionV relativeFrom="paragraph">
                  <wp:posOffset>154940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3C353AC" w14:textId="77777777" w:rsidR="004766D4" w:rsidRPr="00DC1F46" w:rsidRDefault="004766D4" w:rsidP="00DC1F46">
                            <w:pPr>
                              <w:spacing w:after="0" w:line="240" w:lineRule="auto"/>
                              <w:rPr>
                                <w:rFonts w:asciiTheme="minorBidi" w:hAnsiTheme="minorBidi"/>
                                <w:sz w:val="20"/>
                                <w:szCs w:val="20"/>
                              </w:rPr>
                            </w:pPr>
                          </w:p>
                          <w:p w14:paraId="476DBAE3" w14:textId="62EEA961" w:rsidR="004766D4" w:rsidRPr="00DC1F46" w:rsidRDefault="003D63D6" w:rsidP="003D63D6">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4766D4" w:rsidRPr="00DC1F46">
                              <w:rPr>
                                <w:rFonts w:asciiTheme="minorBidi" w:hAnsiTheme="minorBidi"/>
                                <w:sz w:val="20"/>
                                <w:szCs w:val="20"/>
                                <w:u w:val="single"/>
                              </w:rPr>
                              <w:t xml:space="preserve">REPORTABLE: </w:t>
                            </w:r>
                            <w:r w:rsidR="004766D4">
                              <w:rPr>
                                <w:rFonts w:asciiTheme="minorBidi" w:hAnsiTheme="minorBidi"/>
                                <w:sz w:val="20"/>
                                <w:szCs w:val="20"/>
                                <w:u w:val="single"/>
                              </w:rPr>
                              <w:t>NO</w:t>
                            </w:r>
                          </w:p>
                          <w:p w14:paraId="57A7624B" w14:textId="20BF38B1" w:rsidR="004766D4" w:rsidRPr="00DC1F46" w:rsidRDefault="003D63D6" w:rsidP="003D63D6">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4766D4" w:rsidRPr="00DC1F46">
                              <w:rPr>
                                <w:rFonts w:asciiTheme="minorBidi" w:hAnsiTheme="minorBidi"/>
                                <w:sz w:val="20"/>
                                <w:szCs w:val="20"/>
                                <w:u w:val="single"/>
                              </w:rPr>
                              <w:t>OF INTEREST TO OTHER JUDGES: NO</w:t>
                            </w:r>
                          </w:p>
                          <w:p w14:paraId="4B72AA31" w14:textId="64C6267B" w:rsidR="004766D4" w:rsidRPr="00DC1F46" w:rsidRDefault="003D63D6" w:rsidP="003D63D6">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4766D4" w:rsidRPr="00DC1F46">
                              <w:rPr>
                                <w:rFonts w:asciiTheme="minorBidi" w:hAnsiTheme="minorBidi"/>
                                <w:sz w:val="20"/>
                                <w:szCs w:val="20"/>
                                <w:u w:val="single"/>
                              </w:rPr>
                              <w:t xml:space="preserve">REVISED: </w:t>
                            </w:r>
                            <w:r w:rsidR="004766D4">
                              <w:rPr>
                                <w:rFonts w:asciiTheme="minorBidi" w:hAnsiTheme="minorBidi"/>
                                <w:sz w:val="20"/>
                                <w:szCs w:val="20"/>
                                <w:u w:val="single"/>
                              </w:rPr>
                              <w:t>NO</w:t>
                            </w:r>
                          </w:p>
                          <w:p w14:paraId="08F7F691" w14:textId="77777777" w:rsidR="004766D4" w:rsidRDefault="004766D4" w:rsidP="00DC1F46">
                            <w:pPr>
                              <w:spacing w:after="0" w:line="240" w:lineRule="auto"/>
                              <w:rPr>
                                <w:b/>
                                <w:sz w:val="18"/>
                                <w:szCs w:val="18"/>
                              </w:rPr>
                            </w:pPr>
                          </w:p>
                          <w:p w14:paraId="2BBAC735" w14:textId="77777777" w:rsidR="004766D4" w:rsidRPr="00BA1B82" w:rsidRDefault="004766D4" w:rsidP="00DC1F46">
                            <w:pPr>
                              <w:spacing w:after="0" w:line="240" w:lineRule="auto"/>
                              <w:rPr>
                                <w:b/>
                                <w:sz w:val="18"/>
                                <w:szCs w:val="18"/>
                              </w:rPr>
                            </w:pPr>
                          </w:p>
                          <w:p w14:paraId="37790E60" w14:textId="0EC8D578" w:rsidR="004766D4" w:rsidRPr="00084341" w:rsidRDefault="004766D4" w:rsidP="00BC2AF2">
                            <w:pPr>
                              <w:spacing w:after="0" w:line="240" w:lineRule="auto"/>
                              <w:rPr>
                                <w:rFonts w:ascii="Century Gothic" w:hAnsi="Century Gothic"/>
                                <w:b/>
                                <w:sz w:val="18"/>
                                <w:szCs w:val="18"/>
                              </w:rPr>
                            </w:pPr>
                            <w:r>
                              <w:rPr>
                                <w:rFonts w:ascii="Century Gothic" w:hAnsi="Century Gothic"/>
                                <w:b/>
                                <w:sz w:val="18"/>
                                <w:szCs w:val="18"/>
                              </w:rPr>
                              <w:t xml:space="preserve">  [</w:t>
                            </w:r>
                            <w:r w:rsidR="00656036">
                              <w:rPr>
                                <w:rFonts w:ascii="Century Gothic" w:hAnsi="Century Gothic"/>
                                <w:b/>
                                <w:sz w:val="18"/>
                                <w:szCs w:val="18"/>
                              </w:rPr>
                              <w:t xml:space="preserve">13 January </w:t>
                            </w:r>
                            <w:r>
                              <w:rPr>
                                <w:rFonts w:ascii="Century Gothic" w:hAnsi="Century Gothic"/>
                                <w:b/>
                                <w:sz w:val="18"/>
                                <w:szCs w:val="18"/>
                              </w:rPr>
                              <w:t>202</w:t>
                            </w:r>
                            <w:r w:rsidR="00361686">
                              <w:rPr>
                                <w:rFonts w:ascii="Century Gothic" w:hAnsi="Century Gothic"/>
                                <w:b/>
                                <w:sz w:val="18"/>
                                <w:szCs w:val="18"/>
                              </w:rPr>
                              <w:t>2</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3A2955B6" w14:textId="77777777" w:rsidR="004766D4" w:rsidRPr="00084341" w:rsidRDefault="004766D4"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5ECA02FA" w14:textId="77777777" w:rsidR="004766D4" w:rsidRDefault="00476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AEB78"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14:paraId="13C353AC" w14:textId="77777777" w:rsidR="004766D4" w:rsidRPr="00DC1F46" w:rsidRDefault="004766D4" w:rsidP="00DC1F46">
                      <w:pPr>
                        <w:spacing w:after="0" w:line="240" w:lineRule="auto"/>
                        <w:rPr>
                          <w:rFonts w:asciiTheme="minorBidi" w:hAnsiTheme="minorBidi"/>
                          <w:sz w:val="20"/>
                          <w:szCs w:val="20"/>
                        </w:rPr>
                      </w:pPr>
                    </w:p>
                    <w:p w14:paraId="476DBAE3" w14:textId="62EEA961" w:rsidR="004766D4" w:rsidRPr="00DC1F46" w:rsidRDefault="003D63D6" w:rsidP="003D63D6">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4766D4" w:rsidRPr="00DC1F46">
                        <w:rPr>
                          <w:rFonts w:asciiTheme="minorBidi" w:hAnsiTheme="minorBidi"/>
                          <w:sz w:val="20"/>
                          <w:szCs w:val="20"/>
                          <w:u w:val="single"/>
                        </w:rPr>
                        <w:t xml:space="preserve">REPORTABLE: </w:t>
                      </w:r>
                      <w:r w:rsidR="004766D4">
                        <w:rPr>
                          <w:rFonts w:asciiTheme="minorBidi" w:hAnsiTheme="minorBidi"/>
                          <w:sz w:val="20"/>
                          <w:szCs w:val="20"/>
                          <w:u w:val="single"/>
                        </w:rPr>
                        <w:t>NO</w:t>
                      </w:r>
                    </w:p>
                    <w:p w14:paraId="57A7624B" w14:textId="20BF38B1" w:rsidR="004766D4" w:rsidRPr="00DC1F46" w:rsidRDefault="003D63D6" w:rsidP="003D63D6">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4766D4" w:rsidRPr="00DC1F46">
                        <w:rPr>
                          <w:rFonts w:asciiTheme="minorBidi" w:hAnsiTheme="minorBidi"/>
                          <w:sz w:val="20"/>
                          <w:szCs w:val="20"/>
                          <w:u w:val="single"/>
                        </w:rPr>
                        <w:t>OF INTEREST TO OTHER JUDGES: NO</w:t>
                      </w:r>
                    </w:p>
                    <w:p w14:paraId="4B72AA31" w14:textId="64C6267B" w:rsidR="004766D4" w:rsidRPr="00DC1F46" w:rsidRDefault="003D63D6" w:rsidP="003D63D6">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4766D4" w:rsidRPr="00DC1F46">
                        <w:rPr>
                          <w:rFonts w:asciiTheme="minorBidi" w:hAnsiTheme="minorBidi"/>
                          <w:sz w:val="20"/>
                          <w:szCs w:val="20"/>
                          <w:u w:val="single"/>
                        </w:rPr>
                        <w:t xml:space="preserve">REVISED: </w:t>
                      </w:r>
                      <w:r w:rsidR="004766D4">
                        <w:rPr>
                          <w:rFonts w:asciiTheme="minorBidi" w:hAnsiTheme="minorBidi"/>
                          <w:sz w:val="20"/>
                          <w:szCs w:val="20"/>
                          <w:u w:val="single"/>
                        </w:rPr>
                        <w:t>NO</w:t>
                      </w:r>
                    </w:p>
                    <w:p w14:paraId="08F7F691" w14:textId="77777777" w:rsidR="004766D4" w:rsidRDefault="004766D4" w:rsidP="00DC1F46">
                      <w:pPr>
                        <w:spacing w:after="0" w:line="240" w:lineRule="auto"/>
                        <w:rPr>
                          <w:b/>
                          <w:sz w:val="18"/>
                          <w:szCs w:val="18"/>
                        </w:rPr>
                      </w:pPr>
                    </w:p>
                    <w:p w14:paraId="2BBAC735" w14:textId="77777777" w:rsidR="004766D4" w:rsidRPr="00BA1B82" w:rsidRDefault="004766D4" w:rsidP="00DC1F46">
                      <w:pPr>
                        <w:spacing w:after="0" w:line="240" w:lineRule="auto"/>
                        <w:rPr>
                          <w:b/>
                          <w:sz w:val="18"/>
                          <w:szCs w:val="18"/>
                        </w:rPr>
                      </w:pPr>
                    </w:p>
                    <w:p w14:paraId="37790E60" w14:textId="0EC8D578" w:rsidR="004766D4" w:rsidRPr="00084341" w:rsidRDefault="004766D4" w:rsidP="00BC2AF2">
                      <w:pPr>
                        <w:spacing w:after="0" w:line="240" w:lineRule="auto"/>
                        <w:rPr>
                          <w:rFonts w:ascii="Century Gothic" w:hAnsi="Century Gothic"/>
                          <w:b/>
                          <w:sz w:val="18"/>
                          <w:szCs w:val="18"/>
                        </w:rPr>
                      </w:pPr>
                      <w:r>
                        <w:rPr>
                          <w:rFonts w:ascii="Century Gothic" w:hAnsi="Century Gothic"/>
                          <w:b/>
                          <w:sz w:val="18"/>
                          <w:szCs w:val="18"/>
                        </w:rPr>
                        <w:t xml:space="preserve">  [</w:t>
                      </w:r>
                      <w:r w:rsidR="00656036">
                        <w:rPr>
                          <w:rFonts w:ascii="Century Gothic" w:hAnsi="Century Gothic"/>
                          <w:b/>
                          <w:sz w:val="18"/>
                          <w:szCs w:val="18"/>
                        </w:rPr>
                        <w:t xml:space="preserve">13 January </w:t>
                      </w:r>
                      <w:r>
                        <w:rPr>
                          <w:rFonts w:ascii="Century Gothic" w:hAnsi="Century Gothic"/>
                          <w:b/>
                          <w:sz w:val="18"/>
                          <w:szCs w:val="18"/>
                        </w:rPr>
                        <w:t>202</w:t>
                      </w:r>
                      <w:r w:rsidR="00361686">
                        <w:rPr>
                          <w:rFonts w:ascii="Century Gothic" w:hAnsi="Century Gothic"/>
                          <w:b/>
                          <w:sz w:val="18"/>
                          <w:szCs w:val="18"/>
                        </w:rPr>
                        <w:t>2</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3A2955B6" w14:textId="77777777" w:rsidR="004766D4" w:rsidRPr="00084341" w:rsidRDefault="004766D4"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5ECA02FA" w14:textId="77777777" w:rsidR="004766D4" w:rsidRDefault="004766D4"/>
                  </w:txbxContent>
                </v:textbox>
              </v:shape>
            </w:pict>
          </mc:Fallback>
        </mc:AlternateContent>
      </w:r>
    </w:p>
    <w:p w14:paraId="6728FCE8" w14:textId="77777777" w:rsidR="00DC1F46" w:rsidRPr="009B39F0" w:rsidRDefault="00DC1F46" w:rsidP="00DC1F46">
      <w:pPr>
        <w:jc w:val="both"/>
      </w:pPr>
    </w:p>
    <w:p w14:paraId="2A7B3270" w14:textId="77777777" w:rsidR="00DC1F46" w:rsidRDefault="00DC1F46" w:rsidP="00DC1F46">
      <w:pPr>
        <w:jc w:val="both"/>
      </w:pPr>
    </w:p>
    <w:p w14:paraId="534ACA94" w14:textId="77777777" w:rsidR="00DC1F46" w:rsidRDefault="00DC1F46" w:rsidP="00DC1F46">
      <w:pPr>
        <w:jc w:val="both"/>
      </w:pPr>
    </w:p>
    <w:p w14:paraId="774A6C13" w14:textId="77777777" w:rsidR="00DC1F46" w:rsidRPr="009B39F0" w:rsidRDefault="00DC1F46" w:rsidP="00DC1F46">
      <w:pPr>
        <w:jc w:val="both"/>
      </w:pPr>
    </w:p>
    <w:p w14:paraId="7D210CB6" w14:textId="77777777" w:rsidR="00DC1F46" w:rsidRDefault="00DC1F46" w:rsidP="00A361B1">
      <w:pPr>
        <w:pStyle w:val="Myown"/>
        <w:tabs>
          <w:tab w:val="clear" w:pos="709"/>
        </w:tabs>
        <w:spacing w:before="0" w:after="0" w:line="240" w:lineRule="auto"/>
        <w:ind w:left="709" w:hanging="709"/>
      </w:pPr>
    </w:p>
    <w:p w14:paraId="77F18D09" w14:textId="77777777" w:rsidR="00DC1F46" w:rsidRDefault="00DC1F46" w:rsidP="00A361B1">
      <w:pPr>
        <w:pStyle w:val="Myown"/>
        <w:tabs>
          <w:tab w:val="clear" w:pos="709"/>
        </w:tabs>
        <w:spacing w:before="0" w:after="0" w:line="240" w:lineRule="auto"/>
        <w:ind w:left="709" w:hanging="709"/>
      </w:pPr>
    </w:p>
    <w:p w14:paraId="08BC9A45" w14:textId="77777777" w:rsidR="00A361B1" w:rsidRDefault="00A361B1" w:rsidP="00A361B1">
      <w:pPr>
        <w:pStyle w:val="Myown"/>
        <w:tabs>
          <w:tab w:val="clear" w:pos="709"/>
        </w:tabs>
        <w:spacing w:before="0" w:after="0" w:line="240" w:lineRule="auto"/>
        <w:ind w:left="709" w:hanging="709"/>
      </w:pPr>
      <w:r>
        <w:t>In the matter between:</w:t>
      </w:r>
    </w:p>
    <w:p w14:paraId="4676F041" w14:textId="77777777" w:rsidR="00A361B1" w:rsidRDefault="00A361B1" w:rsidP="00A361B1">
      <w:pPr>
        <w:pStyle w:val="Myown"/>
        <w:tabs>
          <w:tab w:val="clear" w:pos="709"/>
        </w:tabs>
        <w:spacing w:before="0" w:after="0" w:line="240" w:lineRule="auto"/>
        <w:ind w:left="709" w:hanging="709"/>
      </w:pPr>
    </w:p>
    <w:p w14:paraId="5BEBC760" w14:textId="75CF0987" w:rsidR="00EE5B60" w:rsidRDefault="00DA7B79"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sidRPr="00DA7B79">
        <w:rPr>
          <w:b/>
          <w:bCs/>
        </w:rPr>
        <w:t>STEVEN MALGAS</w:t>
      </w:r>
      <w:r w:rsidRPr="00DA7B79">
        <w:rPr>
          <w:b/>
          <w:bCs/>
        </w:rPr>
        <w:tab/>
      </w:r>
      <w:r w:rsidR="00FF4A09" w:rsidRPr="00DA7B79">
        <w:rPr>
          <w:b/>
          <w:bCs/>
        </w:rPr>
        <w:tab/>
      </w:r>
      <w:r w:rsidR="00E47D92" w:rsidRPr="00DA7B79">
        <w:rPr>
          <w:b/>
          <w:bCs/>
          <w:sz w:val="26"/>
          <w:szCs w:val="26"/>
        </w:rPr>
        <w:tab/>
      </w:r>
      <w:r>
        <w:t xml:space="preserve">First </w:t>
      </w:r>
      <w:r w:rsidR="00EE5B60">
        <w:t>Applicant</w:t>
      </w:r>
    </w:p>
    <w:p w14:paraId="22AD7010" w14:textId="72B0DE91" w:rsidR="00DA7B79" w:rsidRDefault="00DA7B79"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065748D4" w14:textId="35AFF832" w:rsidR="00DA7B79" w:rsidRPr="00DA7B79" w:rsidRDefault="00DA7B79"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FAITH MICHELLE MALGAS</w:t>
      </w:r>
      <w:r>
        <w:tab/>
        <w:t>Second Applicant</w:t>
      </w:r>
    </w:p>
    <w:p w14:paraId="7F4C9EF0"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397A6110"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26EA70AA" w14:textId="77777777" w:rsidR="002E41F9" w:rsidRP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Cs/>
        </w:rPr>
        <w:t>and</w:t>
      </w:r>
    </w:p>
    <w:p w14:paraId="0AF0F909"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598E887D"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4C17026B" w14:textId="343C4F06" w:rsidR="00A361B1" w:rsidRDefault="00DA7B7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CLEORESE ALEXANDER</w:t>
      </w:r>
      <w:r w:rsidR="00EE5B60">
        <w:rPr>
          <w:b/>
        </w:rPr>
        <w:tab/>
      </w:r>
      <w:r w:rsidRPr="00DA7B79">
        <w:rPr>
          <w:bCs/>
        </w:rPr>
        <w:t>First</w:t>
      </w:r>
      <w:r>
        <w:rPr>
          <w:b/>
        </w:rPr>
        <w:t xml:space="preserve"> </w:t>
      </w:r>
      <w:r w:rsidR="00EE5B60">
        <w:rPr>
          <w:bCs/>
        </w:rPr>
        <w:t>Respondent</w:t>
      </w:r>
    </w:p>
    <w:p w14:paraId="08B06037" w14:textId="7167D8F2" w:rsidR="00DA7B79" w:rsidRDefault="00DA7B7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37FABA3E" w14:textId="60E05EEA" w:rsidR="00DA7B79" w:rsidRDefault="00DA7B7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DEEDS REGISTRY, JOHANNESBURG</w:t>
      </w:r>
      <w:r>
        <w:rPr>
          <w:bCs/>
        </w:rPr>
        <w:tab/>
        <w:t>Second Respondent</w:t>
      </w:r>
    </w:p>
    <w:p w14:paraId="1AA6181E" w14:textId="70F7F9F5" w:rsidR="00DA7B79" w:rsidRDefault="00DA7B7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743D1BA5" w14:textId="7B3A2B97" w:rsidR="00DA7B79" w:rsidRPr="00DA7B79" w:rsidRDefault="00DA7B7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CITY OF JOHANNESBURG</w:t>
      </w:r>
      <w:r>
        <w:rPr>
          <w:bCs/>
        </w:rPr>
        <w:tab/>
        <w:t>Third Respondent</w:t>
      </w:r>
    </w:p>
    <w:p w14:paraId="29C4A900" w14:textId="77777777" w:rsidR="0080385F" w:rsidRDefault="0080385F" w:rsidP="000054B8">
      <w:pPr>
        <w:pStyle w:val="Myown"/>
        <w:tabs>
          <w:tab w:val="clear" w:pos="709"/>
          <w:tab w:val="left" w:pos="720"/>
          <w:tab w:val="left" w:pos="1440"/>
          <w:tab w:val="left" w:pos="2160"/>
          <w:tab w:val="left" w:pos="2880"/>
          <w:tab w:val="right" w:pos="9072"/>
        </w:tabs>
        <w:spacing w:before="0" w:after="0" w:line="240" w:lineRule="auto"/>
        <w:ind w:left="709" w:right="-46" w:hanging="709"/>
      </w:pPr>
    </w:p>
    <w:p w14:paraId="78942E94" w14:textId="77777777" w:rsidR="00A361B1" w:rsidRDefault="000054B8" w:rsidP="00535EAD">
      <w:pPr>
        <w:pStyle w:val="Myown"/>
        <w:tabs>
          <w:tab w:val="clear" w:pos="709"/>
          <w:tab w:val="right" w:pos="9072"/>
        </w:tabs>
        <w:spacing w:before="0" w:after="0" w:line="240" w:lineRule="auto"/>
        <w:ind w:left="709" w:right="-46" w:hanging="709"/>
      </w:pPr>
      <w:r>
        <w:t>__</w:t>
      </w:r>
      <w:r w:rsidR="00A361B1">
        <w:t>_________________________________________________________________</w:t>
      </w:r>
    </w:p>
    <w:p w14:paraId="67CBCBD7" w14:textId="77777777" w:rsidR="00A361B1" w:rsidRDefault="00A361B1" w:rsidP="00535EAD">
      <w:pPr>
        <w:pStyle w:val="Myown"/>
        <w:tabs>
          <w:tab w:val="clear" w:pos="709"/>
          <w:tab w:val="right" w:pos="9072"/>
        </w:tabs>
        <w:spacing w:before="0" w:after="0" w:line="240" w:lineRule="auto"/>
        <w:ind w:left="709" w:right="-46" w:hanging="709"/>
      </w:pPr>
    </w:p>
    <w:p w14:paraId="1057DC7D" w14:textId="77777777" w:rsidR="009416EC" w:rsidRDefault="00003F6E" w:rsidP="00535EAD">
      <w:pPr>
        <w:pStyle w:val="Myown"/>
        <w:tabs>
          <w:tab w:val="clear" w:pos="709"/>
          <w:tab w:val="right" w:pos="9072"/>
        </w:tabs>
        <w:spacing w:before="0" w:after="0" w:line="240" w:lineRule="auto"/>
        <w:ind w:left="0" w:right="-46" w:firstLine="0"/>
        <w:jc w:val="center"/>
        <w:rPr>
          <w:b/>
        </w:rPr>
      </w:pPr>
      <w:r>
        <w:rPr>
          <w:b/>
        </w:rPr>
        <w:t>J U D G M E N T</w:t>
      </w:r>
      <w:r w:rsidR="002E41F9">
        <w:rPr>
          <w:b/>
        </w:rPr>
        <w:t>:</w:t>
      </w:r>
    </w:p>
    <w:p w14:paraId="15B251AC" w14:textId="77777777" w:rsidR="00A361B1" w:rsidRDefault="000054B8" w:rsidP="00535EAD">
      <w:pPr>
        <w:pStyle w:val="Myown"/>
        <w:tabs>
          <w:tab w:val="clear" w:pos="709"/>
          <w:tab w:val="right" w:pos="9072"/>
        </w:tabs>
        <w:spacing w:before="0" w:after="0" w:line="240" w:lineRule="auto"/>
        <w:ind w:left="0" w:right="-46" w:firstLine="0"/>
        <w:rPr>
          <w:bCs/>
        </w:rPr>
      </w:pPr>
      <w:r>
        <w:rPr>
          <w:bCs/>
        </w:rPr>
        <w:t>__</w:t>
      </w:r>
      <w:r w:rsidR="00A361B1">
        <w:rPr>
          <w:bCs/>
        </w:rPr>
        <w:t>_________________________________________________________________</w:t>
      </w:r>
    </w:p>
    <w:p w14:paraId="74F3F80A" w14:textId="77777777" w:rsidR="00AE57E0" w:rsidRDefault="00AE57E0" w:rsidP="00535EAD">
      <w:pPr>
        <w:tabs>
          <w:tab w:val="right" w:pos="9072"/>
        </w:tabs>
        <w:spacing w:after="0" w:line="240" w:lineRule="auto"/>
        <w:ind w:right="-46"/>
        <w:rPr>
          <w:rFonts w:ascii="Arial" w:hAnsi="Arial" w:cs="Arial"/>
          <w:sz w:val="24"/>
          <w:szCs w:val="24"/>
        </w:rPr>
      </w:pPr>
    </w:p>
    <w:p w14:paraId="4E7F9F8D" w14:textId="77777777" w:rsidR="00003F6E" w:rsidRPr="00DC1F46" w:rsidRDefault="00003F6E" w:rsidP="00003F6E">
      <w:pPr>
        <w:spacing w:after="0" w:line="240" w:lineRule="auto"/>
        <w:rPr>
          <w:rFonts w:ascii="Arial" w:hAnsi="Arial" w:cs="Arial"/>
          <w:b/>
          <w:bCs/>
          <w:sz w:val="24"/>
          <w:szCs w:val="24"/>
        </w:rPr>
      </w:pPr>
      <w:r>
        <w:rPr>
          <w:rFonts w:ascii="Arial" w:hAnsi="Arial" w:cs="Arial"/>
          <w:b/>
          <w:bCs/>
          <w:sz w:val="24"/>
          <w:szCs w:val="24"/>
        </w:rPr>
        <w:lastRenderedPageBreak/>
        <w:t>NEL AJ</w:t>
      </w:r>
    </w:p>
    <w:p w14:paraId="1118D13F" w14:textId="2934AC63" w:rsidR="0066779B" w:rsidRDefault="003D63D6" w:rsidP="003D63D6">
      <w:pPr>
        <w:pStyle w:val="Judgementsubpara"/>
        <w:numPr>
          <w:ilvl w:val="0"/>
          <w:numId w:val="0"/>
        </w:numPr>
        <w:ind w:left="851" w:hanging="851"/>
      </w:pPr>
      <w:r>
        <w:rPr>
          <w:bCs/>
        </w:rPr>
        <w:t>[1]</w:t>
      </w:r>
      <w:r>
        <w:rPr>
          <w:bCs/>
        </w:rPr>
        <w:tab/>
      </w:r>
      <w:r w:rsidR="00E47D92">
        <w:t xml:space="preserve">This is </w:t>
      </w:r>
      <w:r w:rsidR="00DA7B79">
        <w:t xml:space="preserve">an opposed application in terms of which the Applicants seek, </w:t>
      </w:r>
      <w:r w:rsidR="00DA7B79">
        <w:rPr>
          <w:i/>
          <w:iCs/>
        </w:rPr>
        <w:t>inter alia</w:t>
      </w:r>
      <w:r w:rsidR="00DA7B79">
        <w:t xml:space="preserve">, the following </w:t>
      </w:r>
      <w:r w:rsidR="00656036">
        <w:t>relief</w:t>
      </w:r>
      <w:r w:rsidR="00DA7B79">
        <w:t>:</w:t>
      </w:r>
    </w:p>
    <w:p w14:paraId="2CC6636B" w14:textId="2DE41E45" w:rsidR="00DA7B79" w:rsidRDefault="00DA7B79" w:rsidP="00DA7B79">
      <w:pPr>
        <w:pStyle w:val="Judgment"/>
        <w:numPr>
          <w:ilvl w:val="0"/>
          <w:numId w:val="0"/>
        </w:numPr>
        <w:ind w:left="1436" w:hanging="585"/>
      </w:pPr>
      <w:r>
        <w:t>[1.1]</w:t>
      </w:r>
      <w:r>
        <w:tab/>
      </w:r>
      <w:r w:rsidR="00656036">
        <w:t>An order d</w:t>
      </w:r>
      <w:r>
        <w:t xml:space="preserve">irecting the Second Respondent </w:t>
      </w:r>
      <w:r w:rsidR="00656036">
        <w:t xml:space="preserve">(the Registrar of Deeds) </w:t>
      </w:r>
      <w:r>
        <w:t>to cancel the Title Deed held under Title Deed No. T38948/2015 in respect of the immovable property described as Erf</w:t>
      </w:r>
      <w:r w:rsidR="00BF219B">
        <w:t xml:space="preserve"> […]</w:t>
      </w:r>
      <w:r w:rsidR="00656036">
        <w:t xml:space="preserve">, situated at </w:t>
      </w:r>
      <w:r w:rsidR="00BF219B">
        <w:t xml:space="preserve">[…] </w:t>
      </w:r>
      <w:r>
        <w:t>(“the Immovable Property”)</w:t>
      </w:r>
      <w:r w:rsidR="008B239A">
        <w:t>, currently registered in the name of the First Respondent; and</w:t>
      </w:r>
    </w:p>
    <w:p w14:paraId="32DFF8C6" w14:textId="269078A3" w:rsidR="00DA7B79" w:rsidRPr="008B239A" w:rsidRDefault="00DA7B79" w:rsidP="00DA7B79">
      <w:pPr>
        <w:pStyle w:val="Judgment"/>
        <w:numPr>
          <w:ilvl w:val="0"/>
          <w:numId w:val="0"/>
        </w:numPr>
        <w:ind w:left="1436" w:hanging="585"/>
      </w:pPr>
      <w:r>
        <w:t>[1.2]</w:t>
      </w:r>
      <w:r>
        <w:tab/>
      </w:r>
      <w:r w:rsidR="00656036">
        <w:t xml:space="preserve">An order referring </w:t>
      </w:r>
      <w:r w:rsidR="008B239A">
        <w:t xml:space="preserve">the </w:t>
      </w:r>
      <w:r w:rsidR="00656036">
        <w:t xml:space="preserve">decision </w:t>
      </w:r>
      <w:r w:rsidR="008B239A">
        <w:t>as to who is the “</w:t>
      </w:r>
      <w:r w:rsidR="008B239A">
        <w:rPr>
          <w:i/>
          <w:iCs/>
        </w:rPr>
        <w:t>most deserving beneficiary</w:t>
      </w:r>
      <w:r w:rsidR="008B239A">
        <w:t>” of the Immovable Property back to the Department of Housing of the City of Johannesburg for a determination.</w:t>
      </w:r>
    </w:p>
    <w:p w14:paraId="00201C62" w14:textId="0F70C9C7" w:rsidR="002D2024" w:rsidRPr="002D2024" w:rsidRDefault="008B239A" w:rsidP="002D2024">
      <w:pPr>
        <w:pStyle w:val="Judgment"/>
        <w:numPr>
          <w:ilvl w:val="0"/>
          <w:numId w:val="0"/>
        </w:numPr>
        <w:ind w:left="851" w:hanging="851"/>
        <w:rPr>
          <w:b/>
          <w:bCs/>
        </w:rPr>
      </w:pPr>
      <w:r>
        <w:rPr>
          <w:b/>
          <w:bCs/>
        </w:rPr>
        <w:t xml:space="preserve">THE RELEVANT </w:t>
      </w:r>
      <w:r w:rsidR="002D2024">
        <w:rPr>
          <w:b/>
          <w:bCs/>
        </w:rPr>
        <w:t>BACKGROUND</w:t>
      </w:r>
      <w:r>
        <w:rPr>
          <w:b/>
          <w:bCs/>
        </w:rPr>
        <w:t xml:space="preserve"> </w:t>
      </w:r>
    </w:p>
    <w:p w14:paraId="6AED7B72" w14:textId="16251F76" w:rsidR="00192699" w:rsidRDefault="003D63D6" w:rsidP="003D63D6">
      <w:pPr>
        <w:pStyle w:val="Judgment"/>
        <w:numPr>
          <w:ilvl w:val="0"/>
          <w:numId w:val="0"/>
        </w:numPr>
        <w:ind w:left="851" w:hanging="851"/>
      </w:pPr>
      <w:r>
        <w:rPr>
          <w:bCs/>
        </w:rPr>
        <w:t>[2]</w:t>
      </w:r>
      <w:r>
        <w:rPr>
          <w:bCs/>
        </w:rPr>
        <w:tab/>
      </w:r>
      <w:r w:rsidR="008B239A">
        <w:t>The F</w:t>
      </w:r>
      <w:bookmarkStart w:id="0" w:name="_GoBack"/>
      <w:bookmarkEnd w:id="0"/>
      <w:r w:rsidR="008B239A">
        <w:t xml:space="preserve">irst Applicant, who deposed to the Founding and Replying Affidavits in </w:t>
      </w:r>
      <w:r w:rsidR="00656036">
        <w:t xml:space="preserve">support of </w:t>
      </w:r>
      <w:r w:rsidR="008B239A">
        <w:t>the Application</w:t>
      </w:r>
      <w:r w:rsidR="00656036">
        <w:t>, and on behalf of both Applicants</w:t>
      </w:r>
      <w:r w:rsidR="008B239A">
        <w:t>, contends that the Applicants (and their family) have occupied the Immovable Property since 19</w:t>
      </w:r>
      <w:r w:rsidR="00CE6F6A">
        <w:t>99.</w:t>
      </w:r>
    </w:p>
    <w:p w14:paraId="13F2226D" w14:textId="6B4A22C7" w:rsidR="00CE6F6A" w:rsidRDefault="003D63D6" w:rsidP="003D63D6">
      <w:pPr>
        <w:pStyle w:val="Judgment"/>
        <w:numPr>
          <w:ilvl w:val="0"/>
          <w:numId w:val="0"/>
        </w:numPr>
        <w:ind w:left="851" w:hanging="851"/>
      </w:pPr>
      <w:r>
        <w:rPr>
          <w:bCs/>
        </w:rPr>
        <w:t>[3]</w:t>
      </w:r>
      <w:r>
        <w:rPr>
          <w:bCs/>
        </w:rPr>
        <w:tab/>
      </w:r>
      <w:r w:rsidR="00CE6F6A">
        <w:t xml:space="preserve">The Applicants allege that occupation of the Immovable Property was granted to them in terms of an oral lease agreement concluded with Mr Enver Alexander (“Mr Alexander”), the deceased father of the </w:t>
      </w:r>
      <w:r w:rsidR="00656036">
        <w:t xml:space="preserve">First Respondent, who is the </w:t>
      </w:r>
      <w:r w:rsidR="00CE6F6A">
        <w:t xml:space="preserve">current registered owner of the Immovable Property.  </w:t>
      </w:r>
    </w:p>
    <w:p w14:paraId="2ADD5E8A" w14:textId="03C9AEF8" w:rsidR="00656036" w:rsidRDefault="003D63D6" w:rsidP="003D63D6">
      <w:pPr>
        <w:pStyle w:val="Judgment"/>
        <w:numPr>
          <w:ilvl w:val="0"/>
          <w:numId w:val="0"/>
        </w:numPr>
        <w:ind w:left="851" w:hanging="851"/>
      </w:pPr>
      <w:r>
        <w:rPr>
          <w:bCs/>
        </w:rPr>
        <w:t>[4]</w:t>
      </w:r>
      <w:r>
        <w:rPr>
          <w:bCs/>
        </w:rPr>
        <w:tab/>
      </w:r>
      <w:r w:rsidR="00656036">
        <w:t xml:space="preserve">The First Respondent contends that Mr Alexander did not conclude the oral agreement with the Applicants, but that in his absence from the Immovable Property, an unknown person with whom he was living at the Immovable </w:t>
      </w:r>
      <w:r w:rsidR="00656036">
        <w:lastRenderedPageBreak/>
        <w:t xml:space="preserve">Property concluded the oral agreement with the Applicants.  </w:t>
      </w:r>
      <w:r w:rsidR="00347B13">
        <w:t xml:space="preserve">The dispute is however not relevant for the purpose of determining this Application. </w:t>
      </w:r>
    </w:p>
    <w:p w14:paraId="19B6BCA3" w14:textId="4CF23AE1" w:rsidR="00656036" w:rsidRDefault="003D63D6" w:rsidP="003D63D6">
      <w:pPr>
        <w:pStyle w:val="Judgment"/>
        <w:numPr>
          <w:ilvl w:val="0"/>
          <w:numId w:val="0"/>
        </w:numPr>
        <w:ind w:left="851" w:hanging="851"/>
      </w:pPr>
      <w:r>
        <w:rPr>
          <w:bCs/>
        </w:rPr>
        <w:t>[5]</w:t>
      </w:r>
      <w:r>
        <w:rPr>
          <w:bCs/>
        </w:rPr>
        <w:tab/>
      </w:r>
      <w:r w:rsidR="00D27BB6">
        <w:t>The Applicants allege that they made regular monthly payment</w:t>
      </w:r>
      <w:r w:rsidR="00656036">
        <w:t>s</w:t>
      </w:r>
      <w:r w:rsidR="00D27BB6">
        <w:t xml:space="preserve"> of rental to Mr Alexander, to his ex-wife, and the First Respondent.  There is a dispute as between the Applicants and the First Respondent as to whether the monthly rental payments were indeed made by the Applicants, but such dispute is entirely irrelevant</w:t>
      </w:r>
      <w:r w:rsidR="00656036">
        <w:t xml:space="preserve"> for the purposes of this Application</w:t>
      </w:r>
      <w:r w:rsidR="00347B13">
        <w:t>.</w:t>
      </w:r>
      <w:r w:rsidR="00D27BB6">
        <w:t xml:space="preserve"> </w:t>
      </w:r>
    </w:p>
    <w:p w14:paraId="3308B76C" w14:textId="26D82438" w:rsidR="00CE6F6A" w:rsidRDefault="003D63D6" w:rsidP="003D63D6">
      <w:pPr>
        <w:pStyle w:val="Judgment"/>
        <w:numPr>
          <w:ilvl w:val="0"/>
          <w:numId w:val="0"/>
        </w:numPr>
        <w:ind w:left="851" w:hanging="851"/>
      </w:pPr>
      <w:r>
        <w:rPr>
          <w:bCs/>
        </w:rPr>
        <w:t>[6]</w:t>
      </w:r>
      <w:r>
        <w:rPr>
          <w:bCs/>
        </w:rPr>
        <w:tab/>
      </w:r>
      <w:r w:rsidR="00656036">
        <w:t xml:space="preserve">It is however undisputed that the Applicants’ </w:t>
      </w:r>
      <w:r w:rsidR="00D27BB6">
        <w:t xml:space="preserve">occupation of the Immovable Property arose as a result of </w:t>
      </w:r>
      <w:r w:rsidR="00656036">
        <w:t xml:space="preserve">a </w:t>
      </w:r>
      <w:r w:rsidR="00D27BB6">
        <w:t xml:space="preserve">rental agreement. </w:t>
      </w:r>
    </w:p>
    <w:p w14:paraId="1A057EA4" w14:textId="5BECCF43" w:rsidR="00D27BB6" w:rsidRPr="00D27BB6" w:rsidRDefault="003D63D6" w:rsidP="003D63D6">
      <w:pPr>
        <w:pStyle w:val="Judgment"/>
        <w:numPr>
          <w:ilvl w:val="0"/>
          <w:numId w:val="0"/>
        </w:numPr>
        <w:ind w:left="851" w:hanging="851"/>
      </w:pPr>
      <w:r w:rsidRPr="00D27BB6">
        <w:rPr>
          <w:bCs/>
        </w:rPr>
        <w:t>[7]</w:t>
      </w:r>
      <w:r w:rsidRPr="00D27BB6">
        <w:rPr>
          <w:bCs/>
        </w:rPr>
        <w:tab/>
      </w:r>
      <w:r w:rsidR="00D27BB6">
        <w:t xml:space="preserve">The Applicants stopped paying rental during 2005, based on advice they received </w:t>
      </w:r>
      <w:r w:rsidR="00150F85">
        <w:t xml:space="preserve">at a community meeting </w:t>
      </w:r>
      <w:r w:rsidR="00D27BB6">
        <w:t xml:space="preserve">that rental should not be paid in respect of council housing.  </w:t>
      </w:r>
      <w:r w:rsidR="00150F85">
        <w:t xml:space="preserve">No detail is </w:t>
      </w:r>
      <w:r w:rsidR="00D27BB6">
        <w:t xml:space="preserve">provided </w:t>
      </w:r>
      <w:r w:rsidR="00150F85">
        <w:t xml:space="preserve">as to who gave </w:t>
      </w:r>
      <w:r w:rsidR="00D27BB6">
        <w:t>such advice</w:t>
      </w:r>
      <w:r w:rsidR="00150F85">
        <w:t xml:space="preserve"> to the Applicants</w:t>
      </w:r>
      <w:r w:rsidR="00D27BB6">
        <w:t xml:space="preserve">, but in the Replying Affidavit, the Applicants refer </w:t>
      </w:r>
      <w:r w:rsidR="00150F85">
        <w:t xml:space="preserve">vaguely </w:t>
      </w:r>
      <w:r w:rsidR="00D27BB6">
        <w:t>to the advice having emanated from “</w:t>
      </w:r>
      <w:r w:rsidR="00150F85">
        <w:rPr>
          <w:i/>
          <w:iCs/>
        </w:rPr>
        <w:t>C</w:t>
      </w:r>
      <w:r w:rsidR="00D27BB6">
        <w:rPr>
          <w:i/>
          <w:iCs/>
        </w:rPr>
        <w:t xml:space="preserve">ouncil”.  </w:t>
      </w:r>
    </w:p>
    <w:p w14:paraId="53D7D9C9" w14:textId="047D748C" w:rsidR="00D27BB6" w:rsidRDefault="003D63D6" w:rsidP="003D63D6">
      <w:pPr>
        <w:pStyle w:val="Judgment"/>
        <w:numPr>
          <w:ilvl w:val="0"/>
          <w:numId w:val="0"/>
        </w:numPr>
        <w:ind w:left="851" w:hanging="851"/>
      </w:pPr>
      <w:r>
        <w:rPr>
          <w:bCs/>
        </w:rPr>
        <w:t>[8]</w:t>
      </w:r>
      <w:r>
        <w:rPr>
          <w:bCs/>
        </w:rPr>
        <w:tab/>
      </w:r>
      <w:r w:rsidR="00D27BB6">
        <w:t xml:space="preserve">The Applicants were also advised </w:t>
      </w:r>
      <w:r w:rsidR="00150F85">
        <w:t xml:space="preserve">at the same time </w:t>
      </w:r>
      <w:r w:rsidR="00D27BB6">
        <w:t xml:space="preserve">to commence the process of registering the Immovable Property into their own name.  </w:t>
      </w:r>
    </w:p>
    <w:p w14:paraId="55A15D50" w14:textId="49A971BE" w:rsidR="00D27BB6" w:rsidRDefault="003D63D6" w:rsidP="003D63D6">
      <w:pPr>
        <w:pStyle w:val="Judgment"/>
        <w:numPr>
          <w:ilvl w:val="0"/>
          <w:numId w:val="0"/>
        </w:numPr>
        <w:ind w:left="851" w:hanging="851"/>
      </w:pPr>
      <w:r>
        <w:rPr>
          <w:bCs/>
        </w:rPr>
        <w:t>[9]</w:t>
      </w:r>
      <w:r>
        <w:rPr>
          <w:bCs/>
        </w:rPr>
        <w:tab/>
      </w:r>
      <w:r w:rsidR="00150F85">
        <w:t>D</w:t>
      </w:r>
      <w:r w:rsidR="00D27BB6">
        <w:t xml:space="preserve">uring July 2005 an Agreement of Sale was </w:t>
      </w:r>
      <w:r w:rsidR="00150F85">
        <w:t xml:space="preserve">allegedly </w:t>
      </w:r>
      <w:r w:rsidR="00D27BB6">
        <w:t xml:space="preserve">concluded as between the City of Johannesburg and the Applicants in respect of the </w:t>
      </w:r>
      <w:r w:rsidR="00150F85">
        <w:t xml:space="preserve">purchase of the </w:t>
      </w:r>
      <w:r w:rsidR="00D27BB6">
        <w:t xml:space="preserve">Immovable Property.  The document attached in support of such </w:t>
      </w:r>
      <w:r w:rsidR="00150F85">
        <w:t xml:space="preserve">intended sale </w:t>
      </w:r>
      <w:r w:rsidR="00D27BB6">
        <w:t xml:space="preserve">purports to be </w:t>
      </w:r>
      <w:r w:rsidR="00150F85">
        <w:t xml:space="preserve">the first page of </w:t>
      </w:r>
      <w:r w:rsidR="00D27BB6">
        <w:t xml:space="preserve">an Agreement of Sale in respect of </w:t>
      </w:r>
      <w:r w:rsidR="00215A3A">
        <w:t>the Immovable Property, but does not reflect any purchase price</w:t>
      </w:r>
      <w:r w:rsidR="00150F85">
        <w:t xml:space="preserve">, and does not contain all of the </w:t>
      </w:r>
      <w:r w:rsidR="00215A3A">
        <w:t>terms and conditions as required in respect of the sale of immovable property.</w:t>
      </w:r>
    </w:p>
    <w:p w14:paraId="61C6515C" w14:textId="70F0318A" w:rsidR="00215A3A" w:rsidRDefault="003D63D6" w:rsidP="003D63D6">
      <w:pPr>
        <w:pStyle w:val="Judgment"/>
        <w:numPr>
          <w:ilvl w:val="0"/>
          <w:numId w:val="0"/>
        </w:numPr>
        <w:ind w:left="851" w:hanging="851"/>
      </w:pPr>
      <w:r>
        <w:rPr>
          <w:bCs/>
        </w:rPr>
        <w:lastRenderedPageBreak/>
        <w:t>[10]</w:t>
      </w:r>
      <w:r>
        <w:rPr>
          <w:bCs/>
        </w:rPr>
        <w:tab/>
      </w:r>
      <w:r w:rsidR="00215A3A">
        <w:t xml:space="preserve">The Applicants </w:t>
      </w:r>
      <w:r w:rsidR="00150F85">
        <w:t xml:space="preserve">set out </w:t>
      </w:r>
      <w:r w:rsidR="00215A3A">
        <w:t xml:space="preserve">that </w:t>
      </w:r>
      <w:r w:rsidR="00E2587E">
        <w:t>an application for finance to purchase the Immovable Property was declined</w:t>
      </w:r>
      <w:r w:rsidR="00150F85">
        <w:t>, and in the circumstances the Agreement of Sale was never given effect to</w:t>
      </w:r>
      <w:r w:rsidR="00E2587E">
        <w:t xml:space="preserve">.  </w:t>
      </w:r>
    </w:p>
    <w:p w14:paraId="44A94B9D" w14:textId="4A607187" w:rsidR="00E2587E" w:rsidRDefault="003D63D6" w:rsidP="003D63D6">
      <w:pPr>
        <w:pStyle w:val="Judgment"/>
        <w:numPr>
          <w:ilvl w:val="0"/>
          <w:numId w:val="0"/>
        </w:numPr>
        <w:ind w:left="851" w:hanging="851"/>
      </w:pPr>
      <w:r>
        <w:rPr>
          <w:bCs/>
        </w:rPr>
        <w:t>[11]</w:t>
      </w:r>
      <w:r>
        <w:rPr>
          <w:bCs/>
        </w:rPr>
        <w:tab/>
      </w:r>
      <w:r w:rsidR="00E2587E">
        <w:t xml:space="preserve">The Applicants allege that during September 2005, the Department of Regularisation and Transfer of Ownership </w:t>
      </w:r>
      <w:r w:rsidR="00150F85">
        <w:t xml:space="preserve">(“ReTro”) </w:t>
      </w:r>
      <w:r w:rsidR="00E2587E">
        <w:t xml:space="preserve">of the City of Johannesburg summoned the First Applicant and Mr Alexander to the Ennerdale Community Centre in respect of the dispute relating to the </w:t>
      </w:r>
      <w:r w:rsidR="00150F85">
        <w:t xml:space="preserve">occupation of the </w:t>
      </w:r>
      <w:r w:rsidR="00E2587E">
        <w:t>Immovable Property.  No detail</w:t>
      </w:r>
      <w:r w:rsidR="00150F85">
        <w:t>s</w:t>
      </w:r>
      <w:r w:rsidR="00E2587E">
        <w:t xml:space="preserve"> of the process followed by the Department of Regularisation and Transfer of Ownership </w:t>
      </w:r>
      <w:r w:rsidR="00EB147B">
        <w:t xml:space="preserve">(ReTrO) </w:t>
      </w:r>
      <w:r w:rsidR="00150F85">
        <w:t xml:space="preserve">has been </w:t>
      </w:r>
      <w:r w:rsidR="00E2587E">
        <w:t xml:space="preserve">set out by the Applicants, </w:t>
      </w:r>
      <w:r w:rsidR="00EB147B">
        <w:t xml:space="preserve">and </w:t>
      </w:r>
      <w:r w:rsidR="00E2587E">
        <w:t xml:space="preserve">the First Applicant </w:t>
      </w:r>
      <w:r w:rsidR="00EB147B">
        <w:t xml:space="preserve">simply </w:t>
      </w:r>
      <w:r w:rsidR="00E2587E">
        <w:t xml:space="preserve">alleged that Mr Alexander did not attend at the Ennerdale Community Centre.  </w:t>
      </w:r>
      <w:r w:rsidR="00150F85">
        <w:t>The First Respondent stated that she was not aware of the process that was followed.</w:t>
      </w:r>
    </w:p>
    <w:p w14:paraId="3369932D" w14:textId="04BC644C" w:rsidR="00E2587E" w:rsidRDefault="003D63D6" w:rsidP="003D63D6">
      <w:pPr>
        <w:pStyle w:val="Judgment"/>
        <w:numPr>
          <w:ilvl w:val="0"/>
          <w:numId w:val="0"/>
        </w:numPr>
        <w:ind w:left="851" w:hanging="851"/>
      </w:pPr>
      <w:r>
        <w:rPr>
          <w:bCs/>
        </w:rPr>
        <w:t>[12]</w:t>
      </w:r>
      <w:r>
        <w:rPr>
          <w:bCs/>
        </w:rPr>
        <w:tab/>
      </w:r>
      <w:r w:rsidR="00E2587E">
        <w:t>During January 2014, the Applicants were advised by the Housing Department of the City of Johannesburg that Mr Alexander was deemed to be the “</w:t>
      </w:r>
      <w:r w:rsidR="00E2587E">
        <w:rPr>
          <w:i/>
          <w:iCs/>
        </w:rPr>
        <w:t>deserving beneficiary</w:t>
      </w:r>
      <w:r w:rsidR="00E2587E">
        <w:t xml:space="preserve">” of the Immovable Property.  </w:t>
      </w:r>
      <w:r w:rsidR="00150F85">
        <w:t xml:space="preserve">It appears from the contents of the letter that the Applicants were aware of such determination before 16 January 2016.  </w:t>
      </w:r>
    </w:p>
    <w:p w14:paraId="4EAEEEC7" w14:textId="446C2B0D" w:rsidR="00E2587E" w:rsidRDefault="003D63D6" w:rsidP="003D63D6">
      <w:pPr>
        <w:pStyle w:val="Judgment"/>
        <w:numPr>
          <w:ilvl w:val="0"/>
          <w:numId w:val="0"/>
        </w:numPr>
        <w:ind w:left="851" w:hanging="851"/>
      </w:pPr>
      <w:r>
        <w:rPr>
          <w:bCs/>
        </w:rPr>
        <w:t>[13]</w:t>
      </w:r>
      <w:r>
        <w:rPr>
          <w:bCs/>
        </w:rPr>
        <w:tab/>
      </w:r>
      <w:r w:rsidR="00E2587E">
        <w:t>In the letter referred to by the Applicants, the Applicants were advised that no further meetings would be held with regard to the dispute relating to the Immovable Property, and that the Applicants were at liberty to seek representation should they wish to proceed further with the dispute.  The Applicants were also advised that should there be “</w:t>
      </w:r>
      <w:r w:rsidR="004339A9">
        <w:rPr>
          <w:i/>
          <w:iCs/>
        </w:rPr>
        <w:t>no further developments in the matter</w:t>
      </w:r>
      <w:r w:rsidR="004339A9">
        <w:t xml:space="preserve">” within a period of 6 months from 16 January 2014, the City of </w:t>
      </w:r>
      <w:r w:rsidR="004339A9">
        <w:lastRenderedPageBreak/>
        <w:t xml:space="preserve">Johannesburg, would proceed with the transfer of the Immovable Property, presumably to Mr Alexander.  </w:t>
      </w:r>
    </w:p>
    <w:p w14:paraId="21585735" w14:textId="69C1A1E1" w:rsidR="004339A9" w:rsidRDefault="003D63D6" w:rsidP="003D63D6">
      <w:pPr>
        <w:pStyle w:val="Judgment"/>
        <w:numPr>
          <w:ilvl w:val="0"/>
          <w:numId w:val="0"/>
        </w:numPr>
        <w:ind w:left="851" w:hanging="851"/>
      </w:pPr>
      <w:r>
        <w:rPr>
          <w:bCs/>
        </w:rPr>
        <w:t>[14]</w:t>
      </w:r>
      <w:r>
        <w:rPr>
          <w:bCs/>
        </w:rPr>
        <w:tab/>
      </w:r>
      <w:r w:rsidR="004339A9">
        <w:t xml:space="preserve">It is clear from the contents of the letter that the Applicants had already expressed their dissatisfaction with the </w:t>
      </w:r>
      <w:r w:rsidR="00A32862">
        <w:t xml:space="preserve">determination by </w:t>
      </w:r>
      <w:r w:rsidR="004339A9">
        <w:t>the City of Johannesburg to have found Mr Alexander to be the “</w:t>
      </w:r>
      <w:r w:rsidR="004339A9">
        <w:rPr>
          <w:i/>
          <w:iCs/>
        </w:rPr>
        <w:t>more deserving beneficiary</w:t>
      </w:r>
      <w:r w:rsidR="004339A9">
        <w:t>” in respect of the Immovable Property.</w:t>
      </w:r>
    </w:p>
    <w:p w14:paraId="6B04C0C7" w14:textId="1D9B4C0F" w:rsidR="00A32862" w:rsidRDefault="003D63D6" w:rsidP="003D63D6">
      <w:pPr>
        <w:pStyle w:val="Judgment"/>
        <w:numPr>
          <w:ilvl w:val="0"/>
          <w:numId w:val="0"/>
        </w:numPr>
        <w:ind w:left="851" w:hanging="851"/>
      </w:pPr>
      <w:r>
        <w:rPr>
          <w:bCs/>
        </w:rPr>
        <w:t>[15]</w:t>
      </w:r>
      <w:r>
        <w:rPr>
          <w:bCs/>
        </w:rPr>
        <w:tab/>
      </w:r>
      <w:r w:rsidR="00A32862">
        <w:t xml:space="preserve">There is no information or evidence as to what occurred </w:t>
      </w:r>
      <w:r w:rsidR="00EB147B">
        <w:t xml:space="preserve">in respect of the dispute or the process followed </w:t>
      </w:r>
      <w:r w:rsidR="00A32862">
        <w:t xml:space="preserve">during the period from September 2005 to January 2014, which is surprising, as this appears to be the period (more than 8 years) during which the process initiated by ReTrO in respect of the determination as to the Ownership of the Immovable Property was conducted.  </w:t>
      </w:r>
    </w:p>
    <w:p w14:paraId="19C88CC1" w14:textId="5B927B91" w:rsidR="00A32862" w:rsidRDefault="003D63D6" w:rsidP="003D63D6">
      <w:pPr>
        <w:pStyle w:val="Judgment"/>
        <w:numPr>
          <w:ilvl w:val="0"/>
          <w:numId w:val="0"/>
        </w:numPr>
        <w:ind w:left="851" w:hanging="851"/>
      </w:pPr>
      <w:r>
        <w:rPr>
          <w:bCs/>
        </w:rPr>
        <w:t>[16]</w:t>
      </w:r>
      <w:r>
        <w:rPr>
          <w:bCs/>
        </w:rPr>
        <w:tab/>
      </w:r>
      <w:r w:rsidR="00A32862">
        <w:t>It would certainly have been more helpful in determining this Application if the Applicants had set out what occurred during such period</w:t>
      </w:r>
      <w:r w:rsidR="00EB147B">
        <w:t>,</w:t>
      </w:r>
      <w:r w:rsidR="00A32862">
        <w:t xml:space="preserve"> in detail.  </w:t>
      </w:r>
    </w:p>
    <w:p w14:paraId="4016CD47" w14:textId="3084392F" w:rsidR="00335DDC" w:rsidRDefault="003D63D6" w:rsidP="003D63D6">
      <w:pPr>
        <w:pStyle w:val="Judgment"/>
        <w:numPr>
          <w:ilvl w:val="0"/>
          <w:numId w:val="0"/>
        </w:numPr>
        <w:ind w:left="851" w:hanging="851"/>
      </w:pPr>
      <w:r>
        <w:rPr>
          <w:bCs/>
        </w:rPr>
        <w:t>[17]</w:t>
      </w:r>
      <w:r>
        <w:rPr>
          <w:bCs/>
        </w:rPr>
        <w:tab/>
      </w:r>
      <w:r w:rsidR="00335DDC">
        <w:t xml:space="preserve">On 29 May 2014, the First Applicant addressed a letter to the Department of Housing of the City of Johannesburg, requesting the City of Johannesburg </w:t>
      </w:r>
      <w:r w:rsidR="00417831">
        <w:t xml:space="preserve">to allow the Applicants and their family to remain in the Immovable Property.  In the letter, the First Applicant contended that the Immovable Property was sold to the Applicants by Mr Alexander for a purchase price of R15 000.00, but after payment of such amount, Mr Alexander did not effect transfer of the Immovable Property to the Applicants.  Such allegation is </w:t>
      </w:r>
      <w:r w:rsidR="00A32862">
        <w:t xml:space="preserve">curiously </w:t>
      </w:r>
      <w:r w:rsidR="00417831">
        <w:t xml:space="preserve">not </w:t>
      </w:r>
      <w:r w:rsidR="00A32862">
        <w:t xml:space="preserve">set out </w:t>
      </w:r>
      <w:r w:rsidR="00417831">
        <w:t>in any of the affidavits deposed to by the First Applicant, and is not relied on as a basis for the Applicants</w:t>
      </w:r>
      <w:r w:rsidR="00A32862">
        <w:t>’</w:t>
      </w:r>
      <w:r w:rsidR="00417831">
        <w:t xml:space="preserve"> alleged entitlement to occupation of the Immovable Property.  </w:t>
      </w:r>
    </w:p>
    <w:p w14:paraId="05FA9B78" w14:textId="4466A2E6" w:rsidR="00417831" w:rsidRDefault="003D63D6" w:rsidP="003D63D6">
      <w:pPr>
        <w:pStyle w:val="Judgment"/>
        <w:numPr>
          <w:ilvl w:val="0"/>
          <w:numId w:val="0"/>
        </w:numPr>
        <w:ind w:left="851" w:hanging="851"/>
      </w:pPr>
      <w:r>
        <w:rPr>
          <w:bCs/>
        </w:rPr>
        <w:lastRenderedPageBreak/>
        <w:t>[18]</w:t>
      </w:r>
      <w:r>
        <w:rPr>
          <w:bCs/>
        </w:rPr>
        <w:tab/>
      </w:r>
      <w:r w:rsidR="00417831">
        <w:t>The Applicants received no response, and on 13 September 2016 an e-mail was addressed to the City of Johannesburg, enquiring as to what motivated the Department of Housing to consider Mr Alexander as “</w:t>
      </w:r>
      <w:r w:rsidR="00417831">
        <w:rPr>
          <w:i/>
          <w:iCs/>
        </w:rPr>
        <w:t>the most deserving beneficiary</w:t>
      </w:r>
      <w:r w:rsidR="00417831">
        <w:t xml:space="preserve">” in respect of the </w:t>
      </w:r>
      <w:r w:rsidR="00A32862">
        <w:t>Immovable P</w:t>
      </w:r>
      <w:r w:rsidR="00417831">
        <w:t xml:space="preserve">roperty, </w:t>
      </w:r>
      <w:r w:rsidR="00A32862">
        <w:t xml:space="preserve">requesting </w:t>
      </w:r>
      <w:r w:rsidR="00417831">
        <w:t xml:space="preserve">any written documentation that supported the decision of the Department of Housing, and </w:t>
      </w:r>
      <w:r w:rsidR="00A32862">
        <w:t xml:space="preserve">seeking </w:t>
      </w:r>
      <w:r w:rsidR="00417831">
        <w:t xml:space="preserve">the provision of copies of any written correspondence between the Department of Housing and the First Applicant between the years 2005 to 2015.  It appears that the Department of Housing did not respond to such request, and the Applicants launched this Application on 14 June 2017.  </w:t>
      </w:r>
    </w:p>
    <w:p w14:paraId="01B38524" w14:textId="67AF1FDF" w:rsidR="00A32862" w:rsidRDefault="003D63D6" w:rsidP="003D63D6">
      <w:pPr>
        <w:pStyle w:val="Judgment"/>
        <w:numPr>
          <w:ilvl w:val="0"/>
          <w:numId w:val="0"/>
        </w:numPr>
        <w:ind w:left="851" w:hanging="851"/>
      </w:pPr>
      <w:r>
        <w:rPr>
          <w:bCs/>
        </w:rPr>
        <w:t>[19]</w:t>
      </w:r>
      <w:r>
        <w:rPr>
          <w:bCs/>
        </w:rPr>
        <w:tab/>
      </w:r>
      <w:r w:rsidR="00A32862">
        <w:t>The First Respondent alleged that Mr Alexander tried on numerous occasions to occupy the Immovable Property while the Applicants were in occupation of the Immovable Property but was unable to do so.</w:t>
      </w:r>
    </w:p>
    <w:p w14:paraId="3217AB64" w14:textId="21CA4468" w:rsidR="00A32862" w:rsidRDefault="003D63D6" w:rsidP="003D63D6">
      <w:pPr>
        <w:pStyle w:val="Judgment"/>
        <w:numPr>
          <w:ilvl w:val="0"/>
          <w:numId w:val="0"/>
        </w:numPr>
        <w:ind w:left="851" w:hanging="851"/>
      </w:pPr>
      <w:r>
        <w:rPr>
          <w:bCs/>
        </w:rPr>
        <w:t>[20]</w:t>
      </w:r>
      <w:r>
        <w:rPr>
          <w:bCs/>
        </w:rPr>
        <w:tab/>
      </w:r>
      <w:r w:rsidR="00A32862">
        <w:t>The First Respondent also alleged that attempts were made to obtain assistance from the South African Police Services, but that the Police refused to intervene.</w:t>
      </w:r>
    </w:p>
    <w:p w14:paraId="2EE5094E" w14:textId="3F61B0D9" w:rsidR="00A32862" w:rsidRDefault="003D63D6" w:rsidP="003D63D6">
      <w:pPr>
        <w:pStyle w:val="Judgment"/>
        <w:numPr>
          <w:ilvl w:val="0"/>
          <w:numId w:val="0"/>
        </w:numPr>
        <w:ind w:left="851" w:hanging="851"/>
      </w:pPr>
      <w:r>
        <w:rPr>
          <w:bCs/>
        </w:rPr>
        <w:t>[21]</w:t>
      </w:r>
      <w:r>
        <w:rPr>
          <w:bCs/>
        </w:rPr>
        <w:tab/>
      </w:r>
      <w:r w:rsidR="00A32862">
        <w:t>The Applicants deny such allegations.</w:t>
      </w:r>
    </w:p>
    <w:p w14:paraId="632CB93B" w14:textId="48FA24C7" w:rsidR="00A32862" w:rsidRDefault="003D63D6" w:rsidP="003D63D6">
      <w:pPr>
        <w:pStyle w:val="Judgment"/>
        <w:numPr>
          <w:ilvl w:val="0"/>
          <w:numId w:val="0"/>
        </w:numPr>
        <w:ind w:left="851" w:hanging="851"/>
      </w:pPr>
      <w:r>
        <w:rPr>
          <w:bCs/>
        </w:rPr>
        <w:t>[22]</w:t>
      </w:r>
      <w:r>
        <w:rPr>
          <w:bCs/>
        </w:rPr>
        <w:tab/>
      </w:r>
      <w:r w:rsidR="00A32862">
        <w:t xml:space="preserve">The First Respondent alleges that a dispute was then lodged in </w:t>
      </w:r>
      <w:r w:rsidR="00DC5507">
        <w:t>respect of the Immovable Property, which resulted in the involvement of ReTrO.</w:t>
      </w:r>
    </w:p>
    <w:p w14:paraId="322DA6B7" w14:textId="6E297F00" w:rsidR="00DC5507" w:rsidRDefault="003D63D6" w:rsidP="003D63D6">
      <w:pPr>
        <w:pStyle w:val="Judgment"/>
        <w:numPr>
          <w:ilvl w:val="0"/>
          <w:numId w:val="0"/>
        </w:numPr>
        <w:ind w:left="851" w:hanging="851"/>
      </w:pPr>
      <w:r>
        <w:rPr>
          <w:bCs/>
        </w:rPr>
        <w:t>[23]</w:t>
      </w:r>
      <w:r>
        <w:rPr>
          <w:bCs/>
        </w:rPr>
        <w:tab/>
      </w:r>
      <w:r w:rsidR="00DC5507">
        <w:t xml:space="preserve">Mr Alexander passed away on 8 June 2015, and the Immovable Property was registered in the name of the First Respondent on 26 April 2017.  </w:t>
      </w:r>
    </w:p>
    <w:p w14:paraId="79DA2D33" w14:textId="6835AC8D" w:rsidR="00DC5507" w:rsidRDefault="003D63D6" w:rsidP="003D63D6">
      <w:pPr>
        <w:pStyle w:val="Judgment"/>
        <w:numPr>
          <w:ilvl w:val="0"/>
          <w:numId w:val="0"/>
        </w:numPr>
        <w:ind w:left="851" w:hanging="851"/>
      </w:pPr>
      <w:r>
        <w:rPr>
          <w:bCs/>
        </w:rPr>
        <w:t>[24]</w:t>
      </w:r>
      <w:r>
        <w:rPr>
          <w:bCs/>
        </w:rPr>
        <w:tab/>
      </w:r>
      <w:r w:rsidR="00DC5507">
        <w:t xml:space="preserve">The First Respondent has been unable to occupy the Immovable Property, as the Applicants deny her access to the Immovable Property, and the First </w:t>
      </w:r>
      <w:r w:rsidR="00DC5507">
        <w:lastRenderedPageBreak/>
        <w:t xml:space="preserve">Respondent has instituted eviction proceedings, which presumably pre-empted the launching of this Application by the Applicants.  </w:t>
      </w:r>
    </w:p>
    <w:p w14:paraId="1AC9A0F1" w14:textId="52281EE2" w:rsidR="00DC5507" w:rsidRDefault="003D63D6" w:rsidP="003D63D6">
      <w:pPr>
        <w:pStyle w:val="Judgment"/>
        <w:numPr>
          <w:ilvl w:val="0"/>
          <w:numId w:val="0"/>
        </w:numPr>
        <w:ind w:left="851" w:hanging="851"/>
      </w:pPr>
      <w:r>
        <w:rPr>
          <w:bCs/>
        </w:rPr>
        <w:t>[25]</w:t>
      </w:r>
      <w:r>
        <w:rPr>
          <w:bCs/>
        </w:rPr>
        <w:tab/>
      </w:r>
      <w:r w:rsidR="00DC5507">
        <w:t>The First Respondent ha</w:t>
      </w:r>
      <w:r w:rsidR="00EB147B">
        <w:t>d</w:t>
      </w:r>
      <w:r w:rsidR="00DC5507">
        <w:t xml:space="preserve"> to settle all outstanding utility bills in order to effect transfer of the Immovable Property, and remains liable to make payment of all municipal services.</w:t>
      </w:r>
    </w:p>
    <w:p w14:paraId="38EFB500" w14:textId="36285241" w:rsidR="00EB147B" w:rsidRPr="00284964" w:rsidRDefault="00EB147B" w:rsidP="00EB147B">
      <w:pPr>
        <w:pStyle w:val="Judgment"/>
        <w:numPr>
          <w:ilvl w:val="0"/>
          <w:numId w:val="0"/>
        </w:numPr>
        <w:ind w:left="851" w:hanging="851"/>
        <w:rPr>
          <w:b/>
          <w:bCs/>
        </w:rPr>
      </w:pPr>
      <w:r w:rsidRPr="00284964">
        <w:rPr>
          <w:b/>
          <w:bCs/>
          <w:i/>
          <w:iCs/>
        </w:rPr>
        <w:t>IN LIMINE</w:t>
      </w:r>
      <w:r w:rsidRPr="00284964">
        <w:rPr>
          <w:b/>
          <w:bCs/>
        </w:rPr>
        <w:t xml:space="preserve"> ASPECT</w:t>
      </w:r>
    </w:p>
    <w:p w14:paraId="20B69893" w14:textId="492CAE50" w:rsidR="00417831" w:rsidRDefault="003D63D6" w:rsidP="003D63D6">
      <w:pPr>
        <w:pStyle w:val="Judgment"/>
        <w:numPr>
          <w:ilvl w:val="0"/>
          <w:numId w:val="0"/>
        </w:numPr>
        <w:ind w:left="851" w:hanging="851"/>
      </w:pPr>
      <w:r>
        <w:rPr>
          <w:bCs/>
        </w:rPr>
        <w:t>[26]</w:t>
      </w:r>
      <w:r>
        <w:rPr>
          <w:bCs/>
        </w:rPr>
        <w:tab/>
      </w:r>
      <w:r w:rsidR="00417831">
        <w:t xml:space="preserve">The First Respondent raised as an </w:t>
      </w:r>
      <w:r w:rsidR="00417831">
        <w:rPr>
          <w:i/>
          <w:iCs/>
        </w:rPr>
        <w:t>in limine</w:t>
      </w:r>
      <w:r w:rsidR="00417831">
        <w:t xml:space="preserve"> point that the Application launched by the Applicants is a review application but that the Application does not meet any of the requirements of </w:t>
      </w:r>
      <w:r w:rsidR="001E768F">
        <w:t xml:space="preserve">a review application.  </w:t>
      </w:r>
    </w:p>
    <w:p w14:paraId="306E211C" w14:textId="08694299" w:rsidR="001E768F" w:rsidRDefault="003D63D6" w:rsidP="003D63D6">
      <w:pPr>
        <w:pStyle w:val="Judgment"/>
        <w:numPr>
          <w:ilvl w:val="0"/>
          <w:numId w:val="0"/>
        </w:numPr>
        <w:ind w:left="851" w:hanging="851"/>
      </w:pPr>
      <w:r>
        <w:rPr>
          <w:bCs/>
        </w:rPr>
        <w:t>[27]</w:t>
      </w:r>
      <w:r>
        <w:rPr>
          <w:bCs/>
        </w:rPr>
        <w:tab/>
      </w:r>
      <w:r w:rsidR="001E768F">
        <w:t xml:space="preserve">The Notice of Motion </w:t>
      </w:r>
      <w:r w:rsidR="009C6479">
        <w:t>is certainly not formulated as an application for the review and setting aside of an administrative decision.</w:t>
      </w:r>
    </w:p>
    <w:p w14:paraId="7D7F9917" w14:textId="5A76535F" w:rsidR="009C6479" w:rsidRDefault="003D63D6" w:rsidP="003D63D6">
      <w:pPr>
        <w:pStyle w:val="Judgment"/>
        <w:numPr>
          <w:ilvl w:val="0"/>
          <w:numId w:val="0"/>
        </w:numPr>
        <w:ind w:left="851" w:hanging="851"/>
      </w:pPr>
      <w:r>
        <w:rPr>
          <w:bCs/>
        </w:rPr>
        <w:t>[28]</w:t>
      </w:r>
      <w:r>
        <w:rPr>
          <w:bCs/>
        </w:rPr>
        <w:tab/>
      </w:r>
      <w:r w:rsidR="009C6479">
        <w:t>I pertinently enquired from the First Applicant’s counsel whether the Application was intended to be a review of the decision by the Department of Housing, and he advised me that it was not a review, but rather a “</w:t>
      </w:r>
      <w:r w:rsidR="009C6479">
        <w:rPr>
          <w:i/>
          <w:iCs/>
        </w:rPr>
        <w:t>reconsideration</w:t>
      </w:r>
      <w:r w:rsidR="009C6479">
        <w:t xml:space="preserve">”, which reconsideration must be undertaken by the Court or the City of Johannesburg.  Applicants’ counsel advised me that </w:t>
      </w:r>
      <w:r w:rsidR="00DC5507">
        <w:t xml:space="preserve">the Applicants </w:t>
      </w:r>
      <w:r w:rsidR="009C6479">
        <w:t xml:space="preserve">did not have the necessary facts available </w:t>
      </w:r>
      <w:r w:rsidR="00DC5507">
        <w:t xml:space="preserve">to them </w:t>
      </w:r>
      <w:r w:rsidR="009C6479">
        <w:t xml:space="preserve">in order to bring a review application.  </w:t>
      </w:r>
    </w:p>
    <w:p w14:paraId="28E23587" w14:textId="3CB72E41" w:rsidR="009C6479" w:rsidRDefault="003D63D6" w:rsidP="003D63D6">
      <w:pPr>
        <w:pStyle w:val="Judgment"/>
        <w:numPr>
          <w:ilvl w:val="0"/>
          <w:numId w:val="0"/>
        </w:numPr>
        <w:ind w:left="851" w:hanging="851"/>
      </w:pPr>
      <w:r>
        <w:rPr>
          <w:bCs/>
        </w:rPr>
        <w:t>[29]</w:t>
      </w:r>
      <w:r>
        <w:rPr>
          <w:bCs/>
        </w:rPr>
        <w:tab/>
      </w:r>
      <w:r w:rsidR="009C6479">
        <w:t>Applicants’ counsel advised that the City of Johannesburg considers requests for accommodation and then makes awards relating to such requests, but that the Applicants are “</w:t>
      </w:r>
      <w:r w:rsidR="009C6479">
        <w:rPr>
          <w:i/>
          <w:iCs/>
        </w:rPr>
        <w:t>not sure</w:t>
      </w:r>
      <w:r w:rsidR="009C6479">
        <w:t xml:space="preserve">” whether the City of Johannesburg took proper steps in reaching the decision to find Mr Alexander to be </w:t>
      </w:r>
      <w:r w:rsidR="00DC5507">
        <w:t>“</w:t>
      </w:r>
      <w:r w:rsidR="009C6479" w:rsidRPr="00DC5507">
        <w:rPr>
          <w:i/>
          <w:iCs/>
        </w:rPr>
        <w:t>the most deserving beneficiary</w:t>
      </w:r>
      <w:r w:rsidR="00DC5507">
        <w:t>”</w:t>
      </w:r>
      <w:r w:rsidR="009C6479">
        <w:t xml:space="preserve">.  </w:t>
      </w:r>
    </w:p>
    <w:p w14:paraId="5C5BEAB0" w14:textId="24D93AF2" w:rsidR="00DE4149" w:rsidRDefault="003D63D6" w:rsidP="003D63D6">
      <w:pPr>
        <w:pStyle w:val="Judgment"/>
        <w:numPr>
          <w:ilvl w:val="0"/>
          <w:numId w:val="0"/>
        </w:numPr>
        <w:ind w:left="851" w:hanging="851"/>
      </w:pPr>
      <w:r>
        <w:rPr>
          <w:bCs/>
        </w:rPr>
        <w:lastRenderedPageBreak/>
        <w:t>[30]</w:t>
      </w:r>
      <w:r>
        <w:rPr>
          <w:bCs/>
        </w:rPr>
        <w:tab/>
      </w:r>
      <w:r w:rsidR="00DE4149">
        <w:t>I enquired from the Applicants’ counsel as to whether the appeal process as referred to by the First Applicant in paragraph 7.6 of the Founding Affidavit was followed.  Applicants’ counsel advised me that there was no appeal procedure, but simply an opportunity to make further representations.  Applicants’ counsel advised me that the use of the word “</w:t>
      </w:r>
      <w:r w:rsidR="00DE4149" w:rsidRPr="00DE4149">
        <w:rPr>
          <w:i/>
          <w:iCs/>
        </w:rPr>
        <w:t>appeal</w:t>
      </w:r>
      <w:r w:rsidR="00DE4149">
        <w:t>” in the Founding Affidavit simply meant that the First Applicant was entitled to “</w:t>
      </w:r>
      <w:r w:rsidR="00DE4149">
        <w:rPr>
          <w:i/>
          <w:iCs/>
        </w:rPr>
        <w:t>escalate the matter</w:t>
      </w:r>
      <w:r w:rsidR="00DE4149">
        <w:t>”.</w:t>
      </w:r>
    </w:p>
    <w:p w14:paraId="4D4748F7" w14:textId="23BD00ED" w:rsidR="00DE4149" w:rsidRDefault="003D63D6" w:rsidP="003D63D6">
      <w:pPr>
        <w:pStyle w:val="Judgment"/>
        <w:numPr>
          <w:ilvl w:val="0"/>
          <w:numId w:val="0"/>
        </w:numPr>
        <w:ind w:left="851" w:hanging="851"/>
      </w:pPr>
      <w:r>
        <w:rPr>
          <w:bCs/>
        </w:rPr>
        <w:t>[31]</w:t>
      </w:r>
      <w:r>
        <w:rPr>
          <w:bCs/>
        </w:rPr>
        <w:tab/>
      </w:r>
      <w:r w:rsidR="00DE4149">
        <w:t>I enquired from Applicants’ counsel as to whether there were any specific procedures or municipal by</w:t>
      </w:r>
      <w:r w:rsidR="00284964">
        <w:t>-</w:t>
      </w:r>
      <w:r w:rsidR="00DE4149">
        <w:t>laws that regulated the decision-making process of the Department of Housing, or that set out the steps that should be followed, such as for subsequent internal remedies or appeals.  Applicants’ counsel advised me that he was not aware of any particular law, and did not know whether there were any applicable municipal by</w:t>
      </w:r>
      <w:r w:rsidR="00284964">
        <w:t>-</w:t>
      </w:r>
      <w:r w:rsidR="00DE4149">
        <w:t xml:space="preserve">laws to such effect. </w:t>
      </w:r>
    </w:p>
    <w:p w14:paraId="6672F0B4" w14:textId="320277DC" w:rsidR="009C6479" w:rsidRDefault="003D63D6" w:rsidP="003D63D6">
      <w:pPr>
        <w:pStyle w:val="Judgment"/>
        <w:numPr>
          <w:ilvl w:val="0"/>
          <w:numId w:val="0"/>
        </w:numPr>
        <w:ind w:left="851" w:hanging="851"/>
      </w:pPr>
      <w:r>
        <w:rPr>
          <w:bCs/>
        </w:rPr>
        <w:t>[32]</w:t>
      </w:r>
      <w:r>
        <w:rPr>
          <w:bCs/>
        </w:rPr>
        <w:tab/>
      </w:r>
      <w:r w:rsidR="009C6479">
        <w:t>In the Founding Affidavit it is clearly set out that the Application is an application launched in terms of Section 6(1) of the Deeds Registries Act, N</w:t>
      </w:r>
      <w:r w:rsidR="00DC5507">
        <w:t>umber</w:t>
      </w:r>
      <w:r w:rsidR="009C6479">
        <w:t xml:space="preserve"> 47 of 1937, as amended</w:t>
      </w:r>
      <w:r w:rsidR="00DC5507">
        <w:t xml:space="preserve"> (“the Deeds Registries Act”)</w:t>
      </w:r>
      <w:r w:rsidR="009C6479">
        <w:t xml:space="preserve">, for, </w:t>
      </w:r>
      <w:r w:rsidR="009C6479">
        <w:rPr>
          <w:i/>
          <w:iCs/>
        </w:rPr>
        <w:t>inter alia</w:t>
      </w:r>
      <w:r w:rsidR="009C6479">
        <w:t xml:space="preserve">, an order cancelling the Title Deed and ancillary relief.  </w:t>
      </w:r>
    </w:p>
    <w:p w14:paraId="5492733F" w14:textId="48D86E0B" w:rsidR="009C6479" w:rsidRDefault="003D63D6" w:rsidP="003D63D6">
      <w:pPr>
        <w:pStyle w:val="Judgment"/>
        <w:numPr>
          <w:ilvl w:val="0"/>
          <w:numId w:val="0"/>
        </w:numPr>
        <w:ind w:left="851" w:hanging="851"/>
      </w:pPr>
      <w:r>
        <w:rPr>
          <w:bCs/>
        </w:rPr>
        <w:t>[33]</w:t>
      </w:r>
      <w:r>
        <w:rPr>
          <w:bCs/>
        </w:rPr>
        <w:tab/>
      </w:r>
      <w:r w:rsidR="009C6479">
        <w:t xml:space="preserve">In terms of Section 6(1) of the Deeds Registries Act, no registered Deed of Transfer shall be cancelled, except by way of a Court Order.  It is accordingly clear that </w:t>
      </w:r>
      <w:r w:rsidR="00DD7054">
        <w:t xml:space="preserve">a Court has the power, as conferred by Section 6(1) of the Deeds Registries Act to cancel the registration of a Deed of Transfer, </w:t>
      </w:r>
      <w:r w:rsidR="00DC5507">
        <w:t xml:space="preserve">provided that there are </w:t>
      </w:r>
      <w:r w:rsidR="00DD7054">
        <w:t>proper and lawful grounds</w:t>
      </w:r>
      <w:r w:rsidR="00DC5507">
        <w:t xml:space="preserve"> to do so</w:t>
      </w:r>
      <w:r w:rsidR="00DD7054">
        <w:t xml:space="preserve">. </w:t>
      </w:r>
    </w:p>
    <w:p w14:paraId="46993724" w14:textId="5EC1B8B9" w:rsidR="00DD7054" w:rsidRDefault="003D63D6" w:rsidP="003D63D6">
      <w:pPr>
        <w:pStyle w:val="Judgment"/>
        <w:numPr>
          <w:ilvl w:val="0"/>
          <w:numId w:val="0"/>
        </w:numPr>
        <w:ind w:left="851" w:hanging="851"/>
      </w:pPr>
      <w:r>
        <w:rPr>
          <w:bCs/>
        </w:rPr>
        <w:t>[34]</w:t>
      </w:r>
      <w:r>
        <w:rPr>
          <w:bCs/>
        </w:rPr>
        <w:tab/>
      </w:r>
      <w:r w:rsidR="00DD7054">
        <w:t xml:space="preserve">I am satisfied that the Application </w:t>
      </w:r>
      <w:r w:rsidR="00DC5507">
        <w:t xml:space="preserve">was </w:t>
      </w:r>
      <w:r w:rsidR="00DD7054">
        <w:t xml:space="preserve">not intended to be a review application, but rather an application for the cancellation of the registration of </w:t>
      </w:r>
      <w:r w:rsidR="00DD7054">
        <w:lastRenderedPageBreak/>
        <w:t xml:space="preserve">a Deed of Transfer, together with the relief that would follow upon such cancellation. </w:t>
      </w:r>
      <w:r w:rsidR="00DC5507">
        <w:t xml:space="preserve">  The basis for such cancellation is dealt with in greater detail below, in considering the relevant legal framework.</w:t>
      </w:r>
    </w:p>
    <w:p w14:paraId="5E114972" w14:textId="128DA363" w:rsidR="00DD7054" w:rsidRDefault="003D63D6" w:rsidP="003D63D6">
      <w:pPr>
        <w:pStyle w:val="Judgment"/>
        <w:numPr>
          <w:ilvl w:val="0"/>
          <w:numId w:val="0"/>
        </w:numPr>
        <w:ind w:left="851" w:hanging="851"/>
      </w:pPr>
      <w:r>
        <w:rPr>
          <w:bCs/>
        </w:rPr>
        <w:t>[35]</w:t>
      </w:r>
      <w:r>
        <w:rPr>
          <w:bCs/>
        </w:rPr>
        <w:tab/>
      </w:r>
      <w:r w:rsidR="00DC5507">
        <w:t>I</w:t>
      </w:r>
      <w:r w:rsidR="00DD7054">
        <w:t>f I were wrong in such regard, and the Application was intended to be a review</w:t>
      </w:r>
      <w:r w:rsidR="00DC5507">
        <w:t xml:space="preserve"> application</w:t>
      </w:r>
      <w:r w:rsidR="00DD7054">
        <w:t>, the Application does not meet the requirements of a review, in that</w:t>
      </w:r>
      <w:r w:rsidR="00DC5507">
        <w:t xml:space="preserve">, </w:t>
      </w:r>
      <w:r w:rsidR="00DC5507">
        <w:rPr>
          <w:i/>
          <w:iCs/>
        </w:rPr>
        <w:t>inter alia</w:t>
      </w:r>
      <w:r w:rsidR="00DC5507">
        <w:t>,</w:t>
      </w:r>
      <w:r w:rsidR="00DD7054">
        <w:t xml:space="preserve"> the time limit applicable (180 days) was not complied with (and no condonation was sought), there does not appear to have been an exhaustion of all internal remedies, </w:t>
      </w:r>
      <w:r w:rsidR="00DE4149">
        <w:t xml:space="preserve">and </w:t>
      </w:r>
      <w:r w:rsidR="00DD7054">
        <w:t>no proper grounds on which the determination of the Department of Housing should be reviewed have been set out</w:t>
      </w:r>
      <w:r w:rsidR="00DE4149">
        <w:t xml:space="preserve">. </w:t>
      </w:r>
      <w:r w:rsidR="00284964">
        <w:t>It is the determination, and not the process that the Applicants have a difficulty with.</w:t>
      </w:r>
      <w:r w:rsidR="00DE4149">
        <w:t xml:space="preserve"> If the Application was a </w:t>
      </w:r>
      <w:r w:rsidR="00827A66">
        <w:t>review application</w:t>
      </w:r>
      <w:r w:rsidR="00DE4149">
        <w:t xml:space="preserve">, it </w:t>
      </w:r>
      <w:r w:rsidR="00827A66">
        <w:t xml:space="preserve">would have had to be dismissed. </w:t>
      </w:r>
    </w:p>
    <w:p w14:paraId="0EDC9288" w14:textId="11AA56EF" w:rsidR="00827A66" w:rsidRDefault="00827A66" w:rsidP="00827A66">
      <w:pPr>
        <w:pStyle w:val="Judgment"/>
        <w:numPr>
          <w:ilvl w:val="0"/>
          <w:numId w:val="0"/>
        </w:numPr>
        <w:ind w:left="851" w:hanging="851"/>
        <w:rPr>
          <w:b/>
          <w:bCs/>
        </w:rPr>
      </w:pPr>
      <w:r>
        <w:rPr>
          <w:b/>
          <w:bCs/>
        </w:rPr>
        <w:t>THE LEGAL FRAMEWORK</w:t>
      </w:r>
    </w:p>
    <w:p w14:paraId="4ED5D3FC" w14:textId="136486A2" w:rsidR="00827A66" w:rsidRDefault="003D63D6" w:rsidP="003D63D6">
      <w:pPr>
        <w:pStyle w:val="Judgementsubpara"/>
        <w:numPr>
          <w:ilvl w:val="0"/>
          <w:numId w:val="0"/>
        </w:numPr>
        <w:ind w:left="851" w:hanging="851"/>
      </w:pPr>
      <w:r>
        <w:rPr>
          <w:bCs/>
        </w:rPr>
        <w:t>[36]</w:t>
      </w:r>
      <w:r>
        <w:rPr>
          <w:bCs/>
        </w:rPr>
        <w:tab/>
      </w:r>
      <w:r w:rsidR="00827A66">
        <w:t xml:space="preserve">In the Heads of Argument submitted by the </w:t>
      </w:r>
      <w:r w:rsidR="00284964">
        <w:t xml:space="preserve">attorney </w:t>
      </w:r>
      <w:r w:rsidR="00827A66">
        <w:t>of the Applicants, no reference was made to any case law or specific provisions of any statute</w:t>
      </w:r>
      <w:r w:rsidR="00284964">
        <w:t>s</w:t>
      </w:r>
      <w:r w:rsidR="00827A66">
        <w:t xml:space="preserve"> that </w:t>
      </w:r>
      <w:r w:rsidR="00DE4149">
        <w:t xml:space="preserve">supported </w:t>
      </w:r>
      <w:r w:rsidR="00827A66">
        <w:t>the Applicants</w:t>
      </w:r>
      <w:r w:rsidR="00DE4149">
        <w:t xml:space="preserve">’ claims </w:t>
      </w:r>
      <w:r w:rsidR="00827A66">
        <w:t xml:space="preserve">to the relief sought </w:t>
      </w:r>
    </w:p>
    <w:p w14:paraId="1BC3364D" w14:textId="1FA83777" w:rsidR="00827A66" w:rsidRDefault="003D63D6" w:rsidP="003D63D6">
      <w:pPr>
        <w:pStyle w:val="Judgment"/>
        <w:numPr>
          <w:ilvl w:val="0"/>
          <w:numId w:val="0"/>
        </w:numPr>
        <w:ind w:left="851" w:hanging="851"/>
      </w:pPr>
      <w:r>
        <w:rPr>
          <w:bCs/>
        </w:rPr>
        <w:t>[37]</w:t>
      </w:r>
      <w:r>
        <w:rPr>
          <w:bCs/>
        </w:rPr>
        <w:tab/>
      </w:r>
      <w:r w:rsidR="00827A66">
        <w:t xml:space="preserve">Applicants’ counsel simply referred </w:t>
      </w:r>
      <w:r w:rsidR="00DE4149">
        <w:t xml:space="preserve">in the Heads of Argument </w:t>
      </w:r>
      <w:r w:rsidR="00827A66">
        <w:t xml:space="preserve">to certain provisions of the Constitution, without specifying or indicating why </w:t>
      </w:r>
      <w:r w:rsidR="0046509F">
        <w:t xml:space="preserve">the specific sections entitled the Applicants to the relief sought. </w:t>
      </w:r>
    </w:p>
    <w:p w14:paraId="0AC2FB8E" w14:textId="32812654" w:rsidR="00DE4149" w:rsidRDefault="003D63D6" w:rsidP="003D63D6">
      <w:pPr>
        <w:pStyle w:val="Judgment"/>
        <w:numPr>
          <w:ilvl w:val="0"/>
          <w:numId w:val="0"/>
        </w:numPr>
        <w:ind w:left="851" w:hanging="851"/>
      </w:pPr>
      <w:r>
        <w:rPr>
          <w:bCs/>
        </w:rPr>
        <w:t>[38]</w:t>
      </w:r>
      <w:r>
        <w:rPr>
          <w:bCs/>
        </w:rPr>
        <w:tab/>
      </w:r>
      <w:r w:rsidR="004B0940">
        <w:t>Similarly, First Respondent’s counsel did not refer in her Heads of Argument to any case law or statutes in support of the First Respondent’s opposition.</w:t>
      </w:r>
    </w:p>
    <w:p w14:paraId="07596AB1" w14:textId="6EFB1C7F" w:rsidR="0046509F" w:rsidRDefault="003D63D6" w:rsidP="003D63D6">
      <w:pPr>
        <w:pStyle w:val="Judgment"/>
        <w:numPr>
          <w:ilvl w:val="0"/>
          <w:numId w:val="0"/>
        </w:numPr>
        <w:ind w:left="851" w:hanging="851"/>
      </w:pPr>
      <w:r>
        <w:rPr>
          <w:bCs/>
        </w:rPr>
        <w:lastRenderedPageBreak/>
        <w:t>[39]</w:t>
      </w:r>
      <w:r>
        <w:rPr>
          <w:bCs/>
        </w:rPr>
        <w:tab/>
      </w:r>
      <w:r w:rsidR="0046509F">
        <w:t xml:space="preserve">I specifically enquired from Applicants’ counsel </w:t>
      </w:r>
      <w:r w:rsidR="00DE4149">
        <w:t xml:space="preserve">which statute </w:t>
      </w:r>
      <w:r w:rsidR="0046509F">
        <w:t xml:space="preserve">or authorities the Applicants rely on </w:t>
      </w:r>
      <w:r w:rsidR="00DE4149">
        <w:t xml:space="preserve">in support of </w:t>
      </w:r>
      <w:r w:rsidR="0046509F">
        <w:t>the relief sought, and was advised that the Applicants do not “</w:t>
      </w:r>
      <w:r w:rsidR="0046509F">
        <w:rPr>
          <w:i/>
          <w:iCs/>
        </w:rPr>
        <w:t>have</w:t>
      </w:r>
      <w:r w:rsidR="0046509F">
        <w:t xml:space="preserve">” any specific law that they rely on, other than Section 33 of the Constitution.  </w:t>
      </w:r>
    </w:p>
    <w:p w14:paraId="3039CC8E" w14:textId="2D5347ED" w:rsidR="0046509F" w:rsidRDefault="003D63D6" w:rsidP="003D63D6">
      <w:pPr>
        <w:pStyle w:val="Judgment"/>
        <w:numPr>
          <w:ilvl w:val="0"/>
          <w:numId w:val="0"/>
        </w:numPr>
        <w:ind w:left="851" w:hanging="851"/>
      </w:pPr>
      <w:r>
        <w:rPr>
          <w:bCs/>
        </w:rPr>
        <w:t>[40]</w:t>
      </w:r>
      <w:r>
        <w:rPr>
          <w:bCs/>
        </w:rPr>
        <w:tab/>
      </w:r>
      <w:r w:rsidR="0046509F">
        <w:t xml:space="preserve">Section 33 of the Constitution relates to just administrative action and the entitlement of every citizen to lawful, reasonable and procedurally fair administrative action.  Section 33 of the Constitution does not however provide </w:t>
      </w:r>
      <w:r w:rsidR="007E6548">
        <w:t xml:space="preserve">a </w:t>
      </w:r>
      <w:r w:rsidR="00DE4149">
        <w:t xml:space="preserve">specific </w:t>
      </w:r>
      <w:r w:rsidR="007E6548">
        <w:t>basis for the relief sought in this application</w:t>
      </w:r>
      <w:r w:rsidR="00DE4149">
        <w:t xml:space="preserve">, particularly in circumstances where the Applicants are </w:t>
      </w:r>
      <w:r w:rsidR="00C36681">
        <w:t xml:space="preserve">not </w:t>
      </w:r>
      <w:r w:rsidR="00DE4149">
        <w:t>seeking the review of the determination of the City of Johannesburg</w:t>
      </w:r>
      <w:r w:rsidR="000A3E9A">
        <w:t xml:space="preserve">.  </w:t>
      </w:r>
    </w:p>
    <w:p w14:paraId="5A72A979" w14:textId="596FB3D8" w:rsidR="000A3E9A" w:rsidRDefault="003D63D6" w:rsidP="003D63D6">
      <w:pPr>
        <w:pStyle w:val="Judgment"/>
        <w:numPr>
          <w:ilvl w:val="0"/>
          <w:numId w:val="0"/>
        </w:numPr>
        <w:ind w:left="851" w:hanging="851"/>
      </w:pPr>
      <w:r>
        <w:rPr>
          <w:bCs/>
        </w:rPr>
        <w:t>[41]</w:t>
      </w:r>
      <w:r>
        <w:rPr>
          <w:bCs/>
        </w:rPr>
        <w:tab/>
      </w:r>
      <w:r w:rsidR="000A3E9A">
        <w:t xml:space="preserve">It is clear that </w:t>
      </w:r>
      <w:r w:rsidR="00DE4149">
        <w:t xml:space="preserve">if </w:t>
      </w:r>
      <w:r w:rsidR="000A3E9A">
        <w:t xml:space="preserve">there was any impropriety or </w:t>
      </w:r>
      <w:r w:rsidR="00DE4149">
        <w:t xml:space="preserve">error </w:t>
      </w:r>
      <w:r w:rsidR="000A3E9A">
        <w:t>in the registration of Mr</w:t>
      </w:r>
      <w:r w:rsidR="00DE4149">
        <w:t> </w:t>
      </w:r>
      <w:r w:rsidR="000A3E9A">
        <w:t xml:space="preserve">Alexander, </w:t>
      </w:r>
      <w:r w:rsidR="00DE4149">
        <w:t>(</w:t>
      </w:r>
      <w:r w:rsidR="000A3E9A">
        <w:t>and after his death, the First Respondent</w:t>
      </w:r>
      <w:r w:rsidR="00DE4149">
        <w:t>)</w:t>
      </w:r>
      <w:r w:rsidR="000A3E9A">
        <w:t xml:space="preserve"> as the owner of the Immovable Property, the registration could be set aside in terms of Section </w:t>
      </w:r>
      <w:r w:rsidR="00DE4149">
        <w:t>6(1)</w:t>
      </w:r>
      <w:r w:rsidR="000A3E9A">
        <w:t xml:space="preserve"> of the Deeds Registries Act.</w:t>
      </w:r>
    </w:p>
    <w:p w14:paraId="6404544B" w14:textId="3D615110" w:rsidR="000A3E9A" w:rsidRDefault="003D63D6" w:rsidP="003D63D6">
      <w:pPr>
        <w:pStyle w:val="Judgment"/>
        <w:numPr>
          <w:ilvl w:val="0"/>
          <w:numId w:val="0"/>
        </w:numPr>
        <w:ind w:left="851" w:hanging="851"/>
      </w:pPr>
      <w:r>
        <w:rPr>
          <w:bCs/>
        </w:rPr>
        <w:t>[42]</w:t>
      </w:r>
      <w:r>
        <w:rPr>
          <w:bCs/>
        </w:rPr>
        <w:tab/>
      </w:r>
      <w:r w:rsidR="000A3E9A">
        <w:t xml:space="preserve">The Applicants do not allege that there was any impropriety or </w:t>
      </w:r>
      <w:r w:rsidR="00DE4149">
        <w:t>erro</w:t>
      </w:r>
      <w:r w:rsidR="004B0940">
        <w:t xml:space="preserve">r </w:t>
      </w:r>
      <w:r w:rsidR="000A3E9A">
        <w:t>in registering the Immovable Property into the name of Mr Alexander, thereby recording Mr Alexander as the owner of the Immovable Property.</w:t>
      </w:r>
    </w:p>
    <w:p w14:paraId="0F993B2D" w14:textId="32713DEC" w:rsidR="000A3E9A" w:rsidRDefault="003D63D6" w:rsidP="003D63D6">
      <w:pPr>
        <w:pStyle w:val="Judgment"/>
        <w:numPr>
          <w:ilvl w:val="0"/>
          <w:numId w:val="0"/>
        </w:numPr>
        <w:ind w:left="851" w:hanging="851"/>
      </w:pPr>
      <w:r>
        <w:rPr>
          <w:bCs/>
        </w:rPr>
        <w:t>[43]</w:t>
      </w:r>
      <w:r>
        <w:rPr>
          <w:bCs/>
        </w:rPr>
        <w:tab/>
      </w:r>
      <w:r w:rsidR="000A3E9A">
        <w:t xml:space="preserve">There are no allegations that the Department of Housing of the City of Johannesburg, or the Department of Regularisation and Transfer of Ownership </w:t>
      </w:r>
      <w:r w:rsidR="004B0940">
        <w:t xml:space="preserve">(ReTrO) </w:t>
      </w:r>
      <w:r w:rsidR="000A3E9A">
        <w:t xml:space="preserve">of the City of Johannesburg acted improperly in reaching a decision finding Mr Alexander to be the </w:t>
      </w:r>
      <w:r w:rsidR="004B0940">
        <w:t>“</w:t>
      </w:r>
      <w:r w:rsidR="000A3E9A" w:rsidRPr="004B0940">
        <w:rPr>
          <w:i/>
          <w:iCs/>
        </w:rPr>
        <w:t>most deserving beneficiary</w:t>
      </w:r>
      <w:r w:rsidR="004B0940">
        <w:t>”</w:t>
      </w:r>
      <w:r w:rsidR="000A3E9A">
        <w:t xml:space="preserve"> and ultimately the owner of the Immovable Property.  There </w:t>
      </w:r>
      <w:r w:rsidR="00C36681">
        <w:t xml:space="preserve">are </w:t>
      </w:r>
      <w:r w:rsidR="000A3E9A">
        <w:t xml:space="preserve">simply no factual allegations relating to the steps taken by the relevant </w:t>
      </w:r>
      <w:r w:rsidR="004B0940">
        <w:t>D</w:t>
      </w:r>
      <w:r w:rsidR="000A3E9A">
        <w:t xml:space="preserve">epartments of the City of Johannesburg, and despite requesting </w:t>
      </w:r>
      <w:r w:rsidR="000A3E9A">
        <w:lastRenderedPageBreak/>
        <w:t xml:space="preserve">information, </w:t>
      </w:r>
      <w:r w:rsidR="00C36681">
        <w:t xml:space="preserve">which was not provided, </w:t>
      </w:r>
      <w:r w:rsidR="000A3E9A">
        <w:t xml:space="preserve">no steps were taken by the Applicants to compel the City of Johannesburg to provide the information necessary to obtain a record of the proceedings, or the </w:t>
      </w:r>
      <w:r w:rsidR="004B0940">
        <w:t>determination</w:t>
      </w:r>
      <w:r w:rsidR="000A3E9A">
        <w:t xml:space="preserve">.  </w:t>
      </w:r>
    </w:p>
    <w:p w14:paraId="754E28C2" w14:textId="5CE0AD9D" w:rsidR="000A3E9A" w:rsidRDefault="003D63D6" w:rsidP="003D63D6">
      <w:pPr>
        <w:pStyle w:val="Judgment"/>
        <w:numPr>
          <w:ilvl w:val="0"/>
          <w:numId w:val="0"/>
        </w:numPr>
        <w:ind w:left="851" w:hanging="851"/>
      </w:pPr>
      <w:r>
        <w:rPr>
          <w:bCs/>
        </w:rPr>
        <w:t>[44]</w:t>
      </w:r>
      <w:r>
        <w:rPr>
          <w:bCs/>
        </w:rPr>
        <w:tab/>
      </w:r>
      <w:r w:rsidR="000A3E9A">
        <w:t xml:space="preserve">The only basis put forward by the Applicants in support of the relief </w:t>
      </w:r>
      <w:r w:rsidR="00313D18">
        <w:t xml:space="preserve">sought is that it would be just and equitable for the registration of the Title Deed to be cancelled and </w:t>
      </w:r>
      <w:r w:rsidR="004B0940">
        <w:t xml:space="preserve">the </w:t>
      </w:r>
      <w:r w:rsidR="00313D18">
        <w:t xml:space="preserve">determination of the ownership of the Immovable Property to be referred back to the City of Johannesburg, on the basis </w:t>
      </w:r>
      <w:r w:rsidR="00C36681">
        <w:t xml:space="preserve">of prejudice The Applicants contend </w:t>
      </w:r>
      <w:r w:rsidR="00313D18">
        <w:t xml:space="preserve">that the First Respondent’s mother and grandmother have accommodation, and that therefore the First Respondent would not be prejudiced if the Immovable Property was awarded to the Applicants, whereas the Applicants would be prejudiced if the Immovable Property was not awarded to them, as they have no </w:t>
      </w:r>
      <w:r w:rsidR="00C36681">
        <w:t xml:space="preserve">alternative </w:t>
      </w:r>
      <w:r w:rsidR="0083604A">
        <w:t xml:space="preserve">accommodation for the Applicants and their extended family.  </w:t>
      </w:r>
      <w:r w:rsidR="00C36681">
        <w:t xml:space="preserve">This may be an aspect to be considered in the eviction proceedings, but cannot found a basis for the relief sought in this Application. </w:t>
      </w:r>
    </w:p>
    <w:p w14:paraId="7485BD11" w14:textId="711C11B8" w:rsidR="0083604A" w:rsidRDefault="003D63D6" w:rsidP="003D63D6">
      <w:pPr>
        <w:pStyle w:val="Judgment"/>
        <w:numPr>
          <w:ilvl w:val="0"/>
          <w:numId w:val="0"/>
        </w:numPr>
        <w:ind w:left="851" w:hanging="851"/>
      </w:pPr>
      <w:r>
        <w:rPr>
          <w:bCs/>
        </w:rPr>
        <w:t>[45]</w:t>
      </w:r>
      <w:r>
        <w:rPr>
          <w:bCs/>
        </w:rPr>
        <w:tab/>
      </w:r>
      <w:r w:rsidR="00AA6633">
        <w:t xml:space="preserve">In July 1998 the Conversion of Certain Rights into Leasehold or Ownership Act, </w:t>
      </w:r>
      <w:r w:rsidR="004B0940">
        <w:t>Number</w:t>
      </w:r>
      <w:r w:rsidR="00AA6633">
        <w:t xml:space="preserve"> 81 of 1988 (“the Conversion Act”) was promulgated, in order to provide for the conversion of certain rights of occupation into leasehold rights.  </w:t>
      </w:r>
    </w:p>
    <w:p w14:paraId="33731B28" w14:textId="6ED4B476" w:rsidR="00AA6633" w:rsidRDefault="003D63D6" w:rsidP="003D63D6">
      <w:pPr>
        <w:pStyle w:val="Judgment"/>
        <w:numPr>
          <w:ilvl w:val="0"/>
          <w:numId w:val="0"/>
        </w:numPr>
        <w:ind w:left="851" w:hanging="851"/>
      </w:pPr>
      <w:r>
        <w:rPr>
          <w:bCs/>
        </w:rPr>
        <w:t>[46]</w:t>
      </w:r>
      <w:r>
        <w:rPr>
          <w:bCs/>
        </w:rPr>
        <w:tab/>
      </w:r>
      <w:r w:rsidR="00AA6633">
        <w:t xml:space="preserve">The Conversion Act was amended by the Development Facilitation Act, </w:t>
      </w:r>
      <w:r w:rsidR="004B0940">
        <w:t>Number</w:t>
      </w:r>
      <w:r w:rsidR="00AA6633">
        <w:t xml:space="preserve"> 67 of 1995, in order to provide for the conversion of certain rights of occupation not only into leasehold rights, but also into ownership</w:t>
      </w:r>
      <w:r w:rsidR="004B0940">
        <w:t xml:space="preserve"> rights</w:t>
      </w:r>
      <w:r w:rsidR="00AA6633">
        <w:t xml:space="preserve">.  </w:t>
      </w:r>
    </w:p>
    <w:p w14:paraId="5C5A6451" w14:textId="3C890013" w:rsidR="00AA6633" w:rsidRDefault="003D63D6" w:rsidP="003D63D6">
      <w:pPr>
        <w:pStyle w:val="Judgment"/>
        <w:numPr>
          <w:ilvl w:val="0"/>
          <w:numId w:val="0"/>
        </w:numPr>
        <w:ind w:left="851" w:hanging="851"/>
      </w:pPr>
      <w:r>
        <w:rPr>
          <w:bCs/>
        </w:rPr>
        <w:t>[47]</w:t>
      </w:r>
      <w:r>
        <w:rPr>
          <w:bCs/>
        </w:rPr>
        <w:tab/>
      </w:r>
      <w:r w:rsidR="00AA6633">
        <w:t xml:space="preserve">In terms of Section </w:t>
      </w:r>
      <w:r w:rsidR="00621F1C">
        <w:t xml:space="preserve">2 of the Conversion Act, as amended, the Director General of the </w:t>
      </w:r>
      <w:r w:rsidR="004B0940">
        <w:t xml:space="preserve">relevant </w:t>
      </w:r>
      <w:r w:rsidR="00621F1C">
        <w:t xml:space="preserve">Provincial Administration must conduct an </w:t>
      </w:r>
      <w:r w:rsidR="004B0940">
        <w:t>i</w:t>
      </w:r>
      <w:r w:rsidR="00621F1C">
        <w:t xml:space="preserve">nquiry in </w:t>
      </w:r>
      <w:r w:rsidR="00621F1C">
        <w:lastRenderedPageBreak/>
        <w:t>order to determine who should be granted a right of leasehold, or in the case of formalised townships, who should be granted ownership of immovable property.</w:t>
      </w:r>
    </w:p>
    <w:p w14:paraId="76B662D4" w14:textId="692E9EA5" w:rsidR="00621F1C" w:rsidRDefault="003D63D6" w:rsidP="003D63D6">
      <w:pPr>
        <w:pStyle w:val="Judgment"/>
        <w:numPr>
          <w:ilvl w:val="0"/>
          <w:numId w:val="0"/>
        </w:numPr>
        <w:ind w:left="851" w:hanging="851"/>
      </w:pPr>
      <w:r>
        <w:rPr>
          <w:bCs/>
        </w:rPr>
        <w:t>[48]</w:t>
      </w:r>
      <w:r>
        <w:rPr>
          <w:bCs/>
        </w:rPr>
        <w:tab/>
      </w:r>
      <w:r w:rsidR="00621F1C">
        <w:t xml:space="preserve">At the conclusion of such </w:t>
      </w:r>
      <w:r w:rsidR="004B0940">
        <w:t>i</w:t>
      </w:r>
      <w:r w:rsidR="00621F1C">
        <w:t xml:space="preserve">nquiry, the Director General will determine the grant of the leasehold or ownership in respect of the immovable property. </w:t>
      </w:r>
    </w:p>
    <w:p w14:paraId="08C5574C" w14:textId="6C8FF172" w:rsidR="00621F1C" w:rsidRDefault="003D63D6" w:rsidP="003D63D6">
      <w:pPr>
        <w:pStyle w:val="Judgment"/>
        <w:numPr>
          <w:ilvl w:val="0"/>
          <w:numId w:val="0"/>
        </w:numPr>
        <w:ind w:left="851" w:hanging="851"/>
      </w:pPr>
      <w:r>
        <w:rPr>
          <w:bCs/>
        </w:rPr>
        <w:t>[49]</w:t>
      </w:r>
      <w:r>
        <w:rPr>
          <w:bCs/>
        </w:rPr>
        <w:tab/>
      </w:r>
      <w:r w:rsidR="00621F1C">
        <w:t xml:space="preserve">The Director General is entitled, in terms of Section 10 of the Conversion Act, to delegate the powers conferred upon him to an officer in the provincial administration, or to any person appointed for the purpose of giving effect to the Conversion Act. </w:t>
      </w:r>
    </w:p>
    <w:p w14:paraId="702CCF21" w14:textId="331FF893" w:rsidR="00621F1C" w:rsidRDefault="003D63D6" w:rsidP="003D63D6">
      <w:pPr>
        <w:pStyle w:val="Judgment"/>
        <w:numPr>
          <w:ilvl w:val="0"/>
          <w:numId w:val="0"/>
        </w:numPr>
        <w:ind w:left="851" w:hanging="851"/>
      </w:pPr>
      <w:r>
        <w:rPr>
          <w:bCs/>
        </w:rPr>
        <w:t>[50]</w:t>
      </w:r>
      <w:r>
        <w:rPr>
          <w:bCs/>
        </w:rPr>
        <w:tab/>
      </w:r>
      <w:r w:rsidR="00621F1C">
        <w:t xml:space="preserve">In terms of Section 9 of the Conversion Act regulations are to be passed as to the manner of the </w:t>
      </w:r>
      <w:r w:rsidR="004B0940">
        <w:t>i</w:t>
      </w:r>
      <w:r w:rsidR="00621F1C">
        <w:t>nquiry, the procedures to be followed and the manner of hearing of any appeal</w:t>
      </w:r>
      <w:r w:rsidR="004B0940">
        <w:t xml:space="preserve"> process</w:t>
      </w:r>
      <w:r w:rsidR="00621F1C">
        <w:t xml:space="preserve">.  </w:t>
      </w:r>
    </w:p>
    <w:p w14:paraId="690BD32E" w14:textId="32E26A97" w:rsidR="00621F1C" w:rsidRDefault="003D63D6" w:rsidP="003D63D6">
      <w:pPr>
        <w:pStyle w:val="Judgment"/>
        <w:numPr>
          <w:ilvl w:val="0"/>
          <w:numId w:val="0"/>
        </w:numPr>
        <w:ind w:left="851" w:hanging="851"/>
      </w:pPr>
      <w:r>
        <w:rPr>
          <w:bCs/>
        </w:rPr>
        <w:t>[51]</w:t>
      </w:r>
      <w:r>
        <w:rPr>
          <w:bCs/>
        </w:rPr>
        <w:tab/>
      </w:r>
      <w:r w:rsidR="00621F1C">
        <w:t xml:space="preserve">Section 3 of the Conversion Act specifically </w:t>
      </w:r>
      <w:r w:rsidR="001E4E17">
        <w:t xml:space="preserve">entitles any person aggrieved by a determination relating to the conferring of a right of leasehold or ownership </w:t>
      </w:r>
      <w:r w:rsidR="004B78AE">
        <w:t xml:space="preserve">to appeal against that determination to the relevant administrator. </w:t>
      </w:r>
    </w:p>
    <w:p w14:paraId="6B177767" w14:textId="10F21A2A" w:rsidR="004B78AE" w:rsidRDefault="003D63D6" w:rsidP="003D63D6">
      <w:pPr>
        <w:pStyle w:val="Judgment"/>
        <w:numPr>
          <w:ilvl w:val="0"/>
          <w:numId w:val="0"/>
        </w:numPr>
        <w:ind w:left="851" w:hanging="851"/>
      </w:pPr>
      <w:r>
        <w:rPr>
          <w:bCs/>
        </w:rPr>
        <w:t>[52]</w:t>
      </w:r>
      <w:r>
        <w:rPr>
          <w:bCs/>
        </w:rPr>
        <w:tab/>
      </w:r>
      <w:r w:rsidR="004B78AE">
        <w:t xml:space="preserve">Whilst there is no reference in any of the correspondence emanating from the City of Johannesburg to the Conversion Act, it appears that the Department of Regularisation and Transfer of Ownership </w:t>
      </w:r>
      <w:r w:rsidR="004B0940">
        <w:t xml:space="preserve">(ReTrO) </w:t>
      </w:r>
      <w:r w:rsidR="004B78AE">
        <w:t xml:space="preserve">of the City of Johannesburg was established in order to give effect to the Conversion Act. </w:t>
      </w:r>
    </w:p>
    <w:p w14:paraId="6EE06D06" w14:textId="6D41D0BF" w:rsidR="004B78AE" w:rsidRDefault="003D63D6" w:rsidP="003D63D6">
      <w:pPr>
        <w:pStyle w:val="Judgment"/>
        <w:numPr>
          <w:ilvl w:val="0"/>
          <w:numId w:val="0"/>
        </w:numPr>
        <w:ind w:left="851" w:hanging="851"/>
      </w:pPr>
      <w:r>
        <w:rPr>
          <w:bCs/>
        </w:rPr>
        <w:t>[53]</w:t>
      </w:r>
      <w:r>
        <w:rPr>
          <w:bCs/>
        </w:rPr>
        <w:tab/>
      </w:r>
      <w:r w:rsidR="004B78AE">
        <w:t xml:space="preserve">It accordingly appears, in the absence of any evidence or allegations to the contrary, that the </w:t>
      </w:r>
      <w:r w:rsidR="0016556F">
        <w:t xml:space="preserve">transfer of ownership of the Immovable Property to Mr Alexander and the subsequent registration of ownership of the Immovable </w:t>
      </w:r>
      <w:r w:rsidR="0016556F">
        <w:lastRenderedPageBreak/>
        <w:t xml:space="preserve">Property into the name of Mr Alexander with the Registrar of Deeds was given effect to in terms of the Conversion Act.  </w:t>
      </w:r>
    </w:p>
    <w:p w14:paraId="2EEF99E2" w14:textId="23A0DCC2" w:rsidR="0016556F" w:rsidRDefault="003D63D6" w:rsidP="003D63D6">
      <w:pPr>
        <w:pStyle w:val="Judgment"/>
        <w:numPr>
          <w:ilvl w:val="0"/>
          <w:numId w:val="0"/>
        </w:numPr>
        <w:ind w:left="851" w:hanging="851"/>
      </w:pPr>
      <w:r>
        <w:rPr>
          <w:bCs/>
        </w:rPr>
        <w:t>[54]</w:t>
      </w:r>
      <w:r>
        <w:rPr>
          <w:bCs/>
        </w:rPr>
        <w:tab/>
      </w:r>
      <w:r w:rsidR="0016556F">
        <w:t xml:space="preserve">In the matter of </w:t>
      </w:r>
      <w:r w:rsidR="0016556F">
        <w:rPr>
          <w:i/>
          <w:iCs/>
        </w:rPr>
        <w:t>Phasha v Southern Metropolitan Local Council of the Greater Johannesburg Metropolitan Council</w:t>
      </w:r>
      <w:r w:rsidR="0016556F">
        <w:rPr>
          <w:rStyle w:val="FootnoteReference"/>
          <w:i/>
          <w:iCs/>
        </w:rPr>
        <w:footnoteReference w:id="1"/>
      </w:r>
      <w:r w:rsidR="0016556F">
        <w:t xml:space="preserve"> the Court </w:t>
      </w:r>
      <w:r w:rsidR="003A7534">
        <w:t>held</w:t>
      </w:r>
      <w:r w:rsidR="003A7534">
        <w:rPr>
          <w:rStyle w:val="FootnoteReference"/>
        </w:rPr>
        <w:footnoteReference w:id="2"/>
      </w:r>
      <w:r w:rsidR="003A7534">
        <w:t xml:space="preserve"> as follows:</w:t>
      </w:r>
    </w:p>
    <w:p w14:paraId="2079A625" w14:textId="5A0CF0E0" w:rsidR="003A7534" w:rsidRDefault="003A7534" w:rsidP="003A7534">
      <w:pPr>
        <w:pStyle w:val="Quote"/>
      </w:pPr>
      <w:r>
        <w:t xml:space="preserve">“I am of the view that it is clear that the Conversion Act does not and cannot limit acquisition to dominium.  The very purpose of the Conversion Act itself is precisely to deal with rights obtained by black persons which fell short of leasehold or ownership and through the mechanisms of the </w:t>
      </w:r>
      <w:r w:rsidR="007A1D48">
        <w:t xml:space="preserve">Act to provide for the upgrading of </w:t>
      </w:r>
      <w:r w:rsidR="00360998">
        <w:t>lesser rights.”</w:t>
      </w:r>
    </w:p>
    <w:p w14:paraId="3D81B0CB" w14:textId="5706315F" w:rsidR="00360998" w:rsidRDefault="003D63D6" w:rsidP="003D63D6">
      <w:pPr>
        <w:pStyle w:val="Judgementsubpara"/>
        <w:numPr>
          <w:ilvl w:val="0"/>
          <w:numId w:val="0"/>
        </w:numPr>
        <w:ind w:left="851" w:hanging="851"/>
      </w:pPr>
      <w:r>
        <w:rPr>
          <w:bCs/>
        </w:rPr>
        <w:t>[55]</w:t>
      </w:r>
      <w:r>
        <w:rPr>
          <w:bCs/>
        </w:rPr>
        <w:tab/>
      </w:r>
      <w:r w:rsidR="00360998">
        <w:t>It was also held by the Court</w:t>
      </w:r>
      <w:r w:rsidR="00360998">
        <w:rPr>
          <w:rStyle w:val="FootnoteReference"/>
        </w:rPr>
        <w:footnoteReference w:id="3"/>
      </w:r>
      <w:r w:rsidR="00360998">
        <w:t xml:space="preserve"> that the </w:t>
      </w:r>
      <w:r w:rsidR="00FB6616">
        <w:t>Director General has a wide discretion and is empowered to roam widely in the conduct of the Section 2(1) enquiry.</w:t>
      </w:r>
    </w:p>
    <w:p w14:paraId="2298E0DB" w14:textId="0F29F0C3" w:rsidR="00FB6616" w:rsidRDefault="003D63D6" w:rsidP="003D63D6">
      <w:pPr>
        <w:pStyle w:val="Judgment"/>
        <w:numPr>
          <w:ilvl w:val="0"/>
          <w:numId w:val="0"/>
        </w:numPr>
        <w:ind w:left="851" w:hanging="851"/>
      </w:pPr>
      <w:r>
        <w:rPr>
          <w:bCs/>
        </w:rPr>
        <w:t>[56]</w:t>
      </w:r>
      <w:r>
        <w:rPr>
          <w:bCs/>
        </w:rPr>
        <w:tab/>
      </w:r>
      <w:r w:rsidR="00FB6616">
        <w:t xml:space="preserve">In the matter of </w:t>
      </w:r>
      <w:r w:rsidR="00FB6616">
        <w:rPr>
          <w:i/>
          <w:iCs/>
        </w:rPr>
        <w:t>Nzimandi v Nzimandi and Another</w:t>
      </w:r>
      <w:r w:rsidR="00FB6616">
        <w:rPr>
          <w:rStyle w:val="FootnoteReference"/>
          <w:i/>
          <w:iCs/>
        </w:rPr>
        <w:footnoteReference w:id="4"/>
      </w:r>
      <w:r w:rsidR="00FB6616">
        <w:t xml:space="preserve"> the Court confirmed that the Director General has a wide discretion, and specifically held that the Conversion Act was not intended automatically to convert existing rights under the regulations into the rights of leasehold or ownership, and the Director General, after having investigated </w:t>
      </w:r>
      <w:r w:rsidR="00B2112A">
        <w:t>a dispute</w:t>
      </w:r>
      <w:r w:rsidR="004B0940">
        <w:t>,</w:t>
      </w:r>
      <w:r w:rsidR="00B2112A">
        <w:t xml:space="preserve"> exercised a discretion in his determination of who had acquired the right</w:t>
      </w:r>
      <w:r w:rsidR="005A0C07">
        <w:t xml:space="preserve"> of leasehold or ownership in respect of the property.  In reaching such determination, a variety of factors would have to be considered.</w:t>
      </w:r>
      <w:r w:rsidR="005A0C07">
        <w:rPr>
          <w:rStyle w:val="FootnoteReference"/>
        </w:rPr>
        <w:footnoteReference w:id="5"/>
      </w:r>
    </w:p>
    <w:p w14:paraId="5195768B" w14:textId="240FD9F9" w:rsidR="005A0C07" w:rsidRDefault="003D63D6" w:rsidP="003D63D6">
      <w:pPr>
        <w:pStyle w:val="Judgment"/>
        <w:numPr>
          <w:ilvl w:val="0"/>
          <w:numId w:val="0"/>
        </w:numPr>
        <w:ind w:left="851" w:hanging="851"/>
      </w:pPr>
      <w:r>
        <w:rPr>
          <w:bCs/>
        </w:rPr>
        <w:lastRenderedPageBreak/>
        <w:t>[57]</w:t>
      </w:r>
      <w:r>
        <w:rPr>
          <w:bCs/>
        </w:rPr>
        <w:tab/>
      </w:r>
      <w:r w:rsidR="005A0C07">
        <w:t xml:space="preserve">In the unreported matter of </w:t>
      </w:r>
      <w:r w:rsidR="005A0C07">
        <w:rPr>
          <w:i/>
          <w:iCs/>
        </w:rPr>
        <w:t>Disetsane and Others v Moganedi and Others</w:t>
      </w:r>
      <w:r w:rsidR="005A0C07">
        <w:rPr>
          <w:rStyle w:val="FootnoteReference"/>
          <w:i/>
          <w:iCs/>
        </w:rPr>
        <w:footnoteReference w:id="6"/>
      </w:r>
      <w:r w:rsidR="005A0C07">
        <w:t xml:space="preserve"> the Full Bench </w:t>
      </w:r>
      <w:r w:rsidR="000B1335">
        <w:t>considered an appeal relating to the registration of transfer of immovable property</w:t>
      </w:r>
      <w:r w:rsidR="00D97D72">
        <w:t>,</w:t>
      </w:r>
      <w:r w:rsidR="000B1335">
        <w:t xml:space="preserve"> in terms of which the appellant sought an order cancelling a Title Deed, and </w:t>
      </w:r>
      <w:r w:rsidR="00B01E8C">
        <w:t xml:space="preserve">an order directing the Director General of the Department of </w:t>
      </w:r>
      <w:r w:rsidR="00975309">
        <w:t xml:space="preserve">Housing for the Province of Gauteng, to hold a hearing </w:t>
      </w:r>
      <w:r w:rsidR="00BD5D46">
        <w:t xml:space="preserve">in terms of </w:t>
      </w:r>
      <w:r w:rsidR="00683338">
        <w:t>the Conversion Act for the purpose of determining the rightful owner of a particular immovable property.</w:t>
      </w:r>
    </w:p>
    <w:p w14:paraId="7E42AEB2" w14:textId="2DF17B31" w:rsidR="00683338" w:rsidRDefault="003D63D6" w:rsidP="003D63D6">
      <w:pPr>
        <w:pStyle w:val="Judgment"/>
        <w:numPr>
          <w:ilvl w:val="0"/>
          <w:numId w:val="0"/>
        </w:numPr>
        <w:ind w:left="851" w:hanging="851"/>
      </w:pPr>
      <w:r>
        <w:rPr>
          <w:bCs/>
        </w:rPr>
        <w:t>[58]</w:t>
      </w:r>
      <w:r>
        <w:rPr>
          <w:bCs/>
        </w:rPr>
        <w:tab/>
      </w:r>
      <w:r w:rsidR="00683338">
        <w:t>The Appeal Court set aside the registration of the Deed of Transfer</w:t>
      </w:r>
      <w:r w:rsidR="00F31600">
        <w:t>, based on Section 6 of the Deeds Registries Act</w:t>
      </w:r>
      <w:r w:rsidR="002B77B7">
        <w:t xml:space="preserve">, on the basis that there was a clear error </w:t>
      </w:r>
      <w:r w:rsidR="007555D6">
        <w:t xml:space="preserve">in the transfer of the immovable property to the respondent in that </w:t>
      </w:r>
      <w:r w:rsidR="00FA7CFB">
        <w:t>matter</w:t>
      </w:r>
      <w:r w:rsidR="007555D6">
        <w:t>.</w:t>
      </w:r>
    </w:p>
    <w:p w14:paraId="2A084B48" w14:textId="3179EFCE" w:rsidR="007555D6" w:rsidRDefault="003D63D6" w:rsidP="003D63D6">
      <w:pPr>
        <w:pStyle w:val="Judgment"/>
        <w:numPr>
          <w:ilvl w:val="0"/>
          <w:numId w:val="0"/>
        </w:numPr>
        <w:ind w:left="851" w:hanging="851"/>
      </w:pPr>
      <w:r>
        <w:rPr>
          <w:bCs/>
        </w:rPr>
        <w:t>[59]</w:t>
      </w:r>
      <w:r>
        <w:rPr>
          <w:bCs/>
        </w:rPr>
        <w:tab/>
      </w:r>
      <w:r w:rsidR="004A4827">
        <w:t xml:space="preserve">In the </w:t>
      </w:r>
      <w:r w:rsidR="00FA7CFB">
        <w:t xml:space="preserve">unreported </w:t>
      </w:r>
      <w:r w:rsidR="004A4827">
        <w:t xml:space="preserve">matter of </w:t>
      </w:r>
      <w:r w:rsidR="004A4827">
        <w:rPr>
          <w:i/>
          <w:iCs/>
        </w:rPr>
        <w:t>Ntshalintshali and Others v Sekano and Others</w:t>
      </w:r>
      <w:r w:rsidR="004A4827">
        <w:rPr>
          <w:rStyle w:val="FootnoteReference"/>
          <w:i/>
          <w:iCs/>
        </w:rPr>
        <w:footnoteReference w:id="7"/>
      </w:r>
      <w:r w:rsidR="004A4827">
        <w:t xml:space="preserve">an application was launched to seek the cancellation of a Title Deed, as well as </w:t>
      </w:r>
      <w:r w:rsidR="00FA7CFB">
        <w:t xml:space="preserve">the institution of </w:t>
      </w:r>
      <w:r w:rsidR="004A4827">
        <w:t xml:space="preserve">an </w:t>
      </w:r>
      <w:r w:rsidR="00FA7CFB">
        <w:t>i</w:t>
      </w:r>
      <w:r w:rsidR="004A4827">
        <w:t xml:space="preserve">nquiry in terms of Section 2 of the Conversion Act.  In the </w:t>
      </w:r>
      <w:r w:rsidR="004A4827">
        <w:rPr>
          <w:i/>
          <w:iCs/>
        </w:rPr>
        <w:t>Ntshalintshali</w:t>
      </w:r>
      <w:r w:rsidR="004A4827">
        <w:t xml:space="preserve"> matter there was an error in the offices of the Housing Department, which provided the Second Respondent in that application with an opportunity to sell the Immovable Property.</w:t>
      </w:r>
    </w:p>
    <w:p w14:paraId="086ADE68" w14:textId="1C44C6DF" w:rsidR="004A4827" w:rsidRDefault="003D63D6" w:rsidP="003D63D6">
      <w:pPr>
        <w:pStyle w:val="Judgment"/>
        <w:numPr>
          <w:ilvl w:val="0"/>
          <w:numId w:val="0"/>
        </w:numPr>
        <w:ind w:left="851" w:hanging="851"/>
      </w:pPr>
      <w:r>
        <w:rPr>
          <w:bCs/>
        </w:rPr>
        <w:t>[60]</w:t>
      </w:r>
      <w:r>
        <w:rPr>
          <w:bCs/>
        </w:rPr>
        <w:tab/>
      </w:r>
      <w:r w:rsidR="004A4827">
        <w:t xml:space="preserve">It appears that no </w:t>
      </w:r>
      <w:r w:rsidR="00FA7CFB">
        <w:t>i</w:t>
      </w:r>
      <w:r w:rsidR="004A4827">
        <w:t>nquiry was held by the Director General for the Department of Housing</w:t>
      </w:r>
      <w:r w:rsidR="00FA7CFB">
        <w:t xml:space="preserve"> in the </w:t>
      </w:r>
      <w:r w:rsidR="00FA7CFB">
        <w:rPr>
          <w:i/>
          <w:iCs/>
        </w:rPr>
        <w:t>Ntshalintshali</w:t>
      </w:r>
      <w:r w:rsidR="00FA7CFB">
        <w:t xml:space="preserve"> matter</w:t>
      </w:r>
      <w:r w:rsidR="004A4827">
        <w:t xml:space="preserve">, and that in the absence of such an </w:t>
      </w:r>
      <w:r w:rsidR="00FA7CFB">
        <w:t>i</w:t>
      </w:r>
      <w:r w:rsidR="004A4827">
        <w:t xml:space="preserve">nquiry the registration of the immovable property into the name of the first respondent pursuant to the Conversion Act was null and void. </w:t>
      </w:r>
    </w:p>
    <w:p w14:paraId="7278E35B" w14:textId="0FB7E123" w:rsidR="004A4827" w:rsidRDefault="003D63D6" w:rsidP="003D63D6">
      <w:pPr>
        <w:pStyle w:val="Judgment"/>
        <w:numPr>
          <w:ilvl w:val="0"/>
          <w:numId w:val="0"/>
        </w:numPr>
        <w:ind w:left="851" w:hanging="851"/>
      </w:pPr>
      <w:r>
        <w:rPr>
          <w:bCs/>
        </w:rPr>
        <w:lastRenderedPageBreak/>
        <w:t>[61]</w:t>
      </w:r>
      <w:r>
        <w:rPr>
          <w:bCs/>
        </w:rPr>
        <w:tab/>
      </w:r>
      <w:r w:rsidR="004A4827">
        <w:t xml:space="preserve">In the circumstances, the Court ordered the cancellation of the </w:t>
      </w:r>
      <w:r w:rsidR="00D27468">
        <w:t xml:space="preserve">Title Deed, and ordered the Director General to hold a hearing in terms of Section 2 of the Conversion Act.  </w:t>
      </w:r>
    </w:p>
    <w:p w14:paraId="3DE46214" w14:textId="6785B684" w:rsidR="00FA7CFB" w:rsidRDefault="003D63D6" w:rsidP="003D63D6">
      <w:pPr>
        <w:pStyle w:val="Judgment"/>
        <w:numPr>
          <w:ilvl w:val="0"/>
          <w:numId w:val="0"/>
        </w:numPr>
        <w:ind w:left="851" w:hanging="851"/>
      </w:pPr>
      <w:r>
        <w:rPr>
          <w:bCs/>
        </w:rPr>
        <w:t>[62]</w:t>
      </w:r>
      <w:r>
        <w:rPr>
          <w:bCs/>
        </w:rPr>
        <w:tab/>
      </w:r>
      <w:r w:rsidR="00FA7CFB">
        <w:t xml:space="preserve">The legal basis for the relief sought by the Applicants must </w:t>
      </w:r>
      <w:r w:rsidR="00D97D72">
        <w:t xml:space="preserve">therefore </w:t>
      </w:r>
      <w:r w:rsidR="00FA7CFB">
        <w:t>clearly be found within the provisions and application of the Conversion Act.</w:t>
      </w:r>
      <w:r w:rsidR="00D97D72">
        <w:t xml:space="preserve"> </w:t>
      </w:r>
    </w:p>
    <w:p w14:paraId="72E2DA0B" w14:textId="7D739ED9" w:rsidR="00FA7CFB" w:rsidRPr="00FA7CFB" w:rsidRDefault="00FA7CFB" w:rsidP="00FA7CFB">
      <w:pPr>
        <w:pStyle w:val="Judgment"/>
        <w:numPr>
          <w:ilvl w:val="0"/>
          <w:numId w:val="0"/>
        </w:numPr>
        <w:ind w:left="851" w:hanging="851"/>
        <w:rPr>
          <w:b/>
          <w:bCs/>
        </w:rPr>
      </w:pPr>
      <w:r>
        <w:rPr>
          <w:b/>
          <w:bCs/>
        </w:rPr>
        <w:t>CONDONATION</w:t>
      </w:r>
    </w:p>
    <w:p w14:paraId="1152FD51" w14:textId="29FCEFBC" w:rsidR="00FA7CFB" w:rsidRDefault="003D63D6" w:rsidP="003D63D6">
      <w:pPr>
        <w:pStyle w:val="Judgment"/>
        <w:numPr>
          <w:ilvl w:val="0"/>
          <w:numId w:val="0"/>
        </w:numPr>
        <w:ind w:left="851" w:hanging="851"/>
      </w:pPr>
      <w:r>
        <w:rPr>
          <w:bCs/>
        </w:rPr>
        <w:t>[63]</w:t>
      </w:r>
      <w:r>
        <w:rPr>
          <w:bCs/>
        </w:rPr>
        <w:tab/>
      </w:r>
      <w:r w:rsidR="00FA7CFB">
        <w:t>The First Respondent sought condonation for the late filing of her Answering Affidavit.</w:t>
      </w:r>
    </w:p>
    <w:p w14:paraId="50DA4421" w14:textId="0F1B6BA2" w:rsidR="00FA7CFB" w:rsidRDefault="003D63D6" w:rsidP="003D63D6">
      <w:pPr>
        <w:pStyle w:val="Judgment"/>
        <w:numPr>
          <w:ilvl w:val="0"/>
          <w:numId w:val="0"/>
        </w:numPr>
        <w:ind w:left="851" w:hanging="851"/>
      </w:pPr>
      <w:r>
        <w:rPr>
          <w:bCs/>
        </w:rPr>
        <w:t>[64]</w:t>
      </w:r>
      <w:r>
        <w:rPr>
          <w:bCs/>
        </w:rPr>
        <w:tab/>
      </w:r>
      <w:r w:rsidR="00FA7CFB">
        <w:t>The explanation for the late filing of the Answering Affidavit clearly constituted good cause, and I was satisfied that the First Respondent should be granted condonation.</w:t>
      </w:r>
    </w:p>
    <w:p w14:paraId="5E1E4461" w14:textId="512EE531" w:rsidR="00FA7CFB" w:rsidRDefault="003D63D6" w:rsidP="003D63D6">
      <w:pPr>
        <w:pStyle w:val="Judgment"/>
        <w:numPr>
          <w:ilvl w:val="0"/>
          <w:numId w:val="0"/>
        </w:numPr>
        <w:ind w:left="851" w:hanging="851"/>
      </w:pPr>
      <w:r>
        <w:rPr>
          <w:bCs/>
        </w:rPr>
        <w:t>[65]</w:t>
      </w:r>
      <w:r>
        <w:rPr>
          <w:bCs/>
        </w:rPr>
        <w:tab/>
      </w:r>
      <w:r w:rsidR="00FA7CFB">
        <w:t>In the Replying Affidavit the Applicants conceded that the First Respondent should be granted condonation.</w:t>
      </w:r>
    </w:p>
    <w:p w14:paraId="70392BC1" w14:textId="13A92BA5" w:rsidR="00D27468" w:rsidRDefault="00D27468" w:rsidP="00D27468">
      <w:pPr>
        <w:pStyle w:val="Judgment"/>
        <w:numPr>
          <w:ilvl w:val="0"/>
          <w:numId w:val="0"/>
        </w:numPr>
        <w:ind w:left="851" w:hanging="851"/>
        <w:rPr>
          <w:b/>
          <w:bCs/>
        </w:rPr>
      </w:pPr>
      <w:r>
        <w:rPr>
          <w:b/>
          <w:bCs/>
        </w:rPr>
        <w:t>THE MERITS OF THIS APPLICATION</w:t>
      </w:r>
    </w:p>
    <w:p w14:paraId="5BFC0A51" w14:textId="4F0014E8" w:rsidR="00D27468" w:rsidRDefault="003D63D6" w:rsidP="003D63D6">
      <w:pPr>
        <w:pStyle w:val="Judgementsubpara"/>
        <w:numPr>
          <w:ilvl w:val="0"/>
          <w:numId w:val="0"/>
        </w:numPr>
        <w:ind w:left="851" w:hanging="851"/>
      </w:pPr>
      <w:r>
        <w:rPr>
          <w:bCs/>
        </w:rPr>
        <w:t>[66]</w:t>
      </w:r>
      <w:r>
        <w:rPr>
          <w:bCs/>
        </w:rPr>
        <w:tab/>
      </w:r>
      <w:r w:rsidR="00D27468">
        <w:t>It appears from the allegations made in the various affidavits, and in particular the correspondence that passed between the Applicants and the relevant departments of the City of Johannesburg</w:t>
      </w:r>
      <w:r w:rsidR="00FA7CFB">
        <w:t>,</w:t>
      </w:r>
      <w:r w:rsidR="00D27468">
        <w:t xml:space="preserve"> that a procedure was initiated to determine the ownership of the Immovable Property, as a result of the dispute that had arisen between the Applicants and Mr Alexander as to the occupation of the Immovable Property.  It is certainly not clear from the documentation</w:t>
      </w:r>
      <w:r w:rsidR="00FA7CFB">
        <w:t xml:space="preserve"> or the affidavits</w:t>
      </w:r>
      <w:r w:rsidR="00D27468">
        <w:t xml:space="preserve"> what the nature of the </w:t>
      </w:r>
      <w:r w:rsidR="00FA7CFB">
        <w:t>i</w:t>
      </w:r>
      <w:r w:rsidR="00D27468">
        <w:t xml:space="preserve">nquiry was, </w:t>
      </w:r>
      <w:r w:rsidR="00D27468">
        <w:lastRenderedPageBreak/>
        <w:t xml:space="preserve">and whether or not an </w:t>
      </w:r>
      <w:r w:rsidR="00FA7CFB">
        <w:t>i</w:t>
      </w:r>
      <w:r w:rsidR="00D27468">
        <w:t xml:space="preserve">nquiry was properly conducted as envisaged by Section 2 of the Conversion Act. </w:t>
      </w:r>
    </w:p>
    <w:p w14:paraId="32C32775" w14:textId="3949604C" w:rsidR="00D27468" w:rsidRDefault="003D63D6" w:rsidP="003D63D6">
      <w:pPr>
        <w:pStyle w:val="Judgment"/>
        <w:numPr>
          <w:ilvl w:val="0"/>
          <w:numId w:val="0"/>
        </w:numPr>
        <w:ind w:left="851" w:hanging="851"/>
      </w:pPr>
      <w:r>
        <w:rPr>
          <w:bCs/>
        </w:rPr>
        <w:t>[67]</w:t>
      </w:r>
      <w:r>
        <w:rPr>
          <w:bCs/>
        </w:rPr>
        <w:tab/>
      </w:r>
      <w:r w:rsidR="00D27468">
        <w:t xml:space="preserve">It is however clear that at the conclusion of the determination process, the relevant department of the City of Johannesburg determined that ownership of the Immovable Property should be granted to Mr Alexander.  </w:t>
      </w:r>
    </w:p>
    <w:p w14:paraId="49E45E00" w14:textId="1C02FA4F" w:rsidR="00D27468" w:rsidRDefault="003D63D6" w:rsidP="003D63D6">
      <w:pPr>
        <w:pStyle w:val="Judgment"/>
        <w:numPr>
          <w:ilvl w:val="0"/>
          <w:numId w:val="0"/>
        </w:numPr>
        <w:ind w:left="851" w:hanging="851"/>
      </w:pPr>
      <w:r>
        <w:rPr>
          <w:bCs/>
        </w:rPr>
        <w:t>[68]</w:t>
      </w:r>
      <w:r>
        <w:rPr>
          <w:bCs/>
        </w:rPr>
        <w:tab/>
      </w:r>
      <w:r w:rsidR="00D27468">
        <w:t xml:space="preserve">The Applicants’ complaint appears to relate not to the manner of the determination process, </w:t>
      </w:r>
      <w:r w:rsidR="00FA7CFB">
        <w:t xml:space="preserve">or whether there was compliance with the Conversion Act, </w:t>
      </w:r>
      <w:r w:rsidR="00D27468">
        <w:t xml:space="preserve">but rather the determination itself, on the basis that the determination was not just and equitable.  </w:t>
      </w:r>
    </w:p>
    <w:p w14:paraId="320A397D" w14:textId="0A0925FC" w:rsidR="00D27468" w:rsidRDefault="003D63D6" w:rsidP="003D63D6">
      <w:pPr>
        <w:pStyle w:val="Judgment"/>
        <w:numPr>
          <w:ilvl w:val="0"/>
          <w:numId w:val="0"/>
        </w:numPr>
        <w:ind w:left="851" w:hanging="851"/>
      </w:pPr>
      <w:r>
        <w:rPr>
          <w:bCs/>
        </w:rPr>
        <w:t>[69]</w:t>
      </w:r>
      <w:r>
        <w:rPr>
          <w:bCs/>
        </w:rPr>
        <w:tab/>
      </w:r>
      <w:r w:rsidR="00D27468">
        <w:t xml:space="preserve">In the absence of the </w:t>
      </w:r>
      <w:r w:rsidR="00FA7CFB">
        <w:t>details of the inquiry process</w:t>
      </w:r>
      <w:r w:rsidR="00D27468">
        <w:t xml:space="preserve">, I am unable to conclude that no </w:t>
      </w:r>
      <w:r w:rsidR="00FA7CFB">
        <w:t>i</w:t>
      </w:r>
      <w:r w:rsidR="00D27468">
        <w:t>nquir</w:t>
      </w:r>
      <w:r w:rsidR="00FA7CFB">
        <w:t>y</w:t>
      </w:r>
      <w:r w:rsidR="00D27468">
        <w:t xml:space="preserve"> or a deficient </w:t>
      </w:r>
      <w:r w:rsidR="00FA7CFB">
        <w:t>i</w:t>
      </w:r>
      <w:r w:rsidR="00D27468">
        <w:t xml:space="preserve">nquiry was held. </w:t>
      </w:r>
    </w:p>
    <w:p w14:paraId="32FE2E0D" w14:textId="19A92BFC" w:rsidR="00FA7CFB" w:rsidRDefault="003D63D6" w:rsidP="003D63D6">
      <w:pPr>
        <w:pStyle w:val="Judgment"/>
        <w:numPr>
          <w:ilvl w:val="0"/>
          <w:numId w:val="0"/>
        </w:numPr>
        <w:ind w:left="851" w:hanging="851"/>
      </w:pPr>
      <w:r>
        <w:rPr>
          <w:bCs/>
        </w:rPr>
        <w:t>[70]</w:t>
      </w:r>
      <w:r>
        <w:rPr>
          <w:bCs/>
        </w:rPr>
        <w:tab/>
      </w:r>
      <w:r w:rsidR="00DA336E">
        <w:t xml:space="preserve">As set out above, the Applicants contend that they will suffer prejudice if they (and their family) are not granted a right to occupy the Immovable Property.   The Applicants contend that the First Respondent will not suffer prejudice as she can reside with her mother.  </w:t>
      </w:r>
    </w:p>
    <w:p w14:paraId="64020565" w14:textId="36E8BD0B" w:rsidR="00DA336E" w:rsidRDefault="003D63D6" w:rsidP="003D63D6">
      <w:pPr>
        <w:pStyle w:val="Judgment"/>
        <w:numPr>
          <w:ilvl w:val="0"/>
          <w:numId w:val="0"/>
        </w:numPr>
        <w:ind w:left="851" w:hanging="851"/>
      </w:pPr>
      <w:r>
        <w:rPr>
          <w:bCs/>
        </w:rPr>
        <w:t>[71]</w:t>
      </w:r>
      <w:r>
        <w:rPr>
          <w:bCs/>
        </w:rPr>
        <w:tab/>
      </w:r>
      <w:r w:rsidR="00DA336E">
        <w:t xml:space="preserve">The First Respondent pointed out that she has two minor children, and that she, her spouse and her two minor children cannot reside with her mother.  It is clear that the First Respondent will suffer prejudice if she is prevented from exercising her right of ownership.  </w:t>
      </w:r>
    </w:p>
    <w:p w14:paraId="053B9744" w14:textId="470571BA" w:rsidR="00D27468" w:rsidRDefault="003D63D6" w:rsidP="003D63D6">
      <w:pPr>
        <w:pStyle w:val="Judgment"/>
        <w:numPr>
          <w:ilvl w:val="0"/>
          <w:numId w:val="0"/>
        </w:numPr>
        <w:ind w:left="851" w:hanging="851"/>
      </w:pPr>
      <w:r>
        <w:rPr>
          <w:bCs/>
        </w:rPr>
        <w:t>[72]</w:t>
      </w:r>
      <w:r>
        <w:rPr>
          <w:bCs/>
        </w:rPr>
        <w:tab/>
      </w:r>
      <w:r w:rsidR="00D97D72">
        <w:t>Even h</w:t>
      </w:r>
      <w:r w:rsidR="00D27468">
        <w:t xml:space="preserve">aving regard </w:t>
      </w:r>
      <w:r w:rsidR="00D97D72">
        <w:t xml:space="preserve">only </w:t>
      </w:r>
      <w:r w:rsidR="00D27468">
        <w:t xml:space="preserve">to the allegations made by the Applicants, </w:t>
      </w:r>
      <w:r w:rsidR="00DA336E">
        <w:t xml:space="preserve">I am of the view that </w:t>
      </w:r>
      <w:r w:rsidR="00D27468">
        <w:t xml:space="preserve">no proper basis has been set out to justify the granting of the relief as sought. </w:t>
      </w:r>
    </w:p>
    <w:p w14:paraId="13D05B5D" w14:textId="14EC4450" w:rsidR="00D27468" w:rsidRDefault="003D63D6" w:rsidP="003D63D6">
      <w:pPr>
        <w:pStyle w:val="Judgment"/>
        <w:numPr>
          <w:ilvl w:val="0"/>
          <w:numId w:val="0"/>
        </w:numPr>
        <w:ind w:left="851" w:hanging="851"/>
      </w:pPr>
      <w:r>
        <w:rPr>
          <w:bCs/>
        </w:rPr>
        <w:lastRenderedPageBreak/>
        <w:t>[73]</w:t>
      </w:r>
      <w:r>
        <w:rPr>
          <w:bCs/>
        </w:rPr>
        <w:tab/>
      </w:r>
      <w:r w:rsidR="00D27468">
        <w:t xml:space="preserve">Whilst the Courts naturally have sympathy with the dilemma facing the Applicants (and all other citizens of the Republic of South Africa) in respect of accommodation </w:t>
      </w:r>
      <w:r w:rsidR="00DA336E">
        <w:t xml:space="preserve">and residential </w:t>
      </w:r>
      <w:r w:rsidR="00D27468">
        <w:t xml:space="preserve">difficulties, </w:t>
      </w:r>
      <w:r w:rsidR="00DA336E">
        <w:t xml:space="preserve">the merits of the Applicants’ case </w:t>
      </w:r>
      <w:r w:rsidR="00D97D72">
        <w:t>are</w:t>
      </w:r>
      <w:r w:rsidR="00DA336E">
        <w:t xml:space="preserve"> </w:t>
      </w:r>
      <w:r w:rsidR="00D27468">
        <w:t>insufficient to justify the granting of the relief sought.</w:t>
      </w:r>
    </w:p>
    <w:p w14:paraId="2BE1C9C6" w14:textId="77777777" w:rsidR="00D97D72" w:rsidRDefault="00D97D72" w:rsidP="00362910">
      <w:pPr>
        <w:pStyle w:val="Judgment"/>
        <w:numPr>
          <w:ilvl w:val="0"/>
          <w:numId w:val="0"/>
        </w:numPr>
        <w:ind w:left="851" w:hanging="851"/>
        <w:rPr>
          <w:b/>
          <w:bCs/>
        </w:rPr>
      </w:pPr>
    </w:p>
    <w:p w14:paraId="33A5A5D3" w14:textId="3D84D4BA" w:rsidR="00362910" w:rsidRPr="00362910" w:rsidRDefault="00362910" w:rsidP="00362910">
      <w:pPr>
        <w:pStyle w:val="Judgment"/>
        <w:numPr>
          <w:ilvl w:val="0"/>
          <w:numId w:val="0"/>
        </w:numPr>
        <w:ind w:left="851" w:hanging="851"/>
        <w:rPr>
          <w:b/>
          <w:bCs/>
        </w:rPr>
      </w:pPr>
      <w:r>
        <w:rPr>
          <w:b/>
          <w:bCs/>
        </w:rPr>
        <w:t>THE ORDER</w:t>
      </w:r>
    </w:p>
    <w:p w14:paraId="74D7569B" w14:textId="22E3B6E5" w:rsidR="00AD58E9" w:rsidRDefault="003D63D6" w:rsidP="003D63D6">
      <w:pPr>
        <w:pStyle w:val="Judgment"/>
        <w:numPr>
          <w:ilvl w:val="0"/>
          <w:numId w:val="0"/>
        </w:numPr>
        <w:ind w:left="851" w:hanging="851"/>
      </w:pPr>
      <w:r>
        <w:rPr>
          <w:bCs/>
        </w:rPr>
        <w:t>[74]</w:t>
      </w:r>
      <w:r>
        <w:rPr>
          <w:bCs/>
        </w:rPr>
        <w:tab/>
      </w:r>
      <w:r w:rsidR="00AD58E9">
        <w:t>In the circumstances, I make the following order:</w:t>
      </w:r>
    </w:p>
    <w:p w14:paraId="441D054B" w14:textId="0DF69FE3" w:rsidR="00DA336E" w:rsidRDefault="00AD58E9" w:rsidP="00B01912">
      <w:pPr>
        <w:pStyle w:val="Judgment"/>
        <w:numPr>
          <w:ilvl w:val="0"/>
          <w:numId w:val="0"/>
        </w:numPr>
        <w:ind w:left="2156" w:hanging="1305"/>
      </w:pPr>
      <w:r>
        <w:t>[</w:t>
      </w:r>
      <w:r w:rsidR="00DA336E">
        <w:t>74</w:t>
      </w:r>
      <w:r>
        <w:t>.1]</w:t>
      </w:r>
      <w:r>
        <w:tab/>
      </w:r>
      <w:r w:rsidR="00DA336E">
        <w:t>The late filing of the First Respondent’s Answering Affidavit is condoned.</w:t>
      </w:r>
    </w:p>
    <w:p w14:paraId="0422790A" w14:textId="6FE6F350" w:rsidR="00AD58E9" w:rsidRDefault="00DA336E" w:rsidP="00B01912">
      <w:pPr>
        <w:pStyle w:val="Judgment"/>
        <w:numPr>
          <w:ilvl w:val="0"/>
          <w:numId w:val="0"/>
        </w:numPr>
        <w:ind w:left="2156" w:hanging="1305"/>
      </w:pPr>
      <w:r>
        <w:t>[74.2]</w:t>
      </w:r>
      <w:r>
        <w:tab/>
      </w:r>
      <w:r w:rsidR="00D27468">
        <w:t>The Application is dismissed.</w:t>
      </w:r>
    </w:p>
    <w:p w14:paraId="398A2A82" w14:textId="4B6F07AE" w:rsidR="00B01912" w:rsidRDefault="00AD58E9" w:rsidP="00FF4A09">
      <w:pPr>
        <w:pStyle w:val="Judgment"/>
        <w:numPr>
          <w:ilvl w:val="0"/>
          <w:numId w:val="0"/>
        </w:numPr>
        <w:ind w:left="2156" w:hanging="1305"/>
      </w:pPr>
      <w:r>
        <w:t>[</w:t>
      </w:r>
      <w:r w:rsidR="00DA336E">
        <w:t>74</w:t>
      </w:r>
      <w:r>
        <w:t>.</w:t>
      </w:r>
      <w:r w:rsidR="00DA336E">
        <w:t>3</w:t>
      </w:r>
      <w:r>
        <w:t>]</w:t>
      </w:r>
      <w:r>
        <w:tab/>
      </w:r>
      <w:r w:rsidR="00D27468">
        <w:t>The Applicants are to pay the costs of the Application.</w:t>
      </w:r>
    </w:p>
    <w:p w14:paraId="449BF35C" w14:textId="77777777" w:rsidR="00003F6E" w:rsidRPr="002E41F9" w:rsidRDefault="00003F6E" w:rsidP="00C00845">
      <w:pPr>
        <w:pStyle w:val="Judgment"/>
        <w:numPr>
          <w:ilvl w:val="0"/>
          <w:numId w:val="0"/>
        </w:numPr>
        <w:ind w:left="1701" w:hanging="981"/>
        <w:jc w:val="right"/>
        <w:rPr>
          <w:rFonts w:cs="Arial"/>
          <w:bCs/>
        </w:rPr>
      </w:pPr>
      <w:r w:rsidRPr="002E41F9">
        <w:rPr>
          <w:rFonts w:cs="Arial"/>
          <w:bCs/>
        </w:rPr>
        <w:t>____</w:t>
      </w:r>
      <w:r w:rsidR="002E41F9">
        <w:rPr>
          <w:rFonts w:cs="Arial"/>
          <w:bCs/>
        </w:rPr>
        <w:t>______</w:t>
      </w:r>
      <w:r w:rsidRPr="002E41F9">
        <w:rPr>
          <w:rFonts w:cs="Arial"/>
          <w:bCs/>
        </w:rPr>
        <w:t>_____________________</w:t>
      </w:r>
    </w:p>
    <w:p w14:paraId="2DD3EAA3"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G NEL</w:t>
      </w:r>
    </w:p>
    <w:p w14:paraId="35DD3D5E"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[Acting Judge of the High Court,</w:t>
      </w:r>
    </w:p>
    <w:p w14:paraId="038803F0" w14:textId="77777777" w:rsidR="00003F6E" w:rsidRPr="00535EAD" w:rsidRDefault="00003F6E" w:rsidP="00C027A7">
      <w:pPr>
        <w:spacing w:after="0" w:line="240" w:lineRule="auto"/>
        <w:jc w:val="right"/>
        <w:rPr>
          <w:rFonts w:ascii="Arial" w:hAnsi="Arial" w:cs="Arial"/>
          <w:b/>
          <w:sz w:val="24"/>
          <w:szCs w:val="24"/>
        </w:rPr>
      </w:pPr>
      <w:r w:rsidRPr="00535EAD">
        <w:rPr>
          <w:rFonts w:ascii="Arial" w:hAnsi="Arial" w:cs="Arial"/>
          <w:b/>
          <w:sz w:val="24"/>
          <w:szCs w:val="24"/>
        </w:rPr>
        <w:t xml:space="preserve">Gauteng </w:t>
      </w:r>
      <w:r>
        <w:rPr>
          <w:rFonts w:ascii="Arial" w:hAnsi="Arial" w:cs="Arial"/>
          <w:b/>
          <w:sz w:val="24"/>
          <w:szCs w:val="24"/>
        </w:rPr>
        <w:t xml:space="preserve">Local </w:t>
      </w:r>
      <w:r w:rsidRPr="00535EAD">
        <w:rPr>
          <w:rFonts w:ascii="Arial" w:hAnsi="Arial" w:cs="Arial"/>
          <w:b/>
          <w:sz w:val="24"/>
          <w:szCs w:val="24"/>
        </w:rPr>
        <w:t>Division,</w:t>
      </w:r>
    </w:p>
    <w:p w14:paraId="140BB7ED" w14:textId="77777777" w:rsidR="00003F6E" w:rsidRPr="00535EAD" w:rsidRDefault="00003F6E" w:rsidP="00003F6E">
      <w:pPr>
        <w:spacing w:after="0" w:line="360" w:lineRule="auto"/>
        <w:jc w:val="right"/>
        <w:rPr>
          <w:rFonts w:ascii="Arial" w:hAnsi="Arial" w:cs="Arial"/>
          <w:b/>
          <w:sz w:val="24"/>
          <w:szCs w:val="24"/>
        </w:rPr>
      </w:pPr>
      <w:r>
        <w:rPr>
          <w:rFonts w:ascii="Arial" w:hAnsi="Arial" w:cs="Arial"/>
          <w:b/>
          <w:sz w:val="24"/>
          <w:szCs w:val="24"/>
        </w:rPr>
        <w:t>Johannesburg</w:t>
      </w:r>
      <w:r w:rsidRPr="00535EAD">
        <w:rPr>
          <w:rFonts w:ascii="Arial" w:hAnsi="Arial" w:cs="Arial"/>
          <w:b/>
          <w:sz w:val="24"/>
          <w:szCs w:val="24"/>
        </w:rPr>
        <w:t>]</w:t>
      </w:r>
    </w:p>
    <w:p w14:paraId="209BB93F" w14:textId="77777777" w:rsidR="00003F6E" w:rsidRPr="00535EAD" w:rsidRDefault="00003F6E" w:rsidP="00003F6E">
      <w:pPr>
        <w:spacing w:after="0" w:line="360" w:lineRule="auto"/>
        <w:jc w:val="both"/>
        <w:rPr>
          <w:rFonts w:ascii="Arial" w:hAnsi="Arial" w:cs="Arial"/>
          <w:sz w:val="24"/>
          <w:szCs w:val="24"/>
        </w:rPr>
      </w:pPr>
    </w:p>
    <w:p w14:paraId="111E5791" w14:textId="0AEE279D"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Date of Judgment:</w:t>
      </w:r>
      <w:r w:rsidRPr="00535EAD">
        <w:rPr>
          <w:rFonts w:ascii="Arial" w:hAnsi="Arial" w:cs="Arial"/>
          <w:sz w:val="24"/>
          <w:szCs w:val="24"/>
        </w:rPr>
        <w:tab/>
      </w:r>
      <w:r w:rsidRPr="00535EAD">
        <w:rPr>
          <w:rFonts w:ascii="Arial" w:hAnsi="Arial" w:cs="Arial"/>
          <w:sz w:val="24"/>
          <w:szCs w:val="24"/>
        </w:rPr>
        <w:tab/>
      </w:r>
      <w:r w:rsidR="00DA336E">
        <w:rPr>
          <w:rFonts w:ascii="Arial" w:hAnsi="Arial" w:cs="Arial"/>
          <w:b/>
          <w:bCs/>
          <w:sz w:val="24"/>
          <w:szCs w:val="24"/>
        </w:rPr>
        <w:t>13 January 2022</w:t>
      </w:r>
    </w:p>
    <w:p w14:paraId="5412198F" w14:textId="77777777" w:rsidR="00003F6E" w:rsidRPr="00535EAD" w:rsidRDefault="00003F6E" w:rsidP="00003F6E">
      <w:pPr>
        <w:spacing w:after="0" w:line="360" w:lineRule="auto"/>
        <w:jc w:val="both"/>
        <w:rPr>
          <w:rFonts w:ascii="Arial" w:hAnsi="Arial" w:cs="Arial"/>
          <w:sz w:val="24"/>
          <w:szCs w:val="24"/>
        </w:rPr>
      </w:pPr>
    </w:p>
    <w:p w14:paraId="556B7284" w14:textId="77777777"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APPEARANCES</w:t>
      </w:r>
    </w:p>
    <w:p w14:paraId="16151D8E" w14:textId="21FEA538" w:rsidR="00C00845" w:rsidRDefault="00C00845" w:rsidP="00003F6E">
      <w:pPr>
        <w:spacing w:after="0" w:line="360" w:lineRule="auto"/>
        <w:jc w:val="both"/>
        <w:rPr>
          <w:rFonts w:ascii="Arial" w:hAnsi="Arial" w:cs="Arial"/>
          <w:sz w:val="24"/>
          <w:szCs w:val="24"/>
        </w:rPr>
      </w:pPr>
      <w:r>
        <w:rPr>
          <w:rFonts w:ascii="Arial" w:hAnsi="Arial" w:cs="Arial"/>
          <w:sz w:val="24"/>
          <w:szCs w:val="24"/>
        </w:rPr>
        <w:t>For the Applicant</w:t>
      </w:r>
      <w:r w:rsidR="00DA336E">
        <w:rPr>
          <w:rFonts w:ascii="Arial" w:hAnsi="Arial" w:cs="Arial"/>
          <w:sz w:val="24"/>
          <w:szCs w:val="24"/>
        </w:rPr>
        <w:t>s</w:t>
      </w:r>
      <w:r>
        <w:rPr>
          <w:rFonts w:ascii="Arial" w:hAnsi="Arial" w:cs="Arial"/>
          <w:sz w:val="24"/>
          <w:szCs w:val="24"/>
        </w:rPr>
        <w:t>:</w:t>
      </w:r>
      <w:r>
        <w:rPr>
          <w:rFonts w:ascii="Arial" w:hAnsi="Arial" w:cs="Arial"/>
          <w:sz w:val="24"/>
          <w:szCs w:val="24"/>
        </w:rPr>
        <w:tab/>
      </w:r>
      <w:r>
        <w:rPr>
          <w:rFonts w:ascii="Arial" w:hAnsi="Arial" w:cs="Arial"/>
          <w:sz w:val="24"/>
          <w:szCs w:val="24"/>
        </w:rPr>
        <w:tab/>
      </w:r>
      <w:r w:rsidR="00DA336E">
        <w:rPr>
          <w:rFonts w:ascii="Arial" w:hAnsi="Arial" w:cs="Arial"/>
          <w:sz w:val="24"/>
          <w:szCs w:val="24"/>
        </w:rPr>
        <w:t>Mr M W Sekgatja</w:t>
      </w:r>
    </w:p>
    <w:p w14:paraId="431B7DC5" w14:textId="7948D01B" w:rsidR="0066779B" w:rsidRDefault="00C00845" w:rsidP="0066779B">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DA336E">
        <w:rPr>
          <w:rFonts w:ascii="Arial" w:hAnsi="Arial" w:cs="Arial"/>
          <w:sz w:val="24"/>
          <w:szCs w:val="24"/>
        </w:rPr>
        <w:t>Sekgatja Attorneys</w:t>
      </w:r>
    </w:p>
    <w:p w14:paraId="10B4B65A" w14:textId="77777777" w:rsidR="00076E0F" w:rsidRDefault="00076E0F" w:rsidP="00076E0F">
      <w:pPr>
        <w:spacing w:after="0" w:line="240" w:lineRule="auto"/>
        <w:ind w:left="2880"/>
        <w:jc w:val="both"/>
        <w:rPr>
          <w:rFonts w:ascii="Arial" w:hAnsi="Arial" w:cs="Arial"/>
          <w:sz w:val="24"/>
          <w:szCs w:val="24"/>
        </w:rPr>
      </w:pPr>
    </w:p>
    <w:p w14:paraId="7FC44E9E" w14:textId="77777777" w:rsidR="00C00845" w:rsidRDefault="00C00845" w:rsidP="00C00845">
      <w:pPr>
        <w:spacing w:after="0" w:line="360" w:lineRule="auto"/>
        <w:jc w:val="both"/>
        <w:rPr>
          <w:rFonts w:ascii="Arial" w:hAnsi="Arial" w:cs="Arial"/>
          <w:sz w:val="24"/>
          <w:szCs w:val="24"/>
        </w:rPr>
      </w:pPr>
    </w:p>
    <w:p w14:paraId="2908FEE2" w14:textId="51248D3C" w:rsidR="00003F6E" w:rsidRDefault="00003F6E" w:rsidP="00C00845">
      <w:pPr>
        <w:spacing w:after="0" w:line="36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sidR="00DA336E">
        <w:rPr>
          <w:rFonts w:ascii="Arial" w:hAnsi="Arial" w:cs="Arial"/>
          <w:sz w:val="24"/>
          <w:szCs w:val="24"/>
        </w:rPr>
        <w:t>Adv E Liebenberg</w:t>
      </w:r>
    </w:p>
    <w:p w14:paraId="5926E4C3" w14:textId="4D780CDA" w:rsidR="0066779B" w:rsidRPr="00535EAD" w:rsidRDefault="00C00845" w:rsidP="0066779B">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DA336E">
        <w:rPr>
          <w:rFonts w:ascii="Arial" w:hAnsi="Arial" w:cs="Arial"/>
          <w:sz w:val="24"/>
          <w:szCs w:val="24"/>
        </w:rPr>
        <w:t>Coetzee Attorneys</w:t>
      </w:r>
    </w:p>
    <w:p w14:paraId="442303AD" w14:textId="77777777" w:rsidR="00076E0F" w:rsidRPr="00535EAD" w:rsidRDefault="00076E0F" w:rsidP="00076E0F">
      <w:pPr>
        <w:spacing w:after="0" w:line="240" w:lineRule="auto"/>
        <w:ind w:left="2880"/>
        <w:jc w:val="both"/>
        <w:rPr>
          <w:rFonts w:ascii="Arial" w:hAnsi="Arial" w:cs="Arial"/>
          <w:sz w:val="24"/>
          <w:szCs w:val="24"/>
        </w:rPr>
      </w:pPr>
    </w:p>
    <w:sectPr w:rsidR="00076E0F" w:rsidRPr="00535EAD" w:rsidSect="00535EAD">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AB60D" w14:textId="77777777" w:rsidR="005F5CC2" w:rsidRDefault="005F5CC2" w:rsidP="00EF1F2C">
      <w:pPr>
        <w:spacing w:after="0" w:line="240" w:lineRule="auto"/>
      </w:pPr>
      <w:r>
        <w:separator/>
      </w:r>
    </w:p>
  </w:endnote>
  <w:endnote w:type="continuationSeparator" w:id="0">
    <w:p w14:paraId="4A90B5B1" w14:textId="77777777" w:rsidR="005F5CC2" w:rsidRDefault="005F5CC2" w:rsidP="00E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sz w:val="24"/>
        <w:szCs w:val="24"/>
        <w:u w:val="single"/>
      </w:rPr>
      <w:id w:val="332962685"/>
      <w:docPartObj>
        <w:docPartGallery w:val="Page Numbers (Bottom of Page)"/>
        <w:docPartUnique/>
      </w:docPartObj>
    </w:sdtPr>
    <w:sdtEndPr>
      <w:rPr>
        <w:noProof/>
        <w:u w:val="none"/>
      </w:rPr>
    </w:sdtEndPr>
    <w:sdtContent>
      <w:p w14:paraId="67FFC505" w14:textId="1A22D516" w:rsidR="004766D4" w:rsidRPr="002F3B08" w:rsidRDefault="004766D4">
        <w:pPr>
          <w:pStyle w:val="Footer"/>
          <w:jc w:val="right"/>
          <w:rPr>
            <w:rFonts w:asciiTheme="minorBidi" w:hAnsiTheme="minorBidi"/>
            <w:sz w:val="24"/>
            <w:szCs w:val="24"/>
          </w:rPr>
        </w:pPr>
        <w:r w:rsidRPr="002F3B08">
          <w:rPr>
            <w:rFonts w:asciiTheme="minorBidi" w:hAnsiTheme="minorBidi"/>
            <w:sz w:val="24"/>
            <w:szCs w:val="24"/>
          </w:rPr>
          <w:fldChar w:fldCharType="begin"/>
        </w:r>
        <w:r w:rsidRPr="002F3B08">
          <w:rPr>
            <w:rFonts w:asciiTheme="minorBidi" w:hAnsiTheme="minorBidi"/>
            <w:sz w:val="24"/>
            <w:szCs w:val="24"/>
          </w:rPr>
          <w:instrText xml:space="preserve"> PAGE   \* MERGEFORMAT </w:instrText>
        </w:r>
        <w:r w:rsidRPr="002F3B08">
          <w:rPr>
            <w:rFonts w:asciiTheme="minorBidi" w:hAnsiTheme="minorBidi"/>
            <w:sz w:val="24"/>
            <w:szCs w:val="24"/>
          </w:rPr>
          <w:fldChar w:fldCharType="separate"/>
        </w:r>
        <w:r w:rsidR="003D63D6">
          <w:rPr>
            <w:rFonts w:asciiTheme="minorBidi" w:hAnsiTheme="minorBidi"/>
            <w:noProof/>
            <w:sz w:val="24"/>
            <w:szCs w:val="24"/>
          </w:rPr>
          <w:t>2</w:t>
        </w:r>
        <w:r w:rsidRPr="002F3B08">
          <w:rPr>
            <w:rFonts w:asciiTheme="minorBidi" w:hAnsiTheme="minorBidi"/>
            <w:noProof/>
            <w:sz w:val="24"/>
            <w:szCs w:val="24"/>
          </w:rPr>
          <w:fldChar w:fldCharType="end"/>
        </w:r>
      </w:p>
    </w:sdtContent>
  </w:sdt>
  <w:p w14:paraId="5A3648B3" w14:textId="77777777" w:rsidR="004766D4" w:rsidRDefault="00476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DF0EF" w14:textId="77777777" w:rsidR="004766D4" w:rsidRPr="00342D17" w:rsidRDefault="004766D4" w:rsidP="00342D17">
    <w:pPr>
      <w:pStyle w:val="Footer"/>
      <w:rPr>
        <w:sz w:val="14"/>
      </w:rPr>
    </w:pPr>
    <w:r w:rsidRPr="00342D17">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4A2B6" w14:textId="77777777" w:rsidR="005F5CC2" w:rsidRDefault="005F5CC2" w:rsidP="00EF1F2C">
      <w:pPr>
        <w:spacing w:after="0" w:line="240" w:lineRule="auto"/>
      </w:pPr>
      <w:r>
        <w:separator/>
      </w:r>
    </w:p>
  </w:footnote>
  <w:footnote w:type="continuationSeparator" w:id="0">
    <w:p w14:paraId="72D18780" w14:textId="77777777" w:rsidR="005F5CC2" w:rsidRDefault="005F5CC2" w:rsidP="00EF1F2C">
      <w:pPr>
        <w:spacing w:after="0" w:line="240" w:lineRule="auto"/>
      </w:pPr>
      <w:r>
        <w:continuationSeparator/>
      </w:r>
    </w:p>
  </w:footnote>
  <w:footnote w:id="1">
    <w:p w14:paraId="503870D3" w14:textId="20EEF341" w:rsidR="0016556F" w:rsidRPr="0016556F" w:rsidRDefault="0016556F">
      <w:pPr>
        <w:pStyle w:val="FootnoteText"/>
        <w:rPr>
          <w:lang w:val="en-US"/>
        </w:rPr>
      </w:pPr>
      <w:r>
        <w:rPr>
          <w:rStyle w:val="FootnoteReference"/>
        </w:rPr>
        <w:footnoteRef/>
      </w:r>
      <w:r>
        <w:t xml:space="preserve"> </w:t>
      </w:r>
      <w:r>
        <w:rPr>
          <w:lang w:val="en-US"/>
        </w:rPr>
        <w:t>2000 (2) SA 455 (W).</w:t>
      </w:r>
    </w:p>
  </w:footnote>
  <w:footnote w:id="2">
    <w:p w14:paraId="2ED3E0B9" w14:textId="1E698CC7" w:rsidR="003A7534" w:rsidRPr="003A7534" w:rsidRDefault="003A7534">
      <w:pPr>
        <w:pStyle w:val="FootnoteText"/>
        <w:rPr>
          <w:lang w:val="en-US"/>
        </w:rPr>
      </w:pPr>
      <w:r>
        <w:rPr>
          <w:rStyle w:val="FootnoteReference"/>
        </w:rPr>
        <w:footnoteRef/>
      </w:r>
      <w:r>
        <w:t xml:space="preserve"> </w:t>
      </w:r>
      <w:r>
        <w:rPr>
          <w:lang w:val="en-US"/>
        </w:rPr>
        <w:t>At 479A-B.</w:t>
      </w:r>
    </w:p>
  </w:footnote>
  <w:footnote w:id="3">
    <w:p w14:paraId="1B32428A" w14:textId="644343B7" w:rsidR="00360998" w:rsidRPr="00360998" w:rsidRDefault="00360998">
      <w:pPr>
        <w:pStyle w:val="FootnoteText"/>
        <w:rPr>
          <w:lang w:val="en-US"/>
        </w:rPr>
      </w:pPr>
      <w:r>
        <w:rPr>
          <w:rStyle w:val="FootnoteReference"/>
        </w:rPr>
        <w:footnoteRef/>
      </w:r>
      <w:r>
        <w:t xml:space="preserve"> </w:t>
      </w:r>
      <w:r>
        <w:rPr>
          <w:lang w:val="en-US"/>
        </w:rPr>
        <w:t>At 478D-E.</w:t>
      </w:r>
    </w:p>
  </w:footnote>
  <w:footnote w:id="4">
    <w:p w14:paraId="4C8A635E" w14:textId="74A74865" w:rsidR="00FB6616" w:rsidRPr="00FB6616" w:rsidRDefault="00FB6616">
      <w:pPr>
        <w:pStyle w:val="FootnoteText"/>
        <w:rPr>
          <w:lang w:val="en-US"/>
        </w:rPr>
      </w:pPr>
      <w:r>
        <w:rPr>
          <w:rStyle w:val="FootnoteReference"/>
        </w:rPr>
        <w:footnoteRef/>
      </w:r>
      <w:r>
        <w:t xml:space="preserve"> </w:t>
      </w:r>
      <w:r>
        <w:rPr>
          <w:lang w:val="en-US"/>
        </w:rPr>
        <w:t>2005 (1) SA 83 (W).</w:t>
      </w:r>
    </w:p>
  </w:footnote>
  <w:footnote w:id="5">
    <w:p w14:paraId="07628B9A" w14:textId="53926CFD" w:rsidR="005A0C07" w:rsidRPr="005A0C07" w:rsidRDefault="005A0C07">
      <w:pPr>
        <w:pStyle w:val="FootnoteText"/>
        <w:rPr>
          <w:lang w:val="en-US"/>
        </w:rPr>
      </w:pPr>
      <w:r>
        <w:rPr>
          <w:rStyle w:val="FootnoteReference"/>
        </w:rPr>
        <w:footnoteRef/>
      </w:r>
      <w:r>
        <w:t xml:space="preserve"> </w:t>
      </w:r>
      <w:r>
        <w:rPr>
          <w:lang w:val="en-US"/>
        </w:rPr>
        <w:t>At paragraphs 66 and 67.</w:t>
      </w:r>
    </w:p>
  </w:footnote>
  <w:footnote w:id="6">
    <w:p w14:paraId="18DA75E7" w14:textId="72111BFA" w:rsidR="005A0C07" w:rsidRPr="005A0C07" w:rsidRDefault="005A0C07">
      <w:pPr>
        <w:pStyle w:val="FootnoteText"/>
        <w:rPr>
          <w:lang w:val="en-US"/>
        </w:rPr>
      </w:pPr>
      <w:r>
        <w:rPr>
          <w:rStyle w:val="FootnoteReference"/>
        </w:rPr>
        <w:footnoteRef/>
      </w:r>
      <w:r>
        <w:t xml:space="preserve"> </w:t>
      </w:r>
      <w:r>
        <w:rPr>
          <w:lang w:val="en-US"/>
        </w:rPr>
        <w:t>Case No. A910/2012 GD (Pretoria) 27 August 2014.</w:t>
      </w:r>
    </w:p>
  </w:footnote>
  <w:footnote w:id="7">
    <w:p w14:paraId="443CAEB2" w14:textId="4F5D5D1F" w:rsidR="004A4827" w:rsidRPr="004A4827" w:rsidRDefault="004A4827">
      <w:pPr>
        <w:pStyle w:val="FootnoteText"/>
        <w:rPr>
          <w:lang w:val="en-US"/>
        </w:rPr>
      </w:pPr>
      <w:r>
        <w:rPr>
          <w:rStyle w:val="FootnoteReference"/>
        </w:rPr>
        <w:footnoteRef/>
      </w:r>
      <w:r>
        <w:t xml:space="preserve"> </w:t>
      </w:r>
      <w:r>
        <w:rPr>
          <w:lang w:val="en-US"/>
        </w:rPr>
        <w:t>Unreported judgment, case number 2014/31317 Gauteng Local Division, Johannesburg.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236"/>
    <w:multiLevelType w:val="hybridMultilevel"/>
    <w:tmpl w:val="72ACB366"/>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1">
    <w:nsid w:val="043F04BF"/>
    <w:multiLevelType w:val="hybridMultilevel"/>
    <w:tmpl w:val="97AC34CA"/>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
    <w:nsid w:val="06674107"/>
    <w:multiLevelType w:val="hybridMultilevel"/>
    <w:tmpl w:val="75B411D0"/>
    <w:lvl w:ilvl="0" w:tplc="DFBCCFD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D756C99"/>
    <w:multiLevelType w:val="hybridMultilevel"/>
    <w:tmpl w:val="A4387934"/>
    <w:lvl w:ilvl="0" w:tplc="7DB291D2">
      <w:start w:val="1"/>
      <w:numFmt w:val="decimal"/>
      <w:pStyle w:val="Judgment"/>
      <w:lvlText w:val="[%1]"/>
      <w:lvlJc w:val="left"/>
      <w:pPr>
        <w:ind w:left="851" w:hanging="851"/>
      </w:pPr>
      <w:rPr>
        <w:rFonts w:hint="default"/>
        <w:b w:val="0"/>
        <w:bCs/>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735129"/>
    <w:multiLevelType w:val="multilevel"/>
    <w:tmpl w:val="B6EE76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95331EA"/>
    <w:multiLevelType w:val="hybridMultilevel"/>
    <w:tmpl w:val="4DB68D9E"/>
    <w:lvl w:ilvl="0" w:tplc="259AC72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1C187200"/>
    <w:multiLevelType w:val="multilevel"/>
    <w:tmpl w:val="6954384C"/>
    <w:lvl w:ilvl="0">
      <w:start w:val="1"/>
      <w:numFmt w:val="decimal"/>
      <w:lvlText w:val="%1."/>
      <w:lvlJc w:val="left"/>
      <w:pPr>
        <w:ind w:left="360" w:hanging="360"/>
      </w:pPr>
      <w:rPr>
        <w:rFonts w:hint="default"/>
        <w:b w:val="0"/>
      </w:rPr>
    </w:lvl>
    <w:lvl w:ilvl="1">
      <w:start w:val="1"/>
      <w:numFmt w:val="decimal"/>
      <w:pStyle w:val="ListParagraph"/>
      <w:lvlText w:val="%1.%2."/>
      <w:lvlJc w:val="left"/>
      <w:pPr>
        <w:ind w:left="720" w:hanging="360"/>
      </w:pPr>
      <w:rPr>
        <w:rFonts w:hint="default"/>
        <w:b w:val="0"/>
      </w:rPr>
    </w:lvl>
    <w:lvl w:ilvl="2">
      <w:start w:val="1"/>
      <w:numFmt w:val="decimal"/>
      <w:pStyle w:val="TN3"/>
      <w:lvlText w:val="%1.%2.%3."/>
      <w:lvlJc w:val="left"/>
      <w:pPr>
        <w:ind w:left="1440" w:hanging="720"/>
      </w:pPr>
      <w:rPr>
        <w:rFonts w:hint="default"/>
        <w:b w:val="0"/>
      </w:rPr>
    </w:lvl>
    <w:lvl w:ilvl="3">
      <w:start w:val="1"/>
      <w:numFmt w:val="decimal"/>
      <w:pStyle w:val="TN4"/>
      <w:lvlText w:val="%1.%2.%3.%4."/>
      <w:lvlJc w:val="left"/>
      <w:pPr>
        <w:ind w:left="1800" w:hanging="720"/>
      </w:pPr>
      <w:rPr>
        <w:rFonts w:hint="default"/>
        <w:b w:val="0"/>
      </w:rPr>
    </w:lvl>
    <w:lvl w:ilvl="4">
      <w:start w:val="1"/>
      <w:numFmt w:val="decimal"/>
      <w:pStyle w:val="TN5"/>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EE0D19"/>
    <w:multiLevelType w:val="hybridMultilevel"/>
    <w:tmpl w:val="483CB1CC"/>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9">
    <w:nsid w:val="27784EC5"/>
    <w:multiLevelType w:val="hybridMultilevel"/>
    <w:tmpl w:val="632E3A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2A63BC"/>
    <w:multiLevelType w:val="multilevel"/>
    <w:tmpl w:val="C49AE4C2"/>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1">
    <w:nsid w:val="2FAE6716"/>
    <w:multiLevelType w:val="hybridMultilevel"/>
    <w:tmpl w:val="FFE46C42"/>
    <w:lvl w:ilvl="0" w:tplc="EAFC6970">
      <w:start w:val="1"/>
      <w:numFmt w:val="decimal"/>
      <w:pStyle w:val="Judgmentsubpara"/>
      <w:lvlText w:val="[1.%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12">
    <w:nsid w:val="345A14D9"/>
    <w:multiLevelType w:val="multilevel"/>
    <w:tmpl w:val="163406DA"/>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8C111B1"/>
    <w:multiLevelType w:val="hybridMultilevel"/>
    <w:tmpl w:val="D3D40B78"/>
    <w:lvl w:ilvl="0" w:tplc="1C090001">
      <w:start w:val="1"/>
      <w:numFmt w:val="bullet"/>
      <w:lvlText w:val=""/>
      <w:lvlJc w:val="left"/>
      <w:pPr>
        <w:ind w:left="2024" w:hanging="360"/>
      </w:pPr>
      <w:rPr>
        <w:rFonts w:ascii="Symbol" w:hAnsi="Symbol" w:hint="default"/>
      </w:rPr>
    </w:lvl>
    <w:lvl w:ilvl="1" w:tplc="1C090003">
      <w:start w:val="1"/>
      <w:numFmt w:val="bullet"/>
      <w:lvlText w:val="o"/>
      <w:lvlJc w:val="left"/>
      <w:pPr>
        <w:ind w:left="2744" w:hanging="360"/>
      </w:pPr>
      <w:rPr>
        <w:rFonts w:ascii="Courier New" w:hAnsi="Courier New" w:cs="Courier New" w:hint="default"/>
      </w:rPr>
    </w:lvl>
    <w:lvl w:ilvl="2" w:tplc="1C090005">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14">
    <w:nsid w:val="41E37202"/>
    <w:multiLevelType w:val="hybridMultilevel"/>
    <w:tmpl w:val="ABD23940"/>
    <w:lvl w:ilvl="0" w:tplc="CFCEAF18">
      <w:start w:val="1"/>
      <w:numFmt w:val="decimal"/>
      <w:lvlText w:val="%1."/>
      <w:lvlJc w:val="left"/>
      <w:pPr>
        <w:ind w:left="1335" w:hanging="9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6D03BD"/>
    <w:multiLevelType w:val="hybridMultilevel"/>
    <w:tmpl w:val="251AB38C"/>
    <w:lvl w:ilvl="0" w:tplc="D6EE00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nsid w:val="434F6FEA"/>
    <w:multiLevelType w:val="hybridMultilevel"/>
    <w:tmpl w:val="CDC8FC9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47462E1"/>
    <w:multiLevelType w:val="multilevel"/>
    <w:tmpl w:val="C4326730"/>
    <w:lvl w:ilvl="0">
      <w:start w:val="1"/>
      <w:numFmt w:val="decimal"/>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18">
    <w:nsid w:val="454D5E5A"/>
    <w:multiLevelType w:val="hybridMultilevel"/>
    <w:tmpl w:val="A97A41B2"/>
    <w:lvl w:ilvl="0" w:tplc="FEF8FF9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C115D4F"/>
    <w:multiLevelType w:val="hybridMultilevel"/>
    <w:tmpl w:val="D2DE3B06"/>
    <w:lvl w:ilvl="0" w:tplc="7E1A1590">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6CC29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DF6AD5"/>
    <w:multiLevelType w:val="hybridMultilevel"/>
    <w:tmpl w:val="800CC5EA"/>
    <w:lvl w:ilvl="0" w:tplc="B89486C4">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2">
    <w:nsid w:val="5A56572E"/>
    <w:multiLevelType w:val="hybridMultilevel"/>
    <w:tmpl w:val="CBDEB66C"/>
    <w:lvl w:ilvl="0" w:tplc="CB9EEAA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3">
    <w:nsid w:val="610B33BE"/>
    <w:multiLevelType w:val="hybridMultilevel"/>
    <w:tmpl w:val="6CFC9D08"/>
    <w:lvl w:ilvl="0" w:tplc="1C090001">
      <w:start w:val="1"/>
      <w:numFmt w:val="bullet"/>
      <w:lvlText w:val=""/>
      <w:lvlJc w:val="left"/>
      <w:pPr>
        <w:ind w:left="2378" w:hanging="360"/>
      </w:pPr>
      <w:rPr>
        <w:rFonts w:ascii="Symbol" w:hAnsi="Symbol" w:hint="default"/>
      </w:rPr>
    </w:lvl>
    <w:lvl w:ilvl="1" w:tplc="1C090003" w:tentative="1">
      <w:start w:val="1"/>
      <w:numFmt w:val="bullet"/>
      <w:lvlText w:val="o"/>
      <w:lvlJc w:val="left"/>
      <w:pPr>
        <w:ind w:left="3098" w:hanging="360"/>
      </w:pPr>
      <w:rPr>
        <w:rFonts w:ascii="Courier New" w:hAnsi="Courier New" w:cs="Courier New" w:hint="default"/>
      </w:rPr>
    </w:lvl>
    <w:lvl w:ilvl="2" w:tplc="1C090005" w:tentative="1">
      <w:start w:val="1"/>
      <w:numFmt w:val="bullet"/>
      <w:lvlText w:val=""/>
      <w:lvlJc w:val="left"/>
      <w:pPr>
        <w:ind w:left="3818" w:hanging="360"/>
      </w:pPr>
      <w:rPr>
        <w:rFonts w:ascii="Wingdings" w:hAnsi="Wingdings" w:hint="default"/>
      </w:rPr>
    </w:lvl>
    <w:lvl w:ilvl="3" w:tplc="1C090001" w:tentative="1">
      <w:start w:val="1"/>
      <w:numFmt w:val="bullet"/>
      <w:lvlText w:val=""/>
      <w:lvlJc w:val="left"/>
      <w:pPr>
        <w:ind w:left="4538" w:hanging="360"/>
      </w:pPr>
      <w:rPr>
        <w:rFonts w:ascii="Symbol" w:hAnsi="Symbol" w:hint="default"/>
      </w:rPr>
    </w:lvl>
    <w:lvl w:ilvl="4" w:tplc="1C090003" w:tentative="1">
      <w:start w:val="1"/>
      <w:numFmt w:val="bullet"/>
      <w:lvlText w:val="o"/>
      <w:lvlJc w:val="left"/>
      <w:pPr>
        <w:ind w:left="5258" w:hanging="360"/>
      </w:pPr>
      <w:rPr>
        <w:rFonts w:ascii="Courier New" w:hAnsi="Courier New" w:cs="Courier New" w:hint="default"/>
      </w:rPr>
    </w:lvl>
    <w:lvl w:ilvl="5" w:tplc="1C090005" w:tentative="1">
      <w:start w:val="1"/>
      <w:numFmt w:val="bullet"/>
      <w:lvlText w:val=""/>
      <w:lvlJc w:val="left"/>
      <w:pPr>
        <w:ind w:left="5978" w:hanging="360"/>
      </w:pPr>
      <w:rPr>
        <w:rFonts w:ascii="Wingdings" w:hAnsi="Wingdings" w:hint="default"/>
      </w:rPr>
    </w:lvl>
    <w:lvl w:ilvl="6" w:tplc="1C090001" w:tentative="1">
      <w:start w:val="1"/>
      <w:numFmt w:val="bullet"/>
      <w:lvlText w:val=""/>
      <w:lvlJc w:val="left"/>
      <w:pPr>
        <w:ind w:left="6698" w:hanging="360"/>
      </w:pPr>
      <w:rPr>
        <w:rFonts w:ascii="Symbol" w:hAnsi="Symbol" w:hint="default"/>
      </w:rPr>
    </w:lvl>
    <w:lvl w:ilvl="7" w:tplc="1C090003" w:tentative="1">
      <w:start w:val="1"/>
      <w:numFmt w:val="bullet"/>
      <w:lvlText w:val="o"/>
      <w:lvlJc w:val="left"/>
      <w:pPr>
        <w:ind w:left="7418" w:hanging="360"/>
      </w:pPr>
      <w:rPr>
        <w:rFonts w:ascii="Courier New" w:hAnsi="Courier New" w:cs="Courier New" w:hint="default"/>
      </w:rPr>
    </w:lvl>
    <w:lvl w:ilvl="8" w:tplc="1C090005" w:tentative="1">
      <w:start w:val="1"/>
      <w:numFmt w:val="bullet"/>
      <w:lvlText w:val=""/>
      <w:lvlJc w:val="left"/>
      <w:pPr>
        <w:ind w:left="8138" w:hanging="360"/>
      </w:pPr>
      <w:rPr>
        <w:rFonts w:ascii="Wingdings" w:hAnsi="Wingdings" w:hint="default"/>
      </w:rPr>
    </w:lvl>
  </w:abstractNum>
  <w:abstractNum w:abstractNumId="24">
    <w:nsid w:val="6A0516D9"/>
    <w:multiLevelType w:val="hybridMultilevel"/>
    <w:tmpl w:val="7766F946"/>
    <w:lvl w:ilvl="0" w:tplc="1C090001">
      <w:start w:val="1"/>
      <w:numFmt w:val="bullet"/>
      <w:lvlText w:val=""/>
      <w:lvlJc w:val="left"/>
      <w:pPr>
        <w:ind w:left="2024" w:hanging="360"/>
      </w:pPr>
      <w:rPr>
        <w:rFonts w:ascii="Symbol" w:hAnsi="Symbol" w:hint="default"/>
      </w:rPr>
    </w:lvl>
    <w:lvl w:ilvl="1" w:tplc="1C090003" w:tentative="1">
      <w:start w:val="1"/>
      <w:numFmt w:val="bullet"/>
      <w:lvlText w:val="o"/>
      <w:lvlJc w:val="left"/>
      <w:pPr>
        <w:ind w:left="2744" w:hanging="360"/>
      </w:pPr>
      <w:rPr>
        <w:rFonts w:ascii="Courier New" w:hAnsi="Courier New" w:cs="Courier New" w:hint="default"/>
      </w:rPr>
    </w:lvl>
    <w:lvl w:ilvl="2" w:tplc="1C090005" w:tentative="1">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25">
    <w:nsid w:val="6A452550"/>
    <w:multiLevelType w:val="hybridMultilevel"/>
    <w:tmpl w:val="E4CAA606"/>
    <w:lvl w:ilvl="0" w:tplc="6EFACC16">
      <w:start w:val="1"/>
      <w:numFmt w:val="decimal"/>
      <w:lvlText w:val="(%1)"/>
      <w:lvlJc w:val="left"/>
      <w:pPr>
        <w:ind w:left="1800" w:hanging="360"/>
      </w:pPr>
      <w:rPr>
        <w:rFonts w:hint="default"/>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6C4142DB"/>
    <w:multiLevelType w:val="hybridMultilevel"/>
    <w:tmpl w:val="41C20032"/>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7">
    <w:nsid w:val="723C32B1"/>
    <w:multiLevelType w:val="hybridMultilevel"/>
    <w:tmpl w:val="D0B0A7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78C01B2"/>
    <w:multiLevelType w:val="hybridMultilevel"/>
    <w:tmpl w:val="8190F5AC"/>
    <w:lvl w:ilvl="0" w:tplc="E44A86D4">
      <w:start w:val="1"/>
      <w:numFmt w:val="decimal"/>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8EC39A5"/>
    <w:multiLevelType w:val="hybridMultilevel"/>
    <w:tmpl w:val="EAB48D86"/>
    <w:lvl w:ilvl="0" w:tplc="E89E81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E811B9"/>
    <w:multiLevelType w:val="hybridMultilevel"/>
    <w:tmpl w:val="62A49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7"/>
  </w:num>
  <w:num w:numId="5">
    <w:abstractNumId w:val="1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4"/>
  </w:num>
  <w:num w:numId="11">
    <w:abstractNumId w:val="8"/>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6"/>
  </w:num>
  <w:num w:numId="17">
    <w:abstractNumId w:val="26"/>
  </w:num>
  <w:num w:numId="18">
    <w:abstractNumId w:val="23"/>
  </w:num>
  <w:num w:numId="19">
    <w:abstractNumId w:val="4"/>
  </w:num>
  <w:num w:numId="20">
    <w:abstractNumId w:val="3"/>
  </w:num>
  <w:num w:numId="21">
    <w:abstractNumId w:val="14"/>
  </w:num>
  <w:num w:numId="22">
    <w:abstractNumId w:val="10"/>
  </w:num>
  <w:num w:numId="23">
    <w:abstractNumId w:val="2"/>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5"/>
  </w:num>
  <w:num w:numId="29">
    <w:abstractNumId w:val="15"/>
  </w:num>
  <w:num w:numId="30">
    <w:abstractNumId w:val="4"/>
  </w:num>
  <w:num w:numId="31">
    <w:abstractNumId w:val="11"/>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18"/>
  </w:num>
  <w:num w:numId="46">
    <w:abstractNumId w:val="20"/>
  </w:num>
  <w:num w:numId="47">
    <w:abstractNumId w:val="28"/>
  </w:num>
  <w:num w:numId="48">
    <w:abstractNumId w:val="27"/>
  </w:num>
  <w:num w:numId="49">
    <w:abstractNumId w:val="19"/>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4"/>
  </w:num>
  <w:num w:numId="159">
    <w:abstractNumId w:val="4"/>
  </w:num>
  <w:num w:numId="160">
    <w:abstractNumId w:val="4"/>
  </w:num>
  <w:num w:numId="161">
    <w:abstractNumId w:val="4"/>
  </w:num>
  <w:num w:numId="162">
    <w:abstractNumId w:val="4"/>
  </w:num>
  <w:num w:numId="163">
    <w:abstractNumId w:val="4"/>
  </w:num>
  <w:num w:numId="164">
    <w:abstractNumId w:val="4"/>
  </w:num>
  <w:num w:numId="165">
    <w:abstractNumId w:val="4"/>
  </w:num>
  <w:num w:numId="166">
    <w:abstractNumId w:val="4"/>
  </w:num>
  <w:num w:numId="167">
    <w:abstractNumId w:val="4"/>
  </w:num>
  <w:num w:numId="168">
    <w:abstractNumId w:val="4"/>
  </w:num>
  <w:num w:numId="169">
    <w:abstractNumId w:val="4"/>
  </w:num>
  <w:num w:numId="170">
    <w:abstractNumId w:val="22"/>
  </w:num>
  <w:num w:numId="171">
    <w:abstractNumId w:val="21"/>
  </w:num>
  <w:num w:numId="172">
    <w:abstractNumId w:val="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86"/>
    <w:rsid w:val="0000293B"/>
    <w:rsid w:val="00002D96"/>
    <w:rsid w:val="00003F6E"/>
    <w:rsid w:val="000054B8"/>
    <w:rsid w:val="0000758F"/>
    <w:rsid w:val="0001142F"/>
    <w:rsid w:val="00011EAC"/>
    <w:rsid w:val="00012612"/>
    <w:rsid w:val="00014BDB"/>
    <w:rsid w:val="00015D2E"/>
    <w:rsid w:val="0002166E"/>
    <w:rsid w:val="00022C91"/>
    <w:rsid w:val="00022E79"/>
    <w:rsid w:val="000234F3"/>
    <w:rsid w:val="0003048B"/>
    <w:rsid w:val="0003340C"/>
    <w:rsid w:val="00035EE3"/>
    <w:rsid w:val="0003799F"/>
    <w:rsid w:val="00043184"/>
    <w:rsid w:val="00045CA0"/>
    <w:rsid w:val="00047364"/>
    <w:rsid w:val="00052F02"/>
    <w:rsid w:val="00063F16"/>
    <w:rsid w:val="000654B9"/>
    <w:rsid w:val="00066860"/>
    <w:rsid w:val="00067C8C"/>
    <w:rsid w:val="00071328"/>
    <w:rsid w:val="000713A2"/>
    <w:rsid w:val="00073147"/>
    <w:rsid w:val="000762A8"/>
    <w:rsid w:val="00076E0F"/>
    <w:rsid w:val="00081095"/>
    <w:rsid w:val="0008136F"/>
    <w:rsid w:val="00081BC2"/>
    <w:rsid w:val="00087A38"/>
    <w:rsid w:val="00090E42"/>
    <w:rsid w:val="0009410F"/>
    <w:rsid w:val="0009519D"/>
    <w:rsid w:val="00096505"/>
    <w:rsid w:val="000A29B2"/>
    <w:rsid w:val="000A3E9A"/>
    <w:rsid w:val="000A65CD"/>
    <w:rsid w:val="000A7122"/>
    <w:rsid w:val="000B03FF"/>
    <w:rsid w:val="000B1335"/>
    <w:rsid w:val="000B4874"/>
    <w:rsid w:val="000B5899"/>
    <w:rsid w:val="000C151F"/>
    <w:rsid w:val="000C252B"/>
    <w:rsid w:val="000C5D22"/>
    <w:rsid w:val="000C6C02"/>
    <w:rsid w:val="000D3B5A"/>
    <w:rsid w:val="000D3DDE"/>
    <w:rsid w:val="000D478E"/>
    <w:rsid w:val="000D7711"/>
    <w:rsid w:val="000D7A63"/>
    <w:rsid w:val="000E3ADE"/>
    <w:rsid w:val="000E5AF6"/>
    <w:rsid w:val="000E7366"/>
    <w:rsid w:val="000F383F"/>
    <w:rsid w:val="000F4CAF"/>
    <w:rsid w:val="000F5AFB"/>
    <w:rsid w:val="000F5DA2"/>
    <w:rsid w:val="000F60C6"/>
    <w:rsid w:val="000F7705"/>
    <w:rsid w:val="00100753"/>
    <w:rsid w:val="00100C80"/>
    <w:rsid w:val="00111219"/>
    <w:rsid w:val="00113FC7"/>
    <w:rsid w:val="00116259"/>
    <w:rsid w:val="00117077"/>
    <w:rsid w:val="00120041"/>
    <w:rsid w:val="001201C9"/>
    <w:rsid w:val="0012472B"/>
    <w:rsid w:val="00124A53"/>
    <w:rsid w:val="00127520"/>
    <w:rsid w:val="0012787A"/>
    <w:rsid w:val="00133C0A"/>
    <w:rsid w:val="00134325"/>
    <w:rsid w:val="00136B87"/>
    <w:rsid w:val="00137B55"/>
    <w:rsid w:val="001417AE"/>
    <w:rsid w:val="001426F4"/>
    <w:rsid w:val="00142967"/>
    <w:rsid w:val="00142B6B"/>
    <w:rsid w:val="00142CE5"/>
    <w:rsid w:val="00147C03"/>
    <w:rsid w:val="00147D25"/>
    <w:rsid w:val="0015094A"/>
    <w:rsid w:val="00150C74"/>
    <w:rsid w:val="00150F85"/>
    <w:rsid w:val="001510C1"/>
    <w:rsid w:val="00152C10"/>
    <w:rsid w:val="00152FE1"/>
    <w:rsid w:val="001531A1"/>
    <w:rsid w:val="001553AF"/>
    <w:rsid w:val="00155E17"/>
    <w:rsid w:val="00156159"/>
    <w:rsid w:val="00161FDD"/>
    <w:rsid w:val="001629B8"/>
    <w:rsid w:val="0016313E"/>
    <w:rsid w:val="00163817"/>
    <w:rsid w:val="0016461F"/>
    <w:rsid w:val="001650F3"/>
    <w:rsid w:val="0016556F"/>
    <w:rsid w:val="00166895"/>
    <w:rsid w:val="00170D82"/>
    <w:rsid w:val="00170FA8"/>
    <w:rsid w:val="00171CF6"/>
    <w:rsid w:val="00172615"/>
    <w:rsid w:val="00172834"/>
    <w:rsid w:val="00172D57"/>
    <w:rsid w:val="001730EA"/>
    <w:rsid w:val="00173DE6"/>
    <w:rsid w:val="00175ED2"/>
    <w:rsid w:val="00176208"/>
    <w:rsid w:val="00176339"/>
    <w:rsid w:val="00176BE0"/>
    <w:rsid w:val="00177326"/>
    <w:rsid w:val="00180E4D"/>
    <w:rsid w:val="00183C23"/>
    <w:rsid w:val="00184505"/>
    <w:rsid w:val="00184CE9"/>
    <w:rsid w:val="00185398"/>
    <w:rsid w:val="001857E9"/>
    <w:rsid w:val="00186319"/>
    <w:rsid w:val="001901D8"/>
    <w:rsid w:val="00192699"/>
    <w:rsid w:val="00193025"/>
    <w:rsid w:val="00194450"/>
    <w:rsid w:val="00194DD2"/>
    <w:rsid w:val="001969E0"/>
    <w:rsid w:val="001975F8"/>
    <w:rsid w:val="001A5059"/>
    <w:rsid w:val="001A547B"/>
    <w:rsid w:val="001A6894"/>
    <w:rsid w:val="001B021F"/>
    <w:rsid w:val="001B2940"/>
    <w:rsid w:val="001B30E5"/>
    <w:rsid w:val="001B3CE9"/>
    <w:rsid w:val="001B62FF"/>
    <w:rsid w:val="001B69BB"/>
    <w:rsid w:val="001B7BB1"/>
    <w:rsid w:val="001C1896"/>
    <w:rsid w:val="001C1CD1"/>
    <w:rsid w:val="001C1F0D"/>
    <w:rsid w:val="001C2768"/>
    <w:rsid w:val="001C6478"/>
    <w:rsid w:val="001C6F0D"/>
    <w:rsid w:val="001C71EA"/>
    <w:rsid w:val="001D11B7"/>
    <w:rsid w:val="001D1AFF"/>
    <w:rsid w:val="001D2F94"/>
    <w:rsid w:val="001D32E8"/>
    <w:rsid w:val="001D5BF2"/>
    <w:rsid w:val="001E423E"/>
    <w:rsid w:val="001E4BED"/>
    <w:rsid w:val="001E4E17"/>
    <w:rsid w:val="001E69C9"/>
    <w:rsid w:val="001E768F"/>
    <w:rsid w:val="001E7C0E"/>
    <w:rsid w:val="001F1830"/>
    <w:rsid w:val="001F5126"/>
    <w:rsid w:val="001F533F"/>
    <w:rsid w:val="001F6148"/>
    <w:rsid w:val="001F6F26"/>
    <w:rsid w:val="001F7FAA"/>
    <w:rsid w:val="00200949"/>
    <w:rsid w:val="0020197E"/>
    <w:rsid w:val="00202242"/>
    <w:rsid w:val="0020335C"/>
    <w:rsid w:val="00203366"/>
    <w:rsid w:val="0020554B"/>
    <w:rsid w:val="00207336"/>
    <w:rsid w:val="00210186"/>
    <w:rsid w:val="00210A4A"/>
    <w:rsid w:val="00211041"/>
    <w:rsid w:val="0021211F"/>
    <w:rsid w:val="0021231C"/>
    <w:rsid w:val="00213410"/>
    <w:rsid w:val="002150FB"/>
    <w:rsid w:val="00215677"/>
    <w:rsid w:val="00215A3A"/>
    <w:rsid w:val="0022167D"/>
    <w:rsid w:val="00225950"/>
    <w:rsid w:val="00225D7F"/>
    <w:rsid w:val="00232280"/>
    <w:rsid w:val="00232325"/>
    <w:rsid w:val="002363C4"/>
    <w:rsid w:val="002369AC"/>
    <w:rsid w:val="00236E8B"/>
    <w:rsid w:val="00240A77"/>
    <w:rsid w:val="00245EA2"/>
    <w:rsid w:val="002501D5"/>
    <w:rsid w:val="00251022"/>
    <w:rsid w:val="00260D99"/>
    <w:rsid w:val="00261476"/>
    <w:rsid w:val="00262A06"/>
    <w:rsid w:val="00262C0C"/>
    <w:rsid w:val="00263249"/>
    <w:rsid w:val="002650EA"/>
    <w:rsid w:val="002658A1"/>
    <w:rsid w:val="0026602C"/>
    <w:rsid w:val="00272195"/>
    <w:rsid w:val="00272648"/>
    <w:rsid w:val="0027267B"/>
    <w:rsid w:val="00272F5D"/>
    <w:rsid w:val="00273CE8"/>
    <w:rsid w:val="002744C4"/>
    <w:rsid w:val="00276B32"/>
    <w:rsid w:val="002807A0"/>
    <w:rsid w:val="002819A9"/>
    <w:rsid w:val="00284964"/>
    <w:rsid w:val="002855EA"/>
    <w:rsid w:val="00285D44"/>
    <w:rsid w:val="00285EB2"/>
    <w:rsid w:val="00287B2F"/>
    <w:rsid w:val="00287F57"/>
    <w:rsid w:val="002930B5"/>
    <w:rsid w:val="002939C7"/>
    <w:rsid w:val="00296BF4"/>
    <w:rsid w:val="002970C7"/>
    <w:rsid w:val="002974AB"/>
    <w:rsid w:val="002A01BC"/>
    <w:rsid w:val="002A08AB"/>
    <w:rsid w:val="002A0FD6"/>
    <w:rsid w:val="002A1E00"/>
    <w:rsid w:val="002A3A36"/>
    <w:rsid w:val="002A4168"/>
    <w:rsid w:val="002A458D"/>
    <w:rsid w:val="002A5726"/>
    <w:rsid w:val="002A5E31"/>
    <w:rsid w:val="002A67A2"/>
    <w:rsid w:val="002B29AB"/>
    <w:rsid w:val="002B45C0"/>
    <w:rsid w:val="002B65D3"/>
    <w:rsid w:val="002B77B7"/>
    <w:rsid w:val="002C0E50"/>
    <w:rsid w:val="002D0724"/>
    <w:rsid w:val="002D2024"/>
    <w:rsid w:val="002D23D2"/>
    <w:rsid w:val="002D4D81"/>
    <w:rsid w:val="002E21FA"/>
    <w:rsid w:val="002E41F9"/>
    <w:rsid w:val="002E5C76"/>
    <w:rsid w:val="002E5D96"/>
    <w:rsid w:val="002F18E0"/>
    <w:rsid w:val="002F269D"/>
    <w:rsid w:val="002F3B08"/>
    <w:rsid w:val="002F3C5A"/>
    <w:rsid w:val="002F56AC"/>
    <w:rsid w:val="002F59A0"/>
    <w:rsid w:val="002F5EAA"/>
    <w:rsid w:val="002F638A"/>
    <w:rsid w:val="002F7494"/>
    <w:rsid w:val="00300F00"/>
    <w:rsid w:val="0030153E"/>
    <w:rsid w:val="003029CB"/>
    <w:rsid w:val="00302C80"/>
    <w:rsid w:val="003032F5"/>
    <w:rsid w:val="003108A7"/>
    <w:rsid w:val="003126FA"/>
    <w:rsid w:val="00313ABB"/>
    <w:rsid w:val="00313D18"/>
    <w:rsid w:val="003153B0"/>
    <w:rsid w:val="00316CAB"/>
    <w:rsid w:val="00316EFB"/>
    <w:rsid w:val="003241D3"/>
    <w:rsid w:val="003258A5"/>
    <w:rsid w:val="0032618B"/>
    <w:rsid w:val="00331482"/>
    <w:rsid w:val="0033158A"/>
    <w:rsid w:val="00331F30"/>
    <w:rsid w:val="003330F2"/>
    <w:rsid w:val="00335DDC"/>
    <w:rsid w:val="003423E2"/>
    <w:rsid w:val="00342D17"/>
    <w:rsid w:val="00343D62"/>
    <w:rsid w:val="00344D03"/>
    <w:rsid w:val="003453BE"/>
    <w:rsid w:val="00347AB6"/>
    <w:rsid w:val="00347AFF"/>
    <w:rsid w:val="00347B13"/>
    <w:rsid w:val="00351B5B"/>
    <w:rsid w:val="0035422D"/>
    <w:rsid w:val="003551A4"/>
    <w:rsid w:val="00356A16"/>
    <w:rsid w:val="00357737"/>
    <w:rsid w:val="00360102"/>
    <w:rsid w:val="00360998"/>
    <w:rsid w:val="00361686"/>
    <w:rsid w:val="00361C82"/>
    <w:rsid w:val="00362600"/>
    <w:rsid w:val="00362910"/>
    <w:rsid w:val="003639FB"/>
    <w:rsid w:val="00372ADA"/>
    <w:rsid w:val="00375C4D"/>
    <w:rsid w:val="00377508"/>
    <w:rsid w:val="00377D22"/>
    <w:rsid w:val="00380383"/>
    <w:rsid w:val="00380B4F"/>
    <w:rsid w:val="00381709"/>
    <w:rsid w:val="00381E39"/>
    <w:rsid w:val="00383747"/>
    <w:rsid w:val="003857AB"/>
    <w:rsid w:val="003859F2"/>
    <w:rsid w:val="00385B3B"/>
    <w:rsid w:val="00387788"/>
    <w:rsid w:val="00387A5B"/>
    <w:rsid w:val="00390870"/>
    <w:rsid w:val="003913D7"/>
    <w:rsid w:val="003921D9"/>
    <w:rsid w:val="003A0172"/>
    <w:rsid w:val="003A0694"/>
    <w:rsid w:val="003A2CFA"/>
    <w:rsid w:val="003A30AC"/>
    <w:rsid w:val="003A3B1F"/>
    <w:rsid w:val="003A3DC9"/>
    <w:rsid w:val="003A4392"/>
    <w:rsid w:val="003A5B6D"/>
    <w:rsid w:val="003A7534"/>
    <w:rsid w:val="003A7F26"/>
    <w:rsid w:val="003B29FB"/>
    <w:rsid w:val="003B2C62"/>
    <w:rsid w:val="003B3A4F"/>
    <w:rsid w:val="003B409F"/>
    <w:rsid w:val="003B4E0F"/>
    <w:rsid w:val="003C1079"/>
    <w:rsid w:val="003C1A40"/>
    <w:rsid w:val="003C4DD1"/>
    <w:rsid w:val="003C4FF9"/>
    <w:rsid w:val="003C618D"/>
    <w:rsid w:val="003D1F90"/>
    <w:rsid w:val="003D2608"/>
    <w:rsid w:val="003D5627"/>
    <w:rsid w:val="003D5DCF"/>
    <w:rsid w:val="003D6114"/>
    <w:rsid w:val="003D63D6"/>
    <w:rsid w:val="003D75A0"/>
    <w:rsid w:val="003E6234"/>
    <w:rsid w:val="003E73C2"/>
    <w:rsid w:val="003E7CCF"/>
    <w:rsid w:val="003F1D49"/>
    <w:rsid w:val="003F2A58"/>
    <w:rsid w:val="003F2FE8"/>
    <w:rsid w:val="003F50E7"/>
    <w:rsid w:val="003F52F7"/>
    <w:rsid w:val="003F5F6E"/>
    <w:rsid w:val="003F723C"/>
    <w:rsid w:val="0040075D"/>
    <w:rsid w:val="00403E84"/>
    <w:rsid w:val="0040618A"/>
    <w:rsid w:val="00411775"/>
    <w:rsid w:val="0041301B"/>
    <w:rsid w:val="00414CD3"/>
    <w:rsid w:val="00415303"/>
    <w:rsid w:val="00417831"/>
    <w:rsid w:val="00420A20"/>
    <w:rsid w:val="0042354E"/>
    <w:rsid w:val="00423AD9"/>
    <w:rsid w:val="00425170"/>
    <w:rsid w:val="00425B3A"/>
    <w:rsid w:val="0042642F"/>
    <w:rsid w:val="00426FF0"/>
    <w:rsid w:val="004339A9"/>
    <w:rsid w:val="0043503A"/>
    <w:rsid w:val="00436B42"/>
    <w:rsid w:val="004400FC"/>
    <w:rsid w:val="0044031A"/>
    <w:rsid w:val="00441439"/>
    <w:rsid w:val="00442887"/>
    <w:rsid w:val="00453567"/>
    <w:rsid w:val="00455433"/>
    <w:rsid w:val="00460D7D"/>
    <w:rsid w:val="004646E2"/>
    <w:rsid w:val="0046509F"/>
    <w:rsid w:val="0046764A"/>
    <w:rsid w:val="004734A3"/>
    <w:rsid w:val="004754EF"/>
    <w:rsid w:val="00475567"/>
    <w:rsid w:val="00475994"/>
    <w:rsid w:val="00475B50"/>
    <w:rsid w:val="004766D4"/>
    <w:rsid w:val="00476A22"/>
    <w:rsid w:val="00477A55"/>
    <w:rsid w:val="00481A3C"/>
    <w:rsid w:val="00483311"/>
    <w:rsid w:val="004841D5"/>
    <w:rsid w:val="004846E4"/>
    <w:rsid w:val="00486F71"/>
    <w:rsid w:val="00487071"/>
    <w:rsid w:val="00487824"/>
    <w:rsid w:val="00487894"/>
    <w:rsid w:val="00490FF6"/>
    <w:rsid w:val="00492837"/>
    <w:rsid w:val="004939BB"/>
    <w:rsid w:val="004965EE"/>
    <w:rsid w:val="00496BA8"/>
    <w:rsid w:val="00496D72"/>
    <w:rsid w:val="004A23AA"/>
    <w:rsid w:val="004A3F89"/>
    <w:rsid w:val="004A43F4"/>
    <w:rsid w:val="004A4827"/>
    <w:rsid w:val="004A60DA"/>
    <w:rsid w:val="004A7968"/>
    <w:rsid w:val="004A7FCE"/>
    <w:rsid w:val="004B0940"/>
    <w:rsid w:val="004B503C"/>
    <w:rsid w:val="004B5129"/>
    <w:rsid w:val="004B5BC2"/>
    <w:rsid w:val="004B78AE"/>
    <w:rsid w:val="004C2D16"/>
    <w:rsid w:val="004C2F51"/>
    <w:rsid w:val="004C3B93"/>
    <w:rsid w:val="004C77CC"/>
    <w:rsid w:val="004C784E"/>
    <w:rsid w:val="004C7ED9"/>
    <w:rsid w:val="004D1DF4"/>
    <w:rsid w:val="004D27B8"/>
    <w:rsid w:val="004D2A44"/>
    <w:rsid w:val="004D3076"/>
    <w:rsid w:val="004D3A08"/>
    <w:rsid w:val="004D3AC7"/>
    <w:rsid w:val="004D45C2"/>
    <w:rsid w:val="004D5605"/>
    <w:rsid w:val="004D59A6"/>
    <w:rsid w:val="004D75AF"/>
    <w:rsid w:val="004D7EF6"/>
    <w:rsid w:val="004E0725"/>
    <w:rsid w:val="004E21FF"/>
    <w:rsid w:val="004E230E"/>
    <w:rsid w:val="004E3433"/>
    <w:rsid w:val="004E3875"/>
    <w:rsid w:val="004E4746"/>
    <w:rsid w:val="004E4C81"/>
    <w:rsid w:val="004E4CA4"/>
    <w:rsid w:val="004E5DE5"/>
    <w:rsid w:val="004E642C"/>
    <w:rsid w:val="004F03ED"/>
    <w:rsid w:val="004F0ED2"/>
    <w:rsid w:val="004F359B"/>
    <w:rsid w:val="004F6E0D"/>
    <w:rsid w:val="004F7E72"/>
    <w:rsid w:val="0050176D"/>
    <w:rsid w:val="0050342C"/>
    <w:rsid w:val="00504064"/>
    <w:rsid w:val="005066C1"/>
    <w:rsid w:val="00512A70"/>
    <w:rsid w:val="00512D2D"/>
    <w:rsid w:val="00513380"/>
    <w:rsid w:val="005149FB"/>
    <w:rsid w:val="00515448"/>
    <w:rsid w:val="005163F0"/>
    <w:rsid w:val="00516FB9"/>
    <w:rsid w:val="00520273"/>
    <w:rsid w:val="005216D0"/>
    <w:rsid w:val="00522A6B"/>
    <w:rsid w:val="005233D4"/>
    <w:rsid w:val="0052344E"/>
    <w:rsid w:val="005261B1"/>
    <w:rsid w:val="00527009"/>
    <w:rsid w:val="00531548"/>
    <w:rsid w:val="005345B5"/>
    <w:rsid w:val="00535064"/>
    <w:rsid w:val="00535EAD"/>
    <w:rsid w:val="00536C85"/>
    <w:rsid w:val="00537551"/>
    <w:rsid w:val="0053773F"/>
    <w:rsid w:val="005400EA"/>
    <w:rsid w:val="0054143C"/>
    <w:rsid w:val="0054234E"/>
    <w:rsid w:val="00543370"/>
    <w:rsid w:val="00544DCF"/>
    <w:rsid w:val="00545178"/>
    <w:rsid w:val="005468A3"/>
    <w:rsid w:val="00550FAC"/>
    <w:rsid w:val="00552523"/>
    <w:rsid w:val="005545BA"/>
    <w:rsid w:val="00554725"/>
    <w:rsid w:val="005548D9"/>
    <w:rsid w:val="005579F3"/>
    <w:rsid w:val="00557DBB"/>
    <w:rsid w:val="00561103"/>
    <w:rsid w:val="005619D0"/>
    <w:rsid w:val="00563ED0"/>
    <w:rsid w:val="00570C6A"/>
    <w:rsid w:val="005748ED"/>
    <w:rsid w:val="00576670"/>
    <w:rsid w:val="00576924"/>
    <w:rsid w:val="0057775A"/>
    <w:rsid w:val="00580F7F"/>
    <w:rsid w:val="005814F8"/>
    <w:rsid w:val="0058179E"/>
    <w:rsid w:val="00581EA5"/>
    <w:rsid w:val="00583FED"/>
    <w:rsid w:val="00584F04"/>
    <w:rsid w:val="00587078"/>
    <w:rsid w:val="00591658"/>
    <w:rsid w:val="00592A62"/>
    <w:rsid w:val="00592D8F"/>
    <w:rsid w:val="005947C8"/>
    <w:rsid w:val="005954F1"/>
    <w:rsid w:val="00595CA5"/>
    <w:rsid w:val="00595F78"/>
    <w:rsid w:val="005A0C07"/>
    <w:rsid w:val="005A0D33"/>
    <w:rsid w:val="005A1764"/>
    <w:rsid w:val="005A2B0D"/>
    <w:rsid w:val="005A4601"/>
    <w:rsid w:val="005A4CB2"/>
    <w:rsid w:val="005A7E71"/>
    <w:rsid w:val="005B0109"/>
    <w:rsid w:val="005B089D"/>
    <w:rsid w:val="005B1249"/>
    <w:rsid w:val="005B26ED"/>
    <w:rsid w:val="005B38C7"/>
    <w:rsid w:val="005B5A5B"/>
    <w:rsid w:val="005B5C62"/>
    <w:rsid w:val="005C158B"/>
    <w:rsid w:val="005C2314"/>
    <w:rsid w:val="005C2C39"/>
    <w:rsid w:val="005C5892"/>
    <w:rsid w:val="005C6737"/>
    <w:rsid w:val="005C74BD"/>
    <w:rsid w:val="005C75E1"/>
    <w:rsid w:val="005C7640"/>
    <w:rsid w:val="005C7ED5"/>
    <w:rsid w:val="005D06DE"/>
    <w:rsid w:val="005D1C90"/>
    <w:rsid w:val="005D1F64"/>
    <w:rsid w:val="005D1F69"/>
    <w:rsid w:val="005D2676"/>
    <w:rsid w:val="005D362C"/>
    <w:rsid w:val="005D37E4"/>
    <w:rsid w:val="005D3CEA"/>
    <w:rsid w:val="005D4CDF"/>
    <w:rsid w:val="005D57CD"/>
    <w:rsid w:val="005D650F"/>
    <w:rsid w:val="005D6A4C"/>
    <w:rsid w:val="005D7425"/>
    <w:rsid w:val="005E4034"/>
    <w:rsid w:val="005E409C"/>
    <w:rsid w:val="005F064F"/>
    <w:rsid w:val="005F0F88"/>
    <w:rsid w:val="005F115D"/>
    <w:rsid w:val="005F2EE4"/>
    <w:rsid w:val="005F30D6"/>
    <w:rsid w:val="005F4270"/>
    <w:rsid w:val="005F4964"/>
    <w:rsid w:val="005F5CC2"/>
    <w:rsid w:val="005F6067"/>
    <w:rsid w:val="005F6872"/>
    <w:rsid w:val="005F6ABA"/>
    <w:rsid w:val="005F6E1B"/>
    <w:rsid w:val="0060130F"/>
    <w:rsid w:val="00601802"/>
    <w:rsid w:val="00602E84"/>
    <w:rsid w:val="00604A55"/>
    <w:rsid w:val="00604A56"/>
    <w:rsid w:val="00605E64"/>
    <w:rsid w:val="00607663"/>
    <w:rsid w:val="006102D3"/>
    <w:rsid w:val="00611761"/>
    <w:rsid w:val="00612563"/>
    <w:rsid w:val="00612F62"/>
    <w:rsid w:val="00617B42"/>
    <w:rsid w:val="00620E36"/>
    <w:rsid w:val="00621F1C"/>
    <w:rsid w:val="00625A8A"/>
    <w:rsid w:val="00630CDD"/>
    <w:rsid w:val="00633442"/>
    <w:rsid w:val="0063412B"/>
    <w:rsid w:val="0063511A"/>
    <w:rsid w:val="00636B86"/>
    <w:rsid w:val="00642AC6"/>
    <w:rsid w:val="0064455E"/>
    <w:rsid w:val="00644B59"/>
    <w:rsid w:val="0064582C"/>
    <w:rsid w:val="0064663C"/>
    <w:rsid w:val="00646719"/>
    <w:rsid w:val="006471EC"/>
    <w:rsid w:val="00650AF0"/>
    <w:rsid w:val="00653631"/>
    <w:rsid w:val="00656036"/>
    <w:rsid w:val="00656754"/>
    <w:rsid w:val="00656F63"/>
    <w:rsid w:val="00657DB7"/>
    <w:rsid w:val="00657F8E"/>
    <w:rsid w:val="00661B7C"/>
    <w:rsid w:val="00663267"/>
    <w:rsid w:val="0066335D"/>
    <w:rsid w:val="00664835"/>
    <w:rsid w:val="0066589F"/>
    <w:rsid w:val="0066779B"/>
    <w:rsid w:val="00670023"/>
    <w:rsid w:val="00670F73"/>
    <w:rsid w:val="0067444C"/>
    <w:rsid w:val="006756EA"/>
    <w:rsid w:val="006758EA"/>
    <w:rsid w:val="00676BF6"/>
    <w:rsid w:val="00677B69"/>
    <w:rsid w:val="00683338"/>
    <w:rsid w:val="006839F6"/>
    <w:rsid w:val="00683F1A"/>
    <w:rsid w:val="00683FD6"/>
    <w:rsid w:val="006844DF"/>
    <w:rsid w:val="0068555E"/>
    <w:rsid w:val="0068761F"/>
    <w:rsid w:val="006943BF"/>
    <w:rsid w:val="006949D3"/>
    <w:rsid w:val="00695950"/>
    <w:rsid w:val="006976ED"/>
    <w:rsid w:val="006A0AA8"/>
    <w:rsid w:val="006A0B9F"/>
    <w:rsid w:val="006A2C38"/>
    <w:rsid w:val="006B0229"/>
    <w:rsid w:val="006B07E9"/>
    <w:rsid w:val="006B0A95"/>
    <w:rsid w:val="006B0D1E"/>
    <w:rsid w:val="006B16D9"/>
    <w:rsid w:val="006B28AC"/>
    <w:rsid w:val="006B669A"/>
    <w:rsid w:val="006B672A"/>
    <w:rsid w:val="006B72C2"/>
    <w:rsid w:val="006C121B"/>
    <w:rsid w:val="006C1421"/>
    <w:rsid w:val="006C2C59"/>
    <w:rsid w:val="006C336E"/>
    <w:rsid w:val="006C3711"/>
    <w:rsid w:val="006C525D"/>
    <w:rsid w:val="006C7EFD"/>
    <w:rsid w:val="006D1605"/>
    <w:rsid w:val="006D4A4F"/>
    <w:rsid w:val="006D58CC"/>
    <w:rsid w:val="006D7520"/>
    <w:rsid w:val="006E2145"/>
    <w:rsid w:val="006E28C8"/>
    <w:rsid w:val="006E2A8C"/>
    <w:rsid w:val="006E2FE8"/>
    <w:rsid w:val="006E4323"/>
    <w:rsid w:val="006E606B"/>
    <w:rsid w:val="006E7BF3"/>
    <w:rsid w:val="006F1222"/>
    <w:rsid w:val="006F12DB"/>
    <w:rsid w:val="006F153F"/>
    <w:rsid w:val="006F1CB3"/>
    <w:rsid w:val="006F1E4A"/>
    <w:rsid w:val="006F2882"/>
    <w:rsid w:val="006F41E6"/>
    <w:rsid w:val="006F57BA"/>
    <w:rsid w:val="006F5DDA"/>
    <w:rsid w:val="006F610C"/>
    <w:rsid w:val="006F7225"/>
    <w:rsid w:val="006F739F"/>
    <w:rsid w:val="006F7473"/>
    <w:rsid w:val="006F762D"/>
    <w:rsid w:val="00700A53"/>
    <w:rsid w:val="00706647"/>
    <w:rsid w:val="0071337E"/>
    <w:rsid w:val="007149AC"/>
    <w:rsid w:val="00715950"/>
    <w:rsid w:val="00715D87"/>
    <w:rsid w:val="0071654D"/>
    <w:rsid w:val="00720EBD"/>
    <w:rsid w:val="0072160A"/>
    <w:rsid w:val="00721768"/>
    <w:rsid w:val="007247BE"/>
    <w:rsid w:val="00724C15"/>
    <w:rsid w:val="00724E9C"/>
    <w:rsid w:val="00725CB1"/>
    <w:rsid w:val="00727015"/>
    <w:rsid w:val="007273FA"/>
    <w:rsid w:val="00727B11"/>
    <w:rsid w:val="00727BB3"/>
    <w:rsid w:val="00731020"/>
    <w:rsid w:val="00731F72"/>
    <w:rsid w:val="007347C9"/>
    <w:rsid w:val="007352A3"/>
    <w:rsid w:val="007416A2"/>
    <w:rsid w:val="00747330"/>
    <w:rsid w:val="00747C6C"/>
    <w:rsid w:val="00751105"/>
    <w:rsid w:val="00754FBD"/>
    <w:rsid w:val="007550D1"/>
    <w:rsid w:val="007555D6"/>
    <w:rsid w:val="00756500"/>
    <w:rsid w:val="0076061C"/>
    <w:rsid w:val="00760780"/>
    <w:rsid w:val="00761745"/>
    <w:rsid w:val="00764FBC"/>
    <w:rsid w:val="00767185"/>
    <w:rsid w:val="0076718F"/>
    <w:rsid w:val="00772445"/>
    <w:rsid w:val="007727D4"/>
    <w:rsid w:val="007736AC"/>
    <w:rsid w:val="007748F5"/>
    <w:rsid w:val="00774B51"/>
    <w:rsid w:val="00776861"/>
    <w:rsid w:val="00777279"/>
    <w:rsid w:val="007777DF"/>
    <w:rsid w:val="00780695"/>
    <w:rsid w:val="0078122A"/>
    <w:rsid w:val="0078267A"/>
    <w:rsid w:val="0078526A"/>
    <w:rsid w:val="00786798"/>
    <w:rsid w:val="007869EA"/>
    <w:rsid w:val="00792A58"/>
    <w:rsid w:val="00796911"/>
    <w:rsid w:val="007A04D9"/>
    <w:rsid w:val="007A122C"/>
    <w:rsid w:val="007A1B7B"/>
    <w:rsid w:val="007A1D48"/>
    <w:rsid w:val="007A28CC"/>
    <w:rsid w:val="007A3FB0"/>
    <w:rsid w:val="007A601B"/>
    <w:rsid w:val="007B3450"/>
    <w:rsid w:val="007B4600"/>
    <w:rsid w:val="007B46B5"/>
    <w:rsid w:val="007B529F"/>
    <w:rsid w:val="007B55F2"/>
    <w:rsid w:val="007C3C2B"/>
    <w:rsid w:val="007C4E5B"/>
    <w:rsid w:val="007C671F"/>
    <w:rsid w:val="007C7D9B"/>
    <w:rsid w:val="007D0E4B"/>
    <w:rsid w:val="007D2016"/>
    <w:rsid w:val="007D3338"/>
    <w:rsid w:val="007D39F9"/>
    <w:rsid w:val="007D3B80"/>
    <w:rsid w:val="007D4327"/>
    <w:rsid w:val="007D597F"/>
    <w:rsid w:val="007E01F1"/>
    <w:rsid w:val="007E3ED7"/>
    <w:rsid w:val="007E41F7"/>
    <w:rsid w:val="007E6548"/>
    <w:rsid w:val="007E70BC"/>
    <w:rsid w:val="007F06A4"/>
    <w:rsid w:val="007F7B9D"/>
    <w:rsid w:val="007F7FAE"/>
    <w:rsid w:val="00800543"/>
    <w:rsid w:val="008011EE"/>
    <w:rsid w:val="008027B3"/>
    <w:rsid w:val="00802A58"/>
    <w:rsid w:val="0080347A"/>
    <w:rsid w:val="0080385F"/>
    <w:rsid w:val="008055FC"/>
    <w:rsid w:val="00805DE7"/>
    <w:rsid w:val="008119F1"/>
    <w:rsid w:val="00813062"/>
    <w:rsid w:val="0081316E"/>
    <w:rsid w:val="00813BF5"/>
    <w:rsid w:val="00814E5A"/>
    <w:rsid w:val="008169FA"/>
    <w:rsid w:val="00817F9D"/>
    <w:rsid w:val="00820BBC"/>
    <w:rsid w:val="00820ED0"/>
    <w:rsid w:val="008243C5"/>
    <w:rsid w:val="008251F0"/>
    <w:rsid w:val="00825692"/>
    <w:rsid w:val="00827A66"/>
    <w:rsid w:val="00830295"/>
    <w:rsid w:val="008308BD"/>
    <w:rsid w:val="00834B70"/>
    <w:rsid w:val="008355AE"/>
    <w:rsid w:val="00835F86"/>
    <w:rsid w:val="0083604A"/>
    <w:rsid w:val="008409CD"/>
    <w:rsid w:val="00841C15"/>
    <w:rsid w:val="00842AF5"/>
    <w:rsid w:val="00844ECD"/>
    <w:rsid w:val="00845E1C"/>
    <w:rsid w:val="00852C62"/>
    <w:rsid w:val="0085521A"/>
    <w:rsid w:val="0085541E"/>
    <w:rsid w:val="00861BEC"/>
    <w:rsid w:val="008638AC"/>
    <w:rsid w:val="00864CA2"/>
    <w:rsid w:val="00865956"/>
    <w:rsid w:val="00865D3C"/>
    <w:rsid w:val="008670C7"/>
    <w:rsid w:val="00867C7D"/>
    <w:rsid w:val="00873255"/>
    <w:rsid w:val="008738A6"/>
    <w:rsid w:val="00875210"/>
    <w:rsid w:val="008766D1"/>
    <w:rsid w:val="008778AD"/>
    <w:rsid w:val="0088187C"/>
    <w:rsid w:val="00881DED"/>
    <w:rsid w:val="00884F09"/>
    <w:rsid w:val="00890548"/>
    <w:rsid w:val="0089076B"/>
    <w:rsid w:val="0089136C"/>
    <w:rsid w:val="008927BA"/>
    <w:rsid w:val="00893CE9"/>
    <w:rsid w:val="00893E9E"/>
    <w:rsid w:val="00894239"/>
    <w:rsid w:val="00895D8E"/>
    <w:rsid w:val="008961E4"/>
    <w:rsid w:val="008A02A9"/>
    <w:rsid w:val="008A67DF"/>
    <w:rsid w:val="008A6A61"/>
    <w:rsid w:val="008A7DAB"/>
    <w:rsid w:val="008B239A"/>
    <w:rsid w:val="008B30C5"/>
    <w:rsid w:val="008B3321"/>
    <w:rsid w:val="008B3701"/>
    <w:rsid w:val="008B4D21"/>
    <w:rsid w:val="008B68E3"/>
    <w:rsid w:val="008B7AF4"/>
    <w:rsid w:val="008B7C62"/>
    <w:rsid w:val="008C16D2"/>
    <w:rsid w:val="008C43E9"/>
    <w:rsid w:val="008C56B1"/>
    <w:rsid w:val="008C6FEA"/>
    <w:rsid w:val="008C7591"/>
    <w:rsid w:val="008C7932"/>
    <w:rsid w:val="008D1319"/>
    <w:rsid w:val="008D2DE8"/>
    <w:rsid w:val="008D77C4"/>
    <w:rsid w:val="008E06B2"/>
    <w:rsid w:val="008E09E3"/>
    <w:rsid w:val="008E0B3E"/>
    <w:rsid w:val="008E2BD6"/>
    <w:rsid w:val="008E3596"/>
    <w:rsid w:val="008E41B4"/>
    <w:rsid w:val="008E66CE"/>
    <w:rsid w:val="008E6E91"/>
    <w:rsid w:val="008E7657"/>
    <w:rsid w:val="008E7D67"/>
    <w:rsid w:val="008F342B"/>
    <w:rsid w:val="008F3A9D"/>
    <w:rsid w:val="008F41DB"/>
    <w:rsid w:val="008F570A"/>
    <w:rsid w:val="0090585A"/>
    <w:rsid w:val="00910BD2"/>
    <w:rsid w:val="00911AD4"/>
    <w:rsid w:val="00912B20"/>
    <w:rsid w:val="00914814"/>
    <w:rsid w:val="00914C1A"/>
    <w:rsid w:val="009151BF"/>
    <w:rsid w:val="0091777A"/>
    <w:rsid w:val="00917FD2"/>
    <w:rsid w:val="0092170A"/>
    <w:rsid w:val="00921BCC"/>
    <w:rsid w:val="0092424A"/>
    <w:rsid w:val="009244BD"/>
    <w:rsid w:val="0093086D"/>
    <w:rsid w:val="00930B5E"/>
    <w:rsid w:val="00931BDC"/>
    <w:rsid w:val="00932630"/>
    <w:rsid w:val="00934872"/>
    <w:rsid w:val="00935BB9"/>
    <w:rsid w:val="0093673F"/>
    <w:rsid w:val="0094001A"/>
    <w:rsid w:val="0094004C"/>
    <w:rsid w:val="00940DDF"/>
    <w:rsid w:val="009416EC"/>
    <w:rsid w:val="0094179F"/>
    <w:rsid w:val="00941A5C"/>
    <w:rsid w:val="0094253B"/>
    <w:rsid w:val="009436D9"/>
    <w:rsid w:val="00944604"/>
    <w:rsid w:val="00945711"/>
    <w:rsid w:val="0094576E"/>
    <w:rsid w:val="00945C47"/>
    <w:rsid w:val="00945D51"/>
    <w:rsid w:val="00946A39"/>
    <w:rsid w:val="009514BF"/>
    <w:rsid w:val="0095366D"/>
    <w:rsid w:val="009607A4"/>
    <w:rsid w:val="00961003"/>
    <w:rsid w:val="00962348"/>
    <w:rsid w:val="00962774"/>
    <w:rsid w:val="00964008"/>
    <w:rsid w:val="00965C63"/>
    <w:rsid w:val="00971A09"/>
    <w:rsid w:val="00975309"/>
    <w:rsid w:val="0098363C"/>
    <w:rsid w:val="009839AF"/>
    <w:rsid w:val="00983AB0"/>
    <w:rsid w:val="00983F85"/>
    <w:rsid w:val="009867FE"/>
    <w:rsid w:val="00986BD7"/>
    <w:rsid w:val="00990126"/>
    <w:rsid w:val="009908CA"/>
    <w:rsid w:val="009949E9"/>
    <w:rsid w:val="009965F8"/>
    <w:rsid w:val="00996DE7"/>
    <w:rsid w:val="00997189"/>
    <w:rsid w:val="009978A2"/>
    <w:rsid w:val="009A049F"/>
    <w:rsid w:val="009A2E46"/>
    <w:rsid w:val="009A5B86"/>
    <w:rsid w:val="009B103E"/>
    <w:rsid w:val="009B4850"/>
    <w:rsid w:val="009B4DDB"/>
    <w:rsid w:val="009B6905"/>
    <w:rsid w:val="009B6FBE"/>
    <w:rsid w:val="009B7B1A"/>
    <w:rsid w:val="009C3071"/>
    <w:rsid w:val="009C310A"/>
    <w:rsid w:val="009C43D3"/>
    <w:rsid w:val="009C52DB"/>
    <w:rsid w:val="009C6479"/>
    <w:rsid w:val="009C683C"/>
    <w:rsid w:val="009D0DA0"/>
    <w:rsid w:val="009D1A9B"/>
    <w:rsid w:val="009D234B"/>
    <w:rsid w:val="009D23C6"/>
    <w:rsid w:val="009D7046"/>
    <w:rsid w:val="009E2BE1"/>
    <w:rsid w:val="009E2D09"/>
    <w:rsid w:val="009E2D20"/>
    <w:rsid w:val="009E5EFA"/>
    <w:rsid w:val="009E6B8A"/>
    <w:rsid w:val="009F309C"/>
    <w:rsid w:val="009F4484"/>
    <w:rsid w:val="009F54B9"/>
    <w:rsid w:val="009F5E85"/>
    <w:rsid w:val="009F6BFD"/>
    <w:rsid w:val="00A005D0"/>
    <w:rsid w:val="00A01EB4"/>
    <w:rsid w:val="00A01F41"/>
    <w:rsid w:val="00A0523F"/>
    <w:rsid w:val="00A06278"/>
    <w:rsid w:val="00A102D2"/>
    <w:rsid w:val="00A1426A"/>
    <w:rsid w:val="00A16EE8"/>
    <w:rsid w:val="00A1727E"/>
    <w:rsid w:val="00A21890"/>
    <w:rsid w:val="00A21DCD"/>
    <w:rsid w:val="00A220D2"/>
    <w:rsid w:val="00A256A2"/>
    <w:rsid w:val="00A260C4"/>
    <w:rsid w:val="00A26248"/>
    <w:rsid w:val="00A313C3"/>
    <w:rsid w:val="00A3213C"/>
    <w:rsid w:val="00A32862"/>
    <w:rsid w:val="00A361B1"/>
    <w:rsid w:val="00A3632C"/>
    <w:rsid w:val="00A37394"/>
    <w:rsid w:val="00A37E3A"/>
    <w:rsid w:val="00A41A8F"/>
    <w:rsid w:val="00A42D36"/>
    <w:rsid w:val="00A44F29"/>
    <w:rsid w:val="00A45070"/>
    <w:rsid w:val="00A455B5"/>
    <w:rsid w:val="00A469E7"/>
    <w:rsid w:val="00A47E51"/>
    <w:rsid w:val="00A51016"/>
    <w:rsid w:val="00A519B5"/>
    <w:rsid w:val="00A51B5F"/>
    <w:rsid w:val="00A51EF3"/>
    <w:rsid w:val="00A52633"/>
    <w:rsid w:val="00A57224"/>
    <w:rsid w:val="00A60336"/>
    <w:rsid w:val="00A6283C"/>
    <w:rsid w:val="00A65625"/>
    <w:rsid w:val="00A673BC"/>
    <w:rsid w:val="00A6795C"/>
    <w:rsid w:val="00A7071E"/>
    <w:rsid w:val="00A72126"/>
    <w:rsid w:val="00A73A21"/>
    <w:rsid w:val="00A74565"/>
    <w:rsid w:val="00A74BC8"/>
    <w:rsid w:val="00A75970"/>
    <w:rsid w:val="00A7671F"/>
    <w:rsid w:val="00A77559"/>
    <w:rsid w:val="00A80026"/>
    <w:rsid w:val="00A81A87"/>
    <w:rsid w:val="00A83124"/>
    <w:rsid w:val="00A84089"/>
    <w:rsid w:val="00A84E13"/>
    <w:rsid w:val="00A8537A"/>
    <w:rsid w:val="00A879BB"/>
    <w:rsid w:val="00A87F7B"/>
    <w:rsid w:val="00A91BA5"/>
    <w:rsid w:val="00A91EB7"/>
    <w:rsid w:val="00A9203C"/>
    <w:rsid w:val="00A92BAC"/>
    <w:rsid w:val="00A96C97"/>
    <w:rsid w:val="00AA0628"/>
    <w:rsid w:val="00AA6633"/>
    <w:rsid w:val="00AA781B"/>
    <w:rsid w:val="00AB0C59"/>
    <w:rsid w:val="00AB0F26"/>
    <w:rsid w:val="00AB33A4"/>
    <w:rsid w:val="00AB521E"/>
    <w:rsid w:val="00AB5833"/>
    <w:rsid w:val="00AB5851"/>
    <w:rsid w:val="00AB588A"/>
    <w:rsid w:val="00AB5A19"/>
    <w:rsid w:val="00AB5B76"/>
    <w:rsid w:val="00AB5BB0"/>
    <w:rsid w:val="00AB75E8"/>
    <w:rsid w:val="00AC04F1"/>
    <w:rsid w:val="00AC20C7"/>
    <w:rsid w:val="00AC44FD"/>
    <w:rsid w:val="00AD0BA4"/>
    <w:rsid w:val="00AD4291"/>
    <w:rsid w:val="00AD58E9"/>
    <w:rsid w:val="00AD757A"/>
    <w:rsid w:val="00AD7588"/>
    <w:rsid w:val="00AD76CD"/>
    <w:rsid w:val="00AD7E16"/>
    <w:rsid w:val="00AE0978"/>
    <w:rsid w:val="00AE0AFE"/>
    <w:rsid w:val="00AE1481"/>
    <w:rsid w:val="00AE297F"/>
    <w:rsid w:val="00AE2D7F"/>
    <w:rsid w:val="00AE3978"/>
    <w:rsid w:val="00AE420B"/>
    <w:rsid w:val="00AE47A5"/>
    <w:rsid w:val="00AE4994"/>
    <w:rsid w:val="00AE57E0"/>
    <w:rsid w:val="00AE5DB3"/>
    <w:rsid w:val="00AE5F63"/>
    <w:rsid w:val="00AF06B2"/>
    <w:rsid w:val="00AF0896"/>
    <w:rsid w:val="00AF3CC7"/>
    <w:rsid w:val="00AF68E2"/>
    <w:rsid w:val="00AF7EA1"/>
    <w:rsid w:val="00B01912"/>
    <w:rsid w:val="00B01ACC"/>
    <w:rsid w:val="00B01E8C"/>
    <w:rsid w:val="00B03B89"/>
    <w:rsid w:val="00B04EDF"/>
    <w:rsid w:val="00B05468"/>
    <w:rsid w:val="00B05617"/>
    <w:rsid w:val="00B0566F"/>
    <w:rsid w:val="00B05799"/>
    <w:rsid w:val="00B07603"/>
    <w:rsid w:val="00B10621"/>
    <w:rsid w:val="00B10E86"/>
    <w:rsid w:val="00B114BB"/>
    <w:rsid w:val="00B1413C"/>
    <w:rsid w:val="00B15223"/>
    <w:rsid w:val="00B15338"/>
    <w:rsid w:val="00B15486"/>
    <w:rsid w:val="00B1640F"/>
    <w:rsid w:val="00B17F69"/>
    <w:rsid w:val="00B2112A"/>
    <w:rsid w:val="00B21CFB"/>
    <w:rsid w:val="00B223C0"/>
    <w:rsid w:val="00B235A9"/>
    <w:rsid w:val="00B27CEA"/>
    <w:rsid w:val="00B30538"/>
    <w:rsid w:val="00B32186"/>
    <w:rsid w:val="00B349FC"/>
    <w:rsid w:val="00B42437"/>
    <w:rsid w:val="00B42792"/>
    <w:rsid w:val="00B42A3E"/>
    <w:rsid w:val="00B42FA3"/>
    <w:rsid w:val="00B4468E"/>
    <w:rsid w:val="00B44C3A"/>
    <w:rsid w:val="00B45393"/>
    <w:rsid w:val="00B51E3A"/>
    <w:rsid w:val="00B5484A"/>
    <w:rsid w:val="00B56550"/>
    <w:rsid w:val="00B567F0"/>
    <w:rsid w:val="00B57BD2"/>
    <w:rsid w:val="00B57C39"/>
    <w:rsid w:val="00B607C5"/>
    <w:rsid w:val="00B62A1C"/>
    <w:rsid w:val="00B633F5"/>
    <w:rsid w:val="00B6451B"/>
    <w:rsid w:val="00B663A9"/>
    <w:rsid w:val="00B67DEE"/>
    <w:rsid w:val="00B71CED"/>
    <w:rsid w:val="00B73B90"/>
    <w:rsid w:val="00B74B38"/>
    <w:rsid w:val="00B75D0B"/>
    <w:rsid w:val="00B76FA1"/>
    <w:rsid w:val="00B91CC8"/>
    <w:rsid w:val="00B9596F"/>
    <w:rsid w:val="00B968B9"/>
    <w:rsid w:val="00BA271F"/>
    <w:rsid w:val="00BA7795"/>
    <w:rsid w:val="00BA7FEE"/>
    <w:rsid w:val="00BB331A"/>
    <w:rsid w:val="00BB4331"/>
    <w:rsid w:val="00BB456D"/>
    <w:rsid w:val="00BB7BF8"/>
    <w:rsid w:val="00BC09B3"/>
    <w:rsid w:val="00BC1518"/>
    <w:rsid w:val="00BC22ED"/>
    <w:rsid w:val="00BC2AF2"/>
    <w:rsid w:val="00BC4186"/>
    <w:rsid w:val="00BC46C2"/>
    <w:rsid w:val="00BC4C13"/>
    <w:rsid w:val="00BC564E"/>
    <w:rsid w:val="00BD27A7"/>
    <w:rsid w:val="00BD3FB6"/>
    <w:rsid w:val="00BD4658"/>
    <w:rsid w:val="00BD4A85"/>
    <w:rsid w:val="00BD5D46"/>
    <w:rsid w:val="00BD7A3F"/>
    <w:rsid w:val="00BE1A45"/>
    <w:rsid w:val="00BE2B50"/>
    <w:rsid w:val="00BE3574"/>
    <w:rsid w:val="00BE3E2E"/>
    <w:rsid w:val="00BE705E"/>
    <w:rsid w:val="00BF0E79"/>
    <w:rsid w:val="00BF2031"/>
    <w:rsid w:val="00BF219B"/>
    <w:rsid w:val="00BF37DE"/>
    <w:rsid w:val="00BF3A55"/>
    <w:rsid w:val="00BF5810"/>
    <w:rsid w:val="00BF6FEF"/>
    <w:rsid w:val="00C00845"/>
    <w:rsid w:val="00C00F5D"/>
    <w:rsid w:val="00C01177"/>
    <w:rsid w:val="00C02243"/>
    <w:rsid w:val="00C027A7"/>
    <w:rsid w:val="00C02FAC"/>
    <w:rsid w:val="00C0354A"/>
    <w:rsid w:val="00C06078"/>
    <w:rsid w:val="00C06835"/>
    <w:rsid w:val="00C07627"/>
    <w:rsid w:val="00C07727"/>
    <w:rsid w:val="00C12765"/>
    <w:rsid w:val="00C142D3"/>
    <w:rsid w:val="00C2220A"/>
    <w:rsid w:val="00C22803"/>
    <w:rsid w:val="00C23963"/>
    <w:rsid w:val="00C24B5A"/>
    <w:rsid w:val="00C300C8"/>
    <w:rsid w:val="00C301BF"/>
    <w:rsid w:val="00C3070B"/>
    <w:rsid w:val="00C30E8F"/>
    <w:rsid w:val="00C32B71"/>
    <w:rsid w:val="00C333FE"/>
    <w:rsid w:val="00C33C17"/>
    <w:rsid w:val="00C346C3"/>
    <w:rsid w:val="00C35292"/>
    <w:rsid w:val="00C36681"/>
    <w:rsid w:val="00C367E9"/>
    <w:rsid w:val="00C40D1F"/>
    <w:rsid w:val="00C40D4B"/>
    <w:rsid w:val="00C44A9A"/>
    <w:rsid w:val="00C453FB"/>
    <w:rsid w:val="00C51367"/>
    <w:rsid w:val="00C51F9F"/>
    <w:rsid w:val="00C529BF"/>
    <w:rsid w:val="00C530AF"/>
    <w:rsid w:val="00C53A43"/>
    <w:rsid w:val="00C55726"/>
    <w:rsid w:val="00C565C4"/>
    <w:rsid w:val="00C56A6A"/>
    <w:rsid w:val="00C60240"/>
    <w:rsid w:val="00C61B11"/>
    <w:rsid w:val="00C638B0"/>
    <w:rsid w:val="00C66388"/>
    <w:rsid w:val="00C66BFA"/>
    <w:rsid w:val="00C67721"/>
    <w:rsid w:val="00C677AC"/>
    <w:rsid w:val="00C72506"/>
    <w:rsid w:val="00C734B0"/>
    <w:rsid w:val="00C74B7A"/>
    <w:rsid w:val="00C7587E"/>
    <w:rsid w:val="00C76979"/>
    <w:rsid w:val="00C80ED9"/>
    <w:rsid w:val="00C82676"/>
    <w:rsid w:val="00C860D9"/>
    <w:rsid w:val="00C909BE"/>
    <w:rsid w:val="00C909D4"/>
    <w:rsid w:val="00C90A9B"/>
    <w:rsid w:val="00C91275"/>
    <w:rsid w:val="00C929BB"/>
    <w:rsid w:val="00C94A0D"/>
    <w:rsid w:val="00C955C9"/>
    <w:rsid w:val="00C965AD"/>
    <w:rsid w:val="00C96C98"/>
    <w:rsid w:val="00CA1385"/>
    <w:rsid w:val="00CA1B47"/>
    <w:rsid w:val="00CA220A"/>
    <w:rsid w:val="00CA55CE"/>
    <w:rsid w:val="00CB01F6"/>
    <w:rsid w:val="00CB1C13"/>
    <w:rsid w:val="00CB362D"/>
    <w:rsid w:val="00CB3D12"/>
    <w:rsid w:val="00CB3DB2"/>
    <w:rsid w:val="00CB59FF"/>
    <w:rsid w:val="00CB7B94"/>
    <w:rsid w:val="00CC0C7D"/>
    <w:rsid w:val="00CC2776"/>
    <w:rsid w:val="00CC3174"/>
    <w:rsid w:val="00CC5D32"/>
    <w:rsid w:val="00CC64A6"/>
    <w:rsid w:val="00CC7BF9"/>
    <w:rsid w:val="00CD0B5D"/>
    <w:rsid w:val="00CD19F8"/>
    <w:rsid w:val="00CD285E"/>
    <w:rsid w:val="00CD2D61"/>
    <w:rsid w:val="00CD341A"/>
    <w:rsid w:val="00CD4D2C"/>
    <w:rsid w:val="00CD773F"/>
    <w:rsid w:val="00CE6F6A"/>
    <w:rsid w:val="00CE7573"/>
    <w:rsid w:val="00CF019C"/>
    <w:rsid w:val="00CF162E"/>
    <w:rsid w:val="00CF4147"/>
    <w:rsid w:val="00CF55B5"/>
    <w:rsid w:val="00CF65E6"/>
    <w:rsid w:val="00D02D5E"/>
    <w:rsid w:val="00D03497"/>
    <w:rsid w:val="00D04CD2"/>
    <w:rsid w:val="00D1095F"/>
    <w:rsid w:val="00D11186"/>
    <w:rsid w:val="00D11409"/>
    <w:rsid w:val="00D11571"/>
    <w:rsid w:val="00D1200D"/>
    <w:rsid w:val="00D12DD6"/>
    <w:rsid w:val="00D13BA2"/>
    <w:rsid w:val="00D141DE"/>
    <w:rsid w:val="00D14A95"/>
    <w:rsid w:val="00D14CF9"/>
    <w:rsid w:val="00D159C0"/>
    <w:rsid w:val="00D16597"/>
    <w:rsid w:val="00D16A38"/>
    <w:rsid w:val="00D21953"/>
    <w:rsid w:val="00D2224F"/>
    <w:rsid w:val="00D22359"/>
    <w:rsid w:val="00D22751"/>
    <w:rsid w:val="00D2349A"/>
    <w:rsid w:val="00D23FED"/>
    <w:rsid w:val="00D243B1"/>
    <w:rsid w:val="00D25584"/>
    <w:rsid w:val="00D26105"/>
    <w:rsid w:val="00D26881"/>
    <w:rsid w:val="00D27468"/>
    <w:rsid w:val="00D27BB6"/>
    <w:rsid w:val="00D27EE1"/>
    <w:rsid w:val="00D306D4"/>
    <w:rsid w:val="00D30A72"/>
    <w:rsid w:val="00D30DEE"/>
    <w:rsid w:val="00D322DB"/>
    <w:rsid w:val="00D3331C"/>
    <w:rsid w:val="00D33613"/>
    <w:rsid w:val="00D35788"/>
    <w:rsid w:val="00D376A9"/>
    <w:rsid w:val="00D40497"/>
    <w:rsid w:val="00D46988"/>
    <w:rsid w:val="00D50AB8"/>
    <w:rsid w:val="00D5189A"/>
    <w:rsid w:val="00D57F2E"/>
    <w:rsid w:val="00D61063"/>
    <w:rsid w:val="00D62861"/>
    <w:rsid w:val="00D635FE"/>
    <w:rsid w:val="00D647CF"/>
    <w:rsid w:val="00D673E4"/>
    <w:rsid w:val="00D7015C"/>
    <w:rsid w:val="00D72F85"/>
    <w:rsid w:val="00D7314F"/>
    <w:rsid w:val="00D73B35"/>
    <w:rsid w:val="00D749F2"/>
    <w:rsid w:val="00D74F06"/>
    <w:rsid w:val="00D76050"/>
    <w:rsid w:val="00D76CF6"/>
    <w:rsid w:val="00D81498"/>
    <w:rsid w:val="00D827C1"/>
    <w:rsid w:val="00D86EFB"/>
    <w:rsid w:val="00D87A52"/>
    <w:rsid w:val="00D932BB"/>
    <w:rsid w:val="00D939B1"/>
    <w:rsid w:val="00D96178"/>
    <w:rsid w:val="00D96D3C"/>
    <w:rsid w:val="00D9754E"/>
    <w:rsid w:val="00D97979"/>
    <w:rsid w:val="00D97D72"/>
    <w:rsid w:val="00DA0E4A"/>
    <w:rsid w:val="00DA1544"/>
    <w:rsid w:val="00DA301C"/>
    <w:rsid w:val="00DA336E"/>
    <w:rsid w:val="00DA4A2A"/>
    <w:rsid w:val="00DA5D91"/>
    <w:rsid w:val="00DA6BE4"/>
    <w:rsid w:val="00DA7128"/>
    <w:rsid w:val="00DA7B79"/>
    <w:rsid w:val="00DB129E"/>
    <w:rsid w:val="00DB2F39"/>
    <w:rsid w:val="00DB47AE"/>
    <w:rsid w:val="00DB4D1A"/>
    <w:rsid w:val="00DB54CB"/>
    <w:rsid w:val="00DB5CA7"/>
    <w:rsid w:val="00DB5FEA"/>
    <w:rsid w:val="00DB6AA3"/>
    <w:rsid w:val="00DC0FA1"/>
    <w:rsid w:val="00DC137F"/>
    <w:rsid w:val="00DC13BF"/>
    <w:rsid w:val="00DC195B"/>
    <w:rsid w:val="00DC1F46"/>
    <w:rsid w:val="00DC234D"/>
    <w:rsid w:val="00DC3FB9"/>
    <w:rsid w:val="00DC45D6"/>
    <w:rsid w:val="00DC4920"/>
    <w:rsid w:val="00DC4FD2"/>
    <w:rsid w:val="00DC5507"/>
    <w:rsid w:val="00DC77F4"/>
    <w:rsid w:val="00DD12D8"/>
    <w:rsid w:val="00DD3551"/>
    <w:rsid w:val="00DD3DAA"/>
    <w:rsid w:val="00DD648B"/>
    <w:rsid w:val="00DD7054"/>
    <w:rsid w:val="00DD70CC"/>
    <w:rsid w:val="00DE3608"/>
    <w:rsid w:val="00DE4149"/>
    <w:rsid w:val="00DE4C38"/>
    <w:rsid w:val="00DE526C"/>
    <w:rsid w:val="00DE6D5E"/>
    <w:rsid w:val="00DE73E5"/>
    <w:rsid w:val="00DF0731"/>
    <w:rsid w:val="00DF2069"/>
    <w:rsid w:val="00DF28CC"/>
    <w:rsid w:val="00DF2CF0"/>
    <w:rsid w:val="00DF5C91"/>
    <w:rsid w:val="00DF6554"/>
    <w:rsid w:val="00E004C8"/>
    <w:rsid w:val="00E037BE"/>
    <w:rsid w:val="00E04A29"/>
    <w:rsid w:val="00E100CA"/>
    <w:rsid w:val="00E12947"/>
    <w:rsid w:val="00E14A96"/>
    <w:rsid w:val="00E14AAC"/>
    <w:rsid w:val="00E16248"/>
    <w:rsid w:val="00E16AED"/>
    <w:rsid w:val="00E17761"/>
    <w:rsid w:val="00E17C64"/>
    <w:rsid w:val="00E17FAB"/>
    <w:rsid w:val="00E2170B"/>
    <w:rsid w:val="00E23CEF"/>
    <w:rsid w:val="00E24997"/>
    <w:rsid w:val="00E2587E"/>
    <w:rsid w:val="00E333FE"/>
    <w:rsid w:val="00E34CE3"/>
    <w:rsid w:val="00E40079"/>
    <w:rsid w:val="00E437CC"/>
    <w:rsid w:val="00E4626E"/>
    <w:rsid w:val="00E47CEA"/>
    <w:rsid w:val="00E47D92"/>
    <w:rsid w:val="00E500AC"/>
    <w:rsid w:val="00E50222"/>
    <w:rsid w:val="00E51FAB"/>
    <w:rsid w:val="00E52C62"/>
    <w:rsid w:val="00E56D62"/>
    <w:rsid w:val="00E61E22"/>
    <w:rsid w:val="00E63468"/>
    <w:rsid w:val="00E63537"/>
    <w:rsid w:val="00E64A61"/>
    <w:rsid w:val="00E66F40"/>
    <w:rsid w:val="00E66F60"/>
    <w:rsid w:val="00E73110"/>
    <w:rsid w:val="00E737E3"/>
    <w:rsid w:val="00E74C6D"/>
    <w:rsid w:val="00E810AB"/>
    <w:rsid w:val="00E81DE8"/>
    <w:rsid w:val="00E82634"/>
    <w:rsid w:val="00E829C6"/>
    <w:rsid w:val="00E855F8"/>
    <w:rsid w:val="00E909D6"/>
    <w:rsid w:val="00E93C41"/>
    <w:rsid w:val="00E94C73"/>
    <w:rsid w:val="00E95CEE"/>
    <w:rsid w:val="00EA0706"/>
    <w:rsid w:val="00EA2597"/>
    <w:rsid w:val="00EA28D3"/>
    <w:rsid w:val="00EA4761"/>
    <w:rsid w:val="00EA5022"/>
    <w:rsid w:val="00EA5D75"/>
    <w:rsid w:val="00EA6339"/>
    <w:rsid w:val="00EA712C"/>
    <w:rsid w:val="00EA7986"/>
    <w:rsid w:val="00EB147B"/>
    <w:rsid w:val="00EB2039"/>
    <w:rsid w:val="00EB2FC2"/>
    <w:rsid w:val="00EB4B58"/>
    <w:rsid w:val="00EC113F"/>
    <w:rsid w:val="00EC1594"/>
    <w:rsid w:val="00EC1827"/>
    <w:rsid w:val="00EC76A7"/>
    <w:rsid w:val="00ED0C47"/>
    <w:rsid w:val="00ED1E74"/>
    <w:rsid w:val="00ED239D"/>
    <w:rsid w:val="00ED529E"/>
    <w:rsid w:val="00ED57D3"/>
    <w:rsid w:val="00ED63CD"/>
    <w:rsid w:val="00ED78E5"/>
    <w:rsid w:val="00EE25B2"/>
    <w:rsid w:val="00EE28D3"/>
    <w:rsid w:val="00EE5B60"/>
    <w:rsid w:val="00EE6A2D"/>
    <w:rsid w:val="00EE7184"/>
    <w:rsid w:val="00EE76E5"/>
    <w:rsid w:val="00EF07F6"/>
    <w:rsid w:val="00EF1F2C"/>
    <w:rsid w:val="00EF2AEF"/>
    <w:rsid w:val="00EF673A"/>
    <w:rsid w:val="00F00D1F"/>
    <w:rsid w:val="00F03A99"/>
    <w:rsid w:val="00F06220"/>
    <w:rsid w:val="00F11526"/>
    <w:rsid w:val="00F11972"/>
    <w:rsid w:val="00F1734C"/>
    <w:rsid w:val="00F211A6"/>
    <w:rsid w:val="00F2137D"/>
    <w:rsid w:val="00F24343"/>
    <w:rsid w:val="00F31600"/>
    <w:rsid w:val="00F323C0"/>
    <w:rsid w:val="00F342F7"/>
    <w:rsid w:val="00F344BE"/>
    <w:rsid w:val="00F346B9"/>
    <w:rsid w:val="00F34D1D"/>
    <w:rsid w:val="00F365CF"/>
    <w:rsid w:val="00F37994"/>
    <w:rsid w:val="00F419FA"/>
    <w:rsid w:val="00F41E7A"/>
    <w:rsid w:val="00F424B7"/>
    <w:rsid w:val="00F429E2"/>
    <w:rsid w:val="00F43087"/>
    <w:rsid w:val="00F4449C"/>
    <w:rsid w:val="00F44E2F"/>
    <w:rsid w:val="00F45996"/>
    <w:rsid w:val="00F45C1D"/>
    <w:rsid w:val="00F54D63"/>
    <w:rsid w:val="00F55F37"/>
    <w:rsid w:val="00F619E0"/>
    <w:rsid w:val="00F63256"/>
    <w:rsid w:val="00F65062"/>
    <w:rsid w:val="00F66DA1"/>
    <w:rsid w:val="00F74082"/>
    <w:rsid w:val="00F80D5A"/>
    <w:rsid w:val="00F840E4"/>
    <w:rsid w:val="00F84731"/>
    <w:rsid w:val="00F8602C"/>
    <w:rsid w:val="00F872A0"/>
    <w:rsid w:val="00F87B11"/>
    <w:rsid w:val="00F913F2"/>
    <w:rsid w:val="00F91A4A"/>
    <w:rsid w:val="00F93232"/>
    <w:rsid w:val="00F938E1"/>
    <w:rsid w:val="00F94E90"/>
    <w:rsid w:val="00F96A98"/>
    <w:rsid w:val="00F976DC"/>
    <w:rsid w:val="00FA197C"/>
    <w:rsid w:val="00FA44F1"/>
    <w:rsid w:val="00FA5AC0"/>
    <w:rsid w:val="00FA7CFB"/>
    <w:rsid w:val="00FB22DB"/>
    <w:rsid w:val="00FB22EF"/>
    <w:rsid w:val="00FB2512"/>
    <w:rsid w:val="00FB2A75"/>
    <w:rsid w:val="00FB2FB1"/>
    <w:rsid w:val="00FB3045"/>
    <w:rsid w:val="00FB6616"/>
    <w:rsid w:val="00FB6D12"/>
    <w:rsid w:val="00FB7289"/>
    <w:rsid w:val="00FC1DA7"/>
    <w:rsid w:val="00FC22A6"/>
    <w:rsid w:val="00FC3442"/>
    <w:rsid w:val="00FC37F4"/>
    <w:rsid w:val="00FC7E6D"/>
    <w:rsid w:val="00FD11A2"/>
    <w:rsid w:val="00FD1D9A"/>
    <w:rsid w:val="00FD2BFC"/>
    <w:rsid w:val="00FD2D4B"/>
    <w:rsid w:val="00FD441D"/>
    <w:rsid w:val="00FD5E8F"/>
    <w:rsid w:val="00FD643B"/>
    <w:rsid w:val="00FD6EDF"/>
    <w:rsid w:val="00FD7F21"/>
    <w:rsid w:val="00FE2B58"/>
    <w:rsid w:val="00FE356B"/>
    <w:rsid w:val="00FE44EC"/>
    <w:rsid w:val="00FF0012"/>
    <w:rsid w:val="00FF17B2"/>
    <w:rsid w:val="00FF1E4B"/>
    <w:rsid w:val="00FF4A09"/>
    <w:rsid w:val="00FF5E89"/>
    <w:rsid w:val="00FF6EFA"/>
    <w:rsid w:val="00FF7757"/>
    <w:rsid w:val="00FF79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860AF"/>
  <w15:docId w15:val="{F447FA55-BF29-4499-BC2E-5FFF0432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C6D"/>
    <w:pPr>
      <w:numPr>
        <w:ilvl w:val="1"/>
        <w:numId w:val="4"/>
      </w:numPr>
      <w:contextualSpacing/>
    </w:pPr>
  </w:style>
  <w:style w:type="character" w:customStyle="1" w:styleId="Heading1Char">
    <w:name w:val="Heading 1 Char"/>
    <w:basedOn w:val="DefaultParagraphFont"/>
    <w:link w:val="Heading1"/>
    <w:uiPriority w:val="9"/>
    <w:rsid w:val="00E74C6D"/>
    <w:rPr>
      <w:rFonts w:asciiTheme="majorHAnsi" w:eastAsiaTheme="majorEastAsia" w:hAnsiTheme="majorHAnsi" w:cstheme="majorBidi"/>
      <w:b/>
      <w:bCs/>
      <w:color w:val="365F91" w:themeColor="accent1" w:themeShade="BF"/>
      <w:sz w:val="28"/>
      <w:szCs w:val="28"/>
    </w:rPr>
  </w:style>
  <w:style w:type="paragraph" w:customStyle="1" w:styleId="Judgementsubpara">
    <w:name w:val="Judgement sub para"/>
    <w:basedOn w:val="Judgment"/>
    <w:next w:val="Judgment"/>
    <w:link w:val="JudgementsubparaChar"/>
    <w:qFormat/>
    <w:rsid w:val="003153B0"/>
    <w:pPr>
      <w:ind w:right="851"/>
    </w:pPr>
  </w:style>
  <w:style w:type="paragraph" w:customStyle="1" w:styleId="Judgmentsubpara">
    <w:name w:val="Judgment sub para"/>
    <w:basedOn w:val="Myown"/>
    <w:link w:val="JudgmentsubparaChar"/>
    <w:rsid w:val="00B04EDF"/>
    <w:pPr>
      <w:numPr>
        <w:numId w:val="31"/>
      </w:numPr>
      <w:spacing w:before="360" w:after="360"/>
    </w:pPr>
  </w:style>
  <w:style w:type="character" w:customStyle="1" w:styleId="ListParagraphChar">
    <w:name w:val="List Paragraph Char"/>
    <w:basedOn w:val="DefaultParagraphFont"/>
    <w:link w:val="ListParagraph"/>
    <w:uiPriority w:val="34"/>
    <w:rsid w:val="00E74C6D"/>
  </w:style>
  <w:style w:type="character" w:customStyle="1" w:styleId="JudgementsubparaChar">
    <w:name w:val="Judgement sub para Char"/>
    <w:basedOn w:val="ListParagraphChar"/>
    <w:link w:val="Judgementsubpara"/>
    <w:rsid w:val="003153B0"/>
    <w:rPr>
      <w:rFonts w:ascii="Arial" w:eastAsia="Times New Roman" w:hAnsi="Arial" w:cs="Times New Roman"/>
      <w:sz w:val="24"/>
      <w:szCs w:val="24"/>
    </w:rPr>
  </w:style>
  <w:style w:type="paragraph" w:customStyle="1" w:styleId="TN3">
    <w:name w:val="TN3"/>
    <w:basedOn w:val="ListParagraph"/>
    <w:link w:val="TN3Char"/>
    <w:qFormat/>
    <w:rsid w:val="00B04EDF"/>
    <w:pPr>
      <w:numPr>
        <w:ilvl w:val="2"/>
      </w:numPr>
      <w:spacing w:before="360" w:after="360" w:line="480" w:lineRule="auto"/>
      <w:ind w:left="2722" w:hanging="1134"/>
      <w:contextualSpacing w:val="0"/>
      <w:jc w:val="both"/>
    </w:pPr>
    <w:rPr>
      <w:rFonts w:ascii="Arial" w:hAnsi="Arial"/>
      <w:sz w:val="24"/>
    </w:rPr>
  </w:style>
  <w:style w:type="character" w:customStyle="1" w:styleId="JudgmentsubparaChar">
    <w:name w:val="Judgment sub para Char"/>
    <w:basedOn w:val="ListParagraphChar"/>
    <w:link w:val="Judgmentsubpara"/>
    <w:rsid w:val="00CF019C"/>
    <w:rPr>
      <w:rFonts w:ascii="Arial" w:eastAsia="Times New Roman" w:hAnsi="Arial" w:cs="Times New Roman"/>
      <w:sz w:val="24"/>
      <w:szCs w:val="24"/>
    </w:rPr>
  </w:style>
  <w:style w:type="paragraph" w:customStyle="1" w:styleId="TN4">
    <w:name w:val="TN4"/>
    <w:basedOn w:val="ListParagraph"/>
    <w:link w:val="TN4Char"/>
    <w:qFormat/>
    <w:rsid w:val="00B04EDF"/>
    <w:pPr>
      <w:numPr>
        <w:ilvl w:val="3"/>
      </w:numPr>
      <w:spacing w:before="360" w:after="360" w:line="480" w:lineRule="auto"/>
      <w:ind w:left="4139" w:hanging="1361"/>
      <w:contextualSpacing w:val="0"/>
      <w:jc w:val="both"/>
    </w:pPr>
    <w:rPr>
      <w:rFonts w:ascii="Arial" w:hAnsi="Arial"/>
      <w:sz w:val="24"/>
    </w:rPr>
  </w:style>
  <w:style w:type="character" w:customStyle="1" w:styleId="TN3Char">
    <w:name w:val="TN3 Char"/>
    <w:basedOn w:val="ListParagraphChar"/>
    <w:link w:val="TN3"/>
    <w:rsid w:val="00B04EDF"/>
    <w:rPr>
      <w:rFonts w:ascii="Arial" w:hAnsi="Arial"/>
      <w:sz w:val="24"/>
    </w:rPr>
  </w:style>
  <w:style w:type="paragraph" w:customStyle="1" w:styleId="TN5">
    <w:name w:val="TN5"/>
    <w:basedOn w:val="ListParagraph"/>
    <w:link w:val="TN5Char"/>
    <w:qFormat/>
    <w:rsid w:val="00934872"/>
    <w:pPr>
      <w:numPr>
        <w:ilvl w:val="4"/>
      </w:numPr>
      <w:spacing w:before="240" w:after="240" w:line="480" w:lineRule="auto"/>
      <w:ind w:left="5500" w:hanging="1361"/>
      <w:contextualSpacing w:val="0"/>
      <w:jc w:val="both"/>
    </w:pPr>
    <w:rPr>
      <w:rFonts w:ascii="Arial" w:hAnsi="Arial"/>
      <w:sz w:val="24"/>
    </w:rPr>
  </w:style>
  <w:style w:type="character" w:customStyle="1" w:styleId="TN4Char">
    <w:name w:val="TN4 Char"/>
    <w:basedOn w:val="ListParagraphChar"/>
    <w:link w:val="TN4"/>
    <w:rsid w:val="00B04EDF"/>
    <w:rPr>
      <w:rFonts w:ascii="Arial" w:hAnsi="Arial"/>
      <w:sz w:val="24"/>
    </w:rPr>
  </w:style>
  <w:style w:type="character" w:customStyle="1" w:styleId="TN5Char">
    <w:name w:val="TN5 Char"/>
    <w:basedOn w:val="ListParagraphChar"/>
    <w:link w:val="TN5"/>
    <w:rsid w:val="00934872"/>
    <w:rPr>
      <w:rFonts w:ascii="Arial" w:hAnsi="Arial"/>
      <w:sz w:val="24"/>
    </w:rPr>
  </w:style>
  <w:style w:type="paragraph" w:styleId="Title">
    <w:name w:val="Title"/>
    <w:basedOn w:val="Normal"/>
    <w:link w:val="TitleChar"/>
    <w:qFormat/>
    <w:rsid w:val="00A361B1"/>
    <w:pPr>
      <w:spacing w:after="0" w:line="240" w:lineRule="auto"/>
      <w:jc w:val="center"/>
    </w:pPr>
    <w:rPr>
      <w:rFonts w:ascii="Univers" w:eastAsia="Times New Roman" w:hAnsi="Univers" w:cs="Times New Roman"/>
      <w:b/>
      <w:bCs/>
      <w:sz w:val="28"/>
      <w:szCs w:val="24"/>
    </w:rPr>
  </w:style>
  <w:style w:type="character" w:customStyle="1" w:styleId="TitleChar">
    <w:name w:val="Title Char"/>
    <w:basedOn w:val="DefaultParagraphFont"/>
    <w:link w:val="Title"/>
    <w:rsid w:val="00A361B1"/>
    <w:rPr>
      <w:rFonts w:ascii="Univers" w:eastAsia="Times New Roman" w:hAnsi="Univers" w:cs="Times New Roman"/>
      <w:b/>
      <w:bCs/>
      <w:sz w:val="28"/>
      <w:szCs w:val="24"/>
    </w:rPr>
  </w:style>
  <w:style w:type="paragraph" w:customStyle="1" w:styleId="Myown">
    <w:name w:val="My own"/>
    <w:basedOn w:val="Normal"/>
    <w:link w:val="MyownChar"/>
    <w:rsid w:val="00A361B1"/>
    <w:pPr>
      <w:tabs>
        <w:tab w:val="num" w:pos="709"/>
      </w:tabs>
      <w:spacing w:before="240" w:after="240" w:line="480" w:lineRule="auto"/>
      <w:ind w:left="706" w:hanging="706"/>
      <w:jc w:val="both"/>
    </w:pPr>
    <w:rPr>
      <w:rFonts w:ascii="Arial" w:eastAsia="Times New Roman" w:hAnsi="Arial" w:cs="Times New Roman"/>
      <w:sz w:val="24"/>
      <w:szCs w:val="24"/>
    </w:rPr>
  </w:style>
  <w:style w:type="paragraph" w:styleId="Header">
    <w:name w:val="header"/>
    <w:basedOn w:val="Normal"/>
    <w:link w:val="HeaderChar"/>
    <w:rsid w:val="00A361B1"/>
    <w:pPr>
      <w:tabs>
        <w:tab w:val="center" w:pos="4320"/>
        <w:tab w:val="right" w:pos="8640"/>
      </w:tabs>
      <w:spacing w:before="240" w:after="240" w:line="48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A361B1"/>
    <w:rPr>
      <w:rFonts w:ascii="Arial" w:eastAsia="Times New Roman" w:hAnsi="Arial" w:cs="Times New Roman"/>
      <w:sz w:val="24"/>
      <w:szCs w:val="20"/>
    </w:rPr>
  </w:style>
  <w:style w:type="paragraph" w:styleId="Footer">
    <w:name w:val="footer"/>
    <w:basedOn w:val="Normal"/>
    <w:link w:val="FooterChar"/>
    <w:uiPriority w:val="99"/>
    <w:unhideWhenUsed/>
    <w:rsid w:val="00EF1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2C"/>
  </w:style>
  <w:style w:type="character" w:styleId="Hyperlink">
    <w:name w:val="Hyperlink"/>
    <w:basedOn w:val="DefaultParagraphFont"/>
    <w:uiPriority w:val="99"/>
    <w:unhideWhenUsed/>
    <w:rsid w:val="004A23AA"/>
    <w:rPr>
      <w:color w:val="0000FF" w:themeColor="hyperlink"/>
      <w:u w:val="single"/>
    </w:rPr>
  </w:style>
  <w:style w:type="paragraph" w:styleId="FootnoteText">
    <w:name w:val="footnote text"/>
    <w:basedOn w:val="Normal"/>
    <w:link w:val="FootnoteTextChar"/>
    <w:uiPriority w:val="99"/>
    <w:semiHidden/>
    <w:unhideWhenUsed/>
    <w:rsid w:val="00576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670"/>
    <w:rPr>
      <w:sz w:val="20"/>
      <w:szCs w:val="20"/>
    </w:rPr>
  </w:style>
  <w:style w:type="character" w:styleId="FootnoteReference">
    <w:name w:val="footnote reference"/>
    <w:basedOn w:val="DefaultParagraphFont"/>
    <w:uiPriority w:val="99"/>
    <w:semiHidden/>
    <w:unhideWhenUsed/>
    <w:rsid w:val="00576670"/>
    <w:rPr>
      <w:vertAlign w:val="superscript"/>
    </w:rPr>
  </w:style>
  <w:style w:type="character" w:customStyle="1" w:styleId="Heading2Char">
    <w:name w:val="Heading 2 Char"/>
    <w:basedOn w:val="DefaultParagraphFont"/>
    <w:link w:val="Heading2"/>
    <w:uiPriority w:val="9"/>
    <w:semiHidden/>
    <w:rsid w:val="00F938E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342F7"/>
    <w:pPr>
      <w:tabs>
        <w:tab w:val="left" w:pos="660"/>
        <w:tab w:val="right" w:leader="dot" w:pos="9016"/>
      </w:tabs>
      <w:spacing w:after="60"/>
    </w:pPr>
  </w:style>
  <w:style w:type="character" w:customStyle="1" w:styleId="Heading3Char">
    <w:name w:val="Heading 3 Char"/>
    <w:basedOn w:val="DefaultParagraphFont"/>
    <w:link w:val="Heading3"/>
    <w:uiPriority w:val="9"/>
    <w:rsid w:val="00F938E1"/>
    <w:rPr>
      <w:rFonts w:asciiTheme="majorHAnsi" w:eastAsiaTheme="majorEastAsia" w:hAnsiTheme="majorHAnsi" w:cstheme="majorBidi"/>
      <w:b/>
      <w:bCs/>
      <w:color w:val="4F81BD" w:themeColor="accent1"/>
    </w:rPr>
  </w:style>
  <w:style w:type="paragraph" w:customStyle="1" w:styleId="Judgment">
    <w:name w:val="Judgment"/>
    <w:basedOn w:val="Myown"/>
    <w:link w:val="JudgmentChar"/>
    <w:rsid w:val="00DC1F46"/>
    <w:pPr>
      <w:numPr>
        <w:numId w:val="30"/>
      </w:numPr>
    </w:pPr>
  </w:style>
  <w:style w:type="character" w:customStyle="1" w:styleId="MyownChar">
    <w:name w:val="My own Char"/>
    <w:basedOn w:val="DefaultParagraphFont"/>
    <w:link w:val="Myown"/>
    <w:rsid w:val="00F65062"/>
    <w:rPr>
      <w:rFonts w:ascii="Arial" w:eastAsia="Times New Roman" w:hAnsi="Arial" w:cs="Times New Roman"/>
      <w:sz w:val="24"/>
      <w:szCs w:val="24"/>
    </w:rPr>
  </w:style>
  <w:style w:type="character" w:customStyle="1" w:styleId="JudgmentChar">
    <w:name w:val="Judgment Char"/>
    <w:basedOn w:val="MyownChar"/>
    <w:link w:val="Judgment"/>
    <w:rsid w:val="00DC1F4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50222"/>
    <w:rPr>
      <w:sz w:val="16"/>
      <w:szCs w:val="16"/>
    </w:rPr>
  </w:style>
  <w:style w:type="paragraph" w:styleId="CommentText">
    <w:name w:val="annotation text"/>
    <w:basedOn w:val="Normal"/>
    <w:link w:val="CommentTextChar"/>
    <w:uiPriority w:val="99"/>
    <w:semiHidden/>
    <w:unhideWhenUsed/>
    <w:rsid w:val="00E50222"/>
    <w:pPr>
      <w:spacing w:line="240" w:lineRule="auto"/>
    </w:pPr>
    <w:rPr>
      <w:sz w:val="20"/>
      <w:szCs w:val="20"/>
    </w:rPr>
  </w:style>
  <w:style w:type="character" w:customStyle="1" w:styleId="CommentTextChar">
    <w:name w:val="Comment Text Char"/>
    <w:basedOn w:val="DefaultParagraphFont"/>
    <w:link w:val="CommentText"/>
    <w:uiPriority w:val="99"/>
    <w:semiHidden/>
    <w:rsid w:val="00E50222"/>
    <w:rPr>
      <w:sz w:val="20"/>
      <w:szCs w:val="20"/>
    </w:rPr>
  </w:style>
  <w:style w:type="paragraph" w:styleId="CommentSubject">
    <w:name w:val="annotation subject"/>
    <w:basedOn w:val="CommentText"/>
    <w:next w:val="CommentText"/>
    <w:link w:val="CommentSubjectChar"/>
    <w:uiPriority w:val="99"/>
    <w:semiHidden/>
    <w:unhideWhenUsed/>
    <w:rsid w:val="00E50222"/>
    <w:rPr>
      <w:b/>
      <w:bCs/>
    </w:rPr>
  </w:style>
  <w:style w:type="character" w:customStyle="1" w:styleId="CommentSubjectChar">
    <w:name w:val="Comment Subject Char"/>
    <w:basedOn w:val="CommentTextChar"/>
    <w:link w:val="CommentSubject"/>
    <w:uiPriority w:val="99"/>
    <w:semiHidden/>
    <w:rsid w:val="00E50222"/>
    <w:rPr>
      <w:b/>
      <w:bCs/>
      <w:sz w:val="20"/>
      <w:szCs w:val="20"/>
    </w:rPr>
  </w:style>
  <w:style w:type="paragraph" w:styleId="BalloonText">
    <w:name w:val="Balloon Text"/>
    <w:basedOn w:val="Normal"/>
    <w:link w:val="BalloonTextChar"/>
    <w:uiPriority w:val="99"/>
    <w:semiHidden/>
    <w:unhideWhenUsed/>
    <w:rsid w:val="00E5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22"/>
    <w:rPr>
      <w:rFonts w:ascii="Segoe UI" w:hAnsi="Segoe UI" w:cs="Segoe UI"/>
      <w:sz w:val="18"/>
      <w:szCs w:val="18"/>
    </w:rPr>
  </w:style>
  <w:style w:type="paragraph" w:styleId="Quote">
    <w:name w:val="Quote"/>
    <w:basedOn w:val="Judgementsubpara"/>
    <w:next w:val="Normal"/>
    <w:link w:val="QuoteChar"/>
    <w:uiPriority w:val="29"/>
    <w:qFormat/>
    <w:rsid w:val="006B0D1E"/>
    <w:pPr>
      <w:numPr>
        <w:numId w:val="0"/>
      </w:numPr>
      <w:spacing w:line="240" w:lineRule="auto"/>
      <w:ind w:left="1440"/>
    </w:pPr>
    <w:rPr>
      <w:i/>
      <w:iCs/>
    </w:rPr>
  </w:style>
  <w:style w:type="character" w:customStyle="1" w:styleId="QuoteChar">
    <w:name w:val="Quote Char"/>
    <w:basedOn w:val="DefaultParagraphFont"/>
    <w:link w:val="Quote"/>
    <w:uiPriority w:val="29"/>
    <w:rsid w:val="006B0D1E"/>
    <w:rPr>
      <w:rFonts w:ascii="Arial" w:eastAsia="Times New Roman" w:hAnsi="Arial" w:cs="Times New Roman"/>
      <w:i/>
      <w:iCs/>
      <w:sz w:val="24"/>
      <w:szCs w:val="24"/>
    </w:rPr>
  </w:style>
  <w:style w:type="character" w:customStyle="1" w:styleId="UnresolvedMention1">
    <w:name w:val="Unresolved Mention1"/>
    <w:basedOn w:val="DefaultParagraphFont"/>
    <w:uiPriority w:val="99"/>
    <w:semiHidden/>
    <w:unhideWhenUsed/>
    <w:rsid w:val="00022C91"/>
    <w:rPr>
      <w:color w:val="605E5C"/>
      <w:shd w:val="clear" w:color="auto" w:fill="E1DFDD"/>
    </w:rPr>
  </w:style>
  <w:style w:type="character" w:customStyle="1" w:styleId="st">
    <w:name w:val="st"/>
    <w:basedOn w:val="DefaultParagraphFont"/>
    <w:rsid w:val="00715950"/>
  </w:style>
  <w:style w:type="paragraph" w:styleId="Revision">
    <w:name w:val="Revision"/>
    <w:hidden/>
    <w:uiPriority w:val="99"/>
    <w:semiHidden/>
    <w:rsid w:val="00A80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62A2-7869-417A-B957-7826CA4D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Marelize Fourie</dc:creator>
  <cp:lastModifiedBy>Mokone</cp:lastModifiedBy>
  <cp:revision>3</cp:revision>
  <dcterms:created xsi:type="dcterms:W3CDTF">2022-03-07T13:13:00Z</dcterms:created>
  <dcterms:modified xsi:type="dcterms:W3CDTF">2022-03-08T07:12:00Z</dcterms:modified>
</cp:coreProperties>
</file>