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1C58C" w14:textId="77777777" w:rsidR="00F11FF9" w:rsidRPr="00F11FF9" w:rsidRDefault="00F11FF9" w:rsidP="00F11FF9">
      <w:pPr>
        <w:jc w:val="center"/>
        <w:rPr>
          <w:rFonts w:ascii="Arial" w:hAnsi="Arial" w:cs="Arial"/>
          <w:b/>
          <w:bCs/>
          <w:lang w:val="en-ZA"/>
        </w:rPr>
      </w:pPr>
      <w:bookmarkStart w:id="0" w:name="_GoBack"/>
      <w:bookmarkEnd w:id="0"/>
      <w:r w:rsidRPr="00F11FF9">
        <w:rPr>
          <w:rFonts w:ascii="Arial" w:hAnsi="Arial" w:cs="Arial"/>
          <w:b/>
          <w:bCs/>
          <w:noProof/>
          <w:lang w:val="en-ZA" w:eastAsia="en-ZA"/>
        </w:rPr>
        <w:drawing>
          <wp:inline distT="0" distB="0" distL="0" distR="0" wp14:anchorId="72992640" wp14:editId="785D4A1A">
            <wp:extent cx="1543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14:paraId="21845883" w14:textId="633475C4" w:rsidR="00F11FF9" w:rsidRPr="00F11FF9" w:rsidRDefault="00F11FF9" w:rsidP="00F11FF9">
      <w:pPr>
        <w:jc w:val="center"/>
        <w:rPr>
          <w:rFonts w:ascii="Arial" w:hAnsi="Arial" w:cs="Arial"/>
          <w:b/>
          <w:lang w:val="en-ZA"/>
        </w:rPr>
      </w:pPr>
      <w:r w:rsidRPr="00F11FF9">
        <w:rPr>
          <w:rFonts w:ascii="Arial" w:hAnsi="Arial" w:cs="Arial"/>
          <w:b/>
          <w:lang w:val="en-ZA"/>
        </w:rPr>
        <w:t>IN THE HIGH COURT OF SOUTH AFRICA,</w:t>
      </w:r>
    </w:p>
    <w:p w14:paraId="6D446C75" w14:textId="4C537944" w:rsidR="00F11FF9" w:rsidRPr="00F11FF9" w:rsidRDefault="00F11FF9" w:rsidP="00F11FF9">
      <w:pPr>
        <w:jc w:val="center"/>
        <w:rPr>
          <w:rFonts w:ascii="Arial" w:hAnsi="Arial" w:cs="Arial"/>
          <w:b/>
          <w:lang w:val="en-ZA"/>
        </w:rPr>
      </w:pPr>
      <w:r w:rsidRPr="00F11FF9">
        <w:rPr>
          <w:rFonts w:ascii="Arial" w:hAnsi="Arial" w:cs="Arial"/>
          <w:b/>
          <w:lang w:val="en-ZA"/>
        </w:rPr>
        <w:t xml:space="preserve">GAUTENG </w:t>
      </w:r>
      <w:r w:rsidR="00D47E3F">
        <w:rPr>
          <w:rFonts w:ascii="Arial" w:hAnsi="Arial" w:cs="Arial"/>
          <w:b/>
          <w:lang w:val="en-ZA"/>
        </w:rPr>
        <w:t xml:space="preserve">LOCAL </w:t>
      </w:r>
      <w:r w:rsidRPr="00F11FF9">
        <w:rPr>
          <w:rFonts w:ascii="Arial" w:hAnsi="Arial" w:cs="Arial"/>
          <w:b/>
          <w:lang w:val="en-ZA"/>
        </w:rPr>
        <w:t>DIVISION, JOHANNESBURG</w:t>
      </w:r>
    </w:p>
    <w:p w14:paraId="7501C0A8" w14:textId="77777777" w:rsidR="00F11FF9" w:rsidRPr="00F11FF9" w:rsidRDefault="00F11FF9" w:rsidP="00F11FF9">
      <w:pPr>
        <w:jc w:val="right"/>
        <w:rPr>
          <w:rFonts w:ascii="Arial" w:hAnsi="Arial" w:cs="Arial"/>
          <w:b/>
          <w:lang w:val="en-ZA"/>
        </w:rPr>
      </w:pPr>
    </w:p>
    <w:p w14:paraId="5F48EC7C" w14:textId="37774121" w:rsidR="00F11FF9" w:rsidRPr="00F11FF9" w:rsidRDefault="00F11FF9" w:rsidP="00D221C4">
      <w:pPr>
        <w:ind w:left="4320" w:firstLine="720"/>
        <w:jc w:val="center"/>
        <w:rPr>
          <w:rFonts w:ascii="Arial" w:hAnsi="Arial" w:cs="Arial"/>
          <w:b/>
          <w:lang w:val="en-ZA"/>
        </w:rPr>
      </w:pPr>
      <w:r w:rsidRPr="00F11FF9">
        <w:rPr>
          <w:rFonts w:ascii="Arial" w:hAnsi="Arial" w:cs="Arial"/>
          <w:b/>
          <w:lang w:val="en-ZA"/>
        </w:rPr>
        <w:t xml:space="preserve">CASE NO:   </w:t>
      </w:r>
      <w:r w:rsidR="00D47E3F">
        <w:rPr>
          <w:rFonts w:ascii="Arial" w:hAnsi="Arial" w:cs="Arial"/>
          <w:b/>
          <w:lang w:val="en-ZA"/>
        </w:rPr>
        <w:t>25524/2019</w:t>
      </w:r>
    </w:p>
    <w:p w14:paraId="0BA529D7" w14:textId="3360EB5B" w:rsidR="00F11FF9" w:rsidRPr="00F11FF9" w:rsidRDefault="00F11FF9" w:rsidP="00F11FF9">
      <w:pPr>
        <w:rPr>
          <w:rFonts w:ascii="Arial" w:hAnsi="Arial" w:cs="Arial"/>
          <w:b/>
          <w:lang w:val="en-ZA"/>
        </w:rPr>
      </w:pPr>
    </w:p>
    <w:p w14:paraId="5A42D9F2" w14:textId="2831CF50" w:rsidR="00F11FF9" w:rsidRPr="00F11FF9" w:rsidRDefault="00F11FF9" w:rsidP="00F11FF9">
      <w:pPr>
        <w:rPr>
          <w:rFonts w:ascii="Arial" w:hAnsi="Arial" w:cs="Arial"/>
          <w:lang w:val="en-ZA"/>
        </w:rPr>
      </w:pPr>
      <w:r w:rsidRPr="00F11FF9">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2DF0B42B" wp14:editId="19EAEDF5">
                <wp:simplePos x="0" y="0"/>
                <wp:positionH relativeFrom="margin">
                  <wp:align>left</wp:align>
                </wp:positionH>
                <wp:positionV relativeFrom="paragraph">
                  <wp:posOffset>18415</wp:posOffset>
                </wp:positionV>
                <wp:extent cx="3200400" cy="1247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47775"/>
                        </a:xfrm>
                        <a:prstGeom prst="rect">
                          <a:avLst/>
                        </a:prstGeom>
                        <a:solidFill>
                          <a:srgbClr val="FFFFFF"/>
                        </a:solidFill>
                        <a:ln w="9525">
                          <a:solidFill>
                            <a:srgbClr val="000000"/>
                          </a:solidFill>
                          <a:miter lim="800000"/>
                          <a:headEnd/>
                          <a:tailEnd/>
                        </a:ln>
                      </wps:spPr>
                      <wps:txbx>
                        <w:txbxContent>
                          <w:p w14:paraId="1F0014BF" w14:textId="77777777" w:rsidR="00F11FF9" w:rsidRPr="00913F95" w:rsidRDefault="00F11FF9" w:rsidP="00F11FF9">
                            <w:pPr>
                              <w:jc w:val="center"/>
                              <w:rPr>
                                <w:rFonts w:ascii="Century Gothic" w:hAnsi="Century Gothic"/>
                                <w:b/>
                                <w:sz w:val="20"/>
                                <w:szCs w:val="20"/>
                              </w:rPr>
                            </w:pPr>
                          </w:p>
                          <w:p w14:paraId="6128A3C0" w14:textId="77777777" w:rsidR="00F11FF9"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REPORTABLE: </w:t>
                            </w:r>
                            <w:r w:rsidRPr="00E55F79">
                              <w:rPr>
                                <w:rFonts w:ascii="Century Gothic" w:hAnsi="Century Gothic"/>
                                <w:sz w:val="20"/>
                                <w:szCs w:val="20"/>
                              </w:rPr>
                              <w:t xml:space="preserve">YES </w:t>
                            </w:r>
                            <w:r w:rsidRPr="00A10803">
                              <w:rPr>
                                <w:rFonts w:ascii="Century Gothic" w:hAnsi="Century Gothic"/>
                                <w:sz w:val="20"/>
                                <w:szCs w:val="20"/>
                              </w:rPr>
                              <w:t>/</w:t>
                            </w:r>
                            <w:r>
                              <w:rPr>
                                <w:rFonts w:ascii="Century Gothic" w:hAnsi="Century Gothic"/>
                                <w:sz w:val="20"/>
                                <w:szCs w:val="20"/>
                              </w:rPr>
                              <w:t xml:space="preserve"> </w:t>
                            </w:r>
                            <w:r w:rsidRPr="0098690D">
                              <w:rPr>
                                <w:rFonts w:ascii="Century Gothic" w:hAnsi="Century Gothic"/>
                                <w:sz w:val="20"/>
                                <w:szCs w:val="20"/>
                              </w:rPr>
                              <w:t>NO</w:t>
                            </w:r>
                          </w:p>
                          <w:p w14:paraId="6F1ED7B6" w14:textId="77777777" w:rsidR="00F11FF9" w:rsidRPr="00913F95"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OF INTEREST TO </w:t>
                            </w:r>
                            <w:r>
                              <w:rPr>
                                <w:rFonts w:ascii="Century Gothic" w:hAnsi="Century Gothic"/>
                                <w:sz w:val="20"/>
                                <w:szCs w:val="20"/>
                              </w:rPr>
                              <w:t xml:space="preserve">OTHER JUDGES: </w:t>
                            </w:r>
                            <w:r w:rsidRPr="00E55F79">
                              <w:rPr>
                                <w:rFonts w:ascii="Century Gothic" w:hAnsi="Century Gothic"/>
                                <w:sz w:val="20"/>
                                <w:szCs w:val="20"/>
                              </w:rPr>
                              <w:t>YES</w:t>
                            </w:r>
                            <w:r w:rsidRPr="00A10803">
                              <w:rPr>
                                <w:rFonts w:ascii="Century Gothic" w:hAnsi="Century Gothic"/>
                                <w:sz w:val="20"/>
                                <w:szCs w:val="20"/>
                              </w:rPr>
                              <w:t>/</w:t>
                            </w:r>
                            <w:r w:rsidRPr="0098690D">
                              <w:rPr>
                                <w:rFonts w:ascii="Century Gothic" w:hAnsi="Century Gothic"/>
                                <w:sz w:val="20"/>
                                <w:szCs w:val="20"/>
                              </w:rPr>
                              <w:t>NO</w:t>
                            </w:r>
                          </w:p>
                          <w:p w14:paraId="0D464E97" w14:textId="77777777" w:rsidR="00F11FF9" w:rsidRPr="00913F95" w:rsidRDefault="00F11FF9" w:rsidP="00F11FF9">
                            <w:pPr>
                              <w:numPr>
                                <w:ilvl w:val="0"/>
                                <w:numId w:val="8"/>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5D41B8DE" w14:textId="153D5E86" w:rsidR="00F11FF9" w:rsidRDefault="00F11FF9" w:rsidP="00F11FF9">
                            <w:pPr>
                              <w:rPr>
                                <w:rFonts w:ascii="Century Gothic" w:hAnsi="Century Gothic"/>
                                <w:b/>
                                <w:sz w:val="18"/>
                                <w:szCs w:val="18"/>
                              </w:rPr>
                            </w:pPr>
                          </w:p>
                          <w:p w14:paraId="40A39A05" w14:textId="5E0BDE74" w:rsidR="00873D8D" w:rsidRDefault="003B36FA" w:rsidP="00F11FF9">
                            <w:pPr>
                              <w:rPr>
                                <w:rFonts w:ascii="Century Gothic" w:hAnsi="Century Gothic"/>
                                <w:b/>
                                <w:sz w:val="18"/>
                                <w:szCs w:val="18"/>
                              </w:rPr>
                            </w:pPr>
                            <w:r>
                              <w:rPr>
                                <w:rFonts w:ascii="Century Gothic" w:hAnsi="Century Gothic"/>
                                <w:b/>
                                <w:sz w:val="18"/>
                                <w:szCs w:val="18"/>
                              </w:rPr>
                              <w:t xml:space="preserve">      </w:t>
                            </w:r>
                            <w:r w:rsidR="00873D8D">
                              <w:rPr>
                                <w:rFonts w:ascii="Century Gothic" w:hAnsi="Century Gothic"/>
                                <w:b/>
                                <w:sz w:val="18"/>
                                <w:szCs w:val="18"/>
                              </w:rPr>
                              <w:t xml:space="preserve"> </w:t>
                            </w:r>
                            <w:r>
                              <w:rPr>
                                <w:rFonts w:ascii="Century Gothic" w:hAnsi="Century Gothic"/>
                                <w:b/>
                                <w:sz w:val="18"/>
                                <w:szCs w:val="18"/>
                              </w:rPr>
                              <w:t xml:space="preserve"> </w:t>
                            </w:r>
                            <w:r w:rsidR="00D221C4">
                              <w:rPr>
                                <w:rFonts w:ascii="Century Gothic" w:hAnsi="Century Gothic"/>
                                <w:b/>
                                <w:sz w:val="18"/>
                                <w:szCs w:val="18"/>
                              </w:rPr>
                              <w:t>……………………</w:t>
                            </w:r>
                            <w:r>
                              <w:rPr>
                                <w:rFonts w:ascii="Century Gothic" w:hAnsi="Century Gothic"/>
                                <w:b/>
                                <w:sz w:val="18"/>
                                <w:szCs w:val="18"/>
                              </w:rPr>
                              <w:t xml:space="preserve">                      ……………………….</w:t>
                            </w:r>
                          </w:p>
                          <w:p w14:paraId="556BBE99" w14:textId="54A6AA5E" w:rsidR="00F11FF9" w:rsidRPr="00F11FF9" w:rsidRDefault="00F11FF9" w:rsidP="00F11FF9">
                            <w:pPr>
                              <w:rPr>
                                <w:rFonts w:ascii="Century Gothic" w:eastAsia="Times New Roman" w:hAnsi="Century Gothic" w:cs="Times New Roman"/>
                                <w:sz w:val="18"/>
                                <w:szCs w:val="18"/>
                                <w:lang w:val="en-ZA"/>
                              </w:rPr>
                            </w:pPr>
                            <w:r>
                              <w:rPr>
                                <w:rFonts w:ascii="Century Gothic" w:hAnsi="Century Gothic"/>
                                <w:b/>
                                <w:sz w:val="18"/>
                                <w:szCs w:val="18"/>
                              </w:rPr>
                              <w:t xml:space="preserve">        </w:t>
                            </w:r>
                            <w:r w:rsidRPr="00E55F79">
                              <w:rPr>
                                <w:rFonts w:ascii="Century Gothic" w:eastAsia="Times New Roman" w:hAnsi="Century Gothic" w:cs="Times New Roman"/>
                                <w:sz w:val="18"/>
                                <w:szCs w:val="18"/>
                                <w:lang w:val="en-ZA"/>
                              </w:rPr>
                              <w:t xml:space="preserve">         DATE</w:t>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0B42B" id="_x0000_t202" coordsize="21600,21600" o:spt="202" path="m,l,21600r21600,l21600,xe">
                <v:stroke joinstyle="miter"/>
                <v:path gradientshapeok="t" o:connecttype="rect"/>
              </v:shapetype>
              <v:shape id="Text Box 3" o:spid="_x0000_s1026" type="#_x0000_t202" style="position:absolute;margin-left:0;margin-top:1.45pt;width:252pt;height:9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">
                <v:textbox>
                  <w:txbxContent>
                    <w:p w14:paraId="1F0014BF" w14:textId="77777777" w:rsidR="00F11FF9" w:rsidRPr="00913F95" w:rsidRDefault="00F11FF9" w:rsidP="00F11FF9">
                      <w:pPr>
                        <w:jc w:val="center"/>
                        <w:rPr>
                          <w:rFonts w:ascii="Century Gothic" w:hAnsi="Century Gothic"/>
                          <w:b/>
                          <w:sz w:val="20"/>
                          <w:szCs w:val="20"/>
                        </w:rPr>
                      </w:pPr>
                    </w:p>
                    <w:p w14:paraId="6128A3C0" w14:textId="77777777" w:rsidR="00F11FF9"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REPORTABLE: </w:t>
                      </w:r>
                      <w:r w:rsidRPr="00E55F79">
                        <w:rPr>
                          <w:rFonts w:ascii="Century Gothic" w:hAnsi="Century Gothic"/>
                          <w:sz w:val="20"/>
                          <w:szCs w:val="20"/>
                        </w:rPr>
                        <w:t xml:space="preserve">YES </w:t>
                      </w:r>
                      <w:r w:rsidRPr="00A10803">
                        <w:rPr>
                          <w:rFonts w:ascii="Century Gothic" w:hAnsi="Century Gothic"/>
                          <w:sz w:val="20"/>
                          <w:szCs w:val="20"/>
                        </w:rPr>
                        <w:t>/</w:t>
                      </w:r>
                      <w:r>
                        <w:rPr>
                          <w:rFonts w:ascii="Century Gothic" w:hAnsi="Century Gothic"/>
                          <w:sz w:val="20"/>
                          <w:szCs w:val="20"/>
                        </w:rPr>
                        <w:t xml:space="preserve"> </w:t>
                      </w:r>
                      <w:r w:rsidRPr="0098690D">
                        <w:rPr>
                          <w:rFonts w:ascii="Century Gothic" w:hAnsi="Century Gothic"/>
                          <w:sz w:val="20"/>
                          <w:szCs w:val="20"/>
                        </w:rPr>
                        <w:t>NO</w:t>
                      </w:r>
                    </w:p>
                    <w:p w14:paraId="6F1ED7B6" w14:textId="77777777" w:rsidR="00F11FF9" w:rsidRPr="00913F95"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OF INTEREST TO </w:t>
                      </w:r>
                      <w:r>
                        <w:rPr>
                          <w:rFonts w:ascii="Century Gothic" w:hAnsi="Century Gothic"/>
                          <w:sz w:val="20"/>
                          <w:szCs w:val="20"/>
                        </w:rPr>
                        <w:t xml:space="preserve">OTHER JUDGES: </w:t>
                      </w:r>
                      <w:r w:rsidRPr="00E55F79">
                        <w:rPr>
                          <w:rFonts w:ascii="Century Gothic" w:hAnsi="Century Gothic"/>
                          <w:sz w:val="20"/>
                          <w:szCs w:val="20"/>
                        </w:rPr>
                        <w:t>YES</w:t>
                      </w:r>
                      <w:r w:rsidRPr="00A10803">
                        <w:rPr>
                          <w:rFonts w:ascii="Century Gothic" w:hAnsi="Century Gothic"/>
                          <w:sz w:val="20"/>
                          <w:szCs w:val="20"/>
                        </w:rPr>
                        <w:t>/</w:t>
                      </w:r>
                      <w:r w:rsidRPr="0098690D">
                        <w:rPr>
                          <w:rFonts w:ascii="Century Gothic" w:hAnsi="Century Gothic"/>
                          <w:sz w:val="20"/>
                          <w:szCs w:val="20"/>
                        </w:rPr>
                        <w:t>NO</w:t>
                      </w:r>
                    </w:p>
                    <w:p w14:paraId="0D464E97" w14:textId="77777777" w:rsidR="00F11FF9" w:rsidRPr="00913F95" w:rsidRDefault="00F11FF9" w:rsidP="00F11FF9">
                      <w:pPr>
                        <w:numPr>
                          <w:ilvl w:val="0"/>
                          <w:numId w:val="8"/>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5D41B8DE" w14:textId="153D5E86" w:rsidR="00F11FF9" w:rsidRDefault="00F11FF9" w:rsidP="00F11FF9">
                      <w:pPr>
                        <w:rPr>
                          <w:rFonts w:ascii="Century Gothic" w:hAnsi="Century Gothic"/>
                          <w:b/>
                          <w:sz w:val="18"/>
                          <w:szCs w:val="18"/>
                        </w:rPr>
                      </w:pPr>
                    </w:p>
                    <w:p w14:paraId="40A39A05" w14:textId="5E0BDE74" w:rsidR="00873D8D" w:rsidRDefault="003B36FA" w:rsidP="00F11FF9">
                      <w:pPr>
                        <w:rPr>
                          <w:rFonts w:ascii="Century Gothic" w:hAnsi="Century Gothic"/>
                          <w:b/>
                          <w:sz w:val="18"/>
                          <w:szCs w:val="18"/>
                        </w:rPr>
                      </w:pPr>
                      <w:r>
                        <w:rPr>
                          <w:rFonts w:ascii="Century Gothic" w:hAnsi="Century Gothic"/>
                          <w:b/>
                          <w:sz w:val="18"/>
                          <w:szCs w:val="18"/>
                        </w:rPr>
                        <w:t xml:space="preserve">      </w:t>
                      </w:r>
                      <w:r w:rsidR="00873D8D">
                        <w:rPr>
                          <w:rFonts w:ascii="Century Gothic" w:hAnsi="Century Gothic"/>
                          <w:b/>
                          <w:sz w:val="18"/>
                          <w:szCs w:val="18"/>
                        </w:rPr>
                        <w:t xml:space="preserve"> </w:t>
                      </w:r>
                      <w:r>
                        <w:rPr>
                          <w:rFonts w:ascii="Century Gothic" w:hAnsi="Century Gothic"/>
                          <w:b/>
                          <w:sz w:val="18"/>
                          <w:szCs w:val="18"/>
                        </w:rPr>
                        <w:t xml:space="preserve"> </w:t>
                      </w:r>
                      <w:r w:rsidR="00D221C4">
                        <w:rPr>
                          <w:rFonts w:ascii="Century Gothic" w:hAnsi="Century Gothic"/>
                          <w:b/>
                          <w:sz w:val="18"/>
                          <w:szCs w:val="18"/>
                        </w:rPr>
                        <w:t>……………………</w:t>
                      </w:r>
                      <w:r>
                        <w:rPr>
                          <w:rFonts w:ascii="Century Gothic" w:hAnsi="Century Gothic"/>
                          <w:b/>
                          <w:sz w:val="18"/>
                          <w:szCs w:val="18"/>
                        </w:rPr>
                        <w:t xml:space="preserve">                      ……………………….</w:t>
                      </w:r>
                    </w:p>
                    <w:p w14:paraId="556BBE99" w14:textId="54A6AA5E" w:rsidR="00F11FF9" w:rsidRPr="00F11FF9" w:rsidRDefault="00F11FF9" w:rsidP="00F11FF9">
                      <w:pPr>
                        <w:rPr>
                          <w:rFonts w:ascii="Century Gothic" w:eastAsia="Times New Roman" w:hAnsi="Century Gothic" w:cs="Times New Roman"/>
                          <w:sz w:val="18"/>
                          <w:szCs w:val="18"/>
                          <w:lang w:val="en-ZA"/>
                        </w:rPr>
                      </w:pPr>
                      <w:r>
                        <w:rPr>
                          <w:rFonts w:ascii="Century Gothic" w:hAnsi="Century Gothic"/>
                          <w:b/>
                          <w:sz w:val="18"/>
                          <w:szCs w:val="18"/>
                        </w:rPr>
                        <w:t xml:space="preserve">        </w:t>
                      </w:r>
                      <w:r w:rsidRPr="00E55F79">
                        <w:rPr>
                          <w:rFonts w:ascii="Century Gothic" w:eastAsia="Times New Roman" w:hAnsi="Century Gothic" w:cs="Times New Roman"/>
                          <w:sz w:val="18"/>
                          <w:szCs w:val="18"/>
                          <w:lang w:val="en-ZA"/>
                        </w:rPr>
                        <w:t xml:space="preserve">         DATE</w:t>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t xml:space="preserve">        SIGNATURE</w:t>
                      </w:r>
                    </w:p>
                  </w:txbxContent>
                </v:textbox>
                <w10:wrap anchorx="margin"/>
              </v:shape>
            </w:pict>
          </mc:Fallback>
        </mc:AlternateContent>
      </w:r>
    </w:p>
    <w:p w14:paraId="51B005A2" w14:textId="77777777" w:rsidR="00F11FF9" w:rsidRPr="00F11FF9" w:rsidRDefault="00F11FF9" w:rsidP="00F11FF9">
      <w:pPr>
        <w:rPr>
          <w:rFonts w:ascii="Arial" w:hAnsi="Arial" w:cs="Arial"/>
          <w:lang w:val="en-ZA"/>
        </w:rPr>
      </w:pPr>
    </w:p>
    <w:p w14:paraId="68D50731" w14:textId="77777777" w:rsidR="00F11FF9" w:rsidRPr="00F11FF9" w:rsidRDefault="00F11FF9" w:rsidP="00F11FF9">
      <w:pPr>
        <w:rPr>
          <w:rFonts w:ascii="Arial" w:hAnsi="Arial" w:cs="Arial"/>
          <w:lang w:val="en-ZA"/>
        </w:rPr>
      </w:pPr>
    </w:p>
    <w:p w14:paraId="4F81DFDB" w14:textId="77777777" w:rsidR="00F11FF9" w:rsidRPr="00F11FF9" w:rsidRDefault="00F11FF9" w:rsidP="00F11FF9">
      <w:pPr>
        <w:rPr>
          <w:rFonts w:ascii="Arial" w:hAnsi="Arial" w:cs="Arial"/>
          <w:lang w:val="en-ZA"/>
        </w:rPr>
      </w:pPr>
    </w:p>
    <w:p w14:paraId="4475B478" w14:textId="77777777" w:rsidR="00F11FF9" w:rsidRPr="00F11FF9" w:rsidRDefault="00F11FF9" w:rsidP="00F11FF9">
      <w:pPr>
        <w:rPr>
          <w:rFonts w:ascii="Arial" w:hAnsi="Arial" w:cs="Arial"/>
          <w:lang w:val="en-ZA"/>
        </w:rPr>
      </w:pPr>
    </w:p>
    <w:p w14:paraId="226BD868" w14:textId="1E59C442" w:rsidR="004B230B" w:rsidRPr="00652309" w:rsidRDefault="004B230B">
      <w:pPr>
        <w:rPr>
          <w:rFonts w:ascii="Arial" w:hAnsi="Arial" w:cs="Arial"/>
        </w:rPr>
      </w:pPr>
    </w:p>
    <w:p w14:paraId="76CBB0AB" w14:textId="2B00BEA5" w:rsidR="004B230B" w:rsidRPr="00652309" w:rsidRDefault="004B230B">
      <w:pPr>
        <w:rPr>
          <w:rFonts w:ascii="Arial" w:hAnsi="Arial" w:cs="Arial"/>
        </w:rPr>
      </w:pPr>
      <w:r w:rsidRPr="00652309">
        <w:rPr>
          <w:rFonts w:ascii="Arial" w:hAnsi="Arial" w:cs="Arial"/>
        </w:rPr>
        <w:t>In the matter between:</w:t>
      </w:r>
    </w:p>
    <w:p w14:paraId="5946BF6E" w14:textId="186704A6" w:rsidR="00B06767" w:rsidRDefault="00B06767" w:rsidP="00FB21C8">
      <w:pPr>
        <w:pStyle w:val="Heading1"/>
        <w:spacing w:before="600"/>
        <w:rPr>
          <w:rFonts w:eastAsiaTheme="minorHAnsi" w:cs="Arial"/>
          <w:b w:val="0"/>
          <w:caps w:val="0"/>
          <w:szCs w:val="24"/>
        </w:rPr>
      </w:pPr>
      <w:r>
        <w:rPr>
          <w:rFonts w:eastAsiaTheme="minorHAnsi" w:cs="Arial"/>
          <w:b w:val="0"/>
          <w:caps w:val="0"/>
          <w:szCs w:val="24"/>
        </w:rPr>
        <w:t>In the matter between</w:t>
      </w:r>
      <w:r w:rsidR="00BC06C0">
        <w:rPr>
          <w:rFonts w:eastAsiaTheme="minorHAnsi" w:cs="Arial"/>
          <w:b w:val="0"/>
          <w:caps w:val="0"/>
          <w:szCs w:val="24"/>
        </w:rPr>
        <w:t>:</w:t>
      </w:r>
    </w:p>
    <w:tbl>
      <w:tblPr>
        <w:tblW w:w="9072" w:type="dxa"/>
        <w:tblLook w:val="04A0" w:firstRow="1" w:lastRow="0" w:firstColumn="1" w:lastColumn="0" w:noHBand="0" w:noVBand="1"/>
      </w:tblPr>
      <w:tblGrid>
        <w:gridCol w:w="5954"/>
        <w:gridCol w:w="3118"/>
      </w:tblGrid>
      <w:tr w:rsidR="00BC06C0" w:rsidRPr="00BC06C0" w14:paraId="30FD0A01" w14:textId="77777777" w:rsidTr="00BE0442">
        <w:trPr>
          <w:trHeight w:val="284"/>
        </w:trPr>
        <w:tc>
          <w:tcPr>
            <w:tcW w:w="5954" w:type="dxa"/>
          </w:tcPr>
          <w:p w14:paraId="4D8FD847" w14:textId="77777777" w:rsidR="00BC06C0" w:rsidRPr="00BC06C0" w:rsidRDefault="00BC06C0" w:rsidP="00BC06C0">
            <w:pPr>
              <w:tabs>
                <w:tab w:val="left" w:pos="7088"/>
              </w:tabs>
              <w:suppressAutoHyphens/>
              <w:spacing w:line="360" w:lineRule="auto"/>
              <w:jc w:val="both"/>
              <w:rPr>
                <w:rFonts w:ascii="Arial" w:eastAsia="Times New Roman" w:hAnsi="Arial" w:cs="Arial"/>
                <w:color w:val="000000"/>
                <w:lang w:eastAsia="en-ZA"/>
              </w:rPr>
            </w:pPr>
          </w:p>
        </w:tc>
        <w:tc>
          <w:tcPr>
            <w:tcW w:w="3118" w:type="dxa"/>
          </w:tcPr>
          <w:p w14:paraId="2268FEA0"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p>
        </w:tc>
      </w:tr>
      <w:tr w:rsidR="00BC06C0" w:rsidRPr="00BC06C0" w14:paraId="437DFA3C" w14:textId="77777777" w:rsidTr="00BE0442">
        <w:trPr>
          <w:trHeight w:val="284"/>
        </w:trPr>
        <w:tc>
          <w:tcPr>
            <w:tcW w:w="5954" w:type="dxa"/>
          </w:tcPr>
          <w:p w14:paraId="7675A5F2" w14:textId="77777777" w:rsidR="00BC06C0" w:rsidRPr="00BC06C0" w:rsidRDefault="00BC06C0" w:rsidP="00BC06C0">
            <w:pPr>
              <w:tabs>
                <w:tab w:val="left" w:pos="7088"/>
              </w:tabs>
              <w:suppressAutoHyphens/>
              <w:spacing w:line="360" w:lineRule="auto"/>
              <w:jc w:val="both"/>
              <w:rPr>
                <w:rFonts w:ascii="Arial" w:eastAsia="Times New Roman" w:hAnsi="Arial" w:cs="Arial"/>
                <w:b/>
                <w:color w:val="000000"/>
                <w:lang w:eastAsia="en-ZA"/>
              </w:rPr>
            </w:pPr>
            <w:r w:rsidRPr="00BC06C0">
              <w:rPr>
                <w:rFonts w:ascii="Arial" w:eastAsia="Times New Roman" w:hAnsi="Arial" w:cs="Arial"/>
                <w:b/>
                <w:color w:val="000000"/>
                <w:lang w:eastAsia="en-ZA"/>
              </w:rPr>
              <w:t>MATLALA, MARY-ANNE PHUTI</w:t>
            </w:r>
          </w:p>
        </w:tc>
        <w:tc>
          <w:tcPr>
            <w:tcW w:w="3118" w:type="dxa"/>
          </w:tcPr>
          <w:p w14:paraId="1A6C3019"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r w:rsidRPr="00BC06C0">
              <w:rPr>
                <w:rFonts w:ascii="Arial" w:eastAsia="Times New Roman" w:hAnsi="Arial" w:cs="Arial"/>
                <w:color w:val="000000"/>
                <w:lang w:eastAsia="en-ZA"/>
              </w:rPr>
              <w:t>Applicant</w:t>
            </w:r>
          </w:p>
        </w:tc>
      </w:tr>
      <w:tr w:rsidR="00BC06C0" w:rsidRPr="00BC06C0" w14:paraId="02B26079" w14:textId="77777777" w:rsidTr="00BE0442">
        <w:trPr>
          <w:trHeight w:val="284"/>
        </w:trPr>
        <w:tc>
          <w:tcPr>
            <w:tcW w:w="5954" w:type="dxa"/>
          </w:tcPr>
          <w:p w14:paraId="52F5B0C1" w14:textId="77777777" w:rsidR="00BC06C0" w:rsidRPr="00BC06C0" w:rsidRDefault="00BC06C0" w:rsidP="00BC06C0">
            <w:pPr>
              <w:tabs>
                <w:tab w:val="left" w:pos="7088"/>
              </w:tabs>
              <w:suppressAutoHyphens/>
              <w:spacing w:line="360" w:lineRule="auto"/>
              <w:jc w:val="both"/>
              <w:rPr>
                <w:rFonts w:ascii="Arial" w:eastAsia="Times New Roman" w:hAnsi="Arial" w:cs="Arial"/>
                <w:color w:val="000000"/>
                <w:lang w:eastAsia="en-ZA"/>
              </w:rPr>
            </w:pPr>
          </w:p>
        </w:tc>
        <w:tc>
          <w:tcPr>
            <w:tcW w:w="3118" w:type="dxa"/>
          </w:tcPr>
          <w:p w14:paraId="368AB79A"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p>
        </w:tc>
      </w:tr>
      <w:tr w:rsidR="00BC06C0" w:rsidRPr="00BC06C0" w14:paraId="211AA006" w14:textId="77777777" w:rsidTr="00BE0442">
        <w:trPr>
          <w:trHeight w:val="284"/>
        </w:trPr>
        <w:tc>
          <w:tcPr>
            <w:tcW w:w="5954" w:type="dxa"/>
          </w:tcPr>
          <w:p w14:paraId="102BA70D" w14:textId="77777777" w:rsidR="00BC06C0" w:rsidRPr="00BC06C0" w:rsidRDefault="00BC06C0" w:rsidP="00BC06C0">
            <w:pPr>
              <w:tabs>
                <w:tab w:val="left" w:pos="7088"/>
              </w:tabs>
              <w:suppressAutoHyphens/>
              <w:spacing w:line="360" w:lineRule="auto"/>
              <w:jc w:val="both"/>
              <w:rPr>
                <w:rFonts w:ascii="Arial" w:eastAsia="Times New Roman" w:hAnsi="Arial" w:cs="Arial"/>
                <w:color w:val="000000"/>
                <w:lang w:eastAsia="en-ZA"/>
              </w:rPr>
            </w:pPr>
            <w:r w:rsidRPr="00BC06C0">
              <w:rPr>
                <w:rFonts w:ascii="Arial" w:eastAsia="Times New Roman" w:hAnsi="Arial" w:cs="Arial"/>
                <w:color w:val="000000"/>
                <w:lang w:eastAsia="en-ZA"/>
              </w:rPr>
              <w:t>and</w:t>
            </w:r>
          </w:p>
        </w:tc>
        <w:tc>
          <w:tcPr>
            <w:tcW w:w="3118" w:type="dxa"/>
          </w:tcPr>
          <w:p w14:paraId="75B44DD3"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p>
        </w:tc>
      </w:tr>
      <w:tr w:rsidR="00BC06C0" w:rsidRPr="00BC06C0" w14:paraId="175470FB" w14:textId="77777777" w:rsidTr="00BE0442">
        <w:trPr>
          <w:trHeight w:val="284"/>
        </w:trPr>
        <w:tc>
          <w:tcPr>
            <w:tcW w:w="5954" w:type="dxa"/>
          </w:tcPr>
          <w:p w14:paraId="1579D023" w14:textId="77777777" w:rsidR="00BC06C0" w:rsidRPr="00BC06C0" w:rsidRDefault="00BC06C0" w:rsidP="00BC06C0">
            <w:pPr>
              <w:tabs>
                <w:tab w:val="left" w:pos="7088"/>
              </w:tabs>
              <w:suppressAutoHyphens/>
              <w:spacing w:line="360" w:lineRule="auto"/>
              <w:jc w:val="both"/>
              <w:rPr>
                <w:rFonts w:ascii="Arial" w:eastAsia="Times New Roman" w:hAnsi="Arial" w:cs="Arial"/>
                <w:color w:val="000000"/>
                <w:lang w:eastAsia="en-ZA"/>
              </w:rPr>
            </w:pPr>
          </w:p>
        </w:tc>
        <w:tc>
          <w:tcPr>
            <w:tcW w:w="3118" w:type="dxa"/>
          </w:tcPr>
          <w:p w14:paraId="7D328CE7"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p>
        </w:tc>
      </w:tr>
      <w:tr w:rsidR="00BC06C0" w:rsidRPr="00BC06C0" w14:paraId="41B1075C" w14:textId="77777777" w:rsidTr="00BE0442">
        <w:trPr>
          <w:trHeight w:val="284"/>
        </w:trPr>
        <w:tc>
          <w:tcPr>
            <w:tcW w:w="5954" w:type="dxa"/>
          </w:tcPr>
          <w:p w14:paraId="1D7F18CA" w14:textId="77777777" w:rsidR="00BC06C0" w:rsidRPr="00BC06C0" w:rsidRDefault="00BC06C0" w:rsidP="00BC06C0">
            <w:pPr>
              <w:tabs>
                <w:tab w:val="left" w:pos="7088"/>
              </w:tabs>
              <w:suppressAutoHyphens/>
              <w:spacing w:line="360" w:lineRule="auto"/>
              <w:jc w:val="both"/>
              <w:rPr>
                <w:rFonts w:ascii="Arial" w:eastAsia="Times New Roman" w:hAnsi="Arial" w:cs="Arial"/>
                <w:b/>
                <w:color w:val="000000"/>
                <w:lang w:eastAsia="en-ZA"/>
              </w:rPr>
            </w:pPr>
            <w:r w:rsidRPr="00BC06C0">
              <w:rPr>
                <w:rFonts w:ascii="Arial" w:eastAsia="Times New Roman" w:hAnsi="Arial" w:cs="Arial"/>
                <w:b/>
                <w:color w:val="000000"/>
                <w:lang w:eastAsia="en-ZA"/>
              </w:rPr>
              <w:t>MMELA INVESTMENT HOLDINGS (PTY) LTD</w:t>
            </w:r>
          </w:p>
        </w:tc>
        <w:tc>
          <w:tcPr>
            <w:tcW w:w="3118" w:type="dxa"/>
          </w:tcPr>
          <w:p w14:paraId="2FE6BB6D"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r w:rsidRPr="00BC06C0">
              <w:rPr>
                <w:rFonts w:ascii="Arial" w:eastAsia="Times New Roman" w:hAnsi="Arial" w:cs="Arial"/>
                <w:color w:val="000000"/>
                <w:lang w:eastAsia="en-ZA"/>
              </w:rPr>
              <w:t>First respondent</w:t>
            </w:r>
          </w:p>
        </w:tc>
      </w:tr>
      <w:tr w:rsidR="00BC06C0" w:rsidRPr="00BC06C0" w14:paraId="5CE9D556" w14:textId="77777777" w:rsidTr="00BE0442">
        <w:trPr>
          <w:trHeight w:val="284"/>
        </w:trPr>
        <w:tc>
          <w:tcPr>
            <w:tcW w:w="5954" w:type="dxa"/>
          </w:tcPr>
          <w:p w14:paraId="3F742831" w14:textId="77777777" w:rsidR="00BC06C0" w:rsidRPr="00BC06C0" w:rsidRDefault="00BC06C0" w:rsidP="00BC06C0">
            <w:pPr>
              <w:tabs>
                <w:tab w:val="left" w:pos="7088"/>
              </w:tabs>
              <w:suppressAutoHyphens/>
              <w:spacing w:line="360" w:lineRule="auto"/>
              <w:jc w:val="both"/>
              <w:rPr>
                <w:rFonts w:ascii="Arial" w:eastAsia="Times New Roman" w:hAnsi="Arial" w:cs="Arial"/>
                <w:b/>
                <w:color w:val="000000"/>
                <w:lang w:eastAsia="en-ZA"/>
              </w:rPr>
            </w:pPr>
          </w:p>
        </w:tc>
        <w:tc>
          <w:tcPr>
            <w:tcW w:w="3118" w:type="dxa"/>
          </w:tcPr>
          <w:p w14:paraId="6636BC7C"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p>
        </w:tc>
      </w:tr>
      <w:tr w:rsidR="00BC06C0" w:rsidRPr="00BC06C0" w14:paraId="7A12D19B" w14:textId="77777777" w:rsidTr="00BE0442">
        <w:trPr>
          <w:trHeight w:val="284"/>
        </w:trPr>
        <w:tc>
          <w:tcPr>
            <w:tcW w:w="5954" w:type="dxa"/>
          </w:tcPr>
          <w:p w14:paraId="11AA1A7D" w14:textId="111A96B9" w:rsidR="00BC06C0" w:rsidRPr="00BC06C0" w:rsidRDefault="003818CD" w:rsidP="00BC06C0">
            <w:pPr>
              <w:tabs>
                <w:tab w:val="left" w:pos="7088"/>
              </w:tabs>
              <w:suppressAutoHyphens/>
              <w:spacing w:line="360" w:lineRule="auto"/>
              <w:jc w:val="both"/>
              <w:rPr>
                <w:rFonts w:ascii="Arial" w:eastAsia="Times New Roman" w:hAnsi="Arial" w:cs="Arial"/>
                <w:b/>
                <w:color w:val="000000"/>
                <w:lang w:eastAsia="en-ZA"/>
              </w:rPr>
            </w:pPr>
            <w:r>
              <w:rPr>
                <w:rFonts w:ascii="Arial" w:eastAsia="Times New Roman" w:hAnsi="Arial" w:cs="Arial"/>
                <w:b/>
                <w:color w:val="000000"/>
                <w:lang w:eastAsia="en-ZA"/>
              </w:rPr>
              <w:t xml:space="preserve">CLAIMS </w:t>
            </w:r>
            <w:r w:rsidR="00BC06C0" w:rsidRPr="00BC06C0">
              <w:rPr>
                <w:rFonts w:ascii="Arial" w:eastAsia="Times New Roman" w:hAnsi="Arial" w:cs="Arial"/>
                <w:b/>
                <w:color w:val="000000"/>
                <w:lang w:eastAsia="en-ZA"/>
              </w:rPr>
              <w:t>ADMINISTRATION &amp; RECOVERY SERVICES (PTY) LTD</w:t>
            </w:r>
          </w:p>
        </w:tc>
        <w:tc>
          <w:tcPr>
            <w:tcW w:w="3118" w:type="dxa"/>
          </w:tcPr>
          <w:p w14:paraId="45C6E382"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r w:rsidRPr="00BC06C0">
              <w:rPr>
                <w:rFonts w:ascii="Arial" w:eastAsia="Times New Roman" w:hAnsi="Arial" w:cs="Arial"/>
                <w:color w:val="000000"/>
                <w:lang w:eastAsia="en-ZA"/>
              </w:rPr>
              <w:t>Second respondent</w:t>
            </w:r>
          </w:p>
        </w:tc>
      </w:tr>
      <w:tr w:rsidR="00BC06C0" w:rsidRPr="00BC06C0" w14:paraId="5A0AAEF0" w14:textId="77777777" w:rsidTr="00BE0442">
        <w:trPr>
          <w:trHeight w:val="284"/>
        </w:trPr>
        <w:tc>
          <w:tcPr>
            <w:tcW w:w="5954" w:type="dxa"/>
          </w:tcPr>
          <w:p w14:paraId="3F003047" w14:textId="77777777" w:rsidR="00BC06C0" w:rsidRPr="00BC06C0" w:rsidRDefault="00BC06C0" w:rsidP="00BC06C0">
            <w:pPr>
              <w:tabs>
                <w:tab w:val="left" w:pos="7088"/>
              </w:tabs>
              <w:suppressAutoHyphens/>
              <w:spacing w:line="360" w:lineRule="auto"/>
              <w:jc w:val="both"/>
              <w:rPr>
                <w:rFonts w:ascii="Arial" w:eastAsia="Times New Roman" w:hAnsi="Arial" w:cs="Arial"/>
                <w:b/>
                <w:color w:val="000000"/>
                <w:lang w:eastAsia="en-ZA"/>
              </w:rPr>
            </w:pPr>
          </w:p>
        </w:tc>
        <w:tc>
          <w:tcPr>
            <w:tcW w:w="3118" w:type="dxa"/>
          </w:tcPr>
          <w:p w14:paraId="0548EF22"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p>
        </w:tc>
      </w:tr>
      <w:tr w:rsidR="00BC06C0" w:rsidRPr="00BC06C0" w14:paraId="024B5157" w14:textId="77777777" w:rsidTr="00BE0442">
        <w:trPr>
          <w:trHeight w:val="284"/>
        </w:trPr>
        <w:tc>
          <w:tcPr>
            <w:tcW w:w="5954" w:type="dxa"/>
          </w:tcPr>
          <w:p w14:paraId="66E600E1" w14:textId="77777777" w:rsidR="00BC06C0" w:rsidRPr="00BC06C0" w:rsidRDefault="00BC06C0" w:rsidP="00BC06C0">
            <w:pPr>
              <w:tabs>
                <w:tab w:val="left" w:pos="7088"/>
              </w:tabs>
              <w:suppressAutoHyphens/>
              <w:spacing w:line="360" w:lineRule="auto"/>
              <w:jc w:val="both"/>
              <w:rPr>
                <w:rFonts w:ascii="Arial" w:eastAsia="Times New Roman" w:hAnsi="Arial" w:cs="Arial"/>
                <w:b/>
                <w:color w:val="000000"/>
                <w:lang w:eastAsia="en-ZA"/>
              </w:rPr>
            </w:pPr>
            <w:r w:rsidRPr="00BC06C0">
              <w:rPr>
                <w:rFonts w:ascii="Arial" w:eastAsia="Times New Roman" w:hAnsi="Arial" w:cs="Arial"/>
                <w:b/>
                <w:color w:val="000000"/>
                <w:lang w:eastAsia="en-ZA"/>
              </w:rPr>
              <w:t>MR MOHOBI RAMATSETSE</w:t>
            </w:r>
          </w:p>
        </w:tc>
        <w:tc>
          <w:tcPr>
            <w:tcW w:w="3118" w:type="dxa"/>
          </w:tcPr>
          <w:p w14:paraId="20BCB3D2" w14:textId="77777777" w:rsidR="00BC06C0" w:rsidRPr="00BC06C0" w:rsidRDefault="00BC06C0" w:rsidP="00BC06C0">
            <w:pPr>
              <w:tabs>
                <w:tab w:val="left" w:pos="7088"/>
              </w:tabs>
              <w:suppressAutoHyphens/>
              <w:spacing w:line="360" w:lineRule="auto"/>
              <w:ind w:left="57"/>
              <w:jc w:val="right"/>
              <w:rPr>
                <w:rFonts w:ascii="Arial" w:eastAsia="Times New Roman" w:hAnsi="Arial" w:cs="Arial"/>
                <w:color w:val="000000"/>
                <w:lang w:eastAsia="en-ZA"/>
              </w:rPr>
            </w:pPr>
            <w:r w:rsidRPr="00BC06C0">
              <w:rPr>
                <w:rFonts w:ascii="Arial" w:eastAsia="Times New Roman" w:hAnsi="Arial" w:cs="Arial"/>
                <w:color w:val="000000"/>
                <w:lang w:eastAsia="en-ZA"/>
              </w:rPr>
              <w:t>Third respondent</w:t>
            </w:r>
          </w:p>
        </w:tc>
      </w:tr>
    </w:tbl>
    <w:p w14:paraId="432A2321" w14:textId="77777777" w:rsidR="00BC06C0" w:rsidRPr="003818CD" w:rsidRDefault="00BC06C0" w:rsidP="00BC06C0">
      <w:pPr>
        <w:pBdr>
          <w:bottom w:val="single" w:sz="12" w:space="1" w:color="auto"/>
        </w:pBdr>
        <w:rPr>
          <w:rFonts w:ascii="Arial" w:hAnsi="Arial" w:cs="Arial"/>
        </w:rPr>
      </w:pPr>
    </w:p>
    <w:p w14:paraId="32A34DC9" w14:textId="77777777" w:rsidR="003818CD" w:rsidRDefault="003818CD" w:rsidP="003818CD">
      <w:pPr>
        <w:jc w:val="center"/>
        <w:rPr>
          <w:rFonts w:ascii="Arial" w:hAnsi="Arial" w:cs="Arial"/>
          <w:b/>
          <w:lang w:val="en-US"/>
        </w:rPr>
      </w:pPr>
    </w:p>
    <w:p w14:paraId="7E6ACB65" w14:textId="584A3A16" w:rsidR="00BC06C0" w:rsidRPr="003818CD" w:rsidRDefault="003818CD" w:rsidP="003818CD">
      <w:pPr>
        <w:jc w:val="center"/>
        <w:rPr>
          <w:rFonts w:ascii="Arial" w:hAnsi="Arial" w:cs="Arial"/>
          <w:b/>
          <w:lang w:val="en-US"/>
        </w:rPr>
      </w:pPr>
      <w:r w:rsidRPr="003818CD">
        <w:rPr>
          <w:rFonts w:ascii="Arial" w:hAnsi="Arial" w:cs="Arial"/>
          <w:b/>
          <w:lang w:val="en-US"/>
        </w:rPr>
        <w:t>JUDGMENT</w:t>
      </w:r>
    </w:p>
    <w:p w14:paraId="4274CAA5" w14:textId="61C1E43C" w:rsidR="00BC06C0" w:rsidRPr="003818CD" w:rsidRDefault="00BC06C0" w:rsidP="00BC06C0">
      <w:pPr>
        <w:rPr>
          <w:rFonts w:ascii="Arial" w:hAnsi="Arial" w:cs="Arial"/>
          <w:lang w:val="en-US"/>
        </w:rPr>
      </w:pPr>
      <w:r w:rsidRPr="003818CD">
        <w:rPr>
          <w:rFonts w:ascii="Arial" w:hAnsi="Arial" w:cs="Arial"/>
          <w:lang w:val="en-US"/>
        </w:rPr>
        <w:t>___________________________________________________________________</w:t>
      </w:r>
    </w:p>
    <w:p w14:paraId="079904D1" w14:textId="12AA7704" w:rsidR="00F11FF9" w:rsidRPr="003818CD" w:rsidRDefault="00D47E3F" w:rsidP="00FB21C8">
      <w:pPr>
        <w:pStyle w:val="Heading1"/>
        <w:spacing w:before="600"/>
        <w:rPr>
          <w:rFonts w:cs="Arial"/>
          <w:u w:val="single"/>
          <w:lang w:val="en-US"/>
        </w:rPr>
      </w:pPr>
      <w:r w:rsidRPr="003818CD">
        <w:rPr>
          <w:rFonts w:cs="Arial"/>
          <w:u w:val="single"/>
          <w:lang w:val="en-US"/>
        </w:rPr>
        <w:t>MALINDI J</w:t>
      </w:r>
      <w:r w:rsidR="00F11FF9" w:rsidRPr="003818CD">
        <w:rPr>
          <w:rFonts w:cs="Arial"/>
          <w:u w:val="single"/>
          <w:lang w:val="en-US"/>
        </w:rPr>
        <w:t>:</w:t>
      </w:r>
    </w:p>
    <w:p w14:paraId="358B48C6" w14:textId="77777777" w:rsidR="003818CD" w:rsidRDefault="006916B6" w:rsidP="003818CD">
      <w:pPr>
        <w:spacing w:line="480" w:lineRule="auto"/>
        <w:ind w:left="360" w:hanging="360"/>
        <w:jc w:val="both"/>
        <w:rPr>
          <w:rFonts w:ascii="Arial" w:hAnsi="Arial" w:cs="Arial"/>
        </w:rPr>
      </w:pPr>
      <w:r>
        <w:rPr>
          <w:rFonts w:ascii="Arial" w:hAnsi="Arial" w:cs="Arial"/>
        </w:rPr>
        <w:t>[1]</w:t>
      </w:r>
      <w:r>
        <w:rPr>
          <w:rFonts w:ascii="Arial" w:hAnsi="Arial" w:cs="Arial"/>
        </w:rPr>
        <w:tab/>
      </w:r>
      <w:r>
        <w:rPr>
          <w:rFonts w:ascii="Arial" w:hAnsi="Arial" w:cs="Arial"/>
        </w:rPr>
        <w:tab/>
      </w:r>
      <w:r w:rsidR="003818CD">
        <w:rPr>
          <w:rFonts w:ascii="Arial" w:hAnsi="Arial" w:cs="Arial"/>
        </w:rPr>
        <w:t xml:space="preserve">This </w:t>
      </w:r>
      <w:r w:rsidRPr="006916B6">
        <w:rPr>
          <w:rFonts w:ascii="Arial" w:hAnsi="Arial" w:cs="Arial"/>
        </w:rPr>
        <w:t>Matter is set down for hearing on 19 to 22 April 2022 on the preliminary</w:t>
      </w:r>
    </w:p>
    <w:p w14:paraId="5249E16E" w14:textId="7B22D5A2" w:rsidR="006916B6" w:rsidRDefault="006916B6" w:rsidP="003818CD">
      <w:pPr>
        <w:spacing w:line="480" w:lineRule="auto"/>
        <w:ind w:left="720"/>
        <w:jc w:val="both"/>
        <w:rPr>
          <w:rFonts w:ascii="Arial" w:hAnsi="Arial" w:cs="Arial"/>
        </w:rPr>
      </w:pPr>
      <w:r w:rsidRPr="006916B6">
        <w:rPr>
          <w:rFonts w:ascii="Arial" w:hAnsi="Arial" w:cs="Arial"/>
        </w:rPr>
        <w:lastRenderedPageBreak/>
        <w:t>points</w:t>
      </w:r>
      <w:r w:rsidR="003818CD">
        <w:rPr>
          <w:rFonts w:ascii="Arial" w:hAnsi="Arial" w:cs="Arial"/>
        </w:rPr>
        <w:t xml:space="preserve"> </w:t>
      </w:r>
      <w:r w:rsidRPr="006916B6">
        <w:rPr>
          <w:rFonts w:ascii="Arial" w:hAnsi="Arial" w:cs="Arial"/>
        </w:rPr>
        <w:t>of whether the matter is capable of proceeding by way of motion proceedings and cond</w:t>
      </w:r>
      <w:r w:rsidR="003818CD">
        <w:rPr>
          <w:rFonts w:ascii="Arial" w:hAnsi="Arial" w:cs="Arial"/>
        </w:rPr>
        <w:t>onation</w:t>
      </w:r>
      <w:r w:rsidRPr="006916B6">
        <w:rPr>
          <w:rFonts w:ascii="Arial" w:hAnsi="Arial" w:cs="Arial"/>
        </w:rPr>
        <w:t xml:space="preserve"> for late filing of the respondents replying affidavit.</w:t>
      </w:r>
    </w:p>
    <w:p w14:paraId="55DDB0A7" w14:textId="3FAFA5E6" w:rsidR="006916B6" w:rsidRPr="006916B6" w:rsidRDefault="006916B6" w:rsidP="006916B6">
      <w:pPr>
        <w:spacing w:before="240" w:after="360" w:line="480" w:lineRule="auto"/>
        <w:ind w:left="720" w:hanging="720"/>
        <w:jc w:val="both"/>
        <w:rPr>
          <w:rFonts w:ascii="Arial" w:hAnsi="Arial" w:cs="Arial"/>
        </w:rPr>
      </w:pPr>
      <w:r>
        <w:rPr>
          <w:rFonts w:ascii="Arial" w:hAnsi="Arial" w:cs="Arial"/>
        </w:rPr>
        <w:t>[2]</w:t>
      </w:r>
      <w:r>
        <w:rPr>
          <w:rFonts w:ascii="Arial" w:hAnsi="Arial" w:cs="Arial"/>
        </w:rPr>
        <w:tab/>
      </w:r>
      <w:r w:rsidR="003818CD">
        <w:rPr>
          <w:rFonts w:ascii="Arial" w:hAnsi="Arial" w:cs="Arial"/>
        </w:rPr>
        <w:t>On 15 March 2022 the A</w:t>
      </w:r>
      <w:r w:rsidRPr="006916B6">
        <w:rPr>
          <w:rFonts w:ascii="Arial" w:hAnsi="Arial" w:cs="Arial"/>
        </w:rPr>
        <w:t>pplicant wrote a letter proposing that I give a directive that the</w:t>
      </w:r>
      <w:r>
        <w:rPr>
          <w:rFonts w:ascii="Arial" w:hAnsi="Arial" w:cs="Arial"/>
        </w:rPr>
        <w:t xml:space="preserve"> </w:t>
      </w:r>
      <w:r w:rsidRPr="006916B6">
        <w:rPr>
          <w:rFonts w:ascii="Arial" w:hAnsi="Arial" w:cs="Arial"/>
        </w:rPr>
        <w:t>matter is referred to trial wi</w:t>
      </w:r>
      <w:r w:rsidR="003818CD">
        <w:rPr>
          <w:rFonts w:ascii="Arial" w:hAnsi="Arial" w:cs="Arial"/>
        </w:rPr>
        <w:t>th appropriate directives. The R</w:t>
      </w:r>
      <w:r w:rsidRPr="006916B6">
        <w:rPr>
          <w:rFonts w:ascii="Arial" w:hAnsi="Arial" w:cs="Arial"/>
        </w:rPr>
        <w:t>espondents adopted a position to the effect that as it was their view during the Case Management conference that the matter cannot proceed on motion the applicant is conceding that point. They further proposed that because of the concession the matter to trial but dismissed.</w:t>
      </w:r>
    </w:p>
    <w:p w14:paraId="7DA616F2" w14:textId="6558C286" w:rsidR="006916B6" w:rsidRPr="006916B6" w:rsidRDefault="006916B6" w:rsidP="006916B6">
      <w:pPr>
        <w:spacing w:before="240" w:after="360" w:line="480" w:lineRule="auto"/>
        <w:ind w:left="720" w:hanging="720"/>
        <w:jc w:val="both"/>
        <w:rPr>
          <w:rFonts w:ascii="Arial" w:hAnsi="Arial" w:cs="Arial"/>
        </w:rPr>
      </w:pPr>
      <w:r>
        <w:rPr>
          <w:rFonts w:ascii="Arial" w:hAnsi="Arial" w:cs="Arial"/>
        </w:rPr>
        <w:t>[3]</w:t>
      </w:r>
      <w:r>
        <w:rPr>
          <w:rFonts w:ascii="Arial" w:hAnsi="Arial" w:cs="Arial"/>
        </w:rPr>
        <w:tab/>
      </w:r>
      <w:r w:rsidRPr="006916B6">
        <w:rPr>
          <w:rFonts w:ascii="Arial" w:hAnsi="Arial" w:cs="Arial"/>
        </w:rPr>
        <w:t>On 31 March 2022 I directed that the application be heard on 14 April 2022 in terms of uniform rule 60 (5)(g). I later directed that short heads of argument be filed on the morning of 11 April 2022. The respondents did but the applicant did not.</w:t>
      </w:r>
    </w:p>
    <w:p w14:paraId="67CB43EA" w14:textId="779203DF" w:rsidR="006916B6" w:rsidRDefault="006916B6" w:rsidP="006916B6">
      <w:pPr>
        <w:spacing w:before="240" w:after="360" w:line="480" w:lineRule="auto"/>
        <w:jc w:val="both"/>
        <w:rPr>
          <w:rFonts w:ascii="Arial" w:hAnsi="Arial" w:cs="Arial"/>
        </w:rPr>
      </w:pPr>
      <w:r>
        <w:rPr>
          <w:rFonts w:ascii="Arial" w:hAnsi="Arial" w:cs="Arial"/>
        </w:rPr>
        <w:t>[4]</w:t>
      </w:r>
      <w:r>
        <w:rPr>
          <w:rFonts w:ascii="Arial" w:hAnsi="Arial" w:cs="Arial"/>
        </w:rPr>
        <w:tab/>
      </w:r>
      <w:r w:rsidRPr="006916B6">
        <w:rPr>
          <w:rFonts w:ascii="Arial" w:hAnsi="Arial" w:cs="Arial"/>
        </w:rPr>
        <w:t xml:space="preserve">In the notice </w:t>
      </w:r>
      <w:r>
        <w:rPr>
          <w:rFonts w:ascii="Arial" w:hAnsi="Arial" w:cs="Arial"/>
        </w:rPr>
        <w:t>of application the applicant seeks</w:t>
      </w:r>
      <w:r w:rsidRPr="006916B6">
        <w:rPr>
          <w:rFonts w:ascii="Arial" w:hAnsi="Arial" w:cs="Arial"/>
        </w:rPr>
        <w:t xml:space="preserve"> the following order:</w:t>
      </w:r>
    </w:p>
    <w:p w14:paraId="16098DD6" w14:textId="18682D79" w:rsidR="006916B6" w:rsidRPr="006916B6" w:rsidRDefault="00B33784" w:rsidP="00B33784">
      <w:pPr>
        <w:spacing w:before="240" w:after="360" w:line="480" w:lineRule="auto"/>
        <w:ind w:firstLine="720"/>
        <w:jc w:val="both"/>
        <w:rPr>
          <w:rFonts w:ascii="Arial" w:hAnsi="Arial" w:cs="Arial"/>
        </w:rPr>
      </w:pPr>
      <w:r>
        <w:rPr>
          <w:rFonts w:ascii="Arial" w:hAnsi="Arial" w:cs="Arial"/>
        </w:rPr>
        <w:t xml:space="preserve">“1. </w:t>
      </w:r>
      <w:r w:rsidR="006916B6" w:rsidRPr="006916B6">
        <w:rPr>
          <w:rFonts w:ascii="Arial" w:hAnsi="Arial" w:cs="Arial"/>
        </w:rPr>
        <w:t>The matter is referred to trial by action.</w:t>
      </w:r>
    </w:p>
    <w:p w14:paraId="6F35C635" w14:textId="268B469C" w:rsidR="00B33784" w:rsidRDefault="00B33784" w:rsidP="00B33784">
      <w:pPr>
        <w:spacing w:before="240" w:line="276" w:lineRule="auto"/>
        <w:ind w:left="1440" w:hanging="720"/>
        <w:jc w:val="both"/>
        <w:rPr>
          <w:rFonts w:ascii="Arial" w:hAnsi="Arial" w:cs="Arial"/>
        </w:rPr>
      </w:pPr>
      <w:r>
        <w:rPr>
          <w:rFonts w:ascii="Arial" w:hAnsi="Arial" w:cs="Arial"/>
        </w:rPr>
        <w:t xml:space="preserve"> 2. </w:t>
      </w:r>
      <w:r w:rsidR="006916B6" w:rsidRPr="006916B6">
        <w:rPr>
          <w:rFonts w:ascii="Arial" w:hAnsi="Arial" w:cs="Arial"/>
        </w:rPr>
        <w:t>The Notice of Motion and Founding Affidavit(s) in the case number</w:t>
      </w:r>
    </w:p>
    <w:p w14:paraId="07931453" w14:textId="602AD107" w:rsidR="006916B6" w:rsidRDefault="00B33784" w:rsidP="00B33784">
      <w:pPr>
        <w:spacing w:before="240" w:line="276" w:lineRule="auto"/>
        <w:ind w:left="1440" w:hanging="720"/>
        <w:jc w:val="both"/>
        <w:rPr>
          <w:rFonts w:ascii="Arial" w:hAnsi="Arial" w:cs="Arial"/>
        </w:rPr>
      </w:pPr>
      <w:r>
        <w:rPr>
          <w:rFonts w:ascii="Arial" w:hAnsi="Arial" w:cs="Arial"/>
        </w:rPr>
        <w:t xml:space="preserve">   </w:t>
      </w:r>
      <w:r w:rsidR="006916B6" w:rsidRPr="006916B6">
        <w:rPr>
          <w:rFonts w:ascii="Arial" w:hAnsi="Arial" w:cs="Arial"/>
        </w:rPr>
        <w:t xml:space="preserve"> 25524/2019 are to serve as summons by the Applicant.</w:t>
      </w:r>
    </w:p>
    <w:p w14:paraId="4A1D75CB" w14:textId="14E083ED" w:rsidR="00B33784" w:rsidRPr="006916B6" w:rsidRDefault="00B33784" w:rsidP="003818CD">
      <w:pPr>
        <w:spacing w:before="240" w:line="276" w:lineRule="auto"/>
        <w:jc w:val="both"/>
        <w:rPr>
          <w:rFonts w:ascii="Arial" w:hAnsi="Arial" w:cs="Arial"/>
        </w:rPr>
      </w:pPr>
    </w:p>
    <w:p w14:paraId="33BC13EC" w14:textId="0FE49F83" w:rsidR="00B33784" w:rsidRDefault="00B33784" w:rsidP="00B33784">
      <w:pPr>
        <w:spacing w:before="240" w:after="360" w:line="276" w:lineRule="auto"/>
        <w:ind w:left="1440" w:hanging="720"/>
        <w:jc w:val="both"/>
        <w:rPr>
          <w:rFonts w:ascii="Arial" w:hAnsi="Arial" w:cs="Arial"/>
        </w:rPr>
      </w:pPr>
      <w:r>
        <w:rPr>
          <w:rFonts w:ascii="Arial" w:hAnsi="Arial" w:cs="Arial"/>
        </w:rPr>
        <w:t xml:space="preserve">3. </w:t>
      </w:r>
      <w:r w:rsidR="006916B6" w:rsidRPr="006916B6">
        <w:rPr>
          <w:rFonts w:ascii="Arial" w:hAnsi="Arial" w:cs="Arial"/>
        </w:rPr>
        <w:t>The Notice of Intention to Oppose and Answering Affidavit(s) by the</w:t>
      </w:r>
    </w:p>
    <w:p w14:paraId="307F75DE" w14:textId="7F294CE8" w:rsidR="006916B6" w:rsidRPr="006916B6" w:rsidRDefault="00B33784" w:rsidP="00B33784">
      <w:pPr>
        <w:spacing w:before="240" w:after="360" w:line="276" w:lineRule="auto"/>
        <w:ind w:left="1440" w:hanging="720"/>
        <w:jc w:val="both"/>
        <w:rPr>
          <w:rFonts w:ascii="Arial" w:hAnsi="Arial" w:cs="Arial"/>
        </w:rPr>
      </w:pPr>
      <w:r>
        <w:rPr>
          <w:rFonts w:ascii="Arial" w:hAnsi="Arial" w:cs="Arial"/>
        </w:rPr>
        <w:t xml:space="preserve">   </w:t>
      </w:r>
      <w:r w:rsidR="006916B6" w:rsidRPr="006916B6">
        <w:rPr>
          <w:rFonts w:ascii="Arial" w:hAnsi="Arial" w:cs="Arial"/>
        </w:rPr>
        <w:t xml:space="preserve"> Respondents, are to serve as an Appearance to Defend.</w:t>
      </w:r>
    </w:p>
    <w:p w14:paraId="5710E652" w14:textId="77777777" w:rsidR="00B33784" w:rsidRDefault="00B33784" w:rsidP="00B33784">
      <w:pPr>
        <w:spacing w:before="240" w:after="360" w:line="276" w:lineRule="auto"/>
        <w:ind w:left="1440" w:hanging="720"/>
        <w:jc w:val="both"/>
        <w:rPr>
          <w:rFonts w:ascii="Arial" w:hAnsi="Arial" w:cs="Arial"/>
        </w:rPr>
      </w:pPr>
      <w:r>
        <w:rPr>
          <w:rFonts w:ascii="Arial" w:hAnsi="Arial" w:cs="Arial"/>
        </w:rPr>
        <w:t xml:space="preserve">4. </w:t>
      </w:r>
      <w:r w:rsidR="006916B6" w:rsidRPr="006916B6">
        <w:rPr>
          <w:rFonts w:ascii="Arial" w:hAnsi="Arial" w:cs="Arial"/>
        </w:rPr>
        <w:t>The Applicant is to deliver her Declaration on or before Tuesday 19 April</w:t>
      </w:r>
    </w:p>
    <w:p w14:paraId="24D98497" w14:textId="5E551807" w:rsidR="006916B6" w:rsidRPr="006916B6" w:rsidRDefault="00B33784" w:rsidP="00B33784">
      <w:pPr>
        <w:spacing w:before="240" w:after="360" w:line="276" w:lineRule="auto"/>
        <w:ind w:left="1440" w:hanging="720"/>
        <w:jc w:val="both"/>
        <w:rPr>
          <w:rFonts w:ascii="Arial" w:hAnsi="Arial" w:cs="Arial"/>
        </w:rPr>
      </w:pPr>
      <w:r>
        <w:rPr>
          <w:rFonts w:ascii="Arial" w:hAnsi="Arial" w:cs="Arial"/>
        </w:rPr>
        <w:t xml:space="preserve">   </w:t>
      </w:r>
      <w:r w:rsidR="006916B6" w:rsidRPr="006916B6">
        <w:rPr>
          <w:rFonts w:ascii="Arial" w:hAnsi="Arial" w:cs="Arial"/>
        </w:rPr>
        <w:t xml:space="preserve"> 2022. </w:t>
      </w:r>
    </w:p>
    <w:p w14:paraId="73EA064E" w14:textId="77777777" w:rsidR="00B33784" w:rsidRDefault="00B33784" w:rsidP="00B33784">
      <w:pPr>
        <w:spacing w:before="240" w:after="360"/>
        <w:ind w:left="1440" w:hanging="720"/>
        <w:jc w:val="both"/>
        <w:rPr>
          <w:rFonts w:ascii="Arial" w:hAnsi="Arial" w:cs="Arial"/>
        </w:rPr>
      </w:pPr>
      <w:r>
        <w:rPr>
          <w:rFonts w:ascii="Arial" w:hAnsi="Arial" w:cs="Arial"/>
        </w:rPr>
        <w:t xml:space="preserve">5. </w:t>
      </w:r>
      <w:r w:rsidR="006916B6" w:rsidRPr="006916B6">
        <w:rPr>
          <w:rFonts w:ascii="Arial" w:hAnsi="Arial" w:cs="Arial"/>
        </w:rPr>
        <w:t>The Respondents are to deliver their Ple</w:t>
      </w:r>
      <w:r>
        <w:rPr>
          <w:rFonts w:ascii="Arial" w:hAnsi="Arial" w:cs="Arial"/>
        </w:rPr>
        <w:t>as to the Declaration within 15</w:t>
      </w:r>
    </w:p>
    <w:p w14:paraId="47C05E83" w14:textId="4E0420D0" w:rsidR="006916B6" w:rsidRPr="006916B6" w:rsidRDefault="00B33784" w:rsidP="00B33784">
      <w:pPr>
        <w:spacing w:before="240" w:after="360"/>
        <w:ind w:left="1440" w:hanging="720"/>
        <w:jc w:val="both"/>
        <w:rPr>
          <w:rFonts w:ascii="Arial" w:hAnsi="Arial" w:cs="Arial"/>
        </w:rPr>
      </w:pPr>
      <w:r>
        <w:rPr>
          <w:rFonts w:ascii="Arial" w:hAnsi="Arial" w:cs="Arial"/>
        </w:rPr>
        <w:t xml:space="preserve">     </w:t>
      </w:r>
      <w:r w:rsidR="006916B6" w:rsidRPr="006916B6">
        <w:rPr>
          <w:rFonts w:ascii="Arial" w:hAnsi="Arial" w:cs="Arial"/>
        </w:rPr>
        <w:t>(fifteen) days of delivery of the Declaration.</w:t>
      </w:r>
    </w:p>
    <w:p w14:paraId="0663FE9D" w14:textId="77777777" w:rsidR="00B33784" w:rsidRDefault="00B33784" w:rsidP="00B33784">
      <w:pPr>
        <w:spacing w:before="240" w:after="360"/>
        <w:ind w:left="1440" w:hanging="720"/>
        <w:jc w:val="both"/>
        <w:rPr>
          <w:rFonts w:ascii="Arial" w:hAnsi="Arial" w:cs="Arial"/>
        </w:rPr>
      </w:pPr>
      <w:r>
        <w:rPr>
          <w:rFonts w:ascii="Arial" w:hAnsi="Arial" w:cs="Arial"/>
        </w:rPr>
        <w:t xml:space="preserve">6. </w:t>
      </w:r>
      <w:r w:rsidR="006916B6" w:rsidRPr="006916B6">
        <w:rPr>
          <w:rFonts w:ascii="Arial" w:hAnsi="Arial" w:cs="Arial"/>
        </w:rPr>
        <w:t xml:space="preserve">The Applicant is to deliver her Replication, </w:t>
      </w:r>
      <w:r>
        <w:rPr>
          <w:rFonts w:ascii="Arial" w:hAnsi="Arial" w:cs="Arial"/>
        </w:rPr>
        <w:t>if any, within 5 (five) days of</w:t>
      </w:r>
    </w:p>
    <w:p w14:paraId="39F69045" w14:textId="20DD368F" w:rsidR="006916B6" w:rsidRPr="006916B6" w:rsidRDefault="00B33784" w:rsidP="00B33784">
      <w:pPr>
        <w:spacing w:before="240" w:after="360"/>
        <w:ind w:left="1440" w:hanging="720"/>
        <w:jc w:val="both"/>
        <w:rPr>
          <w:rFonts w:ascii="Arial" w:hAnsi="Arial" w:cs="Arial"/>
        </w:rPr>
      </w:pPr>
      <w:r>
        <w:rPr>
          <w:rFonts w:ascii="Arial" w:hAnsi="Arial" w:cs="Arial"/>
        </w:rPr>
        <w:t xml:space="preserve">     </w:t>
      </w:r>
      <w:r w:rsidR="006916B6" w:rsidRPr="006916B6">
        <w:rPr>
          <w:rFonts w:ascii="Arial" w:hAnsi="Arial" w:cs="Arial"/>
        </w:rPr>
        <w:t>delivery of the Plea.</w:t>
      </w:r>
    </w:p>
    <w:p w14:paraId="4650AD23" w14:textId="77777777" w:rsidR="00B33784" w:rsidRDefault="00B33784" w:rsidP="00B33784">
      <w:pPr>
        <w:spacing w:before="240" w:after="360"/>
        <w:ind w:left="1440" w:hanging="720"/>
        <w:jc w:val="both"/>
        <w:rPr>
          <w:rFonts w:ascii="Arial" w:hAnsi="Arial" w:cs="Arial"/>
        </w:rPr>
      </w:pPr>
      <w:r>
        <w:rPr>
          <w:rFonts w:ascii="Arial" w:hAnsi="Arial" w:cs="Arial"/>
        </w:rPr>
        <w:t xml:space="preserve">7. </w:t>
      </w:r>
      <w:r w:rsidR="006916B6" w:rsidRPr="006916B6">
        <w:rPr>
          <w:rFonts w:ascii="Arial" w:hAnsi="Arial" w:cs="Arial"/>
        </w:rPr>
        <w:t>Discovery of documents etc. by the parties including any expert notices</w:t>
      </w:r>
    </w:p>
    <w:p w14:paraId="6D3D596E" w14:textId="2BF6FC2E" w:rsidR="00B33784" w:rsidRDefault="00B33784" w:rsidP="00B33784">
      <w:pPr>
        <w:spacing w:before="240" w:after="360"/>
        <w:ind w:left="1440" w:hanging="720"/>
        <w:jc w:val="both"/>
        <w:rPr>
          <w:rFonts w:ascii="Arial" w:hAnsi="Arial" w:cs="Arial"/>
        </w:rPr>
      </w:pPr>
      <w:r>
        <w:rPr>
          <w:rFonts w:ascii="Arial" w:hAnsi="Arial" w:cs="Arial"/>
        </w:rPr>
        <w:t xml:space="preserve">   </w:t>
      </w:r>
      <w:r w:rsidR="006916B6" w:rsidRPr="006916B6">
        <w:rPr>
          <w:rFonts w:ascii="Arial" w:hAnsi="Arial" w:cs="Arial"/>
        </w:rPr>
        <w:t xml:space="preserve"> should be delivered simultaneously by the part</w:t>
      </w:r>
      <w:r>
        <w:rPr>
          <w:rFonts w:ascii="Arial" w:hAnsi="Arial" w:cs="Arial"/>
        </w:rPr>
        <w:t>ies on or before the date f 20</w:t>
      </w:r>
    </w:p>
    <w:p w14:paraId="43098840" w14:textId="205F4B67" w:rsidR="006916B6" w:rsidRPr="006916B6" w:rsidRDefault="00B33784" w:rsidP="00B33784">
      <w:pPr>
        <w:spacing w:before="240" w:after="360"/>
        <w:ind w:left="1440" w:hanging="720"/>
        <w:jc w:val="both"/>
        <w:rPr>
          <w:rFonts w:ascii="Arial" w:hAnsi="Arial" w:cs="Arial"/>
        </w:rPr>
      </w:pPr>
      <w:r>
        <w:rPr>
          <w:rFonts w:ascii="Arial" w:hAnsi="Arial" w:cs="Arial"/>
        </w:rPr>
        <w:t xml:space="preserve">    </w:t>
      </w:r>
      <w:r w:rsidR="006916B6" w:rsidRPr="006916B6">
        <w:rPr>
          <w:rFonts w:ascii="Arial" w:hAnsi="Arial" w:cs="Arial"/>
        </w:rPr>
        <w:t>May 2022.</w:t>
      </w:r>
    </w:p>
    <w:p w14:paraId="17C32C2F" w14:textId="77777777" w:rsidR="00B33784" w:rsidRDefault="00B33784" w:rsidP="00B33784">
      <w:pPr>
        <w:spacing w:before="240" w:after="360" w:line="276" w:lineRule="auto"/>
        <w:ind w:left="1440" w:hanging="720"/>
        <w:jc w:val="both"/>
        <w:rPr>
          <w:rFonts w:ascii="Arial" w:hAnsi="Arial" w:cs="Arial"/>
        </w:rPr>
      </w:pPr>
      <w:r>
        <w:rPr>
          <w:rFonts w:ascii="Arial" w:hAnsi="Arial" w:cs="Arial"/>
        </w:rPr>
        <w:t xml:space="preserve">8. </w:t>
      </w:r>
      <w:r w:rsidR="006916B6" w:rsidRPr="006916B6">
        <w:rPr>
          <w:rFonts w:ascii="Arial" w:hAnsi="Arial" w:cs="Arial"/>
        </w:rPr>
        <w:t xml:space="preserve">A judicial Pre-Trial Conference is to be held with the parties on or before </w:t>
      </w:r>
    </w:p>
    <w:p w14:paraId="5FBCC947" w14:textId="4D258FC2" w:rsidR="006916B6" w:rsidRPr="006916B6" w:rsidRDefault="00B33784" w:rsidP="00B33784">
      <w:pPr>
        <w:spacing w:before="240" w:after="360" w:line="276" w:lineRule="auto"/>
        <w:jc w:val="both"/>
        <w:rPr>
          <w:rFonts w:ascii="Arial" w:hAnsi="Arial" w:cs="Arial"/>
        </w:rPr>
      </w:pPr>
      <w:r>
        <w:rPr>
          <w:rFonts w:ascii="Arial" w:hAnsi="Arial" w:cs="Arial"/>
        </w:rPr>
        <w:t xml:space="preserve">               </w:t>
      </w:r>
      <w:r w:rsidR="006916B6" w:rsidRPr="006916B6">
        <w:rPr>
          <w:rFonts w:ascii="Arial" w:hAnsi="Arial" w:cs="Arial"/>
        </w:rPr>
        <w:t>Friday, 27 May 2022.</w:t>
      </w:r>
    </w:p>
    <w:p w14:paraId="743E23AE" w14:textId="710FE44A" w:rsidR="006916B6" w:rsidRPr="006916B6" w:rsidRDefault="00B33784" w:rsidP="00B33784">
      <w:pPr>
        <w:spacing w:before="240" w:after="360" w:line="480" w:lineRule="auto"/>
        <w:ind w:firstLine="720"/>
        <w:jc w:val="both"/>
        <w:rPr>
          <w:rFonts w:ascii="Arial" w:hAnsi="Arial" w:cs="Arial"/>
        </w:rPr>
      </w:pPr>
      <w:r>
        <w:rPr>
          <w:rFonts w:ascii="Arial" w:hAnsi="Arial" w:cs="Arial"/>
        </w:rPr>
        <w:t xml:space="preserve">9. </w:t>
      </w:r>
      <w:r w:rsidR="006916B6" w:rsidRPr="006916B6">
        <w:rPr>
          <w:rFonts w:ascii="Arial" w:hAnsi="Arial" w:cs="Arial"/>
        </w:rPr>
        <w:t>Costs to be costs in the action.</w:t>
      </w:r>
      <w:r>
        <w:rPr>
          <w:rFonts w:ascii="Arial" w:hAnsi="Arial" w:cs="Arial"/>
        </w:rPr>
        <w:t>”</w:t>
      </w:r>
    </w:p>
    <w:p w14:paraId="05D280EB" w14:textId="7867C347" w:rsidR="006916B6" w:rsidRPr="006916B6" w:rsidRDefault="006916B6" w:rsidP="006916B6">
      <w:pPr>
        <w:spacing w:before="240" w:after="360" w:line="480" w:lineRule="auto"/>
        <w:ind w:left="720" w:hanging="720"/>
        <w:jc w:val="both"/>
        <w:rPr>
          <w:rFonts w:ascii="Arial" w:hAnsi="Arial" w:cs="Arial"/>
        </w:rPr>
      </w:pPr>
      <w:r>
        <w:rPr>
          <w:rFonts w:ascii="Arial" w:hAnsi="Arial" w:cs="Arial"/>
        </w:rPr>
        <w:t>[5]</w:t>
      </w:r>
      <w:r>
        <w:rPr>
          <w:rFonts w:ascii="Arial" w:hAnsi="Arial" w:cs="Arial"/>
        </w:rPr>
        <w:tab/>
      </w:r>
      <w:r w:rsidRPr="006916B6">
        <w:rPr>
          <w:rFonts w:ascii="Arial" w:hAnsi="Arial" w:cs="Arial"/>
        </w:rPr>
        <w:t xml:space="preserve">The </w:t>
      </w:r>
      <w:r w:rsidR="003818CD" w:rsidRPr="006916B6">
        <w:rPr>
          <w:rFonts w:ascii="Arial" w:hAnsi="Arial" w:cs="Arial"/>
        </w:rPr>
        <w:t>applicant’s</w:t>
      </w:r>
      <w:r w:rsidRPr="006916B6">
        <w:rPr>
          <w:rFonts w:ascii="Arial" w:hAnsi="Arial" w:cs="Arial"/>
        </w:rPr>
        <w:t xml:space="preserve"> admissions to essentially that the application is made necessary by the respondents belated production of the financial statements would now require further investigation by the applicant and by the </w:t>
      </w:r>
      <w:r w:rsidR="003818CD" w:rsidRPr="006916B6">
        <w:rPr>
          <w:rFonts w:ascii="Arial" w:hAnsi="Arial" w:cs="Arial"/>
        </w:rPr>
        <w:t>respondent’s</w:t>
      </w:r>
      <w:r w:rsidRPr="006916B6">
        <w:rPr>
          <w:rFonts w:ascii="Arial" w:hAnsi="Arial" w:cs="Arial"/>
        </w:rPr>
        <w:t xml:space="preserve"> failure or refusal to make Discovery. She contends there</w:t>
      </w:r>
      <w:r w:rsidR="003818CD">
        <w:rPr>
          <w:rFonts w:ascii="Arial" w:hAnsi="Arial" w:cs="Arial"/>
        </w:rPr>
        <w:t xml:space="preserve">fore that dispute of fact have </w:t>
      </w:r>
      <w:r w:rsidRPr="006916B6">
        <w:rPr>
          <w:rFonts w:ascii="Arial" w:hAnsi="Arial" w:cs="Arial"/>
        </w:rPr>
        <w:t>risen where as such disputes were not present until then.</w:t>
      </w:r>
    </w:p>
    <w:p w14:paraId="128AFED8" w14:textId="7B6E7927" w:rsidR="006916B6" w:rsidRPr="006916B6" w:rsidRDefault="006916B6" w:rsidP="006916B6">
      <w:pPr>
        <w:spacing w:before="240" w:after="360" w:line="480" w:lineRule="auto"/>
        <w:ind w:left="720" w:hanging="720"/>
        <w:jc w:val="both"/>
        <w:rPr>
          <w:rFonts w:ascii="Arial" w:hAnsi="Arial" w:cs="Arial"/>
        </w:rPr>
      </w:pPr>
      <w:r>
        <w:rPr>
          <w:rFonts w:ascii="Arial" w:hAnsi="Arial" w:cs="Arial"/>
        </w:rPr>
        <w:t>[6]</w:t>
      </w:r>
      <w:r>
        <w:rPr>
          <w:rFonts w:ascii="Arial" w:hAnsi="Arial" w:cs="Arial"/>
        </w:rPr>
        <w:tab/>
      </w:r>
      <w:r w:rsidRPr="006916B6">
        <w:rPr>
          <w:rFonts w:ascii="Arial" w:hAnsi="Arial" w:cs="Arial"/>
        </w:rPr>
        <w:t>The respondents contend that the dispute of fact existed from the outset and that proceeding by motion was fatal ab initio. They contended therefore that this application and the main application be dismissed and that the applicant initiate further proceedings by summons.</w:t>
      </w:r>
    </w:p>
    <w:p w14:paraId="5B335FC6" w14:textId="72B7D7FE" w:rsidR="006916B6" w:rsidRPr="006916B6" w:rsidRDefault="006916B6" w:rsidP="006916B6">
      <w:pPr>
        <w:spacing w:before="240" w:after="360" w:line="480" w:lineRule="auto"/>
        <w:jc w:val="both"/>
        <w:rPr>
          <w:rFonts w:ascii="Arial" w:hAnsi="Arial" w:cs="Arial"/>
          <w:u w:val="single"/>
        </w:rPr>
      </w:pPr>
      <w:r>
        <w:rPr>
          <w:rFonts w:ascii="Arial" w:hAnsi="Arial" w:cs="Arial"/>
          <w:u w:val="single"/>
        </w:rPr>
        <w:t>The Law</w:t>
      </w:r>
    </w:p>
    <w:p w14:paraId="32F5BDB0" w14:textId="225B8443" w:rsidR="006916B6" w:rsidRPr="006916B6" w:rsidRDefault="006916B6" w:rsidP="006916B6">
      <w:pPr>
        <w:spacing w:before="240" w:after="360" w:line="480" w:lineRule="auto"/>
        <w:ind w:left="720" w:hanging="720"/>
        <w:jc w:val="both"/>
        <w:rPr>
          <w:rFonts w:ascii="Arial" w:hAnsi="Arial" w:cs="Arial"/>
        </w:rPr>
      </w:pPr>
      <w:r>
        <w:rPr>
          <w:rFonts w:ascii="Arial" w:hAnsi="Arial" w:cs="Arial"/>
        </w:rPr>
        <w:t>[7]</w:t>
      </w:r>
      <w:r>
        <w:rPr>
          <w:rFonts w:ascii="Arial" w:hAnsi="Arial" w:cs="Arial"/>
        </w:rPr>
        <w:tab/>
        <w:t>Rule 6(5)</w:t>
      </w:r>
      <w:r w:rsidRPr="006916B6">
        <w:rPr>
          <w:rFonts w:ascii="Arial" w:hAnsi="Arial" w:cs="Arial"/>
        </w:rPr>
        <w:t>(g) envisages a manner by which a court may deal with a matter after hearing it, where " an application can I properly be decided on affidavit." this procedure has been brought forward by my directive that the application be brought and heard before the hearing.</w:t>
      </w:r>
    </w:p>
    <w:p w14:paraId="3BA011E2" w14:textId="75EAB5D3" w:rsidR="006916B6" w:rsidRPr="006916B6" w:rsidRDefault="006916B6" w:rsidP="006916B6">
      <w:pPr>
        <w:spacing w:before="240" w:after="360" w:line="480" w:lineRule="auto"/>
        <w:ind w:left="720" w:hanging="720"/>
        <w:jc w:val="both"/>
        <w:rPr>
          <w:rFonts w:ascii="Arial" w:hAnsi="Arial" w:cs="Arial"/>
        </w:rPr>
      </w:pPr>
      <w:r>
        <w:rPr>
          <w:rFonts w:ascii="Arial" w:hAnsi="Arial" w:cs="Arial"/>
        </w:rPr>
        <w:t>[8]</w:t>
      </w:r>
      <w:r>
        <w:rPr>
          <w:rFonts w:ascii="Arial" w:hAnsi="Arial" w:cs="Arial"/>
        </w:rPr>
        <w:tab/>
      </w:r>
      <w:r w:rsidRPr="006916B6">
        <w:rPr>
          <w:rFonts w:ascii="Arial" w:hAnsi="Arial" w:cs="Arial"/>
        </w:rPr>
        <w:t>The respondents refer to the dictum in economic Freedom Fighters v Manuel to the effect that generally " A court will an application when, that the application is launched, an applicant should have realised that a serious dispute of fact was found to develop." detecting to refer to an applicant who persist on motion proceedings up to the hearing itself. In this case the applicant has pre-empted the hearing by applying for a referral to trial before.</w:t>
      </w:r>
    </w:p>
    <w:p w14:paraId="06DAD2F6" w14:textId="5670006B" w:rsidR="006916B6" w:rsidRPr="006916B6" w:rsidRDefault="006916B6" w:rsidP="006916B6">
      <w:pPr>
        <w:spacing w:before="240" w:after="360" w:line="480" w:lineRule="auto"/>
        <w:jc w:val="both"/>
        <w:rPr>
          <w:rFonts w:ascii="Arial" w:hAnsi="Arial" w:cs="Arial"/>
        </w:rPr>
      </w:pPr>
      <w:r>
        <w:rPr>
          <w:rFonts w:ascii="Arial" w:hAnsi="Arial" w:cs="Arial"/>
        </w:rPr>
        <w:t>[9]</w:t>
      </w:r>
      <w:r>
        <w:rPr>
          <w:rFonts w:ascii="Arial" w:hAnsi="Arial" w:cs="Arial"/>
        </w:rPr>
        <w:tab/>
      </w:r>
      <w:r w:rsidRPr="006916B6">
        <w:rPr>
          <w:rFonts w:ascii="Arial" w:hAnsi="Arial" w:cs="Arial"/>
        </w:rPr>
        <w:t>In law Society, northern provinces v Mogami Harms DP said:</w:t>
      </w:r>
    </w:p>
    <w:p w14:paraId="13DBE244" w14:textId="77777777" w:rsidR="006916B6" w:rsidRPr="006916B6" w:rsidRDefault="006916B6" w:rsidP="006916B6">
      <w:pPr>
        <w:spacing w:before="240" w:after="360" w:line="480" w:lineRule="auto"/>
        <w:jc w:val="both"/>
        <w:rPr>
          <w:rFonts w:ascii="Arial" w:hAnsi="Arial" w:cs="Arial"/>
        </w:rPr>
      </w:pPr>
    </w:p>
    <w:p w14:paraId="42FC45E5" w14:textId="61BD8353" w:rsidR="006916B6" w:rsidRPr="006916B6" w:rsidRDefault="006916B6" w:rsidP="006916B6">
      <w:pPr>
        <w:spacing w:before="240" w:after="360" w:line="480" w:lineRule="auto"/>
        <w:ind w:left="720"/>
        <w:jc w:val="both"/>
        <w:rPr>
          <w:rFonts w:ascii="Arial" w:hAnsi="Arial" w:cs="Arial"/>
          <w:i/>
        </w:rPr>
      </w:pPr>
      <w:r w:rsidRPr="006916B6">
        <w:rPr>
          <w:rFonts w:ascii="Arial" w:hAnsi="Arial" w:cs="Arial"/>
          <w:i/>
        </w:rPr>
        <w:t>"an application for hearing of oral evidence must, as a rule, be made in limine and not once it becomes clear that the applicant is convinced the court on the papers or an appeal. Be circumcises must be exceptional before a court will permit and applicant to apply in the alternative for the matter to be referred to evidence should the main argument fail(...)”</w:t>
      </w:r>
    </w:p>
    <w:p w14:paraId="63122A92" w14:textId="0AB51654" w:rsidR="006916B6" w:rsidRPr="006916B6" w:rsidRDefault="006916B6" w:rsidP="006916B6">
      <w:pPr>
        <w:spacing w:before="240" w:after="360" w:line="480" w:lineRule="auto"/>
        <w:ind w:left="720" w:hanging="720"/>
        <w:jc w:val="both"/>
        <w:rPr>
          <w:rFonts w:ascii="Arial" w:hAnsi="Arial" w:cs="Arial"/>
        </w:rPr>
      </w:pPr>
      <w:r>
        <w:rPr>
          <w:rFonts w:ascii="Arial" w:hAnsi="Arial" w:cs="Arial"/>
        </w:rPr>
        <w:t>[10]</w:t>
      </w:r>
      <w:r>
        <w:rPr>
          <w:rFonts w:ascii="Arial" w:hAnsi="Arial" w:cs="Arial"/>
        </w:rPr>
        <w:tab/>
      </w:r>
      <w:r w:rsidRPr="006916B6">
        <w:rPr>
          <w:rFonts w:ascii="Arial" w:hAnsi="Arial" w:cs="Arial"/>
        </w:rPr>
        <w:t>I am satisfied therefore that it was proper for the applicants to have brought this application even before the day of the main application to raise it as a point in limine.</w:t>
      </w:r>
    </w:p>
    <w:p w14:paraId="295936A2" w14:textId="374ED07D" w:rsidR="006916B6" w:rsidRPr="006916B6" w:rsidRDefault="006916B6" w:rsidP="006916B6">
      <w:pPr>
        <w:spacing w:before="240" w:after="360" w:line="480" w:lineRule="auto"/>
        <w:ind w:left="720" w:hanging="720"/>
        <w:jc w:val="both"/>
        <w:rPr>
          <w:rFonts w:ascii="Arial" w:hAnsi="Arial" w:cs="Arial"/>
        </w:rPr>
      </w:pPr>
      <w:r>
        <w:rPr>
          <w:rFonts w:ascii="Arial" w:hAnsi="Arial" w:cs="Arial"/>
        </w:rPr>
        <w:t>[11]</w:t>
      </w:r>
      <w:r>
        <w:rPr>
          <w:rFonts w:ascii="Arial" w:hAnsi="Arial" w:cs="Arial"/>
        </w:rPr>
        <w:tab/>
      </w:r>
      <w:r w:rsidRPr="006916B6">
        <w:rPr>
          <w:rFonts w:ascii="Arial" w:hAnsi="Arial" w:cs="Arial"/>
        </w:rPr>
        <w:t>The respondent submission that the caitian be dismissed together with the main application at the same time is therefore not in accordance with the general rule. As is clear from the cases above and application for referral to oral evidence on specific aspects or to trial must be made before the hearing so that the court time is not wasted by hearing the application only to be asked to be refer the matter to trial or to oral evidence. Find therefore that because of the intractable disputes of fact that are apparent from the preceding not only a few and precise aspects would have required referral to oral evidence but the whole matter.</w:t>
      </w:r>
    </w:p>
    <w:p w14:paraId="5AE8705F" w14:textId="64873E7E" w:rsidR="00D40C62" w:rsidRPr="006916B6" w:rsidRDefault="006916B6" w:rsidP="006916B6">
      <w:pPr>
        <w:spacing w:before="240" w:after="360" w:line="480" w:lineRule="auto"/>
        <w:jc w:val="both"/>
        <w:rPr>
          <w:rFonts w:ascii="Arial" w:hAnsi="Arial" w:cs="Arial"/>
        </w:rPr>
      </w:pPr>
      <w:r>
        <w:rPr>
          <w:rFonts w:ascii="Arial" w:hAnsi="Arial" w:cs="Arial"/>
        </w:rPr>
        <w:t>[12]</w:t>
      </w:r>
      <w:r>
        <w:rPr>
          <w:rFonts w:ascii="Arial" w:hAnsi="Arial" w:cs="Arial"/>
        </w:rPr>
        <w:tab/>
      </w:r>
      <w:r w:rsidRPr="006916B6">
        <w:rPr>
          <w:rFonts w:ascii="Arial" w:hAnsi="Arial" w:cs="Arial"/>
        </w:rPr>
        <w:t>I therefore make the following order:</w:t>
      </w:r>
    </w:p>
    <w:p w14:paraId="53D40D1C" w14:textId="77777777" w:rsidR="006916B6" w:rsidRPr="006916B6" w:rsidRDefault="006916B6" w:rsidP="006916B6">
      <w:pPr>
        <w:spacing w:before="240" w:after="360" w:line="480" w:lineRule="auto"/>
        <w:ind w:firstLine="720"/>
        <w:jc w:val="both"/>
        <w:rPr>
          <w:rFonts w:ascii="Arial" w:hAnsi="Arial" w:cs="Arial"/>
        </w:rPr>
      </w:pPr>
      <w:r w:rsidRPr="006916B6">
        <w:rPr>
          <w:rFonts w:ascii="Arial" w:hAnsi="Arial" w:cs="Arial"/>
        </w:rPr>
        <w:t>1.</w:t>
      </w:r>
      <w:r w:rsidRPr="006916B6">
        <w:rPr>
          <w:rFonts w:ascii="Arial" w:hAnsi="Arial" w:cs="Arial"/>
        </w:rPr>
        <w:tab/>
        <w:t>The matter is referred to trial by action.</w:t>
      </w:r>
    </w:p>
    <w:p w14:paraId="0907C83D"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2.</w:t>
      </w:r>
      <w:r w:rsidRPr="006916B6">
        <w:rPr>
          <w:rFonts w:ascii="Arial" w:hAnsi="Arial" w:cs="Arial"/>
        </w:rPr>
        <w:tab/>
        <w:t>The Notice of Motion and Founding Affidavit(s) in the case number 25524/2019 are to serve as summons by the Applicant.</w:t>
      </w:r>
    </w:p>
    <w:p w14:paraId="0A997034"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3.</w:t>
      </w:r>
      <w:r w:rsidRPr="006916B6">
        <w:rPr>
          <w:rFonts w:ascii="Arial" w:hAnsi="Arial" w:cs="Arial"/>
        </w:rPr>
        <w:tab/>
        <w:t>The Notice of Intention to Oppose and Answering Affidavit(s) by the Respondents, are to serve as an Appearance to Defend.</w:t>
      </w:r>
    </w:p>
    <w:p w14:paraId="3B723C87"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4.</w:t>
      </w:r>
      <w:r w:rsidRPr="006916B6">
        <w:rPr>
          <w:rFonts w:ascii="Arial" w:hAnsi="Arial" w:cs="Arial"/>
        </w:rPr>
        <w:tab/>
        <w:t xml:space="preserve">The Applicant is to deliver her Declaration on or before Tuesday 19 April 2022. </w:t>
      </w:r>
    </w:p>
    <w:p w14:paraId="2888E561"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5.</w:t>
      </w:r>
      <w:r w:rsidRPr="006916B6">
        <w:rPr>
          <w:rFonts w:ascii="Arial" w:hAnsi="Arial" w:cs="Arial"/>
        </w:rPr>
        <w:tab/>
        <w:t>The Respondents are to deliver their Pleas to the Declaration within 15 (fifteen) days of delivery of the Declaration.</w:t>
      </w:r>
    </w:p>
    <w:p w14:paraId="26D48804"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6.</w:t>
      </w:r>
      <w:r w:rsidRPr="006916B6">
        <w:rPr>
          <w:rFonts w:ascii="Arial" w:hAnsi="Arial" w:cs="Arial"/>
        </w:rPr>
        <w:tab/>
        <w:t>The Applicant is to deliver her Replication, if any, within 5 (five) days of delivery of the Plea.</w:t>
      </w:r>
    </w:p>
    <w:p w14:paraId="4272C9C2"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7.</w:t>
      </w:r>
      <w:r w:rsidRPr="006916B6">
        <w:rPr>
          <w:rFonts w:ascii="Arial" w:hAnsi="Arial" w:cs="Arial"/>
        </w:rPr>
        <w:tab/>
        <w:t>Discovery of documents etc. by the parties including any expert notices should be delivered simultaneously by the parties on or before the date pf 20 May 2022.</w:t>
      </w:r>
    </w:p>
    <w:p w14:paraId="48B2FC2E" w14:textId="77777777" w:rsidR="006916B6" w:rsidRPr="006916B6" w:rsidRDefault="006916B6" w:rsidP="006916B6">
      <w:pPr>
        <w:spacing w:before="240" w:after="360" w:line="480" w:lineRule="auto"/>
        <w:ind w:left="1440" w:hanging="720"/>
        <w:jc w:val="both"/>
        <w:rPr>
          <w:rFonts w:ascii="Arial" w:hAnsi="Arial" w:cs="Arial"/>
        </w:rPr>
      </w:pPr>
      <w:r w:rsidRPr="006916B6">
        <w:rPr>
          <w:rFonts w:ascii="Arial" w:hAnsi="Arial" w:cs="Arial"/>
        </w:rPr>
        <w:t>8.</w:t>
      </w:r>
      <w:r w:rsidRPr="006916B6">
        <w:rPr>
          <w:rFonts w:ascii="Arial" w:hAnsi="Arial" w:cs="Arial"/>
        </w:rPr>
        <w:tab/>
        <w:t>A judicial Pre-Trial Conference is to be held with the parties on or before Friday, 27 May 2022.</w:t>
      </w:r>
    </w:p>
    <w:p w14:paraId="488506EA" w14:textId="15814F59" w:rsidR="00D221C4" w:rsidRPr="006916B6" w:rsidRDefault="006916B6" w:rsidP="006916B6">
      <w:pPr>
        <w:spacing w:before="240" w:after="360" w:line="480" w:lineRule="auto"/>
        <w:ind w:firstLine="720"/>
        <w:jc w:val="both"/>
        <w:rPr>
          <w:rFonts w:ascii="Arial" w:hAnsi="Arial" w:cs="Arial"/>
        </w:rPr>
      </w:pPr>
      <w:r w:rsidRPr="006916B6">
        <w:rPr>
          <w:rFonts w:ascii="Arial" w:hAnsi="Arial" w:cs="Arial"/>
        </w:rPr>
        <w:t>9.</w:t>
      </w:r>
      <w:r w:rsidRPr="006916B6">
        <w:rPr>
          <w:rFonts w:ascii="Arial" w:hAnsi="Arial" w:cs="Arial"/>
        </w:rPr>
        <w:tab/>
        <w:t>Costs to be costs in the action.</w:t>
      </w:r>
    </w:p>
    <w:p w14:paraId="15BE416D" w14:textId="12A92E46" w:rsidR="00D221C4" w:rsidRDefault="00D221C4" w:rsidP="00D40C62">
      <w:pPr>
        <w:pStyle w:val="ListParagraph"/>
        <w:spacing w:before="240" w:after="360" w:line="480" w:lineRule="auto"/>
        <w:ind w:left="1440"/>
        <w:contextualSpacing w:val="0"/>
        <w:jc w:val="both"/>
        <w:rPr>
          <w:rFonts w:ascii="Arial" w:hAnsi="Arial" w:cs="Arial"/>
        </w:rPr>
      </w:pPr>
    </w:p>
    <w:p w14:paraId="7F60DBBD" w14:textId="4D472FCA" w:rsidR="00D221C4" w:rsidRDefault="00D221C4" w:rsidP="00D40C62">
      <w:pPr>
        <w:pStyle w:val="ListParagraph"/>
        <w:spacing w:before="240" w:after="360" w:line="480" w:lineRule="auto"/>
        <w:ind w:left="1440"/>
        <w:contextualSpacing w:val="0"/>
        <w:jc w:val="both"/>
        <w:rPr>
          <w:rFonts w:ascii="Arial" w:hAnsi="Arial" w:cs="Arial"/>
        </w:rPr>
      </w:pPr>
    </w:p>
    <w:p w14:paraId="3F013A04" w14:textId="686B53CD" w:rsidR="00D221C4" w:rsidRDefault="00D221C4" w:rsidP="00D40C62">
      <w:pPr>
        <w:pStyle w:val="ListParagraph"/>
        <w:spacing w:before="240" w:after="360" w:line="480" w:lineRule="auto"/>
        <w:ind w:left="1440"/>
        <w:contextualSpacing w:val="0"/>
        <w:jc w:val="both"/>
        <w:rPr>
          <w:rFonts w:ascii="Arial" w:hAnsi="Arial" w:cs="Arial"/>
        </w:rPr>
      </w:pPr>
    </w:p>
    <w:p w14:paraId="787ABC9B" w14:textId="1F6CE2D4" w:rsidR="00D221C4" w:rsidRDefault="00D221C4" w:rsidP="00D40C62">
      <w:pPr>
        <w:pStyle w:val="ListParagraph"/>
        <w:spacing w:before="240" w:after="360" w:line="480" w:lineRule="auto"/>
        <w:ind w:left="1440"/>
        <w:contextualSpacing w:val="0"/>
        <w:jc w:val="both"/>
        <w:rPr>
          <w:rFonts w:ascii="Arial" w:hAnsi="Arial" w:cs="Arial"/>
        </w:rPr>
      </w:pPr>
    </w:p>
    <w:p w14:paraId="2F46A107" w14:textId="0AAF4F67" w:rsidR="00D221C4" w:rsidRDefault="00D221C4" w:rsidP="00D40C62">
      <w:pPr>
        <w:pStyle w:val="ListParagraph"/>
        <w:spacing w:before="240" w:after="360" w:line="480" w:lineRule="auto"/>
        <w:ind w:left="1440"/>
        <w:contextualSpacing w:val="0"/>
        <w:jc w:val="both"/>
        <w:rPr>
          <w:rFonts w:ascii="Arial" w:hAnsi="Arial" w:cs="Arial"/>
        </w:rPr>
      </w:pPr>
    </w:p>
    <w:p w14:paraId="0285CF27" w14:textId="50D035D3" w:rsidR="00D221C4" w:rsidRDefault="00D221C4" w:rsidP="00D40C62">
      <w:pPr>
        <w:pStyle w:val="ListParagraph"/>
        <w:spacing w:before="240" w:after="360" w:line="480" w:lineRule="auto"/>
        <w:ind w:left="1440"/>
        <w:contextualSpacing w:val="0"/>
        <w:jc w:val="both"/>
        <w:rPr>
          <w:rFonts w:ascii="Arial" w:hAnsi="Arial" w:cs="Arial"/>
        </w:rPr>
      </w:pPr>
    </w:p>
    <w:p w14:paraId="5EADD2BE" w14:textId="78AE29FE" w:rsidR="00D221C4" w:rsidRDefault="00D221C4" w:rsidP="00D40C62">
      <w:pPr>
        <w:pStyle w:val="ListParagraph"/>
        <w:spacing w:before="240" w:after="360" w:line="480" w:lineRule="auto"/>
        <w:ind w:left="1440"/>
        <w:contextualSpacing w:val="0"/>
        <w:jc w:val="both"/>
        <w:rPr>
          <w:rFonts w:ascii="Arial" w:hAnsi="Arial" w:cs="Arial"/>
        </w:rPr>
      </w:pPr>
    </w:p>
    <w:p w14:paraId="4C8DE37E" w14:textId="5348C08E" w:rsidR="00D221C4" w:rsidRDefault="00D221C4" w:rsidP="00D40C62">
      <w:pPr>
        <w:pStyle w:val="ListParagraph"/>
        <w:spacing w:before="240" w:after="360" w:line="480" w:lineRule="auto"/>
        <w:ind w:left="1440"/>
        <w:contextualSpacing w:val="0"/>
        <w:jc w:val="both"/>
        <w:rPr>
          <w:rFonts w:ascii="Arial" w:hAnsi="Arial" w:cs="Arial"/>
        </w:rPr>
      </w:pPr>
    </w:p>
    <w:p w14:paraId="290FDF67" w14:textId="3CB57A64" w:rsidR="00D221C4" w:rsidRDefault="00D221C4" w:rsidP="00D40C62">
      <w:pPr>
        <w:pStyle w:val="ListParagraph"/>
        <w:spacing w:before="240" w:after="360" w:line="480" w:lineRule="auto"/>
        <w:ind w:left="1440"/>
        <w:contextualSpacing w:val="0"/>
        <w:jc w:val="both"/>
        <w:rPr>
          <w:rFonts w:ascii="Arial" w:hAnsi="Arial" w:cs="Arial"/>
        </w:rPr>
      </w:pPr>
    </w:p>
    <w:p w14:paraId="19252998" w14:textId="13A1DE13" w:rsidR="00D221C4" w:rsidRDefault="00D221C4" w:rsidP="00D40C62">
      <w:pPr>
        <w:pStyle w:val="ListParagraph"/>
        <w:spacing w:before="240" w:after="360" w:line="480" w:lineRule="auto"/>
        <w:ind w:left="1440"/>
        <w:contextualSpacing w:val="0"/>
        <w:jc w:val="both"/>
        <w:rPr>
          <w:rFonts w:ascii="Arial" w:hAnsi="Arial" w:cs="Arial"/>
        </w:rPr>
      </w:pPr>
    </w:p>
    <w:p w14:paraId="43D14A48" w14:textId="46A9F02D" w:rsidR="00D221C4" w:rsidRDefault="00D221C4" w:rsidP="00D40C62">
      <w:pPr>
        <w:pStyle w:val="ListParagraph"/>
        <w:spacing w:before="240" w:after="360" w:line="480" w:lineRule="auto"/>
        <w:ind w:left="1440"/>
        <w:contextualSpacing w:val="0"/>
        <w:jc w:val="both"/>
        <w:rPr>
          <w:rFonts w:ascii="Arial" w:hAnsi="Arial" w:cs="Arial"/>
        </w:rPr>
      </w:pPr>
    </w:p>
    <w:p w14:paraId="006FD5AE" w14:textId="541F0519" w:rsidR="00D221C4" w:rsidRDefault="00D221C4" w:rsidP="00D40C62">
      <w:pPr>
        <w:pStyle w:val="ListParagraph"/>
        <w:spacing w:before="240" w:after="360" w:line="480" w:lineRule="auto"/>
        <w:ind w:left="1440"/>
        <w:contextualSpacing w:val="0"/>
        <w:jc w:val="both"/>
        <w:rPr>
          <w:rFonts w:ascii="Arial" w:hAnsi="Arial" w:cs="Arial"/>
        </w:rPr>
      </w:pPr>
    </w:p>
    <w:p w14:paraId="45138545" w14:textId="1A03B670" w:rsidR="00D221C4" w:rsidRDefault="00D221C4" w:rsidP="00D40C62">
      <w:pPr>
        <w:pStyle w:val="ListParagraph"/>
        <w:spacing w:before="240" w:after="360" w:line="480" w:lineRule="auto"/>
        <w:ind w:left="1440"/>
        <w:contextualSpacing w:val="0"/>
        <w:jc w:val="both"/>
        <w:rPr>
          <w:rFonts w:ascii="Arial" w:hAnsi="Arial" w:cs="Arial"/>
        </w:rPr>
      </w:pPr>
    </w:p>
    <w:p w14:paraId="1B7AA7E1" w14:textId="1FF1B630" w:rsidR="00D221C4" w:rsidRDefault="00D221C4" w:rsidP="00D40C62">
      <w:pPr>
        <w:pStyle w:val="ListParagraph"/>
        <w:spacing w:before="240" w:after="360" w:line="480" w:lineRule="auto"/>
        <w:ind w:left="1440"/>
        <w:contextualSpacing w:val="0"/>
        <w:jc w:val="both"/>
        <w:rPr>
          <w:rFonts w:ascii="Arial" w:hAnsi="Arial" w:cs="Arial"/>
        </w:rPr>
      </w:pPr>
    </w:p>
    <w:p w14:paraId="16E70431" w14:textId="0878F1F7" w:rsidR="00D221C4" w:rsidRDefault="00D221C4" w:rsidP="00D40C62">
      <w:pPr>
        <w:pStyle w:val="ListParagraph"/>
        <w:spacing w:before="240" w:after="360" w:line="480" w:lineRule="auto"/>
        <w:ind w:left="1440"/>
        <w:contextualSpacing w:val="0"/>
        <w:jc w:val="both"/>
        <w:rPr>
          <w:rFonts w:ascii="Arial" w:hAnsi="Arial" w:cs="Arial"/>
        </w:rPr>
      </w:pPr>
    </w:p>
    <w:p w14:paraId="22E75405" w14:textId="77777777" w:rsidR="00D221C4" w:rsidRDefault="00D221C4" w:rsidP="00D40C62">
      <w:pPr>
        <w:pStyle w:val="ListParagraph"/>
        <w:spacing w:before="240" w:after="360" w:line="480" w:lineRule="auto"/>
        <w:ind w:left="1440"/>
        <w:contextualSpacing w:val="0"/>
        <w:jc w:val="both"/>
        <w:rPr>
          <w:rFonts w:ascii="Arial" w:hAnsi="Arial" w:cs="Arial"/>
        </w:rPr>
      </w:pPr>
    </w:p>
    <w:p w14:paraId="1080D840" w14:textId="77777777" w:rsidR="00D221C4" w:rsidRPr="00D40C62" w:rsidRDefault="00D221C4" w:rsidP="00D40C62">
      <w:pPr>
        <w:pStyle w:val="ListParagraph"/>
        <w:spacing w:before="240" w:after="360" w:line="480" w:lineRule="auto"/>
        <w:ind w:left="1440"/>
        <w:contextualSpacing w:val="0"/>
        <w:jc w:val="both"/>
        <w:rPr>
          <w:rFonts w:ascii="Arial" w:hAnsi="Arial" w:cs="Arial"/>
        </w:rPr>
      </w:pPr>
    </w:p>
    <w:p w14:paraId="7B4F9DD8" w14:textId="7E0BC551" w:rsidR="00E5367A" w:rsidRPr="00E5367A" w:rsidRDefault="00E5367A" w:rsidP="00E5367A">
      <w:pPr>
        <w:pStyle w:val="ListParagraph"/>
        <w:spacing w:line="360" w:lineRule="auto"/>
        <w:ind w:left="2880" w:firstLine="720"/>
        <w:contextualSpacing w:val="0"/>
        <w:jc w:val="center"/>
        <w:rPr>
          <w:rFonts w:ascii="Arial" w:hAnsi="Arial" w:cs="Arial"/>
          <w:b/>
        </w:rPr>
      </w:pPr>
      <w:r w:rsidRPr="00E5367A">
        <w:rPr>
          <w:rFonts w:ascii="Arial" w:hAnsi="Arial" w:cs="Arial"/>
          <w:b/>
        </w:rPr>
        <w:t>_____________________________________</w:t>
      </w:r>
      <w:r w:rsidR="007C02BD">
        <w:rPr>
          <w:rFonts w:ascii="Arial" w:hAnsi="Arial" w:cs="Arial"/>
          <w:b/>
        </w:rPr>
        <w:t>___</w:t>
      </w:r>
    </w:p>
    <w:p w14:paraId="5039945B" w14:textId="6D9C2A23" w:rsidR="00D221C4" w:rsidRPr="00D221C4" w:rsidRDefault="003E2BFF" w:rsidP="00D221C4">
      <w:pPr>
        <w:pStyle w:val="ListParagraph"/>
        <w:spacing w:line="276" w:lineRule="auto"/>
        <w:ind w:left="2880" w:firstLine="720"/>
        <w:contextualSpacing w:val="0"/>
        <w:jc w:val="right"/>
        <w:rPr>
          <w:rFonts w:ascii="Arial" w:hAnsi="Arial" w:cs="Arial"/>
          <w:b/>
        </w:rPr>
      </w:pPr>
      <w:r>
        <w:rPr>
          <w:rFonts w:ascii="Arial" w:hAnsi="Arial" w:cs="Arial"/>
          <w:b/>
        </w:rPr>
        <w:t>M ENGELBRECHT</w:t>
      </w:r>
    </w:p>
    <w:p w14:paraId="6E41A1A0" w14:textId="4981051A" w:rsidR="00E5367A" w:rsidRPr="00E5367A" w:rsidRDefault="00E5367A" w:rsidP="007C02BD">
      <w:pPr>
        <w:pStyle w:val="ListParagraph"/>
        <w:spacing w:line="276" w:lineRule="auto"/>
        <w:ind w:left="2880" w:firstLine="720"/>
        <w:contextualSpacing w:val="0"/>
        <w:jc w:val="right"/>
        <w:rPr>
          <w:rFonts w:ascii="Arial" w:hAnsi="Arial" w:cs="Arial"/>
          <w:b/>
        </w:rPr>
      </w:pPr>
      <w:r w:rsidRPr="00E5367A">
        <w:rPr>
          <w:rFonts w:ascii="Arial" w:hAnsi="Arial" w:cs="Arial"/>
          <w:b/>
        </w:rPr>
        <w:t>ACTING JUDGE OF THE HIGH COURT</w:t>
      </w:r>
    </w:p>
    <w:p w14:paraId="75AD917B" w14:textId="157A6235" w:rsidR="00E5367A" w:rsidRDefault="00E5367A" w:rsidP="007C02BD">
      <w:pPr>
        <w:pStyle w:val="ListParagraph"/>
        <w:spacing w:line="276" w:lineRule="auto"/>
        <w:ind w:left="2880" w:firstLine="720"/>
        <w:contextualSpacing w:val="0"/>
        <w:jc w:val="right"/>
        <w:rPr>
          <w:rFonts w:ascii="Arial" w:hAnsi="Arial" w:cs="Arial"/>
          <w:b/>
        </w:rPr>
      </w:pPr>
      <w:r w:rsidRPr="00E5367A">
        <w:rPr>
          <w:rFonts w:ascii="Arial" w:hAnsi="Arial" w:cs="Arial"/>
          <w:b/>
        </w:rPr>
        <w:t>GAUTENG LOCAL DIVISION, JOHANNESBURG</w:t>
      </w:r>
    </w:p>
    <w:p w14:paraId="13163ECF" w14:textId="77777777" w:rsidR="00E5367A" w:rsidRDefault="00E5367A" w:rsidP="00E5367A">
      <w:pPr>
        <w:pStyle w:val="ListParagraph"/>
        <w:spacing w:line="360" w:lineRule="auto"/>
        <w:ind w:left="2880" w:firstLine="720"/>
        <w:contextualSpacing w:val="0"/>
        <w:jc w:val="center"/>
        <w:rPr>
          <w:rFonts w:ascii="Arial" w:hAnsi="Arial" w:cs="Arial"/>
          <w:b/>
        </w:rPr>
      </w:pPr>
    </w:p>
    <w:p w14:paraId="7FDDA740" w14:textId="788B436D" w:rsidR="00E5367A" w:rsidRDefault="00E5367A" w:rsidP="00D40C62">
      <w:pPr>
        <w:spacing w:line="360" w:lineRule="auto"/>
        <w:jc w:val="both"/>
        <w:rPr>
          <w:rFonts w:ascii="Arial" w:hAnsi="Arial" w:cs="Arial"/>
          <w:u w:val="single"/>
        </w:rPr>
      </w:pPr>
      <w:r w:rsidRPr="00E5367A">
        <w:rPr>
          <w:rFonts w:ascii="Arial" w:hAnsi="Arial" w:cs="Arial"/>
          <w:u w:val="single"/>
        </w:rPr>
        <w:t>Appearances</w:t>
      </w:r>
    </w:p>
    <w:p w14:paraId="11A699FF" w14:textId="45F6F2DE" w:rsidR="00E5367A" w:rsidRPr="007C02BD" w:rsidRDefault="00E5367A" w:rsidP="00D40C62">
      <w:pPr>
        <w:spacing w:line="360" w:lineRule="auto"/>
        <w:jc w:val="both"/>
        <w:rPr>
          <w:rFonts w:ascii="Arial" w:hAnsi="Arial" w:cs="Arial"/>
        </w:rPr>
      </w:pPr>
      <w:r w:rsidRPr="007C02BD">
        <w:rPr>
          <w:rFonts w:ascii="Arial" w:hAnsi="Arial" w:cs="Arial"/>
        </w:rPr>
        <w:t>For the applicant</w:t>
      </w:r>
      <w:r w:rsidR="007C02BD">
        <w:rPr>
          <w:rFonts w:ascii="Arial" w:hAnsi="Arial" w:cs="Arial"/>
        </w:rPr>
        <w:t>s</w:t>
      </w:r>
      <w:r w:rsidRPr="007C02BD">
        <w:rPr>
          <w:rFonts w:ascii="Arial" w:hAnsi="Arial" w:cs="Arial"/>
        </w:rPr>
        <w:t>:</w:t>
      </w:r>
      <w:r w:rsidR="007C02BD">
        <w:rPr>
          <w:rFonts w:ascii="Arial" w:hAnsi="Arial" w:cs="Arial"/>
        </w:rPr>
        <w:t xml:space="preserve"> </w:t>
      </w:r>
      <w:r w:rsidR="00C6462E">
        <w:rPr>
          <w:rFonts w:ascii="Arial" w:hAnsi="Arial" w:cs="Arial"/>
        </w:rPr>
        <w:tab/>
      </w:r>
      <w:r w:rsidR="00C6462E">
        <w:rPr>
          <w:rFonts w:ascii="Arial" w:hAnsi="Arial" w:cs="Arial"/>
        </w:rPr>
        <w:tab/>
      </w:r>
    </w:p>
    <w:p w14:paraId="4F489108" w14:textId="67BB42D9" w:rsidR="00E5367A" w:rsidRPr="007C02BD" w:rsidRDefault="00E5367A" w:rsidP="00D40C62">
      <w:pPr>
        <w:spacing w:line="360" w:lineRule="auto"/>
        <w:jc w:val="both"/>
        <w:rPr>
          <w:rFonts w:ascii="Arial" w:hAnsi="Arial" w:cs="Arial"/>
        </w:rPr>
      </w:pPr>
      <w:r w:rsidRPr="007C02BD">
        <w:rPr>
          <w:rFonts w:ascii="Arial" w:hAnsi="Arial" w:cs="Arial"/>
        </w:rPr>
        <w:t>Instructed by:</w:t>
      </w:r>
      <w:r w:rsidR="00C6462E">
        <w:rPr>
          <w:rFonts w:ascii="Arial" w:hAnsi="Arial" w:cs="Arial"/>
        </w:rPr>
        <w:t xml:space="preserve"> </w:t>
      </w:r>
      <w:r w:rsidR="00C6462E">
        <w:rPr>
          <w:rFonts w:ascii="Arial" w:hAnsi="Arial" w:cs="Arial"/>
        </w:rPr>
        <w:tab/>
      </w:r>
      <w:r w:rsidR="00C6462E">
        <w:rPr>
          <w:rFonts w:ascii="Arial" w:hAnsi="Arial" w:cs="Arial"/>
        </w:rPr>
        <w:tab/>
      </w:r>
    </w:p>
    <w:p w14:paraId="6957BC83" w14:textId="4BF478DD" w:rsidR="00E5367A" w:rsidRDefault="00E5367A" w:rsidP="00D40C62">
      <w:pPr>
        <w:spacing w:line="360" w:lineRule="auto"/>
        <w:jc w:val="both"/>
        <w:rPr>
          <w:rFonts w:ascii="Arial" w:hAnsi="Arial" w:cs="Arial"/>
        </w:rPr>
      </w:pPr>
      <w:r w:rsidRPr="007C02BD">
        <w:rPr>
          <w:rFonts w:ascii="Arial" w:hAnsi="Arial" w:cs="Arial"/>
        </w:rPr>
        <w:t>For the respondent</w:t>
      </w:r>
      <w:r w:rsidR="007C02BD">
        <w:rPr>
          <w:rFonts w:ascii="Arial" w:hAnsi="Arial" w:cs="Arial"/>
        </w:rPr>
        <w:t xml:space="preserve">s: </w:t>
      </w:r>
      <w:r w:rsidR="00C6462E">
        <w:rPr>
          <w:rFonts w:ascii="Arial" w:hAnsi="Arial" w:cs="Arial"/>
        </w:rPr>
        <w:tab/>
      </w:r>
    </w:p>
    <w:p w14:paraId="5D88F5F2" w14:textId="04563CFD" w:rsidR="00C6462E" w:rsidRDefault="00C6462E" w:rsidP="00D40C62">
      <w:pPr>
        <w:spacing w:line="360" w:lineRule="auto"/>
        <w:jc w:val="both"/>
        <w:rPr>
          <w:rFonts w:ascii="Arial" w:hAnsi="Arial" w:cs="Arial"/>
        </w:rPr>
      </w:pPr>
      <w:r>
        <w:rPr>
          <w:rFonts w:ascii="Arial" w:hAnsi="Arial" w:cs="Arial"/>
        </w:rPr>
        <w:t xml:space="preserve">Instructed by: </w:t>
      </w:r>
      <w:r>
        <w:rPr>
          <w:rFonts w:ascii="Arial" w:hAnsi="Arial" w:cs="Arial"/>
        </w:rPr>
        <w:tab/>
      </w:r>
      <w:r>
        <w:rPr>
          <w:rFonts w:ascii="Arial" w:hAnsi="Arial" w:cs="Arial"/>
        </w:rPr>
        <w:tab/>
      </w:r>
    </w:p>
    <w:p w14:paraId="0D08600A" w14:textId="77FB3F3F" w:rsidR="00C6462E" w:rsidRPr="007C02BD" w:rsidRDefault="00C6462E" w:rsidP="00D40C62">
      <w:pPr>
        <w:spacing w:line="360" w:lineRule="auto"/>
        <w:jc w:val="both"/>
        <w:rPr>
          <w:rFonts w:ascii="Arial" w:hAnsi="Arial" w:cs="Arial"/>
        </w:rPr>
      </w:pPr>
      <w:r>
        <w:rPr>
          <w:rFonts w:ascii="Arial" w:hAnsi="Arial" w:cs="Arial"/>
        </w:rPr>
        <w:t>Date of hearing:</w:t>
      </w:r>
      <w:r>
        <w:rPr>
          <w:rFonts w:ascii="Arial" w:hAnsi="Arial" w:cs="Arial"/>
        </w:rPr>
        <w:tab/>
      </w:r>
      <w:r>
        <w:rPr>
          <w:rFonts w:ascii="Arial" w:hAnsi="Arial" w:cs="Arial"/>
        </w:rPr>
        <w:tab/>
      </w:r>
    </w:p>
    <w:sectPr w:rsidR="00C6462E" w:rsidRPr="007C02BD" w:rsidSect="00F369A3">
      <w:headerReference w:type="even" r:id="rId9"/>
      <w:headerReference w:type="default" r:id="rId10"/>
      <w:pgSz w:w="11900" w:h="16840"/>
      <w:pgMar w:top="1426" w:right="1440" w:bottom="10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3288" w14:textId="77777777" w:rsidR="00232C3E" w:rsidRDefault="00232C3E" w:rsidP="00F7273F">
      <w:r>
        <w:separator/>
      </w:r>
    </w:p>
  </w:endnote>
  <w:endnote w:type="continuationSeparator" w:id="0">
    <w:p w14:paraId="4FA3626E" w14:textId="77777777" w:rsidR="00232C3E" w:rsidRDefault="00232C3E" w:rsidP="00F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613EA" w14:textId="77777777" w:rsidR="00232C3E" w:rsidRDefault="00232C3E" w:rsidP="00F7273F">
      <w:r>
        <w:separator/>
      </w:r>
    </w:p>
  </w:footnote>
  <w:footnote w:type="continuationSeparator" w:id="0">
    <w:p w14:paraId="1E76FCFC" w14:textId="77777777" w:rsidR="00232C3E" w:rsidRDefault="00232C3E" w:rsidP="00F7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5520645"/>
      <w:docPartObj>
        <w:docPartGallery w:val="Page Numbers (Top of Page)"/>
        <w:docPartUnique/>
      </w:docPartObj>
    </w:sdtPr>
    <w:sdtEndPr>
      <w:rPr>
        <w:rStyle w:val="PageNumber"/>
      </w:rPr>
    </w:sdtEndPr>
    <w:sdtContent>
      <w:p w14:paraId="055D71AE" w14:textId="3D51A2C1" w:rsidR="00026624" w:rsidRDefault="00026624" w:rsidP="000266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C032E" w14:textId="77777777" w:rsidR="00026624" w:rsidRDefault="00026624" w:rsidP="00F727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041787093"/>
      <w:docPartObj>
        <w:docPartGallery w:val="Page Numbers (Top of Page)"/>
        <w:docPartUnique/>
      </w:docPartObj>
    </w:sdtPr>
    <w:sdtEndPr>
      <w:rPr>
        <w:rStyle w:val="PageNumber"/>
      </w:rPr>
    </w:sdtEndPr>
    <w:sdtContent>
      <w:p w14:paraId="7814EBAE" w14:textId="6A6A7623" w:rsidR="00026624" w:rsidRPr="00977603" w:rsidRDefault="00026624" w:rsidP="00026624">
        <w:pPr>
          <w:pStyle w:val="Header"/>
          <w:framePr w:wrap="none" w:vAnchor="text" w:hAnchor="margin" w:xAlign="right" w:y="1"/>
          <w:rPr>
            <w:rStyle w:val="PageNumber"/>
            <w:rFonts w:ascii="Arial" w:hAnsi="Arial" w:cs="Arial"/>
          </w:rPr>
        </w:pPr>
        <w:r w:rsidRPr="00977603">
          <w:rPr>
            <w:rStyle w:val="PageNumber"/>
            <w:rFonts w:ascii="Arial" w:hAnsi="Arial" w:cs="Arial"/>
          </w:rPr>
          <w:fldChar w:fldCharType="begin"/>
        </w:r>
        <w:r w:rsidRPr="00977603">
          <w:rPr>
            <w:rStyle w:val="PageNumber"/>
            <w:rFonts w:ascii="Arial" w:hAnsi="Arial" w:cs="Arial"/>
          </w:rPr>
          <w:instrText xml:space="preserve"> PAGE </w:instrText>
        </w:r>
        <w:r w:rsidRPr="00977603">
          <w:rPr>
            <w:rStyle w:val="PageNumber"/>
            <w:rFonts w:ascii="Arial" w:hAnsi="Arial" w:cs="Arial"/>
          </w:rPr>
          <w:fldChar w:fldCharType="separate"/>
        </w:r>
        <w:r w:rsidR="00103F5E">
          <w:rPr>
            <w:rStyle w:val="PageNumber"/>
            <w:rFonts w:ascii="Arial" w:hAnsi="Arial" w:cs="Arial"/>
            <w:noProof/>
          </w:rPr>
          <w:t>7</w:t>
        </w:r>
        <w:r w:rsidRPr="00977603">
          <w:rPr>
            <w:rStyle w:val="PageNumber"/>
            <w:rFonts w:ascii="Arial" w:hAnsi="Arial" w:cs="Arial"/>
          </w:rPr>
          <w:fldChar w:fldCharType="end"/>
        </w:r>
      </w:p>
    </w:sdtContent>
  </w:sdt>
  <w:p w14:paraId="12985D36" w14:textId="77777777" w:rsidR="00026624" w:rsidRDefault="00026624" w:rsidP="00F727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920"/>
    <w:multiLevelType w:val="hybridMultilevel"/>
    <w:tmpl w:val="EB409926"/>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8897C44"/>
    <w:multiLevelType w:val="hybridMultilevel"/>
    <w:tmpl w:val="281E511A"/>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3" w15:restartNumberingAfterBreak="0">
    <w:nsid w:val="1F826855"/>
    <w:multiLevelType w:val="hybridMultilevel"/>
    <w:tmpl w:val="810045D8"/>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378383C"/>
    <w:multiLevelType w:val="hybridMultilevel"/>
    <w:tmpl w:val="336AC9C0"/>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FF5565D"/>
    <w:multiLevelType w:val="hybridMultilevel"/>
    <w:tmpl w:val="5510DCAE"/>
    <w:lvl w:ilvl="0" w:tplc="AFFA7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B3681"/>
    <w:multiLevelType w:val="hybridMultilevel"/>
    <w:tmpl w:val="531CC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646AF2"/>
    <w:multiLevelType w:val="hybridMultilevel"/>
    <w:tmpl w:val="E800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A057D"/>
    <w:multiLevelType w:val="hybridMultilevel"/>
    <w:tmpl w:val="BBDA2482"/>
    <w:lvl w:ilvl="0" w:tplc="25185A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0B"/>
    <w:rsid w:val="00002AEC"/>
    <w:rsid w:val="00004AEA"/>
    <w:rsid w:val="00006878"/>
    <w:rsid w:val="00020027"/>
    <w:rsid w:val="00024B03"/>
    <w:rsid w:val="00026624"/>
    <w:rsid w:val="000318EF"/>
    <w:rsid w:val="0004755C"/>
    <w:rsid w:val="00063EB4"/>
    <w:rsid w:val="000656F6"/>
    <w:rsid w:val="000814AE"/>
    <w:rsid w:val="0008363A"/>
    <w:rsid w:val="00084E8C"/>
    <w:rsid w:val="00091BDD"/>
    <w:rsid w:val="000938A5"/>
    <w:rsid w:val="000B30DA"/>
    <w:rsid w:val="000B7DAE"/>
    <w:rsid w:val="000C6479"/>
    <w:rsid w:val="000D0551"/>
    <w:rsid w:val="000E074F"/>
    <w:rsid w:val="00101054"/>
    <w:rsid w:val="00103F5E"/>
    <w:rsid w:val="00104C3C"/>
    <w:rsid w:val="00122B14"/>
    <w:rsid w:val="00134B53"/>
    <w:rsid w:val="00135AAC"/>
    <w:rsid w:val="00143352"/>
    <w:rsid w:val="00153EE7"/>
    <w:rsid w:val="00160F89"/>
    <w:rsid w:val="001631A3"/>
    <w:rsid w:val="00172F9C"/>
    <w:rsid w:val="00191E7D"/>
    <w:rsid w:val="001E7EF6"/>
    <w:rsid w:val="001F67AE"/>
    <w:rsid w:val="00203281"/>
    <w:rsid w:val="002033C1"/>
    <w:rsid w:val="002156FC"/>
    <w:rsid w:val="002163D4"/>
    <w:rsid w:val="0022509F"/>
    <w:rsid w:val="00232228"/>
    <w:rsid w:val="00232C3E"/>
    <w:rsid w:val="00247D2A"/>
    <w:rsid w:val="00254075"/>
    <w:rsid w:val="002753FC"/>
    <w:rsid w:val="00276A82"/>
    <w:rsid w:val="00280C1A"/>
    <w:rsid w:val="002871F0"/>
    <w:rsid w:val="002E6076"/>
    <w:rsid w:val="002E64F1"/>
    <w:rsid w:val="002F2278"/>
    <w:rsid w:val="00302390"/>
    <w:rsid w:val="00313004"/>
    <w:rsid w:val="003137D3"/>
    <w:rsid w:val="00315D07"/>
    <w:rsid w:val="00317C8A"/>
    <w:rsid w:val="003425D3"/>
    <w:rsid w:val="00345FD3"/>
    <w:rsid w:val="003818CD"/>
    <w:rsid w:val="00381A88"/>
    <w:rsid w:val="00382212"/>
    <w:rsid w:val="0039028C"/>
    <w:rsid w:val="003B36FA"/>
    <w:rsid w:val="003C00E4"/>
    <w:rsid w:val="003C2BAD"/>
    <w:rsid w:val="003C5257"/>
    <w:rsid w:val="003E0160"/>
    <w:rsid w:val="003E2BFF"/>
    <w:rsid w:val="003E2DD3"/>
    <w:rsid w:val="003F3491"/>
    <w:rsid w:val="0041148D"/>
    <w:rsid w:val="00416377"/>
    <w:rsid w:val="0041761F"/>
    <w:rsid w:val="00427306"/>
    <w:rsid w:val="00437C07"/>
    <w:rsid w:val="004420AD"/>
    <w:rsid w:val="0044614A"/>
    <w:rsid w:val="004539DC"/>
    <w:rsid w:val="00467CD8"/>
    <w:rsid w:val="004701E8"/>
    <w:rsid w:val="004714A0"/>
    <w:rsid w:val="00472812"/>
    <w:rsid w:val="0048523C"/>
    <w:rsid w:val="00486AD5"/>
    <w:rsid w:val="004909D1"/>
    <w:rsid w:val="0049756F"/>
    <w:rsid w:val="004A3D93"/>
    <w:rsid w:val="004A64E0"/>
    <w:rsid w:val="004B230B"/>
    <w:rsid w:val="004B24D3"/>
    <w:rsid w:val="004B3826"/>
    <w:rsid w:val="004E3412"/>
    <w:rsid w:val="00504B9B"/>
    <w:rsid w:val="00510119"/>
    <w:rsid w:val="00510AA9"/>
    <w:rsid w:val="00545690"/>
    <w:rsid w:val="00561359"/>
    <w:rsid w:val="0056489F"/>
    <w:rsid w:val="005760A6"/>
    <w:rsid w:val="00586358"/>
    <w:rsid w:val="00591679"/>
    <w:rsid w:val="0059379D"/>
    <w:rsid w:val="005A250F"/>
    <w:rsid w:val="005C16F7"/>
    <w:rsid w:val="005C4F42"/>
    <w:rsid w:val="005E301B"/>
    <w:rsid w:val="00600D0B"/>
    <w:rsid w:val="00611B26"/>
    <w:rsid w:val="006201A0"/>
    <w:rsid w:val="00620F02"/>
    <w:rsid w:val="00641CC7"/>
    <w:rsid w:val="00647FCB"/>
    <w:rsid w:val="00652309"/>
    <w:rsid w:val="00657B5C"/>
    <w:rsid w:val="00663511"/>
    <w:rsid w:val="0067708C"/>
    <w:rsid w:val="006916B6"/>
    <w:rsid w:val="00691973"/>
    <w:rsid w:val="006A0C53"/>
    <w:rsid w:val="006B5D13"/>
    <w:rsid w:val="006B6EC0"/>
    <w:rsid w:val="006B73E1"/>
    <w:rsid w:val="006D0048"/>
    <w:rsid w:val="006D1FB1"/>
    <w:rsid w:val="006F67CB"/>
    <w:rsid w:val="007043EE"/>
    <w:rsid w:val="00705408"/>
    <w:rsid w:val="00707EF9"/>
    <w:rsid w:val="007164F4"/>
    <w:rsid w:val="0074201B"/>
    <w:rsid w:val="00762344"/>
    <w:rsid w:val="007751BD"/>
    <w:rsid w:val="007A3AF1"/>
    <w:rsid w:val="007A4347"/>
    <w:rsid w:val="007B4815"/>
    <w:rsid w:val="007B7245"/>
    <w:rsid w:val="007C02BD"/>
    <w:rsid w:val="007C4E4F"/>
    <w:rsid w:val="007C523E"/>
    <w:rsid w:val="007D34F6"/>
    <w:rsid w:val="007D4BCF"/>
    <w:rsid w:val="007F3FA2"/>
    <w:rsid w:val="007F7F24"/>
    <w:rsid w:val="0083106B"/>
    <w:rsid w:val="00833CE8"/>
    <w:rsid w:val="00834B68"/>
    <w:rsid w:val="0086110C"/>
    <w:rsid w:val="00863246"/>
    <w:rsid w:val="0086366D"/>
    <w:rsid w:val="0086405A"/>
    <w:rsid w:val="00873D8D"/>
    <w:rsid w:val="008752D7"/>
    <w:rsid w:val="00886DD7"/>
    <w:rsid w:val="00893F47"/>
    <w:rsid w:val="008968B5"/>
    <w:rsid w:val="008B07F0"/>
    <w:rsid w:val="008C113D"/>
    <w:rsid w:val="008D1415"/>
    <w:rsid w:val="008E4699"/>
    <w:rsid w:val="008E490C"/>
    <w:rsid w:val="008F1D84"/>
    <w:rsid w:val="008F2F77"/>
    <w:rsid w:val="008F47EE"/>
    <w:rsid w:val="00900726"/>
    <w:rsid w:val="009025C1"/>
    <w:rsid w:val="009149E7"/>
    <w:rsid w:val="0094122B"/>
    <w:rsid w:val="0095030F"/>
    <w:rsid w:val="009715DC"/>
    <w:rsid w:val="00977603"/>
    <w:rsid w:val="00982F05"/>
    <w:rsid w:val="009A3F2C"/>
    <w:rsid w:val="009A4B80"/>
    <w:rsid w:val="009C7758"/>
    <w:rsid w:val="009D1600"/>
    <w:rsid w:val="009E6651"/>
    <w:rsid w:val="00A21E6E"/>
    <w:rsid w:val="00A23D94"/>
    <w:rsid w:val="00A31E4E"/>
    <w:rsid w:val="00A32414"/>
    <w:rsid w:val="00A40949"/>
    <w:rsid w:val="00A4146B"/>
    <w:rsid w:val="00A45EC1"/>
    <w:rsid w:val="00A609BB"/>
    <w:rsid w:val="00A90822"/>
    <w:rsid w:val="00AA2C33"/>
    <w:rsid w:val="00AA37BB"/>
    <w:rsid w:val="00AC0CEB"/>
    <w:rsid w:val="00AD3140"/>
    <w:rsid w:val="00AE77FB"/>
    <w:rsid w:val="00AF108F"/>
    <w:rsid w:val="00AF3274"/>
    <w:rsid w:val="00AF6D66"/>
    <w:rsid w:val="00B00E01"/>
    <w:rsid w:val="00B030C7"/>
    <w:rsid w:val="00B06767"/>
    <w:rsid w:val="00B23A19"/>
    <w:rsid w:val="00B33784"/>
    <w:rsid w:val="00B344A3"/>
    <w:rsid w:val="00B44A56"/>
    <w:rsid w:val="00B57741"/>
    <w:rsid w:val="00B64957"/>
    <w:rsid w:val="00B81C19"/>
    <w:rsid w:val="00B92FA7"/>
    <w:rsid w:val="00BA3363"/>
    <w:rsid w:val="00BC06C0"/>
    <w:rsid w:val="00BC213A"/>
    <w:rsid w:val="00BC3E09"/>
    <w:rsid w:val="00BE3990"/>
    <w:rsid w:val="00BF3F7D"/>
    <w:rsid w:val="00C04DB7"/>
    <w:rsid w:val="00C2316A"/>
    <w:rsid w:val="00C34066"/>
    <w:rsid w:val="00C3546C"/>
    <w:rsid w:val="00C416A2"/>
    <w:rsid w:val="00C54715"/>
    <w:rsid w:val="00C557E8"/>
    <w:rsid w:val="00C55A59"/>
    <w:rsid w:val="00C6462E"/>
    <w:rsid w:val="00C7113F"/>
    <w:rsid w:val="00C81489"/>
    <w:rsid w:val="00C85359"/>
    <w:rsid w:val="00C86B04"/>
    <w:rsid w:val="00C87FCD"/>
    <w:rsid w:val="00C956D1"/>
    <w:rsid w:val="00CA21FC"/>
    <w:rsid w:val="00CC4060"/>
    <w:rsid w:val="00CC4373"/>
    <w:rsid w:val="00CD7B84"/>
    <w:rsid w:val="00CE32F4"/>
    <w:rsid w:val="00CF1252"/>
    <w:rsid w:val="00D058F0"/>
    <w:rsid w:val="00D10DD8"/>
    <w:rsid w:val="00D221C4"/>
    <w:rsid w:val="00D32C24"/>
    <w:rsid w:val="00D37D50"/>
    <w:rsid w:val="00D40C62"/>
    <w:rsid w:val="00D45E3A"/>
    <w:rsid w:val="00D45F9C"/>
    <w:rsid w:val="00D47E3F"/>
    <w:rsid w:val="00D54AB4"/>
    <w:rsid w:val="00D672E8"/>
    <w:rsid w:val="00D74E20"/>
    <w:rsid w:val="00D81F71"/>
    <w:rsid w:val="00D86D83"/>
    <w:rsid w:val="00D9646A"/>
    <w:rsid w:val="00DE5DEA"/>
    <w:rsid w:val="00E05CD0"/>
    <w:rsid w:val="00E20250"/>
    <w:rsid w:val="00E25809"/>
    <w:rsid w:val="00E260A8"/>
    <w:rsid w:val="00E27B6D"/>
    <w:rsid w:val="00E45742"/>
    <w:rsid w:val="00E53594"/>
    <w:rsid w:val="00E5367A"/>
    <w:rsid w:val="00E54A27"/>
    <w:rsid w:val="00E55C1E"/>
    <w:rsid w:val="00E61A02"/>
    <w:rsid w:val="00E73125"/>
    <w:rsid w:val="00E8350A"/>
    <w:rsid w:val="00E93221"/>
    <w:rsid w:val="00E97700"/>
    <w:rsid w:val="00EB1471"/>
    <w:rsid w:val="00EB7952"/>
    <w:rsid w:val="00ED50AF"/>
    <w:rsid w:val="00EE64EB"/>
    <w:rsid w:val="00F10784"/>
    <w:rsid w:val="00F11FF9"/>
    <w:rsid w:val="00F15AB0"/>
    <w:rsid w:val="00F17A77"/>
    <w:rsid w:val="00F2374C"/>
    <w:rsid w:val="00F2520D"/>
    <w:rsid w:val="00F369A3"/>
    <w:rsid w:val="00F455B7"/>
    <w:rsid w:val="00F51ABE"/>
    <w:rsid w:val="00F7273F"/>
    <w:rsid w:val="00F7539A"/>
    <w:rsid w:val="00F8303C"/>
    <w:rsid w:val="00FB2177"/>
    <w:rsid w:val="00FB21C8"/>
    <w:rsid w:val="00FC0CAA"/>
    <w:rsid w:val="00FE1B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FA2F"/>
  <w15:chartTrackingRefBased/>
  <w15:docId w15:val="{AD483362-058F-D944-8A0B-BFDB0624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16377"/>
    <w:pPr>
      <w:keepNext/>
      <w:keepLines/>
      <w:spacing w:before="360" w:after="360"/>
      <w:outlineLvl w:val="0"/>
    </w:pPr>
    <w:rPr>
      <w:rFonts w:ascii="Arial" w:eastAsiaTheme="majorEastAsia" w:hAnsi="Arial" w:cs="Times New Roman (Headings CS)"/>
      <w:b/>
      <w:caps/>
      <w:szCs w:val="32"/>
    </w:rPr>
  </w:style>
  <w:style w:type="paragraph" w:styleId="Heading2">
    <w:name w:val="heading 2"/>
    <w:basedOn w:val="Normal"/>
    <w:next w:val="Normal"/>
    <w:link w:val="Heading2Char"/>
    <w:uiPriority w:val="9"/>
    <w:unhideWhenUsed/>
    <w:qFormat/>
    <w:rsid w:val="003E0160"/>
    <w:pPr>
      <w:keepNext/>
      <w:keepLines/>
      <w:spacing w:before="240" w:after="240"/>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A45EC1"/>
    <w:rPr>
      <w:rFonts w:ascii="Arial" w:hAnsi="Arial"/>
      <w:color w:val="auto"/>
      <w:sz w:val="24"/>
      <w:vertAlign w:val="superscript"/>
      <w:lang w:val="en-GB"/>
    </w:rPr>
  </w:style>
  <w:style w:type="table" w:styleId="TableGrid">
    <w:name w:val="Table Grid"/>
    <w:basedOn w:val="TableNormal"/>
    <w:uiPriority w:val="39"/>
    <w:rsid w:val="004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0B"/>
    <w:pPr>
      <w:ind w:left="720"/>
      <w:contextualSpacing/>
    </w:pPr>
  </w:style>
  <w:style w:type="character" w:customStyle="1" w:styleId="Heading1Char">
    <w:name w:val="Heading 1 Char"/>
    <w:basedOn w:val="DefaultParagraphFont"/>
    <w:link w:val="Heading1"/>
    <w:uiPriority w:val="9"/>
    <w:rsid w:val="00416377"/>
    <w:rPr>
      <w:rFonts w:ascii="Arial" w:eastAsiaTheme="majorEastAsia" w:hAnsi="Arial" w:cs="Times New Roman (Headings CS)"/>
      <w:b/>
      <w:caps/>
      <w:szCs w:val="32"/>
      <w:lang w:val="en-GB"/>
    </w:rPr>
  </w:style>
  <w:style w:type="paragraph" w:styleId="Header">
    <w:name w:val="header"/>
    <w:basedOn w:val="Normal"/>
    <w:link w:val="HeaderChar"/>
    <w:uiPriority w:val="99"/>
    <w:unhideWhenUsed/>
    <w:rsid w:val="00F7273F"/>
    <w:pPr>
      <w:tabs>
        <w:tab w:val="center" w:pos="4513"/>
        <w:tab w:val="right" w:pos="9026"/>
      </w:tabs>
    </w:pPr>
  </w:style>
  <w:style w:type="character" w:customStyle="1" w:styleId="HeaderChar">
    <w:name w:val="Header Char"/>
    <w:basedOn w:val="DefaultParagraphFont"/>
    <w:link w:val="Header"/>
    <w:uiPriority w:val="99"/>
    <w:rsid w:val="00F7273F"/>
    <w:rPr>
      <w:lang w:val="en-GB"/>
    </w:rPr>
  </w:style>
  <w:style w:type="paragraph" w:styleId="Footer">
    <w:name w:val="footer"/>
    <w:basedOn w:val="Normal"/>
    <w:link w:val="FooterChar"/>
    <w:uiPriority w:val="99"/>
    <w:unhideWhenUsed/>
    <w:rsid w:val="00F7273F"/>
    <w:pPr>
      <w:tabs>
        <w:tab w:val="center" w:pos="4513"/>
        <w:tab w:val="right" w:pos="9026"/>
      </w:tabs>
    </w:pPr>
  </w:style>
  <w:style w:type="character" w:customStyle="1" w:styleId="FooterChar">
    <w:name w:val="Footer Char"/>
    <w:basedOn w:val="DefaultParagraphFont"/>
    <w:link w:val="Footer"/>
    <w:uiPriority w:val="99"/>
    <w:rsid w:val="00F7273F"/>
    <w:rPr>
      <w:lang w:val="en-GB"/>
    </w:rPr>
  </w:style>
  <w:style w:type="character" w:styleId="PageNumber">
    <w:name w:val="page number"/>
    <w:basedOn w:val="DefaultParagraphFont"/>
    <w:uiPriority w:val="99"/>
    <w:semiHidden/>
    <w:unhideWhenUsed/>
    <w:rsid w:val="00F7273F"/>
  </w:style>
  <w:style w:type="paragraph" w:styleId="FootnoteText">
    <w:name w:val="footnote text"/>
    <w:basedOn w:val="Normal"/>
    <w:link w:val="FootnoteTextChar"/>
    <w:uiPriority w:val="99"/>
    <w:semiHidden/>
    <w:unhideWhenUsed/>
    <w:rsid w:val="00A45EC1"/>
    <w:pPr>
      <w:spacing w:after="1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A45EC1"/>
    <w:rPr>
      <w:rFonts w:ascii="Arial" w:hAnsi="Arial"/>
      <w:sz w:val="20"/>
      <w:szCs w:val="20"/>
      <w:lang w:val="en-GB"/>
    </w:rPr>
  </w:style>
  <w:style w:type="paragraph" w:styleId="Quote">
    <w:name w:val="Quote"/>
    <w:basedOn w:val="Normal"/>
    <w:next w:val="Normal"/>
    <w:link w:val="QuoteChar"/>
    <w:uiPriority w:val="29"/>
    <w:qFormat/>
    <w:rsid w:val="0086110C"/>
    <w:pPr>
      <w:spacing w:before="120" w:after="480"/>
      <w:ind w:left="862" w:right="862"/>
      <w:jc w:val="both"/>
    </w:pPr>
    <w:rPr>
      <w:rFonts w:ascii="Arial" w:hAnsi="Arial"/>
      <w:iCs/>
      <w:sz w:val="22"/>
    </w:rPr>
  </w:style>
  <w:style w:type="character" w:customStyle="1" w:styleId="QuoteChar">
    <w:name w:val="Quote Char"/>
    <w:basedOn w:val="DefaultParagraphFont"/>
    <w:link w:val="Quote"/>
    <w:uiPriority w:val="29"/>
    <w:rsid w:val="0086110C"/>
    <w:rPr>
      <w:rFonts w:ascii="Arial" w:hAnsi="Arial"/>
      <w:iCs/>
      <w:sz w:val="22"/>
      <w:lang w:val="en-GB"/>
    </w:rPr>
  </w:style>
  <w:style w:type="paragraph" w:styleId="BalloonText">
    <w:name w:val="Balloon Text"/>
    <w:basedOn w:val="Normal"/>
    <w:link w:val="BalloonTextChar"/>
    <w:uiPriority w:val="99"/>
    <w:semiHidden/>
    <w:unhideWhenUsed/>
    <w:rsid w:val="009149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9E7"/>
    <w:rPr>
      <w:rFonts w:ascii="Times New Roman" w:hAnsi="Times New Roman" w:cs="Times New Roman"/>
      <w:sz w:val="18"/>
      <w:szCs w:val="18"/>
      <w:lang w:val="en-GB"/>
    </w:rPr>
  </w:style>
  <w:style w:type="character" w:customStyle="1" w:styleId="Heading2Char">
    <w:name w:val="Heading 2 Char"/>
    <w:basedOn w:val="DefaultParagraphFont"/>
    <w:link w:val="Heading2"/>
    <w:uiPriority w:val="9"/>
    <w:rsid w:val="003E0160"/>
    <w:rPr>
      <w:rFonts w:ascii="Arial" w:eastAsiaTheme="majorEastAsia" w:hAnsi="Arial" w:cstheme="majorBidi"/>
      <w:b/>
      <w:i/>
      <w:szCs w:val="26"/>
      <w:lang w:val="en-GB"/>
    </w:rPr>
  </w:style>
  <w:style w:type="character" w:styleId="CommentReference">
    <w:name w:val="annotation reference"/>
    <w:basedOn w:val="DefaultParagraphFont"/>
    <w:uiPriority w:val="99"/>
    <w:semiHidden/>
    <w:unhideWhenUsed/>
    <w:rsid w:val="003818CD"/>
    <w:rPr>
      <w:sz w:val="16"/>
      <w:szCs w:val="16"/>
    </w:rPr>
  </w:style>
  <w:style w:type="paragraph" w:styleId="CommentText">
    <w:name w:val="annotation text"/>
    <w:basedOn w:val="Normal"/>
    <w:link w:val="CommentTextChar"/>
    <w:uiPriority w:val="99"/>
    <w:semiHidden/>
    <w:unhideWhenUsed/>
    <w:rsid w:val="003818CD"/>
    <w:rPr>
      <w:sz w:val="20"/>
      <w:szCs w:val="20"/>
    </w:rPr>
  </w:style>
  <w:style w:type="character" w:customStyle="1" w:styleId="CommentTextChar">
    <w:name w:val="Comment Text Char"/>
    <w:basedOn w:val="DefaultParagraphFont"/>
    <w:link w:val="CommentText"/>
    <w:uiPriority w:val="99"/>
    <w:semiHidden/>
    <w:rsid w:val="003818CD"/>
    <w:rPr>
      <w:sz w:val="20"/>
      <w:szCs w:val="20"/>
      <w:lang w:val="en-GB"/>
    </w:rPr>
  </w:style>
  <w:style w:type="paragraph" w:styleId="CommentSubject">
    <w:name w:val="annotation subject"/>
    <w:basedOn w:val="CommentText"/>
    <w:next w:val="CommentText"/>
    <w:link w:val="CommentSubjectChar"/>
    <w:uiPriority w:val="99"/>
    <w:semiHidden/>
    <w:unhideWhenUsed/>
    <w:rsid w:val="003818CD"/>
    <w:rPr>
      <w:b/>
      <w:bCs/>
    </w:rPr>
  </w:style>
  <w:style w:type="character" w:customStyle="1" w:styleId="CommentSubjectChar">
    <w:name w:val="Comment Subject Char"/>
    <w:basedOn w:val="CommentTextChar"/>
    <w:link w:val="CommentSubject"/>
    <w:uiPriority w:val="99"/>
    <w:semiHidden/>
    <w:rsid w:val="003818C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9067-21EF-4AA5-B99F-CAE4EAA6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Lazarus Rakgwale</cp:lastModifiedBy>
  <cp:revision>2</cp:revision>
  <cp:lastPrinted>2021-01-26T07:19:00Z</cp:lastPrinted>
  <dcterms:created xsi:type="dcterms:W3CDTF">2022-09-05T10:44:00Z</dcterms:created>
  <dcterms:modified xsi:type="dcterms:W3CDTF">2022-09-05T10:44:00Z</dcterms:modified>
</cp:coreProperties>
</file>