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13E0F" w14:textId="7B7BDEEB" w:rsidR="000708A0" w:rsidRDefault="000708A0" w:rsidP="00CD56FB">
      <w:pPr>
        <w:pStyle w:val="LegalTitle"/>
        <w:spacing w:after="0" w:line="360" w:lineRule="auto"/>
        <w:rPr>
          <w:u w:val="single"/>
        </w:rPr>
      </w:pPr>
      <w:bookmarkStart w:id="0" w:name="_GoBack"/>
      <w:bookmarkEnd w:id="0"/>
      <w:r>
        <w:rPr>
          <w:u w:val="single"/>
        </w:rPr>
        <w:t>REPUBLIC OF SOUTH AFRICA</w:t>
      </w:r>
    </w:p>
    <w:p w14:paraId="72567075" w14:textId="61C48EBA" w:rsidR="000B38D0" w:rsidRDefault="000B38D0" w:rsidP="003E4B76">
      <w:pPr>
        <w:pStyle w:val="LegalTitle"/>
        <w:spacing w:after="0" w:line="360" w:lineRule="auto"/>
        <w:rPr>
          <w:u w:val="single"/>
        </w:rPr>
      </w:pPr>
      <w:r>
        <w:rPr>
          <w:noProof/>
          <w:lang w:val="en-ZA" w:eastAsia="en-ZA"/>
        </w:rPr>
        <w:drawing>
          <wp:anchor distT="0" distB="0" distL="114300" distR="114300" simplePos="0" relativeHeight="251662336" behindDoc="0" locked="0" layoutInCell="1" allowOverlap="1" wp14:anchorId="496FA9F9" wp14:editId="0335FA19">
            <wp:simplePos x="0" y="0"/>
            <wp:positionH relativeFrom="column">
              <wp:posOffset>1831975</wp:posOffset>
            </wp:positionH>
            <wp:positionV relativeFrom="paragraph">
              <wp:posOffset>50800</wp:posOffset>
            </wp:positionV>
            <wp:extent cx="1536065" cy="15360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anchor>
        </w:drawing>
      </w:r>
      <w:r w:rsidR="007F45B5">
        <w:rPr>
          <w:u w:val="single"/>
        </w:rPr>
        <w:br w:type="textWrapping" w:clear="all"/>
      </w:r>
    </w:p>
    <w:p w14:paraId="79251C61" w14:textId="77777777" w:rsidR="00781994" w:rsidRDefault="00781994" w:rsidP="00CD56FB">
      <w:pPr>
        <w:pStyle w:val="LegalTitle"/>
        <w:spacing w:after="0" w:line="360" w:lineRule="auto"/>
        <w:rPr>
          <w:u w:val="single"/>
        </w:rPr>
      </w:pPr>
      <w:r>
        <w:rPr>
          <w:u w:val="single"/>
        </w:rPr>
        <w:t>IN THE HIGH COURT OF SOUTH AFRICA</w:t>
      </w:r>
    </w:p>
    <w:p w14:paraId="1FBEBA63" w14:textId="0D6724D0" w:rsidR="00520591" w:rsidRPr="00520591" w:rsidRDefault="000301C4" w:rsidP="006377C9">
      <w:pPr>
        <w:pStyle w:val="LegalTitle"/>
        <w:spacing w:line="360" w:lineRule="auto"/>
        <w:rPr>
          <w:u w:val="single"/>
        </w:rPr>
      </w:pPr>
      <w:r>
        <w:rPr>
          <w:rFonts w:eastAsiaTheme="minorEastAsia"/>
          <w:noProof/>
          <w:lang w:val="en-ZA" w:eastAsia="en-ZA"/>
        </w:rPr>
        <mc:AlternateContent>
          <mc:Choice Requires="wps">
            <w:drawing>
              <wp:anchor distT="0" distB="0" distL="114300" distR="114300" simplePos="0" relativeHeight="251661312" behindDoc="0" locked="0" layoutInCell="1" allowOverlap="1" wp14:anchorId="497C16BE" wp14:editId="3881428D">
                <wp:simplePos x="0" y="0"/>
                <wp:positionH relativeFrom="column">
                  <wp:posOffset>-51435</wp:posOffset>
                </wp:positionH>
                <wp:positionV relativeFrom="paragraph">
                  <wp:posOffset>369570</wp:posOffset>
                </wp:positionV>
                <wp:extent cx="365760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rgbClr val="000000"/>
                          </a:solidFill>
                          <a:miter lim="800000"/>
                          <a:headEnd/>
                          <a:tailEnd/>
                        </a:ln>
                      </wps:spPr>
                      <wps:txbx>
                        <w:txbxContent>
                          <w:p w14:paraId="47A14B25" w14:textId="77777777" w:rsidR="0030055C" w:rsidRPr="0038792A" w:rsidRDefault="0030055C" w:rsidP="006B247E">
                            <w:pPr>
                              <w:numPr>
                                <w:ilvl w:val="0"/>
                                <w:numId w:val="4"/>
                              </w:numPr>
                              <w:suppressAutoHyphens w:val="0"/>
                              <w:rPr>
                                <w:rFonts w:ascii="Century Gothic" w:hAnsi="Century Gothic"/>
                                <w:sz w:val="20"/>
                                <w:szCs w:val="20"/>
                              </w:rPr>
                            </w:pPr>
                            <w:r>
                              <w:rPr>
                                <w:rFonts w:ascii="Century Gothic" w:hAnsi="Century Gothic"/>
                                <w:sz w:val="20"/>
                                <w:szCs w:val="20"/>
                              </w:rPr>
                              <w:t xml:space="preserve">REPORTABLE: </w:t>
                            </w:r>
                            <w:r>
                              <w:rPr>
                                <w:rFonts w:ascii="Century Gothic" w:hAnsi="Century Gothic"/>
                                <w:b/>
                                <w:i/>
                                <w:sz w:val="20"/>
                                <w:szCs w:val="20"/>
                              </w:rPr>
                              <w:t>NO</w:t>
                            </w:r>
                          </w:p>
                          <w:p w14:paraId="11CCB717" w14:textId="77777777" w:rsidR="0030055C" w:rsidRPr="0038792A" w:rsidRDefault="0030055C" w:rsidP="006B247E">
                            <w:pPr>
                              <w:numPr>
                                <w:ilvl w:val="0"/>
                                <w:numId w:val="4"/>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Pr>
                                <w:rFonts w:ascii="Century Gothic" w:hAnsi="Century Gothic"/>
                                <w:b/>
                                <w:i/>
                                <w:sz w:val="20"/>
                                <w:szCs w:val="20"/>
                              </w:rPr>
                              <w:t>NO</w:t>
                            </w:r>
                          </w:p>
                          <w:p w14:paraId="7598AF5D" w14:textId="77777777" w:rsidR="0030055C" w:rsidRPr="0038792A" w:rsidRDefault="0030055C" w:rsidP="006B247E">
                            <w:pPr>
                              <w:numPr>
                                <w:ilvl w:val="0"/>
                                <w:numId w:val="4"/>
                              </w:numPr>
                              <w:suppressAutoHyphens w:val="0"/>
                              <w:spacing w:after="120"/>
                              <w:ind w:left="901"/>
                              <w:rPr>
                                <w:rFonts w:ascii="Century Gothic" w:hAnsi="Century Gothic"/>
                                <w:sz w:val="20"/>
                                <w:szCs w:val="20"/>
                              </w:rPr>
                            </w:pPr>
                            <w:r w:rsidRPr="0038792A">
                              <w:rPr>
                                <w:rFonts w:ascii="Century Gothic" w:hAnsi="Century Gothic"/>
                                <w:sz w:val="20"/>
                                <w:szCs w:val="20"/>
                              </w:rPr>
                              <w:t xml:space="preserve">REVISED: </w:t>
                            </w:r>
                          </w:p>
                          <w:p w14:paraId="7D8C83F5" w14:textId="3462BE06" w:rsidR="0030055C" w:rsidRPr="000C3AF7" w:rsidRDefault="0030055C" w:rsidP="000C3AF7">
                            <w:pPr>
                              <w:rPr>
                                <w:rFonts w:ascii="Century Gothic" w:hAnsi="Century Gothic"/>
                                <w:sz w:val="22"/>
                                <w:szCs w:val="22"/>
                              </w:rPr>
                            </w:pPr>
                            <w:r>
                              <w:rPr>
                                <w:rFonts w:ascii="Century Gothic" w:hAnsi="Century Gothic"/>
                                <w:sz w:val="22"/>
                                <w:szCs w:val="22"/>
                              </w:rPr>
                              <w:t xml:space="preserve">Date: </w:t>
                            </w:r>
                            <w:r>
                              <w:rPr>
                                <w:rFonts w:ascii="Century Gothic" w:hAnsi="Century Gothic"/>
                                <w:b/>
                                <w:i/>
                                <w:sz w:val="22"/>
                                <w:szCs w:val="22"/>
                                <w:u w:val="single"/>
                              </w:rPr>
                              <w:t>2</w:t>
                            </w:r>
                            <w:r w:rsidRPr="00E32299">
                              <w:rPr>
                                <w:rFonts w:ascii="Century Gothic" w:hAnsi="Century Gothic"/>
                                <w:b/>
                                <w:i/>
                                <w:sz w:val="22"/>
                                <w:szCs w:val="22"/>
                                <w:u w:val="single"/>
                                <w:vertAlign w:val="superscript"/>
                              </w:rPr>
                              <w:t>nd</w:t>
                            </w:r>
                            <w:r>
                              <w:rPr>
                                <w:rFonts w:ascii="Century Gothic" w:hAnsi="Century Gothic"/>
                                <w:b/>
                                <w:i/>
                                <w:sz w:val="22"/>
                                <w:szCs w:val="22"/>
                                <w:u w:val="single"/>
                              </w:rPr>
                              <w:t xml:space="preserve"> September 2022</w:t>
                            </w:r>
                            <w:r w:rsidRPr="0070234A">
                              <w:rPr>
                                <w:rFonts w:ascii="Century Gothic" w:hAnsi="Century Gothic"/>
                                <w:b/>
                                <w:i/>
                                <w:sz w:val="22"/>
                                <w:szCs w:val="22"/>
                              </w:rPr>
                              <w:t xml:space="preserve"> </w:t>
                            </w:r>
                            <w:r>
                              <w:rPr>
                                <w:rFonts w:ascii="Century Gothic" w:hAnsi="Century Gothic"/>
                                <w:sz w:val="22"/>
                                <w:szCs w:val="22"/>
                              </w:rPr>
                              <w:t>Signature: _____________</w:t>
                            </w:r>
                          </w:p>
                          <w:p w14:paraId="12AF53E7" w14:textId="77777777" w:rsidR="0030055C" w:rsidRDefault="0030055C" w:rsidP="000C3AF7">
                            <w:pPr>
                              <w:rPr>
                                <w:rFonts w:ascii="Century Gothic" w:hAnsi="Century Gothic"/>
                                <w:sz w:val="28"/>
                                <w:szCs w:val="28"/>
                              </w:rPr>
                            </w:pPr>
                          </w:p>
                          <w:p w14:paraId="6B328F2B" w14:textId="77777777" w:rsidR="0030055C" w:rsidRDefault="0030055C" w:rsidP="000C3AF7">
                            <w:pPr>
                              <w:rPr>
                                <w:rFonts w:ascii="Century Gothic" w:hAnsi="Century Gothic"/>
                                <w:sz w:val="28"/>
                                <w:szCs w:val="28"/>
                              </w:rPr>
                            </w:pPr>
                            <w:r>
                              <w:rPr>
                                <w:rFonts w:ascii="Century Gothic" w:hAnsi="Century Gothic"/>
                                <w:sz w:val="28"/>
                                <w:szCs w:val="28"/>
                              </w:rPr>
                              <w:t>____________________        ____________________</w:t>
                            </w:r>
                          </w:p>
                          <w:p w14:paraId="0DAB650D" w14:textId="77777777" w:rsidR="0030055C" w:rsidRDefault="0030055C"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03506417" w14:textId="77777777" w:rsidR="0030055C" w:rsidRDefault="0030055C" w:rsidP="000C3AF7">
                            <w:pPr>
                              <w:rPr>
                                <w:rFonts w:ascii="Century Gothic" w:hAnsi="Century Gothic"/>
                                <w:sz w:val="28"/>
                                <w:szCs w:val="28"/>
                              </w:rPr>
                            </w:pPr>
                          </w:p>
                          <w:p w14:paraId="3E1C7AF5" w14:textId="77777777" w:rsidR="0030055C" w:rsidRDefault="0030055C" w:rsidP="000C3AF7">
                            <w:pPr>
                              <w:rPr>
                                <w:rFonts w:ascii="Century Gothic" w:hAnsi="Century Gothic"/>
                                <w:sz w:val="28"/>
                                <w:szCs w:val="28"/>
                              </w:rPr>
                            </w:pPr>
                          </w:p>
                          <w:p w14:paraId="65A5D01C" w14:textId="77777777" w:rsidR="0030055C" w:rsidRDefault="0030055C" w:rsidP="000C3AF7">
                            <w:pPr>
                              <w:rPr>
                                <w:rFonts w:ascii="Century Gothic" w:hAnsi="Century Gothic"/>
                                <w:sz w:val="28"/>
                                <w:szCs w:val="28"/>
                              </w:rPr>
                            </w:pPr>
                          </w:p>
                          <w:p w14:paraId="252DC17A" w14:textId="77777777" w:rsidR="0030055C" w:rsidRPr="009533D5" w:rsidRDefault="0030055C" w:rsidP="000C3AF7">
                            <w:pPr>
                              <w:rPr>
                                <w:rFonts w:ascii="Century Gothic" w:hAnsi="Century Gothic"/>
                                <w:sz w:val="28"/>
                                <w:szCs w:val="28"/>
                              </w:rPr>
                            </w:pPr>
                          </w:p>
                          <w:p w14:paraId="67643019" w14:textId="77777777" w:rsidR="0030055C" w:rsidRDefault="0030055C" w:rsidP="000C3AF7">
                            <w:pPr>
                              <w:rPr>
                                <w:rFonts w:ascii="Century Gothic" w:hAnsi="Century Gothic"/>
                                <w:b/>
                                <w:sz w:val="18"/>
                                <w:szCs w:val="18"/>
                              </w:rPr>
                            </w:pPr>
                          </w:p>
                          <w:p w14:paraId="09961391" w14:textId="77777777" w:rsidR="0030055C" w:rsidRDefault="0030055C" w:rsidP="000C3AF7">
                            <w:pPr>
                              <w:rPr>
                                <w:rFonts w:ascii="Century Gothic" w:hAnsi="Century Gothic"/>
                                <w:b/>
                                <w:sz w:val="18"/>
                                <w:szCs w:val="18"/>
                              </w:rPr>
                            </w:pPr>
                          </w:p>
                          <w:p w14:paraId="5D79450A" w14:textId="77777777" w:rsidR="0030055C" w:rsidRDefault="0030055C" w:rsidP="000C3AF7">
                            <w:pPr>
                              <w:rPr>
                                <w:rFonts w:ascii="Century Gothic" w:hAnsi="Century Gothic"/>
                                <w:b/>
                                <w:sz w:val="18"/>
                                <w:szCs w:val="18"/>
                              </w:rPr>
                            </w:pPr>
                          </w:p>
                          <w:p w14:paraId="105A86A6" w14:textId="77777777" w:rsidR="0030055C" w:rsidRPr="00B93709" w:rsidRDefault="0030055C" w:rsidP="000C3AF7">
                            <w:pPr>
                              <w:rPr>
                                <w:rFonts w:ascii="Century Gothic" w:hAnsi="Century Gothic"/>
                                <w:b/>
                                <w:sz w:val="18"/>
                                <w:szCs w:val="18"/>
                              </w:rPr>
                            </w:pPr>
                          </w:p>
                          <w:p w14:paraId="7BEC4500" w14:textId="77777777" w:rsidR="0030055C" w:rsidRPr="00B93709" w:rsidRDefault="0030055C"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16BE" id="_x0000_t202" coordsize="21600,21600" o:spt="202" path="m,l,21600r21600,l21600,xe">
                <v:stroke joinstyle="miter"/>
                <v:path gradientshapeok="t" o:connecttype="rect"/>
              </v:shapetype>
              <v:shape id="Text Box 1" o:spid="_x0000_s1026" type="#_x0000_t202" style="position:absolute;left:0;text-align:left;margin-left:-4.05pt;margin-top:29.1pt;width:4in;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">
                <v:textbox>
                  <w:txbxContent>
                    <w:p w14:paraId="47A14B25" w14:textId="77777777" w:rsidR="0030055C" w:rsidRPr="0038792A" w:rsidRDefault="0030055C" w:rsidP="006B247E">
                      <w:pPr>
                        <w:numPr>
                          <w:ilvl w:val="0"/>
                          <w:numId w:val="4"/>
                        </w:numPr>
                        <w:suppressAutoHyphens w:val="0"/>
                        <w:rPr>
                          <w:rFonts w:ascii="Century Gothic" w:hAnsi="Century Gothic"/>
                          <w:sz w:val="20"/>
                          <w:szCs w:val="20"/>
                        </w:rPr>
                      </w:pPr>
                      <w:r>
                        <w:rPr>
                          <w:rFonts w:ascii="Century Gothic" w:hAnsi="Century Gothic"/>
                          <w:sz w:val="20"/>
                          <w:szCs w:val="20"/>
                        </w:rPr>
                        <w:t xml:space="preserve">REPORTABLE: </w:t>
                      </w:r>
                      <w:r>
                        <w:rPr>
                          <w:rFonts w:ascii="Century Gothic" w:hAnsi="Century Gothic"/>
                          <w:b/>
                          <w:i/>
                          <w:sz w:val="20"/>
                          <w:szCs w:val="20"/>
                        </w:rPr>
                        <w:t>NO</w:t>
                      </w:r>
                    </w:p>
                    <w:p w14:paraId="11CCB717" w14:textId="77777777" w:rsidR="0030055C" w:rsidRPr="0038792A" w:rsidRDefault="0030055C" w:rsidP="006B247E">
                      <w:pPr>
                        <w:numPr>
                          <w:ilvl w:val="0"/>
                          <w:numId w:val="4"/>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Pr>
                          <w:rFonts w:ascii="Century Gothic" w:hAnsi="Century Gothic"/>
                          <w:b/>
                          <w:i/>
                          <w:sz w:val="20"/>
                          <w:szCs w:val="20"/>
                        </w:rPr>
                        <w:t>NO</w:t>
                      </w:r>
                    </w:p>
                    <w:p w14:paraId="7598AF5D" w14:textId="77777777" w:rsidR="0030055C" w:rsidRPr="0038792A" w:rsidRDefault="0030055C" w:rsidP="006B247E">
                      <w:pPr>
                        <w:numPr>
                          <w:ilvl w:val="0"/>
                          <w:numId w:val="4"/>
                        </w:numPr>
                        <w:suppressAutoHyphens w:val="0"/>
                        <w:spacing w:after="120"/>
                        <w:ind w:left="901"/>
                        <w:rPr>
                          <w:rFonts w:ascii="Century Gothic" w:hAnsi="Century Gothic"/>
                          <w:sz w:val="20"/>
                          <w:szCs w:val="20"/>
                        </w:rPr>
                      </w:pPr>
                      <w:r w:rsidRPr="0038792A">
                        <w:rPr>
                          <w:rFonts w:ascii="Century Gothic" w:hAnsi="Century Gothic"/>
                          <w:sz w:val="20"/>
                          <w:szCs w:val="20"/>
                        </w:rPr>
                        <w:t xml:space="preserve">REVISED: </w:t>
                      </w:r>
                    </w:p>
                    <w:p w14:paraId="7D8C83F5" w14:textId="3462BE06" w:rsidR="0030055C" w:rsidRPr="000C3AF7" w:rsidRDefault="0030055C" w:rsidP="000C3AF7">
                      <w:pPr>
                        <w:rPr>
                          <w:rFonts w:ascii="Century Gothic" w:hAnsi="Century Gothic"/>
                          <w:sz w:val="22"/>
                          <w:szCs w:val="22"/>
                        </w:rPr>
                      </w:pPr>
                      <w:r>
                        <w:rPr>
                          <w:rFonts w:ascii="Century Gothic" w:hAnsi="Century Gothic"/>
                          <w:sz w:val="22"/>
                          <w:szCs w:val="22"/>
                        </w:rPr>
                        <w:t xml:space="preserve">Date: </w:t>
                      </w:r>
                      <w:r>
                        <w:rPr>
                          <w:rFonts w:ascii="Century Gothic" w:hAnsi="Century Gothic"/>
                          <w:b/>
                          <w:i/>
                          <w:sz w:val="22"/>
                          <w:szCs w:val="22"/>
                          <w:u w:val="single"/>
                        </w:rPr>
                        <w:t>2</w:t>
                      </w:r>
                      <w:r w:rsidRPr="00E32299">
                        <w:rPr>
                          <w:rFonts w:ascii="Century Gothic" w:hAnsi="Century Gothic"/>
                          <w:b/>
                          <w:i/>
                          <w:sz w:val="22"/>
                          <w:szCs w:val="22"/>
                          <w:u w:val="single"/>
                          <w:vertAlign w:val="superscript"/>
                        </w:rPr>
                        <w:t>nd</w:t>
                      </w:r>
                      <w:r>
                        <w:rPr>
                          <w:rFonts w:ascii="Century Gothic" w:hAnsi="Century Gothic"/>
                          <w:b/>
                          <w:i/>
                          <w:sz w:val="22"/>
                          <w:szCs w:val="22"/>
                          <w:u w:val="single"/>
                        </w:rPr>
                        <w:t xml:space="preserve"> September 2022</w:t>
                      </w:r>
                      <w:r w:rsidRPr="0070234A">
                        <w:rPr>
                          <w:rFonts w:ascii="Century Gothic" w:hAnsi="Century Gothic"/>
                          <w:b/>
                          <w:i/>
                          <w:sz w:val="22"/>
                          <w:szCs w:val="22"/>
                        </w:rPr>
                        <w:t xml:space="preserve"> </w:t>
                      </w:r>
                      <w:r>
                        <w:rPr>
                          <w:rFonts w:ascii="Century Gothic" w:hAnsi="Century Gothic"/>
                          <w:sz w:val="22"/>
                          <w:szCs w:val="22"/>
                        </w:rPr>
                        <w:t>Signature: _____________</w:t>
                      </w:r>
                    </w:p>
                    <w:p w14:paraId="12AF53E7" w14:textId="77777777" w:rsidR="0030055C" w:rsidRDefault="0030055C" w:rsidP="000C3AF7">
                      <w:pPr>
                        <w:rPr>
                          <w:rFonts w:ascii="Century Gothic" w:hAnsi="Century Gothic"/>
                          <w:sz w:val="28"/>
                          <w:szCs w:val="28"/>
                        </w:rPr>
                      </w:pPr>
                    </w:p>
                    <w:p w14:paraId="6B328F2B" w14:textId="77777777" w:rsidR="0030055C" w:rsidRDefault="0030055C" w:rsidP="000C3AF7">
                      <w:pPr>
                        <w:rPr>
                          <w:rFonts w:ascii="Century Gothic" w:hAnsi="Century Gothic"/>
                          <w:sz w:val="28"/>
                          <w:szCs w:val="28"/>
                        </w:rPr>
                      </w:pPr>
                      <w:r>
                        <w:rPr>
                          <w:rFonts w:ascii="Century Gothic" w:hAnsi="Century Gothic"/>
                          <w:sz w:val="28"/>
                          <w:szCs w:val="28"/>
                        </w:rPr>
                        <w:t>____________________        ____________________</w:t>
                      </w:r>
                    </w:p>
                    <w:p w14:paraId="0DAB650D" w14:textId="77777777" w:rsidR="0030055C" w:rsidRDefault="0030055C"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03506417" w14:textId="77777777" w:rsidR="0030055C" w:rsidRDefault="0030055C" w:rsidP="000C3AF7">
                      <w:pPr>
                        <w:rPr>
                          <w:rFonts w:ascii="Century Gothic" w:hAnsi="Century Gothic"/>
                          <w:sz w:val="28"/>
                          <w:szCs w:val="28"/>
                        </w:rPr>
                      </w:pPr>
                    </w:p>
                    <w:p w14:paraId="3E1C7AF5" w14:textId="77777777" w:rsidR="0030055C" w:rsidRDefault="0030055C" w:rsidP="000C3AF7">
                      <w:pPr>
                        <w:rPr>
                          <w:rFonts w:ascii="Century Gothic" w:hAnsi="Century Gothic"/>
                          <w:sz w:val="28"/>
                          <w:szCs w:val="28"/>
                        </w:rPr>
                      </w:pPr>
                    </w:p>
                    <w:p w14:paraId="65A5D01C" w14:textId="77777777" w:rsidR="0030055C" w:rsidRDefault="0030055C" w:rsidP="000C3AF7">
                      <w:pPr>
                        <w:rPr>
                          <w:rFonts w:ascii="Century Gothic" w:hAnsi="Century Gothic"/>
                          <w:sz w:val="28"/>
                          <w:szCs w:val="28"/>
                        </w:rPr>
                      </w:pPr>
                    </w:p>
                    <w:p w14:paraId="252DC17A" w14:textId="77777777" w:rsidR="0030055C" w:rsidRPr="009533D5" w:rsidRDefault="0030055C" w:rsidP="000C3AF7">
                      <w:pPr>
                        <w:rPr>
                          <w:rFonts w:ascii="Century Gothic" w:hAnsi="Century Gothic"/>
                          <w:sz w:val="28"/>
                          <w:szCs w:val="28"/>
                        </w:rPr>
                      </w:pPr>
                    </w:p>
                    <w:p w14:paraId="67643019" w14:textId="77777777" w:rsidR="0030055C" w:rsidRDefault="0030055C" w:rsidP="000C3AF7">
                      <w:pPr>
                        <w:rPr>
                          <w:rFonts w:ascii="Century Gothic" w:hAnsi="Century Gothic"/>
                          <w:b/>
                          <w:sz w:val="18"/>
                          <w:szCs w:val="18"/>
                        </w:rPr>
                      </w:pPr>
                    </w:p>
                    <w:p w14:paraId="09961391" w14:textId="77777777" w:rsidR="0030055C" w:rsidRDefault="0030055C" w:rsidP="000C3AF7">
                      <w:pPr>
                        <w:rPr>
                          <w:rFonts w:ascii="Century Gothic" w:hAnsi="Century Gothic"/>
                          <w:b/>
                          <w:sz w:val="18"/>
                          <w:szCs w:val="18"/>
                        </w:rPr>
                      </w:pPr>
                    </w:p>
                    <w:p w14:paraId="5D79450A" w14:textId="77777777" w:rsidR="0030055C" w:rsidRDefault="0030055C" w:rsidP="000C3AF7">
                      <w:pPr>
                        <w:rPr>
                          <w:rFonts w:ascii="Century Gothic" w:hAnsi="Century Gothic"/>
                          <w:b/>
                          <w:sz w:val="18"/>
                          <w:szCs w:val="18"/>
                        </w:rPr>
                      </w:pPr>
                    </w:p>
                    <w:p w14:paraId="105A86A6" w14:textId="77777777" w:rsidR="0030055C" w:rsidRPr="00B93709" w:rsidRDefault="0030055C" w:rsidP="000C3AF7">
                      <w:pPr>
                        <w:rPr>
                          <w:rFonts w:ascii="Century Gothic" w:hAnsi="Century Gothic"/>
                          <w:b/>
                          <w:sz w:val="18"/>
                          <w:szCs w:val="18"/>
                        </w:rPr>
                      </w:pPr>
                    </w:p>
                    <w:p w14:paraId="7BEC4500" w14:textId="77777777" w:rsidR="0030055C" w:rsidRPr="00B93709" w:rsidRDefault="0030055C"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00520591" w:rsidRPr="00520591">
        <w:rPr>
          <w:u w:val="single"/>
        </w:rPr>
        <w:t xml:space="preserve">GAUTENG DIVISION, </w:t>
      </w:r>
      <w:r w:rsidR="000B38D0">
        <w:rPr>
          <w:u w:val="single"/>
        </w:rPr>
        <w:t>JOHANNESBURG</w:t>
      </w:r>
    </w:p>
    <w:p w14:paraId="73013942" w14:textId="77777777" w:rsidR="00781994" w:rsidRDefault="00781994" w:rsidP="00EB0478">
      <w:pPr>
        <w:pStyle w:val="LegalAnnexure"/>
        <w:spacing w:after="240" w:line="360" w:lineRule="auto"/>
        <w:rPr>
          <w:u w:val="single"/>
        </w:rPr>
      </w:pPr>
    </w:p>
    <w:p w14:paraId="10FE9C41" w14:textId="77777777" w:rsidR="004A6C63" w:rsidRDefault="004A6C63" w:rsidP="0044143F">
      <w:pPr>
        <w:pStyle w:val="LegalAnnexure"/>
        <w:spacing w:after="120" w:line="360" w:lineRule="auto"/>
        <w:rPr>
          <w:u w:val="single"/>
        </w:rPr>
      </w:pPr>
    </w:p>
    <w:p w14:paraId="49A71D90" w14:textId="30E08FD4" w:rsidR="004D4594" w:rsidRDefault="004D4594" w:rsidP="004D4594">
      <w:pPr>
        <w:pStyle w:val="LegalAnnexure"/>
        <w:spacing w:before="240" w:after="120" w:line="360" w:lineRule="auto"/>
      </w:pPr>
      <w:r>
        <w:rPr>
          <w:u w:val="single"/>
        </w:rPr>
        <w:t>DATE</w:t>
      </w:r>
      <w:r>
        <w:t xml:space="preserve">: </w:t>
      </w:r>
      <w:r w:rsidR="00E32299">
        <w:rPr>
          <w:b w:val="0"/>
        </w:rPr>
        <w:t>2</w:t>
      </w:r>
      <w:r w:rsidR="00E32299" w:rsidRPr="00E32299">
        <w:rPr>
          <w:b w:val="0"/>
          <w:vertAlign w:val="superscript"/>
        </w:rPr>
        <w:t>nd</w:t>
      </w:r>
      <w:r w:rsidR="00E32299">
        <w:rPr>
          <w:b w:val="0"/>
        </w:rPr>
        <w:t xml:space="preserve"> </w:t>
      </w:r>
      <w:r>
        <w:rPr>
          <w:b w:val="0"/>
        </w:rPr>
        <w:t>September 2022</w:t>
      </w:r>
    </w:p>
    <w:p w14:paraId="2B25FECC" w14:textId="600DC7A8" w:rsidR="004D4594" w:rsidRDefault="004D4594" w:rsidP="004D4594">
      <w:pPr>
        <w:pStyle w:val="LegalAnnexure"/>
        <w:numPr>
          <w:ilvl w:val="0"/>
          <w:numId w:val="11"/>
        </w:numPr>
        <w:spacing w:after="0" w:line="360" w:lineRule="auto"/>
      </w:pPr>
      <w:r>
        <w:rPr>
          <w:u w:val="single"/>
        </w:rPr>
        <w:t>CASE NO</w:t>
      </w:r>
      <w:r>
        <w:t xml:space="preserve">: </w:t>
      </w:r>
      <w:r w:rsidR="00CC79AC">
        <w:rPr>
          <w:b w:val="0"/>
        </w:rPr>
        <w:t>5798</w:t>
      </w:r>
      <w:r>
        <w:rPr>
          <w:b w:val="0"/>
        </w:rPr>
        <w:t>/202</w:t>
      </w:r>
      <w:r w:rsidR="00CC79AC">
        <w:rPr>
          <w:b w:val="0"/>
        </w:rPr>
        <w:t>1</w:t>
      </w:r>
    </w:p>
    <w:p w14:paraId="6BAC97A5" w14:textId="77777777" w:rsidR="004D4594" w:rsidRDefault="004D4594" w:rsidP="004D4594">
      <w:pPr>
        <w:pStyle w:val="LegalNormal"/>
        <w:spacing w:after="0" w:line="360" w:lineRule="auto"/>
      </w:pPr>
      <w:r>
        <w:t>In the matter between:</w:t>
      </w:r>
    </w:p>
    <w:p w14:paraId="57429657" w14:textId="0626F016" w:rsidR="004D4594" w:rsidRDefault="00CC79AC" w:rsidP="004D4594">
      <w:pPr>
        <w:pStyle w:val="LegalPlainDef"/>
        <w:spacing w:after="0" w:line="360" w:lineRule="auto"/>
      </w:pPr>
      <w:r>
        <w:rPr>
          <w:b/>
          <w:bCs/>
          <w:lang w:val="en-US"/>
        </w:rPr>
        <w:t>WACO AFRICA</w:t>
      </w:r>
      <w:r w:rsidR="004D4594">
        <w:rPr>
          <w:b/>
        </w:rPr>
        <w:t xml:space="preserve"> (PTY) LIMITED</w:t>
      </w:r>
      <w:r>
        <w:rPr>
          <w:b/>
        </w:rPr>
        <w:t xml:space="preserve"> t/a SGB-CAPE</w:t>
      </w:r>
      <w:r w:rsidR="004D4594">
        <w:rPr>
          <w:b/>
        </w:rPr>
        <w:tab/>
      </w:r>
      <w:r w:rsidR="004D4594">
        <w:t>Applicant</w:t>
      </w:r>
    </w:p>
    <w:p w14:paraId="308E7C1F" w14:textId="77777777" w:rsidR="004D4594" w:rsidRDefault="004D4594" w:rsidP="004D4594">
      <w:pPr>
        <w:pStyle w:val="LegalNormal"/>
        <w:spacing w:after="0" w:line="360" w:lineRule="auto"/>
      </w:pPr>
      <w:r>
        <w:t>and</w:t>
      </w:r>
    </w:p>
    <w:p w14:paraId="6DC1F593" w14:textId="068E7D5D" w:rsidR="00EB0D64" w:rsidRDefault="00CC79AC" w:rsidP="00CC79AC">
      <w:pPr>
        <w:pStyle w:val="LegalPlainDef"/>
        <w:pBdr>
          <w:bottom w:val="single" w:sz="6" w:space="1" w:color="auto"/>
        </w:pBdr>
        <w:spacing w:after="0" w:line="360" w:lineRule="auto"/>
      </w:pPr>
      <w:r>
        <w:rPr>
          <w:b/>
          <w:bCs/>
          <w:lang w:val="en-US"/>
        </w:rPr>
        <w:t>ESKOM SOC</w:t>
      </w:r>
      <w:r w:rsidR="00EB0D64">
        <w:rPr>
          <w:b/>
          <w:bCs/>
          <w:lang w:val="en-US"/>
        </w:rPr>
        <w:t xml:space="preserve"> LIMITED </w:t>
      </w:r>
      <w:r w:rsidR="00EB0D64">
        <w:rPr>
          <w:b/>
        </w:rPr>
        <w:tab/>
      </w:r>
      <w:r>
        <w:t>First R</w:t>
      </w:r>
      <w:r w:rsidR="00EB0D64">
        <w:t>espondent</w:t>
      </w:r>
    </w:p>
    <w:p w14:paraId="033CB242" w14:textId="77777777" w:rsidR="00CC79AC" w:rsidRDefault="00CC79AC" w:rsidP="00CC79AC">
      <w:pPr>
        <w:pStyle w:val="LegalPlainDef"/>
        <w:pBdr>
          <w:bottom w:val="single" w:sz="6" w:space="1" w:color="auto"/>
        </w:pBdr>
        <w:spacing w:after="0" w:line="240" w:lineRule="auto"/>
        <w:rPr>
          <w:b/>
          <w:bCs/>
          <w:lang w:val="en-US"/>
        </w:rPr>
      </w:pPr>
      <w:r w:rsidRPr="00CC79AC">
        <w:rPr>
          <w:b/>
          <w:bCs/>
          <w:lang w:val="en-US"/>
        </w:rPr>
        <w:t xml:space="preserve">KAEFER THERMAL CONTRACTING </w:t>
      </w:r>
    </w:p>
    <w:p w14:paraId="7092D88F" w14:textId="24E1BDD7" w:rsidR="00EB0D64" w:rsidRDefault="00CC79AC" w:rsidP="00CC79AC">
      <w:pPr>
        <w:pStyle w:val="LegalPlainDef"/>
        <w:pBdr>
          <w:bottom w:val="single" w:sz="6" w:space="1" w:color="auto"/>
        </w:pBdr>
        <w:spacing w:after="0" w:line="360" w:lineRule="auto"/>
      </w:pPr>
      <w:r w:rsidRPr="00CC79AC">
        <w:rPr>
          <w:b/>
          <w:bCs/>
          <w:lang w:val="en-US"/>
        </w:rPr>
        <w:t xml:space="preserve">SERVICES </w:t>
      </w:r>
      <w:r w:rsidR="00EB0D64">
        <w:rPr>
          <w:b/>
          <w:bCs/>
          <w:lang w:val="en-US"/>
        </w:rPr>
        <w:t xml:space="preserve">(PTY) LIMITED </w:t>
      </w:r>
      <w:r w:rsidR="00EB0D64">
        <w:rPr>
          <w:b/>
        </w:rPr>
        <w:tab/>
      </w:r>
      <w:r>
        <w:t>Second R</w:t>
      </w:r>
      <w:r w:rsidR="00EB0D64">
        <w:t>espondent</w:t>
      </w:r>
    </w:p>
    <w:p w14:paraId="4E084CFF" w14:textId="76041A3C" w:rsidR="00EB0D64" w:rsidRDefault="00E401EB" w:rsidP="00CC79AC">
      <w:pPr>
        <w:pStyle w:val="LegalPlainDef"/>
        <w:pBdr>
          <w:bottom w:val="single" w:sz="6" w:space="1" w:color="auto"/>
        </w:pBdr>
        <w:spacing w:after="0" w:line="360" w:lineRule="auto"/>
      </w:pPr>
      <w:r w:rsidRPr="00E401EB">
        <w:rPr>
          <w:b/>
          <w:bCs/>
          <w:lang w:val="en-US"/>
        </w:rPr>
        <w:t xml:space="preserve">ELECTROHEAT ENERGY </w:t>
      </w:r>
      <w:r w:rsidR="00EB0D64">
        <w:rPr>
          <w:b/>
          <w:bCs/>
          <w:lang w:val="en-US"/>
        </w:rPr>
        <w:t xml:space="preserve">(PTY) LIMITED </w:t>
      </w:r>
      <w:r w:rsidR="00EB0D64">
        <w:rPr>
          <w:b/>
        </w:rPr>
        <w:tab/>
      </w:r>
      <w:r w:rsidR="00CC79AC">
        <w:t>Third R</w:t>
      </w:r>
      <w:r w:rsidR="00EB0D64">
        <w:t>espondent</w:t>
      </w:r>
    </w:p>
    <w:p w14:paraId="4AA38D1B" w14:textId="132251E1" w:rsidR="00EB0D64" w:rsidRDefault="00E401EB" w:rsidP="00CC79AC">
      <w:pPr>
        <w:pStyle w:val="LegalPlainDef"/>
        <w:pBdr>
          <w:bottom w:val="single" w:sz="6" w:space="1" w:color="auto"/>
        </w:pBdr>
        <w:spacing w:after="0" w:line="360" w:lineRule="auto"/>
      </w:pPr>
      <w:r w:rsidRPr="00E401EB">
        <w:rPr>
          <w:b/>
          <w:bCs/>
          <w:lang w:val="en-US"/>
        </w:rPr>
        <w:t xml:space="preserve">ORAM INDUSTRIALS </w:t>
      </w:r>
      <w:r w:rsidR="00EB0D64">
        <w:rPr>
          <w:b/>
          <w:bCs/>
          <w:lang w:val="en-US"/>
        </w:rPr>
        <w:t xml:space="preserve">(PTY) LIMITED </w:t>
      </w:r>
      <w:r w:rsidR="00EB0D64">
        <w:rPr>
          <w:b/>
        </w:rPr>
        <w:tab/>
      </w:r>
      <w:r w:rsidR="00CC79AC">
        <w:t>Fourth R</w:t>
      </w:r>
      <w:r w:rsidR="00EB0D64">
        <w:t>espondent</w:t>
      </w:r>
    </w:p>
    <w:p w14:paraId="653C760B" w14:textId="363B385C" w:rsidR="004D4594" w:rsidRDefault="00E401EB" w:rsidP="004D4594">
      <w:pPr>
        <w:pStyle w:val="LegalPlainDef"/>
        <w:pBdr>
          <w:bottom w:val="single" w:sz="6" w:space="1" w:color="auto"/>
        </w:pBdr>
        <w:spacing w:after="120" w:line="360" w:lineRule="auto"/>
      </w:pPr>
      <w:r w:rsidRPr="00E401EB">
        <w:rPr>
          <w:b/>
          <w:bCs/>
          <w:lang w:val="en-US"/>
        </w:rPr>
        <w:t xml:space="preserve">RSC INDUSTRIAL SERVICES </w:t>
      </w:r>
      <w:r w:rsidR="004D4594">
        <w:rPr>
          <w:b/>
          <w:bCs/>
          <w:lang w:val="en-US"/>
        </w:rPr>
        <w:t xml:space="preserve">(PTY) LIMITED </w:t>
      </w:r>
      <w:r w:rsidR="004D4594">
        <w:rPr>
          <w:b/>
        </w:rPr>
        <w:tab/>
      </w:r>
      <w:r w:rsidR="00CC79AC">
        <w:t>Fifth R</w:t>
      </w:r>
      <w:r w:rsidR="004D4594">
        <w:t>espondent</w:t>
      </w:r>
    </w:p>
    <w:p w14:paraId="5B897A75" w14:textId="61ECD365" w:rsidR="004D4594" w:rsidRDefault="004D4594" w:rsidP="004D4594">
      <w:pPr>
        <w:pStyle w:val="LegalAnnexure"/>
        <w:numPr>
          <w:ilvl w:val="0"/>
          <w:numId w:val="11"/>
        </w:numPr>
        <w:spacing w:after="0" w:line="360" w:lineRule="auto"/>
      </w:pPr>
      <w:r>
        <w:rPr>
          <w:u w:val="single"/>
        </w:rPr>
        <w:t>CASE NO</w:t>
      </w:r>
      <w:r>
        <w:t xml:space="preserve">: </w:t>
      </w:r>
      <w:r w:rsidR="006418F3">
        <w:rPr>
          <w:b w:val="0"/>
        </w:rPr>
        <w:t>290</w:t>
      </w:r>
      <w:r>
        <w:rPr>
          <w:b w:val="0"/>
        </w:rPr>
        <w:t>/202</w:t>
      </w:r>
      <w:r w:rsidR="006418F3">
        <w:rPr>
          <w:b w:val="0"/>
        </w:rPr>
        <w:t>2</w:t>
      </w:r>
    </w:p>
    <w:p w14:paraId="442BBB03" w14:textId="77777777" w:rsidR="004D4594" w:rsidRDefault="004D4594" w:rsidP="004D4594">
      <w:pPr>
        <w:pStyle w:val="LegalNormal"/>
        <w:spacing w:after="0" w:line="360" w:lineRule="auto"/>
      </w:pPr>
      <w:r>
        <w:t>In the matter between:</w:t>
      </w:r>
    </w:p>
    <w:p w14:paraId="5CB23A21" w14:textId="55FF910A" w:rsidR="004D4594" w:rsidRDefault="006418F3" w:rsidP="004D4594">
      <w:pPr>
        <w:pStyle w:val="LegalPlainDef"/>
        <w:spacing w:after="0" w:line="360" w:lineRule="auto"/>
      </w:pPr>
      <w:r>
        <w:rPr>
          <w:b/>
          <w:bCs/>
          <w:lang w:val="en-US"/>
        </w:rPr>
        <w:t>TMS GROUP INDUSTRIAL SERVICE</w:t>
      </w:r>
      <w:r w:rsidR="004D4594">
        <w:rPr>
          <w:b/>
        </w:rPr>
        <w:t xml:space="preserve"> (PTY) LIMITED</w:t>
      </w:r>
      <w:r w:rsidR="004D4594">
        <w:rPr>
          <w:b/>
        </w:rPr>
        <w:tab/>
      </w:r>
      <w:r w:rsidR="004D4594">
        <w:t>Applicant</w:t>
      </w:r>
    </w:p>
    <w:p w14:paraId="3C6CEE3D" w14:textId="77777777" w:rsidR="004D4594" w:rsidRDefault="004D4594" w:rsidP="004D4594">
      <w:pPr>
        <w:pStyle w:val="LegalNormal"/>
        <w:spacing w:after="0" w:line="360" w:lineRule="auto"/>
      </w:pPr>
      <w:r>
        <w:t>and</w:t>
      </w:r>
    </w:p>
    <w:p w14:paraId="6010E729" w14:textId="77777777" w:rsidR="006418F3" w:rsidRDefault="006418F3" w:rsidP="006418F3">
      <w:pPr>
        <w:pStyle w:val="LegalPlainDef"/>
        <w:pBdr>
          <w:bottom w:val="single" w:sz="6" w:space="1" w:color="auto"/>
        </w:pBdr>
        <w:spacing w:after="0" w:line="240" w:lineRule="auto"/>
        <w:rPr>
          <w:b/>
          <w:bCs/>
          <w:lang w:val="en-US"/>
        </w:rPr>
      </w:pPr>
      <w:r>
        <w:rPr>
          <w:b/>
          <w:bCs/>
          <w:lang w:val="en-US"/>
        </w:rPr>
        <w:t xml:space="preserve">ESKOM SOC LIMITED &amp; THE SECOND TO FIFTH </w:t>
      </w:r>
    </w:p>
    <w:p w14:paraId="39FC635E" w14:textId="1F7BA958" w:rsidR="004D4594" w:rsidRPr="006418F3" w:rsidRDefault="006418F3" w:rsidP="004D4594">
      <w:pPr>
        <w:pStyle w:val="LegalPlainDef"/>
        <w:pBdr>
          <w:bottom w:val="single" w:sz="6" w:space="1" w:color="auto"/>
        </w:pBdr>
        <w:spacing w:after="120" w:line="360" w:lineRule="auto"/>
        <w:rPr>
          <w:b/>
          <w:bCs/>
          <w:lang w:val="en-US"/>
        </w:rPr>
      </w:pPr>
      <w:r>
        <w:rPr>
          <w:b/>
          <w:bCs/>
          <w:lang w:val="en-US"/>
        </w:rPr>
        <w:t xml:space="preserve">RESPONDENTS AS PER CASE (1) HEADING ABOVE </w:t>
      </w:r>
      <w:r>
        <w:rPr>
          <w:b/>
          <w:bCs/>
          <w:lang w:val="en-US"/>
        </w:rPr>
        <w:tab/>
      </w:r>
      <w:r w:rsidR="004D4594">
        <w:t>Respondent</w:t>
      </w:r>
      <w:r>
        <w:t>s</w:t>
      </w:r>
    </w:p>
    <w:p w14:paraId="227CD262" w14:textId="086841A5" w:rsidR="004D4594" w:rsidRDefault="004D4594" w:rsidP="004D4594">
      <w:pPr>
        <w:pStyle w:val="LegalAnnexure"/>
        <w:numPr>
          <w:ilvl w:val="0"/>
          <w:numId w:val="11"/>
        </w:numPr>
        <w:spacing w:after="0" w:line="360" w:lineRule="auto"/>
      </w:pPr>
      <w:r>
        <w:rPr>
          <w:u w:val="single"/>
        </w:rPr>
        <w:lastRenderedPageBreak/>
        <w:t>CASE NO</w:t>
      </w:r>
      <w:r>
        <w:t xml:space="preserve">: </w:t>
      </w:r>
      <w:r w:rsidR="00832084">
        <w:rPr>
          <w:b w:val="0"/>
        </w:rPr>
        <w:t>3047</w:t>
      </w:r>
      <w:r>
        <w:rPr>
          <w:b w:val="0"/>
        </w:rPr>
        <w:t>/202</w:t>
      </w:r>
      <w:r w:rsidR="00832084">
        <w:rPr>
          <w:b w:val="0"/>
        </w:rPr>
        <w:t>2</w:t>
      </w:r>
    </w:p>
    <w:p w14:paraId="299FCD26" w14:textId="77777777" w:rsidR="004D4594" w:rsidRDefault="004D4594" w:rsidP="004D4594">
      <w:pPr>
        <w:pStyle w:val="LegalNormal"/>
        <w:spacing w:after="0" w:line="360" w:lineRule="auto"/>
      </w:pPr>
      <w:r>
        <w:t>In the matter between:</w:t>
      </w:r>
    </w:p>
    <w:p w14:paraId="728DF295" w14:textId="586A1924" w:rsidR="004D4594" w:rsidRDefault="00832084" w:rsidP="004D4594">
      <w:pPr>
        <w:pStyle w:val="LegalPlainDef"/>
        <w:spacing w:after="0" w:line="360" w:lineRule="auto"/>
      </w:pPr>
      <w:r>
        <w:rPr>
          <w:b/>
          <w:bCs/>
          <w:lang w:val="en-US"/>
        </w:rPr>
        <w:t>SOUTHEY CONTRACTING</w:t>
      </w:r>
      <w:r w:rsidR="004D4594">
        <w:rPr>
          <w:b/>
        </w:rPr>
        <w:t xml:space="preserve"> (PTY) LIMITED</w:t>
      </w:r>
      <w:r w:rsidR="004D4594">
        <w:rPr>
          <w:b/>
        </w:rPr>
        <w:tab/>
      </w:r>
      <w:r w:rsidR="004D4594">
        <w:t>Applicant</w:t>
      </w:r>
    </w:p>
    <w:p w14:paraId="4AA03EC8" w14:textId="77777777" w:rsidR="004D4594" w:rsidRDefault="004D4594" w:rsidP="004D4594">
      <w:pPr>
        <w:pStyle w:val="LegalNormal"/>
        <w:spacing w:after="0" w:line="360" w:lineRule="auto"/>
      </w:pPr>
      <w:r>
        <w:t>and</w:t>
      </w:r>
    </w:p>
    <w:p w14:paraId="3279D76F" w14:textId="77777777" w:rsidR="00DA24A4" w:rsidRDefault="00DA24A4" w:rsidP="00DA24A4">
      <w:pPr>
        <w:pStyle w:val="LegalPlainDef"/>
        <w:pBdr>
          <w:bottom w:val="single" w:sz="6" w:space="1" w:color="auto"/>
        </w:pBdr>
        <w:spacing w:after="0" w:line="240" w:lineRule="auto"/>
        <w:rPr>
          <w:b/>
          <w:bCs/>
          <w:lang w:val="en-US"/>
        </w:rPr>
      </w:pPr>
      <w:r>
        <w:rPr>
          <w:b/>
          <w:bCs/>
          <w:lang w:val="en-US"/>
        </w:rPr>
        <w:t xml:space="preserve">ESKOM SOC LIMITED &amp; THE SECOND TO FIFTH </w:t>
      </w:r>
    </w:p>
    <w:p w14:paraId="009553DB" w14:textId="51945B42" w:rsidR="004D4594" w:rsidRDefault="00DA24A4" w:rsidP="00DA24A4">
      <w:pPr>
        <w:pStyle w:val="LegalPlainDef"/>
        <w:pBdr>
          <w:bottom w:val="single" w:sz="6" w:space="1" w:color="auto"/>
        </w:pBdr>
        <w:spacing w:after="600" w:line="360" w:lineRule="auto"/>
      </w:pPr>
      <w:r>
        <w:rPr>
          <w:b/>
          <w:bCs/>
          <w:lang w:val="en-US"/>
        </w:rPr>
        <w:t>RESPONDENTS AS PER CASE (1) HEADING ABOVE</w:t>
      </w:r>
      <w:r w:rsidR="004D4594">
        <w:rPr>
          <w:b/>
        </w:rPr>
        <w:tab/>
      </w:r>
      <w:r w:rsidR="004D4594">
        <w:t>Respondent</w:t>
      </w:r>
      <w:r>
        <w:t>s</w:t>
      </w:r>
    </w:p>
    <w:p w14:paraId="3F7EF7CD" w14:textId="5C092061" w:rsidR="006377C9" w:rsidRDefault="006377C9" w:rsidP="000D5CD8">
      <w:pPr>
        <w:keepNext/>
        <w:suppressAutoHyphens w:val="0"/>
        <w:spacing w:after="120" w:line="360" w:lineRule="auto"/>
        <w:ind w:left="1440" w:hanging="1440"/>
        <w:rPr>
          <w:rFonts w:cs="Arial"/>
          <w:lang w:val="en-ZA" w:eastAsia="en-US"/>
        </w:rPr>
      </w:pPr>
      <w:r>
        <w:rPr>
          <w:rFonts w:cs="Arial"/>
          <w:b/>
          <w:bCs/>
          <w:lang w:val="en-ZA" w:eastAsia="en-US"/>
        </w:rPr>
        <w:t>Coram:</w:t>
      </w:r>
      <w:r w:rsidR="00D145C3">
        <w:rPr>
          <w:rFonts w:cs="Arial"/>
          <w:lang w:val="en-ZA" w:eastAsia="en-US"/>
        </w:rPr>
        <w:tab/>
      </w:r>
      <w:r w:rsidR="001428B6">
        <w:rPr>
          <w:rFonts w:cs="Arial"/>
          <w:lang w:val="en-ZA" w:eastAsia="en-US"/>
        </w:rPr>
        <w:t>Adams</w:t>
      </w:r>
      <w:r w:rsidR="006D09B0">
        <w:rPr>
          <w:rFonts w:cs="Arial"/>
          <w:lang w:val="en-ZA" w:eastAsia="en-US"/>
        </w:rPr>
        <w:t xml:space="preserve"> J</w:t>
      </w:r>
    </w:p>
    <w:p w14:paraId="04F545D3" w14:textId="0AF814F0" w:rsidR="00D145C3" w:rsidRDefault="00D145C3" w:rsidP="00D145C3">
      <w:pPr>
        <w:suppressAutoHyphens w:val="0"/>
        <w:spacing w:after="120" w:line="360" w:lineRule="auto"/>
        <w:ind w:left="1440" w:hanging="1440"/>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FE7A89">
        <w:rPr>
          <w:rFonts w:cs="Arial"/>
          <w:lang w:val="en-ZA" w:eastAsia="en-US"/>
        </w:rPr>
        <w:t>26</w:t>
      </w:r>
      <w:r w:rsidR="00DA24A4">
        <w:rPr>
          <w:rFonts w:cs="Arial"/>
          <w:lang w:val="en-ZA" w:eastAsia="en-US"/>
        </w:rPr>
        <w:t xml:space="preserve"> and 28</w:t>
      </w:r>
      <w:r>
        <w:rPr>
          <w:rFonts w:cs="Arial"/>
          <w:lang w:val="en-ZA" w:eastAsia="en-US"/>
        </w:rPr>
        <w:t xml:space="preserve"> </w:t>
      </w:r>
      <w:r w:rsidR="00DA24A4">
        <w:rPr>
          <w:rFonts w:cs="Arial"/>
          <w:lang w:val="en-ZA" w:eastAsia="en-US"/>
        </w:rPr>
        <w:t>April</w:t>
      </w:r>
      <w:r w:rsidR="001428B6">
        <w:rPr>
          <w:rFonts w:cs="Arial"/>
          <w:lang w:val="en-ZA" w:eastAsia="en-US"/>
        </w:rPr>
        <w:t xml:space="preserve"> 2022</w:t>
      </w:r>
      <w:r>
        <w:rPr>
          <w:rFonts w:cs="Arial"/>
          <w:lang w:val="en-ZA" w:eastAsia="en-US"/>
        </w:rPr>
        <w:t xml:space="preserve"> – The ‘virtual hearing’ of </w:t>
      </w:r>
      <w:r w:rsidR="00991111">
        <w:rPr>
          <w:rFonts w:cs="Arial"/>
          <w:lang w:val="en-ZA" w:eastAsia="en-US"/>
        </w:rPr>
        <w:t xml:space="preserve">this opposed Special Motion </w:t>
      </w:r>
      <w:r>
        <w:rPr>
          <w:rFonts w:cs="Arial"/>
          <w:lang w:val="en-ZA" w:eastAsia="en-US"/>
        </w:rPr>
        <w:t xml:space="preserve">was conducted as a </w:t>
      </w:r>
      <w:r w:rsidR="00991111">
        <w:rPr>
          <w:rFonts w:cs="Arial"/>
          <w:lang w:val="en-ZA" w:eastAsia="en-US"/>
        </w:rPr>
        <w:t xml:space="preserve">series of </w:t>
      </w:r>
      <w:r>
        <w:rPr>
          <w:rFonts w:cs="Arial"/>
          <w:lang w:val="en-ZA" w:eastAsia="en-US"/>
        </w:rPr>
        <w:t>videoconference</w:t>
      </w:r>
      <w:r w:rsidR="00991111">
        <w:rPr>
          <w:rFonts w:cs="Arial"/>
          <w:lang w:val="en-ZA" w:eastAsia="en-US"/>
        </w:rPr>
        <w:t>s</w:t>
      </w:r>
      <w:r>
        <w:rPr>
          <w:rFonts w:cs="Arial"/>
          <w:lang w:val="en-ZA" w:eastAsia="en-US"/>
        </w:rPr>
        <w:t xml:space="preserve"> on </w:t>
      </w:r>
      <w:r>
        <w:rPr>
          <w:rFonts w:cs="Arial"/>
          <w:i/>
          <w:lang w:val="en-ZA" w:eastAsia="en-US"/>
        </w:rPr>
        <w:t>Microsoft Teams</w:t>
      </w:r>
      <w:r>
        <w:rPr>
          <w:rFonts w:cs="Arial"/>
          <w:lang w:val="en-ZA" w:eastAsia="en-US"/>
        </w:rPr>
        <w:t>.</w:t>
      </w:r>
    </w:p>
    <w:p w14:paraId="508454AB" w14:textId="579D1081" w:rsidR="00D145C3" w:rsidRDefault="00D145C3" w:rsidP="00D145C3">
      <w:pPr>
        <w:suppressAutoHyphens w:val="0"/>
        <w:spacing w:after="120" w:line="360" w:lineRule="auto"/>
        <w:ind w:left="1440" w:hanging="1440"/>
        <w:jc w:val="both"/>
        <w:rPr>
          <w:rFonts w:cs="Arial"/>
          <w:lang w:val="en-ZA" w:eastAsia="en-US"/>
        </w:rPr>
      </w:pPr>
      <w:r>
        <w:rPr>
          <w:rFonts w:cs="Arial"/>
          <w:b/>
          <w:lang w:val="en-ZA" w:eastAsia="en-US"/>
        </w:rPr>
        <w:t>Delivered:</w:t>
      </w:r>
      <w:r>
        <w:rPr>
          <w:rFonts w:cs="Arial"/>
          <w:b/>
          <w:lang w:val="en-ZA" w:eastAsia="en-US"/>
        </w:rPr>
        <w:tab/>
      </w:r>
      <w:r w:rsidR="00E32299">
        <w:rPr>
          <w:rFonts w:cs="Arial"/>
          <w:lang w:val="en-ZA" w:eastAsia="en-US"/>
        </w:rPr>
        <w:t>02</w:t>
      </w:r>
      <w:r w:rsidR="00CE2028">
        <w:rPr>
          <w:rFonts w:cs="Arial"/>
          <w:lang w:val="en-ZA" w:eastAsia="en-US"/>
        </w:rPr>
        <w:t xml:space="preserve"> </w:t>
      </w:r>
      <w:r w:rsidR="00DA24A4">
        <w:rPr>
          <w:rFonts w:cs="Arial"/>
          <w:lang w:val="en-ZA" w:eastAsia="en-US"/>
        </w:rPr>
        <w:t>September</w:t>
      </w:r>
      <w:r w:rsidR="00A94BD0">
        <w:rPr>
          <w:rFonts w:cs="Arial"/>
          <w:lang w:val="en-ZA" w:eastAsia="en-US"/>
        </w:rPr>
        <w:t xml:space="preserve"> 2022</w:t>
      </w:r>
      <w:r>
        <w:rPr>
          <w:rFonts w:cs="Arial"/>
          <w:lang w:val="en-ZA" w:eastAsia="en-US"/>
        </w:rPr>
        <w:t xml:space="preserve"> – This judgment was handed down electronically by circulation to the parties' representatives </w:t>
      </w:r>
      <w:r w:rsidR="00073CFE" w:rsidRPr="000C2D84">
        <w:rPr>
          <w:rFonts w:cs="Arial"/>
          <w:i/>
          <w:lang w:val="en-ZA" w:eastAsia="en-US"/>
        </w:rPr>
        <w:t>via</w:t>
      </w:r>
      <w:r>
        <w:rPr>
          <w:rFonts w:cs="Arial"/>
          <w:lang w:val="en-ZA" w:eastAsia="en-US"/>
        </w:rPr>
        <w:t xml:space="preserve"> email, by being uploaded to </w:t>
      </w:r>
      <w:r>
        <w:rPr>
          <w:rFonts w:cs="Arial"/>
          <w:i/>
          <w:lang w:val="en-ZA" w:eastAsia="en-US"/>
        </w:rPr>
        <w:t>CaseLines</w:t>
      </w:r>
      <w:r>
        <w:rPr>
          <w:rFonts w:cs="Arial"/>
          <w:lang w:val="en-ZA" w:eastAsia="en-US"/>
        </w:rPr>
        <w:t xml:space="preserve"> and by release to SAFLII. The date and time </w:t>
      </w:r>
      <w:r w:rsidR="00A42FDE">
        <w:rPr>
          <w:rFonts w:cs="Arial"/>
          <w:lang w:val="en-ZA" w:eastAsia="en-US"/>
        </w:rPr>
        <w:t>for hand-down is deemed to be 12</w:t>
      </w:r>
      <w:r w:rsidR="003E4B76">
        <w:rPr>
          <w:rFonts w:cs="Arial"/>
          <w:lang w:val="en-ZA" w:eastAsia="en-US"/>
        </w:rPr>
        <w:t>:</w:t>
      </w:r>
      <w:r w:rsidR="00A42FDE">
        <w:rPr>
          <w:rFonts w:cs="Arial"/>
          <w:lang w:val="en-ZA" w:eastAsia="en-US"/>
        </w:rPr>
        <w:t>3</w:t>
      </w:r>
      <w:r>
        <w:rPr>
          <w:rFonts w:cs="Arial"/>
          <w:lang w:val="en-ZA" w:eastAsia="en-US"/>
        </w:rPr>
        <w:t xml:space="preserve">0 on </w:t>
      </w:r>
      <w:r w:rsidR="00E32299">
        <w:rPr>
          <w:rFonts w:cs="Arial"/>
          <w:lang w:val="en-ZA" w:eastAsia="en-US"/>
        </w:rPr>
        <w:t>02</w:t>
      </w:r>
      <w:r>
        <w:rPr>
          <w:rFonts w:cs="Arial"/>
          <w:lang w:val="en-ZA" w:eastAsia="en-US"/>
        </w:rPr>
        <w:t xml:space="preserve"> </w:t>
      </w:r>
      <w:r w:rsidR="00DA24A4">
        <w:rPr>
          <w:rFonts w:cs="Arial"/>
          <w:lang w:val="en-ZA" w:eastAsia="en-US"/>
        </w:rPr>
        <w:t>September</w:t>
      </w:r>
      <w:r w:rsidR="00A94BD0">
        <w:rPr>
          <w:rFonts w:cs="Arial"/>
          <w:lang w:val="en-ZA" w:eastAsia="en-US"/>
        </w:rPr>
        <w:t xml:space="preserve"> 2022</w:t>
      </w:r>
      <w:r>
        <w:rPr>
          <w:rFonts w:cs="Arial"/>
          <w:lang w:val="en-ZA" w:eastAsia="en-US"/>
        </w:rPr>
        <w:t>.</w:t>
      </w:r>
    </w:p>
    <w:p w14:paraId="552E873A" w14:textId="2A7EC785" w:rsidR="007F6508" w:rsidRDefault="006377C9" w:rsidP="00A06EB7">
      <w:pPr>
        <w:spacing w:after="240" w:line="360" w:lineRule="auto"/>
        <w:jc w:val="both"/>
      </w:pPr>
      <w:r w:rsidRPr="00E9240D">
        <w:rPr>
          <w:rFonts w:cs="Arial"/>
          <w:b/>
          <w:bCs/>
          <w:lang w:val="en-ZA" w:eastAsia="en-US"/>
        </w:rPr>
        <w:t>Summary:</w:t>
      </w:r>
      <w:r w:rsidRPr="00E9240D">
        <w:rPr>
          <w:rFonts w:cs="Arial"/>
          <w:b/>
          <w:bCs/>
          <w:lang w:val="en-ZA" w:eastAsia="en-US"/>
        </w:rPr>
        <w:tab/>
      </w:r>
      <w:r w:rsidR="00A172CD" w:rsidRPr="00A172CD">
        <w:t>Administrative law – review –</w:t>
      </w:r>
      <w:r w:rsidR="003E4B76">
        <w:t xml:space="preserve"> review application based on the Promotion of Administrative Justice Act 3 of 2000 (PAJA) </w:t>
      </w:r>
      <w:r w:rsidR="00684A3B">
        <w:t xml:space="preserve">and on the principle of legality </w:t>
      </w:r>
      <w:r w:rsidR="003E4B76">
        <w:t>–</w:t>
      </w:r>
      <w:r w:rsidR="007F6508">
        <w:t xml:space="preserve"> public </w:t>
      </w:r>
      <w:r w:rsidR="00684A3B">
        <w:t>tender – administrative action c</w:t>
      </w:r>
      <w:r w:rsidR="007F6508">
        <w:t xml:space="preserve">onstituted by </w:t>
      </w:r>
      <w:r w:rsidR="007F6508">
        <w:rPr>
          <w:i/>
        </w:rPr>
        <w:t>inter alia</w:t>
      </w:r>
      <w:r w:rsidR="007F6508">
        <w:t xml:space="preserve"> the award of a tender</w:t>
      </w:r>
      <w:r w:rsidR="00684A3B">
        <w:t xml:space="preserve"> by a Public Body</w:t>
      </w:r>
      <w:r w:rsidR="007F6508">
        <w:t xml:space="preserve"> – the </w:t>
      </w:r>
      <w:r w:rsidR="00991111">
        <w:t xml:space="preserve">applicants were unsuccessful bidders </w:t>
      </w:r>
      <w:r w:rsidR="007F6508">
        <w:t>–</w:t>
      </w:r>
      <w:r w:rsidR="00991111">
        <w:t xml:space="preserve"> they contended that the tender process and the award of the tend</w:t>
      </w:r>
      <w:r w:rsidR="00684A3B">
        <w:t xml:space="preserve">er were invalid and unlawful – </w:t>
      </w:r>
      <w:r w:rsidR="00A06EB7">
        <w:t>a</w:t>
      </w:r>
      <w:r w:rsidR="007F6508">
        <w:t>pplications dismissed.</w:t>
      </w:r>
    </w:p>
    <w:p w14:paraId="19DF7C1D" w14:textId="77777777" w:rsidR="006377C9" w:rsidRDefault="006377C9" w:rsidP="00EF3EE8">
      <w:pPr>
        <w:pStyle w:val="LegalTramLines"/>
        <w:keepNext/>
        <w:spacing w:after="360"/>
      </w:pPr>
      <w:r>
        <w:t>ORDER</w:t>
      </w:r>
    </w:p>
    <w:p w14:paraId="7009F5ED" w14:textId="77777777" w:rsidR="00BD1982" w:rsidRDefault="00BD1982" w:rsidP="00D877F2">
      <w:pPr>
        <w:pStyle w:val="ListParagraph"/>
        <w:numPr>
          <w:ilvl w:val="0"/>
          <w:numId w:val="21"/>
        </w:numPr>
        <w:spacing w:line="360" w:lineRule="auto"/>
        <w:ind w:left="567" w:hanging="567"/>
        <w:jc w:val="both"/>
        <w:outlineLvl w:val="0"/>
      </w:pPr>
      <w:r>
        <w:t xml:space="preserve">Under Case number: 5798/2021: - </w:t>
      </w:r>
    </w:p>
    <w:p w14:paraId="492C79FC" w14:textId="77777777" w:rsidR="00BD1982" w:rsidRDefault="00BD1982" w:rsidP="00D877F2">
      <w:pPr>
        <w:pStyle w:val="ListParagraph"/>
        <w:numPr>
          <w:ilvl w:val="0"/>
          <w:numId w:val="22"/>
        </w:numPr>
        <w:spacing w:line="360" w:lineRule="auto"/>
        <w:ind w:left="851" w:hanging="851"/>
        <w:jc w:val="both"/>
        <w:outlineLvl w:val="0"/>
      </w:pPr>
      <w:r>
        <w:t>Applicant’s application is dismissed;</w:t>
      </w:r>
    </w:p>
    <w:p w14:paraId="4A50A02C" w14:textId="77777777" w:rsidR="00BD1982" w:rsidRDefault="00BD1982" w:rsidP="00BD1982">
      <w:pPr>
        <w:numPr>
          <w:ilvl w:val="0"/>
          <w:numId w:val="22"/>
        </w:numPr>
        <w:spacing w:after="120" w:line="360" w:lineRule="auto"/>
        <w:ind w:left="851" w:hanging="851"/>
        <w:jc w:val="both"/>
        <w:outlineLvl w:val="0"/>
      </w:pPr>
      <w:r>
        <w:t>The applicant shall pay the first respondent’s costs, including such costs consequent upon the employment of two Counsel, one being a Senior Counsel.</w:t>
      </w:r>
    </w:p>
    <w:p w14:paraId="121D99D8" w14:textId="42DF1582" w:rsidR="00BD1982" w:rsidRDefault="00BD1982" w:rsidP="00D877F2">
      <w:pPr>
        <w:pStyle w:val="ListParagraph"/>
        <w:numPr>
          <w:ilvl w:val="0"/>
          <w:numId w:val="21"/>
        </w:numPr>
        <w:spacing w:line="360" w:lineRule="auto"/>
        <w:ind w:left="567" w:hanging="567"/>
        <w:jc w:val="both"/>
        <w:outlineLvl w:val="0"/>
      </w:pPr>
      <w:r>
        <w:lastRenderedPageBreak/>
        <w:t>Under Case number: 0290/202</w:t>
      </w:r>
      <w:r w:rsidR="00991111">
        <w:t>2</w:t>
      </w:r>
      <w:r>
        <w:t xml:space="preserve">: - </w:t>
      </w:r>
    </w:p>
    <w:p w14:paraId="14A3AF7D" w14:textId="77777777" w:rsidR="00BD1982" w:rsidRDefault="00BD1982" w:rsidP="00D877F2">
      <w:pPr>
        <w:pStyle w:val="ListParagraph"/>
        <w:numPr>
          <w:ilvl w:val="0"/>
          <w:numId w:val="26"/>
        </w:numPr>
        <w:spacing w:line="360" w:lineRule="auto"/>
        <w:ind w:left="851" w:hanging="851"/>
        <w:jc w:val="both"/>
        <w:outlineLvl w:val="0"/>
      </w:pPr>
      <w:r>
        <w:t>Applicant’s application is dismissed;</w:t>
      </w:r>
    </w:p>
    <w:p w14:paraId="669014D7" w14:textId="77777777" w:rsidR="00BD1982" w:rsidRDefault="00BD1982" w:rsidP="00BD1982">
      <w:pPr>
        <w:numPr>
          <w:ilvl w:val="0"/>
          <w:numId w:val="26"/>
        </w:numPr>
        <w:spacing w:after="120" w:line="360" w:lineRule="auto"/>
        <w:ind w:left="851" w:hanging="851"/>
        <w:jc w:val="both"/>
        <w:outlineLvl w:val="0"/>
      </w:pPr>
      <w:r>
        <w:t>The applicant shall pay the first respondent’s costs, including such costs consequent upon the employment of two Counsel, one being a Senior Counsel.</w:t>
      </w:r>
    </w:p>
    <w:p w14:paraId="407C726B" w14:textId="77777777" w:rsidR="00BD1982" w:rsidRDefault="00BD1982" w:rsidP="00D877F2">
      <w:pPr>
        <w:pStyle w:val="ListParagraph"/>
        <w:numPr>
          <w:ilvl w:val="0"/>
          <w:numId w:val="21"/>
        </w:numPr>
        <w:spacing w:line="360" w:lineRule="auto"/>
        <w:ind w:left="567" w:hanging="567"/>
        <w:jc w:val="both"/>
        <w:outlineLvl w:val="0"/>
      </w:pPr>
      <w:r>
        <w:t xml:space="preserve">Under Case number: 3047/2022: - </w:t>
      </w:r>
    </w:p>
    <w:p w14:paraId="013E4572" w14:textId="77777777" w:rsidR="00BD1982" w:rsidRDefault="00BD1982" w:rsidP="00D877F2">
      <w:pPr>
        <w:pStyle w:val="ListParagraph"/>
        <w:numPr>
          <w:ilvl w:val="0"/>
          <w:numId w:val="27"/>
        </w:numPr>
        <w:spacing w:line="360" w:lineRule="auto"/>
        <w:ind w:left="851" w:hanging="851"/>
        <w:jc w:val="both"/>
        <w:outlineLvl w:val="0"/>
      </w:pPr>
      <w:r>
        <w:t>Applicant’s application is dismissed;</w:t>
      </w:r>
    </w:p>
    <w:p w14:paraId="4CFAE055" w14:textId="77777777" w:rsidR="00BD1982" w:rsidRDefault="00BD1982" w:rsidP="00BD1982">
      <w:pPr>
        <w:numPr>
          <w:ilvl w:val="0"/>
          <w:numId w:val="27"/>
        </w:numPr>
        <w:spacing w:after="240" w:line="360" w:lineRule="auto"/>
        <w:ind w:left="851" w:hanging="851"/>
        <w:jc w:val="both"/>
        <w:outlineLvl w:val="0"/>
      </w:pPr>
      <w:r>
        <w:t>The applicant shall pay the first respondent’s costs, including such costs consequent upon the employment of two Counsel, one being a Senior Counsel.</w:t>
      </w:r>
    </w:p>
    <w:p w14:paraId="10A51433" w14:textId="77777777" w:rsidR="009314F3" w:rsidRPr="005E3F79" w:rsidRDefault="00F41CA8" w:rsidP="00C55460">
      <w:pPr>
        <w:pStyle w:val="LegalTramLines"/>
        <w:keepNext/>
        <w:spacing w:after="360"/>
        <w:rPr>
          <w:rFonts w:ascii="Arial" w:hAnsi="Arial" w:cs="Arial"/>
        </w:rPr>
      </w:pPr>
      <w:r w:rsidRPr="005E3F79">
        <w:rPr>
          <w:rFonts w:ascii="Arial" w:hAnsi="Arial" w:cs="Arial"/>
        </w:rPr>
        <w:t>JUDGMENT</w:t>
      </w:r>
    </w:p>
    <w:p w14:paraId="2804AF1D" w14:textId="75B46015" w:rsidR="00D63801" w:rsidRPr="00FC489D" w:rsidRDefault="00FC7402" w:rsidP="005E3F79">
      <w:pPr>
        <w:pStyle w:val="LegalMAINHEADING"/>
        <w:spacing w:before="0" w:after="120" w:line="360" w:lineRule="auto"/>
      </w:pPr>
      <w:r>
        <w:rPr>
          <w:caps w:val="0"/>
        </w:rPr>
        <w:t>Adams J</w:t>
      </w:r>
      <w:r w:rsidR="00FC489D" w:rsidRPr="00FC489D">
        <w:rPr>
          <w:caps w:val="0"/>
        </w:rPr>
        <w:t>:</w:t>
      </w:r>
    </w:p>
    <w:p w14:paraId="3520B065" w14:textId="3AFC2154" w:rsidR="00ED75B4" w:rsidRPr="00ED75B4" w:rsidRDefault="00F8754B" w:rsidP="00ED75B4">
      <w:pPr>
        <w:pStyle w:val="ListParagraph"/>
        <w:numPr>
          <w:ilvl w:val="0"/>
          <w:numId w:val="5"/>
        </w:numPr>
        <w:tabs>
          <w:tab w:val="clear" w:pos="567"/>
        </w:tabs>
        <w:spacing w:after="120" w:line="360" w:lineRule="auto"/>
        <w:ind w:left="0" w:firstLine="0"/>
        <w:jc w:val="both"/>
        <w:rPr>
          <w:color w:val="000000"/>
        </w:rPr>
      </w:pPr>
      <w:r w:rsidRPr="0016378D">
        <w:rPr>
          <w:color w:val="000000"/>
        </w:rPr>
        <w:t xml:space="preserve">Before </w:t>
      </w:r>
      <w:r w:rsidR="0016378D">
        <w:rPr>
          <w:color w:val="000000"/>
        </w:rPr>
        <w:t>me</w:t>
      </w:r>
      <w:r w:rsidRPr="0016378D">
        <w:rPr>
          <w:color w:val="000000"/>
        </w:rPr>
        <w:t xml:space="preserve"> are </w:t>
      </w:r>
      <w:r w:rsidR="0016378D">
        <w:rPr>
          <w:color w:val="000000"/>
        </w:rPr>
        <w:t>three</w:t>
      </w:r>
      <w:r w:rsidRPr="0016378D">
        <w:rPr>
          <w:color w:val="000000"/>
        </w:rPr>
        <w:t xml:space="preserve"> parallel applications for orders declaring invalid and setting aside</w:t>
      </w:r>
      <w:r w:rsidR="0016378D">
        <w:rPr>
          <w:color w:val="000000"/>
        </w:rPr>
        <w:t xml:space="preserve"> the decision by the first respondent in the applications, Eskom SOC Limited (‘Eskom’), </w:t>
      </w:r>
      <w:r w:rsidR="0016378D" w:rsidRPr="0016378D">
        <w:rPr>
          <w:color w:val="000000"/>
        </w:rPr>
        <w:t xml:space="preserve">to award </w:t>
      </w:r>
      <w:r w:rsidR="0016378D">
        <w:rPr>
          <w:color w:val="000000"/>
        </w:rPr>
        <w:t xml:space="preserve">a public tender </w:t>
      </w:r>
      <w:r w:rsidR="0016378D" w:rsidRPr="0016378D">
        <w:rPr>
          <w:color w:val="000000"/>
        </w:rPr>
        <w:t xml:space="preserve">for </w:t>
      </w:r>
      <w:r w:rsidR="0016378D">
        <w:rPr>
          <w:color w:val="000000"/>
        </w:rPr>
        <w:t>‘</w:t>
      </w:r>
      <w:r w:rsidR="0016378D" w:rsidRPr="0016378D">
        <w:rPr>
          <w:color w:val="000000"/>
        </w:rPr>
        <w:t>the supply, transportation, erection and dismantling of scaffolding and insulation material for 15 (fifteen) fossil fired power stations</w:t>
      </w:r>
      <w:r w:rsidR="00174EC3">
        <w:rPr>
          <w:color w:val="000000"/>
        </w:rPr>
        <w:t xml:space="preserve">’ to the second to fourth respondents. This decision was taken by Eskom on 17 December 2021. The three applicants in the applications, namely Waco Africa (Pty) Limited t/a SGB-Cape (‘SGB-Cape’), TMS Group Industrial Service (Pty) Limited (‘TMS Group’) and Southey Contracting (Pty) Limited (‘Southey’) </w:t>
      </w:r>
      <w:r w:rsidR="00ED75B4">
        <w:rPr>
          <w:color w:val="000000"/>
        </w:rPr>
        <w:t>also tendered for the contracts, but were unsuccessful. And aggrieved at not being awarded the bid or a portion of the bid, they launched these judicial review applications. Relief ancillary to the main relief is also applied for by the applicants.</w:t>
      </w:r>
      <w:r w:rsidR="00D76E8F">
        <w:rPr>
          <w:color w:val="000000"/>
        </w:rPr>
        <w:t xml:space="preserve"> </w:t>
      </w:r>
      <w:r w:rsidR="00ED75B4" w:rsidRPr="00ED75B4">
        <w:rPr>
          <w:color w:val="000000"/>
        </w:rPr>
        <w:t>The three applications largely raise common grounds of review, barring two or three deviations.</w:t>
      </w:r>
    </w:p>
    <w:p w14:paraId="6FEC416A" w14:textId="316FF1C3" w:rsidR="00DE556C" w:rsidRPr="00DE556C" w:rsidRDefault="00ED75B4" w:rsidP="00DE556C">
      <w:pPr>
        <w:pStyle w:val="ListParagraph"/>
        <w:numPr>
          <w:ilvl w:val="0"/>
          <w:numId w:val="5"/>
        </w:numPr>
        <w:tabs>
          <w:tab w:val="clear" w:pos="567"/>
        </w:tabs>
        <w:spacing w:after="120" w:line="360" w:lineRule="auto"/>
        <w:ind w:left="0" w:firstLine="0"/>
        <w:jc w:val="both"/>
        <w:rPr>
          <w:color w:val="000000"/>
        </w:rPr>
      </w:pPr>
      <w:r>
        <w:rPr>
          <w:color w:val="000000"/>
        </w:rPr>
        <w:t xml:space="preserve">All three of the applicants previously </w:t>
      </w:r>
      <w:r w:rsidR="00DE556C" w:rsidRPr="00DE556C">
        <w:rPr>
          <w:color w:val="000000"/>
        </w:rPr>
        <w:t xml:space="preserve">provided such goods and services to Eskom at </w:t>
      </w:r>
      <w:r>
        <w:rPr>
          <w:color w:val="000000"/>
        </w:rPr>
        <w:t xml:space="preserve">some of </w:t>
      </w:r>
      <w:r w:rsidR="00DE556C" w:rsidRPr="00DE556C">
        <w:rPr>
          <w:color w:val="000000"/>
        </w:rPr>
        <w:t xml:space="preserve">its coal-fired power stations </w:t>
      </w:r>
      <w:r>
        <w:rPr>
          <w:color w:val="000000"/>
        </w:rPr>
        <w:t>and, until the contracts were put out on tender, they have been providing such services for</w:t>
      </w:r>
      <w:r w:rsidR="00DE556C" w:rsidRPr="00DE556C">
        <w:rPr>
          <w:color w:val="000000"/>
        </w:rPr>
        <w:t xml:space="preserve"> more than a decade.</w:t>
      </w:r>
    </w:p>
    <w:p w14:paraId="22A36D8E" w14:textId="718E7970" w:rsidR="00DE556C" w:rsidRPr="00D76E8F" w:rsidRDefault="00D76E8F" w:rsidP="00D76E8F">
      <w:pPr>
        <w:pStyle w:val="ListParagraph"/>
        <w:numPr>
          <w:ilvl w:val="0"/>
          <w:numId w:val="5"/>
        </w:numPr>
        <w:tabs>
          <w:tab w:val="clear" w:pos="567"/>
        </w:tabs>
        <w:spacing w:after="120" w:line="360" w:lineRule="auto"/>
        <w:ind w:left="0" w:firstLine="0"/>
        <w:jc w:val="both"/>
        <w:rPr>
          <w:color w:val="000000"/>
        </w:rPr>
      </w:pPr>
      <w:r>
        <w:rPr>
          <w:color w:val="000000"/>
        </w:rPr>
        <w:lastRenderedPageBreak/>
        <w:t>The applicants</w:t>
      </w:r>
      <w:r w:rsidR="00DE556C" w:rsidRPr="00DE556C">
        <w:rPr>
          <w:color w:val="000000"/>
        </w:rPr>
        <w:t xml:space="preserve"> contend that Eskom’s decision to award the Tender was invalid</w:t>
      </w:r>
      <w:r w:rsidR="005D1028">
        <w:rPr>
          <w:color w:val="000000"/>
        </w:rPr>
        <w:t xml:space="preserve">, should be reviewed </w:t>
      </w:r>
      <w:r w:rsidR="00DE556C" w:rsidRPr="00DE556C">
        <w:rPr>
          <w:color w:val="000000"/>
        </w:rPr>
        <w:t>and set aside for the following reasons:</w:t>
      </w:r>
      <w:r>
        <w:rPr>
          <w:color w:val="000000"/>
        </w:rPr>
        <w:t xml:space="preserve"> </w:t>
      </w:r>
      <w:r w:rsidR="00DE556C" w:rsidRPr="00D76E8F">
        <w:rPr>
          <w:color w:val="000000"/>
        </w:rPr>
        <w:t>First, Eskom awarded the Tender to bidders with a Construction Industry Development Board</w:t>
      </w:r>
      <w:r>
        <w:rPr>
          <w:color w:val="000000"/>
        </w:rPr>
        <w:t xml:space="preserve"> (‘CIDB’)</w:t>
      </w:r>
      <w:r w:rsidR="00DE556C" w:rsidRPr="00D76E8F">
        <w:rPr>
          <w:color w:val="000000"/>
        </w:rPr>
        <w:t xml:space="preserve"> grading of 8 when, in terms of the statutes regulating such </w:t>
      </w:r>
      <w:r w:rsidRPr="00D76E8F">
        <w:rPr>
          <w:color w:val="000000"/>
        </w:rPr>
        <w:t>grading</w:t>
      </w:r>
      <w:r w:rsidR="00DE556C" w:rsidRPr="00D76E8F">
        <w:rPr>
          <w:color w:val="000000"/>
        </w:rPr>
        <w:t>, in circumstance</w:t>
      </w:r>
      <w:r>
        <w:rPr>
          <w:color w:val="000000"/>
        </w:rPr>
        <w:t>s where the extremely valuable t</w:t>
      </w:r>
      <w:r w:rsidR="00DE556C" w:rsidRPr="00D76E8F">
        <w:rPr>
          <w:color w:val="000000"/>
        </w:rPr>
        <w:t>ender may only be perform</w:t>
      </w:r>
      <w:r>
        <w:rPr>
          <w:color w:val="000000"/>
        </w:rPr>
        <w:t xml:space="preserve">ed by contractors </w:t>
      </w:r>
      <w:r w:rsidR="00DE556C" w:rsidRPr="00D76E8F">
        <w:rPr>
          <w:color w:val="000000"/>
        </w:rPr>
        <w:t>who hold the highest CIDB grading of 9.</w:t>
      </w:r>
      <w:r>
        <w:rPr>
          <w:color w:val="000000"/>
        </w:rPr>
        <w:t xml:space="preserve"> Second, in its adoption of a ‘Cluster Allocation Strategy’ – which is explained later on in this judgment – </w:t>
      </w:r>
      <w:r w:rsidR="00DE556C" w:rsidRPr="00D76E8F">
        <w:rPr>
          <w:color w:val="000000"/>
        </w:rPr>
        <w:t>and</w:t>
      </w:r>
      <w:r>
        <w:rPr>
          <w:color w:val="000000"/>
        </w:rPr>
        <w:t xml:space="preserve"> </w:t>
      </w:r>
      <w:r w:rsidR="00DE556C" w:rsidRPr="00D76E8F">
        <w:rPr>
          <w:color w:val="000000"/>
        </w:rPr>
        <w:t>decisions pursuant there</w:t>
      </w:r>
      <w:r>
        <w:rPr>
          <w:color w:val="000000"/>
        </w:rPr>
        <w:t>to, Eskom failed to award the t</w:t>
      </w:r>
      <w:r w:rsidR="00DE556C" w:rsidRPr="00D76E8F">
        <w:rPr>
          <w:color w:val="000000"/>
        </w:rPr>
        <w:t>ender to the bidder that scored the highest amount of points, as is required in terms of section 2(1)(f) of the Preferential Procurement P</w:t>
      </w:r>
      <w:r>
        <w:rPr>
          <w:color w:val="000000"/>
        </w:rPr>
        <w:t>olicy Framework Act 5 of 2000 (‘</w:t>
      </w:r>
      <w:r w:rsidR="00684A3B">
        <w:rPr>
          <w:color w:val="000000"/>
        </w:rPr>
        <w:t xml:space="preserve">the </w:t>
      </w:r>
      <w:r>
        <w:rPr>
          <w:color w:val="000000"/>
        </w:rPr>
        <w:t>PPPFA’</w:t>
      </w:r>
      <w:r w:rsidR="00DE556C" w:rsidRPr="00D76E8F">
        <w:rPr>
          <w:color w:val="000000"/>
        </w:rPr>
        <w:t>).</w:t>
      </w:r>
      <w:r>
        <w:rPr>
          <w:color w:val="000000"/>
        </w:rPr>
        <w:t xml:space="preserve"> </w:t>
      </w:r>
      <w:r w:rsidR="00DE556C" w:rsidRPr="00D76E8F">
        <w:rPr>
          <w:color w:val="000000"/>
        </w:rPr>
        <w:t>Third, in making its decision, Eskom evaluated and awarded the Tender in terms of invalid and unlawful PPPFA Regulations.</w:t>
      </w:r>
      <w:r>
        <w:rPr>
          <w:color w:val="000000"/>
        </w:rPr>
        <w:t xml:space="preserve"> </w:t>
      </w:r>
      <w:r w:rsidR="00DE556C" w:rsidRPr="00D76E8F">
        <w:rPr>
          <w:color w:val="000000"/>
        </w:rPr>
        <w:t>Fourth, Eskom failed to take adequate measures to ensure that the successful bidders had the necessary technical and financial capacity to execute the Tender, notwithstanding Eskom’s statutory duty to take those measures.</w:t>
      </w:r>
      <w:r>
        <w:rPr>
          <w:color w:val="000000"/>
        </w:rPr>
        <w:t xml:space="preserve"> And l</w:t>
      </w:r>
      <w:r w:rsidR="00DE556C" w:rsidRPr="00D76E8F">
        <w:rPr>
          <w:color w:val="000000"/>
        </w:rPr>
        <w:t xml:space="preserve">astly, Eskom failed to comply with the </w:t>
      </w:r>
      <w:r>
        <w:rPr>
          <w:color w:val="000000"/>
        </w:rPr>
        <w:t xml:space="preserve">Invitation to Tender (‘ITT’) </w:t>
      </w:r>
      <w:r w:rsidR="00DE556C" w:rsidRPr="00D76E8F">
        <w:rPr>
          <w:color w:val="000000"/>
        </w:rPr>
        <w:t xml:space="preserve">prescripts in </w:t>
      </w:r>
      <w:r>
        <w:rPr>
          <w:color w:val="000000"/>
        </w:rPr>
        <w:t>a number of respects</w:t>
      </w:r>
      <w:r w:rsidR="00DE556C" w:rsidRPr="00D76E8F">
        <w:rPr>
          <w:color w:val="000000"/>
        </w:rPr>
        <w:t>.</w:t>
      </w:r>
    </w:p>
    <w:p w14:paraId="40B2B0FF" w14:textId="3C3A0184" w:rsidR="00390FAA" w:rsidRDefault="00D76E8F" w:rsidP="00390FAA">
      <w:pPr>
        <w:pStyle w:val="ListParagraph"/>
        <w:numPr>
          <w:ilvl w:val="0"/>
          <w:numId w:val="5"/>
        </w:numPr>
        <w:tabs>
          <w:tab w:val="clear" w:pos="567"/>
        </w:tabs>
        <w:spacing w:after="120" w:line="360" w:lineRule="auto"/>
        <w:ind w:left="0" w:firstLine="0"/>
        <w:jc w:val="both"/>
        <w:rPr>
          <w:color w:val="000000"/>
        </w:rPr>
      </w:pPr>
      <w:r>
        <w:rPr>
          <w:color w:val="000000"/>
        </w:rPr>
        <w:t xml:space="preserve">In issue in these applications is whether valid grounds exist for the review and </w:t>
      </w:r>
      <w:r w:rsidR="00390FAA">
        <w:rPr>
          <w:color w:val="000000"/>
        </w:rPr>
        <w:t xml:space="preserve">the </w:t>
      </w:r>
      <w:r>
        <w:rPr>
          <w:color w:val="000000"/>
        </w:rPr>
        <w:t>setting aside of the decision by Eskom to award the tender in</w:t>
      </w:r>
      <w:r w:rsidR="00390FAA">
        <w:rPr>
          <w:color w:val="000000"/>
        </w:rPr>
        <w:t xml:space="preserve"> favour of the second respondent, </w:t>
      </w:r>
      <w:r w:rsidR="00390FAA" w:rsidRPr="00390FAA">
        <w:rPr>
          <w:color w:val="000000"/>
        </w:rPr>
        <w:t>Kaefer Thermal Contracting Services (Pty) Limited</w:t>
      </w:r>
      <w:r w:rsidR="00390FAA">
        <w:rPr>
          <w:color w:val="000000"/>
        </w:rPr>
        <w:t xml:space="preserve"> (‘Kaefer’), the third respondent, </w:t>
      </w:r>
      <w:r w:rsidR="00390FAA" w:rsidRPr="00390FAA">
        <w:rPr>
          <w:color w:val="000000"/>
        </w:rPr>
        <w:t>ElectroHeat Energy (Pty) Limited</w:t>
      </w:r>
      <w:r w:rsidR="00390FAA">
        <w:rPr>
          <w:color w:val="000000"/>
        </w:rPr>
        <w:t xml:space="preserve"> (‘ElectroHeat’), the fourth respondent, </w:t>
      </w:r>
      <w:r w:rsidR="00390FAA" w:rsidRPr="00390FAA">
        <w:rPr>
          <w:color w:val="000000"/>
        </w:rPr>
        <w:t>Oram Industrials (Pty) Limited</w:t>
      </w:r>
      <w:r w:rsidR="00390FAA">
        <w:rPr>
          <w:color w:val="000000"/>
        </w:rPr>
        <w:t xml:space="preserve"> (‘Oram’) and the fifth respondent, RSC</w:t>
      </w:r>
      <w:r w:rsidR="00390FAA" w:rsidRPr="00390FAA">
        <w:rPr>
          <w:color w:val="000000"/>
        </w:rPr>
        <w:t xml:space="preserve"> Industrial Services (Pty) Limited</w:t>
      </w:r>
      <w:r w:rsidR="00390FAA">
        <w:rPr>
          <w:color w:val="000000"/>
        </w:rPr>
        <w:t xml:space="preserve"> (‘RSC’). And, if so, what just and equitable remedy should be granted.</w:t>
      </w:r>
    </w:p>
    <w:p w14:paraId="484A2DB2" w14:textId="20D320E4" w:rsidR="00EC2AF3" w:rsidRDefault="005D1028" w:rsidP="005D1028">
      <w:pPr>
        <w:pStyle w:val="ListParagraph"/>
        <w:numPr>
          <w:ilvl w:val="0"/>
          <w:numId w:val="5"/>
        </w:numPr>
        <w:tabs>
          <w:tab w:val="clear" w:pos="567"/>
        </w:tabs>
        <w:spacing w:after="120" w:line="360" w:lineRule="auto"/>
        <w:ind w:left="0" w:firstLine="0"/>
        <w:jc w:val="both"/>
        <w:rPr>
          <w:color w:val="000000"/>
        </w:rPr>
      </w:pPr>
      <w:r>
        <w:rPr>
          <w:color w:val="000000"/>
        </w:rPr>
        <w:t>It is the case of the applicants that E</w:t>
      </w:r>
      <w:r w:rsidR="00EC2AF3" w:rsidRPr="00EC2AF3">
        <w:rPr>
          <w:color w:val="000000"/>
        </w:rPr>
        <w:t>skom’s tender process</w:t>
      </w:r>
      <w:r>
        <w:rPr>
          <w:color w:val="000000"/>
        </w:rPr>
        <w:t xml:space="preserve"> and its decision to award the t</w:t>
      </w:r>
      <w:r w:rsidR="00EC2AF3" w:rsidRPr="00EC2AF3">
        <w:rPr>
          <w:color w:val="000000"/>
        </w:rPr>
        <w:t>ender to the</w:t>
      </w:r>
      <w:r w:rsidR="004D0465">
        <w:rPr>
          <w:color w:val="000000"/>
        </w:rPr>
        <w:t xml:space="preserve"> </w:t>
      </w:r>
      <w:r>
        <w:rPr>
          <w:color w:val="000000"/>
        </w:rPr>
        <w:t>second to fifth r</w:t>
      </w:r>
      <w:r w:rsidR="00EC2AF3" w:rsidRPr="004D0465">
        <w:rPr>
          <w:color w:val="000000"/>
        </w:rPr>
        <w:t xml:space="preserve">espondents </w:t>
      </w:r>
      <w:r w:rsidR="00684A3B">
        <w:rPr>
          <w:color w:val="000000"/>
        </w:rPr>
        <w:t xml:space="preserve">should </w:t>
      </w:r>
      <w:r w:rsidR="00EC2AF3" w:rsidRPr="004D0465">
        <w:rPr>
          <w:color w:val="000000"/>
        </w:rPr>
        <w:t>be reviewed, declared in</w:t>
      </w:r>
      <w:r>
        <w:rPr>
          <w:color w:val="000000"/>
        </w:rPr>
        <w:t>valid and set aside in terms of s</w:t>
      </w:r>
      <w:r w:rsidR="00EC2AF3" w:rsidRPr="005D1028">
        <w:rPr>
          <w:color w:val="000000"/>
        </w:rPr>
        <w:t>ections 6(2)(a), (b), (c), (e), (f)(i) and (ii), (h), and (i) of the</w:t>
      </w:r>
      <w:r w:rsidR="004D0465" w:rsidRPr="005D1028">
        <w:rPr>
          <w:color w:val="000000"/>
        </w:rPr>
        <w:t xml:space="preserve"> </w:t>
      </w:r>
      <w:r w:rsidR="00EC2AF3" w:rsidRPr="005D1028">
        <w:rPr>
          <w:color w:val="000000"/>
        </w:rPr>
        <w:t>Promotion of Adminis</w:t>
      </w:r>
      <w:r>
        <w:rPr>
          <w:color w:val="000000"/>
        </w:rPr>
        <w:t>trative Justice Act 3 of 2000 (‘PAJA’</w:t>
      </w:r>
      <w:r w:rsidR="00EC2AF3" w:rsidRPr="005D1028">
        <w:rPr>
          <w:color w:val="000000"/>
        </w:rPr>
        <w:t>)</w:t>
      </w:r>
      <w:r>
        <w:rPr>
          <w:color w:val="000000"/>
        </w:rPr>
        <w:t>, a</w:t>
      </w:r>
      <w:r w:rsidR="00EC2AF3" w:rsidRPr="005D1028">
        <w:rPr>
          <w:color w:val="000000"/>
        </w:rPr>
        <w:t xml:space="preserve">lternatively, </w:t>
      </w:r>
      <w:r>
        <w:rPr>
          <w:color w:val="000000"/>
        </w:rPr>
        <w:t xml:space="preserve">on the basis of </w:t>
      </w:r>
      <w:r w:rsidR="00EC2AF3" w:rsidRPr="005D1028">
        <w:rPr>
          <w:color w:val="000000"/>
        </w:rPr>
        <w:t>the principle of legality enshrined in section 1(c) of the Constitution of the Republic of South Africa, 1996.</w:t>
      </w:r>
    </w:p>
    <w:p w14:paraId="00EC48EB" w14:textId="4509C75A" w:rsidR="005D26AC" w:rsidRDefault="005D26AC" w:rsidP="005D26AC">
      <w:pPr>
        <w:pStyle w:val="LegalList1"/>
        <w:numPr>
          <w:ilvl w:val="0"/>
          <w:numId w:val="5"/>
        </w:numPr>
        <w:tabs>
          <w:tab w:val="clear" w:pos="567"/>
        </w:tabs>
        <w:spacing w:after="120" w:line="360" w:lineRule="auto"/>
        <w:ind w:left="0" w:firstLine="0"/>
        <w:rPr>
          <w:lang w:val="en-ZA"/>
        </w:rPr>
      </w:pPr>
      <w:r>
        <w:rPr>
          <w:lang w:val="en-ZA"/>
        </w:rPr>
        <w:t xml:space="preserve">The issues in these matters are to be decided with reference to the laws relating to public procurement and the notion that </w:t>
      </w:r>
      <w:r w:rsidR="00520A4E">
        <w:rPr>
          <w:lang w:val="en-ZA"/>
        </w:rPr>
        <w:t>public procurement</w:t>
      </w:r>
      <w:r>
        <w:rPr>
          <w:lang w:val="en-ZA"/>
        </w:rPr>
        <w:t xml:space="preserve"> is not a </w:t>
      </w:r>
      <w:r>
        <w:rPr>
          <w:lang w:val="en-ZA"/>
        </w:rPr>
        <w:lastRenderedPageBreak/>
        <w:t xml:space="preserve">mere showering of public largesse on commercial enterprises. It is the acquisition of goods and services for the benefit of the public. </w:t>
      </w:r>
    </w:p>
    <w:p w14:paraId="03B600DE" w14:textId="293E5530" w:rsidR="005D26AC" w:rsidRDefault="005D26AC" w:rsidP="005D26AC">
      <w:pPr>
        <w:pStyle w:val="LegalList1"/>
        <w:numPr>
          <w:ilvl w:val="0"/>
          <w:numId w:val="5"/>
        </w:numPr>
        <w:tabs>
          <w:tab w:val="clear" w:pos="567"/>
        </w:tabs>
        <w:spacing w:after="120" w:line="360" w:lineRule="auto"/>
        <w:ind w:left="0" w:firstLine="0"/>
        <w:rPr>
          <w:lang w:val="en-ZA"/>
        </w:rPr>
      </w:pPr>
      <w:r>
        <w:rPr>
          <w:lang w:val="en-ZA"/>
        </w:rPr>
        <w:t>The procurement of goods and services by the state and other public entities is subject to various legal constraints. Section 217(1) of the Constitution requires all organs of state, when they contract for goods or services, to do so ‘in accordance with a system which is fair, equitable, transparent, competitive and cost effective’. That is taken up in the Public Finance Management Act, Act 1 of 1999 (‘the PFMA’), which provides in s 51(1)(a)(iii) that the accounting authority of a public entity (which includes Eskom) ‘must ensure that the public entity … has and maintains an appropriate procurement and provisioning system which is fair, equitable, transparent, competitive and cost effective’. It has also been held that public procurement constitutes ‘administrative action’ as contemplated by the Promotion of Administrative Justice Act, Act 3 of 2000 (‘PAJA’) and must comply with the provisions of that Act.</w:t>
      </w:r>
    </w:p>
    <w:p w14:paraId="66E308B7" w14:textId="25B167C7" w:rsidR="004E60BA" w:rsidRDefault="005D26AC" w:rsidP="005D26AC">
      <w:pPr>
        <w:pStyle w:val="LegalList1"/>
        <w:numPr>
          <w:ilvl w:val="0"/>
          <w:numId w:val="5"/>
        </w:numPr>
        <w:tabs>
          <w:tab w:val="clear" w:pos="567"/>
        </w:tabs>
        <w:spacing w:after="120" w:line="360" w:lineRule="auto"/>
        <w:ind w:left="0" w:firstLine="0"/>
        <w:rPr>
          <w:lang w:val="en-ZA"/>
        </w:rPr>
      </w:pPr>
      <w:r>
        <w:rPr>
          <w:lang w:val="en-ZA"/>
        </w:rPr>
        <w:t>Section 217 of the Constitution, the Preferential Procurement Policy Framework Act, Act 5 of 2000 (‘the Procurement Act’) and the Public Finance Management Act, Act 1 of 1999] provide the constitutional and legislative framework within which administrative action may be taken in the procurement process. The lens for judicial review of these actions, as with other administrative action, is found in PAJA. The central focus of this enquiry is not whether the decision was correct, but whether the process is reviewable on the grounds set out in PAJA.</w:t>
      </w:r>
    </w:p>
    <w:p w14:paraId="4A807CDE" w14:textId="5B65D8CB" w:rsidR="004E60BA" w:rsidRPr="004E60BA" w:rsidRDefault="004E60BA" w:rsidP="004E60BA">
      <w:pPr>
        <w:pStyle w:val="LegalList1"/>
        <w:numPr>
          <w:ilvl w:val="0"/>
          <w:numId w:val="5"/>
        </w:numPr>
        <w:tabs>
          <w:tab w:val="clear" w:pos="567"/>
        </w:tabs>
        <w:spacing w:after="0" w:line="360" w:lineRule="auto"/>
        <w:ind w:left="0" w:firstLine="0"/>
        <w:rPr>
          <w:lang w:val="en-ZA"/>
        </w:rPr>
      </w:pPr>
      <w:r w:rsidRPr="004E60BA">
        <w:rPr>
          <w:color w:val="000000"/>
        </w:rPr>
        <w:t xml:space="preserve">Section 217, the PPPFA, Eskom’s procurement policies and the </w:t>
      </w:r>
      <w:r w:rsidR="00A36AA3">
        <w:rPr>
          <w:color w:val="000000"/>
        </w:rPr>
        <w:t xml:space="preserve">ITT </w:t>
      </w:r>
      <w:r w:rsidRPr="004E60BA">
        <w:rPr>
          <w:color w:val="000000"/>
        </w:rPr>
        <w:t xml:space="preserve">all constitute the framework for Eskom’s procurement process in issue. Eskom’s procurement policies and the </w:t>
      </w:r>
      <w:r w:rsidR="00A36AA3">
        <w:rPr>
          <w:color w:val="000000"/>
        </w:rPr>
        <w:t xml:space="preserve">ITT </w:t>
      </w:r>
      <w:r w:rsidRPr="004E60BA">
        <w:rPr>
          <w:color w:val="000000"/>
        </w:rPr>
        <w:t>are not just Eskom’s internal prescripts. They have legal effect and must be complied with unless set aside in proceedings for judicial review.</w:t>
      </w:r>
      <w:r>
        <w:rPr>
          <w:color w:val="000000"/>
        </w:rPr>
        <w:t xml:space="preserve"> As was held by the Constitutional Court in </w:t>
      </w:r>
      <w:r w:rsidRPr="004E60BA">
        <w:rPr>
          <w:i/>
          <w:color w:val="000000"/>
        </w:rPr>
        <w:t xml:space="preserve">AllPay Consolidated Investment Holdings (Pty) Ltd and others v Chief Executive Officer of the South </w:t>
      </w:r>
      <w:r w:rsidRPr="004E60BA">
        <w:rPr>
          <w:i/>
          <w:color w:val="000000"/>
        </w:rPr>
        <w:lastRenderedPageBreak/>
        <w:t>African Social Security Agency and others (Corruption Watch and another as amici curiae)</w:t>
      </w:r>
      <w:r w:rsidRPr="004E60BA">
        <w:rPr>
          <w:rStyle w:val="FootnoteReference"/>
          <w:i/>
          <w:color w:val="000000"/>
          <w:sz w:val="24"/>
        </w:rPr>
        <w:footnoteReference w:id="1"/>
      </w:r>
      <w:r w:rsidRPr="004E60BA">
        <w:rPr>
          <w:color w:val="000000"/>
        </w:rPr>
        <w:t>, at para 40:</w:t>
      </w:r>
    </w:p>
    <w:p w14:paraId="3E431FC6" w14:textId="785C59DF" w:rsidR="004E60BA" w:rsidRPr="004E60BA" w:rsidRDefault="004E60BA" w:rsidP="004E60BA">
      <w:pPr>
        <w:pStyle w:val="ListParagraph"/>
        <w:spacing w:after="120" w:line="360" w:lineRule="auto"/>
        <w:ind w:left="0"/>
        <w:jc w:val="both"/>
        <w:rPr>
          <w:color w:val="000000"/>
          <w:sz w:val="22"/>
          <w:szCs w:val="22"/>
        </w:rPr>
      </w:pPr>
      <w:r w:rsidRPr="004E60BA">
        <w:rPr>
          <w:color w:val="000000"/>
          <w:sz w:val="22"/>
          <w:szCs w:val="22"/>
        </w:rPr>
        <w:t>‘Compliance with the requirements for a valid tender process, issued in accordance with the constitutional and legislative procurement framework, is thus legally required. These requirements are not merely internal prescripts that SASSA may disregard at whim. To hold otherwise would undermine the demands of equal treatment, transparency and efficiency under the Constitution. Once a particular administrative process is prescribed by law, it is subject to the norms of procedural fairness codified in PAJA. Deviations from the procedure will be assessed in terms of those norms of procedural fairness. That does not mean that administrators may never depart from the system put into place or that deviations will necessarily result in procedural unfairness. But it does mean that, where administrators depart from procedures, the basis for doing so will have to be reasonable and justifiable, and the process of ch</w:t>
      </w:r>
      <w:r>
        <w:rPr>
          <w:color w:val="000000"/>
          <w:sz w:val="22"/>
          <w:szCs w:val="22"/>
        </w:rPr>
        <w:t>ange must be procedurally fair.’</w:t>
      </w:r>
    </w:p>
    <w:p w14:paraId="3B8BEAAD" w14:textId="77777777" w:rsidR="00567183" w:rsidRPr="00433846" w:rsidRDefault="00567183" w:rsidP="00567183">
      <w:pPr>
        <w:pStyle w:val="ListParagraph"/>
        <w:numPr>
          <w:ilvl w:val="0"/>
          <w:numId w:val="5"/>
        </w:numPr>
        <w:tabs>
          <w:tab w:val="clear" w:pos="567"/>
        </w:tabs>
        <w:spacing w:after="120" w:line="360" w:lineRule="auto"/>
        <w:ind w:left="0" w:firstLine="0"/>
        <w:jc w:val="both"/>
        <w:rPr>
          <w:color w:val="000000"/>
        </w:rPr>
      </w:pPr>
      <w:r w:rsidRPr="00EC2AF3">
        <w:rPr>
          <w:color w:val="000000"/>
        </w:rPr>
        <w:t>Eskom as a public entity listed in Schedule 2 of the Public Finance Management</w:t>
      </w:r>
      <w:r>
        <w:rPr>
          <w:color w:val="000000"/>
        </w:rPr>
        <w:t xml:space="preserve"> Act</w:t>
      </w:r>
      <w:r w:rsidRPr="00433846">
        <w:rPr>
          <w:color w:val="000000"/>
        </w:rPr>
        <w:t xml:space="preserve"> is subject to the provisions of the PFMA, the National Treasury Regulations, Guidelines, Circulars and Instruction Notes that regulate the procurement and contracting of goods and services. These instruments are issued under statute. They have legal effect unless and until set aside in proceedings for judicial review. They have not been set aside. These are not proceedings to set them aside. This is the inevitable consequence</w:t>
      </w:r>
      <w:r>
        <w:rPr>
          <w:color w:val="000000"/>
        </w:rPr>
        <w:t xml:space="preserve"> of the rule of law.</w:t>
      </w:r>
    </w:p>
    <w:p w14:paraId="0136DAFF" w14:textId="3685F22A" w:rsidR="00CA34D2" w:rsidRDefault="00CA34D2" w:rsidP="00DE571F">
      <w:pPr>
        <w:pStyle w:val="ListParagraph"/>
        <w:numPr>
          <w:ilvl w:val="0"/>
          <w:numId w:val="5"/>
        </w:numPr>
        <w:tabs>
          <w:tab w:val="clear" w:pos="567"/>
        </w:tabs>
        <w:spacing w:after="120" w:line="360" w:lineRule="auto"/>
        <w:ind w:left="0" w:firstLine="0"/>
        <w:jc w:val="both"/>
        <w:rPr>
          <w:color w:val="000000"/>
        </w:rPr>
      </w:pPr>
      <w:r>
        <w:rPr>
          <w:color w:val="000000"/>
        </w:rPr>
        <w:t>With this legislative framework in mind, I now turn to deal wi</w:t>
      </w:r>
      <w:r w:rsidR="00C24680">
        <w:rPr>
          <w:color w:val="000000"/>
        </w:rPr>
        <w:t>th the grounds of review raised by the applicants</w:t>
      </w:r>
      <w:r w:rsidR="00ED3F99">
        <w:rPr>
          <w:color w:val="000000"/>
        </w:rPr>
        <w:t>, but before I do that it may be apposite at this point to set out the facts in the matter in very broad strokes.</w:t>
      </w:r>
    </w:p>
    <w:p w14:paraId="2296EA82" w14:textId="77777777" w:rsidR="009F05FC" w:rsidRDefault="00ED3F99" w:rsidP="009F05FC">
      <w:pPr>
        <w:pStyle w:val="ListParagraph"/>
        <w:numPr>
          <w:ilvl w:val="0"/>
          <w:numId w:val="5"/>
        </w:numPr>
        <w:tabs>
          <w:tab w:val="clear" w:pos="567"/>
        </w:tabs>
        <w:spacing w:after="120" w:line="360" w:lineRule="auto"/>
        <w:ind w:left="0" w:firstLine="0"/>
        <w:jc w:val="both"/>
        <w:rPr>
          <w:color w:val="000000"/>
        </w:rPr>
      </w:pPr>
      <w:r>
        <w:rPr>
          <w:color w:val="000000"/>
        </w:rPr>
        <w:t xml:space="preserve">During August 2020, Eskom started </w:t>
      </w:r>
      <w:r w:rsidRPr="00EC2AF3">
        <w:rPr>
          <w:color w:val="000000"/>
        </w:rPr>
        <w:t>the</w:t>
      </w:r>
      <w:r w:rsidR="009F05FC">
        <w:rPr>
          <w:color w:val="000000"/>
        </w:rPr>
        <w:t xml:space="preserve"> procurement process. A</w:t>
      </w:r>
      <w:r w:rsidRPr="009F05FC">
        <w:rPr>
          <w:color w:val="000000"/>
        </w:rPr>
        <w:t xml:space="preserve">nd </w:t>
      </w:r>
      <w:r w:rsidR="009F05FC">
        <w:rPr>
          <w:color w:val="000000"/>
        </w:rPr>
        <w:t>‘</w:t>
      </w:r>
      <w:r w:rsidRPr="009F05FC">
        <w:rPr>
          <w:color w:val="000000"/>
        </w:rPr>
        <w:t>the Procurement Strategy for the Supply, Transportation, Erection and Dismantling of Scaffolding and Insulation for 15 Fossil Powered Station including Eskom Rotek Industries (Turbo Gen Services) and Group Capital</w:t>
      </w:r>
      <w:r w:rsidR="009F05FC">
        <w:rPr>
          <w:color w:val="000000"/>
        </w:rPr>
        <w:t>’ (the ‘Procurement Strategy’</w:t>
      </w:r>
      <w:r w:rsidRPr="009F05FC">
        <w:rPr>
          <w:color w:val="000000"/>
        </w:rPr>
        <w:t>) was approved by Eskom’s</w:t>
      </w:r>
      <w:r w:rsidR="009F05FC">
        <w:rPr>
          <w:color w:val="000000"/>
        </w:rPr>
        <w:t xml:space="preserve"> Investment Finance Committee (‘IFC’</w:t>
      </w:r>
      <w:r w:rsidRPr="009F05FC">
        <w:rPr>
          <w:color w:val="000000"/>
        </w:rPr>
        <w:t xml:space="preserve">) with a mandate to negotiate but not to conclude contracts. The approved budget value </w:t>
      </w:r>
      <w:r w:rsidRPr="009F05FC">
        <w:rPr>
          <w:color w:val="000000"/>
        </w:rPr>
        <w:lastRenderedPageBreak/>
        <w:t>for the CORP 5171 Tender was approximately R4.5 billion and the approved budget per cluster was recorded in the Procurement Strategy.</w:t>
      </w:r>
      <w:r w:rsidR="009F05FC">
        <w:rPr>
          <w:color w:val="000000"/>
        </w:rPr>
        <w:t xml:space="preserve"> </w:t>
      </w:r>
      <w:r w:rsidRPr="009F05FC">
        <w:rPr>
          <w:color w:val="000000"/>
        </w:rPr>
        <w:t>The reduction of costs and realisation of savings through the payment of market related rates was the rationale adopted by the Procurement Strategy</w:t>
      </w:r>
      <w:r w:rsidR="009F05FC">
        <w:rPr>
          <w:color w:val="000000"/>
        </w:rPr>
        <w:t>.</w:t>
      </w:r>
    </w:p>
    <w:p w14:paraId="5BF61CE7" w14:textId="14B208E5" w:rsidR="00ED3F99" w:rsidRPr="00070D25" w:rsidRDefault="009F05FC" w:rsidP="00070D25">
      <w:pPr>
        <w:pStyle w:val="ListParagraph"/>
        <w:numPr>
          <w:ilvl w:val="0"/>
          <w:numId w:val="5"/>
        </w:numPr>
        <w:tabs>
          <w:tab w:val="clear" w:pos="567"/>
        </w:tabs>
        <w:spacing w:after="120" w:line="360" w:lineRule="auto"/>
        <w:ind w:left="0" w:firstLine="0"/>
        <w:jc w:val="both"/>
        <w:rPr>
          <w:color w:val="000000"/>
        </w:rPr>
      </w:pPr>
      <w:r>
        <w:rPr>
          <w:color w:val="000000"/>
        </w:rPr>
        <w:t xml:space="preserve">The Procurement Strategy </w:t>
      </w:r>
      <w:r w:rsidR="00070D25">
        <w:rPr>
          <w:color w:val="000000"/>
        </w:rPr>
        <w:t xml:space="preserve">embodied </w:t>
      </w:r>
      <w:r w:rsidR="00ED3F99" w:rsidRPr="009F05FC">
        <w:rPr>
          <w:color w:val="000000"/>
        </w:rPr>
        <w:t>the following features and considerations:</w:t>
      </w:r>
      <w:r w:rsidR="00070D25">
        <w:rPr>
          <w:color w:val="000000"/>
        </w:rPr>
        <w:t xml:space="preserve"> T</w:t>
      </w:r>
      <w:r w:rsidR="00ED3F99" w:rsidRPr="00070D25">
        <w:rPr>
          <w:color w:val="000000"/>
        </w:rPr>
        <w:t xml:space="preserve">o issue an open competitive tender to the market for a contract period of </w:t>
      </w:r>
      <w:r w:rsidR="00070D25">
        <w:rPr>
          <w:color w:val="000000"/>
        </w:rPr>
        <w:t>four</w:t>
      </w:r>
      <w:r w:rsidR="00ED3F99" w:rsidRPr="00070D25">
        <w:rPr>
          <w:color w:val="000000"/>
        </w:rPr>
        <w:t xml:space="preserve"> years commencing 1 July 2021 to 30 June 2025;</w:t>
      </w:r>
      <w:r w:rsidR="00070D25">
        <w:rPr>
          <w:color w:val="000000"/>
        </w:rPr>
        <w:t xml:space="preserve"> </w:t>
      </w:r>
      <w:r w:rsidR="00ED3F99" w:rsidRPr="00070D25">
        <w:rPr>
          <w:color w:val="000000"/>
        </w:rPr>
        <w:t>the works were to be divided into eight clusters;</w:t>
      </w:r>
      <w:r w:rsidR="00070D25">
        <w:rPr>
          <w:color w:val="000000"/>
        </w:rPr>
        <w:t xml:space="preserve"> </w:t>
      </w:r>
      <w:r w:rsidR="00ED3F99" w:rsidRPr="00070D25">
        <w:rPr>
          <w:color w:val="000000"/>
        </w:rPr>
        <w:t>the awarding of contracts would be to a maximum of eight suppliers in possession of the technical capability and capacity to provide scaffolding and insulation material and those who met Eskom parameters;</w:t>
      </w:r>
      <w:r w:rsidR="00070D25">
        <w:rPr>
          <w:color w:val="000000"/>
        </w:rPr>
        <w:t xml:space="preserve"> </w:t>
      </w:r>
      <w:r w:rsidR="00ED3F99" w:rsidRPr="00070D25">
        <w:rPr>
          <w:color w:val="000000"/>
        </w:rPr>
        <w:t>to negotiate market related rates with the recommended suppliers;</w:t>
      </w:r>
      <w:r w:rsidR="00070D25">
        <w:rPr>
          <w:color w:val="000000"/>
        </w:rPr>
        <w:t xml:space="preserve"> </w:t>
      </w:r>
      <w:r w:rsidR="00ED3F99" w:rsidRPr="00070D25">
        <w:rPr>
          <w:color w:val="000000"/>
        </w:rPr>
        <w:t>to impose the requirement that all tenderers be in possession of a CIDB Grade 8 SL or higher;</w:t>
      </w:r>
      <w:r w:rsidR="00070D25">
        <w:rPr>
          <w:color w:val="000000"/>
        </w:rPr>
        <w:t xml:space="preserve"> </w:t>
      </w:r>
      <w:r w:rsidR="00ED3F99" w:rsidRPr="00070D25">
        <w:rPr>
          <w:color w:val="000000"/>
        </w:rPr>
        <w:t xml:space="preserve">to mirror the contract terms and conditions present in the historical </w:t>
      </w:r>
      <w:r w:rsidR="00070D25">
        <w:rPr>
          <w:color w:val="000000"/>
        </w:rPr>
        <w:t>term service c</w:t>
      </w:r>
      <w:r w:rsidR="00ED3F99" w:rsidRPr="00070D25">
        <w:rPr>
          <w:color w:val="000000"/>
        </w:rPr>
        <w:t>ontract</w:t>
      </w:r>
      <w:r w:rsidR="00070D25">
        <w:rPr>
          <w:color w:val="000000"/>
        </w:rPr>
        <w:t>s</w:t>
      </w:r>
      <w:r w:rsidR="00ED3F99" w:rsidRPr="00070D25">
        <w:rPr>
          <w:color w:val="000000"/>
        </w:rPr>
        <w:t>; and</w:t>
      </w:r>
      <w:r w:rsidR="00070D25">
        <w:rPr>
          <w:color w:val="000000"/>
        </w:rPr>
        <w:t xml:space="preserve"> </w:t>
      </w:r>
      <w:r w:rsidR="00ED3F99" w:rsidRPr="00070D25">
        <w:rPr>
          <w:color w:val="000000"/>
        </w:rPr>
        <w:t>highlighting that the works would be repetitive and routine in nature for the purposes of providing access to the plant and equipment to perform maintenance and repair work and to provide access to areas that require the removal and reinstatement of insulation.</w:t>
      </w:r>
    </w:p>
    <w:p w14:paraId="29FCE6E6" w14:textId="5B671F79" w:rsidR="00ED3F99" w:rsidRPr="00070D25" w:rsidRDefault="00070D25" w:rsidP="00070D25">
      <w:pPr>
        <w:pStyle w:val="ListParagraph"/>
        <w:numPr>
          <w:ilvl w:val="0"/>
          <w:numId w:val="5"/>
        </w:numPr>
        <w:tabs>
          <w:tab w:val="clear" w:pos="567"/>
        </w:tabs>
        <w:spacing w:after="120" w:line="360" w:lineRule="auto"/>
        <w:ind w:left="0" w:firstLine="0"/>
        <w:jc w:val="both"/>
        <w:rPr>
          <w:color w:val="000000"/>
        </w:rPr>
      </w:pPr>
      <w:r>
        <w:rPr>
          <w:color w:val="000000"/>
        </w:rPr>
        <w:t xml:space="preserve">An ITT was subsequently issued, incorporating </w:t>
      </w:r>
      <w:r w:rsidR="00ED3F99" w:rsidRPr="00070D25">
        <w:rPr>
          <w:color w:val="000000"/>
        </w:rPr>
        <w:t>key features of Eskom’s Standard Conditions of Tender and Invitation to Tender</w:t>
      </w:r>
      <w:r>
        <w:rPr>
          <w:color w:val="000000"/>
        </w:rPr>
        <w:t>, which</w:t>
      </w:r>
      <w:r w:rsidR="00ED3F99" w:rsidRPr="00070D25">
        <w:rPr>
          <w:color w:val="000000"/>
        </w:rPr>
        <w:t xml:space="preserve"> included that:</w:t>
      </w:r>
      <w:r>
        <w:rPr>
          <w:color w:val="000000"/>
        </w:rPr>
        <w:t xml:space="preserve"> </w:t>
      </w:r>
      <w:r w:rsidR="00ED3F99" w:rsidRPr="00070D25">
        <w:rPr>
          <w:color w:val="000000"/>
        </w:rPr>
        <w:t xml:space="preserve">the tender validity period was </w:t>
      </w:r>
      <w:r>
        <w:rPr>
          <w:color w:val="000000"/>
        </w:rPr>
        <w:t>fifty-two</w:t>
      </w:r>
      <w:r w:rsidR="00ED3F99" w:rsidRPr="00070D25">
        <w:rPr>
          <w:color w:val="000000"/>
        </w:rPr>
        <w:t xml:space="preserve"> weeks from the date and time of the tender</w:t>
      </w:r>
      <w:r>
        <w:rPr>
          <w:color w:val="000000"/>
        </w:rPr>
        <w:t xml:space="preserve">; </w:t>
      </w:r>
      <w:r w:rsidR="00ED3F99" w:rsidRPr="00070D25">
        <w:rPr>
          <w:color w:val="000000"/>
        </w:rPr>
        <w:t xml:space="preserve">the evaluation criteria </w:t>
      </w:r>
      <w:r>
        <w:rPr>
          <w:color w:val="000000"/>
        </w:rPr>
        <w:t xml:space="preserve">were </w:t>
      </w:r>
      <w:r w:rsidR="00ED3F99" w:rsidRPr="00070D25">
        <w:rPr>
          <w:color w:val="000000"/>
        </w:rPr>
        <w:t>divided into five different stages, namely (i) basic compliance, (ii) mandatory and pre-qualification criteria including compliance with the CIDB Level 8SL or higher grading, (iii) functionality criteria including site inspection and tender evaluation, (iv) evaluation of price and B-BBEE preference points with prices to be scored out of 90 points and B-BBEE out of 10 points in accordance with the PPPFA, and</w:t>
      </w:r>
      <w:r>
        <w:rPr>
          <w:color w:val="000000"/>
        </w:rPr>
        <w:t xml:space="preserve"> </w:t>
      </w:r>
      <w:r w:rsidR="00ED3F99" w:rsidRPr="00070D25">
        <w:rPr>
          <w:color w:val="000000"/>
        </w:rPr>
        <w:t xml:space="preserve">(v) contractual requirements, which included the Safety and Quality requirements, financial statement and SD&amp;L that were to be assessed after the evaluation and </w:t>
      </w:r>
      <w:r>
        <w:rPr>
          <w:color w:val="000000"/>
        </w:rPr>
        <w:t xml:space="preserve">the ranking of the tenderers; </w:t>
      </w:r>
      <w:r w:rsidR="00ED3F99" w:rsidRPr="00070D25">
        <w:rPr>
          <w:color w:val="000000"/>
        </w:rPr>
        <w:t>the allocation strategy inter alia reflected that (i) the contracts would be divided into eight different clusters, (ii) the allocation of contracts would</w:t>
      </w:r>
      <w:r>
        <w:rPr>
          <w:color w:val="000000"/>
        </w:rPr>
        <w:t xml:space="preserve"> </w:t>
      </w:r>
      <w:r w:rsidR="00ED3F99" w:rsidRPr="00070D25">
        <w:rPr>
          <w:color w:val="000000"/>
        </w:rPr>
        <w:t xml:space="preserve">be based on the 90/10 Price Preference Scoring methodology, (iii) tenderers could submit offers for all the clusters or select the clusters they preferred, even though a supplier would only </w:t>
      </w:r>
      <w:r w:rsidR="00ED3F99" w:rsidRPr="00070D25">
        <w:rPr>
          <w:color w:val="000000"/>
        </w:rPr>
        <w:lastRenderedPageBreak/>
        <w:t xml:space="preserve">be awarded a contract for one cluster, (iv) in the event that a tenderer scored the highest in more than one cluster, the said tenderer would be given an option to choose one cluster they preferred and the remaining clusters would be allocated to the next ranked tenderer as per the 90/10 Price Preference Scoring methodology, which methodology would be applied to the remaining clusters, (v) Eskom reserved its right to allocate more than one cluster per supplier (limited to two clusters) should the tenderers refuse to accept mandated negotiation parameters, (vi) no supplier would be allocated more than two clusters, and (vii) the allocation of the second cluster would be on the 90/10 Price Preference Scoring methodology meaning the highest ranked supplier would </w:t>
      </w:r>
      <w:r>
        <w:rPr>
          <w:color w:val="000000"/>
        </w:rPr>
        <w:t>be allocated a second cluster.</w:t>
      </w:r>
    </w:p>
    <w:p w14:paraId="3AFC81F1" w14:textId="7F50A4DA" w:rsidR="00ED3F99" w:rsidRPr="00C17F9D" w:rsidRDefault="00C17F9D" w:rsidP="00C17F9D">
      <w:pPr>
        <w:pStyle w:val="ListParagraph"/>
        <w:numPr>
          <w:ilvl w:val="0"/>
          <w:numId w:val="5"/>
        </w:numPr>
        <w:tabs>
          <w:tab w:val="clear" w:pos="567"/>
        </w:tabs>
        <w:spacing w:after="120" w:line="360" w:lineRule="auto"/>
        <w:ind w:left="0" w:firstLine="0"/>
        <w:jc w:val="both"/>
        <w:rPr>
          <w:color w:val="000000"/>
        </w:rPr>
      </w:pPr>
      <w:r w:rsidRPr="00C17F9D">
        <w:rPr>
          <w:color w:val="000000"/>
        </w:rPr>
        <w:t xml:space="preserve">The ITT also provided for </w:t>
      </w:r>
      <w:r w:rsidR="00ED3F99" w:rsidRPr="00C17F9D">
        <w:rPr>
          <w:color w:val="000000"/>
        </w:rPr>
        <w:t>Eskom’s reservation of its right to negotiate with preferred bidders after the competitive bidding process or price quotations, should the tendered prices not have been deemed to be market related</w:t>
      </w:r>
      <w:r w:rsidRPr="00C17F9D">
        <w:rPr>
          <w:color w:val="000000"/>
        </w:rPr>
        <w:t xml:space="preserve">. The </w:t>
      </w:r>
      <w:r w:rsidR="00ED3F99" w:rsidRPr="00C17F9D">
        <w:rPr>
          <w:color w:val="000000"/>
        </w:rPr>
        <w:t>con</w:t>
      </w:r>
      <w:r>
        <w:rPr>
          <w:color w:val="000000"/>
        </w:rPr>
        <w:t xml:space="preserve">ditions of contract would be those of the </w:t>
      </w:r>
      <w:r w:rsidR="00ED3F99" w:rsidRPr="00C17F9D">
        <w:rPr>
          <w:color w:val="000000"/>
        </w:rPr>
        <w:t>NEC 3 Term Service Contract</w:t>
      </w:r>
      <w:r>
        <w:rPr>
          <w:color w:val="000000"/>
        </w:rPr>
        <w:t>. A</w:t>
      </w:r>
      <w:r w:rsidR="00ED3F99" w:rsidRPr="00C17F9D">
        <w:rPr>
          <w:color w:val="000000"/>
        </w:rPr>
        <w:t>nd</w:t>
      </w:r>
      <w:r>
        <w:rPr>
          <w:color w:val="000000"/>
        </w:rPr>
        <w:t xml:space="preserve"> </w:t>
      </w:r>
      <w:r w:rsidR="00ED3F99" w:rsidRPr="00C17F9D">
        <w:rPr>
          <w:color w:val="000000"/>
        </w:rPr>
        <w:t xml:space="preserve">a non-mandatory clarification meeting </w:t>
      </w:r>
      <w:r>
        <w:rPr>
          <w:color w:val="000000"/>
        </w:rPr>
        <w:t>was to</w:t>
      </w:r>
      <w:r w:rsidR="00ED3F99" w:rsidRPr="00C17F9D">
        <w:rPr>
          <w:color w:val="000000"/>
        </w:rPr>
        <w:t xml:space="preserve"> take place on 4 November 2020.</w:t>
      </w:r>
    </w:p>
    <w:p w14:paraId="12011F95" w14:textId="2EE5803A" w:rsidR="00ED3F99" w:rsidRPr="00FF219E" w:rsidRDefault="00ED3F99" w:rsidP="00FF219E">
      <w:pPr>
        <w:pStyle w:val="ListParagraph"/>
        <w:numPr>
          <w:ilvl w:val="0"/>
          <w:numId w:val="5"/>
        </w:numPr>
        <w:tabs>
          <w:tab w:val="clear" w:pos="567"/>
        </w:tabs>
        <w:spacing w:after="120" w:line="360" w:lineRule="auto"/>
        <w:ind w:left="0" w:firstLine="0"/>
        <w:jc w:val="both"/>
        <w:rPr>
          <w:color w:val="000000"/>
        </w:rPr>
      </w:pPr>
      <w:r w:rsidRPr="00EC2AF3">
        <w:rPr>
          <w:color w:val="000000"/>
        </w:rPr>
        <w:t>On 4 February 2021, Eskom received the bid submissions of the various bidders,</w:t>
      </w:r>
      <w:r>
        <w:rPr>
          <w:color w:val="000000"/>
        </w:rPr>
        <w:t xml:space="preserve"> </w:t>
      </w:r>
      <w:r w:rsidR="00C17F9D">
        <w:rPr>
          <w:color w:val="000000"/>
        </w:rPr>
        <w:t>including the a</w:t>
      </w:r>
      <w:r w:rsidRPr="002624DC">
        <w:rPr>
          <w:color w:val="000000"/>
        </w:rPr>
        <w:t>pplicants</w:t>
      </w:r>
      <w:r w:rsidR="00C17F9D">
        <w:rPr>
          <w:color w:val="000000"/>
        </w:rPr>
        <w:t>, and the evaluations commenc</w:t>
      </w:r>
      <w:r w:rsidRPr="002624DC">
        <w:rPr>
          <w:color w:val="000000"/>
        </w:rPr>
        <w:t>ed during February 2021 and w</w:t>
      </w:r>
      <w:r>
        <w:rPr>
          <w:color w:val="000000"/>
        </w:rPr>
        <w:t>ere concluded during May 2021.</w:t>
      </w:r>
      <w:r w:rsidR="00C17F9D">
        <w:rPr>
          <w:color w:val="000000"/>
        </w:rPr>
        <w:t xml:space="preserve"> </w:t>
      </w:r>
      <w:r w:rsidRPr="00C17F9D">
        <w:rPr>
          <w:color w:val="000000"/>
        </w:rPr>
        <w:t>The analysis conducted took into account the cheapest Eskom rates and the cheapest rates found in the bid submissions from all the suppliers, for the purposes of arriving at a revised Eskom est</w:t>
      </w:r>
      <w:r w:rsidR="00FF219E">
        <w:rPr>
          <w:color w:val="000000"/>
        </w:rPr>
        <w:t xml:space="preserve">imate (the new Eskom estimate). </w:t>
      </w:r>
      <w:r w:rsidRPr="00FF219E">
        <w:rPr>
          <w:color w:val="000000"/>
        </w:rPr>
        <w:t xml:space="preserve">Twenty-three tenderers responded to the tender and were evaluated in the four stages recorded in both the Proposed Allocation Strategy in the Procurement Strategy and the </w:t>
      </w:r>
      <w:r w:rsidR="00FF219E">
        <w:rPr>
          <w:color w:val="000000"/>
        </w:rPr>
        <w:t>ITT. T</w:t>
      </w:r>
      <w:r w:rsidRPr="00FF219E">
        <w:rPr>
          <w:color w:val="000000"/>
        </w:rPr>
        <w:t>he shortlisted bidders were ranked per cluster according to price as follows:</w:t>
      </w:r>
      <w:r w:rsidR="00FF219E">
        <w:rPr>
          <w:color w:val="000000"/>
        </w:rPr>
        <w:t xml:space="preserve"> (1) </w:t>
      </w:r>
      <w:r w:rsidRPr="00FF219E">
        <w:rPr>
          <w:color w:val="000000"/>
        </w:rPr>
        <w:t>Kaefer scored the highest points on cluster 1 to 7. Kaefer did not tender on cluster 8;</w:t>
      </w:r>
      <w:r w:rsidR="00FF219E">
        <w:rPr>
          <w:color w:val="000000"/>
        </w:rPr>
        <w:t xml:space="preserve"> (2) </w:t>
      </w:r>
      <w:r w:rsidRPr="00FF219E">
        <w:rPr>
          <w:color w:val="000000"/>
        </w:rPr>
        <w:t>RSC scored the third highest points on cluster 8 and the second highest on clusters 1 to 7;</w:t>
      </w:r>
      <w:r w:rsidR="00FF219E">
        <w:rPr>
          <w:color w:val="000000"/>
        </w:rPr>
        <w:t xml:space="preserve"> (3) </w:t>
      </w:r>
      <w:r w:rsidRPr="00FF219E">
        <w:rPr>
          <w:color w:val="000000"/>
        </w:rPr>
        <w:t>Oram scored the third highest points on clusters 1 to 7 and the second highest on cluster 8;</w:t>
      </w:r>
      <w:r w:rsidR="00FF219E">
        <w:rPr>
          <w:color w:val="000000"/>
        </w:rPr>
        <w:t xml:space="preserve"> (4) </w:t>
      </w:r>
      <w:r w:rsidRPr="00FF219E">
        <w:rPr>
          <w:color w:val="000000"/>
        </w:rPr>
        <w:t xml:space="preserve">Electro-Heat scored </w:t>
      </w:r>
      <w:r w:rsidR="00FF219E">
        <w:rPr>
          <w:color w:val="000000"/>
        </w:rPr>
        <w:t xml:space="preserve">the </w:t>
      </w:r>
      <w:r w:rsidRPr="00FF219E">
        <w:rPr>
          <w:color w:val="000000"/>
        </w:rPr>
        <w:t>fourth highest points on clusters 1 to 7 and the third highest on cluster 8;</w:t>
      </w:r>
      <w:r w:rsidR="00FF219E">
        <w:rPr>
          <w:color w:val="000000"/>
        </w:rPr>
        <w:t xml:space="preserve"> (5) </w:t>
      </w:r>
      <w:r w:rsidRPr="00FF219E">
        <w:rPr>
          <w:color w:val="000000"/>
        </w:rPr>
        <w:t>SGB-Cape scored the fifth highest points on clusters 1 to 7 and the fourth highest on cluster 8;</w:t>
      </w:r>
      <w:r w:rsidR="00FF219E">
        <w:rPr>
          <w:color w:val="000000"/>
        </w:rPr>
        <w:t xml:space="preserve"> (6) </w:t>
      </w:r>
      <w:r w:rsidRPr="00FF219E">
        <w:rPr>
          <w:color w:val="000000"/>
        </w:rPr>
        <w:t xml:space="preserve">Southey scored the sixth highest points on clusters 1 to 7 and the fifth highest points on cluster 8; </w:t>
      </w:r>
      <w:r w:rsidRPr="00FF219E">
        <w:rPr>
          <w:color w:val="000000"/>
        </w:rPr>
        <w:lastRenderedPageBreak/>
        <w:t>and</w:t>
      </w:r>
      <w:r w:rsidR="00FF219E">
        <w:rPr>
          <w:color w:val="000000"/>
        </w:rPr>
        <w:t xml:space="preserve"> (7) </w:t>
      </w:r>
      <w:r w:rsidRPr="00FF219E">
        <w:rPr>
          <w:color w:val="000000"/>
        </w:rPr>
        <w:t>TMS scored the seventh highest points on clusters 1 to 7 and t</w:t>
      </w:r>
      <w:r w:rsidR="00791BE1">
        <w:rPr>
          <w:color w:val="000000"/>
        </w:rPr>
        <w:t>he sixth highest on cluster 8.</w:t>
      </w:r>
    </w:p>
    <w:p w14:paraId="50255ACA" w14:textId="0D344A7F" w:rsidR="00ED3F99" w:rsidRPr="0015370C" w:rsidRDefault="00ED3F99" w:rsidP="00ED3F99">
      <w:pPr>
        <w:pStyle w:val="ListParagraph"/>
        <w:numPr>
          <w:ilvl w:val="0"/>
          <w:numId w:val="5"/>
        </w:numPr>
        <w:tabs>
          <w:tab w:val="clear" w:pos="567"/>
        </w:tabs>
        <w:spacing w:after="120" w:line="360" w:lineRule="auto"/>
        <w:ind w:left="0" w:firstLine="0"/>
        <w:jc w:val="both"/>
        <w:rPr>
          <w:color w:val="000000"/>
        </w:rPr>
      </w:pPr>
      <w:r w:rsidRPr="00EC2AF3">
        <w:rPr>
          <w:color w:val="000000"/>
        </w:rPr>
        <w:t>Eskom followed the 90/10 Preference Scoring Methodology by first allocating to</w:t>
      </w:r>
      <w:r>
        <w:rPr>
          <w:color w:val="000000"/>
        </w:rPr>
        <w:t xml:space="preserve"> </w:t>
      </w:r>
      <w:r w:rsidRPr="0015370C">
        <w:rPr>
          <w:color w:val="000000"/>
        </w:rPr>
        <w:t xml:space="preserve">the highest ranked tenderer and thereafter to the tender ranked second, third, fourth, fifth, sixth and seventh in that particular cluster. In effect each of the successful tenderers scored the highest points in the clusters allocated, in light of the </w:t>
      </w:r>
      <w:r w:rsidR="00791BE1">
        <w:rPr>
          <w:color w:val="000000"/>
        </w:rPr>
        <w:t>two</w:t>
      </w:r>
      <w:r w:rsidRPr="0015370C">
        <w:rPr>
          <w:color w:val="000000"/>
        </w:rPr>
        <w:t xml:space="preserve"> contract limitation per tenderer and excluding tenderer</w:t>
      </w:r>
      <w:r>
        <w:rPr>
          <w:color w:val="000000"/>
        </w:rPr>
        <w:t>s already allocated contracts.</w:t>
      </w:r>
    </w:p>
    <w:p w14:paraId="199594F8" w14:textId="77777777" w:rsidR="00791BE1" w:rsidRDefault="00ED3F99" w:rsidP="00791BE1">
      <w:pPr>
        <w:pStyle w:val="ListParagraph"/>
        <w:numPr>
          <w:ilvl w:val="0"/>
          <w:numId w:val="5"/>
        </w:numPr>
        <w:tabs>
          <w:tab w:val="clear" w:pos="567"/>
        </w:tabs>
        <w:spacing w:after="120" w:line="360" w:lineRule="auto"/>
        <w:ind w:left="0" w:firstLine="0"/>
        <w:jc w:val="both"/>
        <w:rPr>
          <w:color w:val="000000"/>
        </w:rPr>
      </w:pPr>
      <w:r w:rsidRPr="00EC2AF3">
        <w:rPr>
          <w:color w:val="000000"/>
        </w:rPr>
        <w:t xml:space="preserve">Eskom </w:t>
      </w:r>
      <w:r w:rsidR="00791BE1">
        <w:rPr>
          <w:color w:val="000000"/>
        </w:rPr>
        <w:t xml:space="preserve">thereafter </w:t>
      </w:r>
      <w:r w:rsidRPr="00EC2AF3">
        <w:rPr>
          <w:color w:val="000000"/>
        </w:rPr>
        <w:t>commenced negotiations</w:t>
      </w:r>
      <w:r w:rsidR="00791BE1">
        <w:rPr>
          <w:color w:val="000000"/>
        </w:rPr>
        <w:t xml:space="preserve">, as per the reservation of their rights in terms of the ITT, </w:t>
      </w:r>
      <w:r w:rsidRPr="00EC2AF3">
        <w:rPr>
          <w:color w:val="000000"/>
        </w:rPr>
        <w:t>with all seven shortlisted bidders using the price</w:t>
      </w:r>
      <w:r>
        <w:rPr>
          <w:color w:val="000000"/>
        </w:rPr>
        <w:t xml:space="preserve"> </w:t>
      </w:r>
      <w:r w:rsidRPr="001500EB">
        <w:rPr>
          <w:color w:val="000000"/>
        </w:rPr>
        <w:t xml:space="preserve">ranking methodology as per the </w:t>
      </w:r>
      <w:r w:rsidR="00791BE1">
        <w:rPr>
          <w:color w:val="000000"/>
        </w:rPr>
        <w:t xml:space="preserve">ITT </w:t>
      </w:r>
      <w:r w:rsidRPr="001500EB">
        <w:rPr>
          <w:color w:val="000000"/>
        </w:rPr>
        <w:t xml:space="preserve">and the </w:t>
      </w:r>
      <w:r w:rsidR="00791BE1">
        <w:rPr>
          <w:color w:val="000000"/>
        </w:rPr>
        <w:t>a</w:t>
      </w:r>
      <w:r>
        <w:rPr>
          <w:color w:val="000000"/>
        </w:rPr>
        <w:t>pproved Procurement Strategy.</w:t>
      </w:r>
      <w:r w:rsidR="00791BE1">
        <w:rPr>
          <w:color w:val="000000"/>
        </w:rPr>
        <w:t xml:space="preserve"> </w:t>
      </w:r>
      <w:r w:rsidRPr="00791BE1">
        <w:rPr>
          <w:color w:val="000000"/>
        </w:rPr>
        <w:t>The negotiations with the shortlisted tenderers took place in three rounds between 23 to 26 April 2021</w:t>
      </w:r>
      <w:r w:rsidR="00791BE1">
        <w:rPr>
          <w:color w:val="000000"/>
        </w:rPr>
        <w:t>.</w:t>
      </w:r>
    </w:p>
    <w:p w14:paraId="522A4BCA" w14:textId="05824E77" w:rsidR="00ED3F99" w:rsidRPr="00983AB7" w:rsidRDefault="00ED3F99" w:rsidP="00983AB7">
      <w:pPr>
        <w:pStyle w:val="ListParagraph"/>
        <w:numPr>
          <w:ilvl w:val="0"/>
          <w:numId w:val="5"/>
        </w:numPr>
        <w:tabs>
          <w:tab w:val="clear" w:pos="567"/>
        </w:tabs>
        <w:spacing w:after="120" w:line="360" w:lineRule="auto"/>
        <w:ind w:left="0" w:firstLine="0"/>
        <w:jc w:val="both"/>
        <w:rPr>
          <w:color w:val="000000"/>
        </w:rPr>
      </w:pPr>
      <w:r w:rsidRPr="00EC2AF3">
        <w:rPr>
          <w:color w:val="000000"/>
        </w:rPr>
        <w:t>Based on the revised rates offered by the preferred bidders during the negotiation</w:t>
      </w:r>
      <w:r>
        <w:rPr>
          <w:color w:val="000000"/>
        </w:rPr>
        <w:t xml:space="preserve"> </w:t>
      </w:r>
      <w:r w:rsidRPr="00B2792B">
        <w:rPr>
          <w:color w:val="000000"/>
        </w:rPr>
        <w:t xml:space="preserve">process, the fourth highest scoring bidders were Kaefer, RSC, Oram and Electro-Heat (who were ranked </w:t>
      </w:r>
      <w:r w:rsidR="00983AB7">
        <w:rPr>
          <w:color w:val="000000"/>
        </w:rPr>
        <w:t>first</w:t>
      </w:r>
      <w:r w:rsidRPr="00B2792B">
        <w:rPr>
          <w:color w:val="000000"/>
        </w:rPr>
        <w:t xml:space="preserve"> to </w:t>
      </w:r>
      <w:r w:rsidR="00983AB7">
        <w:rPr>
          <w:color w:val="000000"/>
        </w:rPr>
        <w:t>fourth</w:t>
      </w:r>
      <w:r w:rsidRPr="00B2792B">
        <w:rPr>
          <w:color w:val="000000"/>
        </w:rPr>
        <w:t xml:space="preserve"> respectively), having offered competitive prices in line with Eskom’s cost saving initiative. On the other hand, SGB-Cape, Southey and TMS were ranked fifth, sixth and seventh respectively as their prices were still between 11% and 28% higher than the first ranked tenderer, resulting in no further</w:t>
      </w:r>
      <w:r>
        <w:rPr>
          <w:color w:val="000000"/>
        </w:rPr>
        <w:t xml:space="preserve"> negotiation rounds with them.</w:t>
      </w:r>
      <w:r w:rsidR="00983AB7">
        <w:rPr>
          <w:color w:val="000000"/>
        </w:rPr>
        <w:t xml:space="preserve"> </w:t>
      </w:r>
      <w:r w:rsidRPr="00983AB7">
        <w:rPr>
          <w:color w:val="000000"/>
        </w:rPr>
        <w:t>The negotiated prices were evaluated and signed off by Eskom’s Chief Advisor Quantity Surveyor, who confirmed that the prices offered were financially acceptable offers in relation to the agreed Tender price and the CPA and confirmed the recommendation to award the contracts to the four highest ranked tenderers.</w:t>
      </w:r>
    </w:p>
    <w:p w14:paraId="15D015A3" w14:textId="063A46E3" w:rsidR="00ED3F99" w:rsidRPr="00983AB7" w:rsidRDefault="00ED3F99" w:rsidP="00983AB7">
      <w:pPr>
        <w:pStyle w:val="ListParagraph"/>
        <w:numPr>
          <w:ilvl w:val="0"/>
          <w:numId w:val="5"/>
        </w:numPr>
        <w:tabs>
          <w:tab w:val="clear" w:pos="567"/>
        </w:tabs>
        <w:spacing w:after="120" w:line="360" w:lineRule="auto"/>
        <w:ind w:left="0" w:firstLine="0"/>
        <w:jc w:val="both"/>
        <w:rPr>
          <w:color w:val="000000"/>
        </w:rPr>
      </w:pPr>
      <w:r w:rsidRPr="00EC2AF3">
        <w:rPr>
          <w:color w:val="000000"/>
        </w:rPr>
        <w:t>The effect of the above recommendation was that Eskom would be awarding a</w:t>
      </w:r>
      <w:r>
        <w:rPr>
          <w:color w:val="000000"/>
        </w:rPr>
        <w:t xml:space="preserve"> </w:t>
      </w:r>
      <w:r w:rsidRPr="00B2792B">
        <w:rPr>
          <w:color w:val="000000"/>
        </w:rPr>
        <w:t xml:space="preserve">maximum of </w:t>
      </w:r>
      <w:r w:rsidR="00983AB7">
        <w:rPr>
          <w:color w:val="000000"/>
        </w:rPr>
        <w:t>two</w:t>
      </w:r>
      <w:r w:rsidRPr="00B2792B">
        <w:rPr>
          <w:color w:val="000000"/>
        </w:rPr>
        <w:t xml:space="preserve"> clusters to the four successful bidders, instead of one cluster to </w:t>
      </w:r>
      <w:r w:rsidR="00983AB7">
        <w:rPr>
          <w:color w:val="000000"/>
        </w:rPr>
        <w:t>seven</w:t>
      </w:r>
      <w:r w:rsidRPr="00B2792B">
        <w:rPr>
          <w:color w:val="000000"/>
        </w:rPr>
        <w:t xml:space="preserve"> bidders with the exception of one extra cluster to one successful supplier, as</w:t>
      </w:r>
      <w:r>
        <w:rPr>
          <w:color w:val="000000"/>
        </w:rPr>
        <w:t xml:space="preserve"> </w:t>
      </w:r>
      <w:r w:rsidRPr="00B2792B">
        <w:rPr>
          <w:color w:val="000000"/>
        </w:rPr>
        <w:t>initially envisioned in the Procurement Stra</w:t>
      </w:r>
      <w:r>
        <w:rPr>
          <w:color w:val="000000"/>
        </w:rPr>
        <w:t>tegy and Invitation to Tender.</w:t>
      </w:r>
      <w:r w:rsidR="00983AB7">
        <w:rPr>
          <w:color w:val="000000"/>
        </w:rPr>
        <w:t xml:space="preserve"> </w:t>
      </w:r>
      <w:r w:rsidRPr="00983AB7">
        <w:rPr>
          <w:color w:val="000000"/>
        </w:rPr>
        <w:t>The total savings achieved on the CORP 5171 contract</w:t>
      </w:r>
      <w:r w:rsidR="00983AB7">
        <w:rPr>
          <w:color w:val="000000"/>
        </w:rPr>
        <w:t>, so Eskom alleges,</w:t>
      </w:r>
      <w:r w:rsidRPr="00983AB7">
        <w:rPr>
          <w:color w:val="000000"/>
        </w:rPr>
        <w:t xml:space="preserve"> is approximately 29% in comparison to what Eskom was then paying for the same scope of work in terms of the expired ENK contracts.</w:t>
      </w:r>
    </w:p>
    <w:p w14:paraId="24DB445E" w14:textId="77777777" w:rsidR="00ED3F99" w:rsidRPr="00EC2AF3" w:rsidRDefault="00ED3F99" w:rsidP="00ED3F99">
      <w:pPr>
        <w:pStyle w:val="ListParagraph"/>
        <w:numPr>
          <w:ilvl w:val="0"/>
          <w:numId w:val="5"/>
        </w:numPr>
        <w:tabs>
          <w:tab w:val="clear" w:pos="567"/>
        </w:tabs>
        <w:spacing w:after="120" w:line="360" w:lineRule="auto"/>
        <w:ind w:left="0" w:firstLine="0"/>
        <w:jc w:val="both"/>
        <w:rPr>
          <w:color w:val="000000"/>
        </w:rPr>
      </w:pPr>
      <w:r w:rsidRPr="00EC2AF3">
        <w:rPr>
          <w:color w:val="000000"/>
        </w:rPr>
        <w:lastRenderedPageBreak/>
        <w:t xml:space="preserve">On 30 November 2021, Eskom’s Board resolved that the contracts be awarded to Kaefer, RSC, Oram and ElectroHeat for a period of four years and correspondence together with the NEC 3 Contracts were sent to the successful bidders on or about 7 December 2021, notifying them </w:t>
      </w:r>
      <w:r>
        <w:rPr>
          <w:color w:val="000000"/>
        </w:rPr>
        <w:t>of their award.</w:t>
      </w:r>
    </w:p>
    <w:p w14:paraId="0ADAA112" w14:textId="29597836" w:rsidR="00ED3F99" w:rsidRPr="00EC2AF3" w:rsidRDefault="00ED3F99" w:rsidP="00ED3F99">
      <w:pPr>
        <w:pStyle w:val="ListParagraph"/>
        <w:numPr>
          <w:ilvl w:val="0"/>
          <w:numId w:val="5"/>
        </w:numPr>
        <w:tabs>
          <w:tab w:val="clear" w:pos="567"/>
        </w:tabs>
        <w:spacing w:after="120" w:line="360" w:lineRule="auto"/>
        <w:ind w:left="0" w:firstLine="0"/>
        <w:jc w:val="both"/>
        <w:rPr>
          <w:color w:val="000000"/>
        </w:rPr>
      </w:pPr>
      <w:r w:rsidRPr="00EC2AF3">
        <w:rPr>
          <w:color w:val="000000"/>
        </w:rPr>
        <w:t>On 3 Dec</w:t>
      </w:r>
      <w:r w:rsidR="00C45370">
        <w:rPr>
          <w:color w:val="000000"/>
        </w:rPr>
        <w:t>ember 2021, Eskom informed the a</w:t>
      </w:r>
      <w:r w:rsidRPr="00EC2AF3">
        <w:rPr>
          <w:color w:val="000000"/>
        </w:rPr>
        <w:t>pplicants that (a) their ENK Contracts would terminate in terms of its full scope of the works on 31 December 2021, (b) the demobilisation and handover would occur</w:t>
      </w:r>
      <w:r w:rsidR="00C45370">
        <w:rPr>
          <w:color w:val="000000"/>
        </w:rPr>
        <w:t xml:space="preserve"> in January 2022, (c) the a</w:t>
      </w:r>
      <w:r w:rsidRPr="00EC2AF3">
        <w:rPr>
          <w:color w:val="000000"/>
        </w:rPr>
        <w:t>pplicants would be permitted to complete outage works that had not been completed by 31 December 2021, and (d) they should provide Eskom wit</w:t>
      </w:r>
      <w:r>
        <w:rPr>
          <w:color w:val="000000"/>
        </w:rPr>
        <w:t>h their demobilisation plans.</w:t>
      </w:r>
    </w:p>
    <w:p w14:paraId="43D38317" w14:textId="3E899147" w:rsidR="00ED3F99" w:rsidRPr="00C45370" w:rsidRDefault="00ED3F99" w:rsidP="00C45370">
      <w:pPr>
        <w:pStyle w:val="ListParagraph"/>
        <w:numPr>
          <w:ilvl w:val="0"/>
          <w:numId w:val="5"/>
        </w:numPr>
        <w:tabs>
          <w:tab w:val="clear" w:pos="567"/>
        </w:tabs>
        <w:spacing w:after="120" w:line="360" w:lineRule="auto"/>
        <w:ind w:left="0" w:firstLine="0"/>
        <w:jc w:val="both"/>
        <w:rPr>
          <w:color w:val="000000"/>
        </w:rPr>
      </w:pPr>
      <w:r w:rsidRPr="00EC2AF3">
        <w:rPr>
          <w:color w:val="000000"/>
        </w:rPr>
        <w:t>Between 13 December and 17 December 2021 Eskom entered into contracts with the successful tenderers in the following terms:</w:t>
      </w:r>
      <w:r w:rsidR="00C45370">
        <w:rPr>
          <w:color w:val="000000"/>
        </w:rPr>
        <w:t xml:space="preserve"> (1) </w:t>
      </w:r>
      <w:r w:rsidRPr="00C45370">
        <w:rPr>
          <w:color w:val="000000"/>
        </w:rPr>
        <w:t>The contra</w:t>
      </w:r>
      <w:r w:rsidR="00C45370">
        <w:rPr>
          <w:color w:val="000000"/>
        </w:rPr>
        <w:t xml:space="preserve">ct was a rate based contract; (2) </w:t>
      </w:r>
      <w:r w:rsidRPr="00C45370">
        <w:rPr>
          <w:color w:val="000000"/>
        </w:rPr>
        <w:t>The starting date of the contract was 1 Janu</w:t>
      </w:r>
      <w:r w:rsidR="00C45370">
        <w:rPr>
          <w:color w:val="000000"/>
        </w:rPr>
        <w:t xml:space="preserve">ary 2022 to 31 December 2025; (3) </w:t>
      </w:r>
      <w:r w:rsidRPr="00C45370">
        <w:rPr>
          <w:color w:val="000000"/>
        </w:rPr>
        <w:t>The plan identified in the Contract Data is stated in each Task Order;</w:t>
      </w:r>
      <w:r w:rsidR="00C45370">
        <w:rPr>
          <w:color w:val="000000"/>
        </w:rPr>
        <w:t xml:space="preserve"> (4)</w:t>
      </w:r>
      <w:r w:rsidRPr="00C45370">
        <w:rPr>
          <w:color w:val="000000"/>
        </w:rPr>
        <w:t xml:space="preserve"> The use of plant equipment and</w:t>
      </w:r>
      <w:r w:rsidR="00C45370">
        <w:rPr>
          <w:color w:val="000000"/>
        </w:rPr>
        <w:t xml:space="preserve"> materials is per Task Order; (5) </w:t>
      </w:r>
      <w:r w:rsidRPr="00C45370">
        <w:rPr>
          <w:color w:val="000000"/>
        </w:rPr>
        <w:t>The Contractor supplies, erects and dismantles scaffolding in accordance w</w:t>
      </w:r>
      <w:r w:rsidR="00C45370">
        <w:rPr>
          <w:color w:val="000000"/>
        </w:rPr>
        <w:t xml:space="preserve">ith each detailed Task Order; (6) </w:t>
      </w:r>
      <w:r w:rsidRPr="00C45370">
        <w:rPr>
          <w:color w:val="000000"/>
        </w:rPr>
        <w:t>The Employer instructs the Contractor when a scaffold is required and b</w:t>
      </w:r>
      <w:r w:rsidR="00C45370">
        <w:rPr>
          <w:color w:val="000000"/>
        </w:rPr>
        <w:t>y when it must be dismantled;</w:t>
      </w:r>
      <w:r w:rsidRPr="00C45370">
        <w:rPr>
          <w:color w:val="000000"/>
        </w:rPr>
        <w:t xml:space="preserve"> and</w:t>
      </w:r>
      <w:r w:rsidR="00C45370">
        <w:rPr>
          <w:color w:val="000000"/>
        </w:rPr>
        <w:t xml:space="preserve"> (7) </w:t>
      </w:r>
      <w:r w:rsidRPr="00C45370">
        <w:rPr>
          <w:color w:val="000000"/>
        </w:rPr>
        <w:t>The Contractor makes the provision for the supply of labour for the erection, alteration and dismantling of scaffolding during outages, maintenance and project activities.</w:t>
      </w:r>
    </w:p>
    <w:p w14:paraId="69EF4305" w14:textId="289A549F" w:rsidR="00ED3F99" w:rsidRPr="00C45370" w:rsidRDefault="00ED3F99" w:rsidP="00C45370">
      <w:pPr>
        <w:pStyle w:val="ListParagraph"/>
        <w:numPr>
          <w:ilvl w:val="0"/>
          <w:numId w:val="5"/>
        </w:numPr>
        <w:tabs>
          <w:tab w:val="clear" w:pos="567"/>
        </w:tabs>
        <w:spacing w:after="120" w:line="360" w:lineRule="auto"/>
        <w:ind w:left="0" w:firstLine="0"/>
        <w:jc w:val="both"/>
        <w:rPr>
          <w:color w:val="000000"/>
        </w:rPr>
      </w:pPr>
      <w:r w:rsidRPr="00EC2AF3">
        <w:rPr>
          <w:color w:val="000000"/>
        </w:rPr>
        <w:t>On 17 December 2021, Eskom published a Regret Letter to the unsuccessful suppliers on its Tender Bulletin and on the CIDB website, informing all bidders that it had decided to award the CORP 5171 Tender to the respective successful bidders and that they had bee</w:t>
      </w:r>
      <w:r>
        <w:rPr>
          <w:color w:val="000000"/>
        </w:rPr>
        <w:t>n unsuccessful in their bids.</w:t>
      </w:r>
      <w:r w:rsidR="00C45370">
        <w:rPr>
          <w:color w:val="000000"/>
        </w:rPr>
        <w:t xml:space="preserve"> </w:t>
      </w:r>
      <w:r w:rsidRPr="00C45370">
        <w:rPr>
          <w:color w:val="000000"/>
        </w:rPr>
        <w:t>On 22</w:t>
      </w:r>
      <w:r w:rsidR="00C45370">
        <w:rPr>
          <w:color w:val="000000"/>
        </w:rPr>
        <w:t> </w:t>
      </w:r>
      <w:r w:rsidRPr="00C45370">
        <w:rPr>
          <w:color w:val="000000"/>
        </w:rPr>
        <w:t>December 20</w:t>
      </w:r>
      <w:r w:rsidR="00C45370">
        <w:rPr>
          <w:color w:val="000000"/>
        </w:rPr>
        <w:t>21, Eskom wrote letters to the a</w:t>
      </w:r>
      <w:r w:rsidRPr="00C45370">
        <w:rPr>
          <w:color w:val="000000"/>
        </w:rPr>
        <w:t>pplicants informing them that they were not successful in their bids for the CORP 5171 Tender for the reasons, namely, that they had tendered exorbitant prices when compared to the lowest accepted rates and prices, and their prices were thus not market-related and could not be awarded the Tender in terms of the 9</w:t>
      </w:r>
      <w:r w:rsidR="003112ED">
        <w:rPr>
          <w:color w:val="000000"/>
        </w:rPr>
        <w:t>0/10 preference point system.</w:t>
      </w:r>
    </w:p>
    <w:p w14:paraId="4BA804C2" w14:textId="726BDE08" w:rsidR="00ED3F99" w:rsidRDefault="003112ED" w:rsidP="00DE571F">
      <w:pPr>
        <w:pStyle w:val="ListParagraph"/>
        <w:numPr>
          <w:ilvl w:val="0"/>
          <w:numId w:val="5"/>
        </w:numPr>
        <w:tabs>
          <w:tab w:val="clear" w:pos="567"/>
        </w:tabs>
        <w:spacing w:after="120" w:line="360" w:lineRule="auto"/>
        <w:ind w:left="0" w:firstLine="0"/>
        <w:jc w:val="both"/>
        <w:rPr>
          <w:color w:val="000000"/>
        </w:rPr>
      </w:pPr>
      <w:r>
        <w:rPr>
          <w:color w:val="000000"/>
        </w:rPr>
        <w:lastRenderedPageBreak/>
        <w:t>Against that factual backdrop, I now proceed to deal with the review grounds raised by the applicants.</w:t>
      </w:r>
    </w:p>
    <w:p w14:paraId="7D6BCCC3" w14:textId="75E2CA22" w:rsidR="00A2578E" w:rsidRPr="00F8563E" w:rsidRDefault="00C24680" w:rsidP="00B97AFF">
      <w:pPr>
        <w:pStyle w:val="ListParagraph"/>
        <w:numPr>
          <w:ilvl w:val="0"/>
          <w:numId w:val="5"/>
        </w:numPr>
        <w:tabs>
          <w:tab w:val="clear" w:pos="567"/>
        </w:tabs>
        <w:spacing w:after="120" w:line="360" w:lineRule="auto"/>
        <w:ind w:left="0" w:firstLine="0"/>
        <w:jc w:val="both"/>
      </w:pPr>
      <w:r w:rsidRPr="00F8563E">
        <w:t xml:space="preserve">The first ground of review relates to the </w:t>
      </w:r>
      <w:r w:rsidR="00EC2AF3" w:rsidRPr="00F8563E">
        <w:t>division</w:t>
      </w:r>
      <w:r w:rsidRPr="00F8563E">
        <w:t xml:space="preserve"> by Eskom of the t</w:t>
      </w:r>
      <w:r w:rsidR="00EC2AF3" w:rsidRPr="00F8563E">
        <w:t>ender</w:t>
      </w:r>
      <w:r w:rsidR="00B97AFF" w:rsidRPr="00F8563E">
        <w:t>, as per the ITT,</w:t>
      </w:r>
      <w:r w:rsidR="00EC2AF3" w:rsidRPr="00F8563E">
        <w:t xml:space="preserve"> into </w:t>
      </w:r>
      <w:r w:rsidRPr="00F8563E">
        <w:t>eight</w:t>
      </w:r>
      <w:r w:rsidR="00B97AFF" w:rsidRPr="00F8563E">
        <w:t xml:space="preserve"> clusters. </w:t>
      </w:r>
      <w:r w:rsidR="00A2578E" w:rsidRPr="00F8563E">
        <w:t xml:space="preserve">The </w:t>
      </w:r>
      <w:r w:rsidR="00B97AFF" w:rsidRPr="00F8563E">
        <w:t xml:space="preserve">ITT </w:t>
      </w:r>
      <w:r w:rsidR="00A2578E" w:rsidRPr="00F8563E">
        <w:t>plainly authorises the allocation strategy that was implemented.</w:t>
      </w:r>
    </w:p>
    <w:p w14:paraId="37C3315D" w14:textId="4667C4B7" w:rsidR="00EC2AF3" w:rsidRPr="00433846" w:rsidRDefault="00433846" w:rsidP="00E47053">
      <w:pPr>
        <w:pStyle w:val="ListParagraph"/>
        <w:numPr>
          <w:ilvl w:val="0"/>
          <w:numId w:val="5"/>
        </w:numPr>
        <w:tabs>
          <w:tab w:val="clear" w:pos="567"/>
        </w:tabs>
        <w:spacing w:line="360" w:lineRule="auto"/>
        <w:ind w:left="0" w:firstLine="0"/>
        <w:jc w:val="both"/>
        <w:rPr>
          <w:color w:val="000000"/>
        </w:rPr>
      </w:pPr>
      <w:r>
        <w:rPr>
          <w:color w:val="000000"/>
        </w:rPr>
        <w:t xml:space="preserve">In </w:t>
      </w:r>
      <w:r w:rsidR="00E47053" w:rsidRPr="00E47053">
        <w:rPr>
          <w:i/>
          <w:color w:val="000000"/>
        </w:rPr>
        <w:t>South African Container Stevedores (Pty) Ltd v Transnet Port Terminals</w:t>
      </w:r>
      <w:r w:rsidR="00E47053">
        <w:rPr>
          <w:rStyle w:val="FootnoteReference"/>
          <w:i/>
          <w:color w:val="000000"/>
        </w:rPr>
        <w:footnoteReference w:id="2"/>
      </w:r>
      <w:r w:rsidR="00E47053">
        <w:rPr>
          <w:color w:val="000000"/>
        </w:rPr>
        <w:t>,</w:t>
      </w:r>
      <w:r w:rsidR="00EC2AF3" w:rsidRPr="00EC2AF3">
        <w:rPr>
          <w:color w:val="000000"/>
        </w:rPr>
        <w:t xml:space="preserve"> the High Court confirmed that it is acceptable for an</w:t>
      </w:r>
      <w:r>
        <w:rPr>
          <w:color w:val="000000"/>
        </w:rPr>
        <w:t xml:space="preserve"> </w:t>
      </w:r>
      <w:r w:rsidR="00EC2AF3" w:rsidRPr="00433846">
        <w:rPr>
          <w:color w:val="000000"/>
        </w:rPr>
        <w:t>organ of state to award more than one bid to separate bidders and thus conclude</w:t>
      </w:r>
      <w:r>
        <w:rPr>
          <w:color w:val="000000"/>
        </w:rPr>
        <w:t xml:space="preserve"> </w:t>
      </w:r>
      <w:r w:rsidR="00EC2AF3" w:rsidRPr="00433846">
        <w:rPr>
          <w:color w:val="000000"/>
        </w:rPr>
        <w:t>separate contracts in respect of one call of tenders in instances where the tender documents allow:</w:t>
      </w:r>
    </w:p>
    <w:p w14:paraId="5ECE392F" w14:textId="2D79721A" w:rsidR="00EC2AF3" w:rsidRPr="00E47053" w:rsidRDefault="00E47053" w:rsidP="00E47053">
      <w:pPr>
        <w:pStyle w:val="ListParagraph"/>
        <w:spacing w:line="360" w:lineRule="auto"/>
        <w:ind w:left="0"/>
        <w:jc w:val="both"/>
        <w:rPr>
          <w:color w:val="000000"/>
          <w:sz w:val="22"/>
          <w:szCs w:val="22"/>
        </w:rPr>
      </w:pPr>
      <w:r w:rsidRPr="00E47053">
        <w:rPr>
          <w:color w:val="000000"/>
          <w:sz w:val="22"/>
          <w:szCs w:val="22"/>
        </w:rPr>
        <w:t>‘</w:t>
      </w:r>
      <w:r w:rsidR="00EC2AF3" w:rsidRPr="00E47053">
        <w:rPr>
          <w:color w:val="000000"/>
          <w:sz w:val="22"/>
          <w:szCs w:val="22"/>
        </w:rPr>
        <w:t>[74]</w:t>
      </w:r>
      <w:r w:rsidR="00EC2AF3" w:rsidRPr="00E47053">
        <w:rPr>
          <w:color w:val="000000"/>
          <w:sz w:val="22"/>
          <w:szCs w:val="22"/>
        </w:rPr>
        <w:tab/>
        <w:t>It is unclear to me why the proposed distribution of volumes among several</w:t>
      </w:r>
      <w:r w:rsidR="00433846" w:rsidRPr="00E47053">
        <w:rPr>
          <w:color w:val="000000"/>
          <w:sz w:val="22"/>
          <w:szCs w:val="22"/>
        </w:rPr>
        <w:t xml:space="preserve"> </w:t>
      </w:r>
      <w:r w:rsidR="00EC2AF3" w:rsidRPr="00E47053">
        <w:rPr>
          <w:color w:val="000000"/>
          <w:sz w:val="22"/>
          <w:szCs w:val="22"/>
        </w:rPr>
        <w:t>stevedoring companies, in terms of the Notes, should have come as a surprise to the applicant at the post-tender negotiations. It was not unlawful or improper for the first respondent to divide the volumes amongst the several tenderers. The PPM, which was the first respondent procurement policy framework document, compiled in compliance with the PPPFA, stipulated as follows:</w:t>
      </w:r>
    </w:p>
    <w:p w14:paraId="2874B783" w14:textId="31DB16BC" w:rsidR="00EC2AF3" w:rsidRPr="00E47053" w:rsidRDefault="00EC2AF3" w:rsidP="00E47053">
      <w:pPr>
        <w:pStyle w:val="ListParagraph"/>
        <w:spacing w:line="360" w:lineRule="auto"/>
        <w:ind w:left="567"/>
        <w:jc w:val="both"/>
        <w:rPr>
          <w:color w:val="000000"/>
          <w:sz w:val="22"/>
          <w:szCs w:val="22"/>
        </w:rPr>
      </w:pPr>
      <w:r w:rsidRPr="00E47053">
        <w:rPr>
          <w:color w:val="000000"/>
          <w:sz w:val="22"/>
          <w:szCs w:val="22"/>
        </w:rPr>
        <w:t>"When it is considered in Transnet's best interest to divide the total requirement of a tender between two or more tenderers (e.g. in order to draw from the most convenient or nearest source, or to ensure continued competition or to optimise available resources or to support a BEE Company) a supply or service may be divided amongst several tenderers, and contracts can be placed accordingly, provided that this was a tender condition. The total value of the business to be awarded, and not the individual contracts, will however determine whether such tender falls within the (Acquisition Council's) AC's jurisdiction or not. Once approval for the award of the business has been obtained from the AC, the individual contracts may be signed by the person with necessary contractual power</w:t>
      </w:r>
      <w:r w:rsidR="00E47053">
        <w:rPr>
          <w:color w:val="000000"/>
          <w:sz w:val="22"/>
          <w:szCs w:val="22"/>
        </w:rPr>
        <w:t>s for the individual contracts”.</w:t>
      </w:r>
    </w:p>
    <w:p w14:paraId="3D3E8A6A" w14:textId="44B77F51" w:rsidR="00EC2AF3" w:rsidRPr="00E47053" w:rsidRDefault="00E47053" w:rsidP="00E47053">
      <w:pPr>
        <w:pStyle w:val="ListParagraph"/>
        <w:spacing w:line="360" w:lineRule="auto"/>
        <w:ind w:left="0"/>
        <w:jc w:val="both"/>
        <w:rPr>
          <w:color w:val="000000"/>
          <w:sz w:val="22"/>
          <w:szCs w:val="22"/>
        </w:rPr>
      </w:pPr>
      <w:r w:rsidRPr="00E47053">
        <w:rPr>
          <w:color w:val="000000"/>
          <w:sz w:val="22"/>
          <w:szCs w:val="22"/>
        </w:rPr>
        <w:t>[75]</w:t>
      </w:r>
      <w:r w:rsidRPr="00E47053">
        <w:rPr>
          <w:color w:val="000000"/>
          <w:sz w:val="22"/>
          <w:szCs w:val="22"/>
        </w:rPr>
        <w:tab/>
      </w:r>
      <w:r w:rsidR="00EC2AF3" w:rsidRPr="00E47053">
        <w:rPr>
          <w:color w:val="000000"/>
          <w:sz w:val="22"/>
          <w:szCs w:val="22"/>
        </w:rPr>
        <w:t>Therefore, clause 6.12 of the PPM was the empowering provision in terms of</w:t>
      </w:r>
      <w:r w:rsidR="004C14AB" w:rsidRPr="00E47053">
        <w:rPr>
          <w:color w:val="000000"/>
          <w:sz w:val="22"/>
          <w:szCs w:val="22"/>
        </w:rPr>
        <w:t xml:space="preserve"> </w:t>
      </w:r>
      <w:r w:rsidR="00EC2AF3" w:rsidRPr="00E47053">
        <w:rPr>
          <w:color w:val="000000"/>
          <w:sz w:val="22"/>
          <w:szCs w:val="22"/>
        </w:rPr>
        <w:t>which the first respondent announced more than once in the RFP about its intention to allocate the volumes to more than one preferred stevedore at each port. I can refer to a few further examples in this regard:</w:t>
      </w:r>
    </w:p>
    <w:p w14:paraId="2350CD44" w14:textId="77777777" w:rsidR="00EC2AF3" w:rsidRPr="00E47053" w:rsidRDefault="00EC2AF3" w:rsidP="00E47053">
      <w:pPr>
        <w:pStyle w:val="ListParagraph"/>
        <w:spacing w:line="360" w:lineRule="auto"/>
        <w:ind w:left="567"/>
        <w:jc w:val="both"/>
        <w:rPr>
          <w:color w:val="000000"/>
          <w:sz w:val="22"/>
          <w:szCs w:val="22"/>
        </w:rPr>
      </w:pPr>
      <w:r w:rsidRPr="00E47053">
        <w:rPr>
          <w:color w:val="000000"/>
          <w:sz w:val="22"/>
          <w:szCs w:val="22"/>
        </w:rPr>
        <w:lastRenderedPageBreak/>
        <w:t>"TPT intends to sub-contract the stevedoring services to more than one (1) stevedore per port to perform the stevedore services for a period of two (2) years, with an option to extend for a further one (1) year (in favour of TPT) which may be exercised by TPT within its sole and unfettered discretion)”</w:t>
      </w:r>
    </w:p>
    <w:p w14:paraId="6DDF6B7D" w14:textId="77777777" w:rsidR="00EC2AF3" w:rsidRPr="00E47053" w:rsidRDefault="00EC2AF3" w:rsidP="00E47053">
      <w:pPr>
        <w:pStyle w:val="ListParagraph"/>
        <w:spacing w:line="360" w:lineRule="auto"/>
        <w:ind w:left="0"/>
        <w:jc w:val="both"/>
        <w:rPr>
          <w:color w:val="000000"/>
          <w:sz w:val="22"/>
          <w:szCs w:val="22"/>
        </w:rPr>
      </w:pPr>
      <w:r w:rsidRPr="00E47053">
        <w:rPr>
          <w:color w:val="000000"/>
          <w:sz w:val="22"/>
          <w:szCs w:val="22"/>
        </w:rPr>
        <w:t>And</w:t>
      </w:r>
    </w:p>
    <w:p w14:paraId="2F2B86AF" w14:textId="77777777" w:rsidR="00EC2AF3" w:rsidRPr="00E47053" w:rsidRDefault="00EC2AF3" w:rsidP="00A2578E">
      <w:pPr>
        <w:pStyle w:val="ListParagraph"/>
        <w:spacing w:after="120" w:line="360" w:lineRule="auto"/>
        <w:ind w:left="567"/>
        <w:jc w:val="both"/>
        <w:rPr>
          <w:color w:val="000000"/>
          <w:sz w:val="22"/>
          <w:szCs w:val="22"/>
        </w:rPr>
      </w:pPr>
      <w:r w:rsidRPr="00E47053">
        <w:rPr>
          <w:color w:val="000000"/>
          <w:sz w:val="22"/>
          <w:szCs w:val="22"/>
        </w:rPr>
        <w:t>“Without limitation to TPT’s rights elsewhere contained herein, and in addition thereto, TPT may accordingly in its sole and unfettered discretion, split the award of the business to more than one stevedore in the proportions that TPT deems fit, In its sole discretion and unfettered discretion.”</w:t>
      </w:r>
    </w:p>
    <w:p w14:paraId="46548256" w14:textId="77777777" w:rsidR="00A2578E" w:rsidRDefault="00A2578E" w:rsidP="00A2578E">
      <w:pPr>
        <w:pStyle w:val="ListParagraph"/>
        <w:numPr>
          <w:ilvl w:val="0"/>
          <w:numId w:val="5"/>
        </w:numPr>
        <w:tabs>
          <w:tab w:val="clear" w:pos="567"/>
        </w:tabs>
        <w:spacing w:line="360" w:lineRule="auto"/>
        <w:ind w:left="0" w:firstLine="0"/>
        <w:jc w:val="both"/>
        <w:rPr>
          <w:color w:val="000000"/>
        </w:rPr>
      </w:pPr>
      <w:r>
        <w:rPr>
          <w:color w:val="000000"/>
        </w:rPr>
        <w:t xml:space="preserve">Thereafter, the learned Judge concludes this point at para </w:t>
      </w:r>
      <w:r w:rsidR="00EC2AF3" w:rsidRPr="00EC2AF3">
        <w:rPr>
          <w:color w:val="000000"/>
        </w:rPr>
        <w:t>77</w:t>
      </w:r>
      <w:r>
        <w:rPr>
          <w:color w:val="000000"/>
        </w:rPr>
        <w:t xml:space="preserve"> as follows:</w:t>
      </w:r>
    </w:p>
    <w:p w14:paraId="55FF7A23" w14:textId="393B7CF1" w:rsidR="00A2578E" w:rsidRPr="00A2578E" w:rsidRDefault="00A2578E" w:rsidP="00A2578E">
      <w:pPr>
        <w:pStyle w:val="ListParagraph"/>
        <w:spacing w:after="120" w:line="360" w:lineRule="auto"/>
        <w:ind w:left="0"/>
        <w:jc w:val="both"/>
        <w:rPr>
          <w:color w:val="000000"/>
          <w:sz w:val="22"/>
          <w:szCs w:val="22"/>
        </w:rPr>
      </w:pPr>
      <w:r w:rsidRPr="00A2578E">
        <w:rPr>
          <w:color w:val="000000"/>
          <w:sz w:val="22"/>
          <w:szCs w:val="22"/>
        </w:rPr>
        <w:t>‘[77]</w:t>
      </w:r>
      <w:r w:rsidRPr="00A2578E">
        <w:rPr>
          <w:color w:val="000000"/>
          <w:sz w:val="22"/>
          <w:szCs w:val="22"/>
        </w:rPr>
        <w:tab/>
      </w:r>
      <w:r w:rsidR="00EC2AF3" w:rsidRPr="00A2578E">
        <w:rPr>
          <w:color w:val="000000"/>
          <w:sz w:val="22"/>
          <w:szCs w:val="22"/>
        </w:rPr>
        <w:t>To my mind, the fact that section 2(1)(f) of the PPPFA refers to “the tenderer” (in singular) does not in any way imply a legislative intention that all times the award of contract, under PPPFA, should be restricted only to a single tenderer even where the tender document clearly reflected the contrary intention.</w:t>
      </w:r>
      <w:r>
        <w:rPr>
          <w:color w:val="000000"/>
          <w:sz w:val="22"/>
          <w:szCs w:val="22"/>
        </w:rPr>
        <w:t>’</w:t>
      </w:r>
    </w:p>
    <w:p w14:paraId="2321A873" w14:textId="4E9E5616" w:rsidR="00EC2AF3" w:rsidRPr="00EC2AF3" w:rsidRDefault="00A2578E" w:rsidP="00EC2AF3">
      <w:pPr>
        <w:pStyle w:val="ListParagraph"/>
        <w:numPr>
          <w:ilvl w:val="0"/>
          <w:numId w:val="5"/>
        </w:numPr>
        <w:tabs>
          <w:tab w:val="clear" w:pos="567"/>
        </w:tabs>
        <w:spacing w:after="120" w:line="360" w:lineRule="auto"/>
        <w:ind w:left="0" w:firstLine="0"/>
        <w:jc w:val="both"/>
        <w:rPr>
          <w:color w:val="000000"/>
        </w:rPr>
      </w:pPr>
      <w:r>
        <w:rPr>
          <w:color w:val="000000"/>
        </w:rPr>
        <w:t xml:space="preserve">Therefore, in my view, </w:t>
      </w:r>
      <w:r w:rsidR="00EC2AF3" w:rsidRPr="00EE321F">
        <w:rPr>
          <w:i/>
          <w:color w:val="000000"/>
        </w:rPr>
        <w:t>South African Container</w:t>
      </w:r>
      <w:r>
        <w:rPr>
          <w:i/>
          <w:color w:val="000000"/>
        </w:rPr>
        <w:t xml:space="preserve"> Stevedores</w:t>
      </w:r>
      <w:r w:rsidR="00EC2AF3" w:rsidRPr="00EC2AF3">
        <w:rPr>
          <w:color w:val="000000"/>
        </w:rPr>
        <w:t xml:space="preserve"> </w:t>
      </w:r>
      <w:r>
        <w:rPr>
          <w:color w:val="000000"/>
        </w:rPr>
        <w:t>is authority for the proposition that</w:t>
      </w:r>
      <w:r w:rsidR="00EC2AF3" w:rsidRPr="00EC2AF3">
        <w:rPr>
          <w:color w:val="000000"/>
        </w:rPr>
        <w:t xml:space="preserve"> as long as it is clearly stipulated in the </w:t>
      </w:r>
      <w:r w:rsidR="004E00B8">
        <w:rPr>
          <w:color w:val="000000"/>
        </w:rPr>
        <w:t>ITT</w:t>
      </w:r>
      <w:r w:rsidR="00EC2AF3" w:rsidRPr="00EC2AF3">
        <w:rPr>
          <w:color w:val="000000"/>
        </w:rPr>
        <w:t>, the award to more than one bidder is not in conflict with the procurement framework and regulations.</w:t>
      </w:r>
      <w:r w:rsidR="00B97AFF">
        <w:rPr>
          <w:color w:val="000000"/>
        </w:rPr>
        <w:t xml:space="preserve"> That then, in my view, is the end of this ground of review.</w:t>
      </w:r>
    </w:p>
    <w:p w14:paraId="1DFD77E4" w14:textId="78F27F6B" w:rsidR="00EC2AF3" w:rsidRPr="0084059A" w:rsidRDefault="00B97AFF" w:rsidP="0084059A">
      <w:pPr>
        <w:pStyle w:val="ListParagraph"/>
        <w:numPr>
          <w:ilvl w:val="0"/>
          <w:numId w:val="5"/>
        </w:numPr>
        <w:tabs>
          <w:tab w:val="clear" w:pos="567"/>
        </w:tabs>
        <w:spacing w:line="360" w:lineRule="auto"/>
        <w:ind w:left="0" w:firstLine="0"/>
        <w:jc w:val="both"/>
        <w:rPr>
          <w:color w:val="000000"/>
        </w:rPr>
      </w:pPr>
      <w:r>
        <w:rPr>
          <w:color w:val="000000"/>
        </w:rPr>
        <w:t xml:space="preserve">Secondly, the applicants contend that Eskom, in adjudicating the bids, failed to take into consideration the </w:t>
      </w:r>
      <w:r w:rsidR="00EC2AF3" w:rsidRPr="00EC2AF3">
        <w:rPr>
          <w:color w:val="000000"/>
        </w:rPr>
        <w:t>capacity</w:t>
      </w:r>
      <w:r>
        <w:rPr>
          <w:color w:val="000000"/>
        </w:rPr>
        <w:t>, or not,</w:t>
      </w:r>
      <w:r w:rsidR="00EC2AF3" w:rsidRPr="00EC2AF3">
        <w:rPr>
          <w:color w:val="000000"/>
        </w:rPr>
        <w:t xml:space="preserve"> of the successful bid</w:t>
      </w:r>
      <w:r>
        <w:rPr>
          <w:color w:val="000000"/>
        </w:rPr>
        <w:t xml:space="preserve">ders to deliver on the services. In that regard, Mr Maenetje SC, who appeared on behalf of Eskom with Ms Rajah, submitted that the </w:t>
      </w:r>
      <w:r w:rsidR="00562FDC" w:rsidRPr="002C070E">
        <w:rPr>
          <w:lang w:val="en-ZA"/>
        </w:rPr>
        <w:t>P</w:t>
      </w:r>
      <w:r w:rsidR="00562FDC">
        <w:rPr>
          <w:lang w:val="en-ZA"/>
        </w:rPr>
        <w:t xml:space="preserve">referential </w:t>
      </w:r>
      <w:r w:rsidR="00562FDC" w:rsidRPr="002C070E">
        <w:rPr>
          <w:lang w:val="en-ZA"/>
        </w:rPr>
        <w:t>P</w:t>
      </w:r>
      <w:r w:rsidR="00562FDC">
        <w:rPr>
          <w:lang w:val="en-ZA"/>
        </w:rPr>
        <w:t xml:space="preserve">rocurement </w:t>
      </w:r>
      <w:r w:rsidR="00562FDC" w:rsidRPr="002C070E">
        <w:rPr>
          <w:lang w:val="en-ZA"/>
        </w:rPr>
        <w:t>P</w:t>
      </w:r>
      <w:r w:rsidR="00562FDC">
        <w:rPr>
          <w:lang w:val="en-ZA"/>
        </w:rPr>
        <w:t xml:space="preserve">olicy </w:t>
      </w:r>
      <w:r w:rsidR="00562FDC" w:rsidRPr="002C070E">
        <w:rPr>
          <w:lang w:val="en-ZA"/>
        </w:rPr>
        <w:t>F</w:t>
      </w:r>
      <w:r w:rsidR="00562FDC">
        <w:rPr>
          <w:lang w:val="en-ZA"/>
        </w:rPr>
        <w:t xml:space="preserve">ramework </w:t>
      </w:r>
      <w:r w:rsidR="00562FDC" w:rsidRPr="002C070E">
        <w:rPr>
          <w:lang w:val="en-ZA"/>
        </w:rPr>
        <w:t>A</w:t>
      </w:r>
      <w:r w:rsidR="00562FDC">
        <w:rPr>
          <w:lang w:val="en-ZA"/>
        </w:rPr>
        <w:t xml:space="preserve">ct, Act 5 of 2000 (‘PPPFA’) </w:t>
      </w:r>
      <w:r w:rsidR="00EC2AF3" w:rsidRPr="00EE321F">
        <w:rPr>
          <w:color w:val="000000"/>
        </w:rPr>
        <w:t>Regul</w:t>
      </w:r>
      <w:r w:rsidR="00562FDC">
        <w:rPr>
          <w:color w:val="000000"/>
        </w:rPr>
        <w:t>ations define functionality as ‘</w:t>
      </w:r>
      <w:r w:rsidR="00EC2AF3" w:rsidRPr="00EE321F">
        <w:rPr>
          <w:color w:val="000000"/>
        </w:rPr>
        <w:t>the ability of a tenderer to provide goods or services in accordance with specifications</w:t>
      </w:r>
      <w:r w:rsidR="00562FDC">
        <w:rPr>
          <w:color w:val="000000"/>
        </w:rPr>
        <w:t xml:space="preserve"> as set out in tender documents’</w:t>
      </w:r>
      <w:r w:rsidR="00EC2AF3" w:rsidRPr="00EE321F">
        <w:rPr>
          <w:color w:val="000000"/>
        </w:rPr>
        <w:t>.</w:t>
      </w:r>
      <w:r w:rsidR="0084059A">
        <w:rPr>
          <w:color w:val="000000"/>
        </w:rPr>
        <w:t xml:space="preserve"> </w:t>
      </w:r>
      <w:r w:rsidR="00EC2AF3" w:rsidRPr="0084059A">
        <w:rPr>
          <w:color w:val="000000"/>
        </w:rPr>
        <w:t>Regulation 5 stipulates the role of functionality in the procurement process and</w:t>
      </w:r>
      <w:r w:rsidR="00EE321F" w:rsidRPr="0084059A">
        <w:rPr>
          <w:color w:val="000000"/>
        </w:rPr>
        <w:t xml:space="preserve"> </w:t>
      </w:r>
      <w:r w:rsidR="00EC2AF3" w:rsidRPr="0084059A">
        <w:rPr>
          <w:color w:val="000000"/>
        </w:rPr>
        <w:t xml:space="preserve">states that an organ of states must make it clear in its </w:t>
      </w:r>
      <w:r w:rsidR="0084059A">
        <w:rPr>
          <w:color w:val="000000"/>
        </w:rPr>
        <w:t>ITT</w:t>
      </w:r>
      <w:r w:rsidR="00EC2AF3" w:rsidRPr="0084059A">
        <w:rPr>
          <w:color w:val="000000"/>
        </w:rPr>
        <w:t xml:space="preserve"> </w:t>
      </w:r>
      <w:r w:rsidR="0084059A">
        <w:rPr>
          <w:color w:val="000000"/>
        </w:rPr>
        <w:t>whether</w:t>
      </w:r>
      <w:r w:rsidR="00EC2AF3" w:rsidRPr="0084059A">
        <w:rPr>
          <w:color w:val="000000"/>
        </w:rPr>
        <w:t xml:space="preserve"> the bids will be evaluated in terms of functionality. It provides as follows:</w:t>
      </w:r>
    </w:p>
    <w:p w14:paraId="659D3AC2" w14:textId="5BBC6B14" w:rsidR="00EC2AF3" w:rsidRPr="0084059A" w:rsidRDefault="0084059A" w:rsidP="0084059A">
      <w:pPr>
        <w:pStyle w:val="ListParagraph"/>
        <w:spacing w:line="360" w:lineRule="auto"/>
        <w:ind w:left="0"/>
        <w:jc w:val="both"/>
        <w:rPr>
          <w:color w:val="000000"/>
          <w:sz w:val="22"/>
          <w:szCs w:val="22"/>
        </w:rPr>
      </w:pPr>
      <w:r w:rsidRPr="0084059A">
        <w:rPr>
          <w:color w:val="000000"/>
          <w:sz w:val="22"/>
          <w:szCs w:val="22"/>
        </w:rPr>
        <w:t>‘</w:t>
      </w:r>
      <w:r>
        <w:rPr>
          <w:color w:val="000000"/>
          <w:sz w:val="22"/>
          <w:szCs w:val="22"/>
        </w:rPr>
        <w:t>5.</w:t>
      </w:r>
      <w:r>
        <w:rPr>
          <w:color w:val="000000"/>
          <w:sz w:val="22"/>
          <w:szCs w:val="22"/>
        </w:rPr>
        <w:tab/>
      </w:r>
      <w:r w:rsidR="00EC2AF3" w:rsidRPr="0084059A">
        <w:rPr>
          <w:color w:val="000000"/>
          <w:sz w:val="22"/>
          <w:szCs w:val="22"/>
        </w:rPr>
        <w:t>Tenders t</w:t>
      </w:r>
      <w:r w:rsidR="00EE321F" w:rsidRPr="0084059A">
        <w:rPr>
          <w:color w:val="000000"/>
          <w:sz w:val="22"/>
          <w:szCs w:val="22"/>
        </w:rPr>
        <w:t xml:space="preserve">o be evaluated on functionality </w:t>
      </w:r>
      <w:r w:rsidRPr="0084059A">
        <w:rPr>
          <w:color w:val="000000"/>
          <w:sz w:val="22"/>
          <w:szCs w:val="22"/>
        </w:rPr>
        <w:t xml:space="preserve">– </w:t>
      </w:r>
      <w:r w:rsidR="00EC2AF3" w:rsidRPr="0084059A">
        <w:rPr>
          <w:color w:val="000000"/>
          <w:sz w:val="22"/>
          <w:szCs w:val="22"/>
        </w:rPr>
        <w:t>(1)</w:t>
      </w:r>
      <w:r w:rsidRPr="0084059A">
        <w:rPr>
          <w:color w:val="000000"/>
          <w:sz w:val="22"/>
          <w:szCs w:val="22"/>
        </w:rPr>
        <w:t xml:space="preserve"> </w:t>
      </w:r>
      <w:r w:rsidR="00EC2AF3" w:rsidRPr="0084059A">
        <w:rPr>
          <w:color w:val="000000"/>
          <w:sz w:val="22"/>
          <w:szCs w:val="22"/>
        </w:rPr>
        <w:t>An organ of state</w:t>
      </w:r>
      <w:r w:rsidR="00EE321F" w:rsidRPr="0084059A">
        <w:rPr>
          <w:color w:val="000000"/>
          <w:sz w:val="22"/>
          <w:szCs w:val="22"/>
        </w:rPr>
        <w:t xml:space="preserve"> </w:t>
      </w:r>
      <w:r w:rsidR="00EC2AF3" w:rsidRPr="0084059A">
        <w:rPr>
          <w:color w:val="000000"/>
          <w:sz w:val="22"/>
          <w:szCs w:val="22"/>
        </w:rPr>
        <w:t>must state in the tender documents if the tender will be evaluated on functionality.</w:t>
      </w:r>
    </w:p>
    <w:p w14:paraId="5BE40249" w14:textId="254DB6EB" w:rsidR="00EC2AF3" w:rsidRPr="0084059A" w:rsidRDefault="0084059A" w:rsidP="0084059A">
      <w:pPr>
        <w:pStyle w:val="ListParagraph"/>
        <w:spacing w:line="360" w:lineRule="auto"/>
        <w:ind w:left="0"/>
        <w:jc w:val="both"/>
        <w:rPr>
          <w:color w:val="000000"/>
          <w:sz w:val="22"/>
          <w:szCs w:val="22"/>
        </w:rPr>
      </w:pPr>
      <w:r>
        <w:rPr>
          <w:color w:val="000000"/>
          <w:sz w:val="22"/>
          <w:szCs w:val="22"/>
        </w:rPr>
        <w:t>(2)</w:t>
      </w:r>
      <w:r>
        <w:rPr>
          <w:color w:val="000000"/>
          <w:sz w:val="22"/>
          <w:szCs w:val="22"/>
        </w:rPr>
        <w:tab/>
      </w:r>
      <w:r w:rsidR="00EC2AF3" w:rsidRPr="0084059A">
        <w:rPr>
          <w:color w:val="000000"/>
          <w:sz w:val="22"/>
          <w:szCs w:val="22"/>
        </w:rPr>
        <w:t>The evaluation criteria for measuring functionality must be objective.</w:t>
      </w:r>
    </w:p>
    <w:p w14:paraId="5538943E" w14:textId="44F95E42" w:rsidR="00EC2AF3" w:rsidRPr="0084059A" w:rsidRDefault="0084059A" w:rsidP="0084059A">
      <w:pPr>
        <w:pStyle w:val="ListParagraph"/>
        <w:spacing w:line="360" w:lineRule="auto"/>
        <w:ind w:left="0"/>
        <w:jc w:val="both"/>
        <w:rPr>
          <w:color w:val="000000"/>
          <w:sz w:val="22"/>
          <w:szCs w:val="22"/>
        </w:rPr>
      </w:pPr>
      <w:r>
        <w:rPr>
          <w:color w:val="000000"/>
          <w:sz w:val="22"/>
          <w:szCs w:val="22"/>
        </w:rPr>
        <w:t>(3)</w:t>
      </w:r>
      <w:r>
        <w:rPr>
          <w:color w:val="000000"/>
          <w:sz w:val="22"/>
          <w:szCs w:val="22"/>
        </w:rPr>
        <w:tab/>
      </w:r>
      <w:r w:rsidR="00EC2AF3" w:rsidRPr="0084059A">
        <w:rPr>
          <w:color w:val="000000"/>
          <w:sz w:val="22"/>
          <w:szCs w:val="22"/>
        </w:rPr>
        <w:t>The tender documents must specify—</w:t>
      </w:r>
    </w:p>
    <w:p w14:paraId="769BF3AC" w14:textId="537D3C12" w:rsidR="00EC2AF3" w:rsidRPr="0084059A" w:rsidRDefault="0084059A" w:rsidP="0084059A">
      <w:pPr>
        <w:pStyle w:val="ListParagraph"/>
        <w:spacing w:line="360" w:lineRule="auto"/>
        <w:ind w:left="993" w:hanging="709"/>
        <w:jc w:val="both"/>
        <w:rPr>
          <w:color w:val="000000"/>
          <w:sz w:val="22"/>
          <w:szCs w:val="22"/>
        </w:rPr>
      </w:pPr>
      <w:r>
        <w:rPr>
          <w:color w:val="000000"/>
          <w:sz w:val="22"/>
          <w:szCs w:val="22"/>
        </w:rPr>
        <w:t>(a)</w:t>
      </w:r>
      <w:r>
        <w:rPr>
          <w:color w:val="000000"/>
          <w:sz w:val="22"/>
          <w:szCs w:val="22"/>
        </w:rPr>
        <w:tab/>
      </w:r>
      <w:r w:rsidR="00EC2AF3" w:rsidRPr="0084059A">
        <w:rPr>
          <w:color w:val="000000"/>
          <w:sz w:val="22"/>
          <w:szCs w:val="22"/>
        </w:rPr>
        <w:t>the evaluation criteria for measuring functionality;</w:t>
      </w:r>
    </w:p>
    <w:p w14:paraId="57E015ED" w14:textId="77777777" w:rsidR="00EC2AF3" w:rsidRPr="0084059A" w:rsidRDefault="00EC2AF3" w:rsidP="0084059A">
      <w:pPr>
        <w:pStyle w:val="ListParagraph"/>
        <w:spacing w:line="360" w:lineRule="auto"/>
        <w:ind w:left="993" w:hanging="709"/>
        <w:jc w:val="both"/>
        <w:rPr>
          <w:color w:val="000000"/>
          <w:sz w:val="22"/>
          <w:szCs w:val="22"/>
        </w:rPr>
      </w:pPr>
      <w:r w:rsidRPr="0084059A">
        <w:rPr>
          <w:color w:val="000000"/>
          <w:sz w:val="22"/>
          <w:szCs w:val="22"/>
        </w:rPr>
        <w:lastRenderedPageBreak/>
        <w:t>(b)</w:t>
      </w:r>
      <w:r w:rsidRPr="0084059A">
        <w:rPr>
          <w:color w:val="000000"/>
          <w:sz w:val="22"/>
          <w:szCs w:val="22"/>
        </w:rPr>
        <w:tab/>
        <w:t>the points for each criteria and, if any, each sub-criterion; and</w:t>
      </w:r>
    </w:p>
    <w:p w14:paraId="4AB61C75" w14:textId="77777777" w:rsidR="00EC2AF3" w:rsidRPr="0084059A" w:rsidRDefault="00EC2AF3" w:rsidP="0084059A">
      <w:pPr>
        <w:pStyle w:val="ListParagraph"/>
        <w:spacing w:line="360" w:lineRule="auto"/>
        <w:ind w:left="993" w:hanging="709"/>
        <w:jc w:val="both"/>
        <w:rPr>
          <w:color w:val="000000"/>
          <w:sz w:val="22"/>
          <w:szCs w:val="22"/>
        </w:rPr>
      </w:pPr>
      <w:r w:rsidRPr="0084059A">
        <w:rPr>
          <w:color w:val="000000"/>
          <w:sz w:val="22"/>
          <w:szCs w:val="22"/>
        </w:rPr>
        <w:t>(c)</w:t>
      </w:r>
      <w:r w:rsidRPr="0084059A">
        <w:rPr>
          <w:color w:val="000000"/>
          <w:sz w:val="22"/>
          <w:szCs w:val="22"/>
        </w:rPr>
        <w:tab/>
        <w:t>the minimum qualifying score for functionality.</w:t>
      </w:r>
    </w:p>
    <w:p w14:paraId="6E2A262D" w14:textId="5F846980" w:rsidR="00EC2AF3" w:rsidRPr="0084059A" w:rsidRDefault="00EC2AF3" w:rsidP="0084059A">
      <w:pPr>
        <w:pStyle w:val="ListParagraph"/>
        <w:spacing w:line="360" w:lineRule="auto"/>
        <w:ind w:left="0"/>
        <w:jc w:val="both"/>
        <w:rPr>
          <w:color w:val="000000"/>
          <w:sz w:val="22"/>
          <w:szCs w:val="22"/>
        </w:rPr>
      </w:pPr>
      <w:r w:rsidRPr="0084059A">
        <w:rPr>
          <w:color w:val="000000"/>
          <w:sz w:val="22"/>
          <w:szCs w:val="22"/>
        </w:rPr>
        <w:t>(4)</w:t>
      </w:r>
      <w:r w:rsidRPr="0084059A">
        <w:rPr>
          <w:color w:val="000000"/>
          <w:sz w:val="22"/>
          <w:szCs w:val="22"/>
        </w:rPr>
        <w:tab/>
        <w:t>The minimum qualifying score for functionality for a tender to be</w:t>
      </w:r>
      <w:r w:rsidR="00EE321F" w:rsidRPr="0084059A">
        <w:rPr>
          <w:color w:val="000000"/>
          <w:sz w:val="22"/>
          <w:szCs w:val="22"/>
        </w:rPr>
        <w:t xml:space="preserve"> </w:t>
      </w:r>
      <w:r w:rsidRPr="0084059A">
        <w:rPr>
          <w:color w:val="000000"/>
          <w:sz w:val="22"/>
          <w:szCs w:val="22"/>
        </w:rPr>
        <w:t>considered fur</w:t>
      </w:r>
      <w:r w:rsidR="0084059A">
        <w:rPr>
          <w:color w:val="000000"/>
          <w:sz w:val="22"/>
          <w:szCs w:val="22"/>
        </w:rPr>
        <w:t xml:space="preserve">ther – </w:t>
      </w:r>
    </w:p>
    <w:p w14:paraId="6207782B" w14:textId="77777777" w:rsidR="00EC2AF3" w:rsidRPr="0084059A" w:rsidRDefault="00EC2AF3" w:rsidP="0084059A">
      <w:pPr>
        <w:pStyle w:val="ListParagraph"/>
        <w:spacing w:line="360" w:lineRule="auto"/>
        <w:ind w:left="993" w:hanging="709"/>
        <w:jc w:val="both"/>
        <w:rPr>
          <w:color w:val="000000"/>
          <w:sz w:val="22"/>
          <w:szCs w:val="22"/>
        </w:rPr>
      </w:pPr>
      <w:r w:rsidRPr="0084059A">
        <w:rPr>
          <w:color w:val="000000"/>
          <w:sz w:val="22"/>
          <w:szCs w:val="22"/>
        </w:rPr>
        <w:t>(a)</w:t>
      </w:r>
      <w:r w:rsidRPr="0084059A">
        <w:rPr>
          <w:color w:val="000000"/>
          <w:sz w:val="22"/>
          <w:szCs w:val="22"/>
        </w:rPr>
        <w:tab/>
        <w:t>must be determined separately for each tender; and</w:t>
      </w:r>
    </w:p>
    <w:p w14:paraId="5399F225" w14:textId="77777777" w:rsidR="00EC2AF3" w:rsidRPr="0084059A" w:rsidRDefault="00EC2AF3" w:rsidP="0084059A">
      <w:pPr>
        <w:pStyle w:val="ListParagraph"/>
        <w:spacing w:line="360" w:lineRule="auto"/>
        <w:ind w:left="993" w:hanging="709"/>
        <w:jc w:val="both"/>
        <w:rPr>
          <w:color w:val="000000"/>
          <w:sz w:val="22"/>
          <w:szCs w:val="22"/>
        </w:rPr>
      </w:pPr>
      <w:r w:rsidRPr="0084059A">
        <w:rPr>
          <w:color w:val="000000"/>
          <w:sz w:val="22"/>
          <w:szCs w:val="22"/>
        </w:rPr>
        <w:t>(b)</w:t>
      </w:r>
      <w:r w:rsidRPr="0084059A">
        <w:rPr>
          <w:color w:val="000000"/>
          <w:sz w:val="22"/>
          <w:szCs w:val="22"/>
        </w:rPr>
        <w:tab/>
        <w:t>may not be so—</w:t>
      </w:r>
    </w:p>
    <w:p w14:paraId="53EB5E31" w14:textId="7A5112F0" w:rsidR="00EC2AF3" w:rsidRPr="0084059A" w:rsidRDefault="0084059A" w:rsidP="0084059A">
      <w:pPr>
        <w:pStyle w:val="ListParagraph"/>
        <w:spacing w:line="360" w:lineRule="auto"/>
        <w:ind w:left="1134" w:hanging="567"/>
        <w:jc w:val="both"/>
        <w:rPr>
          <w:color w:val="000000"/>
          <w:sz w:val="22"/>
          <w:szCs w:val="22"/>
        </w:rPr>
      </w:pPr>
      <w:r>
        <w:rPr>
          <w:color w:val="000000"/>
          <w:sz w:val="22"/>
          <w:szCs w:val="22"/>
        </w:rPr>
        <w:t>(i)</w:t>
      </w:r>
      <w:r>
        <w:rPr>
          <w:color w:val="000000"/>
          <w:sz w:val="22"/>
          <w:szCs w:val="22"/>
        </w:rPr>
        <w:tab/>
      </w:r>
      <w:r w:rsidR="00EC2AF3" w:rsidRPr="0084059A">
        <w:rPr>
          <w:color w:val="000000"/>
          <w:sz w:val="22"/>
          <w:szCs w:val="22"/>
        </w:rPr>
        <w:t>low that it may jeopardise the quality of the required goods or services; or</w:t>
      </w:r>
    </w:p>
    <w:p w14:paraId="07895519" w14:textId="77777777" w:rsidR="00EC2AF3" w:rsidRPr="0084059A" w:rsidRDefault="00EC2AF3" w:rsidP="0084059A">
      <w:pPr>
        <w:pStyle w:val="ListParagraph"/>
        <w:spacing w:line="360" w:lineRule="auto"/>
        <w:ind w:left="1134" w:hanging="567"/>
        <w:jc w:val="both"/>
        <w:rPr>
          <w:color w:val="000000"/>
          <w:sz w:val="22"/>
          <w:szCs w:val="22"/>
        </w:rPr>
      </w:pPr>
      <w:r w:rsidRPr="0084059A">
        <w:rPr>
          <w:color w:val="000000"/>
          <w:sz w:val="22"/>
          <w:szCs w:val="22"/>
        </w:rPr>
        <w:t>(ii)</w:t>
      </w:r>
      <w:r w:rsidRPr="0084059A">
        <w:rPr>
          <w:color w:val="000000"/>
          <w:sz w:val="22"/>
          <w:szCs w:val="22"/>
        </w:rPr>
        <w:tab/>
        <w:t>high that it is unreasonably restrictive.</w:t>
      </w:r>
    </w:p>
    <w:p w14:paraId="1860605C" w14:textId="45945A7F" w:rsidR="00EC2AF3" w:rsidRPr="0084059A" w:rsidRDefault="00EC2AF3" w:rsidP="0084059A">
      <w:pPr>
        <w:pStyle w:val="ListParagraph"/>
        <w:spacing w:line="360" w:lineRule="auto"/>
        <w:ind w:left="0"/>
        <w:jc w:val="both"/>
        <w:rPr>
          <w:color w:val="000000"/>
          <w:sz w:val="22"/>
          <w:szCs w:val="22"/>
        </w:rPr>
      </w:pPr>
      <w:r w:rsidRPr="0084059A">
        <w:rPr>
          <w:color w:val="000000"/>
          <w:sz w:val="22"/>
          <w:szCs w:val="22"/>
        </w:rPr>
        <w:t>(5)</w:t>
      </w:r>
      <w:r w:rsidRPr="0084059A">
        <w:rPr>
          <w:color w:val="000000"/>
          <w:sz w:val="22"/>
          <w:szCs w:val="22"/>
        </w:rPr>
        <w:tab/>
        <w:t>Points scored for functionality must be rounded off to the nearest</w:t>
      </w:r>
      <w:r w:rsidR="00EE321F" w:rsidRPr="0084059A">
        <w:rPr>
          <w:color w:val="000000"/>
          <w:sz w:val="22"/>
          <w:szCs w:val="22"/>
        </w:rPr>
        <w:t xml:space="preserve"> </w:t>
      </w:r>
      <w:r w:rsidRPr="0084059A">
        <w:rPr>
          <w:color w:val="000000"/>
          <w:sz w:val="22"/>
          <w:szCs w:val="22"/>
        </w:rPr>
        <w:t>two decimal places.</w:t>
      </w:r>
    </w:p>
    <w:p w14:paraId="4EDB3D0B" w14:textId="13DEC3DD" w:rsidR="00EC2AF3" w:rsidRPr="0084059A" w:rsidRDefault="00EC2AF3" w:rsidP="0084059A">
      <w:pPr>
        <w:pStyle w:val="ListParagraph"/>
        <w:spacing w:line="360" w:lineRule="auto"/>
        <w:ind w:left="0"/>
        <w:jc w:val="both"/>
        <w:rPr>
          <w:color w:val="000000"/>
          <w:sz w:val="22"/>
          <w:szCs w:val="22"/>
        </w:rPr>
      </w:pPr>
      <w:r w:rsidRPr="0084059A">
        <w:rPr>
          <w:color w:val="000000"/>
          <w:sz w:val="22"/>
          <w:szCs w:val="22"/>
        </w:rPr>
        <w:t>(6)</w:t>
      </w:r>
      <w:r w:rsidRPr="0084059A">
        <w:rPr>
          <w:color w:val="000000"/>
          <w:sz w:val="22"/>
          <w:szCs w:val="22"/>
        </w:rPr>
        <w:tab/>
        <w:t>A tender that fails to obtain the minimum qualifying score for</w:t>
      </w:r>
      <w:r w:rsidR="0007327E" w:rsidRPr="0084059A">
        <w:rPr>
          <w:color w:val="000000"/>
          <w:sz w:val="22"/>
          <w:szCs w:val="22"/>
        </w:rPr>
        <w:t xml:space="preserve"> </w:t>
      </w:r>
      <w:r w:rsidRPr="0084059A">
        <w:rPr>
          <w:color w:val="000000"/>
          <w:sz w:val="22"/>
          <w:szCs w:val="22"/>
        </w:rPr>
        <w:t>functionality as indicated in the tender documents is not an acceptable tender.</w:t>
      </w:r>
    </w:p>
    <w:p w14:paraId="4BC1A503" w14:textId="3F732C80" w:rsidR="00EC2AF3" w:rsidRPr="0084059A" w:rsidRDefault="0084059A" w:rsidP="0084059A">
      <w:pPr>
        <w:pStyle w:val="ListParagraph"/>
        <w:spacing w:after="120" w:line="360" w:lineRule="auto"/>
        <w:ind w:left="0"/>
        <w:jc w:val="both"/>
        <w:rPr>
          <w:color w:val="000000"/>
          <w:sz w:val="22"/>
          <w:szCs w:val="22"/>
        </w:rPr>
      </w:pPr>
      <w:r>
        <w:rPr>
          <w:color w:val="000000"/>
          <w:sz w:val="22"/>
          <w:szCs w:val="22"/>
        </w:rPr>
        <w:t>(7)</w:t>
      </w:r>
      <w:r>
        <w:rPr>
          <w:color w:val="000000"/>
          <w:sz w:val="22"/>
          <w:szCs w:val="22"/>
        </w:rPr>
        <w:tab/>
      </w:r>
      <w:r w:rsidR="00EC2AF3" w:rsidRPr="0084059A">
        <w:rPr>
          <w:color w:val="000000"/>
          <w:sz w:val="22"/>
          <w:szCs w:val="22"/>
        </w:rPr>
        <w:t>Each tender that obtained the minimum qualifying score for functionality must be evaluated further in terms of price and the preference point system and any objective criteria envisaged in regulation 11.”</w:t>
      </w:r>
    </w:p>
    <w:p w14:paraId="1419EE17" w14:textId="5AE7FDBB" w:rsidR="00EC2AF3" w:rsidRPr="0005119B" w:rsidRDefault="0005119B" w:rsidP="0005119B">
      <w:pPr>
        <w:pStyle w:val="ListParagraph"/>
        <w:numPr>
          <w:ilvl w:val="0"/>
          <w:numId w:val="5"/>
        </w:numPr>
        <w:tabs>
          <w:tab w:val="clear" w:pos="567"/>
        </w:tabs>
        <w:spacing w:after="120" w:line="360" w:lineRule="auto"/>
        <w:ind w:left="0" w:firstLine="0"/>
        <w:jc w:val="both"/>
        <w:rPr>
          <w:color w:val="000000"/>
        </w:rPr>
      </w:pPr>
      <w:r>
        <w:rPr>
          <w:color w:val="000000"/>
        </w:rPr>
        <w:t>As was held by the Court in</w:t>
      </w:r>
      <w:r w:rsidRPr="0005119B">
        <w:rPr>
          <w:color w:val="000000"/>
        </w:rPr>
        <w:t xml:space="preserve"> </w:t>
      </w:r>
      <w:r w:rsidRPr="0005119B">
        <w:rPr>
          <w:i/>
          <w:color w:val="000000"/>
        </w:rPr>
        <w:t>Rainbow Civils CC v Minister of Transport and Public Works, Western Cape</w:t>
      </w:r>
      <w:r>
        <w:rPr>
          <w:rStyle w:val="FootnoteReference"/>
          <w:i/>
          <w:color w:val="000000"/>
        </w:rPr>
        <w:footnoteReference w:id="3"/>
      </w:r>
      <w:r>
        <w:rPr>
          <w:color w:val="000000"/>
        </w:rPr>
        <w:t>,  ‘t</w:t>
      </w:r>
      <w:r w:rsidR="00EC2AF3" w:rsidRPr="0005119B">
        <w:rPr>
          <w:color w:val="000000"/>
        </w:rPr>
        <w:t>he point is simply that functionality should not be ignored in the final adjudication between competing tenders, and should be taken into account within the parameters of the Procurement Act.</w:t>
      </w:r>
      <w:r>
        <w:rPr>
          <w:color w:val="000000"/>
        </w:rPr>
        <w:t>’</w:t>
      </w:r>
      <w:r w:rsidR="00EC2AF3" w:rsidRPr="0005119B">
        <w:rPr>
          <w:color w:val="000000"/>
        </w:rPr>
        <w:t xml:space="preserve"> </w:t>
      </w:r>
      <w:r>
        <w:rPr>
          <w:color w:val="000000"/>
        </w:rPr>
        <w:t>F</w:t>
      </w:r>
      <w:r w:rsidR="00EC2AF3" w:rsidRPr="0005119B">
        <w:rPr>
          <w:color w:val="000000"/>
        </w:rPr>
        <w:t>unctionality or capacity is a relevant consideration and falls to be taken into account in deciding whether or not a tender should be awarded to a tenderer other than the one with the highest score for pric</w:t>
      </w:r>
      <w:r>
        <w:rPr>
          <w:color w:val="000000"/>
        </w:rPr>
        <w:t>e and preference.</w:t>
      </w:r>
      <w:r w:rsidR="00C91EDE" w:rsidRPr="0005119B">
        <w:rPr>
          <w:color w:val="000000"/>
        </w:rPr>
        <w:t xml:space="preserve"> </w:t>
      </w:r>
    </w:p>
    <w:p w14:paraId="533B5BD4" w14:textId="18A9635F" w:rsidR="00EC2AF3" w:rsidRPr="00C91EDE" w:rsidRDefault="0005119B" w:rsidP="00C91EDE">
      <w:pPr>
        <w:pStyle w:val="ListParagraph"/>
        <w:numPr>
          <w:ilvl w:val="0"/>
          <w:numId w:val="5"/>
        </w:numPr>
        <w:tabs>
          <w:tab w:val="clear" w:pos="567"/>
        </w:tabs>
        <w:spacing w:after="120" w:line="360" w:lineRule="auto"/>
        <w:ind w:left="0" w:firstLine="0"/>
        <w:jc w:val="both"/>
        <w:rPr>
          <w:color w:val="000000"/>
        </w:rPr>
      </w:pPr>
      <w:r>
        <w:rPr>
          <w:color w:val="000000"/>
        </w:rPr>
        <w:t xml:space="preserve">I agree with the submission on behalf of </w:t>
      </w:r>
      <w:r w:rsidR="00EC2AF3" w:rsidRPr="00EC2AF3">
        <w:rPr>
          <w:color w:val="000000"/>
        </w:rPr>
        <w:t xml:space="preserve">Eskom </w:t>
      </w:r>
      <w:r>
        <w:rPr>
          <w:color w:val="000000"/>
        </w:rPr>
        <w:t xml:space="preserve">that </w:t>
      </w:r>
      <w:r w:rsidRPr="0005119B">
        <w:rPr>
          <w:i/>
          <w:color w:val="000000"/>
        </w:rPr>
        <w:t>in casu</w:t>
      </w:r>
      <w:r>
        <w:rPr>
          <w:color w:val="000000"/>
        </w:rPr>
        <w:t xml:space="preserve"> it </w:t>
      </w:r>
      <w:r w:rsidR="00EC2AF3" w:rsidRPr="00EC2AF3">
        <w:rPr>
          <w:color w:val="000000"/>
        </w:rPr>
        <w:t>applied the criteria</w:t>
      </w:r>
      <w:r w:rsidR="00C91EDE">
        <w:rPr>
          <w:color w:val="000000"/>
        </w:rPr>
        <w:t xml:space="preserve"> </w:t>
      </w:r>
      <w:r w:rsidR="00EC2AF3" w:rsidRPr="00C91EDE">
        <w:rPr>
          <w:color w:val="000000"/>
        </w:rPr>
        <w:t xml:space="preserve">as set out in the </w:t>
      </w:r>
      <w:r>
        <w:rPr>
          <w:color w:val="000000"/>
        </w:rPr>
        <w:t>ITT</w:t>
      </w:r>
      <w:r w:rsidR="00EC2AF3" w:rsidRPr="00C91EDE">
        <w:rPr>
          <w:color w:val="000000"/>
        </w:rPr>
        <w:t xml:space="preserve"> in compliance with Regulation 5 of the 2017 Regulations in terms of functionality</w:t>
      </w:r>
      <w:r>
        <w:rPr>
          <w:color w:val="000000"/>
        </w:rPr>
        <w:t>. A</w:t>
      </w:r>
      <w:r w:rsidR="00EC2AF3" w:rsidRPr="00C91EDE">
        <w:rPr>
          <w:color w:val="000000"/>
        </w:rPr>
        <w:t>ll bidders were aware of that criteria and were evaluated in terms of that criteria at the first stage of evaluation of functionality and that functionality was also assessed in the final award of the contract. It also involved a site assessment. The site assessment ensured that successful bidders had the capacity to deliver on the Tender specifications. A site assessment considers the resource capacity and capability of the tender to deliver on the tender specifications.</w:t>
      </w:r>
    </w:p>
    <w:p w14:paraId="4451D304" w14:textId="77777777" w:rsidR="004E00B8" w:rsidRDefault="0005119B" w:rsidP="00C91EDE">
      <w:pPr>
        <w:pStyle w:val="ListParagraph"/>
        <w:numPr>
          <w:ilvl w:val="0"/>
          <w:numId w:val="5"/>
        </w:numPr>
        <w:tabs>
          <w:tab w:val="clear" w:pos="567"/>
        </w:tabs>
        <w:spacing w:after="120" w:line="360" w:lineRule="auto"/>
        <w:ind w:left="0" w:firstLine="0"/>
        <w:jc w:val="both"/>
        <w:rPr>
          <w:color w:val="000000"/>
        </w:rPr>
      </w:pPr>
      <w:r>
        <w:rPr>
          <w:color w:val="000000"/>
        </w:rPr>
        <w:lastRenderedPageBreak/>
        <w:t>As correctly argued by Mr Maenetje, t</w:t>
      </w:r>
      <w:r w:rsidR="00EC2AF3" w:rsidRPr="00EC2AF3">
        <w:rPr>
          <w:color w:val="000000"/>
        </w:rPr>
        <w:t>o the extent that the CIDB Regulations required an assessment of the bidders’</w:t>
      </w:r>
      <w:r w:rsidR="00C91EDE">
        <w:rPr>
          <w:color w:val="000000"/>
        </w:rPr>
        <w:t xml:space="preserve"> </w:t>
      </w:r>
      <w:r w:rsidR="00EC2AF3" w:rsidRPr="00C91EDE">
        <w:rPr>
          <w:color w:val="000000"/>
        </w:rPr>
        <w:t xml:space="preserve">resource capacity and capability to deliver on the Tender specifications, they duplicate the functionality requirement and, potentially, the financial capacity (which is a contract requirement). They do not by such a requirement mean that the assessment under functionality and financial requirement is not sufficient for purposes of the CIDB Regulations. That is the case here. </w:t>
      </w:r>
    </w:p>
    <w:p w14:paraId="43759EE8" w14:textId="56E39D4B" w:rsidR="007C0F0F" w:rsidRDefault="007C0F0F" w:rsidP="007C0F0F">
      <w:pPr>
        <w:pStyle w:val="ListParagraph"/>
        <w:numPr>
          <w:ilvl w:val="0"/>
          <w:numId w:val="5"/>
        </w:numPr>
        <w:tabs>
          <w:tab w:val="clear" w:pos="567"/>
        </w:tabs>
        <w:spacing w:after="120" w:line="360" w:lineRule="auto"/>
        <w:ind w:left="0" w:firstLine="0"/>
        <w:jc w:val="both"/>
        <w:rPr>
          <w:color w:val="000000"/>
        </w:rPr>
      </w:pPr>
      <w:r>
        <w:rPr>
          <w:color w:val="000000"/>
        </w:rPr>
        <w:t xml:space="preserve">As regards the alleged non-compliance with the </w:t>
      </w:r>
      <w:r w:rsidR="00EC2AF3" w:rsidRPr="00EC2AF3">
        <w:rPr>
          <w:color w:val="000000"/>
        </w:rPr>
        <w:t>Constructio</w:t>
      </w:r>
      <w:r>
        <w:rPr>
          <w:color w:val="000000"/>
        </w:rPr>
        <w:t>n Industry Development Board Act 38 of 2000 (‘the CIDB Act’</w:t>
      </w:r>
      <w:r w:rsidRPr="007C0F0F">
        <w:rPr>
          <w:color w:val="000000"/>
        </w:rPr>
        <w:t>)</w:t>
      </w:r>
      <w:r w:rsidR="00EC2AF3" w:rsidRPr="00EC2AF3">
        <w:rPr>
          <w:color w:val="000000"/>
        </w:rPr>
        <w:t xml:space="preserve"> and</w:t>
      </w:r>
      <w:r>
        <w:rPr>
          <w:color w:val="000000"/>
        </w:rPr>
        <w:t xml:space="preserve"> the</w:t>
      </w:r>
      <w:r w:rsidR="00EC2AF3" w:rsidRPr="00EC2AF3">
        <w:rPr>
          <w:color w:val="000000"/>
        </w:rPr>
        <w:t xml:space="preserve"> Regulations</w:t>
      </w:r>
      <w:r>
        <w:rPr>
          <w:color w:val="000000"/>
        </w:rPr>
        <w:t xml:space="preserve"> promulgated thereunder, Eskom contends that such non-compliance does not of necessity invalidate a tender process.</w:t>
      </w:r>
    </w:p>
    <w:p w14:paraId="40685AC0" w14:textId="152C2E63" w:rsidR="00EC2AF3" w:rsidRPr="00AC3E1B" w:rsidRDefault="00EC2AF3" w:rsidP="00AC3E1B">
      <w:pPr>
        <w:pStyle w:val="ListParagraph"/>
        <w:numPr>
          <w:ilvl w:val="0"/>
          <w:numId w:val="5"/>
        </w:numPr>
        <w:tabs>
          <w:tab w:val="clear" w:pos="567"/>
        </w:tabs>
        <w:spacing w:line="360" w:lineRule="auto"/>
        <w:ind w:left="0" w:firstLine="0"/>
        <w:jc w:val="both"/>
        <w:rPr>
          <w:color w:val="000000"/>
        </w:rPr>
      </w:pPr>
      <w:r w:rsidRPr="00EC2AF3">
        <w:rPr>
          <w:color w:val="000000"/>
        </w:rPr>
        <w:t>In terms of the CIDB Act, contractors working in the construction industry must</w:t>
      </w:r>
      <w:r w:rsidR="00C91EDE">
        <w:rPr>
          <w:color w:val="000000"/>
        </w:rPr>
        <w:t xml:space="preserve"> </w:t>
      </w:r>
      <w:r w:rsidRPr="00C91EDE">
        <w:rPr>
          <w:color w:val="000000"/>
        </w:rPr>
        <w:t>register on the CIDB’s na</w:t>
      </w:r>
      <w:r w:rsidR="007C0F0F">
        <w:rPr>
          <w:color w:val="000000"/>
        </w:rPr>
        <w:t xml:space="preserve">tional register of contractors. </w:t>
      </w:r>
      <w:r w:rsidRPr="007C0F0F">
        <w:rPr>
          <w:color w:val="000000"/>
        </w:rPr>
        <w:t>CIDB Regulation 17 determines the maximum value of contracts that a contractor is considered capable of undertaking.</w:t>
      </w:r>
      <w:r w:rsidR="00AC3E1B">
        <w:rPr>
          <w:color w:val="000000"/>
        </w:rPr>
        <w:t xml:space="preserve"> CIDB </w:t>
      </w:r>
      <w:r w:rsidRPr="00AC3E1B">
        <w:rPr>
          <w:color w:val="000000"/>
        </w:rPr>
        <w:t xml:space="preserve">Regulation 25 (1) provides </w:t>
      </w:r>
      <w:r w:rsidR="00AC3E1B">
        <w:rPr>
          <w:color w:val="000000"/>
        </w:rPr>
        <w:t>as follows</w:t>
      </w:r>
      <w:r w:rsidRPr="00AC3E1B">
        <w:rPr>
          <w:color w:val="000000"/>
        </w:rPr>
        <w:t>:</w:t>
      </w:r>
    </w:p>
    <w:p w14:paraId="1F3BB2A0" w14:textId="77777777" w:rsidR="00AC3E1B" w:rsidRDefault="00AC3E1B" w:rsidP="00AC3E1B">
      <w:pPr>
        <w:pStyle w:val="ListParagraph"/>
        <w:spacing w:line="360" w:lineRule="auto"/>
        <w:ind w:left="0"/>
        <w:jc w:val="both"/>
        <w:rPr>
          <w:color w:val="000000"/>
          <w:sz w:val="22"/>
          <w:szCs w:val="22"/>
        </w:rPr>
      </w:pPr>
      <w:r w:rsidRPr="00AC3E1B">
        <w:rPr>
          <w:color w:val="000000"/>
          <w:sz w:val="22"/>
          <w:szCs w:val="22"/>
        </w:rPr>
        <w:t>‘25</w:t>
      </w:r>
      <w:r w:rsidRPr="00AC3E1B">
        <w:rPr>
          <w:color w:val="000000"/>
          <w:sz w:val="22"/>
          <w:szCs w:val="22"/>
        </w:rPr>
        <w:tab/>
      </w:r>
      <w:r w:rsidR="00EC2AF3" w:rsidRPr="00AC3E1B">
        <w:rPr>
          <w:color w:val="000000"/>
          <w:sz w:val="22"/>
          <w:szCs w:val="22"/>
        </w:rPr>
        <w:t>Invitation of tender or expression of interest fo</w:t>
      </w:r>
      <w:r w:rsidRPr="00AC3E1B">
        <w:rPr>
          <w:color w:val="000000"/>
          <w:sz w:val="22"/>
          <w:szCs w:val="22"/>
        </w:rPr>
        <w:t xml:space="preserve">r construction works contracts – </w:t>
      </w:r>
    </w:p>
    <w:p w14:paraId="7E6E56FB" w14:textId="059CF3AA" w:rsidR="00EC2AF3" w:rsidRPr="00AC3E1B" w:rsidRDefault="00EC2AF3" w:rsidP="00AC3E1B">
      <w:pPr>
        <w:pStyle w:val="ListParagraph"/>
        <w:numPr>
          <w:ilvl w:val="0"/>
          <w:numId w:val="19"/>
        </w:numPr>
        <w:spacing w:line="360" w:lineRule="auto"/>
        <w:ind w:left="567" w:hanging="567"/>
        <w:jc w:val="both"/>
        <w:rPr>
          <w:color w:val="000000"/>
          <w:sz w:val="22"/>
          <w:szCs w:val="22"/>
        </w:rPr>
      </w:pPr>
      <w:r w:rsidRPr="00AC3E1B">
        <w:rPr>
          <w:color w:val="000000"/>
          <w:sz w:val="22"/>
          <w:szCs w:val="22"/>
        </w:rPr>
        <w:t>Subject to subregulation (1A), in soliciting a tender offer or an expression of interest for a construction works contract, a client or employer must stipulate that only submissions of tender offers or expressions of interest by contractors who are registered in the category of registration required in terms of subregulation (3) or higher, may be evaluated in relation to that contract.</w:t>
      </w:r>
    </w:p>
    <w:p w14:paraId="6A0BD637" w14:textId="7D60B03C" w:rsidR="00EC2AF3" w:rsidRPr="00AC3E1B" w:rsidRDefault="00AC3E1B" w:rsidP="00AC3E1B">
      <w:pPr>
        <w:pStyle w:val="ListParagraph"/>
        <w:spacing w:line="360" w:lineRule="auto"/>
        <w:ind w:left="567" w:hanging="567"/>
        <w:jc w:val="both"/>
        <w:rPr>
          <w:color w:val="000000"/>
          <w:sz w:val="22"/>
          <w:szCs w:val="22"/>
        </w:rPr>
      </w:pPr>
      <w:r>
        <w:rPr>
          <w:color w:val="000000"/>
          <w:sz w:val="22"/>
          <w:szCs w:val="22"/>
        </w:rPr>
        <w:t>(1A)</w:t>
      </w:r>
      <w:r>
        <w:rPr>
          <w:color w:val="000000"/>
          <w:sz w:val="22"/>
          <w:szCs w:val="22"/>
        </w:rPr>
        <w:tab/>
      </w:r>
      <w:r w:rsidR="00EC2AF3" w:rsidRPr="00AC3E1B">
        <w:rPr>
          <w:color w:val="000000"/>
          <w:sz w:val="22"/>
          <w:szCs w:val="22"/>
        </w:rPr>
        <w:t>...</w:t>
      </w:r>
    </w:p>
    <w:p w14:paraId="3F0419E4" w14:textId="43D98460" w:rsidR="00EC2AF3" w:rsidRPr="00AC3E1B" w:rsidRDefault="00AC3E1B" w:rsidP="00AC3E1B">
      <w:pPr>
        <w:pStyle w:val="ListParagraph"/>
        <w:spacing w:line="360" w:lineRule="auto"/>
        <w:ind w:left="567" w:hanging="567"/>
        <w:jc w:val="both"/>
        <w:rPr>
          <w:color w:val="000000"/>
          <w:sz w:val="22"/>
          <w:szCs w:val="22"/>
        </w:rPr>
      </w:pPr>
      <w:r>
        <w:rPr>
          <w:color w:val="000000"/>
          <w:sz w:val="22"/>
          <w:szCs w:val="22"/>
        </w:rPr>
        <w:t>(1B)</w:t>
      </w:r>
      <w:r>
        <w:rPr>
          <w:color w:val="000000"/>
          <w:sz w:val="22"/>
          <w:szCs w:val="22"/>
        </w:rPr>
        <w:tab/>
      </w:r>
      <w:r w:rsidR="00EC2AF3" w:rsidRPr="00AC3E1B">
        <w:rPr>
          <w:color w:val="000000"/>
          <w:sz w:val="22"/>
          <w:szCs w:val="22"/>
        </w:rPr>
        <w:t>Where a contract involves construction works over an agreed</w:t>
      </w:r>
      <w:r w:rsidRPr="00AC3E1B">
        <w:rPr>
          <w:color w:val="000000"/>
          <w:sz w:val="22"/>
          <w:szCs w:val="22"/>
        </w:rPr>
        <w:t xml:space="preserve"> </w:t>
      </w:r>
      <w:r>
        <w:rPr>
          <w:color w:val="000000"/>
          <w:sz w:val="22"/>
          <w:szCs w:val="22"/>
        </w:rPr>
        <w:t xml:space="preserve">number of years – </w:t>
      </w:r>
    </w:p>
    <w:p w14:paraId="1B621254" w14:textId="2B5AAD1C" w:rsidR="00EC2AF3" w:rsidRDefault="00EC2AF3" w:rsidP="00AC3E1B">
      <w:pPr>
        <w:pStyle w:val="ListParagraph"/>
        <w:numPr>
          <w:ilvl w:val="0"/>
          <w:numId w:val="20"/>
        </w:numPr>
        <w:spacing w:line="360" w:lineRule="auto"/>
        <w:jc w:val="both"/>
        <w:rPr>
          <w:color w:val="000000"/>
          <w:sz w:val="22"/>
          <w:szCs w:val="22"/>
        </w:rPr>
      </w:pPr>
      <w:r w:rsidRPr="00AC3E1B">
        <w:rPr>
          <w:color w:val="000000"/>
          <w:sz w:val="22"/>
          <w:szCs w:val="22"/>
        </w:rPr>
        <w:t>on an “as and when required” basis;</w:t>
      </w:r>
    </w:p>
    <w:p w14:paraId="1C65D378" w14:textId="6A5032B5" w:rsidR="00EC2AF3" w:rsidRDefault="00EC2AF3" w:rsidP="00AC3E1B">
      <w:pPr>
        <w:pStyle w:val="ListParagraph"/>
        <w:numPr>
          <w:ilvl w:val="0"/>
          <w:numId w:val="20"/>
        </w:numPr>
        <w:spacing w:line="360" w:lineRule="auto"/>
        <w:jc w:val="both"/>
        <w:rPr>
          <w:color w:val="000000"/>
          <w:sz w:val="22"/>
          <w:szCs w:val="22"/>
        </w:rPr>
      </w:pPr>
      <w:r w:rsidRPr="00AC3E1B">
        <w:rPr>
          <w:color w:val="000000"/>
          <w:sz w:val="22"/>
          <w:szCs w:val="22"/>
        </w:rPr>
        <w:t xml:space="preserve">of a routine nature; or </w:t>
      </w:r>
    </w:p>
    <w:p w14:paraId="6BDFA011" w14:textId="2D0AAC95" w:rsidR="00EC2AF3" w:rsidRPr="00AC3E1B" w:rsidRDefault="00EC2AF3" w:rsidP="00AC3E1B">
      <w:pPr>
        <w:pStyle w:val="ListParagraph"/>
        <w:numPr>
          <w:ilvl w:val="0"/>
          <w:numId w:val="20"/>
        </w:numPr>
        <w:spacing w:line="360" w:lineRule="auto"/>
        <w:jc w:val="both"/>
        <w:rPr>
          <w:color w:val="000000"/>
          <w:sz w:val="22"/>
          <w:szCs w:val="22"/>
        </w:rPr>
      </w:pPr>
      <w:r w:rsidRPr="00AC3E1B">
        <w:rPr>
          <w:color w:val="000000"/>
          <w:sz w:val="22"/>
          <w:szCs w:val="22"/>
        </w:rPr>
        <w:t>grouped into identifiable and similar components where an instruction to proceed to the construction of the next component is conditional on the successful completion of the previous component,</w:t>
      </w:r>
      <w:r w:rsidR="001D102A" w:rsidRPr="00AC3E1B">
        <w:rPr>
          <w:color w:val="000000"/>
          <w:sz w:val="22"/>
          <w:szCs w:val="22"/>
        </w:rPr>
        <w:t xml:space="preserve"> </w:t>
      </w:r>
      <w:r w:rsidRPr="00AC3E1B">
        <w:rPr>
          <w:color w:val="000000"/>
          <w:sz w:val="22"/>
          <w:szCs w:val="22"/>
        </w:rPr>
        <w:t>the value of that contract may for the purpose of subregulation (1), be taken at its annual val</w:t>
      </w:r>
      <w:r w:rsidR="00AC3E1B">
        <w:rPr>
          <w:color w:val="000000"/>
          <w:sz w:val="22"/>
          <w:szCs w:val="22"/>
        </w:rPr>
        <w:t>ue.’</w:t>
      </w:r>
    </w:p>
    <w:p w14:paraId="4E796DA7" w14:textId="5A3B0CBF" w:rsidR="00EC2AF3" w:rsidRPr="00F03381" w:rsidRDefault="00EC2AF3" w:rsidP="004D484D">
      <w:pPr>
        <w:pStyle w:val="ListParagraph"/>
        <w:numPr>
          <w:ilvl w:val="0"/>
          <w:numId w:val="5"/>
        </w:numPr>
        <w:tabs>
          <w:tab w:val="clear" w:pos="567"/>
        </w:tabs>
        <w:spacing w:line="360" w:lineRule="auto"/>
        <w:ind w:left="0" w:firstLine="0"/>
        <w:jc w:val="both"/>
        <w:rPr>
          <w:color w:val="000000"/>
        </w:rPr>
      </w:pPr>
      <w:r w:rsidRPr="00EC2AF3">
        <w:rPr>
          <w:color w:val="000000"/>
        </w:rPr>
        <w:t>CIDB Regulation 25(7A) serves as a further exception to the general rule set out</w:t>
      </w:r>
      <w:r w:rsidR="00F03381">
        <w:rPr>
          <w:color w:val="000000"/>
        </w:rPr>
        <w:t xml:space="preserve"> </w:t>
      </w:r>
      <w:r w:rsidRPr="00F03381">
        <w:rPr>
          <w:color w:val="000000"/>
        </w:rPr>
        <w:t>in Regulation 25(1) and provides that:</w:t>
      </w:r>
    </w:p>
    <w:p w14:paraId="23708546" w14:textId="147DBF03" w:rsidR="00EC2AF3" w:rsidRPr="004D484D" w:rsidRDefault="004D484D" w:rsidP="004D484D">
      <w:pPr>
        <w:pStyle w:val="ListParagraph"/>
        <w:spacing w:line="360" w:lineRule="auto"/>
        <w:ind w:left="0"/>
        <w:jc w:val="both"/>
        <w:rPr>
          <w:color w:val="000000"/>
          <w:sz w:val="22"/>
          <w:szCs w:val="22"/>
        </w:rPr>
      </w:pPr>
      <w:r w:rsidRPr="004D484D">
        <w:rPr>
          <w:color w:val="000000"/>
          <w:sz w:val="22"/>
          <w:szCs w:val="22"/>
        </w:rPr>
        <w:t>‘</w:t>
      </w:r>
      <w:r w:rsidR="00EC2AF3" w:rsidRPr="004D484D">
        <w:rPr>
          <w:color w:val="000000"/>
          <w:sz w:val="22"/>
          <w:szCs w:val="22"/>
        </w:rPr>
        <w:t xml:space="preserve">(7A) An organ of state may subject to its procurement policy and notwithstanding anything to the contrary contained in this regulation, evaluate and award a tender offer </w:t>
      </w:r>
      <w:r w:rsidR="00EC2AF3" w:rsidRPr="004D484D">
        <w:rPr>
          <w:color w:val="000000"/>
          <w:sz w:val="22"/>
          <w:szCs w:val="22"/>
        </w:rPr>
        <w:lastRenderedPageBreak/>
        <w:t xml:space="preserve">from a tenderer who is registered but who tendered outside of his or her tender value range as contemplated </w:t>
      </w:r>
      <w:r>
        <w:rPr>
          <w:color w:val="000000"/>
          <w:sz w:val="22"/>
          <w:szCs w:val="22"/>
        </w:rPr>
        <w:t xml:space="preserve">in regulation 17, provided that – </w:t>
      </w:r>
    </w:p>
    <w:p w14:paraId="2EB58D98" w14:textId="015BCE4C" w:rsidR="00EC2AF3" w:rsidRPr="004D484D" w:rsidRDefault="004D484D" w:rsidP="004D484D">
      <w:pPr>
        <w:pStyle w:val="ListParagraph"/>
        <w:spacing w:line="360" w:lineRule="auto"/>
        <w:ind w:left="567" w:hanging="567"/>
        <w:jc w:val="both"/>
        <w:rPr>
          <w:color w:val="000000"/>
          <w:sz w:val="22"/>
          <w:szCs w:val="22"/>
        </w:rPr>
      </w:pPr>
      <w:r>
        <w:rPr>
          <w:color w:val="000000"/>
          <w:sz w:val="22"/>
          <w:szCs w:val="22"/>
        </w:rPr>
        <w:t>(a)</w:t>
      </w:r>
      <w:r>
        <w:rPr>
          <w:color w:val="000000"/>
          <w:sz w:val="22"/>
          <w:szCs w:val="22"/>
        </w:rPr>
        <w:tab/>
      </w:r>
      <w:r w:rsidR="00EC2AF3" w:rsidRPr="004D484D">
        <w:rPr>
          <w:color w:val="000000"/>
          <w:sz w:val="22"/>
          <w:szCs w:val="22"/>
        </w:rPr>
        <w:t>the margin with which the tenderer exceeded his or her tender value range contemplated in regulation 17, is reasonable;</w:t>
      </w:r>
    </w:p>
    <w:p w14:paraId="0605DEC8" w14:textId="77777777" w:rsidR="00EC2AF3" w:rsidRPr="004D484D" w:rsidRDefault="00EC2AF3" w:rsidP="004D484D">
      <w:pPr>
        <w:pStyle w:val="ListParagraph"/>
        <w:spacing w:line="360" w:lineRule="auto"/>
        <w:ind w:left="567" w:hanging="567"/>
        <w:jc w:val="both"/>
        <w:rPr>
          <w:color w:val="000000"/>
          <w:sz w:val="22"/>
          <w:szCs w:val="22"/>
        </w:rPr>
      </w:pPr>
      <w:r w:rsidRPr="004D484D">
        <w:rPr>
          <w:color w:val="000000"/>
          <w:sz w:val="22"/>
          <w:szCs w:val="22"/>
        </w:rPr>
        <w:t>(b)</w:t>
      </w:r>
      <w:r w:rsidRPr="004D484D">
        <w:rPr>
          <w:color w:val="000000"/>
          <w:sz w:val="22"/>
          <w:szCs w:val="22"/>
        </w:rPr>
        <w:tab/>
        <w:t>the award of the contract does not pose a risk to the organ of state;</w:t>
      </w:r>
    </w:p>
    <w:p w14:paraId="2A405AFA" w14:textId="77777777" w:rsidR="00EC2AF3" w:rsidRPr="004D484D" w:rsidRDefault="00EC2AF3" w:rsidP="004D484D">
      <w:pPr>
        <w:pStyle w:val="ListParagraph"/>
        <w:spacing w:line="360" w:lineRule="auto"/>
        <w:ind w:left="567" w:hanging="567"/>
        <w:jc w:val="both"/>
        <w:rPr>
          <w:color w:val="000000"/>
          <w:sz w:val="22"/>
          <w:szCs w:val="22"/>
        </w:rPr>
      </w:pPr>
      <w:r w:rsidRPr="004D484D">
        <w:rPr>
          <w:color w:val="000000"/>
          <w:sz w:val="22"/>
          <w:szCs w:val="22"/>
        </w:rPr>
        <w:t>(c)</w:t>
      </w:r>
      <w:r w:rsidRPr="004D484D">
        <w:rPr>
          <w:color w:val="000000"/>
          <w:sz w:val="22"/>
          <w:szCs w:val="22"/>
        </w:rPr>
        <w:tab/>
        <w:t>the tender offer in all other aspects comply with these Regulations; and</w:t>
      </w:r>
    </w:p>
    <w:p w14:paraId="01EEE4C4" w14:textId="661A9531" w:rsidR="00EC2AF3" w:rsidRPr="004D484D" w:rsidRDefault="00EC2AF3" w:rsidP="004D484D">
      <w:pPr>
        <w:pStyle w:val="ListParagraph"/>
        <w:spacing w:after="120" w:line="360" w:lineRule="auto"/>
        <w:ind w:left="567" w:hanging="567"/>
        <w:jc w:val="both"/>
        <w:rPr>
          <w:color w:val="000000"/>
          <w:sz w:val="22"/>
          <w:szCs w:val="22"/>
        </w:rPr>
      </w:pPr>
      <w:r w:rsidRPr="004D484D">
        <w:rPr>
          <w:color w:val="000000"/>
          <w:sz w:val="22"/>
          <w:szCs w:val="22"/>
        </w:rPr>
        <w:t>(d)</w:t>
      </w:r>
      <w:r w:rsidRPr="004D484D">
        <w:rPr>
          <w:color w:val="000000"/>
          <w:sz w:val="22"/>
          <w:szCs w:val="22"/>
        </w:rPr>
        <w:tab/>
        <w:t>the report referred to in regulation 21 or 38(5) and (6), indicates whether this subregulation was appl</w:t>
      </w:r>
      <w:r w:rsidR="004D484D">
        <w:rPr>
          <w:color w:val="000000"/>
          <w:sz w:val="22"/>
          <w:szCs w:val="22"/>
        </w:rPr>
        <w:t>ied in the award of the tender.’</w:t>
      </w:r>
    </w:p>
    <w:p w14:paraId="3B889B63" w14:textId="77777777" w:rsidR="00F33766" w:rsidRDefault="0043578F" w:rsidP="00F33766">
      <w:pPr>
        <w:pStyle w:val="ListParagraph"/>
        <w:numPr>
          <w:ilvl w:val="0"/>
          <w:numId w:val="5"/>
        </w:numPr>
        <w:tabs>
          <w:tab w:val="clear" w:pos="567"/>
        </w:tabs>
        <w:spacing w:after="120" w:line="360" w:lineRule="auto"/>
        <w:ind w:left="0" w:firstLine="0"/>
        <w:jc w:val="both"/>
        <w:rPr>
          <w:color w:val="000000"/>
        </w:rPr>
      </w:pPr>
      <w:r w:rsidRPr="00EC2AF3">
        <w:rPr>
          <w:color w:val="000000"/>
        </w:rPr>
        <w:t xml:space="preserve">The essence of the complaints </w:t>
      </w:r>
      <w:r w:rsidR="00F33766">
        <w:rPr>
          <w:color w:val="000000"/>
        </w:rPr>
        <w:t xml:space="preserve">by the applicants arises from CIBD Regulation 25(9)(c) and is to the effect that </w:t>
      </w:r>
      <w:r w:rsidRPr="00F33766">
        <w:rPr>
          <w:color w:val="000000"/>
        </w:rPr>
        <w:t>the functionality assessment that formed part of the tender evaluation process was not sufficient to meet the obliga</w:t>
      </w:r>
      <w:r w:rsidR="00F33766">
        <w:rPr>
          <w:color w:val="000000"/>
        </w:rPr>
        <w:t xml:space="preserve">tion of Regulation 25(9)(c). </w:t>
      </w:r>
      <w:r w:rsidRPr="00F33766">
        <w:rPr>
          <w:color w:val="000000"/>
        </w:rPr>
        <w:t xml:space="preserve">The basis of this conclusion is the Financial Analysis Reports conducted by Eskom’s Financial Management Reporting Unit and the failure by Eskom to satisfy itself that the bidders have the requisite capacity and expertise to do the work as evidenced by the findings in the reports and the lack of convincing mitigating factors and failure to obtain mitigating factors from Kaefer and Oram. </w:t>
      </w:r>
    </w:p>
    <w:p w14:paraId="53C07885" w14:textId="6E53E538" w:rsidR="0043578F" w:rsidRPr="006B7EBE" w:rsidRDefault="00F33766" w:rsidP="006B7EBE">
      <w:pPr>
        <w:pStyle w:val="ListParagraph"/>
        <w:numPr>
          <w:ilvl w:val="0"/>
          <w:numId w:val="5"/>
        </w:numPr>
        <w:tabs>
          <w:tab w:val="clear" w:pos="567"/>
        </w:tabs>
        <w:spacing w:after="120" w:line="360" w:lineRule="auto"/>
        <w:ind w:left="0" w:firstLine="0"/>
        <w:jc w:val="both"/>
        <w:rPr>
          <w:color w:val="000000"/>
        </w:rPr>
      </w:pPr>
      <w:r>
        <w:rPr>
          <w:color w:val="000000"/>
        </w:rPr>
        <w:t xml:space="preserve">Eskom’s case in that regard is that </w:t>
      </w:r>
      <w:r w:rsidR="0043578F" w:rsidRPr="00EC2AF3">
        <w:rPr>
          <w:color w:val="000000"/>
        </w:rPr>
        <w:t xml:space="preserve">functionality was assessed firstly as a qualification criterion at stage 3 in two phases in terms of the tender criteria as set out in </w:t>
      </w:r>
      <w:r>
        <w:rPr>
          <w:color w:val="000000"/>
        </w:rPr>
        <w:t xml:space="preserve">the ITT, which </w:t>
      </w:r>
      <w:r w:rsidR="0043578F" w:rsidRPr="00EC2AF3">
        <w:rPr>
          <w:color w:val="000000"/>
        </w:rPr>
        <w:t>details what will be assessed during Phase 1 and 2 and the points to</w:t>
      </w:r>
      <w:r w:rsidR="0043578F">
        <w:rPr>
          <w:color w:val="000000"/>
        </w:rPr>
        <w:t xml:space="preserve"> be allocated at each phase. </w:t>
      </w:r>
      <w:r w:rsidR="006B7EBE">
        <w:rPr>
          <w:color w:val="000000"/>
        </w:rPr>
        <w:t xml:space="preserve">The </w:t>
      </w:r>
      <w:r w:rsidR="0043578F" w:rsidRPr="006B7EBE">
        <w:rPr>
          <w:color w:val="000000"/>
        </w:rPr>
        <w:t xml:space="preserve">criteria as set out in </w:t>
      </w:r>
      <w:r w:rsidR="006B7EBE">
        <w:rPr>
          <w:color w:val="000000"/>
        </w:rPr>
        <w:t>the ITT comply, so Eskom avers,</w:t>
      </w:r>
      <w:r w:rsidR="0043578F" w:rsidRPr="006B7EBE">
        <w:rPr>
          <w:color w:val="000000"/>
        </w:rPr>
        <w:t xml:space="preserve"> with the requirements of Regulation 5 of the 2017 Regulations in that it set sets out the objective measurable criteria of experience and standing, capability and resources. This was the mode of testing the functionality of all tenderers and all of them were evaluated in the same manner at this stage and none of them ever complained that this was an inappropriate manner of evaluating functionality.</w:t>
      </w:r>
    </w:p>
    <w:p w14:paraId="38B7954E" w14:textId="070AD1DF" w:rsidR="0043578F" w:rsidRPr="006B7EBE" w:rsidRDefault="0043578F" w:rsidP="006B7EBE">
      <w:pPr>
        <w:pStyle w:val="ListParagraph"/>
        <w:numPr>
          <w:ilvl w:val="0"/>
          <w:numId w:val="5"/>
        </w:numPr>
        <w:tabs>
          <w:tab w:val="clear" w:pos="567"/>
        </w:tabs>
        <w:spacing w:after="120" w:line="360" w:lineRule="auto"/>
        <w:ind w:left="0" w:firstLine="0"/>
        <w:jc w:val="both"/>
        <w:rPr>
          <w:color w:val="000000"/>
        </w:rPr>
      </w:pPr>
      <w:r w:rsidRPr="00EC2AF3">
        <w:rPr>
          <w:color w:val="000000"/>
        </w:rPr>
        <w:t>The winning bidders</w:t>
      </w:r>
      <w:r w:rsidR="006B7EBE">
        <w:rPr>
          <w:color w:val="000000"/>
        </w:rPr>
        <w:t>, as well as the a</w:t>
      </w:r>
      <w:r w:rsidRPr="00EC2AF3">
        <w:rPr>
          <w:color w:val="000000"/>
        </w:rPr>
        <w:t>pplicants</w:t>
      </w:r>
      <w:r w:rsidR="006B7EBE">
        <w:rPr>
          <w:color w:val="000000"/>
        </w:rPr>
        <w:t>,</w:t>
      </w:r>
      <w:r w:rsidRPr="00EC2AF3">
        <w:rPr>
          <w:color w:val="000000"/>
        </w:rPr>
        <w:t xml:space="preserve"> were all evaluated in terms of the two phases of the evaluation and qualified at stage 3 of the fu</w:t>
      </w:r>
      <w:r>
        <w:rPr>
          <w:color w:val="000000"/>
        </w:rPr>
        <w:t>nctionality evaluation stage.</w:t>
      </w:r>
      <w:r w:rsidR="006B7EBE">
        <w:rPr>
          <w:color w:val="000000"/>
        </w:rPr>
        <w:t xml:space="preserve"> </w:t>
      </w:r>
      <w:r w:rsidRPr="006B7EBE">
        <w:rPr>
          <w:color w:val="000000"/>
        </w:rPr>
        <w:t>The sit</w:t>
      </w:r>
      <w:r w:rsidR="006B7EBE">
        <w:rPr>
          <w:color w:val="000000"/>
        </w:rPr>
        <w:t>e inspection report, which the a</w:t>
      </w:r>
      <w:r w:rsidRPr="006B7EBE">
        <w:rPr>
          <w:color w:val="000000"/>
        </w:rPr>
        <w:t xml:space="preserve">pplicants have, shows that in respect of each bidder, the evaluation team assessed the necessary </w:t>
      </w:r>
      <w:r w:rsidRPr="006B7EBE">
        <w:rPr>
          <w:color w:val="000000"/>
        </w:rPr>
        <w:lastRenderedPageBreak/>
        <w:t>workshop facilities, scaffolding material and insulation material. These are facilities that are required to deliver the services in terms of the Tender.</w:t>
      </w:r>
    </w:p>
    <w:p w14:paraId="342A9367" w14:textId="15B89A27" w:rsidR="0043578F" w:rsidRPr="0030055C" w:rsidRDefault="006B7EBE" w:rsidP="0030055C">
      <w:pPr>
        <w:pStyle w:val="ListParagraph"/>
        <w:numPr>
          <w:ilvl w:val="0"/>
          <w:numId w:val="5"/>
        </w:numPr>
        <w:tabs>
          <w:tab w:val="clear" w:pos="567"/>
        </w:tabs>
        <w:spacing w:after="120" w:line="360" w:lineRule="auto"/>
        <w:ind w:left="0" w:firstLine="0"/>
        <w:jc w:val="both"/>
        <w:rPr>
          <w:color w:val="000000"/>
        </w:rPr>
      </w:pPr>
      <w:r>
        <w:rPr>
          <w:color w:val="000000"/>
        </w:rPr>
        <w:t xml:space="preserve">In the final analysis, and on the evidence, Eskom </w:t>
      </w:r>
      <w:r w:rsidR="0043578F" w:rsidRPr="006B7EBE">
        <w:rPr>
          <w:color w:val="000000"/>
        </w:rPr>
        <w:t>was satisfied that the risks were sufficiently mitigated and that the bidders had the capacity to perform a contract to the value of R200 million.</w:t>
      </w:r>
      <w:r>
        <w:rPr>
          <w:color w:val="000000"/>
        </w:rPr>
        <w:t xml:space="preserve"> </w:t>
      </w:r>
      <w:r w:rsidR="0043578F" w:rsidRPr="006B7EBE">
        <w:rPr>
          <w:color w:val="000000"/>
        </w:rPr>
        <w:t>Regulation 25(9)(c) does not prescribe any criteria to assess capacity at all other than that it should be assessed.</w:t>
      </w:r>
      <w:r w:rsidR="0030055C">
        <w:rPr>
          <w:color w:val="000000"/>
        </w:rPr>
        <w:t xml:space="preserve"> </w:t>
      </w:r>
      <w:r w:rsidR="0030055C" w:rsidRPr="0030055C">
        <w:rPr>
          <w:color w:val="000000"/>
        </w:rPr>
        <w:t xml:space="preserve">In my view, </w:t>
      </w:r>
      <w:r w:rsidR="0043578F" w:rsidRPr="0030055C">
        <w:rPr>
          <w:color w:val="000000"/>
        </w:rPr>
        <w:t>Eskom has complied with CIDB Regulation 25(9)(c) as well as the PPPFA and its Regulations read together with its SCM policies and conditions of tender. There is thus no justification to review and set aside the award of the tender and the contracts on this ground.</w:t>
      </w:r>
    </w:p>
    <w:p w14:paraId="3649F0A6" w14:textId="6D32727F" w:rsidR="00C42C21" w:rsidRDefault="0030055C" w:rsidP="0030055C">
      <w:pPr>
        <w:pStyle w:val="ListParagraph"/>
        <w:numPr>
          <w:ilvl w:val="0"/>
          <w:numId w:val="5"/>
        </w:numPr>
        <w:tabs>
          <w:tab w:val="clear" w:pos="567"/>
        </w:tabs>
        <w:spacing w:after="120" w:line="360" w:lineRule="auto"/>
        <w:ind w:left="0" w:firstLine="0"/>
        <w:jc w:val="both"/>
        <w:rPr>
          <w:color w:val="000000"/>
        </w:rPr>
      </w:pPr>
      <w:r>
        <w:rPr>
          <w:color w:val="000000"/>
        </w:rPr>
        <w:t>Another one of the complaints by the a</w:t>
      </w:r>
      <w:r w:rsidR="0043578F" w:rsidRPr="00EC2AF3">
        <w:rPr>
          <w:color w:val="000000"/>
        </w:rPr>
        <w:t>pplicants</w:t>
      </w:r>
      <w:r>
        <w:rPr>
          <w:color w:val="000000"/>
        </w:rPr>
        <w:t xml:space="preserve"> is in relation to </w:t>
      </w:r>
      <w:r w:rsidR="0043578F" w:rsidRPr="00EC2AF3">
        <w:rPr>
          <w:color w:val="000000"/>
        </w:rPr>
        <w:t xml:space="preserve">CIDB Regulation 25(1)(B) is that Eskom never intended to apply it to the tender and that its reliance on Regulation 25(1)(B) is </w:t>
      </w:r>
      <w:r w:rsidR="0043578F" w:rsidRPr="0030055C">
        <w:rPr>
          <w:i/>
          <w:color w:val="000000"/>
        </w:rPr>
        <w:t>ex post facto</w:t>
      </w:r>
      <w:r w:rsidR="0043578F" w:rsidRPr="00EC2AF3">
        <w:rPr>
          <w:color w:val="000000"/>
        </w:rPr>
        <w:t xml:space="preserve"> and opportunistic and not reflected in the </w:t>
      </w:r>
      <w:r>
        <w:rPr>
          <w:color w:val="000000"/>
        </w:rPr>
        <w:t xml:space="preserve">ITT. Eskom’s </w:t>
      </w:r>
      <w:r w:rsidR="00C42C21">
        <w:rPr>
          <w:color w:val="000000"/>
        </w:rPr>
        <w:t>riposte is that, on a proper interpretation, the ITT did make r</w:t>
      </w:r>
      <w:r w:rsidR="0043578F" w:rsidRPr="0030055C">
        <w:rPr>
          <w:color w:val="000000"/>
        </w:rPr>
        <w:t xml:space="preserve">egulation 25(1B) applicable. </w:t>
      </w:r>
    </w:p>
    <w:p w14:paraId="5DBFA678" w14:textId="7B7A0CBA" w:rsidR="0043578F" w:rsidRPr="00C42C21" w:rsidRDefault="00C42C21" w:rsidP="00C42C21">
      <w:pPr>
        <w:pStyle w:val="ListParagraph"/>
        <w:numPr>
          <w:ilvl w:val="0"/>
          <w:numId w:val="5"/>
        </w:numPr>
        <w:tabs>
          <w:tab w:val="clear" w:pos="567"/>
        </w:tabs>
        <w:spacing w:after="120" w:line="360" w:lineRule="auto"/>
        <w:ind w:left="0" w:firstLine="0"/>
        <w:jc w:val="both"/>
        <w:rPr>
          <w:color w:val="000000"/>
        </w:rPr>
      </w:pPr>
      <w:r>
        <w:rPr>
          <w:color w:val="000000"/>
        </w:rPr>
        <w:t>In that regard, t</w:t>
      </w:r>
      <w:r w:rsidR="0043578F" w:rsidRPr="00EC2AF3">
        <w:rPr>
          <w:color w:val="000000"/>
        </w:rPr>
        <w:t xml:space="preserve">he </w:t>
      </w:r>
      <w:r>
        <w:rPr>
          <w:color w:val="000000"/>
        </w:rPr>
        <w:t xml:space="preserve">ITT </w:t>
      </w:r>
      <w:r w:rsidR="0043578F" w:rsidRPr="00EC2AF3">
        <w:rPr>
          <w:color w:val="000000"/>
        </w:rPr>
        <w:t xml:space="preserve">expressly </w:t>
      </w:r>
      <w:r>
        <w:rPr>
          <w:color w:val="000000"/>
        </w:rPr>
        <w:t>provided</w:t>
      </w:r>
      <w:r w:rsidR="0043578F" w:rsidRPr="00EC2AF3">
        <w:rPr>
          <w:color w:val="000000"/>
        </w:rPr>
        <w:t xml:space="preserve"> that the CIDB requirements are applicable and intentionally invited contractors with a CIDB grading of 8 SL or high</w:t>
      </w:r>
      <w:r w:rsidR="0043578F">
        <w:rPr>
          <w:color w:val="000000"/>
        </w:rPr>
        <w:t>er to submit their proposals.</w:t>
      </w:r>
      <w:r>
        <w:rPr>
          <w:color w:val="000000"/>
        </w:rPr>
        <w:t xml:space="preserve"> </w:t>
      </w:r>
      <w:r w:rsidR="0043578F" w:rsidRPr="00C42C21">
        <w:rPr>
          <w:color w:val="000000"/>
        </w:rPr>
        <w:t xml:space="preserve">The inclusion of Grade 8 SL tenderers in the </w:t>
      </w:r>
      <w:r>
        <w:rPr>
          <w:color w:val="000000"/>
        </w:rPr>
        <w:t xml:space="preserve">ITT </w:t>
      </w:r>
      <w:r w:rsidR="0043578F" w:rsidRPr="00C42C21">
        <w:rPr>
          <w:color w:val="000000"/>
        </w:rPr>
        <w:t>was indicative of Eskom’s intention and clear understanding that the nature of the work falls within the ambit of CIDB Regulation 25(1B) and that it would be able to apply it.</w:t>
      </w:r>
      <w:r>
        <w:rPr>
          <w:color w:val="000000"/>
        </w:rPr>
        <w:t xml:space="preserve"> Eskom clearly </w:t>
      </w:r>
      <w:r w:rsidR="0043578F" w:rsidRPr="00C42C21">
        <w:rPr>
          <w:color w:val="000000"/>
        </w:rPr>
        <w:t xml:space="preserve">was </w:t>
      </w:r>
      <w:r>
        <w:rPr>
          <w:color w:val="000000"/>
        </w:rPr>
        <w:t xml:space="preserve">aware </w:t>
      </w:r>
      <w:r w:rsidR="0043578F" w:rsidRPr="00C42C21">
        <w:rPr>
          <w:color w:val="000000"/>
        </w:rPr>
        <w:t>of the statutory requirement that tenders exceeding R200 million could only be performed by bidders with a grading of 9SL.</w:t>
      </w:r>
    </w:p>
    <w:p w14:paraId="4B56C2B4" w14:textId="5DF0B370" w:rsidR="0043578F" w:rsidRPr="0039611A" w:rsidRDefault="0039611A" w:rsidP="0039611A">
      <w:pPr>
        <w:pStyle w:val="ListParagraph"/>
        <w:numPr>
          <w:ilvl w:val="0"/>
          <w:numId w:val="5"/>
        </w:numPr>
        <w:tabs>
          <w:tab w:val="clear" w:pos="567"/>
        </w:tabs>
        <w:spacing w:after="120" w:line="360" w:lineRule="auto"/>
        <w:ind w:left="0" w:firstLine="0"/>
        <w:jc w:val="both"/>
        <w:rPr>
          <w:color w:val="000000"/>
        </w:rPr>
      </w:pPr>
      <w:r>
        <w:rPr>
          <w:color w:val="000000"/>
        </w:rPr>
        <w:t>Having regard to these considerations</w:t>
      </w:r>
      <w:r w:rsidR="0043578F" w:rsidRPr="00EC2AF3">
        <w:rPr>
          <w:color w:val="000000"/>
        </w:rPr>
        <w:t xml:space="preserve">, </w:t>
      </w:r>
      <w:r>
        <w:rPr>
          <w:color w:val="000000"/>
        </w:rPr>
        <w:t xml:space="preserve">Eskom submits that </w:t>
      </w:r>
      <w:r w:rsidR="0043578F" w:rsidRPr="0039611A">
        <w:rPr>
          <w:color w:val="000000"/>
        </w:rPr>
        <w:t xml:space="preserve">the terms of the </w:t>
      </w:r>
      <w:r>
        <w:rPr>
          <w:color w:val="000000"/>
        </w:rPr>
        <w:t xml:space="preserve">ITT </w:t>
      </w:r>
      <w:r w:rsidR="0043578F" w:rsidRPr="0039611A">
        <w:rPr>
          <w:color w:val="000000"/>
        </w:rPr>
        <w:t>were clear to every reasonable tenderer that Eskom intended to evaluate and award the contracts to contractors with CIDB contractor grading of 8 SL or higher or apply Regulations 25(1B). It would be wholly unreasonable to read Regulation 25(1) in isolation.</w:t>
      </w:r>
    </w:p>
    <w:p w14:paraId="478B1935" w14:textId="77777777" w:rsidR="0039611A" w:rsidRDefault="0039611A" w:rsidP="0039611A">
      <w:pPr>
        <w:pStyle w:val="ListParagraph"/>
        <w:numPr>
          <w:ilvl w:val="0"/>
          <w:numId w:val="5"/>
        </w:numPr>
        <w:tabs>
          <w:tab w:val="clear" w:pos="567"/>
        </w:tabs>
        <w:spacing w:after="120" w:line="360" w:lineRule="auto"/>
        <w:ind w:left="0" w:firstLine="0"/>
        <w:jc w:val="both"/>
        <w:rPr>
          <w:color w:val="000000"/>
        </w:rPr>
      </w:pPr>
      <w:r>
        <w:rPr>
          <w:color w:val="000000"/>
        </w:rPr>
        <w:t>I find myself in agreement with this submission. Moreover</w:t>
      </w:r>
      <w:r w:rsidR="0043578F" w:rsidRPr="00EC2AF3">
        <w:rPr>
          <w:color w:val="000000"/>
        </w:rPr>
        <w:t xml:space="preserve">, </w:t>
      </w:r>
      <w:r w:rsidR="0043578F" w:rsidRPr="0039611A">
        <w:rPr>
          <w:color w:val="000000"/>
        </w:rPr>
        <w:t xml:space="preserve">it was all along part of </w:t>
      </w:r>
      <w:r>
        <w:rPr>
          <w:color w:val="000000"/>
        </w:rPr>
        <w:t>Eskom’s</w:t>
      </w:r>
      <w:r w:rsidR="0043578F" w:rsidRPr="0039611A">
        <w:rPr>
          <w:color w:val="000000"/>
        </w:rPr>
        <w:t xml:space="preserve"> procurement strategy</w:t>
      </w:r>
      <w:r>
        <w:rPr>
          <w:color w:val="000000"/>
        </w:rPr>
        <w:t>,</w:t>
      </w:r>
      <w:r w:rsidR="0043578F" w:rsidRPr="0039611A">
        <w:rPr>
          <w:color w:val="000000"/>
        </w:rPr>
        <w:t xml:space="preserve"> approved by its Investment Finance Committee</w:t>
      </w:r>
      <w:r>
        <w:rPr>
          <w:color w:val="000000"/>
        </w:rPr>
        <w:t xml:space="preserve">, </w:t>
      </w:r>
      <w:r w:rsidR="0043578F" w:rsidRPr="0039611A">
        <w:rPr>
          <w:color w:val="000000"/>
        </w:rPr>
        <w:t>that Eskom intentionally included contractors with CIDB grade 8 SL in the tender scope in an effort to achieve cost-effectiveness.</w:t>
      </w:r>
      <w:r>
        <w:rPr>
          <w:color w:val="000000"/>
        </w:rPr>
        <w:t xml:space="preserve"> </w:t>
      </w:r>
      <w:r w:rsidR="0043578F" w:rsidRPr="0039611A">
        <w:rPr>
          <w:color w:val="000000"/>
        </w:rPr>
        <w:t xml:space="preserve">There is accordingly </w:t>
      </w:r>
      <w:r w:rsidR="0043578F" w:rsidRPr="0039611A">
        <w:rPr>
          <w:color w:val="000000"/>
        </w:rPr>
        <w:lastRenderedPageBreak/>
        <w:t xml:space="preserve">no basis upon which to conclude that Eskom failed to comply with the provisions of Regulation 25(1B). </w:t>
      </w:r>
    </w:p>
    <w:p w14:paraId="032C431D" w14:textId="77777777" w:rsidR="00150DE9" w:rsidRDefault="0039611A" w:rsidP="0043578F">
      <w:pPr>
        <w:pStyle w:val="ListParagraph"/>
        <w:numPr>
          <w:ilvl w:val="0"/>
          <w:numId w:val="5"/>
        </w:numPr>
        <w:tabs>
          <w:tab w:val="clear" w:pos="567"/>
        </w:tabs>
        <w:spacing w:after="120" w:line="360" w:lineRule="auto"/>
        <w:ind w:left="0" w:firstLine="0"/>
        <w:jc w:val="both"/>
        <w:rPr>
          <w:color w:val="000000"/>
        </w:rPr>
      </w:pPr>
      <w:r>
        <w:rPr>
          <w:color w:val="000000"/>
        </w:rPr>
        <w:t xml:space="preserve">I therefore conclude that </w:t>
      </w:r>
      <w:r w:rsidR="00150DE9">
        <w:rPr>
          <w:color w:val="000000"/>
        </w:rPr>
        <w:t>Eskom was entitled to rely on r</w:t>
      </w:r>
      <w:r w:rsidR="0043578F" w:rsidRPr="00EC2AF3">
        <w:rPr>
          <w:color w:val="000000"/>
        </w:rPr>
        <w:t xml:space="preserve">egulation 25(1B). It did not act </w:t>
      </w:r>
      <w:r w:rsidR="0043578F" w:rsidRPr="00150DE9">
        <w:rPr>
          <w:i/>
          <w:color w:val="000000"/>
        </w:rPr>
        <w:t>ultra vires</w:t>
      </w:r>
      <w:r w:rsidR="0043578F" w:rsidRPr="00EC2AF3">
        <w:rPr>
          <w:color w:val="000000"/>
        </w:rPr>
        <w:t xml:space="preserve"> its powers, and did not commit a material irregularity. It is in the first instance for Eskom to determine whether the services it requires are routine in nature and rendered on an as and when required basis. When it acts rationally in that determination, its decision cannot be set aside on review.</w:t>
      </w:r>
    </w:p>
    <w:p w14:paraId="763C9E1E" w14:textId="6AC0368D" w:rsidR="00F8563E" w:rsidRDefault="00F8563E" w:rsidP="00F8563E">
      <w:pPr>
        <w:pStyle w:val="ListParagraph"/>
        <w:numPr>
          <w:ilvl w:val="0"/>
          <w:numId w:val="5"/>
        </w:numPr>
        <w:tabs>
          <w:tab w:val="clear" w:pos="567"/>
        </w:tabs>
        <w:spacing w:after="120" w:line="360" w:lineRule="auto"/>
        <w:ind w:left="0" w:firstLine="0"/>
        <w:jc w:val="both"/>
        <w:rPr>
          <w:color w:val="000000"/>
        </w:rPr>
      </w:pPr>
      <w:r>
        <w:rPr>
          <w:color w:val="000000"/>
        </w:rPr>
        <w:t xml:space="preserve">The third ground on which the review application is based is that the ITT was invalid. </w:t>
      </w:r>
      <w:r w:rsidR="00EC2AF3" w:rsidRPr="00F8563E">
        <w:rPr>
          <w:color w:val="000000"/>
        </w:rPr>
        <w:t>Eskom contends that TMS and SGB</w:t>
      </w:r>
      <w:r w:rsidR="00A662CA">
        <w:rPr>
          <w:color w:val="000000"/>
        </w:rPr>
        <w:t>-Cape</w:t>
      </w:r>
      <w:r w:rsidR="00EC2AF3" w:rsidRPr="00F8563E">
        <w:rPr>
          <w:color w:val="000000"/>
        </w:rPr>
        <w:t xml:space="preserve"> are precluded from challenging the criteria set out in the </w:t>
      </w:r>
      <w:r>
        <w:rPr>
          <w:color w:val="000000"/>
        </w:rPr>
        <w:t xml:space="preserve">ITT, </w:t>
      </w:r>
      <w:r w:rsidR="00EC2AF3" w:rsidRPr="00F8563E">
        <w:rPr>
          <w:color w:val="000000"/>
        </w:rPr>
        <w:t>which they failed to challenge before they submitted themselves to the Tender which on their own version th</w:t>
      </w:r>
      <w:r w:rsidR="003E57DB" w:rsidRPr="00F8563E">
        <w:rPr>
          <w:color w:val="000000"/>
        </w:rPr>
        <w:t xml:space="preserve">ey were aware was irregular. </w:t>
      </w:r>
    </w:p>
    <w:p w14:paraId="6B02C510" w14:textId="77777777" w:rsidR="004D33B8" w:rsidRDefault="00F8563E" w:rsidP="004D33B8">
      <w:pPr>
        <w:pStyle w:val="ListParagraph"/>
        <w:numPr>
          <w:ilvl w:val="0"/>
          <w:numId w:val="5"/>
        </w:numPr>
        <w:tabs>
          <w:tab w:val="clear" w:pos="567"/>
        </w:tabs>
        <w:spacing w:after="120" w:line="360" w:lineRule="auto"/>
        <w:ind w:left="0" w:firstLine="0"/>
        <w:jc w:val="both"/>
        <w:rPr>
          <w:color w:val="000000"/>
        </w:rPr>
      </w:pPr>
      <w:r>
        <w:rPr>
          <w:color w:val="000000"/>
        </w:rPr>
        <w:t>As contended on behalf of Eskom, u</w:t>
      </w:r>
      <w:r w:rsidR="00EC2AF3" w:rsidRPr="00EC2AF3">
        <w:rPr>
          <w:color w:val="000000"/>
        </w:rPr>
        <w:t xml:space="preserve">pon its publication, the </w:t>
      </w:r>
      <w:r>
        <w:rPr>
          <w:color w:val="000000"/>
        </w:rPr>
        <w:t>ITT</w:t>
      </w:r>
      <w:r w:rsidR="00EC2AF3" w:rsidRPr="00EC2AF3">
        <w:rPr>
          <w:color w:val="000000"/>
        </w:rPr>
        <w:t xml:space="preserve"> was ripe for challenge under</w:t>
      </w:r>
      <w:r w:rsidR="004C56B7">
        <w:rPr>
          <w:color w:val="000000"/>
        </w:rPr>
        <w:t xml:space="preserve"> </w:t>
      </w:r>
      <w:r w:rsidR="00EC2AF3" w:rsidRPr="004C56B7">
        <w:rPr>
          <w:color w:val="000000"/>
        </w:rPr>
        <w:t xml:space="preserve">PAJA. The Invitation to Tender was published in October 2020. Not only did TMS submit its tender in terms of the Invitation to Tender without demur, it would have kept the results of that tender had it been successful. Now that it was unsuccessful it wishes to challenge the </w:t>
      </w:r>
      <w:r w:rsidR="004D33B8">
        <w:rPr>
          <w:color w:val="000000"/>
        </w:rPr>
        <w:t>ITT</w:t>
      </w:r>
      <w:r w:rsidR="00EC2AF3" w:rsidRPr="004C56B7">
        <w:rPr>
          <w:color w:val="000000"/>
        </w:rPr>
        <w:t>. It is precluded</w:t>
      </w:r>
      <w:r w:rsidR="004C56B7">
        <w:rPr>
          <w:color w:val="000000"/>
        </w:rPr>
        <w:t xml:space="preserve"> </w:t>
      </w:r>
      <w:r w:rsidR="00EC2AF3" w:rsidRPr="004C56B7">
        <w:rPr>
          <w:color w:val="000000"/>
        </w:rPr>
        <w:t xml:space="preserve">from doing so. In any event, its challenge to the </w:t>
      </w:r>
      <w:r w:rsidR="004D33B8">
        <w:rPr>
          <w:color w:val="000000"/>
        </w:rPr>
        <w:t>ITT</w:t>
      </w:r>
      <w:r w:rsidR="00EC2AF3" w:rsidRPr="004C56B7">
        <w:rPr>
          <w:color w:val="000000"/>
        </w:rPr>
        <w:t xml:space="preserve"> is out of time under section 7(1) of PAJA and no application is brought under section 9(1) of PAJA for the extension of the </w:t>
      </w:r>
      <w:r w:rsidR="004D33B8" w:rsidRPr="004C56B7">
        <w:rPr>
          <w:color w:val="000000"/>
        </w:rPr>
        <w:t>180</w:t>
      </w:r>
      <w:r w:rsidR="004D33B8">
        <w:rPr>
          <w:color w:val="000000"/>
        </w:rPr>
        <w:t>-day</w:t>
      </w:r>
      <w:r w:rsidR="00EC2AF3" w:rsidRPr="004C56B7">
        <w:rPr>
          <w:color w:val="000000"/>
        </w:rPr>
        <w:t xml:space="preserve"> time period. The law is clear that a formal application i</w:t>
      </w:r>
      <w:r w:rsidR="004D33B8">
        <w:rPr>
          <w:color w:val="000000"/>
        </w:rPr>
        <w:t>s required for the extension. And a</w:t>
      </w:r>
      <w:r w:rsidR="00EC2AF3" w:rsidRPr="004D33B8">
        <w:rPr>
          <w:color w:val="000000"/>
        </w:rPr>
        <w:t xml:space="preserve">bsent an extension, the lawfulness of the </w:t>
      </w:r>
      <w:r w:rsidR="004D33B8">
        <w:rPr>
          <w:color w:val="000000"/>
        </w:rPr>
        <w:t xml:space="preserve">ITT </w:t>
      </w:r>
      <w:r w:rsidR="00EC2AF3" w:rsidRPr="004D33B8">
        <w:rPr>
          <w:color w:val="000000"/>
        </w:rPr>
        <w:t xml:space="preserve">no longer matters. </w:t>
      </w:r>
    </w:p>
    <w:p w14:paraId="0E02D3E5" w14:textId="48548F08" w:rsidR="00EC2AF3" w:rsidRPr="004D33B8" w:rsidRDefault="004D33B8" w:rsidP="004D33B8">
      <w:pPr>
        <w:pStyle w:val="ListParagraph"/>
        <w:numPr>
          <w:ilvl w:val="0"/>
          <w:numId w:val="5"/>
        </w:numPr>
        <w:tabs>
          <w:tab w:val="clear" w:pos="567"/>
        </w:tabs>
        <w:spacing w:after="120" w:line="360" w:lineRule="auto"/>
        <w:ind w:left="0" w:firstLine="0"/>
        <w:jc w:val="both"/>
        <w:rPr>
          <w:color w:val="000000"/>
        </w:rPr>
      </w:pPr>
      <w:r>
        <w:rPr>
          <w:color w:val="000000"/>
        </w:rPr>
        <w:t xml:space="preserve">I find myself in agreement with these submissions. </w:t>
      </w:r>
      <w:r w:rsidR="00EC2AF3" w:rsidRPr="004D33B8">
        <w:rPr>
          <w:color w:val="000000"/>
        </w:rPr>
        <w:t xml:space="preserve">The review must be decided on the basis of the </w:t>
      </w:r>
      <w:r>
        <w:rPr>
          <w:color w:val="000000"/>
        </w:rPr>
        <w:t xml:space="preserve">ITT </w:t>
      </w:r>
      <w:r w:rsidR="00EC2AF3" w:rsidRPr="004D33B8">
        <w:rPr>
          <w:color w:val="000000"/>
        </w:rPr>
        <w:t>as it stands.</w:t>
      </w:r>
      <w:r>
        <w:rPr>
          <w:color w:val="000000"/>
        </w:rPr>
        <w:t xml:space="preserve"> </w:t>
      </w:r>
      <w:r w:rsidR="00EC2AF3" w:rsidRPr="004D33B8">
        <w:rPr>
          <w:color w:val="000000"/>
        </w:rPr>
        <w:t xml:space="preserve">TMS was entitled to challenge the </w:t>
      </w:r>
      <w:r>
        <w:rPr>
          <w:color w:val="000000"/>
        </w:rPr>
        <w:t xml:space="preserve">ITT </w:t>
      </w:r>
      <w:r w:rsidR="00EC2AF3" w:rsidRPr="004D33B8">
        <w:rPr>
          <w:color w:val="000000"/>
        </w:rPr>
        <w:t xml:space="preserve">under the principle of legality. The issuing of the </w:t>
      </w:r>
      <w:r>
        <w:rPr>
          <w:color w:val="000000"/>
        </w:rPr>
        <w:t xml:space="preserve">ITT </w:t>
      </w:r>
      <w:r w:rsidR="00EC2AF3" w:rsidRPr="004D33B8">
        <w:rPr>
          <w:color w:val="000000"/>
        </w:rPr>
        <w:t>involved the exercise of public powers by Eskom. It was procuring goods and services as an organ of state under its procurement policies that are in place pursuant to section 217 of the Constitution and section 51(1)(iii) of the PFMA. These are public powers. It could have challenged the Invitation to Tender as ultra vires the powers of Eskom under these sections and the PPPFA</w:t>
      </w:r>
      <w:r w:rsidR="00CA7E33" w:rsidRPr="004D33B8">
        <w:rPr>
          <w:color w:val="000000"/>
        </w:rPr>
        <w:t xml:space="preserve"> </w:t>
      </w:r>
      <w:r w:rsidR="00EC2AF3" w:rsidRPr="004D33B8">
        <w:rPr>
          <w:color w:val="000000"/>
        </w:rPr>
        <w:t>or as irrational. The irrationality ground is precisely what it raises in this application.</w:t>
      </w:r>
    </w:p>
    <w:p w14:paraId="778F110A" w14:textId="77777777" w:rsidR="004D33B8" w:rsidRDefault="004D33B8" w:rsidP="00EC2AF3">
      <w:pPr>
        <w:pStyle w:val="ListParagraph"/>
        <w:numPr>
          <w:ilvl w:val="0"/>
          <w:numId w:val="5"/>
        </w:numPr>
        <w:tabs>
          <w:tab w:val="clear" w:pos="567"/>
        </w:tabs>
        <w:spacing w:after="120" w:line="360" w:lineRule="auto"/>
        <w:ind w:left="0" w:firstLine="0"/>
        <w:jc w:val="both"/>
        <w:rPr>
          <w:color w:val="000000"/>
        </w:rPr>
      </w:pPr>
      <w:r>
        <w:rPr>
          <w:color w:val="000000"/>
        </w:rPr>
        <w:lastRenderedPageBreak/>
        <w:t>Accordingly, I am of the view that th</w:t>
      </w:r>
      <w:r w:rsidR="00EC2AF3" w:rsidRPr="00EC2AF3">
        <w:rPr>
          <w:color w:val="000000"/>
        </w:rPr>
        <w:t xml:space="preserve">e purported challenge to the </w:t>
      </w:r>
      <w:r>
        <w:rPr>
          <w:color w:val="000000"/>
        </w:rPr>
        <w:t xml:space="preserve">ITT is without merit and should </w:t>
      </w:r>
      <w:r w:rsidR="00EC2AF3" w:rsidRPr="00EC2AF3">
        <w:rPr>
          <w:color w:val="000000"/>
        </w:rPr>
        <w:t xml:space="preserve">be refused. It is impermissible. </w:t>
      </w:r>
    </w:p>
    <w:p w14:paraId="6367FA85" w14:textId="77B4F695" w:rsidR="00EC2AF3" w:rsidRPr="00150DE9" w:rsidRDefault="00150DE9" w:rsidP="00150DE9">
      <w:pPr>
        <w:pStyle w:val="ListParagraph"/>
        <w:numPr>
          <w:ilvl w:val="0"/>
          <w:numId w:val="5"/>
        </w:numPr>
        <w:tabs>
          <w:tab w:val="clear" w:pos="567"/>
        </w:tabs>
        <w:spacing w:after="120" w:line="360" w:lineRule="auto"/>
        <w:ind w:left="0" w:firstLine="0"/>
        <w:jc w:val="both"/>
        <w:rPr>
          <w:color w:val="000000"/>
        </w:rPr>
      </w:pPr>
      <w:r>
        <w:rPr>
          <w:color w:val="000000"/>
        </w:rPr>
        <w:t>The fourth ground of review relates to Eskom’s Cluster allocations and, in that regard, the applicants contend that this approach falls foul of the provisions of</w:t>
      </w:r>
      <w:r w:rsidR="00EC2AF3" w:rsidRPr="00150DE9">
        <w:rPr>
          <w:color w:val="000000"/>
        </w:rPr>
        <w:t xml:space="preserve"> section 2(1)(f) of the PPPFA</w:t>
      </w:r>
      <w:r>
        <w:rPr>
          <w:color w:val="000000"/>
        </w:rPr>
        <w:t>, in that it awarded</w:t>
      </w:r>
      <w:r w:rsidR="00EC2AF3" w:rsidRPr="00150DE9">
        <w:rPr>
          <w:color w:val="000000"/>
        </w:rPr>
        <w:t xml:space="preserve"> the tender to more than one bidder </w:t>
      </w:r>
      <w:r>
        <w:rPr>
          <w:color w:val="000000"/>
        </w:rPr>
        <w:t xml:space="preserve">and </w:t>
      </w:r>
      <w:r w:rsidR="00EC2AF3" w:rsidRPr="00150DE9">
        <w:rPr>
          <w:color w:val="000000"/>
        </w:rPr>
        <w:t>in that it awarded clusters 1 and 7 to Kaefer</w:t>
      </w:r>
      <w:r>
        <w:rPr>
          <w:color w:val="000000"/>
        </w:rPr>
        <w:t>,</w:t>
      </w:r>
      <w:r w:rsidR="00EC2AF3" w:rsidRPr="00150DE9">
        <w:rPr>
          <w:color w:val="000000"/>
        </w:rPr>
        <w:t xml:space="preserve"> which was the highest scoring bidder</w:t>
      </w:r>
      <w:r>
        <w:rPr>
          <w:color w:val="000000"/>
        </w:rPr>
        <w:t>,</w:t>
      </w:r>
      <w:r w:rsidR="00EC2AF3" w:rsidRPr="00150DE9">
        <w:rPr>
          <w:color w:val="000000"/>
        </w:rPr>
        <w:t xml:space="preserve"> and awarded the remaining clusters to bidders who did not score the highest points in the remaining clusters. </w:t>
      </w:r>
      <w:r>
        <w:rPr>
          <w:color w:val="000000"/>
        </w:rPr>
        <w:t>T</w:t>
      </w:r>
      <w:r w:rsidR="00EC2AF3" w:rsidRPr="00150DE9">
        <w:rPr>
          <w:color w:val="000000"/>
        </w:rPr>
        <w:t>hus</w:t>
      </w:r>
      <w:r>
        <w:rPr>
          <w:color w:val="000000"/>
        </w:rPr>
        <w:t>, so the applicants contend,</w:t>
      </w:r>
      <w:r w:rsidR="00EC2AF3" w:rsidRPr="00150DE9">
        <w:rPr>
          <w:color w:val="000000"/>
        </w:rPr>
        <w:t xml:space="preserve"> Eskom’s cluster allocation contravenes section 2(1)(f) and there is no obje</w:t>
      </w:r>
      <w:r>
        <w:rPr>
          <w:color w:val="000000"/>
        </w:rPr>
        <w:t>ctive criteria to justify it.</w:t>
      </w:r>
    </w:p>
    <w:p w14:paraId="2702B522" w14:textId="412368A9" w:rsidR="00EC2AF3" w:rsidRPr="00EC2AF3" w:rsidRDefault="00150DE9" w:rsidP="00EC2AF3">
      <w:pPr>
        <w:pStyle w:val="ListParagraph"/>
        <w:numPr>
          <w:ilvl w:val="0"/>
          <w:numId w:val="5"/>
        </w:numPr>
        <w:tabs>
          <w:tab w:val="clear" w:pos="567"/>
        </w:tabs>
        <w:spacing w:after="120" w:line="360" w:lineRule="auto"/>
        <w:ind w:left="0" w:firstLine="0"/>
        <w:jc w:val="both"/>
        <w:rPr>
          <w:color w:val="000000"/>
        </w:rPr>
      </w:pPr>
      <w:r>
        <w:rPr>
          <w:color w:val="000000"/>
        </w:rPr>
        <w:t>Eskom’s c</w:t>
      </w:r>
      <w:r w:rsidR="00EC2AF3" w:rsidRPr="00EC2AF3">
        <w:rPr>
          <w:color w:val="000000"/>
        </w:rPr>
        <w:t>luster model was in line with its SCM policy which also envisages instances where a single project may result in multiple contracts. As Eskom has explained, the rational was to achieve a result that woul</w:t>
      </w:r>
      <w:r>
        <w:rPr>
          <w:color w:val="000000"/>
        </w:rPr>
        <w:t>d be cost effective to Eskom.</w:t>
      </w:r>
    </w:p>
    <w:p w14:paraId="1170E673" w14:textId="77777777" w:rsidR="000C4416" w:rsidRDefault="00EC2AF3" w:rsidP="000C4416">
      <w:pPr>
        <w:pStyle w:val="ListParagraph"/>
        <w:numPr>
          <w:ilvl w:val="0"/>
          <w:numId w:val="5"/>
        </w:numPr>
        <w:tabs>
          <w:tab w:val="clear" w:pos="567"/>
        </w:tabs>
        <w:spacing w:after="120" w:line="360" w:lineRule="auto"/>
        <w:ind w:left="0" w:firstLine="0"/>
        <w:jc w:val="both"/>
        <w:rPr>
          <w:color w:val="000000"/>
        </w:rPr>
      </w:pPr>
      <w:r w:rsidRPr="00EC2AF3">
        <w:rPr>
          <w:color w:val="000000"/>
        </w:rPr>
        <w:t xml:space="preserve">As was held in </w:t>
      </w:r>
      <w:r w:rsidRPr="00150DE9">
        <w:rPr>
          <w:i/>
          <w:color w:val="000000"/>
        </w:rPr>
        <w:t>South African Container</w:t>
      </w:r>
      <w:r w:rsidRPr="00EC2AF3">
        <w:rPr>
          <w:color w:val="000000"/>
        </w:rPr>
        <w:t>, it is totally acceptable for Eskom to award the tender to more than one bidder and conclude multiple contracts in line with its allocation strategy and its SCM policies. This method of awarding tenders does not contravene section 2(1)(f) of the PPPFA.</w:t>
      </w:r>
      <w:r w:rsidR="000C4416">
        <w:rPr>
          <w:color w:val="000000"/>
        </w:rPr>
        <w:t xml:space="preserve"> The point is simply that t</w:t>
      </w:r>
      <w:r w:rsidRPr="000C4416">
        <w:rPr>
          <w:color w:val="000000"/>
        </w:rPr>
        <w:t>he cluster allocation ensured that at every stage, following the elimination of the highest scoring bidder, the next highest scoring bidder in a</w:t>
      </w:r>
      <w:r w:rsidR="00E97B42" w:rsidRPr="000C4416">
        <w:rPr>
          <w:color w:val="000000"/>
        </w:rPr>
        <w:t xml:space="preserve"> cluster would be allocated. </w:t>
      </w:r>
    </w:p>
    <w:p w14:paraId="244ACDE9" w14:textId="4D3580E6" w:rsidR="00EC2AF3" w:rsidRPr="000C4416" w:rsidRDefault="000C4416" w:rsidP="00EC2AF3">
      <w:pPr>
        <w:pStyle w:val="ListParagraph"/>
        <w:numPr>
          <w:ilvl w:val="0"/>
          <w:numId w:val="5"/>
        </w:numPr>
        <w:tabs>
          <w:tab w:val="clear" w:pos="567"/>
        </w:tabs>
        <w:spacing w:after="120" w:line="360" w:lineRule="auto"/>
        <w:ind w:left="0" w:firstLine="0"/>
        <w:jc w:val="both"/>
        <w:rPr>
          <w:color w:val="000000"/>
        </w:rPr>
      </w:pPr>
      <w:r>
        <w:rPr>
          <w:color w:val="000000"/>
        </w:rPr>
        <w:t xml:space="preserve">I am therefore of the view that </w:t>
      </w:r>
      <w:r w:rsidR="00EC2AF3" w:rsidRPr="000C4416">
        <w:rPr>
          <w:color w:val="000000"/>
        </w:rPr>
        <w:t>the cluster allocation does not contravene section 2(1)(f) of the PPPFA and meets the objective of cost-effectiveness in section 217(1) of the Constitution. The objective of cost-effectiveness is what informs the default position in section 2(1)(f) of the PPPFA.</w:t>
      </w:r>
    </w:p>
    <w:p w14:paraId="17E7ED7A" w14:textId="77777777" w:rsidR="000C4416" w:rsidRDefault="00EC2AF3" w:rsidP="00E97B42">
      <w:pPr>
        <w:pStyle w:val="ListParagraph"/>
        <w:numPr>
          <w:ilvl w:val="0"/>
          <w:numId w:val="5"/>
        </w:numPr>
        <w:tabs>
          <w:tab w:val="clear" w:pos="567"/>
        </w:tabs>
        <w:spacing w:after="120" w:line="360" w:lineRule="auto"/>
        <w:ind w:left="0" w:firstLine="0"/>
        <w:jc w:val="both"/>
        <w:rPr>
          <w:color w:val="000000"/>
        </w:rPr>
      </w:pPr>
      <w:r w:rsidRPr="00EC2AF3">
        <w:rPr>
          <w:color w:val="000000"/>
        </w:rPr>
        <w:t>For the same reasons, the cluster allocation strategy does not contravene section 217 of the Constitution.</w:t>
      </w:r>
      <w:r w:rsidR="00E97B42">
        <w:rPr>
          <w:color w:val="000000"/>
        </w:rPr>
        <w:t xml:space="preserve"> </w:t>
      </w:r>
      <w:r w:rsidRPr="00E97B42">
        <w:rPr>
          <w:color w:val="000000"/>
        </w:rPr>
        <w:t xml:space="preserve">In any event, the lawfulness of the cluster allocation strategy, set out in the </w:t>
      </w:r>
      <w:r w:rsidR="000C4416">
        <w:rPr>
          <w:color w:val="000000"/>
        </w:rPr>
        <w:t xml:space="preserve">ITT, is irrelevant at this stage. </w:t>
      </w:r>
    </w:p>
    <w:p w14:paraId="2D814DE4" w14:textId="603C256E" w:rsidR="00EC2AF3" w:rsidRPr="009629DF" w:rsidRDefault="000C4416" w:rsidP="009629DF">
      <w:pPr>
        <w:pStyle w:val="ListParagraph"/>
        <w:numPr>
          <w:ilvl w:val="0"/>
          <w:numId w:val="5"/>
        </w:numPr>
        <w:tabs>
          <w:tab w:val="clear" w:pos="567"/>
        </w:tabs>
        <w:spacing w:after="120" w:line="360" w:lineRule="auto"/>
        <w:ind w:left="0" w:firstLine="0"/>
        <w:jc w:val="both"/>
        <w:rPr>
          <w:color w:val="000000"/>
        </w:rPr>
      </w:pPr>
      <w:r>
        <w:rPr>
          <w:color w:val="000000"/>
        </w:rPr>
        <w:t xml:space="preserve">The fifth ground of review relates to the validity of the PPPFA Regulations and the fact that </w:t>
      </w:r>
      <w:r w:rsidR="00EC2AF3" w:rsidRPr="000C4416">
        <w:rPr>
          <w:color w:val="000000"/>
        </w:rPr>
        <w:t xml:space="preserve">Eskom’s Procurement Strategy and </w:t>
      </w:r>
      <w:r>
        <w:rPr>
          <w:color w:val="000000"/>
        </w:rPr>
        <w:t xml:space="preserve">ITT </w:t>
      </w:r>
      <w:r w:rsidR="00EC2AF3" w:rsidRPr="000C4416">
        <w:rPr>
          <w:color w:val="000000"/>
        </w:rPr>
        <w:t xml:space="preserve">expressly provided that bidders would be evaluated for compliance with prequalification criteria set out in </w:t>
      </w:r>
      <w:r w:rsidR="00EC2AF3" w:rsidRPr="000C4416">
        <w:rPr>
          <w:color w:val="000000"/>
        </w:rPr>
        <w:lastRenderedPageBreak/>
        <w:t xml:space="preserve">Regulation 4(1) and (2) of the 2017 </w:t>
      </w:r>
      <w:r w:rsidR="009629DF">
        <w:rPr>
          <w:color w:val="000000"/>
        </w:rPr>
        <w:t>Public Procurement</w:t>
      </w:r>
      <w:r w:rsidR="00EC2AF3" w:rsidRPr="000C4416">
        <w:rPr>
          <w:color w:val="000000"/>
        </w:rPr>
        <w:t xml:space="preserve"> Regulations</w:t>
      </w:r>
      <w:r w:rsidR="009629DF">
        <w:rPr>
          <w:color w:val="000000"/>
        </w:rPr>
        <w:t xml:space="preserve">, which regulations the </w:t>
      </w:r>
      <w:r w:rsidR="00EC2AF3" w:rsidRPr="009629DF">
        <w:rPr>
          <w:color w:val="000000"/>
        </w:rPr>
        <w:t xml:space="preserve">SCA on 2 November 2020 declared </w:t>
      </w:r>
      <w:r w:rsidR="009629DF">
        <w:rPr>
          <w:color w:val="000000"/>
        </w:rPr>
        <w:t>to be</w:t>
      </w:r>
      <w:r w:rsidR="00EC2AF3" w:rsidRPr="009629DF">
        <w:rPr>
          <w:color w:val="000000"/>
        </w:rPr>
        <w:t xml:space="preserve"> unlawful. </w:t>
      </w:r>
      <w:r w:rsidR="009629DF">
        <w:rPr>
          <w:color w:val="000000"/>
        </w:rPr>
        <w:t>In fact, d</w:t>
      </w:r>
      <w:r w:rsidR="00EC2AF3" w:rsidRPr="009629DF">
        <w:rPr>
          <w:color w:val="000000"/>
        </w:rPr>
        <w:t>ue to the interconnectedness of the regulations</w:t>
      </w:r>
      <w:r w:rsidR="009629DF">
        <w:rPr>
          <w:color w:val="000000"/>
        </w:rPr>
        <w:t>, the SCA</w:t>
      </w:r>
      <w:r w:rsidR="00EC2AF3" w:rsidRPr="009629DF">
        <w:rPr>
          <w:color w:val="000000"/>
        </w:rPr>
        <w:t xml:space="preserve"> declared that the entire Regulations were inconsistent with</w:t>
      </w:r>
      <w:r w:rsidR="00F54F74" w:rsidRPr="009629DF">
        <w:rPr>
          <w:color w:val="000000"/>
        </w:rPr>
        <w:t xml:space="preserve"> the PPPFA and thus invalid</w:t>
      </w:r>
      <w:r w:rsidR="009629DF">
        <w:rPr>
          <w:color w:val="000000"/>
        </w:rPr>
        <w:t xml:space="preserve">, and </w:t>
      </w:r>
      <w:r w:rsidR="00EC2AF3" w:rsidRPr="009629DF">
        <w:rPr>
          <w:color w:val="000000"/>
        </w:rPr>
        <w:t xml:space="preserve">ordered that the declaration of invalidity be suspended for a period of </w:t>
      </w:r>
      <w:r w:rsidR="009629DF">
        <w:rPr>
          <w:color w:val="000000"/>
        </w:rPr>
        <w:t>twelve</w:t>
      </w:r>
      <w:r w:rsidR="00EC2AF3" w:rsidRPr="009629DF">
        <w:rPr>
          <w:color w:val="000000"/>
        </w:rPr>
        <w:t xml:space="preserve"> month</w:t>
      </w:r>
      <w:r w:rsidR="00F54F74" w:rsidRPr="009629DF">
        <w:rPr>
          <w:color w:val="000000"/>
        </w:rPr>
        <w:t>s from the date of the order.</w:t>
      </w:r>
      <w:r w:rsidR="009629DF">
        <w:rPr>
          <w:color w:val="000000"/>
        </w:rPr>
        <w:t xml:space="preserve"> </w:t>
      </w:r>
      <w:r w:rsidR="00EC2AF3" w:rsidRPr="009629DF">
        <w:rPr>
          <w:color w:val="000000"/>
        </w:rPr>
        <w:t>On appeal from the SCA, the Constitutional Court upheld th</w:t>
      </w:r>
      <w:r w:rsidR="00F54F74" w:rsidRPr="009629DF">
        <w:rPr>
          <w:color w:val="000000"/>
        </w:rPr>
        <w:t xml:space="preserve">e declaration of invalidity. </w:t>
      </w:r>
      <w:r w:rsidR="00EC2AF3" w:rsidRPr="009629DF">
        <w:rPr>
          <w:color w:val="000000"/>
        </w:rPr>
        <w:t>It handed down its order on 16 February 2022.</w:t>
      </w:r>
    </w:p>
    <w:p w14:paraId="79097574" w14:textId="2328539C" w:rsidR="00F54F74" w:rsidRPr="009629DF" w:rsidRDefault="009629DF" w:rsidP="009629DF">
      <w:pPr>
        <w:pStyle w:val="ListParagraph"/>
        <w:numPr>
          <w:ilvl w:val="0"/>
          <w:numId w:val="5"/>
        </w:numPr>
        <w:tabs>
          <w:tab w:val="clear" w:pos="567"/>
        </w:tabs>
        <w:spacing w:after="120" w:line="360" w:lineRule="auto"/>
        <w:ind w:left="0" w:firstLine="0"/>
        <w:jc w:val="both"/>
        <w:rPr>
          <w:color w:val="000000"/>
        </w:rPr>
      </w:pPr>
      <w:r>
        <w:rPr>
          <w:color w:val="000000"/>
        </w:rPr>
        <w:t>In my view, at the time relevant to this matter, the declaration of invalidity was subject to a suspension order. As correctly submitted by Mr Maenetje, i</w:t>
      </w:r>
      <w:r w:rsidR="00EC2AF3" w:rsidRPr="00EC2AF3">
        <w:rPr>
          <w:color w:val="000000"/>
        </w:rPr>
        <w:t xml:space="preserve">t would be nonsensical to read the declaration of invalidity by the SCA to operate retrospectively in the face of the order suspending </w:t>
      </w:r>
      <w:r>
        <w:rPr>
          <w:color w:val="000000"/>
        </w:rPr>
        <w:t xml:space="preserve">same. (See </w:t>
      </w:r>
      <w:r w:rsidR="00F54F74" w:rsidRPr="009629DF">
        <w:rPr>
          <w:i/>
          <w:color w:val="000000"/>
        </w:rPr>
        <w:t xml:space="preserve">Rodpaul Construction (Pty) Ltd t/a Rod’s Construction v </w:t>
      </w:r>
      <w:r w:rsidRPr="009629DF">
        <w:rPr>
          <w:i/>
          <w:color w:val="000000"/>
        </w:rPr>
        <w:t>Breede Valley Municipality and O</w:t>
      </w:r>
      <w:r w:rsidR="00F54F74" w:rsidRPr="009629DF">
        <w:rPr>
          <w:i/>
          <w:color w:val="000000"/>
        </w:rPr>
        <w:t>thers</w:t>
      </w:r>
      <w:r w:rsidR="00CF4E28">
        <w:rPr>
          <w:rStyle w:val="FootnoteReference"/>
          <w:color w:val="000000"/>
        </w:rPr>
        <w:footnoteReference w:id="4"/>
      </w:r>
      <w:r w:rsidR="00CF4E28">
        <w:rPr>
          <w:color w:val="000000"/>
        </w:rPr>
        <w:t>).</w:t>
      </w:r>
    </w:p>
    <w:p w14:paraId="5E07C39D" w14:textId="6B03196F" w:rsidR="00EC2AF3" w:rsidRPr="00EC2AF3" w:rsidRDefault="00CF4E28" w:rsidP="00EC2AF3">
      <w:pPr>
        <w:pStyle w:val="ListParagraph"/>
        <w:numPr>
          <w:ilvl w:val="0"/>
          <w:numId w:val="5"/>
        </w:numPr>
        <w:tabs>
          <w:tab w:val="clear" w:pos="567"/>
        </w:tabs>
        <w:spacing w:after="120" w:line="360" w:lineRule="auto"/>
        <w:ind w:left="0" w:firstLine="0"/>
        <w:jc w:val="both"/>
        <w:rPr>
          <w:color w:val="000000"/>
        </w:rPr>
      </w:pPr>
      <w:r>
        <w:rPr>
          <w:color w:val="000000"/>
        </w:rPr>
        <w:t>I therefore conclude that</w:t>
      </w:r>
      <w:r w:rsidR="00F54F74" w:rsidRPr="00EC2AF3">
        <w:rPr>
          <w:color w:val="000000"/>
        </w:rPr>
        <w:t>,</w:t>
      </w:r>
      <w:r w:rsidR="00EC2AF3" w:rsidRPr="00EC2AF3">
        <w:rPr>
          <w:color w:val="000000"/>
        </w:rPr>
        <w:t xml:space="preserve"> at the time of issuing the </w:t>
      </w:r>
      <w:r>
        <w:rPr>
          <w:color w:val="000000"/>
        </w:rPr>
        <w:t>ITT</w:t>
      </w:r>
      <w:r w:rsidR="00EC2AF3" w:rsidRPr="00EC2AF3">
        <w:rPr>
          <w:color w:val="000000"/>
        </w:rPr>
        <w:t>, evaluating and awarding the Tender</w:t>
      </w:r>
      <w:r>
        <w:rPr>
          <w:color w:val="000000"/>
        </w:rPr>
        <w:t>,</w:t>
      </w:r>
      <w:r w:rsidR="00EC2AF3" w:rsidRPr="00EC2AF3">
        <w:rPr>
          <w:color w:val="000000"/>
        </w:rPr>
        <w:t xml:space="preserve"> the Regulations were applicable and valid</w:t>
      </w:r>
      <w:r>
        <w:rPr>
          <w:color w:val="000000"/>
        </w:rPr>
        <w:t>, there is no merit in this ground of review</w:t>
      </w:r>
      <w:r w:rsidR="00EC2AF3" w:rsidRPr="00EC2AF3">
        <w:rPr>
          <w:color w:val="000000"/>
        </w:rPr>
        <w:t>.</w:t>
      </w:r>
    </w:p>
    <w:p w14:paraId="1303FD21" w14:textId="597EED0E" w:rsidR="00EC2AF3" w:rsidRPr="00EC2AF3" w:rsidRDefault="00CC5677" w:rsidP="00EC2AF3">
      <w:pPr>
        <w:pStyle w:val="ListParagraph"/>
        <w:numPr>
          <w:ilvl w:val="0"/>
          <w:numId w:val="5"/>
        </w:numPr>
        <w:tabs>
          <w:tab w:val="clear" w:pos="567"/>
        </w:tabs>
        <w:spacing w:after="120" w:line="360" w:lineRule="auto"/>
        <w:ind w:left="0" w:firstLine="0"/>
        <w:jc w:val="both"/>
        <w:rPr>
          <w:color w:val="000000"/>
        </w:rPr>
      </w:pPr>
      <w:r>
        <w:rPr>
          <w:color w:val="000000"/>
        </w:rPr>
        <w:t xml:space="preserve">The sixth ground of review, as raised mainly by SGB-Cape, relates to </w:t>
      </w:r>
      <w:r w:rsidR="00EC2AF3" w:rsidRPr="00EC2AF3">
        <w:rPr>
          <w:color w:val="000000"/>
        </w:rPr>
        <w:t>52-week period of CORP5171</w:t>
      </w:r>
      <w:r>
        <w:rPr>
          <w:color w:val="000000"/>
        </w:rPr>
        <w:t xml:space="preserve"> Tender, which is the subject of these applications. </w:t>
      </w:r>
    </w:p>
    <w:p w14:paraId="1B129E5A" w14:textId="4B93BB1B" w:rsidR="00EC2AF3" w:rsidRPr="00EC2AF3" w:rsidRDefault="00EC2AF3" w:rsidP="00EC2AF3">
      <w:pPr>
        <w:pStyle w:val="ListParagraph"/>
        <w:numPr>
          <w:ilvl w:val="0"/>
          <w:numId w:val="5"/>
        </w:numPr>
        <w:tabs>
          <w:tab w:val="clear" w:pos="567"/>
        </w:tabs>
        <w:spacing w:after="120" w:line="360" w:lineRule="auto"/>
        <w:ind w:left="0" w:firstLine="0"/>
        <w:jc w:val="both"/>
        <w:rPr>
          <w:color w:val="000000"/>
        </w:rPr>
      </w:pPr>
      <w:r w:rsidRPr="00EC2AF3">
        <w:rPr>
          <w:color w:val="000000"/>
        </w:rPr>
        <w:t xml:space="preserve">SGB-Cape contends that the Tender validity period in the Invitation to Tender was for a period of 52 weeks, in contravention of CIDB SFU, which provides that a tender validity period in respect of construction and engineering works shall not exceed </w:t>
      </w:r>
      <w:r w:rsidR="00CC5677">
        <w:rPr>
          <w:color w:val="000000"/>
        </w:rPr>
        <w:t>twelve</w:t>
      </w:r>
      <w:r w:rsidRPr="00EC2AF3">
        <w:rPr>
          <w:color w:val="000000"/>
        </w:rPr>
        <w:t xml:space="preserve"> weeks, in the absence of approval by an accounting officer, and therefore th</w:t>
      </w:r>
      <w:r w:rsidR="0057005D">
        <w:rPr>
          <w:color w:val="000000"/>
        </w:rPr>
        <w:t>e Tender process is unlawful.</w:t>
      </w:r>
    </w:p>
    <w:p w14:paraId="3451A17C" w14:textId="79D0B2F8" w:rsidR="00EC2AF3" w:rsidRPr="00EC2AF3" w:rsidRDefault="00CC5677" w:rsidP="00EC2AF3">
      <w:pPr>
        <w:pStyle w:val="ListParagraph"/>
        <w:numPr>
          <w:ilvl w:val="0"/>
          <w:numId w:val="5"/>
        </w:numPr>
        <w:tabs>
          <w:tab w:val="clear" w:pos="567"/>
        </w:tabs>
        <w:spacing w:after="120" w:line="360" w:lineRule="auto"/>
        <w:ind w:left="0" w:firstLine="0"/>
        <w:jc w:val="both"/>
        <w:rPr>
          <w:color w:val="000000"/>
        </w:rPr>
      </w:pPr>
      <w:r>
        <w:rPr>
          <w:color w:val="000000"/>
        </w:rPr>
        <w:t>Eskom submitted that i</w:t>
      </w:r>
      <w:r w:rsidR="00EC2AF3" w:rsidRPr="00EC2AF3">
        <w:rPr>
          <w:color w:val="000000"/>
        </w:rPr>
        <w:t xml:space="preserve">t is not open to SGB-Cape to challenge the validity period of the Tender </w:t>
      </w:r>
      <w:r w:rsidR="00EC2AF3" w:rsidRPr="00CC5677">
        <w:rPr>
          <w:i/>
          <w:color w:val="000000"/>
        </w:rPr>
        <w:t>ex</w:t>
      </w:r>
      <w:r w:rsidR="00EC2AF3" w:rsidRPr="00EC2AF3">
        <w:rPr>
          <w:color w:val="000000"/>
        </w:rPr>
        <w:t xml:space="preserve"> </w:t>
      </w:r>
      <w:r w:rsidR="00EC2AF3" w:rsidRPr="00CC5677">
        <w:rPr>
          <w:i/>
          <w:color w:val="000000"/>
        </w:rPr>
        <w:t>post</w:t>
      </w:r>
      <w:r w:rsidR="00EC2AF3" w:rsidRPr="00EC2AF3">
        <w:rPr>
          <w:color w:val="000000"/>
        </w:rPr>
        <w:t xml:space="preserve"> its tender submission. It also delayed unreasonably in doing so and without any reasonable explanation whatsoever. The lawfulness or otherwise of the tender validity period</w:t>
      </w:r>
      <w:r>
        <w:rPr>
          <w:color w:val="000000"/>
        </w:rPr>
        <w:t>, so Eskom contends,</w:t>
      </w:r>
      <w:r w:rsidR="00EC2AF3" w:rsidRPr="00EC2AF3">
        <w:rPr>
          <w:color w:val="000000"/>
        </w:rPr>
        <w:t xml:space="preserve"> no longer matters. </w:t>
      </w:r>
    </w:p>
    <w:p w14:paraId="181E66EA" w14:textId="5241E48F" w:rsidR="00EC2AF3" w:rsidRPr="00CC5677" w:rsidRDefault="00CC5677" w:rsidP="00CC5677">
      <w:pPr>
        <w:pStyle w:val="ListParagraph"/>
        <w:numPr>
          <w:ilvl w:val="0"/>
          <w:numId w:val="5"/>
        </w:numPr>
        <w:tabs>
          <w:tab w:val="clear" w:pos="567"/>
        </w:tabs>
        <w:spacing w:after="120" w:line="360" w:lineRule="auto"/>
        <w:ind w:left="0" w:firstLine="0"/>
        <w:jc w:val="both"/>
        <w:rPr>
          <w:color w:val="000000"/>
        </w:rPr>
      </w:pPr>
      <w:r>
        <w:rPr>
          <w:color w:val="000000"/>
        </w:rPr>
        <w:lastRenderedPageBreak/>
        <w:t xml:space="preserve">I agree with this submission. </w:t>
      </w:r>
      <w:r w:rsidR="00EC2AF3" w:rsidRPr="00EC2AF3">
        <w:rPr>
          <w:color w:val="000000"/>
        </w:rPr>
        <w:t xml:space="preserve">The validity period of the Tender was expressly and unambiguously reflected in the </w:t>
      </w:r>
      <w:r>
        <w:rPr>
          <w:color w:val="000000"/>
        </w:rPr>
        <w:t xml:space="preserve">ITT </w:t>
      </w:r>
      <w:r w:rsidR="00EC2AF3" w:rsidRPr="00EC2AF3">
        <w:rPr>
          <w:color w:val="000000"/>
        </w:rPr>
        <w:t>and, in the absence of SGB-Cape having challenged it before its submission of a bid, or at the very least at the clarification meeting, or within a reasonable time thereafter, it cannot be permitted to do so at this stage.</w:t>
      </w:r>
      <w:r>
        <w:rPr>
          <w:color w:val="000000"/>
        </w:rPr>
        <w:t xml:space="preserve"> </w:t>
      </w:r>
      <w:r w:rsidR="00EC2AF3" w:rsidRPr="00CC5677">
        <w:rPr>
          <w:color w:val="000000"/>
        </w:rPr>
        <w:t>SGB-Cape’s tender submission must therefore be taken as an acquiescence of the stipulated tender validity period. It also agreed to the extension of the tender validity period. It could have protested and challenged the extension or refused to agree.</w:t>
      </w:r>
    </w:p>
    <w:p w14:paraId="2965C29D" w14:textId="4A50EB25" w:rsidR="00EC2AF3" w:rsidRPr="00EC2AF3" w:rsidRDefault="00EC2AF3" w:rsidP="00EC2AF3">
      <w:pPr>
        <w:pStyle w:val="ListParagraph"/>
        <w:numPr>
          <w:ilvl w:val="0"/>
          <w:numId w:val="5"/>
        </w:numPr>
        <w:tabs>
          <w:tab w:val="clear" w:pos="567"/>
        </w:tabs>
        <w:spacing w:after="120" w:line="360" w:lineRule="auto"/>
        <w:ind w:left="0" w:firstLine="0"/>
        <w:jc w:val="both"/>
        <w:rPr>
          <w:color w:val="000000"/>
        </w:rPr>
      </w:pPr>
      <w:r w:rsidRPr="00EC2AF3">
        <w:rPr>
          <w:color w:val="000000"/>
        </w:rPr>
        <w:t xml:space="preserve">In any event, </w:t>
      </w:r>
      <w:r w:rsidR="00CC5677">
        <w:rPr>
          <w:color w:val="000000"/>
        </w:rPr>
        <w:t xml:space="preserve">as correctly submitted on behalf of </w:t>
      </w:r>
      <w:r w:rsidRPr="00EC2AF3">
        <w:rPr>
          <w:color w:val="000000"/>
        </w:rPr>
        <w:t>Eskom</w:t>
      </w:r>
      <w:r w:rsidR="00CC5677">
        <w:rPr>
          <w:color w:val="000000"/>
        </w:rPr>
        <w:t xml:space="preserve">, </w:t>
      </w:r>
      <w:r w:rsidRPr="00EC2AF3">
        <w:rPr>
          <w:color w:val="000000"/>
        </w:rPr>
        <w:t xml:space="preserve">it has substantially complied with this requirement in that the </w:t>
      </w:r>
      <w:r w:rsidR="00CC5677">
        <w:rPr>
          <w:color w:val="000000"/>
        </w:rPr>
        <w:t xml:space="preserve">ITT </w:t>
      </w:r>
      <w:r w:rsidRPr="00EC2AF3">
        <w:rPr>
          <w:color w:val="000000"/>
        </w:rPr>
        <w:t xml:space="preserve">and its extension was authorised by the accounting authority, </w:t>
      </w:r>
      <w:r w:rsidR="00CC5677">
        <w:rPr>
          <w:color w:val="000000"/>
        </w:rPr>
        <w:t>namely</w:t>
      </w:r>
      <w:r w:rsidRPr="00EC2AF3">
        <w:rPr>
          <w:color w:val="000000"/>
        </w:rPr>
        <w:t xml:space="preserve"> the Board of Eskom, in compliance with CIDB SFU. The CIDB itself does not challenge the tender validity period. It was also not unfair to any tenderer or potential tenderer because it afforded sufficient time for bids to be considered. It caused no prejudice to any bidder. There was no material irregularity such as to c</w:t>
      </w:r>
      <w:r w:rsidR="0057005D">
        <w:rPr>
          <w:color w:val="000000"/>
        </w:rPr>
        <w:t>onstitute a ground of review.</w:t>
      </w:r>
    </w:p>
    <w:p w14:paraId="18182D68" w14:textId="7AC82336" w:rsidR="00EC2AF3" w:rsidRDefault="00EC2AF3" w:rsidP="000D6742">
      <w:pPr>
        <w:pStyle w:val="ListParagraph"/>
        <w:numPr>
          <w:ilvl w:val="0"/>
          <w:numId w:val="5"/>
        </w:numPr>
        <w:tabs>
          <w:tab w:val="clear" w:pos="567"/>
        </w:tabs>
        <w:spacing w:after="120" w:line="360" w:lineRule="auto"/>
        <w:ind w:left="0" w:firstLine="0"/>
        <w:jc w:val="both"/>
        <w:rPr>
          <w:color w:val="000000"/>
        </w:rPr>
      </w:pPr>
      <w:r w:rsidRPr="000D6742">
        <w:rPr>
          <w:color w:val="000000"/>
        </w:rPr>
        <w:t xml:space="preserve">Therefore, </w:t>
      </w:r>
      <w:r w:rsidR="00730D08">
        <w:rPr>
          <w:color w:val="000000"/>
        </w:rPr>
        <w:t xml:space="preserve">in my view, </w:t>
      </w:r>
      <w:r w:rsidRPr="000D6742">
        <w:rPr>
          <w:color w:val="000000"/>
        </w:rPr>
        <w:t xml:space="preserve">the </w:t>
      </w:r>
      <w:r w:rsidR="00730D08">
        <w:rPr>
          <w:color w:val="000000"/>
        </w:rPr>
        <w:t xml:space="preserve">fifty-week </w:t>
      </w:r>
      <w:r w:rsidRPr="000D6742">
        <w:rPr>
          <w:color w:val="000000"/>
        </w:rPr>
        <w:t>validity period does not invalidate the tender.</w:t>
      </w:r>
    </w:p>
    <w:p w14:paraId="355C1FA2" w14:textId="77777777" w:rsidR="00C437A5" w:rsidRPr="00C437A5" w:rsidRDefault="0036167B" w:rsidP="00A662CA">
      <w:pPr>
        <w:pStyle w:val="ListParagraph"/>
        <w:numPr>
          <w:ilvl w:val="0"/>
          <w:numId w:val="5"/>
        </w:numPr>
        <w:tabs>
          <w:tab w:val="clear" w:pos="567"/>
        </w:tabs>
        <w:spacing w:after="120" w:line="360" w:lineRule="auto"/>
        <w:ind w:left="0" w:firstLine="0"/>
        <w:jc w:val="both"/>
        <w:rPr>
          <w:color w:val="000000"/>
        </w:rPr>
      </w:pPr>
      <w:r w:rsidRPr="0036167B">
        <w:rPr>
          <w:lang w:val="en-ZA"/>
        </w:rPr>
        <w:t>In all of the circumstances and for the reasons mentioned above</w:t>
      </w:r>
      <w:r>
        <w:rPr>
          <w:lang w:val="en-ZA"/>
        </w:rPr>
        <w:t>,</w:t>
      </w:r>
      <w:r w:rsidRPr="0036167B">
        <w:rPr>
          <w:lang w:val="en-ZA"/>
        </w:rPr>
        <w:t xml:space="preserve"> </w:t>
      </w:r>
      <w:r>
        <w:rPr>
          <w:lang w:val="en-ZA"/>
        </w:rPr>
        <w:t xml:space="preserve">Eskom’s impugned </w:t>
      </w:r>
      <w:r w:rsidRPr="0036167B">
        <w:rPr>
          <w:lang w:val="en-ZA"/>
        </w:rPr>
        <w:t xml:space="preserve">decision to award the tender to </w:t>
      </w:r>
      <w:r>
        <w:rPr>
          <w:lang w:val="en-ZA"/>
        </w:rPr>
        <w:t xml:space="preserve">second to fifth respondents is not invalid and therefore cannot and should not be declared to be </w:t>
      </w:r>
      <w:r w:rsidRPr="0036167B">
        <w:rPr>
          <w:lang w:val="en-ZA"/>
        </w:rPr>
        <w:t>constitutionally i</w:t>
      </w:r>
      <w:r>
        <w:rPr>
          <w:lang w:val="en-ZA"/>
        </w:rPr>
        <w:t>nvalid or set aside.</w:t>
      </w:r>
      <w:r w:rsidR="00A662CA">
        <w:rPr>
          <w:color w:val="000000"/>
        </w:rPr>
        <w:t xml:space="preserve"> In the final analysis, the </w:t>
      </w:r>
      <w:r w:rsidR="00A662CA" w:rsidRPr="00A662CA">
        <w:rPr>
          <w:lang w:val="en-ZA"/>
        </w:rPr>
        <w:t xml:space="preserve">procurement </w:t>
      </w:r>
      <w:r w:rsidR="00A662CA">
        <w:rPr>
          <w:lang w:val="en-ZA"/>
        </w:rPr>
        <w:t xml:space="preserve">process followed by Eskom and the subsequent award of the tender to </w:t>
      </w:r>
      <w:r w:rsidR="00C437A5">
        <w:rPr>
          <w:lang w:val="en-ZA"/>
        </w:rPr>
        <w:t>second to fifth respondents were</w:t>
      </w:r>
      <w:r w:rsidR="00C437A5" w:rsidRPr="00C437A5">
        <w:rPr>
          <w:lang w:val="en-ZA"/>
        </w:rPr>
        <w:t xml:space="preserve"> </w:t>
      </w:r>
      <w:r w:rsidR="00C437A5" w:rsidRPr="00A662CA">
        <w:rPr>
          <w:lang w:val="en-ZA"/>
        </w:rPr>
        <w:t>‘in accordance with a system which is fair, equitable, transparent, competitive and cost effective’</w:t>
      </w:r>
      <w:r w:rsidR="00A662CA" w:rsidRPr="00A662CA">
        <w:rPr>
          <w:lang w:val="en-ZA"/>
        </w:rPr>
        <w:t>.</w:t>
      </w:r>
      <w:r w:rsidR="00C437A5">
        <w:rPr>
          <w:lang w:val="en-ZA"/>
        </w:rPr>
        <w:t xml:space="preserve"> It therefore complied with the letter and the spirit of</w:t>
      </w:r>
      <w:r w:rsidR="00A662CA" w:rsidRPr="00A662CA">
        <w:rPr>
          <w:lang w:val="en-ZA"/>
        </w:rPr>
        <w:t xml:space="preserve"> Section 217(1) of the Constitution</w:t>
      </w:r>
      <w:r w:rsidR="00C437A5">
        <w:rPr>
          <w:lang w:val="en-ZA"/>
        </w:rPr>
        <w:t>.</w:t>
      </w:r>
    </w:p>
    <w:p w14:paraId="5B89C2B5" w14:textId="0C2A70CD" w:rsidR="0036167B" w:rsidRDefault="0036167B" w:rsidP="000663F7">
      <w:pPr>
        <w:pStyle w:val="ListParagraph"/>
        <w:numPr>
          <w:ilvl w:val="0"/>
          <w:numId w:val="5"/>
        </w:numPr>
        <w:tabs>
          <w:tab w:val="clear" w:pos="567"/>
        </w:tabs>
        <w:spacing w:after="240" w:line="360" w:lineRule="auto"/>
        <w:ind w:left="0" w:firstLine="0"/>
        <w:jc w:val="both"/>
        <w:rPr>
          <w:color w:val="000000"/>
        </w:rPr>
      </w:pPr>
      <w:r w:rsidRPr="0036167B">
        <w:rPr>
          <w:color w:val="000000"/>
        </w:rPr>
        <w:t>In the light of these findings, it is not necessary</w:t>
      </w:r>
      <w:r>
        <w:rPr>
          <w:color w:val="000000"/>
        </w:rPr>
        <w:t xml:space="preserve"> </w:t>
      </w:r>
      <w:r w:rsidRPr="0036167B">
        <w:rPr>
          <w:color w:val="000000"/>
        </w:rPr>
        <w:t xml:space="preserve">to consider the </w:t>
      </w:r>
      <w:r>
        <w:rPr>
          <w:color w:val="000000"/>
        </w:rPr>
        <w:t>appropriate relief to be granted, based on what is ‘just and equitable’.</w:t>
      </w:r>
      <w:r w:rsidRPr="0036167B">
        <w:rPr>
          <w:color w:val="000000"/>
        </w:rPr>
        <w:t xml:space="preserve"> </w:t>
      </w:r>
      <w:r w:rsidR="000663F7">
        <w:rPr>
          <w:color w:val="000000"/>
        </w:rPr>
        <w:t xml:space="preserve">Neither is it necessary for me to deal with any of the other issues raised by or disputes between the parties. </w:t>
      </w:r>
      <w:r>
        <w:rPr>
          <w:color w:val="000000"/>
        </w:rPr>
        <w:t>All three applications stand to be dismissed.</w:t>
      </w:r>
    </w:p>
    <w:p w14:paraId="38784BAF" w14:textId="7F8DFA72" w:rsidR="00A20823" w:rsidRPr="00A20823" w:rsidRDefault="004F67F1" w:rsidP="00155B87">
      <w:pPr>
        <w:pStyle w:val="LegalList1"/>
        <w:keepNext/>
        <w:spacing w:after="120" w:line="360" w:lineRule="auto"/>
        <w:rPr>
          <w:b/>
          <w:color w:val="000000"/>
        </w:rPr>
      </w:pPr>
      <w:r>
        <w:rPr>
          <w:b/>
          <w:color w:val="000000"/>
        </w:rPr>
        <w:lastRenderedPageBreak/>
        <w:t xml:space="preserve">Conclusion and </w:t>
      </w:r>
      <w:r w:rsidR="00A20823" w:rsidRPr="00A20823">
        <w:rPr>
          <w:b/>
          <w:color w:val="000000"/>
        </w:rPr>
        <w:t xml:space="preserve">Costs of </w:t>
      </w:r>
      <w:r w:rsidR="0038759E">
        <w:rPr>
          <w:b/>
          <w:color w:val="000000"/>
        </w:rPr>
        <w:t>the Applications</w:t>
      </w:r>
    </w:p>
    <w:p w14:paraId="760C7DE8" w14:textId="77777777" w:rsidR="000663F7" w:rsidRPr="000663F7" w:rsidRDefault="004F67F1" w:rsidP="006B247E">
      <w:pPr>
        <w:pStyle w:val="LegalList1"/>
        <w:numPr>
          <w:ilvl w:val="0"/>
          <w:numId w:val="5"/>
        </w:numPr>
        <w:tabs>
          <w:tab w:val="clear" w:pos="567"/>
        </w:tabs>
        <w:spacing w:after="120" w:line="360" w:lineRule="auto"/>
        <w:ind w:left="0" w:firstLine="0"/>
        <w:rPr>
          <w:color w:val="000000"/>
        </w:rPr>
      </w:pPr>
      <w:r w:rsidRPr="00DE16CB">
        <w:t xml:space="preserve">For all of </w:t>
      </w:r>
      <w:r w:rsidR="000663F7">
        <w:t>the reasons above, the applications stand to be dismissed.</w:t>
      </w:r>
    </w:p>
    <w:p w14:paraId="69FC9797" w14:textId="6F4C5B90" w:rsidR="00A05747" w:rsidRDefault="005F0586" w:rsidP="006B247E">
      <w:pPr>
        <w:pStyle w:val="LegalList1"/>
        <w:numPr>
          <w:ilvl w:val="0"/>
          <w:numId w:val="5"/>
        </w:numPr>
        <w:tabs>
          <w:tab w:val="clear" w:pos="567"/>
        </w:tabs>
        <w:spacing w:after="120" w:line="360" w:lineRule="auto"/>
        <w:ind w:left="0" w:firstLine="0"/>
        <w:rPr>
          <w:color w:val="000000"/>
        </w:rPr>
      </w:pPr>
      <w:r w:rsidRPr="005F0586">
        <w:rPr>
          <w:rFonts w:cs="Arial"/>
        </w:rPr>
        <w:t xml:space="preserve">The general rule in matters of costs is that the successful party should be given his costs, and this rule should not be departed from except where there are good grounds for doing so. See: </w:t>
      </w:r>
      <w:r w:rsidRPr="005F0586">
        <w:rPr>
          <w:rFonts w:cs="Arial"/>
          <w:i/>
        </w:rPr>
        <w:t>Myers v Abramson</w:t>
      </w:r>
      <w:r w:rsidR="00B51B6D">
        <w:rPr>
          <w:rStyle w:val="FootnoteReference"/>
          <w:i/>
        </w:rPr>
        <w:footnoteReference w:id="5"/>
      </w:r>
      <w:r w:rsidRPr="005F0586">
        <w:rPr>
          <w:rFonts w:cs="Arial"/>
        </w:rPr>
        <w:t>.</w:t>
      </w:r>
      <w:r w:rsidR="00A05747">
        <w:rPr>
          <w:color w:val="000000"/>
        </w:rPr>
        <w:t xml:space="preserve"> T</w:t>
      </w:r>
      <w:r w:rsidR="00A05747" w:rsidRPr="00A05747">
        <w:rPr>
          <w:color w:val="000000"/>
        </w:rPr>
        <w:t>here are no grounds in this case to depart from the ordinary rule that costs should follow the result.</w:t>
      </w:r>
    </w:p>
    <w:p w14:paraId="0ED1162C" w14:textId="3582F46E" w:rsidR="00A05747" w:rsidRPr="00A05747" w:rsidRDefault="000663F7" w:rsidP="006B247E">
      <w:pPr>
        <w:pStyle w:val="LegalList1"/>
        <w:numPr>
          <w:ilvl w:val="0"/>
          <w:numId w:val="5"/>
        </w:numPr>
        <w:tabs>
          <w:tab w:val="clear" w:pos="567"/>
        </w:tabs>
        <w:spacing w:after="120" w:line="360" w:lineRule="auto"/>
        <w:ind w:left="0" w:firstLine="0"/>
        <w:rPr>
          <w:color w:val="000000"/>
        </w:rPr>
      </w:pPr>
      <w:r>
        <w:rPr>
          <w:rFonts w:cs="Arial"/>
        </w:rPr>
        <w:t>Moreover, t</w:t>
      </w:r>
      <w:r w:rsidR="001C0EF4">
        <w:rPr>
          <w:rFonts w:cs="Arial"/>
        </w:rPr>
        <w:t>he complexity of the matter does, in my view, warrant costs to include the costs of two counsel, with one being a Senior Counsel.</w:t>
      </w:r>
      <w:r w:rsidR="00152616">
        <w:rPr>
          <w:rFonts w:cs="Arial"/>
        </w:rPr>
        <w:t xml:space="preserve"> </w:t>
      </w:r>
    </w:p>
    <w:p w14:paraId="5E32125A" w14:textId="76F4E3C1" w:rsidR="005F0586" w:rsidRPr="005F0586" w:rsidRDefault="005F0586" w:rsidP="006B247E">
      <w:pPr>
        <w:pStyle w:val="LegalList1"/>
        <w:numPr>
          <w:ilvl w:val="0"/>
          <w:numId w:val="5"/>
        </w:numPr>
        <w:tabs>
          <w:tab w:val="clear" w:pos="567"/>
        </w:tabs>
        <w:spacing w:after="240" w:line="360" w:lineRule="auto"/>
        <w:ind w:left="0" w:firstLine="0"/>
        <w:rPr>
          <w:color w:val="000000"/>
        </w:rPr>
      </w:pPr>
      <w:r>
        <w:rPr>
          <w:rFonts w:cs="Arial"/>
        </w:rPr>
        <w:t>The</w:t>
      </w:r>
      <w:r w:rsidR="00C5587A">
        <w:rPr>
          <w:rFonts w:cs="Arial"/>
        </w:rPr>
        <w:t xml:space="preserve"> </w:t>
      </w:r>
      <w:r w:rsidR="000663F7">
        <w:rPr>
          <w:rFonts w:cs="Arial"/>
        </w:rPr>
        <w:t xml:space="preserve">applicants in each of the </w:t>
      </w:r>
      <w:r w:rsidR="00B65DB2">
        <w:rPr>
          <w:rFonts w:cs="Arial"/>
        </w:rPr>
        <w:t>three applications should therefore pay Eskom’s costs.</w:t>
      </w:r>
    </w:p>
    <w:p w14:paraId="41F6FD4F" w14:textId="77777777" w:rsidR="00F922A4" w:rsidRDefault="00F922A4" w:rsidP="00F922A4">
      <w:pPr>
        <w:pStyle w:val="LegalMAINHEADING"/>
        <w:spacing w:before="0" w:after="120" w:line="360" w:lineRule="auto"/>
      </w:pPr>
      <w:r>
        <w:rPr>
          <w:caps w:val="0"/>
        </w:rPr>
        <w:t>Order</w:t>
      </w:r>
    </w:p>
    <w:p w14:paraId="3B6087C8" w14:textId="77777777" w:rsidR="00447076" w:rsidRPr="00F922A4" w:rsidRDefault="00447076" w:rsidP="006B247E">
      <w:pPr>
        <w:pStyle w:val="LegalList1"/>
        <w:numPr>
          <w:ilvl w:val="0"/>
          <w:numId w:val="5"/>
        </w:numPr>
        <w:tabs>
          <w:tab w:val="clear" w:pos="567"/>
        </w:tabs>
        <w:spacing w:after="120" w:line="360" w:lineRule="auto"/>
        <w:ind w:left="0" w:firstLine="0"/>
        <w:rPr>
          <w:color w:val="000000"/>
        </w:rPr>
      </w:pPr>
      <w:r>
        <w:t xml:space="preserve">In the result, </w:t>
      </w:r>
      <w:r w:rsidR="005D0D24">
        <w:t>the following order</w:t>
      </w:r>
      <w:r w:rsidR="00D82EB8">
        <w:t xml:space="preserve"> is </w:t>
      </w:r>
      <w:r w:rsidR="002911F6">
        <w:t>made: -</w:t>
      </w:r>
    </w:p>
    <w:p w14:paraId="3CA2CE5E" w14:textId="0292C10C" w:rsidR="00FB257D" w:rsidRDefault="00FB257D" w:rsidP="00D877F2">
      <w:pPr>
        <w:pStyle w:val="ListParagraph"/>
        <w:numPr>
          <w:ilvl w:val="0"/>
          <w:numId w:val="32"/>
        </w:numPr>
        <w:spacing w:line="360" w:lineRule="auto"/>
        <w:ind w:left="567" w:hanging="567"/>
        <w:jc w:val="both"/>
        <w:outlineLvl w:val="0"/>
      </w:pPr>
      <w:r>
        <w:t xml:space="preserve">Under Case number: 5798/2021: - </w:t>
      </w:r>
    </w:p>
    <w:p w14:paraId="4CD3C696" w14:textId="7776F72B" w:rsidR="00FB257D" w:rsidRDefault="00FB257D" w:rsidP="00D877F2">
      <w:pPr>
        <w:pStyle w:val="ListParagraph"/>
        <w:numPr>
          <w:ilvl w:val="0"/>
          <w:numId w:val="28"/>
        </w:numPr>
        <w:spacing w:line="360" w:lineRule="auto"/>
        <w:ind w:left="851" w:hanging="851"/>
        <w:jc w:val="both"/>
        <w:outlineLvl w:val="0"/>
      </w:pPr>
      <w:r>
        <w:t>Applicant’s application is dismissed;</w:t>
      </w:r>
    </w:p>
    <w:p w14:paraId="73764B8B" w14:textId="5102746E" w:rsidR="00FB257D" w:rsidRDefault="00FB257D" w:rsidP="00991111">
      <w:pPr>
        <w:numPr>
          <w:ilvl w:val="0"/>
          <w:numId w:val="28"/>
        </w:numPr>
        <w:spacing w:after="120" w:line="360" w:lineRule="auto"/>
        <w:ind w:left="851" w:hanging="851"/>
        <w:jc w:val="both"/>
        <w:outlineLvl w:val="0"/>
      </w:pPr>
      <w:r>
        <w:t>The applicant shall pay the first respondent’s costs, including such costs consequent upon the employment of two Counsel, one being a Senior Counsel.</w:t>
      </w:r>
    </w:p>
    <w:p w14:paraId="6EE7433C" w14:textId="52079825" w:rsidR="00FB257D" w:rsidRDefault="00FB257D" w:rsidP="00D877F2">
      <w:pPr>
        <w:pStyle w:val="ListParagraph"/>
        <w:numPr>
          <w:ilvl w:val="0"/>
          <w:numId w:val="32"/>
        </w:numPr>
        <w:spacing w:line="360" w:lineRule="auto"/>
        <w:ind w:left="567" w:hanging="567"/>
        <w:jc w:val="both"/>
        <w:outlineLvl w:val="0"/>
      </w:pPr>
      <w:r>
        <w:t>Under Case number: 0290/202</w:t>
      </w:r>
      <w:r w:rsidR="00991111">
        <w:t>2</w:t>
      </w:r>
      <w:r>
        <w:t xml:space="preserve">: - </w:t>
      </w:r>
    </w:p>
    <w:p w14:paraId="6C6B2B44" w14:textId="77777777" w:rsidR="00FB257D" w:rsidRDefault="00FB257D" w:rsidP="00D877F2">
      <w:pPr>
        <w:pStyle w:val="ListParagraph"/>
        <w:numPr>
          <w:ilvl w:val="0"/>
          <w:numId w:val="29"/>
        </w:numPr>
        <w:spacing w:line="360" w:lineRule="auto"/>
        <w:ind w:left="851" w:hanging="851"/>
        <w:jc w:val="both"/>
        <w:outlineLvl w:val="0"/>
      </w:pPr>
      <w:r>
        <w:t>Applicant’s application is dismissed;</w:t>
      </w:r>
    </w:p>
    <w:p w14:paraId="6667D11A" w14:textId="77777777" w:rsidR="00FB257D" w:rsidRDefault="00FB257D" w:rsidP="00D877F2">
      <w:pPr>
        <w:numPr>
          <w:ilvl w:val="0"/>
          <w:numId w:val="29"/>
        </w:numPr>
        <w:spacing w:after="120" w:line="360" w:lineRule="auto"/>
        <w:ind w:left="851" w:hanging="851"/>
        <w:jc w:val="both"/>
        <w:outlineLvl w:val="0"/>
      </w:pPr>
      <w:r>
        <w:t>The applicant shall pay the first respondent’s costs, including such costs consequent upon the employment of two Counsel, one being a Senior Counsel.</w:t>
      </w:r>
    </w:p>
    <w:p w14:paraId="6406BCEA" w14:textId="05A6CE65" w:rsidR="00FB257D" w:rsidRDefault="00FB257D" w:rsidP="00D877F2">
      <w:pPr>
        <w:pStyle w:val="ListParagraph"/>
        <w:numPr>
          <w:ilvl w:val="0"/>
          <w:numId w:val="32"/>
        </w:numPr>
        <w:spacing w:line="360" w:lineRule="auto"/>
        <w:ind w:left="567" w:hanging="567"/>
        <w:jc w:val="both"/>
        <w:outlineLvl w:val="0"/>
      </w:pPr>
      <w:r>
        <w:t xml:space="preserve">Under Case number: 3047/2022: - </w:t>
      </w:r>
    </w:p>
    <w:p w14:paraId="792FA3D8" w14:textId="77777777" w:rsidR="00FB257D" w:rsidRDefault="00FB257D" w:rsidP="00D877F2">
      <w:pPr>
        <w:pStyle w:val="ListParagraph"/>
        <w:numPr>
          <w:ilvl w:val="0"/>
          <w:numId w:val="30"/>
        </w:numPr>
        <w:spacing w:line="360" w:lineRule="auto"/>
        <w:ind w:left="851" w:hanging="851"/>
        <w:jc w:val="both"/>
        <w:outlineLvl w:val="0"/>
      </w:pPr>
      <w:r>
        <w:t>Applicant’s application is dismissed;</w:t>
      </w:r>
    </w:p>
    <w:p w14:paraId="33AD9021" w14:textId="77777777" w:rsidR="00FB257D" w:rsidRDefault="00FB257D" w:rsidP="00D877F2">
      <w:pPr>
        <w:numPr>
          <w:ilvl w:val="0"/>
          <w:numId w:val="30"/>
        </w:numPr>
        <w:spacing w:after="120" w:line="360" w:lineRule="auto"/>
        <w:ind w:left="851" w:hanging="851"/>
        <w:jc w:val="both"/>
        <w:outlineLvl w:val="0"/>
      </w:pPr>
      <w:r>
        <w:t>The applicant shall pay the first respondent’s costs, including such costs consequent upon the employment of two Counsel, one being a Senior Counsel.</w:t>
      </w:r>
    </w:p>
    <w:p w14:paraId="56FFBC86" w14:textId="77777777" w:rsidR="00C55B3C" w:rsidRPr="00C55B3C" w:rsidRDefault="00872370" w:rsidP="00FB257D">
      <w:pPr>
        <w:pStyle w:val="ListParagraph"/>
        <w:keepNext/>
        <w:keepLines/>
        <w:tabs>
          <w:tab w:val="left" w:pos="0"/>
        </w:tabs>
        <w:spacing w:before="960"/>
        <w:jc w:val="right"/>
        <w:rPr>
          <w:b/>
          <w:u w:val="single"/>
        </w:rPr>
      </w:pPr>
      <w:r>
        <w:rPr>
          <w:b/>
          <w:u w:val="single"/>
        </w:rPr>
        <w:lastRenderedPageBreak/>
        <w:t>______</w:t>
      </w:r>
      <w:r w:rsidR="00C55B3C" w:rsidRPr="00C55B3C">
        <w:rPr>
          <w:b/>
          <w:u w:val="single"/>
        </w:rPr>
        <w:t>__________________________</w:t>
      </w:r>
    </w:p>
    <w:p w14:paraId="2BF04A41" w14:textId="23F765F8" w:rsidR="00C55B3C" w:rsidRPr="00C55B3C" w:rsidRDefault="001428B6" w:rsidP="00CD56FB">
      <w:pPr>
        <w:pStyle w:val="ListParagraph"/>
        <w:keepNext/>
        <w:jc w:val="right"/>
        <w:rPr>
          <w:rFonts w:cs="Arial"/>
          <w:b/>
        </w:rPr>
      </w:pPr>
      <w:r>
        <w:rPr>
          <w:rFonts w:cs="Arial"/>
          <w:b/>
        </w:rPr>
        <w:t>L R ADAMS</w:t>
      </w:r>
    </w:p>
    <w:p w14:paraId="3C5D76D5" w14:textId="77777777" w:rsidR="00C55B3C" w:rsidRPr="00C55B3C" w:rsidRDefault="00C55B3C" w:rsidP="00CD56FB">
      <w:pPr>
        <w:pStyle w:val="ListParagraph"/>
        <w:keepNext/>
        <w:jc w:val="right"/>
        <w:rPr>
          <w:rFonts w:cs="Arial"/>
          <w:i/>
        </w:rPr>
      </w:pPr>
      <w:r w:rsidRPr="00C55B3C">
        <w:rPr>
          <w:rFonts w:cs="Arial"/>
          <w:i/>
        </w:rPr>
        <w:t>Judge of the High Court</w:t>
      </w:r>
    </w:p>
    <w:p w14:paraId="68A48D56" w14:textId="1DE48458" w:rsidR="00C55B3C" w:rsidRDefault="00C55B3C" w:rsidP="00FC7402">
      <w:pPr>
        <w:pStyle w:val="ListParagraph"/>
        <w:spacing w:after="120" w:line="360" w:lineRule="auto"/>
        <w:jc w:val="right"/>
        <w:rPr>
          <w:rFonts w:cs="Arial"/>
          <w:i/>
        </w:rPr>
      </w:pPr>
      <w:r w:rsidRPr="00C55B3C">
        <w:rPr>
          <w:rFonts w:cs="Arial"/>
          <w:i/>
        </w:rPr>
        <w:t>Gauteng Division, Johannesburg</w:t>
      </w:r>
    </w:p>
    <w:p w14:paraId="0BCF12C8" w14:textId="77777777" w:rsidR="00341D13" w:rsidRDefault="00341D13" w:rsidP="00C55B3C">
      <w:pPr>
        <w:pBdr>
          <w:bottom w:val="single" w:sz="6" w:space="1" w:color="auto"/>
        </w:pBdr>
        <w:spacing w:after="360"/>
        <w:rPr>
          <w:rFonts w:cs="Arial"/>
          <w:i/>
        </w:rPr>
      </w:pPr>
    </w:p>
    <w:tbl>
      <w:tblPr>
        <w:tblW w:w="0" w:type="auto"/>
        <w:tblLook w:val="04A0" w:firstRow="1" w:lastRow="0" w:firstColumn="1" w:lastColumn="0" w:noHBand="0" w:noVBand="1"/>
      </w:tblPr>
      <w:tblGrid>
        <w:gridCol w:w="4263"/>
        <w:gridCol w:w="4239"/>
      </w:tblGrid>
      <w:tr w:rsidR="00595DE2" w14:paraId="7FF36FAB" w14:textId="77777777" w:rsidTr="00595DE2">
        <w:tc>
          <w:tcPr>
            <w:tcW w:w="4263" w:type="dxa"/>
            <w:tcMar>
              <w:top w:w="32" w:type="dxa"/>
              <w:left w:w="108" w:type="dxa"/>
              <w:bottom w:w="32" w:type="dxa"/>
              <w:right w:w="108" w:type="dxa"/>
            </w:tcMar>
            <w:vAlign w:val="center"/>
            <w:hideMark/>
          </w:tcPr>
          <w:p w14:paraId="221043C5" w14:textId="77777777" w:rsidR="00595DE2" w:rsidRPr="00595DE2" w:rsidRDefault="00595DE2" w:rsidP="00154F14">
            <w:pPr>
              <w:keepNext/>
              <w:spacing w:before="120" w:after="120"/>
            </w:pPr>
            <w:r>
              <w:t>HEARD ON: </w:t>
            </w:r>
          </w:p>
        </w:tc>
        <w:tc>
          <w:tcPr>
            <w:tcW w:w="4239" w:type="dxa"/>
            <w:tcMar>
              <w:top w:w="32" w:type="dxa"/>
              <w:left w:w="108" w:type="dxa"/>
              <w:bottom w:w="32" w:type="dxa"/>
              <w:right w:w="108" w:type="dxa"/>
            </w:tcMar>
            <w:vAlign w:val="center"/>
            <w:hideMark/>
          </w:tcPr>
          <w:p w14:paraId="6504B07C" w14:textId="56E99C9D" w:rsidR="00595DE2" w:rsidRPr="00595DE2" w:rsidRDefault="00FE7A89" w:rsidP="00FE7A89">
            <w:pPr>
              <w:keepNext/>
              <w:spacing w:before="120" w:after="120"/>
              <w:jc w:val="both"/>
            </w:pPr>
            <w:r>
              <w:t>26</w:t>
            </w:r>
            <w:r w:rsidRPr="00FE7A89">
              <w:rPr>
                <w:vertAlign w:val="superscript"/>
              </w:rPr>
              <w:t>th</w:t>
            </w:r>
            <w:r>
              <w:t xml:space="preserve"> </w:t>
            </w:r>
            <w:r w:rsidR="000F3F58">
              <w:t>and 28</w:t>
            </w:r>
            <w:r w:rsidR="000F3F58" w:rsidRPr="000F3F58">
              <w:rPr>
                <w:vertAlign w:val="superscript"/>
              </w:rPr>
              <w:t>th</w:t>
            </w:r>
            <w:r w:rsidR="000F3F58">
              <w:t xml:space="preserve"> April</w:t>
            </w:r>
            <w:r w:rsidR="001428B6">
              <w:t xml:space="preserve"> 2022</w:t>
            </w:r>
            <w:r w:rsidR="00595DE2">
              <w:t xml:space="preserve"> – in a ‘virtual hearing’ during a videoconference on the </w:t>
            </w:r>
            <w:r w:rsidR="00595DE2" w:rsidRPr="00595DE2">
              <w:rPr>
                <w:i/>
              </w:rPr>
              <w:t>Microsoft Teams</w:t>
            </w:r>
            <w:r w:rsidR="00595DE2">
              <w:t>.</w:t>
            </w:r>
          </w:p>
        </w:tc>
      </w:tr>
      <w:tr w:rsidR="00595DE2" w14:paraId="33F45B32" w14:textId="77777777" w:rsidTr="00595DE2">
        <w:tc>
          <w:tcPr>
            <w:tcW w:w="4263" w:type="dxa"/>
            <w:tcMar>
              <w:top w:w="32" w:type="dxa"/>
              <w:left w:w="108" w:type="dxa"/>
              <w:bottom w:w="32" w:type="dxa"/>
              <w:right w:w="108" w:type="dxa"/>
            </w:tcMar>
            <w:vAlign w:val="center"/>
            <w:hideMark/>
          </w:tcPr>
          <w:p w14:paraId="390FDF2B" w14:textId="77777777" w:rsidR="00595DE2" w:rsidRPr="00595DE2" w:rsidRDefault="00595DE2" w:rsidP="00154F14">
            <w:pPr>
              <w:keepNext/>
              <w:spacing w:before="120" w:after="120"/>
            </w:pPr>
            <w:r>
              <w:t>JUDGMENT DATE: </w:t>
            </w:r>
          </w:p>
        </w:tc>
        <w:tc>
          <w:tcPr>
            <w:tcW w:w="4239" w:type="dxa"/>
            <w:tcMar>
              <w:top w:w="32" w:type="dxa"/>
              <w:left w:w="108" w:type="dxa"/>
              <w:bottom w:w="32" w:type="dxa"/>
              <w:right w:w="108" w:type="dxa"/>
            </w:tcMar>
            <w:vAlign w:val="center"/>
            <w:hideMark/>
          </w:tcPr>
          <w:p w14:paraId="30F14BC4" w14:textId="1A3A5412" w:rsidR="00595DE2" w:rsidRDefault="008C5ABA" w:rsidP="008C5ABA">
            <w:pPr>
              <w:keepNext/>
              <w:spacing w:before="120" w:after="120"/>
              <w:jc w:val="both"/>
            </w:pPr>
            <w:r>
              <w:t>2</w:t>
            </w:r>
            <w:r w:rsidRPr="008C5ABA">
              <w:rPr>
                <w:vertAlign w:val="superscript"/>
              </w:rPr>
              <w:t>nd</w:t>
            </w:r>
            <w:r>
              <w:t xml:space="preserve"> </w:t>
            </w:r>
            <w:r w:rsidR="000F3F58">
              <w:t>September</w:t>
            </w:r>
            <w:r w:rsidR="00A94BD0">
              <w:t xml:space="preserve"> 2022</w:t>
            </w:r>
            <w:r w:rsidR="00595DE2">
              <w:t xml:space="preserve"> – judgment handed down electronically</w:t>
            </w:r>
          </w:p>
        </w:tc>
      </w:tr>
      <w:tr w:rsidR="00595DE2" w14:paraId="57088DC0" w14:textId="77777777" w:rsidTr="00595DE2">
        <w:tc>
          <w:tcPr>
            <w:tcW w:w="4263" w:type="dxa"/>
            <w:tcMar>
              <w:top w:w="32" w:type="dxa"/>
              <w:left w:w="108" w:type="dxa"/>
              <w:bottom w:w="32" w:type="dxa"/>
              <w:right w:w="108" w:type="dxa"/>
            </w:tcMar>
            <w:vAlign w:val="center"/>
            <w:hideMark/>
          </w:tcPr>
          <w:p w14:paraId="405B6175" w14:textId="26C5C668" w:rsidR="00595DE2" w:rsidRPr="00595DE2" w:rsidRDefault="00595DE2" w:rsidP="0012138E">
            <w:pPr>
              <w:keepNext/>
              <w:spacing w:before="120" w:after="120"/>
            </w:pPr>
            <w:r>
              <w:t xml:space="preserve">FOR THE </w:t>
            </w:r>
            <w:r w:rsidR="000F3F58">
              <w:t xml:space="preserve">APPLICANT </w:t>
            </w:r>
            <w:r w:rsidR="0012138E">
              <w:t xml:space="preserve">(SGB-CAPE) </w:t>
            </w:r>
            <w:r w:rsidR="000F3F58">
              <w:t xml:space="preserve">IN </w:t>
            </w:r>
            <w:r w:rsidR="0012138E">
              <w:t>THE FIRST MATTER</w:t>
            </w:r>
            <w:r>
              <w:t>: </w:t>
            </w:r>
          </w:p>
        </w:tc>
        <w:tc>
          <w:tcPr>
            <w:tcW w:w="4239" w:type="dxa"/>
            <w:tcMar>
              <w:top w:w="32" w:type="dxa"/>
              <w:left w:w="108" w:type="dxa"/>
              <w:bottom w:w="32" w:type="dxa"/>
              <w:right w:w="108" w:type="dxa"/>
            </w:tcMar>
            <w:vAlign w:val="center"/>
            <w:hideMark/>
          </w:tcPr>
          <w:p w14:paraId="0CB6AC9C" w14:textId="37F443C5" w:rsidR="00595DE2" w:rsidRPr="00595DE2" w:rsidRDefault="00B32C3A" w:rsidP="0012138E">
            <w:pPr>
              <w:keepNext/>
              <w:spacing w:before="120" w:after="120"/>
            </w:pPr>
            <w:r>
              <w:t>Adv</w:t>
            </w:r>
            <w:r w:rsidR="00595DE2">
              <w:t xml:space="preserve"> </w:t>
            </w:r>
            <w:r w:rsidR="0012138E">
              <w:t>W</w:t>
            </w:r>
            <w:r w:rsidR="00A94BD0">
              <w:t xml:space="preserve"> </w:t>
            </w:r>
            <w:r w:rsidR="0012138E">
              <w:t>Mokhari</w:t>
            </w:r>
            <w:r>
              <w:t xml:space="preserve"> SC</w:t>
            </w:r>
            <w:r w:rsidR="00A94BD0">
              <w:t xml:space="preserve">, together with Advocate </w:t>
            </w:r>
            <w:r>
              <w:t>S</w:t>
            </w:r>
            <w:r w:rsidR="00A94BD0">
              <w:t xml:space="preserve"> </w:t>
            </w:r>
            <w:r w:rsidR="0012138E">
              <w:t>Mathiba</w:t>
            </w:r>
          </w:p>
        </w:tc>
      </w:tr>
      <w:tr w:rsidR="00595DE2" w14:paraId="67BDB5ED" w14:textId="77777777" w:rsidTr="00595DE2">
        <w:tc>
          <w:tcPr>
            <w:tcW w:w="4263" w:type="dxa"/>
            <w:tcMar>
              <w:top w:w="32" w:type="dxa"/>
              <w:left w:w="108" w:type="dxa"/>
              <w:bottom w:w="32" w:type="dxa"/>
              <w:right w:w="108" w:type="dxa"/>
            </w:tcMar>
            <w:vAlign w:val="center"/>
            <w:hideMark/>
          </w:tcPr>
          <w:p w14:paraId="7E32D79D" w14:textId="77777777" w:rsidR="00595DE2" w:rsidRPr="00595DE2" w:rsidRDefault="00595DE2" w:rsidP="00154F14">
            <w:pPr>
              <w:keepNext/>
              <w:spacing w:before="120" w:after="120"/>
            </w:pPr>
            <w:r>
              <w:t>INSTRUCTED BY: </w:t>
            </w:r>
          </w:p>
        </w:tc>
        <w:tc>
          <w:tcPr>
            <w:tcW w:w="4239" w:type="dxa"/>
            <w:tcMar>
              <w:top w:w="32" w:type="dxa"/>
              <w:left w:w="108" w:type="dxa"/>
              <w:bottom w:w="32" w:type="dxa"/>
              <w:right w:w="108" w:type="dxa"/>
            </w:tcMar>
            <w:vAlign w:val="center"/>
            <w:hideMark/>
          </w:tcPr>
          <w:p w14:paraId="7F868C34" w14:textId="79740841" w:rsidR="00595DE2" w:rsidRPr="00595DE2" w:rsidRDefault="0012138E" w:rsidP="00154F14">
            <w:pPr>
              <w:keepNext/>
              <w:spacing w:before="120" w:after="120"/>
            </w:pPr>
            <w:r>
              <w:t>Werksmans Attorneys</w:t>
            </w:r>
            <w:r w:rsidR="00486326">
              <w:t xml:space="preserve">, </w:t>
            </w:r>
            <w:r w:rsidR="00B32C3A">
              <w:t>Sandton.</w:t>
            </w:r>
          </w:p>
        </w:tc>
      </w:tr>
      <w:tr w:rsidR="00595DE2" w14:paraId="5B80B11B" w14:textId="77777777" w:rsidTr="00595DE2">
        <w:tc>
          <w:tcPr>
            <w:tcW w:w="4263" w:type="dxa"/>
            <w:tcMar>
              <w:top w:w="32" w:type="dxa"/>
              <w:left w:w="108" w:type="dxa"/>
              <w:bottom w:w="32" w:type="dxa"/>
              <w:right w:w="108" w:type="dxa"/>
            </w:tcMar>
            <w:vAlign w:val="center"/>
            <w:hideMark/>
          </w:tcPr>
          <w:p w14:paraId="73F93BDB" w14:textId="3F041986" w:rsidR="00595DE2" w:rsidRPr="00595DE2" w:rsidRDefault="00595DE2" w:rsidP="0012138E">
            <w:pPr>
              <w:keepNext/>
              <w:spacing w:before="120" w:after="120"/>
            </w:pPr>
            <w:r>
              <w:t xml:space="preserve">FOR THE </w:t>
            </w:r>
            <w:r w:rsidR="0012138E">
              <w:t>APPLICANT (TMS GROUP) IN THE SECOND MATTER</w:t>
            </w:r>
            <w:r>
              <w:t>: </w:t>
            </w:r>
          </w:p>
        </w:tc>
        <w:tc>
          <w:tcPr>
            <w:tcW w:w="4239" w:type="dxa"/>
            <w:tcMar>
              <w:top w:w="32" w:type="dxa"/>
              <w:left w:w="108" w:type="dxa"/>
              <w:bottom w:w="32" w:type="dxa"/>
              <w:right w:w="108" w:type="dxa"/>
            </w:tcMar>
            <w:vAlign w:val="center"/>
            <w:hideMark/>
          </w:tcPr>
          <w:p w14:paraId="3B7A3CF1" w14:textId="71081840" w:rsidR="00595DE2" w:rsidRDefault="00F933D8" w:rsidP="0012138E">
            <w:pPr>
              <w:keepNext/>
              <w:spacing w:before="120" w:after="120"/>
            </w:pPr>
            <w:r>
              <w:t>Adv</w:t>
            </w:r>
            <w:r w:rsidR="00595DE2">
              <w:t xml:space="preserve"> </w:t>
            </w:r>
            <w:r w:rsidR="0012138E">
              <w:t>Dennis Fine</w:t>
            </w:r>
            <w:r w:rsidR="002D2AF2">
              <w:t xml:space="preserve"> SC</w:t>
            </w:r>
            <w:r>
              <w:t>,</w:t>
            </w:r>
            <w:r w:rsidR="0020206C">
              <w:t xml:space="preserve"> together</w:t>
            </w:r>
            <w:r>
              <w:t xml:space="preserve"> with Advocate</w:t>
            </w:r>
            <w:r w:rsidR="0012138E">
              <w:t> Nada</w:t>
            </w:r>
            <w:r>
              <w:t xml:space="preserve"> </w:t>
            </w:r>
            <w:r w:rsidR="0012138E">
              <w:t>Kakaza and Advocate Henri-Willem Van Eetveldt</w:t>
            </w:r>
            <w:r>
              <w:t xml:space="preserve"> </w:t>
            </w:r>
          </w:p>
        </w:tc>
      </w:tr>
      <w:tr w:rsidR="00595DE2" w14:paraId="4F06BB27" w14:textId="77777777" w:rsidTr="00595DE2">
        <w:tc>
          <w:tcPr>
            <w:tcW w:w="4263" w:type="dxa"/>
            <w:tcMar>
              <w:top w:w="32" w:type="dxa"/>
              <w:left w:w="108" w:type="dxa"/>
              <w:bottom w:w="32" w:type="dxa"/>
              <w:right w:w="108" w:type="dxa"/>
            </w:tcMar>
            <w:vAlign w:val="center"/>
            <w:hideMark/>
          </w:tcPr>
          <w:p w14:paraId="7317448D" w14:textId="77777777" w:rsidR="00595DE2" w:rsidRPr="00595DE2" w:rsidRDefault="00595DE2" w:rsidP="00154F14">
            <w:pPr>
              <w:keepNext/>
              <w:spacing w:before="120" w:after="120"/>
            </w:pPr>
            <w:r>
              <w:t>INSTRUCTED BY: </w:t>
            </w:r>
          </w:p>
        </w:tc>
        <w:tc>
          <w:tcPr>
            <w:tcW w:w="4239" w:type="dxa"/>
            <w:tcMar>
              <w:top w:w="32" w:type="dxa"/>
              <w:left w:w="108" w:type="dxa"/>
              <w:bottom w:w="32" w:type="dxa"/>
              <w:right w:w="108" w:type="dxa"/>
            </w:tcMar>
            <w:vAlign w:val="center"/>
            <w:hideMark/>
          </w:tcPr>
          <w:p w14:paraId="5EADDD11" w14:textId="25367B0B" w:rsidR="00595DE2" w:rsidRPr="00595DE2" w:rsidRDefault="000079B1" w:rsidP="000079B1">
            <w:pPr>
              <w:keepNext/>
              <w:spacing w:before="120" w:after="120"/>
            </w:pPr>
            <w:r>
              <w:t>Dingiswayo Du Plessis Van der Merwe</w:t>
            </w:r>
            <w:r w:rsidR="00B32C3A">
              <w:t xml:space="preserve"> </w:t>
            </w:r>
            <w:r>
              <w:t>Incorporated</w:t>
            </w:r>
            <w:r w:rsidR="00486326">
              <w:t xml:space="preserve">, </w:t>
            </w:r>
            <w:r>
              <w:t>Sandton</w:t>
            </w:r>
            <w:r w:rsidR="002D2AF2">
              <w:t xml:space="preserve"> </w:t>
            </w:r>
            <w:r w:rsidR="00595DE2">
              <w:t xml:space="preserve">  </w:t>
            </w:r>
          </w:p>
        </w:tc>
      </w:tr>
      <w:tr w:rsidR="007D7C2F" w14:paraId="0590A617" w14:textId="77777777" w:rsidTr="007D7C2F">
        <w:tc>
          <w:tcPr>
            <w:tcW w:w="4263" w:type="dxa"/>
            <w:tcMar>
              <w:top w:w="32" w:type="dxa"/>
              <w:left w:w="108" w:type="dxa"/>
              <w:bottom w:w="32" w:type="dxa"/>
              <w:right w:w="108" w:type="dxa"/>
            </w:tcMar>
            <w:vAlign w:val="center"/>
            <w:hideMark/>
          </w:tcPr>
          <w:p w14:paraId="43E8B8EB" w14:textId="3B5EB9FE" w:rsidR="007D7C2F" w:rsidRPr="00595DE2" w:rsidRDefault="007D7C2F" w:rsidP="0020206C">
            <w:pPr>
              <w:keepNext/>
              <w:spacing w:before="120" w:after="120"/>
            </w:pPr>
            <w:r>
              <w:t xml:space="preserve">FOR THE </w:t>
            </w:r>
            <w:r w:rsidR="0020206C">
              <w:t>APPLICANT (SOUTHEY CONTRACTING)</w:t>
            </w:r>
            <w:r w:rsidR="00B32C3A">
              <w:t xml:space="preserve"> </w:t>
            </w:r>
            <w:r w:rsidR="0020206C">
              <w:t>IN THE THIRD MATTER</w:t>
            </w:r>
            <w:r>
              <w:t>: </w:t>
            </w:r>
          </w:p>
        </w:tc>
        <w:tc>
          <w:tcPr>
            <w:tcW w:w="4239" w:type="dxa"/>
            <w:tcMar>
              <w:top w:w="32" w:type="dxa"/>
              <w:left w:w="108" w:type="dxa"/>
              <w:bottom w:w="32" w:type="dxa"/>
              <w:right w:w="108" w:type="dxa"/>
            </w:tcMar>
            <w:vAlign w:val="center"/>
            <w:hideMark/>
          </w:tcPr>
          <w:p w14:paraId="520ADB6C" w14:textId="492B89DE" w:rsidR="007D7C2F" w:rsidRDefault="00F933D8" w:rsidP="00E32020">
            <w:pPr>
              <w:keepNext/>
              <w:spacing w:before="120" w:after="120"/>
            </w:pPr>
            <w:r>
              <w:t xml:space="preserve">Adv </w:t>
            </w:r>
            <w:r w:rsidR="0020206C">
              <w:t>Andrew Kemack</w:t>
            </w:r>
            <w:r>
              <w:t xml:space="preserve"> SC, together with Advocate </w:t>
            </w:r>
            <w:r w:rsidR="00E32020">
              <w:t>Maryke Nieuwoudt</w:t>
            </w:r>
          </w:p>
        </w:tc>
      </w:tr>
      <w:tr w:rsidR="007D7C2F" w14:paraId="0D36A1E4" w14:textId="77777777" w:rsidTr="007D7C2F">
        <w:tc>
          <w:tcPr>
            <w:tcW w:w="4263" w:type="dxa"/>
            <w:tcMar>
              <w:top w:w="32" w:type="dxa"/>
              <w:left w:w="108" w:type="dxa"/>
              <w:bottom w:w="32" w:type="dxa"/>
              <w:right w:w="108" w:type="dxa"/>
            </w:tcMar>
            <w:vAlign w:val="center"/>
            <w:hideMark/>
          </w:tcPr>
          <w:p w14:paraId="19406A65" w14:textId="77777777" w:rsidR="007D7C2F" w:rsidRPr="00595DE2" w:rsidRDefault="007D7C2F" w:rsidP="00154F14">
            <w:pPr>
              <w:keepNext/>
              <w:spacing w:before="120" w:after="120"/>
            </w:pPr>
            <w:r>
              <w:t>INSTRUCTED BY: </w:t>
            </w:r>
          </w:p>
        </w:tc>
        <w:tc>
          <w:tcPr>
            <w:tcW w:w="4239" w:type="dxa"/>
            <w:tcMar>
              <w:top w:w="32" w:type="dxa"/>
              <w:left w:w="108" w:type="dxa"/>
              <w:bottom w:w="32" w:type="dxa"/>
              <w:right w:w="108" w:type="dxa"/>
            </w:tcMar>
            <w:vAlign w:val="center"/>
            <w:hideMark/>
          </w:tcPr>
          <w:p w14:paraId="573E5458" w14:textId="4DA9C42F" w:rsidR="007D7C2F" w:rsidRPr="00595DE2" w:rsidRDefault="00E32020" w:rsidP="00154F14">
            <w:pPr>
              <w:keepNext/>
              <w:spacing w:before="120" w:after="120"/>
            </w:pPr>
            <w:r>
              <w:t xml:space="preserve">MDA Attorneys, Houghton, Johannesburg   </w:t>
            </w:r>
          </w:p>
        </w:tc>
      </w:tr>
      <w:tr w:rsidR="007D7C2F" w14:paraId="0052EEFC" w14:textId="77777777" w:rsidTr="007D7C2F">
        <w:tc>
          <w:tcPr>
            <w:tcW w:w="4263" w:type="dxa"/>
            <w:tcMar>
              <w:top w:w="32" w:type="dxa"/>
              <w:left w:w="108" w:type="dxa"/>
              <w:bottom w:w="32" w:type="dxa"/>
              <w:right w:w="108" w:type="dxa"/>
            </w:tcMar>
            <w:vAlign w:val="center"/>
            <w:hideMark/>
          </w:tcPr>
          <w:p w14:paraId="4F07AE75" w14:textId="11DE4513" w:rsidR="007D7C2F" w:rsidRPr="00595DE2" w:rsidRDefault="007D7C2F" w:rsidP="00E32020">
            <w:pPr>
              <w:keepNext/>
              <w:spacing w:before="120" w:after="120"/>
            </w:pPr>
            <w:r>
              <w:t>FOR THE</w:t>
            </w:r>
            <w:r w:rsidR="00554806">
              <w:t xml:space="preserve"> </w:t>
            </w:r>
            <w:r w:rsidR="00E32020">
              <w:t>FIRST RESPONDENT (ESKOM) IN ALL THREE APPLICATIONS</w:t>
            </w:r>
            <w:r>
              <w:t>: </w:t>
            </w:r>
          </w:p>
        </w:tc>
        <w:tc>
          <w:tcPr>
            <w:tcW w:w="4239" w:type="dxa"/>
            <w:tcMar>
              <w:top w:w="32" w:type="dxa"/>
              <w:left w:w="108" w:type="dxa"/>
              <w:bottom w:w="32" w:type="dxa"/>
              <w:right w:w="108" w:type="dxa"/>
            </w:tcMar>
            <w:vAlign w:val="center"/>
            <w:hideMark/>
          </w:tcPr>
          <w:p w14:paraId="74BC8BFA" w14:textId="24D810E3" w:rsidR="007D7C2F" w:rsidRDefault="00554806" w:rsidP="00E32020">
            <w:pPr>
              <w:keepNext/>
              <w:spacing w:before="120" w:after="120"/>
            </w:pPr>
            <w:r>
              <w:t>Adv</w:t>
            </w:r>
            <w:r w:rsidR="007D7C2F">
              <w:t xml:space="preserve"> </w:t>
            </w:r>
            <w:r w:rsidR="00E32020">
              <w:t xml:space="preserve">Ngwako Maenetje </w:t>
            </w:r>
            <w:r w:rsidR="007D7C2F">
              <w:t>SC</w:t>
            </w:r>
            <w:r>
              <w:t xml:space="preserve">, with Advocate </w:t>
            </w:r>
            <w:r w:rsidR="00E32020">
              <w:t>Hephzibah</w:t>
            </w:r>
            <w:r w:rsidR="00F933D8">
              <w:t xml:space="preserve"> </w:t>
            </w:r>
            <w:r>
              <w:t xml:space="preserve"> </w:t>
            </w:r>
            <w:r w:rsidR="00E32020">
              <w:t>Rajah</w:t>
            </w:r>
            <w:r w:rsidR="00F933D8">
              <w:t xml:space="preserve"> </w:t>
            </w:r>
            <w:r>
              <w:t xml:space="preserve">   </w:t>
            </w:r>
          </w:p>
        </w:tc>
      </w:tr>
      <w:tr w:rsidR="007D7C2F" w14:paraId="6F33BEEC" w14:textId="77777777" w:rsidTr="007D7C2F">
        <w:tc>
          <w:tcPr>
            <w:tcW w:w="4263" w:type="dxa"/>
            <w:tcMar>
              <w:top w:w="32" w:type="dxa"/>
              <w:left w:w="108" w:type="dxa"/>
              <w:bottom w:w="32" w:type="dxa"/>
              <w:right w:w="108" w:type="dxa"/>
            </w:tcMar>
            <w:vAlign w:val="center"/>
            <w:hideMark/>
          </w:tcPr>
          <w:p w14:paraId="08A6E216" w14:textId="77777777" w:rsidR="007D7C2F" w:rsidRPr="00595DE2" w:rsidRDefault="007D7C2F" w:rsidP="00901ACC">
            <w:pPr>
              <w:spacing w:before="120" w:after="120"/>
            </w:pPr>
            <w:r>
              <w:t>INSTRUCTED BY: </w:t>
            </w:r>
          </w:p>
        </w:tc>
        <w:tc>
          <w:tcPr>
            <w:tcW w:w="4239" w:type="dxa"/>
            <w:tcMar>
              <w:top w:w="32" w:type="dxa"/>
              <w:left w:w="108" w:type="dxa"/>
              <w:bottom w:w="32" w:type="dxa"/>
              <w:right w:w="108" w:type="dxa"/>
            </w:tcMar>
            <w:vAlign w:val="center"/>
            <w:hideMark/>
          </w:tcPr>
          <w:p w14:paraId="053C23BD" w14:textId="65EC60FF" w:rsidR="007D7C2F" w:rsidRPr="00595DE2" w:rsidRDefault="00014DA4" w:rsidP="00014DA4">
            <w:pPr>
              <w:spacing w:before="120" w:after="120"/>
            </w:pPr>
            <w:r>
              <w:t>Mchunu Attorneys</w:t>
            </w:r>
            <w:r w:rsidR="00554806">
              <w:t xml:space="preserve">, </w:t>
            </w:r>
            <w:r>
              <w:t>Rosebank, Johannesburg</w:t>
            </w:r>
            <w:r w:rsidR="00554806">
              <w:t xml:space="preserve">   </w:t>
            </w:r>
          </w:p>
        </w:tc>
      </w:tr>
      <w:tr w:rsidR="007D7C2F" w14:paraId="6EFC50CD" w14:textId="77777777" w:rsidTr="007D7C2F">
        <w:tc>
          <w:tcPr>
            <w:tcW w:w="4263" w:type="dxa"/>
            <w:tcMar>
              <w:top w:w="32" w:type="dxa"/>
              <w:left w:w="108" w:type="dxa"/>
              <w:bottom w:w="32" w:type="dxa"/>
              <w:right w:w="108" w:type="dxa"/>
            </w:tcMar>
            <w:vAlign w:val="center"/>
            <w:hideMark/>
          </w:tcPr>
          <w:p w14:paraId="4F6C91DA" w14:textId="47D68E55" w:rsidR="007D7C2F" w:rsidRPr="00595DE2" w:rsidRDefault="007D7C2F" w:rsidP="00014DA4">
            <w:pPr>
              <w:spacing w:before="120" w:after="120"/>
            </w:pPr>
            <w:r>
              <w:t xml:space="preserve">FOR THE </w:t>
            </w:r>
            <w:r w:rsidR="00014DA4">
              <w:t xml:space="preserve">SECOND </w:t>
            </w:r>
            <w:r w:rsidR="00D45645">
              <w:t xml:space="preserve">TO </w:t>
            </w:r>
            <w:r w:rsidR="00014DA4">
              <w:t>FIFTH</w:t>
            </w:r>
            <w:r w:rsidR="008959D2">
              <w:t xml:space="preserve"> RESPONDENT</w:t>
            </w:r>
            <w:r w:rsidR="00014DA4">
              <w:t>S IN ALL THREE MATTERS</w:t>
            </w:r>
            <w:r>
              <w:t>: </w:t>
            </w:r>
          </w:p>
        </w:tc>
        <w:tc>
          <w:tcPr>
            <w:tcW w:w="4239" w:type="dxa"/>
            <w:tcMar>
              <w:top w:w="32" w:type="dxa"/>
              <w:left w:w="108" w:type="dxa"/>
              <w:bottom w:w="32" w:type="dxa"/>
              <w:right w:w="108" w:type="dxa"/>
            </w:tcMar>
            <w:vAlign w:val="center"/>
            <w:hideMark/>
          </w:tcPr>
          <w:p w14:paraId="1324346F" w14:textId="6FCA582D" w:rsidR="007D7C2F" w:rsidRDefault="00D45645" w:rsidP="008959D2">
            <w:pPr>
              <w:spacing w:before="120" w:after="120"/>
            </w:pPr>
            <w:r>
              <w:t>No Appearance</w:t>
            </w:r>
            <w:r w:rsidR="008959D2">
              <w:t xml:space="preserve"> </w:t>
            </w:r>
          </w:p>
        </w:tc>
      </w:tr>
      <w:tr w:rsidR="007D7C2F" w14:paraId="42C092B9" w14:textId="77777777" w:rsidTr="007D7C2F">
        <w:tc>
          <w:tcPr>
            <w:tcW w:w="4263" w:type="dxa"/>
            <w:tcMar>
              <w:top w:w="32" w:type="dxa"/>
              <w:left w:w="108" w:type="dxa"/>
              <w:bottom w:w="32" w:type="dxa"/>
              <w:right w:w="108" w:type="dxa"/>
            </w:tcMar>
            <w:vAlign w:val="center"/>
            <w:hideMark/>
          </w:tcPr>
          <w:p w14:paraId="60B4B771" w14:textId="77777777" w:rsidR="007D7C2F" w:rsidRPr="00595DE2" w:rsidRDefault="007D7C2F" w:rsidP="00901ACC">
            <w:pPr>
              <w:spacing w:before="120" w:after="120"/>
            </w:pPr>
            <w:r>
              <w:t>INSTRUCTED BY: </w:t>
            </w:r>
          </w:p>
        </w:tc>
        <w:tc>
          <w:tcPr>
            <w:tcW w:w="4239" w:type="dxa"/>
            <w:tcMar>
              <w:top w:w="32" w:type="dxa"/>
              <w:left w:w="108" w:type="dxa"/>
              <w:bottom w:w="32" w:type="dxa"/>
              <w:right w:w="108" w:type="dxa"/>
            </w:tcMar>
            <w:vAlign w:val="center"/>
            <w:hideMark/>
          </w:tcPr>
          <w:p w14:paraId="0FEE4458" w14:textId="0DE09E5A" w:rsidR="007D7C2F" w:rsidRPr="00595DE2" w:rsidRDefault="00D45645" w:rsidP="008F2E2F">
            <w:pPr>
              <w:spacing w:before="120" w:after="120"/>
            </w:pPr>
            <w:r>
              <w:t>No appearance</w:t>
            </w:r>
            <w:r w:rsidR="007D7C2F">
              <w:t xml:space="preserve">   </w:t>
            </w:r>
          </w:p>
        </w:tc>
      </w:tr>
    </w:tbl>
    <w:p w14:paraId="5046A92C" w14:textId="77777777" w:rsidR="002F15F5" w:rsidRPr="00D63801" w:rsidRDefault="002F15F5" w:rsidP="00602C15">
      <w:pPr>
        <w:keepNext/>
        <w:keepLines/>
        <w:tabs>
          <w:tab w:val="left" w:pos="0"/>
        </w:tabs>
        <w:rPr>
          <w:b/>
        </w:rPr>
      </w:pPr>
    </w:p>
    <w:sectPr w:rsidR="002F15F5" w:rsidRPr="00D63801" w:rsidSect="005E3F79">
      <w:headerReference w:type="even" r:id="rId9"/>
      <w:headerReference w:type="default" r:id="rId10"/>
      <w:headerReference w:type="firs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70A2D" w14:textId="77777777" w:rsidR="00C26D4B" w:rsidRDefault="00C26D4B">
      <w:pPr>
        <w:spacing w:line="20" w:lineRule="exact"/>
      </w:pPr>
    </w:p>
  </w:endnote>
  <w:endnote w:type="continuationSeparator" w:id="0">
    <w:p w14:paraId="56848C5F" w14:textId="77777777" w:rsidR="00C26D4B" w:rsidRDefault="00C26D4B">
      <w:r>
        <w:t xml:space="preserve"> </w:t>
      </w:r>
    </w:p>
  </w:endnote>
  <w:endnote w:type="continuationNotice" w:id="1">
    <w:p w14:paraId="37808E69" w14:textId="77777777" w:rsidR="00C26D4B" w:rsidRDefault="00C26D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D7DD5" w14:textId="77777777" w:rsidR="00C26D4B" w:rsidRDefault="00C26D4B">
      <w:r>
        <w:separator/>
      </w:r>
    </w:p>
  </w:footnote>
  <w:footnote w:type="continuationSeparator" w:id="0">
    <w:p w14:paraId="701DFB88" w14:textId="77777777" w:rsidR="00C26D4B" w:rsidRDefault="00C26D4B">
      <w:r>
        <w:continuationSeparator/>
      </w:r>
    </w:p>
  </w:footnote>
  <w:footnote w:id="1">
    <w:p w14:paraId="234BE2EE" w14:textId="11C15EB3" w:rsidR="0030055C" w:rsidRDefault="0030055C">
      <w:pPr>
        <w:pStyle w:val="FootnoteText"/>
      </w:pPr>
      <w:r>
        <w:rPr>
          <w:rStyle w:val="FootnoteReference"/>
        </w:rPr>
        <w:footnoteRef/>
      </w:r>
      <w:r>
        <w:t xml:space="preserve"> </w:t>
      </w:r>
      <w:r w:rsidRPr="004E60BA">
        <w:rPr>
          <w:i/>
          <w:color w:val="000000"/>
        </w:rPr>
        <w:t xml:space="preserve">AllPay Consolidated Investment Holdings (Pty) Ltd and others v Chief Executive Officer of the South African Social Security Agency and others (Corruption Watch and another as </w:t>
      </w:r>
      <w:r w:rsidRPr="004E60BA">
        <w:rPr>
          <w:color w:val="000000"/>
        </w:rPr>
        <w:t>amici curiae</w:t>
      </w:r>
      <w:r w:rsidRPr="004E60BA">
        <w:rPr>
          <w:i/>
          <w:color w:val="000000"/>
        </w:rPr>
        <w:t>)</w:t>
      </w:r>
      <w:r w:rsidRPr="004E60BA">
        <w:rPr>
          <w:color w:val="000000"/>
        </w:rPr>
        <w:t xml:space="preserve"> 2014 (1) BCLR 1 (CC)</w:t>
      </w:r>
      <w:r>
        <w:rPr>
          <w:color w:val="000000"/>
        </w:rPr>
        <w:t xml:space="preserve">; </w:t>
      </w:r>
    </w:p>
  </w:footnote>
  <w:footnote w:id="2">
    <w:p w14:paraId="15F26F15" w14:textId="082EE4DC" w:rsidR="0030055C" w:rsidRDefault="0030055C">
      <w:pPr>
        <w:pStyle w:val="FootnoteText"/>
      </w:pPr>
      <w:r>
        <w:rPr>
          <w:rStyle w:val="FootnoteReference"/>
        </w:rPr>
        <w:footnoteRef/>
      </w:r>
      <w:r>
        <w:t xml:space="preserve"> </w:t>
      </w:r>
      <w:r w:rsidRPr="00E47053">
        <w:rPr>
          <w:i/>
          <w:color w:val="000000"/>
        </w:rPr>
        <w:t>South African Container Stevedores (Pty) Ltd v Transnet Port Terminals</w:t>
      </w:r>
      <w:r w:rsidRPr="00E47053">
        <w:rPr>
          <w:color w:val="000000"/>
        </w:rPr>
        <w:t xml:space="preserve"> 2011 JDR 0357 (KZD)</w:t>
      </w:r>
      <w:r>
        <w:rPr>
          <w:color w:val="000000"/>
        </w:rPr>
        <w:t xml:space="preserve">; </w:t>
      </w:r>
    </w:p>
  </w:footnote>
  <w:footnote w:id="3">
    <w:p w14:paraId="1A96A4D9" w14:textId="07615891" w:rsidR="0030055C" w:rsidRDefault="0030055C">
      <w:pPr>
        <w:pStyle w:val="FootnoteText"/>
      </w:pPr>
      <w:r>
        <w:rPr>
          <w:rStyle w:val="FootnoteReference"/>
        </w:rPr>
        <w:footnoteRef/>
      </w:r>
      <w:r>
        <w:t xml:space="preserve"> </w:t>
      </w:r>
      <w:r w:rsidRPr="0005119B">
        <w:rPr>
          <w:i/>
          <w:color w:val="000000"/>
        </w:rPr>
        <w:t>Rainbow Civils CC v Minister of Transport and Public Works, Western Cape</w:t>
      </w:r>
      <w:r w:rsidRPr="0005119B">
        <w:rPr>
          <w:color w:val="000000"/>
        </w:rPr>
        <w:t xml:space="preserve"> [2013] ZAWCH 3 (WCC)</w:t>
      </w:r>
      <w:r>
        <w:rPr>
          <w:color w:val="000000"/>
        </w:rPr>
        <w:t>;</w:t>
      </w:r>
    </w:p>
  </w:footnote>
  <w:footnote w:id="4">
    <w:p w14:paraId="4056BD1C" w14:textId="75E35776" w:rsidR="00CF4E28" w:rsidRDefault="00CF4E28">
      <w:pPr>
        <w:pStyle w:val="FootnoteText"/>
      </w:pPr>
      <w:r>
        <w:rPr>
          <w:rStyle w:val="FootnoteReference"/>
        </w:rPr>
        <w:footnoteRef/>
      </w:r>
      <w:r>
        <w:t xml:space="preserve"> </w:t>
      </w:r>
      <w:r w:rsidRPr="009629DF">
        <w:rPr>
          <w:i/>
          <w:color w:val="000000"/>
        </w:rPr>
        <w:t>Rodpaul Construction (Pty) Ltd t/a Rod’s Construction v Breede Valley Municipality and Others</w:t>
      </w:r>
      <w:r w:rsidRPr="009629DF">
        <w:rPr>
          <w:color w:val="000000"/>
        </w:rPr>
        <w:t xml:space="preserve"> Case No 6435/2022</w:t>
      </w:r>
      <w:r>
        <w:rPr>
          <w:color w:val="000000"/>
        </w:rPr>
        <w:t>, WCCHC</w:t>
      </w:r>
      <w:r w:rsidRPr="009629DF">
        <w:rPr>
          <w:color w:val="000000"/>
        </w:rPr>
        <w:t xml:space="preserve"> (24 March 2022)</w:t>
      </w:r>
      <w:r>
        <w:rPr>
          <w:color w:val="000000"/>
        </w:rPr>
        <w:t>, U</w:t>
      </w:r>
      <w:r w:rsidRPr="009629DF">
        <w:rPr>
          <w:color w:val="000000"/>
        </w:rPr>
        <w:t>nreported</w:t>
      </w:r>
      <w:r>
        <w:rPr>
          <w:color w:val="000000"/>
        </w:rPr>
        <w:t xml:space="preserve">; </w:t>
      </w:r>
    </w:p>
  </w:footnote>
  <w:footnote w:id="5">
    <w:p w14:paraId="2D11E421" w14:textId="77777777" w:rsidR="0030055C" w:rsidRPr="00B51B6D" w:rsidRDefault="0030055C">
      <w:pPr>
        <w:pStyle w:val="FootnoteText"/>
        <w:rPr>
          <w:lang w:val="en-US"/>
        </w:rPr>
      </w:pPr>
      <w:r>
        <w:rPr>
          <w:rStyle w:val="FootnoteReference"/>
        </w:rPr>
        <w:footnoteRef/>
      </w:r>
      <w:r>
        <w:t xml:space="preserve"> </w:t>
      </w:r>
      <w:r w:rsidRPr="005F0586">
        <w:rPr>
          <w:rFonts w:cs="Arial"/>
          <w:i/>
        </w:rPr>
        <w:t>Myers v Abramson</w:t>
      </w:r>
      <w:r>
        <w:rPr>
          <w:rFonts w:cs="Arial"/>
        </w:rPr>
        <w:t>,</w:t>
      </w:r>
      <w:r w:rsidRPr="005F0586">
        <w:rPr>
          <w:rFonts w:cs="Arial"/>
        </w:rPr>
        <w:t>1951(3) SA 438 (C) at 455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AEB2" w14:textId="77777777" w:rsidR="0030055C" w:rsidRDefault="003005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2ADE5" w14:textId="77777777" w:rsidR="0030055C" w:rsidRDefault="00300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300283"/>
      <w:docPartObj>
        <w:docPartGallery w:val="Page Numbers (Top of Page)"/>
        <w:docPartUnique/>
      </w:docPartObj>
    </w:sdtPr>
    <w:sdtEndPr>
      <w:rPr>
        <w:noProof/>
      </w:rPr>
    </w:sdtEndPr>
    <w:sdtContent>
      <w:p w14:paraId="4612227B" w14:textId="20C21AE8" w:rsidR="0030055C" w:rsidRDefault="0030055C">
        <w:pPr>
          <w:pStyle w:val="Header"/>
          <w:jc w:val="right"/>
        </w:pPr>
        <w:r>
          <w:fldChar w:fldCharType="begin"/>
        </w:r>
        <w:r>
          <w:instrText xml:space="preserve"> PAGE   \* MERGEFORMAT </w:instrText>
        </w:r>
        <w:r>
          <w:fldChar w:fldCharType="separate"/>
        </w:r>
        <w:r w:rsidR="003E3696">
          <w:rPr>
            <w:noProof/>
          </w:rPr>
          <w:t>22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0E0F" w14:textId="77777777" w:rsidR="0030055C" w:rsidRDefault="003005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5CE"/>
    <w:multiLevelType w:val="hybridMultilevel"/>
    <w:tmpl w:val="9596386A"/>
    <w:lvl w:ilvl="0" w:tplc="2D08DB60">
      <w:start w:val="1"/>
      <w:numFmt w:val="lowerLetter"/>
      <w:lvlText w:val="(%1)"/>
      <w:lvlJc w:val="left"/>
      <w:pPr>
        <w:ind w:left="1090" w:hanging="7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C15F16"/>
    <w:multiLevelType w:val="hybridMultilevel"/>
    <w:tmpl w:val="49E691E0"/>
    <w:lvl w:ilvl="0" w:tplc="591AC7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FEC6001"/>
    <w:multiLevelType w:val="hybridMultilevel"/>
    <w:tmpl w:val="B264368A"/>
    <w:lvl w:ilvl="0" w:tplc="3044F2C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E40E84"/>
    <w:multiLevelType w:val="hybridMultilevel"/>
    <w:tmpl w:val="1994A478"/>
    <w:lvl w:ilvl="0" w:tplc="728E11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1B7C0B"/>
    <w:multiLevelType w:val="hybridMultilevel"/>
    <w:tmpl w:val="00F87770"/>
    <w:lvl w:ilvl="0" w:tplc="EB0269A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34F72B5B"/>
    <w:multiLevelType w:val="hybridMultilevel"/>
    <w:tmpl w:val="E76A4CF0"/>
    <w:lvl w:ilvl="0" w:tplc="97644FD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36EB1467"/>
    <w:multiLevelType w:val="hybridMultilevel"/>
    <w:tmpl w:val="BEAE9906"/>
    <w:lvl w:ilvl="0" w:tplc="A1CA347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382E0130"/>
    <w:multiLevelType w:val="hybridMultilevel"/>
    <w:tmpl w:val="7576BEB4"/>
    <w:lvl w:ilvl="0" w:tplc="486264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0DC7490"/>
    <w:multiLevelType w:val="hybridMultilevel"/>
    <w:tmpl w:val="3580C2C0"/>
    <w:lvl w:ilvl="0" w:tplc="4F000A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4C635C7"/>
    <w:multiLevelType w:val="hybridMultilevel"/>
    <w:tmpl w:val="E76A4CF0"/>
    <w:lvl w:ilvl="0" w:tplc="97644FD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451C0287"/>
    <w:multiLevelType w:val="multilevel"/>
    <w:tmpl w:val="6F0E0532"/>
    <w:lvl w:ilvl="0">
      <w:start w:val="1"/>
      <w:numFmt w:val="decimal"/>
      <w:lvlText w:val="[%1]"/>
      <w:lvlJc w:val="left"/>
      <w:pPr>
        <w:tabs>
          <w:tab w:val="num" w:pos="567"/>
        </w:tabs>
        <w:ind w:left="567" w:hanging="567"/>
      </w:pPr>
      <w:rPr>
        <w:rFonts w:hint="default"/>
        <w:b w:val="0"/>
        <w:i w:val="0"/>
        <w:strike w:val="0"/>
        <w:color w:val="auto"/>
        <w:u w:val="single" w:color="FFFFFF" w:themeColor="background1"/>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4" w15:restartNumberingAfterBreak="0">
    <w:nsid w:val="4D2D6B29"/>
    <w:multiLevelType w:val="hybridMultilevel"/>
    <w:tmpl w:val="993866FC"/>
    <w:lvl w:ilvl="0" w:tplc="5442D3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1DB00E6"/>
    <w:multiLevelType w:val="hybridMultilevel"/>
    <w:tmpl w:val="513CD49C"/>
    <w:lvl w:ilvl="0" w:tplc="369EB3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60D7F66"/>
    <w:multiLevelType w:val="hybridMultilevel"/>
    <w:tmpl w:val="7B109A50"/>
    <w:lvl w:ilvl="0" w:tplc="31C8273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8840C41"/>
    <w:multiLevelType w:val="hybridMultilevel"/>
    <w:tmpl w:val="E76A4CF0"/>
    <w:lvl w:ilvl="0" w:tplc="97644FD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5C295E1B"/>
    <w:multiLevelType w:val="hybridMultilevel"/>
    <w:tmpl w:val="E2DEDE80"/>
    <w:lvl w:ilvl="0" w:tplc="1376FC4C">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5D107646"/>
    <w:multiLevelType w:val="hybridMultilevel"/>
    <w:tmpl w:val="4C62B1B0"/>
    <w:lvl w:ilvl="0" w:tplc="239EC4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443999"/>
    <w:multiLevelType w:val="hybridMultilevel"/>
    <w:tmpl w:val="AEFA256A"/>
    <w:lvl w:ilvl="0" w:tplc="12361B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13B363D"/>
    <w:multiLevelType w:val="hybridMultilevel"/>
    <w:tmpl w:val="A52E3F2E"/>
    <w:lvl w:ilvl="0" w:tplc="7C1836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61E328D"/>
    <w:multiLevelType w:val="hybridMultilevel"/>
    <w:tmpl w:val="0478B6D4"/>
    <w:lvl w:ilvl="0" w:tplc="686C6444">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8983EEC"/>
    <w:multiLevelType w:val="hybridMultilevel"/>
    <w:tmpl w:val="E76A4CF0"/>
    <w:lvl w:ilvl="0" w:tplc="97644FD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78C33441"/>
    <w:multiLevelType w:val="hybridMultilevel"/>
    <w:tmpl w:val="44C211FC"/>
    <w:lvl w:ilvl="0" w:tplc="2BB87BAE">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15:restartNumberingAfterBreak="0">
    <w:nsid w:val="7C8007D5"/>
    <w:multiLevelType w:val="hybridMultilevel"/>
    <w:tmpl w:val="5620621A"/>
    <w:lvl w:ilvl="0" w:tplc="1F44F20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15:restartNumberingAfterBreak="0">
    <w:nsid w:val="7E1A771B"/>
    <w:multiLevelType w:val="hybridMultilevel"/>
    <w:tmpl w:val="463006D4"/>
    <w:lvl w:ilvl="0" w:tplc="0226A88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0"/>
  </w:num>
  <w:num w:numId="3">
    <w:abstractNumId w:val="3"/>
    <w:lvlOverride w:ilvl="0">
      <w:startOverride w:val="1"/>
    </w:lvlOverride>
  </w:num>
  <w:num w:numId="4">
    <w:abstractNumId w:val="2"/>
  </w:num>
  <w:num w:numId="5">
    <w:abstractNumId w:val="13"/>
  </w:num>
  <w:num w:numId="6">
    <w:abstractNumId w:val="16"/>
  </w:num>
  <w:num w:numId="7">
    <w:abstractNumId w:val="27"/>
  </w:num>
  <w:num w:numId="8">
    <w:abstractNumId w:val="0"/>
  </w:num>
  <w:num w:numId="9">
    <w:abstractNumId w:val="21"/>
  </w:num>
  <w:num w:numId="10">
    <w:abstractNumId w:val="5"/>
  </w:num>
  <w:num w:numId="11">
    <w:abstractNumId w:val="25"/>
  </w:num>
  <w:num w:numId="12">
    <w:abstractNumId w:val="25"/>
  </w:num>
  <w:num w:numId="13">
    <w:abstractNumId w:val="12"/>
  </w:num>
  <w:num w:numId="14">
    <w:abstractNumId w:val="17"/>
  </w:num>
  <w:num w:numId="15">
    <w:abstractNumId w:val="24"/>
  </w:num>
  <w:num w:numId="16">
    <w:abstractNumId w:val="8"/>
  </w:num>
  <w:num w:numId="17">
    <w:abstractNumId w:val="2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6"/>
  </w:num>
  <w:num w:numId="27">
    <w:abstractNumId w:val="11"/>
  </w:num>
  <w:num w:numId="28">
    <w:abstractNumId w:val="14"/>
  </w:num>
  <w:num w:numId="29">
    <w:abstractNumId w:val="19"/>
  </w:num>
  <w:num w:numId="30">
    <w:abstractNumId w:val="10"/>
  </w:num>
  <w:num w:numId="31">
    <w:abstractNumId w:val="18"/>
  </w:num>
  <w:num w:numId="3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05ED"/>
    <w:rsid w:val="00001A89"/>
    <w:rsid w:val="00002455"/>
    <w:rsid w:val="000024F0"/>
    <w:rsid w:val="00003BAE"/>
    <w:rsid w:val="00005D83"/>
    <w:rsid w:val="0000675A"/>
    <w:rsid w:val="00006C41"/>
    <w:rsid w:val="0000770E"/>
    <w:rsid w:val="000079B1"/>
    <w:rsid w:val="00007A2E"/>
    <w:rsid w:val="00007F86"/>
    <w:rsid w:val="00010637"/>
    <w:rsid w:val="0001379D"/>
    <w:rsid w:val="00014DA4"/>
    <w:rsid w:val="0001683C"/>
    <w:rsid w:val="00016ACF"/>
    <w:rsid w:val="000171A3"/>
    <w:rsid w:val="00020326"/>
    <w:rsid w:val="00020E36"/>
    <w:rsid w:val="000217A4"/>
    <w:rsid w:val="00022C07"/>
    <w:rsid w:val="00022CE5"/>
    <w:rsid w:val="0002492C"/>
    <w:rsid w:val="00024E20"/>
    <w:rsid w:val="000262AA"/>
    <w:rsid w:val="0002728A"/>
    <w:rsid w:val="000275FC"/>
    <w:rsid w:val="0002792E"/>
    <w:rsid w:val="00027F68"/>
    <w:rsid w:val="00027F86"/>
    <w:rsid w:val="000301C4"/>
    <w:rsid w:val="000314D4"/>
    <w:rsid w:val="000315D8"/>
    <w:rsid w:val="000319B4"/>
    <w:rsid w:val="000319BB"/>
    <w:rsid w:val="0003241F"/>
    <w:rsid w:val="00034508"/>
    <w:rsid w:val="0003454F"/>
    <w:rsid w:val="00034EFC"/>
    <w:rsid w:val="00036698"/>
    <w:rsid w:val="00036BB0"/>
    <w:rsid w:val="00036CD5"/>
    <w:rsid w:val="00037036"/>
    <w:rsid w:val="00037CD0"/>
    <w:rsid w:val="00037F15"/>
    <w:rsid w:val="00040B1D"/>
    <w:rsid w:val="00040F61"/>
    <w:rsid w:val="0004105F"/>
    <w:rsid w:val="00041D6B"/>
    <w:rsid w:val="0004218C"/>
    <w:rsid w:val="00043C8C"/>
    <w:rsid w:val="000445C8"/>
    <w:rsid w:val="0004474A"/>
    <w:rsid w:val="0004491D"/>
    <w:rsid w:val="000450CE"/>
    <w:rsid w:val="0004588C"/>
    <w:rsid w:val="00046070"/>
    <w:rsid w:val="000462E1"/>
    <w:rsid w:val="00046699"/>
    <w:rsid w:val="000469B4"/>
    <w:rsid w:val="00050FB2"/>
    <w:rsid w:val="00051187"/>
    <w:rsid w:val="0005119B"/>
    <w:rsid w:val="0005195F"/>
    <w:rsid w:val="00051D9D"/>
    <w:rsid w:val="00051E65"/>
    <w:rsid w:val="00052DA4"/>
    <w:rsid w:val="00054823"/>
    <w:rsid w:val="00055012"/>
    <w:rsid w:val="00055E03"/>
    <w:rsid w:val="000564BD"/>
    <w:rsid w:val="00056998"/>
    <w:rsid w:val="000600F8"/>
    <w:rsid w:val="00060E74"/>
    <w:rsid w:val="0006336E"/>
    <w:rsid w:val="000663F7"/>
    <w:rsid w:val="00066C27"/>
    <w:rsid w:val="000708A0"/>
    <w:rsid w:val="00070D07"/>
    <w:rsid w:val="00070D25"/>
    <w:rsid w:val="00071315"/>
    <w:rsid w:val="00071EDF"/>
    <w:rsid w:val="0007272F"/>
    <w:rsid w:val="0007327E"/>
    <w:rsid w:val="00073CC1"/>
    <w:rsid w:val="00073CFE"/>
    <w:rsid w:val="00075A0A"/>
    <w:rsid w:val="00076C12"/>
    <w:rsid w:val="00076EE7"/>
    <w:rsid w:val="0007774E"/>
    <w:rsid w:val="00080618"/>
    <w:rsid w:val="000814F0"/>
    <w:rsid w:val="00081D5F"/>
    <w:rsid w:val="0008206F"/>
    <w:rsid w:val="00084043"/>
    <w:rsid w:val="000844E8"/>
    <w:rsid w:val="000861BF"/>
    <w:rsid w:val="00086BE3"/>
    <w:rsid w:val="00090189"/>
    <w:rsid w:val="0009051B"/>
    <w:rsid w:val="000905B3"/>
    <w:rsid w:val="00090E9C"/>
    <w:rsid w:val="00090F50"/>
    <w:rsid w:val="00092D03"/>
    <w:rsid w:val="00093F31"/>
    <w:rsid w:val="000942EF"/>
    <w:rsid w:val="0009464C"/>
    <w:rsid w:val="00094C22"/>
    <w:rsid w:val="00095356"/>
    <w:rsid w:val="0009626A"/>
    <w:rsid w:val="0009689B"/>
    <w:rsid w:val="00096997"/>
    <w:rsid w:val="0009781C"/>
    <w:rsid w:val="00097EE7"/>
    <w:rsid w:val="000A0353"/>
    <w:rsid w:val="000A12C9"/>
    <w:rsid w:val="000A4AE1"/>
    <w:rsid w:val="000A56BA"/>
    <w:rsid w:val="000A64D0"/>
    <w:rsid w:val="000A688E"/>
    <w:rsid w:val="000A6A3D"/>
    <w:rsid w:val="000A779C"/>
    <w:rsid w:val="000A7A28"/>
    <w:rsid w:val="000B1D71"/>
    <w:rsid w:val="000B2B7F"/>
    <w:rsid w:val="000B38D0"/>
    <w:rsid w:val="000B4222"/>
    <w:rsid w:val="000B53AD"/>
    <w:rsid w:val="000B64EF"/>
    <w:rsid w:val="000B6C12"/>
    <w:rsid w:val="000C03D3"/>
    <w:rsid w:val="000C0D64"/>
    <w:rsid w:val="000C1EFC"/>
    <w:rsid w:val="000C2989"/>
    <w:rsid w:val="000C2D84"/>
    <w:rsid w:val="000C3AF7"/>
    <w:rsid w:val="000C4416"/>
    <w:rsid w:val="000C4FB2"/>
    <w:rsid w:val="000C5C39"/>
    <w:rsid w:val="000C6C30"/>
    <w:rsid w:val="000C75C8"/>
    <w:rsid w:val="000D0AF6"/>
    <w:rsid w:val="000D3121"/>
    <w:rsid w:val="000D4571"/>
    <w:rsid w:val="000D4ED5"/>
    <w:rsid w:val="000D5219"/>
    <w:rsid w:val="000D5CD8"/>
    <w:rsid w:val="000D5E2F"/>
    <w:rsid w:val="000D6742"/>
    <w:rsid w:val="000D6A4C"/>
    <w:rsid w:val="000D6C0E"/>
    <w:rsid w:val="000D7C8C"/>
    <w:rsid w:val="000E0159"/>
    <w:rsid w:val="000E01DD"/>
    <w:rsid w:val="000E11A8"/>
    <w:rsid w:val="000E1836"/>
    <w:rsid w:val="000E2107"/>
    <w:rsid w:val="000E34F7"/>
    <w:rsid w:val="000E398A"/>
    <w:rsid w:val="000E3A95"/>
    <w:rsid w:val="000E3AAB"/>
    <w:rsid w:val="000E536D"/>
    <w:rsid w:val="000E5424"/>
    <w:rsid w:val="000E7536"/>
    <w:rsid w:val="000E777B"/>
    <w:rsid w:val="000E7BDD"/>
    <w:rsid w:val="000F095B"/>
    <w:rsid w:val="000F0DCE"/>
    <w:rsid w:val="000F1A69"/>
    <w:rsid w:val="000F3421"/>
    <w:rsid w:val="000F3754"/>
    <w:rsid w:val="000F3B88"/>
    <w:rsid w:val="000F3E77"/>
    <w:rsid w:val="000F3F58"/>
    <w:rsid w:val="000F546B"/>
    <w:rsid w:val="000F580C"/>
    <w:rsid w:val="000F6192"/>
    <w:rsid w:val="000F6BF8"/>
    <w:rsid w:val="000F70C7"/>
    <w:rsid w:val="0010163F"/>
    <w:rsid w:val="00105056"/>
    <w:rsid w:val="00105D82"/>
    <w:rsid w:val="001068F2"/>
    <w:rsid w:val="00106C97"/>
    <w:rsid w:val="00107110"/>
    <w:rsid w:val="00112284"/>
    <w:rsid w:val="00112BE9"/>
    <w:rsid w:val="00113951"/>
    <w:rsid w:val="00113E53"/>
    <w:rsid w:val="0011424F"/>
    <w:rsid w:val="00114D0F"/>
    <w:rsid w:val="00114F15"/>
    <w:rsid w:val="00116135"/>
    <w:rsid w:val="00116661"/>
    <w:rsid w:val="00116675"/>
    <w:rsid w:val="00116AAE"/>
    <w:rsid w:val="00116EF2"/>
    <w:rsid w:val="00117191"/>
    <w:rsid w:val="001171EE"/>
    <w:rsid w:val="001177E5"/>
    <w:rsid w:val="0012138E"/>
    <w:rsid w:val="001218BA"/>
    <w:rsid w:val="0012206B"/>
    <w:rsid w:val="0012276A"/>
    <w:rsid w:val="001239B5"/>
    <w:rsid w:val="00123FBA"/>
    <w:rsid w:val="00124452"/>
    <w:rsid w:val="00124B7A"/>
    <w:rsid w:val="00126001"/>
    <w:rsid w:val="00126288"/>
    <w:rsid w:val="00126B66"/>
    <w:rsid w:val="00126F44"/>
    <w:rsid w:val="00127394"/>
    <w:rsid w:val="00127B2C"/>
    <w:rsid w:val="00130737"/>
    <w:rsid w:val="001309B4"/>
    <w:rsid w:val="00131677"/>
    <w:rsid w:val="00131CC6"/>
    <w:rsid w:val="001325AC"/>
    <w:rsid w:val="00132E8D"/>
    <w:rsid w:val="0013390C"/>
    <w:rsid w:val="00134332"/>
    <w:rsid w:val="00134952"/>
    <w:rsid w:val="001358D0"/>
    <w:rsid w:val="0013636C"/>
    <w:rsid w:val="00136E94"/>
    <w:rsid w:val="00140558"/>
    <w:rsid w:val="0014119D"/>
    <w:rsid w:val="0014132C"/>
    <w:rsid w:val="00141478"/>
    <w:rsid w:val="00141657"/>
    <w:rsid w:val="001416FB"/>
    <w:rsid w:val="001428B6"/>
    <w:rsid w:val="001429C4"/>
    <w:rsid w:val="00143175"/>
    <w:rsid w:val="00143EBB"/>
    <w:rsid w:val="00145C2D"/>
    <w:rsid w:val="00145DD9"/>
    <w:rsid w:val="00146288"/>
    <w:rsid w:val="00146B2A"/>
    <w:rsid w:val="001500EB"/>
    <w:rsid w:val="001504E7"/>
    <w:rsid w:val="00150DE9"/>
    <w:rsid w:val="00151A7E"/>
    <w:rsid w:val="0015237E"/>
    <w:rsid w:val="00152616"/>
    <w:rsid w:val="00152C26"/>
    <w:rsid w:val="00153684"/>
    <w:rsid w:val="0015370C"/>
    <w:rsid w:val="00154F14"/>
    <w:rsid w:val="00155381"/>
    <w:rsid w:val="001554B4"/>
    <w:rsid w:val="00155B87"/>
    <w:rsid w:val="00155F46"/>
    <w:rsid w:val="001579D0"/>
    <w:rsid w:val="00157D59"/>
    <w:rsid w:val="0016029A"/>
    <w:rsid w:val="00160706"/>
    <w:rsid w:val="00160AC8"/>
    <w:rsid w:val="00160DA1"/>
    <w:rsid w:val="00160E8B"/>
    <w:rsid w:val="00161C04"/>
    <w:rsid w:val="00161EB4"/>
    <w:rsid w:val="00161FC2"/>
    <w:rsid w:val="001628F3"/>
    <w:rsid w:val="00162E7D"/>
    <w:rsid w:val="0016378D"/>
    <w:rsid w:val="00163C01"/>
    <w:rsid w:val="00164997"/>
    <w:rsid w:val="00164FDF"/>
    <w:rsid w:val="00165035"/>
    <w:rsid w:val="00165357"/>
    <w:rsid w:val="0016589D"/>
    <w:rsid w:val="00165D11"/>
    <w:rsid w:val="0016658A"/>
    <w:rsid w:val="001669C3"/>
    <w:rsid w:val="00166C2B"/>
    <w:rsid w:val="00167E11"/>
    <w:rsid w:val="001705BE"/>
    <w:rsid w:val="00171416"/>
    <w:rsid w:val="00172D07"/>
    <w:rsid w:val="001730A8"/>
    <w:rsid w:val="00173B7F"/>
    <w:rsid w:val="00173FD2"/>
    <w:rsid w:val="00174EC3"/>
    <w:rsid w:val="00175544"/>
    <w:rsid w:val="00176115"/>
    <w:rsid w:val="001773CD"/>
    <w:rsid w:val="001773DD"/>
    <w:rsid w:val="00177C74"/>
    <w:rsid w:val="0018024F"/>
    <w:rsid w:val="00180970"/>
    <w:rsid w:val="00180A33"/>
    <w:rsid w:val="001814B3"/>
    <w:rsid w:val="00182A17"/>
    <w:rsid w:val="00183384"/>
    <w:rsid w:val="00183726"/>
    <w:rsid w:val="00185055"/>
    <w:rsid w:val="001855CE"/>
    <w:rsid w:val="0019053A"/>
    <w:rsid w:val="001913C3"/>
    <w:rsid w:val="00191957"/>
    <w:rsid w:val="00192037"/>
    <w:rsid w:val="001927D7"/>
    <w:rsid w:val="001928BF"/>
    <w:rsid w:val="001933D1"/>
    <w:rsid w:val="0019383F"/>
    <w:rsid w:val="00193869"/>
    <w:rsid w:val="00193988"/>
    <w:rsid w:val="00196291"/>
    <w:rsid w:val="0019694E"/>
    <w:rsid w:val="00196C48"/>
    <w:rsid w:val="001970BD"/>
    <w:rsid w:val="00197B48"/>
    <w:rsid w:val="001A0219"/>
    <w:rsid w:val="001A0D29"/>
    <w:rsid w:val="001A1893"/>
    <w:rsid w:val="001A2240"/>
    <w:rsid w:val="001A29C9"/>
    <w:rsid w:val="001A3CF2"/>
    <w:rsid w:val="001A4F07"/>
    <w:rsid w:val="001A5D9E"/>
    <w:rsid w:val="001A6A2E"/>
    <w:rsid w:val="001A6DB9"/>
    <w:rsid w:val="001A7168"/>
    <w:rsid w:val="001B0076"/>
    <w:rsid w:val="001B016E"/>
    <w:rsid w:val="001B030C"/>
    <w:rsid w:val="001B04D1"/>
    <w:rsid w:val="001B0615"/>
    <w:rsid w:val="001B2D32"/>
    <w:rsid w:val="001B447F"/>
    <w:rsid w:val="001B4D89"/>
    <w:rsid w:val="001B762A"/>
    <w:rsid w:val="001B76E0"/>
    <w:rsid w:val="001C0074"/>
    <w:rsid w:val="001C0331"/>
    <w:rsid w:val="001C086A"/>
    <w:rsid w:val="001C0A0D"/>
    <w:rsid w:val="001C0EF4"/>
    <w:rsid w:val="001C1B17"/>
    <w:rsid w:val="001C2344"/>
    <w:rsid w:val="001C29CE"/>
    <w:rsid w:val="001C3329"/>
    <w:rsid w:val="001C34AD"/>
    <w:rsid w:val="001C42D9"/>
    <w:rsid w:val="001C4A43"/>
    <w:rsid w:val="001C4DAD"/>
    <w:rsid w:val="001C5067"/>
    <w:rsid w:val="001C5257"/>
    <w:rsid w:val="001C5F8C"/>
    <w:rsid w:val="001C6E8C"/>
    <w:rsid w:val="001C7045"/>
    <w:rsid w:val="001D102A"/>
    <w:rsid w:val="001D14F8"/>
    <w:rsid w:val="001D3495"/>
    <w:rsid w:val="001D3F24"/>
    <w:rsid w:val="001D3F89"/>
    <w:rsid w:val="001D44C7"/>
    <w:rsid w:val="001D49D6"/>
    <w:rsid w:val="001D5D9C"/>
    <w:rsid w:val="001D6ACD"/>
    <w:rsid w:val="001D6AE1"/>
    <w:rsid w:val="001D6DA8"/>
    <w:rsid w:val="001D79C6"/>
    <w:rsid w:val="001E04C6"/>
    <w:rsid w:val="001E15CA"/>
    <w:rsid w:val="001E1E02"/>
    <w:rsid w:val="001E32CB"/>
    <w:rsid w:val="001E3948"/>
    <w:rsid w:val="001E3ED0"/>
    <w:rsid w:val="001E4304"/>
    <w:rsid w:val="001E43BE"/>
    <w:rsid w:val="001E534D"/>
    <w:rsid w:val="001E5D90"/>
    <w:rsid w:val="001E6837"/>
    <w:rsid w:val="001F109D"/>
    <w:rsid w:val="001F1E80"/>
    <w:rsid w:val="001F2460"/>
    <w:rsid w:val="001F2FE7"/>
    <w:rsid w:val="001F3695"/>
    <w:rsid w:val="001F3975"/>
    <w:rsid w:val="001F4049"/>
    <w:rsid w:val="001F4AC0"/>
    <w:rsid w:val="001F4C69"/>
    <w:rsid w:val="001F57B4"/>
    <w:rsid w:val="001F581D"/>
    <w:rsid w:val="001F5AF6"/>
    <w:rsid w:val="001F654D"/>
    <w:rsid w:val="001F6D44"/>
    <w:rsid w:val="001F78C4"/>
    <w:rsid w:val="001F7C65"/>
    <w:rsid w:val="00200BB5"/>
    <w:rsid w:val="00200F5C"/>
    <w:rsid w:val="002011F8"/>
    <w:rsid w:val="002015D4"/>
    <w:rsid w:val="0020206C"/>
    <w:rsid w:val="002027EC"/>
    <w:rsid w:val="00202AB1"/>
    <w:rsid w:val="00203FC0"/>
    <w:rsid w:val="00205865"/>
    <w:rsid w:val="00205E09"/>
    <w:rsid w:val="00206022"/>
    <w:rsid w:val="00206218"/>
    <w:rsid w:val="0020664E"/>
    <w:rsid w:val="0021007F"/>
    <w:rsid w:val="002100E1"/>
    <w:rsid w:val="00210E02"/>
    <w:rsid w:val="00211645"/>
    <w:rsid w:val="00211B96"/>
    <w:rsid w:val="0021225B"/>
    <w:rsid w:val="00212FA8"/>
    <w:rsid w:val="00213B9F"/>
    <w:rsid w:val="00214522"/>
    <w:rsid w:val="00214E3A"/>
    <w:rsid w:val="0021531D"/>
    <w:rsid w:val="00215DB3"/>
    <w:rsid w:val="00216346"/>
    <w:rsid w:val="002172C8"/>
    <w:rsid w:val="00217BDD"/>
    <w:rsid w:val="00220B1A"/>
    <w:rsid w:val="00220F12"/>
    <w:rsid w:val="0022110D"/>
    <w:rsid w:val="002212EB"/>
    <w:rsid w:val="0022156A"/>
    <w:rsid w:val="002227A1"/>
    <w:rsid w:val="002229D4"/>
    <w:rsid w:val="002229EE"/>
    <w:rsid w:val="00222B14"/>
    <w:rsid w:val="00222D4A"/>
    <w:rsid w:val="0022346B"/>
    <w:rsid w:val="00224B09"/>
    <w:rsid w:val="00224EDB"/>
    <w:rsid w:val="002251A2"/>
    <w:rsid w:val="00227F9F"/>
    <w:rsid w:val="00230307"/>
    <w:rsid w:val="00230DF6"/>
    <w:rsid w:val="00231436"/>
    <w:rsid w:val="00232075"/>
    <w:rsid w:val="002320B2"/>
    <w:rsid w:val="002327C9"/>
    <w:rsid w:val="00232D4F"/>
    <w:rsid w:val="002331E9"/>
    <w:rsid w:val="00233A6E"/>
    <w:rsid w:val="00234FC7"/>
    <w:rsid w:val="00235EBC"/>
    <w:rsid w:val="002379B1"/>
    <w:rsid w:val="0024000A"/>
    <w:rsid w:val="00240BDD"/>
    <w:rsid w:val="00240E46"/>
    <w:rsid w:val="00241E10"/>
    <w:rsid w:val="00243E66"/>
    <w:rsid w:val="0024474C"/>
    <w:rsid w:val="00245430"/>
    <w:rsid w:val="00245999"/>
    <w:rsid w:val="00247E96"/>
    <w:rsid w:val="0025141A"/>
    <w:rsid w:val="002515D4"/>
    <w:rsid w:val="0025160C"/>
    <w:rsid w:val="00252153"/>
    <w:rsid w:val="00253C44"/>
    <w:rsid w:val="00253CA9"/>
    <w:rsid w:val="0025547B"/>
    <w:rsid w:val="00256B5F"/>
    <w:rsid w:val="00257B4D"/>
    <w:rsid w:val="00257D52"/>
    <w:rsid w:val="00257DCC"/>
    <w:rsid w:val="00260B86"/>
    <w:rsid w:val="00260F93"/>
    <w:rsid w:val="0026120B"/>
    <w:rsid w:val="0026158F"/>
    <w:rsid w:val="002616F0"/>
    <w:rsid w:val="002616F6"/>
    <w:rsid w:val="0026210F"/>
    <w:rsid w:val="0026226E"/>
    <w:rsid w:val="002624DC"/>
    <w:rsid w:val="00262C50"/>
    <w:rsid w:val="0026313D"/>
    <w:rsid w:val="0026330F"/>
    <w:rsid w:val="00264161"/>
    <w:rsid w:val="0026464D"/>
    <w:rsid w:val="00264E4B"/>
    <w:rsid w:val="00265504"/>
    <w:rsid w:val="002656D6"/>
    <w:rsid w:val="00265F45"/>
    <w:rsid w:val="002671D8"/>
    <w:rsid w:val="00267564"/>
    <w:rsid w:val="00267EC5"/>
    <w:rsid w:val="00271071"/>
    <w:rsid w:val="00272260"/>
    <w:rsid w:val="0027346B"/>
    <w:rsid w:val="00274FE2"/>
    <w:rsid w:val="00275860"/>
    <w:rsid w:val="00275F90"/>
    <w:rsid w:val="00280B63"/>
    <w:rsid w:val="002816DE"/>
    <w:rsid w:val="002819F8"/>
    <w:rsid w:val="00282C16"/>
    <w:rsid w:val="00284751"/>
    <w:rsid w:val="002855D6"/>
    <w:rsid w:val="002855DF"/>
    <w:rsid w:val="00286241"/>
    <w:rsid w:val="00286F5F"/>
    <w:rsid w:val="002870F1"/>
    <w:rsid w:val="002911F6"/>
    <w:rsid w:val="00291414"/>
    <w:rsid w:val="00291440"/>
    <w:rsid w:val="002920DC"/>
    <w:rsid w:val="002924E6"/>
    <w:rsid w:val="002932CB"/>
    <w:rsid w:val="00296BB2"/>
    <w:rsid w:val="00296F77"/>
    <w:rsid w:val="00297970"/>
    <w:rsid w:val="002A13C6"/>
    <w:rsid w:val="002A235D"/>
    <w:rsid w:val="002A2443"/>
    <w:rsid w:val="002A2A44"/>
    <w:rsid w:val="002A312D"/>
    <w:rsid w:val="002A47E3"/>
    <w:rsid w:val="002A4952"/>
    <w:rsid w:val="002A4B8E"/>
    <w:rsid w:val="002A52E4"/>
    <w:rsid w:val="002A7B19"/>
    <w:rsid w:val="002A7E9F"/>
    <w:rsid w:val="002B08E6"/>
    <w:rsid w:val="002B09E2"/>
    <w:rsid w:val="002B0F1B"/>
    <w:rsid w:val="002B16B0"/>
    <w:rsid w:val="002B1ABA"/>
    <w:rsid w:val="002B1DC8"/>
    <w:rsid w:val="002B211A"/>
    <w:rsid w:val="002B2A59"/>
    <w:rsid w:val="002B30F1"/>
    <w:rsid w:val="002B40DA"/>
    <w:rsid w:val="002B4740"/>
    <w:rsid w:val="002B4F7A"/>
    <w:rsid w:val="002B561E"/>
    <w:rsid w:val="002B6B65"/>
    <w:rsid w:val="002B74C5"/>
    <w:rsid w:val="002C0FDD"/>
    <w:rsid w:val="002C15A4"/>
    <w:rsid w:val="002C2298"/>
    <w:rsid w:val="002C29D7"/>
    <w:rsid w:val="002C4087"/>
    <w:rsid w:val="002C4B45"/>
    <w:rsid w:val="002C59F2"/>
    <w:rsid w:val="002C5A0D"/>
    <w:rsid w:val="002C5E33"/>
    <w:rsid w:val="002C672A"/>
    <w:rsid w:val="002C6BC7"/>
    <w:rsid w:val="002C7929"/>
    <w:rsid w:val="002C7E04"/>
    <w:rsid w:val="002D2125"/>
    <w:rsid w:val="002D2216"/>
    <w:rsid w:val="002D26C7"/>
    <w:rsid w:val="002D2AF2"/>
    <w:rsid w:val="002D2AF4"/>
    <w:rsid w:val="002D3E08"/>
    <w:rsid w:val="002D4DC7"/>
    <w:rsid w:val="002D53C3"/>
    <w:rsid w:val="002D562F"/>
    <w:rsid w:val="002D59A6"/>
    <w:rsid w:val="002D5D72"/>
    <w:rsid w:val="002D693C"/>
    <w:rsid w:val="002D69BC"/>
    <w:rsid w:val="002D7081"/>
    <w:rsid w:val="002D7D86"/>
    <w:rsid w:val="002E0905"/>
    <w:rsid w:val="002E14D4"/>
    <w:rsid w:val="002E1CED"/>
    <w:rsid w:val="002E1D7A"/>
    <w:rsid w:val="002E2C11"/>
    <w:rsid w:val="002E3469"/>
    <w:rsid w:val="002E47C9"/>
    <w:rsid w:val="002E49A9"/>
    <w:rsid w:val="002E5934"/>
    <w:rsid w:val="002E5CDA"/>
    <w:rsid w:val="002E654A"/>
    <w:rsid w:val="002E65A0"/>
    <w:rsid w:val="002E7DFE"/>
    <w:rsid w:val="002F0055"/>
    <w:rsid w:val="002F0279"/>
    <w:rsid w:val="002F15F5"/>
    <w:rsid w:val="002F3CFD"/>
    <w:rsid w:val="002F3EA5"/>
    <w:rsid w:val="002F4D1F"/>
    <w:rsid w:val="002F572F"/>
    <w:rsid w:val="002F5AE7"/>
    <w:rsid w:val="002F6A0D"/>
    <w:rsid w:val="002F6AEF"/>
    <w:rsid w:val="00300053"/>
    <w:rsid w:val="0030029A"/>
    <w:rsid w:val="0030047F"/>
    <w:rsid w:val="0030055C"/>
    <w:rsid w:val="00300EBA"/>
    <w:rsid w:val="00301CBD"/>
    <w:rsid w:val="00301CC2"/>
    <w:rsid w:val="0030348A"/>
    <w:rsid w:val="00305093"/>
    <w:rsid w:val="003058FB"/>
    <w:rsid w:val="00306560"/>
    <w:rsid w:val="00306B39"/>
    <w:rsid w:val="0030724D"/>
    <w:rsid w:val="003075B5"/>
    <w:rsid w:val="00307F74"/>
    <w:rsid w:val="00310F8B"/>
    <w:rsid w:val="00311156"/>
    <w:rsid w:val="003112ED"/>
    <w:rsid w:val="00311321"/>
    <w:rsid w:val="00312373"/>
    <w:rsid w:val="00312F40"/>
    <w:rsid w:val="00313A0A"/>
    <w:rsid w:val="00313AA9"/>
    <w:rsid w:val="0031518B"/>
    <w:rsid w:val="00315F1D"/>
    <w:rsid w:val="00316678"/>
    <w:rsid w:val="00316C2D"/>
    <w:rsid w:val="00317219"/>
    <w:rsid w:val="00320124"/>
    <w:rsid w:val="00320BF9"/>
    <w:rsid w:val="003220A4"/>
    <w:rsid w:val="0032287C"/>
    <w:rsid w:val="003233F9"/>
    <w:rsid w:val="00324E14"/>
    <w:rsid w:val="003307F7"/>
    <w:rsid w:val="0033191D"/>
    <w:rsid w:val="003321FE"/>
    <w:rsid w:val="003322B1"/>
    <w:rsid w:val="00332C64"/>
    <w:rsid w:val="003331E4"/>
    <w:rsid w:val="00333485"/>
    <w:rsid w:val="00334479"/>
    <w:rsid w:val="00335C28"/>
    <w:rsid w:val="0033620F"/>
    <w:rsid w:val="003409FA"/>
    <w:rsid w:val="00341D13"/>
    <w:rsid w:val="00341FA6"/>
    <w:rsid w:val="003423D1"/>
    <w:rsid w:val="00343A76"/>
    <w:rsid w:val="003458CA"/>
    <w:rsid w:val="00345ADF"/>
    <w:rsid w:val="003460A3"/>
    <w:rsid w:val="00347B0C"/>
    <w:rsid w:val="00347FD0"/>
    <w:rsid w:val="00350BC6"/>
    <w:rsid w:val="00350E29"/>
    <w:rsid w:val="0035131E"/>
    <w:rsid w:val="003516E1"/>
    <w:rsid w:val="00353027"/>
    <w:rsid w:val="00353CE9"/>
    <w:rsid w:val="00355620"/>
    <w:rsid w:val="0035614B"/>
    <w:rsid w:val="003564AA"/>
    <w:rsid w:val="00356747"/>
    <w:rsid w:val="00356A32"/>
    <w:rsid w:val="00356E1C"/>
    <w:rsid w:val="003575D7"/>
    <w:rsid w:val="00357D35"/>
    <w:rsid w:val="00360372"/>
    <w:rsid w:val="0036167B"/>
    <w:rsid w:val="00361DFA"/>
    <w:rsid w:val="00363701"/>
    <w:rsid w:val="003638D4"/>
    <w:rsid w:val="00363A0F"/>
    <w:rsid w:val="00363A97"/>
    <w:rsid w:val="00363DE1"/>
    <w:rsid w:val="00364EEF"/>
    <w:rsid w:val="00364F91"/>
    <w:rsid w:val="00364FE9"/>
    <w:rsid w:val="00365AB1"/>
    <w:rsid w:val="00365D46"/>
    <w:rsid w:val="0036670F"/>
    <w:rsid w:val="003668D2"/>
    <w:rsid w:val="0036750F"/>
    <w:rsid w:val="003675DA"/>
    <w:rsid w:val="0037102D"/>
    <w:rsid w:val="00371C46"/>
    <w:rsid w:val="0037249E"/>
    <w:rsid w:val="00372865"/>
    <w:rsid w:val="00373F4F"/>
    <w:rsid w:val="003740F7"/>
    <w:rsid w:val="00374176"/>
    <w:rsid w:val="003748F7"/>
    <w:rsid w:val="003750F5"/>
    <w:rsid w:val="003759CD"/>
    <w:rsid w:val="00375DCC"/>
    <w:rsid w:val="0037722F"/>
    <w:rsid w:val="0037738F"/>
    <w:rsid w:val="00380B0C"/>
    <w:rsid w:val="003819AF"/>
    <w:rsid w:val="00381B82"/>
    <w:rsid w:val="00381D9E"/>
    <w:rsid w:val="00382B81"/>
    <w:rsid w:val="003831C1"/>
    <w:rsid w:val="003833AA"/>
    <w:rsid w:val="0038384D"/>
    <w:rsid w:val="00384A2E"/>
    <w:rsid w:val="00385145"/>
    <w:rsid w:val="00385F8D"/>
    <w:rsid w:val="00386B21"/>
    <w:rsid w:val="00386E27"/>
    <w:rsid w:val="0038759E"/>
    <w:rsid w:val="00387CC1"/>
    <w:rsid w:val="00390FAA"/>
    <w:rsid w:val="003919A1"/>
    <w:rsid w:val="00391C9E"/>
    <w:rsid w:val="003921B4"/>
    <w:rsid w:val="0039230F"/>
    <w:rsid w:val="00392AC0"/>
    <w:rsid w:val="00392F03"/>
    <w:rsid w:val="003931C7"/>
    <w:rsid w:val="00393874"/>
    <w:rsid w:val="00395A5F"/>
    <w:rsid w:val="00395BFD"/>
    <w:rsid w:val="00395D66"/>
    <w:rsid w:val="0039603A"/>
    <w:rsid w:val="0039611A"/>
    <w:rsid w:val="00396231"/>
    <w:rsid w:val="003969C2"/>
    <w:rsid w:val="00397ED4"/>
    <w:rsid w:val="003A0D1E"/>
    <w:rsid w:val="003A0FB9"/>
    <w:rsid w:val="003A0FED"/>
    <w:rsid w:val="003A1FE4"/>
    <w:rsid w:val="003A202C"/>
    <w:rsid w:val="003A2810"/>
    <w:rsid w:val="003A3A1A"/>
    <w:rsid w:val="003A4D14"/>
    <w:rsid w:val="003A5774"/>
    <w:rsid w:val="003A6CDA"/>
    <w:rsid w:val="003A73DA"/>
    <w:rsid w:val="003B0322"/>
    <w:rsid w:val="003B04CC"/>
    <w:rsid w:val="003B22DD"/>
    <w:rsid w:val="003B29E1"/>
    <w:rsid w:val="003B2D8F"/>
    <w:rsid w:val="003B52DA"/>
    <w:rsid w:val="003B58C3"/>
    <w:rsid w:val="003B6AE7"/>
    <w:rsid w:val="003C2BFE"/>
    <w:rsid w:val="003C30DF"/>
    <w:rsid w:val="003C3CA6"/>
    <w:rsid w:val="003C51CE"/>
    <w:rsid w:val="003C5886"/>
    <w:rsid w:val="003C5FEE"/>
    <w:rsid w:val="003C6C58"/>
    <w:rsid w:val="003C6F44"/>
    <w:rsid w:val="003C7448"/>
    <w:rsid w:val="003D03FD"/>
    <w:rsid w:val="003D1632"/>
    <w:rsid w:val="003D1F45"/>
    <w:rsid w:val="003D285C"/>
    <w:rsid w:val="003D3E2A"/>
    <w:rsid w:val="003D4482"/>
    <w:rsid w:val="003D4FEF"/>
    <w:rsid w:val="003D5A5C"/>
    <w:rsid w:val="003D5E3B"/>
    <w:rsid w:val="003E257F"/>
    <w:rsid w:val="003E2A28"/>
    <w:rsid w:val="003E33C3"/>
    <w:rsid w:val="003E33C4"/>
    <w:rsid w:val="003E3696"/>
    <w:rsid w:val="003E3A13"/>
    <w:rsid w:val="003E3A2B"/>
    <w:rsid w:val="003E438B"/>
    <w:rsid w:val="003E4B76"/>
    <w:rsid w:val="003E57DB"/>
    <w:rsid w:val="003E624C"/>
    <w:rsid w:val="003E7222"/>
    <w:rsid w:val="003E7590"/>
    <w:rsid w:val="003E7988"/>
    <w:rsid w:val="003F0384"/>
    <w:rsid w:val="003F0873"/>
    <w:rsid w:val="003F16DA"/>
    <w:rsid w:val="003F22DC"/>
    <w:rsid w:val="003F23BD"/>
    <w:rsid w:val="003F27D8"/>
    <w:rsid w:val="003F2A54"/>
    <w:rsid w:val="003F2FF2"/>
    <w:rsid w:val="003F35F4"/>
    <w:rsid w:val="003F4719"/>
    <w:rsid w:val="003F4FDE"/>
    <w:rsid w:val="003F57FE"/>
    <w:rsid w:val="003F5D3C"/>
    <w:rsid w:val="003F637D"/>
    <w:rsid w:val="003F6478"/>
    <w:rsid w:val="003F687C"/>
    <w:rsid w:val="003F710F"/>
    <w:rsid w:val="003F73E7"/>
    <w:rsid w:val="003F7774"/>
    <w:rsid w:val="0040022B"/>
    <w:rsid w:val="0040128B"/>
    <w:rsid w:val="004012AE"/>
    <w:rsid w:val="00401C96"/>
    <w:rsid w:val="004028E9"/>
    <w:rsid w:val="00402D96"/>
    <w:rsid w:val="00403BD5"/>
    <w:rsid w:val="00405FF1"/>
    <w:rsid w:val="00406625"/>
    <w:rsid w:val="00407D88"/>
    <w:rsid w:val="004104E0"/>
    <w:rsid w:val="004108D0"/>
    <w:rsid w:val="00410A52"/>
    <w:rsid w:val="00410C05"/>
    <w:rsid w:val="004112E8"/>
    <w:rsid w:val="00412548"/>
    <w:rsid w:val="00412EB6"/>
    <w:rsid w:val="00412EF8"/>
    <w:rsid w:val="00413331"/>
    <w:rsid w:val="004137A4"/>
    <w:rsid w:val="00413B62"/>
    <w:rsid w:val="0041403F"/>
    <w:rsid w:val="00414CFD"/>
    <w:rsid w:val="004166C4"/>
    <w:rsid w:val="0042102F"/>
    <w:rsid w:val="00421AC5"/>
    <w:rsid w:val="00422DE9"/>
    <w:rsid w:val="00422E2C"/>
    <w:rsid w:val="00422FA4"/>
    <w:rsid w:val="00423ECC"/>
    <w:rsid w:val="00424049"/>
    <w:rsid w:val="0042406C"/>
    <w:rsid w:val="00424EE4"/>
    <w:rsid w:val="004254DE"/>
    <w:rsid w:val="00425E58"/>
    <w:rsid w:val="00426135"/>
    <w:rsid w:val="00426702"/>
    <w:rsid w:val="004271FA"/>
    <w:rsid w:val="00427D7F"/>
    <w:rsid w:val="0043101D"/>
    <w:rsid w:val="0043109C"/>
    <w:rsid w:val="0043118E"/>
    <w:rsid w:val="0043159D"/>
    <w:rsid w:val="004315FB"/>
    <w:rsid w:val="00431BEA"/>
    <w:rsid w:val="00431BFE"/>
    <w:rsid w:val="00431E96"/>
    <w:rsid w:val="004320D7"/>
    <w:rsid w:val="004328BE"/>
    <w:rsid w:val="0043304E"/>
    <w:rsid w:val="0043381C"/>
    <w:rsid w:val="00433846"/>
    <w:rsid w:val="00434B38"/>
    <w:rsid w:val="00435406"/>
    <w:rsid w:val="0043578F"/>
    <w:rsid w:val="00435990"/>
    <w:rsid w:val="00435C25"/>
    <w:rsid w:val="004368FD"/>
    <w:rsid w:val="0044143F"/>
    <w:rsid w:val="00442269"/>
    <w:rsid w:val="00443282"/>
    <w:rsid w:val="0044368B"/>
    <w:rsid w:val="0044478D"/>
    <w:rsid w:val="004457B3"/>
    <w:rsid w:val="004459C6"/>
    <w:rsid w:val="004460B7"/>
    <w:rsid w:val="00446479"/>
    <w:rsid w:val="004465DC"/>
    <w:rsid w:val="0044670A"/>
    <w:rsid w:val="00447076"/>
    <w:rsid w:val="004511C1"/>
    <w:rsid w:val="004515E6"/>
    <w:rsid w:val="00451ACF"/>
    <w:rsid w:val="00451F69"/>
    <w:rsid w:val="00452228"/>
    <w:rsid w:val="00453830"/>
    <w:rsid w:val="00454E7A"/>
    <w:rsid w:val="00454F88"/>
    <w:rsid w:val="004556C2"/>
    <w:rsid w:val="00455AFD"/>
    <w:rsid w:val="00455C10"/>
    <w:rsid w:val="00456058"/>
    <w:rsid w:val="00456135"/>
    <w:rsid w:val="00456543"/>
    <w:rsid w:val="00456D9C"/>
    <w:rsid w:val="00460609"/>
    <w:rsid w:val="00460C6C"/>
    <w:rsid w:val="00460D4D"/>
    <w:rsid w:val="004616E0"/>
    <w:rsid w:val="00464253"/>
    <w:rsid w:val="00464E13"/>
    <w:rsid w:val="00465D90"/>
    <w:rsid w:val="00466594"/>
    <w:rsid w:val="00466A87"/>
    <w:rsid w:val="00466C76"/>
    <w:rsid w:val="00466FDF"/>
    <w:rsid w:val="004676FF"/>
    <w:rsid w:val="0047037F"/>
    <w:rsid w:val="00470F99"/>
    <w:rsid w:val="0047183C"/>
    <w:rsid w:val="00472215"/>
    <w:rsid w:val="004725E6"/>
    <w:rsid w:val="004737A6"/>
    <w:rsid w:val="0047436C"/>
    <w:rsid w:val="00474852"/>
    <w:rsid w:val="004754F7"/>
    <w:rsid w:val="00475D2C"/>
    <w:rsid w:val="00476815"/>
    <w:rsid w:val="00477000"/>
    <w:rsid w:val="0047728D"/>
    <w:rsid w:val="0048045C"/>
    <w:rsid w:val="00480709"/>
    <w:rsid w:val="00480C54"/>
    <w:rsid w:val="00481537"/>
    <w:rsid w:val="00481C8F"/>
    <w:rsid w:val="00481FDD"/>
    <w:rsid w:val="004827FF"/>
    <w:rsid w:val="004836A8"/>
    <w:rsid w:val="00486326"/>
    <w:rsid w:val="004866CA"/>
    <w:rsid w:val="00487186"/>
    <w:rsid w:val="00487D66"/>
    <w:rsid w:val="00493890"/>
    <w:rsid w:val="00494AAD"/>
    <w:rsid w:val="00496C79"/>
    <w:rsid w:val="00496CB7"/>
    <w:rsid w:val="004A1F96"/>
    <w:rsid w:val="004A2A57"/>
    <w:rsid w:val="004A69D3"/>
    <w:rsid w:val="004A6BFC"/>
    <w:rsid w:val="004A6C63"/>
    <w:rsid w:val="004A72AE"/>
    <w:rsid w:val="004B0B7F"/>
    <w:rsid w:val="004B1029"/>
    <w:rsid w:val="004B1512"/>
    <w:rsid w:val="004B20DB"/>
    <w:rsid w:val="004B218A"/>
    <w:rsid w:val="004B3CCF"/>
    <w:rsid w:val="004B4386"/>
    <w:rsid w:val="004B4812"/>
    <w:rsid w:val="004B495A"/>
    <w:rsid w:val="004B4BCA"/>
    <w:rsid w:val="004B567D"/>
    <w:rsid w:val="004B6483"/>
    <w:rsid w:val="004B78F7"/>
    <w:rsid w:val="004C0503"/>
    <w:rsid w:val="004C0E81"/>
    <w:rsid w:val="004C140F"/>
    <w:rsid w:val="004C14AB"/>
    <w:rsid w:val="004C1F3F"/>
    <w:rsid w:val="004C56B7"/>
    <w:rsid w:val="004D0041"/>
    <w:rsid w:val="004D0465"/>
    <w:rsid w:val="004D070F"/>
    <w:rsid w:val="004D092B"/>
    <w:rsid w:val="004D25E1"/>
    <w:rsid w:val="004D29FB"/>
    <w:rsid w:val="004D2A40"/>
    <w:rsid w:val="004D2C91"/>
    <w:rsid w:val="004D33B8"/>
    <w:rsid w:val="004D43C2"/>
    <w:rsid w:val="004D4594"/>
    <w:rsid w:val="004D484D"/>
    <w:rsid w:val="004D4C7D"/>
    <w:rsid w:val="004D4CB5"/>
    <w:rsid w:val="004D4E20"/>
    <w:rsid w:val="004D5D47"/>
    <w:rsid w:val="004D6A4F"/>
    <w:rsid w:val="004D7D69"/>
    <w:rsid w:val="004E00B8"/>
    <w:rsid w:val="004E1221"/>
    <w:rsid w:val="004E1EEB"/>
    <w:rsid w:val="004E2632"/>
    <w:rsid w:val="004E284E"/>
    <w:rsid w:val="004E37E0"/>
    <w:rsid w:val="004E41D3"/>
    <w:rsid w:val="004E4F3C"/>
    <w:rsid w:val="004E510C"/>
    <w:rsid w:val="004E5356"/>
    <w:rsid w:val="004E60BA"/>
    <w:rsid w:val="004E7355"/>
    <w:rsid w:val="004E7EFD"/>
    <w:rsid w:val="004E7F80"/>
    <w:rsid w:val="004F017E"/>
    <w:rsid w:val="004F1173"/>
    <w:rsid w:val="004F2B4D"/>
    <w:rsid w:val="004F2E24"/>
    <w:rsid w:val="004F34F5"/>
    <w:rsid w:val="004F396E"/>
    <w:rsid w:val="004F58CF"/>
    <w:rsid w:val="004F5E96"/>
    <w:rsid w:val="004F67F1"/>
    <w:rsid w:val="004F7E41"/>
    <w:rsid w:val="00500864"/>
    <w:rsid w:val="00500D81"/>
    <w:rsid w:val="00500E1E"/>
    <w:rsid w:val="00501E0C"/>
    <w:rsid w:val="00502033"/>
    <w:rsid w:val="00503A07"/>
    <w:rsid w:val="00503CE9"/>
    <w:rsid w:val="0050408F"/>
    <w:rsid w:val="0050667F"/>
    <w:rsid w:val="00506D74"/>
    <w:rsid w:val="00507377"/>
    <w:rsid w:val="005111FC"/>
    <w:rsid w:val="005118A6"/>
    <w:rsid w:val="00511A0B"/>
    <w:rsid w:val="00511D03"/>
    <w:rsid w:val="00511F38"/>
    <w:rsid w:val="005123AB"/>
    <w:rsid w:val="0051265E"/>
    <w:rsid w:val="00512916"/>
    <w:rsid w:val="005139A8"/>
    <w:rsid w:val="00513C65"/>
    <w:rsid w:val="00514A25"/>
    <w:rsid w:val="00514B23"/>
    <w:rsid w:val="00515851"/>
    <w:rsid w:val="00516335"/>
    <w:rsid w:val="005173BB"/>
    <w:rsid w:val="00517DC2"/>
    <w:rsid w:val="00520591"/>
    <w:rsid w:val="00520A4E"/>
    <w:rsid w:val="005212DB"/>
    <w:rsid w:val="00521CCF"/>
    <w:rsid w:val="00521EE2"/>
    <w:rsid w:val="00522466"/>
    <w:rsid w:val="00523F39"/>
    <w:rsid w:val="00524317"/>
    <w:rsid w:val="00524FE4"/>
    <w:rsid w:val="005265C1"/>
    <w:rsid w:val="0052729C"/>
    <w:rsid w:val="0052767A"/>
    <w:rsid w:val="00530033"/>
    <w:rsid w:val="0053049C"/>
    <w:rsid w:val="005306DB"/>
    <w:rsid w:val="005330A7"/>
    <w:rsid w:val="00533C08"/>
    <w:rsid w:val="005344EB"/>
    <w:rsid w:val="00535335"/>
    <w:rsid w:val="005353D0"/>
    <w:rsid w:val="00535930"/>
    <w:rsid w:val="00536155"/>
    <w:rsid w:val="00536A1D"/>
    <w:rsid w:val="00540982"/>
    <w:rsid w:val="00540D08"/>
    <w:rsid w:val="005425A5"/>
    <w:rsid w:val="00542869"/>
    <w:rsid w:val="00542EDC"/>
    <w:rsid w:val="00543339"/>
    <w:rsid w:val="00543568"/>
    <w:rsid w:val="0054426A"/>
    <w:rsid w:val="005446B2"/>
    <w:rsid w:val="005449DE"/>
    <w:rsid w:val="00544BC7"/>
    <w:rsid w:val="0054562C"/>
    <w:rsid w:val="00545A66"/>
    <w:rsid w:val="00545CA8"/>
    <w:rsid w:val="005460F0"/>
    <w:rsid w:val="0054657F"/>
    <w:rsid w:val="00546620"/>
    <w:rsid w:val="005467FE"/>
    <w:rsid w:val="00547B0A"/>
    <w:rsid w:val="005509A5"/>
    <w:rsid w:val="00552371"/>
    <w:rsid w:val="005527AB"/>
    <w:rsid w:val="0055292A"/>
    <w:rsid w:val="005529AF"/>
    <w:rsid w:val="00552AD6"/>
    <w:rsid w:val="00552BC5"/>
    <w:rsid w:val="005546F9"/>
    <w:rsid w:val="00554806"/>
    <w:rsid w:val="0055482B"/>
    <w:rsid w:val="00555166"/>
    <w:rsid w:val="005556B7"/>
    <w:rsid w:val="00555EEB"/>
    <w:rsid w:val="00561F79"/>
    <w:rsid w:val="00562776"/>
    <w:rsid w:val="00562B50"/>
    <w:rsid w:val="00562FDC"/>
    <w:rsid w:val="005637B0"/>
    <w:rsid w:val="005637EA"/>
    <w:rsid w:val="005639D2"/>
    <w:rsid w:val="00563A97"/>
    <w:rsid w:val="005642BB"/>
    <w:rsid w:val="00565746"/>
    <w:rsid w:val="0056589D"/>
    <w:rsid w:val="00565A95"/>
    <w:rsid w:val="005665D4"/>
    <w:rsid w:val="00567183"/>
    <w:rsid w:val="005675F3"/>
    <w:rsid w:val="00567D89"/>
    <w:rsid w:val="0057005D"/>
    <w:rsid w:val="005712CF"/>
    <w:rsid w:val="005717F2"/>
    <w:rsid w:val="00571D14"/>
    <w:rsid w:val="00572554"/>
    <w:rsid w:val="005728CC"/>
    <w:rsid w:val="00573679"/>
    <w:rsid w:val="00573ADC"/>
    <w:rsid w:val="00573CD2"/>
    <w:rsid w:val="005748B1"/>
    <w:rsid w:val="00575835"/>
    <w:rsid w:val="0057661C"/>
    <w:rsid w:val="00576AA4"/>
    <w:rsid w:val="005800B3"/>
    <w:rsid w:val="00580A5E"/>
    <w:rsid w:val="00581E0E"/>
    <w:rsid w:val="00581FBE"/>
    <w:rsid w:val="00582486"/>
    <w:rsid w:val="0058255D"/>
    <w:rsid w:val="0058260D"/>
    <w:rsid w:val="005829F8"/>
    <w:rsid w:val="00583006"/>
    <w:rsid w:val="00583255"/>
    <w:rsid w:val="00583EF7"/>
    <w:rsid w:val="00585BE0"/>
    <w:rsid w:val="00586028"/>
    <w:rsid w:val="00586FD7"/>
    <w:rsid w:val="00587B54"/>
    <w:rsid w:val="00587D42"/>
    <w:rsid w:val="00590032"/>
    <w:rsid w:val="005910A3"/>
    <w:rsid w:val="00591596"/>
    <w:rsid w:val="00591A75"/>
    <w:rsid w:val="0059298A"/>
    <w:rsid w:val="00592D1C"/>
    <w:rsid w:val="00593A1F"/>
    <w:rsid w:val="00594408"/>
    <w:rsid w:val="00595201"/>
    <w:rsid w:val="005955F0"/>
    <w:rsid w:val="005958D4"/>
    <w:rsid w:val="00595D7F"/>
    <w:rsid w:val="00595DE2"/>
    <w:rsid w:val="0059679A"/>
    <w:rsid w:val="00596A09"/>
    <w:rsid w:val="00596B0F"/>
    <w:rsid w:val="00596E5B"/>
    <w:rsid w:val="005A0A54"/>
    <w:rsid w:val="005A216A"/>
    <w:rsid w:val="005A297F"/>
    <w:rsid w:val="005A2BE1"/>
    <w:rsid w:val="005A3D86"/>
    <w:rsid w:val="005A43A6"/>
    <w:rsid w:val="005A58E1"/>
    <w:rsid w:val="005A5A2C"/>
    <w:rsid w:val="005A5F14"/>
    <w:rsid w:val="005A5F64"/>
    <w:rsid w:val="005A625C"/>
    <w:rsid w:val="005A6E66"/>
    <w:rsid w:val="005A7E95"/>
    <w:rsid w:val="005A7F00"/>
    <w:rsid w:val="005B009F"/>
    <w:rsid w:val="005B088E"/>
    <w:rsid w:val="005B0A20"/>
    <w:rsid w:val="005B0FDD"/>
    <w:rsid w:val="005B12A3"/>
    <w:rsid w:val="005B1BB2"/>
    <w:rsid w:val="005B2CAC"/>
    <w:rsid w:val="005B3981"/>
    <w:rsid w:val="005B64C4"/>
    <w:rsid w:val="005B6767"/>
    <w:rsid w:val="005B6F45"/>
    <w:rsid w:val="005B6F92"/>
    <w:rsid w:val="005B7070"/>
    <w:rsid w:val="005B7482"/>
    <w:rsid w:val="005C01E9"/>
    <w:rsid w:val="005C2264"/>
    <w:rsid w:val="005C23F3"/>
    <w:rsid w:val="005C3560"/>
    <w:rsid w:val="005C37E0"/>
    <w:rsid w:val="005C511C"/>
    <w:rsid w:val="005C5220"/>
    <w:rsid w:val="005C5505"/>
    <w:rsid w:val="005C5F0D"/>
    <w:rsid w:val="005C6C5A"/>
    <w:rsid w:val="005C7221"/>
    <w:rsid w:val="005C763B"/>
    <w:rsid w:val="005C7F63"/>
    <w:rsid w:val="005D0832"/>
    <w:rsid w:val="005D0C11"/>
    <w:rsid w:val="005D0D24"/>
    <w:rsid w:val="005D1019"/>
    <w:rsid w:val="005D1028"/>
    <w:rsid w:val="005D1799"/>
    <w:rsid w:val="005D1F9A"/>
    <w:rsid w:val="005D26AC"/>
    <w:rsid w:val="005D3786"/>
    <w:rsid w:val="005D4EB5"/>
    <w:rsid w:val="005D6599"/>
    <w:rsid w:val="005D7057"/>
    <w:rsid w:val="005E1975"/>
    <w:rsid w:val="005E3402"/>
    <w:rsid w:val="005E3606"/>
    <w:rsid w:val="005E3F79"/>
    <w:rsid w:val="005E4026"/>
    <w:rsid w:val="005E4D06"/>
    <w:rsid w:val="005E512B"/>
    <w:rsid w:val="005E5B8D"/>
    <w:rsid w:val="005E7500"/>
    <w:rsid w:val="005E7F1B"/>
    <w:rsid w:val="005F00FF"/>
    <w:rsid w:val="005F0301"/>
    <w:rsid w:val="005F0586"/>
    <w:rsid w:val="005F49F5"/>
    <w:rsid w:val="005F5471"/>
    <w:rsid w:val="005F55E7"/>
    <w:rsid w:val="005F5D37"/>
    <w:rsid w:val="005F68FD"/>
    <w:rsid w:val="005F72E9"/>
    <w:rsid w:val="005F790E"/>
    <w:rsid w:val="005F7E1D"/>
    <w:rsid w:val="0060018A"/>
    <w:rsid w:val="00600841"/>
    <w:rsid w:val="00600E49"/>
    <w:rsid w:val="00600F23"/>
    <w:rsid w:val="006018C0"/>
    <w:rsid w:val="00602C15"/>
    <w:rsid w:val="00605D39"/>
    <w:rsid w:val="00606248"/>
    <w:rsid w:val="00606862"/>
    <w:rsid w:val="006068F3"/>
    <w:rsid w:val="00607745"/>
    <w:rsid w:val="0061038C"/>
    <w:rsid w:val="006107F6"/>
    <w:rsid w:val="00610976"/>
    <w:rsid w:val="0061136C"/>
    <w:rsid w:val="00613FCD"/>
    <w:rsid w:val="006142FC"/>
    <w:rsid w:val="00614DB9"/>
    <w:rsid w:val="0061534E"/>
    <w:rsid w:val="0061564B"/>
    <w:rsid w:val="00615E2A"/>
    <w:rsid w:val="00616C68"/>
    <w:rsid w:val="00620693"/>
    <w:rsid w:val="00620C51"/>
    <w:rsid w:val="00622E68"/>
    <w:rsid w:val="00623029"/>
    <w:rsid w:val="00623FF2"/>
    <w:rsid w:val="006248A6"/>
    <w:rsid w:val="00625BBD"/>
    <w:rsid w:val="00626303"/>
    <w:rsid w:val="006265D1"/>
    <w:rsid w:val="00626C6A"/>
    <w:rsid w:val="00627B32"/>
    <w:rsid w:val="00627C4C"/>
    <w:rsid w:val="00630C4E"/>
    <w:rsid w:val="00630FAF"/>
    <w:rsid w:val="006313C9"/>
    <w:rsid w:val="0063160C"/>
    <w:rsid w:val="0063174A"/>
    <w:rsid w:val="00631B31"/>
    <w:rsid w:val="00632181"/>
    <w:rsid w:val="00636A69"/>
    <w:rsid w:val="00636F09"/>
    <w:rsid w:val="0063756B"/>
    <w:rsid w:val="006377C9"/>
    <w:rsid w:val="00637FB7"/>
    <w:rsid w:val="006418F3"/>
    <w:rsid w:val="00642074"/>
    <w:rsid w:val="00642A81"/>
    <w:rsid w:val="0064353B"/>
    <w:rsid w:val="00644718"/>
    <w:rsid w:val="006455CE"/>
    <w:rsid w:val="00646160"/>
    <w:rsid w:val="006510F2"/>
    <w:rsid w:val="0065292C"/>
    <w:rsid w:val="006531B8"/>
    <w:rsid w:val="00654FC4"/>
    <w:rsid w:val="0065569F"/>
    <w:rsid w:val="00657245"/>
    <w:rsid w:val="00657643"/>
    <w:rsid w:val="00660376"/>
    <w:rsid w:val="0066205C"/>
    <w:rsid w:val="006625F0"/>
    <w:rsid w:val="00663831"/>
    <w:rsid w:val="0066473E"/>
    <w:rsid w:val="00664F31"/>
    <w:rsid w:val="00666603"/>
    <w:rsid w:val="006677B0"/>
    <w:rsid w:val="00670C48"/>
    <w:rsid w:val="0067184D"/>
    <w:rsid w:val="00672D0E"/>
    <w:rsid w:val="00673F37"/>
    <w:rsid w:val="00676D30"/>
    <w:rsid w:val="006774A9"/>
    <w:rsid w:val="006808B3"/>
    <w:rsid w:val="00681C24"/>
    <w:rsid w:val="00681EBF"/>
    <w:rsid w:val="00683129"/>
    <w:rsid w:val="00684A3B"/>
    <w:rsid w:val="006874FC"/>
    <w:rsid w:val="00687842"/>
    <w:rsid w:val="00687D77"/>
    <w:rsid w:val="00690068"/>
    <w:rsid w:val="00690B2C"/>
    <w:rsid w:val="00691C51"/>
    <w:rsid w:val="0069319B"/>
    <w:rsid w:val="00693D26"/>
    <w:rsid w:val="006941E1"/>
    <w:rsid w:val="00694473"/>
    <w:rsid w:val="00695932"/>
    <w:rsid w:val="00695B54"/>
    <w:rsid w:val="00695F98"/>
    <w:rsid w:val="00696FA5"/>
    <w:rsid w:val="00697E88"/>
    <w:rsid w:val="006A0256"/>
    <w:rsid w:val="006A0365"/>
    <w:rsid w:val="006A0722"/>
    <w:rsid w:val="006A0AA9"/>
    <w:rsid w:val="006A0FCA"/>
    <w:rsid w:val="006A1277"/>
    <w:rsid w:val="006A1594"/>
    <w:rsid w:val="006A28A8"/>
    <w:rsid w:val="006A489C"/>
    <w:rsid w:val="006A6ACB"/>
    <w:rsid w:val="006A7ADE"/>
    <w:rsid w:val="006B11D3"/>
    <w:rsid w:val="006B247E"/>
    <w:rsid w:val="006B2C63"/>
    <w:rsid w:val="006B2E09"/>
    <w:rsid w:val="006B2E96"/>
    <w:rsid w:val="006B3AEB"/>
    <w:rsid w:val="006B3EBD"/>
    <w:rsid w:val="006B4667"/>
    <w:rsid w:val="006B4765"/>
    <w:rsid w:val="006B5026"/>
    <w:rsid w:val="006B5760"/>
    <w:rsid w:val="006B5A42"/>
    <w:rsid w:val="006B6D3A"/>
    <w:rsid w:val="006B748A"/>
    <w:rsid w:val="006B7CDD"/>
    <w:rsid w:val="006B7EBE"/>
    <w:rsid w:val="006C06CB"/>
    <w:rsid w:val="006C0FF9"/>
    <w:rsid w:val="006C1948"/>
    <w:rsid w:val="006C27DB"/>
    <w:rsid w:val="006C3A43"/>
    <w:rsid w:val="006C5D17"/>
    <w:rsid w:val="006C6D01"/>
    <w:rsid w:val="006C703B"/>
    <w:rsid w:val="006C7595"/>
    <w:rsid w:val="006C75AB"/>
    <w:rsid w:val="006C7E88"/>
    <w:rsid w:val="006D09B0"/>
    <w:rsid w:val="006D20BE"/>
    <w:rsid w:val="006D2407"/>
    <w:rsid w:val="006D32B8"/>
    <w:rsid w:val="006D362D"/>
    <w:rsid w:val="006D3B49"/>
    <w:rsid w:val="006D4572"/>
    <w:rsid w:val="006D4A09"/>
    <w:rsid w:val="006D4C57"/>
    <w:rsid w:val="006D640C"/>
    <w:rsid w:val="006D67A1"/>
    <w:rsid w:val="006D6833"/>
    <w:rsid w:val="006D7364"/>
    <w:rsid w:val="006D7938"/>
    <w:rsid w:val="006D7BD6"/>
    <w:rsid w:val="006E027E"/>
    <w:rsid w:val="006E09F2"/>
    <w:rsid w:val="006E0A66"/>
    <w:rsid w:val="006E0E17"/>
    <w:rsid w:val="006E1F10"/>
    <w:rsid w:val="006E2455"/>
    <w:rsid w:val="006E2C4F"/>
    <w:rsid w:val="006E2DD2"/>
    <w:rsid w:val="006E386D"/>
    <w:rsid w:val="006E3BDC"/>
    <w:rsid w:val="006E4602"/>
    <w:rsid w:val="006E5AB1"/>
    <w:rsid w:val="006E5ABC"/>
    <w:rsid w:val="006E6879"/>
    <w:rsid w:val="006E68E6"/>
    <w:rsid w:val="006E769A"/>
    <w:rsid w:val="006E7B4B"/>
    <w:rsid w:val="006F0019"/>
    <w:rsid w:val="006F07FB"/>
    <w:rsid w:val="006F16B8"/>
    <w:rsid w:val="006F1D23"/>
    <w:rsid w:val="006F246C"/>
    <w:rsid w:val="006F262D"/>
    <w:rsid w:val="006F278A"/>
    <w:rsid w:val="006F292A"/>
    <w:rsid w:val="006F3DB5"/>
    <w:rsid w:val="006F54DC"/>
    <w:rsid w:val="006F5A97"/>
    <w:rsid w:val="006F617B"/>
    <w:rsid w:val="006F6369"/>
    <w:rsid w:val="006F7182"/>
    <w:rsid w:val="006F7D9B"/>
    <w:rsid w:val="0070015E"/>
    <w:rsid w:val="00700254"/>
    <w:rsid w:val="00701273"/>
    <w:rsid w:val="0070234A"/>
    <w:rsid w:val="007024BC"/>
    <w:rsid w:val="007029A5"/>
    <w:rsid w:val="00702F8A"/>
    <w:rsid w:val="00704302"/>
    <w:rsid w:val="00704391"/>
    <w:rsid w:val="007049E7"/>
    <w:rsid w:val="00704B88"/>
    <w:rsid w:val="00705418"/>
    <w:rsid w:val="00705E2F"/>
    <w:rsid w:val="00706232"/>
    <w:rsid w:val="00707AC9"/>
    <w:rsid w:val="00710722"/>
    <w:rsid w:val="00711D9D"/>
    <w:rsid w:val="007133C4"/>
    <w:rsid w:val="00714288"/>
    <w:rsid w:val="007144FE"/>
    <w:rsid w:val="00715F2C"/>
    <w:rsid w:val="00716FC5"/>
    <w:rsid w:val="00717D05"/>
    <w:rsid w:val="007204C5"/>
    <w:rsid w:val="007221E2"/>
    <w:rsid w:val="00722981"/>
    <w:rsid w:val="0072349E"/>
    <w:rsid w:val="0072354D"/>
    <w:rsid w:val="0072372C"/>
    <w:rsid w:val="00724A71"/>
    <w:rsid w:val="00724B4A"/>
    <w:rsid w:val="00725E16"/>
    <w:rsid w:val="00725E2C"/>
    <w:rsid w:val="00726291"/>
    <w:rsid w:val="00726C25"/>
    <w:rsid w:val="0072772E"/>
    <w:rsid w:val="00727B75"/>
    <w:rsid w:val="00730B84"/>
    <w:rsid w:val="00730D08"/>
    <w:rsid w:val="00731749"/>
    <w:rsid w:val="00732BB2"/>
    <w:rsid w:val="00733068"/>
    <w:rsid w:val="007338D1"/>
    <w:rsid w:val="00733BC9"/>
    <w:rsid w:val="00733E81"/>
    <w:rsid w:val="00733F11"/>
    <w:rsid w:val="00734614"/>
    <w:rsid w:val="00734A23"/>
    <w:rsid w:val="00734F3D"/>
    <w:rsid w:val="00735FBC"/>
    <w:rsid w:val="007362B7"/>
    <w:rsid w:val="007367C5"/>
    <w:rsid w:val="0073706F"/>
    <w:rsid w:val="00737519"/>
    <w:rsid w:val="00737C72"/>
    <w:rsid w:val="00740581"/>
    <w:rsid w:val="00740675"/>
    <w:rsid w:val="00740E18"/>
    <w:rsid w:val="00741133"/>
    <w:rsid w:val="00741B88"/>
    <w:rsid w:val="0074384F"/>
    <w:rsid w:val="00743AA6"/>
    <w:rsid w:val="00743F1D"/>
    <w:rsid w:val="007446F2"/>
    <w:rsid w:val="0074480A"/>
    <w:rsid w:val="007458A7"/>
    <w:rsid w:val="00745C2A"/>
    <w:rsid w:val="00747611"/>
    <w:rsid w:val="007501B7"/>
    <w:rsid w:val="007508E2"/>
    <w:rsid w:val="00750B14"/>
    <w:rsid w:val="00751BF3"/>
    <w:rsid w:val="00752A9F"/>
    <w:rsid w:val="00753177"/>
    <w:rsid w:val="00753D5F"/>
    <w:rsid w:val="00754944"/>
    <w:rsid w:val="00755318"/>
    <w:rsid w:val="00755537"/>
    <w:rsid w:val="0075582B"/>
    <w:rsid w:val="007561DF"/>
    <w:rsid w:val="0075624D"/>
    <w:rsid w:val="0075679A"/>
    <w:rsid w:val="00756B8F"/>
    <w:rsid w:val="00756C78"/>
    <w:rsid w:val="00757642"/>
    <w:rsid w:val="00757CF5"/>
    <w:rsid w:val="00757D83"/>
    <w:rsid w:val="007602EA"/>
    <w:rsid w:val="007611AE"/>
    <w:rsid w:val="0076135E"/>
    <w:rsid w:val="00761FA7"/>
    <w:rsid w:val="007631E1"/>
    <w:rsid w:val="00763355"/>
    <w:rsid w:val="00763D7C"/>
    <w:rsid w:val="00764DCA"/>
    <w:rsid w:val="00765F94"/>
    <w:rsid w:val="00765FD6"/>
    <w:rsid w:val="0076623D"/>
    <w:rsid w:val="0076682A"/>
    <w:rsid w:val="00766E81"/>
    <w:rsid w:val="007673AC"/>
    <w:rsid w:val="00770E07"/>
    <w:rsid w:val="00773103"/>
    <w:rsid w:val="00773754"/>
    <w:rsid w:val="0077388E"/>
    <w:rsid w:val="00775522"/>
    <w:rsid w:val="00775D88"/>
    <w:rsid w:val="00776375"/>
    <w:rsid w:val="0077721E"/>
    <w:rsid w:val="00781994"/>
    <w:rsid w:val="00781A1C"/>
    <w:rsid w:val="00781E7A"/>
    <w:rsid w:val="00781EBF"/>
    <w:rsid w:val="00781FB9"/>
    <w:rsid w:val="007829F1"/>
    <w:rsid w:val="00782B4E"/>
    <w:rsid w:val="007845AF"/>
    <w:rsid w:val="007855C0"/>
    <w:rsid w:val="007867F9"/>
    <w:rsid w:val="00787A4F"/>
    <w:rsid w:val="00791B60"/>
    <w:rsid w:val="00791B6A"/>
    <w:rsid w:val="00791BE1"/>
    <w:rsid w:val="007925EA"/>
    <w:rsid w:val="00792936"/>
    <w:rsid w:val="00792C5A"/>
    <w:rsid w:val="00793A02"/>
    <w:rsid w:val="007954F2"/>
    <w:rsid w:val="0079569A"/>
    <w:rsid w:val="0079585B"/>
    <w:rsid w:val="007958D6"/>
    <w:rsid w:val="00795B16"/>
    <w:rsid w:val="00797161"/>
    <w:rsid w:val="007A0108"/>
    <w:rsid w:val="007A0658"/>
    <w:rsid w:val="007A0821"/>
    <w:rsid w:val="007A0869"/>
    <w:rsid w:val="007A10AD"/>
    <w:rsid w:val="007A138E"/>
    <w:rsid w:val="007A1C09"/>
    <w:rsid w:val="007A1C5A"/>
    <w:rsid w:val="007A2B58"/>
    <w:rsid w:val="007A31F6"/>
    <w:rsid w:val="007A3EE0"/>
    <w:rsid w:val="007A4012"/>
    <w:rsid w:val="007A4056"/>
    <w:rsid w:val="007A4259"/>
    <w:rsid w:val="007A4BD0"/>
    <w:rsid w:val="007A5295"/>
    <w:rsid w:val="007A68AA"/>
    <w:rsid w:val="007A6C51"/>
    <w:rsid w:val="007A7B2A"/>
    <w:rsid w:val="007B0D94"/>
    <w:rsid w:val="007B2826"/>
    <w:rsid w:val="007B282E"/>
    <w:rsid w:val="007B2EED"/>
    <w:rsid w:val="007B3414"/>
    <w:rsid w:val="007B3A09"/>
    <w:rsid w:val="007B3A9E"/>
    <w:rsid w:val="007B3AB3"/>
    <w:rsid w:val="007B4BC1"/>
    <w:rsid w:val="007B4E3B"/>
    <w:rsid w:val="007B5A0B"/>
    <w:rsid w:val="007B5AF2"/>
    <w:rsid w:val="007B7959"/>
    <w:rsid w:val="007C0F0F"/>
    <w:rsid w:val="007C18A4"/>
    <w:rsid w:val="007C2A67"/>
    <w:rsid w:val="007C2CE1"/>
    <w:rsid w:val="007C2D93"/>
    <w:rsid w:val="007C388F"/>
    <w:rsid w:val="007C431A"/>
    <w:rsid w:val="007C4779"/>
    <w:rsid w:val="007C4A59"/>
    <w:rsid w:val="007C556B"/>
    <w:rsid w:val="007C6E32"/>
    <w:rsid w:val="007C6F7A"/>
    <w:rsid w:val="007C7EA3"/>
    <w:rsid w:val="007D08E9"/>
    <w:rsid w:val="007D0D56"/>
    <w:rsid w:val="007D165A"/>
    <w:rsid w:val="007D1B3C"/>
    <w:rsid w:val="007D1D62"/>
    <w:rsid w:val="007D1F8D"/>
    <w:rsid w:val="007D2510"/>
    <w:rsid w:val="007D2655"/>
    <w:rsid w:val="007D2A9D"/>
    <w:rsid w:val="007D3873"/>
    <w:rsid w:val="007D3987"/>
    <w:rsid w:val="007D58F8"/>
    <w:rsid w:val="007D5B04"/>
    <w:rsid w:val="007D5F42"/>
    <w:rsid w:val="007D600C"/>
    <w:rsid w:val="007D6329"/>
    <w:rsid w:val="007D7B75"/>
    <w:rsid w:val="007D7C2F"/>
    <w:rsid w:val="007E00C9"/>
    <w:rsid w:val="007E012D"/>
    <w:rsid w:val="007E0B2E"/>
    <w:rsid w:val="007E2350"/>
    <w:rsid w:val="007E2669"/>
    <w:rsid w:val="007E2C1A"/>
    <w:rsid w:val="007E2C20"/>
    <w:rsid w:val="007E2E4F"/>
    <w:rsid w:val="007E342A"/>
    <w:rsid w:val="007E35AF"/>
    <w:rsid w:val="007E3655"/>
    <w:rsid w:val="007E39F4"/>
    <w:rsid w:val="007E5105"/>
    <w:rsid w:val="007E62D2"/>
    <w:rsid w:val="007E66CE"/>
    <w:rsid w:val="007E67BB"/>
    <w:rsid w:val="007E6E8B"/>
    <w:rsid w:val="007E7DBC"/>
    <w:rsid w:val="007E7DE7"/>
    <w:rsid w:val="007F14DC"/>
    <w:rsid w:val="007F2FC0"/>
    <w:rsid w:val="007F315B"/>
    <w:rsid w:val="007F3DB4"/>
    <w:rsid w:val="007F3FB4"/>
    <w:rsid w:val="007F431C"/>
    <w:rsid w:val="007F44F9"/>
    <w:rsid w:val="007F45B5"/>
    <w:rsid w:val="007F6508"/>
    <w:rsid w:val="007F7AE1"/>
    <w:rsid w:val="00800F99"/>
    <w:rsid w:val="0080111C"/>
    <w:rsid w:val="0080126D"/>
    <w:rsid w:val="0080226C"/>
    <w:rsid w:val="00802904"/>
    <w:rsid w:val="008035B8"/>
    <w:rsid w:val="00804C8A"/>
    <w:rsid w:val="00804D29"/>
    <w:rsid w:val="0080597E"/>
    <w:rsid w:val="008061B9"/>
    <w:rsid w:val="00806FCA"/>
    <w:rsid w:val="00807574"/>
    <w:rsid w:val="008079AD"/>
    <w:rsid w:val="00810FED"/>
    <w:rsid w:val="0081170B"/>
    <w:rsid w:val="00811B25"/>
    <w:rsid w:val="00812BA7"/>
    <w:rsid w:val="00812FFA"/>
    <w:rsid w:val="00814126"/>
    <w:rsid w:val="00814541"/>
    <w:rsid w:val="008157E0"/>
    <w:rsid w:val="00815C99"/>
    <w:rsid w:val="0081654A"/>
    <w:rsid w:val="0082008C"/>
    <w:rsid w:val="008200C1"/>
    <w:rsid w:val="00820BD5"/>
    <w:rsid w:val="008215DA"/>
    <w:rsid w:val="00821C74"/>
    <w:rsid w:val="00822C92"/>
    <w:rsid w:val="00824975"/>
    <w:rsid w:val="008256BE"/>
    <w:rsid w:val="0082657C"/>
    <w:rsid w:val="0082682F"/>
    <w:rsid w:val="0082690D"/>
    <w:rsid w:val="0082705A"/>
    <w:rsid w:val="00827EB8"/>
    <w:rsid w:val="00830130"/>
    <w:rsid w:val="008302C6"/>
    <w:rsid w:val="00831200"/>
    <w:rsid w:val="00831AB2"/>
    <w:rsid w:val="00832084"/>
    <w:rsid w:val="00834122"/>
    <w:rsid w:val="00834979"/>
    <w:rsid w:val="00834B98"/>
    <w:rsid w:val="00835F57"/>
    <w:rsid w:val="00836C74"/>
    <w:rsid w:val="008370EA"/>
    <w:rsid w:val="008371D2"/>
    <w:rsid w:val="008376A1"/>
    <w:rsid w:val="008379EC"/>
    <w:rsid w:val="0084059A"/>
    <w:rsid w:val="00840E99"/>
    <w:rsid w:val="00841360"/>
    <w:rsid w:val="00841BB6"/>
    <w:rsid w:val="00842598"/>
    <w:rsid w:val="00842ED0"/>
    <w:rsid w:val="00843A04"/>
    <w:rsid w:val="00845264"/>
    <w:rsid w:val="00845C1A"/>
    <w:rsid w:val="00847243"/>
    <w:rsid w:val="0084771B"/>
    <w:rsid w:val="00847A40"/>
    <w:rsid w:val="00847BFB"/>
    <w:rsid w:val="00850937"/>
    <w:rsid w:val="008526BD"/>
    <w:rsid w:val="00854EE9"/>
    <w:rsid w:val="00855086"/>
    <w:rsid w:val="00855095"/>
    <w:rsid w:val="0085560F"/>
    <w:rsid w:val="00860324"/>
    <w:rsid w:val="008605B5"/>
    <w:rsid w:val="00860A03"/>
    <w:rsid w:val="00860C31"/>
    <w:rsid w:val="0086121B"/>
    <w:rsid w:val="00862A24"/>
    <w:rsid w:val="008639AD"/>
    <w:rsid w:val="008639D1"/>
    <w:rsid w:val="00863AC6"/>
    <w:rsid w:val="00865325"/>
    <w:rsid w:val="00865385"/>
    <w:rsid w:val="00866B92"/>
    <w:rsid w:val="00867245"/>
    <w:rsid w:val="00867F0B"/>
    <w:rsid w:val="00870844"/>
    <w:rsid w:val="008721A5"/>
    <w:rsid w:val="00872370"/>
    <w:rsid w:val="008724DE"/>
    <w:rsid w:val="00872693"/>
    <w:rsid w:val="00874659"/>
    <w:rsid w:val="008747D8"/>
    <w:rsid w:val="0087674C"/>
    <w:rsid w:val="0087789E"/>
    <w:rsid w:val="00877C2B"/>
    <w:rsid w:val="00880157"/>
    <w:rsid w:val="008808ED"/>
    <w:rsid w:val="008811FB"/>
    <w:rsid w:val="0088180B"/>
    <w:rsid w:val="00882726"/>
    <w:rsid w:val="008827A5"/>
    <w:rsid w:val="00883096"/>
    <w:rsid w:val="00883ABD"/>
    <w:rsid w:val="0088405B"/>
    <w:rsid w:val="00884690"/>
    <w:rsid w:val="008858A0"/>
    <w:rsid w:val="00886610"/>
    <w:rsid w:val="008868A1"/>
    <w:rsid w:val="00890934"/>
    <w:rsid w:val="00890FCD"/>
    <w:rsid w:val="0089177F"/>
    <w:rsid w:val="0089190A"/>
    <w:rsid w:val="008958F2"/>
    <w:rsid w:val="008959D2"/>
    <w:rsid w:val="0089611D"/>
    <w:rsid w:val="008967B8"/>
    <w:rsid w:val="00897F57"/>
    <w:rsid w:val="008A0E56"/>
    <w:rsid w:val="008A1B9F"/>
    <w:rsid w:val="008A1FB1"/>
    <w:rsid w:val="008A472E"/>
    <w:rsid w:val="008A509C"/>
    <w:rsid w:val="008A5291"/>
    <w:rsid w:val="008A56B5"/>
    <w:rsid w:val="008A5749"/>
    <w:rsid w:val="008A6039"/>
    <w:rsid w:val="008A7C9D"/>
    <w:rsid w:val="008B00D0"/>
    <w:rsid w:val="008B092C"/>
    <w:rsid w:val="008B10FB"/>
    <w:rsid w:val="008B1556"/>
    <w:rsid w:val="008B3633"/>
    <w:rsid w:val="008B3FFD"/>
    <w:rsid w:val="008B4F0A"/>
    <w:rsid w:val="008B5038"/>
    <w:rsid w:val="008B52CD"/>
    <w:rsid w:val="008B6B2A"/>
    <w:rsid w:val="008B6C6D"/>
    <w:rsid w:val="008B6E91"/>
    <w:rsid w:val="008B6FF9"/>
    <w:rsid w:val="008B723A"/>
    <w:rsid w:val="008B77D6"/>
    <w:rsid w:val="008C128F"/>
    <w:rsid w:val="008C308C"/>
    <w:rsid w:val="008C386E"/>
    <w:rsid w:val="008C390E"/>
    <w:rsid w:val="008C422E"/>
    <w:rsid w:val="008C4F64"/>
    <w:rsid w:val="008C535C"/>
    <w:rsid w:val="008C5ABA"/>
    <w:rsid w:val="008C5D74"/>
    <w:rsid w:val="008C6B7A"/>
    <w:rsid w:val="008C6E46"/>
    <w:rsid w:val="008C7E0F"/>
    <w:rsid w:val="008D0352"/>
    <w:rsid w:val="008D03DA"/>
    <w:rsid w:val="008D1209"/>
    <w:rsid w:val="008D2CA9"/>
    <w:rsid w:val="008D2E6F"/>
    <w:rsid w:val="008D37B4"/>
    <w:rsid w:val="008D5B35"/>
    <w:rsid w:val="008D6ACE"/>
    <w:rsid w:val="008E040E"/>
    <w:rsid w:val="008E09F1"/>
    <w:rsid w:val="008E102C"/>
    <w:rsid w:val="008E1630"/>
    <w:rsid w:val="008E1AD5"/>
    <w:rsid w:val="008E1DF1"/>
    <w:rsid w:val="008E4025"/>
    <w:rsid w:val="008E4DD4"/>
    <w:rsid w:val="008E551F"/>
    <w:rsid w:val="008E5563"/>
    <w:rsid w:val="008E561D"/>
    <w:rsid w:val="008E6648"/>
    <w:rsid w:val="008E6752"/>
    <w:rsid w:val="008E6A1C"/>
    <w:rsid w:val="008F01BA"/>
    <w:rsid w:val="008F2E2F"/>
    <w:rsid w:val="008F39ED"/>
    <w:rsid w:val="008F4562"/>
    <w:rsid w:val="008F4C38"/>
    <w:rsid w:val="008F609C"/>
    <w:rsid w:val="008F6ADE"/>
    <w:rsid w:val="008F6FBF"/>
    <w:rsid w:val="008F7758"/>
    <w:rsid w:val="00900348"/>
    <w:rsid w:val="009005BC"/>
    <w:rsid w:val="00900939"/>
    <w:rsid w:val="00900DC1"/>
    <w:rsid w:val="009012D8"/>
    <w:rsid w:val="0090139D"/>
    <w:rsid w:val="00901ACC"/>
    <w:rsid w:val="009045CD"/>
    <w:rsid w:val="009051D2"/>
    <w:rsid w:val="00906F3E"/>
    <w:rsid w:val="0090749C"/>
    <w:rsid w:val="00910CE2"/>
    <w:rsid w:val="00910F07"/>
    <w:rsid w:val="009115DE"/>
    <w:rsid w:val="00911BC4"/>
    <w:rsid w:val="0091209F"/>
    <w:rsid w:val="00912855"/>
    <w:rsid w:val="00912AA9"/>
    <w:rsid w:val="00913242"/>
    <w:rsid w:val="009145B1"/>
    <w:rsid w:val="00914A22"/>
    <w:rsid w:val="00914F3D"/>
    <w:rsid w:val="00915507"/>
    <w:rsid w:val="00915A7A"/>
    <w:rsid w:val="00915BAA"/>
    <w:rsid w:val="00915BD0"/>
    <w:rsid w:val="00916D7D"/>
    <w:rsid w:val="00917008"/>
    <w:rsid w:val="00917329"/>
    <w:rsid w:val="0091748B"/>
    <w:rsid w:val="00920109"/>
    <w:rsid w:val="009213F2"/>
    <w:rsid w:val="00921740"/>
    <w:rsid w:val="00922C75"/>
    <w:rsid w:val="0092431C"/>
    <w:rsid w:val="009255A3"/>
    <w:rsid w:val="00925636"/>
    <w:rsid w:val="009256AD"/>
    <w:rsid w:val="00925783"/>
    <w:rsid w:val="00925CE0"/>
    <w:rsid w:val="00925FC0"/>
    <w:rsid w:val="0092650D"/>
    <w:rsid w:val="00926B8C"/>
    <w:rsid w:val="00926D86"/>
    <w:rsid w:val="009271C5"/>
    <w:rsid w:val="00927C0C"/>
    <w:rsid w:val="00930027"/>
    <w:rsid w:val="0093021C"/>
    <w:rsid w:val="009303A1"/>
    <w:rsid w:val="009304A4"/>
    <w:rsid w:val="009313C3"/>
    <w:rsid w:val="009313C5"/>
    <w:rsid w:val="009314F3"/>
    <w:rsid w:val="00932414"/>
    <w:rsid w:val="00934333"/>
    <w:rsid w:val="00935966"/>
    <w:rsid w:val="00935D7D"/>
    <w:rsid w:val="009404B0"/>
    <w:rsid w:val="00940966"/>
    <w:rsid w:val="00941EA1"/>
    <w:rsid w:val="00942342"/>
    <w:rsid w:val="00943043"/>
    <w:rsid w:val="009443A8"/>
    <w:rsid w:val="00945322"/>
    <w:rsid w:val="00946F23"/>
    <w:rsid w:val="00947191"/>
    <w:rsid w:val="0094736F"/>
    <w:rsid w:val="00947E36"/>
    <w:rsid w:val="00951216"/>
    <w:rsid w:val="009514E6"/>
    <w:rsid w:val="00952064"/>
    <w:rsid w:val="00952079"/>
    <w:rsid w:val="0095289B"/>
    <w:rsid w:val="00952F30"/>
    <w:rsid w:val="00953A0B"/>
    <w:rsid w:val="00953A19"/>
    <w:rsid w:val="00953CCE"/>
    <w:rsid w:val="009564A7"/>
    <w:rsid w:val="009603BB"/>
    <w:rsid w:val="009608D9"/>
    <w:rsid w:val="009610C4"/>
    <w:rsid w:val="00961BAC"/>
    <w:rsid w:val="00961FAA"/>
    <w:rsid w:val="009629DF"/>
    <w:rsid w:val="00962EBC"/>
    <w:rsid w:val="009632BC"/>
    <w:rsid w:val="0096333F"/>
    <w:rsid w:val="00963AE3"/>
    <w:rsid w:val="00964BF7"/>
    <w:rsid w:val="00964C19"/>
    <w:rsid w:val="00964D57"/>
    <w:rsid w:val="00965DFD"/>
    <w:rsid w:val="00965E8B"/>
    <w:rsid w:val="00966B92"/>
    <w:rsid w:val="00966D06"/>
    <w:rsid w:val="00967D07"/>
    <w:rsid w:val="00970376"/>
    <w:rsid w:val="009704CC"/>
    <w:rsid w:val="00970F5B"/>
    <w:rsid w:val="00971499"/>
    <w:rsid w:val="0097165B"/>
    <w:rsid w:val="00971856"/>
    <w:rsid w:val="00972FB6"/>
    <w:rsid w:val="00973243"/>
    <w:rsid w:val="00974839"/>
    <w:rsid w:val="009752B5"/>
    <w:rsid w:val="009757AD"/>
    <w:rsid w:val="00976E82"/>
    <w:rsid w:val="00977702"/>
    <w:rsid w:val="00980229"/>
    <w:rsid w:val="00981168"/>
    <w:rsid w:val="00981256"/>
    <w:rsid w:val="009812F7"/>
    <w:rsid w:val="00982963"/>
    <w:rsid w:val="00982CD6"/>
    <w:rsid w:val="00982F62"/>
    <w:rsid w:val="00983AB7"/>
    <w:rsid w:val="00984E7A"/>
    <w:rsid w:val="009876A4"/>
    <w:rsid w:val="00987D97"/>
    <w:rsid w:val="00990E3B"/>
    <w:rsid w:val="00991111"/>
    <w:rsid w:val="00991F70"/>
    <w:rsid w:val="0099237C"/>
    <w:rsid w:val="00992AA6"/>
    <w:rsid w:val="00992DFC"/>
    <w:rsid w:val="00993738"/>
    <w:rsid w:val="00993DF1"/>
    <w:rsid w:val="009A0BEF"/>
    <w:rsid w:val="009A3E79"/>
    <w:rsid w:val="009A4B16"/>
    <w:rsid w:val="009A5024"/>
    <w:rsid w:val="009A606E"/>
    <w:rsid w:val="009A659B"/>
    <w:rsid w:val="009A6E13"/>
    <w:rsid w:val="009A7E98"/>
    <w:rsid w:val="009B0533"/>
    <w:rsid w:val="009B1265"/>
    <w:rsid w:val="009B1268"/>
    <w:rsid w:val="009B2E80"/>
    <w:rsid w:val="009B3069"/>
    <w:rsid w:val="009B48F4"/>
    <w:rsid w:val="009B49FC"/>
    <w:rsid w:val="009B4DE8"/>
    <w:rsid w:val="009B4FAB"/>
    <w:rsid w:val="009B56E5"/>
    <w:rsid w:val="009B586B"/>
    <w:rsid w:val="009B691C"/>
    <w:rsid w:val="009B78F8"/>
    <w:rsid w:val="009B7FD9"/>
    <w:rsid w:val="009C0272"/>
    <w:rsid w:val="009C13C1"/>
    <w:rsid w:val="009C1564"/>
    <w:rsid w:val="009C2069"/>
    <w:rsid w:val="009C20CD"/>
    <w:rsid w:val="009C20CF"/>
    <w:rsid w:val="009C230E"/>
    <w:rsid w:val="009C2F0B"/>
    <w:rsid w:val="009C5162"/>
    <w:rsid w:val="009C532A"/>
    <w:rsid w:val="009C67AD"/>
    <w:rsid w:val="009C7001"/>
    <w:rsid w:val="009D0575"/>
    <w:rsid w:val="009D15B1"/>
    <w:rsid w:val="009D25C0"/>
    <w:rsid w:val="009D2F96"/>
    <w:rsid w:val="009D4310"/>
    <w:rsid w:val="009D52A9"/>
    <w:rsid w:val="009D5AFF"/>
    <w:rsid w:val="009D64A9"/>
    <w:rsid w:val="009D7335"/>
    <w:rsid w:val="009D7A09"/>
    <w:rsid w:val="009D7B03"/>
    <w:rsid w:val="009E07F6"/>
    <w:rsid w:val="009E0BD7"/>
    <w:rsid w:val="009E1743"/>
    <w:rsid w:val="009E2377"/>
    <w:rsid w:val="009E2E82"/>
    <w:rsid w:val="009E301F"/>
    <w:rsid w:val="009E31C2"/>
    <w:rsid w:val="009E3F19"/>
    <w:rsid w:val="009E4764"/>
    <w:rsid w:val="009E599C"/>
    <w:rsid w:val="009E59D0"/>
    <w:rsid w:val="009E5A66"/>
    <w:rsid w:val="009E5CB7"/>
    <w:rsid w:val="009E6A74"/>
    <w:rsid w:val="009E7B20"/>
    <w:rsid w:val="009F05FC"/>
    <w:rsid w:val="009F10FD"/>
    <w:rsid w:val="009F1F29"/>
    <w:rsid w:val="009F2CCB"/>
    <w:rsid w:val="009F3463"/>
    <w:rsid w:val="009F3E5E"/>
    <w:rsid w:val="009F5172"/>
    <w:rsid w:val="009F5249"/>
    <w:rsid w:val="009F5D6E"/>
    <w:rsid w:val="009F6C26"/>
    <w:rsid w:val="009F7800"/>
    <w:rsid w:val="009F7AB3"/>
    <w:rsid w:val="00A00293"/>
    <w:rsid w:val="00A00A33"/>
    <w:rsid w:val="00A018AF"/>
    <w:rsid w:val="00A03928"/>
    <w:rsid w:val="00A03AB5"/>
    <w:rsid w:val="00A03B2A"/>
    <w:rsid w:val="00A042B8"/>
    <w:rsid w:val="00A04697"/>
    <w:rsid w:val="00A04B8B"/>
    <w:rsid w:val="00A05396"/>
    <w:rsid w:val="00A056DE"/>
    <w:rsid w:val="00A05747"/>
    <w:rsid w:val="00A06B58"/>
    <w:rsid w:val="00A06EB7"/>
    <w:rsid w:val="00A0736B"/>
    <w:rsid w:val="00A07606"/>
    <w:rsid w:val="00A111DE"/>
    <w:rsid w:val="00A11793"/>
    <w:rsid w:val="00A12F0E"/>
    <w:rsid w:val="00A136BF"/>
    <w:rsid w:val="00A13D95"/>
    <w:rsid w:val="00A15F10"/>
    <w:rsid w:val="00A172CD"/>
    <w:rsid w:val="00A1750E"/>
    <w:rsid w:val="00A1765E"/>
    <w:rsid w:val="00A17B1F"/>
    <w:rsid w:val="00A17CA5"/>
    <w:rsid w:val="00A203F4"/>
    <w:rsid w:val="00A20823"/>
    <w:rsid w:val="00A20D4F"/>
    <w:rsid w:val="00A2171C"/>
    <w:rsid w:val="00A22398"/>
    <w:rsid w:val="00A22480"/>
    <w:rsid w:val="00A2271E"/>
    <w:rsid w:val="00A22938"/>
    <w:rsid w:val="00A239E0"/>
    <w:rsid w:val="00A23CF6"/>
    <w:rsid w:val="00A2434F"/>
    <w:rsid w:val="00A25143"/>
    <w:rsid w:val="00A2552E"/>
    <w:rsid w:val="00A2578E"/>
    <w:rsid w:val="00A26A2F"/>
    <w:rsid w:val="00A26B23"/>
    <w:rsid w:val="00A27EF9"/>
    <w:rsid w:val="00A3090D"/>
    <w:rsid w:val="00A309AB"/>
    <w:rsid w:val="00A3141B"/>
    <w:rsid w:val="00A31973"/>
    <w:rsid w:val="00A31F9D"/>
    <w:rsid w:val="00A32117"/>
    <w:rsid w:val="00A32B45"/>
    <w:rsid w:val="00A3331A"/>
    <w:rsid w:val="00A34932"/>
    <w:rsid w:val="00A34C44"/>
    <w:rsid w:val="00A34C86"/>
    <w:rsid w:val="00A351D9"/>
    <w:rsid w:val="00A366EA"/>
    <w:rsid w:val="00A36AA3"/>
    <w:rsid w:val="00A36F01"/>
    <w:rsid w:val="00A37F9A"/>
    <w:rsid w:val="00A42397"/>
    <w:rsid w:val="00A424FC"/>
    <w:rsid w:val="00A42788"/>
    <w:rsid w:val="00A42FDE"/>
    <w:rsid w:val="00A43C9B"/>
    <w:rsid w:val="00A44EFD"/>
    <w:rsid w:val="00A450B4"/>
    <w:rsid w:val="00A45629"/>
    <w:rsid w:val="00A46163"/>
    <w:rsid w:val="00A472E7"/>
    <w:rsid w:val="00A47796"/>
    <w:rsid w:val="00A47DB5"/>
    <w:rsid w:val="00A51D51"/>
    <w:rsid w:val="00A51E86"/>
    <w:rsid w:val="00A52FC3"/>
    <w:rsid w:val="00A52FF4"/>
    <w:rsid w:val="00A55736"/>
    <w:rsid w:val="00A566D9"/>
    <w:rsid w:val="00A5695A"/>
    <w:rsid w:val="00A57025"/>
    <w:rsid w:val="00A57346"/>
    <w:rsid w:val="00A57C8A"/>
    <w:rsid w:val="00A6095D"/>
    <w:rsid w:val="00A60B45"/>
    <w:rsid w:val="00A60BD0"/>
    <w:rsid w:val="00A6116B"/>
    <w:rsid w:val="00A614EE"/>
    <w:rsid w:val="00A6157A"/>
    <w:rsid w:val="00A62701"/>
    <w:rsid w:val="00A636C4"/>
    <w:rsid w:val="00A64701"/>
    <w:rsid w:val="00A64C0B"/>
    <w:rsid w:val="00A662CA"/>
    <w:rsid w:val="00A66D0F"/>
    <w:rsid w:val="00A6711B"/>
    <w:rsid w:val="00A67E64"/>
    <w:rsid w:val="00A70B1A"/>
    <w:rsid w:val="00A70CDF"/>
    <w:rsid w:val="00A70E7C"/>
    <w:rsid w:val="00A73B4D"/>
    <w:rsid w:val="00A7426C"/>
    <w:rsid w:val="00A7536E"/>
    <w:rsid w:val="00A75924"/>
    <w:rsid w:val="00A75F46"/>
    <w:rsid w:val="00A75FCD"/>
    <w:rsid w:val="00A76D0D"/>
    <w:rsid w:val="00A774EF"/>
    <w:rsid w:val="00A80D38"/>
    <w:rsid w:val="00A811F0"/>
    <w:rsid w:val="00A81EFD"/>
    <w:rsid w:val="00A82947"/>
    <w:rsid w:val="00A82F34"/>
    <w:rsid w:val="00A830DA"/>
    <w:rsid w:val="00A8327C"/>
    <w:rsid w:val="00A8372A"/>
    <w:rsid w:val="00A83E23"/>
    <w:rsid w:val="00A84826"/>
    <w:rsid w:val="00A84A99"/>
    <w:rsid w:val="00A850CE"/>
    <w:rsid w:val="00A8540F"/>
    <w:rsid w:val="00A85661"/>
    <w:rsid w:val="00A86E41"/>
    <w:rsid w:val="00A87399"/>
    <w:rsid w:val="00A87C30"/>
    <w:rsid w:val="00A903A4"/>
    <w:rsid w:val="00A92E18"/>
    <w:rsid w:val="00A93CA5"/>
    <w:rsid w:val="00A946DB"/>
    <w:rsid w:val="00A94BD0"/>
    <w:rsid w:val="00A94DDE"/>
    <w:rsid w:val="00A95E59"/>
    <w:rsid w:val="00A95FF1"/>
    <w:rsid w:val="00A961FA"/>
    <w:rsid w:val="00A979B7"/>
    <w:rsid w:val="00A97BC0"/>
    <w:rsid w:val="00AA04FC"/>
    <w:rsid w:val="00AA092F"/>
    <w:rsid w:val="00AA0B84"/>
    <w:rsid w:val="00AA15BD"/>
    <w:rsid w:val="00AA1951"/>
    <w:rsid w:val="00AA22F2"/>
    <w:rsid w:val="00AA2EB8"/>
    <w:rsid w:val="00AA3C6A"/>
    <w:rsid w:val="00AA4254"/>
    <w:rsid w:val="00AA5335"/>
    <w:rsid w:val="00AA61BA"/>
    <w:rsid w:val="00AA7260"/>
    <w:rsid w:val="00AB02E5"/>
    <w:rsid w:val="00AB1528"/>
    <w:rsid w:val="00AB1BD1"/>
    <w:rsid w:val="00AB1EFE"/>
    <w:rsid w:val="00AB3555"/>
    <w:rsid w:val="00AB49DF"/>
    <w:rsid w:val="00AB4C9C"/>
    <w:rsid w:val="00AB5D2D"/>
    <w:rsid w:val="00AB6B1A"/>
    <w:rsid w:val="00AB70D9"/>
    <w:rsid w:val="00AB74F0"/>
    <w:rsid w:val="00AC0256"/>
    <w:rsid w:val="00AC0562"/>
    <w:rsid w:val="00AC0595"/>
    <w:rsid w:val="00AC1DFC"/>
    <w:rsid w:val="00AC2341"/>
    <w:rsid w:val="00AC2A27"/>
    <w:rsid w:val="00AC3358"/>
    <w:rsid w:val="00AC34F5"/>
    <w:rsid w:val="00AC3E1B"/>
    <w:rsid w:val="00AC4262"/>
    <w:rsid w:val="00AC4F0A"/>
    <w:rsid w:val="00AC5BB4"/>
    <w:rsid w:val="00AC69D0"/>
    <w:rsid w:val="00AC6ED9"/>
    <w:rsid w:val="00AD239E"/>
    <w:rsid w:val="00AD25E6"/>
    <w:rsid w:val="00AD2A5A"/>
    <w:rsid w:val="00AD32FF"/>
    <w:rsid w:val="00AD3E8F"/>
    <w:rsid w:val="00AD4E45"/>
    <w:rsid w:val="00AD50C7"/>
    <w:rsid w:val="00AD5E00"/>
    <w:rsid w:val="00AD63ED"/>
    <w:rsid w:val="00AD675B"/>
    <w:rsid w:val="00AE18B0"/>
    <w:rsid w:val="00AE201C"/>
    <w:rsid w:val="00AE54DE"/>
    <w:rsid w:val="00AE55E7"/>
    <w:rsid w:val="00AE654D"/>
    <w:rsid w:val="00AE69F5"/>
    <w:rsid w:val="00AE6FEB"/>
    <w:rsid w:val="00AE7280"/>
    <w:rsid w:val="00AE7AB7"/>
    <w:rsid w:val="00AE7C09"/>
    <w:rsid w:val="00AF1D18"/>
    <w:rsid w:val="00AF245C"/>
    <w:rsid w:val="00AF262A"/>
    <w:rsid w:val="00AF280B"/>
    <w:rsid w:val="00AF2FAA"/>
    <w:rsid w:val="00AF2FE4"/>
    <w:rsid w:val="00AF44C3"/>
    <w:rsid w:val="00AF6993"/>
    <w:rsid w:val="00AF702A"/>
    <w:rsid w:val="00AF7C5E"/>
    <w:rsid w:val="00B0191C"/>
    <w:rsid w:val="00B0217F"/>
    <w:rsid w:val="00B02252"/>
    <w:rsid w:val="00B02D0E"/>
    <w:rsid w:val="00B03144"/>
    <w:rsid w:val="00B031A8"/>
    <w:rsid w:val="00B037B0"/>
    <w:rsid w:val="00B05E39"/>
    <w:rsid w:val="00B060DC"/>
    <w:rsid w:val="00B10ACA"/>
    <w:rsid w:val="00B111C1"/>
    <w:rsid w:val="00B11DBC"/>
    <w:rsid w:val="00B1444A"/>
    <w:rsid w:val="00B144C3"/>
    <w:rsid w:val="00B14750"/>
    <w:rsid w:val="00B14866"/>
    <w:rsid w:val="00B14985"/>
    <w:rsid w:val="00B14CFE"/>
    <w:rsid w:val="00B155CE"/>
    <w:rsid w:val="00B1621E"/>
    <w:rsid w:val="00B162AD"/>
    <w:rsid w:val="00B16BBA"/>
    <w:rsid w:val="00B17416"/>
    <w:rsid w:val="00B177C6"/>
    <w:rsid w:val="00B179DB"/>
    <w:rsid w:val="00B200FE"/>
    <w:rsid w:val="00B2042A"/>
    <w:rsid w:val="00B21CD0"/>
    <w:rsid w:val="00B22C27"/>
    <w:rsid w:val="00B25472"/>
    <w:rsid w:val="00B25670"/>
    <w:rsid w:val="00B25AA5"/>
    <w:rsid w:val="00B25BBE"/>
    <w:rsid w:val="00B2792B"/>
    <w:rsid w:val="00B30389"/>
    <w:rsid w:val="00B306A4"/>
    <w:rsid w:val="00B308E8"/>
    <w:rsid w:val="00B30BD1"/>
    <w:rsid w:val="00B317A2"/>
    <w:rsid w:val="00B31B6D"/>
    <w:rsid w:val="00B32004"/>
    <w:rsid w:val="00B324BE"/>
    <w:rsid w:val="00B32C3A"/>
    <w:rsid w:val="00B33307"/>
    <w:rsid w:val="00B33578"/>
    <w:rsid w:val="00B339B9"/>
    <w:rsid w:val="00B352BF"/>
    <w:rsid w:val="00B35E2D"/>
    <w:rsid w:val="00B368AB"/>
    <w:rsid w:val="00B36B3D"/>
    <w:rsid w:val="00B374C2"/>
    <w:rsid w:val="00B37723"/>
    <w:rsid w:val="00B37A94"/>
    <w:rsid w:val="00B37CD7"/>
    <w:rsid w:val="00B404EF"/>
    <w:rsid w:val="00B40C60"/>
    <w:rsid w:val="00B40FB9"/>
    <w:rsid w:val="00B41DF4"/>
    <w:rsid w:val="00B429B6"/>
    <w:rsid w:val="00B449DC"/>
    <w:rsid w:val="00B44CC5"/>
    <w:rsid w:val="00B46760"/>
    <w:rsid w:val="00B50880"/>
    <w:rsid w:val="00B50B75"/>
    <w:rsid w:val="00B51B6D"/>
    <w:rsid w:val="00B52CA7"/>
    <w:rsid w:val="00B5770C"/>
    <w:rsid w:val="00B605EF"/>
    <w:rsid w:val="00B60D3C"/>
    <w:rsid w:val="00B61FBF"/>
    <w:rsid w:val="00B624CF"/>
    <w:rsid w:val="00B62AD2"/>
    <w:rsid w:val="00B62B51"/>
    <w:rsid w:val="00B642AF"/>
    <w:rsid w:val="00B642F4"/>
    <w:rsid w:val="00B64A37"/>
    <w:rsid w:val="00B64AA6"/>
    <w:rsid w:val="00B64DDB"/>
    <w:rsid w:val="00B65DB2"/>
    <w:rsid w:val="00B70619"/>
    <w:rsid w:val="00B71D85"/>
    <w:rsid w:val="00B72D35"/>
    <w:rsid w:val="00B72E46"/>
    <w:rsid w:val="00B738EA"/>
    <w:rsid w:val="00B7493D"/>
    <w:rsid w:val="00B74B43"/>
    <w:rsid w:val="00B76290"/>
    <w:rsid w:val="00B764F1"/>
    <w:rsid w:val="00B764FC"/>
    <w:rsid w:val="00B7727A"/>
    <w:rsid w:val="00B77793"/>
    <w:rsid w:val="00B818A8"/>
    <w:rsid w:val="00B833FB"/>
    <w:rsid w:val="00B837AA"/>
    <w:rsid w:val="00B83CD2"/>
    <w:rsid w:val="00B8403F"/>
    <w:rsid w:val="00B84047"/>
    <w:rsid w:val="00B85096"/>
    <w:rsid w:val="00B8552F"/>
    <w:rsid w:val="00B86D7B"/>
    <w:rsid w:val="00B87665"/>
    <w:rsid w:val="00B8786C"/>
    <w:rsid w:val="00B87AEA"/>
    <w:rsid w:val="00B87E15"/>
    <w:rsid w:val="00B9020E"/>
    <w:rsid w:val="00B92B7B"/>
    <w:rsid w:val="00B92CE8"/>
    <w:rsid w:val="00B93203"/>
    <w:rsid w:val="00B93A86"/>
    <w:rsid w:val="00B93C48"/>
    <w:rsid w:val="00B944F0"/>
    <w:rsid w:val="00B95F7E"/>
    <w:rsid w:val="00B966A7"/>
    <w:rsid w:val="00B968E3"/>
    <w:rsid w:val="00B96E6F"/>
    <w:rsid w:val="00B96F80"/>
    <w:rsid w:val="00B974CC"/>
    <w:rsid w:val="00B975D6"/>
    <w:rsid w:val="00B97AFF"/>
    <w:rsid w:val="00BA0885"/>
    <w:rsid w:val="00BA13E9"/>
    <w:rsid w:val="00BA17E3"/>
    <w:rsid w:val="00BA1F07"/>
    <w:rsid w:val="00BA22B6"/>
    <w:rsid w:val="00BA28C5"/>
    <w:rsid w:val="00BA2AD3"/>
    <w:rsid w:val="00BA357D"/>
    <w:rsid w:val="00BA3E3B"/>
    <w:rsid w:val="00BA41DC"/>
    <w:rsid w:val="00BA59B9"/>
    <w:rsid w:val="00BA59CD"/>
    <w:rsid w:val="00BA5F50"/>
    <w:rsid w:val="00BA63F7"/>
    <w:rsid w:val="00BA68F5"/>
    <w:rsid w:val="00BA697C"/>
    <w:rsid w:val="00BA7652"/>
    <w:rsid w:val="00BA7881"/>
    <w:rsid w:val="00BA78E6"/>
    <w:rsid w:val="00BB114B"/>
    <w:rsid w:val="00BB123E"/>
    <w:rsid w:val="00BB1A7F"/>
    <w:rsid w:val="00BB27E8"/>
    <w:rsid w:val="00BB30AC"/>
    <w:rsid w:val="00BB3686"/>
    <w:rsid w:val="00BB4AFE"/>
    <w:rsid w:val="00BB4FBB"/>
    <w:rsid w:val="00BB567F"/>
    <w:rsid w:val="00BB5856"/>
    <w:rsid w:val="00BB5C9F"/>
    <w:rsid w:val="00BB5EF3"/>
    <w:rsid w:val="00BB6CE2"/>
    <w:rsid w:val="00BB6F1B"/>
    <w:rsid w:val="00BC125B"/>
    <w:rsid w:val="00BC13C4"/>
    <w:rsid w:val="00BC1DAE"/>
    <w:rsid w:val="00BC1EB5"/>
    <w:rsid w:val="00BC34ED"/>
    <w:rsid w:val="00BC4204"/>
    <w:rsid w:val="00BC5842"/>
    <w:rsid w:val="00BC7848"/>
    <w:rsid w:val="00BD0648"/>
    <w:rsid w:val="00BD0BBE"/>
    <w:rsid w:val="00BD10EF"/>
    <w:rsid w:val="00BD1982"/>
    <w:rsid w:val="00BD279E"/>
    <w:rsid w:val="00BD3A7F"/>
    <w:rsid w:val="00BD4F39"/>
    <w:rsid w:val="00BD6CE1"/>
    <w:rsid w:val="00BD6F06"/>
    <w:rsid w:val="00BD76C3"/>
    <w:rsid w:val="00BD7B71"/>
    <w:rsid w:val="00BD7C00"/>
    <w:rsid w:val="00BE26F7"/>
    <w:rsid w:val="00BE2DB1"/>
    <w:rsid w:val="00BE34C3"/>
    <w:rsid w:val="00BE3501"/>
    <w:rsid w:val="00BE3618"/>
    <w:rsid w:val="00BE3FF2"/>
    <w:rsid w:val="00BE4356"/>
    <w:rsid w:val="00BE46C4"/>
    <w:rsid w:val="00BE4917"/>
    <w:rsid w:val="00BE4BE4"/>
    <w:rsid w:val="00BE4CC4"/>
    <w:rsid w:val="00BE4D8C"/>
    <w:rsid w:val="00BE51E6"/>
    <w:rsid w:val="00BE580E"/>
    <w:rsid w:val="00BF0326"/>
    <w:rsid w:val="00BF03CC"/>
    <w:rsid w:val="00BF0580"/>
    <w:rsid w:val="00BF1A88"/>
    <w:rsid w:val="00BF4192"/>
    <w:rsid w:val="00BF5386"/>
    <w:rsid w:val="00BF554B"/>
    <w:rsid w:val="00BF6988"/>
    <w:rsid w:val="00BF7681"/>
    <w:rsid w:val="00BF7E1C"/>
    <w:rsid w:val="00C00CCC"/>
    <w:rsid w:val="00C04027"/>
    <w:rsid w:val="00C04D03"/>
    <w:rsid w:val="00C059F1"/>
    <w:rsid w:val="00C06345"/>
    <w:rsid w:val="00C0654E"/>
    <w:rsid w:val="00C06A47"/>
    <w:rsid w:val="00C06CB9"/>
    <w:rsid w:val="00C07048"/>
    <w:rsid w:val="00C07127"/>
    <w:rsid w:val="00C101BE"/>
    <w:rsid w:val="00C102B9"/>
    <w:rsid w:val="00C11058"/>
    <w:rsid w:val="00C1137B"/>
    <w:rsid w:val="00C11690"/>
    <w:rsid w:val="00C11DE9"/>
    <w:rsid w:val="00C1204E"/>
    <w:rsid w:val="00C12BFC"/>
    <w:rsid w:val="00C15573"/>
    <w:rsid w:val="00C15E21"/>
    <w:rsid w:val="00C16F1A"/>
    <w:rsid w:val="00C174A9"/>
    <w:rsid w:val="00C17851"/>
    <w:rsid w:val="00C17C33"/>
    <w:rsid w:val="00C17F9D"/>
    <w:rsid w:val="00C2023E"/>
    <w:rsid w:val="00C202E5"/>
    <w:rsid w:val="00C204FF"/>
    <w:rsid w:val="00C2103D"/>
    <w:rsid w:val="00C21767"/>
    <w:rsid w:val="00C22611"/>
    <w:rsid w:val="00C227F3"/>
    <w:rsid w:val="00C22A4E"/>
    <w:rsid w:val="00C22A64"/>
    <w:rsid w:val="00C237F1"/>
    <w:rsid w:val="00C2412B"/>
    <w:rsid w:val="00C24561"/>
    <w:rsid w:val="00C24680"/>
    <w:rsid w:val="00C2576D"/>
    <w:rsid w:val="00C26C55"/>
    <w:rsid w:val="00C26C99"/>
    <w:rsid w:val="00C26D4B"/>
    <w:rsid w:val="00C27671"/>
    <w:rsid w:val="00C277EC"/>
    <w:rsid w:val="00C27973"/>
    <w:rsid w:val="00C27BFE"/>
    <w:rsid w:val="00C30AB3"/>
    <w:rsid w:val="00C31797"/>
    <w:rsid w:val="00C32450"/>
    <w:rsid w:val="00C33066"/>
    <w:rsid w:val="00C33E37"/>
    <w:rsid w:val="00C36105"/>
    <w:rsid w:val="00C36FB1"/>
    <w:rsid w:val="00C3757E"/>
    <w:rsid w:val="00C379AD"/>
    <w:rsid w:val="00C37F92"/>
    <w:rsid w:val="00C40EA0"/>
    <w:rsid w:val="00C422E3"/>
    <w:rsid w:val="00C42C21"/>
    <w:rsid w:val="00C437A5"/>
    <w:rsid w:val="00C437FB"/>
    <w:rsid w:val="00C43B14"/>
    <w:rsid w:val="00C44291"/>
    <w:rsid w:val="00C45370"/>
    <w:rsid w:val="00C45E3A"/>
    <w:rsid w:val="00C461F1"/>
    <w:rsid w:val="00C462FA"/>
    <w:rsid w:val="00C465A0"/>
    <w:rsid w:val="00C467B4"/>
    <w:rsid w:val="00C46C6C"/>
    <w:rsid w:val="00C4726C"/>
    <w:rsid w:val="00C5038D"/>
    <w:rsid w:val="00C511CE"/>
    <w:rsid w:val="00C51B68"/>
    <w:rsid w:val="00C51CB2"/>
    <w:rsid w:val="00C52A7F"/>
    <w:rsid w:val="00C52EB0"/>
    <w:rsid w:val="00C53334"/>
    <w:rsid w:val="00C544B3"/>
    <w:rsid w:val="00C54A52"/>
    <w:rsid w:val="00C55197"/>
    <w:rsid w:val="00C55460"/>
    <w:rsid w:val="00C5587A"/>
    <w:rsid w:val="00C558DC"/>
    <w:rsid w:val="00C55B3C"/>
    <w:rsid w:val="00C563D3"/>
    <w:rsid w:val="00C56732"/>
    <w:rsid w:val="00C57975"/>
    <w:rsid w:val="00C57A97"/>
    <w:rsid w:val="00C57C9A"/>
    <w:rsid w:val="00C60510"/>
    <w:rsid w:val="00C6055B"/>
    <w:rsid w:val="00C60C3E"/>
    <w:rsid w:val="00C60D40"/>
    <w:rsid w:val="00C61046"/>
    <w:rsid w:val="00C61E65"/>
    <w:rsid w:val="00C62271"/>
    <w:rsid w:val="00C627E6"/>
    <w:rsid w:val="00C6311D"/>
    <w:rsid w:val="00C63B10"/>
    <w:rsid w:val="00C64433"/>
    <w:rsid w:val="00C645B1"/>
    <w:rsid w:val="00C6464A"/>
    <w:rsid w:val="00C65436"/>
    <w:rsid w:val="00C65DCF"/>
    <w:rsid w:val="00C66738"/>
    <w:rsid w:val="00C66D7D"/>
    <w:rsid w:val="00C6783F"/>
    <w:rsid w:val="00C70143"/>
    <w:rsid w:val="00C7419C"/>
    <w:rsid w:val="00C747C7"/>
    <w:rsid w:val="00C74941"/>
    <w:rsid w:val="00C75943"/>
    <w:rsid w:val="00C77A4E"/>
    <w:rsid w:val="00C8037F"/>
    <w:rsid w:val="00C80BAB"/>
    <w:rsid w:val="00C80DDA"/>
    <w:rsid w:val="00C815D7"/>
    <w:rsid w:val="00C818CC"/>
    <w:rsid w:val="00C82096"/>
    <w:rsid w:val="00C82B5B"/>
    <w:rsid w:val="00C82FE5"/>
    <w:rsid w:val="00C83321"/>
    <w:rsid w:val="00C85E38"/>
    <w:rsid w:val="00C86849"/>
    <w:rsid w:val="00C869A2"/>
    <w:rsid w:val="00C870DC"/>
    <w:rsid w:val="00C91944"/>
    <w:rsid w:val="00C91EDE"/>
    <w:rsid w:val="00C93265"/>
    <w:rsid w:val="00C93335"/>
    <w:rsid w:val="00C94478"/>
    <w:rsid w:val="00C95B02"/>
    <w:rsid w:val="00C95EE9"/>
    <w:rsid w:val="00C963F2"/>
    <w:rsid w:val="00C96854"/>
    <w:rsid w:val="00C96A24"/>
    <w:rsid w:val="00C97079"/>
    <w:rsid w:val="00C974BB"/>
    <w:rsid w:val="00C9764C"/>
    <w:rsid w:val="00C97D49"/>
    <w:rsid w:val="00CA07F2"/>
    <w:rsid w:val="00CA0FE7"/>
    <w:rsid w:val="00CA137A"/>
    <w:rsid w:val="00CA17AB"/>
    <w:rsid w:val="00CA1DC9"/>
    <w:rsid w:val="00CA2132"/>
    <w:rsid w:val="00CA2DDE"/>
    <w:rsid w:val="00CA2EFC"/>
    <w:rsid w:val="00CA2F29"/>
    <w:rsid w:val="00CA34D2"/>
    <w:rsid w:val="00CA3A3F"/>
    <w:rsid w:val="00CA4B4D"/>
    <w:rsid w:val="00CA5CA7"/>
    <w:rsid w:val="00CA796F"/>
    <w:rsid w:val="00CA7E33"/>
    <w:rsid w:val="00CB00DE"/>
    <w:rsid w:val="00CB0118"/>
    <w:rsid w:val="00CB106F"/>
    <w:rsid w:val="00CB1B49"/>
    <w:rsid w:val="00CB1F81"/>
    <w:rsid w:val="00CB20C0"/>
    <w:rsid w:val="00CB2BEA"/>
    <w:rsid w:val="00CB30BE"/>
    <w:rsid w:val="00CB3B4B"/>
    <w:rsid w:val="00CB40DD"/>
    <w:rsid w:val="00CB4E23"/>
    <w:rsid w:val="00CB5224"/>
    <w:rsid w:val="00CB55F6"/>
    <w:rsid w:val="00CB5734"/>
    <w:rsid w:val="00CB5BAB"/>
    <w:rsid w:val="00CB629C"/>
    <w:rsid w:val="00CB64FE"/>
    <w:rsid w:val="00CB6F89"/>
    <w:rsid w:val="00CB7248"/>
    <w:rsid w:val="00CB7E48"/>
    <w:rsid w:val="00CB7ED7"/>
    <w:rsid w:val="00CC1622"/>
    <w:rsid w:val="00CC225F"/>
    <w:rsid w:val="00CC3842"/>
    <w:rsid w:val="00CC3880"/>
    <w:rsid w:val="00CC3911"/>
    <w:rsid w:val="00CC40E7"/>
    <w:rsid w:val="00CC49B0"/>
    <w:rsid w:val="00CC5677"/>
    <w:rsid w:val="00CC57BE"/>
    <w:rsid w:val="00CC66F1"/>
    <w:rsid w:val="00CC69E4"/>
    <w:rsid w:val="00CC79AC"/>
    <w:rsid w:val="00CD02B0"/>
    <w:rsid w:val="00CD03FA"/>
    <w:rsid w:val="00CD05B8"/>
    <w:rsid w:val="00CD12D6"/>
    <w:rsid w:val="00CD1374"/>
    <w:rsid w:val="00CD1C3C"/>
    <w:rsid w:val="00CD259E"/>
    <w:rsid w:val="00CD2DC0"/>
    <w:rsid w:val="00CD2F33"/>
    <w:rsid w:val="00CD37A3"/>
    <w:rsid w:val="00CD3A8A"/>
    <w:rsid w:val="00CD56F2"/>
    <w:rsid w:val="00CD56FB"/>
    <w:rsid w:val="00CD5726"/>
    <w:rsid w:val="00CD616E"/>
    <w:rsid w:val="00CE02E1"/>
    <w:rsid w:val="00CE0657"/>
    <w:rsid w:val="00CE0CED"/>
    <w:rsid w:val="00CE134C"/>
    <w:rsid w:val="00CE2028"/>
    <w:rsid w:val="00CE3785"/>
    <w:rsid w:val="00CE437C"/>
    <w:rsid w:val="00CE5EBE"/>
    <w:rsid w:val="00CE5F0E"/>
    <w:rsid w:val="00CE6144"/>
    <w:rsid w:val="00CE6357"/>
    <w:rsid w:val="00CF01CD"/>
    <w:rsid w:val="00CF0DCC"/>
    <w:rsid w:val="00CF18E6"/>
    <w:rsid w:val="00CF19D8"/>
    <w:rsid w:val="00CF2109"/>
    <w:rsid w:val="00CF3D56"/>
    <w:rsid w:val="00CF3F2A"/>
    <w:rsid w:val="00CF4E28"/>
    <w:rsid w:val="00CF72F5"/>
    <w:rsid w:val="00CF7F0A"/>
    <w:rsid w:val="00D00157"/>
    <w:rsid w:val="00D01545"/>
    <w:rsid w:val="00D02BE0"/>
    <w:rsid w:val="00D02DAA"/>
    <w:rsid w:val="00D0306D"/>
    <w:rsid w:val="00D03F65"/>
    <w:rsid w:val="00D041F6"/>
    <w:rsid w:val="00D04686"/>
    <w:rsid w:val="00D1154B"/>
    <w:rsid w:val="00D12949"/>
    <w:rsid w:val="00D12984"/>
    <w:rsid w:val="00D12C7C"/>
    <w:rsid w:val="00D1398A"/>
    <w:rsid w:val="00D145C3"/>
    <w:rsid w:val="00D155AA"/>
    <w:rsid w:val="00D1737C"/>
    <w:rsid w:val="00D20719"/>
    <w:rsid w:val="00D2094A"/>
    <w:rsid w:val="00D2127F"/>
    <w:rsid w:val="00D21E9F"/>
    <w:rsid w:val="00D223E2"/>
    <w:rsid w:val="00D24A16"/>
    <w:rsid w:val="00D250EA"/>
    <w:rsid w:val="00D2522D"/>
    <w:rsid w:val="00D26B7A"/>
    <w:rsid w:val="00D3050F"/>
    <w:rsid w:val="00D30A84"/>
    <w:rsid w:val="00D31218"/>
    <w:rsid w:val="00D31D26"/>
    <w:rsid w:val="00D324D6"/>
    <w:rsid w:val="00D32986"/>
    <w:rsid w:val="00D32BFA"/>
    <w:rsid w:val="00D32E82"/>
    <w:rsid w:val="00D33197"/>
    <w:rsid w:val="00D335FE"/>
    <w:rsid w:val="00D34396"/>
    <w:rsid w:val="00D35082"/>
    <w:rsid w:val="00D3517B"/>
    <w:rsid w:val="00D3646B"/>
    <w:rsid w:val="00D367B8"/>
    <w:rsid w:val="00D36B11"/>
    <w:rsid w:val="00D36C6D"/>
    <w:rsid w:val="00D36EB0"/>
    <w:rsid w:val="00D3701B"/>
    <w:rsid w:val="00D37848"/>
    <w:rsid w:val="00D37870"/>
    <w:rsid w:val="00D379F1"/>
    <w:rsid w:val="00D37C97"/>
    <w:rsid w:val="00D40D99"/>
    <w:rsid w:val="00D40FD9"/>
    <w:rsid w:val="00D41370"/>
    <w:rsid w:val="00D42513"/>
    <w:rsid w:val="00D42E07"/>
    <w:rsid w:val="00D4400C"/>
    <w:rsid w:val="00D45645"/>
    <w:rsid w:val="00D4579B"/>
    <w:rsid w:val="00D458AC"/>
    <w:rsid w:val="00D4785E"/>
    <w:rsid w:val="00D5150A"/>
    <w:rsid w:val="00D52A67"/>
    <w:rsid w:val="00D537B2"/>
    <w:rsid w:val="00D542A6"/>
    <w:rsid w:val="00D545E5"/>
    <w:rsid w:val="00D548C5"/>
    <w:rsid w:val="00D54C2F"/>
    <w:rsid w:val="00D54E77"/>
    <w:rsid w:val="00D55175"/>
    <w:rsid w:val="00D5549D"/>
    <w:rsid w:val="00D55524"/>
    <w:rsid w:val="00D566CC"/>
    <w:rsid w:val="00D56B92"/>
    <w:rsid w:val="00D57593"/>
    <w:rsid w:val="00D57AB5"/>
    <w:rsid w:val="00D60E78"/>
    <w:rsid w:val="00D6134F"/>
    <w:rsid w:val="00D613AF"/>
    <w:rsid w:val="00D62956"/>
    <w:rsid w:val="00D62F7D"/>
    <w:rsid w:val="00D63193"/>
    <w:rsid w:val="00D63801"/>
    <w:rsid w:val="00D641CE"/>
    <w:rsid w:val="00D66175"/>
    <w:rsid w:val="00D66687"/>
    <w:rsid w:val="00D67195"/>
    <w:rsid w:val="00D67707"/>
    <w:rsid w:val="00D67B8E"/>
    <w:rsid w:val="00D67C00"/>
    <w:rsid w:val="00D67C20"/>
    <w:rsid w:val="00D709FA"/>
    <w:rsid w:val="00D742AB"/>
    <w:rsid w:val="00D760BA"/>
    <w:rsid w:val="00D76E8F"/>
    <w:rsid w:val="00D775A8"/>
    <w:rsid w:val="00D80298"/>
    <w:rsid w:val="00D814DE"/>
    <w:rsid w:val="00D82EB8"/>
    <w:rsid w:val="00D8310E"/>
    <w:rsid w:val="00D8322C"/>
    <w:rsid w:val="00D842C0"/>
    <w:rsid w:val="00D84BCA"/>
    <w:rsid w:val="00D84E91"/>
    <w:rsid w:val="00D8536C"/>
    <w:rsid w:val="00D854AA"/>
    <w:rsid w:val="00D86119"/>
    <w:rsid w:val="00D86A65"/>
    <w:rsid w:val="00D86D64"/>
    <w:rsid w:val="00D877F2"/>
    <w:rsid w:val="00D8797F"/>
    <w:rsid w:val="00D91274"/>
    <w:rsid w:val="00D9246C"/>
    <w:rsid w:val="00D9263E"/>
    <w:rsid w:val="00D9380A"/>
    <w:rsid w:val="00D93E59"/>
    <w:rsid w:val="00D93E87"/>
    <w:rsid w:val="00D9529B"/>
    <w:rsid w:val="00D952B8"/>
    <w:rsid w:val="00D96008"/>
    <w:rsid w:val="00D962F4"/>
    <w:rsid w:val="00D96D5A"/>
    <w:rsid w:val="00D96E0F"/>
    <w:rsid w:val="00D9717D"/>
    <w:rsid w:val="00D974D3"/>
    <w:rsid w:val="00D978CF"/>
    <w:rsid w:val="00D97D8C"/>
    <w:rsid w:val="00DA02E1"/>
    <w:rsid w:val="00DA053E"/>
    <w:rsid w:val="00DA1159"/>
    <w:rsid w:val="00DA13DF"/>
    <w:rsid w:val="00DA1F7C"/>
    <w:rsid w:val="00DA24A4"/>
    <w:rsid w:val="00DA3B53"/>
    <w:rsid w:val="00DA434B"/>
    <w:rsid w:val="00DA4714"/>
    <w:rsid w:val="00DA4BEF"/>
    <w:rsid w:val="00DA51DA"/>
    <w:rsid w:val="00DA54EB"/>
    <w:rsid w:val="00DA5E46"/>
    <w:rsid w:val="00DA6EB7"/>
    <w:rsid w:val="00DA6EDC"/>
    <w:rsid w:val="00DA6FB9"/>
    <w:rsid w:val="00DA7485"/>
    <w:rsid w:val="00DA763F"/>
    <w:rsid w:val="00DB0C4F"/>
    <w:rsid w:val="00DB13E8"/>
    <w:rsid w:val="00DB1CDB"/>
    <w:rsid w:val="00DB1F68"/>
    <w:rsid w:val="00DB24DB"/>
    <w:rsid w:val="00DB453C"/>
    <w:rsid w:val="00DC0767"/>
    <w:rsid w:val="00DC147F"/>
    <w:rsid w:val="00DC148A"/>
    <w:rsid w:val="00DC20BD"/>
    <w:rsid w:val="00DC2405"/>
    <w:rsid w:val="00DC36A2"/>
    <w:rsid w:val="00DC3E47"/>
    <w:rsid w:val="00DC4C5F"/>
    <w:rsid w:val="00DC4FCB"/>
    <w:rsid w:val="00DC603C"/>
    <w:rsid w:val="00DC658B"/>
    <w:rsid w:val="00DC766D"/>
    <w:rsid w:val="00DC7B2C"/>
    <w:rsid w:val="00DD03BC"/>
    <w:rsid w:val="00DD185C"/>
    <w:rsid w:val="00DD1BEC"/>
    <w:rsid w:val="00DD2128"/>
    <w:rsid w:val="00DD2E24"/>
    <w:rsid w:val="00DD55AF"/>
    <w:rsid w:val="00DD5F72"/>
    <w:rsid w:val="00DD67D3"/>
    <w:rsid w:val="00DD74BB"/>
    <w:rsid w:val="00DD7623"/>
    <w:rsid w:val="00DE0054"/>
    <w:rsid w:val="00DE0937"/>
    <w:rsid w:val="00DE148A"/>
    <w:rsid w:val="00DE16CB"/>
    <w:rsid w:val="00DE226A"/>
    <w:rsid w:val="00DE25F1"/>
    <w:rsid w:val="00DE28B8"/>
    <w:rsid w:val="00DE384C"/>
    <w:rsid w:val="00DE50B4"/>
    <w:rsid w:val="00DE51A6"/>
    <w:rsid w:val="00DE556C"/>
    <w:rsid w:val="00DE571F"/>
    <w:rsid w:val="00DE5ED2"/>
    <w:rsid w:val="00DE5F74"/>
    <w:rsid w:val="00DE694F"/>
    <w:rsid w:val="00DE6E6D"/>
    <w:rsid w:val="00DE7B3B"/>
    <w:rsid w:val="00DF09B2"/>
    <w:rsid w:val="00DF1AD2"/>
    <w:rsid w:val="00DF20CB"/>
    <w:rsid w:val="00DF2D5B"/>
    <w:rsid w:val="00DF3093"/>
    <w:rsid w:val="00DF34B1"/>
    <w:rsid w:val="00DF5B0A"/>
    <w:rsid w:val="00DF5C52"/>
    <w:rsid w:val="00DF7585"/>
    <w:rsid w:val="00DF7D25"/>
    <w:rsid w:val="00E02FB2"/>
    <w:rsid w:val="00E03057"/>
    <w:rsid w:val="00E04B6F"/>
    <w:rsid w:val="00E04CC7"/>
    <w:rsid w:val="00E05383"/>
    <w:rsid w:val="00E0711D"/>
    <w:rsid w:val="00E10801"/>
    <w:rsid w:val="00E10A18"/>
    <w:rsid w:val="00E1139F"/>
    <w:rsid w:val="00E13146"/>
    <w:rsid w:val="00E136EC"/>
    <w:rsid w:val="00E1588F"/>
    <w:rsid w:val="00E1634B"/>
    <w:rsid w:val="00E1642E"/>
    <w:rsid w:val="00E17F08"/>
    <w:rsid w:val="00E206ED"/>
    <w:rsid w:val="00E20811"/>
    <w:rsid w:val="00E20F4A"/>
    <w:rsid w:val="00E226AC"/>
    <w:rsid w:val="00E233E4"/>
    <w:rsid w:val="00E237DC"/>
    <w:rsid w:val="00E23FC1"/>
    <w:rsid w:val="00E241FD"/>
    <w:rsid w:val="00E2629A"/>
    <w:rsid w:val="00E26F14"/>
    <w:rsid w:val="00E30837"/>
    <w:rsid w:val="00E32020"/>
    <w:rsid w:val="00E321FE"/>
    <w:rsid w:val="00E32282"/>
    <w:rsid w:val="00E32299"/>
    <w:rsid w:val="00E32689"/>
    <w:rsid w:val="00E33321"/>
    <w:rsid w:val="00E3454C"/>
    <w:rsid w:val="00E34A98"/>
    <w:rsid w:val="00E35C3B"/>
    <w:rsid w:val="00E35C5E"/>
    <w:rsid w:val="00E36079"/>
    <w:rsid w:val="00E36644"/>
    <w:rsid w:val="00E378FA"/>
    <w:rsid w:val="00E401EB"/>
    <w:rsid w:val="00E4088F"/>
    <w:rsid w:val="00E40A8A"/>
    <w:rsid w:val="00E4107B"/>
    <w:rsid w:val="00E413D1"/>
    <w:rsid w:val="00E42526"/>
    <w:rsid w:val="00E43CD3"/>
    <w:rsid w:val="00E4537D"/>
    <w:rsid w:val="00E45D67"/>
    <w:rsid w:val="00E46FC6"/>
    <w:rsid w:val="00E47053"/>
    <w:rsid w:val="00E47A52"/>
    <w:rsid w:val="00E47E82"/>
    <w:rsid w:val="00E5020B"/>
    <w:rsid w:val="00E50DB4"/>
    <w:rsid w:val="00E51307"/>
    <w:rsid w:val="00E51848"/>
    <w:rsid w:val="00E52B9C"/>
    <w:rsid w:val="00E52DB4"/>
    <w:rsid w:val="00E5433D"/>
    <w:rsid w:val="00E54CF7"/>
    <w:rsid w:val="00E54DF1"/>
    <w:rsid w:val="00E5577D"/>
    <w:rsid w:val="00E55E7E"/>
    <w:rsid w:val="00E5622A"/>
    <w:rsid w:val="00E569AF"/>
    <w:rsid w:val="00E56A32"/>
    <w:rsid w:val="00E56E24"/>
    <w:rsid w:val="00E5772E"/>
    <w:rsid w:val="00E57763"/>
    <w:rsid w:val="00E60255"/>
    <w:rsid w:val="00E606CC"/>
    <w:rsid w:val="00E60C8D"/>
    <w:rsid w:val="00E61536"/>
    <w:rsid w:val="00E62243"/>
    <w:rsid w:val="00E625C3"/>
    <w:rsid w:val="00E63847"/>
    <w:rsid w:val="00E63A64"/>
    <w:rsid w:val="00E64577"/>
    <w:rsid w:val="00E663B7"/>
    <w:rsid w:val="00E667B9"/>
    <w:rsid w:val="00E66BEA"/>
    <w:rsid w:val="00E67C92"/>
    <w:rsid w:val="00E71E80"/>
    <w:rsid w:val="00E724AF"/>
    <w:rsid w:val="00E72C2D"/>
    <w:rsid w:val="00E73EF7"/>
    <w:rsid w:val="00E7490F"/>
    <w:rsid w:val="00E74979"/>
    <w:rsid w:val="00E750D6"/>
    <w:rsid w:val="00E751D1"/>
    <w:rsid w:val="00E755E9"/>
    <w:rsid w:val="00E761D9"/>
    <w:rsid w:val="00E779FB"/>
    <w:rsid w:val="00E820CD"/>
    <w:rsid w:val="00E826EF"/>
    <w:rsid w:val="00E832ED"/>
    <w:rsid w:val="00E83E06"/>
    <w:rsid w:val="00E87964"/>
    <w:rsid w:val="00E90C82"/>
    <w:rsid w:val="00E91345"/>
    <w:rsid w:val="00E91A2B"/>
    <w:rsid w:val="00E91F60"/>
    <w:rsid w:val="00E92128"/>
    <w:rsid w:val="00E9224A"/>
    <w:rsid w:val="00E9240D"/>
    <w:rsid w:val="00E930B5"/>
    <w:rsid w:val="00E935AD"/>
    <w:rsid w:val="00E9465C"/>
    <w:rsid w:val="00E95115"/>
    <w:rsid w:val="00E9592B"/>
    <w:rsid w:val="00E96193"/>
    <w:rsid w:val="00E96407"/>
    <w:rsid w:val="00E97995"/>
    <w:rsid w:val="00E97B42"/>
    <w:rsid w:val="00EA0335"/>
    <w:rsid w:val="00EA13B5"/>
    <w:rsid w:val="00EA200E"/>
    <w:rsid w:val="00EA221B"/>
    <w:rsid w:val="00EA25C7"/>
    <w:rsid w:val="00EA5EB2"/>
    <w:rsid w:val="00EA62E9"/>
    <w:rsid w:val="00EA79F1"/>
    <w:rsid w:val="00EB0478"/>
    <w:rsid w:val="00EB0D64"/>
    <w:rsid w:val="00EB0FD8"/>
    <w:rsid w:val="00EB10AE"/>
    <w:rsid w:val="00EB1D98"/>
    <w:rsid w:val="00EB2D4C"/>
    <w:rsid w:val="00EB419E"/>
    <w:rsid w:val="00EB4CC9"/>
    <w:rsid w:val="00EB4CFC"/>
    <w:rsid w:val="00EB50AD"/>
    <w:rsid w:val="00EB6693"/>
    <w:rsid w:val="00EC0E8C"/>
    <w:rsid w:val="00EC1410"/>
    <w:rsid w:val="00EC265A"/>
    <w:rsid w:val="00EC2AF3"/>
    <w:rsid w:val="00EC2E5F"/>
    <w:rsid w:val="00EC3376"/>
    <w:rsid w:val="00EC47A4"/>
    <w:rsid w:val="00EC4B6D"/>
    <w:rsid w:val="00EC5728"/>
    <w:rsid w:val="00EC59D3"/>
    <w:rsid w:val="00EC5BEC"/>
    <w:rsid w:val="00EC5E00"/>
    <w:rsid w:val="00EC5E9E"/>
    <w:rsid w:val="00EC62D7"/>
    <w:rsid w:val="00EC7F92"/>
    <w:rsid w:val="00ED13C2"/>
    <w:rsid w:val="00ED1897"/>
    <w:rsid w:val="00ED1923"/>
    <w:rsid w:val="00ED3583"/>
    <w:rsid w:val="00ED3F99"/>
    <w:rsid w:val="00ED41E0"/>
    <w:rsid w:val="00ED4502"/>
    <w:rsid w:val="00ED4AFC"/>
    <w:rsid w:val="00ED4D36"/>
    <w:rsid w:val="00ED51DC"/>
    <w:rsid w:val="00ED5DB8"/>
    <w:rsid w:val="00ED65ED"/>
    <w:rsid w:val="00ED671E"/>
    <w:rsid w:val="00ED6E36"/>
    <w:rsid w:val="00ED75B4"/>
    <w:rsid w:val="00ED780A"/>
    <w:rsid w:val="00EE02C2"/>
    <w:rsid w:val="00EE0604"/>
    <w:rsid w:val="00EE0A2C"/>
    <w:rsid w:val="00EE1409"/>
    <w:rsid w:val="00EE183D"/>
    <w:rsid w:val="00EE2A25"/>
    <w:rsid w:val="00EE321F"/>
    <w:rsid w:val="00EE3473"/>
    <w:rsid w:val="00EE3A37"/>
    <w:rsid w:val="00EE3D84"/>
    <w:rsid w:val="00EE3E25"/>
    <w:rsid w:val="00EE4B25"/>
    <w:rsid w:val="00EE6546"/>
    <w:rsid w:val="00EE7ADB"/>
    <w:rsid w:val="00EE7B1D"/>
    <w:rsid w:val="00EF187A"/>
    <w:rsid w:val="00EF1BEC"/>
    <w:rsid w:val="00EF3C59"/>
    <w:rsid w:val="00EF3EE8"/>
    <w:rsid w:val="00EF430F"/>
    <w:rsid w:val="00EF551B"/>
    <w:rsid w:val="00EF5A2C"/>
    <w:rsid w:val="00EF5C19"/>
    <w:rsid w:val="00EF629B"/>
    <w:rsid w:val="00EF6551"/>
    <w:rsid w:val="00EF6AD2"/>
    <w:rsid w:val="00EF782E"/>
    <w:rsid w:val="00EF7871"/>
    <w:rsid w:val="00EF7D89"/>
    <w:rsid w:val="00F00E38"/>
    <w:rsid w:val="00F00F56"/>
    <w:rsid w:val="00F01762"/>
    <w:rsid w:val="00F02BCE"/>
    <w:rsid w:val="00F0314B"/>
    <w:rsid w:val="00F03381"/>
    <w:rsid w:val="00F033F4"/>
    <w:rsid w:val="00F047E2"/>
    <w:rsid w:val="00F05559"/>
    <w:rsid w:val="00F1011B"/>
    <w:rsid w:val="00F10D6A"/>
    <w:rsid w:val="00F118FC"/>
    <w:rsid w:val="00F1277D"/>
    <w:rsid w:val="00F12DE2"/>
    <w:rsid w:val="00F148A6"/>
    <w:rsid w:val="00F15313"/>
    <w:rsid w:val="00F16437"/>
    <w:rsid w:val="00F16586"/>
    <w:rsid w:val="00F16AD0"/>
    <w:rsid w:val="00F176FA"/>
    <w:rsid w:val="00F20820"/>
    <w:rsid w:val="00F21850"/>
    <w:rsid w:val="00F23591"/>
    <w:rsid w:val="00F2579D"/>
    <w:rsid w:val="00F263FE"/>
    <w:rsid w:val="00F264B6"/>
    <w:rsid w:val="00F269D2"/>
    <w:rsid w:val="00F26E7E"/>
    <w:rsid w:val="00F2713D"/>
    <w:rsid w:val="00F27364"/>
    <w:rsid w:val="00F27486"/>
    <w:rsid w:val="00F30F3C"/>
    <w:rsid w:val="00F31510"/>
    <w:rsid w:val="00F31CF2"/>
    <w:rsid w:val="00F33766"/>
    <w:rsid w:val="00F34E17"/>
    <w:rsid w:val="00F35F53"/>
    <w:rsid w:val="00F36481"/>
    <w:rsid w:val="00F367B9"/>
    <w:rsid w:val="00F36954"/>
    <w:rsid w:val="00F36C53"/>
    <w:rsid w:val="00F36F65"/>
    <w:rsid w:val="00F3763A"/>
    <w:rsid w:val="00F40A81"/>
    <w:rsid w:val="00F40D5A"/>
    <w:rsid w:val="00F41882"/>
    <w:rsid w:val="00F41CA8"/>
    <w:rsid w:val="00F41D70"/>
    <w:rsid w:val="00F42365"/>
    <w:rsid w:val="00F4277C"/>
    <w:rsid w:val="00F446A6"/>
    <w:rsid w:val="00F463BC"/>
    <w:rsid w:val="00F46447"/>
    <w:rsid w:val="00F46C19"/>
    <w:rsid w:val="00F472B8"/>
    <w:rsid w:val="00F51434"/>
    <w:rsid w:val="00F52440"/>
    <w:rsid w:val="00F545DC"/>
    <w:rsid w:val="00F548E7"/>
    <w:rsid w:val="00F54F74"/>
    <w:rsid w:val="00F5534A"/>
    <w:rsid w:val="00F57038"/>
    <w:rsid w:val="00F578D2"/>
    <w:rsid w:val="00F57973"/>
    <w:rsid w:val="00F61545"/>
    <w:rsid w:val="00F6158B"/>
    <w:rsid w:val="00F61CDB"/>
    <w:rsid w:val="00F63E54"/>
    <w:rsid w:val="00F647E9"/>
    <w:rsid w:val="00F64CF9"/>
    <w:rsid w:val="00F65400"/>
    <w:rsid w:val="00F66604"/>
    <w:rsid w:val="00F66764"/>
    <w:rsid w:val="00F66E3D"/>
    <w:rsid w:val="00F66E91"/>
    <w:rsid w:val="00F670EB"/>
    <w:rsid w:val="00F6718D"/>
    <w:rsid w:val="00F67CC5"/>
    <w:rsid w:val="00F67F55"/>
    <w:rsid w:val="00F7020D"/>
    <w:rsid w:val="00F7039F"/>
    <w:rsid w:val="00F70CF8"/>
    <w:rsid w:val="00F7161D"/>
    <w:rsid w:val="00F71A2E"/>
    <w:rsid w:val="00F7243D"/>
    <w:rsid w:val="00F7348C"/>
    <w:rsid w:val="00F737E3"/>
    <w:rsid w:val="00F741F5"/>
    <w:rsid w:val="00F74495"/>
    <w:rsid w:val="00F758E1"/>
    <w:rsid w:val="00F76392"/>
    <w:rsid w:val="00F7672C"/>
    <w:rsid w:val="00F779F3"/>
    <w:rsid w:val="00F77C10"/>
    <w:rsid w:val="00F8050C"/>
    <w:rsid w:val="00F81585"/>
    <w:rsid w:val="00F8162C"/>
    <w:rsid w:val="00F81D10"/>
    <w:rsid w:val="00F81DFE"/>
    <w:rsid w:val="00F8294B"/>
    <w:rsid w:val="00F8563E"/>
    <w:rsid w:val="00F86558"/>
    <w:rsid w:val="00F86670"/>
    <w:rsid w:val="00F8754B"/>
    <w:rsid w:val="00F912CF"/>
    <w:rsid w:val="00F91F56"/>
    <w:rsid w:val="00F922A4"/>
    <w:rsid w:val="00F933D8"/>
    <w:rsid w:val="00F9561A"/>
    <w:rsid w:val="00F95715"/>
    <w:rsid w:val="00F96613"/>
    <w:rsid w:val="00F96811"/>
    <w:rsid w:val="00F978F6"/>
    <w:rsid w:val="00FA056F"/>
    <w:rsid w:val="00FA11D9"/>
    <w:rsid w:val="00FA1F4F"/>
    <w:rsid w:val="00FA21E7"/>
    <w:rsid w:val="00FA2688"/>
    <w:rsid w:val="00FA3EE2"/>
    <w:rsid w:val="00FA3F80"/>
    <w:rsid w:val="00FA58F0"/>
    <w:rsid w:val="00FA59E0"/>
    <w:rsid w:val="00FB0530"/>
    <w:rsid w:val="00FB0FD6"/>
    <w:rsid w:val="00FB138C"/>
    <w:rsid w:val="00FB1E88"/>
    <w:rsid w:val="00FB257D"/>
    <w:rsid w:val="00FB43AB"/>
    <w:rsid w:val="00FB5255"/>
    <w:rsid w:val="00FB5962"/>
    <w:rsid w:val="00FB5AE2"/>
    <w:rsid w:val="00FB649E"/>
    <w:rsid w:val="00FB69AE"/>
    <w:rsid w:val="00FB7220"/>
    <w:rsid w:val="00FC02FD"/>
    <w:rsid w:val="00FC0BCD"/>
    <w:rsid w:val="00FC0D65"/>
    <w:rsid w:val="00FC1224"/>
    <w:rsid w:val="00FC3428"/>
    <w:rsid w:val="00FC489D"/>
    <w:rsid w:val="00FC4EFE"/>
    <w:rsid w:val="00FC5E53"/>
    <w:rsid w:val="00FC6AEF"/>
    <w:rsid w:val="00FC7402"/>
    <w:rsid w:val="00FD01F3"/>
    <w:rsid w:val="00FD07DC"/>
    <w:rsid w:val="00FD12A3"/>
    <w:rsid w:val="00FD2418"/>
    <w:rsid w:val="00FD3B83"/>
    <w:rsid w:val="00FD422A"/>
    <w:rsid w:val="00FD61F1"/>
    <w:rsid w:val="00FD7260"/>
    <w:rsid w:val="00FD7282"/>
    <w:rsid w:val="00FE0E84"/>
    <w:rsid w:val="00FE2511"/>
    <w:rsid w:val="00FE2697"/>
    <w:rsid w:val="00FE2871"/>
    <w:rsid w:val="00FE3013"/>
    <w:rsid w:val="00FE44B6"/>
    <w:rsid w:val="00FE56ED"/>
    <w:rsid w:val="00FE57B0"/>
    <w:rsid w:val="00FE5CB2"/>
    <w:rsid w:val="00FE62A4"/>
    <w:rsid w:val="00FE6700"/>
    <w:rsid w:val="00FE681F"/>
    <w:rsid w:val="00FE7075"/>
    <w:rsid w:val="00FE75C6"/>
    <w:rsid w:val="00FE7A89"/>
    <w:rsid w:val="00FE7D9D"/>
    <w:rsid w:val="00FE7F40"/>
    <w:rsid w:val="00FF03CD"/>
    <w:rsid w:val="00FF0418"/>
    <w:rsid w:val="00FF0D0A"/>
    <w:rsid w:val="00FF1BE6"/>
    <w:rsid w:val="00FF219E"/>
    <w:rsid w:val="00FF256E"/>
    <w:rsid w:val="00FF2A30"/>
    <w:rsid w:val="00FF38B6"/>
    <w:rsid w:val="00FF52E7"/>
    <w:rsid w:val="00FF56A2"/>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811BD"/>
  <w15:docId w15:val="{C954F5C3-9F2B-49CC-AD89-BCC8E95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link w:val="FootnoteTextChar"/>
    <w:semiHidden/>
    <w:rsid w:val="00E832ED"/>
    <w:pPr>
      <w:tabs>
        <w:tab w:val="left" w:pos="340"/>
      </w:tabs>
      <w:spacing w:after="60"/>
      <w:ind w:left="340" w:hanging="340"/>
      <w:jc w:val="both"/>
    </w:pPr>
    <w:rPr>
      <w:sz w:val="18"/>
      <w:szCs w:val="20"/>
    </w:rPr>
  </w:style>
  <w:style w:type="character" w:styleId="FootnoteReference">
    <w:name w:val="footnote reference"/>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5"/>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5"/>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5"/>
      </w:numPr>
      <w:spacing w:after="240"/>
      <w:outlineLvl w:val="3"/>
    </w:pPr>
    <w:rPr>
      <w:b/>
    </w:rPr>
  </w:style>
  <w:style w:type="paragraph" w:customStyle="1" w:styleId="LegalHeading5">
    <w:name w:val="Legal_Heading5"/>
    <w:basedOn w:val="LegalNormal"/>
    <w:next w:val="LegalBodyText5"/>
    <w:semiHidden/>
    <w:rsid w:val="00E832ED"/>
    <w:pPr>
      <w:keepNext/>
      <w:numPr>
        <w:ilvl w:val="4"/>
        <w:numId w:val="5"/>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3"/>
      </w:numPr>
    </w:pPr>
    <w:rPr>
      <w:b/>
      <w:caps/>
      <w:spacing w:val="2"/>
    </w:rPr>
  </w:style>
  <w:style w:type="paragraph" w:customStyle="1" w:styleId="LegalCitation">
    <w:name w:val="Legal_Citation"/>
    <w:basedOn w:val="LegalNormal"/>
    <w:semiHidden/>
    <w:rsid w:val="00E832ED"/>
    <w:pPr>
      <w:numPr>
        <w:numId w:val="2"/>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uiPriority w:val="99"/>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styleId="Revision">
    <w:name w:val="Revision"/>
    <w:hidden/>
    <w:uiPriority w:val="99"/>
    <w:semiHidden/>
    <w:rsid w:val="005955F0"/>
    <w:rPr>
      <w:rFonts w:ascii="Arial" w:hAnsi="Arial"/>
      <w:sz w:val="24"/>
      <w:szCs w:val="24"/>
      <w:lang w:val="en-GB" w:eastAsia="en-GB"/>
    </w:rPr>
  </w:style>
  <w:style w:type="character" w:customStyle="1" w:styleId="FootnoteTextChar">
    <w:name w:val="Footnote Text Char"/>
    <w:basedOn w:val="DefaultParagraphFont"/>
    <w:link w:val="FootnoteText"/>
    <w:semiHidden/>
    <w:rsid w:val="002227A1"/>
    <w:rPr>
      <w:rFonts w:ascii="Arial"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128548413">
      <w:bodyDiv w:val="1"/>
      <w:marLeft w:val="0"/>
      <w:marRight w:val="0"/>
      <w:marTop w:val="0"/>
      <w:marBottom w:val="0"/>
      <w:divBdr>
        <w:top w:val="none" w:sz="0" w:space="0" w:color="auto"/>
        <w:left w:val="none" w:sz="0" w:space="0" w:color="auto"/>
        <w:bottom w:val="none" w:sz="0" w:space="0" w:color="auto"/>
        <w:right w:val="none" w:sz="0" w:space="0" w:color="auto"/>
      </w:divBdr>
    </w:div>
    <w:div w:id="204290951">
      <w:bodyDiv w:val="1"/>
      <w:marLeft w:val="0"/>
      <w:marRight w:val="0"/>
      <w:marTop w:val="0"/>
      <w:marBottom w:val="0"/>
      <w:divBdr>
        <w:top w:val="none" w:sz="0" w:space="0" w:color="auto"/>
        <w:left w:val="none" w:sz="0" w:space="0" w:color="auto"/>
        <w:bottom w:val="none" w:sz="0" w:space="0" w:color="auto"/>
        <w:right w:val="none" w:sz="0" w:space="0" w:color="auto"/>
      </w:divBdr>
    </w:div>
    <w:div w:id="304551614">
      <w:bodyDiv w:val="1"/>
      <w:marLeft w:val="0"/>
      <w:marRight w:val="0"/>
      <w:marTop w:val="0"/>
      <w:marBottom w:val="0"/>
      <w:divBdr>
        <w:top w:val="none" w:sz="0" w:space="0" w:color="auto"/>
        <w:left w:val="none" w:sz="0" w:space="0" w:color="auto"/>
        <w:bottom w:val="none" w:sz="0" w:space="0" w:color="auto"/>
        <w:right w:val="none" w:sz="0" w:space="0" w:color="auto"/>
      </w:divBdr>
    </w:div>
    <w:div w:id="364137149">
      <w:bodyDiv w:val="1"/>
      <w:marLeft w:val="0"/>
      <w:marRight w:val="0"/>
      <w:marTop w:val="0"/>
      <w:marBottom w:val="0"/>
      <w:divBdr>
        <w:top w:val="none" w:sz="0" w:space="0" w:color="auto"/>
        <w:left w:val="none" w:sz="0" w:space="0" w:color="auto"/>
        <w:bottom w:val="none" w:sz="0" w:space="0" w:color="auto"/>
        <w:right w:val="none" w:sz="0" w:space="0" w:color="auto"/>
      </w:divBdr>
    </w:div>
    <w:div w:id="374161822">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40943315">
      <w:bodyDiv w:val="1"/>
      <w:marLeft w:val="0"/>
      <w:marRight w:val="0"/>
      <w:marTop w:val="0"/>
      <w:marBottom w:val="0"/>
      <w:divBdr>
        <w:top w:val="none" w:sz="0" w:space="0" w:color="auto"/>
        <w:left w:val="none" w:sz="0" w:space="0" w:color="auto"/>
        <w:bottom w:val="none" w:sz="0" w:space="0" w:color="auto"/>
        <w:right w:val="none" w:sz="0" w:space="0" w:color="auto"/>
      </w:divBdr>
      <w:divsChild>
        <w:div w:id="1141269749">
          <w:marLeft w:val="1293"/>
          <w:marRight w:val="0"/>
          <w:marTop w:val="0"/>
          <w:marBottom w:val="180"/>
          <w:divBdr>
            <w:top w:val="none" w:sz="0" w:space="0" w:color="auto"/>
            <w:left w:val="none" w:sz="0" w:space="0" w:color="auto"/>
            <w:bottom w:val="none" w:sz="0" w:space="0" w:color="auto"/>
            <w:right w:val="none" w:sz="0" w:space="0" w:color="auto"/>
          </w:divBdr>
        </w:div>
        <w:div w:id="1979457009">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60871692">
      <w:bodyDiv w:val="1"/>
      <w:marLeft w:val="0"/>
      <w:marRight w:val="0"/>
      <w:marTop w:val="0"/>
      <w:marBottom w:val="0"/>
      <w:divBdr>
        <w:top w:val="none" w:sz="0" w:space="0" w:color="auto"/>
        <w:left w:val="none" w:sz="0" w:space="0" w:color="auto"/>
        <w:bottom w:val="none" w:sz="0" w:space="0" w:color="auto"/>
        <w:right w:val="none" w:sz="0" w:space="0" w:color="auto"/>
      </w:divBdr>
    </w:div>
    <w:div w:id="56827379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64426624">
      <w:bodyDiv w:val="1"/>
      <w:marLeft w:val="0"/>
      <w:marRight w:val="0"/>
      <w:marTop w:val="0"/>
      <w:marBottom w:val="0"/>
      <w:divBdr>
        <w:top w:val="none" w:sz="0" w:space="0" w:color="auto"/>
        <w:left w:val="none" w:sz="0" w:space="0" w:color="auto"/>
        <w:bottom w:val="none" w:sz="0" w:space="0" w:color="auto"/>
        <w:right w:val="none" w:sz="0" w:space="0" w:color="auto"/>
      </w:divBdr>
    </w:div>
    <w:div w:id="822088355">
      <w:bodyDiv w:val="1"/>
      <w:marLeft w:val="0"/>
      <w:marRight w:val="0"/>
      <w:marTop w:val="0"/>
      <w:marBottom w:val="0"/>
      <w:divBdr>
        <w:top w:val="none" w:sz="0" w:space="0" w:color="auto"/>
        <w:left w:val="none" w:sz="0" w:space="0" w:color="auto"/>
        <w:bottom w:val="none" w:sz="0" w:space="0" w:color="auto"/>
        <w:right w:val="none" w:sz="0" w:space="0" w:color="auto"/>
      </w:divBdr>
    </w:div>
    <w:div w:id="895627579">
      <w:bodyDiv w:val="1"/>
      <w:marLeft w:val="0"/>
      <w:marRight w:val="0"/>
      <w:marTop w:val="0"/>
      <w:marBottom w:val="0"/>
      <w:divBdr>
        <w:top w:val="none" w:sz="0" w:space="0" w:color="auto"/>
        <w:left w:val="none" w:sz="0" w:space="0" w:color="auto"/>
        <w:bottom w:val="none" w:sz="0" w:space="0" w:color="auto"/>
        <w:right w:val="none" w:sz="0" w:space="0" w:color="auto"/>
      </w:divBdr>
    </w:div>
    <w:div w:id="1004475087">
      <w:bodyDiv w:val="1"/>
      <w:marLeft w:val="0"/>
      <w:marRight w:val="0"/>
      <w:marTop w:val="0"/>
      <w:marBottom w:val="0"/>
      <w:divBdr>
        <w:top w:val="none" w:sz="0" w:space="0" w:color="auto"/>
        <w:left w:val="none" w:sz="0" w:space="0" w:color="auto"/>
        <w:bottom w:val="none" w:sz="0" w:space="0" w:color="auto"/>
        <w:right w:val="none" w:sz="0" w:space="0" w:color="auto"/>
      </w:divBdr>
    </w:div>
    <w:div w:id="1068767069">
      <w:bodyDiv w:val="1"/>
      <w:marLeft w:val="0"/>
      <w:marRight w:val="0"/>
      <w:marTop w:val="0"/>
      <w:marBottom w:val="0"/>
      <w:divBdr>
        <w:top w:val="none" w:sz="0" w:space="0" w:color="auto"/>
        <w:left w:val="none" w:sz="0" w:space="0" w:color="auto"/>
        <w:bottom w:val="none" w:sz="0" w:space="0" w:color="auto"/>
        <w:right w:val="none" w:sz="0" w:space="0" w:color="auto"/>
      </w:divBdr>
    </w:div>
    <w:div w:id="1072847152">
      <w:bodyDiv w:val="1"/>
      <w:marLeft w:val="0"/>
      <w:marRight w:val="0"/>
      <w:marTop w:val="0"/>
      <w:marBottom w:val="0"/>
      <w:divBdr>
        <w:top w:val="none" w:sz="0" w:space="0" w:color="auto"/>
        <w:left w:val="none" w:sz="0" w:space="0" w:color="auto"/>
        <w:bottom w:val="none" w:sz="0" w:space="0" w:color="auto"/>
        <w:right w:val="none" w:sz="0" w:space="0" w:color="auto"/>
      </w:divBdr>
    </w:div>
    <w:div w:id="1149052917">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196232308">
      <w:bodyDiv w:val="1"/>
      <w:marLeft w:val="0"/>
      <w:marRight w:val="0"/>
      <w:marTop w:val="0"/>
      <w:marBottom w:val="0"/>
      <w:divBdr>
        <w:top w:val="none" w:sz="0" w:space="0" w:color="auto"/>
        <w:left w:val="none" w:sz="0" w:space="0" w:color="auto"/>
        <w:bottom w:val="none" w:sz="0" w:space="0" w:color="auto"/>
        <w:right w:val="none" w:sz="0" w:space="0" w:color="auto"/>
      </w:divBdr>
    </w:div>
    <w:div w:id="1208680932">
      <w:bodyDiv w:val="1"/>
      <w:marLeft w:val="0"/>
      <w:marRight w:val="0"/>
      <w:marTop w:val="0"/>
      <w:marBottom w:val="0"/>
      <w:divBdr>
        <w:top w:val="none" w:sz="0" w:space="0" w:color="auto"/>
        <w:left w:val="none" w:sz="0" w:space="0" w:color="auto"/>
        <w:bottom w:val="none" w:sz="0" w:space="0" w:color="auto"/>
        <w:right w:val="none" w:sz="0" w:space="0" w:color="auto"/>
      </w:divBdr>
    </w:div>
    <w:div w:id="1265532195">
      <w:bodyDiv w:val="1"/>
      <w:marLeft w:val="0"/>
      <w:marRight w:val="0"/>
      <w:marTop w:val="0"/>
      <w:marBottom w:val="0"/>
      <w:divBdr>
        <w:top w:val="none" w:sz="0" w:space="0" w:color="auto"/>
        <w:left w:val="none" w:sz="0" w:space="0" w:color="auto"/>
        <w:bottom w:val="none" w:sz="0" w:space="0" w:color="auto"/>
        <w:right w:val="none" w:sz="0" w:space="0" w:color="auto"/>
      </w:divBdr>
    </w:div>
    <w:div w:id="1367832476">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591543565">
      <w:bodyDiv w:val="1"/>
      <w:marLeft w:val="0"/>
      <w:marRight w:val="0"/>
      <w:marTop w:val="0"/>
      <w:marBottom w:val="0"/>
      <w:divBdr>
        <w:top w:val="none" w:sz="0" w:space="0" w:color="auto"/>
        <w:left w:val="none" w:sz="0" w:space="0" w:color="auto"/>
        <w:bottom w:val="none" w:sz="0" w:space="0" w:color="auto"/>
        <w:right w:val="none" w:sz="0" w:space="0" w:color="auto"/>
      </w:divBdr>
    </w:div>
    <w:div w:id="1659922064">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204489324">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1095172718">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 w:id="2134058105">
          <w:marLeft w:val="0"/>
          <w:marRight w:val="0"/>
          <w:marTop w:val="120"/>
          <w:marBottom w:val="120"/>
          <w:divBdr>
            <w:top w:val="none" w:sz="0" w:space="0" w:color="auto"/>
            <w:left w:val="none" w:sz="0" w:space="0" w:color="auto"/>
            <w:bottom w:val="none" w:sz="0" w:space="0" w:color="auto"/>
            <w:right w:val="none" w:sz="0" w:space="0" w:color="auto"/>
          </w:divBdr>
        </w:div>
      </w:divsChild>
    </w:div>
    <w:div w:id="21461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921C2-415A-4B69-890F-DA9BC941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TotalTime>
  <Pages>22</Pages>
  <Words>6575</Words>
  <Characters>37478</Characters>
  <Application>Microsoft Office Word</Application>
  <DocSecurity>0</DocSecurity>
  <Lines>312</Lines>
  <Paragraphs>87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Swart v RAF - Judgment - 2015.11.24</vt:lpstr>
      <vt:lpstr>Under Case number: 5798/2021: - </vt:lpstr>
      <vt:lpstr>Applicant’s application is dismissed;</vt:lpstr>
      <vt:lpstr>The applicant shall pay the first respondent’s costs, including such costs conse</vt:lpstr>
      <vt:lpstr>Under Case number: 0290/2022: - </vt:lpstr>
      <vt:lpstr>Applicant’s application is dismissed;</vt:lpstr>
      <vt:lpstr>The applicant shall pay the first respondent’s costs, including such costs conse</vt:lpstr>
      <vt:lpstr>Under Case number: 3047/2022: - </vt:lpstr>
      <vt:lpstr>Applicant’s application is dismissed;</vt:lpstr>
      <vt:lpstr>The applicant shall pay the first respondent’s costs, including such costs conse</vt:lpstr>
      <vt:lpstr>The issues in these matters are to be decided with reference to the laws relatin</vt:lpstr>
      <vt:lpstr>The procurement of goods and services by the state and other public entities is </vt:lpstr>
      <vt:lpstr>Section 217 of the Constitution, the Preferential Procurement Policy Framework A</vt:lpstr>
      <vt:lpstr>Section 217, the PPPFA, Eskom’s procurement policies and the ITT all constitute </vt:lpstr>
      <vt:lpstr>Conclusion and Costs of the Applications</vt:lpstr>
      <vt:lpstr>For all of the reasons above, the applications stand to be dismissed.</vt:lpstr>
      <vt:lpstr>The general rule in matters of costs is that the successful party should be give</vt:lpstr>
      <vt:lpstr>Moreover, the complexity of the matter does, in my view, warrant costs to includ</vt:lpstr>
      <vt:lpstr>The applicants in each of the three applications should therefore pay Eskom’s co</vt:lpstr>
      <vt:lpstr>In the result, the following order is made: -</vt:lpstr>
      <vt:lpstr>Under Case number: 5798/2021: - </vt:lpstr>
      <vt:lpstr>Applicant’s application is dismissed;</vt:lpstr>
      <vt:lpstr>The applicant shall pay the first respondent’s costs, including such costs conse</vt:lpstr>
      <vt:lpstr>Under Case number: 0290/2022: - </vt:lpstr>
      <vt:lpstr>Applicant’s application is dismissed;</vt:lpstr>
      <vt:lpstr>The applicant shall pay the first respondent’s costs, including such costs conse</vt:lpstr>
      <vt:lpstr>Under Case number: 3047/2022: - </vt:lpstr>
      <vt:lpstr>Applicant’s application is dismissed;</vt:lpstr>
      <vt:lpstr>The applicant shall pay the first respondent’s costs, including such costs conse</vt:lpstr>
    </vt:vector>
  </TitlesOfParts>
  <Company>.</Company>
  <LinksUpToDate>false</LinksUpToDate>
  <CharactersWithSpaces>43966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subject/>
  <dc:creator>ladams</dc:creator>
  <cp:keywords/>
  <dc:description/>
  <cp:lastModifiedBy>Lazarus Rakgwale</cp:lastModifiedBy>
  <cp:revision>2</cp:revision>
  <cp:lastPrinted>2022-09-02T10:25:00Z</cp:lastPrinted>
  <dcterms:created xsi:type="dcterms:W3CDTF">2022-09-06T04:42:00Z</dcterms:created>
  <dcterms:modified xsi:type="dcterms:W3CDTF">2022-09-06T04:42:00Z</dcterms:modified>
</cp:coreProperties>
</file>