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13E0F" w14:textId="7B7BDEEB" w:rsidR="000708A0" w:rsidRDefault="000708A0" w:rsidP="00CD56FB">
      <w:pPr>
        <w:pStyle w:val="LegalTitle"/>
        <w:spacing w:after="0" w:line="360" w:lineRule="auto"/>
        <w:rPr>
          <w:u w:val="single"/>
        </w:rPr>
      </w:pPr>
      <w:bookmarkStart w:id="0" w:name="_GoBack"/>
      <w:bookmarkEnd w:id="0"/>
      <w:r>
        <w:rPr>
          <w:u w:val="single"/>
        </w:rPr>
        <w:t>REPUBLIC OF SOUTH AFRICA</w:t>
      </w:r>
    </w:p>
    <w:p w14:paraId="72567075" w14:textId="61C48EBA" w:rsidR="000B38D0" w:rsidRDefault="000B38D0" w:rsidP="003E4B76">
      <w:pPr>
        <w:pStyle w:val="LegalTitle"/>
        <w:spacing w:after="0" w:line="360" w:lineRule="auto"/>
        <w:rPr>
          <w:u w:val="single"/>
        </w:rPr>
      </w:pPr>
      <w:r>
        <w:rPr>
          <w:noProof/>
          <w:lang w:val="en-ZA" w:eastAsia="en-ZA"/>
        </w:rPr>
        <w:drawing>
          <wp:anchor distT="0" distB="0" distL="114300" distR="114300" simplePos="0" relativeHeight="251662336" behindDoc="0" locked="0" layoutInCell="1" allowOverlap="1" wp14:anchorId="496FA9F9" wp14:editId="0335FA19">
            <wp:simplePos x="0" y="0"/>
            <wp:positionH relativeFrom="column">
              <wp:posOffset>1831975</wp:posOffset>
            </wp:positionH>
            <wp:positionV relativeFrom="paragraph">
              <wp:posOffset>50800</wp:posOffset>
            </wp:positionV>
            <wp:extent cx="1536065" cy="15360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anchor>
        </w:drawing>
      </w:r>
      <w:r w:rsidR="007F45B5">
        <w:rPr>
          <w:u w:val="single"/>
        </w:rPr>
        <w:br w:type="textWrapping" w:clear="all"/>
      </w:r>
    </w:p>
    <w:p w14:paraId="79251C61" w14:textId="77777777" w:rsidR="00781994" w:rsidRDefault="00781994" w:rsidP="00CD56FB">
      <w:pPr>
        <w:pStyle w:val="LegalTitle"/>
        <w:spacing w:after="0" w:line="360" w:lineRule="auto"/>
        <w:rPr>
          <w:u w:val="single"/>
        </w:rPr>
      </w:pPr>
      <w:r>
        <w:rPr>
          <w:u w:val="single"/>
        </w:rPr>
        <w:t>IN THE HIGH COURT OF SOUTH AFRICA</w:t>
      </w:r>
    </w:p>
    <w:p w14:paraId="1FBEBA63" w14:textId="0D6724D0"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14:anchorId="497C16BE" wp14:editId="3881428D">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47A14B25" w14:textId="77777777" w:rsidR="001D6AE1" w:rsidRPr="0038792A" w:rsidRDefault="001D6AE1" w:rsidP="006B247E">
                            <w:pPr>
                              <w:numPr>
                                <w:ilvl w:val="0"/>
                                <w:numId w:val="4"/>
                              </w:numPr>
                              <w:suppressAutoHyphens w:val="0"/>
                              <w:rPr>
                                <w:rFonts w:ascii="Century Gothic" w:hAnsi="Century Gothic"/>
                                <w:sz w:val="20"/>
                                <w:szCs w:val="20"/>
                              </w:rPr>
                            </w:pPr>
                            <w:r>
                              <w:rPr>
                                <w:rFonts w:ascii="Century Gothic" w:hAnsi="Century Gothic"/>
                                <w:sz w:val="20"/>
                                <w:szCs w:val="20"/>
                              </w:rPr>
                              <w:t xml:space="preserve">REPORTABLE: </w:t>
                            </w:r>
                            <w:r>
                              <w:rPr>
                                <w:rFonts w:ascii="Century Gothic" w:hAnsi="Century Gothic"/>
                                <w:b/>
                                <w:i/>
                                <w:sz w:val="20"/>
                                <w:szCs w:val="20"/>
                              </w:rPr>
                              <w:t>NO</w:t>
                            </w:r>
                          </w:p>
                          <w:p w14:paraId="11CCB717" w14:textId="77777777" w:rsidR="001D6AE1" w:rsidRPr="0038792A" w:rsidRDefault="001D6AE1" w:rsidP="006B247E">
                            <w:pPr>
                              <w:numPr>
                                <w:ilvl w:val="0"/>
                                <w:numId w:val="4"/>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Pr>
                                <w:rFonts w:ascii="Century Gothic" w:hAnsi="Century Gothic"/>
                                <w:b/>
                                <w:i/>
                                <w:sz w:val="20"/>
                                <w:szCs w:val="20"/>
                              </w:rPr>
                              <w:t>NO</w:t>
                            </w:r>
                          </w:p>
                          <w:p w14:paraId="7598AF5D" w14:textId="77777777" w:rsidR="001D6AE1" w:rsidRPr="0038792A" w:rsidRDefault="001D6AE1" w:rsidP="006B247E">
                            <w:pPr>
                              <w:numPr>
                                <w:ilvl w:val="0"/>
                                <w:numId w:val="4"/>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14:paraId="7D8C83F5" w14:textId="546ACAA7" w:rsidR="001D6AE1" w:rsidRPr="000C3AF7" w:rsidRDefault="001D6AE1" w:rsidP="000C3AF7">
                            <w:pPr>
                              <w:rPr>
                                <w:rFonts w:ascii="Century Gothic" w:hAnsi="Century Gothic"/>
                                <w:sz w:val="22"/>
                                <w:szCs w:val="22"/>
                              </w:rPr>
                            </w:pPr>
                            <w:r>
                              <w:rPr>
                                <w:rFonts w:ascii="Century Gothic" w:hAnsi="Century Gothic"/>
                                <w:sz w:val="22"/>
                                <w:szCs w:val="22"/>
                              </w:rPr>
                              <w:t xml:space="preserve">Date: </w:t>
                            </w:r>
                            <w:r w:rsidR="0096154D">
                              <w:rPr>
                                <w:rFonts w:ascii="Century Gothic" w:hAnsi="Century Gothic"/>
                                <w:b/>
                                <w:i/>
                                <w:sz w:val="22"/>
                                <w:szCs w:val="22"/>
                                <w:u w:val="single"/>
                              </w:rPr>
                              <w:t>5</w:t>
                            </w:r>
                            <w:r w:rsidR="0096154D" w:rsidRPr="0096154D">
                              <w:rPr>
                                <w:rFonts w:ascii="Century Gothic" w:hAnsi="Century Gothic"/>
                                <w:b/>
                                <w:i/>
                                <w:sz w:val="22"/>
                                <w:szCs w:val="22"/>
                                <w:u w:val="single"/>
                                <w:vertAlign w:val="superscript"/>
                              </w:rPr>
                              <w:t>th</w:t>
                            </w:r>
                            <w:r w:rsidR="0096154D">
                              <w:rPr>
                                <w:rFonts w:ascii="Century Gothic" w:hAnsi="Century Gothic"/>
                                <w:b/>
                                <w:i/>
                                <w:sz w:val="22"/>
                                <w:szCs w:val="22"/>
                                <w:u w:val="single"/>
                              </w:rPr>
                              <w:t xml:space="preserve"> September</w:t>
                            </w:r>
                            <w:r>
                              <w:rPr>
                                <w:rFonts w:ascii="Century Gothic" w:hAnsi="Century Gothic"/>
                                <w:b/>
                                <w:i/>
                                <w:sz w:val="22"/>
                                <w:szCs w:val="22"/>
                                <w:u w:val="single"/>
                              </w:rPr>
                              <w:t xml:space="preserve"> 2022</w:t>
                            </w:r>
                            <w:r w:rsidRPr="0070234A">
                              <w:rPr>
                                <w:rFonts w:ascii="Century Gothic" w:hAnsi="Century Gothic"/>
                                <w:b/>
                                <w:i/>
                                <w:sz w:val="22"/>
                                <w:szCs w:val="22"/>
                              </w:rPr>
                              <w:t xml:space="preserve"> </w:t>
                            </w:r>
                            <w:r>
                              <w:rPr>
                                <w:rFonts w:ascii="Century Gothic" w:hAnsi="Century Gothic"/>
                                <w:sz w:val="22"/>
                                <w:szCs w:val="22"/>
                              </w:rPr>
                              <w:t>Signature: ____</w:t>
                            </w:r>
                            <w:r w:rsidR="00CE2028">
                              <w:rPr>
                                <w:rFonts w:ascii="Century Gothic" w:hAnsi="Century Gothic"/>
                                <w:sz w:val="22"/>
                                <w:szCs w:val="22"/>
                              </w:rPr>
                              <w:t>___</w:t>
                            </w:r>
                            <w:r>
                              <w:rPr>
                                <w:rFonts w:ascii="Century Gothic" w:hAnsi="Century Gothic"/>
                                <w:sz w:val="22"/>
                                <w:szCs w:val="22"/>
                              </w:rPr>
                              <w:t>_______</w:t>
                            </w:r>
                          </w:p>
                          <w:p w14:paraId="12AF53E7" w14:textId="77777777" w:rsidR="001D6AE1" w:rsidRDefault="001D6AE1" w:rsidP="000C3AF7">
                            <w:pPr>
                              <w:rPr>
                                <w:rFonts w:ascii="Century Gothic" w:hAnsi="Century Gothic"/>
                                <w:sz w:val="28"/>
                                <w:szCs w:val="28"/>
                              </w:rPr>
                            </w:pPr>
                          </w:p>
                          <w:p w14:paraId="6B328F2B" w14:textId="77777777" w:rsidR="001D6AE1" w:rsidRDefault="001D6AE1"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1D6AE1" w:rsidRDefault="001D6AE1"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1D6AE1" w:rsidRDefault="001D6AE1" w:rsidP="000C3AF7">
                            <w:pPr>
                              <w:rPr>
                                <w:rFonts w:ascii="Century Gothic" w:hAnsi="Century Gothic"/>
                                <w:sz w:val="28"/>
                                <w:szCs w:val="28"/>
                              </w:rPr>
                            </w:pPr>
                          </w:p>
                          <w:p w14:paraId="3E1C7AF5" w14:textId="77777777" w:rsidR="001D6AE1" w:rsidRDefault="001D6AE1" w:rsidP="000C3AF7">
                            <w:pPr>
                              <w:rPr>
                                <w:rFonts w:ascii="Century Gothic" w:hAnsi="Century Gothic"/>
                                <w:sz w:val="28"/>
                                <w:szCs w:val="28"/>
                              </w:rPr>
                            </w:pPr>
                          </w:p>
                          <w:p w14:paraId="65A5D01C" w14:textId="77777777" w:rsidR="001D6AE1" w:rsidRDefault="001D6AE1" w:rsidP="000C3AF7">
                            <w:pPr>
                              <w:rPr>
                                <w:rFonts w:ascii="Century Gothic" w:hAnsi="Century Gothic"/>
                                <w:sz w:val="28"/>
                                <w:szCs w:val="28"/>
                              </w:rPr>
                            </w:pPr>
                          </w:p>
                          <w:p w14:paraId="252DC17A" w14:textId="77777777" w:rsidR="001D6AE1" w:rsidRPr="009533D5" w:rsidRDefault="001D6AE1" w:rsidP="000C3AF7">
                            <w:pPr>
                              <w:rPr>
                                <w:rFonts w:ascii="Century Gothic" w:hAnsi="Century Gothic"/>
                                <w:sz w:val="28"/>
                                <w:szCs w:val="28"/>
                              </w:rPr>
                            </w:pPr>
                          </w:p>
                          <w:p w14:paraId="67643019" w14:textId="77777777" w:rsidR="001D6AE1" w:rsidRDefault="001D6AE1" w:rsidP="000C3AF7">
                            <w:pPr>
                              <w:rPr>
                                <w:rFonts w:ascii="Century Gothic" w:hAnsi="Century Gothic"/>
                                <w:b/>
                                <w:sz w:val="18"/>
                                <w:szCs w:val="18"/>
                              </w:rPr>
                            </w:pPr>
                          </w:p>
                          <w:p w14:paraId="09961391" w14:textId="77777777" w:rsidR="001D6AE1" w:rsidRDefault="001D6AE1" w:rsidP="000C3AF7">
                            <w:pPr>
                              <w:rPr>
                                <w:rFonts w:ascii="Century Gothic" w:hAnsi="Century Gothic"/>
                                <w:b/>
                                <w:sz w:val="18"/>
                                <w:szCs w:val="18"/>
                              </w:rPr>
                            </w:pPr>
                          </w:p>
                          <w:p w14:paraId="5D79450A" w14:textId="77777777" w:rsidR="001D6AE1" w:rsidRDefault="001D6AE1" w:rsidP="000C3AF7">
                            <w:pPr>
                              <w:rPr>
                                <w:rFonts w:ascii="Century Gothic" w:hAnsi="Century Gothic"/>
                                <w:b/>
                                <w:sz w:val="18"/>
                                <w:szCs w:val="18"/>
                              </w:rPr>
                            </w:pPr>
                          </w:p>
                          <w:p w14:paraId="105A86A6" w14:textId="77777777" w:rsidR="001D6AE1" w:rsidRPr="00B93709" w:rsidRDefault="001D6AE1" w:rsidP="000C3AF7">
                            <w:pPr>
                              <w:rPr>
                                <w:rFonts w:ascii="Century Gothic" w:hAnsi="Century Gothic"/>
                                <w:b/>
                                <w:sz w:val="18"/>
                                <w:szCs w:val="18"/>
                              </w:rPr>
                            </w:pPr>
                          </w:p>
                          <w:p w14:paraId="7BEC4500" w14:textId="77777777" w:rsidR="001D6AE1" w:rsidRPr="00B93709" w:rsidRDefault="001D6AE1"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16B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">
                <v:textbox>
                  <w:txbxContent>
                    <w:p w14:paraId="47A14B25" w14:textId="77777777" w:rsidR="001D6AE1" w:rsidRPr="0038792A" w:rsidRDefault="001D6AE1" w:rsidP="006B247E">
                      <w:pPr>
                        <w:numPr>
                          <w:ilvl w:val="0"/>
                          <w:numId w:val="4"/>
                        </w:numPr>
                        <w:suppressAutoHyphens w:val="0"/>
                        <w:rPr>
                          <w:rFonts w:ascii="Century Gothic" w:hAnsi="Century Gothic"/>
                          <w:sz w:val="20"/>
                          <w:szCs w:val="20"/>
                        </w:rPr>
                      </w:pPr>
                      <w:r>
                        <w:rPr>
                          <w:rFonts w:ascii="Century Gothic" w:hAnsi="Century Gothic"/>
                          <w:sz w:val="20"/>
                          <w:szCs w:val="20"/>
                        </w:rPr>
                        <w:t xml:space="preserve">REPORTABLE: </w:t>
                      </w:r>
                      <w:r>
                        <w:rPr>
                          <w:rFonts w:ascii="Century Gothic" w:hAnsi="Century Gothic"/>
                          <w:b/>
                          <w:i/>
                          <w:sz w:val="20"/>
                          <w:szCs w:val="20"/>
                        </w:rPr>
                        <w:t>NO</w:t>
                      </w:r>
                    </w:p>
                    <w:p w14:paraId="11CCB717" w14:textId="77777777" w:rsidR="001D6AE1" w:rsidRPr="0038792A" w:rsidRDefault="001D6AE1" w:rsidP="006B247E">
                      <w:pPr>
                        <w:numPr>
                          <w:ilvl w:val="0"/>
                          <w:numId w:val="4"/>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Pr>
                          <w:rFonts w:ascii="Century Gothic" w:hAnsi="Century Gothic"/>
                          <w:b/>
                          <w:i/>
                          <w:sz w:val="20"/>
                          <w:szCs w:val="20"/>
                        </w:rPr>
                        <w:t>NO</w:t>
                      </w:r>
                    </w:p>
                    <w:p w14:paraId="7598AF5D" w14:textId="77777777" w:rsidR="001D6AE1" w:rsidRPr="0038792A" w:rsidRDefault="001D6AE1" w:rsidP="006B247E">
                      <w:pPr>
                        <w:numPr>
                          <w:ilvl w:val="0"/>
                          <w:numId w:val="4"/>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14:paraId="7D8C83F5" w14:textId="546ACAA7" w:rsidR="001D6AE1" w:rsidRPr="000C3AF7" w:rsidRDefault="001D6AE1" w:rsidP="000C3AF7">
                      <w:pPr>
                        <w:rPr>
                          <w:rFonts w:ascii="Century Gothic" w:hAnsi="Century Gothic"/>
                          <w:sz w:val="22"/>
                          <w:szCs w:val="22"/>
                        </w:rPr>
                      </w:pPr>
                      <w:r>
                        <w:rPr>
                          <w:rFonts w:ascii="Century Gothic" w:hAnsi="Century Gothic"/>
                          <w:sz w:val="22"/>
                          <w:szCs w:val="22"/>
                        </w:rPr>
                        <w:t xml:space="preserve">Date: </w:t>
                      </w:r>
                      <w:r w:rsidR="0096154D">
                        <w:rPr>
                          <w:rFonts w:ascii="Century Gothic" w:hAnsi="Century Gothic"/>
                          <w:b/>
                          <w:i/>
                          <w:sz w:val="22"/>
                          <w:szCs w:val="22"/>
                          <w:u w:val="single"/>
                        </w:rPr>
                        <w:t>5</w:t>
                      </w:r>
                      <w:r w:rsidR="0096154D" w:rsidRPr="0096154D">
                        <w:rPr>
                          <w:rFonts w:ascii="Century Gothic" w:hAnsi="Century Gothic"/>
                          <w:b/>
                          <w:i/>
                          <w:sz w:val="22"/>
                          <w:szCs w:val="22"/>
                          <w:u w:val="single"/>
                          <w:vertAlign w:val="superscript"/>
                        </w:rPr>
                        <w:t>th</w:t>
                      </w:r>
                      <w:r w:rsidR="0096154D">
                        <w:rPr>
                          <w:rFonts w:ascii="Century Gothic" w:hAnsi="Century Gothic"/>
                          <w:b/>
                          <w:i/>
                          <w:sz w:val="22"/>
                          <w:szCs w:val="22"/>
                          <w:u w:val="single"/>
                        </w:rPr>
                        <w:t xml:space="preserve"> September</w:t>
                      </w:r>
                      <w:r>
                        <w:rPr>
                          <w:rFonts w:ascii="Century Gothic" w:hAnsi="Century Gothic"/>
                          <w:b/>
                          <w:i/>
                          <w:sz w:val="22"/>
                          <w:szCs w:val="22"/>
                          <w:u w:val="single"/>
                        </w:rPr>
                        <w:t xml:space="preserve"> 2022</w:t>
                      </w:r>
                      <w:r w:rsidRPr="0070234A">
                        <w:rPr>
                          <w:rFonts w:ascii="Century Gothic" w:hAnsi="Century Gothic"/>
                          <w:b/>
                          <w:i/>
                          <w:sz w:val="22"/>
                          <w:szCs w:val="22"/>
                        </w:rPr>
                        <w:t xml:space="preserve"> </w:t>
                      </w:r>
                      <w:r>
                        <w:rPr>
                          <w:rFonts w:ascii="Century Gothic" w:hAnsi="Century Gothic"/>
                          <w:sz w:val="22"/>
                          <w:szCs w:val="22"/>
                        </w:rPr>
                        <w:t>Signature: ____</w:t>
                      </w:r>
                      <w:r w:rsidR="00CE2028">
                        <w:rPr>
                          <w:rFonts w:ascii="Century Gothic" w:hAnsi="Century Gothic"/>
                          <w:sz w:val="22"/>
                          <w:szCs w:val="22"/>
                        </w:rPr>
                        <w:t>___</w:t>
                      </w:r>
                      <w:r>
                        <w:rPr>
                          <w:rFonts w:ascii="Century Gothic" w:hAnsi="Century Gothic"/>
                          <w:sz w:val="22"/>
                          <w:szCs w:val="22"/>
                        </w:rPr>
                        <w:t>_______</w:t>
                      </w:r>
                    </w:p>
                    <w:p w14:paraId="12AF53E7" w14:textId="77777777" w:rsidR="001D6AE1" w:rsidRDefault="001D6AE1" w:rsidP="000C3AF7">
                      <w:pPr>
                        <w:rPr>
                          <w:rFonts w:ascii="Century Gothic" w:hAnsi="Century Gothic"/>
                          <w:sz w:val="28"/>
                          <w:szCs w:val="28"/>
                        </w:rPr>
                      </w:pPr>
                    </w:p>
                    <w:p w14:paraId="6B328F2B" w14:textId="77777777" w:rsidR="001D6AE1" w:rsidRDefault="001D6AE1"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1D6AE1" w:rsidRDefault="001D6AE1"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1D6AE1" w:rsidRDefault="001D6AE1" w:rsidP="000C3AF7">
                      <w:pPr>
                        <w:rPr>
                          <w:rFonts w:ascii="Century Gothic" w:hAnsi="Century Gothic"/>
                          <w:sz w:val="28"/>
                          <w:szCs w:val="28"/>
                        </w:rPr>
                      </w:pPr>
                    </w:p>
                    <w:p w14:paraId="3E1C7AF5" w14:textId="77777777" w:rsidR="001D6AE1" w:rsidRDefault="001D6AE1" w:rsidP="000C3AF7">
                      <w:pPr>
                        <w:rPr>
                          <w:rFonts w:ascii="Century Gothic" w:hAnsi="Century Gothic"/>
                          <w:sz w:val="28"/>
                          <w:szCs w:val="28"/>
                        </w:rPr>
                      </w:pPr>
                    </w:p>
                    <w:p w14:paraId="65A5D01C" w14:textId="77777777" w:rsidR="001D6AE1" w:rsidRDefault="001D6AE1" w:rsidP="000C3AF7">
                      <w:pPr>
                        <w:rPr>
                          <w:rFonts w:ascii="Century Gothic" w:hAnsi="Century Gothic"/>
                          <w:sz w:val="28"/>
                          <w:szCs w:val="28"/>
                        </w:rPr>
                      </w:pPr>
                    </w:p>
                    <w:p w14:paraId="252DC17A" w14:textId="77777777" w:rsidR="001D6AE1" w:rsidRPr="009533D5" w:rsidRDefault="001D6AE1" w:rsidP="000C3AF7">
                      <w:pPr>
                        <w:rPr>
                          <w:rFonts w:ascii="Century Gothic" w:hAnsi="Century Gothic"/>
                          <w:sz w:val="28"/>
                          <w:szCs w:val="28"/>
                        </w:rPr>
                      </w:pPr>
                    </w:p>
                    <w:p w14:paraId="67643019" w14:textId="77777777" w:rsidR="001D6AE1" w:rsidRDefault="001D6AE1" w:rsidP="000C3AF7">
                      <w:pPr>
                        <w:rPr>
                          <w:rFonts w:ascii="Century Gothic" w:hAnsi="Century Gothic"/>
                          <w:b/>
                          <w:sz w:val="18"/>
                          <w:szCs w:val="18"/>
                        </w:rPr>
                      </w:pPr>
                    </w:p>
                    <w:p w14:paraId="09961391" w14:textId="77777777" w:rsidR="001D6AE1" w:rsidRDefault="001D6AE1" w:rsidP="000C3AF7">
                      <w:pPr>
                        <w:rPr>
                          <w:rFonts w:ascii="Century Gothic" w:hAnsi="Century Gothic"/>
                          <w:b/>
                          <w:sz w:val="18"/>
                          <w:szCs w:val="18"/>
                        </w:rPr>
                      </w:pPr>
                    </w:p>
                    <w:p w14:paraId="5D79450A" w14:textId="77777777" w:rsidR="001D6AE1" w:rsidRDefault="001D6AE1" w:rsidP="000C3AF7">
                      <w:pPr>
                        <w:rPr>
                          <w:rFonts w:ascii="Century Gothic" w:hAnsi="Century Gothic"/>
                          <w:b/>
                          <w:sz w:val="18"/>
                          <w:szCs w:val="18"/>
                        </w:rPr>
                      </w:pPr>
                    </w:p>
                    <w:p w14:paraId="105A86A6" w14:textId="77777777" w:rsidR="001D6AE1" w:rsidRPr="00B93709" w:rsidRDefault="001D6AE1" w:rsidP="000C3AF7">
                      <w:pPr>
                        <w:rPr>
                          <w:rFonts w:ascii="Century Gothic" w:hAnsi="Century Gothic"/>
                          <w:b/>
                          <w:sz w:val="18"/>
                          <w:szCs w:val="18"/>
                        </w:rPr>
                      </w:pPr>
                    </w:p>
                    <w:p w14:paraId="7BEC4500" w14:textId="77777777" w:rsidR="001D6AE1" w:rsidRPr="00B93709" w:rsidRDefault="001D6AE1"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73013942" w14:textId="77777777" w:rsidR="00781994" w:rsidRDefault="00781994" w:rsidP="00EB0478">
      <w:pPr>
        <w:pStyle w:val="LegalAnnexure"/>
        <w:spacing w:after="240" w:line="360" w:lineRule="auto"/>
        <w:rPr>
          <w:u w:val="single"/>
        </w:rPr>
      </w:pPr>
    </w:p>
    <w:p w14:paraId="10FE9C41" w14:textId="77777777" w:rsidR="004A6C63" w:rsidRDefault="004A6C63" w:rsidP="0044143F">
      <w:pPr>
        <w:pStyle w:val="LegalAnnexure"/>
        <w:spacing w:after="120" w:line="360" w:lineRule="auto"/>
        <w:rPr>
          <w:u w:val="single"/>
        </w:rPr>
      </w:pPr>
    </w:p>
    <w:p w14:paraId="12BD2615" w14:textId="61458D96" w:rsidR="009314F3" w:rsidRDefault="001E5D90" w:rsidP="00C95B02">
      <w:pPr>
        <w:pStyle w:val="LegalAnnexure"/>
        <w:spacing w:before="120" w:after="0" w:line="360" w:lineRule="auto"/>
        <w:rPr>
          <w:b w:val="0"/>
        </w:rPr>
      </w:pPr>
      <w:r>
        <w:rPr>
          <w:u w:val="single"/>
        </w:rPr>
        <w:t xml:space="preserve">APPEAL </w:t>
      </w:r>
      <w:r w:rsidR="009314F3" w:rsidRPr="00A84826">
        <w:rPr>
          <w:u w:val="single"/>
        </w:rPr>
        <w:t>CASE NO</w:t>
      </w:r>
      <w:r w:rsidR="009314F3" w:rsidRPr="0080126D">
        <w:t>:</w:t>
      </w:r>
      <w:r w:rsidR="00F86558">
        <w:t xml:space="preserve"> </w:t>
      </w:r>
      <w:r w:rsidR="000B38D0" w:rsidRPr="004A6C63">
        <w:rPr>
          <w:b w:val="0"/>
        </w:rPr>
        <w:t>A50</w:t>
      </w:r>
      <w:r w:rsidR="0096154D">
        <w:rPr>
          <w:b w:val="0"/>
        </w:rPr>
        <w:t>38</w:t>
      </w:r>
      <w:r w:rsidR="00F86558" w:rsidRPr="004A6C63">
        <w:rPr>
          <w:b w:val="0"/>
        </w:rPr>
        <w:t>/</w:t>
      </w:r>
      <w:r w:rsidR="00DD67D3">
        <w:rPr>
          <w:b w:val="0"/>
        </w:rPr>
        <w:t>20</w:t>
      </w:r>
      <w:r w:rsidR="006D09B0">
        <w:rPr>
          <w:b w:val="0"/>
        </w:rPr>
        <w:t>2</w:t>
      </w:r>
      <w:r w:rsidR="0096154D">
        <w:rPr>
          <w:b w:val="0"/>
        </w:rPr>
        <w:t>2</w:t>
      </w:r>
    </w:p>
    <w:p w14:paraId="153FEAD1" w14:textId="49486C7E" w:rsidR="001E5D90" w:rsidRDefault="001E5D90" w:rsidP="001E5D90">
      <w:pPr>
        <w:pStyle w:val="LegalAnnexure"/>
        <w:spacing w:after="0" w:line="360" w:lineRule="auto"/>
        <w:rPr>
          <w:b w:val="0"/>
        </w:rPr>
      </w:pPr>
      <w:r>
        <w:rPr>
          <w:u w:val="single"/>
        </w:rPr>
        <w:t xml:space="preserve">COURT </w:t>
      </w:r>
      <w:r w:rsidRPr="001E5D90">
        <w:rPr>
          <w:i/>
          <w:u w:val="single"/>
        </w:rPr>
        <w:t>A QUO</w:t>
      </w:r>
      <w:r>
        <w:rPr>
          <w:u w:val="single"/>
        </w:rPr>
        <w:t xml:space="preserve"> </w:t>
      </w:r>
      <w:r w:rsidRPr="00A84826">
        <w:rPr>
          <w:u w:val="single"/>
        </w:rPr>
        <w:t>CASE NO</w:t>
      </w:r>
      <w:r w:rsidRPr="0080126D">
        <w:t>:</w:t>
      </w:r>
      <w:r>
        <w:t xml:space="preserve"> </w:t>
      </w:r>
      <w:r w:rsidR="0096154D">
        <w:rPr>
          <w:b w:val="0"/>
        </w:rPr>
        <w:t>14760</w:t>
      </w:r>
      <w:r w:rsidRPr="004A6C63">
        <w:rPr>
          <w:b w:val="0"/>
        </w:rPr>
        <w:t>/</w:t>
      </w:r>
      <w:r w:rsidR="0096154D">
        <w:rPr>
          <w:b w:val="0"/>
        </w:rPr>
        <w:t>2022</w:t>
      </w:r>
    </w:p>
    <w:p w14:paraId="0537C233" w14:textId="06116EF5" w:rsidR="00C95B02" w:rsidRDefault="00C95B02" w:rsidP="00C95B02">
      <w:pPr>
        <w:pStyle w:val="LegalAnnexure"/>
        <w:spacing w:after="120" w:line="360" w:lineRule="auto"/>
      </w:pPr>
      <w:r>
        <w:rPr>
          <w:u w:val="single"/>
        </w:rPr>
        <w:t>DATE</w:t>
      </w:r>
      <w:r w:rsidRPr="0080126D">
        <w:t>:</w:t>
      </w:r>
      <w:r>
        <w:t xml:space="preserve"> </w:t>
      </w:r>
      <w:r w:rsidR="0096154D">
        <w:rPr>
          <w:b w:val="0"/>
        </w:rPr>
        <w:t>5</w:t>
      </w:r>
      <w:r w:rsidR="0096154D" w:rsidRPr="0096154D">
        <w:rPr>
          <w:b w:val="0"/>
          <w:vertAlign w:val="superscript"/>
        </w:rPr>
        <w:t>th</w:t>
      </w:r>
      <w:r w:rsidR="0096154D">
        <w:rPr>
          <w:b w:val="0"/>
        </w:rPr>
        <w:t xml:space="preserve"> September</w:t>
      </w:r>
      <w:r>
        <w:rPr>
          <w:b w:val="0"/>
        </w:rPr>
        <w:t xml:space="preserve"> 2022</w:t>
      </w:r>
    </w:p>
    <w:p w14:paraId="0C535D76" w14:textId="77777777" w:rsidR="009314F3" w:rsidRPr="00A84826" w:rsidRDefault="009314F3" w:rsidP="0070234A">
      <w:pPr>
        <w:pStyle w:val="LegalNormal"/>
        <w:spacing w:after="240" w:line="360" w:lineRule="auto"/>
      </w:pPr>
      <w:r w:rsidRPr="00A84826">
        <w:t>In the matter between:</w:t>
      </w:r>
    </w:p>
    <w:p w14:paraId="12A4A4F5" w14:textId="61AA7C2D" w:rsidR="009314F3" w:rsidRDefault="0096154D" w:rsidP="001E5D90">
      <w:pPr>
        <w:pStyle w:val="LegalPlainDef"/>
        <w:spacing w:after="0" w:line="360" w:lineRule="auto"/>
      </w:pPr>
      <w:r>
        <w:rPr>
          <w:b/>
          <w:lang w:val="en-ZA"/>
        </w:rPr>
        <w:t>VALUE LOGISTICS (PTY) LIMITED</w:t>
      </w:r>
      <w:r w:rsidR="0080126D">
        <w:rPr>
          <w:b/>
        </w:rPr>
        <w:tab/>
      </w:r>
      <w:r w:rsidR="001E5D90">
        <w:t>First A</w:t>
      </w:r>
      <w:r w:rsidR="000B38D0">
        <w:t xml:space="preserve">ppellant </w:t>
      </w:r>
    </w:p>
    <w:p w14:paraId="6E127A46" w14:textId="77777777" w:rsidR="0096154D" w:rsidRDefault="0096154D" w:rsidP="0096154D">
      <w:pPr>
        <w:tabs>
          <w:tab w:val="right" w:pos="8222"/>
        </w:tabs>
        <w:suppressAutoHyphens w:val="0"/>
        <w:rPr>
          <w:rFonts w:cs="Arial"/>
          <w:b/>
          <w:lang w:val="en-ZA"/>
        </w:rPr>
      </w:pPr>
      <w:r w:rsidRPr="0096154D">
        <w:rPr>
          <w:rFonts w:cs="Arial"/>
          <w:b/>
          <w:lang w:val="en-ZA"/>
        </w:rPr>
        <w:t xml:space="preserve">VALUE LOGISTICS PERSONNEL </w:t>
      </w:r>
    </w:p>
    <w:p w14:paraId="673416D8" w14:textId="1FF65DB9" w:rsidR="00B200FE" w:rsidRDefault="0096154D" w:rsidP="0096154D">
      <w:pPr>
        <w:pStyle w:val="LegalPlainDef"/>
        <w:spacing w:after="120" w:line="360" w:lineRule="auto"/>
      </w:pPr>
      <w:r w:rsidRPr="0096154D">
        <w:rPr>
          <w:rFonts w:cs="Arial"/>
          <w:b/>
          <w:lang w:val="en-ZA"/>
        </w:rPr>
        <w:t>SERVICE</w:t>
      </w:r>
      <w:r>
        <w:rPr>
          <w:rFonts w:cs="Arial"/>
          <w:b/>
          <w:lang w:val="en-ZA"/>
        </w:rPr>
        <w:t xml:space="preserve"> </w:t>
      </w:r>
      <w:r w:rsidRPr="0096154D">
        <w:rPr>
          <w:rFonts w:cs="Arial"/>
          <w:b/>
          <w:lang w:val="en-ZA"/>
        </w:rPr>
        <w:t>(PTY) LIMITED</w:t>
      </w:r>
      <w:r w:rsidR="00B200FE">
        <w:rPr>
          <w:b/>
        </w:rPr>
        <w:tab/>
      </w:r>
      <w:r>
        <w:t>Second</w:t>
      </w:r>
      <w:r w:rsidR="00B200FE">
        <w:t xml:space="preserve"> Appellant </w:t>
      </w:r>
    </w:p>
    <w:p w14:paraId="60946A6B" w14:textId="77777777" w:rsidR="009314F3" w:rsidRPr="00A84826" w:rsidRDefault="009314F3" w:rsidP="0070234A">
      <w:pPr>
        <w:pStyle w:val="LegalNormal"/>
        <w:spacing w:after="240" w:line="360" w:lineRule="auto"/>
      </w:pPr>
      <w:r w:rsidRPr="00A84826">
        <w:t>and</w:t>
      </w:r>
    </w:p>
    <w:p w14:paraId="38C382D5" w14:textId="06D02871" w:rsidR="00AA1951" w:rsidRDefault="0096154D" w:rsidP="00C95B02">
      <w:pPr>
        <w:pStyle w:val="LegalPlainDef"/>
        <w:spacing w:after="0" w:line="360" w:lineRule="auto"/>
      </w:pPr>
      <w:r>
        <w:rPr>
          <w:b/>
          <w:u w:val="single"/>
        </w:rPr>
        <w:t>OOSTHUIZEN</w:t>
      </w:r>
      <w:r>
        <w:rPr>
          <w:b/>
        </w:rPr>
        <w:t>, MARIUS</w:t>
      </w:r>
      <w:r w:rsidR="00C95B02">
        <w:rPr>
          <w:b/>
        </w:rPr>
        <w:t xml:space="preserve"> </w:t>
      </w:r>
      <w:r w:rsidR="00C95B02">
        <w:rPr>
          <w:b/>
        </w:rPr>
        <w:tab/>
      </w:r>
      <w:r w:rsidR="00C95B02">
        <w:t>First R</w:t>
      </w:r>
      <w:r w:rsidR="00AA1951">
        <w:t>espondent</w:t>
      </w:r>
    </w:p>
    <w:p w14:paraId="589BF767" w14:textId="5160D1DE" w:rsidR="00C95B02" w:rsidRDefault="0096154D" w:rsidP="0096154D">
      <w:pPr>
        <w:pStyle w:val="LegalPlainDef"/>
        <w:spacing w:after="240" w:line="360" w:lineRule="auto"/>
      </w:pPr>
      <w:r w:rsidRPr="0096154D">
        <w:rPr>
          <w:rFonts w:cs="Arial"/>
          <w:b/>
          <w:lang w:val="en-ZA"/>
        </w:rPr>
        <w:t>SAVINO DEL BENE (SOUTH AFRICA) (PTY)</w:t>
      </w:r>
      <w:r>
        <w:rPr>
          <w:rFonts w:cs="Arial"/>
          <w:b/>
          <w:lang w:val="en-ZA"/>
        </w:rPr>
        <w:t xml:space="preserve"> </w:t>
      </w:r>
      <w:r w:rsidRPr="0096154D">
        <w:rPr>
          <w:rFonts w:cs="Arial"/>
          <w:b/>
          <w:lang w:val="en-ZA"/>
        </w:rPr>
        <w:t>L</w:t>
      </w:r>
      <w:r>
        <w:rPr>
          <w:rFonts w:cs="Arial"/>
          <w:b/>
          <w:lang w:val="en-ZA"/>
        </w:rPr>
        <w:t>IMITE</w:t>
      </w:r>
      <w:r w:rsidRPr="0096154D">
        <w:rPr>
          <w:rFonts w:cs="Arial"/>
          <w:b/>
          <w:lang w:val="en-ZA"/>
        </w:rPr>
        <w:t>D</w:t>
      </w:r>
      <w:r w:rsidR="00C95B02">
        <w:tab/>
      </w:r>
      <w:r>
        <w:t>Second</w:t>
      </w:r>
      <w:r w:rsidR="00A31973">
        <w:t xml:space="preserve"> R</w:t>
      </w:r>
      <w:r w:rsidR="00C95B02">
        <w:t>espondent</w:t>
      </w:r>
    </w:p>
    <w:p w14:paraId="3F7EF7CD" w14:textId="5766679C" w:rsidR="006377C9" w:rsidRDefault="006377C9" w:rsidP="000D5CD8">
      <w:pPr>
        <w:keepNext/>
        <w:suppressAutoHyphens w:val="0"/>
        <w:spacing w:after="120" w:line="360" w:lineRule="auto"/>
        <w:ind w:left="1440" w:hanging="1440"/>
        <w:rPr>
          <w:rFonts w:cs="Arial"/>
          <w:lang w:val="en-ZA" w:eastAsia="en-US"/>
        </w:rPr>
      </w:pPr>
      <w:r>
        <w:rPr>
          <w:rFonts w:cs="Arial"/>
          <w:b/>
          <w:bCs/>
          <w:lang w:val="en-ZA" w:eastAsia="en-US"/>
        </w:rPr>
        <w:t>Coram:</w:t>
      </w:r>
      <w:r w:rsidR="00D145C3">
        <w:rPr>
          <w:rFonts w:cs="Arial"/>
          <w:lang w:val="en-ZA" w:eastAsia="en-US"/>
        </w:rPr>
        <w:tab/>
      </w:r>
      <w:r w:rsidR="001428B6">
        <w:rPr>
          <w:rFonts w:cs="Arial"/>
          <w:lang w:val="en-ZA" w:eastAsia="en-US"/>
        </w:rPr>
        <w:t>Adams</w:t>
      </w:r>
      <w:r w:rsidR="006D09B0">
        <w:rPr>
          <w:rFonts w:cs="Arial"/>
          <w:lang w:val="en-ZA" w:eastAsia="en-US"/>
        </w:rPr>
        <w:t xml:space="preserve"> J</w:t>
      </w:r>
      <w:r>
        <w:rPr>
          <w:rFonts w:cs="Arial"/>
          <w:lang w:val="en-ZA" w:eastAsia="en-US"/>
        </w:rPr>
        <w:t xml:space="preserve">, </w:t>
      </w:r>
      <w:r w:rsidR="0096154D">
        <w:rPr>
          <w:rFonts w:cs="Arial"/>
          <w:lang w:val="en-ZA" w:eastAsia="en-US"/>
        </w:rPr>
        <w:t>Mia</w:t>
      </w:r>
      <w:r w:rsidR="006D09B0">
        <w:rPr>
          <w:rFonts w:cs="Arial"/>
          <w:lang w:val="en-ZA" w:eastAsia="en-US"/>
        </w:rPr>
        <w:t xml:space="preserve"> J</w:t>
      </w:r>
      <w:r w:rsidR="007925EA">
        <w:rPr>
          <w:rFonts w:cs="Arial"/>
          <w:lang w:val="en-ZA" w:eastAsia="en-US"/>
        </w:rPr>
        <w:t xml:space="preserve"> </w:t>
      </w:r>
      <w:r>
        <w:rPr>
          <w:rFonts w:cs="Arial"/>
          <w:i/>
          <w:lang w:val="en-ZA" w:eastAsia="en-US"/>
        </w:rPr>
        <w:t>et</w:t>
      </w:r>
      <w:r>
        <w:rPr>
          <w:rFonts w:cs="Arial"/>
          <w:lang w:val="en-ZA" w:eastAsia="en-US"/>
        </w:rPr>
        <w:t xml:space="preserve"> </w:t>
      </w:r>
      <w:r w:rsidR="0096154D">
        <w:rPr>
          <w:rFonts w:cs="Arial"/>
          <w:lang w:val="en-ZA" w:eastAsia="en-US"/>
        </w:rPr>
        <w:t>Van Nieuwenhuizen</w:t>
      </w:r>
      <w:r w:rsidR="006D09B0">
        <w:rPr>
          <w:rFonts w:cs="Arial"/>
          <w:lang w:val="en-ZA" w:eastAsia="en-US"/>
        </w:rPr>
        <w:t xml:space="preserve"> A</w:t>
      </w:r>
      <w:r w:rsidR="00DD67D3">
        <w:rPr>
          <w:rFonts w:cs="Arial"/>
          <w:lang w:val="en-ZA" w:eastAsia="en-US"/>
        </w:rPr>
        <w:t>J</w:t>
      </w:r>
    </w:p>
    <w:p w14:paraId="04F545D3" w14:textId="0643A208" w:rsidR="00D145C3" w:rsidRDefault="00D145C3" w:rsidP="00D145C3">
      <w:pPr>
        <w:suppressAutoHyphens w:val="0"/>
        <w:spacing w:after="120"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266F41">
        <w:rPr>
          <w:rFonts w:cs="Arial"/>
          <w:lang w:val="en-ZA" w:eastAsia="en-US"/>
        </w:rPr>
        <w:t>31</w:t>
      </w:r>
      <w:r>
        <w:rPr>
          <w:rFonts w:cs="Arial"/>
          <w:lang w:val="en-ZA" w:eastAsia="en-US"/>
        </w:rPr>
        <w:t xml:space="preserve"> </w:t>
      </w:r>
      <w:r w:rsidR="00266F41">
        <w:rPr>
          <w:rFonts w:cs="Arial"/>
          <w:lang w:val="en-ZA" w:eastAsia="en-US"/>
        </w:rPr>
        <w:t>August</w:t>
      </w:r>
      <w:r w:rsidR="001428B6">
        <w:rPr>
          <w:rFonts w:cs="Arial"/>
          <w:lang w:val="en-ZA" w:eastAsia="en-US"/>
        </w:rPr>
        <w:t xml:space="preserve"> 2022</w:t>
      </w:r>
      <w:r>
        <w:rPr>
          <w:rFonts w:cs="Arial"/>
          <w:lang w:val="en-ZA" w:eastAsia="en-US"/>
        </w:rPr>
        <w:t xml:space="preserve"> – The ‘virtual hearing’ of the </w:t>
      </w:r>
      <w:r w:rsidR="00DD67D3">
        <w:rPr>
          <w:rFonts w:cs="Arial"/>
          <w:lang w:val="en-ZA" w:eastAsia="en-US"/>
        </w:rPr>
        <w:t xml:space="preserve">Full Court Appeal </w:t>
      </w:r>
      <w:r>
        <w:rPr>
          <w:rFonts w:cs="Arial"/>
          <w:lang w:val="en-ZA" w:eastAsia="en-US"/>
        </w:rPr>
        <w:t xml:space="preserve">was conducted as a videoconference on </w:t>
      </w:r>
      <w:r>
        <w:rPr>
          <w:rFonts w:cs="Arial"/>
          <w:i/>
          <w:lang w:val="en-ZA" w:eastAsia="en-US"/>
        </w:rPr>
        <w:t>Microsoft Teams</w:t>
      </w:r>
      <w:r>
        <w:rPr>
          <w:rFonts w:cs="Arial"/>
          <w:lang w:val="en-ZA" w:eastAsia="en-US"/>
        </w:rPr>
        <w:t>.</w:t>
      </w:r>
    </w:p>
    <w:p w14:paraId="508454AB" w14:textId="4EE1FBF6" w:rsidR="00D145C3" w:rsidRDefault="00D145C3" w:rsidP="00D145C3">
      <w:pPr>
        <w:suppressAutoHyphens w:val="0"/>
        <w:spacing w:after="12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266F41">
        <w:rPr>
          <w:rFonts w:cs="Arial"/>
          <w:lang w:val="en-ZA" w:eastAsia="en-US"/>
        </w:rPr>
        <w:t>05</w:t>
      </w:r>
      <w:r w:rsidR="00CE2028">
        <w:rPr>
          <w:rFonts w:cs="Arial"/>
          <w:lang w:val="en-ZA" w:eastAsia="en-US"/>
        </w:rPr>
        <w:t xml:space="preserve"> </w:t>
      </w:r>
      <w:r w:rsidR="00266F41">
        <w:rPr>
          <w:rFonts w:cs="Arial"/>
          <w:lang w:val="en-ZA" w:eastAsia="en-US"/>
        </w:rPr>
        <w:t>September</w:t>
      </w:r>
      <w:r w:rsidR="00A94BD0">
        <w:rPr>
          <w:rFonts w:cs="Arial"/>
          <w:lang w:val="en-ZA" w:eastAsia="en-US"/>
        </w:rPr>
        <w:t xml:space="preserve"> 2022</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by being uploaded to </w:t>
      </w:r>
      <w:r>
        <w:rPr>
          <w:rFonts w:cs="Arial"/>
          <w:i/>
          <w:lang w:val="en-ZA" w:eastAsia="en-US"/>
        </w:rPr>
        <w:t>CaseLines</w:t>
      </w:r>
      <w:r>
        <w:rPr>
          <w:rFonts w:cs="Arial"/>
          <w:lang w:val="en-ZA" w:eastAsia="en-US"/>
        </w:rPr>
        <w:t xml:space="preserve"> and by release to SAFLII. The date </w:t>
      </w:r>
      <w:r>
        <w:rPr>
          <w:rFonts w:cs="Arial"/>
          <w:lang w:val="en-ZA" w:eastAsia="en-US"/>
        </w:rPr>
        <w:lastRenderedPageBreak/>
        <w:t xml:space="preserve">and time </w:t>
      </w:r>
      <w:r w:rsidR="00990E3B">
        <w:rPr>
          <w:rFonts w:cs="Arial"/>
          <w:lang w:val="en-ZA" w:eastAsia="en-US"/>
        </w:rPr>
        <w:t>for hand-down is deemed to be 10</w:t>
      </w:r>
      <w:r w:rsidR="003E4B76">
        <w:rPr>
          <w:rFonts w:cs="Arial"/>
          <w:lang w:val="en-ZA" w:eastAsia="en-US"/>
        </w:rPr>
        <w:t>:</w:t>
      </w:r>
      <w:r>
        <w:rPr>
          <w:rFonts w:cs="Arial"/>
          <w:lang w:val="en-ZA" w:eastAsia="en-US"/>
        </w:rPr>
        <w:t xml:space="preserve">00 on </w:t>
      </w:r>
      <w:r w:rsidR="000B5C01">
        <w:rPr>
          <w:rFonts w:cs="Arial"/>
          <w:lang w:val="en-ZA" w:eastAsia="en-US"/>
        </w:rPr>
        <w:t>05</w:t>
      </w:r>
      <w:r>
        <w:rPr>
          <w:rFonts w:cs="Arial"/>
          <w:lang w:val="en-ZA" w:eastAsia="en-US"/>
        </w:rPr>
        <w:t xml:space="preserve"> </w:t>
      </w:r>
      <w:r w:rsidR="000B5C01">
        <w:rPr>
          <w:rFonts w:cs="Arial"/>
          <w:lang w:val="en-ZA" w:eastAsia="en-US"/>
        </w:rPr>
        <w:t>September</w:t>
      </w:r>
      <w:r w:rsidR="00A94BD0">
        <w:rPr>
          <w:rFonts w:cs="Arial"/>
          <w:lang w:val="en-ZA" w:eastAsia="en-US"/>
        </w:rPr>
        <w:t xml:space="preserve"> 2022</w:t>
      </w:r>
      <w:r>
        <w:rPr>
          <w:rFonts w:cs="Arial"/>
          <w:lang w:val="en-ZA" w:eastAsia="en-US"/>
        </w:rPr>
        <w:t>.</w:t>
      </w:r>
    </w:p>
    <w:p w14:paraId="31F9FFF1" w14:textId="0339D76C" w:rsidR="003E4B76" w:rsidRDefault="006377C9" w:rsidP="000939AC">
      <w:pPr>
        <w:spacing w:after="240" w:line="360" w:lineRule="auto"/>
        <w:jc w:val="both"/>
      </w:pPr>
      <w:r w:rsidRPr="00E9240D">
        <w:rPr>
          <w:rFonts w:cs="Arial"/>
          <w:b/>
          <w:bCs/>
          <w:lang w:val="en-ZA" w:eastAsia="en-US"/>
        </w:rPr>
        <w:t>Summary:</w:t>
      </w:r>
      <w:r w:rsidRPr="00E9240D">
        <w:rPr>
          <w:rFonts w:cs="Arial"/>
          <w:b/>
          <w:bCs/>
          <w:lang w:val="en-ZA" w:eastAsia="en-US"/>
        </w:rPr>
        <w:tab/>
      </w:r>
      <w:r w:rsidR="000939AC" w:rsidRPr="000939AC">
        <w:t xml:space="preserve">Contract </w:t>
      </w:r>
      <w:r w:rsidR="000939AC">
        <w:t>–</w:t>
      </w:r>
      <w:r w:rsidR="000B5C01">
        <w:t xml:space="preserve"> r</w:t>
      </w:r>
      <w:r w:rsidR="000939AC" w:rsidRPr="000939AC">
        <w:t>estraint</w:t>
      </w:r>
      <w:r w:rsidR="000B5C01">
        <w:t xml:space="preserve"> </w:t>
      </w:r>
      <w:r w:rsidR="000939AC" w:rsidRPr="000939AC">
        <w:t xml:space="preserve">of trade </w:t>
      </w:r>
      <w:r w:rsidR="000939AC">
        <w:t>–</w:t>
      </w:r>
      <w:r w:rsidR="000B5C01">
        <w:t xml:space="preserve"> e</w:t>
      </w:r>
      <w:r w:rsidR="000939AC" w:rsidRPr="000939AC">
        <w:t xml:space="preserve">nforcement of </w:t>
      </w:r>
      <w:r w:rsidR="000939AC">
        <w:t>–</w:t>
      </w:r>
      <w:r w:rsidR="000B5C01">
        <w:t xml:space="preserve"> a</w:t>
      </w:r>
      <w:r w:rsidR="000939AC" w:rsidRPr="000939AC">
        <w:t>gainst</w:t>
      </w:r>
      <w:r w:rsidR="000939AC">
        <w:t xml:space="preserve"> ex-</w:t>
      </w:r>
      <w:r w:rsidR="000939AC" w:rsidRPr="000939AC">
        <w:t xml:space="preserve">employee </w:t>
      </w:r>
      <w:r w:rsidR="000939AC">
        <w:t>–</w:t>
      </w:r>
      <w:r w:rsidR="000B5C01" w:rsidRPr="000B5C01">
        <w:t xml:space="preserve"> party who wishes to be absolved from his restraint of trade must allege and prove that enforcement would be contrary to public policy</w:t>
      </w:r>
      <w:r w:rsidR="000B5C01">
        <w:t xml:space="preserve"> – it </w:t>
      </w:r>
      <w:r w:rsidR="000B5C01" w:rsidRPr="000B5C01">
        <w:t>is for the</w:t>
      </w:r>
      <w:r w:rsidR="000B5C01">
        <w:t xml:space="preserve"> restrained person to </w:t>
      </w:r>
      <w:r w:rsidR="000461AF">
        <w:t xml:space="preserve">show why restraint of trade should not be enforced </w:t>
      </w:r>
      <w:r w:rsidR="00266F41">
        <w:t>–</w:t>
      </w:r>
      <w:r w:rsidR="000461AF">
        <w:t xml:space="preserve"> </w:t>
      </w:r>
      <w:r w:rsidR="00343A59">
        <w:t>onus</w:t>
      </w:r>
      <w:r w:rsidR="00266F41">
        <w:t xml:space="preserve"> </w:t>
      </w:r>
      <w:r w:rsidR="00343A59">
        <w:t>on restrained</w:t>
      </w:r>
      <w:r w:rsidR="000461AF">
        <w:t xml:space="preserve"> person to prove unreasonableness – p</w:t>
      </w:r>
      <w:r w:rsidR="000939AC" w:rsidRPr="000939AC">
        <w:t xml:space="preserve">rotectable interest </w:t>
      </w:r>
      <w:r w:rsidR="000939AC">
        <w:t>–</w:t>
      </w:r>
      <w:r w:rsidR="000461AF">
        <w:t xml:space="preserve"> w</w:t>
      </w:r>
      <w:r w:rsidR="000939AC" w:rsidRPr="000939AC">
        <w:t xml:space="preserve">hat constitutes </w:t>
      </w:r>
      <w:r w:rsidR="000939AC">
        <w:t>–</w:t>
      </w:r>
      <w:r w:rsidR="000939AC" w:rsidRPr="000939AC">
        <w:t xml:space="preserve"> </w:t>
      </w:r>
      <w:r w:rsidR="00796E88">
        <w:t>reasonableness of scope and time of restraint</w:t>
      </w:r>
      <w:r w:rsidR="000939AC" w:rsidRPr="000939AC">
        <w:t xml:space="preserve"> </w:t>
      </w:r>
      <w:r w:rsidR="000939AC">
        <w:t>–</w:t>
      </w:r>
      <w:r w:rsidR="000939AC" w:rsidRPr="000939AC">
        <w:t xml:space="preserve"> </w:t>
      </w:r>
      <w:r w:rsidR="000461AF">
        <w:t>order to be fashioned by court – appeal and cross-appeal dismissed.</w:t>
      </w:r>
    </w:p>
    <w:p w14:paraId="19DF7C1D" w14:textId="77777777" w:rsidR="006377C9" w:rsidRDefault="006377C9" w:rsidP="00EF3EE8">
      <w:pPr>
        <w:pStyle w:val="LegalTramLines"/>
        <w:keepNext/>
        <w:spacing w:after="360"/>
      </w:pPr>
      <w:r>
        <w:t>ORDER</w:t>
      </w:r>
    </w:p>
    <w:p w14:paraId="2DA9256D" w14:textId="7C8FC661" w:rsidR="006377C9" w:rsidRDefault="006377C9" w:rsidP="007829F1">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 xml:space="preserve">The Gauteng Division of the High Court, </w:t>
      </w:r>
      <w:r w:rsidR="00D978CF">
        <w:rPr>
          <w:rFonts w:cs="Arial"/>
          <w:b w:val="0"/>
          <w:caps w:val="0"/>
          <w:lang w:eastAsia="en-US"/>
        </w:rPr>
        <w:t>Johannesburg</w:t>
      </w:r>
      <w:r>
        <w:rPr>
          <w:rFonts w:cs="Arial"/>
          <w:b w:val="0"/>
          <w:caps w:val="0"/>
          <w:lang w:eastAsia="en-US"/>
        </w:rPr>
        <w:t xml:space="preserve"> (</w:t>
      </w:r>
      <w:r w:rsidR="0096154D">
        <w:rPr>
          <w:rFonts w:cs="Arial"/>
          <w:b w:val="0"/>
          <w:caps w:val="0"/>
          <w:lang w:eastAsia="en-US"/>
        </w:rPr>
        <w:t>Manoim</w:t>
      </w:r>
      <w:r w:rsidR="00A172CD">
        <w:rPr>
          <w:rFonts w:cs="Arial"/>
          <w:b w:val="0"/>
          <w:caps w:val="0"/>
          <w:lang w:eastAsia="en-US"/>
        </w:rPr>
        <w:t> </w:t>
      </w:r>
      <w:r>
        <w:rPr>
          <w:rFonts w:cs="Arial"/>
          <w:b w:val="0"/>
          <w:caps w:val="0"/>
          <w:lang w:eastAsia="en-US"/>
        </w:rPr>
        <w:t>J sitting as Court of first instance):</w:t>
      </w:r>
    </w:p>
    <w:p w14:paraId="77A0F3DF" w14:textId="57C32B39" w:rsidR="00991A40" w:rsidRDefault="00991A40" w:rsidP="00991A40">
      <w:pPr>
        <w:pStyle w:val="LegalList1"/>
        <w:numPr>
          <w:ilvl w:val="0"/>
          <w:numId w:val="6"/>
        </w:numPr>
        <w:spacing w:after="120" w:line="360" w:lineRule="auto"/>
        <w:ind w:left="567" w:hanging="567"/>
      </w:pPr>
      <w:r>
        <w:t>The appellant’s appeal is dismissed.</w:t>
      </w:r>
    </w:p>
    <w:p w14:paraId="74B8AAA5" w14:textId="67AA8B77" w:rsidR="00991A40" w:rsidRDefault="00991A40" w:rsidP="00991A40">
      <w:pPr>
        <w:pStyle w:val="LegalList1"/>
        <w:numPr>
          <w:ilvl w:val="0"/>
          <w:numId w:val="6"/>
        </w:numPr>
        <w:spacing w:after="120" w:line="360" w:lineRule="auto"/>
        <w:ind w:left="567" w:hanging="567"/>
      </w:pPr>
      <w:r>
        <w:t>The respondent’s counter-appeal is dismissed.</w:t>
      </w:r>
    </w:p>
    <w:p w14:paraId="6B7766DD" w14:textId="7972CE18" w:rsidR="00991A40" w:rsidRDefault="00991A40" w:rsidP="00991A40">
      <w:pPr>
        <w:pStyle w:val="LegalList1"/>
        <w:numPr>
          <w:ilvl w:val="0"/>
          <w:numId w:val="6"/>
        </w:numPr>
        <w:spacing w:after="240" w:line="360" w:lineRule="auto"/>
        <w:ind w:left="567" w:hanging="567"/>
      </w:pPr>
      <w:r>
        <w:t>Each party shall bear his own costs.</w:t>
      </w:r>
    </w:p>
    <w:p w14:paraId="10A51433" w14:textId="77777777" w:rsidR="009314F3" w:rsidRPr="005E3F79" w:rsidRDefault="00F41CA8" w:rsidP="00C55460">
      <w:pPr>
        <w:pStyle w:val="LegalTramLines"/>
        <w:keepNext/>
        <w:spacing w:after="360"/>
        <w:rPr>
          <w:rFonts w:ascii="Arial" w:hAnsi="Arial" w:cs="Arial"/>
        </w:rPr>
      </w:pPr>
      <w:r w:rsidRPr="005E3F79">
        <w:rPr>
          <w:rFonts w:ascii="Arial" w:hAnsi="Arial" w:cs="Arial"/>
        </w:rPr>
        <w:t>JUDGMENT</w:t>
      </w:r>
    </w:p>
    <w:p w14:paraId="2804AF1D" w14:textId="7E490437" w:rsidR="00D63801" w:rsidRPr="00FC489D" w:rsidRDefault="00C2518C" w:rsidP="005E3F79">
      <w:pPr>
        <w:pStyle w:val="LegalMAINHEADING"/>
        <w:spacing w:before="0" w:after="120" w:line="360" w:lineRule="auto"/>
      </w:pPr>
      <w:r>
        <w:rPr>
          <w:caps w:val="0"/>
        </w:rPr>
        <w:t>Van Nieuwenhuizen A</w:t>
      </w:r>
      <w:r w:rsidR="00FC7402">
        <w:rPr>
          <w:caps w:val="0"/>
        </w:rPr>
        <w:t>J</w:t>
      </w:r>
      <w:r w:rsidR="00A94BD0">
        <w:rPr>
          <w:caps w:val="0"/>
        </w:rPr>
        <w:t xml:space="preserve"> (</w:t>
      </w:r>
      <w:r>
        <w:rPr>
          <w:caps w:val="0"/>
        </w:rPr>
        <w:t>Adams</w:t>
      </w:r>
      <w:r w:rsidR="00CD56FB">
        <w:rPr>
          <w:caps w:val="0"/>
        </w:rPr>
        <w:t xml:space="preserve"> </w:t>
      </w:r>
      <w:r w:rsidR="00FF1BE6" w:rsidRPr="0035131E">
        <w:rPr>
          <w:i/>
          <w:caps w:val="0"/>
        </w:rPr>
        <w:t>et</w:t>
      </w:r>
      <w:r w:rsidR="00FF1BE6">
        <w:rPr>
          <w:caps w:val="0"/>
        </w:rPr>
        <w:t xml:space="preserve"> </w:t>
      </w:r>
      <w:r>
        <w:rPr>
          <w:caps w:val="0"/>
        </w:rPr>
        <w:t xml:space="preserve">Mia </w:t>
      </w:r>
      <w:r w:rsidR="00FF1BE6">
        <w:rPr>
          <w:caps w:val="0"/>
        </w:rPr>
        <w:t>J</w:t>
      </w:r>
      <w:r w:rsidR="00796E88">
        <w:rPr>
          <w:caps w:val="0"/>
        </w:rPr>
        <w:t>J</w:t>
      </w:r>
      <w:r w:rsidR="00FC7402">
        <w:rPr>
          <w:caps w:val="0"/>
        </w:rPr>
        <w:t xml:space="preserve"> concurring</w:t>
      </w:r>
      <w:r w:rsidR="00CD56FB">
        <w:rPr>
          <w:caps w:val="0"/>
        </w:rPr>
        <w:t>)</w:t>
      </w:r>
      <w:r w:rsidR="00FC489D" w:rsidRPr="00FC489D">
        <w:rPr>
          <w:caps w:val="0"/>
        </w:rPr>
        <w:t>:</w:t>
      </w:r>
    </w:p>
    <w:p w14:paraId="18495A4E" w14:textId="68FAACEF" w:rsidR="00231AEC" w:rsidRDefault="00C2518C" w:rsidP="00231AEC">
      <w:pPr>
        <w:pStyle w:val="ListParagraph"/>
        <w:numPr>
          <w:ilvl w:val="0"/>
          <w:numId w:val="5"/>
        </w:numPr>
        <w:tabs>
          <w:tab w:val="clear" w:pos="567"/>
        </w:tabs>
        <w:spacing w:after="120" w:line="360" w:lineRule="auto"/>
        <w:ind w:left="0" w:firstLine="0"/>
        <w:jc w:val="both"/>
        <w:rPr>
          <w:color w:val="000000"/>
        </w:rPr>
      </w:pPr>
      <w:r w:rsidRPr="00C2518C">
        <w:rPr>
          <w:lang w:val="en-ZA"/>
        </w:rPr>
        <w:t xml:space="preserve">For the sake of convenience, the parties will be referred to as per the naming conventions followed by the court </w:t>
      </w:r>
      <w:r w:rsidRPr="00C2518C">
        <w:rPr>
          <w:i/>
          <w:lang w:val="en-ZA"/>
        </w:rPr>
        <w:t>a quo</w:t>
      </w:r>
      <w:r w:rsidRPr="00C2518C">
        <w:rPr>
          <w:lang w:val="en-ZA"/>
        </w:rPr>
        <w:t xml:space="preserve"> </w:t>
      </w:r>
      <w:r w:rsidR="00F16B32">
        <w:rPr>
          <w:lang w:val="en-ZA"/>
        </w:rPr>
        <w:t xml:space="preserve">(Manoim J) </w:t>
      </w:r>
      <w:r>
        <w:rPr>
          <w:lang w:val="en-ZA"/>
        </w:rPr>
        <w:t xml:space="preserve">in </w:t>
      </w:r>
      <w:r w:rsidRPr="00C2518C">
        <w:rPr>
          <w:lang w:val="en-ZA"/>
        </w:rPr>
        <w:t>the judgment handed down on 20 May 2022.</w:t>
      </w:r>
      <w:r w:rsidR="00231AEC">
        <w:rPr>
          <w:lang w:val="en-ZA"/>
        </w:rPr>
        <w:t xml:space="preserve"> </w:t>
      </w:r>
      <w:r w:rsidR="00231AEC">
        <w:rPr>
          <w:color w:val="000000"/>
        </w:rPr>
        <w:t>The first appellant is referred to as ‘Logistics’ and the second appellant as ‘Personnel’, whilst the first respondent shall be referred to as ‘Oosthuizen’ and the second respondent as ‘Savino’.</w:t>
      </w:r>
    </w:p>
    <w:p w14:paraId="053477A1" w14:textId="03B76A1F" w:rsidR="00C2518C" w:rsidRPr="00C2518C" w:rsidRDefault="00C2518C" w:rsidP="00C2518C">
      <w:pPr>
        <w:pStyle w:val="ListParagraph"/>
        <w:numPr>
          <w:ilvl w:val="0"/>
          <w:numId w:val="5"/>
        </w:numPr>
        <w:tabs>
          <w:tab w:val="clear" w:pos="567"/>
        </w:tabs>
        <w:spacing w:line="360" w:lineRule="auto"/>
        <w:ind w:left="0" w:firstLine="0"/>
        <w:jc w:val="both"/>
        <w:rPr>
          <w:color w:val="000000"/>
        </w:rPr>
      </w:pPr>
      <w:r w:rsidRPr="00C2518C">
        <w:rPr>
          <w:lang w:val="en-ZA"/>
        </w:rPr>
        <w:t xml:space="preserve">The matter </w:t>
      </w:r>
      <w:r w:rsidR="00231AEC">
        <w:rPr>
          <w:lang w:val="en-ZA"/>
        </w:rPr>
        <w:t>and this appeal concern</w:t>
      </w:r>
      <w:r w:rsidRPr="00C2518C">
        <w:rPr>
          <w:lang w:val="en-ZA"/>
        </w:rPr>
        <w:t xml:space="preserve"> an alleged</w:t>
      </w:r>
      <w:r>
        <w:rPr>
          <w:lang w:val="en-ZA"/>
        </w:rPr>
        <w:t xml:space="preserve"> restraint of trade agreement (‘the restraint’) and the relief </w:t>
      </w:r>
      <w:r w:rsidRPr="00C2518C">
        <w:rPr>
          <w:lang w:val="en-ZA"/>
        </w:rPr>
        <w:t>granted</w:t>
      </w:r>
      <w:r>
        <w:rPr>
          <w:lang w:val="en-ZA"/>
        </w:rPr>
        <w:t xml:space="preserve"> by the court </w:t>
      </w:r>
      <w:r w:rsidRPr="00C2518C">
        <w:rPr>
          <w:i/>
          <w:lang w:val="en-ZA"/>
        </w:rPr>
        <w:t>a quo</w:t>
      </w:r>
      <w:r>
        <w:rPr>
          <w:lang w:val="en-ZA"/>
        </w:rPr>
        <w:t xml:space="preserve"> was</w:t>
      </w:r>
      <w:r w:rsidRPr="00C2518C">
        <w:rPr>
          <w:lang w:val="en-ZA"/>
        </w:rPr>
        <w:t xml:space="preserve"> in the following terms:</w:t>
      </w:r>
    </w:p>
    <w:p w14:paraId="0BB716F9" w14:textId="1E9D5694" w:rsidR="00C2518C" w:rsidRDefault="00C2518C" w:rsidP="00114C11">
      <w:pPr>
        <w:pStyle w:val="ListParagraph"/>
        <w:spacing w:line="360" w:lineRule="auto"/>
        <w:ind w:left="567" w:hanging="567"/>
        <w:jc w:val="both"/>
        <w:rPr>
          <w:iCs/>
          <w:sz w:val="22"/>
          <w:szCs w:val="22"/>
          <w:lang w:val="en-ZA" w:eastAsia="en-US"/>
        </w:rPr>
      </w:pPr>
      <w:r w:rsidRPr="00C2518C">
        <w:rPr>
          <w:iCs/>
          <w:sz w:val="22"/>
          <w:szCs w:val="22"/>
          <w:lang w:val="en-ZA" w:eastAsia="en-US"/>
        </w:rPr>
        <w:lastRenderedPageBreak/>
        <w:t>‘</w:t>
      </w:r>
      <w:r>
        <w:rPr>
          <w:iCs/>
          <w:sz w:val="22"/>
          <w:szCs w:val="22"/>
          <w:lang w:val="en-ZA" w:eastAsia="en-US"/>
        </w:rPr>
        <w:t>(</w:t>
      </w:r>
      <w:r w:rsidRPr="00C2518C">
        <w:rPr>
          <w:iCs/>
          <w:sz w:val="22"/>
          <w:szCs w:val="22"/>
          <w:lang w:val="en-ZA" w:eastAsia="en-US"/>
        </w:rPr>
        <w:t>1</w:t>
      </w:r>
      <w:r>
        <w:rPr>
          <w:iCs/>
          <w:sz w:val="22"/>
          <w:szCs w:val="22"/>
          <w:lang w:val="en-ZA" w:eastAsia="en-US"/>
        </w:rPr>
        <w:t>)</w:t>
      </w:r>
      <w:r>
        <w:rPr>
          <w:iCs/>
          <w:sz w:val="22"/>
          <w:szCs w:val="22"/>
          <w:lang w:val="en-ZA" w:eastAsia="en-US"/>
        </w:rPr>
        <w:tab/>
      </w:r>
      <w:r w:rsidRPr="00C2518C">
        <w:rPr>
          <w:iCs/>
          <w:sz w:val="22"/>
          <w:szCs w:val="22"/>
          <w:lang w:val="en-ZA" w:eastAsia="en-US"/>
        </w:rPr>
        <w:t>The first respondent is interdicted from taking up employment with second respondent, or with any other tyre warehousing and dist</w:t>
      </w:r>
      <w:r w:rsidR="00266F41">
        <w:rPr>
          <w:iCs/>
          <w:sz w:val="22"/>
          <w:szCs w:val="22"/>
          <w:lang w:val="en-ZA" w:eastAsia="en-US"/>
        </w:rPr>
        <w:t xml:space="preserve">ribution company </w:t>
      </w:r>
      <w:r>
        <w:rPr>
          <w:iCs/>
          <w:sz w:val="22"/>
          <w:szCs w:val="22"/>
          <w:lang w:val="en-ZA" w:eastAsia="en-US"/>
        </w:rPr>
        <w:t>(the “restrained employer”</w:t>
      </w:r>
      <w:r w:rsidRPr="00C2518C">
        <w:rPr>
          <w:iCs/>
          <w:sz w:val="22"/>
          <w:szCs w:val="22"/>
          <w:lang w:val="en-ZA" w:eastAsia="en-US"/>
        </w:rPr>
        <w:t>)</w:t>
      </w:r>
      <w:r w:rsidR="00266F41">
        <w:rPr>
          <w:iCs/>
          <w:sz w:val="22"/>
          <w:szCs w:val="22"/>
          <w:lang w:val="en-ZA" w:eastAsia="en-US"/>
        </w:rPr>
        <w:t>,</w:t>
      </w:r>
      <w:r w:rsidRPr="00C2518C">
        <w:rPr>
          <w:iCs/>
          <w:sz w:val="22"/>
          <w:szCs w:val="22"/>
          <w:lang w:val="en-ZA" w:eastAsia="en-US"/>
        </w:rPr>
        <w:t xml:space="preserve"> within 75 kilometres of the first applicant’s premises, for a period until the end of March 2023, or the final closing date for the submission of tenders for the 2023 Bridgestone tyre logistics contract, whiche</w:t>
      </w:r>
      <w:r w:rsidR="00BB3F11">
        <w:rPr>
          <w:iCs/>
          <w:sz w:val="22"/>
          <w:szCs w:val="22"/>
          <w:lang w:val="en-ZA" w:eastAsia="en-US"/>
        </w:rPr>
        <w:t>ver is the earlier (the “restricted period”</w:t>
      </w:r>
      <w:r w:rsidRPr="00C2518C">
        <w:rPr>
          <w:iCs/>
          <w:sz w:val="22"/>
          <w:szCs w:val="22"/>
          <w:lang w:val="en-ZA" w:eastAsia="en-US"/>
        </w:rPr>
        <w:t>).</w:t>
      </w:r>
    </w:p>
    <w:p w14:paraId="30E2FE76" w14:textId="68B55BC0" w:rsidR="00C2518C" w:rsidRDefault="00BB3F11" w:rsidP="00114C11">
      <w:pPr>
        <w:spacing w:line="360" w:lineRule="auto"/>
        <w:ind w:left="567" w:hanging="567"/>
        <w:jc w:val="both"/>
        <w:rPr>
          <w:iCs/>
          <w:sz w:val="22"/>
          <w:szCs w:val="22"/>
          <w:lang w:val="en-ZA" w:eastAsia="en-US"/>
        </w:rPr>
      </w:pPr>
      <w:r>
        <w:rPr>
          <w:iCs/>
          <w:sz w:val="22"/>
          <w:szCs w:val="22"/>
          <w:lang w:val="en-ZA" w:eastAsia="en-US"/>
        </w:rPr>
        <w:t>(</w:t>
      </w:r>
      <w:r w:rsidR="00C2518C" w:rsidRPr="00BB3F11">
        <w:rPr>
          <w:iCs/>
          <w:sz w:val="22"/>
          <w:szCs w:val="22"/>
          <w:lang w:val="en-ZA" w:eastAsia="en-US"/>
        </w:rPr>
        <w:t>2</w:t>
      </w:r>
      <w:r w:rsidR="00114C11">
        <w:rPr>
          <w:iCs/>
          <w:sz w:val="22"/>
          <w:szCs w:val="22"/>
          <w:lang w:val="en-ZA" w:eastAsia="en-US"/>
        </w:rPr>
        <w:t>)</w:t>
      </w:r>
      <w:r w:rsidR="00114C11">
        <w:rPr>
          <w:iCs/>
          <w:sz w:val="22"/>
          <w:szCs w:val="22"/>
          <w:lang w:val="en-ZA" w:eastAsia="en-US"/>
        </w:rPr>
        <w:tab/>
      </w:r>
      <w:r w:rsidR="00C2518C" w:rsidRPr="00BB3F11">
        <w:rPr>
          <w:iCs/>
          <w:sz w:val="22"/>
          <w:szCs w:val="22"/>
          <w:lang w:val="en-ZA" w:eastAsia="en-US"/>
        </w:rPr>
        <w:t>Throughout the duration of the restricted period, the applicants must, from the date of this order, pay the first respondent his monthly salary (as it was at April 2022, less lawful deductions) every month, on the date he would normally be paid if he had continued to work for the first applicant. Provided, should the first respondent obtain new employment during this period, with a non-restrained employer, the obligation to pay him in terms of this clause will cease.</w:t>
      </w:r>
    </w:p>
    <w:p w14:paraId="77EC7EE3" w14:textId="3F19712F" w:rsidR="00C2518C" w:rsidRPr="00BB3F11" w:rsidRDefault="00BB3F11" w:rsidP="00114C11">
      <w:pPr>
        <w:spacing w:line="360" w:lineRule="auto"/>
        <w:ind w:left="567" w:hanging="567"/>
        <w:jc w:val="both"/>
        <w:rPr>
          <w:color w:val="000000"/>
          <w:sz w:val="22"/>
          <w:szCs w:val="22"/>
        </w:rPr>
      </w:pPr>
      <w:r>
        <w:rPr>
          <w:iCs/>
          <w:sz w:val="22"/>
          <w:szCs w:val="22"/>
          <w:lang w:val="en-ZA" w:eastAsia="en-US"/>
        </w:rPr>
        <w:t>(3)</w:t>
      </w:r>
      <w:r>
        <w:rPr>
          <w:iCs/>
          <w:sz w:val="22"/>
          <w:szCs w:val="22"/>
          <w:lang w:val="en-ZA" w:eastAsia="en-US"/>
        </w:rPr>
        <w:tab/>
      </w:r>
      <w:r w:rsidR="00C2518C" w:rsidRPr="00BB3F11">
        <w:rPr>
          <w:iCs/>
          <w:sz w:val="22"/>
          <w:szCs w:val="22"/>
          <w:lang w:val="en-ZA" w:eastAsia="en-US"/>
        </w:rPr>
        <w:t>The second respondent is interdicted and restrained from employing the applicant during the restricted period.</w:t>
      </w:r>
    </w:p>
    <w:p w14:paraId="38F25A98" w14:textId="3B5444FF" w:rsidR="00C2518C" w:rsidRPr="00114C11" w:rsidRDefault="00114C11" w:rsidP="00114C11">
      <w:pPr>
        <w:spacing w:after="120" w:line="360" w:lineRule="auto"/>
        <w:ind w:left="567" w:hanging="567"/>
        <w:jc w:val="both"/>
        <w:rPr>
          <w:color w:val="000000"/>
          <w:sz w:val="22"/>
          <w:szCs w:val="22"/>
        </w:rPr>
      </w:pPr>
      <w:r>
        <w:rPr>
          <w:iCs/>
          <w:sz w:val="22"/>
          <w:szCs w:val="22"/>
          <w:lang w:val="en-ZA" w:eastAsia="en-US"/>
        </w:rPr>
        <w:t>(4)</w:t>
      </w:r>
      <w:r>
        <w:rPr>
          <w:iCs/>
          <w:sz w:val="22"/>
          <w:szCs w:val="22"/>
          <w:lang w:val="en-ZA" w:eastAsia="en-US"/>
        </w:rPr>
        <w:tab/>
      </w:r>
      <w:r w:rsidR="00C2518C" w:rsidRPr="00114C11">
        <w:rPr>
          <w:iCs/>
          <w:sz w:val="22"/>
          <w:szCs w:val="22"/>
          <w:lang w:val="en-ZA" w:eastAsia="en-US"/>
        </w:rPr>
        <w:t>The respondents, jointly and severally, the one paying the other to be absolved, are liable for half the costs of the app</w:t>
      </w:r>
      <w:r>
        <w:rPr>
          <w:iCs/>
          <w:sz w:val="22"/>
          <w:szCs w:val="22"/>
          <w:lang w:val="en-ZA" w:eastAsia="en-US"/>
        </w:rPr>
        <w:t>licants, including two counsel.’</w:t>
      </w:r>
    </w:p>
    <w:p w14:paraId="448A49B1" w14:textId="35D12B69" w:rsidR="00C2518C" w:rsidRPr="00BB3F11" w:rsidRDefault="00114C11" w:rsidP="00B409E1">
      <w:pPr>
        <w:pStyle w:val="ListParagraph"/>
        <w:numPr>
          <w:ilvl w:val="0"/>
          <w:numId w:val="5"/>
        </w:numPr>
        <w:tabs>
          <w:tab w:val="clear" w:pos="567"/>
        </w:tabs>
        <w:spacing w:line="360" w:lineRule="auto"/>
        <w:ind w:left="0" w:firstLine="0"/>
        <w:jc w:val="both"/>
        <w:rPr>
          <w:color w:val="000000"/>
          <w:sz w:val="22"/>
          <w:szCs w:val="22"/>
        </w:rPr>
      </w:pPr>
      <w:r>
        <w:rPr>
          <w:lang w:val="en-ZA"/>
        </w:rPr>
        <w:t xml:space="preserve">The court </w:t>
      </w:r>
      <w:r w:rsidRPr="00114C11">
        <w:rPr>
          <w:i/>
          <w:lang w:val="en-ZA"/>
        </w:rPr>
        <w:t>a quo</w:t>
      </w:r>
      <w:r w:rsidR="00C2518C" w:rsidRPr="00BB3F11">
        <w:rPr>
          <w:lang w:val="en-ZA"/>
        </w:rPr>
        <w:t xml:space="preserve"> subsequently granted the applicants and the respondents limited leave to appeal and cross-appeal against same, in the following terms:</w:t>
      </w:r>
    </w:p>
    <w:p w14:paraId="0839E84A" w14:textId="16E18917" w:rsidR="00C2518C" w:rsidRPr="00B409E1" w:rsidRDefault="00B409E1" w:rsidP="00B409E1">
      <w:pPr>
        <w:pStyle w:val="ListParagraph"/>
        <w:spacing w:line="360" w:lineRule="auto"/>
        <w:ind w:left="567" w:hanging="567"/>
        <w:jc w:val="both"/>
        <w:rPr>
          <w:color w:val="000000"/>
          <w:sz w:val="22"/>
          <w:szCs w:val="22"/>
        </w:rPr>
      </w:pPr>
      <w:r w:rsidRPr="00B409E1">
        <w:rPr>
          <w:iCs/>
          <w:sz w:val="22"/>
          <w:szCs w:val="22"/>
          <w:lang w:val="en-ZA"/>
        </w:rPr>
        <w:t>‘(1)</w:t>
      </w:r>
      <w:r w:rsidRPr="00B409E1">
        <w:rPr>
          <w:iCs/>
          <w:sz w:val="22"/>
          <w:szCs w:val="22"/>
          <w:lang w:val="en-ZA"/>
        </w:rPr>
        <w:tab/>
      </w:r>
      <w:r w:rsidR="00C2518C" w:rsidRPr="00B409E1">
        <w:rPr>
          <w:iCs/>
          <w:sz w:val="22"/>
          <w:szCs w:val="22"/>
          <w:lang w:val="en-ZA"/>
        </w:rPr>
        <w:t xml:space="preserve">Leave to appeal </w:t>
      </w:r>
      <w:r w:rsidR="0063615E">
        <w:rPr>
          <w:iCs/>
          <w:sz w:val="22"/>
          <w:szCs w:val="22"/>
          <w:lang w:val="en-ZA"/>
        </w:rPr>
        <w:t xml:space="preserve">is granted </w:t>
      </w:r>
      <w:r w:rsidR="00C2518C" w:rsidRPr="00B409E1">
        <w:rPr>
          <w:iCs/>
          <w:sz w:val="22"/>
          <w:szCs w:val="22"/>
          <w:lang w:val="en-ZA"/>
        </w:rPr>
        <w:t>to the applicants in respect of the duration period set out in paragraph 1 of the order and in respect of the payment obligations set out in paragraph 2 of the order, but only insofar as the period of the restraint may be found to extend beyond the period for which the applicant had originally tendered payment for.</w:t>
      </w:r>
    </w:p>
    <w:p w14:paraId="30912252" w14:textId="59C91772" w:rsidR="00C2518C" w:rsidRPr="00B409E1" w:rsidRDefault="00C2518C" w:rsidP="00B409E1">
      <w:pPr>
        <w:pStyle w:val="ListParagraph"/>
        <w:spacing w:line="360" w:lineRule="auto"/>
        <w:ind w:left="567" w:hanging="567"/>
        <w:jc w:val="both"/>
        <w:rPr>
          <w:color w:val="000000"/>
          <w:sz w:val="22"/>
          <w:szCs w:val="22"/>
        </w:rPr>
      </w:pPr>
      <w:r w:rsidRPr="00B409E1">
        <w:rPr>
          <w:b/>
          <w:iCs/>
          <w:sz w:val="22"/>
          <w:szCs w:val="22"/>
          <w:lang w:val="en-ZA"/>
        </w:rPr>
        <w:t>Leave to cross-appeal</w:t>
      </w:r>
    </w:p>
    <w:p w14:paraId="4ADE698C" w14:textId="51201D16" w:rsidR="00C2518C" w:rsidRPr="00B409E1" w:rsidRDefault="00B409E1" w:rsidP="00B409E1">
      <w:pPr>
        <w:pStyle w:val="ListParagraph"/>
        <w:spacing w:line="360" w:lineRule="auto"/>
        <w:ind w:left="567" w:hanging="567"/>
        <w:jc w:val="both"/>
        <w:rPr>
          <w:color w:val="000000"/>
          <w:sz w:val="22"/>
          <w:szCs w:val="22"/>
        </w:rPr>
      </w:pPr>
      <w:r w:rsidRPr="00B409E1">
        <w:rPr>
          <w:iCs/>
          <w:sz w:val="22"/>
          <w:szCs w:val="22"/>
          <w:lang w:val="en-ZA"/>
        </w:rPr>
        <w:t>(2)</w:t>
      </w:r>
      <w:r w:rsidRPr="00B409E1">
        <w:rPr>
          <w:iCs/>
          <w:sz w:val="22"/>
          <w:szCs w:val="22"/>
          <w:lang w:val="en-ZA"/>
        </w:rPr>
        <w:tab/>
      </w:r>
      <w:bookmarkStart w:id="1" w:name="_Hlk112787252"/>
      <w:r w:rsidR="00C2518C" w:rsidRPr="00B409E1">
        <w:rPr>
          <w:iCs/>
          <w:sz w:val="22"/>
          <w:szCs w:val="22"/>
          <w:lang w:val="en-ZA"/>
        </w:rPr>
        <w:t>Leave to cross-appeal is granted to the respondents in respect of paragraphs 1 and 2 of my order to contend that the restraint is no longer binding on the first respondent, insofar as it relates to the issue of the proper pleading and interpretation of clause 15.1.2 of the employment contract, between the first applicant and the first respondent</w:t>
      </w:r>
      <w:bookmarkEnd w:id="1"/>
      <w:r w:rsidR="00C2518C" w:rsidRPr="00B409E1">
        <w:rPr>
          <w:iCs/>
          <w:sz w:val="22"/>
          <w:szCs w:val="22"/>
          <w:lang w:val="en-ZA"/>
        </w:rPr>
        <w:t>.</w:t>
      </w:r>
    </w:p>
    <w:p w14:paraId="5183FDD2" w14:textId="636F13B1" w:rsidR="00C2518C" w:rsidRDefault="00B409E1" w:rsidP="00B409E1">
      <w:pPr>
        <w:pStyle w:val="ListParagraph"/>
        <w:spacing w:line="360" w:lineRule="auto"/>
        <w:ind w:left="567" w:hanging="567"/>
        <w:jc w:val="both"/>
        <w:rPr>
          <w:iCs/>
          <w:sz w:val="22"/>
          <w:szCs w:val="22"/>
          <w:lang w:val="en-ZA"/>
        </w:rPr>
      </w:pPr>
      <w:r w:rsidRPr="00B409E1">
        <w:rPr>
          <w:iCs/>
          <w:sz w:val="22"/>
          <w:szCs w:val="22"/>
          <w:lang w:val="en-ZA"/>
        </w:rPr>
        <w:t>(3)</w:t>
      </w:r>
      <w:r w:rsidRPr="00B409E1">
        <w:rPr>
          <w:iCs/>
          <w:sz w:val="22"/>
          <w:szCs w:val="22"/>
          <w:lang w:val="en-ZA"/>
        </w:rPr>
        <w:tab/>
      </w:r>
      <w:r w:rsidR="00C2518C" w:rsidRPr="00B409E1">
        <w:rPr>
          <w:iCs/>
          <w:sz w:val="22"/>
          <w:szCs w:val="22"/>
          <w:lang w:val="en-ZA"/>
        </w:rPr>
        <w:t>Leave to appeal in respect of the joinder of the second respondent is refused.</w:t>
      </w:r>
    </w:p>
    <w:p w14:paraId="3753670F" w14:textId="048A20FD" w:rsidR="0063615E" w:rsidRPr="0063615E" w:rsidRDefault="0063615E" w:rsidP="00B409E1">
      <w:pPr>
        <w:pStyle w:val="ListParagraph"/>
        <w:spacing w:line="360" w:lineRule="auto"/>
        <w:ind w:left="567" w:hanging="567"/>
        <w:jc w:val="both"/>
        <w:rPr>
          <w:b/>
          <w:color w:val="000000"/>
          <w:sz w:val="22"/>
          <w:szCs w:val="22"/>
        </w:rPr>
      </w:pPr>
      <w:r w:rsidRPr="0063615E">
        <w:rPr>
          <w:b/>
          <w:iCs/>
          <w:sz w:val="22"/>
          <w:szCs w:val="22"/>
          <w:lang w:val="en-ZA"/>
        </w:rPr>
        <w:t>Costs</w:t>
      </w:r>
    </w:p>
    <w:p w14:paraId="4FAD3296" w14:textId="3238C67D" w:rsidR="00C2518C" w:rsidRPr="00B409E1" w:rsidRDefault="00B409E1" w:rsidP="00B409E1">
      <w:pPr>
        <w:pStyle w:val="ListParagraph"/>
        <w:spacing w:line="360" w:lineRule="auto"/>
        <w:ind w:left="567" w:hanging="567"/>
        <w:jc w:val="both"/>
        <w:rPr>
          <w:color w:val="000000"/>
          <w:sz w:val="22"/>
          <w:szCs w:val="22"/>
        </w:rPr>
      </w:pPr>
      <w:r w:rsidRPr="00B409E1">
        <w:rPr>
          <w:iCs/>
          <w:sz w:val="22"/>
          <w:szCs w:val="22"/>
          <w:lang w:val="en-ZA"/>
        </w:rPr>
        <w:t>(4)</w:t>
      </w:r>
      <w:r w:rsidRPr="00B409E1">
        <w:rPr>
          <w:iCs/>
          <w:sz w:val="22"/>
          <w:szCs w:val="22"/>
          <w:lang w:val="en-ZA"/>
        </w:rPr>
        <w:tab/>
      </w:r>
      <w:r w:rsidR="0063615E">
        <w:rPr>
          <w:iCs/>
          <w:sz w:val="22"/>
          <w:szCs w:val="22"/>
          <w:lang w:val="en-ZA"/>
        </w:rPr>
        <w:t>L</w:t>
      </w:r>
      <w:r w:rsidR="00C2518C" w:rsidRPr="00B409E1">
        <w:rPr>
          <w:iCs/>
          <w:sz w:val="22"/>
          <w:szCs w:val="22"/>
          <w:lang w:val="en-ZA"/>
        </w:rPr>
        <w:t>eave to appeal and cross-appeal are granted in respect of the cost</w:t>
      </w:r>
      <w:r w:rsidR="0063615E">
        <w:rPr>
          <w:iCs/>
          <w:sz w:val="22"/>
          <w:szCs w:val="22"/>
          <w:lang w:val="en-ZA"/>
        </w:rPr>
        <w:t>s</w:t>
      </w:r>
      <w:r w:rsidR="00C2518C" w:rsidRPr="00B409E1">
        <w:rPr>
          <w:iCs/>
          <w:sz w:val="22"/>
          <w:szCs w:val="22"/>
          <w:lang w:val="en-ZA"/>
        </w:rPr>
        <w:t xml:space="preserve"> awards contained in paragraph 4 of my order.</w:t>
      </w:r>
    </w:p>
    <w:p w14:paraId="427A8167" w14:textId="48D585B2" w:rsidR="00C2518C" w:rsidRPr="00B409E1" w:rsidRDefault="00B409E1" w:rsidP="00B409E1">
      <w:pPr>
        <w:pStyle w:val="ListParagraph"/>
        <w:spacing w:after="120" w:line="360" w:lineRule="auto"/>
        <w:ind w:left="567" w:hanging="567"/>
        <w:jc w:val="both"/>
        <w:rPr>
          <w:color w:val="000000"/>
          <w:sz w:val="22"/>
          <w:szCs w:val="22"/>
        </w:rPr>
      </w:pPr>
      <w:r w:rsidRPr="00B409E1">
        <w:rPr>
          <w:iCs/>
          <w:sz w:val="22"/>
          <w:szCs w:val="22"/>
          <w:lang w:val="en-ZA"/>
        </w:rPr>
        <w:t>(</w:t>
      </w:r>
      <w:r w:rsidR="00C2518C" w:rsidRPr="00B409E1">
        <w:rPr>
          <w:iCs/>
          <w:sz w:val="22"/>
          <w:szCs w:val="22"/>
          <w:lang w:val="en-ZA"/>
        </w:rPr>
        <w:t>5</w:t>
      </w:r>
      <w:r w:rsidRPr="00B409E1">
        <w:rPr>
          <w:iCs/>
          <w:sz w:val="22"/>
          <w:szCs w:val="22"/>
          <w:lang w:val="en-ZA"/>
        </w:rPr>
        <w:t>)</w:t>
      </w:r>
      <w:r w:rsidRPr="00B409E1">
        <w:rPr>
          <w:iCs/>
          <w:sz w:val="22"/>
          <w:szCs w:val="22"/>
          <w:lang w:val="en-ZA"/>
        </w:rPr>
        <w:tab/>
      </w:r>
      <w:r w:rsidR="00C2518C" w:rsidRPr="00B409E1">
        <w:rPr>
          <w:iCs/>
          <w:sz w:val="22"/>
          <w:szCs w:val="22"/>
          <w:lang w:val="en-ZA"/>
        </w:rPr>
        <w:t>Costs of these applications for leave to appeal and cross-appeal are to be costs in the resp</w:t>
      </w:r>
      <w:r w:rsidRPr="00B409E1">
        <w:rPr>
          <w:iCs/>
          <w:sz w:val="22"/>
          <w:szCs w:val="22"/>
          <w:lang w:val="en-ZA"/>
        </w:rPr>
        <w:t>ective appeal and cross-appeal.’</w:t>
      </w:r>
    </w:p>
    <w:p w14:paraId="5DEE6B0D" w14:textId="77777777" w:rsidR="009F16B1" w:rsidRPr="009F16B1" w:rsidRDefault="00C2518C" w:rsidP="0063615E">
      <w:pPr>
        <w:pStyle w:val="ListParagraph"/>
        <w:numPr>
          <w:ilvl w:val="0"/>
          <w:numId w:val="5"/>
        </w:numPr>
        <w:tabs>
          <w:tab w:val="clear" w:pos="567"/>
        </w:tabs>
        <w:spacing w:line="360" w:lineRule="auto"/>
        <w:ind w:left="0" w:firstLine="0"/>
        <w:jc w:val="both"/>
        <w:rPr>
          <w:color w:val="000000"/>
        </w:rPr>
      </w:pPr>
      <w:r w:rsidRPr="009F16B1">
        <w:rPr>
          <w:lang w:val="en-ZA"/>
        </w:rPr>
        <w:lastRenderedPageBreak/>
        <w:t>On 4 July 2022 Manoim J granted a supplementary order in respect of the leave to appeal and cross-appeal, directing that same should be supplemented by an additional clause 6, reading as follows:</w:t>
      </w:r>
    </w:p>
    <w:p w14:paraId="788BF3B8" w14:textId="47D12ACE" w:rsidR="00C2518C" w:rsidRPr="0063615E" w:rsidRDefault="0063615E" w:rsidP="0063615E">
      <w:pPr>
        <w:pStyle w:val="ListParagraph"/>
        <w:spacing w:after="120" w:line="360" w:lineRule="auto"/>
        <w:ind w:left="567" w:hanging="567"/>
        <w:jc w:val="both"/>
        <w:rPr>
          <w:color w:val="000000"/>
          <w:sz w:val="22"/>
          <w:szCs w:val="22"/>
        </w:rPr>
      </w:pPr>
      <w:r>
        <w:rPr>
          <w:sz w:val="22"/>
          <w:szCs w:val="22"/>
          <w:lang w:val="en-ZA"/>
        </w:rPr>
        <w:t>‘(6)</w:t>
      </w:r>
      <w:r>
        <w:rPr>
          <w:sz w:val="22"/>
          <w:szCs w:val="22"/>
          <w:lang w:val="en-ZA"/>
        </w:rPr>
        <w:tab/>
      </w:r>
      <w:r w:rsidR="00C2518C" w:rsidRPr="0063615E">
        <w:rPr>
          <w:iCs/>
          <w:color w:val="151515"/>
          <w:sz w:val="22"/>
          <w:szCs w:val="22"/>
          <w:lang w:val="en-ZA" w:eastAsia="en-US"/>
        </w:rPr>
        <w:t xml:space="preserve">Leave to appeal and the leave to cross appeal </w:t>
      </w:r>
      <w:r w:rsidR="00643A7D">
        <w:rPr>
          <w:iCs/>
          <w:color w:val="151515"/>
          <w:sz w:val="22"/>
          <w:szCs w:val="22"/>
          <w:lang w:val="en-ZA" w:eastAsia="en-US"/>
        </w:rPr>
        <w:t>are</w:t>
      </w:r>
      <w:r w:rsidR="00C2518C" w:rsidRPr="0063615E">
        <w:rPr>
          <w:iCs/>
          <w:color w:val="151515"/>
          <w:sz w:val="22"/>
          <w:szCs w:val="22"/>
          <w:lang w:val="en-ZA" w:eastAsia="en-US"/>
        </w:rPr>
        <w:t xml:space="preserve"> granted to the Full Bench of the Gauteng Division.</w:t>
      </w:r>
      <w:r>
        <w:rPr>
          <w:color w:val="151515"/>
          <w:sz w:val="22"/>
          <w:szCs w:val="22"/>
          <w:lang w:val="en-ZA" w:eastAsia="en-US"/>
        </w:rPr>
        <w:t>’</w:t>
      </w:r>
    </w:p>
    <w:p w14:paraId="2C11E2F7" w14:textId="5DC8A6B5"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 xml:space="preserve">The matter came before Manoim J as an urgent application to enforce the restraint between the </w:t>
      </w:r>
      <w:r w:rsidR="00231AEC">
        <w:rPr>
          <w:lang w:val="en-ZA"/>
        </w:rPr>
        <w:t>appellant</w:t>
      </w:r>
      <w:r w:rsidRPr="009F16B1">
        <w:rPr>
          <w:lang w:val="en-ZA"/>
        </w:rPr>
        <w:t xml:space="preserve"> companies, their erstwhile employee (</w:t>
      </w:r>
      <w:r w:rsidR="00231AEC">
        <w:rPr>
          <w:lang w:val="en-ZA"/>
        </w:rPr>
        <w:t xml:space="preserve">Oosthuizen) </w:t>
      </w:r>
      <w:r w:rsidRPr="009F16B1">
        <w:rPr>
          <w:lang w:val="en-ZA"/>
        </w:rPr>
        <w:t xml:space="preserve">and </w:t>
      </w:r>
      <w:r w:rsidR="00231AEC">
        <w:rPr>
          <w:lang w:val="en-ZA"/>
        </w:rPr>
        <w:t>his</w:t>
      </w:r>
      <w:r w:rsidRPr="009F16B1">
        <w:rPr>
          <w:lang w:val="en-ZA"/>
        </w:rPr>
        <w:t xml:space="preserve"> new employer (</w:t>
      </w:r>
      <w:r w:rsidR="00231AEC">
        <w:rPr>
          <w:lang w:val="en-ZA"/>
        </w:rPr>
        <w:t>Savino</w:t>
      </w:r>
      <w:r w:rsidRPr="009F16B1">
        <w:rPr>
          <w:lang w:val="en-ZA"/>
        </w:rPr>
        <w:t xml:space="preserve">). </w:t>
      </w:r>
    </w:p>
    <w:p w14:paraId="453CE0CB" w14:textId="6CD5D917"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The Value Group of Companies and Savino both provide distribution and warehousing services (logistics) to major tyre manufacturers. It is common cause that the Value Group of Companies are competitors in the logistics market and Oosthuizen is an erstwhile employee of both the applicants and is now employed by Savino.</w:t>
      </w:r>
    </w:p>
    <w:p w14:paraId="4B889507" w14:textId="3171AF7A" w:rsidR="00C2518C" w:rsidRPr="009F16B1" w:rsidRDefault="0063615E" w:rsidP="007D6686">
      <w:pPr>
        <w:pStyle w:val="ListParagraph"/>
        <w:numPr>
          <w:ilvl w:val="0"/>
          <w:numId w:val="5"/>
        </w:numPr>
        <w:tabs>
          <w:tab w:val="clear" w:pos="567"/>
        </w:tabs>
        <w:spacing w:after="240" w:line="360" w:lineRule="auto"/>
        <w:ind w:left="0" w:firstLine="0"/>
        <w:jc w:val="both"/>
        <w:rPr>
          <w:color w:val="000000"/>
        </w:rPr>
      </w:pPr>
      <w:r>
        <w:rPr>
          <w:lang w:val="en-ZA"/>
        </w:rPr>
        <w:t xml:space="preserve">The court </w:t>
      </w:r>
      <w:r w:rsidRPr="0063615E">
        <w:rPr>
          <w:i/>
          <w:lang w:val="en-ZA"/>
        </w:rPr>
        <w:t>a quo</w:t>
      </w:r>
      <w:r w:rsidR="00C2518C" w:rsidRPr="009F16B1">
        <w:rPr>
          <w:lang w:val="en-ZA"/>
        </w:rPr>
        <w:t xml:space="preserve"> found the matter to be urgent and thereafter it followed the route of an urgent application and was dealt with </w:t>
      </w:r>
      <w:r w:rsidR="007D6686">
        <w:rPr>
          <w:lang w:val="en-ZA"/>
        </w:rPr>
        <w:t xml:space="preserve">in </w:t>
      </w:r>
      <w:r w:rsidR="00C2518C" w:rsidRPr="009F16B1">
        <w:rPr>
          <w:lang w:val="en-ZA"/>
        </w:rPr>
        <w:t>that way and also comes before this court as an urgent appeal to the judgment.</w:t>
      </w:r>
    </w:p>
    <w:p w14:paraId="51C9F9BF" w14:textId="34406E10" w:rsidR="00C2518C" w:rsidRPr="009F16B1" w:rsidRDefault="007D6686" w:rsidP="007D6686">
      <w:pPr>
        <w:pStyle w:val="ListParagraph"/>
        <w:spacing w:after="120" w:line="360" w:lineRule="auto"/>
        <w:ind w:left="0"/>
        <w:jc w:val="both"/>
        <w:rPr>
          <w:color w:val="000000"/>
        </w:rPr>
      </w:pPr>
      <w:r w:rsidRPr="009F16B1">
        <w:rPr>
          <w:b/>
          <w:bCs/>
          <w:lang w:val="en-ZA"/>
        </w:rPr>
        <w:t xml:space="preserve">Condonation </w:t>
      </w:r>
      <w:r>
        <w:rPr>
          <w:b/>
          <w:bCs/>
          <w:lang w:val="en-ZA"/>
        </w:rPr>
        <w:t>for the</w:t>
      </w:r>
      <w:r w:rsidRPr="009F16B1">
        <w:rPr>
          <w:b/>
          <w:bCs/>
          <w:lang w:val="en-ZA"/>
        </w:rPr>
        <w:t xml:space="preserve"> Late Filing </w:t>
      </w:r>
      <w:r>
        <w:rPr>
          <w:b/>
          <w:bCs/>
          <w:lang w:val="en-ZA"/>
        </w:rPr>
        <w:t>of</w:t>
      </w:r>
      <w:r w:rsidRPr="009F16B1">
        <w:rPr>
          <w:b/>
          <w:bCs/>
          <w:lang w:val="en-ZA"/>
        </w:rPr>
        <w:t xml:space="preserve"> </w:t>
      </w:r>
      <w:r>
        <w:rPr>
          <w:b/>
          <w:bCs/>
          <w:lang w:val="en-ZA"/>
        </w:rPr>
        <w:t>the Notice to</w:t>
      </w:r>
      <w:r w:rsidRPr="009F16B1">
        <w:rPr>
          <w:b/>
          <w:bCs/>
          <w:lang w:val="en-ZA"/>
        </w:rPr>
        <w:t xml:space="preserve"> Cross-Appeal</w:t>
      </w:r>
    </w:p>
    <w:p w14:paraId="4C7EE3CF" w14:textId="7201B906"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Despite the fact that leave to cross-appeal was granted</w:t>
      </w:r>
      <w:r w:rsidR="007D6686">
        <w:rPr>
          <w:lang w:val="en-ZA"/>
        </w:rPr>
        <w:t>,</w:t>
      </w:r>
      <w:r w:rsidRPr="009F16B1">
        <w:rPr>
          <w:lang w:val="en-ZA"/>
        </w:rPr>
        <w:t xml:space="preserve"> the cross-appeal was not filed timeously. The reasons therefore are set out in an application for condonation of the respondents’ non-compliance with Uniform Rule 49(3).</w:t>
      </w:r>
    </w:p>
    <w:p w14:paraId="3AF66AB8" w14:textId="708DD748"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 xml:space="preserve">The late filing of the cross-appeal appears to be due to the initial omission in the order of the court </w:t>
      </w:r>
      <w:r w:rsidRPr="007D6686">
        <w:rPr>
          <w:i/>
          <w:lang w:val="en-ZA"/>
        </w:rPr>
        <w:t>a quo</w:t>
      </w:r>
      <w:r w:rsidRPr="009F16B1">
        <w:rPr>
          <w:lang w:val="en-ZA"/>
        </w:rPr>
        <w:t xml:space="preserve"> for leave to appeal to indicate to which court the appeals lie and</w:t>
      </w:r>
      <w:r w:rsidR="007D6686">
        <w:rPr>
          <w:lang w:val="en-ZA"/>
        </w:rPr>
        <w:t xml:space="preserve"> an initial decision to launch ‘a petition’</w:t>
      </w:r>
      <w:r w:rsidRPr="009F16B1">
        <w:rPr>
          <w:lang w:val="en-ZA"/>
        </w:rPr>
        <w:t xml:space="preserve"> to the Supreme Court of Appeal. </w:t>
      </w:r>
    </w:p>
    <w:p w14:paraId="1A68EB9D" w14:textId="3765F213"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 xml:space="preserve">When the </w:t>
      </w:r>
      <w:r w:rsidR="007D6686">
        <w:rPr>
          <w:lang w:val="en-ZA"/>
        </w:rPr>
        <w:t>Honourable Deputy Judge Preside</w:t>
      </w:r>
      <w:r w:rsidR="005C6D0D">
        <w:rPr>
          <w:lang w:val="en-ZA"/>
        </w:rPr>
        <w:t>nt</w:t>
      </w:r>
      <w:r w:rsidR="007D6686">
        <w:rPr>
          <w:lang w:val="en-ZA"/>
        </w:rPr>
        <w:t xml:space="preserve"> of this Court</w:t>
      </w:r>
      <w:r w:rsidRPr="009F16B1">
        <w:rPr>
          <w:lang w:val="en-ZA"/>
        </w:rPr>
        <w:t xml:space="preserve"> directed that the appeal and cross-appeal </w:t>
      </w:r>
      <w:r w:rsidR="007D6686">
        <w:rPr>
          <w:lang w:val="en-ZA"/>
        </w:rPr>
        <w:t>be</w:t>
      </w:r>
      <w:r w:rsidRPr="009F16B1">
        <w:rPr>
          <w:lang w:val="en-ZA"/>
        </w:rPr>
        <w:t xml:space="preserve"> enrolled for 31 August 2022, and that a notice of set-down and heads of argument should be served and uploaded to </w:t>
      </w:r>
      <w:r w:rsidR="007D6686" w:rsidRPr="007D6686">
        <w:rPr>
          <w:i/>
          <w:lang w:val="en-ZA"/>
        </w:rPr>
        <w:t>CaseLines</w:t>
      </w:r>
      <w:r w:rsidRPr="009F16B1">
        <w:rPr>
          <w:lang w:val="en-ZA"/>
        </w:rPr>
        <w:t xml:space="preserve"> before noon on 5 August 2022, notwithstanding the fact that no cross-appeal had been filed as yet, and did not direct the respondents to do so, the respondents </w:t>
      </w:r>
      <w:r w:rsidR="005C6D0D">
        <w:rPr>
          <w:lang w:val="en-ZA"/>
        </w:rPr>
        <w:lastRenderedPageBreak/>
        <w:t xml:space="preserve">assumed </w:t>
      </w:r>
      <w:r w:rsidRPr="009F16B1">
        <w:rPr>
          <w:lang w:val="en-ZA"/>
        </w:rPr>
        <w:t>that both the appeal and the cross-appeal had been properly noted as per the DJP’s directions.</w:t>
      </w:r>
    </w:p>
    <w:p w14:paraId="4623A68C" w14:textId="581B62DC" w:rsidR="00C2518C" w:rsidRPr="009F16B1" w:rsidRDefault="005C6D0D" w:rsidP="009F16B1">
      <w:pPr>
        <w:pStyle w:val="ListParagraph"/>
        <w:numPr>
          <w:ilvl w:val="0"/>
          <w:numId w:val="5"/>
        </w:numPr>
        <w:tabs>
          <w:tab w:val="clear" w:pos="567"/>
        </w:tabs>
        <w:spacing w:after="120" w:line="360" w:lineRule="auto"/>
        <w:ind w:left="0" w:firstLine="0"/>
        <w:jc w:val="both"/>
        <w:rPr>
          <w:color w:val="000000"/>
        </w:rPr>
      </w:pPr>
      <w:r>
        <w:rPr>
          <w:lang w:val="en-ZA"/>
        </w:rPr>
        <w:t>There is no prejudice to the a</w:t>
      </w:r>
      <w:r w:rsidR="00C2518C" w:rsidRPr="009F16B1">
        <w:rPr>
          <w:lang w:val="en-ZA"/>
        </w:rPr>
        <w:t>ppellants and the heads on behalf of the respondents were filed timeously. Given the importance of the existence of the restraint to Oosthuizen and Savino</w:t>
      </w:r>
      <w:r>
        <w:rPr>
          <w:lang w:val="en-ZA"/>
        </w:rPr>
        <w:t>,</w:t>
      </w:r>
      <w:r w:rsidR="00C2518C" w:rsidRPr="009F16B1">
        <w:rPr>
          <w:lang w:val="en-ZA"/>
        </w:rPr>
        <w:t xml:space="preserve"> we are of the view that condonation</w:t>
      </w:r>
      <w:r w:rsidR="00343A59">
        <w:rPr>
          <w:lang w:val="en-ZA"/>
        </w:rPr>
        <w:t xml:space="preserve"> should be granted</w:t>
      </w:r>
      <w:r w:rsidR="00C2518C" w:rsidRPr="009F16B1">
        <w:rPr>
          <w:lang w:val="en-ZA"/>
        </w:rPr>
        <w:t>.</w:t>
      </w:r>
      <w:r>
        <w:rPr>
          <w:lang w:val="en-ZA"/>
        </w:rPr>
        <w:t xml:space="preserve"> Such condonation is therefore granted.</w:t>
      </w:r>
    </w:p>
    <w:p w14:paraId="715AB9D9" w14:textId="08E54056" w:rsidR="00C2518C" w:rsidRPr="005C6D0D" w:rsidRDefault="00C2518C" w:rsidP="005C6D0D">
      <w:pPr>
        <w:pStyle w:val="ListParagraph"/>
        <w:numPr>
          <w:ilvl w:val="0"/>
          <w:numId w:val="5"/>
        </w:numPr>
        <w:tabs>
          <w:tab w:val="clear" w:pos="567"/>
        </w:tabs>
        <w:spacing w:after="120" w:line="360" w:lineRule="auto"/>
        <w:ind w:left="0" w:firstLine="0"/>
        <w:jc w:val="both"/>
        <w:rPr>
          <w:color w:val="000000"/>
        </w:rPr>
      </w:pPr>
      <w:r w:rsidRPr="009F16B1">
        <w:rPr>
          <w:lang w:val="en-ZA"/>
        </w:rPr>
        <w:t>The remaining issues between the parties, for purposes of this appeal and cross-appeal are:</w:t>
      </w:r>
      <w:r w:rsidR="005C6D0D">
        <w:rPr>
          <w:color w:val="000000"/>
        </w:rPr>
        <w:t xml:space="preserve"> (1) </w:t>
      </w:r>
      <w:r w:rsidRPr="005C6D0D">
        <w:rPr>
          <w:lang w:val="en-ZA"/>
        </w:rPr>
        <w:t>The duration of the restraint and the payment obligations imp</w:t>
      </w:r>
      <w:r w:rsidR="005C6D0D">
        <w:rPr>
          <w:lang w:val="en-ZA"/>
        </w:rPr>
        <w:t>osed on Logistics and Personnel;</w:t>
      </w:r>
      <w:r w:rsidR="005C6D0D">
        <w:rPr>
          <w:color w:val="000000"/>
        </w:rPr>
        <w:t xml:space="preserve"> (2) </w:t>
      </w:r>
      <w:r w:rsidRPr="005C6D0D">
        <w:rPr>
          <w:lang w:val="en-ZA"/>
        </w:rPr>
        <w:t>Whether the restraint is still binding insofar as it relates to the issue of proper pleading and interpretation of clause 15.1.2 of the employment contract between Logistics and Oosthuizen;</w:t>
      </w:r>
      <w:r w:rsidR="005C6D0D">
        <w:rPr>
          <w:lang w:val="en-ZA"/>
        </w:rPr>
        <w:t xml:space="preserve"> and </w:t>
      </w:r>
      <w:r w:rsidR="005C6D0D">
        <w:rPr>
          <w:color w:val="000000"/>
        </w:rPr>
        <w:t>(3) </w:t>
      </w:r>
      <w:r w:rsidRPr="005C6D0D">
        <w:rPr>
          <w:lang w:val="en-ZA"/>
        </w:rPr>
        <w:t>The issue of costs.</w:t>
      </w:r>
    </w:p>
    <w:p w14:paraId="4098C114" w14:textId="04C8AB0E"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 xml:space="preserve">Having commenced employment with Personnel on 30 November 2008, Oosthuizen was required to enter into a written contract containing the restraint the applicants now seek to enforce. This contract also contains the extended definition of </w:t>
      </w:r>
      <w:r w:rsidR="00643A7D">
        <w:rPr>
          <w:lang w:val="en-ZA"/>
        </w:rPr>
        <w:t>‘</w:t>
      </w:r>
      <w:r w:rsidRPr="009F16B1">
        <w:rPr>
          <w:lang w:val="en-ZA"/>
        </w:rPr>
        <w:t>company</w:t>
      </w:r>
      <w:r w:rsidR="00643A7D">
        <w:rPr>
          <w:lang w:val="en-ZA"/>
        </w:rPr>
        <w:t>’</w:t>
      </w:r>
      <w:r w:rsidRPr="009F16B1">
        <w:rPr>
          <w:lang w:val="en-ZA"/>
        </w:rPr>
        <w:t xml:space="preserve"> in clause 13. There was al</w:t>
      </w:r>
      <w:r w:rsidR="005C6D0D">
        <w:rPr>
          <w:lang w:val="en-ZA"/>
        </w:rPr>
        <w:t>so annexed thereto an Annexure ‘M’</w:t>
      </w:r>
      <w:r w:rsidRPr="009F16B1">
        <w:rPr>
          <w:lang w:val="en-ZA"/>
        </w:rPr>
        <w:t xml:space="preserve"> setting out the confidentiality policy of the </w:t>
      </w:r>
      <w:r w:rsidRPr="009F16B1">
        <w:rPr>
          <w:color w:val="141414"/>
          <w:lang w:val="en-ZA" w:eastAsia="en-US"/>
        </w:rPr>
        <w:t>Value Group and of Value Group Subsidiaries.</w:t>
      </w:r>
    </w:p>
    <w:p w14:paraId="3F33F0DC" w14:textId="0E794F88"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color w:val="141414"/>
          <w:lang w:val="en-ZA" w:eastAsia="en-US"/>
        </w:rPr>
        <w:t xml:space="preserve">It is common cause that Oosthuizen signed the aforesaid documents. </w:t>
      </w:r>
      <w:r w:rsidRPr="009F16B1">
        <w:rPr>
          <w:lang w:val="en-ZA"/>
        </w:rPr>
        <w:t>His commencement salary included a monthly restraint payment of R1584.00.</w:t>
      </w:r>
    </w:p>
    <w:p w14:paraId="5036C2BA" w14:textId="1DB208B7" w:rsidR="00C2518C" w:rsidRPr="005C6D0D" w:rsidRDefault="00C2518C" w:rsidP="005C6D0D">
      <w:pPr>
        <w:pStyle w:val="ListParagraph"/>
        <w:numPr>
          <w:ilvl w:val="0"/>
          <w:numId w:val="5"/>
        </w:numPr>
        <w:tabs>
          <w:tab w:val="clear" w:pos="567"/>
        </w:tabs>
        <w:spacing w:after="120" w:line="360" w:lineRule="auto"/>
        <w:ind w:left="0" w:firstLine="0"/>
        <w:jc w:val="both"/>
        <w:rPr>
          <w:color w:val="000000"/>
        </w:rPr>
      </w:pPr>
      <w:r w:rsidRPr="009F16B1">
        <w:rPr>
          <w:lang w:val="en-ZA"/>
        </w:rPr>
        <w:t>He was initially employed by Personnel as a sales administrative controller</w:t>
      </w:r>
      <w:r w:rsidR="005C6D0D">
        <w:rPr>
          <w:lang w:val="en-ZA"/>
        </w:rPr>
        <w:t>.</w:t>
      </w:r>
      <w:r w:rsidRPr="009F16B1">
        <w:rPr>
          <w:lang w:val="en-ZA"/>
        </w:rPr>
        <w:t xml:space="preserve"> Thereafter his career progressed to the point that he</w:t>
      </w:r>
      <w:r w:rsidRPr="009F16B1">
        <w:rPr>
          <w:color w:val="151515"/>
          <w:lang w:val="en-ZA" w:eastAsia="en-US"/>
        </w:rPr>
        <w:t xml:space="preserve"> commenced working with Logistics’ customer</w:t>
      </w:r>
      <w:r w:rsidR="005C6D0D">
        <w:rPr>
          <w:color w:val="151515"/>
          <w:lang w:val="en-ZA" w:eastAsia="en-US"/>
        </w:rPr>
        <w:t>,</w:t>
      </w:r>
      <w:r w:rsidRPr="009F16B1">
        <w:rPr>
          <w:color w:val="151515"/>
          <w:lang w:val="en-ZA" w:eastAsia="en-US"/>
        </w:rPr>
        <w:t xml:space="preserve"> Bridgestone</w:t>
      </w:r>
      <w:r w:rsidR="005C6D0D">
        <w:rPr>
          <w:color w:val="151515"/>
          <w:lang w:val="en-ZA" w:eastAsia="en-US"/>
        </w:rPr>
        <w:t>,</w:t>
      </w:r>
      <w:r w:rsidRPr="009F16B1">
        <w:rPr>
          <w:color w:val="151515"/>
          <w:lang w:val="en-ZA" w:eastAsia="en-US"/>
        </w:rPr>
        <w:t xml:space="preserve"> on 1 July 2013</w:t>
      </w:r>
      <w:r w:rsidR="00643A7D">
        <w:rPr>
          <w:color w:val="151515"/>
          <w:lang w:val="en-ZA" w:eastAsia="en-US"/>
        </w:rPr>
        <w:t>,</w:t>
      </w:r>
      <w:r w:rsidRPr="009F16B1">
        <w:rPr>
          <w:color w:val="151515"/>
          <w:lang w:val="en-ZA" w:eastAsia="en-US"/>
        </w:rPr>
        <w:t xml:space="preserve"> when he was appointed an inventory</w:t>
      </w:r>
      <w:r w:rsidRPr="009F16B1">
        <w:rPr>
          <w:rFonts w:ascii="HiddenHorzOCR" w:eastAsia="HiddenHorzOCR" w:cs="HiddenHorzOCR" w:hint="eastAsia"/>
          <w:color w:val="151515"/>
          <w:lang w:val="en-ZA" w:eastAsia="en-US"/>
        </w:rPr>
        <w:t xml:space="preserve"> </w:t>
      </w:r>
      <w:r w:rsidRPr="009F16B1">
        <w:rPr>
          <w:color w:val="151515"/>
          <w:lang w:val="en-ZA" w:eastAsia="en-US"/>
        </w:rPr>
        <w:t>controller in the Bridgestone Clayville Warehouse</w:t>
      </w:r>
      <w:r w:rsidR="005C6D0D">
        <w:rPr>
          <w:color w:val="151515"/>
          <w:lang w:val="en-ZA" w:eastAsia="en-US"/>
        </w:rPr>
        <w:t>,</w:t>
      </w:r>
      <w:r w:rsidRPr="009F16B1">
        <w:rPr>
          <w:color w:val="151515"/>
          <w:lang w:val="en-ZA" w:eastAsia="en-US"/>
        </w:rPr>
        <w:t xml:space="preserve"> which is a warehouse which </w:t>
      </w:r>
      <w:r w:rsidR="005C6D0D">
        <w:rPr>
          <w:color w:val="151515"/>
          <w:lang w:val="en-ZA" w:eastAsia="en-US"/>
        </w:rPr>
        <w:t>houses</w:t>
      </w:r>
      <w:r w:rsidRPr="009F16B1">
        <w:rPr>
          <w:color w:val="151515"/>
          <w:lang w:val="en-ZA" w:eastAsia="en-US"/>
        </w:rPr>
        <w:t xml:space="preserve"> only stock belonging to Bridgestone.</w:t>
      </w:r>
      <w:r w:rsidR="005C6D0D">
        <w:rPr>
          <w:color w:val="000000"/>
        </w:rPr>
        <w:t xml:space="preserve"> </w:t>
      </w:r>
      <w:r w:rsidRPr="005C6D0D">
        <w:rPr>
          <w:color w:val="151515"/>
          <w:lang w:val="en-ZA" w:eastAsia="en-US"/>
        </w:rPr>
        <w:t>Logistics alleges that Oosthuizen effectively throughout his career was employed by it. In addition, it relies on an acceptance of the benefits in terms of clause 13 of the employment agreement, alternatively accepts such benefits in its founding affidavit.</w:t>
      </w:r>
    </w:p>
    <w:p w14:paraId="5FD933EF" w14:textId="10BD959B"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color w:val="151515"/>
          <w:lang w:val="en-ZA" w:eastAsia="en-US"/>
        </w:rPr>
        <w:t>Oosthuizen denies the aforesaid and further denies that he accepted the terms of clause 13 notwithstanding the fact that he signed the agreement.</w:t>
      </w:r>
    </w:p>
    <w:p w14:paraId="50EDDBC0" w14:textId="77777777" w:rsidR="009F16B1"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color w:val="151515"/>
          <w:lang w:val="en-ZA" w:eastAsia="en-US"/>
        </w:rPr>
        <w:lastRenderedPageBreak/>
        <w:t>Oosthuizen regards his employment with Logistics as an entirely new contractual arrangement and further contends that every new position constituted a new contractual arrangement. These arrangements on his version were verbal. He further contends that Logistics was not a party to his original agreement with Personnel.</w:t>
      </w:r>
    </w:p>
    <w:p w14:paraId="5E96548C" w14:textId="35FAAD7B"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color w:val="151515"/>
          <w:lang w:val="en-ZA" w:eastAsia="en-US"/>
        </w:rPr>
        <w:t>On 1 Sep</w:t>
      </w:r>
      <w:r w:rsidR="005C6D0D">
        <w:rPr>
          <w:color w:val="151515"/>
          <w:lang w:val="en-ZA" w:eastAsia="en-US"/>
        </w:rPr>
        <w:t>tember 2014 he was promoted to Inventory M</w:t>
      </w:r>
      <w:r w:rsidRPr="009F16B1">
        <w:rPr>
          <w:color w:val="151515"/>
          <w:lang w:val="en-ZA" w:eastAsia="en-US"/>
        </w:rPr>
        <w:t>anager and from 1</w:t>
      </w:r>
      <w:r w:rsidR="005C6D0D">
        <w:rPr>
          <w:color w:val="151515"/>
          <w:lang w:val="en-ZA" w:eastAsia="en-US"/>
        </w:rPr>
        <w:t> </w:t>
      </w:r>
      <w:r w:rsidRPr="009F16B1">
        <w:rPr>
          <w:color w:val="151515"/>
          <w:lang w:val="en-ZA" w:eastAsia="en-US"/>
        </w:rPr>
        <w:t>August 201</w:t>
      </w:r>
      <w:r w:rsidR="005C6D0D">
        <w:rPr>
          <w:color w:val="151515"/>
          <w:lang w:val="en-ZA" w:eastAsia="en-US"/>
        </w:rPr>
        <w:t>5 he was promoted to Operations M</w:t>
      </w:r>
      <w:r w:rsidRPr="009F16B1">
        <w:rPr>
          <w:color w:val="151515"/>
          <w:lang w:val="en-ZA" w:eastAsia="en-US"/>
        </w:rPr>
        <w:t>anager. This is a very senior position in which Oosthuizen was responsible for the services rendered by Logistics to Bridgestone on an operational basis.</w:t>
      </w:r>
    </w:p>
    <w:p w14:paraId="3C1D72ED" w14:textId="77777777" w:rsidR="009F16B1"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Bridgestone is a major tyre manufacturer which has been a key customer of the Value Group since 1981. It conducts its business on the basis that it issues tenders every few years, the last one being awarded in 2019 to the Value Group of Companies. At the time, Savino competed with Logistics for that contract.</w:t>
      </w:r>
    </w:p>
    <w:p w14:paraId="6C5C6A00" w14:textId="60B5129E"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 xml:space="preserve"> The most recent contract provides for Logistics to be Bridgestone’s exclusive supplier for logistical services until 31 March 2023, whereafter it is expected that Bridgestone will put out a tender for a new provider whose contract would be from 1 April 2023.</w:t>
      </w:r>
    </w:p>
    <w:p w14:paraId="305B7D8F" w14:textId="4AD50974"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In February 2022, Oosthuizen announced to his senior at Logistics that he was resigning and taking up employment with Savino. As a consequence, Logistics immediately requested an IT person to inspect Oosthuizen’s work on a computer and found an offer of employment from Savino on same. This offer stated that he would be employed at Savino’s Michelin warehouse. It is common cause that Savino will compete against Logistics for the Bridgestone tender when it comes up on 31 March 2023.</w:t>
      </w:r>
    </w:p>
    <w:p w14:paraId="508F665A" w14:textId="482772CF" w:rsidR="00C2518C" w:rsidRPr="00AC0FFF" w:rsidRDefault="00C2518C" w:rsidP="00AC0FFF">
      <w:pPr>
        <w:pStyle w:val="ListParagraph"/>
        <w:numPr>
          <w:ilvl w:val="0"/>
          <w:numId w:val="5"/>
        </w:numPr>
        <w:tabs>
          <w:tab w:val="clear" w:pos="567"/>
        </w:tabs>
        <w:spacing w:after="120" w:line="360" w:lineRule="auto"/>
        <w:ind w:left="0" w:firstLine="0"/>
        <w:jc w:val="both"/>
        <w:rPr>
          <w:color w:val="000000"/>
        </w:rPr>
      </w:pPr>
      <w:r w:rsidRPr="009F16B1">
        <w:rPr>
          <w:lang w:val="en-ZA"/>
        </w:rPr>
        <w:t>Logistics’ initial response to Oosthuizen’s resignation was to offer him a salary increase whereafter he decided to stay on.</w:t>
      </w:r>
      <w:r w:rsidR="00AC0FFF">
        <w:rPr>
          <w:color w:val="000000"/>
        </w:rPr>
        <w:t xml:space="preserve"> </w:t>
      </w:r>
      <w:r w:rsidRPr="00AC0FFF">
        <w:rPr>
          <w:lang w:val="en-ZA"/>
        </w:rPr>
        <w:t xml:space="preserve">On 5 April 2022, Oosthuizen nevertheless left Logistics as he was unhappy with the working hours he was obliged to keep. </w:t>
      </w:r>
      <w:r w:rsidR="00AC0FFF">
        <w:rPr>
          <w:lang w:val="en-ZA"/>
        </w:rPr>
        <w:t>The appellants have</w:t>
      </w:r>
      <w:r w:rsidRPr="00AC0FFF">
        <w:rPr>
          <w:lang w:val="en-ZA"/>
        </w:rPr>
        <w:t xml:space="preserve"> a slightly different version, stating that since his re-employment he became the subject of disciplinary proceedings regarding some irregularities at the warehouse and that Oosthuizen had left to avoid the hearing. Notwithstanding the fact that much was made by both sides, on both the </w:t>
      </w:r>
      <w:r w:rsidRPr="00AC0FFF">
        <w:rPr>
          <w:lang w:val="en-ZA"/>
        </w:rPr>
        <w:lastRenderedPageBreak/>
        <w:t>pap</w:t>
      </w:r>
      <w:r w:rsidR="00AC0FFF">
        <w:rPr>
          <w:lang w:val="en-ZA"/>
        </w:rPr>
        <w:t>ers and the hearing, t</w:t>
      </w:r>
      <w:r w:rsidRPr="00AC0FFF">
        <w:rPr>
          <w:lang w:val="en-ZA"/>
        </w:rPr>
        <w:t xml:space="preserve">he court </w:t>
      </w:r>
      <w:r w:rsidRPr="00AC0FFF">
        <w:rPr>
          <w:i/>
          <w:lang w:val="en-ZA"/>
        </w:rPr>
        <w:t>a quo</w:t>
      </w:r>
      <w:r w:rsidRPr="00AC0FFF">
        <w:rPr>
          <w:lang w:val="en-ZA"/>
        </w:rPr>
        <w:t xml:space="preserve"> found that to be an ancillary issue and did not take it into account for purposes of </w:t>
      </w:r>
      <w:r w:rsidR="00343A59">
        <w:rPr>
          <w:lang w:val="en-ZA"/>
        </w:rPr>
        <w:t>its</w:t>
      </w:r>
      <w:r w:rsidRPr="00AC0FFF">
        <w:rPr>
          <w:lang w:val="en-ZA"/>
        </w:rPr>
        <w:t xml:space="preserve"> decision.</w:t>
      </w:r>
      <w:r w:rsidR="00AC0FFF">
        <w:rPr>
          <w:lang w:val="en-ZA"/>
        </w:rPr>
        <w:t xml:space="preserve"> We agree with that approach.</w:t>
      </w:r>
    </w:p>
    <w:p w14:paraId="285663F0" w14:textId="261C4E0D"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 xml:space="preserve">After leaving Logistics, Oosthuizen took up employment with Savino and hence the fear arose that Oosthuizen would assist Savino on the expected tender for Bridgestone once its present agreement with Logistics terminates on 31 March 2023. The contract that will emanate from this tender is, as in the past, expected to be exclusive and to endure for several years. </w:t>
      </w:r>
    </w:p>
    <w:p w14:paraId="1544AE7B" w14:textId="076B2A47"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It is common cause that preparation for such a tender commences between three to six months prior to the expiry of the existing contract and, hence, that applicants sought to hold Oosthuizen to his restraints in the contract with Personnel which, according to them, is operative until end of April 2024. If the applicants are correct, this would mean that he is restrained from working for Savino for at least one year after the date on which the new Bridgestone</w:t>
      </w:r>
      <w:r w:rsidR="00343A59">
        <w:rPr>
          <w:lang w:val="en-ZA"/>
        </w:rPr>
        <w:t xml:space="preserve"> contract</w:t>
      </w:r>
      <w:r w:rsidRPr="009F16B1">
        <w:rPr>
          <w:lang w:val="en-ZA"/>
        </w:rPr>
        <w:t xml:space="preserve"> is likely to be awarded. </w:t>
      </w:r>
    </w:p>
    <w:p w14:paraId="4CF0B8A7" w14:textId="2DF26E8B" w:rsidR="00C2518C" w:rsidRPr="00AC0FFF" w:rsidRDefault="00C2518C" w:rsidP="00AC0FFF">
      <w:pPr>
        <w:pStyle w:val="ListParagraph"/>
        <w:numPr>
          <w:ilvl w:val="0"/>
          <w:numId w:val="5"/>
        </w:numPr>
        <w:tabs>
          <w:tab w:val="clear" w:pos="567"/>
        </w:tabs>
        <w:spacing w:after="120" w:line="360" w:lineRule="auto"/>
        <w:ind w:left="0" w:firstLine="0"/>
        <w:jc w:val="both"/>
        <w:rPr>
          <w:color w:val="000000"/>
        </w:rPr>
      </w:pPr>
      <w:r w:rsidRPr="009F16B1">
        <w:rPr>
          <w:lang w:val="en-ZA"/>
        </w:rPr>
        <w:t>Although the relevant dates referred to are not in dispute, Logistics regard Oosthuizen’s continued employment with Savino as an ongoing threat to their business interests and his continued unrestrained employment by Savino places him in a position to impart strategic information to Savino about the Logistics business.</w:t>
      </w:r>
      <w:r w:rsidR="00AC0FFF">
        <w:rPr>
          <w:color w:val="000000"/>
        </w:rPr>
        <w:t xml:space="preserve"> </w:t>
      </w:r>
      <w:r w:rsidRPr="00AC0FFF">
        <w:rPr>
          <w:lang w:val="en-ZA"/>
        </w:rPr>
        <w:t xml:space="preserve">It is self-evident from the papers that Oosthuizen has information pertaining to the customer relationship with Logistics and that his continued employment by Savino </w:t>
      </w:r>
      <w:r w:rsidR="00AC0FFF">
        <w:rPr>
          <w:lang w:val="en-ZA"/>
        </w:rPr>
        <w:t>poses a ‘</w:t>
      </w:r>
      <w:r w:rsidRPr="00AC0FFF">
        <w:rPr>
          <w:lang w:val="en-ZA"/>
        </w:rPr>
        <w:t>real threat of competitive harm</w:t>
      </w:r>
      <w:r w:rsidR="00AC0FFF">
        <w:rPr>
          <w:lang w:val="en-ZA"/>
        </w:rPr>
        <w:t>’.</w:t>
      </w:r>
    </w:p>
    <w:p w14:paraId="49E8C698" w14:textId="66A28FE9"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Logistics was able to argue that, due to the extended interpretation of the above clause, it operates in favour of Logistics after Oosthuizen was employed there.</w:t>
      </w:r>
    </w:p>
    <w:p w14:paraId="02178C97" w14:textId="45F7176B"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The respondents conceded that Oosthuizen would be subject to a restraint in favour of the other Value Group companies while he was employed at Personnel and for two years after that, but, given that the transfer clause 15.1.2 does no</w:t>
      </w:r>
      <w:r w:rsidR="00AC0FFF">
        <w:rPr>
          <w:lang w:val="en-ZA"/>
        </w:rPr>
        <w:t>t apply and was not pleaded by the a</w:t>
      </w:r>
      <w:r w:rsidRPr="009F16B1">
        <w:rPr>
          <w:lang w:val="en-ZA"/>
        </w:rPr>
        <w:t xml:space="preserve">pplicants, his restraint in favour of Logistics ended two years after he had left Personnel, </w:t>
      </w:r>
      <w:r w:rsidR="00AC0FFF">
        <w:rPr>
          <w:lang w:val="en-ZA"/>
        </w:rPr>
        <w:t>i e</w:t>
      </w:r>
      <w:r w:rsidRPr="009F16B1">
        <w:rPr>
          <w:lang w:val="en-ZA"/>
        </w:rPr>
        <w:t xml:space="preserve"> somewhere in 2015, and he is therefore free from any restraint and same cannot be enforced.</w:t>
      </w:r>
    </w:p>
    <w:p w14:paraId="2F0F4C43" w14:textId="605C5F3F" w:rsidR="00C2518C" w:rsidRPr="00AC0FFF" w:rsidRDefault="00C2518C" w:rsidP="00AC0FFF">
      <w:pPr>
        <w:pStyle w:val="ListParagraph"/>
        <w:numPr>
          <w:ilvl w:val="0"/>
          <w:numId w:val="5"/>
        </w:numPr>
        <w:tabs>
          <w:tab w:val="clear" w:pos="567"/>
        </w:tabs>
        <w:spacing w:after="120" w:line="360" w:lineRule="auto"/>
        <w:ind w:left="0" w:firstLine="0"/>
        <w:jc w:val="both"/>
        <w:rPr>
          <w:color w:val="000000"/>
        </w:rPr>
      </w:pPr>
      <w:r w:rsidRPr="009F16B1">
        <w:rPr>
          <w:lang w:val="en-ZA"/>
        </w:rPr>
        <w:lastRenderedPageBreak/>
        <w:t xml:space="preserve">The court </w:t>
      </w:r>
      <w:r w:rsidRPr="00AC0FFF">
        <w:rPr>
          <w:i/>
          <w:lang w:val="en-ZA"/>
        </w:rPr>
        <w:t>a quo</w:t>
      </w:r>
      <w:r w:rsidRPr="009F16B1">
        <w:rPr>
          <w:lang w:val="en-ZA"/>
        </w:rPr>
        <w:t xml:space="preserve"> concluded that a purely contextual reading of the transfer clause in the employment contract may well lead to such a conclusion but held that this would be the incorrect interpretation of the </w:t>
      </w:r>
      <w:r w:rsidR="00AC0FFF">
        <w:rPr>
          <w:lang w:val="en-ZA"/>
        </w:rPr>
        <w:t>agreement</w:t>
      </w:r>
      <w:r w:rsidRPr="009F16B1">
        <w:rPr>
          <w:lang w:val="en-ZA"/>
        </w:rPr>
        <w:t xml:space="preserve"> between Oosthuizen and the applicants. In its view and based on the approach to contractual interpretation as set out in the language of the </w:t>
      </w:r>
      <w:r w:rsidRPr="009F16B1">
        <w:rPr>
          <w:i/>
          <w:lang w:val="en-ZA"/>
        </w:rPr>
        <w:t>Endumeni</w:t>
      </w:r>
      <w:r>
        <w:rPr>
          <w:rStyle w:val="FootnoteReference"/>
          <w:lang w:val="en-ZA"/>
        </w:rPr>
        <w:footnoteReference w:id="1"/>
      </w:r>
      <w:r w:rsidRPr="009F16B1">
        <w:rPr>
          <w:lang w:val="en-ZA"/>
        </w:rPr>
        <w:t xml:space="preserve"> decision, it preferred a businesslike interpretation over an unbusinesslike one.</w:t>
      </w:r>
      <w:r w:rsidR="00AC0FFF">
        <w:rPr>
          <w:color w:val="000000"/>
        </w:rPr>
        <w:t xml:space="preserve"> And </w:t>
      </w:r>
      <w:r w:rsidRPr="00AC0FFF">
        <w:rPr>
          <w:lang w:val="en-ZA"/>
        </w:rPr>
        <w:t>concluded that it meant that not only the text but also the purpose and context of the agreement should be considered.</w:t>
      </w:r>
    </w:p>
    <w:p w14:paraId="78ED7F34" w14:textId="1A9155C4" w:rsidR="00C2518C" w:rsidRPr="00AC0FFF"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i/>
          <w:lang w:val="en-ZA"/>
        </w:rPr>
        <w:t>Endumeni</w:t>
      </w:r>
      <w:r w:rsidRPr="009F16B1">
        <w:rPr>
          <w:lang w:val="en-ZA"/>
        </w:rPr>
        <w:t xml:space="preserve"> dealt purely with the interpretation of a clause where there was ambiguity. In the matter of </w:t>
      </w:r>
      <w:r w:rsidRPr="009F16B1">
        <w:rPr>
          <w:i/>
          <w:lang w:val="en-ZA"/>
        </w:rPr>
        <w:t>University of Johannesburg v Auckland Park Theological Seminary</w:t>
      </w:r>
      <w:r>
        <w:rPr>
          <w:rStyle w:val="FootnoteReference"/>
          <w:lang w:val="en-ZA"/>
        </w:rPr>
        <w:footnoteReference w:id="2"/>
      </w:r>
      <w:r w:rsidR="00AC0FFF">
        <w:rPr>
          <w:i/>
          <w:lang w:val="en-ZA"/>
        </w:rPr>
        <w:t xml:space="preserve">, </w:t>
      </w:r>
      <w:r w:rsidRPr="009F16B1">
        <w:rPr>
          <w:lang w:val="en-ZA"/>
        </w:rPr>
        <w:t xml:space="preserve">the Constitutional Court held that context and purpose must also be </w:t>
      </w:r>
      <w:r w:rsidR="00AC0FFF">
        <w:rPr>
          <w:lang w:val="en-ZA"/>
        </w:rPr>
        <w:t xml:space="preserve">considered: ‘… </w:t>
      </w:r>
      <w:r w:rsidRPr="00AC0FFF">
        <w:rPr>
          <w:lang w:val="en-ZA"/>
        </w:rPr>
        <w:t>as a matter of course, whether or not the words used in the contract are ambiguous</w:t>
      </w:r>
      <w:r w:rsidR="00AC0FFF">
        <w:rPr>
          <w:lang w:val="en-ZA"/>
        </w:rPr>
        <w:t>’</w:t>
      </w:r>
      <w:r w:rsidRPr="00AC0FFF">
        <w:rPr>
          <w:lang w:val="en-ZA"/>
        </w:rPr>
        <w:t>.</w:t>
      </w:r>
    </w:p>
    <w:p w14:paraId="4A35D810" w14:textId="3EC26F4F" w:rsidR="00C2518C" w:rsidRPr="00AC0FFF" w:rsidRDefault="00C2518C" w:rsidP="009F16B1">
      <w:pPr>
        <w:pStyle w:val="ListParagraph"/>
        <w:numPr>
          <w:ilvl w:val="0"/>
          <w:numId w:val="5"/>
        </w:numPr>
        <w:tabs>
          <w:tab w:val="clear" w:pos="567"/>
        </w:tabs>
        <w:spacing w:after="120" w:line="360" w:lineRule="auto"/>
        <w:ind w:left="0" w:firstLine="0"/>
        <w:jc w:val="both"/>
        <w:rPr>
          <w:color w:val="000000"/>
        </w:rPr>
      </w:pPr>
      <w:r w:rsidRPr="00AC0FFF">
        <w:rPr>
          <w:lang w:val="en-ZA"/>
        </w:rPr>
        <w:t xml:space="preserve">Hence, the court </w:t>
      </w:r>
      <w:r w:rsidRPr="00343A59">
        <w:rPr>
          <w:i/>
          <w:lang w:val="en-ZA"/>
        </w:rPr>
        <w:t>a quo</w:t>
      </w:r>
      <w:r w:rsidRPr="00AC0FFF">
        <w:rPr>
          <w:lang w:val="en-ZA"/>
        </w:rPr>
        <w:t xml:space="preserve"> reasoned that, to allege that Oosthuizen ceased to be subject to the restraint in 2015, despite his uninterrupted employment and continuous employment with the Value Group of Companies and his elevation in</w:t>
      </w:r>
      <w:r w:rsidR="00AC0FFF">
        <w:rPr>
          <w:lang w:val="en-ZA"/>
        </w:rPr>
        <w:t xml:space="preserve"> seniority, it seems to be the ‘</w:t>
      </w:r>
      <w:r w:rsidRPr="00AC0FFF">
        <w:rPr>
          <w:lang w:val="en-ZA"/>
        </w:rPr>
        <w:t>epitome of an unbusinesslike interpretation of the clause</w:t>
      </w:r>
      <w:r w:rsidR="00AC0FFF">
        <w:rPr>
          <w:lang w:val="en-ZA"/>
        </w:rPr>
        <w:t>’</w:t>
      </w:r>
      <w:r w:rsidRPr="00AC0FFF">
        <w:rPr>
          <w:lang w:val="en-ZA"/>
        </w:rPr>
        <w:t xml:space="preserve">. This led </w:t>
      </w:r>
      <w:r w:rsidR="00AC0FFF">
        <w:rPr>
          <w:lang w:val="en-ZA"/>
        </w:rPr>
        <w:t xml:space="preserve">the court </w:t>
      </w:r>
      <w:r w:rsidR="00AC0FFF" w:rsidRPr="00AC0FFF">
        <w:rPr>
          <w:i/>
          <w:lang w:val="en-ZA"/>
        </w:rPr>
        <w:t>a quo</w:t>
      </w:r>
      <w:r w:rsidRPr="00AC0FFF">
        <w:rPr>
          <w:lang w:val="en-ZA"/>
        </w:rPr>
        <w:t xml:space="preserve"> to conclude that, notwithstanding his redeployment in the Group, the previous restraint in favour of all the companies remained in place.</w:t>
      </w:r>
    </w:p>
    <w:p w14:paraId="3C5581D2" w14:textId="61126BB8" w:rsidR="009F16B1"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It is trite that a restraint of trade is constitutionally valid</w:t>
      </w:r>
      <w:r>
        <w:rPr>
          <w:rStyle w:val="FootnoteReference"/>
          <w:lang w:val="en-ZA"/>
        </w:rPr>
        <w:footnoteReference w:id="3"/>
      </w:r>
      <w:r w:rsidR="00EF2B8C">
        <w:rPr>
          <w:lang w:val="en-ZA"/>
        </w:rPr>
        <w:t>.</w:t>
      </w:r>
      <w:r w:rsidRPr="009F16B1">
        <w:rPr>
          <w:lang w:val="en-ZA"/>
        </w:rPr>
        <w:t xml:space="preserve"> This is in line with the fundamental principle that parties should be held to their contract. It is also by now trite law that the party who wishes to be absolved from his restraint of trade must allege and prove that the enforcement of the restraint of trade would be contrary to public policy</w:t>
      </w:r>
      <w:r>
        <w:rPr>
          <w:rStyle w:val="FootnoteReference"/>
          <w:lang w:val="en-ZA"/>
        </w:rPr>
        <w:footnoteReference w:id="4"/>
      </w:r>
      <w:r w:rsidR="00EF2B8C">
        <w:rPr>
          <w:lang w:val="en-ZA"/>
        </w:rPr>
        <w:t>.</w:t>
      </w:r>
      <w:r w:rsidRPr="009F16B1">
        <w:rPr>
          <w:lang w:val="en-ZA"/>
        </w:rPr>
        <w:t xml:space="preserve">  It is for the respondents in this matter to set out why it should not be enforced</w:t>
      </w:r>
      <w:r>
        <w:rPr>
          <w:rStyle w:val="FootnoteReference"/>
          <w:lang w:val="en-ZA"/>
        </w:rPr>
        <w:footnoteReference w:id="5"/>
      </w:r>
      <w:r w:rsidR="00EF2B8C">
        <w:rPr>
          <w:lang w:val="en-ZA"/>
        </w:rPr>
        <w:t>.</w:t>
      </w:r>
    </w:p>
    <w:p w14:paraId="63351F17" w14:textId="6A7BC950" w:rsidR="009F16B1"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lastRenderedPageBreak/>
        <w:t>It is fairly obvious that the foundational value that parties should perform their agreements is in conflict with the notion that a restraint of trade could be found to be unreasonable and hence unenforceable.</w:t>
      </w:r>
    </w:p>
    <w:p w14:paraId="6DA7F058" w14:textId="74410617"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At the heart of the conflict lies the foundational principle that parties should be free to seek fulfilment in business or profession and that the rights to freedom of trade should be protected. Hence, a restraint, when an attempt is made to enforce same, has to be reasonable and serve a legitimate purpose of protection of the former employer’s protectable proprietary interests, whether same is goodwill or trade secrets</w:t>
      </w:r>
      <w:r>
        <w:rPr>
          <w:rStyle w:val="FootnoteReference"/>
          <w:lang w:val="en-ZA"/>
        </w:rPr>
        <w:footnoteReference w:id="6"/>
      </w:r>
      <w:r w:rsidR="00EF2B8C">
        <w:rPr>
          <w:lang w:val="en-ZA"/>
        </w:rPr>
        <w:t>.</w:t>
      </w:r>
    </w:p>
    <w:p w14:paraId="5EBC5202" w14:textId="48DF0515" w:rsidR="00C2518C" w:rsidRPr="009F16B1" w:rsidRDefault="00C2518C" w:rsidP="00EF2B8C">
      <w:pPr>
        <w:pStyle w:val="ListParagraph"/>
        <w:numPr>
          <w:ilvl w:val="0"/>
          <w:numId w:val="5"/>
        </w:numPr>
        <w:tabs>
          <w:tab w:val="clear" w:pos="567"/>
        </w:tabs>
        <w:spacing w:line="360" w:lineRule="auto"/>
        <w:ind w:left="0" w:firstLine="0"/>
        <w:jc w:val="both"/>
        <w:rPr>
          <w:color w:val="000000"/>
        </w:rPr>
      </w:pPr>
      <w:r w:rsidRPr="009F16B1">
        <w:rPr>
          <w:lang w:val="en-ZA"/>
        </w:rPr>
        <w:t xml:space="preserve">In </w:t>
      </w:r>
      <w:r w:rsidRPr="009F16B1">
        <w:rPr>
          <w:i/>
          <w:lang w:val="en-ZA"/>
        </w:rPr>
        <w:t>Amler’s Precedents of Pleadings</w:t>
      </w:r>
      <w:r>
        <w:rPr>
          <w:rStyle w:val="FootnoteReference"/>
          <w:lang w:val="en-ZA"/>
        </w:rPr>
        <w:footnoteReference w:id="7"/>
      </w:r>
      <w:r w:rsidR="00EF2B8C">
        <w:rPr>
          <w:i/>
          <w:lang w:val="en-ZA"/>
        </w:rPr>
        <w:t>,</w:t>
      </w:r>
      <w:r w:rsidRPr="009F16B1">
        <w:rPr>
          <w:lang w:val="en-ZA"/>
        </w:rPr>
        <w:t xml:space="preserve"> it is stated that a fourfold test applies before liability is established under</w:t>
      </w:r>
      <w:r w:rsidR="00EF2B8C">
        <w:rPr>
          <w:lang w:val="en-ZA"/>
        </w:rPr>
        <w:t xml:space="preserve"> a restraint of trade agreement, namely;</w:t>
      </w:r>
      <w:r w:rsidRPr="009F16B1">
        <w:rPr>
          <w:lang w:val="en-ZA"/>
        </w:rPr>
        <w:t xml:space="preserve"> </w:t>
      </w:r>
    </w:p>
    <w:p w14:paraId="79A3023F" w14:textId="457E75BB" w:rsidR="00C2518C" w:rsidRPr="00EF2B8C" w:rsidRDefault="00EF2B8C" w:rsidP="00EF2B8C">
      <w:pPr>
        <w:pStyle w:val="ListParagraph"/>
        <w:spacing w:line="360" w:lineRule="auto"/>
        <w:ind w:left="567" w:hanging="567"/>
        <w:jc w:val="both"/>
        <w:rPr>
          <w:color w:val="000000"/>
          <w:sz w:val="22"/>
          <w:szCs w:val="22"/>
        </w:rPr>
      </w:pPr>
      <w:r w:rsidRPr="00EF2B8C">
        <w:rPr>
          <w:sz w:val="22"/>
          <w:szCs w:val="22"/>
          <w:lang w:val="en-ZA"/>
        </w:rPr>
        <w:t>‘</w:t>
      </w:r>
      <w:r w:rsidR="00C2518C" w:rsidRPr="00EF2B8C">
        <w:rPr>
          <w:sz w:val="22"/>
          <w:szCs w:val="22"/>
          <w:lang w:val="en-ZA"/>
        </w:rPr>
        <w:t>(a)</w:t>
      </w:r>
      <w:r w:rsidRPr="00EF2B8C">
        <w:rPr>
          <w:sz w:val="22"/>
          <w:szCs w:val="22"/>
          <w:lang w:val="en-ZA"/>
        </w:rPr>
        <w:tab/>
      </w:r>
      <w:r w:rsidR="00C2518C" w:rsidRPr="00EF2B8C">
        <w:rPr>
          <w:sz w:val="22"/>
          <w:szCs w:val="22"/>
          <w:lang w:val="en-ZA"/>
        </w:rPr>
        <w:t>is there an interest of the plaintiff which pursuant to the agreement, warrants protection?</w:t>
      </w:r>
    </w:p>
    <w:p w14:paraId="7D9A1DD3" w14:textId="77BD4C92" w:rsidR="00C2518C" w:rsidRPr="00EF2B8C" w:rsidRDefault="00EF2B8C" w:rsidP="00EF2B8C">
      <w:pPr>
        <w:pStyle w:val="ListParagraph"/>
        <w:spacing w:line="360" w:lineRule="auto"/>
        <w:ind w:left="567" w:hanging="567"/>
        <w:jc w:val="both"/>
        <w:rPr>
          <w:color w:val="000000"/>
          <w:sz w:val="22"/>
          <w:szCs w:val="22"/>
        </w:rPr>
      </w:pPr>
      <w:r w:rsidRPr="00EF2B8C">
        <w:rPr>
          <w:sz w:val="22"/>
          <w:szCs w:val="22"/>
          <w:lang w:val="en-ZA"/>
        </w:rPr>
        <w:t>(b)</w:t>
      </w:r>
      <w:r w:rsidRPr="00EF2B8C">
        <w:rPr>
          <w:sz w:val="22"/>
          <w:szCs w:val="22"/>
          <w:lang w:val="en-ZA"/>
        </w:rPr>
        <w:tab/>
      </w:r>
      <w:r w:rsidR="00C2518C" w:rsidRPr="00EF2B8C">
        <w:rPr>
          <w:sz w:val="22"/>
          <w:szCs w:val="22"/>
          <w:lang w:val="en-ZA"/>
        </w:rPr>
        <w:t>is that interest threatened by the defendant?</w:t>
      </w:r>
    </w:p>
    <w:p w14:paraId="1C771A12" w14:textId="649919FC" w:rsidR="00C2518C" w:rsidRPr="00EF2B8C" w:rsidRDefault="00EF2B8C" w:rsidP="00EF2B8C">
      <w:pPr>
        <w:pStyle w:val="ListParagraph"/>
        <w:spacing w:line="360" w:lineRule="auto"/>
        <w:ind w:left="567" w:hanging="567"/>
        <w:jc w:val="both"/>
        <w:rPr>
          <w:color w:val="000000"/>
          <w:sz w:val="22"/>
          <w:szCs w:val="22"/>
        </w:rPr>
      </w:pPr>
      <w:r w:rsidRPr="00EF2B8C">
        <w:rPr>
          <w:sz w:val="22"/>
          <w:szCs w:val="22"/>
          <w:lang w:val="en-ZA"/>
        </w:rPr>
        <w:t>(c)</w:t>
      </w:r>
      <w:r w:rsidRPr="00EF2B8C">
        <w:rPr>
          <w:sz w:val="22"/>
          <w:szCs w:val="22"/>
          <w:lang w:val="en-ZA"/>
        </w:rPr>
        <w:tab/>
      </w:r>
      <w:r w:rsidR="00C2518C" w:rsidRPr="00EF2B8C">
        <w:rPr>
          <w:sz w:val="22"/>
          <w:szCs w:val="22"/>
          <w:lang w:val="en-ZA"/>
        </w:rPr>
        <w:t>if it is threatened, does that interest weigh qualitatively and quantitatively against the interest of the other so that he or she will be economically inactive and unproductive?</w:t>
      </w:r>
    </w:p>
    <w:p w14:paraId="202FE61B" w14:textId="3E997093" w:rsidR="00C2518C" w:rsidRPr="00EF2B8C" w:rsidRDefault="00EF2B8C" w:rsidP="00EF2B8C">
      <w:pPr>
        <w:pStyle w:val="ListParagraph"/>
        <w:spacing w:after="120" w:line="360" w:lineRule="auto"/>
        <w:ind w:left="567" w:hanging="567"/>
        <w:jc w:val="both"/>
        <w:rPr>
          <w:color w:val="000000"/>
          <w:sz w:val="22"/>
          <w:szCs w:val="22"/>
        </w:rPr>
      </w:pPr>
      <w:r w:rsidRPr="00EF2B8C">
        <w:rPr>
          <w:sz w:val="22"/>
          <w:szCs w:val="22"/>
          <w:lang w:val="en-ZA"/>
        </w:rPr>
        <w:t>(d)</w:t>
      </w:r>
      <w:r w:rsidRPr="00EF2B8C">
        <w:rPr>
          <w:sz w:val="22"/>
          <w:szCs w:val="22"/>
          <w:lang w:val="en-ZA"/>
        </w:rPr>
        <w:tab/>
      </w:r>
      <w:r w:rsidR="00C2518C" w:rsidRPr="00EF2B8C">
        <w:rPr>
          <w:sz w:val="22"/>
          <w:szCs w:val="22"/>
          <w:lang w:val="en-ZA"/>
        </w:rPr>
        <w:t>is there another aspect of public interest that does not affect the parties</w:t>
      </w:r>
      <w:r>
        <w:rPr>
          <w:sz w:val="22"/>
          <w:szCs w:val="22"/>
          <w:lang w:val="en-ZA"/>
        </w:rPr>
        <w:t>,</w:t>
      </w:r>
      <w:r w:rsidR="00C2518C" w:rsidRPr="00EF2B8C">
        <w:rPr>
          <w:sz w:val="22"/>
          <w:szCs w:val="22"/>
          <w:lang w:val="en-ZA"/>
        </w:rPr>
        <w:t xml:space="preserve"> but it requires that the restraint not be invoked?</w:t>
      </w:r>
      <w:r w:rsidRPr="00EF2B8C">
        <w:rPr>
          <w:sz w:val="22"/>
          <w:szCs w:val="22"/>
          <w:lang w:val="en-ZA"/>
        </w:rPr>
        <w:t>’</w:t>
      </w:r>
      <w:r w:rsidR="00C2518C" w:rsidRPr="00EF2B8C">
        <w:rPr>
          <w:rStyle w:val="FootnoteReference"/>
          <w:szCs w:val="22"/>
          <w:lang w:val="en-ZA"/>
        </w:rPr>
        <w:footnoteReference w:id="8"/>
      </w:r>
    </w:p>
    <w:p w14:paraId="689B4ACF" w14:textId="45E195CB"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 xml:space="preserve">Our courts have, since the decision in </w:t>
      </w:r>
      <w:r w:rsidRPr="009F16B1">
        <w:rPr>
          <w:i/>
          <w:lang w:val="en-ZA"/>
        </w:rPr>
        <w:t>Magna Alloys</w:t>
      </w:r>
      <w:r w:rsidRPr="009F16B1">
        <w:rPr>
          <w:lang w:val="en-ZA"/>
        </w:rPr>
        <w:t>, held that the onus rests on the party who wishes to be relieved from the restraint on the basis that it is unreasonable. This remains so notwithstanding the fact that some concession may have been made as to whether or not it should be narrowed.</w:t>
      </w:r>
    </w:p>
    <w:p w14:paraId="2891DF76" w14:textId="7679AE47"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Against the background of the aforesaid principles, the question now arises whether the restraint is reasonable. Oosthuizen has placed in issue whether he is in possession of any confidential information which he could impart to Savino and therefore he contends that in the circumstances enforcing the restraint against him would be unreasonable.</w:t>
      </w:r>
    </w:p>
    <w:p w14:paraId="0663A45D" w14:textId="1579E4EE" w:rsidR="009F16B1" w:rsidRPr="00EF2B8C" w:rsidRDefault="00C2518C" w:rsidP="00B63DA4">
      <w:pPr>
        <w:pStyle w:val="ListParagraph"/>
        <w:numPr>
          <w:ilvl w:val="0"/>
          <w:numId w:val="5"/>
        </w:numPr>
        <w:tabs>
          <w:tab w:val="clear" w:pos="567"/>
        </w:tabs>
        <w:spacing w:after="240" w:line="360" w:lineRule="auto"/>
        <w:ind w:left="0" w:firstLine="0"/>
        <w:jc w:val="both"/>
        <w:rPr>
          <w:color w:val="000000"/>
        </w:rPr>
      </w:pPr>
      <w:r w:rsidRPr="009F16B1">
        <w:rPr>
          <w:lang w:val="en-ZA"/>
        </w:rPr>
        <w:lastRenderedPageBreak/>
        <w:t xml:space="preserve">The court </w:t>
      </w:r>
      <w:r w:rsidRPr="00EF2B8C">
        <w:rPr>
          <w:i/>
          <w:iCs/>
          <w:lang w:val="en-ZA"/>
        </w:rPr>
        <w:t>a quo</w:t>
      </w:r>
      <w:r w:rsidRPr="009F16B1">
        <w:rPr>
          <w:lang w:val="en-ZA"/>
        </w:rPr>
        <w:t xml:space="preserve"> relied on </w:t>
      </w:r>
      <w:r w:rsidRPr="00EF2B8C">
        <w:rPr>
          <w:i/>
          <w:lang w:val="en-ZA"/>
        </w:rPr>
        <w:t>Christie</w:t>
      </w:r>
      <w:r w:rsidRPr="009F16B1">
        <w:rPr>
          <w:lang w:val="en-ZA"/>
        </w:rPr>
        <w:t xml:space="preserve"> as the starting point in evaluating the reaso</w:t>
      </w:r>
      <w:r w:rsidR="00EF2B8C">
        <w:rPr>
          <w:lang w:val="en-ZA"/>
        </w:rPr>
        <w:t xml:space="preserve">nableness of a restraint, i e </w:t>
      </w:r>
      <w:r w:rsidRPr="009F16B1">
        <w:rPr>
          <w:lang w:val="en-ZA"/>
        </w:rPr>
        <w:t>comparing what it seeks to prevent with what it seeks to protect</w:t>
      </w:r>
      <w:r>
        <w:rPr>
          <w:rStyle w:val="FootnoteReference"/>
          <w:lang w:val="en-ZA"/>
        </w:rPr>
        <w:footnoteReference w:id="9"/>
      </w:r>
      <w:r w:rsidR="00EF2B8C">
        <w:rPr>
          <w:lang w:val="en-ZA"/>
        </w:rPr>
        <w:t>.</w:t>
      </w:r>
      <w:r w:rsidRPr="009F16B1">
        <w:rPr>
          <w:lang w:val="en-ZA"/>
        </w:rPr>
        <w:t xml:space="preserve">  We cannot fault this approach.</w:t>
      </w:r>
      <w:r w:rsidR="00EF2B8C">
        <w:rPr>
          <w:color w:val="000000"/>
        </w:rPr>
        <w:t xml:space="preserve"> </w:t>
      </w:r>
      <w:r w:rsidRPr="00EF2B8C">
        <w:rPr>
          <w:lang w:val="en-ZA"/>
        </w:rPr>
        <w:t xml:space="preserve">No evidence was proffered whatsoever that Oosthuizen has taken confidential information of the applicants or used any such information or had any customer contact with Bridgestone since he left. That notwithstanding the fact that he is working for Savino in a tyre warehouse for </w:t>
      </w:r>
      <w:r w:rsidRPr="00B63DA4">
        <w:rPr>
          <w:i/>
          <w:lang w:val="en-ZA"/>
        </w:rPr>
        <w:t>Michelin</w:t>
      </w:r>
      <w:r w:rsidRPr="00EF2B8C">
        <w:rPr>
          <w:lang w:val="en-ZA"/>
        </w:rPr>
        <w:t>, another tyre manufacturer logistics company.</w:t>
      </w:r>
    </w:p>
    <w:p w14:paraId="4E1B0331" w14:textId="3EF76259" w:rsidR="00C2518C" w:rsidRPr="009F16B1" w:rsidRDefault="00B63DA4" w:rsidP="00B63DA4">
      <w:pPr>
        <w:pStyle w:val="ListParagraph"/>
        <w:spacing w:after="120" w:line="360" w:lineRule="auto"/>
        <w:ind w:left="0"/>
        <w:jc w:val="both"/>
        <w:rPr>
          <w:color w:val="000000"/>
        </w:rPr>
      </w:pPr>
      <w:r w:rsidRPr="009F16B1">
        <w:rPr>
          <w:b/>
          <w:bCs/>
          <w:lang w:val="en-ZA"/>
        </w:rPr>
        <w:t xml:space="preserve">Genuine </w:t>
      </w:r>
      <w:r w:rsidRPr="00B63DA4">
        <w:rPr>
          <w:b/>
          <w:bCs/>
          <w:i/>
          <w:lang w:val="en-ZA"/>
        </w:rPr>
        <w:t>bona fide</w:t>
      </w:r>
      <w:r w:rsidRPr="009F16B1">
        <w:rPr>
          <w:b/>
          <w:bCs/>
          <w:lang w:val="en-ZA"/>
        </w:rPr>
        <w:t xml:space="preserve"> factual dispute</w:t>
      </w:r>
    </w:p>
    <w:p w14:paraId="7D565D8B" w14:textId="0CEAA7F3"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On Oosthuizen’s version, he was a manage</w:t>
      </w:r>
      <w:r w:rsidR="00B63DA4">
        <w:rPr>
          <w:lang w:val="en-ZA"/>
        </w:rPr>
        <w:t>r of the Logistics Bridgestone W</w:t>
      </w:r>
      <w:r w:rsidRPr="009F16B1">
        <w:rPr>
          <w:lang w:val="en-ZA"/>
        </w:rPr>
        <w:t>arehouse</w:t>
      </w:r>
      <w:r w:rsidR="00B63DA4">
        <w:rPr>
          <w:lang w:val="en-ZA"/>
        </w:rPr>
        <w:t>,</w:t>
      </w:r>
      <w:r w:rsidRPr="009F16B1">
        <w:rPr>
          <w:lang w:val="en-ZA"/>
        </w:rPr>
        <w:t xml:space="preserve"> but was not party to any sensitive financial information that might be useful to Savino or damaging to Logistics. He even attached a supporting affidavit from his immediate superior</w:t>
      </w:r>
      <w:r w:rsidR="00B63DA4">
        <w:rPr>
          <w:lang w:val="en-ZA"/>
        </w:rPr>
        <w:t xml:space="preserve"> (when he was employed by Logistics)</w:t>
      </w:r>
      <w:r w:rsidRPr="009F16B1">
        <w:rPr>
          <w:lang w:val="en-ZA"/>
        </w:rPr>
        <w:t xml:space="preserve"> to bolster this claim. She no longer works for Logistics.</w:t>
      </w:r>
    </w:p>
    <w:p w14:paraId="754F892A" w14:textId="599B5C0D" w:rsidR="00C2518C" w:rsidRPr="009F16B1" w:rsidRDefault="00C2518C" w:rsidP="009F16B1">
      <w:pPr>
        <w:pStyle w:val="ListParagraph"/>
        <w:numPr>
          <w:ilvl w:val="0"/>
          <w:numId w:val="5"/>
        </w:numPr>
        <w:tabs>
          <w:tab w:val="clear" w:pos="567"/>
        </w:tabs>
        <w:spacing w:after="120" w:line="360" w:lineRule="auto"/>
        <w:ind w:left="0" w:firstLine="0"/>
        <w:jc w:val="both"/>
        <w:rPr>
          <w:color w:val="000000"/>
        </w:rPr>
      </w:pPr>
      <w:r w:rsidRPr="009F16B1">
        <w:rPr>
          <w:lang w:val="en-ZA"/>
        </w:rPr>
        <w:t xml:space="preserve">He worked on the previous tender for Bridgestone in 2019, which Logistics won. Hence, the applicants describe </w:t>
      </w:r>
      <w:r w:rsidR="00B63DA4">
        <w:rPr>
          <w:lang w:val="en-ZA"/>
        </w:rPr>
        <w:t>him as a ‘</w:t>
      </w:r>
      <w:r w:rsidRPr="00B63DA4">
        <w:rPr>
          <w:lang w:val="en-ZA"/>
        </w:rPr>
        <w:t>significant</w:t>
      </w:r>
      <w:r w:rsidR="00B63DA4">
        <w:rPr>
          <w:lang w:val="en-ZA"/>
        </w:rPr>
        <w:t>’</w:t>
      </w:r>
      <w:r w:rsidRPr="00B63DA4">
        <w:rPr>
          <w:lang w:val="en-ZA"/>
        </w:rPr>
        <w:t xml:space="preserve"> member</w:t>
      </w:r>
      <w:r w:rsidRPr="009F16B1">
        <w:rPr>
          <w:lang w:val="en-ZA"/>
        </w:rPr>
        <w:t xml:space="preserve"> of the team which determined what rates to put in the tender. This required knowledge of what would appear t</w:t>
      </w:r>
      <w:r w:rsidR="00B63DA4">
        <w:rPr>
          <w:lang w:val="en-ZA"/>
        </w:rPr>
        <w:t xml:space="preserve">o be three vital matters, namely </w:t>
      </w:r>
      <w:r w:rsidRPr="009F16B1">
        <w:rPr>
          <w:lang w:val="en-ZA"/>
        </w:rPr>
        <w:t>the number of people required, their seniority and equipment</w:t>
      </w:r>
      <w:r>
        <w:rPr>
          <w:rStyle w:val="FootnoteReference"/>
          <w:lang w:val="en-ZA"/>
        </w:rPr>
        <w:footnoteReference w:id="10"/>
      </w:r>
      <w:r w:rsidR="00B63DA4">
        <w:rPr>
          <w:lang w:val="en-ZA"/>
        </w:rPr>
        <w:t>.</w:t>
      </w:r>
    </w:p>
    <w:p w14:paraId="58F70F52" w14:textId="537938B5" w:rsidR="00C2518C" w:rsidRPr="00B63DA4" w:rsidRDefault="00C2518C" w:rsidP="00B63DA4">
      <w:pPr>
        <w:pStyle w:val="ListParagraph"/>
        <w:numPr>
          <w:ilvl w:val="0"/>
          <w:numId w:val="5"/>
        </w:numPr>
        <w:tabs>
          <w:tab w:val="clear" w:pos="567"/>
        </w:tabs>
        <w:spacing w:line="360" w:lineRule="auto"/>
        <w:ind w:left="0" w:firstLine="0"/>
        <w:jc w:val="both"/>
        <w:rPr>
          <w:color w:val="000000"/>
        </w:rPr>
      </w:pPr>
      <w:r w:rsidRPr="009F16B1">
        <w:rPr>
          <w:color w:val="141414"/>
          <w:lang w:val="en-ZA" w:eastAsia="en-US"/>
        </w:rPr>
        <w:t>What was required of him is</w:t>
      </w:r>
      <w:r w:rsidR="00B63DA4">
        <w:rPr>
          <w:color w:val="141414"/>
          <w:lang w:val="en-ZA" w:eastAsia="en-US"/>
        </w:rPr>
        <w:t>,</w:t>
      </w:r>
      <w:r w:rsidRPr="009F16B1">
        <w:rPr>
          <w:color w:val="141414"/>
          <w:lang w:val="en-ZA" w:eastAsia="en-US"/>
        </w:rPr>
        <w:t xml:space="preserve"> in the face of final </w:t>
      </w:r>
      <w:r w:rsidR="00B63DA4">
        <w:rPr>
          <w:color w:val="141414"/>
          <w:lang w:val="en-ZA" w:eastAsia="en-US"/>
        </w:rPr>
        <w:t xml:space="preserve">relief, to </w:t>
      </w:r>
      <w:r w:rsidRPr="009F16B1">
        <w:rPr>
          <w:color w:val="141414"/>
          <w:lang w:val="en-ZA" w:eastAsia="en-US"/>
        </w:rPr>
        <w:t xml:space="preserve">put up a </w:t>
      </w:r>
      <w:r w:rsidRPr="00B63DA4">
        <w:rPr>
          <w:i/>
          <w:color w:val="141414"/>
          <w:lang w:val="en-ZA" w:eastAsia="en-US"/>
        </w:rPr>
        <w:t>bona fide</w:t>
      </w:r>
      <w:r w:rsidRPr="009F16B1">
        <w:rPr>
          <w:color w:val="141414"/>
          <w:lang w:val="en-ZA" w:eastAsia="en-US"/>
        </w:rPr>
        <w:t xml:space="preserve"> factual dispute. Although the principles pertaining to the establishment of such dispute are trite the Appellate Division revisited </w:t>
      </w:r>
      <w:r w:rsidRPr="009F16B1">
        <w:rPr>
          <w:i/>
          <w:iCs/>
          <w:color w:val="000000"/>
        </w:rPr>
        <w:t>Plascon-Evans Paints Ltd v Van Riebeeck Paints (Pty) Ltd</w:t>
      </w:r>
      <w:r>
        <w:rPr>
          <w:rStyle w:val="FootnoteReference"/>
          <w:color w:val="000000"/>
          <w:szCs w:val="20"/>
        </w:rPr>
        <w:footnoteReference w:id="11"/>
      </w:r>
      <w:r w:rsidRPr="009F16B1">
        <w:rPr>
          <w:color w:val="000000"/>
        </w:rPr>
        <w:t xml:space="preserve"> </w:t>
      </w:r>
      <w:r w:rsidRPr="009F16B1">
        <w:rPr>
          <w:color w:val="141414"/>
          <w:lang w:val="en-ZA" w:eastAsia="en-US"/>
        </w:rPr>
        <w:t xml:space="preserve">in </w:t>
      </w:r>
      <w:r w:rsidRPr="009F16B1">
        <w:rPr>
          <w:i/>
          <w:color w:val="000000" w:themeColor="text1"/>
        </w:rPr>
        <w:t>Wightman t/a JW Construction v Headfour (Pty) Ltd</w:t>
      </w:r>
      <w:r>
        <w:rPr>
          <w:rStyle w:val="FootnoteReference"/>
          <w:iCs/>
          <w:color w:val="000000" w:themeColor="text1"/>
        </w:rPr>
        <w:footnoteReference w:id="12"/>
      </w:r>
      <w:r w:rsidR="00B63DA4">
        <w:rPr>
          <w:iCs/>
          <w:color w:val="000000" w:themeColor="text1"/>
        </w:rPr>
        <w:t xml:space="preserve">, in which it was </w:t>
      </w:r>
      <w:r w:rsidRPr="00B63DA4">
        <w:rPr>
          <w:color w:val="141414"/>
          <w:lang w:val="en-ZA" w:eastAsia="en-US"/>
        </w:rPr>
        <w:t>held as follows:</w:t>
      </w:r>
    </w:p>
    <w:p w14:paraId="19139A4D" w14:textId="2FEFF832" w:rsidR="00C2518C" w:rsidRPr="00B63DA4" w:rsidRDefault="00B63DA4" w:rsidP="00B63DA4">
      <w:pPr>
        <w:pStyle w:val="ListParagraph"/>
        <w:spacing w:after="120" w:line="360" w:lineRule="auto"/>
        <w:ind w:left="0"/>
        <w:jc w:val="both"/>
        <w:rPr>
          <w:color w:val="000000"/>
          <w:sz w:val="22"/>
          <w:szCs w:val="22"/>
        </w:rPr>
      </w:pPr>
      <w:r w:rsidRPr="00B63DA4">
        <w:rPr>
          <w:rFonts w:cs="Arial"/>
          <w:iCs/>
          <w:color w:val="000000" w:themeColor="text1"/>
          <w:sz w:val="22"/>
          <w:szCs w:val="22"/>
        </w:rPr>
        <w:t>‘[13]</w:t>
      </w:r>
      <w:r w:rsidRPr="00B63DA4">
        <w:rPr>
          <w:rFonts w:cs="Arial"/>
          <w:iCs/>
          <w:color w:val="000000" w:themeColor="text1"/>
          <w:sz w:val="22"/>
          <w:szCs w:val="22"/>
        </w:rPr>
        <w:tab/>
      </w:r>
      <w:r w:rsidR="00C2518C" w:rsidRPr="00B63DA4">
        <w:rPr>
          <w:rFonts w:cs="Arial"/>
          <w:iCs/>
          <w:color w:val="000000" w:themeColor="text1"/>
          <w:sz w:val="22"/>
          <w:szCs w:val="22"/>
        </w:rPr>
        <w:t xml:space="preserve">A real, genuine and </w:t>
      </w:r>
      <w:r w:rsidR="00C2518C" w:rsidRPr="00B63DA4">
        <w:rPr>
          <w:rFonts w:cs="Arial"/>
          <w:i/>
          <w:iCs/>
          <w:color w:val="000000" w:themeColor="text1"/>
          <w:sz w:val="22"/>
          <w:szCs w:val="22"/>
        </w:rPr>
        <w:t>bona fide</w:t>
      </w:r>
      <w:r w:rsidR="00C2518C" w:rsidRPr="00B63DA4">
        <w:rPr>
          <w:rFonts w:cs="Arial"/>
          <w:iCs/>
          <w:color w:val="000000" w:themeColor="text1"/>
          <w:sz w:val="22"/>
          <w:szCs w:val="22"/>
        </w:rPr>
        <w:t xml:space="preserve"> dispute of fact can exist only where the court is satisfied that the party who purports to raise the dispute has</w:t>
      </w:r>
      <w:r w:rsidR="00C2518C" w:rsidRPr="00B63DA4">
        <w:rPr>
          <w:rStyle w:val="MC"/>
          <w:rFonts w:ascii="Arial" w:hAnsi="Arial" w:cs="Arial"/>
          <w:iCs/>
          <w:color w:val="000000" w:themeColor="text1"/>
          <w:sz w:val="22"/>
          <w:szCs w:val="22"/>
          <w:specVanish w:val="0"/>
        </w:rPr>
        <w:t xml:space="preserve"> G </w:t>
      </w:r>
      <w:r w:rsidR="00C2518C" w:rsidRPr="00B63DA4">
        <w:rPr>
          <w:rFonts w:cs="Arial"/>
          <w:iCs/>
          <w:color w:val="000000" w:themeColor="text1"/>
          <w:sz w:val="22"/>
          <w:szCs w:val="22"/>
        </w:rPr>
        <w:t xml:space="preserve"> in his affidavit seriously and unambiguously addressed the fact said to be disputed. There will of course be instances where a bare denial meets the requirement because there is no other way open to the </w:t>
      </w:r>
      <w:r w:rsidR="00C2518C" w:rsidRPr="00B63DA4">
        <w:rPr>
          <w:rFonts w:cs="Arial"/>
          <w:iCs/>
          <w:color w:val="000000" w:themeColor="text1"/>
          <w:sz w:val="22"/>
          <w:szCs w:val="22"/>
        </w:rPr>
        <w:lastRenderedPageBreak/>
        <w:t>disputing party and nothing more can therefore be expected of him. But even that may not be sufficient if the fact averred lies purely within the knowledge of the averring party and no basis is laid for disputing the veracity or accuracy</w:t>
      </w:r>
      <w:r w:rsidR="00C2518C" w:rsidRPr="00B63DA4">
        <w:rPr>
          <w:rStyle w:val="MC"/>
          <w:rFonts w:ascii="Arial" w:hAnsi="Arial" w:cs="Arial"/>
          <w:iCs/>
          <w:color w:val="000000" w:themeColor="text1"/>
          <w:sz w:val="22"/>
          <w:szCs w:val="22"/>
          <w:specVanish w:val="0"/>
        </w:rPr>
        <w:t xml:space="preserve"> H </w:t>
      </w:r>
      <w:r w:rsidR="00C2518C" w:rsidRPr="00B63DA4">
        <w:rPr>
          <w:rFonts w:cs="Arial"/>
          <w:iCs/>
          <w:color w:val="000000" w:themeColor="text1"/>
          <w:sz w:val="22"/>
          <w:szCs w:val="22"/>
        </w:rPr>
        <w:t xml:space="preserve"> of the averment.</w:t>
      </w:r>
      <w:r w:rsidR="00C2518C" w:rsidRPr="00B63DA4">
        <w:rPr>
          <w:rFonts w:cs="Arial"/>
          <w:bCs/>
          <w:iCs/>
          <w:color w:val="000000" w:themeColor="text1"/>
          <w:sz w:val="22"/>
          <w:szCs w:val="22"/>
        </w:rPr>
        <w:t xml:space="preserve">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w:t>
      </w:r>
      <w:r w:rsidR="00C2518C" w:rsidRPr="00B63DA4">
        <w:rPr>
          <w:rStyle w:val="MC"/>
          <w:rFonts w:ascii="Arial" w:hAnsi="Arial" w:cs="Arial"/>
          <w:bCs/>
          <w:iCs/>
          <w:color w:val="000000" w:themeColor="text1"/>
          <w:sz w:val="22"/>
          <w:szCs w:val="22"/>
          <w:specVanish w:val="0"/>
        </w:rPr>
        <w:t xml:space="preserve"> I </w:t>
      </w:r>
      <w:r w:rsidR="00C2518C" w:rsidRPr="00B63DA4">
        <w:rPr>
          <w:rFonts w:cs="Arial"/>
          <w:bCs/>
          <w:iCs/>
          <w:color w:val="000000" w:themeColor="text1"/>
          <w:sz w:val="22"/>
          <w:szCs w:val="22"/>
        </w:rPr>
        <w:t xml:space="preserve"> 'generally' because factual averments seldom stand apart from a broader matrix of circumstances all of which needs to be borne in mind when arriving at a decision. A litigant may not necessarily recognise or</w:t>
      </w:r>
      <w:r w:rsidR="00C2518C" w:rsidRPr="00B63DA4">
        <w:rPr>
          <w:rStyle w:val="MC"/>
          <w:rFonts w:ascii="Arial" w:hAnsi="Arial" w:cs="Arial"/>
          <w:bCs/>
          <w:iCs/>
          <w:color w:val="000000" w:themeColor="text1"/>
          <w:sz w:val="22"/>
          <w:szCs w:val="22"/>
          <w:specVanish w:val="0"/>
        </w:rPr>
        <w:t xml:space="preserve"> A </w:t>
      </w:r>
      <w:r w:rsidR="00C2518C" w:rsidRPr="00B63DA4">
        <w:rPr>
          <w:rFonts w:cs="Arial"/>
          <w:bCs/>
          <w:iCs/>
          <w:color w:val="000000" w:themeColor="text1"/>
          <w:sz w:val="22"/>
          <w:szCs w:val="22"/>
        </w:rPr>
        <w:t xml:space="preserve">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w:t>
      </w:r>
      <w:r w:rsidR="00C2518C" w:rsidRPr="00B63DA4">
        <w:rPr>
          <w:rStyle w:val="MC"/>
          <w:rFonts w:ascii="Arial" w:hAnsi="Arial" w:cs="Arial"/>
          <w:bCs/>
          <w:iCs/>
          <w:color w:val="000000" w:themeColor="text1"/>
          <w:sz w:val="22"/>
          <w:szCs w:val="22"/>
          <w:specVanish w:val="0"/>
        </w:rPr>
        <w:t xml:space="preserve"> B </w:t>
      </w:r>
      <w:r w:rsidR="00C2518C" w:rsidRPr="00B63DA4">
        <w:rPr>
          <w:rFonts w:cs="Arial"/>
          <w:bCs/>
          <w:iCs/>
          <w:color w:val="000000" w:themeColor="text1"/>
          <w:sz w:val="22"/>
          <w:szCs w:val="22"/>
        </w:rPr>
        <w:t xml:space="preserve">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r>
        <w:rPr>
          <w:rFonts w:cs="Arial"/>
          <w:bCs/>
          <w:color w:val="000000" w:themeColor="text1"/>
          <w:sz w:val="22"/>
          <w:szCs w:val="22"/>
        </w:rPr>
        <w:t>’</w:t>
      </w:r>
      <w:r w:rsidR="00C2518C" w:rsidRPr="00B63DA4">
        <w:rPr>
          <w:rStyle w:val="FootnoteReference"/>
          <w:bCs/>
          <w:color w:val="000000" w:themeColor="text1"/>
          <w:szCs w:val="22"/>
        </w:rPr>
        <w:footnoteReference w:id="13"/>
      </w:r>
    </w:p>
    <w:p w14:paraId="1F03F2EE" w14:textId="1204E687"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color w:val="141414"/>
          <w:lang w:val="en-ZA" w:eastAsia="en-US"/>
        </w:rPr>
        <w:t>Oosthuizen’s</w:t>
      </w:r>
      <w:r w:rsidRPr="004507CF">
        <w:rPr>
          <w:lang w:val="en-ZA"/>
        </w:rPr>
        <w:t xml:space="preserve"> attempts to deny that which he must have had knowledge about simply does not bear scrutiny. The notion that Logistics did not accept the benefits of the restraint are suspect. </w:t>
      </w:r>
    </w:p>
    <w:p w14:paraId="758B4EAD" w14:textId="5FC5DD89"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Similarly, we are asked to believe that Logistics entered into a series of verbal agreements with Oosthuizen. This is commercially naïve and untenable. Personnel had a restraint and so had every company in the Value group of companies based</w:t>
      </w:r>
      <w:r w:rsidR="00577953">
        <w:rPr>
          <w:lang w:val="en-ZA"/>
        </w:rPr>
        <w:t xml:space="preserve"> on the extended definition of ‘company’</w:t>
      </w:r>
      <w:r w:rsidRPr="004507CF">
        <w:rPr>
          <w:lang w:val="en-ZA"/>
        </w:rPr>
        <w:t xml:space="preserve"> in the restraint clause.</w:t>
      </w:r>
    </w:p>
    <w:p w14:paraId="7C564837" w14:textId="495554AA"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color w:val="141414"/>
          <w:lang w:val="en-ZA" w:eastAsia="en-US"/>
        </w:rPr>
        <w:t>Oosthuizen’s approach to the restraint</w:t>
      </w:r>
      <w:r w:rsidR="00577953">
        <w:rPr>
          <w:color w:val="141414"/>
          <w:lang w:val="en-ZA" w:eastAsia="en-US"/>
        </w:rPr>
        <w:t xml:space="preserve">, i e </w:t>
      </w:r>
      <w:r w:rsidRPr="004507CF">
        <w:rPr>
          <w:color w:val="141414"/>
          <w:lang w:val="en-ZA" w:eastAsia="en-US"/>
        </w:rPr>
        <w:t>that he did not accept same despite the fact that he signed the agreement undermines the denials in his answering affidavit. The fact that his denials are bolstered by Ms Duvenhage is of no assistance.</w:t>
      </w:r>
    </w:p>
    <w:p w14:paraId="151D7279" w14:textId="41F3A815" w:rsidR="00C2518C" w:rsidRPr="004507CF" w:rsidRDefault="00C2518C" w:rsidP="00577953">
      <w:pPr>
        <w:pStyle w:val="ListParagraph"/>
        <w:numPr>
          <w:ilvl w:val="0"/>
          <w:numId w:val="5"/>
        </w:numPr>
        <w:tabs>
          <w:tab w:val="clear" w:pos="567"/>
        </w:tabs>
        <w:spacing w:line="360" w:lineRule="auto"/>
        <w:ind w:left="0" w:firstLine="0"/>
        <w:jc w:val="both"/>
        <w:rPr>
          <w:color w:val="000000"/>
        </w:rPr>
      </w:pPr>
      <w:r w:rsidRPr="004507CF">
        <w:rPr>
          <w:color w:val="141414"/>
          <w:lang w:val="en-ZA" w:eastAsia="en-US"/>
        </w:rPr>
        <w:t>It is of some importance that Oosthuizen adm</w:t>
      </w:r>
      <w:r w:rsidR="00577953">
        <w:rPr>
          <w:color w:val="141414"/>
          <w:lang w:val="en-ZA" w:eastAsia="en-US"/>
        </w:rPr>
        <w:t xml:space="preserve">its the facts in paragraph 23.2 to </w:t>
      </w:r>
      <w:r w:rsidRPr="004507CF">
        <w:rPr>
          <w:color w:val="141414"/>
          <w:lang w:val="en-ZA" w:eastAsia="en-US"/>
        </w:rPr>
        <w:t xml:space="preserve">23.5 of the founding affidavit when he deals with same </w:t>
      </w:r>
      <w:r w:rsidRPr="00577953">
        <w:rPr>
          <w:i/>
          <w:color w:val="141414"/>
          <w:lang w:val="en-ZA" w:eastAsia="en-US"/>
        </w:rPr>
        <w:t>ad seriatim</w:t>
      </w:r>
      <w:r w:rsidRPr="004507CF">
        <w:rPr>
          <w:color w:val="141414"/>
          <w:lang w:val="en-ZA" w:eastAsia="en-US"/>
        </w:rPr>
        <w:t xml:space="preserve">. The earlier denials in paragraph 36 (and its sub-numbers) cannot be reconciled with </w:t>
      </w:r>
      <w:r w:rsidRPr="004507CF">
        <w:rPr>
          <w:color w:val="141414"/>
          <w:lang w:val="en-ZA" w:eastAsia="en-US"/>
        </w:rPr>
        <w:lastRenderedPageBreak/>
        <w:t>these. The following</w:t>
      </w:r>
      <w:r w:rsidR="00577953">
        <w:rPr>
          <w:color w:val="141414"/>
          <w:lang w:val="en-ZA" w:eastAsia="en-US"/>
        </w:rPr>
        <w:t xml:space="preserve"> paragraphs and its contents are </w:t>
      </w:r>
      <w:r w:rsidRPr="004507CF">
        <w:rPr>
          <w:color w:val="141414"/>
          <w:lang w:val="en-ZA" w:eastAsia="en-US"/>
        </w:rPr>
        <w:t>admitted</w:t>
      </w:r>
      <w:r w:rsidR="00577953">
        <w:rPr>
          <w:color w:val="141414"/>
          <w:lang w:val="en-ZA" w:eastAsia="en-US"/>
        </w:rPr>
        <w:t xml:space="preserve"> by Oosthuizen</w:t>
      </w:r>
      <w:r w:rsidRPr="004507CF">
        <w:rPr>
          <w:color w:val="141414"/>
          <w:lang w:val="en-ZA" w:eastAsia="en-US"/>
        </w:rPr>
        <w:t xml:space="preserve"> without qualification:</w:t>
      </w:r>
    </w:p>
    <w:p w14:paraId="25BD559D" w14:textId="3F5BC545" w:rsidR="00C2518C" w:rsidRPr="00577953" w:rsidRDefault="00577953" w:rsidP="00577953">
      <w:pPr>
        <w:pStyle w:val="ListParagraph"/>
        <w:spacing w:line="360" w:lineRule="auto"/>
        <w:ind w:left="567" w:hanging="567"/>
        <w:jc w:val="both"/>
        <w:rPr>
          <w:color w:val="000000"/>
          <w:sz w:val="22"/>
          <w:szCs w:val="22"/>
        </w:rPr>
      </w:pPr>
      <w:r>
        <w:rPr>
          <w:iCs/>
          <w:color w:val="141414"/>
          <w:sz w:val="22"/>
          <w:szCs w:val="22"/>
          <w:lang w:val="en-ZA" w:eastAsia="en-US"/>
        </w:rPr>
        <w:t>‘</w:t>
      </w:r>
      <w:r w:rsidR="00C2518C" w:rsidRPr="00577953">
        <w:rPr>
          <w:iCs/>
          <w:color w:val="141414"/>
          <w:sz w:val="22"/>
          <w:szCs w:val="22"/>
          <w:lang w:val="en-ZA" w:eastAsia="en-US"/>
        </w:rPr>
        <w:t>23.2</w:t>
      </w:r>
      <w:r>
        <w:rPr>
          <w:iCs/>
          <w:color w:val="141414"/>
          <w:sz w:val="22"/>
          <w:szCs w:val="22"/>
          <w:lang w:val="en-ZA" w:eastAsia="en-US"/>
        </w:rPr>
        <w:tab/>
      </w:r>
      <w:r w:rsidR="00C2518C" w:rsidRPr="00577953">
        <w:rPr>
          <w:iCs/>
          <w:color w:val="141414"/>
          <w:sz w:val="22"/>
          <w:szCs w:val="22"/>
          <w:lang w:val="en-ZA" w:eastAsia="en-US"/>
        </w:rPr>
        <w:t>Details of the Applicant's profits and losses on a monthly basis.</w:t>
      </w:r>
    </w:p>
    <w:p w14:paraId="2F7BBDAA" w14:textId="49D08AC2" w:rsidR="00C2518C" w:rsidRPr="00577953" w:rsidRDefault="00577953" w:rsidP="00577953">
      <w:pPr>
        <w:pStyle w:val="ListParagraph"/>
        <w:spacing w:line="360" w:lineRule="auto"/>
        <w:ind w:left="567" w:hanging="567"/>
        <w:jc w:val="both"/>
        <w:rPr>
          <w:color w:val="000000"/>
          <w:sz w:val="22"/>
          <w:szCs w:val="22"/>
        </w:rPr>
      </w:pPr>
      <w:r>
        <w:rPr>
          <w:iCs/>
          <w:color w:val="141414"/>
          <w:sz w:val="22"/>
          <w:szCs w:val="22"/>
          <w:lang w:val="en-ZA" w:eastAsia="en-US"/>
        </w:rPr>
        <w:t>23.3</w:t>
      </w:r>
      <w:r>
        <w:rPr>
          <w:iCs/>
          <w:color w:val="141414"/>
          <w:sz w:val="22"/>
          <w:szCs w:val="22"/>
          <w:lang w:val="en-ZA" w:eastAsia="en-US"/>
        </w:rPr>
        <w:tab/>
      </w:r>
      <w:r w:rsidR="00C2518C" w:rsidRPr="00577953">
        <w:rPr>
          <w:iCs/>
          <w:color w:val="141414"/>
          <w:sz w:val="22"/>
          <w:szCs w:val="22"/>
          <w:lang w:val="en-ZA" w:eastAsia="en-US"/>
        </w:rPr>
        <w:t>Details of strengths and weaknesses in Applicant's operational</w:t>
      </w:r>
      <w:r w:rsidR="004507CF" w:rsidRPr="00577953">
        <w:rPr>
          <w:iCs/>
          <w:color w:val="141414"/>
          <w:sz w:val="22"/>
          <w:szCs w:val="22"/>
          <w:lang w:val="en-ZA" w:eastAsia="en-US"/>
        </w:rPr>
        <w:t xml:space="preserve"> </w:t>
      </w:r>
      <w:r w:rsidR="00C2518C" w:rsidRPr="00577953">
        <w:rPr>
          <w:iCs/>
          <w:color w:val="141414"/>
          <w:sz w:val="22"/>
          <w:szCs w:val="22"/>
          <w:lang w:val="en-ZA" w:eastAsia="en-US"/>
        </w:rPr>
        <w:t>systems and how such strengths and weaknesses can be applied and improved upon.</w:t>
      </w:r>
    </w:p>
    <w:p w14:paraId="391AF8F7" w14:textId="29C21B53" w:rsidR="00C2518C" w:rsidRPr="00577953" w:rsidRDefault="00577953" w:rsidP="00577953">
      <w:pPr>
        <w:pStyle w:val="ListParagraph"/>
        <w:spacing w:line="360" w:lineRule="auto"/>
        <w:ind w:left="567" w:hanging="567"/>
        <w:jc w:val="both"/>
        <w:rPr>
          <w:color w:val="000000"/>
          <w:sz w:val="22"/>
          <w:szCs w:val="22"/>
        </w:rPr>
      </w:pPr>
      <w:r>
        <w:rPr>
          <w:iCs/>
          <w:color w:val="141414"/>
          <w:sz w:val="22"/>
          <w:szCs w:val="22"/>
          <w:lang w:val="en-ZA" w:eastAsia="en-US"/>
        </w:rPr>
        <w:t>23.4</w:t>
      </w:r>
      <w:r>
        <w:rPr>
          <w:iCs/>
          <w:color w:val="141414"/>
          <w:sz w:val="22"/>
          <w:szCs w:val="22"/>
          <w:lang w:val="en-ZA" w:eastAsia="en-US"/>
        </w:rPr>
        <w:tab/>
      </w:r>
      <w:r w:rsidR="00C2518C" w:rsidRPr="00577953">
        <w:rPr>
          <w:iCs/>
          <w:color w:val="141414"/>
          <w:sz w:val="22"/>
          <w:szCs w:val="22"/>
          <w:lang w:val="en-ZA" w:eastAsia="en-US"/>
        </w:rPr>
        <w:t>The particular requirements of Bridgestone's various major</w:t>
      </w:r>
      <w:r w:rsidR="004507CF" w:rsidRPr="00577953">
        <w:rPr>
          <w:iCs/>
          <w:color w:val="141414"/>
          <w:sz w:val="22"/>
          <w:szCs w:val="22"/>
          <w:lang w:val="en-ZA" w:eastAsia="en-US"/>
        </w:rPr>
        <w:t xml:space="preserve"> </w:t>
      </w:r>
      <w:r w:rsidR="00C2518C" w:rsidRPr="00577953">
        <w:rPr>
          <w:iCs/>
          <w:color w:val="141414"/>
          <w:sz w:val="22"/>
          <w:szCs w:val="22"/>
          <w:lang w:val="en-ZA" w:eastAsia="en-US"/>
        </w:rPr>
        <w:t xml:space="preserve">customers. In this regard Bridgestone know very well that </w:t>
      </w:r>
      <w:r w:rsidR="00C2518C" w:rsidRPr="00577953">
        <w:rPr>
          <w:iCs/>
          <w:color w:val="151515"/>
          <w:sz w:val="22"/>
          <w:szCs w:val="22"/>
          <w:lang w:val="en-ZA" w:eastAsia="en-US"/>
        </w:rPr>
        <w:t>Oosthuizen knows how to deal with their customers. When there were problems, Oosthuizen would visit the customers to remedy same.</w:t>
      </w:r>
    </w:p>
    <w:p w14:paraId="284A6B1F" w14:textId="5421CA8D" w:rsidR="00C2518C" w:rsidRPr="00577953" w:rsidRDefault="00577953" w:rsidP="00577953">
      <w:pPr>
        <w:pStyle w:val="ListParagraph"/>
        <w:spacing w:after="120" w:line="360" w:lineRule="auto"/>
        <w:ind w:left="567" w:hanging="567"/>
        <w:jc w:val="both"/>
        <w:rPr>
          <w:color w:val="000000"/>
          <w:sz w:val="22"/>
          <w:szCs w:val="22"/>
        </w:rPr>
      </w:pPr>
      <w:r>
        <w:rPr>
          <w:iCs/>
          <w:color w:val="151515"/>
          <w:sz w:val="22"/>
          <w:szCs w:val="22"/>
          <w:lang w:val="en-ZA" w:eastAsia="en-US"/>
        </w:rPr>
        <w:t>23.5</w:t>
      </w:r>
      <w:r>
        <w:rPr>
          <w:iCs/>
          <w:color w:val="151515"/>
          <w:sz w:val="22"/>
          <w:szCs w:val="22"/>
          <w:lang w:val="en-ZA" w:eastAsia="en-US"/>
        </w:rPr>
        <w:tab/>
      </w:r>
      <w:r w:rsidR="00C2518C" w:rsidRPr="00577953">
        <w:rPr>
          <w:iCs/>
          <w:color w:val="151515"/>
          <w:sz w:val="22"/>
          <w:szCs w:val="22"/>
          <w:lang w:val="en-ZA" w:eastAsia="en-US"/>
        </w:rPr>
        <w:t>The Applicant's strategy sessions pertaining to the retention of customers with new warehouse layout proposals.</w:t>
      </w:r>
      <w:r>
        <w:rPr>
          <w:iCs/>
          <w:color w:val="151515"/>
          <w:sz w:val="22"/>
          <w:szCs w:val="22"/>
          <w:lang w:val="en-ZA" w:eastAsia="en-US"/>
        </w:rPr>
        <w:t>’</w:t>
      </w:r>
    </w:p>
    <w:p w14:paraId="6E6E62C0" w14:textId="29CE9592" w:rsidR="00C2518C" w:rsidRPr="00577953" w:rsidRDefault="00577953" w:rsidP="00577953">
      <w:pPr>
        <w:pStyle w:val="ListParagraph"/>
        <w:numPr>
          <w:ilvl w:val="0"/>
          <w:numId w:val="5"/>
        </w:numPr>
        <w:tabs>
          <w:tab w:val="clear" w:pos="567"/>
        </w:tabs>
        <w:spacing w:after="120" w:line="360" w:lineRule="auto"/>
        <w:ind w:left="0" w:firstLine="0"/>
        <w:jc w:val="both"/>
        <w:rPr>
          <w:color w:val="000000"/>
        </w:rPr>
      </w:pPr>
      <w:r>
        <w:rPr>
          <w:lang w:val="en-ZA"/>
        </w:rPr>
        <w:t>The fears of Logistics</w:t>
      </w:r>
      <w:r w:rsidR="00C2518C" w:rsidRPr="004507CF">
        <w:rPr>
          <w:lang w:val="en-ZA"/>
        </w:rPr>
        <w:t xml:space="preserve"> are</w:t>
      </w:r>
      <w:r>
        <w:rPr>
          <w:lang w:val="en-ZA"/>
        </w:rPr>
        <w:t xml:space="preserve"> real and</w:t>
      </w:r>
      <w:r w:rsidR="00C2518C" w:rsidRPr="004507CF">
        <w:rPr>
          <w:lang w:val="en-ZA"/>
        </w:rPr>
        <w:t xml:space="preserve"> understandable given that Savino had competed for the 2019 round of tenders to become the Bridgestone logistics supplier.</w:t>
      </w:r>
      <w:r>
        <w:rPr>
          <w:color w:val="000000"/>
        </w:rPr>
        <w:t xml:space="preserve"> </w:t>
      </w:r>
      <w:r w:rsidR="00C2518C" w:rsidRPr="00577953">
        <w:rPr>
          <w:lang w:val="en-ZA"/>
        </w:rPr>
        <w:t>In particular, Oosthuizen’s response pertaining to the issue of whether or not he worked on the Bridgestone tender does not pass muster. On a proper reading of his affidavit, it is not clear whether he denies working on the tender or whether, if he had worked on the tender, he was not exposed to more commercially sensitive information. Given that he has to show why he should be relieved from his restraint, one would have expected a proper and detailed response to those parts of the founding affidavit setting out precisely what knowledge he was exposed to.</w:t>
      </w:r>
    </w:p>
    <w:p w14:paraId="05118EC9" w14:textId="6FE4FEC5" w:rsidR="004507CF"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 xml:space="preserve">His failure to deal properly with same caused the court </w:t>
      </w:r>
      <w:r w:rsidRPr="00577953">
        <w:rPr>
          <w:i/>
          <w:lang w:val="en-ZA"/>
        </w:rPr>
        <w:t>a quo</w:t>
      </w:r>
      <w:r w:rsidRPr="004507CF">
        <w:rPr>
          <w:lang w:val="en-ZA"/>
        </w:rPr>
        <w:t xml:space="preserve"> to conclude that not only was his answer evasive</w:t>
      </w:r>
      <w:r w:rsidR="00577953">
        <w:rPr>
          <w:lang w:val="en-ZA"/>
        </w:rPr>
        <w:t>,</w:t>
      </w:r>
      <w:r w:rsidRPr="004507CF">
        <w:rPr>
          <w:lang w:val="en-ZA"/>
        </w:rPr>
        <w:t xml:space="preserve"> but it was </w:t>
      </w:r>
      <w:r w:rsidR="00577953">
        <w:rPr>
          <w:lang w:val="en-ZA"/>
        </w:rPr>
        <w:t xml:space="preserve">also </w:t>
      </w:r>
      <w:r w:rsidRPr="004507CF">
        <w:rPr>
          <w:lang w:val="en-ZA"/>
        </w:rPr>
        <w:t xml:space="preserve">so unsatisfactory that it could not but </w:t>
      </w:r>
      <w:r w:rsidR="00577953">
        <w:rPr>
          <w:lang w:val="en-ZA"/>
        </w:rPr>
        <w:t>find that Logistics’ allegation</w:t>
      </w:r>
      <w:r w:rsidRPr="004507CF">
        <w:rPr>
          <w:lang w:val="en-ZA"/>
        </w:rPr>
        <w:t xml:space="preserve"> that he had worked on the tender and had access to some of its strategic information, was to be treated as uncontradicted.</w:t>
      </w:r>
    </w:p>
    <w:p w14:paraId="794E3740" w14:textId="32651F9B"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 xml:space="preserve"> Applying the tests set out above and taking a robust approach</w:t>
      </w:r>
      <w:r w:rsidR="00577953">
        <w:rPr>
          <w:lang w:val="en-ZA"/>
        </w:rPr>
        <w:t>,</w:t>
      </w:r>
      <w:r w:rsidRPr="004507CF">
        <w:rPr>
          <w:lang w:val="en-ZA"/>
        </w:rPr>
        <w:t xml:space="preserve"> it follows ineluctably that absent any other acceptable </w:t>
      </w:r>
      <w:r w:rsidRPr="00577953">
        <w:rPr>
          <w:i/>
          <w:lang w:val="en-ZA"/>
        </w:rPr>
        <w:t>causa</w:t>
      </w:r>
      <w:r w:rsidRPr="004507CF">
        <w:rPr>
          <w:lang w:val="en-ZA"/>
        </w:rPr>
        <w:t xml:space="preserve"> Oosthuizen must have been transferred under clause 15.1.2 even if it was not pleaded specifically.</w:t>
      </w:r>
    </w:p>
    <w:p w14:paraId="48AA874A" w14:textId="05C652C4"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 xml:space="preserve">On the basis that he had worked on the tender, this would place Savino in a position in the upcoming tender on 31 March 2023 where Oosthuizen’s could assist Savino and might be able to utilise commercially sensitive and reasonably </w:t>
      </w:r>
      <w:r w:rsidRPr="004507CF">
        <w:rPr>
          <w:lang w:val="en-ZA"/>
        </w:rPr>
        <w:lastRenderedPageBreak/>
        <w:t>current information about the Logistics competitors in relation to the Bridgestone tender to their disadvantage and to the advantage of Savino.</w:t>
      </w:r>
    </w:p>
    <w:p w14:paraId="5114F13B" w14:textId="412DD708" w:rsidR="00C2518C" w:rsidRPr="004507CF" w:rsidRDefault="00577953" w:rsidP="00577953">
      <w:pPr>
        <w:pStyle w:val="ListParagraph"/>
        <w:numPr>
          <w:ilvl w:val="0"/>
          <w:numId w:val="5"/>
        </w:numPr>
        <w:tabs>
          <w:tab w:val="clear" w:pos="567"/>
        </w:tabs>
        <w:spacing w:after="240" w:line="360" w:lineRule="auto"/>
        <w:ind w:left="0" w:firstLine="0"/>
        <w:jc w:val="both"/>
        <w:rPr>
          <w:color w:val="000000"/>
        </w:rPr>
      </w:pPr>
      <w:r>
        <w:rPr>
          <w:lang w:val="en-ZA"/>
        </w:rPr>
        <w:t>Logistics</w:t>
      </w:r>
      <w:r w:rsidR="00C2518C" w:rsidRPr="004507CF">
        <w:rPr>
          <w:lang w:val="en-ZA"/>
        </w:rPr>
        <w:t xml:space="preserve"> is entitled to tender again for the Bridgestone contract without any interference or the risk of Oosthuizen compromising its confidential information. It thus follows that Logistics is entitled to some form of protection when tendering for the upcoming Bridgestone tender</w:t>
      </w:r>
      <w:r w:rsidR="004507CF">
        <w:rPr>
          <w:lang w:val="en-ZA"/>
        </w:rPr>
        <w:t>.</w:t>
      </w:r>
    </w:p>
    <w:p w14:paraId="2B774BFC" w14:textId="4414FEA3" w:rsidR="00C2518C" w:rsidRPr="004507CF" w:rsidRDefault="00577953" w:rsidP="00577953">
      <w:pPr>
        <w:pStyle w:val="ListParagraph"/>
        <w:spacing w:after="120" w:line="360" w:lineRule="auto"/>
        <w:ind w:left="0"/>
        <w:jc w:val="both"/>
        <w:rPr>
          <w:color w:val="000000"/>
        </w:rPr>
      </w:pPr>
      <w:r w:rsidRPr="004507CF">
        <w:rPr>
          <w:b/>
          <w:bCs/>
          <w:lang w:val="en-ZA"/>
        </w:rPr>
        <w:t xml:space="preserve">Is the period and scope of the restraint </w:t>
      </w:r>
      <w:r w:rsidR="00B40FF6" w:rsidRPr="004507CF">
        <w:rPr>
          <w:b/>
          <w:bCs/>
          <w:lang w:val="en-ZA"/>
        </w:rPr>
        <w:t>reasonable?</w:t>
      </w:r>
    </w:p>
    <w:p w14:paraId="7457DD9E" w14:textId="36A4A19F" w:rsidR="004507CF"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 xml:space="preserve">The restraint ends in April 2024 and is against </w:t>
      </w:r>
      <w:r w:rsidR="00464B6D">
        <w:rPr>
          <w:lang w:val="en-ZA"/>
        </w:rPr>
        <w:t xml:space="preserve">Oosthuizen </w:t>
      </w:r>
      <w:r w:rsidRPr="004507CF">
        <w:rPr>
          <w:lang w:val="en-ZA"/>
        </w:rPr>
        <w:t>being employed by any company that competes with any company in the Value Group within 75 kilometres of its outlets. Oosthuizen himself points out that the Group has a footprint in numerous locations in South Africa and that its logistics operations are not limited to tyres.</w:t>
      </w:r>
    </w:p>
    <w:p w14:paraId="27FDD1D4" w14:textId="53E12255"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 xml:space="preserve"> Given the wide footprint of Logistics and the fact that his restraint is not limited to Logistics in the context of tyres</w:t>
      </w:r>
      <w:r w:rsidR="00B40FF6">
        <w:rPr>
          <w:lang w:val="en-ZA"/>
        </w:rPr>
        <w:t>,</w:t>
      </w:r>
      <w:r w:rsidRPr="004507CF">
        <w:rPr>
          <w:lang w:val="en-ZA"/>
        </w:rPr>
        <w:t xml:space="preserve"> we are of the view that the restraint is overly broad and not required for the protection of the legitimate interests of Logistics.</w:t>
      </w:r>
    </w:p>
    <w:p w14:paraId="3E93FD3F" w14:textId="4D1C5DCA" w:rsidR="004507CF"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The applicants proposed certain rela</w:t>
      </w:r>
      <w:r w:rsidR="00B40FF6">
        <w:rPr>
          <w:lang w:val="en-ZA"/>
        </w:rPr>
        <w:t xml:space="preserve">xations of the restraint, i e </w:t>
      </w:r>
      <w:r w:rsidRPr="004507CF">
        <w:rPr>
          <w:lang w:val="en-ZA"/>
        </w:rPr>
        <w:t>limiting same to tyre warehousing and distribution in the logistics industry. With that came a tender to provide for payment to Oosthuizen for a period of six months, provided he does not take up another job with a non-competing firm in the interim.</w:t>
      </w:r>
    </w:p>
    <w:p w14:paraId="4F76445F" w14:textId="0F6F50E9"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 xml:space="preserve"> This proposal of Logistics should be weighed against a proposal emanating from the respondents, allowing Oosthuizen to continue his employment with Savino but confining him, in terms of an undertaking given mutually by the respondents, to working with </w:t>
      </w:r>
      <w:r w:rsidRPr="00B40FF6">
        <w:rPr>
          <w:i/>
          <w:lang w:val="en-ZA"/>
        </w:rPr>
        <w:t>Michelin</w:t>
      </w:r>
      <w:r w:rsidRPr="004507CF">
        <w:rPr>
          <w:lang w:val="en-ZA"/>
        </w:rPr>
        <w:t xml:space="preserve"> as his customer and not Bridgestone (if they won the tender) for the period of the restraint. The applicants have rejected the aforesaid on the basis that it is unpoliceable. A mere undertaking that he would in future only work with Michelin as a customer and not with Bridgestone clearly does not protect the valid interests of Logistics in the upcoming tender.</w:t>
      </w:r>
    </w:p>
    <w:p w14:paraId="0729D7B1" w14:textId="6F03B0F8"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lastRenderedPageBreak/>
        <w:t xml:space="preserve">In the matter of </w:t>
      </w:r>
      <w:r w:rsidRPr="004507CF">
        <w:rPr>
          <w:i/>
          <w:lang w:val="en-ZA"/>
        </w:rPr>
        <w:t>Experian South Africa (Pty) Ltd v Haynes and Another</w:t>
      </w:r>
      <w:r>
        <w:rPr>
          <w:rStyle w:val="FootnoteReference"/>
          <w:iCs/>
          <w:lang w:val="en-ZA"/>
        </w:rPr>
        <w:footnoteReference w:id="14"/>
      </w:r>
      <w:r w:rsidR="00B40FF6">
        <w:rPr>
          <w:i/>
          <w:lang w:val="en-ZA"/>
        </w:rPr>
        <w:t>,</w:t>
      </w:r>
      <w:r w:rsidRPr="004507CF">
        <w:rPr>
          <w:lang w:val="en-ZA"/>
        </w:rPr>
        <w:t xml:space="preserve"> it was held that when an employer has endeavoured to safeguard itself against the unpoliceable danger of the respondent communicating its trade risks or utilising its customer connections</w:t>
      </w:r>
      <w:r w:rsidR="00343A59">
        <w:rPr>
          <w:lang w:val="en-ZA"/>
        </w:rPr>
        <w:t>,</w:t>
      </w:r>
      <w:r w:rsidRPr="004507CF">
        <w:rPr>
          <w:lang w:val="en-ZA"/>
        </w:rPr>
        <w:t xml:space="preserve"> it should not have to run the risk that the respondent will do so, nor is it incumbent upon the applicant to enquire into the </w:t>
      </w:r>
      <w:r w:rsidRPr="004507CF">
        <w:rPr>
          <w:i/>
          <w:lang w:val="en-ZA"/>
        </w:rPr>
        <w:t>bona fides</w:t>
      </w:r>
      <w:r w:rsidRPr="004507CF">
        <w:rPr>
          <w:lang w:val="en-ZA"/>
        </w:rPr>
        <w:t xml:space="preserve"> of the respondent and to demonstrate his </w:t>
      </w:r>
      <w:r w:rsidRPr="004507CF">
        <w:rPr>
          <w:i/>
          <w:lang w:val="en-ZA"/>
        </w:rPr>
        <w:t>mala fides</w:t>
      </w:r>
      <w:r w:rsidRPr="004507CF">
        <w:rPr>
          <w:lang w:val="en-ZA"/>
        </w:rPr>
        <w:t xml:space="preserve"> before being allowed to enforce its contractually agreed restraint.</w:t>
      </w:r>
    </w:p>
    <w:p w14:paraId="6B445958" w14:textId="6B4BE1F2"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Although these remarks or observations were made in the context of one company purchasing the business of another and involved section 197 of the Labour Relations Act</w:t>
      </w:r>
      <w:r>
        <w:rPr>
          <w:rStyle w:val="FootnoteReference"/>
          <w:lang w:val="en-ZA"/>
        </w:rPr>
        <w:footnoteReference w:id="15"/>
      </w:r>
      <w:r w:rsidR="00B40FF6">
        <w:rPr>
          <w:lang w:val="en-ZA"/>
        </w:rPr>
        <w:t>,</w:t>
      </w:r>
      <w:r w:rsidRPr="004507CF">
        <w:rPr>
          <w:lang w:val="en-ZA"/>
        </w:rPr>
        <w:t xml:space="preserve"> the aforesaid remains valid, even for purposes of the present matter.</w:t>
      </w:r>
    </w:p>
    <w:p w14:paraId="38248014" w14:textId="2221A694"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Another proposal by the respondents was that the restraint on Oosthuizen working for Savino could be imposed but that it should be limited to 30 November 2022. This proposal entailed that he be paid by the applicants at his previous salary for this period. This hardly assists, given the fact that at the heart of this matter is the issue and apprehension that Logistics intend to tender for the Bridgestone contract and that tender will only take place on 1 April 2023</w:t>
      </w:r>
      <w:r w:rsidR="004507CF">
        <w:rPr>
          <w:lang w:val="en-ZA"/>
        </w:rPr>
        <w:t>.</w:t>
      </w:r>
    </w:p>
    <w:p w14:paraId="6B524386" w14:textId="65584583" w:rsidR="00C2518C" w:rsidRPr="004507CF" w:rsidRDefault="00C2518C" w:rsidP="00B40FF6">
      <w:pPr>
        <w:pStyle w:val="ListParagraph"/>
        <w:numPr>
          <w:ilvl w:val="0"/>
          <w:numId w:val="5"/>
        </w:numPr>
        <w:tabs>
          <w:tab w:val="clear" w:pos="567"/>
        </w:tabs>
        <w:spacing w:line="360" w:lineRule="auto"/>
        <w:ind w:left="0" w:firstLine="0"/>
        <w:jc w:val="both"/>
        <w:rPr>
          <w:color w:val="000000"/>
        </w:rPr>
      </w:pPr>
      <w:r w:rsidRPr="004507CF">
        <w:rPr>
          <w:lang w:val="en-ZA"/>
        </w:rPr>
        <w:t>Th</w:t>
      </w:r>
      <w:r w:rsidR="00B40FF6">
        <w:rPr>
          <w:lang w:val="en-ZA"/>
        </w:rPr>
        <w:t xml:space="preserve">e court </w:t>
      </w:r>
      <w:r w:rsidR="00B40FF6" w:rsidRPr="00B40FF6">
        <w:rPr>
          <w:i/>
          <w:lang w:val="en-ZA"/>
        </w:rPr>
        <w:t>a quo</w:t>
      </w:r>
      <w:r w:rsidR="00B40FF6">
        <w:rPr>
          <w:lang w:val="en-ZA"/>
        </w:rPr>
        <w:t xml:space="preserve"> found in para</w:t>
      </w:r>
      <w:r w:rsidRPr="004507CF">
        <w:rPr>
          <w:lang w:val="en-ZA"/>
        </w:rPr>
        <w:t xml:space="preserve"> [46] of its judgment that:</w:t>
      </w:r>
    </w:p>
    <w:p w14:paraId="4DF557BA" w14:textId="774D7423" w:rsidR="00C2518C" w:rsidRPr="00B40FF6" w:rsidRDefault="00B40FF6" w:rsidP="00B40FF6">
      <w:pPr>
        <w:pStyle w:val="ListParagraph"/>
        <w:spacing w:after="120" w:line="360" w:lineRule="auto"/>
        <w:ind w:left="0"/>
        <w:jc w:val="both"/>
        <w:rPr>
          <w:color w:val="000000"/>
          <w:sz w:val="22"/>
          <w:szCs w:val="22"/>
        </w:rPr>
      </w:pPr>
      <w:r>
        <w:rPr>
          <w:iCs/>
          <w:sz w:val="22"/>
          <w:szCs w:val="22"/>
          <w:lang w:val="en-ZA"/>
        </w:rPr>
        <w:t>‘</w:t>
      </w:r>
      <w:r w:rsidR="00C2518C" w:rsidRPr="00B40FF6">
        <w:rPr>
          <w:iCs/>
          <w:sz w:val="22"/>
          <w:szCs w:val="22"/>
          <w:lang w:val="en-ZA"/>
        </w:rPr>
        <w:t>Thus, the nub of the dispute between the parties is that the applicants want to restrain Oosthuizen from working for Savino for the full two-year period. Put differently, regardless of who wins the Bridgestone tender in April 2023, Oosthuizen on their version, cannot be employed by Savino or any other tyre logistics rival, for approximately one year after the new contract with Bridgestone commences in April 2023. On the respondents’ version he can start employment on 1 December 2022 regardless of when the tender may be put out for consideration.  Since this date is presently unclear it could well happen after that date.  Comparing the two versions of the time period of the restraint proposed: it is 1 December 2022 versus 5 April 2024 – a difference of about 16 months.</w:t>
      </w:r>
      <w:r>
        <w:rPr>
          <w:iCs/>
          <w:sz w:val="22"/>
          <w:szCs w:val="22"/>
          <w:lang w:val="en-ZA"/>
        </w:rPr>
        <w:t>’</w:t>
      </w:r>
    </w:p>
    <w:p w14:paraId="6E01E517" w14:textId="77777777" w:rsidR="004507CF"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The proposal does not protect Logistics for purposes of the Bridgestone tender and is not really of any assistance.</w:t>
      </w:r>
    </w:p>
    <w:p w14:paraId="43D29679" w14:textId="105B6783"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lastRenderedPageBreak/>
        <w:t xml:space="preserve"> Applicants submitted that Oosthuizen should be restrained beyond the period when its interests for at least one year after the tender and the new contract commences. </w:t>
      </w:r>
      <w:r w:rsidR="00B40FF6">
        <w:rPr>
          <w:lang w:val="en-ZA"/>
        </w:rPr>
        <w:t>T</w:t>
      </w:r>
      <w:r w:rsidRPr="004507CF">
        <w:rPr>
          <w:lang w:val="en-ZA"/>
        </w:rPr>
        <w:t>he rationale for this, so it was argued, was that the promise of Oosthuizen joining them in the near future would strengthen the hand of Savino in the Bridgestone tender process.</w:t>
      </w:r>
    </w:p>
    <w:p w14:paraId="00E37441" w14:textId="69E82DC0"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This approach completely ignores the real protectable interests of Logistics and there is no evidence to make this case. The applicants’ protectable interests are limited to the contract remaining with Logistics until April 2023.</w:t>
      </w:r>
    </w:p>
    <w:p w14:paraId="30EFA25A" w14:textId="22AC149E"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Given that it is Oosthuizen, and by employing Oosthuizen, Savino, that is posing a threat to the legitimate business activities of Logistics, it is obvious that some form of relaxation of the restraint is necessary. There is authority for upholding the restraint in part and declaring it unenforceable in part.</w:t>
      </w:r>
      <w:r>
        <w:rPr>
          <w:rStyle w:val="FootnoteReference"/>
          <w:lang w:val="en-ZA"/>
        </w:rPr>
        <w:footnoteReference w:id="16"/>
      </w:r>
    </w:p>
    <w:p w14:paraId="43B523B0" w14:textId="77777777" w:rsidR="004507CF" w:rsidRPr="004507CF" w:rsidRDefault="00C2518C" w:rsidP="00B40FF6">
      <w:pPr>
        <w:pStyle w:val="ListParagraph"/>
        <w:numPr>
          <w:ilvl w:val="0"/>
          <w:numId w:val="5"/>
        </w:numPr>
        <w:tabs>
          <w:tab w:val="clear" w:pos="567"/>
        </w:tabs>
        <w:spacing w:after="240" w:line="360" w:lineRule="auto"/>
        <w:ind w:left="0" w:firstLine="0"/>
        <w:jc w:val="both"/>
        <w:rPr>
          <w:color w:val="000000"/>
        </w:rPr>
      </w:pPr>
      <w:r w:rsidRPr="004507CF">
        <w:rPr>
          <w:lang w:val="en-ZA"/>
        </w:rPr>
        <w:t xml:space="preserve">The court </w:t>
      </w:r>
      <w:r w:rsidRPr="00343A59">
        <w:rPr>
          <w:i/>
          <w:lang w:val="en-ZA"/>
        </w:rPr>
        <w:t>a quo</w:t>
      </w:r>
      <w:r w:rsidRPr="004507CF">
        <w:rPr>
          <w:lang w:val="en-ZA"/>
        </w:rPr>
        <w:t xml:space="preserve"> balanced the competing interests, taking into account that Oosthuizen has a right to work in his current profession as a specialist in logistics for tyre manufacturers and that any restraint longer than required to protect Logistics’ legitimate interests would be unfairly prejudicial to him. Thus, he found that the interests of all the parties can be accommodated if Oosthuizen is paid out for the period in which he is unable to take up employment with Savino for a rival tyre logistical provider. If, however, he takes up other non-conflicting employment during this period, he will cease to have a right to be paid by the applicants.</w:t>
      </w:r>
    </w:p>
    <w:p w14:paraId="10DAD916" w14:textId="36EDA1EE" w:rsidR="00C2518C" w:rsidRPr="004507CF" w:rsidRDefault="00B40FF6" w:rsidP="000B5C01">
      <w:pPr>
        <w:pStyle w:val="ListParagraph"/>
        <w:keepNext/>
        <w:spacing w:after="120" w:line="360" w:lineRule="auto"/>
        <w:ind w:left="0"/>
        <w:jc w:val="both"/>
        <w:rPr>
          <w:color w:val="000000"/>
        </w:rPr>
      </w:pPr>
      <w:r w:rsidRPr="004507CF">
        <w:rPr>
          <w:b/>
          <w:bCs/>
          <w:lang w:val="en-ZA"/>
        </w:rPr>
        <w:t xml:space="preserve">Competency </w:t>
      </w:r>
      <w:r w:rsidR="00A85877" w:rsidRPr="004507CF">
        <w:rPr>
          <w:b/>
          <w:bCs/>
          <w:lang w:val="en-ZA"/>
        </w:rPr>
        <w:t>of</w:t>
      </w:r>
      <w:r w:rsidRPr="004507CF">
        <w:rPr>
          <w:b/>
          <w:bCs/>
          <w:lang w:val="en-ZA"/>
        </w:rPr>
        <w:t xml:space="preserve"> Court </w:t>
      </w:r>
      <w:r w:rsidR="00A85877" w:rsidRPr="004507CF">
        <w:rPr>
          <w:b/>
          <w:bCs/>
          <w:lang w:val="en-ZA"/>
        </w:rPr>
        <w:t>to</w:t>
      </w:r>
      <w:r w:rsidRPr="004507CF">
        <w:rPr>
          <w:b/>
          <w:bCs/>
          <w:lang w:val="en-ZA"/>
        </w:rPr>
        <w:t xml:space="preserve"> Order Payment </w:t>
      </w:r>
      <w:r w:rsidR="00A85877" w:rsidRPr="004507CF">
        <w:rPr>
          <w:b/>
          <w:bCs/>
          <w:lang w:val="en-ZA"/>
        </w:rPr>
        <w:t>to</w:t>
      </w:r>
      <w:r w:rsidRPr="004507CF">
        <w:rPr>
          <w:b/>
          <w:bCs/>
          <w:lang w:val="en-ZA"/>
        </w:rPr>
        <w:t xml:space="preserve"> Oosthuizen </w:t>
      </w:r>
      <w:r w:rsidR="00A85877" w:rsidRPr="004507CF">
        <w:rPr>
          <w:b/>
          <w:bCs/>
          <w:lang w:val="en-ZA"/>
        </w:rPr>
        <w:t>for</w:t>
      </w:r>
      <w:r w:rsidR="00A85877">
        <w:rPr>
          <w:b/>
          <w:bCs/>
          <w:lang w:val="en-ZA"/>
        </w:rPr>
        <w:t xml:space="preserve"> t</w:t>
      </w:r>
      <w:r w:rsidRPr="004507CF">
        <w:rPr>
          <w:b/>
          <w:bCs/>
          <w:lang w:val="en-ZA"/>
        </w:rPr>
        <w:t>he Restricted Period</w:t>
      </w:r>
    </w:p>
    <w:p w14:paraId="36C6CD20" w14:textId="5E3A8C8D" w:rsidR="00C2518C"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Mr Kaplan urged this court to hold that the order for payment during the restricted period is incompetent</w:t>
      </w:r>
      <w:r w:rsidR="00A85877">
        <w:rPr>
          <w:lang w:val="en-ZA"/>
        </w:rPr>
        <w:t>,</w:t>
      </w:r>
      <w:r w:rsidRPr="004507CF">
        <w:rPr>
          <w:lang w:val="en-ZA"/>
        </w:rPr>
        <w:t xml:space="preserve"> notwithstanding that the applicants themselves were not entirely against the notion that any loss of income should be compensated. The court </w:t>
      </w:r>
      <w:r w:rsidRPr="00A85877">
        <w:rPr>
          <w:i/>
          <w:lang w:val="en-ZA"/>
        </w:rPr>
        <w:t>a quo’s</w:t>
      </w:r>
      <w:r w:rsidRPr="004507CF">
        <w:rPr>
          <w:lang w:val="en-ZA"/>
        </w:rPr>
        <w:t xml:space="preserve"> order does not deviate in any substantial way from this proposal.</w:t>
      </w:r>
    </w:p>
    <w:p w14:paraId="347A1678" w14:textId="55DAE192" w:rsidR="004507CF" w:rsidRPr="004507CF"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lastRenderedPageBreak/>
        <w:t>Notwithstanding the aforesaid, the question still remains whether the court has the power to make such an order. This court is the successor of the Supreme Court and is a court of inherent jurisdiction. Hence it possesses certain inherent discretions. This much is trite and has often been upheld in numerous cases. Some of these inherent discretions are at times justified by the role played by the courts of Holland in the context where the discretion has to do with land (bearing in mind that, in the Dutch law the Registrar of Deeds was a judge).  At other times, the various discretions have been justified as procedurally of origin and based on the court’s inherent power to make its order effective</w:t>
      </w:r>
      <w:r w:rsidR="00A85877">
        <w:rPr>
          <w:rStyle w:val="FootnoteReference"/>
          <w:lang w:val="en-ZA"/>
        </w:rPr>
        <w:footnoteReference w:id="17"/>
      </w:r>
      <w:r w:rsidRPr="004507CF">
        <w:rPr>
          <w:lang w:val="en-ZA"/>
        </w:rPr>
        <w:t>.</w:t>
      </w:r>
    </w:p>
    <w:p w14:paraId="49616DCF" w14:textId="68882AC5" w:rsidR="00C2518C" w:rsidRPr="00A85877" w:rsidRDefault="00C2518C" w:rsidP="004507CF">
      <w:pPr>
        <w:pStyle w:val="ListParagraph"/>
        <w:numPr>
          <w:ilvl w:val="0"/>
          <w:numId w:val="5"/>
        </w:numPr>
        <w:tabs>
          <w:tab w:val="clear" w:pos="567"/>
        </w:tabs>
        <w:spacing w:after="120" w:line="360" w:lineRule="auto"/>
        <w:ind w:left="0" w:firstLine="0"/>
        <w:jc w:val="both"/>
        <w:rPr>
          <w:color w:val="000000"/>
        </w:rPr>
      </w:pPr>
      <w:r w:rsidRPr="004507CF">
        <w:rPr>
          <w:lang w:val="en-ZA"/>
        </w:rPr>
        <w:t xml:space="preserve">  Some of these discretions are classified as narrow and others as wide. For present purposes we need not embark on these distinctions. It serves the interests of the administration of justice to make such an order for payment in the restricted period and it is also just and equitable to do so.</w:t>
      </w:r>
    </w:p>
    <w:p w14:paraId="4ADDAC45" w14:textId="6931B723" w:rsidR="00A85877" w:rsidRPr="004507CF" w:rsidRDefault="00A85877" w:rsidP="004507CF">
      <w:pPr>
        <w:pStyle w:val="ListParagraph"/>
        <w:numPr>
          <w:ilvl w:val="0"/>
          <w:numId w:val="5"/>
        </w:numPr>
        <w:tabs>
          <w:tab w:val="clear" w:pos="567"/>
        </w:tabs>
        <w:spacing w:after="120" w:line="360" w:lineRule="auto"/>
        <w:ind w:left="0" w:firstLine="0"/>
        <w:jc w:val="both"/>
        <w:rPr>
          <w:color w:val="000000"/>
        </w:rPr>
      </w:pPr>
      <w:r>
        <w:rPr>
          <w:lang w:val="en-ZA"/>
        </w:rPr>
        <w:t>In the circumstances, the appeal stands to be dismissed as does the cross-appeal. As regards costs, we are of the view that no order as to costs would be just and fair to all concerned.</w:t>
      </w:r>
    </w:p>
    <w:p w14:paraId="39BE6E13" w14:textId="6C1F4658" w:rsidR="00C2518C" w:rsidRPr="004507CF" w:rsidRDefault="00A85877" w:rsidP="004507CF">
      <w:pPr>
        <w:pStyle w:val="ListParagraph"/>
        <w:numPr>
          <w:ilvl w:val="0"/>
          <w:numId w:val="5"/>
        </w:numPr>
        <w:tabs>
          <w:tab w:val="clear" w:pos="567"/>
        </w:tabs>
        <w:spacing w:after="120" w:line="360" w:lineRule="auto"/>
        <w:ind w:left="0" w:firstLine="0"/>
        <w:jc w:val="both"/>
        <w:rPr>
          <w:color w:val="000000"/>
        </w:rPr>
      </w:pPr>
      <w:r>
        <w:rPr>
          <w:lang w:val="en-ZA"/>
        </w:rPr>
        <w:t xml:space="preserve">Accordingly, </w:t>
      </w:r>
      <w:r w:rsidR="00C2518C" w:rsidRPr="004507CF">
        <w:rPr>
          <w:lang w:val="en-ZA"/>
        </w:rPr>
        <w:t xml:space="preserve">the Appeal and Cross-Appeal are </w:t>
      </w:r>
      <w:r>
        <w:rPr>
          <w:lang w:val="en-ZA"/>
        </w:rPr>
        <w:t xml:space="preserve">to be </w:t>
      </w:r>
      <w:r w:rsidR="00C2518C" w:rsidRPr="004507CF">
        <w:rPr>
          <w:lang w:val="en-ZA"/>
        </w:rPr>
        <w:t>dismissed</w:t>
      </w:r>
      <w:r>
        <w:rPr>
          <w:lang w:val="en-ZA"/>
        </w:rPr>
        <w:t xml:space="preserve"> with costs</w:t>
      </w:r>
      <w:r w:rsidR="00C2518C" w:rsidRPr="004507CF">
        <w:rPr>
          <w:lang w:val="en-ZA"/>
        </w:rPr>
        <w:t>.</w:t>
      </w:r>
    </w:p>
    <w:p w14:paraId="41F6FD4F" w14:textId="77777777" w:rsidR="00F922A4" w:rsidRDefault="00F922A4" w:rsidP="00F922A4">
      <w:pPr>
        <w:pStyle w:val="LegalMAINHEADING"/>
        <w:spacing w:before="0" w:after="120" w:line="360" w:lineRule="auto"/>
      </w:pPr>
      <w:r>
        <w:rPr>
          <w:caps w:val="0"/>
        </w:rPr>
        <w:t>Order</w:t>
      </w:r>
    </w:p>
    <w:p w14:paraId="3B6087C8" w14:textId="77777777" w:rsidR="00447076" w:rsidRPr="00F922A4" w:rsidRDefault="00447076" w:rsidP="006B247E">
      <w:pPr>
        <w:pStyle w:val="LegalList1"/>
        <w:numPr>
          <w:ilvl w:val="0"/>
          <w:numId w:val="5"/>
        </w:numPr>
        <w:tabs>
          <w:tab w:val="clear" w:pos="567"/>
        </w:tabs>
        <w:spacing w:after="120" w:line="360" w:lineRule="auto"/>
        <w:ind w:left="0" w:firstLine="0"/>
        <w:rPr>
          <w:color w:val="000000"/>
        </w:rPr>
      </w:pPr>
      <w:r>
        <w:t xml:space="preserve">In the result, </w:t>
      </w:r>
      <w:r w:rsidR="005D0D24">
        <w:t>the following order</w:t>
      </w:r>
      <w:r w:rsidR="00D82EB8">
        <w:t xml:space="preserve"> is </w:t>
      </w:r>
      <w:r w:rsidR="002911F6">
        <w:t>made: -</w:t>
      </w:r>
    </w:p>
    <w:p w14:paraId="64DAF92B" w14:textId="1421A1BE" w:rsidR="00991A40" w:rsidRDefault="00FC7402" w:rsidP="006B247E">
      <w:pPr>
        <w:pStyle w:val="LegalList1"/>
        <w:numPr>
          <w:ilvl w:val="0"/>
          <w:numId w:val="9"/>
        </w:numPr>
        <w:spacing w:after="120" w:line="360" w:lineRule="auto"/>
        <w:ind w:left="567" w:hanging="567"/>
      </w:pPr>
      <w:r>
        <w:t xml:space="preserve">The </w:t>
      </w:r>
      <w:r w:rsidR="00991A40">
        <w:t>appellant’s appeal is dismissed.</w:t>
      </w:r>
    </w:p>
    <w:p w14:paraId="6946A4B4" w14:textId="4EA9B8F6" w:rsidR="00991A40" w:rsidRDefault="00991A40" w:rsidP="006B247E">
      <w:pPr>
        <w:pStyle w:val="LegalList1"/>
        <w:numPr>
          <w:ilvl w:val="0"/>
          <w:numId w:val="9"/>
        </w:numPr>
        <w:spacing w:after="120" w:line="360" w:lineRule="auto"/>
        <w:ind w:left="567" w:hanging="567"/>
      </w:pPr>
      <w:r>
        <w:t>The respondent’s counter-appeal is dismissed.</w:t>
      </w:r>
    </w:p>
    <w:p w14:paraId="602985EA" w14:textId="57CC12C0" w:rsidR="00991A40" w:rsidRDefault="00991A40" w:rsidP="006B247E">
      <w:pPr>
        <w:pStyle w:val="LegalList1"/>
        <w:numPr>
          <w:ilvl w:val="0"/>
          <w:numId w:val="9"/>
        </w:numPr>
        <w:spacing w:after="120" w:line="360" w:lineRule="auto"/>
        <w:ind w:left="567" w:hanging="567"/>
      </w:pPr>
      <w:r>
        <w:t>Each party shall bear his own costs.</w:t>
      </w:r>
    </w:p>
    <w:p w14:paraId="56FFBC86" w14:textId="77777777" w:rsidR="00C55B3C" w:rsidRPr="00C55B3C" w:rsidRDefault="00872370" w:rsidP="000B5C01">
      <w:pPr>
        <w:pStyle w:val="ListParagraph"/>
        <w:keepNext/>
        <w:keepLines/>
        <w:tabs>
          <w:tab w:val="left" w:pos="0"/>
        </w:tabs>
        <w:spacing w:before="1200"/>
        <w:jc w:val="right"/>
        <w:rPr>
          <w:b/>
          <w:u w:val="single"/>
        </w:rPr>
      </w:pPr>
      <w:r>
        <w:rPr>
          <w:b/>
          <w:u w:val="single"/>
        </w:rPr>
        <w:lastRenderedPageBreak/>
        <w:t>______</w:t>
      </w:r>
      <w:r w:rsidR="00C55B3C" w:rsidRPr="00C55B3C">
        <w:rPr>
          <w:b/>
          <w:u w:val="single"/>
        </w:rPr>
        <w:t>__________________________</w:t>
      </w:r>
    </w:p>
    <w:p w14:paraId="2BF04A41" w14:textId="208C6D3B" w:rsidR="00C55B3C" w:rsidRPr="00C55B3C" w:rsidRDefault="00796E88" w:rsidP="00CD56FB">
      <w:pPr>
        <w:pStyle w:val="ListParagraph"/>
        <w:keepNext/>
        <w:jc w:val="right"/>
        <w:rPr>
          <w:rFonts w:cs="Arial"/>
          <w:b/>
        </w:rPr>
      </w:pPr>
      <w:r>
        <w:rPr>
          <w:rFonts w:cs="Arial"/>
          <w:b/>
        </w:rPr>
        <w:t>S VAN NIEUWENHUIZEN</w:t>
      </w:r>
    </w:p>
    <w:p w14:paraId="3C5D76D5" w14:textId="0271FB47" w:rsidR="00C55B3C" w:rsidRPr="00C55B3C" w:rsidRDefault="00796E88" w:rsidP="00CD56FB">
      <w:pPr>
        <w:pStyle w:val="ListParagraph"/>
        <w:keepNext/>
        <w:jc w:val="right"/>
        <w:rPr>
          <w:rFonts w:cs="Arial"/>
          <w:i/>
        </w:rPr>
      </w:pPr>
      <w:r>
        <w:rPr>
          <w:rFonts w:cs="Arial"/>
          <w:i/>
        </w:rPr>
        <w:t>Acting J</w:t>
      </w:r>
      <w:r w:rsidR="00C55B3C" w:rsidRPr="00C55B3C">
        <w:rPr>
          <w:rFonts w:cs="Arial"/>
          <w:i/>
        </w:rPr>
        <w:t>udge of the High Court</w:t>
      </w:r>
    </w:p>
    <w:p w14:paraId="68A48D56" w14:textId="2861E054" w:rsidR="00C55B3C" w:rsidRDefault="00C55B3C" w:rsidP="00FC7402">
      <w:pPr>
        <w:pStyle w:val="ListParagraph"/>
        <w:spacing w:after="120" w:line="360" w:lineRule="auto"/>
        <w:jc w:val="right"/>
        <w:rPr>
          <w:rFonts w:cs="Arial"/>
          <w:i/>
        </w:rPr>
      </w:pPr>
      <w:r w:rsidRPr="00C55B3C">
        <w:rPr>
          <w:rFonts w:cs="Arial"/>
          <w:i/>
        </w:rPr>
        <w:t>Gauteng Division, Johannesburg</w:t>
      </w:r>
    </w:p>
    <w:p w14:paraId="759495F9" w14:textId="77777777" w:rsidR="00594765" w:rsidRDefault="00594765" w:rsidP="00594765">
      <w:pPr>
        <w:spacing w:after="720" w:line="360" w:lineRule="auto"/>
        <w:rPr>
          <w:rFonts w:cs="Arial"/>
        </w:rPr>
      </w:pPr>
      <w:r>
        <w:rPr>
          <w:rFonts w:cs="Arial"/>
        </w:rPr>
        <w:t>I agree</w:t>
      </w:r>
    </w:p>
    <w:p w14:paraId="604A5F00" w14:textId="77777777" w:rsidR="00594765" w:rsidRDefault="00594765" w:rsidP="00594765">
      <w:pPr>
        <w:keepNext/>
        <w:keepLines/>
        <w:tabs>
          <w:tab w:val="left" w:pos="0"/>
        </w:tabs>
        <w:rPr>
          <w:b/>
          <w:u w:val="single"/>
        </w:rPr>
      </w:pPr>
      <w:r>
        <w:rPr>
          <w:b/>
          <w:u w:val="single"/>
        </w:rPr>
        <w:t>__________________________</w:t>
      </w:r>
    </w:p>
    <w:p w14:paraId="202B726C" w14:textId="387AE5AC" w:rsidR="00594765" w:rsidRDefault="00594765" w:rsidP="00594765">
      <w:pPr>
        <w:keepNext/>
        <w:rPr>
          <w:rFonts w:cs="Arial"/>
          <w:b/>
        </w:rPr>
      </w:pPr>
      <w:r>
        <w:rPr>
          <w:rFonts w:cs="Arial"/>
          <w:b/>
        </w:rPr>
        <w:t>L R ADAMS</w:t>
      </w:r>
    </w:p>
    <w:p w14:paraId="3DD15088" w14:textId="77777777" w:rsidR="00594765" w:rsidRDefault="00594765" w:rsidP="00594765">
      <w:pPr>
        <w:keepNext/>
        <w:rPr>
          <w:rFonts w:cs="Arial"/>
          <w:i/>
        </w:rPr>
      </w:pPr>
      <w:r>
        <w:rPr>
          <w:rFonts w:cs="Arial"/>
          <w:i/>
        </w:rPr>
        <w:t>Judge of the High Court</w:t>
      </w:r>
    </w:p>
    <w:p w14:paraId="220B4D32" w14:textId="182A8DAE" w:rsidR="00594765" w:rsidRDefault="00594765" w:rsidP="00594765">
      <w:pPr>
        <w:spacing w:after="600" w:line="360" w:lineRule="auto"/>
        <w:rPr>
          <w:rFonts w:cs="Arial"/>
          <w:i/>
        </w:rPr>
      </w:pPr>
      <w:r>
        <w:rPr>
          <w:rFonts w:cs="Arial"/>
          <w:i/>
        </w:rPr>
        <w:t>Gauteng Division, Johannesburg</w:t>
      </w:r>
    </w:p>
    <w:p w14:paraId="269D3E33" w14:textId="77777777" w:rsidR="00594765" w:rsidRDefault="00594765" w:rsidP="00594765">
      <w:pPr>
        <w:pStyle w:val="LegalNormal"/>
        <w:keepNext/>
        <w:spacing w:after="600" w:line="360" w:lineRule="auto"/>
      </w:pPr>
      <w:r>
        <w:t>I agree,</w:t>
      </w:r>
    </w:p>
    <w:p w14:paraId="7967E57E" w14:textId="77777777" w:rsidR="00594765" w:rsidRDefault="00594765" w:rsidP="00594765">
      <w:pPr>
        <w:keepNext/>
        <w:keepLines/>
        <w:tabs>
          <w:tab w:val="left" w:pos="0"/>
        </w:tabs>
        <w:rPr>
          <w:b/>
          <w:u w:val="single"/>
        </w:rPr>
      </w:pPr>
      <w:r>
        <w:rPr>
          <w:b/>
          <w:u w:val="single"/>
        </w:rPr>
        <w:t>__________________________</w:t>
      </w:r>
    </w:p>
    <w:p w14:paraId="21DC111B" w14:textId="740EA918" w:rsidR="00594765" w:rsidRDefault="00594765" w:rsidP="00594765">
      <w:pPr>
        <w:keepNext/>
        <w:rPr>
          <w:rFonts w:cs="Arial"/>
          <w:b/>
        </w:rPr>
      </w:pPr>
      <w:r>
        <w:rPr>
          <w:rFonts w:cs="Arial"/>
          <w:b/>
        </w:rPr>
        <w:t>S C MIA</w:t>
      </w:r>
    </w:p>
    <w:p w14:paraId="1288F5E1" w14:textId="77777777" w:rsidR="00594765" w:rsidRDefault="00594765" w:rsidP="00594765">
      <w:pPr>
        <w:keepNext/>
        <w:rPr>
          <w:rFonts w:cs="Arial"/>
          <w:i/>
        </w:rPr>
      </w:pPr>
      <w:r>
        <w:rPr>
          <w:rFonts w:cs="Arial"/>
          <w:i/>
        </w:rPr>
        <w:t>Judge of the High Court</w:t>
      </w:r>
    </w:p>
    <w:p w14:paraId="2B4D6DA4" w14:textId="3558892A" w:rsidR="00594765" w:rsidRDefault="00594765" w:rsidP="00594765">
      <w:pPr>
        <w:pBdr>
          <w:bottom w:val="single" w:sz="6" w:space="1" w:color="auto"/>
        </w:pBdr>
        <w:spacing w:after="360" w:line="360" w:lineRule="auto"/>
        <w:rPr>
          <w:rFonts w:cs="Arial"/>
          <w:i/>
        </w:rPr>
      </w:pPr>
      <w:r>
        <w:rPr>
          <w:rFonts w:cs="Arial"/>
          <w:i/>
        </w:rPr>
        <w:t>Gauteng Division, Johannesburg</w:t>
      </w:r>
    </w:p>
    <w:tbl>
      <w:tblPr>
        <w:tblW w:w="0" w:type="auto"/>
        <w:tblLook w:val="04A0" w:firstRow="1" w:lastRow="0" w:firstColumn="1" w:lastColumn="0" w:noHBand="0" w:noVBand="1"/>
      </w:tblPr>
      <w:tblGrid>
        <w:gridCol w:w="4263"/>
        <w:gridCol w:w="4239"/>
      </w:tblGrid>
      <w:tr w:rsidR="00595DE2" w14:paraId="7FF36FAB" w14:textId="77777777" w:rsidTr="00595DE2">
        <w:tc>
          <w:tcPr>
            <w:tcW w:w="4263" w:type="dxa"/>
            <w:tcMar>
              <w:top w:w="32" w:type="dxa"/>
              <w:left w:w="108" w:type="dxa"/>
              <w:bottom w:w="32" w:type="dxa"/>
              <w:right w:w="108" w:type="dxa"/>
            </w:tcMar>
            <w:vAlign w:val="center"/>
            <w:hideMark/>
          </w:tcPr>
          <w:p w14:paraId="221043C5" w14:textId="77777777" w:rsidR="00595DE2" w:rsidRPr="00595DE2" w:rsidRDefault="00595DE2" w:rsidP="00154F14">
            <w:pPr>
              <w:keepNext/>
              <w:spacing w:before="120" w:after="120"/>
            </w:pPr>
            <w:r>
              <w:t>HEARD ON: </w:t>
            </w:r>
          </w:p>
        </w:tc>
        <w:tc>
          <w:tcPr>
            <w:tcW w:w="4239" w:type="dxa"/>
            <w:tcMar>
              <w:top w:w="32" w:type="dxa"/>
              <w:left w:w="108" w:type="dxa"/>
              <w:bottom w:w="32" w:type="dxa"/>
              <w:right w:w="108" w:type="dxa"/>
            </w:tcMar>
            <w:vAlign w:val="center"/>
            <w:hideMark/>
          </w:tcPr>
          <w:p w14:paraId="6504B07C" w14:textId="78C95190" w:rsidR="00595DE2" w:rsidRPr="00595DE2" w:rsidRDefault="00A85877" w:rsidP="00A85877">
            <w:pPr>
              <w:keepNext/>
              <w:spacing w:before="120" w:after="120"/>
              <w:jc w:val="both"/>
            </w:pPr>
            <w:r>
              <w:t>3</w:t>
            </w:r>
            <w:r w:rsidR="001428B6">
              <w:t>1</w:t>
            </w:r>
            <w:r w:rsidR="001428B6" w:rsidRPr="001428B6">
              <w:rPr>
                <w:vertAlign w:val="superscript"/>
              </w:rPr>
              <w:t>st</w:t>
            </w:r>
            <w:r w:rsidR="001428B6">
              <w:t xml:space="preserve"> </w:t>
            </w:r>
            <w:r>
              <w:t>August</w:t>
            </w:r>
            <w:r w:rsidR="001428B6">
              <w:t xml:space="preserve"> 2022</w:t>
            </w:r>
            <w:r w:rsidR="00595DE2">
              <w:t xml:space="preserve"> – in a ‘virtual hearing’ during a videoconference on the </w:t>
            </w:r>
            <w:r w:rsidR="00595DE2" w:rsidRPr="00595DE2">
              <w:rPr>
                <w:i/>
              </w:rPr>
              <w:t>Microsoft Teams</w:t>
            </w:r>
            <w:r w:rsidR="00595DE2">
              <w:t>.</w:t>
            </w:r>
          </w:p>
        </w:tc>
      </w:tr>
      <w:tr w:rsidR="00595DE2" w14:paraId="33F45B32" w14:textId="77777777" w:rsidTr="00595DE2">
        <w:tc>
          <w:tcPr>
            <w:tcW w:w="4263" w:type="dxa"/>
            <w:tcMar>
              <w:top w:w="32" w:type="dxa"/>
              <w:left w:w="108" w:type="dxa"/>
              <w:bottom w:w="32" w:type="dxa"/>
              <w:right w:w="108" w:type="dxa"/>
            </w:tcMar>
            <w:vAlign w:val="center"/>
            <w:hideMark/>
          </w:tcPr>
          <w:p w14:paraId="390FDF2B" w14:textId="77777777" w:rsidR="00595DE2" w:rsidRPr="00595DE2" w:rsidRDefault="00595DE2" w:rsidP="00154F14">
            <w:pPr>
              <w:keepNext/>
              <w:spacing w:before="120" w:after="120"/>
            </w:pPr>
            <w:r>
              <w:t>JUDGMENT DATE: </w:t>
            </w:r>
          </w:p>
        </w:tc>
        <w:tc>
          <w:tcPr>
            <w:tcW w:w="4239" w:type="dxa"/>
            <w:tcMar>
              <w:top w:w="32" w:type="dxa"/>
              <w:left w:w="108" w:type="dxa"/>
              <w:bottom w:w="32" w:type="dxa"/>
              <w:right w:w="108" w:type="dxa"/>
            </w:tcMar>
            <w:vAlign w:val="center"/>
            <w:hideMark/>
          </w:tcPr>
          <w:p w14:paraId="30F14BC4" w14:textId="7800C946" w:rsidR="00595DE2" w:rsidRDefault="00A85877" w:rsidP="00A85877">
            <w:pPr>
              <w:keepNext/>
              <w:spacing w:before="120" w:after="120"/>
              <w:jc w:val="both"/>
            </w:pPr>
            <w:r>
              <w:t>5</w:t>
            </w:r>
            <w:r w:rsidRPr="00A85877">
              <w:rPr>
                <w:vertAlign w:val="superscript"/>
              </w:rPr>
              <w:t>th</w:t>
            </w:r>
            <w:r>
              <w:t xml:space="preserve"> September</w:t>
            </w:r>
            <w:r w:rsidR="00A94BD0">
              <w:t xml:space="preserve"> 2022</w:t>
            </w:r>
            <w:r w:rsidR="00595DE2">
              <w:t xml:space="preserve"> – judgment handed down electronically</w:t>
            </w:r>
          </w:p>
        </w:tc>
      </w:tr>
      <w:tr w:rsidR="00595DE2" w14:paraId="57088DC0" w14:textId="77777777" w:rsidTr="00595DE2">
        <w:tc>
          <w:tcPr>
            <w:tcW w:w="4263" w:type="dxa"/>
            <w:tcMar>
              <w:top w:w="32" w:type="dxa"/>
              <w:left w:w="108" w:type="dxa"/>
              <w:bottom w:w="32" w:type="dxa"/>
              <w:right w:w="108" w:type="dxa"/>
            </w:tcMar>
            <w:vAlign w:val="center"/>
            <w:hideMark/>
          </w:tcPr>
          <w:p w14:paraId="405B6175" w14:textId="3FCDE1CB" w:rsidR="00595DE2" w:rsidRPr="00595DE2" w:rsidRDefault="00595DE2" w:rsidP="00A85877">
            <w:pPr>
              <w:keepNext/>
              <w:spacing w:before="120" w:after="120"/>
            </w:pPr>
            <w:r>
              <w:t xml:space="preserve">FOR THE </w:t>
            </w:r>
            <w:r w:rsidR="00B32C3A">
              <w:t xml:space="preserve">FIRST </w:t>
            </w:r>
            <w:r w:rsidR="00A85877">
              <w:t>AND</w:t>
            </w:r>
            <w:r w:rsidR="00B32C3A">
              <w:t xml:space="preserve"> </w:t>
            </w:r>
            <w:r w:rsidR="00A85877">
              <w:t>SECOND</w:t>
            </w:r>
            <w:r w:rsidR="00B32C3A">
              <w:t xml:space="preserve"> </w:t>
            </w:r>
            <w:r w:rsidR="00865385">
              <w:t>APPELLANT</w:t>
            </w:r>
            <w:r w:rsidR="00B32C3A">
              <w:t>S</w:t>
            </w:r>
            <w:r>
              <w:t>: </w:t>
            </w:r>
          </w:p>
        </w:tc>
        <w:tc>
          <w:tcPr>
            <w:tcW w:w="4239" w:type="dxa"/>
            <w:tcMar>
              <w:top w:w="32" w:type="dxa"/>
              <w:left w:w="108" w:type="dxa"/>
              <w:bottom w:w="32" w:type="dxa"/>
              <w:right w:w="108" w:type="dxa"/>
            </w:tcMar>
            <w:vAlign w:val="center"/>
            <w:hideMark/>
          </w:tcPr>
          <w:p w14:paraId="0CB6AC9C" w14:textId="04E7D23C" w:rsidR="00595DE2" w:rsidRPr="00595DE2" w:rsidRDefault="00B32C3A" w:rsidP="00D12321">
            <w:pPr>
              <w:keepNext/>
              <w:spacing w:before="120" w:after="120"/>
            </w:pPr>
            <w:r>
              <w:t>Adv</w:t>
            </w:r>
            <w:r w:rsidR="00595DE2">
              <w:t xml:space="preserve"> </w:t>
            </w:r>
            <w:r w:rsidR="00D12321">
              <w:t>J L</w:t>
            </w:r>
            <w:r w:rsidR="00A94BD0">
              <w:t xml:space="preserve"> </w:t>
            </w:r>
            <w:r w:rsidR="00D12321">
              <w:t>Kaplan</w:t>
            </w:r>
            <w:r w:rsidR="00A94BD0">
              <w:t xml:space="preserve">, together with Advocate </w:t>
            </w:r>
            <w:r w:rsidR="00D12321">
              <w:t>Leigh</w:t>
            </w:r>
            <w:r w:rsidR="00A94BD0">
              <w:t xml:space="preserve"> </w:t>
            </w:r>
            <w:r w:rsidR="00D12321">
              <w:t>Franck</w:t>
            </w:r>
          </w:p>
        </w:tc>
      </w:tr>
      <w:tr w:rsidR="00595DE2" w14:paraId="67BDB5ED" w14:textId="77777777" w:rsidTr="00595DE2">
        <w:tc>
          <w:tcPr>
            <w:tcW w:w="4263" w:type="dxa"/>
            <w:tcMar>
              <w:top w:w="32" w:type="dxa"/>
              <w:left w:w="108" w:type="dxa"/>
              <w:bottom w:w="32" w:type="dxa"/>
              <w:right w:w="108" w:type="dxa"/>
            </w:tcMar>
            <w:vAlign w:val="center"/>
            <w:hideMark/>
          </w:tcPr>
          <w:p w14:paraId="7E32D79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7F868C34" w14:textId="78253DAC" w:rsidR="00595DE2" w:rsidRPr="00595DE2" w:rsidRDefault="00D12321" w:rsidP="00D12321">
            <w:pPr>
              <w:keepNext/>
              <w:spacing w:before="120" w:after="120"/>
            </w:pPr>
            <w:r>
              <w:t>Ian Levitt</w:t>
            </w:r>
            <w:r w:rsidR="00B32C3A">
              <w:t xml:space="preserve"> </w:t>
            </w:r>
            <w:r>
              <w:t>Attorneys</w:t>
            </w:r>
            <w:r w:rsidR="00486326">
              <w:t xml:space="preserve">, </w:t>
            </w:r>
            <w:r w:rsidR="00B32C3A">
              <w:t>Sandton.</w:t>
            </w:r>
          </w:p>
        </w:tc>
      </w:tr>
      <w:tr w:rsidR="00595DE2" w14:paraId="5B80B11B" w14:textId="77777777" w:rsidTr="00595DE2">
        <w:tc>
          <w:tcPr>
            <w:tcW w:w="4263" w:type="dxa"/>
            <w:tcMar>
              <w:top w:w="32" w:type="dxa"/>
              <w:left w:w="108" w:type="dxa"/>
              <w:bottom w:w="32" w:type="dxa"/>
              <w:right w:w="108" w:type="dxa"/>
            </w:tcMar>
            <w:vAlign w:val="center"/>
            <w:hideMark/>
          </w:tcPr>
          <w:p w14:paraId="73F93BDB" w14:textId="69CDE097" w:rsidR="00595DE2" w:rsidRPr="00595DE2" w:rsidRDefault="00595DE2" w:rsidP="00D12321">
            <w:pPr>
              <w:keepNext/>
              <w:spacing w:before="120" w:after="120"/>
            </w:pPr>
            <w:r>
              <w:t xml:space="preserve">FOR THE </w:t>
            </w:r>
            <w:r w:rsidR="00D12321">
              <w:t>FIRST</w:t>
            </w:r>
            <w:r w:rsidR="00B32C3A">
              <w:t xml:space="preserve"> AND </w:t>
            </w:r>
            <w:r w:rsidR="00D12321">
              <w:t>SECOND</w:t>
            </w:r>
            <w:r w:rsidR="00CE0CED">
              <w:t xml:space="preserve"> </w:t>
            </w:r>
            <w:r w:rsidR="00D12321">
              <w:t>RESPONDENTS</w:t>
            </w:r>
            <w:r>
              <w:t>: </w:t>
            </w:r>
          </w:p>
        </w:tc>
        <w:tc>
          <w:tcPr>
            <w:tcW w:w="4239" w:type="dxa"/>
            <w:tcMar>
              <w:top w:w="32" w:type="dxa"/>
              <w:left w:w="108" w:type="dxa"/>
              <w:bottom w:w="32" w:type="dxa"/>
              <w:right w:w="108" w:type="dxa"/>
            </w:tcMar>
            <w:vAlign w:val="center"/>
            <w:hideMark/>
          </w:tcPr>
          <w:p w14:paraId="3B7A3CF1" w14:textId="4B50BC81" w:rsidR="00595DE2" w:rsidRDefault="00F933D8" w:rsidP="00D12321">
            <w:pPr>
              <w:keepNext/>
              <w:spacing w:before="120" w:after="120"/>
            </w:pPr>
            <w:r>
              <w:t>Adv</w:t>
            </w:r>
            <w:r w:rsidR="00595DE2">
              <w:t xml:space="preserve"> </w:t>
            </w:r>
            <w:r w:rsidR="00D12321">
              <w:t>J M Barnard</w:t>
            </w:r>
            <w:r>
              <w:t>, with Advocate</w:t>
            </w:r>
            <w:r w:rsidR="00D12321">
              <w:t> A A R</w:t>
            </w:r>
            <w:r>
              <w:t xml:space="preserve"> </w:t>
            </w:r>
            <w:r w:rsidR="00D12321">
              <w:t>Marques</w:t>
            </w:r>
            <w:r>
              <w:t xml:space="preserve">. </w:t>
            </w:r>
          </w:p>
        </w:tc>
      </w:tr>
      <w:tr w:rsidR="00595DE2" w14:paraId="4F06BB27" w14:textId="77777777" w:rsidTr="00595DE2">
        <w:tc>
          <w:tcPr>
            <w:tcW w:w="4263" w:type="dxa"/>
            <w:tcMar>
              <w:top w:w="32" w:type="dxa"/>
              <w:left w:w="108" w:type="dxa"/>
              <w:bottom w:w="32" w:type="dxa"/>
              <w:right w:w="108" w:type="dxa"/>
            </w:tcMar>
            <w:vAlign w:val="center"/>
            <w:hideMark/>
          </w:tcPr>
          <w:p w14:paraId="7317448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5EADDD11" w14:textId="76B1719F" w:rsidR="00595DE2" w:rsidRPr="00595DE2" w:rsidRDefault="00D12321" w:rsidP="00D12321">
            <w:pPr>
              <w:keepNext/>
              <w:spacing w:before="120" w:after="120"/>
            </w:pPr>
            <w:r>
              <w:t>Ryan</w:t>
            </w:r>
            <w:r w:rsidR="00B32C3A">
              <w:t xml:space="preserve"> Attorneys</w:t>
            </w:r>
            <w:r w:rsidR="00486326">
              <w:t xml:space="preserve">, </w:t>
            </w:r>
            <w:r>
              <w:t>Brooklyn, Pretoria</w:t>
            </w:r>
            <w:r w:rsidR="002D2AF2">
              <w:t xml:space="preserve"> </w:t>
            </w:r>
            <w:r w:rsidR="00595DE2">
              <w:t xml:space="preserve">  </w:t>
            </w:r>
          </w:p>
        </w:tc>
      </w:tr>
    </w:tbl>
    <w:p w14:paraId="5046A92C" w14:textId="77777777" w:rsidR="002F15F5" w:rsidRPr="00D63801" w:rsidRDefault="002F15F5" w:rsidP="00602C15">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CDDD0" w14:textId="77777777" w:rsidR="00455145" w:rsidRDefault="00455145">
      <w:pPr>
        <w:spacing w:line="20" w:lineRule="exact"/>
      </w:pPr>
    </w:p>
  </w:endnote>
  <w:endnote w:type="continuationSeparator" w:id="0">
    <w:p w14:paraId="698125FA" w14:textId="77777777" w:rsidR="00455145" w:rsidRDefault="00455145">
      <w:r>
        <w:t xml:space="preserve"> </w:t>
      </w:r>
    </w:p>
  </w:endnote>
  <w:endnote w:type="continuationNotice" w:id="1">
    <w:p w14:paraId="40FB1FED" w14:textId="77777777" w:rsidR="00455145" w:rsidRDefault="004551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50A8" w14:textId="77777777" w:rsidR="00455145" w:rsidRDefault="00455145">
      <w:r>
        <w:separator/>
      </w:r>
    </w:p>
  </w:footnote>
  <w:footnote w:type="continuationSeparator" w:id="0">
    <w:p w14:paraId="4BEB144A" w14:textId="77777777" w:rsidR="00455145" w:rsidRDefault="00455145">
      <w:r>
        <w:continuationSeparator/>
      </w:r>
    </w:p>
  </w:footnote>
  <w:footnote w:id="1">
    <w:p w14:paraId="6BD070C8" w14:textId="77777777" w:rsidR="00C2518C" w:rsidRDefault="00C2518C" w:rsidP="00C2518C">
      <w:pPr>
        <w:pStyle w:val="FootnoteText"/>
        <w:rPr>
          <w:lang w:val="en-ZA"/>
        </w:rPr>
      </w:pPr>
      <w:r>
        <w:rPr>
          <w:rStyle w:val="FootnoteReference"/>
        </w:rPr>
        <w:footnoteRef/>
      </w:r>
      <w:r>
        <w:t xml:space="preserve"> </w:t>
      </w:r>
      <w:r>
        <w:rPr>
          <w:lang w:val="en-ZA"/>
        </w:rPr>
        <w:tab/>
        <w:t xml:space="preserve">See </w:t>
      </w:r>
      <w:r>
        <w:rPr>
          <w:i/>
          <w:lang w:val="en-ZA"/>
        </w:rPr>
        <w:t>Natal Joint Municipal Pension Fund v Endumeni Municipality</w:t>
      </w:r>
      <w:r>
        <w:rPr>
          <w:lang w:val="en-ZA"/>
        </w:rPr>
        <w:t xml:space="preserve"> [2012] 2 All SA 262 (SCA), at para 26</w:t>
      </w:r>
    </w:p>
  </w:footnote>
  <w:footnote w:id="2">
    <w:p w14:paraId="3683ABDB" w14:textId="77777777" w:rsidR="00C2518C" w:rsidRDefault="00C2518C" w:rsidP="00C2518C">
      <w:pPr>
        <w:pStyle w:val="FootnoteText"/>
        <w:rPr>
          <w:lang w:val="en-ZA"/>
        </w:rPr>
      </w:pPr>
      <w:r>
        <w:rPr>
          <w:rStyle w:val="FootnoteReference"/>
        </w:rPr>
        <w:footnoteRef/>
      </w:r>
      <w:r>
        <w:t xml:space="preserve"> </w:t>
      </w:r>
      <w:r>
        <w:rPr>
          <w:lang w:val="en-ZA"/>
        </w:rPr>
        <w:tab/>
        <w:t>2021 (6) SA 1 (CC), para 66</w:t>
      </w:r>
    </w:p>
  </w:footnote>
  <w:footnote w:id="3">
    <w:p w14:paraId="7464CC7E" w14:textId="77777777" w:rsidR="00C2518C" w:rsidRDefault="00C2518C" w:rsidP="00C2518C">
      <w:pPr>
        <w:pStyle w:val="FootnoteText"/>
        <w:rPr>
          <w:lang w:val="en-ZA"/>
        </w:rPr>
      </w:pPr>
      <w:r>
        <w:rPr>
          <w:rStyle w:val="FootnoteReference"/>
        </w:rPr>
        <w:footnoteRef/>
      </w:r>
      <w:r>
        <w:t xml:space="preserve"> </w:t>
      </w:r>
      <w:r>
        <w:rPr>
          <w:lang w:val="en-ZA"/>
        </w:rPr>
        <w:tab/>
        <w:t xml:space="preserve">See </w:t>
      </w:r>
      <w:r>
        <w:rPr>
          <w:i/>
          <w:lang w:val="en-ZA"/>
        </w:rPr>
        <w:t>Den Braven SA (Pty) Ltd v Pillay</w:t>
      </w:r>
      <w:r>
        <w:rPr>
          <w:lang w:val="en-ZA"/>
        </w:rPr>
        <w:t xml:space="preserve"> [2008] 3 All SA 518 (D); 2008 (6) SA 229 (D)</w:t>
      </w:r>
    </w:p>
  </w:footnote>
  <w:footnote w:id="4">
    <w:p w14:paraId="5A05F91B" w14:textId="77777777" w:rsidR="00C2518C" w:rsidRDefault="00C2518C" w:rsidP="00C2518C">
      <w:pPr>
        <w:pStyle w:val="FootnoteText"/>
        <w:rPr>
          <w:lang w:val="en-ZA"/>
        </w:rPr>
      </w:pPr>
      <w:r>
        <w:rPr>
          <w:rStyle w:val="FootnoteReference"/>
        </w:rPr>
        <w:footnoteRef/>
      </w:r>
      <w:r>
        <w:t xml:space="preserve"> </w:t>
      </w:r>
      <w:r>
        <w:rPr>
          <w:lang w:val="en-ZA"/>
        </w:rPr>
        <w:tab/>
        <w:t xml:space="preserve">See </w:t>
      </w:r>
      <w:r>
        <w:rPr>
          <w:i/>
          <w:lang w:val="en-ZA"/>
        </w:rPr>
        <w:t>Magna Alloys and Research (SA) (Pty) Ltd v Ellis</w:t>
      </w:r>
      <w:r>
        <w:rPr>
          <w:i/>
          <w:color w:val="000000" w:themeColor="text1"/>
          <w:lang w:val="en-ZA"/>
        </w:rPr>
        <w:t xml:space="preserve"> </w:t>
      </w:r>
      <w:r>
        <w:rPr>
          <w:color w:val="000000" w:themeColor="text1"/>
          <w:lang w:val="en-ZA"/>
        </w:rPr>
        <w:t>1984 (4) SA 874 (A)</w:t>
      </w:r>
      <w:r>
        <w:rPr>
          <w:lang w:val="en-ZA"/>
        </w:rPr>
        <w:t>, p 893</w:t>
      </w:r>
    </w:p>
  </w:footnote>
  <w:footnote w:id="5">
    <w:p w14:paraId="32325A0D" w14:textId="77777777" w:rsidR="00C2518C" w:rsidRDefault="00C2518C" w:rsidP="00C2518C">
      <w:pPr>
        <w:pStyle w:val="FootnoteText"/>
        <w:rPr>
          <w:lang w:val="en-ZA"/>
        </w:rPr>
      </w:pPr>
      <w:r>
        <w:rPr>
          <w:rStyle w:val="FootnoteReference"/>
        </w:rPr>
        <w:footnoteRef/>
      </w:r>
      <w:r>
        <w:t xml:space="preserve"> </w:t>
      </w:r>
      <w:r>
        <w:rPr>
          <w:lang w:val="en-ZA"/>
        </w:rPr>
        <w:tab/>
        <w:t xml:space="preserve">See </w:t>
      </w:r>
      <w:r>
        <w:rPr>
          <w:i/>
          <w:lang w:val="en-ZA"/>
        </w:rPr>
        <w:t>Sibex Engineering Services (Pty) Ltd v Van Wyk</w:t>
      </w:r>
      <w:r>
        <w:rPr>
          <w:lang w:val="en-ZA"/>
        </w:rPr>
        <w:t xml:space="preserve"> 1991 (2) SA 482 (T)</w:t>
      </w:r>
    </w:p>
  </w:footnote>
  <w:footnote w:id="6">
    <w:p w14:paraId="50B56503" w14:textId="77777777" w:rsidR="00C2518C" w:rsidRDefault="00C2518C" w:rsidP="00C2518C">
      <w:pPr>
        <w:pStyle w:val="FootnoteText"/>
        <w:rPr>
          <w:lang w:val="en-ZA"/>
        </w:rPr>
      </w:pPr>
      <w:r>
        <w:rPr>
          <w:rStyle w:val="FootnoteReference"/>
        </w:rPr>
        <w:footnoteRef/>
      </w:r>
      <w:r>
        <w:t xml:space="preserve"> </w:t>
      </w:r>
      <w:r>
        <w:rPr>
          <w:lang w:val="en-ZA"/>
        </w:rPr>
        <w:tab/>
        <w:t xml:space="preserve">See </w:t>
      </w:r>
      <w:r>
        <w:rPr>
          <w:i/>
          <w:lang w:val="en-ZA"/>
        </w:rPr>
        <w:t>Value Logistics Ltd v Smit and Another</w:t>
      </w:r>
      <w:r>
        <w:rPr>
          <w:lang w:val="en-ZA"/>
        </w:rPr>
        <w:t xml:space="preserve"> [2013] 4 All SA 215 (GSJ)</w:t>
      </w:r>
    </w:p>
  </w:footnote>
  <w:footnote w:id="7">
    <w:p w14:paraId="59F0F815" w14:textId="6898C829" w:rsidR="00C2518C" w:rsidRDefault="00C2518C" w:rsidP="00C2518C">
      <w:pPr>
        <w:pStyle w:val="FootnoteText"/>
        <w:rPr>
          <w:lang w:val="en-ZA"/>
        </w:rPr>
      </w:pPr>
      <w:r>
        <w:rPr>
          <w:rStyle w:val="FootnoteReference"/>
        </w:rPr>
        <w:footnoteRef/>
      </w:r>
      <w:r>
        <w:t xml:space="preserve"> </w:t>
      </w:r>
      <w:r>
        <w:rPr>
          <w:lang w:val="en-ZA"/>
        </w:rPr>
        <w:tab/>
        <w:t>9</w:t>
      </w:r>
      <w:r>
        <w:rPr>
          <w:vertAlign w:val="superscript"/>
          <w:lang w:val="en-ZA"/>
        </w:rPr>
        <w:t>th</w:t>
      </w:r>
      <w:r w:rsidR="00EF2B8C">
        <w:rPr>
          <w:lang w:val="en-ZA"/>
        </w:rPr>
        <w:t xml:space="preserve"> E</w:t>
      </w:r>
      <w:r>
        <w:rPr>
          <w:lang w:val="en-ZA"/>
        </w:rPr>
        <w:t xml:space="preserve">d, </w:t>
      </w:r>
      <w:r>
        <w:rPr>
          <w:i/>
          <w:iCs/>
          <w:lang w:val="en-ZA"/>
        </w:rPr>
        <w:t>Harms</w:t>
      </w:r>
      <w:r>
        <w:rPr>
          <w:lang w:val="en-ZA"/>
        </w:rPr>
        <w:t xml:space="preserve"> p317 </w:t>
      </w:r>
    </w:p>
  </w:footnote>
  <w:footnote w:id="8">
    <w:p w14:paraId="0C6A2F39" w14:textId="77777777" w:rsidR="00C2518C" w:rsidRDefault="00C2518C" w:rsidP="00C2518C">
      <w:pPr>
        <w:pStyle w:val="FootnoteText"/>
        <w:rPr>
          <w:lang w:val="en-ZA"/>
        </w:rPr>
      </w:pPr>
      <w:r>
        <w:rPr>
          <w:rStyle w:val="FootnoteReference"/>
        </w:rPr>
        <w:footnoteRef/>
      </w:r>
      <w:r>
        <w:t xml:space="preserve"> </w:t>
      </w:r>
      <w:r>
        <w:rPr>
          <w:lang w:val="en-ZA"/>
        </w:rPr>
        <w:tab/>
        <w:t xml:space="preserve">See, for instance, </w:t>
      </w:r>
      <w:r>
        <w:rPr>
          <w:i/>
          <w:lang w:val="en-ZA"/>
        </w:rPr>
        <w:t>Digicore Fleet Management v Steyn</w:t>
      </w:r>
      <w:r>
        <w:rPr>
          <w:lang w:val="en-ZA"/>
        </w:rPr>
        <w:t xml:space="preserve"> [2009] 1 All SA 442 (SCA)</w:t>
      </w:r>
    </w:p>
  </w:footnote>
  <w:footnote w:id="9">
    <w:p w14:paraId="60A25F45" w14:textId="77777777" w:rsidR="00C2518C" w:rsidRDefault="00C2518C" w:rsidP="00C2518C">
      <w:pPr>
        <w:pStyle w:val="FootnoteText"/>
        <w:rPr>
          <w:lang w:val="en-ZA"/>
        </w:rPr>
      </w:pPr>
      <w:r>
        <w:rPr>
          <w:rStyle w:val="FootnoteReference"/>
        </w:rPr>
        <w:footnoteRef/>
      </w:r>
      <w:r>
        <w:t xml:space="preserve"> </w:t>
      </w:r>
      <w:r>
        <w:rPr>
          <w:lang w:val="en-ZA"/>
        </w:rPr>
        <w:tab/>
      </w:r>
      <w:r>
        <w:rPr>
          <w:i/>
          <w:lang w:val="en-ZA"/>
        </w:rPr>
        <w:t>Christie’s</w:t>
      </w:r>
      <w:r>
        <w:rPr>
          <w:lang w:val="en-ZA"/>
        </w:rPr>
        <w:t xml:space="preserve"> </w:t>
      </w:r>
      <w:r>
        <w:rPr>
          <w:i/>
          <w:lang w:val="en-ZA"/>
        </w:rPr>
        <w:t>Law of Contract in South Africa</w:t>
      </w:r>
      <w:r>
        <w:rPr>
          <w:lang w:val="en-ZA"/>
        </w:rPr>
        <w:t>, 7</w:t>
      </w:r>
      <w:r>
        <w:rPr>
          <w:vertAlign w:val="superscript"/>
          <w:lang w:val="en-ZA"/>
        </w:rPr>
        <w:t>th</w:t>
      </w:r>
      <w:r>
        <w:rPr>
          <w:lang w:val="en-ZA"/>
        </w:rPr>
        <w:t xml:space="preserve"> ed, p 427</w:t>
      </w:r>
    </w:p>
  </w:footnote>
  <w:footnote w:id="10">
    <w:p w14:paraId="502DB16F" w14:textId="4C4951F3" w:rsidR="00C2518C" w:rsidRDefault="00C2518C" w:rsidP="00C2518C">
      <w:pPr>
        <w:pStyle w:val="FootnoteText"/>
        <w:rPr>
          <w:lang w:val="en-ZA"/>
        </w:rPr>
      </w:pPr>
      <w:r>
        <w:rPr>
          <w:rStyle w:val="FootnoteReference"/>
        </w:rPr>
        <w:footnoteRef/>
      </w:r>
      <w:r>
        <w:t xml:space="preserve"> </w:t>
      </w:r>
      <w:r>
        <w:rPr>
          <w:lang w:val="en-ZA"/>
        </w:rPr>
        <w:t xml:space="preserve">See </w:t>
      </w:r>
      <w:r w:rsidR="00B63DA4">
        <w:rPr>
          <w:lang w:val="en-ZA"/>
        </w:rPr>
        <w:t>paragraph</w:t>
      </w:r>
      <w:r>
        <w:rPr>
          <w:lang w:val="en-ZA"/>
        </w:rPr>
        <w:t xml:space="preserve"> 3 of the judgment a quo</w:t>
      </w:r>
    </w:p>
  </w:footnote>
  <w:footnote w:id="11">
    <w:p w14:paraId="03FCC13A" w14:textId="77777777" w:rsidR="00C2518C" w:rsidRDefault="00C2518C" w:rsidP="00C2518C">
      <w:pPr>
        <w:pStyle w:val="FootnoteText"/>
        <w:rPr>
          <w:lang w:val="en-ZA"/>
        </w:rPr>
      </w:pPr>
      <w:r>
        <w:rPr>
          <w:rStyle w:val="FootnoteReference"/>
        </w:rPr>
        <w:footnoteRef/>
      </w:r>
      <w:r>
        <w:t xml:space="preserve"> </w:t>
      </w:r>
      <w:hyperlink r:id="rId1" w:tgtFrame="main" w:history="1">
        <w:r w:rsidRPr="00464B6D">
          <w:rPr>
            <w:rStyle w:val="Hyperlink"/>
            <w:color w:val="auto"/>
            <w:u w:val="none"/>
          </w:rPr>
          <w:t>1984(3) SA 623 (A)</w:t>
        </w:r>
      </w:hyperlink>
      <w:r>
        <w:t> </w:t>
      </w:r>
      <w:r>
        <w:rPr>
          <w:color w:val="000000"/>
        </w:rPr>
        <w:t>at 634E - 635C</w:t>
      </w:r>
    </w:p>
  </w:footnote>
  <w:footnote w:id="12">
    <w:p w14:paraId="128D6FA4" w14:textId="77777777" w:rsidR="00C2518C" w:rsidRDefault="00C2518C" w:rsidP="00C2518C">
      <w:pPr>
        <w:pStyle w:val="FootnoteText"/>
        <w:rPr>
          <w:lang w:val="en-ZA"/>
        </w:rPr>
      </w:pPr>
      <w:r>
        <w:rPr>
          <w:rStyle w:val="FootnoteReference"/>
        </w:rPr>
        <w:footnoteRef/>
      </w:r>
      <w:r>
        <w:t xml:space="preserve"> </w:t>
      </w:r>
      <w:r>
        <w:rPr>
          <w:lang w:val="en-ZA"/>
        </w:rPr>
        <w:t>2008(3) SA 371 (SCA)</w:t>
      </w:r>
    </w:p>
  </w:footnote>
  <w:footnote w:id="13">
    <w:p w14:paraId="5700A870" w14:textId="77777777" w:rsidR="00C2518C" w:rsidRDefault="00C2518C" w:rsidP="00C2518C">
      <w:pPr>
        <w:pStyle w:val="FootnoteText"/>
      </w:pPr>
      <w:r>
        <w:rPr>
          <w:rStyle w:val="FootnoteReference"/>
        </w:rPr>
        <w:footnoteRef/>
      </w:r>
      <w:r>
        <w:t xml:space="preserve"> See p 375-376</w:t>
      </w:r>
    </w:p>
  </w:footnote>
  <w:footnote w:id="14">
    <w:p w14:paraId="4F4AC3ED" w14:textId="77777777" w:rsidR="00C2518C" w:rsidRDefault="00C2518C" w:rsidP="00C2518C">
      <w:pPr>
        <w:pStyle w:val="FootnoteText"/>
        <w:rPr>
          <w:lang w:val="en-ZA"/>
        </w:rPr>
      </w:pPr>
      <w:r>
        <w:rPr>
          <w:rStyle w:val="FootnoteReference"/>
        </w:rPr>
        <w:footnoteRef/>
      </w:r>
      <w:r>
        <w:t xml:space="preserve"> </w:t>
      </w:r>
      <w:r>
        <w:rPr>
          <w:lang w:val="en-ZA"/>
        </w:rPr>
        <w:tab/>
        <w:t>2013 (1) SA 135 (GSJ), para 21</w:t>
      </w:r>
    </w:p>
  </w:footnote>
  <w:footnote w:id="15">
    <w:p w14:paraId="024B42E1" w14:textId="77777777" w:rsidR="00C2518C" w:rsidRDefault="00C2518C" w:rsidP="00C2518C">
      <w:pPr>
        <w:pStyle w:val="FootnoteText"/>
        <w:rPr>
          <w:lang w:val="en-ZA"/>
        </w:rPr>
      </w:pPr>
      <w:r>
        <w:rPr>
          <w:rStyle w:val="FootnoteReference"/>
        </w:rPr>
        <w:footnoteRef/>
      </w:r>
      <w:r>
        <w:t xml:space="preserve"> </w:t>
      </w:r>
      <w:r>
        <w:rPr>
          <w:lang w:val="en-ZA"/>
        </w:rPr>
        <w:tab/>
        <w:t>Act 66 of 1995, s197</w:t>
      </w:r>
    </w:p>
  </w:footnote>
  <w:footnote w:id="16">
    <w:p w14:paraId="1C5154CF" w14:textId="77777777" w:rsidR="00C2518C" w:rsidRDefault="00C2518C" w:rsidP="00C2518C">
      <w:pPr>
        <w:pStyle w:val="FootnoteText"/>
        <w:rPr>
          <w:lang w:val="en-ZA"/>
        </w:rPr>
      </w:pPr>
      <w:r>
        <w:rPr>
          <w:rStyle w:val="FootnoteReference"/>
        </w:rPr>
        <w:footnoteRef/>
      </w:r>
      <w:r>
        <w:t xml:space="preserve"> </w:t>
      </w:r>
      <w:r>
        <w:rPr>
          <w:lang w:val="en-ZA"/>
        </w:rPr>
        <w:tab/>
        <w:t xml:space="preserve">See </w:t>
      </w:r>
      <w:r>
        <w:rPr>
          <w:i/>
          <w:lang w:val="en-ZA"/>
        </w:rPr>
        <w:t>McNaughton and Coin Sekerheidsgroep (Edms) Bpk v Kruger en ‘n Ander</w:t>
      </w:r>
      <w:r>
        <w:rPr>
          <w:lang w:val="en-ZA"/>
        </w:rPr>
        <w:t xml:space="preserve"> 1993 (3) SA 564 (T) at 569E-H</w:t>
      </w:r>
    </w:p>
  </w:footnote>
  <w:footnote w:id="17">
    <w:p w14:paraId="5C89B386" w14:textId="27D8906F" w:rsidR="00A85877" w:rsidRPr="00A85877" w:rsidRDefault="00A85877" w:rsidP="00A85877">
      <w:pPr>
        <w:pStyle w:val="FootnoteText"/>
        <w:rPr>
          <w:lang w:val="en-ZA"/>
        </w:rPr>
      </w:pPr>
      <w:r>
        <w:rPr>
          <w:rStyle w:val="FootnoteReference"/>
        </w:rPr>
        <w:footnoteRef/>
      </w:r>
      <w:r>
        <w:t xml:space="preserve"> </w:t>
      </w:r>
      <w:r w:rsidRPr="00A85877">
        <w:rPr>
          <w:lang w:val="en-ZA"/>
        </w:rPr>
        <w:t xml:space="preserve">See, for instance, the judgment in </w:t>
      </w:r>
      <w:r w:rsidRPr="00A85877">
        <w:rPr>
          <w:i/>
          <w:lang w:val="en-ZA"/>
        </w:rPr>
        <w:t>Universal City Studios Inc and others v Network Video (Pty) Ltd</w:t>
      </w:r>
      <w:r w:rsidRPr="00A85877">
        <w:rPr>
          <w:lang w:val="en-ZA"/>
        </w:rPr>
        <w:t xml:space="preserve"> 1986(2) SA 734 (A) p 754G – 755A</w:t>
      </w:r>
      <w:r>
        <w:rPr>
          <w:lang w:val="en-ZA"/>
        </w:rPr>
        <w:t>,</w:t>
      </w:r>
      <w:r w:rsidRPr="00A85877">
        <w:rPr>
          <w:lang w:val="en-ZA"/>
        </w:rPr>
        <w:t xml:space="preserve"> where Corbett JA refers to the inherent reservoir of powers the Supreme Court possesses to regulate its procedures in the interests of the proper administration of justice. He distinguishes between substantive law and adjectival law – these concepts being defined as follows: </w:t>
      </w:r>
      <w:r>
        <w:rPr>
          <w:lang w:val="en-ZA"/>
        </w:rPr>
        <w:t>‘</w:t>
      </w:r>
      <w:r w:rsidRPr="00A85877">
        <w:rPr>
          <w:lang w:val="en-ZA"/>
        </w:rPr>
        <w:t xml:space="preserve">Substantive law is concerned with the ends which the administration of justice seeks; </w:t>
      </w:r>
      <w:r w:rsidRPr="00A85877">
        <w:rPr>
          <w:b/>
          <w:bCs/>
          <w:lang w:val="en-ZA"/>
        </w:rPr>
        <w:t>procedural law deals with the means and instruments by which those ends are to be attained</w:t>
      </w:r>
      <w:r>
        <w:rPr>
          <w:lang w:val="en-ZA"/>
        </w:rPr>
        <w:t>.’</w:t>
      </w:r>
      <w:r w:rsidRPr="00A85877">
        <w:rPr>
          <w:lang w:val="en-ZA"/>
        </w:rPr>
        <w:t xml:space="preserve"> (Our emphasis)</w:t>
      </w:r>
    </w:p>
    <w:p w14:paraId="490C7435" w14:textId="1F8484E5" w:rsidR="00A85877" w:rsidRDefault="00A858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AEB2" w14:textId="77777777" w:rsidR="001D6AE1" w:rsidRDefault="001D6A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ADE5" w14:textId="77777777" w:rsidR="001D6AE1" w:rsidRDefault="001D6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00283"/>
      <w:docPartObj>
        <w:docPartGallery w:val="Page Numbers (Top of Page)"/>
        <w:docPartUnique/>
      </w:docPartObj>
    </w:sdtPr>
    <w:sdtEndPr>
      <w:rPr>
        <w:noProof/>
      </w:rPr>
    </w:sdtEndPr>
    <w:sdtContent>
      <w:p w14:paraId="4612227B" w14:textId="3DC937C0" w:rsidR="001D6AE1" w:rsidRDefault="001D6AE1">
        <w:pPr>
          <w:pStyle w:val="Header"/>
          <w:jc w:val="right"/>
        </w:pPr>
        <w:r>
          <w:fldChar w:fldCharType="begin"/>
        </w:r>
        <w:r>
          <w:instrText xml:space="preserve"> PAGE   \* MERGEFORMAT </w:instrText>
        </w:r>
        <w:r>
          <w:fldChar w:fldCharType="separate"/>
        </w:r>
        <w:r w:rsidR="00191BC8">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0E0F" w14:textId="77777777" w:rsidR="001D6AE1" w:rsidRDefault="001D6A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5CE"/>
    <w:multiLevelType w:val="hybridMultilevel"/>
    <w:tmpl w:val="9596386A"/>
    <w:lvl w:ilvl="0" w:tplc="2D08DB60">
      <w:start w:val="1"/>
      <w:numFmt w:val="lowerLetter"/>
      <w:lvlText w:val="(%1)"/>
      <w:lvlJc w:val="left"/>
      <w:pPr>
        <w:ind w:left="1090" w:hanging="7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FEC6001"/>
    <w:multiLevelType w:val="hybridMultilevel"/>
    <w:tmpl w:val="B264368A"/>
    <w:lvl w:ilvl="0" w:tplc="3044F2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 w15:restartNumberingAfterBreak="0">
    <w:nsid w:val="45B91F08"/>
    <w:multiLevelType w:val="multilevel"/>
    <w:tmpl w:val="711A85F8"/>
    <w:lvl w:ilvl="0">
      <w:start w:val="1"/>
      <w:numFmt w:val="decimal"/>
      <w:lvlText w:val="[%1]"/>
      <w:lvlJc w:val="left"/>
      <w:pPr>
        <w:tabs>
          <w:tab w:val="num" w:pos="851"/>
        </w:tabs>
        <w:ind w:left="851" w:hanging="851"/>
      </w:pPr>
    </w:lvl>
    <w:lvl w:ilvl="1">
      <w:start w:val="1"/>
      <w:numFmt w:val="decimal"/>
      <w:lvlText w:val="%1.%2"/>
      <w:lvlJc w:val="left"/>
      <w:pPr>
        <w:tabs>
          <w:tab w:val="num" w:pos="851"/>
        </w:tabs>
        <w:ind w:left="1701" w:hanging="850"/>
      </w:pPr>
    </w:lvl>
    <w:lvl w:ilvl="2">
      <w:start w:val="1"/>
      <w:numFmt w:val="decimal"/>
      <w:lvlText w:val="%1.%2.%3"/>
      <w:lvlJc w:val="left"/>
      <w:pPr>
        <w:tabs>
          <w:tab w:val="num" w:pos="2722"/>
        </w:tabs>
        <w:ind w:left="2722" w:hanging="102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0D7F66"/>
    <w:multiLevelType w:val="hybridMultilevel"/>
    <w:tmpl w:val="7B109A50"/>
    <w:lvl w:ilvl="0" w:tplc="31C827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0443999"/>
    <w:multiLevelType w:val="hybridMultilevel"/>
    <w:tmpl w:val="AEFA256A"/>
    <w:lvl w:ilvl="0" w:tplc="1236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E1A771B"/>
    <w:multiLevelType w:val="hybridMultilevel"/>
    <w:tmpl w:val="463006D4"/>
    <w:lvl w:ilvl="0" w:tplc="0226A8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8"/>
  </w:num>
  <w:num w:numId="3">
    <w:abstractNumId w:val="2"/>
    <w:lvlOverride w:ilvl="0">
      <w:startOverride w:val="1"/>
    </w:lvlOverride>
  </w:num>
  <w:num w:numId="4">
    <w:abstractNumId w:val="1"/>
  </w:num>
  <w:num w:numId="5">
    <w:abstractNumId w:val="5"/>
  </w:num>
  <w:num w:numId="6">
    <w:abstractNumId w:val="7"/>
  </w:num>
  <w:num w:numId="7">
    <w:abstractNumId w:val="10"/>
  </w:num>
  <w:num w:numId="8">
    <w:abstractNumId w:val="0"/>
  </w:num>
  <w:num w:numId="9">
    <w:abstractNumId w:val="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5ED"/>
    <w:rsid w:val="00001A89"/>
    <w:rsid w:val="00002455"/>
    <w:rsid w:val="000024F0"/>
    <w:rsid w:val="00003BAE"/>
    <w:rsid w:val="00005D83"/>
    <w:rsid w:val="0000675A"/>
    <w:rsid w:val="00006C41"/>
    <w:rsid w:val="0000770E"/>
    <w:rsid w:val="00007A2E"/>
    <w:rsid w:val="00007F86"/>
    <w:rsid w:val="00010637"/>
    <w:rsid w:val="0001379D"/>
    <w:rsid w:val="0001596A"/>
    <w:rsid w:val="0001683C"/>
    <w:rsid w:val="00016ACF"/>
    <w:rsid w:val="000171A3"/>
    <w:rsid w:val="00020326"/>
    <w:rsid w:val="00020E36"/>
    <w:rsid w:val="000217A4"/>
    <w:rsid w:val="00022C07"/>
    <w:rsid w:val="00022CE5"/>
    <w:rsid w:val="0002492C"/>
    <w:rsid w:val="000262AA"/>
    <w:rsid w:val="0002728A"/>
    <w:rsid w:val="000275FC"/>
    <w:rsid w:val="0002792E"/>
    <w:rsid w:val="00027F68"/>
    <w:rsid w:val="00027F86"/>
    <w:rsid w:val="000301C4"/>
    <w:rsid w:val="000314D4"/>
    <w:rsid w:val="000315D8"/>
    <w:rsid w:val="000319B4"/>
    <w:rsid w:val="000319BB"/>
    <w:rsid w:val="0003241F"/>
    <w:rsid w:val="00034508"/>
    <w:rsid w:val="0003454F"/>
    <w:rsid w:val="00034EFC"/>
    <w:rsid w:val="00036698"/>
    <w:rsid w:val="00036BB0"/>
    <w:rsid w:val="00036CD5"/>
    <w:rsid w:val="00037036"/>
    <w:rsid w:val="00037CD0"/>
    <w:rsid w:val="00037F15"/>
    <w:rsid w:val="00040B1D"/>
    <w:rsid w:val="00040F61"/>
    <w:rsid w:val="0004105F"/>
    <w:rsid w:val="00041D6B"/>
    <w:rsid w:val="0004218C"/>
    <w:rsid w:val="00043C8C"/>
    <w:rsid w:val="000445C8"/>
    <w:rsid w:val="0004474A"/>
    <w:rsid w:val="0004491D"/>
    <w:rsid w:val="000450CE"/>
    <w:rsid w:val="0004588C"/>
    <w:rsid w:val="00046070"/>
    <w:rsid w:val="000461AF"/>
    <w:rsid w:val="000462E1"/>
    <w:rsid w:val="00046699"/>
    <w:rsid w:val="000469B4"/>
    <w:rsid w:val="00050FB2"/>
    <w:rsid w:val="00051D9D"/>
    <w:rsid w:val="00051E65"/>
    <w:rsid w:val="00052DA4"/>
    <w:rsid w:val="00054823"/>
    <w:rsid w:val="00055012"/>
    <w:rsid w:val="00055E03"/>
    <w:rsid w:val="000564BD"/>
    <w:rsid w:val="00056998"/>
    <w:rsid w:val="000600F8"/>
    <w:rsid w:val="00060E74"/>
    <w:rsid w:val="00066C27"/>
    <w:rsid w:val="000708A0"/>
    <w:rsid w:val="00070D07"/>
    <w:rsid w:val="00071315"/>
    <w:rsid w:val="00071EDF"/>
    <w:rsid w:val="0007272F"/>
    <w:rsid w:val="00073CC1"/>
    <w:rsid w:val="00073CFE"/>
    <w:rsid w:val="00075A0A"/>
    <w:rsid w:val="00076C12"/>
    <w:rsid w:val="00076EE7"/>
    <w:rsid w:val="0007774E"/>
    <w:rsid w:val="00080618"/>
    <w:rsid w:val="000814F0"/>
    <w:rsid w:val="00081D5F"/>
    <w:rsid w:val="0008206F"/>
    <w:rsid w:val="00084043"/>
    <w:rsid w:val="000844E8"/>
    <w:rsid w:val="000861BF"/>
    <w:rsid w:val="00086BE3"/>
    <w:rsid w:val="00090189"/>
    <w:rsid w:val="0009051B"/>
    <w:rsid w:val="000905B3"/>
    <w:rsid w:val="00090E9C"/>
    <w:rsid w:val="00090F50"/>
    <w:rsid w:val="00092D03"/>
    <w:rsid w:val="000939AC"/>
    <w:rsid w:val="00093F31"/>
    <w:rsid w:val="0009464C"/>
    <w:rsid w:val="00095356"/>
    <w:rsid w:val="0009626A"/>
    <w:rsid w:val="0009689B"/>
    <w:rsid w:val="00096997"/>
    <w:rsid w:val="0009781C"/>
    <w:rsid w:val="00097EE7"/>
    <w:rsid w:val="000A0353"/>
    <w:rsid w:val="000A12C9"/>
    <w:rsid w:val="000A4AE1"/>
    <w:rsid w:val="000A56BA"/>
    <w:rsid w:val="000A64D0"/>
    <w:rsid w:val="000A688E"/>
    <w:rsid w:val="000A6A3D"/>
    <w:rsid w:val="000A779C"/>
    <w:rsid w:val="000A7A28"/>
    <w:rsid w:val="000B1D71"/>
    <w:rsid w:val="000B2B7F"/>
    <w:rsid w:val="000B38D0"/>
    <w:rsid w:val="000B4222"/>
    <w:rsid w:val="000B53AD"/>
    <w:rsid w:val="000B5C01"/>
    <w:rsid w:val="000B64EF"/>
    <w:rsid w:val="000B6C12"/>
    <w:rsid w:val="000C03D3"/>
    <w:rsid w:val="000C0D64"/>
    <w:rsid w:val="000C1EFC"/>
    <w:rsid w:val="000C2989"/>
    <w:rsid w:val="000C2D84"/>
    <w:rsid w:val="000C3AF7"/>
    <w:rsid w:val="000C5C39"/>
    <w:rsid w:val="000C6C30"/>
    <w:rsid w:val="000C75C8"/>
    <w:rsid w:val="000D0AF6"/>
    <w:rsid w:val="000D3121"/>
    <w:rsid w:val="000D4571"/>
    <w:rsid w:val="000D4ED5"/>
    <w:rsid w:val="000D5219"/>
    <w:rsid w:val="000D5CD8"/>
    <w:rsid w:val="000D5E2F"/>
    <w:rsid w:val="000D6A4C"/>
    <w:rsid w:val="000D6C0E"/>
    <w:rsid w:val="000D7C8C"/>
    <w:rsid w:val="000E0159"/>
    <w:rsid w:val="000E01DD"/>
    <w:rsid w:val="000E11A8"/>
    <w:rsid w:val="000E1836"/>
    <w:rsid w:val="000E2107"/>
    <w:rsid w:val="000E34F7"/>
    <w:rsid w:val="000E398A"/>
    <w:rsid w:val="000E3A95"/>
    <w:rsid w:val="000E3AAB"/>
    <w:rsid w:val="000E536D"/>
    <w:rsid w:val="000E5424"/>
    <w:rsid w:val="000E7536"/>
    <w:rsid w:val="000E777B"/>
    <w:rsid w:val="000E7BDD"/>
    <w:rsid w:val="000F095B"/>
    <w:rsid w:val="000F0DCE"/>
    <w:rsid w:val="000F1A69"/>
    <w:rsid w:val="000F2BE5"/>
    <w:rsid w:val="000F3421"/>
    <w:rsid w:val="000F3B88"/>
    <w:rsid w:val="000F3E77"/>
    <w:rsid w:val="000F546B"/>
    <w:rsid w:val="000F580C"/>
    <w:rsid w:val="000F6192"/>
    <w:rsid w:val="000F6BF8"/>
    <w:rsid w:val="000F70C7"/>
    <w:rsid w:val="0010163F"/>
    <w:rsid w:val="00105056"/>
    <w:rsid w:val="00105D82"/>
    <w:rsid w:val="001068F2"/>
    <w:rsid w:val="00106C97"/>
    <w:rsid w:val="00107110"/>
    <w:rsid w:val="00112284"/>
    <w:rsid w:val="00112BE9"/>
    <w:rsid w:val="00113951"/>
    <w:rsid w:val="00113E53"/>
    <w:rsid w:val="0011424F"/>
    <w:rsid w:val="00114C11"/>
    <w:rsid w:val="00114D0F"/>
    <w:rsid w:val="00114F15"/>
    <w:rsid w:val="00116135"/>
    <w:rsid w:val="00116661"/>
    <w:rsid w:val="00116675"/>
    <w:rsid w:val="00116AAE"/>
    <w:rsid w:val="00116EF2"/>
    <w:rsid w:val="00117191"/>
    <w:rsid w:val="001171EE"/>
    <w:rsid w:val="001177E5"/>
    <w:rsid w:val="001218BA"/>
    <w:rsid w:val="0012206B"/>
    <w:rsid w:val="0012276A"/>
    <w:rsid w:val="001239B5"/>
    <w:rsid w:val="00123FBA"/>
    <w:rsid w:val="00124452"/>
    <w:rsid w:val="00124B7A"/>
    <w:rsid w:val="00126001"/>
    <w:rsid w:val="00126288"/>
    <w:rsid w:val="00126B66"/>
    <w:rsid w:val="00126F44"/>
    <w:rsid w:val="00127394"/>
    <w:rsid w:val="00127B2C"/>
    <w:rsid w:val="00130737"/>
    <w:rsid w:val="001309B4"/>
    <w:rsid w:val="00131CC6"/>
    <w:rsid w:val="001325AC"/>
    <w:rsid w:val="00132E8D"/>
    <w:rsid w:val="0013390C"/>
    <w:rsid w:val="00134332"/>
    <w:rsid w:val="00134952"/>
    <w:rsid w:val="001358D0"/>
    <w:rsid w:val="0013636C"/>
    <w:rsid w:val="00136E94"/>
    <w:rsid w:val="00140558"/>
    <w:rsid w:val="0014119D"/>
    <w:rsid w:val="0014132C"/>
    <w:rsid w:val="00141478"/>
    <w:rsid w:val="00141657"/>
    <w:rsid w:val="001416FB"/>
    <w:rsid w:val="001428B6"/>
    <w:rsid w:val="001429C4"/>
    <w:rsid w:val="00143175"/>
    <w:rsid w:val="00143EBB"/>
    <w:rsid w:val="00145C2D"/>
    <w:rsid w:val="00145DD9"/>
    <w:rsid w:val="00146288"/>
    <w:rsid w:val="00146B2A"/>
    <w:rsid w:val="001504E7"/>
    <w:rsid w:val="00151A7E"/>
    <w:rsid w:val="0015237E"/>
    <w:rsid w:val="00152616"/>
    <w:rsid w:val="00152C26"/>
    <w:rsid w:val="00153684"/>
    <w:rsid w:val="00154F14"/>
    <w:rsid w:val="00155381"/>
    <w:rsid w:val="001554B4"/>
    <w:rsid w:val="00155B87"/>
    <w:rsid w:val="00155F46"/>
    <w:rsid w:val="001579D0"/>
    <w:rsid w:val="00157D59"/>
    <w:rsid w:val="0016029A"/>
    <w:rsid w:val="00160706"/>
    <w:rsid w:val="00160AC8"/>
    <w:rsid w:val="00160DA1"/>
    <w:rsid w:val="00160E8B"/>
    <w:rsid w:val="00161C04"/>
    <w:rsid w:val="00161EB4"/>
    <w:rsid w:val="00161FC2"/>
    <w:rsid w:val="001628F3"/>
    <w:rsid w:val="00162E7D"/>
    <w:rsid w:val="00163C01"/>
    <w:rsid w:val="00164997"/>
    <w:rsid w:val="00164FDF"/>
    <w:rsid w:val="00165035"/>
    <w:rsid w:val="00165357"/>
    <w:rsid w:val="0016589D"/>
    <w:rsid w:val="00165D11"/>
    <w:rsid w:val="0016658A"/>
    <w:rsid w:val="001669C3"/>
    <w:rsid w:val="00166C2B"/>
    <w:rsid w:val="00167E11"/>
    <w:rsid w:val="00171416"/>
    <w:rsid w:val="00172D07"/>
    <w:rsid w:val="001730A8"/>
    <w:rsid w:val="00173B7F"/>
    <w:rsid w:val="00173FD2"/>
    <w:rsid w:val="00175544"/>
    <w:rsid w:val="00176115"/>
    <w:rsid w:val="001773CD"/>
    <w:rsid w:val="001773DD"/>
    <w:rsid w:val="00177C74"/>
    <w:rsid w:val="0018024F"/>
    <w:rsid w:val="00180970"/>
    <w:rsid w:val="00180A33"/>
    <w:rsid w:val="001814B3"/>
    <w:rsid w:val="00182A17"/>
    <w:rsid w:val="00183384"/>
    <w:rsid w:val="00183726"/>
    <w:rsid w:val="00185055"/>
    <w:rsid w:val="001855CE"/>
    <w:rsid w:val="0019053A"/>
    <w:rsid w:val="001913C3"/>
    <w:rsid w:val="00191957"/>
    <w:rsid w:val="00191BC8"/>
    <w:rsid w:val="00192037"/>
    <w:rsid w:val="001927D7"/>
    <w:rsid w:val="001928BF"/>
    <w:rsid w:val="001933D1"/>
    <w:rsid w:val="0019383F"/>
    <w:rsid w:val="00193869"/>
    <w:rsid w:val="00193988"/>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2D32"/>
    <w:rsid w:val="001B447F"/>
    <w:rsid w:val="001B4D89"/>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F8C"/>
    <w:rsid w:val="001C6E8C"/>
    <w:rsid w:val="001C7045"/>
    <w:rsid w:val="001D14F8"/>
    <w:rsid w:val="001D3495"/>
    <w:rsid w:val="001D3F24"/>
    <w:rsid w:val="001D3F89"/>
    <w:rsid w:val="001D44C7"/>
    <w:rsid w:val="001D49D6"/>
    <w:rsid w:val="001D5D9C"/>
    <w:rsid w:val="001D6ACD"/>
    <w:rsid w:val="001D6AE1"/>
    <w:rsid w:val="001D6DA8"/>
    <w:rsid w:val="001D79C6"/>
    <w:rsid w:val="001E04C6"/>
    <w:rsid w:val="001E15CA"/>
    <w:rsid w:val="001E1E02"/>
    <w:rsid w:val="001E32CB"/>
    <w:rsid w:val="001E3948"/>
    <w:rsid w:val="001E3ED0"/>
    <w:rsid w:val="001E4304"/>
    <w:rsid w:val="001E43BE"/>
    <w:rsid w:val="001E534D"/>
    <w:rsid w:val="001E5D90"/>
    <w:rsid w:val="001E6837"/>
    <w:rsid w:val="001F109D"/>
    <w:rsid w:val="001F1E80"/>
    <w:rsid w:val="001F2460"/>
    <w:rsid w:val="001F3695"/>
    <w:rsid w:val="001F3975"/>
    <w:rsid w:val="001F4049"/>
    <w:rsid w:val="001F4C69"/>
    <w:rsid w:val="001F57B4"/>
    <w:rsid w:val="001F581D"/>
    <w:rsid w:val="001F654D"/>
    <w:rsid w:val="001F6D44"/>
    <w:rsid w:val="001F78C4"/>
    <w:rsid w:val="00200BB5"/>
    <w:rsid w:val="00200F5C"/>
    <w:rsid w:val="002011F8"/>
    <w:rsid w:val="002015D4"/>
    <w:rsid w:val="002027EC"/>
    <w:rsid w:val="00202AB1"/>
    <w:rsid w:val="00203FC0"/>
    <w:rsid w:val="00205865"/>
    <w:rsid w:val="00205E09"/>
    <w:rsid w:val="00206022"/>
    <w:rsid w:val="00206218"/>
    <w:rsid w:val="0020664E"/>
    <w:rsid w:val="0021007F"/>
    <w:rsid w:val="002100E1"/>
    <w:rsid w:val="00210E02"/>
    <w:rsid w:val="00211645"/>
    <w:rsid w:val="00211B96"/>
    <w:rsid w:val="0021225B"/>
    <w:rsid w:val="00212FA8"/>
    <w:rsid w:val="00213B9F"/>
    <w:rsid w:val="00214522"/>
    <w:rsid w:val="00214E3A"/>
    <w:rsid w:val="0021531D"/>
    <w:rsid w:val="00215DB3"/>
    <w:rsid w:val="00216346"/>
    <w:rsid w:val="002172C8"/>
    <w:rsid w:val="00217BDD"/>
    <w:rsid w:val="00220B1A"/>
    <w:rsid w:val="00220F12"/>
    <w:rsid w:val="0022110D"/>
    <w:rsid w:val="002212EB"/>
    <w:rsid w:val="002227A1"/>
    <w:rsid w:val="002229D4"/>
    <w:rsid w:val="00222B14"/>
    <w:rsid w:val="00222D4A"/>
    <w:rsid w:val="0022346B"/>
    <w:rsid w:val="00224B09"/>
    <w:rsid w:val="00224EDB"/>
    <w:rsid w:val="002251A2"/>
    <w:rsid w:val="00227F9F"/>
    <w:rsid w:val="00230307"/>
    <w:rsid w:val="00230DF6"/>
    <w:rsid w:val="00231436"/>
    <w:rsid w:val="00231AEC"/>
    <w:rsid w:val="00232075"/>
    <w:rsid w:val="002320B2"/>
    <w:rsid w:val="002327C9"/>
    <w:rsid w:val="00232D4F"/>
    <w:rsid w:val="002331E9"/>
    <w:rsid w:val="00233A6E"/>
    <w:rsid w:val="00234FC7"/>
    <w:rsid w:val="00235EBC"/>
    <w:rsid w:val="002379B1"/>
    <w:rsid w:val="0024000A"/>
    <w:rsid w:val="00240BDD"/>
    <w:rsid w:val="00240E46"/>
    <w:rsid w:val="00241E10"/>
    <w:rsid w:val="00243E66"/>
    <w:rsid w:val="0024474C"/>
    <w:rsid w:val="00245430"/>
    <w:rsid w:val="00245999"/>
    <w:rsid w:val="00247E96"/>
    <w:rsid w:val="0025141A"/>
    <w:rsid w:val="002515D4"/>
    <w:rsid w:val="0025160C"/>
    <w:rsid w:val="00252153"/>
    <w:rsid w:val="00253C44"/>
    <w:rsid w:val="00253CA9"/>
    <w:rsid w:val="0025547B"/>
    <w:rsid w:val="00256B5F"/>
    <w:rsid w:val="00257B4D"/>
    <w:rsid w:val="00257D52"/>
    <w:rsid w:val="00257DCC"/>
    <w:rsid w:val="00260B86"/>
    <w:rsid w:val="00260F93"/>
    <w:rsid w:val="0026120B"/>
    <w:rsid w:val="0026158F"/>
    <w:rsid w:val="002616F0"/>
    <w:rsid w:val="002616F6"/>
    <w:rsid w:val="0026210F"/>
    <w:rsid w:val="0026226E"/>
    <w:rsid w:val="00262C50"/>
    <w:rsid w:val="0026313D"/>
    <w:rsid w:val="0026330F"/>
    <w:rsid w:val="00264161"/>
    <w:rsid w:val="0026464D"/>
    <w:rsid w:val="00264E4B"/>
    <w:rsid w:val="00265504"/>
    <w:rsid w:val="00265F45"/>
    <w:rsid w:val="00266F41"/>
    <w:rsid w:val="002671D8"/>
    <w:rsid w:val="00267564"/>
    <w:rsid w:val="00267EC5"/>
    <w:rsid w:val="00271071"/>
    <w:rsid w:val="00272260"/>
    <w:rsid w:val="00273141"/>
    <w:rsid w:val="0027346B"/>
    <w:rsid w:val="00275860"/>
    <w:rsid w:val="00275F90"/>
    <w:rsid w:val="00280B63"/>
    <w:rsid w:val="002819F8"/>
    <w:rsid w:val="00282C16"/>
    <w:rsid w:val="00284751"/>
    <w:rsid w:val="002855D6"/>
    <w:rsid w:val="002855DF"/>
    <w:rsid w:val="00286241"/>
    <w:rsid w:val="00286F5F"/>
    <w:rsid w:val="002870F1"/>
    <w:rsid w:val="002911F6"/>
    <w:rsid w:val="00291414"/>
    <w:rsid w:val="00291440"/>
    <w:rsid w:val="002920DC"/>
    <w:rsid w:val="002924E6"/>
    <w:rsid w:val="00292928"/>
    <w:rsid w:val="002932CB"/>
    <w:rsid w:val="00296BB2"/>
    <w:rsid w:val="00297970"/>
    <w:rsid w:val="002A13C6"/>
    <w:rsid w:val="002A235D"/>
    <w:rsid w:val="002A2443"/>
    <w:rsid w:val="002A2A44"/>
    <w:rsid w:val="002A312D"/>
    <w:rsid w:val="002A47E3"/>
    <w:rsid w:val="002A4952"/>
    <w:rsid w:val="002A4B8E"/>
    <w:rsid w:val="002A52E4"/>
    <w:rsid w:val="002A7B19"/>
    <w:rsid w:val="002A7E9F"/>
    <w:rsid w:val="002B08E6"/>
    <w:rsid w:val="002B09E2"/>
    <w:rsid w:val="002B0F1B"/>
    <w:rsid w:val="002B16B0"/>
    <w:rsid w:val="002B1ABA"/>
    <w:rsid w:val="002B1DC8"/>
    <w:rsid w:val="002B211A"/>
    <w:rsid w:val="002B2A59"/>
    <w:rsid w:val="002B30F1"/>
    <w:rsid w:val="002B40DA"/>
    <w:rsid w:val="002B4740"/>
    <w:rsid w:val="002B4F7A"/>
    <w:rsid w:val="002B561E"/>
    <w:rsid w:val="002B6B65"/>
    <w:rsid w:val="002B74C5"/>
    <w:rsid w:val="002C0FDD"/>
    <w:rsid w:val="002C15A4"/>
    <w:rsid w:val="002C2298"/>
    <w:rsid w:val="002C29D7"/>
    <w:rsid w:val="002C4087"/>
    <w:rsid w:val="002C4B45"/>
    <w:rsid w:val="002C59F2"/>
    <w:rsid w:val="002C5A0D"/>
    <w:rsid w:val="002C5E33"/>
    <w:rsid w:val="002C672A"/>
    <w:rsid w:val="002C6BC7"/>
    <w:rsid w:val="002C7929"/>
    <w:rsid w:val="002C7E04"/>
    <w:rsid w:val="002D2125"/>
    <w:rsid w:val="002D2216"/>
    <w:rsid w:val="002D26C7"/>
    <w:rsid w:val="002D2AF2"/>
    <w:rsid w:val="002D2AF4"/>
    <w:rsid w:val="002D3E08"/>
    <w:rsid w:val="002D53C3"/>
    <w:rsid w:val="002D59A6"/>
    <w:rsid w:val="002D5D72"/>
    <w:rsid w:val="002D693C"/>
    <w:rsid w:val="002D69BC"/>
    <w:rsid w:val="002D7081"/>
    <w:rsid w:val="002D7D86"/>
    <w:rsid w:val="002E0905"/>
    <w:rsid w:val="002E14D4"/>
    <w:rsid w:val="002E1CED"/>
    <w:rsid w:val="002E1D7A"/>
    <w:rsid w:val="002E2C11"/>
    <w:rsid w:val="002E3469"/>
    <w:rsid w:val="002E47C9"/>
    <w:rsid w:val="002E49A9"/>
    <w:rsid w:val="002E5934"/>
    <w:rsid w:val="002E5CDA"/>
    <w:rsid w:val="002E654A"/>
    <w:rsid w:val="002E65A0"/>
    <w:rsid w:val="002E7DFE"/>
    <w:rsid w:val="002F0055"/>
    <w:rsid w:val="002F0279"/>
    <w:rsid w:val="002F15F5"/>
    <w:rsid w:val="002F3CFD"/>
    <w:rsid w:val="002F3EA5"/>
    <w:rsid w:val="002F4D1F"/>
    <w:rsid w:val="002F572F"/>
    <w:rsid w:val="002F5AE7"/>
    <w:rsid w:val="002F6A0D"/>
    <w:rsid w:val="002F6AEF"/>
    <w:rsid w:val="00300053"/>
    <w:rsid w:val="0030029A"/>
    <w:rsid w:val="0030047F"/>
    <w:rsid w:val="00300EBA"/>
    <w:rsid w:val="00300F79"/>
    <w:rsid w:val="00301CBD"/>
    <w:rsid w:val="00301CC2"/>
    <w:rsid w:val="0030348A"/>
    <w:rsid w:val="00305093"/>
    <w:rsid w:val="003058FB"/>
    <w:rsid w:val="00306560"/>
    <w:rsid w:val="00306B39"/>
    <w:rsid w:val="0030724D"/>
    <w:rsid w:val="003075B5"/>
    <w:rsid w:val="00307F74"/>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33F9"/>
    <w:rsid w:val="00324E14"/>
    <w:rsid w:val="00327B6A"/>
    <w:rsid w:val="003307F7"/>
    <w:rsid w:val="0033191D"/>
    <w:rsid w:val="003321FE"/>
    <w:rsid w:val="003322B1"/>
    <w:rsid w:val="00332C64"/>
    <w:rsid w:val="003331E4"/>
    <w:rsid w:val="00333485"/>
    <w:rsid w:val="00334479"/>
    <w:rsid w:val="00335C28"/>
    <w:rsid w:val="0033620F"/>
    <w:rsid w:val="003409FA"/>
    <w:rsid w:val="00341D13"/>
    <w:rsid w:val="00341FA6"/>
    <w:rsid w:val="003423D1"/>
    <w:rsid w:val="00343A59"/>
    <w:rsid w:val="00343A76"/>
    <w:rsid w:val="003458CA"/>
    <w:rsid w:val="00345ADF"/>
    <w:rsid w:val="003460A3"/>
    <w:rsid w:val="00347B0C"/>
    <w:rsid w:val="00347FD0"/>
    <w:rsid w:val="00350BC6"/>
    <w:rsid w:val="00350E29"/>
    <w:rsid w:val="0035131E"/>
    <w:rsid w:val="003516E1"/>
    <w:rsid w:val="00353027"/>
    <w:rsid w:val="00353CE9"/>
    <w:rsid w:val="00355620"/>
    <w:rsid w:val="0035614B"/>
    <w:rsid w:val="003564AA"/>
    <w:rsid w:val="00356747"/>
    <w:rsid w:val="00356A32"/>
    <w:rsid w:val="00356E1C"/>
    <w:rsid w:val="003575D7"/>
    <w:rsid w:val="00357D35"/>
    <w:rsid w:val="00360372"/>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102D"/>
    <w:rsid w:val="00371C46"/>
    <w:rsid w:val="0037249E"/>
    <w:rsid w:val="00372865"/>
    <w:rsid w:val="00373F27"/>
    <w:rsid w:val="00373F4F"/>
    <w:rsid w:val="003740F7"/>
    <w:rsid w:val="00374176"/>
    <w:rsid w:val="003748F7"/>
    <w:rsid w:val="003750F5"/>
    <w:rsid w:val="003759CD"/>
    <w:rsid w:val="00375DC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CC1"/>
    <w:rsid w:val="003919A1"/>
    <w:rsid w:val="00391C9E"/>
    <w:rsid w:val="003921B4"/>
    <w:rsid w:val="0039230F"/>
    <w:rsid w:val="00392AC0"/>
    <w:rsid w:val="00392F03"/>
    <w:rsid w:val="003931C7"/>
    <w:rsid w:val="00393874"/>
    <w:rsid w:val="00395A5F"/>
    <w:rsid w:val="00395BFD"/>
    <w:rsid w:val="00395D66"/>
    <w:rsid w:val="0039603A"/>
    <w:rsid w:val="00396231"/>
    <w:rsid w:val="003969C2"/>
    <w:rsid w:val="00397ED4"/>
    <w:rsid w:val="003A0D1E"/>
    <w:rsid w:val="003A0FB9"/>
    <w:rsid w:val="003A0FED"/>
    <w:rsid w:val="003A1FE4"/>
    <w:rsid w:val="003A202C"/>
    <w:rsid w:val="003A2810"/>
    <w:rsid w:val="003A3A1A"/>
    <w:rsid w:val="003A4D14"/>
    <w:rsid w:val="003A5774"/>
    <w:rsid w:val="003A6CDA"/>
    <w:rsid w:val="003A73DA"/>
    <w:rsid w:val="003B0322"/>
    <w:rsid w:val="003B04CC"/>
    <w:rsid w:val="003B22DD"/>
    <w:rsid w:val="003B29E1"/>
    <w:rsid w:val="003B2D8F"/>
    <w:rsid w:val="003B52DA"/>
    <w:rsid w:val="003B58C3"/>
    <w:rsid w:val="003B6AE7"/>
    <w:rsid w:val="003C2BFE"/>
    <w:rsid w:val="003C30DF"/>
    <w:rsid w:val="003C3CA6"/>
    <w:rsid w:val="003C51CE"/>
    <w:rsid w:val="003C5886"/>
    <w:rsid w:val="003C5FEE"/>
    <w:rsid w:val="003C6C58"/>
    <w:rsid w:val="003C6F44"/>
    <w:rsid w:val="003C7448"/>
    <w:rsid w:val="003D03FD"/>
    <w:rsid w:val="003D1632"/>
    <w:rsid w:val="003D1F45"/>
    <w:rsid w:val="003D285C"/>
    <w:rsid w:val="003D3E2A"/>
    <w:rsid w:val="003D4482"/>
    <w:rsid w:val="003D4FEF"/>
    <w:rsid w:val="003D5A5C"/>
    <w:rsid w:val="003D5E3B"/>
    <w:rsid w:val="003E257F"/>
    <w:rsid w:val="003E2A28"/>
    <w:rsid w:val="003E33C3"/>
    <w:rsid w:val="003E33C4"/>
    <w:rsid w:val="003E3A13"/>
    <w:rsid w:val="003E3A2B"/>
    <w:rsid w:val="003E438B"/>
    <w:rsid w:val="003E4B76"/>
    <w:rsid w:val="003E624C"/>
    <w:rsid w:val="003E7222"/>
    <w:rsid w:val="003E7590"/>
    <w:rsid w:val="003E7988"/>
    <w:rsid w:val="003F0384"/>
    <w:rsid w:val="003F16DA"/>
    <w:rsid w:val="003F22DC"/>
    <w:rsid w:val="003F23BD"/>
    <w:rsid w:val="003F2A54"/>
    <w:rsid w:val="003F2FF2"/>
    <w:rsid w:val="003F35F4"/>
    <w:rsid w:val="003F4719"/>
    <w:rsid w:val="003F4FDE"/>
    <w:rsid w:val="003F57FE"/>
    <w:rsid w:val="003F5D3C"/>
    <w:rsid w:val="003F637D"/>
    <w:rsid w:val="003F6478"/>
    <w:rsid w:val="003F687C"/>
    <w:rsid w:val="003F710F"/>
    <w:rsid w:val="003F73E7"/>
    <w:rsid w:val="003F7774"/>
    <w:rsid w:val="0040022B"/>
    <w:rsid w:val="0040128B"/>
    <w:rsid w:val="004012AE"/>
    <w:rsid w:val="00401C96"/>
    <w:rsid w:val="004028E9"/>
    <w:rsid w:val="00402D96"/>
    <w:rsid w:val="00403BD5"/>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403F"/>
    <w:rsid w:val="00414CFD"/>
    <w:rsid w:val="004166C4"/>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4B38"/>
    <w:rsid w:val="00435406"/>
    <w:rsid w:val="00435990"/>
    <w:rsid w:val="00435C25"/>
    <w:rsid w:val="004368FD"/>
    <w:rsid w:val="0044143F"/>
    <w:rsid w:val="00443282"/>
    <w:rsid w:val="0044368B"/>
    <w:rsid w:val="0044478D"/>
    <w:rsid w:val="004457B3"/>
    <w:rsid w:val="004459C6"/>
    <w:rsid w:val="004460B7"/>
    <w:rsid w:val="00446479"/>
    <w:rsid w:val="004465DC"/>
    <w:rsid w:val="0044670A"/>
    <w:rsid w:val="00447076"/>
    <w:rsid w:val="004507CF"/>
    <w:rsid w:val="004511C1"/>
    <w:rsid w:val="004515E6"/>
    <w:rsid w:val="00451ACF"/>
    <w:rsid w:val="00451F69"/>
    <w:rsid w:val="00452228"/>
    <w:rsid w:val="00453830"/>
    <w:rsid w:val="00454E7A"/>
    <w:rsid w:val="00455145"/>
    <w:rsid w:val="004556C2"/>
    <w:rsid w:val="00455AFD"/>
    <w:rsid w:val="00455C10"/>
    <w:rsid w:val="00456058"/>
    <w:rsid w:val="00456135"/>
    <w:rsid w:val="00456543"/>
    <w:rsid w:val="00456D9C"/>
    <w:rsid w:val="00460609"/>
    <w:rsid w:val="00460C6C"/>
    <w:rsid w:val="00460D4D"/>
    <w:rsid w:val="004616E0"/>
    <w:rsid w:val="00464253"/>
    <w:rsid w:val="00464B6D"/>
    <w:rsid w:val="00464E13"/>
    <w:rsid w:val="00465D90"/>
    <w:rsid w:val="00466594"/>
    <w:rsid w:val="00466C76"/>
    <w:rsid w:val="00466FDF"/>
    <w:rsid w:val="004676FF"/>
    <w:rsid w:val="0047037F"/>
    <w:rsid w:val="00470F99"/>
    <w:rsid w:val="0047183C"/>
    <w:rsid w:val="00472215"/>
    <w:rsid w:val="004725E6"/>
    <w:rsid w:val="004737A6"/>
    <w:rsid w:val="0047436C"/>
    <w:rsid w:val="00474852"/>
    <w:rsid w:val="004754F7"/>
    <w:rsid w:val="00475D2C"/>
    <w:rsid w:val="004763DB"/>
    <w:rsid w:val="00476815"/>
    <w:rsid w:val="00477000"/>
    <w:rsid w:val="0047728D"/>
    <w:rsid w:val="0048045C"/>
    <w:rsid w:val="00480709"/>
    <w:rsid w:val="00480C54"/>
    <w:rsid w:val="00481537"/>
    <w:rsid w:val="00481C8F"/>
    <w:rsid w:val="00481FDD"/>
    <w:rsid w:val="004827FF"/>
    <w:rsid w:val="004836A8"/>
    <w:rsid w:val="00486326"/>
    <w:rsid w:val="004866CA"/>
    <w:rsid w:val="00487186"/>
    <w:rsid w:val="00487D66"/>
    <w:rsid w:val="00493890"/>
    <w:rsid w:val="00496C79"/>
    <w:rsid w:val="00496CB7"/>
    <w:rsid w:val="004A1F96"/>
    <w:rsid w:val="004A2A57"/>
    <w:rsid w:val="004A69D3"/>
    <w:rsid w:val="004A6BFC"/>
    <w:rsid w:val="004A6C63"/>
    <w:rsid w:val="004A72AE"/>
    <w:rsid w:val="004B0B7F"/>
    <w:rsid w:val="004B1029"/>
    <w:rsid w:val="004B1512"/>
    <w:rsid w:val="004B20DB"/>
    <w:rsid w:val="004B218A"/>
    <w:rsid w:val="004B3CCF"/>
    <w:rsid w:val="004B4386"/>
    <w:rsid w:val="004B4812"/>
    <w:rsid w:val="004B495A"/>
    <w:rsid w:val="004B4BCA"/>
    <w:rsid w:val="004B567D"/>
    <w:rsid w:val="004B6483"/>
    <w:rsid w:val="004C0503"/>
    <w:rsid w:val="004C140F"/>
    <w:rsid w:val="004C1F3F"/>
    <w:rsid w:val="004D0041"/>
    <w:rsid w:val="004D070F"/>
    <w:rsid w:val="004D092B"/>
    <w:rsid w:val="004D25E1"/>
    <w:rsid w:val="004D29FB"/>
    <w:rsid w:val="004D2A40"/>
    <w:rsid w:val="004D2C91"/>
    <w:rsid w:val="004D43C2"/>
    <w:rsid w:val="004D4C7D"/>
    <w:rsid w:val="004D4CB5"/>
    <w:rsid w:val="004D4E20"/>
    <w:rsid w:val="004D5D47"/>
    <w:rsid w:val="004D6A4F"/>
    <w:rsid w:val="004D7D69"/>
    <w:rsid w:val="004E1221"/>
    <w:rsid w:val="004E1EEB"/>
    <w:rsid w:val="004E2632"/>
    <w:rsid w:val="004E284E"/>
    <w:rsid w:val="004E37E0"/>
    <w:rsid w:val="004E41D3"/>
    <w:rsid w:val="004E4F3C"/>
    <w:rsid w:val="004E510C"/>
    <w:rsid w:val="004E5356"/>
    <w:rsid w:val="004E7355"/>
    <w:rsid w:val="004E7EFD"/>
    <w:rsid w:val="004E7F80"/>
    <w:rsid w:val="004F017E"/>
    <w:rsid w:val="004F1173"/>
    <w:rsid w:val="004F2B4D"/>
    <w:rsid w:val="004F2E24"/>
    <w:rsid w:val="004F34F5"/>
    <w:rsid w:val="004F396E"/>
    <w:rsid w:val="004F4CC1"/>
    <w:rsid w:val="004F58CF"/>
    <w:rsid w:val="004F5E96"/>
    <w:rsid w:val="004F67F1"/>
    <w:rsid w:val="004F7E41"/>
    <w:rsid w:val="00500864"/>
    <w:rsid w:val="00500D81"/>
    <w:rsid w:val="00500E1E"/>
    <w:rsid w:val="00501E0C"/>
    <w:rsid w:val="00502033"/>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C65"/>
    <w:rsid w:val="00514A25"/>
    <w:rsid w:val="00514B23"/>
    <w:rsid w:val="00515851"/>
    <w:rsid w:val="00516335"/>
    <w:rsid w:val="005173BB"/>
    <w:rsid w:val="00517DC2"/>
    <w:rsid w:val="00520591"/>
    <w:rsid w:val="005212DB"/>
    <w:rsid w:val="00521CCF"/>
    <w:rsid w:val="00521EE2"/>
    <w:rsid w:val="00522466"/>
    <w:rsid w:val="00523F39"/>
    <w:rsid w:val="00524317"/>
    <w:rsid w:val="00524FE4"/>
    <w:rsid w:val="005265C1"/>
    <w:rsid w:val="0052729C"/>
    <w:rsid w:val="0052767A"/>
    <w:rsid w:val="00530033"/>
    <w:rsid w:val="0053049C"/>
    <w:rsid w:val="005306DB"/>
    <w:rsid w:val="005330A7"/>
    <w:rsid w:val="00533C08"/>
    <w:rsid w:val="005344EB"/>
    <w:rsid w:val="00535335"/>
    <w:rsid w:val="005353D0"/>
    <w:rsid w:val="00535930"/>
    <w:rsid w:val="00536155"/>
    <w:rsid w:val="00536A1D"/>
    <w:rsid w:val="00540982"/>
    <w:rsid w:val="00540D08"/>
    <w:rsid w:val="005425A5"/>
    <w:rsid w:val="00542869"/>
    <w:rsid w:val="00542EDC"/>
    <w:rsid w:val="00543339"/>
    <w:rsid w:val="00543568"/>
    <w:rsid w:val="0054426A"/>
    <w:rsid w:val="005446B2"/>
    <w:rsid w:val="005449DE"/>
    <w:rsid w:val="00544BC7"/>
    <w:rsid w:val="0054562C"/>
    <w:rsid w:val="00545A66"/>
    <w:rsid w:val="00545CA8"/>
    <w:rsid w:val="005460F0"/>
    <w:rsid w:val="0054657F"/>
    <w:rsid w:val="00546620"/>
    <w:rsid w:val="00547B0A"/>
    <w:rsid w:val="005509A5"/>
    <w:rsid w:val="00552371"/>
    <w:rsid w:val="005527AB"/>
    <w:rsid w:val="0055292A"/>
    <w:rsid w:val="005529AF"/>
    <w:rsid w:val="00552AD6"/>
    <w:rsid w:val="00552BC5"/>
    <w:rsid w:val="005546F9"/>
    <w:rsid w:val="00554806"/>
    <w:rsid w:val="0055482B"/>
    <w:rsid w:val="00555166"/>
    <w:rsid w:val="005556B7"/>
    <w:rsid w:val="00555EEB"/>
    <w:rsid w:val="00562776"/>
    <w:rsid w:val="00562B50"/>
    <w:rsid w:val="005637EA"/>
    <w:rsid w:val="005639D2"/>
    <w:rsid w:val="00563A97"/>
    <w:rsid w:val="005642BB"/>
    <w:rsid w:val="00565746"/>
    <w:rsid w:val="0056589D"/>
    <w:rsid w:val="00565A95"/>
    <w:rsid w:val="005665D4"/>
    <w:rsid w:val="005675F3"/>
    <w:rsid w:val="00567D89"/>
    <w:rsid w:val="005712CF"/>
    <w:rsid w:val="005717F2"/>
    <w:rsid w:val="00571D14"/>
    <w:rsid w:val="00572554"/>
    <w:rsid w:val="005728CC"/>
    <w:rsid w:val="00573679"/>
    <w:rsid w:val="00573ADC"/>
    <w:rsid w:val="00573CD2"/>
    <w:rsid w:val="00575835"/>
    <w:rsid w:val="0057661C"/>
    <w:rsid w:val="00576AA4"/>
    <w:rsid w:val="00577953"/>
    <w:rsid w:val="005800B3"/>
    <w:rsid w:val="00580A5E"/>
    <w:rsid w:val="00581E0E"/>
    <w:rsid w:val="00581FBE"/>
    <w:rsid w:val="00582486"/>
    <w:rsid w:val="0058255D"/>
    <w:rsid w:val="0058260D"/>
    <w:rsid w:val="005829F8"/>
    <w:rsid w:val="00583006"/>
    <w:rsid w:val="00583255"/>
    <w:rsid w:val="00583EF7"/>
    <w:rsid w:val="00585BE0"/>
    <w:rsid w:val="00586028"/>
    <w:rsid w:val="00586FD7"/>
    <w:rsid w:val="00587D42"/>
    <w:rsid w:val="00590032"/>
    <w:rsid w:val="005910A3"/>
    <w:rsid w:val="00591596"/>
    <w:rsid w:val="00591A75"/>
    <w:rsid w:val="0059298A"/>
    <w:rsid w:val="00592D1C"/>
    <w:rsid w:val="00593A1F"/>
    <w:rsid w:val="00594408"/>
    <w:rsid w:val="00594765"/>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64C4"/>
    <w:rsid w:val="005B6767"/>
    <w:rsid w:val="005B6F45"/>
    <w:rsid w:val="005B6F92"/>
    <w:rsid w:val="005B7482"/>
    <w:rsid w:val="005C01E9"/>
    <w:rsid w:val="005C2264"/>
    <w:rsid w:val="005C23F3"/>
    <w:rsid w:val="005C3560"/>
    <w:rsid w:val="005C37E0"/>
    <w:rsid w:val="005C511C"/>
    <w:rsid w:val="005C5220"/>
    <w:rsid w:val="005C5505"/>
    <w:rsid w:val="005C5F0D"/>
    <w:rsid w:val="005C6C5A"/>
    <w:rsid w:val="005C6D0D"/>
    <w:rsid w:val="005C7221"/>
    <w:rsid w:val="005C763B"/>
    <w:rsid w:val="005C7F63"/>
    <w:rsid w:val="005D0832"/>
    <w:rsid w:val="005D0C11"/>
    <w:rsid w:val="005D0D24"/>
    <w:rsid w:val="005D1019"/>
    <w:rsid w:val="005D1799"/>
    <w:rsid w:val="005D3786"/>
    <w:rsid w:val="005D4EB5"/>
    <w:rsid w:val="005D6599"/>
    <w:rsid w:val="005D7057"/>
    <w:rsid w:val="005E1975"/>
    <w:rsid w:val="005E3402"/>
    <w:rsid w:val="005E3606"/>
    <w:rsid w:val="005E3F79"/>
    <w:rsid w:val="005E4026"/>
    <w:rsid w:val="005E4D06"/>
    <w:rsid w:val="005E512B"/>
    <w:rsid w:val="005E5B8D"/>
    <w:rsid w:val="005E7500"/>
    <w:rsid w:val="005E7F1B"/>
    <w:rsid w:val="005F00FF"/>
    <w:rsid w:val="005F0301"/>
    <w:rsid w:val="005F0586"/>
    <w:rsid w:val="005F49F5"/>
    <w:rsid w:val="005F5471"/>
    <w:rsid w:val="005F55E7"/>
    <w:rsid w:val="005F5D37"/>
    <w:rsid w:val="005F68FD"/>
    <w:rsid w:val="005F72E9"/>
    <w:rsid w:val="005F790E"/>
    <w:rsid w:val="005F7E1D"/>
    <w:rsid w:val="0060018A"/>
    <w:rsid w:val="00600841"/>
    <w:rsid w:val="00600E49"/>
    <w:rsid w:val="00600F23"/>
    <w:rsid w:val="006018C0"/>
    <w:rsid w:val="00602C15"/>
    <w:rsid w:val="00605D39"/>
    <w:rsid w:val="00606248"/>
    <w:rsid w:val="00606862"/>
    <w:rsid w:val="006068F3"/>
    <w:rsid w:val="00607745"/>
    <w:rsid w:val="0061038C"/>
    <w:rsid w:val="006107F6"/>
    <w:rsid w:val="00610976"/>
    <w:rsid w:val="0061136C"/>
    <w:rsid w:val="00613FCD"/>
    <w:rsid w:val="006142FC"/>
    <w:rsid w:val="00614DB9"/>
    <w:rsid w:val="0061534E"/>
    <w:rsid w:val="0061564B"/>
    <w:rsid w:val="00615E2A"/>
    <w:rsid w:val="00616C68"/>
    <w:rsid w:val="00620693"/>
    <w:rsid w:val="00620C51"/>
    <w:rsid w:val="00622E68"/>
    <w:rsid w:val="00623029"/>
    <w:rsid w:val="00623FF2"/>
    <w:rsid w:val="006248A6"/>
    <w:rsid w:val="00625BBD"/>
    <w:rsid w:val="00626303"/>
    <w:rsid w:val="006265D1"/>
    <w:rsid w:val="00626C6A"/>
    <w:rsid w:val="00627B32"/>
    <w:rsid w:val="00627C4C"/>
    <w:rsid w:val="00630C4E"/>
    <w:rsid w:val="00630FAF"/>
    <w:rsid w:val="006313C9"/>
    <w:rsid w:val="0063160C"/>
    <w:rsid w:val="0063174A"/>
    <w:rsid w:val="00631B31"/>
    <w:rsid w:val="00632181"/>
    <w:rsid w:val="0063615E"/>
    <w:rsid w:val="00636A69"/>
    <w:rsid w:val="00636F09"/>
    <w:rsid w:val="0063756B"/>
    <w:rsid w:val="006377C9"/>
    <w:rsid w:val="00637FB7"/>
    <w:rsid w:val="00642074"/>
    <w:rsid w:val="00642A81"/>
    <w:rsid w:val="0064353B"/>
    <w:rsid w:val="00643A7D"/>
    <w:rsid w:val="00644718"/>
    <w:rsid w:val="006455CE"/>
    <w:rsid w:val="00646160"/>
    <w:rsid w:val="006510F2"/>
    <w:rsid w:val="0065292C"/>
    <w:rsid w:val="006531B8"/>
    <w:rsid w:val="00654FC4"/>
    <w:rsid w:val="0065569F"/>
    <w:rsid w:val="00657245"/>
    <w:rsid w:val="00657643"/>
    <w:rsid w:val="00660376"/>
    <w:rsid w:val="0066205C"/>
    <w:rsid w:val="006625F0"/>
    <w:rsid w:val="00663831"/>
    <w:rsid w:val="0066473E"/>
    <w:rsid w:val="00664F31"/>
    <w:rsid w:val="00666603"/>
    <w:rsid w:val="006677B0"/>
    <w:rsid w:val="00670C48"/>
    <w:rsid w:val="0067184D"/>
    <w:rsid w:val="00672D0E"/>
    <w:rsid w:val="00673F37"/>
    <w:rsid w:val="00676D30"/>
    <w:rsid w:val="006774A9"/>
    <w:rsid w:val="006808B3"/>
    <w:rsid w:val="00681C24"/>
    <w:rsid w:val="00681EBF"/>
    <w:rsid w:val="00683129"/>
    <w:rsid w:val="006874FC"/>
    <w:rsid w:val="00687842"/>
    <w:rsid w:val="00687D77"/>
    <w:rsid w:val="00690068"/>
    <w:rsid w:val="00690B2C"/>
    <w:rsid w:val="00691C51"/>
    <w:rsid w:val="0069319B"/>
    <w:rsid w:val="00693D26"/>
    <w:rsid w:val="006941E1"/>
    <w:rsid w:val="00694473"/>
    <w:rsid w:val="00695932"/>
    <w:rsid w:val="00695B54"/>
    <w:rsid w:val="00695F98"/>
    <w:rsid w:val="00696FA5"/>
    <w:rsid w:val="00697E88"/>
    <w:rsid w:val="006A0256"/>
    <w:rsid w:val="006A0365"/>
    <w:rsid w:val="006A0722"/>
    <w:rsid w:val="006A0AA9"/>
    <w:rsid w:val="006A0FCA"/>
    <w:rsid w:val="006A1277"/>
    <w:rsid w:val="006A1594"/>
    <w:rsid w:val="006A28A8"/>
    <w:rsid w:val="006A489C"/>
    <w:rsid w:val="006A6ACB"/>
    <w:rsid w:val="006A7ADE"/>
    <w:rsid w:val="006B11D3"/>
    <w:rsid w:val="006B247E"/>
    <w:rsid w:val="006B2C63"/>
    <w:rsid w:val="006B2E09"/>
    <w:rsid w:val="006B2E96"/>
    <w:rsid w:val="006B3AEB"/>
    <w:rsid w:val="006B3EBD"/>
    <w:rsid w:val="006B4667"/>
    <w:rsid w:val="006B4765"/>
    <w:rsid w:val="006B5026"/>
    <w:rsid w:val="006B5760"/>
    <w:rsid w:val="006B5A42"/>
    <w:rsid w:val="006B6D3A"/>
    <w:rsid w:val="006B7CDD"/>
    <w:rsid w:val="006C06CB"/>
    <w:rsid w:val="006C0FF9"/>
    <w:rsid w:val="006C1948"/>
    <w:rsid w:val="006C27DB"/>
    <w:rsid w:val="006C3A43"/>
    <w:rsid w:val="006C5D17"/>
    <w:rsid w:val="006C5D8D"/>
    <w:rsid w:val="006C6D01"/>
    <w:rsid w:val="006C703B"/>
    <w:rsid w:val="006C7595"/>
    <w:rsid w:val="006C75AB"/>
    <w:rsid w:val="006C7E88"/>
    <w:rsid w:val="006D09B0"/>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7182"/>
    <w:rsid w:val="0070015E"/>
    <w:rsid w:val="00700254"/>
    <w:rsid w:val="00701273"/>
    <w:rsid w:val="0070234A"/>
    <w:rsid w:val="007024BC"/>
    <w:rsid w:val="007029A5"/>
    <w:rsid w:val="00702F8A"/>
    <w:rsid w:val="00704302"/>
    <w:rsid w:val="00704391"/>
    <w:rsid w:val="007049E7"/>
    <w:rsid w:val="00704B88"/>
    <w:rsid w:val="00705418"/>
    <w:rsid w:val="00705E2F"/>
    <w:rsid w:val="00706232"/>
    <w:rsid w:val="00707AC9"/>
    <w:rsid w:val="00710722"/>
    <w:rsid w:val="00711D9D"/>
    <w:rsid w:val="007133C4"/>
    <w:rsid w:val="00714288"/>
    <w:rsid w:val="007144FE"/>
    <w:rsid w:val="00715F2C"/>
    <w:rsid w:val="00716FC5"/>
    <w:rsid w:val="00717D05"/>
    <w:rsid w:val="007204C5"/>
    <w:rsid w:val="007221E2"/>
    <w:rsid w:val="00722981"/>
    <w:rsid w:val="0072349E"/>
    <w:rsid w:val="0072354D"/>
    <w:rsid w:val="0072372C"/>
    <w:rsid w:val="00724A71"/>
    <w:rsid w:val="00724B4A"/>
    <w:rsid w:val="00725E16"/>
    <w:rsid w:val="00725E2C"/>
    <w:rsid w:val="00726291"/>
    <w:rsid w:val="00726C25"/>
    <w:rsid w:val="0072772E"/>
    <w:rsid w:val="00727B75"/>
    <w:rsid w:val="00730B84"/>
    <w:rsid w:val="00731749"/>
    <w:rsid w:val="00732BB2"/>
    <w:rsid w:val="00733068"/>
    <w:rsid w:val="007338D1"/>
    <w:rsid w:val="00733BC9"/>
    <w:rsid w:val="00733E81"/>
    <w:rsid w:val="00734A23"/>
    <w:rsid w:val="00734F3D"/>
    <w:rsid w:val="00735FBC"/>
    <w:rsid w:val="007362B7"/>
    <w:rsid w:val="007367C5"/>
    <w:rsid w:val="0073706F"/>
    <w:rsid w:val="00737519"/>
    <w:rsid w:val="00737C72"/>
    <w:rsid w:val="00740581"/>
    <w:rsid w:val="00740675"/>
    <w:rsid w:val="00740E18"/>
    <w:rsid w:val="00741B88"/>
    <w:rsid w:val="0074384F"/>
    <w:rsid w:val="00743AA6"/>
    <w:rsid w:val="00743F1D"/>
    <w:rsid w:val="007446F2"/>
    <w:rsid w:val="0074480A"/>
    <w:rsid w:val="007458A7"/>
    <w:rsid w:val="00745C2A"/>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31E1"/>
    <w:rsid w:val="00763355"/>
    <w:rsid w:val="00763D7C"/>
    <w:rsid w:val="00764DCA"/>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81994"/>
    <w:rsid w:val="00781A1C"/>
    <w:rsid w:val="00781E7A"/>
    <w:rsid w:val="00781EBF"/>
    <w:rsid w:val="00781FB9"/>
    <w:rsid w:val="007829F1"/>
    <w:rsid w:val="00782B4E"/>
    <w:rsid w:val="007845AF"/>
    <w:rsid w:val="007855C0"/>
    <w:rsid w:val="007867F9"/>
    <w:rsid w:val="00787A4F"/>
    <w:rsid w:val="00791B60"/>
    <w:rsid w:val="00791B6A"/>
    <w:rsid w:val="007925EA"/>
    <w:rsid w:val="00792936"/>
    <w:rsid w:val="00792C5A"/>
    <w:rsid w:val="007954F2"/>
    <w:rsid w:val="0079569A"/>
    <w:rsid w:val="0079585B"/>
    <w:rsid w:val="00795B16"/>
    <w:rsid w:val="00796E88"/>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7B2A"/>
    <w:rsid w:val="007B0D94"/>
    <w:rsid w:val="007B2826"/>
    <w:rsid w:val="007B282E"/>
    <w:rsid w:val="007B2EED"/>
    <w:rsid w:val="007B3414"/>
    <w:rsid w:val="007B3A09"/>
    <w:rsid w:val="007B3A9E"/>
    <w:rsid w:val="007B3AB3"/>
    <w:rsid w:val="007B4BC1"/>
    <w:rsid w:val="007B4E3B"/>
    <w:rsid w:val="007B5A0B"/>
    <w:rsid w:val="007B5AF2"/>
    <w:rsid w:val="007C18A4"/>
    <w:rsid w:val="007C2A67"/>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6686"/>
    <w:rsid w:val="007D7B75"/>
    <w:rsid w:val="007D7C2F"/>
    <w:rsid w:val="007E00C9"/>
    <w:rsid w:val="007E012D"/>
    <w:rsid w:val="007E0B2E"/>
    <w:rsid w:val="007E2350"/>
    <w:rsid w:val="007E2669"/>
    <w:rsid w:val="007E2C1A"/>
    <w:rsid w:val="007E2C20"/>
    <w:rsid w:val="007E2E4F"/>
    <w:rsid w:val="007E342A"/>
    <w:rsid w:val="007E35AF"/>
    <w:rsid w:val="007E3655"/>
    <w:rsid w:val="007E39F4"/>
    <w:rsid w:val="007E5105"/>
    <w:rsid w:val="007E62D2"/>
    <w:rsid w:val="007E66CE"/>
    <w:rsid w:val="007E67BB"/>
    <w:rsid w:val="007E6E8B"/>
    <w:rsid w:val="007E7DBC"/>
    <w:rsid w:val="007E7DE7"/>
    <w:rsid w:val="007F14DC"/>
    <w:rsid w:val="007F2FC0"/>
    <w:rsid w:val="007F315B"/>
    <w:rsid w:val="007F3DB4"/>
    <w:rsid w:val="007F3FB4"/>
    <w:rsid w:val="007F431C"/>
    <w:rsid w:val="007F44F9"/>
    <w:rsid w:val="007F45B5"/>
    <w:rsid w:val="007F7AE1"/>
    <w:rsid w:val="00800F99"/>
    <w:rsid w:val="0080111C"/>
    <w:rsid w:val="0080126D"/>
    <w:rsid w:val="0080226C"/>
    <w:rsid w:val="00802904"/>
    <w:rsid w:val="008035B8"/>
    <w:rsid w:val="00804C8A"/>
    <w:rsid w:val="00804D29"/>
    <w:rsid w:val="0080597E"/>
    <w:rsid w:val="008061B9"/>
    <w:rsid w:val="00806FCA"/>
    <w:rsid w:val="008079AD"/>
    <w:rsid w:val="00810FED"/>
    <w:rsid w:val="0081170B"/>
    <w:rsid w:val="00811B25"/>
    <w:rsid w:val="00812BA7"/>
    <w:rsid w:val="00812FFA"/>
    <w:rsid w:val="00814126"/>
    <w:rsid w:val="00814541"/>
    <w:rsid w:val="008157E0"/>
    <w:rsid w:val="00815C99"/>
    <w:rsid w:val="0081654A"/>
    <w:rsid w:val="0082008C"/>
    <w:rsid w:val="00820BD5"/>
    <w:rsid w:val="008215DA"/>
    <w:rsid w:val="00821C74"/>
    <w:rsid w:val="00822C92"/>
    <w:rsid w:val="00824975"/>
    <w:rsid w:val="008256BE"/>
    <w:rsid w:val="0082657C"/>
    <w:rsid w:val="0082682F"/>
    <w:rsid w:val="0082690D"/>
    <w:rsid w:val="0082705A"/>
    <w:rsid w:val="00827EB8"/>
    <w:rsid w:val="00830130"/>
    <w:rsid w:val="008302C6"/>
    <w:rsid w:val="00831200"/>
    <w:rsid w:val="00831AB2"/>
    <w:rsid w:val="00834122"/>
    <w:rsid w:val="00834979"/>
    <w:rsid w:val="00834B98"/>
    <w:rsid w:val="00835F57"/>
    <w:rsid w:val="00836C74"/>
    <w:rsid w:val="008370EA"/>
    <w:rsid w:val="008371D2"/>
    <w:rsid w:val="008376A1"/>
    <w:rsid w:val="008379EC"/>
    <w:rsid w:val="00840E99"/>
    <w:rsid w:val="00841360"/>
    <w:rsid w:val="00841BB6"/>
    <w:rsid w:val="00842598"/>
    <w:rsid w:val="00842ED0"/>
    <w:rsid w:val="00843A04"/>
    <w:rsid w:val="00845264"/>
    <w:rsid w:val="00845C1A"/>
    <w:rsid w:val="00847243"/>
    <w:rsid w:val="0084771B"/>
    <w:rsid w:val="00847A40"/>
    <w:rsid w:val="00847BFB"/>
    <w:rsid w:val="008526BD"/>
    <w:rsid w:val="00854EE9"/>
    <w:rsid w:val="00855086"/>
    <w:rsid w:val="00855095"/>
    <w:rsid w:val="0085560F"/>
    <w:rsid w:val="00860324"/>
    <w:rsid w:val="008605B5"/>
    <w:rsid w:val="00860A03"/>
    <w:rsid w:val="00860C31"/>
    <w:rsid w:val="0086121B"/>
    <w:rsid w:val="00862A24"/>
    <w:rsid w:val="008639AD"/>
    <w:rsid w:val="008639D1"/>
    <w:rsid w:val="00863AC6"/>
    <w:rsid w:val="00865325"/>
    <w:rsid w:val="00865385"/>
    <w:rsid w:val="00866B92"/>
    <w:rsid w:val="00867245"/>
    <w:rsid w:val="00867F0B"/>
    <w:rsid w:val="00870844"/>
    <w:rsid w:val="008721A5"/>
    <w:rsid w:val="00872370"/>
    <w:rsid w:val="008724DE"/>
    <w:rsid w:val="00872693"/>
    <w:rsid w:val="00874659"/>
    <w:rsid w:val="008747D8"/>
    <w:rsid w:val="0087674C"/>
    <w:rsid w:val="0087789E"/>
    <w:rsid w:val="00877C2B"/>
    <w:rsid w:val="00880157"/>
    <w:rsid w:val="008808ED"/>
    <w:rsid w:val="008811FB"/>
    <w:rsid w:val="0088180B"/>
    <w:rsid w:val="00882726"/>
    <w:rsid w:val="008827A5"/>
    <w:rsid w:val="00883096"/>
    <w:rsid w:val="00883ABD"/>
    <w:rsid w:val="0088405B"/>
    <w:rsid w:val="00884690"/>
    <w:rsid w:val="008858A0"/>
    <w:rsid w:val="00886610"/>
    <w:rsid w:val="008868A1"/>
    <w:rsid w:val="00890934"/>
    <w:rsid w:val="00890FCD"/>
    <w:rsid w:val="0089177F"/>
    <w:rsid w:val="0089190A"/>
    <w:rsid w:val="008958F2"/>
    <w:rsid w:val="008959D2"/>
    <w:rsid w:val="0089611D"/>
    <w:rsid w:val="008967B8"/>
    <w:rsid w:val="00897F57"/>
    <w:rsid w:val="008A0E56"/>
    <w:rsid w:val="008A1B9F"/>
    <w:rsid w:val="008A472E"/>
    <w:rsid w:val="008A509C"/>
    <w:rsid w:val="008A5291"/>
    <w:rsid w:val="008A56B5"/>
    <w:rsid w:val="008A5749"/>
    <w:rsid w:val="008A6039"/>
    <w:rsid w:val="008A7C9D"/>
    <w:rsid w:val="008B00D0"/>
    <w:rsid w:val="008B092C"/>
    <w:rsid w:val="008B10FB"/>
    <w:rsid w:val="008B1556"/>
    <w:rsid w:val="008B3633"/>
    <w:rsid w:val="008B3FFD"/>
    <w:rsid w:val="008B4F0A"/>
    <w:rsid w:val="008B5038"/>
    <w:rsid w:val="008B6B2A"/>
    <w:rsid w:val="008B6C6D"/>
    <w:rsid w:val="008B6E91"/>
    <w:rsid w:val="008B6FF9"/>
    <w:rsid w:val="008B723A"/>
    <w:rsid w:val="008B77D6"/>
    <w:rsid w:val="008C128F"/>
    <w:rsid w:val="008C308C"/>
    <w:rsid w:val="008C386E"/>
    <w:rsid w:val="008C390E"/>
    <w:rsid w:val="008C422E"/>
    <w:rsid w:val="008C4F64"/>
    <w:rsid w:val="008C535C"/>
    <w:rsid w:val="008C5D74"/>
    <w:rsid w:val="008C6B7A"/>
    <w:rsid w:val="008C6C87"/>
    <w:rsid w:val="008C6E46"/>
    <w:rsid w:val="008C7E0F"/>
    <w:rsid w:val="008D0352"/>
    <w:rsid w:val="008D03DA"/>
    <w:rsid w:val="008D1209"/>
    <w:rsid w:val="008D2CA9"/>
    <w:rsid w:val="008D2E6F"/>
    <w:rsid w:val="008D37B4"/>
    <w:rsid w:val="008D5B35"/>
    <w:rsid w:val="008D6ACE"/>
    <w:rsid w:val="008E040E"/>
    <w:rsid w:val="008E09F1"/>
    <w:rsid w:val="008E102C"/>
    <w:rsid w:val="008E1630"/>
    <w:rsid w:val="008E1AD5"/>
    <w:rsid w:val="008E1DF1"/>
    <w:rsid w:val="008E4025"/>
    <w:rsid w:val="008E4DD4"/>
    <w:rsid w:val="008E551F"/>
    <w:rsid w:val="008E5563"/>
    <w:rsid w:val="008E561D"/>
    <w:rsid w:val="008E6648"/>
    <w:rsid w:val="008E6752"/>
    <w:rsid w:val="008E6A1C"/>
    <w:rsid w:val="008F01BA"/>
    <w:rsid w:val="008F2E2F"/>
    <w:rsid w:val="008F39ED"/>
    <w:rsid w:val="008F4562"/>
    <w:rsid w:val="008F4C38"/>
    <w:rsid w:val="008F609C"/>
    <w:rsid w:val="008F6ADE"/>
    <w:rsid w:val="008F6FBF"/>
    <w:rsid w:val="008F7758"/>
    <w:rsid w:val="00900348"/>
    <w:rsid w:val="009005BC"/>
    <w:rsid w:val="00900939"/>
    <w:rsid w:val="00900DC1"/>
    <w:rsid w:val="009012D8"/>
    <w:rsid w:val="0090139D"/>
    <w:rsid w:val="00901ACC"/>
    <w:rsid w:val="009045CD"/>
    <w:rsid w:val="009051D2"/>
    <w:rsid w:val="00906F3E"/>
    <w:rsid w:val="0090749C"/>
    <w:rsid w:val="00910CE2"/>
    <w:rsid w:val="00910F07"/>
    <w:rsid w:val="009115DE"/>
    <w:rsid w:val="00911BC4"/>
    <w:rsid w:val="0091209F"/>
    <w:rsid w:val="00912855"/>
    <w:rsid w:val="00912AA9"/>
    <w:rsid w:val="00913242"/>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55A3"/>
    <w:rsid w:val="00925636"/>
    <w:rsid w:val="009256AD"/>
    <w:rsid w:val="00925783"/>
    <w:rsid w:val="00925CE0"/>
    <w:rsid w:val="00925FC0"/>
    <w:rsid w:val="0092650D"/>
    <w:rsid w:val="00926B8C"/>
    <w:rsid w:val="00926D86"/>
    <w:rsid w:val="009271C5"/>
    <w:rsid w:val="00927C0C"/>
    <w:rsid w:val="00930027"/>
    <w:rsid w:val="0093021C"/>
    <w:rsid w:val="009303A1"/>
    <w:rsid w:val="009304A4"/>
    <w:rsid w:val="009313C3"/>
    <w:rsid w:val="009313C5"/>
    <w:rsid w:val="009314F3"/>
    <w:rsid w:val="00932414"/>
    <w:rsid w:val="00934333"/>
    <w:rsid w:val="00935966"/>
    <w:rsid w:val="00935D7D"/>
    <w:rsid w:val="009404B0"/>
    <w:rsid w:val="00940966"/>
    <w:rsid w:val="00941EA1"/>
    <w:rsid w:val="00942342"/>
    <w:rsid w:val="00943043"/>
    <w:rsid w:val="009443A8"/>
    <w:rsid w:val="00945322"/>
    <w:rsid w:val="00946F23"/>
    <w:rsid w:val="00947191"/>
    <w:rsid w:val="0094736F"/>
    <w:rsid w:val="00947E36"/>
    <w:rsid w:val="00951216"/>
    <w:rsid w:val="009514E6"/>
    <w:rsid w:val="00952064"/>
    <w:rsid w:val="00952079"/>
    <w:rsid w:val="0095289B"/>
    <w:rsid w:val="00952F30"/>
    <w:rsid w:val="00953A0B"/>
    <w:rsid w:val="00953A19"/>
    <w:rsid w:val="00953CCE"/>
    <w:rsid w:val="009564A7"/>
    <w:rsid w:val="009603BB"/>
    <w:rsid w:val="009608D9"/>
    <w:rsid w:val="009610C4"/>
    <w:rsid w:val="0096154D"/>
    <w:rsid w:val="00961BAC"/>
    <w:rsid w:val="00961FAA"/>
    <w:rsid w:val="00962EBC"/>
    <w:rsid w:val="009632BC"/>
    <w:rsid w:val="0096333F"/>
    <w:rsid w:val="00963AE3"/>
    <w:rsid w:val="00964BF7"/>
    <w:rsid w:val="00964C19"/>
    <w:rsid w:val="00964D57"/>
    <w:rsid w:val="00965DFD"/>
    <w:rsid w:val="00965E8B"/>
    <w:rsid w:val="00966B92"/>
    <w:rsid w:val="00966D06"/>
    <w:rsid w:val="00967D07"/>
    <w:rsid w:val="00970376"/>
    <w:rsid w:val="009704CC"/>
    <w:rsid w:val="00970F5B"/>
    <w:rsid w:val="00971499"/>
    <w:rsid w:val="0097165B"/>
    <w:rsid w:val="00971856"/>
    <w:rsid w:val="00972FB6"/>
    <w:rsid w:val="00973243"/>
    <w:rsid w:val="00974839"/>
    <w:rsid w:val="009752B5"/>
    <w:rsid w:val="009757AD"/>
    <w:rsid w:val="00976E82"/>
    <w:rsid w:val="00977702"/>
    <w:rsid w:val="00980229"/>
    <w:rsid w:val="00981168"/>
    <w:rsid w:val="009812F7"/>
    <w:rsid w:val="00982963"/>
    <w:rsid w:val="00982CD6"/>
    <w:rsid w:val="00982F62"/>
    <w:rsid w:val="00984E7A"/>
    <w:rsid w:val="009876A4"/>
    <w:rsid w:val="00987D97"/>
    <w:rsid w:val="00990E3B"/>
    <w:rsid w:val="00991A40"/>
    <w:rsid w:val="00991F70"/>
    <w:rsid w:val="0099237C"/>
    <w:rsid w:val="00992AA6"/>
    <w:rsid w:val="00992DFC"/>
    <w:rsid w:val="00993738"/>
    <w:rsid w:val="00993DF1"/>
    <w:rsid w:val="009A0BEF"/>
    <w:rsid w:val="009A3E79"/>
    <w:rsid w:val="009A4B16"/>
    <w:rsid w:val="009A5024"/>
    <w:rsid w:val="009A606E"/>
    <w:rsid w:val="009A659B"/>
    <w:rsid w:val="009A6E13"/>
    <w:rsid w:val="009A7E98"/>
    <w:rsid w:val="009B0533"/>
    <w:rsid w:val="009B1265"/>
    <w:rsid w:val="009B1268"/>
    <w:rsid w:val="009B2E80"/>
    <w:rsid w:val="009B3069"/>
    <w:rsid w:val="009B48F4"/>
    <w:rsid w:val="009B49FC"/>
    <w:rsid w:val="009B4DE8"/>
    <w:rsid w:val="009B56E5"/>
    <w:rsid w:val="009B586B"/>
    <w:rsid w:val="009B691C"/>
    <w:rsid w:val="009B78F8"/>
    <w:rsid w:val="009B7FD9"/>
    <w:rsid w:val="009C0272"/>
    <w:rsid w:val="009C13C1"/>
    <w:rsid w:val="009C1564"/>
    <w:rsid w:val="009C2069"/>
    <w:rsid w:val="009C20CD"/>
    <w:rsid w:val="009C20CF"/>
    <w:rsid w:val="009C230E"/>
    <w:rsid w:val="009C2F0B"/>
    <w:rsid w:val="009C5162"/>
    <w:rsid w:val="009C532A"/>
    <w:rsid w:val="009C67AD"/>
    <w:rsid w:val="009C7001"/>
    <w:rsid w:val="009D0575"/>
    <w:rsid w:val="009D15B1"/>
    <w:rsid w:val="009D25C0"/>
    <w:rsid w:val="009D2F96"/>
    <w:rsid w:val="009D4310"/>
    <w:rsid w:val="009D52A9"/>
    <w:rsid w:val="009D5AFF"/>
    <w:rsid w:val="009D64A9"/>
    <w:rsid w:val="009D7335"/>
    <w:rsid w:val="009D7A09"/>
    <w:rsid w:val="009D7B03"/>
    <w:rsid w:val="009E07F6"/>
    <w:rsid w:val="009E0BD7"/>
    <w:rsid w:val="009E1743"/>
    <w:rsid w:val="009E2377"/>
    <w:rsid w:val="009E2E82"/>
    <w:rsid w:val="009E301F"/>
    <w:rsid w:val="009E31C2"/>
    <w:rsid w:val="009E3F19"/>
    <w:rsid w:val="009E4764"/>
    <w:rsid w:val="009E599C"/>
    <w:rsid w:val="009E59D0"/>
    <w:rsid w:val="009E5A66"/>
    <w:rsid w:val="009E5CB7"/>
    <w:rsid w:val="009E6A74"/>
    <w:rsid w:val="009E7B20"/>
    <w:rsid w:val="009F10FD"/>
    <w:rsid w:val="009F16B1"/>
    <w:rsid w:val="009F1F29"/>
    <w:rsid w:val="009F2CCB"/>
    <w:rsid w:val="009F3463"/>
    <w:rsid w:val="009F3E5E"/>
    <w:rsid w:val="009F5172"/>
    <w:rsid w:val="009F5249"/>
    <w:rsid w:val="009F5D6E"/>
    <w:rsid w:val="009F6C26"/>
    <w:rsid w:val="009F7800"/>
    <w:rsid w:val="009F7AB3"/>
    <w:rsid w:val="00A00293"/>
    <w:rsid w:val="00A00A33"/>
    <w:rsid w:val="00A018AF"/>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5F10"/>
    <w:rsid w:val="00A172CD"/>
    <w:rsid w:val="00A1750E"/>
    <w:rsid w:val="00A1765E"/>
    <w:rsid w:val="00A17B1F"/>
    <w:rsid w:val="00A17CA5"/>
    <w:rsid w:val="00A203F4"/>
    <w:rsid w:val="00A20823"/>
    <w:rsid w:val="00A20D4F"/>
    <w:rsid w:val="00A2171C"/>
    <w:rsid w:val="00A22398"/>
    <w:rsid w:val="00A22480"/>
    <w:rsid w:val="00A2271E"/>
    <w:rsid w:val="00A22938"/>
    <w:rsid w:val="00A239E0"/>
    <w:rsid w:val="00A23CF6"/>
    <w:rsid w:val="00A2434F"/>
    <w:rsid w:val="00A2552E"/>
    <w:rsid w:val="00A26A2F"/>
    <w:rsid w:val="00A26B23"/>
    <w:rsid w:val="00A27EF9"/>
    <w:rsid w:val="00A3090D"/>
    <w:rsid w:val="00A309AB"/>
    <w:rsid w:val="00A3141B"/>
    <w:rsid w:val="00A31973"/>
    <w:rsid w:val="00A31F9D"/>
    <w:rsid w:val="00A32117"/>
    <w:rsid w:val="00A32B45"/>
    <w:rsid w:val="00A3331A"/>
    <w:rsid w:val="00A34932"/>
    <w:rsid w:val="00A34C44"/>
    <w:rsid w:val="00A34C86"/>
    <w:rsid w:val="00A351D9"/>
    <w:rsid w:val="00A366EA"/>
    <w:rsid w:val="00A36F01"/>
    <w:rsid w:val="00A37F9A"/>
    <w:rsid w:val="00A42397"/>
    <w:rsid w:val="00A424FC"/>
    <w:rsid w:val="00A42788"/>
    <w:rsid w:val="00A43C9B"/>
    <w:rsid w:val="00A44EFD"/>
    <w:rsid w:val="00A450B4"/>
    <w:rsid w:val="00A45629"/>
    <w:rsid w:val="00A46163"/>
    <w:rsid w:val="00A472E7"/>
    <w:rsid w:val="00A47796"/>
    <w:rsid w:val="00A47DB5"/>
    <w:rsid w:val="00A51D51"/>
    <w:rsid w:val="00A51E86"/>
    <w:rsid w:val="00A52FC3"/>
    <w:rsid w:val="00A55736"/>
    <w:rsid w:val="00A566D9"/>
    <w:rsid w:val="00A5695A"/>
    <w:rsid w:val="00A57025"/>
    <w:rsid w:val="00A57346"/>
    <w:rsid w:val="00A57C8A"/>
    <w:rsid w:val="00A6095D"/>
    <w:rsid w:val="00A60B45"/>
    <w:rsid w:val="00A6116B"/>
    <w:rsid w:val="00A614EE"/>
    <w:rsid w:val="00A6157A"/>
    <w:rsid w:val="00A62701"/>
    <w:rsid w:val="00A636C4"/>
    <w:rsid w:val="00A64701"/>
    <w:rsid w:val="00A64C0B"/>
    <w:rsid w:val="00A66D0F"/>
    <w:rsid w:val="00A6711B"/>
    <w:rsid w:val="00A67E64"/>
    <w:rsid w:val="00A70B1A"/>
    <w:rsid w:val="00A70CDF"/>
    <w:rsid w:val="00A70E7C"/>
    <w:rsid w:val="00A73B4D"/>
    <w:rsid w:val="00A7426C"/>
    <w:rsid w:val="00A7536E"/>
    <w:rsid w:val="00A75924"/>
    <w:rsid w:val="00A75F46"/>
    <w:rsid w:val="00A75FCD"/>
    <w:rsid w:val="00A76D0D"/>
    <w:rsid w:val="00A774EF"/>
    <w:rsid w:val="00A80D38"/>
    <w:rsid w:val="00A811F0"/>
    <w:rsid w:val="00A81564"/>
    <w:rsid w:val="00A81EFD"/>
    <w:rsid w:val="00A82947"/>
    <w:rsid w:val="00A82F34"/>
    <w:rsid w:val="00A830DA"/>
    <w:rsid w:val="00A8327C"/>
    <w:rsid w:val="00A8372A"/>
    <w:rsid w:val="00A83E23"/>
    <w:rsid w:val="00A84826"/>
    <w:rsid w:val="00A84A99"/>
    <w:rsid w:val="00A850CE"/>
    <w:rsid w:val="00A8540F"/>
    <w:rsid w:val="00A85661"/>
    <w:rsid w:val="00A85877"/>
    <w:rsid w:val="00A86E41"/>
    <w:rsid w:val="00A87399"/>
    <w:rsid w:val="00A87C30"/>
    <w:rsid w:val="00A903A4"/>
    <w:rsid w:val="00A92E18"/>
    <w:rsid w:val="00A93CA5"/>
    <w:rsid w:val="00A946DB"/>
    <w:rsid w:val="00A94BD0"/>
    <w:rsid w:val="00A94DDE"/>
    <w:rsid w:val="00A95E59"/>
    <w:rsid w:val="00A95FF1"/>
    <w:rsid w:val="00A961FA"/>
    <w:rsid w:val="00A979B7"/>
    <w:rsid w:val="00A97BC0"/>
    <w:rsid w:val="00AA092F"/>
    <w:rsid w:val="00AA1951"/>
    <w:rsid w:val="00AA22F2"/>
    <w:rsid w:val="00AA2EB8"/>
    <w:rsid w:val="00AA3C6A"/>
    <w:rsid w:val="00AA4254"/>
    <w:rsid w:val="00AA5335"/>
    <w:rsid w:val="00AA61BA"/>
    <w:rsid w:val="00AA7260"/>
    <w:rsid w:val="00AB02E5"/>
    <w:rsid w:val="00AB1528"/>
    <w:rsid w:val="00AB1BD1"/>
    <w:rsid w:val="00AB1EFE"/>
    <w:rsid w:val="00AB3555"/>
    <w:rsid w:val="00AB49DF"/>
    <w:rsid w:val="00AB4C9C"/>
    <w:rsid w:val="00AB5D2D"/>
    <w:rsid w:val="00AB6B1A"/>
    <w:rsid w:val="00AB70D9"/>
    <w:rsid w:val="00AB74F0"/>
    <w:rsid w:val="00AC0256"/>
    <w:rsid w:val="00AC0562"/>
    <w:rsid w:val="00AC0595"/>
    <w:rsid w:val="00AC0FFF"/>
    <w:rsid w:val="00AC1DFC"/>
    <w:rsid w:val="00AC2341"/>
    <w:rsid w:val="00AC2A27"/>
    <w:rsid w:val="00AC3358"/>
    <w:rsid w:val="00AC34F5"/>
    <w:rsid w:val="00AC4262"/>
    <w:rsid w:val="00AC4F0A"/>
    <w:rsid w:val="00AC5BB4"/>
    <w:rsid w:val="00AC69D0"/>
    <w:rsid w:val="00AC6ED9"/>
    <w:rsid w:val="00AD239E"/>
    <w:rsid w:val="00AD25E6"/>
    <w:rsid w:val="00AD2A5A"/>
    <w:rsid w:val="00AD32FF"/>
    <w:rsid w:val="00AD3E8F"/>
    <w:rsid w:val="00AD4E45"/>
    <w:rsid w:val="00AD50C7"/>
    <w:rsid w:val="00AD5E00"/>
    <w:rsid w:val="00AD63ED"/>
    <w:rsid w:val="00AD675B"/>
    <w:rsid w:val="00AE201C"/>
    <w:rsid w:val="00AE54DE"/>
    <w:rsid w:val="00AE654D"/>
    <w:rsid w:val="00AE69F5"/>
    <w:rsid w:val="00AE6FEB"/>
    <w:rsid w:val="00AE7280"/>
    <w:rsid w:val="00AE7AB7"/>
    <w:rsid w:val="00AF1D18"/>
    <w:rsid w:val="00AF262A"/>
    <w:rsid w:val="00AF280B"/>
    <w:rsid w:val="00AF2FAA"/>
    <w:rsid w:val="00AF2FE4"/>
    <w:rsid w:val="00AF44C3"/>
    <w:rsid w:val="00AF6993"/>
    <w:rsid w:val="00AF702A"/>
    <w:rsid w:val="00AF7C5E"/>
    <w:rsid w:val="00B0191C"/>
    <w:rsid w:val="00B0217F"/>
    <w:rsid w:val="00B02D0E"/>
    <w:rsid w:val="00B031A8"/>
    <w:rsid w:val="00B037B0"/>
    <w:rsid w:val="00B05E39"/>
    <w:rsid w:val="00B060DC"/>
    <w:rsid w:val="00B10ACA"/>
    <w:rsid w:val="00B111C1"/>
    <w:rsid w:val="00B11DBC"/>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5670"/>
    <w:rsid w:val="00B25AA5"/>
    <w:rsid w:val="00B25BBE"/>
    <w:rsid w:val="00B30389"/>
    <w:rsid w:val="00B306A4"/>
    <w:rsid w:val="00B308E8"/>
    <w:rsid w:val="00B30BD1"/>
    <w:rsid w:val="00B317A2"/>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9E1"/>
    <w:rsid w:val="00B40C60"/>
    <w:rsid w:val="00B40FB9"/>
    <w:rsid w:val="00B40FF6"/>
    <w:rsid w:val="00B41DF4"/>
    <w:rsid w:val="00B429B6"/>
    <w:rsid w:val="00B449DC"/>
    <w:rsid w:val="00B44CC5"/>
    <w:rsid w:val="00B46760"/>
    <w:rsid w:val="00B50880"/>
    <w:rsid w:val="00B50B75"/>
    <w:rsid w:val="00B51B6D"/>
    <w:rsid w:val="00B52CA7"/>
    <w:rsid w:val="00B5770C"/>
    <w:rsid w:val="00B605EF"/>
    <w:rsid w:val="00B60D3C"/>
    <w:rsid w:val="00B61FBF"/>
    <w:rsid w:val="00B624CF"/>
    <w:rsid w:val="00B62AD2"/>
    <w:rsid w:val="00B62B51"/>
    <w:rsid w:val="00B63DA4"/>
    <w:rsid w:val="00B642AF"/>
    <w:rsid w:val="00B642F4"/>
    <w:rsid w:val="00B64A37"/>
    <w:rsid w:val="00B64AA6"/>
    <w:rsid w:val="00B64DDB"/>
    <w:rsid w:val="00B70619"/>
    <w:rsid w:val="00B71A07"/>
    <w:rsid w:val="00B72D35"/>
    <w:rsid w:val="00B72E46"/>
    <w:rsid w:val="00B738EA"/>
    <w:rsid w:val="00B7493D"/>
    <w:rsid w:val="00B74B43"/>
    <w:rsid w:val="00B76290"/>
    <w:rsid w:val="00B764F1"/>
    <w:rsid w:val="00B764FC"/>
    <w:rsid w:val="00B7727A"/>
    <w:rsid w:val="00B77793"/>
    <w:rsid w:val="00B818A8"/>
    <w:rsid w:val="00B837AA"/>
    <w:rsid w:val="00B83CD2"/>
    <w:rsid w:val="00B8403F"/>
    <w:rsid w:val="00B84047"/>
    <w:rsid w:val="00B85096"/>
    <w:rsid w:val="00B8552F"/>
    <w:rsid w:val="00B86D7B"/>
    <w:rsid w:val="00B87665"/>
    <w:rsid w:val="00B8786C"/>
    <w:rsid w:val="00B87AEA"/>
    <w:rsid w:val="00B87E15"/>
    <w:rsid w:val="00B9020E"/>
    <w:rsid w:val="00B92B7B"/>
    <w:rsid w:val="00B93203"/>
    <w:rsid w:val="00B93A86"/>
    <w:rsid w:val="00B93C48"/>
    <w:rsid w:val="00B944F0"/>
    <w:rsid w:val="00B95F7E"/>
    <w:rsid w:val="00B966A7"/>
    <w:rsid w:val="00B968E3"/>
    <w:rsid w:val="00B96E6F"/>
    <w:rsid w:val="00B96F80"/>
    <w:rsid w:val="00B974CC"/>
    <w:rsid w:val="00B975D6"/>
    <w:rsid w:val="00BA0885"/>
    <w:rsid w:val="00BA13E9"/>
    <w:rsid w:val="00BA17E3"/>
    <w:rsid w:val="00BA1F07"/>
    <w:rsid w:val="00BA22B6"/>
    <w:rsid w:val="00BA28C5"/>
    <w:rsid w:val="00BA357D"/>
    <w:rsid w:val="00BA3E3B"/>
    <w:rsid w:val="00BA41DC"/>
    <w:rsid w:val="00BA59CD"/>
    <w:rsid w:val="00BA5F50"/>
    <w:rsid w:val="00BA63F7"/>
    <w:rsid w:val="00BA68F5"/>
    <w:rsid w:val="00BA697C"/>
    <w:rsid w:val="00BA7652"/>
    <w:rsid w:val="00BA7881"/>
    <w:rsid w:val="00BA78E6"/>
    <w:rsid w:val="00BB114B"/>
    <w:rsid w:val="00BB123E"/>
    <w:rsid w:val="00BB1A7F"/>
    <w:rsid w:val="00BB27E8"/>
    <w:rsid w:val="00BB30AC"/>
    <w:rsid w:val="00BB3686"/>
    <w:rsid w:val="00BB3F11"/>
    <w:rsid w:val="00BB4AFE"/>
    <w:rsid w:val="00BB4FBB"/>
    <w:rsid w:val="00BB567F"/>
    <w:rsid w:val="00BB5856"/>
    <w:rsid w:val="00BB5C9F"/>
    <w:rsid w:val="00BB5EF3"/>
    <w:rsid w:val="00BB6CE2"/>
    <w:rsid w:val="00BB6F1B"/>
    <w:rsid w:val="00BC125B"/>
    <w:rsid w:val="00BC13C4"/>
    <w:rsid w:val="00BC1DAE"/>
    <w:rsid w:val="00BC1EB5"/>
    <w:rsid w:val="00BC34ED"/>
    <w:rsid w:val="00BC4204"/>
    <w:rsid w:val="00BC5842"/>
    <w:rsid w:val="00BC7848"/>
    <w:rsid w:val="00BD0648"/>
    <w:rsid w:val="00BD0BBE"/>
    <w:rsid w:val="00BD10EF"/>
    <w:rsid w:val="00BD279E"/>
    <w:rsid w:val="00BD3A7F"/>
    <w:rsid w:val="00BD4F39"/>
    <w:rsid w:val="00BD6CE1"/>
    <w:rsid w:val="00BD6F06"/>
    <w:rsid w:val="00BD76C3"/>
    <w:rsid w:val="00BD7B71"/>
    <w:rsid w:val="00BD7C00"/>
    <w:rsid w:val="00BE26F7"/>
    <w:rsid w:val="00BE2DB1"/>
    <w:rsid w:val="00BE34C3"/>
    <w:rsid w:val="00BE3FF2"/>
    <w:rsid w:val="00BE4356"/>
    <w:rsid w:val="00BE46C4"/>
    <w:rsid w:val="00BE4917"/>
    <w:rsid w:val="00BE4BE4"/>
    <w:rsid w:val="00BE4CC4"/>
    <w:rsid w:val="00BE4D8C"/>
    <w:rsid w:val="00BE51E6"/>
    <w:rsid w:val="00BE5243"/>
    <w:rsid w:val="00BE580E"/>
    <w:rsid w:val="00BF0326"/>
    <w:rsid w:val="00BF03CC"/>
    <w:rsid w:val="00BF4192"/>
    <w:rsid w:val="00BF5386"/>
    <w:rsid w:val="00BF554B"/>
    <w:rsid w:val="00BF6988"/>
    <w:rsid w:val="00BF7681"/>
    <w:rsid w:val="00BF7E1C"/>
    <w:rsid w:val="00C00CCC"/>
    <w:rsid w:val="00C04027"/>
    <w:rsid w:val="00C04D03"/>
    <w:rsid w:val="00C059F1"/>
    <w:rsid w:val="00C06345"/>
    <w:rsid w:val="00C0654E"/>
    <w:rsid w:val="00C06A47"/>
    <w:rsid w:val="00C06CB9"/>
    <w:rsid w:val="00C07048"/>
    <w:rsid w:val="00C07127"/>
    <w:rsid w:val="00C101BE"/>
    <w:rsid w:val="00C102B9"/>
    <w:rsid w:val="00C11058"/>
    <w:rsid w:val="00C1137B"/>
    <w:rsid w:val="00C11690"/>
    <w:rsid w:val="00C11DE9"/>
    <w:rsid w:val="00C1204E"/>
    <w:rsid w:val="00C12BFC"/>
    <w:rsid w:val="00C15573"/>
    <w:rsid w:val="00C15E21"/>
    <w:rsid w:val="00C16F1A"/>
    <w:rsid w:val="00C174A9"/>
    <w:rsid w:val="00C17851"/>
    <w:rsid w:val="00C17C33"/>
    <w:rsid w:val="00C2023E"/>
    <w:rsid w:val="00C202E5"/>
    <w:rsid w:val="00C204FF"/>
    <w:rsid w:val="00C2103D"/>
    <w:rsid w:val="00C21767"/>
    <w:rsid w:val="00C22611"/>
    <w:rsid w:val="00C227F3"/>
    <w:rsid w:val="00C22A4E"/>
    <w:rsid w:val="00C22A64"/>
    <w:rsid w:val="00C237F1"/>
    <w:rsid w:val="00C2412B"/>
    <w:rsid w:val="00C24561"/>
    <w:rsid w:val="00C2518C"/>
    <w:rsid w:val="00C2576D"/>
    <w:rsid w:val="00C26C55"/>
    <w:rsid w:val="00C26C99"/>
    <w:rsid w:val="00C27671"/>
    <w:rsid w:val="00C277EC"/>
    <w:rsid w:val="00C27973"/>
    <w:rsid w:val="00C27BFE"/>
    <w:rsid w:val="00C30AB3"/>
    <w:rsid w:val="00C31797"/>
    <w:rsid w:val="00C32450"/>
    <w:rsid w:val="00C33066"/>
    <w:rsid w:val="00C33E37"/>
    <w:rsid w:val="00C36105"/>
    <w:rsid w:val="00C36FB1"/>
    <w:rsid w:val="00C379AD"/>
    <w:rsid w:val="00C37F92"/>
    <w:rsid w:val="00C40EA0"/>
    <w:rsid w:val="00C422E3"/>
    <w:rsid w:val="00C437FB"/>
    <w:rsid w:val="00C43B14"/>
    <w:rsid w:val="00C44291"/>
    <w:rsid w:val="00C45E3A"/>
    <w:rsid w:val="00C461F1"/>
    <w:rsid w:val="00C462FA"/>
    <w:rsid w:val="00C465A0"/>
    <w:rsid w:val="00C467B4"/>
    <w:rsid w:val="00C46C6C"/>
    <w:rsid w:val="00C4726C"/>
    <w:rsid w:val="00C5038D"/>
    <w:rsid w:val="00C511CE"/>
    <w:rsid w:val="00C51B68"/>
    <w:rsid w:val="00C51CB2"/>
    <w:rsid w:val="00C52A7F"/>
    <w:rsid w:val="00C52EB0"/>
    <w:rsid w:val="00C53334"/>
    <w:rsid w:val="00C54A52"/>
    <w:rsid w:val="00C55197"/>
    <w:rsid w:val="00C55460"/>
    <w:rsid w:val="00C5587A"/>
    <w:rsid w:val="00C558DC"/>
    <w:rsid w:val="00C55B3C"/>
    <w:rsid w:val="00C563D3"/>
    <w:rsid w:val="00C56732"/>
    <w:rsid w:val="00C57975"/>
    <w:rsid w:val="00C57A97"/>
    <w:rsid w:val="00C57C9A"/>
    <w:rsid w:val="00C60510"/>
    <w:rsid w:val="00C6055B"/>
    <w:rsid w:val="00C60C3E"/>
    <w:rsid w:val="00C60D40"/>
    <w:rsid w:val="00C61046"/>
    <w:rsid w:val="00C61E65"/>
    <w:rsid w:val="00C62271"/>
    <w:rsid w:val="00C627E6"/>
    <w:rsid w:val="00C6311D"/>
    <w:rsid w:val="00C63B10"/>
    <w:rsid w:val="00C64433"/>
    <w:rsid w:val="00C645B1"/>
    <w:rsid w:val="00C65436"/>
    <w:rsid w:val="00C65DCF"/>
    <w:rsid w:val="00C66738"/>
    <w:rsid w:val="00C66D7D"/>
    <w:rsid w:val="00C6783F"/>
    <w:rsid w:val="00C70143"/>
    <w:rsid w:val="00C7419C"/>
    <w:rsid w:val="00C747C7"/>
    <w:rsid w:val="00C75943"/>
    <w:rsid w:val="00C77A4E"/>
    <w:rsid w:val="00C8037F"/>
    <w:rsid w:val="00C80BAB"/>
    <w:rsid w:val="00C80DDA"/>
    <w:rsid w:val="00C815D7"/>
    <w:rsid w:val="00C818CC"/>
    <w:rsid w:val="00C82096"/>
    <w:rsid w:val="00C824BA"/>
    <w:rsid w:val="00C82B5B"/>
    <w:rsid w:val="00C82FE5"/>
    <w:rsid w:val="00C83321"/>
    <w:rsid w:val="00C85E38"/>
    <w:rsid w:val="00C86849"/>
    <w:rsid w:val="00C869A2"/>
    <w:rsid w:val="00C870DC"/>
    <w:rsid w:val="00C91944"/>
    <w:rsid w:val="00C93265"/>
    <w:rsid w:val="00C93335"/>
    <w:rsid w:val="00C94478"/>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796F"/>
    <w:rsid w:val="00CB00DE"/>
    <w:rsid w:val="00CB0118"/>
    <w:rsid w:val="00CB106F"/>
    <w:rsid w:val="00CB1B49"/>
    <w:rsid w:val="00CB1F81"/>
    <w:rsid w:val="00CB20C0"/>
    <w:rsid w:val="00CB2BEA"/>
    <w:rsid w:val="00CB30BE"/>
    <w:rsid w:val="00CB3B4B"/>
    <w:rsid w:val="00CB40DD"/>
    <w:rsid w:val="00CB4E23"/>
    <w:rsid w:val="00CB5224"/>
    <w:rsid w:val="00CB55F6"/>
    <w:rsid w:val="00CB5734"/>
    <w:rsid w:val="00CB5BAB"/>
    <w:rsid w:val="00CB629C"/>
    <w:rsid w:val="00CB64FE"/>
    <w:rsid w:val="00CB7248"/>
    <w:rsid w:val="00CB7E48"/>
    <w:rsid w:val="00CB7ED7"/>
    <w:rsid w:val="00CC1622"/>
    <w:rsid w:val="00CC225F"/>
    <w:rsid w:val="00CC3842"/>
    <w:rsid w:val="00CC3880"/>
    <w:rsid w:val="00CC3911"/>
    <w:rsid w:val="00CC40E7"/>
    <w:rsid w:val="00CC49B0"/>
    <w:rsid w:val="00CC57BE"/>
    <w:rsid w:val="00CC66F1"/>
    <w:rsid w:val="00CC69E4"/>
    <w:rsid w:val="00CD02B0"/>
    <w:rsid w:val="00CD03FA"/>
    <w:rsid w:val="00CD05B8"/>
    <w:rsid w:val="00CD12D6"/>
    <w:rsid w:val="00CD1374"/>
    <w:rsid w:val="00CD1C3C"/>
    <w:rsid w:val="00CD259E"/>
    <w:rsid w:val="00CD2DC0"/>
    <w:rsid w:val="00CD2F33"/>
    <w:rsid w:val="00CD37A3"/>
    <w:rsid w:val="00CD3A8A"/>
    <w:rsid w:val="00CD56F2"/>
    <w:rsid w:val="00CD56FB"/>
    <w:rsid w:val="00CD5726"/>
    <w:rsid w:val="00CD616E"/>
    <w:rsid w:val="00CE02E1"/>
    <w:rsid w:val="00CE0657"/>
    <w:rsid w:val="00CE0CED"/>
    <w:rsid w:val="00CE134C"/>
    <w:rsid w:val="00CE2028"/>
    <w:rsid w:val="00CE3785"/>
    <w:rsid w:val="00CE437C"/>
    <w:rsid w:val="00CE5EBE"/>
    <w:rsid w:val="00CE5F0E"/>
    <w:rsid w:val="00CE6144"/>
    <w:rsid w:val="00CE6357"/>
    <w:rsid w:val="00CF01CD"/>
    <w:rsid w:val="00CF0DCC"/>
    <w:rsid w:val="00CF18E6"/>
    <w:rsid w:val="00CF19D8"/>
    <w:rsid w:val="00CF2109"/>
    <w:rsid w:val="00CF3D56"/>
    <w:rsid w:val="00CF3F2A"/>
    <w:rsid w:val="00CF72F5"/>
    <w:rsid w:val="00CF7F0A"/>
    <w:rsid w:val="00D00157"/>
    <w:rsid w:val="00D01545"/>
    <w:rsid w:val="00D02BE0"/>
    <w:rsid w:val="00D02DAA"/>
    <w:rsid w:val="00D0306D"/>
    <w:rsid w:val="00D03F65"/>
    <w:rsid w:val="00D041F6"/>
    <w:rsid w:val="00D1154B"/>
    <w:rsid w:val="00D12321"/>
    <w:rsid w:val="00D12949"/>
    <w:rsid w:val="00D12984"/>
    <w:rsid w:val="00D12C7C"/>
    <w:rsid w:val="00D1398A"/>
    <w:rsid w:val="00D145C3"/>
    <w:rsid w:val="00D155AA"/>
    <w:rsid w:val="00D1737C"/>
    <w:rsid w:val="00D20719"/>
    <w:rsid w:val="00D2094A"/>
    <w:rsid w:val="00D2127F"/>
    <w:rsid w:val="00D21E9F"/>
    <w:rsid w:val="00D223E2"/>
    <w:rsid w:val="00D23733"/>
    <w:rsid w:val="00D24A16"/>
    <w:rsid w:val="00D250EA"/>
    <w:rsid w:val="00D2522D"/>
    <w:rsid w:val="00D26A40"/>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646B"/>
    <w:rsid w:val="00D367B8"/>
    <w:rsid w:val="00D36B11"/>
    <w:rsid w:val="00D36C6D"/>
    <w:rsid w:val="00D36EB0"/>
    <w:rsid w:val="00D3701B"/>
    <w:rsid w:val="00D37848"/>
    <w:rsid w:val="00D37870"/>
    <w:rsid w:val="00D379F1"/>
    <w:rsid w:val="00D37C97"/>
    <w:rsid w:val="00D40D99"/>
    <w:rsid w:val="00D40FD9"/>
    <w:rsid w:val="00D41370"/>
    <w:rsid w:val="00D42513"/>
    <w:rsid w:val="00D42E07"/>
    <w:rsid w:val="00D4400C"/>
    <w:rsid w:val="00D45645"/>
    <w:rsid w:val="00D4579B"/>
    <w:rsid w:val="00D458AC"/>
    <w:rsid w:val="00D4785E"/>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5"/>
    <w:rsid w:val="00D60E78"/>
    <w:rsid w:val="00D6134F"/>
    <w:rsid w:val="00D613AF"/>
    <w:rsid w:val="00D62956"/>
    <w:rsid w:val="00D62F7D"/>
    <w:rsid w:val="00D63193"/>
    <w:rsid w:val="00D63801"/>
    <w:rsid w:val="00D641CE"/>
    <w:rsid w:val="00D66175"/>
    <w:rsid w:val="00D66687"/>
    <w:rsid w:val="00D67195"/>
    <w:rsid w:val="00D67707"/>
    <w:rsid w:val="00D67B8E"/>
    <w:rsid w:val="00D67C00"/>
    <w:rsid w:val="00D67C20"/>
    <w:rsid w:val="00D709FA"/>
    <w:rsid w:val="00D742AB"/>
    <w:rsid w:val="00D760BA"/>
    <w:rsid w:val="00D775A8"/>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246C"/>
    <w:rsid w:val="00D9263E"/>
    <w:rsid w:val="00D9380A"/>
    <w:rsid w:val="00D93E59"/>
    <w:rsid w:val="00D93E87"/>
    <w:rsid w:val="00D9529B"/>
    <w:rsid w:val="00D952B8"/>
    <w:rsid w:val="00D96008"/>
    <w:rsid w:val="00D962F4"/>
    <w:rsid w:val="00D96D5A"/>
    <w:rsid w:val="00D96E0F"/>
    <w:rsid w:val="00D9717D"/>
    <w:rsid w:val="00D974D3"/>
    <w:rsid w:val="00D978CF"/>
    <w:rsid w:val="00D97D8C"/>
    <w:rsid w:val="00DA02E1"/>
    <w:rsid w:val="00DA053E"/>
    <w:rsid w:val="00DA1159"/>
    <w:rsid w:val="00DA13DF"/>
    <w:rsid w:val="00DA1F7C"/>
    <w:rsid w:val="00DA3B53"/>
    <w:rsid w:val="00DA434B"/>
    <w:rsid w:val="00DA4714"/>
    <w:rsid w:val="00DA4BEF"/>
    <w:rsid w:val="00DA51DA"/>
    <w:rsid w:val="00DA54EB"/>
    <w:rsid w:val="00DA5E46"/>
    <w:rsid w:val="00DA6EB7"/>
    <w:rsid w:val="00DA6EDC"/>
    <w:rsid w:val="00DA6FB9"/>
    <w:rsid w:val="00DA7485"/>
    <w:rsid w:val="00DA763F"/>
    <w:rsid w:val="00DB0C4F"/>
    <w:rsid w:val="00DB13E8"/>
    <w:rsid w:val="00DB1CDB"/>
    <w:rsid w:val="00DB1F68"/>
    <w:rsid w:val="00DB24DB"/>
    <w:rsid w:val="00DB453C"/>
    <w:rsid w:val="00DC0767"/>
    <w:rsid w:val="00DC147F"/>
    <w:rsid w:val="00DC148A"/>
    <w:rsid w:val="00DC20BD"/>
    <w:rsid w:val="00DC2405"/>
    <w:rsid w:val="00DC36A2"/>
    <w:rsid w:val="00DC3E47"/>
    <w:rsid w:val="00DC4C5F"/>
    <w:rsid w:val="00DC4FCB"/>
    <w:rsid w:val="00DC603C"/>
    <w:rsid w:val="00DC658B"/>
    <w:rsid w:val="00DC766D"/>
    <w:rsid w:val="00DC7B2C"/>
    <w:rsid w:val="00DD03BC"/>
    <w:rsid w:val="00DD1BEC"/>
    <w:rsid w:val="00DD2128"/>
    <w:rsid w:val="00DD2E24"/>
    <w:rsid w:val="00DD55AF"/>
    <w:rsid w:val="00DD5F72"/>
    <w:rsid w:val="00DD67D3"/>
    <w:rsid w:val="00DD74BB"/>
    <w:rsid w:val="00DD7623"/>
    <w:rsid w:val="00DE0054"/>
    <w:rsid w:val="00DE0937"/>
    <w:rsid w:val="00DE16CB"/>
    <w:rsid w:val="00DE226A"/>
    <w:rsid w:val="00DE25F1"/>
    <w:rsid w:val="00DE28B8"/>
    <w:rsid w:val="00DE384C"/>
    <w:rsid w:val="00DE50B4"/>
    <w:rsid w:val="00DE5ED2"/>
    <w:rsid w:val="00DE5F74"/>
    <w:rsid w:val="00DE694F"/>
    <w:rsid w:val="00DE6E6D"/>
    <w:rsid w:val="00DE7B3B"/>
    <w:rsid w:val="00DF09B2"/>
    <w:rsid w:val="00DF1AD2"/>
    <w:rsid w:val="00DF20CB"/>
    <w:rsid w:val="00DF2D5B"/>
    <w:rsid w:val="00DF3093"/>
    <w:rsid w:val="00DF34B1"/>
    <w:rsid w:val="00DF5B0A"/>
    <w:rsid w:val="00DF5C52"/>
    <w:rsid w:val="00DF7585"/>
    <w:rsid w:val="00DF7D25"/>
    <w:rsid w:val="00E02FB2"/>
    <w:rsid w:val="00E03057"/>
    <w:rsid w:val="00E04B6F"/>
    <w:rsid w:val="00E04CC7"/>
    <w:rsid w:val="00E05383"/>
    <w:rsid w:val="00E0711D"/>
    <w:rsid w:val="00E10801"/>
    <w:rsid w:val="00E10A18"/>
    <w:rsid w:val="00E1139F"/>
    <w:rsid w:val="00E13146"/>
    <w:rsid w:val="00E136EC"/>
    <w:rsid w:val="00E1588F"/>
    <w:rsid w:val="00E1634B"/>
    <w:rsid w:val="00E17F08"/>
    <w:rsid w:val="00E206ED"/>
    <w:rsid w:val="00E20811"/>
    <w:rsid w:val="00E20F4A"/>
    <w:rsid w:val="00E226AC"/>
    <w:rsid w:val="00E233E4"/>
    <w:rsid w:val="00E237DC"/>
    <w:rsid w:val="00E23FC1"/>
    <w:rsid w:val="00E241FD"/>
    <w:rsid w:val="00E2629A"/>
    <w:rsid w:val="00E26F14"/>
    <w:rsid w:val="00E30837"/>
    <w:rsid w:val="00E321FE"/>
    <w:rsid w:val="00E32282"/>
    <w:rsid w:val="00E32689"/>
    <w:rsid w:val="00E33321"/>
    <w:rsid w:val="00E3454C"/>
    <w:rsid w:val="00E34A98"/>
    <w:rsid w:val="00E35C3B"/>
    <w:rsid w:val="00E35C5E"/>
    <w:rsid w:val="00E36079"/>
    <w:rsid w:val="00E36644"/>
    <w:rsid w:val="00E378FA"/>
    <w:rsid w:val="00E40A8A"/>
    <w:rsid w:val="00E413D1"/>
    <w:rsid w:val="00E42526"/>
    <w:rsid w:val="00E43CD3"/>
    <w:rsid w:val="00E4537D"/>
    <w:rsid w:val="00E45D67"/>
    <w:rsid w:val="00E46FC6"/>
    <w:rsid w:val="00E47A52"/>
    <w:rsid w:val="00E47E82"/>
    <w:rsid w:val="00E5020B"/>
    <w:rsid w:val="00E50DB4"/>
    <w:rsid w:val="00E51307"/>
    <w:rsid w:val="00E51848"/>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1536"/>
    <w:rsid w:val="00E62243"/>
    <w:rsid w:val="00E625C3"/>
    <w:rsid w:val="00E63847"/>
    <w:rsid w:val="00E63A64"/>
    <w:rsid w:val="00E64577"/>
    <w:rsid w:val="00E663B7"/>
    <w:rsid w:val="00E667B9"/>
    <w:rsid w:val="00E66BEA"/>
    <w:rsid w:val="00E67C92"/>
    <w:rsid w:val="00E71E80"/>
    <w:rsid w:val="00E724AF"/>
    <w:rsid w:val="00E72C2D"/>
    <w:rsid w:val="00E73EF7"/>
    <w:rsid w:val="00E7490F"/>
    <w:rsid w:val="00E74979"/>
    <w:rsid w:val="00E750D6"/>
    <w:rsid w:val="00E751D1"/>
    <w:rsid w:val="00E755E9"/>
    <w:rsid w:val="00E761D9"/>
    <w:rsid w:val="00E779FB"/>
    <w:rsid w:val="00E820CD"/>
    <w:rsid w:val="00E826EF"/>
    <w:rsid w:val="00E832ED"/>
    <w:rsid w:val="00E83E06"/>
    <w:rsid w:val="00E87964"/>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97DB3"/>
    <w:rsid w:val="00EA0335"/>
    <w:rsid w:val="00EA13B5"/>
    <w:rsid w:val="00EA200E"/>
    <w:rsid w:val="00EA221B"/>
    <w:rsid w:val="00EA25C7"/>
    <w:rsid w:val="00EA5EB2"/>
    <w:rsid w:val="00EA62E9"/>
    <w:rsid w:val="00EA79F1"/>
    <w:rsid w:val="00EB0478"/>
    <w:rsid w:val="00EB0FD8"/>
    <w:rsid w:val="00EB10AE"/>
    <w:rsid w:val="00EB1D98"/>
    <w:rsid w:val="00EB2D4C"/>
    <w:rsid w:val="00EB419E"/>
    <w:rsid w:val="00EB4CC9"/>
    <w:rsid w:val="00EB4CFC"/>
    <w:rsid w:val="00EB50AD"/>
    <w:rsid w:val="00EB6693"/>
    <w:rsid w:val="00EC0E8C"/>
    <w:rsid w:val="00EC1410"/>
    <w:rsid w:val="00EC265A"/>
    <w:rsid w:val="00EC2E5F"/>
    <w:rsid w:val="00EC3376"/>
    <w:rsid w:val="00EC47A4"/>
    <w:rsid w:val="00EC4B6D"/>
    <w:rsid w:val="00EC5728"/>
    <w:rsid w:val="00EC59D3"/>
    <w:rsid w:val="00EC5BEC"/>
    <w:rsid w:val="00EC5E00"/>
    <w:rsid w:val="00EC5E9E"/>
    <w:rsid w:val="00EC62D7"/>
    <w:rsid w:val="00EC7F92"/>
    <w:rsid w:val="00ED13C2"/>
    <w:rsid w:val="00ED1897"/>
    <w:rsid w:val="00ED1923"/>
    <w:rsid w:val="00ED3583"/>
    <w:rsid w:val="00ED41E0"/>
    <w:rsid w:val="00ED4502"/>
    <w:rsid w:val="00ED4AFC"/>
    <w:rsid w:val="00ED4D36"/>
    <w:rsid w:val="00ED51DC"/>
    <w:rsid w:val="00ED5DB8"/>
    <w:rsid w:val="00ED65ED"/>
    <w:rsid w:val="00ED671E"/>
    <w:rsid w:val="00ED6E36"/>
    <w:rsid w:val="00ED780A"/>
    <w:rsid w:val="00EE02C2"/>
    <w:rsid w:val="00EE0604"/>
    <w:rsid w:val="00EE0A2C"/>
    <w:rsid w:val="00EE1409"/>
    <w:rsid w:val="00EE183D"/>
    <w:rsid w:val="00EE27BB"/>
    <w:rsid w:val="00EE2A25"/>
    <w:rsid w:val="00EE3473"/>
    <w:rsid w:val="00EE3A37"/>
    <w:rsid w:val="00EE3D84"/>
    <w:rsid w:val="00EE3E25"/>
    <w:rsid w:val="00EE4B25"/>
    <w:rsid w:val="00EE6546"/>
    <w:rsid w:val="00EE7ADB"/>
    <w:rsid w:val="00EE7B1D"/>
    <w:rsid w:val="00EF187A"/>
    <w:rsid w:val="00EF1BEC"/>
    <w:rsid w:val="00EF2B8C"/>
    <w:rsid w:val="00EF3C59"/>
    <w:rsid w:val="00EF3EE8"/>
    <w:rsid w:val="00EF430F"/>
    <w:rsid w:val="00EF551B"/>
    <w:rsid w:val="00EF5A2C"/>
    <w:rsid w:val="00EF5C19"/>
    <w:rsid w:val="00EF629B"/>
    <w:rsid w:val="00EF6551"/>
    <w:rsid w:val="00EF6AD2"/>
    <w:rsid w:val="00EF782E"/>
    <w:rsid w:val="00EF7871"/>
    <w:rsid w:val="00EF7D89"/>
    <w:rsid w:val="00F00E38"/>
    <w:rsid w:val="00F00F56"/>
    <w:rsid w:val="00F01762"/>
    <w:rsid w:val="00F02BCE"/>
    <w:rsid w:val="00F0314B"/>
    <w:rsid w:val="00F033F4"/>
    <w:rsid w:val="00F047E2"/>
    <w:rsid w:val="00F05559"/>
    <w:rsid w:val="00F0678E"/>
    <w:rsid w:val="00F1011B"/>
    <w:rsid w:val="00F10D6A"/>
    <w:rsid w:val="00F118FC"/>
    <w:rsid w:val="00F1277D"/>
    <w:rsid w:val="00F12DE2"/>
    <w:rsid w:val="00F148A6"/>
    <w:rsid w:val="00F15313"/>
    <w:rsid w:val="00F16437"/>
    <w:rsid w:val="00F16586"/>
    <w:rsid w:val="00F16AD0"/>
    <w:rsid w:val="00F16B32"/>
    <w:rsid w:val="00F176FA"/>
    <w:rsid w:val="00F20820"/>
    <w:rsid w:val="00F21850"/>
    <w:rsid w:val="00F23591"/>
    <w:rsid w:val="00F2579D"/>
    <w:rsid w:val="00F263FE"/>
    <w:rsid w:val="00F264B6"/>
    <w:rsid w:val="00F269D2"/>
    <w:rsid w:val="00F26E7E"/>
    <w:rsid w:val="00F27364"/>
    <w:rsid w:val="00F27486"/>
    <w:rsid w:val="00F30F3C"/>
    <w:rsid w:val="00F31510"/>
    <w:rsid w:val="00F31CF2"/>
    <w:rsid w:val="00F34E17"/>
    <w:rsid w:val="00F35F53"/>
    <w:rsid w:val="00F36481"/>
    <w:rsid w:val="00F367B9"/>
    <w:rsid w:val="00F36954"/>
    <w:rsid w:val="00F36C53"/>
    <w:rsid w:val="00F36F65"/>
    <w:rsid w:val="00F3763A"/>
    <w:rsid w:val="00F40A81"/>
    <w:rsid w:val="00F40D5A"/>
    <w:rsid w:val="00F41882"/>
    <w:rsid w:val="00F41CA8"/>
    <w:rsid w:val="00F41D70"/>
    <w:rsid w:val="00F42365"/>
    <w:rsid w:val="00F446A6"/>
    <w:rsid w:val="00F463BC"/>
    <w:rsid w:val="00F46447"/>
    <w:rsid w:val="00F46C19"/>
    <w:rsid w:val="00F472B8"/>
    <w:rsid w:val="00F51434"/>
    <w:rsid w:val="00F52440"/>
    <w:rsid w:val="00F545DC"/>
    <w:rsid w:val="00F548E7"/>
    <w:rsid w:val="00F5534A"/>
    <w:rsid w:val="00F57038"/>
    <w:rsid w:val="00F578D2"/>
    <w:rsid w:val="00F57973"/>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61D"/>
    <w:rsid w:val="00F71A2E"/>
    <w:rsid w:val="00F7243D"/>
    <w:rsid w:val="00F7348C"/>
    <w:rsid w:val="00F737E3"/>
    <w:rsid w:val="00F741F5"/>
    <w:rsid w:val="00F74495"/>
    <w:rsid w:val="00F758E1"/>
    <w:rsid w:val="00F76392"/>
    <w:rsid w:val="00F7672C"/>
    <w:rsid w:val="00F779F3"/>
    <w:rsid w:val="00F77C10"/>
    <w:rsid w:val="00F8050C"/>
    <w:rsid w:val="00F81585"/>
    <w:rsid w:val="00F8162C"/>
    <w:rsid w:val="00F81D10"/>
    <w:rsid w:val="00F81DFE"/>
    <w:rsid w:val="00F8294B"/>
    <w:rsid w:val="00F86558"/>
    <w:rsid w:val="00F86670"/>
    <w:rsid w:val="00F912CF"/>
    <w:rsid w:val="00F91F56"/>
    <w:rsid w:val="00F922A4"/>
    <w:rsid w:val="00F933D8"/>
    <w:rsid w:val="00F9561A"/>
    <w:rsid w:val="00F95715"/>
    <w:rsid w:val="00F96613"/>
    <w:rsid w:val="00F96811"/>
    <w:rsid w:val="00F978F6"/>
    <w:rsid w:val="00FA056F"/>
    <w:rsid w:val="00FA11D9"/>
    <w:rsid w:val="00FA1F4F"/>
    <w:rsid w:val="00FA21E7"/>
    <w:rsid w:val="00FA2688"/>
    <w:rsid w:val="00FA3EE2"/>
    <w:rsid w:val="00FA3F80"/>
    <w:rsid w:val="00FA58F0"/>
    <w:rsid w:val="00FA59E0"/>
    <w:rsid w:val="00FB0530"/>
    <w:rsid w:val="00FB0FD6"/>
    <w:rsid w:val="00FB138C"/>
    <w:rsid w:val="00FB1E88"/>
    <w:rsid w:val="00FB43AB"/>
    <w:rsid w:val="00FB5255"/>
    <w:rsid w:val="00FB5962"/>
    <w:rsid w:val="00FB5AE2"/>
    <w:rsid w:val="00FB649E"/>
    <w:rsid w:val="00FB69AE"/>
    <w:rsid w:val="00FB7220"/>
    <w:rsid w:val="00FC02FD"/>
    <w:rsid w:val="00FC0BCD"/>
    <w:rsid w:val="00FC0D65"/>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7260"/>
    <w:rsid w:val="00FD7282"/>
    <w:rsid w:val="00FE0E84"/>
    <w:rsid w:val="00FE2511"/>
    <w:rsid w:val="00FE2697"/>
    <w:rsid w:val="00FE2871"/>
    <w:rsid w:val="00FE3013"/>
    <w:rsid w:val="00FE44B6"/>
    <w:rsid w:val="00FE56ED"/>
    <w:rsid w:val="00FE57B0"/>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811BD"/>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semiHidden/>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link w:val="ListParagraphChar"/>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semiHidden/>
    <w:rsid w:val="002227A1"/>
    <w:rPr>
      <w:rFonts w:ascii="Arial" w:hAnsi="Arial"/>
      <w:sz w:val="18"/>
      <w:lang w:val="en-GB" w:eastAsia="en-GB"/>
    </w:rPr>
  </w:style>
  <w:style w:type="character" w:customStyle="1" w:styleId="ListParagraphChar">
    <w:name w:val="List Paragraph Char"/>
    <w:basedOn w:val="DefaultParagraphFont"/>
    <w:link w:val="ListParagraph"/>
    <w:uiPriority w:val="34"/>
    <w:locked/>
    <w:rsid w:val="00C2518C"/>
    <w:rPr>
      <w:rFonts w:ascii="Arial" w:hAnsi="Arial"/>
      <w:sz w:val="24"/>
      <w:szCs w:val="24"/>
      <w:lang w:val="en-GB" w:eastAsia="en-GB"/>
    </w:rPr>
  </w:style>
  <w:style w:type="paragraph" w:customStyle="1" w:styleId="Para">
    <w:name w:val="Para"/>
    <w:uiPriority w:val="99"/>
    <w:rsid w:val="00C2518C"/>
    <w:pPr>
      <w:widowControl w:val="0"/>
      <w:autoSpaceDE w:val="0"/>
      <w:autoSpaceDN w:val="0"/>
      <w:adjustRightInd w:val="0"/>
      <w:spacing w:before="120"/>
    </w:pPr>
    <w:rPr>
      <w:rFonts w:ascii="Verdana" w:eastAsiaTheme="minorEastAsia" w:hAnsi="Verdana" w:cstheme="minorBidi"/>
      <w:lang w:val="en-ZA" w:eastAsia="en-ZA"/>
    </w:rPr>
  </w:style>
  <w:style w:type="paragraph" w:customStyle="1" w:styleId="lrquote">
    <w:name w:val="lrquote"/>
    <w:basedOn w:val="Normal"/>
    <w:rsid w:val="00C2518C"/>
    <w:pPr>
      <w:suppressAutoHyphens w:val="0"/>
      <w:spacing w:before="100" w:beforeAutospacing="1" w:after="100" w:afterAutospacing="1"/>
    </w:pPr>
    <w:rPr>
      <w:rFonts w:ascii="Times New Roman" w:hAnsi="Times New Roman"/>
      <w:lang w:val="en-ZA" w:eastAsia="en-ZA"/>
    </w:rPr>
  </w:style>
  <w:style w:type="character" w:customStyle="1" w:styleId="MC">
    <w:name w:val="MC"/>
    <w:uiPriority w:val="99"/>
    <w:rsid w:val="00C2518C"/>
    <w:rPr>
      <w:rFonts w:ascii="Verdana" w:hAnsi="Verdana" w:cs="Verdana" w:hint="default"/>
      <w:vanish/>
      <w:webHidden w:val="0"/>
      <w:color w:val="000000"/>
      <w:sz w:val="14"/>
      <w:szCs w:val="14"/>
      <w:shd w:val="clear" w:color="auto" w:fill="C0C0C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40943315">
      <w:bodyDiv w:val="1"/>
      <w:marLeft w:val="0"/>
      <w:marRight w:val="0"/>
      <w:marTop w:val="0"/>
      <w:marBottom w:val="0"/>
      <w:divBdr>
        <w:top w:val="none" w:sz="0" w:space="0" w:color="auto"/>
        <w:left w:val="none" w:sz="0" w:space="0" w:color="auto"/>
        <w:bottom w:val="none" w:sz="0" w:space="0" w:color="auto"/>
        <w:right w:val="none" w:sz="0" w:space="0" w:color="auto"/>
      </w:divBdr>
      <w:divsChild>
        <w:div w:id="1141269749">
          <w:marLeft w:val="1293"/>
          <w:marRight w:val="0"/>
          <w:marTop w:val="0"/>
          <w:marBottom w:val="180"/>
          <w:divBdr>
            <w:top w:val="none" w:sz="0" w:space="0" w:color="auto"/>
            <w:left w:val="none" w:sz="0" w:space="0" w:color="auto"/>
            <w:bottom w:val="none" w:sz="0" w:space="0" w:color="auto"/>
            <w:right w:val="none" w:sz="0" w:space="0" w:color="auto"/>
          </w:divBdr>
        </w:div>
        <w:div w:id="1979457009">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38837394">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90417013">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43623%27%5d&amp;xhitlist_md=target-id=0-0-0-19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703D3-7F81-4659-9C73-76699819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17</Pages>
  <Words>4740</Words>
  <Characters>27023</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Swart v RAF - Judgment - 2015.11.24</vt:lpstr>
      <vt:lpstr>The appellant’s appeal is dismissed.</vt:lpstr>
      <vt:lpstr>The respondent’s counter-appeal is dismissed.</vt:lpstr>
      <vt:lpstr>Each party shall bear his own costs.</vt:lpstr>
      <vt:lpstr>In the result, the following order is made: -</vt:lpstr>
      <vt:lpstr>The appellant’s appeal is dismissed.</vt:lpstr>
      <vt:lpstr>The respondent’s counter-appeal is dismissed.</vt:lpstr>
      <vt:lpstr>Each party shall bear his own costs.</vt:lpstr>
    </vt:vector>
  </TitlesOfParts>
  <Company>.</Company>
  <LinksUpToDate>false</LinksUpToDate>
  <CharactersWithSpaces>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subject/>
  <dc:creator>ladams</dc:creator>
  <cp:keywords/>
  <dc:description/>
  <cp:lastModifiedBy>Lazarus Rakgwale</cp:lastModifiedBy>
  <cp:revision>2</cp:revision>
  <cp:lastPrinted>2020-01-31T06:59:00Z</cp:lastPrinted>
  <dcterms:created xsi:type="dcterms:W3CDTF">2022-09-06T08:34:00Z</dcterms:created>
  <dcterms:modified xsi:type="dcterms:W3CDTF">2022-09-06T08:34:00Z</dcterms:modified>
</cp:coreProperties>
</file>