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EF7AE" w14:textId="6A3AFEB5" w:rsidR="00810BD3" w:rsidRPr="00D44EFD" w:rsidRDefault="00810BD3" w:rsidP="00810BD3">
      <w:pPr>
        <w:autoSpaceDN w:val="0"/>
        <w:spacing w:after="0" w:line="240" w:lineRule="auto"/>
        <w:jc w:val="center"/>
        <w:rPr>
          <w:rFonts w:ascii="Arial" w:eastAsiaTheme="minorEastAsia" w:hAnsi="Arial" w:cs="Arial"/>
          <w:sz w:val="24"/>
          <w:szCs w:val="24"/>
          <w:lang w:val="af-ZA"/>
        </w:rPr>
      </w:pPr>
      <w:bookmarkStart w:id="0" w:name="_GoBack"/>
      <w:bookmarkEnd w:id="0"/>
      <w:r w:rsidRPr="00D44EFD">
        <w:rPr>
          <w:rFonts w:ascii="Arial" w:eastAsiaTheme="minorEastAsia" w:hAnsi="Arial" w:cs="Arial"/>
          <w:sz w:val="24"/>
          <w:szCs w:val="24"/>
          <w:lang w:val="af-ZA"/>
        </w:rPr>
        <w:t xml:space="preserve">        </w:t>
      </w:r>
      <w:r w:rsidR="00505B1E">
        <w:rPr>
          <w:rFonts w:ascii="Arial" w:eastAsiaTheme="minorEastAsia" w:hAnsi="Arial" w:cs="Arial"/>
          <w:sz w:val="24"/>
          <w:szCs w:val="24"/>
          <w:lang w:val="af-ZA"/>
        </w:rPr>
        <w:t xml:space="preserve">  </w:t>
      </w:r>
      <w:r w:rsidRPr="00D44EFD">
        <w:rPr>
          <w:rFonts w:ascii="Arial" w:eastAsiaTheme="minorEastAsia" w:hAnsi="Arial" w:cs="Arial"/>
          <w:sz w:val="24"/>
          <w:szCs w:val="24"/>
          <w:lang w:val="af-ZA"/>
        </w:rPr>
        <w:t>REPUBLIC OF SOUTH AFRICA</w:t>
      </w:r>
    </w:p>
    <w:p w14:paraId="4BD0C07A" w14:textId="77777777" w:rsidR="00810BD3" w:rsidRPr="00D44EFD" w:rsidRDefault="00810BD3" w:rsidP="00810BD3">
      <w:pPr>
        <w:autoSpaceDN w:val="0"/>
        <w:spacing w:after="0" w:line="240" w:lineRule="auto"/>
        <w:ind w:left="1440"/>
        <w:jc w:val="center"/>
        <w:rPr>
          <w:rFonts w:ascii="Arial" w:hAnsi="Arial" w:cs="Arial"/>
          <w:noProof/>
          <w:sz w:val="24"/>
          <w:szCs w:val="24"/>
          <w:lang w:eastAsia="en-ZA"/>
        </w:rPr>
      </w:pPr>
    </w:p>
    <w:p w14:paraId="2274E250" w14:textId="77777777" w:rsidR="00810BD3" w:rsidRPr="00D44EFD" w:rsidRDefault="00810BD3" w:rsidP="00810BD3">
      <w:pPr>
        <w:autoSpaceDN w:val="0"/>
        <w:spacing w:after="0" w:line="240" w:lineRule="auto"/>
        <w:ind w:left="1440"/>
        <w:jc w:val="left"/>
        <w:rPr>
          <w:rFonts w:ascii="Arial" w:hAnsi="Arial" w:cs="Arial"/>
          <w:sz w:val="24"/>
          <w:szCs w:val="24"/>
          <w:lang w:val="en-US"/>
        </w:rPr>
      </w:pPr>
      <w:r w:rsidRPr="00D44EFD">
        <w:rPr>
          <w:rFonts w:ascii="Arial" w:hAnsi="Arial" w:cs="Arial"/>
          <w:noProof/>
          <w:sz w:val="24"/>
          <w:szCs w:val="24"/>
          <w:lang w:eastAsia="en-ZA"/>
        </w:rPr>
        <w:drawing>
          <wp:anchor distT="0" distB="0" distL="114300" distR="114300" simplePos="0" relativeHeight="251659264" behindDoc="0" locked="0" layoutInCell="1" allowOverlap="1" wp14:anchorId="73765DE7" wp14:editId="3B5D3AD2">
            <wp:simplePos x="0" y="0"/>
            <wp:positionH relativeFrom="column">
              <wp:posOffset>2734310</wp:posOffset>
            </wp:positionH>
            <wp:positionV relativeFrom="paragraph">
              <wp:posOffset>3810</wp:posOffset>
            </wp:positionV>
            <wp:extent cx="110490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lang w:val="en-US"/>
        </w:rPr>
        <w:br w:type="textWrapping" w:clear="all"/>
      </w:r>
    </w:p>
    <w:p w14:paraId="791AD04E" w14:textId="77777777" w:rsidR="00810BD3" w:rsidRPr="00D44EFD" w:rsidRDefault="00810BD3" w:rsidP="00810BD3">
      <w:pPr>
        <w:autoSpaceDN w:val="0"/>
        <w:spacing w:after="0" w:line="240" w:lineRule="auto"/>
        <w:ind w:left="1440"/>
        <w:jc w:val="center"/>
        <w:rPr>
          <w:rFonts w:ascii="Arial" w:hAnsi="Arial" w:cs="Arial"/>
          <w:sz w:val="24"/>
          <w:szCs w:val="24"/>
          <w:lang w:val="en-US"/>
        </w:rPr>
      </w:pPr>
      <w:r w:rsidRPr="00D44EFD">
        <w:rPr>
          <w:rFonts w:ascii="Arial" w:hAnsi="Arial" w:cs="Arial"/>
          <w:sz w:val="24"/>
          <w:szCs w:val="24"/>
          <w:lang w:val="en-US"/>
        </w:rPr>
        <w:t>IN THE HIGH COURT OF SOUTH AFRICA</w:t>
      </w:r>
    </w:p>
    <w:p w14:paraId="14B637D9" w14:textId="77777777" w:rsidR="00810BD3" w:rsidRPr="00D44EFD" w:rsidRDefault="00810BD3" w:rsidP="00810BD3">
      <w:pPr>
        <w:tabs>
          <w:tab w:val="left" w:pos="6526"/>
        </w:tabs>
        <w:spacing w:line="240" w:lineRule="auto"/>
        <w:ind w:left="1134"/>
        <w:jc w:val="center"/>
        <w:rPr>
          <w:rFonts w:ascii="Arial" w:eastAsia="Calibri" w:hAnsi="Arial" w:cs="Arial"/>
          <w:sz w:val="24"/>
          <w:szCs w:val="24"/>
          <w:lang w:val="en-US"/>
        </w:rPr>
      </w:pPr>
      <w:r w:rsidRPr="00D44EFD">
        <w:rPr>
          <w:rFonts w:ascii="Arial" w:hAnsi="Arial" w:cs="Arial"/>
          <w:sz w:val="24"/>
          <w:szCs w:val="24"/>
          <w:lang w:val="en-US"/>
        </w:rPr>
        <w:t xml:space="preserve">  </w:t>
      </w:r>
      <w:r>
        <w:rPr>
          <w:rFonts w:ascii="Arial" w:hAnsi="Arial" w:cs="Arial"/>
          <w:sz w:val="24"/>
          <w:szCs w:val="24"/>
          <w:lang w:val="en-US"/>
        </w:rPr>
        <w:t xml:space="preserve"> </w:t>
      </w:r>
      <w:r w:rsidRPr="00D44EFD">
        <w:rPr>
          <w:rFonts w:ascii="Arial" w:hAnsi="Arial" w:cs="Arial"/>
          <w:sz w:val="24"/>
          <w:szCs w:val="24"/>
          <w:lang w:val="en-US"/>
        </w:rPr>
        <w:t xml:space="preserve">(GAUTENG </w:t>
      </w:r>
      <w:r>
        <w:rPr>
          <w:rFonts w:ascii="Arial" w:hAnsi="Arial" w:cs="Arial"/>
          <w:sz w:val="24"/>
          <w:szCs w:val="24"/>
          <w:lang w:val="en-US"/>
        </w:rPr>
        <w:t>DIVISION</w:t>
      </w:r>
      <w:r w:rsidRPr="00D44EFD">
        <w:rPr>
          <w:rFonts w:ascii="Arial" w:hAnsi="Arial" w:cs="Arial"/>
          <w:sz w:val="24"/>
          <w:szCs w:val="24"/>
          <w:lang w:val="en-US"/>
        </w:rPr>
        <w:t xml:space="preserve">, </w:t>
      </w:r>
      <w:r>
        <w:rPr>
          <w:rFonts w:ascii="Arial" w:hAnsi="Arial" w:cs="Arial"/>
          <w:sz w:val="24"/>
          <w:szCs w:val="24"/>
          <w:lang w:val="en-US"/>
        </w:rPr>
        <w:t>JOHANNESBURG</w:t>
      </w:r>
      <w:r w:rsidRPr="00D44EFD">
        <w:rPr>
          <w:rFonts w:ascii="Arial" w:hAnsi="Arial" w:cs="Arial"/>
          <w:sz w:val="24"/>
          <w:szCs w:val="24"/>
          <w:lang w:val="en-US"/>
        </w:rPr>
        <w:t>)</w:t>
      </w:r>
      <w:r w:rsidRPr="00D44EFD">
        <w:rPr>
          <w:rFonts w:ascii="Arial" w:eastAsia="Calibri" w:hAnsi="Arial" w:cs="Arial"/>
          <w:sz w:val="24"/>
          <w:szCs w:val="24"/>
          <w:lang w:val="en-US"/>
        </w:rPr>
        <w:t xml:space="preserve">                                                                                 </w:t>
      </w:r>
      <w:r w:rsidRPr="00D44EFD">
        <w:rPr>
          <w:rFonts w:ascii="Arial" w:eastAsia="Calibri" w:hAnsi="Arial" w:cs="Arial"/>
          <w:sz w:val="24"/>
          <w:szCs w:val="24"/>
          <w:lang w:val="en-US"/>
        </w:rPr>
        <w:br/>
        <w:t xml:space="preserve">                                                       </w:t>
      </w:r>
    </w:p>
    <w:p w14:paraId="2D894EE2" w14:textId="6593C169" w:rsidR="00810BD3" w:rsidRPr="00AC711C" w:rsidRDefault="00810BD3" w:rsidP="00810BD3">
      <w:pPr>
        <w:tabs>
          <w:tab w:val="left" w:pos="6526"/>
        </w:tabs>
        <w:ind w:left="1134"/>
        <w:jc w:val="right"/>
        <w:rPr>
          <w:rFonts w:ascii="Arial" w:hAnsi="Arial" w:cs="Arial"/>
          <w:b/>
          <w:spacing w:val="3"/>
          <w:w w:val="104"/>
          <w:kern w:val="2"/>
          <w:sz w:val="24"/>
          <w:szCs w:val="24"/>
        </w:rPr>
      </w:pPr>
      <w:r w:rsidRPr="00AC711C">
        <w:rPr>
          <w:rFonts w:ascii="Arial" w:eastAsia="Calibri" w:hAnsi="Arial" w:cs="Arial"/>
          <w:b/>
          <w:sz w:val="24"/>
          <w:szCs w:val="24"/>
          <w:lang w:val="en-US"/>
        </w:rPr>
        <w:t xml:space="preserve">Case No: </w:t>
      </w:r>
      <w:r>
        <w:rPr>
          <w:rFonts w:ascii="Arial" w:hAnsi="Arial" w:cs="Arial"/>
          <w:b/>
          <w:bCs/>
          <w:sz w:val="24"/>
          <w:szCs w:val="24"/>
          <w:lang w:val="en-US"/>
        </w:rPr>
        <w:t>A3125/2021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tblGrid>
      <w:tr w:rsidR="00810BD3" w:rsidRPr="00D44EFD" w14:paraId="07F13487" w14:textId="77777777" w:rsidTr="0005421C">
        <w:trPr>
          <w:trHeight w:val="1675"/>
        </w:trPr>
        <w:tc>
          <w:tcPr>
            <w:tcW w:w="4451" w:type="dxa"/>
            <w:tcBorders>
              <w:top w:val="single" w:sz="4" w:space="0" w:color="auto"/>
              <w:left w:val="single" w:sz="4" w:space="0" w:color="auto"/>
              <w:bottom w:val="single" w:sz="4" w:space="0" w:color="auto"/>
              <w:right w:val="single" w:sz="4" w:space="0" w:color="auto"/>
            </w:tcBorders>
            <w:hideMark/>
          </w:tcPr>
          <w:p w14:paraId="07A3FFC8" w14:textId="77777777" w:rsidR="00810BD3" w:rsidRPr="00D44EFD" w:rsidRDefault="00810BD3" w:rsidP="0005421C">
            <w:pPr>
              <w:spacing w:after="0" w:line="240" w:lineRule="auto"/>
              <w:jc w:val="center"/>
              <w:rPr>
                <w:rFonts w:ascii="Arial" w:eastAsia="Calibri" w:hAnsi="Arial" w:cs="Arial"/>
                <w:b/>
                <w:noProof/>
                <w:sz w:val="16"/>
                <w:szCs w:val="16"/>
                <w:lang w:val="en-GB"/>
              </w:rPr>
            </w:pPr>
          </w:p>
          <w:p w14:paraId="399860AA" w14:textId="77777777" w:rsidR="00810BD3" w:rsidRPr="00D44EFD" w:rsidRDefault="00810BD3" w:rsidP="0005421C">
            <w:pPr>
              <w:spacing w:after="0" w:line="240" w:lineRule="auto"/>
              <w:rPr>
                <w:rFonts w:ascii="Arial" w:eastAsia="Calibri" w:hAnsi="Arial" w:cs="Arial"/>
                <w:b/>
                <w:noProof/>
                <w:sz w:val="16"/>
                <w:szCs w:val="16"/>
                <w:lang w:val="en-GB"/>
              </w:rPr>
            </w:pPr>
            <w:r w:rsidRPr="00D44EFD">
              <w:rPr>
                <w:rFonts w:ascii="Arial" w:eastAsia="Calibri" w:hAnsi="Arial" w:cs="Arial"/>
                <w:b/>
                <w:noProof/>
                <w:sz w:val="16"/>
                <w:szCs w:val="16"/>
                <w:lang w:val="en-GB"/>
              </w:rPr>
              <w:t>DELETE WHICHEVER IS NOT APPLICABLE</w:t>
            </w:r>
          </w:p>
          <w:p w14:paraId="25C13EC3" w14:textId="77777777" w:rsidR="00810BD3" w:rsidRPr="00D44EFD" w:rsidRDefault="00810BD3" w:rsidP="0005421C">
            <w:pPr>
              <w:spacing w:after="0" w:line="240" w:lineRule="auto"/>
              <w:rPr>
                <w:rFonts w:ascii="Arial" w:eastAsia="Calibri" w:hAnsi="Arial" w:cs="Arial"/>
                <w:b/>
                <w:noProof/>
                <w:sz w:val="16"/>
                <w:szCs w:val="16"/>
                <w:lang w:val="en-GB"/>
              </w:rPr>
            </w:pPr>
            <w:r w:rsidRPr="00D44EFD">
              <w:rPr>
                <w:rFonts w:ascii="Arial" w:eastAsia="Calibri" w:hAnsi="Arial" w:cs="Arial"/>
                <w:b/>
                <w:noProof/>
                <w:sz w:val="16"/>
                <w:szCs w:val="16"/>
                <w:lang w:val="en-GB"/>
              </w:rPr>
              <w:t>(1) REPORTABLE:  YES / NO.</w:t>
            </w:r>
          </w:p>
          <w:p w14:paraId="019192FD" w14:textId="77777777" w:rsidR="00810BD3" w:rsidRPr="00D44EFD" w:rsidRDefault="00810BD3" w:rsidP="0005421C">
            <w:pPr>
              <w:spacing w:after="0" w:line="240" w:lineRule="auto"/>
              <w:rPr>
                <w:rFonts w:ascii="Arial" w:eastAsia="Calibri" w:hAnsi="Arial" w:cs="Arial"/>
                <w:b/>
                <w:noProof/>
                <w:sz w:val="16"/>
                <w:szCs w:val="16"/>
                <w:lang w:val="en-GB"/>
              </w:rPr>
            </w:pPr>
            <w:r w:rsidRPr="00D44EFD">
              <w:rPr>
                <w:rFonts w:ascii="Arial" w:eastAsia="Calibri" w:hAnsi="Arial" w:cs="Arial"/>
                <w:b/>
                <w:noProof/>
                <w:sz w:val="16"/>
                <w:szCs w:val="16"/>
                <w:lang w:val="en-GB"/>
              </w:rPr>
              <w:t>(2) OF INTEREST TO OTHER JUDGES:  YES / NO.</w:t>
            </w:r>
          </w:p>
          <w:p w14:paraId="48C0A6B6" w14:textId="77777777" w:rsidR="00810BD3" w:rsidRPr="00D44EFD" w:rsidRDefault="00810BD3" w:rsidP="0005421C">
            <w:pPr>
              <w:spacing w:after="0" w:line="240" w:lineRule="auto"/>
              <w:rPr>
                <w:rFonts w:ascii="Arial" w:eastAsia="Calibri" w:hAnsi="Arial" w:cs="Arial"/>
                <w:b/>
                <w:noProof/>
                <w:sz w:val="16"/>
                <w:szCs w:val="16"/>
                <w:lang w:val="en-GB"/>
              </w:rPr>
            </w:pPr>
            <w:r w:rsidRPr="00D44EFD">
              <w:rPr>
                <w:rFonts w:ascii="Arial" w:eastAsia="Calibri" w:hAnsi="Arial" w:cs="Arial"/>
                <w:b/>
                <w:noProof/>
                <w:sz w:val="16"/>
                <w:szCs w:val="16"/>
                <w:lang w:val="en-GB"/>
              </w:rPr>
              <w:t>(3) REVISED.</w:t>
            </w:r>
          </w:p>
          <w:p w14:paraId="21C873CE" w14:textId="77777777" w:rsidR="00810BD3" w:rsidRPr="00D44EFD" w:rsidRDefault="00810BD3" w:rsidP="0005421C">
            <w:pPr>
              <w:spacing w:after="0" w:line="240" w:lineRule="auto"/>
              <w:jc w:val="center"/>
              <w:rPr>
                <w:rFonts w:ascii="Arial" w:eastAsia="Calibri" w:hAnsi="Arial" w:cs="Arial"/>
                <w:b/>
                <w:noProof/>
                <w:sz w:val="16"/>
                <w:szCs w:val="16"/>
                <w:u w:val="single"/>
                <w:lang w:val="en-GB"/>
              </w:rPr>
            </w:pPr>
          </w:p>
          <w:p w14:paraId="220F630E" w14:textId="77777777" w:rsidR="00810BD3" w:rsidRPr="00D44EFD" w:rsidRDefault="00810BD3" w:rsidP="0005421C">
            <w:pPr>
              <w:spacing w:after="0" w:line="240" w:lineRule="auto"/>
              <w:rPr>
                <w:rFonts w:ascii="Arial" w:eastAsia="Calibri" w:hAnsi="Arial" w:cs="Arial"/>
                <w:b/>
                <w:noProof/>
                <w:sz w:val="16"/>
                <w:szCs w:val="16"/>
                <w:lang w:val="en-GB"/>
              </w:rPr>
            </w:pPr>
            <w:r w:rsidRPr="00D44EFD">
              <w:rPr>
                <w:rFonts w:ascii="Arial" w:eastAsia="Calibri" w:hAnsi="Arial" w:cs="Arial"/>
                <w:b/>
                <w:noProof/>
                <w:sz w:val="16"/>
                <w:szCs w:val="16"/>
                <w:u w:val="single"/>
                <w:lang w:val="en-GB"/>
              </w:rPr>
              <w:t>DATE:</w:t>
            </w:r>
          </w:p>
          <w:p w14:paraId="4357D2EC" w14:textId="77777777" w:rsidR="00810BD3" w:rsidRPr="00D44EFD" w:rsidRDefault="00810BD3" w:rsidP="0005421C">
            <w:pPr>
              <w:spacing w:after="0" w:line="240" w:lineRule="auto"/>
              <w:jc w:val="center"/>
              <w:rPr>
                <w:rFonts w:ascii="Arial" w:eastAsia="Calibri" w:hAnsi="Arial" w:cs="Arial"/>
                <w:b/>
                <w:noProof/>
                <w:sz w:val="16"/>
                <w:szCs w:val="16"/>
                <w:u w:val="single"/>
                <w:lang w:val="en-GB"/>
              </w:rPr>
            </w:pPr>
          </w:p>
          <w:p w14:paraId="1B43827A" w14:textId="77777777" w:rsidR="00810BD3" w:rsidRPr="00D44EFD" w:rsidRDefault="00810BD3" w:rsidP="0005421C">
            <w:pPr>
              <w:spacing w:after="0" w:line="240" w:lineRule="auto"/>
              <w:rPr>
                <w:rFonts w:ascii="Arial" w:eastAsia="Calibri" w:hAnsi="Arial" w:cs="Arial"/>
                <w:b/>
                <w:noProof/>
                <w:sz w:val="24"/>
                <w:szCs w:val="24"/>
                <w:u w:val="single"/>
                <w:lang w:val="en-GB"/>
              </w:rPr>
            </w:pPr>
            <w:r w:rsidRPr="00D44EFD">
              <w:rPr>
                <w:rFonts w:ascii="Arial" w:eastAsia="Calibri" w:hAnsi="Arial" w:cs="Arial"/>
                <w:b/>
                <w:noProof/>
                <w:sz w:val="16"/>
                <w:szCs w:val="16"/>
                <w:u w:val="single"/>
                <w:lang w:val="en-GB"/>
              </w:rPr>
              <w:t>SIGNATURE:</w:t>
            </w:r>
            <w:r w:rsidRPr="00D44EFD">
              <w:rPr>
                <w:rFonts w:ascii="Arial" w:eastAsia="Calibri" w:hAnsi="Arial" w:cs="Arial"/>
                <w:b/>
                <w:noProof/>
                <w:sz w:val="16"/>
                <w:szCs w:val="16"/>
                <w:u w:val="single"/>
                <w:lang w:val="en-GB"/>
              </w:rPr>
              <w:br/>
            </w:r>
          </w:p>
        </w:tc>
      </w:tr>
    </w:tbl>
    <w:p w14:paraId="718BA857" w14:textId="43FDC0E8" w:rsidR="00B71F31" w:rsidRPr="00B71F31" w:rsidRDefault="00B71F31" w:rsidP="00B71F31">
      <w:pPr>
        <w:rPr>
          <w:rFonts w:ascii="Arial" w:hAnsi="Arial" w:cs="Arial"/>
          <w:sz w:val="24"/>
          <w:szCs w:val="24"/>
          <w:lang w:val="en-US"/>
        </w:rPr>
      </w:pPr>
      <w:r w:rsidRPr="00B71F31">
        <w:rPr>
          <w:rFonts w:ascii="Arial" w:hAnsi="Arial" w:cs="Arial"/>
          <w:sz w:val="24"/>
          <w:szCs w:val="24"/>
          <w:lang w:val="en-US"/>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7"/>
      </w:tblGrid>
      <w:tr w:rsidR="00B71F31" w:rsidRPr="00B71F31" w14:paraId="4D3A22D2" w14:textId="77777777" w:rsidTr="00B71F31">
        <w:tc>
          <w:tcPr>
            <w:tcW w:w="5382" w:type="dxa"/>
          </w:tcPr>
          <w:p w14:paraId="51606D9E" w14:textId="28B4D02B" w:rsidR="00B71F31" w:rsidRPr="00B71F31" w:rsidRDefault="00B71F31" w:rsidP="00B71F31">
            <w:pPr>
              <w:rPr>
                <w:rFonts w:ascii="Arial" w:hAnsi="Arial" w:cs="Arial"/>
                <w:b/>
                <w:bCs/>
                <w:sz w:val="24"/>
                <w:szCs w:val="24"/>
                <w:lang w:val="en-US"/>
              </w:rPr>
            </w:pPr>
            <w:r w:rsidRPr="00B71F31">
              <w:rPr>
                <w:rFonts w:ascii="Arial" w:hAnsi="Arial" w:cs="Arial"/>
                <w:b/>
                <w:bCs/>
                <w:sz w:val="24"/>
                <w:szCs w:val="24"/>
                <w:lang w:val="en-US"/>
              </w:rPr>
              <w:t>HOSI TECHNOLOGIES (PTY) LIMITED</w:t>
            </w:r>
          </w:p>
        </w:tc>
        <w:tc>
          <w:tcPr>
            <w:tcW w:w="4247" w:type="dxa"/>
          </w:tcPr>
          <w:p w14:paraId="7B5A2B40" w14:textId="5D06EAD5" w:rsidR="00B71F31" w:rsidRPr="00B71F31" w:rsidRDefault="00810BD3" w:rsidP="00B71F31">
            <w:pPr>
              <w:jc w:val="right"/>
              <w:rPr>
                <w:rFonts w:ascii="Arial" w:hAnsi="Arial" w:cs="Arial"/>
                <w:sz w:val="24"/>
                <w:szCs w:val="24"/>
                <w:lang w:val="en-US"/>
              </w:rPr>
            </w:pPr>
            <w:r>
              <w:rPr>
                <w:rFonts w:ascii="Arial" w:hAnsi="Arial" w:cs="Arial"/>
                <w:sz w:val="24"/>
                <w:szCs w:val="24"/>
                <w:lang w:val="en-US"/>
              </w:rPr>
              <w:t>Appellant</w:t>
            </w:r>
            <w:r w:rsidR="00B71F31" w:rsidRPr="00B71F31">
              <w:rPr>
                <w:rFonts w:ascii="Arial" w:hAnsi="Arial" w:cs="Arial"/>
                <w:sz w:val="24"/>
                <w:szCs w:val="24"/>
                <w:lang w:val="en-US"/>
              </w:rPr>
              <w:t xml:space="preserve"> </w:t>
            </w:r>
          </w:p>
        </w:tc>
      </w:tr>
      <w:tr w:rsidR="00B71F31" w:rsidRPr="00B71F31" w14:paraId="32A340A2" w14:textId="77777777" w:rsidTr="00B71F31">
        <w:tc>
          <w:tcPr>
            <w:tcW w:w="9629" w:type="dxa"/>
            <w:gridSpan w:val="2"/>
          </w:tcPr>
          <w:p w14:paraId="7B3B7277" w14:textId="5A1A08C6" w:rsidR="00B71F31" w:rsidRPr="00B71F31" w:rsidRDefault="00810BD3" w:rsidP="00B71F31">
            <w:pPr>
              <w:jc w:val="left"/>
              <w:rPr>
                <w:rFonts w:ascii="Arial" w:hAnsi="Arial" w:cs="Arial"/>
                <w:sz w:val="24"/>
                <w:szCs w:val="24"/>
                <w:lang w:val="en-US"/>
              </w:rPr>
            </w:pPr>
            <w:r w:rsidRPr="00B71F31">
              <w:rPr>
                <w:rFonts w:ascii="Arial" w:hAnsi="Arial" w:cs="Arial"/>
                <w:sz w:val="24"/>
                <w:szCs w:val="24"/>
                <w:lang w:val="en-US"/>
              </w:rPr>
              <w:t>A</w:t>
            </w:r>
            <w:r w:rsidR="00B71F31" w:rsidRPr="00B71F31">
              <w:rPr>
                <w:rFonts w:ascii="Arial" w:hAnsi="Arial" w:cs="Arial"/>
                <w:sz w:val="24"/>
                <w:szCs w:val="24"/>
                <w:lang w:val="en-US"/>
              </w:rPr>
              <w:t>nd</w:t>
            </w:r>
          </w:p>
        </w:tc>
      </w:tr>
      <w:tr w:rsidR="00B71F31" w:rsidRPr="00B71F31" w14:paraId="7C749DE6" w14:textId="77777777" w:rsidTr="00B71F31">
        <w:tc>
          <w:tcPr>
            <w:tcW w:w="5382" w:type="dxa"/>
          </w:tcPr>
          <w:p w14:paraId="3BF35501" w14:textId="44A20A88" w:rsidR="00B71F31" w:rsidRPr="00B71F31" w:rsidRDefault="00B71F31" w:rsidP="00B71F31">
            <w:pPr>
              <w:rPr>
                <w:rFonts w:ascii="Arial" w:hAnsi="Arial" w:cs="Arial"/>
                <w:b/>
                <w:bCs/>
                <w:sz w:val="24"/>
                <w:szCs w:val="24"/>
                <w:lang w:val="en-US"/>
              </w:rPr>
            </w:pPr>
            <w:r w:rsidRPr="00B71F31">
              <w:rPr>
                <w:rFonts w:ascii="Arial" w:hAnsi="Arial" w:cs="Arial"/>
                <w:b/>
                <w:bCs/>
                <w:sz w:val="24"/>
                <w:szCs w:val="24"/>
                <w:lang w:val="en-US"/>
              </w:rPr>
              <w:t>NOMVULA BEBEZA</w:t>
            </w:r>
          </w:p>
        </w:tc>
        <w:tc>
          <w:tcPr>
            <w:tcW w:w="4247" w:type="dxa"/>
          </w:tcPr>
          <w:p w14:paraId="0110CC27" w14:textId="3A36D345" w:rsidR="00B71F31" w:rsidRPr="00B71F31" w:rsidRDefault="00810BD3" w:rsidP="00B71F31">
            <w:pPr>
              <w:jc w:val="right"/>
              <w:rPr>
                <w:rFonts w:ascii="Arial" w:hAnsi="Arial" w:cs="Arial"/>
                <w:sz w:val="24"/>
                <w:szCs w:val="24"/>
                <w:lang w:val="en-US"/>
              </w:rPr>
            </w:pPr>
            <w:r>
              <w:rPr>
                <w:rFonts w:ascii="Arial" w:hAnsi="Arial" w:cs="Arial"/>
                <w:sz w:val="24"/>
                <w:szCs w:val="24"/>
                <w:lang w:val="en-US"/>
              </w:rPr>
              <w:t>Respondent</w:t>
            </w:r>
          </w:p>
        </w:tc>
      </w:tr>
      <w:tr w:rsidR="00505B1E" w:rsidRPr="00B71F31" w14:paraId="37F3FBAC" w14:textId="77777777" w:rsidTr="00B71F31">
        <w:tc>
          <w:tcPr>
            <w:tcW w:w="5382" w:type="dxa"/>
          </w:tcPr>
          <w:p w14:paraId="58C641AA" w14:textId="77777777" w:rsidR="00505B1E" w:rsidRPr="00B71F31" w:rsidRDefault="00505B1E" w:rsidP="00B71F31">
            <w:pPr>
              <w:rPr>
                <w:rFonts w:ascii="Arial" w:hAnsi="Arial" w:cs="Arial"/>
                <w:b/>
                <w:bCs/>
                <w:sz w:val="24"/>
                <w:szCs w:val="24"/>
                <w:lang w:val="en-US"/>
              </w:rPr>
            </w:pPr>
          </w:p>
        </w:tc>
        <w:tc>
          <w:tcPr>
            <w:tcW w:w="4247" w:type="dxa"/>
          </w:tcPr>
          <w:p w14:paraId="48D1E967" w14:textId="77777777" w:rsidR="00505B1E" w:rsidRDefault="00505B1E" w:rsidP="00B71F31">
            <w:pPr>
              <w:jc w:val="right"/>
              <w:rPr>
                <w:rFonts w:ascii="Arial" w:hAnsi="Arial" w:cs="Arial"/>
                <w:sz w:val="24"/>
                <w:szCs w:val="24"/>
                <w:lang w:val="en-US"/>
              </w:rPr>
            </w:pPr>
          </w:p>
        </w:tc>
      </w:tr>
    </w:tbl>
    <w:p w14:paraId="6B464E68" w14:textId="77777777" w:rsidR="00B71F31" w:rsidRDefault="00B71F31" w:rsidP="00505B1E">
      <w:pPr>
        <w:pBdr>
          <w:top w:val="single" w:sz="12" w:space="1" w:color="auto"/>
          <w:bottom w:val="single" w:sz="12" w:space="1" w:color="auto"/>
        </w:pBdr>
        <w:spacing w:line="240" w:lineRule="auto"/>
        <w:rPr>
          <w:rFonts w:ascii="Arial" w:hAnsi="Arial" w:cs="Arial"/>
          <w:sz w:val="24"/>
          <w:szCs w:val="24"/>
          <w:lang w:val="en-US"/>
        </w:rPr>
      </w:pPr>
    </w:p>
    <w:p w14:paraId="29A0155F" w14:textId="033AE758" w:rsidR="00B71F31" w:rsidRPr="00B71F31" w:rsidRDefault="00B71F31" w:rsidP="00505B1E">
      <w:pPr>
        <w:pBdr>
          <w:top w:val="single" w:sz="12" w:space="1" w:color="auto"/>
          <w:bottom w:val="single" w:sz="12" w:space="1" w:color="auto"/>
        </w:pBdr>
        <w:spacing w:line="240" w:lineRule="auto"/>
        <w:jc w:val="center"/>
        <w:rPr>
          <w:rFonts w:ascii="Arial" w:hAnsi="Arial" w:cs="Arial"/>
          <w:b/>
          <w:bCs/>
          <w:sz w:val="24"/>
          <w:szCs w:val="24"/>
          <w:lang w:val="en-US"/>
        </w:rPr>
      </w:pPr>
      <w:r w:rsidRPr="00B71F31">
        <w:rPr>
          <w:rFonts w:ascii="Arial" w:hAnsi="Arial" w:cs="Arial"/>
          <w:b/>
          <w:bCs/>
          <w:sz w:val="24"/>
          <w:szCs w:val="24"/>
          <w:lang w:val="en-US"/>
        </w:rPr>
        <w:t>JUDGMENT</w:t>
      </w:r>
    </w:p>
    <w:p w14:paraId="05C9BC51" w14:textId="77777777" w:rsidR="00B71F31" w:rsidRDefault="00B71F31" w:rsidP="00505B1E">
      <w:pPr>
        <w:pBdr>
          <w:top w:val="single" w:sz="12" w:space="1" w:color="auto"/>
          <w:bottom w:val="single" w:sz="12" w:space="1" w:color="auto"/>
        </w:pBdr>
        <w:spacing w:line="240" w:lineRule="auto"/>
        <w:rPr>
          <w:rFonts w:ascii="Arial" w:hAnsi="Arial" w:cs="Arial"/>
          <w:sz w:val="24"/>
          <w:szCs w:val="24"/>
          <w:lang w:val="en-US"/>
        </w:rPr>
      </w:pPr>
    </w:p>
    <w:p w14:paraId="33F7A2B3" w14:textId="13196DF6" w:rsidR="0091734B" w:rsidRPr="00B353DA" w:rsidRDefault="0091734B" w:rsidP="0091734B">
      <w:pPr>
        <w:spacing w:line="480" w:lineRule="auto"/>
        <w:rPr>
          <w:rFonts w:ascii="Arial" w:hAnsi="Arial" w:cs="Arial"/>
          <w:sz w:val="24"/>
          <w:szCs w:val="24"/>
        </w:rPr>
      </w:pPr>
      <w:r w:rsidRPr="00B353DA">
        <w:rPr>
          <w:rFonts w:ascii="Arial" w:hAnsi="Arial" w:cs="Arial"/>
          <w:sz w:val="24"/>
          <w:szCs w:val="24"/>
        </w:rPr>
        <w:t xml:space="preserve">Todd AJ </w:t>
      </w:r>
    </w:p>
    <w:p w14:paraId="7461092F" w14:textId="6EB2B373" w:rsidR="00B71F31" w:rsidRPr="00B353DA" w:rsidRDefault="0030615C" w:rsidP="00B71F31">
      <w:pPr>
        <w:rPr>
          <w:rFonts w:ascii="Arial" w:hAnsi="Arial" w:cs="Arial"/>
          <w:b/>
          <w:bCs/>
          <w:sz w:val="24"/>
          <w:szCs w:val="24"/>
          <w:lang w:val="en-US"/>
        </w:rPr>
      </w:pPr>
      <w:r>
        <w:rPr>
          <w:rFonts w:ascii="Arial" w:hAnsi="Arial" w:cs="Arial"/>
          <w:b/>
          <w:bCs/>
          <w:sz w:val="24"/>
          <w:szCs w:val="24"/>
          <w:lang w:val="en-US"/>
        </w:rPr>
        <w:t>Introduction</w:t>
      </w:r>
    </w:p>
    <w:p w14:paraId="4E025814" w14:textId="0E3273B0" w:rsidR="0030615C" w:rsidRDefault="00B71F31" w:rsidP="00B71F31">
      <w:pPr>
        <w:pStyle w:val="BowLevel1ListAlt"/>
        <w:rPr>
          <w:rFonts w:ascii="Arial" w:hAnsi="Arial" w:cs="Arial"/>
          <w:sz w:val="24"/>
          <w:szCs w:val="24"/>
          <w:lang w:val="en-US"/>
        </w:rPr>
      </w:pPr>
      <w:r w:rsidRPr="00B71F31">
        <w:rPr>
          <w:rFonts w:ascii="Arial" w:hAnsi="Arial" w:cs="Arial"/>
          <w:sz w:val="24"/>
          <w:szCs w:val="24"/>
          <w:lang w:val="en-US"/>
        </w:rPr>
        <w:t xml:space="preserve">This is an appeal against </w:t>
      </w:r>
      <w:r w:rsidR="0030615C">
        <w:rPr>
          <w:rFonts w:ascii="Arial" w:hAnsi="Arial" w:cs="Arial"/>
          <w:sz w:val="24"/>
          <w:szCs w:val="24"/>
          <w:lang w:val="en-US"/>
        </w:rPr>
        <w:t>a</w:t>
      </w:r>
      <w:r w:rsidR="0030615C" w:rsidRPr="00B71F31">
        <w:rPr>
          <w:rFonts w:ascii="Arial" w:hAnsi="Arial" w:cs="Arial"/>
          <w:sz w:val="24"/>
          <w:szCs w:val="24"/>
          <w:lang w:val="en-US"/>
        </w:rPr>
        <w:t xml:space="preserve"> </w:t>
      </w:r>
      <w:r w:rsidRPr="00B71F31">
        <w:rPr>
          <w:rFonts w:ascii="Arial" w:hAnsi="Arial" w:cs="Arial"/>
          <w:sz w:val="24"/>
          <w:szCs w:val="24"/>
          <w:lang w:val="en-US"/>
        </w:rPr>
        <w:t xml:space="preserve">judgment and order handed down in </w:t>
      </w:r>
      <w:r w:rsidR="00C8556C">
        <w:rPr>
          <w:rFonts w:ascii="Arial" w:hAnsi="Arial" w:cs="Arial"/>
          <w:sz w:val="24"/>
          <w:szCs w:val="24"/>
          <w:lang w:val="en-US"/>
        </w:rPr>
        <w:t xml:space="preserve">civil proceedings in </w:t>
      </w:r>
      <w:r w:rsidRPr="00B71F31">
        <w:rPr>
          <w:rFonts w:ascii="Arial" w:hAnsi="Arial" w:cs="Arial"/>
          <w:sz w:val="24"/>
          <w:szCs w:val="24"/>
          <w:lang w:val="en-US"/>
        </w:rPr>
        <w:t xml:space="preserve">the Randburg Regional Court on 11 August 2021.  </w:t>
      </w:r>
    </w:p>
    <w:p w14:paraId="6BE1EDC6" w14:textId="55719798" w:rsidR="00B45FC8" w:rsidRDefault="00B71F31" w:rsidP="00B71F31">
      <w:pPr>
        <w:pStyle w:val="BowLevel1ListAlt"/>
        <w:rPr>
          <w:rFonts w:ascii="Arial" w:hAnsi="Arial" w:cs="Arial"/>
          <w:sz w:val="24"/>
          <w:szCs w:val="24"/>
          <w:lang w:val="en-US"/>
        </w:rPr>
      </w:pPr>
      <w:r w:rsidRPr="00B71F31">
        <w:rPr>
          <w:rFonts w:ascii="Arial" w:hAnsi="Arial" w:cs="Arial"/>
          <w:sz w:val="24"/>
          <w:szCs w:val="24"/>
          <w:lang w:val="en-US"/>
        </w:rPr>
        <w:t xml:space="preserve">The </w:t>
      </w:r>
      <w:r w:rsidR="00810BD3">
        <w:rPr>
          <w:rFonts w:ascii="Arial" w:hAnsi="Arial" w:cs="Arial"/>
          <w:sz w:val="24"/>
          <w:szCs w:val="24"/>
          <w:lang w:val="en-US"/>
        </w:rPr>
        <w:t>respondent</w:t>
      </w:r>
      <w:r w:rsidR="006905E9">
        <w:rPr>
          <w:rFonts w:ascii="Arial" w:hAnsi="Arial" w:cs="Arial"/>
          <w:sz w:val="24"/>
          <w:szCs w:val="24"/>
          <w:lang w:val="en-US"/>
        </w:rPr>
        <w:t xml:space="preserve"> </w:t>
      </w:r>
      <w:r w:rsidRPr="00B71F31">
        <w:rPr>
          <w:rFonts w:ascii="Arial" w:hAnsi="Arial" w:cs="Arial"/>
          <w:sz w:val="24"/>
          <w:szCs w:val="24"/>
          <w:lang w:val="en-US"/>
        </w:rPr>
        <w:t xml:space="preserve">had instituted proceedings </w:t>
      </w:r>
      <w:r w:rsidR="00C8556C">
        <w:rPr>
          <w:rFonts w:ascii="Arial" w:hAnsi="Arial" w:cs="Arial"/>
          <w:sz w:val="24"/>
          <w:szCs w:val="24"/>
          <w:lang w:val="en-US"/>
        </w:rPr>
        <w:t xml:space="preserve">against the </w:t>
      </w:r>
      <w:r w:rsidR="00810BD3">
        <w:rPr>
          <w:rFonts w:ascii="Arial" w:hAnsi="Arial" w:cs="Arial"/>
          <w:sz w:val="24"/>
          <w:szCs w:val="24"/>
          <w:lang w:val="en-US"/>
        </w:rPr>
        <w:t>appellant</w:t>
      </w:r>
      <w:r w:rsidR="00C8556C">
        <w:rPr>
          <w:rFonts w:ascii="Arial" w:hAnsi="Arial" w:cs="Arial"/>
          <w:sz w:val="24"/>
          <w:szCs w:val="24"/>
          <w:lang w:val="en-US"/>
        </w:rPr>
        <w:t xml:space="preserve"> </w:t>
      </w:r>
      <w:r w:rsidRPr="00B71F31">
        <w:rPr>
          <w:rFonts w:ascii="Arial" w:hAnsi="Arial" w:cs="Arial"/>
          <w:sz w:val="24"/>
          <w:szCs w:val="24"/>
          <w:lang w:val="en-US"/>
        </w:rPr>
        <w:t>claiming damages arising from a</w:t>
      </w:r>
      <w:r w:rsidR="006905E9">
        <w:rPr>
          <w:rFonts w:ascii="Arial" w:hAnsi="Arial" w:cs="Arial"/>
          <w:sz w:val="24"/>
          <w:szCs w:val="24"/>
          <w:lang w:val="en-US"/>
        </w:rPr>
        <w:t>n alleged</w:t>
      </w:r>
      <w:r w:rsidRPr="00B71F31">
        <w:rPr>
          <w:rFonts w:ascii="Arial" w:hAnsi="Arial" w:cs="Arial"/>
          <w:sz w:val="24"/>
          <w:szCs w:val="24"/>
          <w:lang w:val="en-US"/>
        </w:rPr>
        <w:t xml:space="preserve"> breach of contract.  The court </w:t>
      </w:r>
      <w:r w:rsidR="00C8556C" w:rsidRPr="00B353DA">
        <w:rPr>
          <w:rFonts w:ascii="Arial" w:hAnsi="Arial" w:cs="Arial"/>
          <w:i/>
          <w:iCs/>
          <w:sz w:val="24"/>
          <w:szCs w:val="24"/>
          <w:lang w:val="en-US"/>
        </w:rPr>
        <w:t>a quo</w:t>
      </w:r>
      <w:r w:rsidR="00C8556C">
        <w:rPr>
          <w:rFonts w:ascii="Arial" w:hAnsi="Arial" w:cs="Arial"/>
          <w:sz w:val="24"/>
          <w:szCs w:val="24"/>
          <w:lang w:val="en-US"/>
        </w:rPr>
        <w:t xml:space="preserve"> </w:t>
      </w:r>
      <w:r w:rsidR="000C6DC0">
        <w:rPr>
          <w:rFonts w:ascii="Arial" w:hAnsi="Arial" w:cs="Arial"/>
          <w:sz w:val="24"/>
          <w:szCs w:val="24"/>
          <w:lang w:val="en-US"/>
        </w:rPr>
        <w:t>found that the</w:t>
      </w:r>
      <w:r w:rsidR="00DB590F">
        <w:rPr>
          <w:rFonts w:ascii="Arial" w:hAnsi="Arial" w:cs="Arial"/>
          <w:sz w:val="24"/>
          <w:szCs w:val="24"/>
          <w:lang w:val="en-US"/>
        </w:rPr>
        <w:t xml:space="preserve">re had indeed </w:t>
      </w:r>
      <w:r w:rsidR="00DB590F">
        <w:rPr>
          <w:rFonts w:ascii="Arial" w:hAnsi="Arial" w:cs="Arial"/>
          <w:sz w:val="24"/>
          <w:szCs w:val="24"/>
          <w:lang w:val="en-US"/>
        </w:rPr>
        <w:lastRenderedPageBreak/>
        <w:t xml:space="preserve">been a breach of </w:t>
      </w:r>
      <w:r w:rsidR="000C6DC0">
        <w:rPr>
          <w:rFonts w:ascii="Arial" w:hAnsi="Arial" w:cs="Arial"/>
          <w:sz w:val="24"/>
          <w:szCs w:val="24"/>
          <w:lang w:val="en-US"/>
        </w:rPr>
        <w:t xml:space="preserve">contract </w:t>
      </w:r>
      <w:r w:rsidR="00DB590F">
        <w:rPr>
          <w:rFonts w:ascii="Arial" w:hAnsi="Arial" w:cs="Arial"/>
          <w:sz w:val="24"/>
          <w:szCs w:val="24"/>
          <w:lang w:val="en-US"/>
        </w:rPr>
        <w:t xml:space="preserve">and </w:t>
      </w:r>
      <w:r w:rsidRPr="00B71F31">
        <w:rPr>
          <w:rFonts w:ascii="Arial" w:hAnsi="Arial" w:cs="Arial"/>
          <w:sz w:val="24"/>
          <w:szCs w:val="24"/>
          <w:lang w:val="en-US"/>
        </w:rPr>
        <w:t xml:space="preserve">ordered </w:t>
      </w:r>
      <w:r w:rsidR="000C6DC0">
        <w:rPr>
          <w:rFonts w:ascii="Arial" w:hAnsi="Arial" w:cs="Arial"/>
          <w:sz w:val="24"/>
          <w:szCs w:val="24"/>
          <w:lang w:val="en-US"/>
        </w:rPr>
        <w:t xml:space="preserve">the </w:t>
      </w:r>
      <w:r w:rsidR="00810BD3">
        <w:rPr>
          <w:rFonts w:ascii="Arial" w:hAnsi="Arial" w:cs="Arial"/>
          <w:sz w:val="24"/>
          <w:szCs w:val="24"/>
          <w:lang w:val="en-US"/>
        </w:rPr>
        <w:t>appellant</w:t>
      </w:r>
      <w:r w:rsidR="000C6DC0">
        <w:rPr>
          <w:rFonts w:ascii="Arial" w:hAnsi="Arial" w:cs="Arial"/>
          <w:sz w:val="24"/>
          <w:szCs w:val="24"/>
          <w:lang w:val="en-US"/>
        </w:rPr>
        <w:t xml:space="preserve"> </w:t>
      </w:r>
      <w:r w:rsidRPr="00B71F31">
        <w:rPr>
          <w:rFonts w:ascii="Arial" w:hAnsi="Arial" w:cs="Arial"/>
          <w:sz w:val="24"/>
          <w:szCs w:val="24"/>
          <w:lang w:val="en-US"/>
        </w:rPr>
        <w:t xml:space="preserve">to pay </w:t>
      </w:r>
      <w:r w:rsidR="00DB590F">
        <w:rPr>
          <w:rFonts w:ascii="Arial" w:hAnsi="Arial" w:cs="Arial"/>
          <w:sz w:val="24"/>
          <w:szCs w:val="24"/>
          <w:lang w:val="en-US"/>
        </w:rPr>
        <w:t xml:space="preserve">the </w:t>
      </w:r>
      <w:r w:rsidR="00810BD3">
        <w:rPr>
          <w:rFonts w:ascii="Arial" w:hAnsi="Arial" w:cs="Arial"/>
          <w:sz w:val="24"/>
          <w:szCs w:val="24"/>
          <w:lang w:val="en-US"/>
        </w:rPr>
        <w:t>respondent</w:t>
      </w:r>
      <w:r w:rsidR="00DB590F">
        <w:rPr>
          <w:rFonts w:ascii="Arial" w:hAnsi="Arial" w:cs="Arial"/>
          <w:sz w:val="24"/>
          <w:szCs w:val="24"/>
          <w:lang w:val="en-US"/>
        </w:rPr>
        <w:t xml:space="preserve"> </w:t>
      </w:r>
      <w:r w:rsidR="00C878C9">
        <w:rPr>
          <w:rFonts w:ascii="Arial" w:hAnsi="Arial" w:cs="Arial"/>
          <w:sz w:val="24"/>
          <w:szCs w:val="24"/>
          <w:lang w:val="en-US"/>
        </w:rPr>
        <w:t xml:space="preserve">damages in the amount </w:t>
      </w:r>
      <w:r w:rsidRPr="00B71F31">
        <w:rPr>
          <w:rFonts w:ascii="Arial" w:hAnsi="Arial" w:cs="Arial"/>
          <w:sz w:val="24"/>
          <w:szCs w:val="24"/>
          <w:lang w:val="en-US"/>
        </w:rPr>
        <w:t>of R72</w:t>
      </w:r>
      <w:r w:rsidR="00BC4D53">
        <w:rPr>
          <w:rFonts w:ascii="Arial" w:hAnsi="Arial" w:cs="Arial"/>
          <w:sz w:val="24"/>
          <w:szCs w:val="24"/>
          <w:lang w:val="en-US"/>
        </w:rPr>
        <w:t>,</w:t>
      </w:r>
      <w:r w:rsidRPr="00B71F31">
        <w:rPr>
          <w:rFonts w:ascii="Arial" w:hAnsi="Arial" w:cs="Arial"/>
          <w:sz w:val="24"/>
          <w:szCs w:val="24"/>
          <w:lang w:val="en-US"/>
        </w:rPr>
        <w:t>000</w:t>
      </w:r>
      <w:r w:rsidR="00BC4D53">
        <w:rPr>
          <w:rFonts w:ascii="Arial" w:hAnsi="Arial" w:cs="Arial"/>
          <w:sz w:val="24"/>
          <w:szCs w:val="24"/>
          <w:lang w:val="en-US"/>
        </w:rPr>
        <w:t xml:space="preserve"> </w:t>
      </w:r>
      <w:r w:rsidRPr="00B71F31">
        <w:rPr>
          <w:rFonts w:ascii="Arial" w:hAnsi="Arial" w:cs="Arial"/>
          <w:sz w:val="24"/>
          <w:szCs w:val="24"/>
          <w:lang w:val="en-US"/>
        </w:rPr>
        <w:t xml:space="preserve">together with interest, and costs. </w:t>
      </w:r>
    </w:p>
    <w:p w14:paraId="4471B647" w14:textId="5D3AB57D" w:rsidR="00B71F31" w:rsidRDefault="00B71F31" w:rsidP="00B71F31">
      <w:pPr>
        <w:pStyle w:val="BowLevel1ListAlt"/>
        <w:rPr>
          <w:rFonts w:ascii="Arial" w:hAnsi="Arial" w:cs="Arial"/>
          <w:sz w:val="24"/>
          <w:szCs w:val="24"/>
          <w:lang w:val="en-US"/>
        </w:rPr>
      </w:pPr>
      <w:r>
        <w:rPr>
          <w:rFonts w:ascii="Arial" w:hAnsi="Arial" w:cs="Arial"/>
          <w:sz w:val="24"/>
          <w:szCs w:val="24"/>
          <w:lang w:val="en-US"/>
        </w:rPr>
        <w:t xml:space="preserve">That is the order against which </w:t>
      </w:r>
      <w:r w:rsidR="00DB590F">
        <w:rPr>
          <w:rFonts w:ascii="Arial" w:hAnsi="Arial" w:cs="Arial"/>
          <w:sz w:val="24"/>
          <w:szCs w:val="24"/>
          <w:lang w:val="en-US"/>
        </w:rPr>
        <w:t xml:space="preserve">the </w:t>
      </w:r>
      <w:r w:rsidR="00810BD3">
        <w:rPr>
          <w:rFonts w:ascii="Arial" w:hAnsi="Arial" w:cs="Arial"/>
          <w:sz w:val="24"/>
          <w:szCs w:val="24"/>
          <w:lang w:val="en-US"/>
        </w:rPr>
        <w:t>appellant</w:t>
      </w:r>
      <w:r w:rsidR="00B45FC8">
        <w:rPr>
          <w:rFonts w:ascii="Arial" w:hAnsi="Arial" w:cs="Arial"/>
          <w:sz w:val="24"/>
          <w:szCs w:val="24"/>
          <w:lang w:val="en-US"/>
        </w:rPr>
        <w:t xml:space="preserve"> </w:t>
      </w:r>
      <w:r>
        <w:rPr>
          <w:rFonts w:ascii="Arial" w:hAnsi="Arial" w:cs="Arial"/>
          <w:sz w:val="24"/>
          <w:szCs w:val="24"/>
          <w:lang w:val="en-US"/>
        </w:rPr>
        <w:t xml:space="preserve">now appeals.  </w:t>
      </w:r>
    </w:p>
    <w:p w14:paraId="71AAB10C" w14:textId="01DFD577" w:rsidR="003550CD" w:rsidRPr="00B353DA" w:rsidRDefault="00A01818" w:rsidP="00B353DA">
      <w:pPr>
        <w:pStyle w:val="BowLevel1ListAlt"/>
        <w:numPr>
          <w:ilvl w:val="0"/>
          <w:numId w:val="0"/>
        </w:numPr>
        <w:rPr>
          <w:rFonts w:ascii="Arial" w:hAnsi="Arial" w:cs="Arial"/>
          <w:b/>
          <w:bCs/>
          <w:sz w:val="24"/>
          <w:szCs w:val="24"/>
          <w:lang w:val="en-US"/>
        </w:rPr>
      </w:pPr>
      <w:r w:rsidRPr="00B353DA">
        <w:rPr>
          <w:rFonts w:ascii="Arial" w:hAnsi="Arial" w:cs="Arial"/>
          <w:b/>
          <w:bCs/>
          <w:sz w:val="24"/>
          <w:szCs w:val="24"/>
          <w:lang w:val="en-US"/>
        </w:rPr>
        <w:t>Summary of relevant facts</w:t>
      </w:r>
    </w:p>
    <w:p w14:paraId="05766A50" w14:textId="3F23F2DC" w:rsidR="00DE1593" w:rsidRDefault="00B71F31" w:rsidP="00B71F31">
      <w:pPr>
        <w:pStyle w:val="BowLevel1ListAlt"/>
        <w:rPr>
          <w:rFonts w:ascii="Arial" w:hAnsi="Arial" w:cs="Arial"/>
          <w:sz w:val="24"/>
          <w:szCs w:val="24"/>
          <w:lang w:val="en-US"/>
        </w:rPr>
      </w:pPr>
      <w:r>
        <w:rPr>
          <w:rFonts w:ascii="Arial" w:hAnsi="Arial" w:cs="Arial"/>
          <w:sz w:val="24"/>
          <w:szCs w:val="24"/>
          <w:lang w:val="en-US"/>
        </w:rPr>
        <w:t xml:space="preserve">The contract which </w:t>
      </w:r>
      <w:r w:rsidR="003042CB">
        <w:rPr>
          <w:rFonts w:ascii="Arial" w:hAnsi="Arial" w:cs="Arial"/>
          <w:sz w:val="24"/>
          <w:szCs w:val="24"/>
          <w:lang w:val="en-US"/>
        </w:rPr>
        <w:t xml:space="preserve">gave rise to the dispute </w:t>
      </w:r>
      <w:r>
        <w:rPr>
          <w:rFonts w:ascii="Arial" w:hAnsi="Arial" w:cs="Arial"/>
          <w:sz w:val="24"/>
          <w:szCs w:val="24"/>
          <w:lang w:val="en-US"/>
        </w:rPr>
        <w:t xml:space="preserve">was one under which </w:t>
      </w:r>
      <w:r w:rsidR="00DB590F">
        <w:rPr>
          <w:rFonts w:ascii="Arial" w:hAnsi="Arial" w:cs="Arial"/>
          <w:sz w:val="24"/>
          <w:szCs w:val="24"/>
          <w:lang w:val="en-US"/>
        </w:rPr>
        <w:t xml:space="preserve">the </w:t>
      </w:r>
      <w:r w:rsidR="00810BD3">
        <w:rPr>
          <w:rFonts w:ascii="Arial" w:hAnsi="Arial" w:cs="Arial"/>
          <w:sz w:val="24"/>
          <w:szCs w:val="24"/>
          <w:lang w:val="en-US"/>
        </w:rPr>
        <w:t>respondent</w:t>
      </w:r>
      <w:r w:rsidR="003042CB">
        <w:rPr>
          <w:rFonts w:ascii="Arial" w:hAnsi="Arial" w:cs="Arial"/>
          <w:sz w:val="24"/>
          <w:szCs w:val="24"/>
          <w:lang w:val="en-US"/>
        </w:rPr>
        <w:t xml:space="preserve"> </w:t>
      </w:r>
      <w:r>
        <w:rPr>
          <w:rFonts w:ascii="Arial" w:hAnsi="Arial" w:cs="Arial"/>
          <w:sz w:val="24"/>
          <w:szCs w:val="24"/>
          <w:lang w:val="en-US"/>
        </w:rPr>
        <w:t xml:space="preserve">was engaged to provide services to </w:t>
      </w:r>
      <w:r w:rsidR="00DB590F">
        <w:rPr>
          <w:rFonts w:ascii="Arial" w:hAnsi="Arial" w:cs="Arial"/>
          <w:sz w:val="24"/>
          <w:szCs w:val="24"/>
          <w:lang w:val="en-US"/>
        </w:rPr>
        <w:t xml:space="preserve">the </w:t>
      </w:r>
      <w:r w:rsidR="00810BD3">
        <w:rPr>
          <w:rFonts w:ascii="Arial" w:hAnsi="Arial" w:cs="Arial"/>
          <w:sz w:val="24"/>
          <w:szCs w:val="24"/>
          <w:lang w:val="en-US"/>
        </w:rPr>
        <w:t>appellant</w:t>
      </w:r>
      <w:r w:rsidR="00DB590F">
        <w:rPr>
          <w:rFonts w:ascii="Arial" w:hAnsi="Arial" w:cs="Arial"/>
          <w:sz w:val="24"/>
          <w:szCs w:val="24"/>
          <w:lang w:val="en-US"/>
        </w:rPr>
        <w:t xml:space="preserve"> </w:t>
      </w:r>
      <w:r>
        <w:rPr>
          <w:rFonts w:ascii="Arial" w:hAnsi="Arial" w:cs="Arial"/>
          <w:sz w:val="24"/>
          <w:szCs w:val="24"/>
          <w:lang w:val="en-US"/>
        </w:rPr>
        <w:t xml:space="preserve">as an independent contractor.  </w:t>
      </w:r>
    </w:p>
    <w:p w14:paraId="001DF6D1" w14:textId="5B37D49B" w:rsidR="00B71F31" w:rsidRDefault="00B71F31" w:rsidP="00B71F31">
      <w:pPr>
        <w:pStyle w:val="BowLevel1ListAlt"/>
        <w:rPr>
          <w:rFonts w:ascii="Arial" w:hAnsi="Arial" w:cs="Arial"/>
          <w:sz w:val="24"/>
          <w:szCs w:val="24"/>
          <w:lang w:val="en-US"/>
        </w:rPr>
      </w:pPr>
      <w:r>
        <w:rPr>
          <w:rFonts w:ascii="Arial" w:hAnsi="Arial" w:cs="Arial"/>
          <w:sz w:val="24"/>
          <w:szCs w:val="24"/>
          <w:lang w:val="en-US"/>
        </w:rPr>
        <w:t xml:space="preserve">Under clause 1 of the </w:t>
      </w:r>
      <w:r w:rsidR="00DE1593">
        <w:rPr>
          <w:rFonts w:ascii="Arial" w:hAnsi="Arial" w:cs="Arial"/>
          <w:sz w:val="24"/>
          <w:szCs w:val="24"/>
          <w:lang w:val="en-US"/>
        </w:rPr>
        <w:t xml:space="preserve">contract </w:t>
      </w:r>
      <w:r w:rsidR="00AB55ED">
        <w:rPr>
          <w:rFonts w:ascii="Arial" w:hAnsi="Arial" w:cs="Arial"/>
          <w:sz w:val="24"/>
          <w:szCs w:val="24"/>
          <w:lang w:val="en-US"/>
        </w:rPr>
        <w:t xml:space="preserve">the </w:t>
      </w:r>
      <w:r w:rsidR="00810BD3">
        <w:rPr>
          <w:rFonts w:ascii="Arial" w:hAnsi="Arial" w:cs="Arial"/>
          <w:sz w:val="24"/>
          <w:szCs w:val="24"/>
          <w:lang w:val="en-US"/>
        </w:rPr>
        <w:t>respondent</w:t>
      </w:r>
      <w:r w:rsidR="00AB55ED">
        <w:rPr>
          <w:rFonts w:ascii="Arial" w:hAnsi="Arial" w:cs="Arial"/>
          <w:sz w:val="24"/>
          <w:szCs w:val="24"/>
          <w:lang w:val="en-US"/>
        </w:rPr>
        <w:t xml:space="preserve"> </w:t>
      </w:r>
      <w:r>
        <w:rPr>
          <w:rFonts w:ascii="Arial" w:hAnsi="Arial" w:cs="Arial"/>
          <w:sz w:val="24"/>
          <w:szCs w:val="24"/>
          <w:lang w:val="en-US"/>
        </w:rPr>
        <w:t xml:space="preserve">was engaged to render services as an independent contractor in the capacity of Automation Tester, reporting to the </w:t>
      </w:r>
      <w:r w:rsidR="00DE1593">
        <w:rPr>
          <w:rFonts w:ascii="Arial" w:hAnsi="Arial" w:cs="Arial"/>
          <w:sz w:val="24"/>
          <w:szCs w:val="24"/>
          <w:lang w:val="en-US"/>
        </w:rPr>
        <w:t>“</w:t>
      </w:r>
      <w:r>
        <w:rPr>
          <w:rFonts w:ascii="Arial" w:hAnsi="Arial" w:cs="Arial"/>
          <w:sz w:val="24"/>
          <w:szCs w:val="24"/>
          <w:lang w:val="en-US"/>
        </w:rPr>
        <w:t xml:space="preserve">Test Lead”.  The appointment was for a one year project commencing October 2019 and ending October 2020.  The project </w:t>
      </w:r>
      <w:r w:rsidR="00BC7744">
        <w:rPr>
          <w:rFonts w:ascii="Arial" w:hAnsi="Arial" w:cs="Arial"/>
          <w:sz w:val="24"/>
          <w:szCs w:val="24"/>
          <w:lang w:val="en-US"/>
        </w:rPr>
        <w:t>was</w:t>
      </w:r>
      <w:r>
        <w:rPr>
          <w:rFonts w:ascii="Arial" w:hAnsi="Arial" w:cs="Arial"/>
          <w:sz w:val="24"/>
          <w:szCs w:val="24"/>
          <w:lang w:val="en-US"/>
        </w:rPr>
        <w:t xml:space="preserve"> described as </w:t>
      </w:r>
      <w:r w:rsidR="00153429">
        <w:rPr>
          <w:rFonts w:ascii="Arial" w:hAnsi="Arial" w:cs="Arial"/>
          <w:sz w:val="24"/>
          <w:szCs w:val="24"/>
          <w:lang w:val="en-US"/>
        </w:rPr>
        <w:t xml:space="preserve">involving work </w:t>
      </w:r>
      <w:r>
        <w:rPr>
          <w:rFonts w:ascii="Arial" w:hAnsi="Arial" w:cs="Arial"/>
          <w:sz w:val="24"/>
          <w:szCs w:val="24"/>
          <w:lang w:val="en-US"/>
        </w:rPr>
        <w:t xml:space="preserve">“in the BAU Division on a non-disclosed project at MTN”.  </w:t>
      </w:r>
    </w:p>
    <w:p w14:paraId="1373B3F6" w14:textId="729B3ACD" w:rsidR="00B71F31" w:rsidRDefault="00B71F31" w:rsidP="00B71F31">
      <w:pPr>
        <w:pStyle w:val="BowLevel1ListAlt"/>
        <w:rPr>
          <w:rFonts w:ascii="Arial" w:hAnsi="Arial" w:cs="Arial"/>
          <w:sz w:val="24"/>
          <w:szCs w:val="24"/>
          <w:lang w:val="en-US"/>
        </w:rPr>
      </w:pPr>
      <w:r>
        <w:rPr>
          <w:rFonts w:ascii="Arial" w:hAnsi="Arial" w:cs="Arial"/>
          <w:sz w:val="24"/>
          <w:szCs w:val="24"/>
          <w:lang w:val="en-US"/>
        </w:rPr>
        <w:t xml:space="preserve">Clause 3 of the contract regulated the performance of the services, requiring the </w:t>
      </w:r>
      <w:r w:rsidR="00810BD3">
        <w:rPr>
          <w:rFonts w:ascii="Arial" w:hAnsi="Arial" w:cs="Arial"/>
          <w:sz w:val="24"/>
          <w:szCs w:val="24"/>
          <w:lang w:val="en-US"/>
        </w:rPr>
        <w:t>respondent</w:t>
      </w:r>
      <w:r>
        <w:rPr>
          <w:rFonts w:ascii="Arial" w:hAnsi="Arial" w:cs="Arial"/>
          <w:sz w:val="24"/>
          <w:szCs w:val="24"/>
          <w:lang w:val="en-US"/>
        </w:rPr>
        <w:t xml:space="preserve"> to render services under the general direction and to the satisfaction of the </w:t>
      </w:r>
      <w:r w:rsidR="00153429">
        <w:rPr>
          <w:rFonts w:ascii="Arial" w:hAnsi="Arial" w:cs="Arial"/>
          <w:sz w:val="24"/>
          <w:szCs w:val="24"/>
          <w:lang w:val="en-US"/>
        </w:rPr>
        <w:t>r</w:t>
      </w:r>
      <w:r>
        <w:rPr>
          <w:rFonts w:ascii="Arial" w:hAnsi="Arial" w:cs="Arial"/>
          <w:sz w:val="24"/>
          <w:szCs w:val="24"/>
          <w:lang w:val="en-US"/>
        </w:rPr>
        <w:t xml:space="preserve">eporting </w:t>
      </w:r>
      <w:r w:rsidR="00153429">
        <w:rPr>
          <w:rFonts w:ascii="Arial" w:hAnsi="Arial" w:cs="Arial"/>
          <w:sz w:val="24"/>
          <w:szCs w:val="24"/>
          <w:lang w:val="en-US"/>
        </w:rPr>
        <w:t>l</w:t>
      </w:r>
      <w:r>
        <w:rPr>
          <w:rFonts w:ascii="Arial" w:hAnsi="Arial" w:cs="Arial"/>
          <w:sz w:val="24"/>
          <w:szCs w:val="24"/>
          <w:lang w:val="en-US"/>
        </w:rPr>
        <w:t xml:space="preserve">ine </w:t>
      </w:r>
      <w:r w:rsidR="00153429">
        <w:rPr>
          <w:rFonts w:ascii="Arial" w:hAnsi="Arial" w:cs="Arial"/>
          <w:sz w:val="24"/>
          <w:szCs w:val="24"/>
          <w:lang w:val="en-US"/>
        </w:rPr>
        <w:t>m</w:t>
      </w:r>
      <w:r>
        <w:rPr>
          <w:rFonts w:ascii="Arial" w:hAnsi="Arial" w:cs="Arial"/>
          <w:sz w:val="24"/>
          <w:szCs w:val="24"/>
          <w:lang w:val="en-US"/>
        </w:rPr>
        <w:t xml:space="preserve">anager and of the </w:t>
      </w:r>
      <w:r w:rsidR="00810BD3">
        <w:rPr>
          <w:rFonts w:ascii="Arial" w:hAnsi="Arial" w:cs="Arial"/>
          <w:sz w:val="24"/>
          <w:szCs w:val="24"/>
          <w:lang w:val="en-US"/>
        </w:rPr>
        <w:t>appellant</w:t>
      </w:r>
      <w:r>
        <w:rPr>
          <w:rFonts w:ascii="Arial" w:hAnsi="Arial" w:cs="Arial"/>
          <w:sz w:val="24"/>
          <w:szCs w:val="24"/>
          <w:lang w:val="en-US"/>
        </w:rPr>
        <w:t xml:space="preserve"> generally</w:t>
      </w:r>
      <w:r w:rsidR="00153429">
        <w:rPr>
          <w:rFonts w:ascii="Arial" w:hAnsi="Arial" w:cs="Arial"/>
          <w:sz w:val="24"/>
          <w:szCs w:val="24"/>
          <w:lang w:val="en-US"/>
        </w:rPr>
        <w:t>,</w:t>
      </w:r>
      <w:r>
        <w:rPr>
          <w:rFonts w:ascii="Arial" w:hAnsi="Arial" w:cs="Arial"/>
          <w:sz w:val="24"/>
          <w:szCs w:val="24"/>
          <w:lang w:val="en-US"/>
        </w:rPr>
        <w:t xml:space="preserve"> and </w:t>
      </w:r>
      <w:r w:rsidR="00153429">
        <w:rPr>
          <w:rFonts w:ascii="Arial" w:hAnsi="Arial" w:cs="Arial"/>
          <w:sz w:val="24"/>
          <w:szCs w:val="24"/>
          <w:lang w:val="en-US"/>
        </w:rPr>
        <w:t xml:space="preserve">it </w:t>
      </w:r>
      <w:r>
        <w:rPr>
          <w:rFonts w:ascii="Arial" w:hAnsi="Arial" w:cs="Arial"/>
          <w:sz w:val="24"/>
          <w:szCs w:val="24"/>
          <w:lang w:val="en-US"/>
        </w:rPr>
        <w:t xml:space="preserve">precluded </w:t>
      </w:r>
      <w:r w:rsidR="00153429">
        <w:rPr>
          <w:rFonts w:ascii="Arial" w:hAnsi="Arial" w:cs="Arial"/>
          <w:sz w:val="24"/>
          <w:szCs w:val="24"/>
          <w:lang w:val="en-US"/>
        </w:rPr>
        <w:t xml:space="preserve">either </w:t>
      </w:r>
      <w:r>
        <w:rPr>
          <w:rFonts w:ascii="Arial" w:hAnsi="Arial" w:cs="Arial"/>
          <w:sz w:val="24"/>
          <w:szCs w:val="24"/>
          <w:lang w:val="en-US"/>
        </w:rPr>
        <w:t xml:space="preserve">party from making alterations or additions or variations to the services without prior written instruction and agreement.  </w:t>
      </w:r>
    </w:p>
    <w:p w14:paraId="3E802FCB" w14:textId="53671C75" w:rsidR="00705066" w:rsidRDefault="00B71F31" w:rsidP="00B71F31">
      <w:pPr>
        <w:pStyle w:val="BowLevel1ListAlt"/>
        <w:rPr>
          <w:rFonts w:ascii="Arial" w:hAnsi="Arial" w:cs="Arial"/>
          <w:sz w:val="24"/>
          <w:szCs w:val="24"/>
          <w:lang w:val="en-US"/>
        </w:rPr>
      </w:pPr>
      <w:r>
        <w:rPr>
          <w:rFonts w:ascii="Arial" w:hAnsi="Arial" w:cs="Arial"/>
          <w:sz w:val="24"/>
          <w:szCs w:val="24"/>
          <w:lang w:val="en-US"/>
        </w:rPr>
        <w:t xml:space="preserve">The remainder of clause 3 of the contract regulated termination </w:t>
      </w:r>
      <w:r w:rsidR="00B074FC">
        <w:rPr>
          <w:rFonts w:ascii="Arial" w:hAnsi="Arial" w:cs="Arial"/>
          <w:sz w:val="24"/>
          <w:szCs w:val="24"/>
          <w:lang w:val="en-US"/>
        </w:rPr>
        <w:t>of the contract</w:t>
      </w:r>
      <w:r w:rsidR="00B91A8B">
        <w:rPr>
          <w:rFonts w:ascii="Arial" w:hAnsi="Arial" w:cs="Arial"/>
          <w:sz w:val="24"/>
          <w:szCs w:val="24"/>
          <w:lang w:val="en-US"/>
        </w:rPr>
        <w:t xml:space="preserve">.  This </w:t>
      </w:r>
      <w:r w:rsidR="00705066">
        <w:rPr>
          <w:rFonts w:ascii="Arial" w:hAnsi="Arial" w:cs="Arial"/>
          <w:sz w:val="24"/>
          <w:szCs w:val="24"/>
          <w:lang w:val="en-US"/>
        </w:rPr>
        <w:t xml:space="preserve">provided for termination of the contract </w:t>
      </w:r>
      <w:r w:rsidR="00B91A8B">
        <w:rPr>
          <w:rFonts w:ascii="Arial" w:hAnsi="Arial" w:cs="Arial"/>
          <w:sz w:val="24"/>
          <w:szCs w:val="24"/>
          <w:lang w:val="en-US"/>
        </w:rPr>
        <w:t xml:space="preserve">on </w:t>
      </w:r>
      <w:r>
        <w:rPr>
          <w:rFonts w:ascii="Arial" w:hAnsi="Arial" w:cs="Arial"/>
          <w:sz w:val="24"/>
          <w:szCs w:val="24"/>
          <w:lang w:val="en-US"/>
        </w:rPr>
        <w:t xml:space="preserve">three distinct </w:t>
      </w:r>
      <w:r w:rsidR="00B91A8B">
        <w:rPr>
          <w:rFonts w:ascii="Arial" w:hAnsi="Arial" w:cs="Arial"/>
          <w:sz w:val="24"/>
          <w:szCs w:val="24"/>
          <w:lang w:val="en-US"/>
        </w:rPr>
        <w:t>grounds</w:t>
      </w:r>
      <w:r>
        <w:rPr>
          <w:rFonts w:ascii="Arial" w:hAnsi="Arial" w:cs="Arial"/>
          <w:sz w:val="24"/>
          <w:szCs w:val="24"/>
          <w:lang w:val="en-US"/>
        </w:rPr>
        <w:t xml:space="preserve">.  The first was if the contractor </w:t>
      </w:r>
      <w:r w:rsidR="00AB55ED">
        <w:rPr>
          <w:rFonts w:ascii="Arial" w:hAnsi="Arial" w:cs="Arial"/>
          <w:sz w:val="24"/>
          <w:szCs w:val="24"/>
          <w:lang w:val="en-US"/>
        </w:rPr>
        <w:t xml:space="preserve">(the </w:t>
      </w:r>
      <w:r w:rsidR="00810BD3">
        <w:rPr>
          <w:rFonts w:ascii="Arial" w:hAnsi="Arial" w:cs="Arial"/>
          <w:sz w:val="24"/>
          <w:szCs w:val="24"/>
          <w:lang w:val="en-US"/>
        </w:rPr>
        <w:t>respondent</w:t>
      </w:r>
      <w:r w:rsidR="00AB55ED">
        <w:rPr>
          <w:rFonts w:ascii="Arial" w:hAnsi="Arial" w:cs="Arial"/>
          <w:sz w:val="24"/>
          <w:szCs w:val="24"/>
          <w:lang w:val="en-US"/>
        </w:rPr>
        <w:t xml:space="preserve">) </w:t>
      </w:r>
      <w:r>
        <w:rPr>
          <w:rFonts w:ascii="Arial" w:hAnsi="Arial" w:cs="Arial"/>
          <w:sz w:val="24"/>
          <w:szCs w:val="24"/>
          <w:lang w:val="en-US"/>
        </w:rPr>
        <w:t>failed to execute her duties,</w:t>
      </w:r>
      <w:r w:rsidR="00B074FC">
        <w:rPr>
          <w:rFonts w:ascii="Arial" w:hAnsi="Arial" w:cs="Arial"/>
          <w:sz w:val="24"/>
          <w:szCs w:val="24"/>
          <w:lang w:val="en-US"/>
        </w:rPr>
        <w:t xml:space="preserve"> in which event</w:t>
      </w:r>
      <w:r>
        <w:rPr>
          <w:rFonts w:ascii="Arial" w:hAnsi="Arial" w:cs="Arial"/>
          <w:sz w:val="24"/>
          <w:szCs w:val="24"/>
          <w:lang w:val="en-US"/>
        </w:rPr>
        <w:t xml:space="preserve"> the </w:t>
      </w:r>
      <w:r w:rsidR="00810BD3">
        <w:rPr>
          <w:rFonts w:ascii="Arial" w:hAnsi="Arial" w:cs="Arial"/>
          <w:sz w:val="24"/>
          <w:szCs w:val="24"/>
          <w:lang w:val="en-US"/>
        </w:rPr>
        <w:t>appellant</w:t>
      </w:r>
      <w:r>
        <w:rPr>
          <w:rFonts w:ascii="Arial" w:hAnsi="Arial" w:cs="Arial"/>
          <w:sz w:val="24"/>
          <w:szCs w:val="24"/>
          <w:lang w:val="en-US"/>
        </w:rPr>
        <w:t xml:space="preserve"> was entitled to terminate the contract on grounds of “non-performance” on giving one week’s written notice.  </w:t>
      </w:r>
      <w:r w:rsidR="004C43AB">
        <w:rPr>
          <w:rFonts w:ascii="Arial" w:hAnsi="Arial" w:cs="Arial"/>
          <w:sz w:val="24"/>
          <w:szCs w:val="24"/>
          <w:lang w:val="en-US"/>
        </w:rPr>
        <w:t xml:space="preserve">This ground </w:t>
      </w:r>
      <w:r w:rsidR="00F44805">
        <w:rPr>
          <w:rFonts w:ascii="Arial" w:hAnsi="Arial" w:cs="Arial"/>
          <w:sz w:val="24"/>
          <w:szCs w:val="24"/>
          <w:lang w:val="en-US"/>
        </w:rPr>
        <w:t>is</w:t>
      </w:r>
      <w:r w:rsidR="004C43AB">
        <w:rPr>
          <w:rFonts w:ascii="Arial" w:hAnsi="Arial" w:cs="Arial"/>
          <w:sz w:val="24"/>
          <w:szCs w:val="24"/>
          <w:lang w:val="en-US"/>
        </w:rPr>
        <w:t xml:space="preserve"> not relevant.</w:t>
      </w:r>
      <w:r w:rsidR="00705066">
        <w:rPr>
          <w:rFonts w:ascii="Arial" w:hAnsi="Arial" w:cs="Arial"/>
          <w:sz w:val="24"/>
          <w:szCs w:val="24"/>
          <w:lang w:val="en-US"/>
        </w:rPr>
        <w:t xml:space="preserve">  </w:t>
      </w:r>
    </w:p>
    <w:p w14:paraId="6BEA7FC1" w14:textId="5ADD521A" w:rsidR="008863D0" w:rsidRDefault="00B71F31" w:rsidP="00B71F31">
      <w:pPr>
        <w:pStyle w:val="BowLevel1ListAlt"/>
        <w:rPr>
          <w:rFonts w:ascii="Arial" w:hAnsi="Arial" w:cs="Arial"/>
          <w:sz w:val="24"/>
          <w:szCs w:val="24"/>
          <w:lang w:val="en-US"/>
        </w:rPr>
      </w:pPr>
      <w:r>
        <w:rPr>
          <w:rFonts w:ascii="Arial" w:hAnsi="Arial" w:cs="Arial"/>
          <w:sz w:val="24"/>
          <w:szCs w:val="24"/>
          <w:lang w:val="en-US"/>
        </w:rPr>
        <w:t xml:space="preserve">The second </w:t>
      </w:r>
      <w:r w:rsidR="00705066">
        <w:rPr>
          <w:rFonts w:ascii="Arial" w:hAnsi="Arial" w:cs="Arial"/>
          <w:sz w:val="24"/>
          <w:szCs w:val="24"/>
          <w:lang w:val="en-US"/>
        </w:rPr>
        <w:t xml:space="preserve">ground </w:t>
      </w:r>
      <w:r w:rsidR="00A94EEB">
        <w:rPr>
          <w:rFonts w:ascii="Arial" w:hAnsi="Arial" w:cs="Arial"/>
          <w:sz w:val="24"/>
          <w:szCs w:val="24"/>
          <w:lang w:val="en-US"/>
        </w:rPr>
        <w:t xml:space="preserve">was that </w:t>
      </w:r>
      <w:r>
        <w:rPr>
          <w:rFonts w:ascii="Arial" w:hAnsi="Arial" w:cs="Arial"/>
          <w:sz w:val="24"/>
          <w:szCs w:val="24"/>
          <w:lang w:val="en-US"/>
        </w:rPr>
        <w:t xml:space="preserve">either party </w:t>
      </w:r>
      <w:r w:rsidR="00A94EEB">
        <w:rPr>
          <w:rFonts w:ascii="Arial" w:hAnsi="Arial" w:cs="Arial"/>
          <w:sz w:val="24"/>
          <w:szCs w:val="24"/>
          <w:lang w:val="en-US"/>
        </w:rPr>
        <w:t xml:space="preserve">had </w:t>
      </w:r>
      <w:r w:rsidR="00AC312B">
        <w:rPr>
          <w:rFonts w:ascii="Arial" w:hAnsi="Arial" w:cs="Arial"/>
          <w:sz w:val="24"/>
          <w:szCs w:val="24"/>
          <w:lang w:val="en-US"/>
        </w:rPr>
        <w:t xml:space="preserve">a right </w:t>
      </w:r>
      <w:r>
        <w:rPr>
          <w:rFonts w:ascii="Arial" w:hAnsi="Arial" w:cs="Arial"/>
          <w:sz w:val="24"/>
          <w:szCs w:val="24"/>
          <w:lang w:val="en-US"/>
        </w:rPr>
        <w:t xml:space="preserve">to terminate the contract </w:t>
      </w:r>
      <w:r w:rsidR="0050340E">
        <w:rPr>
          <w:rFonts w:ascii="Arial" w:hAnsi="Arial" w:cs="Arial"/>
          <w:sz w:val="24"/>
          <w:szCs w:val="24"/>
          <w:lang w:val="en-US"/>
        </w:rPr>
        <w:t xml:space="preserve">(without being required to give any reason) </w:t>
      </w:r>
      <w:r>
        <w:rPr>
          <w:rFonts w:ascii="Arial" w:hAnsi="Arial" w:cs="Arial"/>
          <w:sz w:val="24"/>
          <w:szCs w:val="24"/>
          <w:lang w:val="en-US"/>
        </w:rPr>
        <w:t xml:space="preserve">by giving the other </w:t>
      </w:r>
      <w:r w:rsidR="00AC312B">
        <w:rPr>
          <w:rFonts w:ascii="Arial" w:hAnsi="Arial" w:cs="Arial"/>
          <w:sz w:val="24"/>
          <w:szCs w:val="24"/>
          <w:lang w:val="en-US"/>
        </w:rPr>
        <w:t xml:space="preserve">party </w:t>
      </w:r>
      <w:r>
        <w:rPr>
          <w:rFonts w:ascii="Arial" w:hAnsi="Arial" w:cs="Arial"/>
          <w:sz w:val="24"/>
          <w:szCs w:val="24"/>
          <w:lang w:val="en-US"/>
        </w:rPr>
        <w:t>one month’s written notice.</w:t>
      </w:r>
      <w:r w:rsidR="008863D0">
        <w:rPr>
          <w:rFonts w:ascii="Arial" w:hAnsi="Arial" w:cs="Arial"/>
          <w:sz w:val="24"/>
          <w:szCs w:val="24"/>
          <w:lang w:val="en-US"/>
        </w:rPr>
        <w:t xml:space="preserve">  The formulation of this ground in the contract was as follows:</w:t>
      </w:r>
    </w:p>
    <w:p w14:paraId="4A4B8C92" w14:textId="72134A5B" w:rsidR="008863D0" w:rsidRPr="009E131A" w:rsidRDefault="00576681" w:rsidP="009E131A">
      <w:pPr>
        <w:pStyle w:val="BowLevel1ListAlt"/>
        <w:numPr>
          <w:ilvl w:val="0"/>
          <w:numId w:val="0"/>
        </w:numPr>
        <w:ind w:left="567" w:firstLine="153"/>
        <w:rPr>
          <w:rFonts w:ascii="Arial" w:hAnsi="Arial" w:cs="Arial"/>
          <w:i/>
          <w:iCs/>
          <w:sz w:val="24"/>
          <w:szCs w:val="24"/>
          <w:lang w:val="en-US"/>
        </w:rPr>
      </w:pPr>
      <w:r w:rsidRPr="009E131A">
        <w:rPr>
          <w:rFonts w:ascii="Arial" w:hAnsi="Arial" w:cs="Arial"/>
          <w:i/>
          <w:iCs/>
          <w:sz w:val="24"/>
          <w:szCs w:val="24"/>
          <w:lang w:val="en-US"/>
        </w:rPr>
        <w:t>“Termination of the contract by both parties will be one month’s written notice”.</w:t>
      </w:r>
    </w:p>
    <w:p w14:paraId="0F6639E8" w14:textId="75C6C95B" w:rsidR="00C56676" w:rsidRDefault="00B71F31" w:rsidP="00B71F31">
      <w:pPr>
        <w:pStyle w:val="BowLevel1ListAlt"/>
        <w:rPr>
          <w:rFonts w:ascii="Arial" w:hAnsi="Arial" w:cs="Arial"/>
          <w:sz w:val="24"/>
          <w:szCs w:val="24"/>
          <w:lang w:val="en-US"/>
        </w:rPr>
      </w:pPr>
      <w:r>
        <w:rPr>
          <w:rFonts w:ascii="Arial" w:hAnsi="Arial" w:cs="Arial"/>
          <w:sz w:val="24"/>
          <w:szCs w:val="24"/>
          <w:lang w:val="en-US"/>
        </w:rPr>
        <w:t xml:space="preserve">The third </w:t>
      </w:r>
      <w:r w:rsidR="00E03C8B">
        <w:rPr>
          <w:rFonts w:ascii="Arial" w:hAnsi="Arial" w:cs="Arial"/>
          <w:sz w:val="24"/>
          <w:szCs w:val="24"/>
          <w:lang w:val="en-US"/>
        </w:rPr>
        <w:t xml:space="preserve">ground </w:t>
      </w:r>
      <w:r>
        <w:rPr>
          <w:rFonts w:ascii="Arial" w:hAnsi="Arial" w:cs="Arial"/>
          <w:sz w:val="24"/>
          <w:szCs w:val="24"/>
          <w:lang w:val="en-US"/>
        </w:rPr>
        <w:t xml:space="preserve">provided for </w:t>
      </w:r>
      <w:r w:rsidR="002C1E44">
        <w:rPr>
          <w:rFonts w:ascii="Arial" w:hAnsi="Arial" w:cs="Arial"/>
          <w:sz w:val="24"/>
          <w:szCs w:val="24"/>
          <w:lang w:val="en-US"/>
        </w:rPr>
        <w:t xml:space="preserve">the </w:t>
      </w:r>
      <w:r>
        <w:rPr>
          <w:rFonts w:ascii="Arial" w:hAnsi="Arial" w:cs="Arial"/>
          <w:sz w:val="24"/>
          <w:szCs w:val="24"/>
          <w:lang w:val="en-US"/>
        </w:rPr>
        <w:t xml:space="preserve">automatic termination of the contract </w:t>
      </w:r>
      <w:r w:rsidR="009E6194">
        <w:rPr>
          <w:rFonts w:ascii="Arial" w:hAnsi="Arial" w:cs="Arial"/>
          <w:sz w:val="24"/>
          <w:szCs w:val="24"/>
          <w:lang w:val="en-US"/>
        </w:rPr>
        <w:t>in the event that a s</w:t>
      </w:r>
      <w:r>
        <w:rPr>
          <w:rFonts w:ascii="Arial" w:hAnsi="Arial" w:cs="Arial"/>
          <w:sz w:val="24"/>
          <w:szCs w:val="24"/>
          <w:lang w:val="en-US"/>
        </w:rPr>
        <w:t xml:space="preserve">ervice </w:t>
      </w:r>
      <w:r w:rsidR="009E6194">
        <w:rPr>
          <w:rFonts w:ascii="Arial" w:hAnsi="Arial" w:cs="Arial"/>
          <w:sz w:val="24"/>
          <w:szCs w:val="24"/>
          <w:lang w:val="en-US"/>
        </w:rPr>
        <w:t>l</w:t>
      </w:r>
      <w:r>
        <w:rPr>
          <w:rFonts w:ascii="Arial" w:hAnsi="Arial" w:cs="Arial"/>
          <w:sz w:val="24"/>
          <w:szCs w:val="24"/>
          <w:lang w:val="en-US"/>
        </w:rPr>
        <w:t xml:space="preserve">evel </w:t>
      </w:r>
      <w:r w:rsidR="009E6194">
        <w:rPr>
          <w:rFonts w:ascii="Arial" w:hAnsi="Arial" w:cs="Arial"/>
          <w:sz w:val="24"/>
          <w:szCs w:val="24"/>
          <w:lang w:val="en-US"/>
        </w:rPr>
        <w:t>a</w:t>
      </w:r>
      <w:r>
        <w:rPr>
          <w:rFonts w:ascii="Arial" w:hAnsi="Arial" w:cs="Arial"/>
          <w:sz w:val="24"/>
          <w:szCs w:val="24"/>
          <w:lang w:val="en-US"/>
        </w:rPr>
        <w:t xml:space="preserve">greement between </w:t>
      </w:r>
      <w:r w:rsidR="009E6194">
        <w:rPr>
          <w:rFonts w:ascii="Arial" w:hAnsi="Arial" w:cs="Arial"/>
          <w:sz w:val="24"/>
          <w:szCs w:val="24"/>
          <w:lang w:val="en-US"/>
        </w:rPr>
        <w:t xml:space="preserve">the </w:t>
      </w:r>
      <w:r w:rsidR="00810BD3">
        <w:rPr>
          <w:rFonts w:ascii="Arial" w:hAnsi="Arial" w:cs="Arial"/>
          <w:sz w:val="24"/>
          <w:szCs w:val="24"/>
          <w:lang w:val="en-US"/>
        </w:rPr>
        <w:t>appellant</w:t>
      </w:r>
      <w:r w:rsidR="009E6194">
        <w:rPr>
          <w:rFonts w:ascii="Arial" w:hAnsi="Arial" w:cs="Arial"/>
          <w:sz w:val="24"/>
          <w:szCs w:val="24"/>
          <w:lang w:val="en-US"/>
        </w:rPr>
        <w:t xml:space="preserve"> and </w:t>
      </w:r>
      <w:r w:rsidR="00063199">
        <w:rPr>
          <w:rFonts w:ascii="Arial" w:hAnsi="Arial" w:cs="Arial"/>
          <w:sz w:val="24"/>
          <w:szCs w:val="24"/>
          <w:lang w:val="en-US"/>
        </w:rPr>
        <w:t xml:space="preserve">MTN </w:t>
      </w:r>
      <w:r>
        <w:rPr>
          <w:rFonts w:ascii="Arial" w:hAnsi="Arial" w:cs="Arial"/>
          <w:sz w:val="24"/>
          <w:szCs w:val="24"/>
          <w:lang w:val="en-US"/>
        </w:rPr>
        <w:t>terminate</w:t>
      </w:r>
      <w:r w:rsidR="00714FC3">
        <w:rPr>
          <w:rFonts w:ascii="Arial" w:hAnsi="Arial" w:cs="Arial"/>
          <w:sz w:val="24"/>
          <w:szCs w:val="24"/>
          <w:lang w:val="en-US"/>
        </w:rPr>
        <w:t>d.  This ground was formulated in the contract as follows:</w:t>
      </w:r>
      <w:r>
        <w:rPr>
          <w:rFonts w:ascii="Arial" w:hAnsi="Arial" w:cs="Arial"/>
          <w:sz w:val="24"/>
          <w:szCs w:val="24"/>
          <w:lang w:val="en-US"/>
        </w:rPr>
        <w:t xml:space="preserve"> </w:t>
      </w:r>
    </w:p>
    <w:p w14:paraId="0FC55A2B" w14:textId="063BDDC0" w:rsidR="004C7A69" w:rsidRDefault="00C56676" w:rsidP="009E131A">
      <w:pPr>
        <w:pStyle w:val="BowLevel1ListAlt"/>
        <w:numPr>
          <w:ilvl w:val="0"/>
          <w:numId w:val="0"/>
        </w:numPr>
        <w:ind w:left="720"/>
        <w:rPr>
          <w:rFonts w:ascii="Arial" w:hAnsi="Arial" w:cs="Arial"/>
          <w:sz w:val="24"/>
          <w:szCs w:val="24"/>
          <w:lang w:val="en-US"/>
        </w:rPr>
      </w:pPr>
      <w:r>
        <w:rPr>
          <w:rFonts w:ascii="Arial" w:hAnsi="Arial" w:cs="Arial"/>
          <w:sz w:val="24"/>
          <w:szCs w:val="24"/>
          <w:lang w:val="en-US"/>
        </w:rPr>
        <w:lastRenderedPageBreak/>
        <w:t>“</w:t>
      </w:r>
      <w:r w:rsidRPr="009E131A">
        <w:rPr>
          <w:rFonts w:ascii="Arial" w:hAnsi="Arial" w:cs="Arial"/>
          <w:i/>
          <w:iCs/>
          <w:sz w:val="24"/>
          <w:szCs w:val="24"/>
          <w:lang w:val="en-US"/>
        </w:rPr>
        <w:t xml:space="preserve">The </w:t>
      </w:r>
      <w:r w:rsidR="00A87CDC">
        <w:rPr>
          <w:rFonts w:ascii="Arial" w:hAnsi="Arial" w:cs="Arial"/>
          <w:i/>
          <w:iCs/>
          <w:sz w:val="24"/>
          <w:szCs w:val="24"/>
          <w:lang w:val="en-US"/>
        </w:rPr>
        <w:t>C</w:t>
      </w:r>
      <w:r w:rsidRPr="009E131A">
        <w:rPr>
          <w:rFonts w:ascii="Arial" w:hAnsi="Arial" w:cs="Arial"/>
          <w:i/>
          <w:iCs/>
          <w:sz w:val="24"/>
          <w:szCs w:val="24"/>
          <w:lang w:val="en-US"/>
        </w:rPr>
        <w:t xml:space="preserve">ontract will also effectively terminate </w:t>
      </w:r>
      <w:r w:rsidR="00D50D16" w:rsidRPr="009E131A">
        <w:rPr>
          <w:rFonts w:ascii="Arial" w:hAnsi="Arial" w:cs="Arial"/>
          <w:i/>
          <w:iCs/>
          <w:sz w:val="24"/>
          <w:szCs w:val="24"/>
          <w:lang w:val="en-US"/>
        </w:rPr>
        <w:t>when the service level agreement between Hosi Technologies (Pty) Ltd terminates</w:t>
      </w:r>
      <w:r w:rsidR="009F4CF7" w:rsidRPr="009E131A">
        <w:rPr>
          <w:rFonts w:ascii="Arial" w:hAnsi="Arial" w:cs="Arial"/>
          <w:i/>
          <w:iCs/>
          <w:sz w:val="24"/>
          <w:szCs w:val="24"/>
          <w:lang w:val="en-US"/>
        </w:rPr>
        <w:t>, you shall be informed in writing of this termination.</w:t>
      </w:r>
      <w:r w:rsidR="009F4CF7">
        <w:rPr>
          <w:rFonts w:ascii="Arial" w:hAnsi="Arial" w:cs="Arial"/>
          <w:sz w:val="24"/>
          <w:szCs w:val="24"/>
          <w:lang w:val="en-US"/>
        </w:rPr>
        <w:t>”</w:t>
      </w:r>
      <w:r w:rsidR="00B71F31">
        <w:rPr>
          <w:rFonts w:ascii="Arial" w:hAnsi="Arial" w:cs="Arial"/>
          <w:sz w:val="24"/>
          <w:szCs w:val="24"/>
          <w:lang w:val="en-US"/>
        </w:rPr>
        <w:t xml:space="preserve"> </w:t>
      </w:r>
    </w:p>
    <w:p w14:paraId="31BEDF34" w14:textId="4CDEA99A" w:rsidR="00063199" w:rsidRDefault="00904137" w:rsidP="00B71F31">
      <w:pPr>
        <w:pStyle w:val="BowLevel1ListAlt"/>
        <w:rPr>
          <w:rFonts w:ascii="Arial" w:hAnsi="Arial" w:cs="Arial"/>
          <w:sz w:val="24"/>
          <w:szCs w:val="24"/>
          <w:lang w:val="en-US"/>
        </w:rPr>
      </w:pPr>
      <w:r>
        <w:rPr>
          <w:rFonts w:ascii="Arial" w:hAnsi="Arial" w:cs="Arial"/>
          <w:sz w:val="24"/>
          <w:szCs w:val="24"/>
          <w:lang w:val="en-US"/>
        </w:rPr>
        <w:t>The</w:t>
      </w:r>
      <w:r w:rsidR="00D352A4">
        <w:rPr>
          <w:rFonts w:ascii="Arial" w:hAnsi="Arial" w:cs="Arial"/>
          <w:sz w:val="24"/>
          <w:szCs w:val="24"/>
          <w:lang w:val="en-US"/>
        </w:rPr>
        <w:t xml:space="preserve"> </w:t>
      </w:r>
      <w:r>
        <w:rPr>
          <w:rFonts w:ascii="Arial" w:hAnsi="Arial" w:cs="Arial"/>
          <w:sz w:val="24"/>
          <w:szCs w:val="24"/>
          <w:lang w:val="en-US"/>
        </w:rPr>
        <w:t xml:space="preserve">background to the third </w:t>
      </w:r>
      <w:r w:rsidR="00A94EEB">
        <w:rPr>
          <w:rFonts w:ascii="Arial" w:hAnsi="Arial" w:cs="Arial"/>
          <w:sz w:val="24"/>
          <w:szCs w:val="24"/>
          <w:lang w:val="en-US"/>
        </w:rPr>
        <w:t xml:space="preserve">ground of termination of the contract was that </w:t>
      </w:r>
      <w:r w:rsidR="00AB55ED">
        <w:rPr>
          <w:rFonts w:ascii="Arial" w:hAnsi="Arial" w:cs="Arial"/>
          <w:sz w:val="24"/>
          <w:szCs w:val="24"/>
          <w:lang w:val="en-US"/>
        </w:rPr>
        <w:t xml:space="preserve">the </w:t>
      </w:r>
      <w:r w:rsidR="00810BD3">
        <w:rPr>
          <w:rFonts w:ascii="Arial" w:hAnsi="Arial" w:cs="Arial"/>
          <w:sz w:val="24"/>
          <w:szCs w:val="24"/>
          <w:lang w:val="en-US"/>
        </w:rPr>
        <w:t>respondent</w:t>
      </w:r>
      <w:r w:rsidR="00A94EEB">
        <w:rPr>
          <w:rFonts w:ascii="Arial" w:hAnsi="Arial" w:cs="Arial"/>
          <w:sz w:val="24"/>
          <w:szCs w:val="24"/>
          <w:lang w:val="en-US"/>
        </w:rPr>
        <w:t xml:space="preserve">, in common </w:t>
      </w:r>
      <w:r w:rsidR="00063199">
        <w:rPr>
          <w:rFonts w:ascii="Arial" w:hAnsi="Arial" w:cs="Arial"/>
          <w:sz w:val="24"/>
          <w:szCs w:val="24"/>
          <w:lang w:val="en-US"/>
        </w:rPr>
        <w:t xml:space="preserve">with other </w:t>
      </w:r>
      <w:r w:rsidR="0091259A">
        <w:rPr>
          <w:rFonts w:ascii="Arial" w:hAnsi="Arial" w:cs="Arial"/>
          <w:sz w:val="24"/>
          <w:szCs w:val="24"/>
          <w:lang w:val="en-US"/>
        </w:rPr>
        <w:t xml:space="preserve">similarly situated independent </w:t>
      </w:r>
      <w:r w:rsidR="00063199">
        <w:rPr>
          <w:rFonts w:ascii="Arial" w:hAnsi="Arial" w:cs="Arial"/>
          <w:sz w:val="24"/>
          <w:szCs w:val="24"/>
          <w:lang w:val="en-US"/>
        </w:rPr>
        <w:t>contractors</w:t>
      </w:r>
      <w:r w:rsidR="00A94EEB">
        <w:rPr>
          <w:rFonts w:ascii="Arial" w:hAnsi="Arial" w:cs="Arial"/>
          <w:sz w:val="24"/>
          <w:szCs w:val="24"/>
          <w:lang w:val="en-US"/>
        </w:rPr>
        <w:t>,</w:t>
      </w:r>
      <w:r w:rsidR="00063199">
        <w:rPr>
          <w:rFonts w:ascii="Arial" w:hAnsi="Arial" w:cs="Arial"/>
          <w:sz w:val="24"/>
          <w:szCs w:val="24"/>
          <w:lang w:val="en-US"/>
        </w:rPr>
        <w:t xml:space="preserve"> had been engaged by </w:t>
      </w:r>
      <w:r w:rsidR="00AB55ED">
        <w:rPr>
          <w:rFonts w:ascii="Arial" w:hAnsi="Arial" w:cs="Arial"/>
          <w:sz w:val="24"/>
          <w:szCs w:val="24"/>
          <w:lang w:val="en-US"/>
        </w:rPr>
        <w:t xml:space="preserve">the </w:t>
      </w:r>
      <w:r w:rsidR="00810BD3">
        <w:rPr>
          <w:rFonts w:ascii="Arial" w:hAnsi="Arial" w:cs="Arial"/>
          <w:sz w:val="24"/>
          <w:szCs w:val="24"/>
          <w:lang w:val="en-US"/>
        </w:rPr>
        <w:t>appellant</w:t>
      </w:r>
      <w:r w:rsidR="00AB55ED">
        <w:rPr>
          <w:rFonts w:ascii="Arial" w:hAnsi="Arial" w:cs="Arial"/>
          <w:sz w:val="24"/>
          <w:szCs w:val="24"/>
          <w:lang w:val="en-US"/>
        </w:rPr>
        <w:t xml:space="preserve"> </w:t>
      </w:r>
      <w:r w:rsidR="00063199">
        <w:rPr>
          <w:rFonts w:ascii="Arial" w:hAnsi="Arial" w:cs="Arial"/>
          <w:sz w:val="24"/>
          <w:szCs w:val="24"/>
          <w:lang w:val="en-US"/>
        </w:rPr>
        <w:t xml:space="preserve">to </w:t>
      </w:r>
      <w:r w:rsidR="00F26E6A">
        <w:rPr>
          <w:rFonts w:ascii="Arial" w:hAnsi="Arial" w:cs="Arial"/>
          <w:sz w:val="24"/>
          <w:szCs w:val="24"/>
          <w:lang w:val="en-US"/>
        </w:rPr>
        <w:t xml:space="preserve">assist in carrying out </w:t>
      </w:r>
      <w:r w:rsidR="00AB55ED">
        <w:rPr>
          <w:rFonts w:ascii="Arial" w:hAnsi="Arial" w:cs="Arial"/>
          <w:sz w:val="24"/>
          <w:szCs w:val="24"/>
          <w:lang w:val="en-US"/>
        </w:rPr>
        <w:t xml:space="preserve">the </w:t>
      </w:r>
      <w:r w:rsidR="00810BD3">
        <w:rPr>
          <w:rFonts w:ascii="Arial" w:hAnsi="Arial" w:cs="Arial"/>
          <w:sz w:val="24"/>
          <w:szCs w:val="24"/>
          <w:lang w:val="en-US"/>
        </w:rPr>
        <w:t>appellant</w:t>
      </w:r>
      <w:r w:rsidR="00E03C8B">
        <w:rPr>
          <w:rFonts w:ascii="Arial" w:hAnsi="Arial" w:cs="Arial"/>
          <w:sz w:val="24"/>
          <w:szCs w:val="24"/>
          <w:lang w:val="en-US"/>
        </w:rPr>
        <w:t>’</w:t>
      </w:r>
      <w:r w:rsidR="00AB55ED">
        <w:rPr>
          <w:rFonts w:ascii="Arial" w:hAnsi="Arial" w:cs="Arial"/>
          <w:sz w:val="24"/>
          <w:szCs w:val="24"/>
          <w:lang w:val="en-US"/>
        </w:rPr>
        <w:t xml:space="preserve">s </w:t>
      </w:r>
      <w:r w:rsidR="00063199">
        <w:rPr>
          <w:rFonts w:ascii="Arial" w:hAnsi="Arial" w:cs="Arial"/>
          <w:sz w:val="24"/>
          <w:szCs w:val="24"/>
          <w:lang w:val="en-US"/>
        </w:rPr>
        <w:t xml:space="preserve">obligations to MTN under </w:t>
      </w:r>
      <w:r w:rsidR="00F26E6A">
        <w:rPr>
          <w:rFonts w:ascii="Arial" w:hAnsi="Arial" w:cs="Arial"/>
          <w:sz w:val="24"/>
          <w:szCs w:val="24"/>
          <w:lang w:val="en-US"/>
        </w:rPr>
        <w:t xml:space="preserve">a </w:t>
      </w:r>
      <w:r w:rsidR="00F44805">
        <w:rPr>
          <w:rFonts w:ascii="Arial" w:hAnsi="Arial" w:cs="Arial"/>
          <w:sz w:val="24"/>
          <w:szCs w:val="24"/>
          <w:lang w:val="en-US"/>
        </w:rPr>
        <w:t>s</w:t>
      </w:r>
      <w:r w:rsidR="00063199">
        <w:rPr>
          <w:rFonts w:ascii="Arial" w:hAnsi="Arial" w:cs="Arial"/>
          <w:sz w:val="24"/>
          <w:szCs w:val="24"/>
          <w:lang w:val="en-US"/>
        </w:rPr>
        <w:t xml:space="preserve">ervice </w:t>
      </w:r>
      <w:r w:rsidR="00F44805">
        <w:rPr>
          <w:rFonts w:ascii="Arial" w:hAnsi="Arial" w:cs="Arial"/>
          <w:sz w:val="24"/>
          <w:szCs w:val="24"/>
          <w:lang w:val="en-US"/>
        </w:rPr>
        <w:t>l</w:t>
      </w:r>
      <w:r w:rsidR="00063199">
        <w:rPr>
          <w:rFonts w:ascii="Arial" w:hAnsi="Arial" w:cs="Arial"/>
          <w:sz w:val="24"/>
          <w:szCs w:val="24"/>
          <w:lang w:val="en-US"/>
        </w:rPr>
        <w:t xml:space="preserve">evel </w:t>
      </w:r>
      <w:r w:rsidR="00F44805">
        <w:rPr>
          <w:rFonts w:ascii="Arial" w:hAnsi="Arial" w:cs="Arial"/>
          <w:sz w:val="24"/>
          <w:szCs w:val="24"/>
          <w:lang w:val="en-US"/>
        </w:rPr>
        <w:t>a</w:t>
      </w:r>
      <w:r w:rsidR="00063199">
        <w:rPr>
          <w:rFonts w:ascii="Arial" w:hAnsi="Arial" w:cs="Arial"/>
          <w:sz w:val="24"/>
          <w:szCs w:val="24"/>
          <w:lang w:val="en-US"/>
        </w:rPr>
        <w:t>greement</w:t>
      </w:r>
      <w:r w:rsidR="000C6DC0">
        <w:rPr>
          <w:rFonts w:ascii="Arial" w:hAnsi="Arial" w:cs="Arial"/>
          <w:sz w:val="24"/>
          <w:szCs w:val="24"/>
          <w:lang w:val="en-US"/>
        </w:rPr>
        <w:t xml:space="preserve"> that had been concluded between </w:t>
      </w:r>
      <w:r w:rsidR="00427FD4">
        <w:rPr>
          <w:rFonts w:ascii="Arial" w:hAnsi="Arial" w:cs="Arial"/>
          <w:sz w:val="24"/>
          <w:szCs w:val="24"/>
          <w:lang w:val="en-US"/>
        </w:rPr>
        <w:t xml:space="preserve">the </w:t>
      </w:r>
      <w:r w:rsidR="00810BD3">
        <w:rPr>
          <w:rFonts w:ascii="Arial" w:hAnsi="Arial" w:cs="Arial"/>
          <w:sz w:val="24"/>
          <w:szCs w:val="24"/>
          <w:lang w:val="en-US"/>
        </w:rPr>
        <w:t>appellant</w:t>
      </w:r>
      <w:r w:rsidR="000C6DC0">
        <w:rPr>
          <w:rFonts w:ascii="Arial" w:hAnsi="Arial" w:cs="Arial"/>
          <w:sz w:val="24"/>
          <w:szCs w:val="24"/>
          <w:lang w:val="en-US"/>
        </w:rPr>
        <w:t xml:space="preserve"> and MTN</w:t>
      </w:r>
      <w:r w:rsidR="00063199">
        <w:rPr>
          <w:rFonts w:ascii="Arial" w:hAnsi="Arial" w:cs="Arial"/>
          <w:sz w:val="24"/>
          <w:szCs w:val="24"/>
          <w:lang w:val="en-US"/>
        </w:rPr>
        <w:t>.</w:t>
      </w:r>
      <w:r w:rsidR="00B71F31">
        <w:rPr>
          <w:rFonts w:ascii="Arial" w:hAnsi="Arial" w:cs="Arial"/>
          <w:sz w:val="24"/>
          <w:szCs w:val="24"/>
          <w:lang w:val="en-US"/>
        </w:rPr>
        <w:t xml:space="preserve"> </w:t>
      </w:r>
      <w:r w:rsidR="00063199">
        <w:rPr>
          <w:rFonts w:ascii="Arial" w:hAnsi="Arial" w:cs="Arial"/>
          <w:sz w:val="24"/>
          <w:szCs w:val="24"/>
          <w:lang w:val="en-US"/>
        </w:rPr>
        <w:t xml:space="preserve"> </w:t>
      </w:r>
      <w:r w:rsidR="00A87CDC">
        <w:rPr>
          <w:rFonts w:ascii="Arial" w:hAnsi="Arial" w:cs="Arial"/>
          <w:sz w:val="24"/>
          <w:szCs w:val="24"/>
          <w:lang w:val="en-US"/>
        </w:rPr>
        <w:t xml:space="preserve">It </w:t>
      </w:r>
      <w:r w:rsidR="00F44805">
        <w:rPr>
          <w:rFonts w:ascii="Arial" w:hAnsi="Arial" w:cs="Arial"/>
          <w:sz w:val="24"/>
          <w:szCs w:val="24"/>
          <w:lang w:val="en-US"/>
        </w:rPr>
        <w:t>was</w:t>
      </w:r>
      <w:r w:rsidR="00A87CDC">
        <w:rPr>
          <w:rFonts w:ascii="Arial" w:hAnsi="Arial" w:cs="Arial"/>
          <w:sz w:val="24"/>
          <w:szCs w:val="24"/>
          <w:lang w:val="en-US"/>
        </w:rPr>
        <w:t xml:space="preserve"> common cause between the parties that although MTN was not expressly referred to in the third ground of termination, </w:t>
      </w:r>
      <w:r w:rsidR="00740642">
        <w:rPr>
          <w:rFonts w:ascii="Arial" w:hAnsi="Arial" w:cs="Arial"/>
          <w:sz w:val="24"/>
          <w:szCs w:val="24"/>
          <w:lang w:val="en-US"/>
        </w:rPr>
        <w:t xml:space="preserve">the service level agreement </w:t>
      </w:r>
      <w:r w:rsidR="00CF0390">
        <w:rPr>
          <w:rFonts w:ascii="Arial" w:hAnsi="Arial" w:cs="Arial"/>
          <w:sz w:val="24"/>
          <w:szCs w:val="24"/>
          <w:lang w:val="en-US"/>
        </w:rPr>
        <w:t xml:space="preserve">being </w:t>
      </w:r>
      <w:r w:rsidR="00740642">
        <w:rPr>
          <w:rFonts w:ascii="Arial" w:hAnsi="Arial" w:cs="Arial"/>
          <w:sz w:val="24"/>
          <w:szCs w:val="24"/>
          <w:lang w:val="en-US"/>
        </w:rPr>
        <w:t xml:space="preserve">referred to </w:t>
      </w:r>
      <w:r w:rsidR="00CF0390">
        <w:rPr>
          <w:rFonts w:ascii="Arial" w:hAnsi="Arial" w:cs="Arial"/>
          <w:sz w:val="24"/>
          <w:szCs w:val="24"/>
          <w:lang w:val="en-US"/>
        </w:rPr>
        <w:t xml:space="preserve">there </w:t>
      </w:r>
      <w:r w:rsidR="00740642">
        <w:rPr>
          <w:rFonts w:ascii="Arial" w:hAnsi="Arial" w:cs="Arial"/>
          <w:sz w:val="24"/>
          <w:szCs w:val="24"/>
          <w:lang w:val="en-US"/>
        </w:rPr>
        <w:t>was the service level agreement</w:t>
      </w:r>
      <w:r w:rsidR="00063199">
        <w:rPr>
          <w:rFonts w:ascii="Arial" w:hAnsi="Arial" w:cs="Arial"/>
          <w:sz w:val="24"/>
          <w:szCs w:val="24"/>
          <w:lang w:val="en-US"/>
        </w:rPr>
        <w:t xml:space="preserve"> between MTN and </w:t>
      </w:r>
      <w:r w:rsidR="00427FD4">
        <w:rPr>
          <w:rFonts w:ascii="Arial" w:hAnsi="Arial" w:cs="Arial"/>
          <w:sz w:val="24"/>
          <w:szCs w:val="24"/>
          <w:lang w:val="en-US"/>
        </w:rPr>
        <w:t xml:space="preserve">the </w:t>
      </w:r>
      <w:r w:rsidR="00810BD3">
        <w:rPr>
          <w:rFonts w:ascii="Arial" w:hAnsi="Arial" w:cs="Arial"/>
          <w:sz w:val="24"/>
          <w:szCs w:val="24"/>
          <w:lang w:val="en-US"/>
        </w:rPr>
        <w:t>appellant</w:t>
      </w:r>
      <w:r w:rsidR="00740642">
        <w:rPr>
          <w:rFonts w:ascii="Arial" w:hAnsi="Arial" w:cs="Arial"/>
          <w:sz w:val="24"/>
          <w:szCs w:val="24"/>
          <w:lang w:val="en-US"/>
        </w:rPr>
        <w:t>.  The effect of this</w:t>
      </w:r>
      <w:r w:rsidR="00B34EA4">
        <w:rPr>
          <w:rFonts w:ascii="Arial" w:hAnsi="Arial" w:cs="Arial"/>
          <w:sz w:val="24"/>
          <w:szCs w:val="24"/>
          <w:lang w:val="en-US"/>
        </w:rPr>
        <w:t xml:space="preserve"> was that if that service level agreement</w:t>
      </w:r>
      <w:r w:rsidR="000C6DC0">
        <w:rPr>
          <w:rFonts w:ascii="Arial" w:hAnsi="Arial" w:cs="Arial"/>
          <w:sz w:val="24"/>
          <w:szCs w:val="24"/>
          <w:lang w:val="en-US"/>
        </w:rPr>
        <w:t xml:space="preserve"> </w:t>
      </w:r>
      <w:r w:rsidR="00063199">
        <w:rPr>
          <w:rFonts w:ascii="Arial" w:hAnsi="Arial" w:cs="Arial"/>
          <w:sz w:val="24"/>
          <w:szCs w:val="24"/>
          <w:lang w:val="en-US"/>
        </w:rPr>
        <w:t>came to an end</w:t>
      </w:r>
      <w:r w:rsidR="00B34EA4">
        <w:rPr>
          <w:rFonts w:ascii="Arial" w:hAnsi="Arial" w:cs="Arial"/>
          <w:sz w:val="24"/>
          <w:szCs w:val="24"/>
          <w:lang w:val="en-US"/>
        </w:rPr>
        <w:t>,</w:t>
      </w:r>
      <w:r w:rsidR="00063199">
        <w:rPr>
          <w:rFonts w:ascii="Arial" w:hAnsi="Arial" w:cs="Arial"/>
          <w:sz w:val="24"/>
          <w:szCs w:val="24"/>
          <w:lang w:val="en-US"/>
        </w:rPr>
        <w:t xml:space="preserve"> </w:t>
      </w:r>
      <w:r w:rsidR="00427FD4">
        <w:rPr>
          <w:rFonts w:ascii="Arial" w:hAnsi="Arial" w:cs="Arial"/>
          <w:sz w:val="24"/>
          <w:szCs w:val="24"/>
          <w:lang w:val="en-US"/>
        </w:rPr>
        <w:t xml:space="preserve">the </w:t>
      </w:r>
      <w:r w:rsidR="00810BD3">
        <w:rPr>
          <w:rFonts w:ascii="Arial" w:hAnsi="Arial" w:cs="Arial"/>
          <w:sz w:val="24"/>
          <w:szCs w:val="24"/>
          <w:lang w:val="en-US"/>
        </w:rPr>
        <w:t>respondent</w:t>
      </w:r>
      <w:r w:rsidR="00427FD4">
        <w:rPr>
          <w:rFonts w:ascii="Arial" w:hAnsi="Arial" w:cs="Arial"/>
          <w:sz w:val="24"/>
          <w:szCs w:val="24"/>
          <w:lang w:val="en-US"/>
        </w:rPr>
        <w:t>’s</w:t>
      </w:r>
      <w:r w:rsidR="00063199">
        <w:rPr>
          <w:rFonts w:ascii="Arial" w:hAnsi="Arial" w:cs="Arial"/>
          <w:sz w:val="24"/>
          <w:szCs w:val="24"/>
          <w:lang w:val="en-US"/>
        </w:rPr>
        <w:t xml:space="preserve"> contract</w:t>
      </w:r>
      <w:r w:rsidR="000C6DC0">
        <w:rPr>
          <w:rFonts w:ascii="Arial" w:hAnsi="Arial" w:cs="Arial"/>
          <w:sz w:val="24"/>
          <w:szCs w:val="24"/>
          <w:lang w:val="en-US"/>
        </w:rPr>
        <w:t xml:space="preserve"> with </w:t>
      </w:r>
      <w:r w:rsidR="00427FD4">
        <w:rPr>
          <w:rFonts w:ascii="Arial" w:hAnsi="Arial" w:cs="Arial"/>
          <w:sz w:val="24"/>
          <w:szCs w:val="24"/>
          <w:lang w:val="en-US"/>
        </w:rPr>
        <w:t xml:space="preserve">the </w:t>
      </w:r>
      <w:r w:rsidR="00810BD3">
        <w:rPr>
          <w:rFonts w:ascii="Arial" w:hAnsi="Arial" w:cs="Arial"/>
          <w:sz w:val="24"/>
          <w:szCs w:val="24"/>
          <w:lang w:val="en-US"/>
        </w:rPr>
        <w:t>appellant</w:t>
      </w:r>
      <w:r w:rsidR="00B34EA4">
        <w:rPr>
          <w:rFonts w:ascii="Arial" w:hAnsi="Arial" w:cs="Arial"/>
          <w:sz w:val="24"/>
          <w:szCs w:val="24"/>
          <w:lang w:val="en-US"/>
        </w:rPr>
        <w:t xml:space="preserve"> would terminate at the same time</w:t>
      </w:r>
      <w:r w:rsidR="00063199">
        <w:rPr>
          <w:rFonts w:ascii="Arial" w:hAnsi="Arial" w:cs="Arial"/>
          <w:sz w:val="24"/>
          <w:szCs w:val="24"/>
          <w:lang w:val="en-US"/>
        </w:rPr>
        <w:t>.</w:t>
      </w:r>
    </w:p>
    <w:p w14:paraId="269642A2" w14:textId="1FBB4FF7" w:rsidR="00B71F31" w:rsidRDefault="00063199" w:rsidP="00B71F31">
      <w:pPr>
        <w:pStyle w:val="BowLevel1ListAlt"/>
        <w:rPr>
          <w:rFonts w:ascii="Arial" w:hAnsi="Arial" w:cs="Arial"/>
          <w:sz w:val="24"/>
          <w:szCs w:val="24"/>
          <w:lang w:val="en-US"/>
        </w:rPr>
      </w:pPr>
      <w:r>
        <w:rPr>
          <w:rFonts w:ascii="Arial" w:hAnsi="Arial" w:cs="Arial"/>
          <w:sz w:val="24"/>
          <w:szCs w:val="24"/>
          <w:lang w:val="en-US"/>
        </w:rPr>
        <w:t xml:space="preserve">The </w:t>
      </w:r>
      <w:r w:rsidR="00810BD3">
        <w:rPr>
          <w:rFonts w:ascii="Arial" w:hAnsi="Arial" w:cs="Arial"/>
          <w:sz w:val="24"/>
          <w:szCs w:val="24"/>
          <w:lang w:val="en-US"/>
        </w:rPr>
        <w:t>respondent</w:t>
      </w:r>
      <w:r>
        <w:rPr>
          <w:rFonts w:ascii="Arial" w:hAnsi="Arial" w:cs="Arial"/>
          <w:sz w:val="24"/>
          <w:szCs w:val="24"/>
          <w:lang w:val="en-US"/>
        </w:rPr>
        <w:t xml:space="preserve"> was entitled to be paid “according to the number of hours worked in a day” at an agreed hourly rate.  She was required to render a monthly invoice against which she would be paid by no later than the 30</w:t>
      </w:r>
      <w:r w:rsidRPr="00063199">
        <w:rPr>
          <w:rFonts w:ascii="Arial" w:hAnsi="Arial" w:cs="Arial"/>
          <w:sz w:val="24"/>
          <w:szCs w:val="24"/>
          <w:vertAlign w:val="superscript"/>
          <w:lang w:val="en-US"/>
        </w:rPr>
        <w:t>th</w:t>
      </w:r>
      <w:r>
        <w:rPr>
          <w:rFonts w:ascii="Arial" w:hAnsi="Arial" w:cs="Arial"/>
          <w:sz w:val="24"/>
          <w:szCs w:val="24"/>
          <w:lang w:val="en-US"/>
        </w:rPr>
        <w:t xml:space="preserve"> of each month.  </w:t>
      </w:r>
    </w:p>
    <w:p w14:paraId="4E6D33B3" w14:textId="24143721" w:rsidR="00063199" w:rsidRDefault="00063199" w:rsidP="00B71F31">
      <w:pPr>
        <w:pStyle w:val="BowLevel1ListAlt"/>
        <w:rPr>
          <w:rFonts w:ascii="Arial" w:hAnsi="Arial" w:cs="Arial"/>
          <w:sz w:val="24"/>
          <w:szCs w:val="24"/>
          <w:lang w:val="en-US"/>
        </w:rPr>
      </w:pPr>
      <w:r>
        <w:rPr>
          <w:rFonts w:ascii="Arial" w:hAnsi="Arial" w:cs="Arial"/>
          <w:sz w:val="24"/>
          <w:szCs w:val="24"/>
          <w:lang w:val="en-US"/>
        </w:rPr>
        <w:t xml:space="preserve">The </w:t>
      </w:r>
      <w:r w:rsidR="0014349F">
        <w:rPr>
          <w:rFonts w:ascii="Arial" w:hAnsi="Arial" w:cs="Arial"/>
          <w:sz w:val="24"/>
          <w:szCs w:val="24"/>
          <w:lang w:val="en-US"/>
        </w:rPr>
        <w:t>source</w:t>
      </w:r>
      <w:r>
        <w:rPr>
          <w:rFonts w:ascii="Arial" w:hAnsi="Arial" w:cs="Arial"/>
          <w:sz w:val="24"/>
          <w:szCs w:val="24"/>
          <w:lang w:val="en-US"/>
        </w:rPr>
        <w:t xml:space="preserve"> of the dispute </w:t>
      </w:r>
      <w:r w:rsidR="0014349F">
        <w:rPr>
          <w:rFonts w:ascii="Arial" w:hAnsi="Arial" w:cs="Arial"/>
          <w:sz w:val="24"/>
          <w:szCs w:val="24"/>
          <w:lang w:val="en-US"/>
        </w:rPr>
        <w:t xml:space="preserve">that subsequently arose </w:t>
      </w:r>
      <w:r>
        <w:rPr>
          <w:rFonts w:ascii="Arial" w:hAnsi="Arial" w:cs="Arial"/>
          <w:sz w:val="24"/>
          <w:szCs w:val="24"/>
          <w:lang w:val="en-US"/>
        </w:rPr>
        <w:t xml:space="preserve">was a communication to the </w:t>
      </w:r>
      <w:r w:rsidR="00810BD3">
        <w:rPr>
          <w:rFonts w:ascii="Arial" w:hAnsi="Arial" w:cs="Arial"/>
          <w:sz w:val="24"/>
          <w:szCs w:val="24"/>
          <w:lang w:val="en-US"/>
        </w:rPr>
        <w:t>appellant</w:t>
      </w:r>
      <w:r>
        <w:rPr>
          <w:rFonts w:ascii="Arial" w:hAnsi="Arial" w:cs="Arial"/>
          <w:sz w:val="24"/>
          <w:szCs w:val="24"/>
          <w:lang w:val="en-US"/>
        </w:rPr>
        <w:t xml:space="preserve"> by MTN sent by email dated 30 April 2020.  The email read</w:t>
      </w:r>
      <w:r w:rsidR="00427FD4">
        <w:rPr>
          <w:rFonts w:ascii="Arial" w:hAnsi="Arial" w:cs="Arial"/>
          <w:sz w:val="24"/>
          <w:szCs w:val="24"/>
          <w:lang w:val="en-US"/>
        </w:rPr>
        <w:t>s</w:t>
      </w:r>
      <w:r>
        <w:rPr>
          <w:rFonts w:ascii="Arial" w:hAnsi="Arial" w:cs="Arial"/>
          <w:sz w:val="24"/>
          <w:szCs w:val="24"/>
          <w:lang w:val="en-US"/>
        </w:rPr>
        <w:t xml:space="preserve"> as follows:</w:t>
      </w:r>
    </w:p>
    <w:p w14:paraId="25068207" w14:textId="20F7F35D" w:rsidR="00063199" w:rsidRDefault="00063199" w:rsidP="00063199">
      <w:pPr>
        <w:pStyle w:val="BowLevel1ListAlt"/>
        <w:numPr>
          <w:ilvl w:val="0"/>
          <w:numId w:val="0"/>
        </w:numPr>
        <w:ind w:left="1440"/>
        <w:rPr>
          <w:rFonts w:ascii="Arial" w:hAnsi="Arial" w:cs="Arial"/>
          <w:i/>
          <w:iCs/>
          <w:sz w:val="24"/>
          <w:szCs w:val="24"/>
          <w:lang w:val="en-US"/>
        </w:rPr>
      </w:pPr>
      <w:r>
        <w:rPr>
          <w:rFonts w:ascii="Arial" w:hAnsi="Arial" w:cs="Arial"/>
          <w:sz w:val="24"/>
          <w:szCs w:val="24"/>
          <w:lang w:val="en-US"/>
        </w:rPr>
        <w:t>“</w:t>
      </w:r>
      <w:r w:rsidRPr="00063199">
        <w:rPr>
          <w:rFonts w:ascii="Arial" w:hAnsi="Arial" w:cs="Arial"/>
          <w:i/>
          <w:iCs/>
          <w:sz w:val="24"/>
          <w:szCs w:val="24"/>
          <w:lang w:val="en-US"/>
        </w:rPr>
        <w:t xml:space="preserve">Due to the IT budget cuts applied for our </w:t>
      </w:r>
      <w:r w:rsidR="00AB6E80">
        <w:rPr>
          <w:rFonts w:ascii="Arial" w:hAnsi="Arial" w:cs="Arial"/>
          <w:i/>
          <w:iCs/>
          <w:sz w:val="24"/>
          <w:szCs w:val="24"/>
          <w:lang w:val="en-US"/>
        </w:rPr>
        <w:t>3+9</w:t>
      </w:r>
      <w:r w:rsidRPr="00063199">
        <w:rPr>
          <w:rFonts w:ascii="Arial" w:hAnsi="Arial" w:cs="Arial"/>
          <w:i/>
          <w:iCs/>
          <w:sz w:val="24"/>
          <w:szCs w:val="24"/>
          <w:lang w:val="en-US"/>
        </w:rPr>
        <w:t xml:space="preserve"> budgets for 2020 and the project demand across business unit expected to drop drastically, it is an unfortunate situation that MTN needs to let go of about 34 resources from a total of 38 across all testing </w:t>
      </w:r>
      <w:r w:rsidR="00AB6E80">
        <w:rPr>
          <w:rFonts w:ascii="Arial" w:hAnsi="Arial" w:cs="Arial"/>
          <w:i/>
          <w:iCs/>
          <w:sz w:val="24"/>
          <w:szCs w:val="24"/>
          <w:lang w:val="en-US"/>
        </w:rPr>
        <w:t>streams</w:t>
      </w:r>
      <w:r w:rsidRPr="00063199">
        <w:rPr>
          <w:rFonts w:ascii="Arial" w:hAnsi="Arial" w:cs="Arial"/>
          <w:i/>
          <w:iCs/>
          <w:sz w:val="24"/>
          <w:szCs w:val="24"/>
          <w:lang w:val="en-US"/>
        </w:rPr>
        <w:t>.  We have to reduce capacity drastically considering the available budget for the remainder of the year and also that the project demand is also slowing down.  The reduction of the resources is effective 4 May 2020.  The below information is how we are going to respond to the effective changes</w:t>
      </w:r>
      <w:r>
        <w:rPr>
          <w:rFonts w:ascii="Arial" w:hAnsi="Arial" w:cs="Arial"/>
          <w:i/>
          <w:iCs/>
          <w:sz w:val="24"/>
          <w:szCs w:val="24"/>
          <w:lang w:val="en-US"/>
        </w:rPr>
        <w:t>;</w:t>
      </w:r>
    </w:p>
    <w:p w14:paraId="3F9577BC" w14:textId="633FFC3E" w:rsidR="00063199" w:rsidRDefault="00063199" w:rsidP="00063199">
      <w:pPr>
        <w:pStyle w:val="BowLevel1ListAlt"/>
        <w:numPr>
          <w:ilvl w:val="0"/>
          <w:numId w:val="0"/>
        </w:numPr>
        <w:ind w:left="1440"/>
        <w:rPr>
          <w:rFonts w:ascii="Arial" w:hAnsi="Arial" w:cs="Arial"/>
          <w:i/>
          <w:iCs/>
          <w:sz w:val="24"/>
          <w:szCs w:val="24"/>
          <w:lang w:val="en-US"/>
        </w:rPr>
      </w:pPr>
      <w:r>
        <w:rPr>
          <w:rFonts w:ascii="Arial" w:hAnsi="Arial" w:cs="Arial"/>
          <w:i/>
          <w:iCs/>
          <w:sz w:val="24"/>
          <w:szCs w:val="24"/>
          <w:lang w:val="en-US"/>
        </w:rPr>
        <w:t>All resources allocated to the dedicated stream will not be required as of 4 May 2020 and should not continue under those projects.  Unless if the tester</w:t>
      </w:r>
      <w:r w:rsidR="007B2D3B">
        <w:rPr>
          <w:rFonts w:ascii="Arial" w:hAnsi="Arial" w:cs="Arial"/>
          <w:i/>
          <w:iCs/>
          <w:sz w:val="24"/>
          <w:szCs w:val="24"/>
          <w:lang w:val="en-US"/>
        </w:rPr>
        <w:t>s</w:t>
      </w:r>
      <w:r>
        <w:rPr>
          <w:rFonts w:ascii="Arial" w:hAnsi="Arial" w:cs="Arial"/>
          <w:i/>
          <w:iCs/>
          <w:sz w:val="24"/>
          <w:szCs w:val="24"/>
          <w:lang w:val="en-US"/>
        </w:rPr>
        <w:t xml:space="preserve"> allocated are paid from the business budget.  </w:t>
      </w:r>
    </w:p>
    <w:p w14:paraId="5D6782C8" w14:textId="77777777" w:rsidR="00063199" w:rsidRDefault="00063199" w:rsidP="00063199">
      <w:pPr>
        <w:pStyle w:val="BowLevel1ListAlt"/>
        <w:numPr>
          <w:ilvl w:val="0"/>
          <w:numId w:val="0"/>
        </w:numPr>
        <w:ind w:left="1440"/>
        <w:rPr>
          <w:rFonts w:ascii="Arial" w:hAnsi="Arial" w:cs="Arial"/>
          <w:i/>
          <w:iCs/>
          <w:sz w:val="24"/>
          <w:szCs w:val="24"/>
          <w:lang w:val="en-US"/>
        </w:rPr>
      </w:pPr>
      <w:r w:rsidRPr="00063199">
        <w:rPr>
          <w:rFonts w:ascii="Arial" w:hAnsi="Arial" w:cs="Arial"/>
          <w:i/>
          <w:iCs/>
          <w:sz w:val="24"/>
          <w:szCs w:val="24"/>
          <w:lang w:val="en-US"/>
        </w:rPr>
        <w:t>…</w:t>
      </w:r>
    </w:p>
    <w:p w14:paraId="1A362C53" w14:textId="28BCBEFA" w:rsidR="00063199" w:rsidRDefault="00063199" w:rsidP="00063199">
      <w:pPr>
        <w:pStyle w:val="BowLevel1ListAlt"/>
        <w:numPr>
          <w:ilvl w:val="0"/>
          <w:numId w:val="0"/>
        </w:numPr>
        <w:ind w:left="1440"/>
        <w:rPr>
          <w:rFonts w:ascii="Arial" w:hAnsi="Arial" w:cs="Arial"/>
          <w:sz w:val="24"/>
          <w:szCs w:val="24"/>
          <w:lang w:val="en-US"/>
        </w:rPr>
      </w:pPr>
      <w:r>
        <w:rPr>
          <w:rFonts w:ascii="Arial" w:hAnsi="Arial" w:cs="Arial"/>
          <w:i/>
          <w:iCs/>
          <w:sz w:val="24"/>
          <w:szCs w:val="24"/>
          <w:lang w:val="en-US"/>
        </w:rPr>
        <w:t xml:space="preserve">Please take note that MTN is not cancelling the contractual agreement for the testing services, as </w:t>
      </w:r>
      <w:r w:rsidR="00892C13">
        <w:rPr>
          <w:rFonts w:ascii="Arial" w:hAnsi="Arial" w:cs="Arial"/>
          <w:i/>
          <w:iCs/>
          <w:sz w:val="24"/>
          <w:szCs w:val="24"/>
          <w:lang w:val="en-US"/>
        </w:rPr>
        <w:t xml:space="preserve">in </w:t>
      </w:r>
      <w:r>
        <w:rPr>
          <w:rFonts w:ascii="Arial" w:hAnsi="Arial" w:cs="Arial"/>
          <w:i/>
          <w:iCs/>
          <w:sz w:val="24"/>
          <w:szCs w:val="24"/>
          <w:lang w:val="en-US"/>
        </w:rPr>
        <w:t xml:space="preserve">when resources are required a service request will be </w:t>
      </w:r>
      <w:r>
        <w:rPr>
          <w:rFonts w:ascii="Arial" w:hAnsi="Arial" w:cs="Arial"/>
          <w:i/>
          <w:iCs/>
          <w:sz w:val="24"/>
          <w:szCs w:val="24"/>
          <w:lang w:val="en-US"/>
        </w:rPr>
        <w:lastRenderedPageBreak/>
        <w:t xml:space="preserve">sent to all suppliers and follow </w:t>
      </w:r>
      <w:r w:rsidR="00985682">
        <w:rPr>
          <w:rFonts w:ascii="Arial" w:hAnsi="Arial" w:cs="Arial"/>
          <w:i/>
          <w:iCs/>
          <w:sz w:val="24"/>
          <w:szCs w:val="24"/>
          <w:lang w:val="en-US"/>
        </w:rPr>
        <w:t xml:space="preserve">a </w:t>
      </w:r>
      <w:r>
        <w:rPr>
          <w:rFonts w:ascii="Arial" w:hAnsi="Arial" w:cs="Arial"/>
          <w:i/>
          <w:iCs/>
          <w:sz w:val="24"/>
          <w:szCs w:val="24"/>
          <w:lang w:val="en-US"/>
        </w:rPr>
        <w:t>fair process to onboard required capacity going forward.</w:t>
      </w:r>
      <w:r>
        <w:rPr>
          <w:rFonts w:ascii="Arial" w:hAnsi="Arial" w:cs="Arial"/>
          <w:sz w:val="24"/>
          <w:szCs w:val="24"/>
          <w:lang w:val="en-US"/>
        </w:rPr>
        <w:t>”</w:t>
      </w:r>
    </w:p>
    <w:p w14:paraId="2B43978C" w14:textId="05C5145D" w:rsidR="00063199" w:rsidRDefault="00063199" w:rsidP="00B71F31">
      <w:pPr>
        <w:pStyle w:val="BowLevel1ListAlt"/>
        <w:rPr>
          <w:rFonts w:ascii="Arial" w:hAnsi="Arial" w:cs="Arial"/>
          <w:sz w:val="24"/>
          <w:szCs w:val="24"/>
          <w:lang w:val="en-US"/>
        </w:rPr>
      </w:pPr>
      <w:r>
        <w:rPr>
          <w:rFonts w:ascii="Arial" w:hAnsi="Arial" w:cs="Arial"/>
          <w:sz w:val="24"/>
          <w:szCs w:val="24"/>
          <w:lang w:val="en-US"/>
        </w:rPr>
        <w:t xml:space="preserve">It is common cause that this communication from MTN signaled a dramatic reduction in the volume of work that the </w:t>
      </w:r>
      <w:r w:rsidR="00810BD3">
        <w:rPr>
          <w:rFonts w:ascii="Arial" w:hAnsi="Arial" w:cs="Arial"/>
          <w:sz w:val="24"/>
          <w:szCs w:val="24"/>
          <w:lang w:val="en-US"/>
        </w:rPr>
        <w:t>appellant</w:t>
      </w:r>
      <w:r>
        <w:rPr>
          <w:rFonts w:ascii="Arial" w:hAnsi="Arial" w:cs="Arial"/>
          <w:sz w:val="24"/>
          <w:szCs w:val="24"/>
          <w:lang w:val="en-US"/>
        </w:rPr>
        <w:t xml:space="preserve"> would be required to deliver to MTN.  It was also common cause, however, that it did not serve to terminate the </w:t>
      </w:r>
      <w:r w:rsidR="0014349F">
        <w:rPr>
          <w:rFonts w:ascii="Arial" w:hAnsi="Arial" w:cs="Arial"/>
          <w:sz w:val="24"/>
          <w:szCs w:val="24"/>
          <w:lang w:val="en-US"/>
        </w:rPr>
        <w:t>s</w:t>
      </w:r>
      <w:r>
        <w:rPr>
          <w:rFonts w:ascii="Arial" w:hAnsi="Arial" w:cs="Arial"/>
          <w:sz w:val="24"/>
          <w:szCs w:val="24"/>
          <w:lang w:val="en-US"/>
        </w:rPr>
        <w:t xml:space="preserve">ervice </w:t>
      </w:r>
      <w:r w:rsidR="0014349F">
        <w:rPr>
          <w:rFonts w:ascii="Arial" w:hAnsi="Arial" w:cs="Arial"/>
          <w:sz w:val="24"/>
          <w:szCs w:val="24"/>
          <w:lang w:val="en-US"/>
        </w:rPr>
        <w:t>l</w:t>
      </w:r>
      <w:r>
        <w:rPr>
          <w:rFonts w:ascii="Arial" w:hAnsi="Arial" w:cs="Arial"/>
          <w:sz w:val="24"/>
          <w:szCs w:val="24"/>
          <w:lang w:val="en-US"/>
        </w:rPr>
        <w:t xml:space="preserve">evel </w:t>
      </w:r>
      <w:r w:rsidR="0014349F">
        <w:rPr>
          <w:rFonts w:ascii="Arial" w:hAnsi="Arial" w:cs="Arial"/>
          <w:sz w:val="24"/>
          <w:szCs w:val="24"/>
          <w:lang w:val="en-US"/>
        </w:rPr>
        <w:t>a</w:t>
      </w:r>
      <w:r>
        <w:rPr>
          <w:rFonts w:ascii="Arial" w:hAnsi="Arial" w:cs="Arial"/>
          <w:sz w:val="24"/>
          <w:szCs w:val="24"/>
          <w:lang w:val="en-US"/>
        </w:rPr>
        <w:t xml:space="preserve">greement between MTN and the </w:t>
      </w:r>
      <w:r w:rsidR="00810BD3">
        <w:rPr>
          <w:rFonts w:ascii="Arial" w:hAnsi="Arial" w:cs="Arial"/>
          <w:sz w:val="24"/>
          <w:szCs w:val="24"/>
          <w:lang w:val="en-US"/>
        </w:rPr>
        <w:t>appellant</w:t>
      </w:r>
      <w:r>
        <w:rPr>
          <w:rFonts w:ascii="Arial" w:hAnsi="Arial" w:cs="Arial"/>
          <w:sz w:val="24"/>
          <w:szCs w:val="24"/>
          <w:lang w:val="en-US"/>
        </w:rPr>
        <w:t xml:space="preserve">.  </w:t>
      </w:r>
    </w:p>
    <w:p w14:paraId="12AA5511" w14:textId="593AC0BF" w:rsidR="00063199" w:rsidRDefault="00063199" w:rsidP="00B71F31">
      <w:pPr>
        <w:pStyle w:val="BowLevel1ListAlt"/>
        <w:rPr>
          <w:rFonts w:ascii="Arial" w:hAnsi="Arial" w:cs="Arial"/>
          <w:sz w:val="24"/>
          <w:szCs w:val="24"/>
          <w:lang w:val="en-US"/>
        </w:rPr>
      </w:pPr>
      <w:r>
        <w:rPr>
          <w:rFonts w:ascii="Arial" w:hAnsi="Arial" w:cs="Arial"/>
          <w:sz w:val="24"/>
          <w:szCs w:val="24"/>
          <w:lang w:val="en-US"/>
        </w:rPr>
        <w:t xml:space="preserve">Having received this communication from MTN the </w:t>
      </w:r>
      <w:r w:rsidR="00810BD3">
        <w:rPr>
          <w:rFonts w:ascii="Arial" w:hAnsi="Arial" w:cs="Arial"/>
          <w:sz w:val="24"/>
          <w:szCs w:val="24"/>
          <w:lang w:val="en-US"/>
        </w:rPr>
        <w:t>appellant</w:t>
      </w:r>
      <w:r>
        <w:rPr>
          <w:rFonts w:ascii="Arial" w:hAnsi="Arial" w:cs="Arial"/>
          <w:sz w:val="24"/>
          <w:szCs w:val="24"/>
          <w:lang w:val="en-US"/>
        </w:rPr>
        <w:t xml:space="preserve">’s response as regards the </w:t>
      </w:r>
      <w:r w:rsidR="00810BD3">
        <w:rPr>
          <w:rFonts w:ascii="Arial" w:hAnsi="Arial" w:cs="Arial"/>
          <w:sz w:val="24"/>
          <w:szCs w:val="24"/>
          <w:lang w:val="en-US"/>
        </w:rPr>
        <w:t>respondent</w:t>
      </w:r>
      <w:r>
        <w:rPr>
          <w:rFonts w:ascii="Arial" w:hAnsi="Arial" w:cs="Arial"/>
          <w:sz w:val="24"/>
          <w:szCs w:val="24"/>
          <w:lang w:val="en-US"/>
        </w:rPr>
        <w:t xml:space="preserve"> and similarly situated </w:t>
      </w:r>
      <w:r w:rsidR="00985682">
        <w:rPr>
          <w:rFonts w:ascii="Arial" w:hAnsi="Arial" w:cs="Arial"/>
          <w:sz w:val="24"/>
          <w:szCs w:val="24"/>
          <w:lang w:val="en-US"/>
        </w:rPr>
        <w:t xml:space="preserve">independent </w:t>
      </w:r>
      <w:r>
        <w:rPr>
          <w:rFonts w:ascii="Arial" w:hAnsi="Arial" w:cs="Arial"/>
          <w:sz w:val="24"/>
          <w:szCs w:val="24"/>
          <w:lang w:val="en-US"/>
        </w:rPr>
        <w:t>contractors was to inform them that by reason of the provisions of clause 3 of their contracts, their contracts were terminated with immediate effect.</w:t>
      </w:r>
    </w:p>
    <w:p w14:paraId="257040AD" w14:textId="52199F6E" w:rsidR="00B157DD" w:rsidRDefault="00B157DD" w:rsidP="00B71F31">
      <w:pPr>
        <w:pStyle w:val="BowLevel1ListAlt"/>
        <w:rPr>
          <w:rFonts w:ascii="Arial" w:hAnsi="Arial" w:cs="Arial"/>
          <w:sz w:val="24"/>
          <w:szCs w:val="24"/>
          <w:lang w:val="en-US"/>
        </w:rPr>
      </w:pPr>
      <w:r>
        <w:rPr>
          <w:rFonts w:ascii="Arial" w:hAnsi="Arial" w:cs="Arial"/>
          <w:sz w:val="24"/>
          <w:szCs w:val="24"/>
          <w:lang w:val="en-US"/>
        </w:rPr>
        <w:t xml:space="preserve">Specifically, the </w:t>
      </w:r>
      <w:r w:rsidR="00810BD3">
        <w:rPr>
          <w:rFonts w:ascii="Arial" w:hAnsi="Arial" w:cs="Arial"/>
          <w:sz w:val="24"/>
          <w:szCs w:val="24"/>
          <w:lang w:val="en-US"/>
        </w:rPr>
        <w:t>appellant</w:t>
      </w:r>
      <w:r>
        <w:rPr>
          <w:rFonts w:ascii="Arial" w:hAnsi="Arial" w:cs="Arial"/>
          <w:sz w:val="24"/>
          <w:szCs w:val="24"/>
          <w:lang w:val="en-US"/>
        </w:rPr>
        <w:t xml:space="preserve"> communicated to the </w:t>
      </w:r>
      <w:r w:rsidR="00810BD3">
        <w:rPr>
          <w:rFonts w:ascii="Arial" w:hAnsi="Arial" w:cs="Arial"/>
          <w:sz w:val="24"/>
          <w:szCs w:val="24"/>
          <w:lang w:val="en-US"/>
        </w:rPr>
        <w:t>respondent</w:t>
      </w:r>
      <w:r w:rsidR="00034FF4">
        <w:rPr>
          <w:rFonts w:ascii="Arial" w:hAnsi="Arial" w:cs="Arial"/>
          <w:sz w:val="24"/>
          <w:szCs w:val="24"/>
          <w:lang w:val="en-US"/>
        </w:rPr>
        <w:t>,</w:t>
      </w:r>
      <w:r>
        <w:rPr>
          <w:rFonts w:ascii="Arial" w:hAnsi="Arial" w:cs="Arial"/>
          <w:sz w:val="24"/>
          <w:szCs w:val="24"/>
          <w:lang w:val="en-US"/>
        </w:rPr>
        <w:t xml:space="preserve"> by letter dated 4 May 2020</w:t>
      </w:r>
      <w:r w:rsidR="00034FF4">
        <w:rPr>
          <w:rFonts w:ascii="Arial" w:hAnsi="Arial" w:cs="Arial"/>
          <w:sz w:val="24"/>
          <w:szCs w:val="24"/>
          <w:lang w:val="en-US"/>
        </w:rPr>
        <w:t>,</w:t>
      </w:r>
      <w:r>
        <w:rPr>
          <w:rFonts w:ascii="Arial" w:hAnsi="Arial" w:cs="Arial"/>
          <w:sz w:val="24"/>
          <w:szCs w:val="24"/>
          <w:lang w:val="en-US"/>
        </w:rPr>
        <w:t xml:space="preserve"> that “</w:t>
      </w:r>
      <w:r w:rsidRPr="005C2E18">
        <w:rPr>
          <w:rFonts w:ascii="Arial" w:hAnsi="Arial" w:cs="Arial"/>
          <w:i/>
          <w:iCs/>
          <w:sz w:val="24"/>
          <w:szCs w:val="24"/>
          <w:lang w:val="en-US"/>
        </w:rPr>
        <w:t xml:space="preserve">due to the extraordinary circumstances the company finds itself in due to the Covid 19 situation and the restrictions implemented by the Government to contain the situation, we as Hosi Technologies have taken a decision to terminate your contract due to our clients conditions that have deteriorated to an unprecedented level and them having to drastically reducing headcount </w:t>
      </w:r>
      <w:r>
        <w:rPr>
          <w:rFonts w:ascii="Arial" w:hAnsi="Arial" w:cs="Arial"/>
          <w:sz w:val="24"/>
          <w:szCs w:val="24"/>
          <w:lang w:val="en-US"/>
        </w:rPr>
        <w:t xml:space="preserve">(sic)”.  The letter concluded that should the situation change and the company </w:t>
      </w:r>
      <w:r w:rsidR="00034FF4">
        <w:rPr>
          <w:rFonts w:ascii="Arial" w:hAnsi="Arial" w:cs="Arial"/>
          <w:sz w:val="24"/>
          <w:szCs w:val="24"/>
          <w:lang w:val="en-US"/>
        </w:rPr>
        <w:t>find</w:t>
      </w:r>
      <w:r>
        <w:rPr>
          <w:rFonts w:ascii="Arial" w:hAnsi="Arial" w:cs="Arial"/>
          <w:sz w:val="24"/>
          <w:szCs w:val="24"/>
          <w:lang w:val="en-US"/>
        </w:rPr>
        <w:t xml:space="preserve"> itself in a better position it would “afford you the first opportunity”.</w:t>
      </w:r>
    </w:p>
    <w:p w14:paraId="515C5F7C" w14:textId="2A1C581D" w:rsidR="00063199" w:rsidRDefault="00063199" w:rsidP="00B71F31">
      <w:pPr>
        <w:pStyle w:val="BowLevel1ListAlt"/>
        <w:rPr>
          <w:rFonts w:ascii="Arial" w:hAnsi="Arial" w:cs="Arial"/>
          <w:sz w:val="24"/>
          <w:szCs w:val="24"/>
          <w:lang w:val="en-US"/>
        </w:rPr>
      </w:pPr>
      <w:r>
        <w:rPr>
          <w:rFonts w:ascii="Arial" w:hAnsi="Arial" w:cs="Arial"/>
          <w:sz w:val="24"/>
          <w:szCs w:val="24"/>
          <w:lang w:val="en-US"/>
        </w:rPr>
        <w:t xml:space="preserve">This </w:t>
      </w:r>
      <w:r w:rsidR="00034FF4">
        <w:rPr>
          <w:rFonts w:ascii="Arial" w:hAnsi="Arial" w:cs="Arial"/>
          <w:sz w:val="24"/>
          <w:szCs w:val="24"/>
          <w:lang w:val="en-US"/>
        </w:rPr>
        <w:t xml:space="preserve">stance </w:t>
      </w:r>
      <w:r>
        <w:rPr>
          <w:rFonts w:ascii="Arial" w:hAnsi="Arial" w:cs="Arial"/>
          <w:sz w:val="24"/>
          <w:szCs w:val="24"/>
          <w:lang w:val="en-US"/>
        </w:rPr>
        <w:t xml:space="preserve">was queried by the </w:t>
      </w:r>
      <w:r w:rsidR="00810BD3">
        <w:rPr>
          <w:rFonts w:ascii="Arial" w:hAnsi="Arial" w:cs="Arial"/>
          <w:sz w:val="24"/>
          <w:szCs w:val="24"/>
          <w:lang w:val="en-US"/>
        </w:rPr>
        <w:t>respondent</w:t>
      </w:r>
      <w:r>
        <w:rPr>
          <w:rFonts w:ascii="Arial" w:hAnsi="Arial" w:cs="Arial"/>
          <w:sz w:val="24"/>
          <w:szCs w:val="24"/>
          <w:lang w:val="en-US"/>
        </w:rPr>
        <w:t xml:space="preserve">, who pointed </w:t>
      </w:r>
      <w:r w:rsidR="000B00B9">
        <w:rPr>
          <w:rFonts w:ascii="Arial" w:hAnsi="Arial" w:cs="Arial"/>
          <w:sz w:val="24"/>
          <w:szCs w:val="24"/>
          <w:lang w:val="en-US"/>
        </w:rPr>
        <w:t xml:space="preserve">out </w:t>
      </w:r>
      <w:r w:rsidR="00467C1D">
        <w:rPr>
          <w:rFonts w:ascii="Arial" w:hAnsi="Arial" w:cs="Arial"/>
          <w:sz w:val="24"/>
          <w:szCs w:val="24"/>
          <w:lang w:val="en-US"/>
        </w:rPr>
        <w:t xml:space="preserve">that each party had </w:t>
      </w:r>
      <w:r w:rsidR="000B00B9">
        <w:rPr>
          <w:rFonts w:ascii="Arial" w:hAnsi="Arial" w:cs="Arial"/>
          <w:sz w:val="24"/>
          <w:szCs w:val="24"/>
          <w:lang w:val="en-US"/>
        </w:rPr>
        <w:t xml:space="preserve">a right </w:t>
      </w:r>
      <w:r w:rsidR="00467C1D">
        <w:rPr>
          <w:rFonts w:ascii="Arial" w:hAnsi="Arial" w:cs="Arial"/>
          <w:sz w:val="24"/>
          <w:szCs w:val="24"/>
          <w:lang w:val="en-US"/>
        </w:rPr>
        <w:t xml:space="preserve">under the contract </w:t>
      </w:r>
      <w:r>
        <w:rPr>
          <w:rFonts w:ascii="Arial" w:hAnsi="Arial" w:cs="Arial"/>
          <w:sz w:val="24"/>
          <w:szCs w:val="24"/>
          <w:lang w:val="en-US"/>
        </w:rPr>
        <w:t>to give one month’s notice to terminate the contract</w:t>
      </w:r>
      <w:r w:rsidR="00467C1D">
        <w:rPr>
          <w:rFonts w:ascii="Arial" w:hAnsi="Arial" w:cs="Arial"/>
          <w:sz w:val="24"/>
          <w:szCs w:val="24"/>
          <w:lang w:val="en-US"/>
        </w:rPr>
        <w:t xml:space="preserve">.  The </w:t>
      </w:r>
      <w:r w:rsidR="00810BD3">
        <w:rPr>
          <w:rFonts w:ascii="Arial" w:hAnsi="Arial" w:cs="Arial"/>
          <w:sz w:val="24"/>
          <w:szCs w:val="24"/>
          <w:lang w:val="en-US"/>
        </w:rPr>
        <w:t>respondent</w:t>
      </w:r>
      <w:r w:rsidR="00467C1D">
        <w:rPr>
          <w:rFonts w:ascii="Arial" w:hAnsi="Arial" w:cs="Arial"/>
          <w:sz w:val="24"/>
          <w:szCs w:val="24"/>
          <w:lang w:val="en-US"/>
        </w:rPr>
        <w:t xml:space="preserve"> </w:t>
      </w:r>
      <w:r>
        <w:rPr>
          <w:rFonts w:ascii="Arial" w:hAnsi="Arial" w:cs="Arial"/>
          <w:sz w:val="24"/>
          <w:szCs w:val="24"/>
          <w:lang w:val="en-US"/>
        </w:rPr>
        <w:t xml:space="preserve">contended that the </w:t>
      </w:r>
      <w:r w:rsidR="000B00B9">
        <w:rPr>
          <w:rFonts w:ascii="Arial" w:hAnsi="Arial" w:cs="Arial"/>
          <w:sz w:val="24"/>
          <w:szCs w:val="24"/>
          <w:lang w:val="en-US"/>
        </w:rPr>
        <w:t xml:space="preserve">contractual </w:t>
      </w:r>
      <w:r>
        <w:rPr>
          <w:rFonts w:ascii="Arial" w:hAnsi="Arial" w:cs="Arial"/>
          <w:sz w:val="24"/>
          <w:szCs w:val="24"/>
          <w:lang w:val="en-US"/>
        </w:rPr>
        <w:t xml:space="preserve">consequence of the termination of the </w:t>
      </w:r>
      <w:r w:rsidR="0014349F">
        <w:rPr>
          <w:rFonts w:ascii="Arial" w:hAnsi="Arial" w:cs="Arial"/>
          <w:sz w:val="24"/>
          <w:szCs w:val="24"/>
          <w:lang w:val="en-US"/>
        </w:rPr>
        <w:t>s</w:t>
      </w:r>
      <w:r w:rsidR="00467C1D">
        <w:rPr>
          <w:rFonts w:ascii="Arial" w:hAnsi="Arial" w:cs="Arial"/>
          <w:sz w:val="24"/>
          <w:szCs w:val="24"/>
          <w:lang w:val="en-US"/>
        </w:rPr>
        <w:t xml:space="preserve">ervice </w:t>
      </w:r>
      <w:r w:rsidR="0014349F">
        <w:rPr>
          <w:rFonts w:ascii="Arial" w:hAnsi="Arial" w:cs="Arial"/>
          <w:sz w:val="24"/>
          <w:szCs w:val="24"/>
          <w:lang w:val="en-US"/>
        </w:rPr>
        <w:t>l</w:t>
      </w:r>
      <w:r w:rsidR="00467C1D">
        <w:rPr>
          <w:rFonts w:ascii="Arial" w:hAnsi="Arial" w:cs="Arial"/>
          <w:sz w:val="24"/>
          <w:szCs w:val="24"/>
          <w:lang w:val="en-US"/>
        </w:rPr>
        <w:t xml:space="preserve">evel </w:t>
      </w:r>
      <w:r w:rsidR="0014349F">
        <w:rPr>
          <w:rFonts w:ascii="Arial" w:hAnsi="Arial" w:cs="Arial"/>
          <w:sz w:val="24"/>
          <w:szCs w:val="24"/>
          <w:lang w:val="en-US"/>
        </w:rPr>
        <w:t>a</w:t>
      </w:r>
      <w:r w:rsidR="00467C1D">
        <w:rPr>
          <w:rFonts w:ascii="Arial" w:hAnsi="Arial" w:cs="Arial"/>
          <w:sz w:val="24"/>
          <w:szCs w:val="24"/>
          <w:lang w:val="en-US"/>
        </w:rPr>
        <w:t xml:space="preserve">greement </w:t>
      </w:r>
      <w:r>
        <w:rPr>
          <w:rFonts w:ascii="Arial" w:hAnsi="Arial" w:cs="Arial"/>
          <w:sz w:val="24"/>
          <w:szCs w:val="24"/>
          <w:lang w:val="en-US"/>
        </w:rPr>
        <w:t xml:space="preserve">by MTN could not be </w:t>
      </w:r>
      <w:r w:rsidR="00467C1D">
        <w:rPr>
          <w:rFonts w:ascii="Arial" w:hAnsi="Arial" w:cs="Arial"/>
          <w:sz w:val="24"/>
          <w:szCs w:val="24"/>
          <w:lang w:val="en-US"/>
        </w:rPr>
        <w:t>in</w:t>
      </w:r>
      <w:r>
        <w:rPr>
          <w:rFonts w:ascii="Arial" w:hAnsi="Arial" w:cs="Arial"/>
          <w:sz w:val="24"/>
          <w:szCs w:val="24"/>
          <w:lang w:val="en-US"/>
        </w:rPr>
        <w:t xml:space="preserve">voked </w:t>
      </w:r>
      <w:r w:rsidR="00467C1D">
        <w:rPr>
          <w:rFonts w:ascii="Arial" w:hAnsi="Arial" w:cs="Arial"/>
          <w:sz w:val="24"/>
          <w:szCs w:val="24"/>
          <w:lang w:val="en-US"/>
        </w:rPr>
        <w:t xml:space="preserve">because </w:t>
      </w:r>
      <w:r>
        <w:rPr>
          <w:rFonts w:ascii="Arial" w:hAnsi="Arial" w:cs="Arial"/>
          <w:sz w:val="24"/>
          <w:szCs w:val="24"/>
          <w:lang w:val="en-US"/>
        </w:rPr>
        <w:t xml:space="preserve">that </w:t>
      </w:r>
      <w:r w:rsidR="00467C1D">
        <w:rPr>
          <w:rFonts w:ascii="Arial" w:hAnsi="Arial" w:cs="Arial"/>
          <w:sz w:val="24"/>
          <w:szCs w:val="24"/>
          <w:lang w:val="en-US"/>
        </w:rPr>
        <w:t>was</w:t>
      </w:r>
      <w:r>
        <w:rPr>
          <w:rFonts w:ascii="Arial" w:hAnsi="Arial" w:cs="Arial"/>
          <w:sz w:val="24"/>
          <w:szCs w:val="24"/>
          <w:lang w:val="en-US"/>
        </w:rPr>
        <w:t xml:space="preserve"> not what had occurred.  </w:t>
      </w:r>
    </w:p>
    <w:p w14:paraId="3A080C7C" w14:textId="4FC18FDA" w:rsidR="004C43AB" w:rsidRDefault="005C2E18" w:rsidP="00B71F31">
      <w:pPr>
        <w:pStyle w:val="BowLevel1ListAlt"/>
        <w:rPr>
          <w:rFonts w:ascii="Arial" w:hAnsi="Arial" w:cs="Arial"/>
          <w:sz w:val="24"/>
          <w:szCs w:val="24"/>
          <w:lang w:val="en-US"/>
        </w:rPr>
      </w:pPr>
      <w:r>
        <w:rPr>
          <w:rFonts w:ascii="Arial" w:hAnsi="Arial" w:cs="Arial"/>
          <w:sz w:val="24"/>
          <w:szCs w:val="24"/>
          <w:lang w:val="en-US"/>
        </w:rPr>
        <w:t>The</w:t>
      </w:r>
      <w:r w:rsidR="004C43AB">
        <w:rPr>
          <w:rFonts w:ascii="Arial" w:hAnsi="Arial" w:cs="Arial"/>
          <w:sz w:val="24"/>
          <w:szCs w:val="24"/>
          <w:lang w:val="en-US"/>
        </w:rPr>
        <w:t xml:space="preserve"> </w:t>
      </w:r>
      <w:r>
        <w:rPr>
          <w:rFonts w:ascii="Arial" w:hAnsi="Arial" w:cs="Arial"/>
          <w:sz w:val="24"/>
          <w:szCs w:val="24"/>
          <w:lang w:val="en-US"/>
        </w:rPr>
        <w:t xml:space="preserve">response to this, communicated by email </w:t>
      </w:r>
      <w:r w:rsidR="000B00B9">
        <w:rPr>
          <w:rFonts w:ascii="Arial" w:hAnsi="Arial" w:cs="Arial"/>
          <w:sz w:val="24"/>
          <w:szCs w:val="24"/>
          <w:lang w:val="en-US"/>
        </w:rPr>
        <w:t>from</w:t>
      </w:r>
      <w:r w:rsidR="002C48E2">
        <w:rPr>
          <w:rFonts w:ascii="Arial" w:hAnsi="Arial" w:cs="Arial"/>
          <w:sz w:val="24"/>
          <w:szCs w:val="24"/>
          <w:lang w:val="en-US"/>
        </w:rPr>
        <w:t xml:space="preserve"> the </w:t>
      </w:r>
      <w:r w:rsidR="00810BD3">
        <w:rPr>
          <w:rFonts w:ascii="Arial" w:hAnsi="Arial" w:cs="Arial"/>
          <w:sz w:val="24"/>
          <w:szCs w:val="24"/>
          <w:lang w:val="en-US"/>
        </w:rPr>
        <w:t>appellant</w:t>
      </w:r>
      <w:r w:rsidR="002C48E2">
        <w:rPr>
          <w:rFonts w:ascii="Arial" w:hAnsi="Arial" w:cs="Arial"/>
          <w:sz w:val="24"/>
          <w:szCs w:val="24"/>
          <w:lang w:val="en-US"/>
        </w:rPr>
        <w:t>’s</w:t>
      </w:r>
      <w:r w:rsidR="000B00B9">
        <w:rPr>
          <w:rFonts w:ascii="Arial" w:hAnsi="Arial" w:cs="Arial"/>
          <w:sz w:val="24"/>
          <w:szCs w:val="24"/>
          <w:lang w:val="en-US"/>
        </w:rPr>
        <w:t xml:space="preserve"> </w:t>
      </w:r>
      <w:r>
        <w:rPr>
          <w:rFonts w:ascii="Arial" w:hAnsi="Arial" w:cs="Arial"/>
          <w:sz w:val="24"/>
          <w:szCs w:val="24"/>
          <w:lang w:val="en-US"/>
        </w:rPr>
        <w:t xml:space="preserve">Mr Mkhacana, </w:t>
      </w:r>
      <w:r w:rsidR="002C48E2">
        <w:rPr>
          <w:rFonts w:ascii="Arial" w:hAnsi="Arial" w:cs="Arial"/>
          <w:sz w:val="24"/>
          <w:szCs w:val="24"/>
          <w:lang w:val="en-US"/>
        </w:rPr>
        <w:t>was</w:t>
      </w:r>
      <w:r>
        <w:rPr>
          <w:rFonts w:ascii="Arial" w:hAnsi="Arial" w:cs="Arial"/>
          <w:sz w:val="24"/>
          <w:szCs w:val="24"/>
          <w:lang w:val="en-US"/>
        </w:rPr>
        <w:t xml:space="preserve"> that “</w:t>
      </w:r>
      <w:r w:rsidRPr="00B353DA">
        <w:rPr>
          <w:rFonts w:ascii="Arial" w:hAnsi="Arial" w:cs="Arial"/>
          <w:i/>
          <w:iCs/>
          <w:sz w:val="24"/>
          <w:szCs w:val="24"/>
          <w:lang w:val="en-US"/>
        </w:rPr>
        <w:t>as per the agreement if the SLA is terminated the agreement between you and Hosi effectively terminates no notice period is due</w:t>
      </w:r>
      <w:r>
        <w:rPr>
          <w:rFonts w:ascii="Arial" w:hAnsi="Arial" w:cs="Arial"/>
          <w:sz w:val="24"/>
          <w:szCs w:val="24"/>
          <w:lang w:val="en-US"/>
        </w:rPr>
        <w:t xml:space="preserve">”.  </w:t>
      </w:r>
    </w:p>
    <w:p w14:paraId="6577A6AE" w14:textId="62DFAD4B" w:rsidR="00063199" w:rsidRDefault="005C2E18" w:rsidP="00B71F31">
      <w:pPr>
        <w:pStyle w:val="BowLevel1ListAlt"/>
        <w:rPr>
          <w:rFonts w:ascii="Arial" w:hAnsi="Arial" w:cs="Arial"/>
          <w:sz w:val="24"/>
          <w:szCs w:val="24"/>
          <w:lang w:val="en-US"/>
        </w:rPr>
      </w:pPr>
      <w:r>
        <w:rPr>
          <w:rFonts w:ascii="Arial" w:hAnsi="Arial" w:cs="Arial"/>
          <w:sz w:val="24"/>
          <w:szCs w:val="24"/>
          <w:lang w:val="en-US"/>
        </w:rPr>
        <w:t>There were subsequent interactions between the parties</w:t>
      </w:r>
      <w:r w:rsidR="00B46682">
        <w:rPr>
          <w:rFonts w:ascii="Arial" w:hAnsi="Arial" w:cs="Arial"/>
          <w:sz w:val="24"/>
          <w:szCs w:val="24"/>
          <w:lang w:val="en-US"/>
        </w:rPr>
        <w:t xml:space="preserve"> in which they restated their respective positions.  These further interactions </w:t>
      </w:r>
      <w:r>
        <w:rPr>
          <w:rFonts w:ascii="Arial" w:hAnsi="Arial" w:cs="Arial"/>
          <w:sz w:val="24"/>
          <w:szCs w:val="24"/>
          <w:lang w:val="en-US"/>
        </w:rPr>
        <w:t xml:space="preserve">did not serve to resolve matters and are not </w:t>
      </w:r>
      <w:r w:rsidR="00B46682">
        <w:rPr>
          <w:rFonts w:ascii="Arial" w:hAnsi="Arial" w:cs="Arial"/>
          <w:sz w:val="24"/>
          <w:szCs w:val="24"/>
          <w:lang w:val="en-US"/>
        </w:rPr>
        <w:t xml:space="preserve">further </w:t>
      </w:r>
      <w:r>
        <w:rPr>
          <w:rFonts w:ascii="Arial" w:hAnsi="Arial" w:cs="Arial"/>
          <w:sz w:val="24"/>
          <w:szCs w:val="24"/>
          <w:lang w:val="en-US"/>
        </w:rPr>
        <w:t>relevant for present purposes.</w:t>
      </w:r>
    </w:p>
    <w:p w14:paraId="672B11EF" w14:textId="77777777" w:rsidR="00810BD3" w:rsidRDefault="00810BD3">
      <w:pPr>
        <w:jc w:val="left"/>
        <w:rPr>
          <w:rFonts w:ascii="Arial" w:hAnsi="Arial" w:cs="Arial"/>
          <w:b/>
          <w:bCs/>
          <w:sz w:val="24"/>
          <w:szCs w:val="24"/>
          <w:lang w:val="en-US"/>
        </w:rPr>
      </w:pPr>
      <w:r>
        <w:rPr>
          <w:rFonts w:ascii="Arial" w:hAnsi="Arial" w:cs="Arial"/>
          <w:b/>
          <w:bCs/>
          <w:sz w:val="24"/>
          <w:szCs w:val="24"/>
          <w:lang w:val="en-US"/>
        </w:rPr>
        <w:br w:type="page"/>
      </w:r>
    </w:p>
    <w:p w14:paraId="69CAD3D8" w14:textId="47537136" w:rsidR="00B46682" w:rsidRPr="00B353DA" w:rsidRDefault="00B46682" w:rsidP="00B353DA">
      <w:pPr>
        <w:pStyle w:val="BowLevel1ListAlt"/>
        <w:numPr>
          <w:ilvl w:val="0"/>
          <w:numId w:val="0"/>
        </w:numPr>
        <w:rPr>
          <w:rFonts w:ascii="Arial" w:hAnsi="Arial" w:cs="Arial"/>
          <w:b/>
          <w:bCs/>
          <w:sz w:val="24"/>
          <w:szCs w:val="24"/>
          <w:lang w:val="en-US"/>
        </w:rPr>
      </w:pPr>
      <w:r w:rsidRPr="00B353DA">
        <w:rPr>
          <w:rFonts w:ascii="Arial" w:hAnsi="Arial" w:cs="Arial"/>
          <w:b/>
          <w:bCs/>
          <w:sz w:val="24"/>
          <w:szCs w:val="24"/>
          <w:lang w:val="en-US"/>
        </w:rPr>
        <w:lastRenderedPageBreak/>
        <w:t xml:space="preserve">Decision of the court </w:t>
      </w:r>
      <w:r w:rsidRPr="00B353DA">
        <w:rPr>
          <w:rFonts w:ascii="Arial" w:hAnsi="Arial" w:cs="Arial"/>
          <w:b/>
          <w:bCs/>
          <w:i/>
          <w:iCs/>
          <w:sz w:val="24"/>
          <w:szCs w:val="24"/>
          <w:lang w:val="en-US"/>
        </w:rPr>
        <w:t>a quo</w:t>
      </w:r>
    </w:p>
    <w:p w14:paraId="004B826F" w14:textId="5735C2C8" w:rsidR="005C2E18" w:rsidRDefault="005C2E18" w:rsidP="00B71F31">
      <w:pPr>
        <w:pStyle w:val="BowLevel1ListAlt"/>
        <w:rPr>
          <w:rFonts w:ascii="Arial" w:hAnsi="Arial" w:cs="Arial"/>
          <w:sz w:val="24"/>
          <w:szCs w:val="24"/>
          <w:lang w:val="en-US"/>
        </w:rPr>
      </w:pPr>
      <w:r>
        <w:rPr>
          <w:rFonts w:ascii="Arial" w:hAnsi="Arial" w:cs="Arial"/>
          <w:sz w:val="24"/>
          <w:szCs w:val="24"/>
          <w:lang w:val="en-US"/>
        </w:rPr>
        <w:t xml:space="preserve">The court </w:t>
      </w:r>
      <w:r w:rsidRPr="005C2E18">
        <w:rPr>
          <w:rFonts w:ascii="Arial" w:hAnsi="Arial" w:cs="Arial"/>
          <w:i/>
          <w:iCs/>
          <w:sz w:val="24"/>
          <w:szCs w:val="24"/>
          <w:lang w:val="en-US"/>
        </w:rPr>
        <w:t>a quo</w:t>
      </w:r>
      <w:r>
        <w:rPr>
          <w:rFonts w:ascii="Arial" w:hAnsi="Arial" w:cs="Arial"/>
          <w:sz w:val="24"/>
          <w:szCs w:val="24"/>
          <w:lang w:val="en-US"/>
        </w:rPr>
        <w:t xml:space="preserve"> </w:t>
      </w:r>
      <w:r w:rsidR="00B46682">
        <w:rPr>
          <w:rFonts w:ascii="Arial" w:hAnsi="Arial" w:cs="Arial"/>
          <w:sz w:val="24"/>
          <w:szCs w:val="24"/>
          <w:lang w:val="en-US"/>
        </w:rPr>
        <w:t xml:space="preserve">found </w:t>
      </w:r>
      <w:r>
        <w:rPr>
          <w:rFonts w:ascii="Arial" w:hAnsi="Arial" w:cs="Arial"/>
          <w:sz w:val="24"/>
          <w:szCs w:val="24"/>
          <w:lang w:val="en-US"/>
        </w:rPr>
        <w:t xml:space="preserve">that it was clear that partial cancellation of the Service Level Agreement between the </w:t>
      </w:r>
      <w:r w:rsidR="00810BD3">
        <w:rPr>
          <w:rFonts w:ascii="Arial" w:hAnsi="Arial" w:cs="Arial"/>
          <w:sz w:val="24"/>
          <w:szCs w:val="24"/>
          <w:lang w:val="en-US"/>
        </w:rPr>
        <w:t>appellant</w:t>
      </w:r>
      <w:r>
        <w:rPr>
          <w:rFonts w:ascii="Arial" w:hAnsi="Arial" w:cs="Arial"/>
          <w:sz w:val="24"/>
          <w:szCs w:val="24"/>
          <w:lang w:val="en-US"/>
        </w:rPr>
        <w:t xml:space="preserve"> and the MTN had not been considered or provided for in terms of the contract concluded between the parties</w:t>
      </w:r>
      <w:r w:rsidR="00CE192B">
        <w:rPr>
          <w:rFonts w:ascii="Arial" w:hAnsi="Arial" w:cs="Arial"/>
          <w:sz w:val="24"/>
          <w:szCs w:val="24"/>
          <w:lang w:val="en-US"/>
        </w:rPr>
        <w:t>,</w:t>
      </w:r>
      <w:r>
        <w:rPr>
          <w:rFonts w:ascii="Arial" w:hAnsi="Arial" w:cs="Arial"/>
          <w:sz w:val="24"/>
          <w:szCs w:val="24"/>
          <w:lang w:val="en-US"/>
        </w:rPr>
        <w:t xml:space="preserve"> and that this was not a ground for termination of the contract </w:t>
      </w:r>
      <w:r w:rsidR="00CE192B">
        <w:rPr>
          <w:rFonts w:ascii="Arial" w:hAnsi="Arial" w:cs="Arial"/>
          <w:sz w:val="24"/>
          <w:szCs w:val="24"/>
          <w:lang w:val="en-US"/>
        </w:rPr>
        <w:t xml:space="preserve">by the </w:t>
      </w:r>
      <w:r w:rsidR="00810BD3">
        <w:rPr>
          <w:rFonts w:ascii="Arial" w:hAnsi="Arial" w:cs="Arial"/>
          <w:sz w:val="24"/>
          <w:szCs w:val="24"/>
          <w:lang w:val="en-US"/>
        </w:rPr>
        <w:t>appellant</w:t>
      </w:r>
      <w:r w:rsidR="00CE192B">
        <w:rPr>
          <w:rFonts w:ascii="Arial" w:hAnsi="Arial" w:cs="Arial"/>
          <w:sz w:val="24"/>
          <w:szCs w:val="24"/>
          <w:lang w:val="en-US"/>
        </w:rPr>
        <w:t xml:space="preserve"> </w:t>
      </w:r>
      <w:r>
        <w:rPr>
          <w:rFonts w:ascii="Arial" w:hAnsi="Arial" w:cs="Arial"/>
          <w:sz w:val="24"/>
          <w:szCs w:val="24"/>
          <w:lang w:val="en-US"/>
        </w:rPr>
        <w:t xml:space="preserve">without </w:t>
      </w:r>
      <w:r w:rsidR="00CE192B">
        <w:rPr>
          <w:rFonts w:ascii="Arial" w:hAnsi="Arial" w:cs="Arial"/>
          <w:sz w:val="24"/>
          <w:szCs w:val="24"/>
          <w:lang w:val="en-US"/>
        </w:rPr>
        <w:t xml:space="preserve">invoking </w:t>
      </w:r>
      <w:r>
        <w:rPr>
          <w:rFonts w:ascii="Arial" w:hAnsi="Arial" w:cs="Arial"/>
          <w:sz w:val="24"/>
          <w:szCs w:val="24"/>
          <w:lang w:val="en-US"/>
        </w:rPr>
        <w:t>the 30 day notice period.</w:t>
      </w:r>
    </w:p>
    <w:p w14:paraId="1B678F44" w14:textId="18FF55C0" w:rsidR="00B450FA" w:rsidRDefault="005C2E18" w:rsidP="00B71F31">
      <w:pPr>
        <w:pStyle w:val="BowLevel1ListAlt"/>
        <w:rPr>
          <w:rFonts w:ascii="Arial" w:hAnsi="Arial" w:cs="Arial"/>
          <w:sz w:val="24"/>
          <w:szCs w:val="24"/>
          <w:lang w:val="en-US"/>
        </w:rPr>
      </w:pPr>
      <w:r>
        <w:rPr>
          <w:rFonts w:ascii="Arial" w:hAnsi="Arial" w:cs="Arial"/>
          <w:sz w:val="24"/>
          <w:szCs w:val="24"/>
          <w:lang w:val="en-US"/>
        </w:rPr>
        <w:t xml:space="preserve">The court </w:t>
      </w:r>
      <w:r w:rsidR="00C16481">
        <w:rPr>
          <w:rFonts w:ascii="Arial" w:hAnsi="Arial" w:cs="Arial"/>
          <w:sz w:val="24"/>
          <w:szCs w:val="24"/>
          <w:lang w:val="en-US"/>
        </w:rPr>
        <w:t xml:space="preserve">also </w:t>
      </w:r>
      <w:r>
        <w:rPr>
          <w:rFonts w:ascii="Arial" w:hAnsi="Arial" w:cs="Arial"/>
          <w:sz w:val="24"/>
          <w:szCs w:val="24"/>
          <w:lang w:val="en-US"/>
        </w:rPr>
        <w:t xml:space="preserve">accepted the </w:t>
      </w:r>
      <w:r w:rsidR="00810BD3">
        <w:rPr>
          <w:rFonts w:ascii="Arial" w:hAnsi="Arial" w:cs="Arial"/>
          <w:sz w:val="24"/>
          <w:szCs w:val="24"/>
          <w:lang w:val="en-US"/>
        </w:rPr>
        <w:t>appellant</w:t>
      </w:r>
      <w:r>
        <w:rPr>
          <w:rFonts w:ascii="Arial" w:hAnsi="Arial" w:cs="Arial"/>
          <w:sz w:val="24"/>
          <w:szCs w:val="24"/>
          <w:lang w:val="en-US"/>
        </w:rPr>
        <w:t xml:space="preserve">’s contention that </w:t>
      </w:r>
      <w:r w:rsidR="00C16481">
        <w:rPr>
          <w:rFonts w:ascii="Arial" w:hAnsi="Arial" w:cs="Arial"/>
          <w:sz w:val="24"/>
          <w:szCs w:val="24"/>
          <w:lang w:val="en-US"/>
        </w:rPr>
        <w:t xml:space="preserve">it </w:t>
      </w:r>
      <w:r>
        <w:rPr>
          <w:rFonts w:ascii="Arial" w:hAnsi="Arial" w:cs="Arial"/>
          <w:sz w:val="24"/>
          <w:szCs w:val="24"/>
          <w:lang w:val="en-US"/>
        </w:rPr>
        <w:t>had been unable to perform under the contract on grounds of supervening impossibility of performance</w:t>
      </w:r>
      <w:r w:rsidR="00C16481">
        <w:rPr>
          <w:rFonts w:ascii="Arial" w:hAnsi="Arial" w:cs="Arial"/>
          <w:sz w:val="24"/>
          <w:szCs w:val="24"/>
          <w:lang w:val="en-US"/>
        </w:rPr>
        <w:t>,</w:t>
      </w:r>
      <w:r>
        <w:rPr>
          <w:rFonts w:ascii="Arial" w:hAnsi="Arial" w:cs="Arial"/>
          <w:sz w:val="24"/>
          <w:szCs w:val="24"/>
          <w:lang w:val="en-US"/>
        </w:rPr>
        <w:t xml:space="preserve"> and </w:t>
      </w:r>
      <w:r w:rsidR="00B450FA">
        <w:rPr>
          <w:rFonts w:ascii="Arial" w:hAnsi="Arial" w:cs="Arial"/>
          <w:sz w:val="24"/>
          <w:szCs w:val="24"/>
          <w:lang w:val="en-US"/>
        </w:rPr>
        <w:t>found</w:t>
      </w:r>
      <w:r>
        <w:rPr>
          <w:rFonts w:ascii="Arial" w:hAnsi="Arial" w:cs="Arial"/>
          <w:sz w:val="24"/>
          <w:szCs w:val="24"/>
          <w:lang w:val="en-US"/>
        </w:rPr>
        <w:t xml:space="preserve"> that it was impossible for the </w:t>
      </w:r>
      <w:r w:rsidR="00810BD3">
        <w:rPr>
          <w:rFonts w:ascii="Arial" w:hAnsi="Arial" w:cs="Arial"/>
          <w:sz w:val="24"/>
          <w:szCs w:val="24"/>
          <w:lang w:val="en-US"/>
        </w:rPr>
        <w:t>appellant</w:t>
      </w:r>
      <w:r>
        <w:rPr>
          <w:rFonts w:ascii="Arial" w:hAnsi="Arial" w:cs="Arial"/>
          <w:sz w:val="24"/>
          <w:szCs w:val="24"/>
          <w:lang w:val="en-US"/>
        </w:rPr>
        <w:t xml:space="preserve"> to perform under the contract because it did not have automation testing projects allocated to it by MTN that it could offer to the </w:t>
      </w:r>
      <w:r w:rsidR="00810BD3">
        <w:rPr>
          <w:rFonts w:ascii="Arial" w:hAnsi="Arial" w:cs="Arial"/>
          <w:sz w:val="24"/>
          <w:szCs w:val="24"/>
          <w:lang w:val="en-US"/>
        </w:rPr>
        <w:t>respondent</w:t>
      </w:r>
      <w:r>
        <w:rPr>
          <w:rFonts w:ascii="Arial" w:hAnsi="Arial" w:cs="Arial"/>
          <w:sz w:val="24"/>
          <w:szCs w:val="24"/>
          <w:lang w:val="en-US"/>
        </w:rPr>
        <w:t xml:space="preserve"> for the </w:t>
      </w:r>
      <w:r w:rsidR="00B450FA">
        <w:rPr>
          <w:rFonts w:ascii="Arial" w:hAnsi="Arial" w:cs="Arial"/>
          <w:sz w:val="24"/>
          <w:szCs w:val="24"/>
          <w:lang w:val="en-US"/>
        </w:rPr>
        <w:t xml:space="preserve">further </w:t>
      </w:r>
      <w:r>
        <w:rPr>
          <w:rFonts w:ascii="Arial" w:hAnsi="Arial" w:cs="Arial"/>
          <w:sz w:val="24"/>
          <w:szCs w:val="24"/>
          <w:lang w:val="en-US"/>
        </w:rPr>
        <w:t xml:space="preserve">duration of her contract.  </w:t>
      </w:r>
    </w:p>
    <w:p w14:paraId="2726B6FB" w14:textId="32876481" w:rsidR="000044FE" w:rsidRDefault="005C2E18" w:rsidP="000044FE">
      <w:pPr>
        <w:pStyle w:val="BowLevel1ListAlt"/>
        <w:rPr>
          <w:rFonts w:ascii="Arial" w:hAnsi="Arial" w:cs="Arial"/>
          <w:sz w:val="24"/>
          <w:szCs w:val="24"/>
          <w:lang w:val="en-US"/>
        </w:rPr>
      </w:pPr>
      <w:r>
        <w:rPr>
          <w:rFonts w:ascii="Arial" w:hAnsi="Arial" w:cs="Arial"/>
          <w:sz w:val="24"/>
          <w:szCs w:val="24"/>
          <w:lang w:val="en-US"/>
        </w:rPr>
        <w:t xml:space="preserve">The court ordered the </w:t>
      </w:r>
      <w:r w:rsidR="00810BD3">
        <w:rPr>
          <w:rFonts w:ascii="Arial" w:hAnsi="Arial" w:cs="Arial"/>
          <w:sz w:val="24"/>
          <w:szCs w:val="24"/>
          <w:lang w:val="en-US"/>
        </w:rPr>
        <w:t>appellant</w:t>
      </w:r>
      <w:r w:rsidR="00FD6D8D">
        <w:rPr>
          <w:rFonts w:ascii="Arial" w:hAnsi="Arial" w:cs="Arial"/>
          <w:sz w:val="24"/>
          <w:szCs w:val="24"/>
          <w:lang w:val="en-US"/>
        </w:rPr>
        <w:t xml:space="preserve"> to pay </w:t>
      </w:r>
      <w:r>
        <w:rPr>
          <w:rFonts w:ascii="Arial" w:hAnsi="Arial" w:cs="Arial"/>
          <w:sz w:val="24"/>
          <w:szCs w:val="24"/>
          <w:lang w:val="en-US"/>
        </w:rPr>
        <w:t xml:space="preserve">damages </w:t>
      </w:r>
      <w:r w:rsidR="00FD6D8D">
        <w:rPr>
          <w:rFonts w:ascii="Arial" w:hAnsi="Arial" w:cs="Arial"/>
          <w:sz w:val="24"/>
          <w:szCs w:val="24"/>
          <w:lang w:val="en-US"/>
        </w:rPr>
        <w:t xml:space="preserve">in an amount equivalent </w:t>
      </w:r>
      <w:r>
        <w:rPr>
          <w:rFonts w:ascii="Arial" w:hAnsi="Arial" w:cs="Arial"/>
          <w:sz w:val="24"/>
          <w:szCs w:val="24"/>
          <w:lang w:val="en-US"/>
        </w:rPr>
        <w:t xml:space="preserve">to </w:t>
      </w:r>
      <w:r w:rsidR="00FD6D8D">
        <w:rPr>
          <w:rFonts w:ascii="Arial" w:hAnsi="Arial" w:cs="Arial"/>
          <w:sz w:val="24"/>
          <w:szCs w:val="24"/>
          <w:lang w:val="en-US"/>
        </w:rPr>
        <w:t xml:space="preserve">the </w:t>
      </w:r>
      <w:r w:rsidR="00810BD3">
        <w:rPr>
          <w:rFonts w:ascii="Arial" w:hAnsi="Arial" w:cs="Arial"/>
          <w:sz w:val="24"/>
          <w:szCs w:val="24"/>
          <w:lang w:val="en-US"/>
        </w:rPr>
        <w:t>respondent</w:t>
      </w:r>
      <w:r w:rsidR="00FD6D8D">
        <w:rPr>
          <w:rFonts w:ascii="Arial" w:hAnsi="Arial" w:cs="Arial"/>
          <w:sz w:val="24"/>
          <w:szCs w:val="24"/>
          <w:lang w:val="en-US"/>
        </w:rPr>
        <w:t xml:space="preserve">’s </w:t>
      </w:r>
      <w:r>
        <w:rPr>
          <w:rFonts w:ascii="Arial" w:hAnsi="Arial" w:cs="Arial"/>
          <w:sz w:val="24"/>
          <w:szCs w:val="24"/>
          <w:lang w:val="en-US"/>
        </w:rPr>
        <w:t xml:space="preserve">loss of earnings during the notice period, being </w:t>
      </w:r>
      <w:r w:rsidR="00FD6D8D">
        <w:rPr>
          <w:rFonts w:ascii="Arial" w:hAnsi="Arial" w:cs="Arial"/>
          <w:sz w:val="24"/>
          <w:szCs w:val="24"/>
          <w:lang w:val="en-US"/>
        </w:rPr>
        <w:t xml:space="preserve">the </w:t>
      </w:r>
      <w:r>
        <w:rPr>
          <w:rFonts w:ascii="Arial" w:hAnsi="Arial" w:cs="Arial"/>
          <w:sz w:val="24"/>
          <w:szCs w:val="24"/>
          <w:lang w:val="en-US"/>
        </w:rPr>
        <w:t>amount of R72</w:t>
      </w:r>
      <w:r w:rsidR="00FD6D8D">
        <w:rPr>
          <w:rFonts w:ascii="Arial" w:hAnsi="Arial" w:cs="Arial"/>
          <w:sz w:val="24"/>
          <w:szCs w:val="24"/>
          <w:lang w:val="en-US"/>
        </w:rPr>
        <w:t>,</w:t>
      </w:r>
      <w:r>
        <w:rPr>
          <w:rFonts w:ascii="Arial" w:hAnsi="Arial" w:cs="Arial"/>
          <w:sz w:val="24"/>
          <w:szCs w:val="24"/>
          <w:lang w:val="en-US"/>
        </w:rPr>
        <w:t>000</w:t>
      </w:r>
      <w:r w:rsidR="00FD6D8D">
        <w:rPr>
          <w:rFonts w:ascii="Arial" w:hAnsi="Arial" w:cs="Arial"/>
          <w:sz w:val="24"/>
          <w:szCs w:val="24"/>
          <w:lang w:val="en-US"/>
        </w:rPr>
        <w:t xml:space="preserve">.  </w:t>
      </w:r>
      <w:r>
        <w:rPr>
          <w:rFonts w:ascii="Arial" w:hAnsi="Arial" w:cs="Arial"/>
          <w:sz w:val="24"/>
          <w:szCs w:val="24"/>
          <w:lang w:val="en-US"/>
        </w:rPr>
        <w:t xml:space="preserve">This was the average </w:t>
      </w:r>
      <w:r w:rsidR="0014349F">
        <w:rPr>
          <w:rFonts w:ascii="Arial" w:hAnsi="Arial" w:cs="Arial"/>
          <w:sz w:val="24"/>
          <w:szCs w:val="24"/>
          <w:lang w:val="en-US"/>
        </w:rPr>
        <w:t xml:space="preserve">of the </w:t>
      </w:r>
      <w:r>
        <w:rPr>
          <w:rFonts w:ascii="Arial" w:hAnsi="Arial" w:cs="Arial"/>
          <w:sz w:val="24"/>
          <w:szCs w:val="24"/>
          <w:lang w:val="en-US"/>
        </w:rPr>
        <w:t xml:space="preserve">monthly </w:t>
      </w:r>
      <w:r w:rsidR="00651C05">
        <w:rPr>
          <w:rFonts w:ascii="Arial" w:hAnsi="Arial" w:cs="Arial"/>
          <w:sz w:val="24"/>
          <w:szCs w:val="24"/>
          <w:lang w:val="en-US"/>
        </w:rPr>
        <w:t xml:space="preserve">fees </w:t>
      </w:r>
      <w:r>
        <w:rPr>
          <w:rFonts w:ascii="Arial" w:hAnsi="Arial" w:cs="Arial"/>
          <w:sz w:val="24"/>
          <w:szCs w:val="24"/>
          <w:lang w:val="en-US"/>
        </w:rPr>
        <w:t xml:space="preserve">that the </w:t>
      </w:r>
      <w:r w:rsidR="00810BD3">
        <w:rPr>
          <w:rFonts w:ascii="Arial" w:hAnsi="Arial" w:cs="Arial"/>
          <w:sz w:val="24"/>
          <w:szCs w:val="24"/>
          <w:lang w:val="en-US"/>
        </w:rPr>
        <w:t>respondent</w:t>
      </w:r>
      <w:r>
        <w:rPr>
          <w:rFonts w:ascii="Arial" w:hAnsi="Arial" w:cs="Arial"/>
          <w:sz w:val="24"/>
          <w:szCs w:val="24"/>
          <w:lang w:val="en-US"/>
        </w:rPr>
        <w:t xml:space="preserve"> </w:t>
      </w:r>
      <w:r w:rsidR="00651C05">
        <w:rPr>
          <w:rFonts w:ascii="Arial" w:hAnsi="Arial" w:cs="Arial"/>
          <w:sz w:val="24"/>
          <w:szCs w:val="24"/>
          <w:lang w:val="en-US"/>
        </w:rPr>
        <w:t xml:space="preserve">had </w:t>
      </w:r>
      <w:r>
        <w:rPr>
          <w:rFonts w:ascii="Arial" w:hAnsi="Arial" w:cs="Arial"/>
          <w:sz w:val="24"/>
          <w:szCs w:val="24"/>
          <w:lang w:val="en-US"/>
        </w:rPr>
        <w:t xml:space="preserve">received </w:t>
      </w:r>
      <w:r w:rsidR="000044FE">
        <w:rPr>
          <w:rFonts w:ascii="Arial" w:hAnsi="Arial" w:cs="Arial"/>
          <w:sz w:val="24"/>
          <w:szCs w:val="24"/>
          <w:lang w:val="en-US"/>
        </w:rPr>
        <w:t xml:space="preserve">during the period of </w:t>
      </w:r>
      <w:r w:rsidR="00651C05">
        <w:rPr>
          <w:rFonts w:ascii="Arial" w:hAnsi="Arial" w:cs="Arial"/>
          <w:sz w:val="24"/>
          <w:szCs w:val="24"/>
          <w:lang w:val="en-US"/>
        </w:rPr>
        <w:t xml:space="preserve">the </w:t>
      </w:r>
      <w:r>
        <w:rPr>
          <w:rFonts w:ascii="Arial" w:hAnsi="Arial" w:cs="Arial"/>
          <w:sz w:val="24"/>
          <w:szCs w:val="24"/>
          <w:lang w:val="en-US"/>
        </w:rPr>
        <w:t>contract</w:t>
      </w:r>
      <w:r w:rsidR="00651C05">
        <w:rPr>
          <w:rFonts w:ascii="Arial" w:hAnsi="Arial" w:cs="Arial"/>
          <w:sz w:val="24"/>
          <w:szCs w:val="24"/>
          <w:lang w:val="en-US"/>
        </w:rPr>
        <w:t xml:space="preserve"> prior to its termination</w:t>
      </w:r>
      <w:r>
        <w:rPr>
          <w:rFonts w:ascii="Arial" w:hAnsi="Arial" w:cs="Arial"/>
          <w:sz w:val="24"/>
          <w:szCs w:val="24"/>
          <w:lang w:val="en-US"/>
        </w:rPr>
        <w:t>.</w:t>
      </w:r>
    </w:p>
    <w:p w14:paraId="43DE80C7" w14:textId="4438C32D" w:rsidR="005C2E18" w:rsidRPr="00B353DA" w:rsidRDefault="000044FE" w:rsidP="00B353DA">
      <w:pPr>
        <w:pStyle w:val="BowLevel1ListAlt"/>
        <w:numPr>
          <w:ilvl w:val="0"/>
          <w:numId w:val="0"/>
        </w:numPr>
        <w:rPr>
          <w:rFonts w:ascii="Arial" w:hAnsi="Arial" w:cs="Arial"/>
          <w:b/>
          <w:bCs/>
          <w:sz w:val="24"/>
          <w:szCs w:val="24"/>
          <w:lang w:val="en-US"/>
        </w:rPr>
      </w:pPr>
      <w:r w:rsidRPr="00B353DA">
        <w:rPr>
          <w:rFonts w:ascii="Arial" w:hAnsi="Arial" w:cs="Arial"/>
          <w:b/>
          <w:bCs/>
          <w:sz w:val="24"/>
          <w:szCs w:val="24"/>
          <w:lang w:val="en-US"/>
        </w:rPr>
        <w:t>Issues in the appeal</w:t>
      </w:r>
      <w:r w:rsidR="005C2E18" w:rsidRPr="00B353DA">
        <w:rPr>
          <w:rFonts w:ascii="Arial" w:hAnsi="Arial" w:cs="Arial"/>
          <w:b/>
          <w:bCs/>
          <w:sz w:val="24"/>
          <w:szCs w:val="24"/>
          <w:lang w:val="en-US"/>
        </w:rPr>
        <w:t xml:space="preserve">  </w:t>
      </w:r>
    </w:p>
    <w:p w14:paraId="678F7EA5" w14:textId="5AE36E7B" w:rsidR="007D775E" w:rsidRDefault="005C2E18" w:rsidP="00B71F31">
      <w:pPr>
        <w:pStyle w:val="BowLevel1ListAlt"/>
        <w:rPr>
          <w:rFonts w:ascii="Arial" w:hAnsi="Arial" w:cs="Arial"/>
          <w:sz w:val="24"/>
          <w:szCs w:val="24"/>
          <w:lang w:val="en-US"/>
        </w:rPr>
      </w:pPr>
      <w:r>
        <w:rPr>
          <w:rFonts w:ascii="Arial" w:hAnsi="Arial" w:cs="Arial"/>
          <w:sz w:val="24"/>
          <w:szCs w:val="24"/>
          <w:lang w:val="en-US"/>
        </w:rPr>
        <w:t xml:space="preserve">In this appeal the </w:t>
      </w:r>
      <w:r w:rsidR="00810BD3">
        <w:rPr>
          <w:rFonts w:ascii="Arial" w:hAnsi="Arial" w:cs="Arial"/>
          <w:sz w:val="24"/>
          <w:szCs w:val="24"/>
          <w:lang w:val="en-US"/>
        </w:rPr>
        <w:t>appellant</w:t>
      </w:r>
      <w:r w:rsidR="005E6412">
        <w:rPr>
          <w:rFonts w:ascii="Arial" w:hAnsi="Arial" w:cs="Arial"/>
          <w:sz w:val="24"/>
          <w:szCs w:val="24"/>
          <w:lang w:val="en-US"/>
        </w:rPr>
        <w:t xml:space="preserve"> advances two main contentions.  The first is that </w:t>
      </w:r>
      <w:r w:rsidR="003B5FFE">
        <w:rPr>
          <w:rFonts w:ascii="Arial" w:hAnsi="Arial" w:cs="Arial"/>
          <w:sz w:val="24"/>
          <w:szCs w:val="24"/>
          <w:lang w:val="en-US"/>
        </w:rPr>
        <w:t xml:space="preserve">the court </w:t>
      </w:r>
      <w:r w:rsidR="003B5FFE" w:rsidRPr="009E131A">
        <w:rPr>
          <w:rFonts w:ascii="Arial" w:hAnsi="Arial" w:cs="Arial"/>
          <w:i/>
          <w:iCs/>
          <w:sz w:val="24"/>
          <w:szCs w:val="24"/>
          <w:lang w:val="en-US"/>
        </w:rPr>
        <w:t>a quo</w:t>
      </w:r>
      <w:r w:rsidR="003B5FFE">
        <w:rPr>
          <w:rFonts w:ascii="Arial" w:hAnsi="Arial" w:cs="Arial"/>
          <w:sz w:val="24"/>
          <w:szCs w:val="24"/>
          <w:lang w:val="en-US"/>
        </w:rPr>
        <w:t xml:space="preserve"> erred in its interpretation of the contract, and should have found that</w:t>
      </w:r>
      <w:r w:rsidR="00C95FDC">
        <w:rPr>
          <w:rFonts w:ascii="Arial" w:hAnsi="Arial" w:cs="Arial"/>
          <w:sz w:val="24"/>
          <w:szCs w:val="24"/>
          <w:lang w:val="en-US"/>
        </w:rPr>
        <w:t>, properly interpreted,</w:t>
      </w:r>
      <w:r w:rsidR="003B5FFE">
        <w:rPr>
          <w:rFonts w:ascii="Arial" w:hAnsi="Arial" w:cs="Arial"/>
          <w:sz w:val="24"/>
          <w:szCs w:val="24"/>
          <w:lang w:val="en-US"/>
        </w:rPr>
        <w:t xml:space="preserve"> the contract</w:t>
      </w:r>
      <w:r w:rsidR="00C95FDC">
        <w:rPr>
          <w:rFonts w:ascii="Arial" w:hAnsi="Arial" w:cs="Arial"/>
          <w:sz w:val="24"/>
          <w:szCs w:val="24"/>
          <w:lang w:val="en-US"/>
        </w:rPr>
        <w:t xml:space="preserve"> terminated automatically when MTN gave notice that it no longer required </w:t>
      </w:r>
      <w:r w:rsidR="006E2CFB">
        <w:rPr>
          <w:rFonts w:ascii="Arial" w:hAnsi="Arial" w:cs="Arial"/>
          <w:sz w:val="24"/>
          <w:szCs w:val="24"/>
          <w:lang w:val="en-US"/>
        </w:rPr>
        <w:t xml:space="preserve">the </w:t>
      </w:r>
      <w:r w:rsidR="00810BD3">
        <w:rPr>
          <w:rFonts w:ascii="Arial" w:hAnsi="Arial" w:cs="Arial"/>
          <w:sz w:val="24"/>
          <w:szCs w:val="24"/>
          <w:lang w:val="en-US"/>
        </w:rPr>
        <w:t>appellant</w:t>
      </w:r>
      <w:r w:rsidR="006E2CFB">
        <w:rPr>
          <w:rFonts w:ascii="Arial" w:hAnsi="Arial" w:cs="Arial"/>
          <w:sz w:val="24"/>
          <w:szCs w:val="24"/>
          <w:lang w:val="en-US"/>
        </w:rPr>
        <w:t xml:space="preserve"> to provide the services that had </w:t>
      </w:r>
      <w:r w:rsidR="00310373">
        <w:rPr>
          <w:rFonts w:ascii="Arial" w:hAnsi="Arial" w:cs="Arial"/>
          <w:sz w:val="24"/>
          <w:szCs w:val="24"/>
          <w:lang w:val="en-US"/>
        </w:rPr>
        <w:t xml:space="preserve">thus far </w:t>
      </w:r>
      <w:r w:rsidR="006E2CFB">
        <w:rPr>
          <w:rFonts w:ascii="Arial" w:hAnsi="Arial" w:cs="Arial"/>
          <w:sz w:val="24"/>
          <w:szCs w:val="24"/>
          <w:lang w:val="en-US"/>
        </w:rPr>
        <w:t xml:space="preserve">been rendered by the </w:t>
      </w:r>
      <w:r w:rsidR="00810BD3">
        <w:rPr>
          <w:rFonts w:ascii="Arial" w:hAnsi="Arial" w:cs="Arial"/>
          <w:sz w:val="24"/>
          <w:szCs w:val="24"/>
          <w:lang w:val="en-US"/>
        </w:rPr>
        <w:t>respondent</w:t>
      </w:r>
      <w:r w:rsidR="006E2CFB">
        <w:rPr>
          <w:rFonts w:ascii="Arial" w:hAnsi="Arial" w:cs="Arial"/>
          <w:sz w:val="24"/>
          <w:szCs w:val="24"/>
          <w:lang w:val="en-US"/>
        </w:rPr>
        <w:t xml:space="preserve">.  </w:t>
      </w:r>
      <w:r w:rsidR="001800E7">
        <w:rPr>
          <w:rFonts w:ascii="Arial" w:hAnsi="Arial" w:cs="Arial"/>
          <w:sz w:val="24"/>
          <w:szCs w:val="24"/>
          <w:lang w:val="en-US"/>
        </w:rPr>
        <w:t xml:space="preserve">In other words, the </w:t>
      </w:r>
      <w:r w:rsidR="00810BD3">
        <w:rPr>
          <w:rFonts w:ascii="Arial" w:hAnsi="Arial" w:cs="Arial"/>
          <w:sz w:val="24"/>
          <w:szCs w:val="24"/>
          <w:lang w:val="en-US"/>
        </w:rPr>
        <w:t>appellant</w:t>
      </w:r>
      <w:r w:rsidR="001800E7">
        <w:rPr>
          <w:rFonts w:ascii="Arial" w:hAnsi="Arial" w:cs="Arial"/>
          <w:sz w:val="24"/>
          <w:szCs w:val="24"/>
          <w:lang w:val="en-US"/>
        </w:rPr>
        <w:t xml:space="preserve"> contends that on the facts the court should have found that the </w:t>
      </w:r>
      <w:r w:rsidR="007D775E">
        <w:rPr>
          <w:rFonts w:ascii="Arial" w:hAnsi="Arial" w:cs="Arial"/>
          <w:sz w:val="24"/>
          <w:szCs w:val="24"/>
          <w:lang w:val="en-US"/>
        </w:rPr>
        <w:t xml:space="preserve">contract had terminated on the </w:t>
      </w:r>
      <w:r w:rsidR="001800E7">
        <w:rPr>
          <w:rFonts w:ascii="Arial" w:hAnsi="Arial" w:cs="Arial"/>
          <w:sz w:val="24"/>
          <w:szCs w:val="24"/>
          <w:lang w:val="en-US"/>
        </w:rPr>
        <w:t xml:space="preserve">third ground </w:t>
      </w:r>
      <w:r w:rsidR="007D775E">
        <w:rPr>
          <w:rFonts w:ascii="Arial" w:hAnsi="Arial" w:cs="Arial"/>
          <w:sz w:val="24"/>
          <w:szCs w:val="24"/>
          <w:lang w:val="en-US"/>
        </w:rPr>
        <w:t xml:space="preserve">provided for in clause 3 </w:t>
      </w:r>
      <w:r w:rsidR="0014349F">
        <w:rPr>
          <w:rFonts w:ascii="Arial" w:hAnsi="Arial" w:cs="Arial"/>
          <w:sz w:val="24"/>
          <w:szCs w:val="24"/>
          <w:lang w:val="en-US"/>
        </w:rPr>
        <w:t xml:space="preserve">of the contract </w:t>
      </w:r>
      <w:r w:rsidR="007D775E">
        <w:rPr>
          <w:rFonts w:ascii="Arial" w:hAnsi="Arial" w:cs="Arial"/>
          <w:sz w:val="24"/>
          <w:szCs w:val="24"/>
          <w:lang w:val="en-US"/>
        </w:rPr>
        <w:t>(referred to in paragraph 9 above).</w:t>
      </w:r>
    </w:p>
    <w:p w14:paraId="5DE902F5" w14:textId="048C473A" w:rsidR="005C2E18" w:rsidRDefault="007D775E" w:rsidP="00B71F31">
      <w:pPr>
        <w:pStyle w:val="BowLevel1ListAlt"/>
        <w:rPr>
          <w:rFonts w:ascii="Arial" w:hAnsi="Arial" w:cs="Arial"/>
          <w:sz w:val="24"/>
          <w:szCs w:val="24"/>
          <w:lang w:val="en-US"/>
        </w:rPr>
      </w:pPr>
      <w:r>
        <w:rPr>
          <w:rFonts w:ascii="Arial" w:hAnsi="Arial" w:cs="Arial"/>
          <w:sz w:val="24"/>
          <w:szCs w:val="24"/>
          <w:lang w:val="en-US"/>
        </w:rPr>
        <w:t xml:space="preserve">The </w:t>
      </w:r>
      <w:r w:rsidR="00810BD3">
        <w:rPr>
          <w:rFonts w:ascii="Arial" w:hAnsi="Arial" w:cs="Arial"/>
          <w:sz w:val="24"/>
          <w:szCs w:val="24"/>
          <w:lang w:val="en-US"/>
        </w:rPr>
        <w:t>appellant</w:t>
      </w:r>
      <w:r>
        <w:rPr>
          <w:rFonts w:ascii="Arial" w:hAnsi="Arial" w:cs="Arial"/>
          <w:sz w:val="24"/>
          <w:szCs w:val="24"/>
          <w:lang w:val="en-US"/>
        </w:rPr>
        <w:t xml:space="preserve">’s </w:t>
      </w:r>
      <w:r w:rsidR="006E2CFB">
        <w:rPr>
          <w:rFonts w:ascii="Arial" w:hAnsi="Arial" w:cs="Arial"/>
          <w:sz w:val="24"/>
          <w:szCs w:val="24"/>
          <w:lang w:val="en-US"/>
        </w:rPr>
        <w:t xml:space="preserve">second </w:t>
      </w:r>
      <w:r>
        <w:rPr>
          <w:rFonts w:ascii="Arial" w:hAnsi="Arial" w:cs="Arial"/>
          <w:sz w:val="24"/>
          <w:szCs w:val="24"/>
          <w:lang w:val="en-US"/>
        </w:rPr>
        <w:t xml:space="preserve">main contention </w:t>
      </w:r>
      <w:r w:rsidR="006E2CFB">
        <w:rPr>
          <w:rFonts w:ascii="Arial" w:hAnsi="Arial" w:cs="Arial"/>
          <w:sz w:val="24"/>
          <w:szCs w:val="24"/>
          <w:lang w:val="en-US"/>
        </w:rPr>
        <w:t xml:space="preserve">is that in light of </w:t>
      </w:r>
      <w:r>
        <w:rPr>
          <w:rFonts w:ascii="Arial" w:hAnsi="Arial" w:cs="Arial"/>
          <w:sz w:val="24"/>
          <w:szCs w:val="24"/>
          <w:lang w:val="en-US"/>
        </w:rPr>
        <w:t>t</w:t>
      </w:r>
      <w:r w:rsidR="00F94ECC">
        <w:rPr>
          <w:rFonts w:ascii="Arial" w:hAnsi="Arial" w:cs="Arial"/>
          <w:sz w:val="24"/>
          <w:szCs w:val="24"/>
          <w:lang w:val="en-US"/>
        </w:rPr>
        <w:t>he</w:t>
      </w:r>
      <w:r w:rsidR="005C2E18">
        <w:rPr>
          <w:rFonts w:ascii="Arial" w:hAnsi="Arial" w:cs="Arial"/>
          <w:sz w:val="24"/>
          <w:szCs w:val="24"/>
          <w:lang w:val="en-US"/>
        </w:rPr>
        <w:t xml:space="preserve"> conclu</w:t>
      </w:r>
      <w:r w:rsidR="007B1524">
        <w:rPr>
          <w:rFonts w:ascii="Arial" w:hAnsi="Arial" w:cs="Arial"/>
          <w:sz w:val="24"/>
          <w:szCs w:val="24"/>
          <w:lang w:val="en-US"/>
        </w:rPr>
        <w:t xml:space="preserve">sion </w:t>
      </w:r>
      <w:r w:rsidR="0014349F">
        <w:rPr>
          <w:rFonts w:ascii="Arial" w:hAnsi="Arial" w:cs="Arial"/>
          <w:sz w:val="24"/>
          <w:szCs w:val="24"/>
          <w:lang w:val="en-US"/>
        </w:rPr>
        <w:t xml:space="preserve">the court </w:t>
      </w:r>
      <w:r w:rsidR="0014349F" w:rsidRPr="0014349F">
        <w:rPr>
          <w:rFonts w:ascii="Arial" w:hAnsi="Arial" w:cs="Arial"/>
          <w:i/>
          <w:iCs/>
          <w:sz w:val="24"/>
          <w:szCs w:val="24"/>
          <w:lang w:val="en-US"/>
        </w:rPr>
        <w:t>a quo</w:t>
      </w:r>
      <w:r w:rsidR="00F94ECC">
        <w:rPr>
          <w:rFonts w:ascii="Arial" w:hAnsi="Arial" w:cs="Arial"/>
          <w:sz w:val="24"/>
          <w:szCs w:val="24"/>
          <w:lang w:val="en-US"/>
        </w:rPr>
        <w:t xml:space="preserve"> had reached </w:t>
      </w:r>
      <w:r w:rsidR="005C2E18">
        <w:rPr>
          <w:rFonts w:ascii="Arial" w:hAnsi="Arial" w:cs="Arial"/>
          <w:sz w:val="24"/>
          <w:szCs w:val="24"/>
          <w:lang w:val="en-US"/>
        </w:rPr>
        <w:t>that there was a supervening impossibility of performance</w:t>
      </w:r>
      <w:r w:rsidR="00B21B20">
        <w:rPr>
          <w:rFonts w:ascii="Arial" w:hAnsi="Arial" w:cs="Arial"/>
          <w:sz w:val="24"/>
          <w:szCs w:val="24"/>
          <w:lang w:val="en-US"/>
        </w:rPr>
        <w:t>,</w:t>
      </w:r>
      <w:r w:rsidR="005C2E18">
        <w:rPr>
          <w:rFonts w:ascii="Arial" w:hAnsi="Arial" w:cs="Arial"/>
          <w:sz w:val="24"/>
          <w:szCs w:val="24"/>
          <w:lang w:val="en-US"/>
        </w:rPr>
        <w:t xml:space="preserve"> the court erred in </w:t>
      </w:r>
      <w:r w:rsidR="007B1524">
        <w:rPr>
          <w:rFonts w:ascii="Arial" w:hAnsi="Arial" w:cs="Arial"/>
          <w:sz w:val="24"/>
          <w:szCs w:val="24"/>
          <w:lang w:val="en-US"/>
        </w:rPr>
        <w:t xml:space="preserve">finding </w:t>
      </w:r>
      <w:r w:rsidR="005C2E18">
        <w:rPr>
          <w:rFonts w:ascii="Arial" w:hAnsi="Arial" w:cs="Arial"/>
          <w:sz w:val="24"/>
          <w:szCs w:val="24"/>
          <w:lang w:val="en-US"/>
        </w:rPr>
        <w:t xml:space="preserve">that </w:t>
      </w:r>
      <w:r w:rsidR="00B21B20">
        <w:rPr>
          <w:rFonts w:ascii="Arial" w:hAnsi="Arial" w:cs="Arial"/>
          <w:sz w:val="24"/>
          <w:szCs w:val="24"/>
          <w:lang w:val="en-US"/>
        </w:rPr>
        <w:t xml:space="preserve">the </w:t>
      </w:r>
      <w:r w:rsidR="00810BD3">
        <w:rPr>
          <w:rFonts w:ascii="Arial" w:hAnsi="Arial" w:cs="Arial"/>
          <w:sz w:val="24"/>
          <w:szCs w:val="24"/>
          <w:lang w:val="en-US"/>
        </w:rPr>
        <w:t>appellant</w:t>
      </w:r>
      <w:r w:rsidR="00B21B20">
        <w:rPr>
          <w:rFonts w:ascii="Arial" w:hAnsi="Arial" w:cs="Arial"/>
          <w:sz w:val="24"/>
          <w:szCs w:val="24"/>
          <w:lang w:val="en-US"/>
        </w:rPr>
        <w:t xml:space="preserve"> </w:t>
      </w:r>
      <w:r w:rsidR="005C2E18">
        <w:rPr>
          <w:rFonts w:ascii="Arial" w:hAnsi="Arial" w:cs="Arial"/>
          <w:sz w:val="24"/>
          <w:szCs w:val="24"/>
          <w:lang w:val="en-US"/>
        </w:rPr>
        <w:t xml:space="preserve">was </w:t>
      </w:r>
      <w:r w:rsidR="00F94ECC">
        <w:rPr>
          <w:rFonts w:ascii="Arial" w:hAnsi="Arial" w:cs="Arial"/>
          <w:sz w:val="24"/>
          <w:szCs w:val="24"/>
          <w:lang w:val="en-US"/>
        </w:rPr>
        <w:t xml:space="preserve">nevertheless </w:t>
      </w:r>
      <w:r w:rsidR="005C2E18">
        <w:rPr>
          <w:rFonts w:ascii="Arial" w:hAnsi="Arial" w:cs="Arial"/>
          <w:sz w:val="24"/>
          <w:szCs w:val="24"/>
          <w:lang w:val="en-US"/>
        </w:rPr>
        <w:t xml:space="preserve">obliged to give notice </w:t>
      </w:r>
      <w:r w:rsidR="00B21B20">
        <w:rPr>
          <w:rFonts w:ascii="Arial" w:hAnsi="Arial" w:cs="Arial"/>
          <w:sz w:val="24"/>
          <w:szCs w:val="24"/>
          <w:lang w:val="en-US"/>
        </w:rPr>
        <w:t xml:space="preserve">to terminate the contract, </w:t>
      </w:r>
      <w:r w:rsidR="005C2E18">
        <w:rPr>
          <w:rFonts w:ascii="Arial" w:hAnsi="Arial" w:cs="Arial"/>
          <w:sz w:val="24"/>
          <w:szCs w:val="24"/>
          <w:lang w:val="en-US"/>
        </w:rPr>
        <w:t xml:space="preserve">and </w:t>
      </w:r>
      <w:r w:rsidR="00F94ECC">
        <w:rPr>
          <w:rFonts w:ascii="Arial" w:hAnsi="Arial" w:cs="Arial"/>
          <w:sz w:val="24"/>
          <w:szCs w:val="24"/>
          <w:lang w:val="en-US"/>
        </w:rPr>
        <w:t xml:space="preserve">that it </w:t>
      </w:r>
      <w:r w:rsidR="005C2E18">
        <w:rPr>
          <w:rFonts w:ascii="Arial" w:hAnsi="Arial" w:cs="Arial"/>
          <w:sz w:val="24"/>
          <w:szCs w:val="24"/>
          <w:lang w:val="en-US"/>
        </w:rPr>
        <w:t xml:space="preserve">should have concluded that </w:t>
      </w:r>
      <w:r w:rsidR="00F94ECC">
        <w:rPr>
          <w:rFonts w:ascii="Arial" w:hAnsi="Arial" w:cs="Arial"/>
          <w:sz w:val="24"/>
          <w:szCs w:val="24"/>
          <w:lang w:val="en-US"/>
        </w:rPr>
        <w:t xml:space="preserve">in those circumstances, </w:t>
      </w:r>
      <w:r w:rsidR="00341CC3">
        <w:rPr>
          <w:rFonts w:ascii="Arial" w:hAnsi="Arial" w:cs="Arial"/>
          <w:sz w:val="24"/>
          <w:szCs w:val="24"/>
          <w:lang w:val="en-US"/>
        </w:rPr>
        <w:t xml:space="preserve">even if this was not a situation contemplated in the third ground of termination provided for in the contract, </w:t>
      </w:r>
      <w:r w:rsidR="005C2E18">
        <w:rPr>
          <w:rFonts w:ascii="Arial" w:hAnsi="Arial" w:cs="Arial"/>
          <w:sz w:val="24"/>
          <w:szCs w:val="24"/>
          <w:lang w:val="en-US"/>
        </w:rPr>
        <w:t>no notice was required.</w:t>
      </w:r>
    </w:p>
    <w:p w14:paraId="3641434F" w14:textId="77777777" w:rsidR="00810BD3" w:rsidRDefault="00810BD3">
      <w:pPr>
        <w:jc w:val="left"/>
        <w:rPr>
          <w:rFonts w:ascii="Arial" w:hAnsi="Arial" w:cs="Arial"/>
          <w:b/>
          <w:bCs/>
          <w:sz w:val="24"/>
          <w:szCs w:val="24"/>
          <w:lang w:val="en-US"/>
        </w:rPr>
      </w:pPr>
      <w:r>
        <w:rPr>
          <w:rFonts w:ascii="Arial" w:hAnsi="Arial" w:cs="Arial"/>
          <w:b/>
          <w:bCs/>
          <w:sz w:val="24"/>
          <w:szCs w:val="24"/>
          <w:lang w:val="en-US"/>
        </w:rPr>
        <w:br w:type="page"/>
      </w:r>
    </w:p>
    <w:p w14:paraId="2BC3FF29" w14:textId="7A5BFE8C" w:rsidR="005C2E18" w:rsidRPr="005C2E18" w:rsidRDefault="00B21B20" w:rsidP="009E131A">
      <w:pPr>
        <w:pStyle w:val="BowLevel1ListAlt"/>
        <w:numPr>
          <w:ilvl w:val="0"/>
          <w:numId w:val="0"/>
        </w:numPr>
        <w:ind w:left="567" w:hanging="567"/>
        <w:rPr>
          <w:rFonts w:ascii="Arial" w:hAnsi="Arial" w:cs="Arial"/>
          <w:b/>
          <w:bCs/>
          <w:sz w:val="24"/>
          <w:szCs w:val="24"/>
          <w:lang w:val="en-US"/>
        </w:rPr>
      </w:pPr>
      <w:r>
        <w:rPr>
          <w:rFonts w:ascii="Arial" w:hAnsi="Arial" w:cs="Arial"/>
          <w:b/>
          <w:bCs/>
          <w:sz w:val="24"/>
          <w:szCs w:val="24"/>
          <w:lang w:val="en-US"/>
        </w:rPr>
        <w:lastRenderedPageBreak/>
        <w:t>Analysis</w:t>
      </w:r>
    </w:p>
    <w:p w14:paraId="0420290A" w14:textId="11AE28FD" w:rsidR="00DC2AE7" w:rsidRDefault="00CF773C" w:rsidP="00B71F31">
      <w:pPr>
        <w:pStyle w:val="BowLevel1ListAlt"/>
        <w:rPr>
          <w:rFonts w:ascii="Arial" w:hAnsi="Arial" w:cs="Arial"/>
          <w:sz w:val="24"/>
          <w:szCs w:val="24"/>
          <w:lang w:val="en-US"/>
        </w:rPr>
      </w:pPr>
      <w:r>
        <w:rPr>
          <w:rFonts w:ascii="Arial" w:hAnsi="Arial" w:cs="Arial"/>
          <w:sz w:val="24"/>
          <w:szCs w:val="24"/>
          <w:lang w:val="en-US"/>
        </w:rPr>
        <w:t xml:space="preserve">As regards the </w:t>
      </w:r>
      <w:r w:rsidR="00810BD3">
        <w:rPr>
          <w:rFonts w:ascii="Arial" w:hAnsi="Arial" w:cs="Arial"/>
          <w:sz w:val="24"/>
          <w:szCs w:val="24"/>
          <w:lang w:val="en-US"/>
        </w:rPr>
        <w:t>appellant</w:t>
      </w:r>
      <w:r>
        <w:rPr>
          <w:rFonts w:ascii="Arial" w:hAnsi="Arial" w:cs="Arial"/>
          <w:sz w:val="24"/>
          <w:szCs w:val="24"/>
          <w:lang w:val="en-US"/>
        </w:rPr>
        <w:t xml:space="preserve">’s first </w:t>
      </w:r>
      <w:r w:rsidR="00802BAD">
        <w:rPr>
          <w:rFonts w:ascii="Arial" w:hAnsi="Arial" w:cs="Arial"/>
          <w:sz w:val="24"/>
          <w:szCs w:val="24"/>
          <w:lang w:val="en-US"/>
        </w:rPr>
        <w:t xml:space="preserve">contention </w:t>
      </w:r>
      <w:r w:rsidR="00E63519">
        <w:rPr>
          <w:rFonts w:ascii="Arial" w:hAnsi="Arial" w:cs="Arial"/>
          <w:sz w:val="24"/>
          <w:szCs w:val="24"/>
          <w:lang w:val="en-US"/>
        </w:rPr>
        <w:t>Mr Modiba</w:t>
      </w:r>
      <w:r w:rsidR="006B60E4">
        <w:rPr>
          <w:rFonts w:ascii="Arial" w:hAnsi="Arial" w:cs="Arial"/>
          <w:sz w:val="24"/>
          <w:szCs w:val="24"/>
          <w:lang w:val="en-US"/>
        </w:rPr>
        <w:t>,</w:t>
      </w:r>
      <w:r w:rsidR="00802BAD">
        <w:rPr>
          <w:rFonts w:ascii="Arial" w:hAnsi="Arial" w:cs="Arial"/>
          <w:sz w:val="24"/>
          <w:szCs w:val="24"/>
          <w:lang w:val="en-US"/>
        </w:rPr>
        <w:t xml:space="preserve"> </w:t>
      </w:r>
      <w:r>
        <w:rPr>
          <w:rFonts w:ascii="Arial" w:hAnsi="Arial" w:cs="Arial"/>
          <w:sz w:val="24"/>
          <w:szCs w:val="24"/>
          <w:lang w:val="en-US"/>
        </w:rPr>
        <w:t xml:space="preserve">counsel appearing </w:t>
      </w:r>
      <w:r w:rsidR="00E63519">
        <w:rPr>
          <w:rFonts w:ascii="Arial" w:hAnsi="Arial" w:cs="Arial"/>
          <w:sz w:val="24"/>
          <w:szCs w:val="24"/>
          <w:lang w:val="en-US"/>
        </w:rPr>
        <w:t xml:space="preserve">for the </w:t>
      </w:r>
      <w:r w:rsidR="00810BD3">
        <w:rPr>
          <w:rFonts w:ascii="Arial" w:hAnsi="Arial" w:cs="Arial"/>
          <w:sz w:val="24"/>
          <w:szCs w:val="24"/>
          <w:lang w:val="en-US"/>
        </w:rPr>
        <w:t>appellant</w:t>
      </w:r>
      <w:r w:rsidR="006B60E4">
        <w:rPr>
          <w:rFonts w:ascii="Arial" w:hAnsi="Arial" w:cs="Arial"/>
          <w:sz w:val="24"/>
          <w:szCs w:val="24"/>
          <w:lang w:val="en-US"/>
        </w:rPr>
        <w:t>,</w:t>
      </w:r>
      <w:r w:rsidR="00E63519">
        <w:rPr>
          <w:rFonts w:ascii="Arial" w:hAnsi="Arial" w:cs="Arial"/>
          <w:sz w:val="24"/>
          <w:szCs w:val="24"/>
          <w:lang w:val="en-US"/>
        </w:rPr>
        <w:t xml:space="preserve"> </w:t>
      </w:r>
      <w:r w:rsidR="00802BAD">
        <w:rPr>
          <w:rFonts w:ascii="Arial" w:hAnsi="Arial" w:cs="Arial"/>
          <w:sz w:val="24"/>
          <w:szCs w:val="24"/>
          <w:lang w:val="en-US"/>
        </w:rPr>
        <w:t xml:space="preserve">submitted that </w:t>
      </w:r>
      <w:r w:rsidR="00E63519">
        <w:rPr>
          <w:rFonts w:ascii="Arial" w:hAnsi="Arial" w:cs="Arial"/>
          <w:sz w:val="24"/>
          <w:szCs w:val="24"/>
          <w:lang w:val="en-US"/>
        </w:rPr>
        <w:t>on a proper interpretation of the provisions of the contract</w:t>
      </w:r>
      <w:r w:rsidR="00600E90">
        <w:rPr>
          <w:rFonts w:ascii="Arial" w:hAnsi="Arial" w:cs="Arial"/>
          <w:sz w:val="24"/>
          <w:szCs w:val="24"/>
          <w:lang w:val="en-US"/>
        </w:rPr>
        <w:t xml:space="preserve"> the third ground of termination provided for in the contract was sufficiently broad, </w:t>
      </w:r>
      <w:r w:rsidR="00656B31">
        <w:rPr>
          <w:rFonts w:ascii="Arial" w:hAnsi="Arial" w:cs="Arial"/>
          <w:sz w:val="24"/>
          <w:szCs w:val="24"/>
          <w:lang w:val="en-US"/>
        </w:rPr>
        <w:t>having regard to its rationale and the presumed intentions of the parties when they concluded the contract, to extend to a situation in whic</w:t>
      </w:r>
      <w:r w:rsidR="001E7EBB">
        <w:rPr>
          <w:rFonts w:ascii="Arial" w:hAnsi="Arial" w:cs="Arial"/>
          <w:sz w:val="24"/>
          <w:szCs w:val="24"/>
          <w:lang w:val="en-US"/>
        </w:rPr>
        <w:t xml:space="preserve">h the service level agreement with MTN did not terminate, but </w:t>
      </w:r>
      <w:r w:rsidR="00913484">
        <w:rPr>
          <w:rFonts w:ascii="Arial" w:hAnsi="Arial" w:cs="Arial"/>
          <w:sz w:val="24"/>
          <w:szCs w:val="24"/>
          <w:lang w:val="en-US"/>
        </w:rPr>
        <w:t xml:space="preserve">where </w:t>
      </w:r>
      <w:r w:rsidR="006B60E4">
        <w:rPr>
          <w:rFonts w:ascii="Arial" w:hAnsi="Arial" w:cs="Arial"/>
          <w:sz w:val="24"/>
          <w:szCs w:val="24"/>
          <w:lang w:val="en-US"/>
        </w:rPr>
        <w:t xml:space="preserve">only </w:t>
      </w:r>
      <w:r w:rsidR="00913484">
        <w:rPr>
          <w:rFonts w:ascii="Arial" w:hAnsi="Arial" w:cs="Arial"/>
          <w:sz w:val="24"/>
          <w:szCs w:val="24"/>
          <w:lang w:val="en-US"/>
        </w:rPr>
        <w:t xml:space="preserve">the </w:t>
      </w:r>
      <w:r w:rsidR="007F1627">
        <w:rPr>
          <w:rFonts w:ascii="Arial" w:hAnsi="Arial" w:cs="Arial"/>
          <w:sz w:val="24"/>
          <w:szCs w:val="24"/>
          <w:lang w:val="en-US"/>
        </w:rPr>
        <w:t xml:space="preserve">services specifically provided by the </w:t>
      </w:r>
      <w:r w:rsidR="00810BD3">
        <w:rPr>
          <w:rFonts w:ascii="Arial" w:hAnsi="Arial" w:cs="Arial"/>
          <w:sz w:val="24"/>
          <w:szCs w:val="24"/>
          <w:lang w:val="en-US"/>
        </w:rPr>
        <w:t>respondent</w:t>
      </w:r>
      <w:r w:rsidR="007F1627">
        <w:rPr>
          <w:rFonts w:ascii="Arial" w:hAnsi="Arial" w:cs="Arial"/>
          <w:sz w:val="24"/>
          <w:szCs w:val="24"/>
          <w:lang w:val="en-US"/>
        </w:rPr>
        <w:t xml:space="preserve"> were no longer required by MTN</w:t>
      </w:r>
      <w:r w:rsidR="00DC2AE7">
        <w:rPr>
          <w:rFonts w:ascii="Arial" w:hAnsi="Arial" w:cs="Arial"/>
          <w:sz w:val="24"/>
          <w:szCs w:val="24"/>
          <w:lang w:val="en-US"/>
        </w:rPr>
        <w:t xml:space="preserve">.  </w:t>
      </w:r>
    </w:p>
    <w:p w14:paraId="0C3A9C10" w14:textId="4D6B34A1" w:rsidR="0070499D" w:rsidRDefault="00DC2AE7" w:rsidP="00B71F31">
      <w:pPr>
        <w:pStyle w:val="BowLevel1ListAlt"/>
        <w:rPr>
          <w:rFonts w:ascii="Arial" w:hAnsi="Arial" w:cs="Arial"/>
          <w:sz w:val="24"/>
          <w:szCs w:val="24"/>
          <w:lang w:val="en-US"/>
        </w:rPr>
      </w:pPr>
      <w:r>
        <w:rPr>
          <w:rFonts w:ascii="Arial" w:hAnsi="Arial" w:cs="Arial"/>
          <w:sz w:val="24"/>
          <w:szCs w:val="24"/>
          <w:lang w:val="en-US"/>
        </w:rPr>
        <w:t xml:space="preserve">Put differently, the </w:t>
      </w:r>
      <w:r w:rsidR="00810BD3">
        <w:rPr>
          <w:rFonts w:ascii="Arial" w:hAnsi="Arial" w:cs="Arial"/>
          <w:sz w:val="24"/>
          <w:szCs w:val="24"/>
          <w:lang w:val="en-US"/>
        </w:rPr>
        <w:t>appellant</w:t>
      </w:r>
      <w:r>
        <w:rPr>
          <w:rFonts w:ascii="Arial" w:hAnsi="Arial" w:cs="Arial"/>
          <w:sz w:val="24"/>
          <w:szCs w:val="24"/>
          <w:lang w:val="en-US"/>
        </w:rPr>
        <w:t xml:space="preserve"> contends that the third ground of termination extended to a situation in which </w:t>
      </w:r>
      <w:r w:rsidR="00913484">
        <w:rPr>
          <w:rFonts w:ascii="Arial" w:hAnsi="Arial" w:cs="Arial"/>
          <w:sz w:val="24"/>
          <w:szCs w:val="24"/>
          <w:lang w:val="en-US"/>
        </w:rPr>
        <w:t xml:space="preserve">there was </w:t>
      </w:r>
      <w:r w:rsidR="00E63519">
        <w:rPr>
          <w:rFonts w:ascii="Arial" w:hAnsi="Arial" w:cs="Arial"/>
          <w:sz w:val="24"/>
          <w:szCs w:val="24"/>
          <w:lang w:val="en-US"/>
        </w:rPr>
        <w:t xml:space="preserve">a reduction in </w:t>
      </w:r>
      <w:r w:rsidR="00913484">
        <w:rPr>
          <w:rFonts w:ascii="Arial" w:hAnsi="Arial" w:cs="Arial"/>
          <w:sz w:val="24"/>
          <w:szCs w:val="24"/>
          <w:lang w:val="en-US"/>
        </w:rPr>
        <w:t xml:space="preserve">the </w:t>
      </w:r>
      <w:r w:rsidR="00E63519">
        <w:rPr>
          <w:rFonts w:ascii="Arial" w:hAnsi="Arial" w:cs="Arial"/>
          <w:sz w:val="24"/>
          <w:szCs w:val="24"/>
          <w:lang w:val="en-US"/>
        </w:rPr>
        <w:t xml:space="preserve">volume of work required to be performed for MTN </w:t>
      </w:r>
      <w:r w:rsidR="00D44A17">
        <w:rPr>
          <w:rFonts w:ascii="Arial" w:hAnsi="Arial" w:cs="Arial"/>
          <w:sz w:val="24"/>
          <w:szCs w:val="24"/>
          <w:lang w:val="en-US"/>
        </w:rPr>
        <w:t xml:space="preserve">under the service level agreement with the result that the services of the </w:t>
      </w:r>
      <w:r w:rsidR="00810BD3">
        <w:rPr>
          <w:rFonts w:ascii="Arial" w:hAnsi="Arial" w:cs="Arial"/>
          <w:sz w:val="24"/>
          <w:szCs w:val="24"/>
          <w:lang w:val="en-US"/>
        </w:rPr>
        <w:t>respondent</w:t>
      </w:r>
      <w:r w:rsidR="00D44A17">
        <w:rPr>
          <w:rFonts w:ascii="Arial" w:hAnsi="Arial" w:cs="Arial"/>
          <w:sz w:val="24"/>
          <w:szCs w:val="24"/>
          <w:lang w:val="en-US"/>
        </w:rPr>
        <w:t xml:space="preserve"> were no longer required</w:t>
      </w:r>
      <w:r w:rsidR="0074096C">
        <w:rPr>
          <w:rFonts w:ascii="Arial" w:hAnsi="Arial" w:cs="Arial"/>
          <w:sz w:val="24"/>
          <w:szCs w:val="24"/>
          <w:lang w:val="en-US"/>
        </w:rPr>
        <w:t xml:space="preserve">.  This is in </w:t>
      </w:r>
      <w:r w:rsidR="00E63519">
        <w:rPr>
          <w:rFonts w:ascii="Arial" w:hAnsi="Arial" w:cs="Arial"/>
          <w:sz w:val="24"/>
          <w:szCs w:val="24"/>
          <w:lang w:val="en-US"/>
        </w:rPr>
        <w:t xml:space="preserve">effect what occurred here.  </w:t>
      </w:r>
    </w:p>
    <w:p w14:paraId="63248D04" w14:textId="19FA5FC2" w:rsidR="009A3180" w:rsidRDefault="003C2885" w:rsidP="006A62B8">
      <w:pPr>
        <w:pStyle w:val="BowLevel1ListAlt"/>
        <w:rPr>
          <w:rFonts w:ascii="Arial" w:hAnsi="Arial" w:cs="Arial"/>
          <w:sz w:val="24"/>
          <w:szCs w:val="24"/>
          <w:lang w:val="en-US"/>
        </w:rPr>
      </w:pPr>
      <w:r w:rsidRPr="00613E50">
        <w:rPr>
          <w:rFonts w:ascii="Arial" w:hAnsi="Arial" w:cs="Arial"/>
          <w:sz w:val="24"/>
          <w:szCs w:val="24"/>
          <w:lang w:val="en-US"/>
        </w:rPr>
        <w:t xml:space="preserve">In support of this submission Mr Modiba referred us to </w:t>
      </w:r>
      <w:r w:rsidR="00857A24" w:rsidRPr="00613E50">
        <w:rPr>
          <w:rFonts w:ascii="Arial" w:hAnsi="Arial" w:cs="Arial"/>
          <w:sz w:val="24"/>
          <w:szCs w:val="24"/>
          <w:lang w:val="en-US"/>
        </w:rPr>
        <w:t xml:space="preserve">the decisions of the Supreme Court of Appeal in </w:t>
      </w:r>
      <w:r w:rsidR="00857A24" w:rsidRPr="00613E50">
        <w:rPr>
          <w:rFonts w:ascii="Arial" w:hAnsi="Arial" w:cs="Arial"/>
          <w:i/>
          <w:iCs/>
          <w:sz w:val="24"/>
          <w:szCs w:val="24"/>
          <w:lang w:val="en-US"/>
        </w:rPr>
        <w:t>KPMG Chartered Accounts (SA) v Securefin</w:t>
      </w:r>
      <w:r w:rsidR="000E7CE6" w:rsidRPr="00613E50">
        <w:rPr>
          <w:rFonts w:ascii="Arial" w:hAnsi="Arial" w:cs="Arial"/>
          <w:i/>
          <w:iCs/>
          <w:sz w:val="24"/>
          <w:szCs w:val="24"/>
          <w:lang w:val="en-US"/>
        </w:rPr>
        <w:t xml:space="preserve"> </w:t>
      </w:r>
      <w:r w:rsidR="00857A24" w:rsidRPr="00613E50">
        <w:rPr>
          <w:rFonts w:ascii="Arial" w:hAnsi="Arial" w:cs="Arial"/>
          <w:i/>
          <w:iCs/>
          <w:sz w:val="24"/>
          <w:szCs w:val="24"/>
          <w:lang w:val="en-US"/>
        </w:rPr>
        <w:t>Ltd</w:t>
      </w:r>
      <w:r w:rsidR="000A4D83" w:rsidRPr="009E131A">
        <w:rPr>
          <w:rStyle w:val="FootnoteReference"/>
          <w:rFonts w:cs="Arial"/>
          <w:sz w:val="24"/>
          <w:szCs w:val="24"/>
          <w:lang w:val="en-US"/>
        </w:rPr>
        <w:footnoteReference w:id="1"/>
      </w:r>
      <w:r w:rsidR="00857A24" w:rsidRPr="00613E50">
        <w:rPr>
          <w:rFonts w:ascii="Arial" w:hAnsi="Arial" w:cs="Arial"/>
          <w:sz w:val="24"/>
          <w:szCs w:val="24"/>
          <w:lang w:val="en-US"/>
        </w:rPr>
        <w:t xml:space="preserve"> </w:t>
      </w:r>
      <w:r w:rsidR="000E7CE6" w:rsidRPr="00613E50">
        <w:rPr>
          <w:rFonts w:ascii="Arial" w:hAnsi="Arial" w:cs="Arial"/>
          <w:sz w:val="24"/>
          <w:szCs w:val="24"/>
          <w:lang w:val="en-US"/>
        </w:rPr>
        <w:t xml:space="preserve"> and in </w:t>
      </w:r>
      <w:r w:rsidR="000E7CE6" w:rsidRPr="00613E50">
        <w:rPr>
          <w:rFonts w:ascii="Arial" w:hAnsi="Arial" w:cs="Arial"/>
          <w:i/>
          <w:iCs/>
          <w:sz w:val="24"/>
          <w:szCs w:val="24"/>
          <w:lang w:val="en-US"/>
        </w:rPr>
        <w:t xml:space="preserve">Novartis SA (Pty) </w:t>
      </w:r>
      <w:r w:rsidR="008D6ABE" w:rsidRPr="00613E50">
        <w:rPr>
          <w:rFonts w:ascii="Arial" w:hAnsi="Arial" w:cs="Arial"/>
          <w:i/>
          <w:iCs/>
          <w:sz w:val="24"/>
          <w:szCs w:val="24"/>
          <w:lang w:val="en-US"/>
        </w:rPr>
        <w:t>Ltd</w:t>
      </w:r>
      <w:r w:rsidR="000E7CE6" w:rsidRPr="00613E50">
        <w:rPr>
          <w:rFonts w:ascii="Arial" w:hAnsi="Arial" w:cs="Arial"/>
          <w:i/>
          <w:iCs/>
          <w:sz w:val="24"/>
          <w:szCs w:val="24"/>
          <w:lang w:val="en-US"/>
        </w:rPr>
        <w:t xml:space="preserve"> v Maphil Trading (Pty) </w:t>
      </w:r>
      <w:r w:rsidR="000A4D83" w:rsidRPr="00613E50">
        <w:rPr>
          <w:rFonts w:ascii="Arial" w:hAnsi="Arial" w:cs="Arial"/>
          <w:i/>
          <w:iCs/>
          <w:sz w:val="24"/>
          <w:szCs w:val="24"/>
          <w:lang w:val="en-US"/>
        </w:rPr>
        <w:t>L</w:t>
      </w:r>
      <w:r w:rsidR="000E7CE6" w:rsidRPr="00613E50">
        <w:rPr>
          <w:rFonts w:ascii="Arial" w:hAnsi="Arial" w:cs="Arial"/>
          <w:i/>
          <w:iCs/>
          <w:sz w:val="24"/>
          <w:szCs w:val="24"/>
          <w:lang w:val="en-US"/>
        </w:rPr>
        <w:t>td</w:t>
      </w:r>
      <w:r w:rsidR="00613E50" w:rsidRPr="00613E50">
        <w:rPr>
          <w:rFonts w:ascii="Arial" w:hAnsi="Arial" w:cs="Arial"/>
          <w:i/>
          <w:iCs/>
          <w:sz w:val="24"/>
          <w:szCs w:val="24"/>
          <w:lang w:val="en-US"/>
        </w:rPr>
        <w:t>.</w:t>
      </w:r>
      <w:r w:rsidR="000A4D83" w:rsidRPr="009E131A">
        <w:rPr>
          <w:rStyle w:val="FootnoteReference"/>
          <w:rFonts w:cs="Arial"/>
          <w:sz w:val="24"/>
          <w:szCs w:val="24"/>
          <w:lang w:val="en-US"/>
        </w:rPr>
        <w:footnoteReference w:id="2"/>
      </w:r>
      <w:r w:rsidR="000E7CE6" w:rsidRPr="00613E50">
        <w:rPr>
          <w:rFonts w:ascii="Arial" w:hAnsi="Arial" w:cs="Arial"/>
          <w:sz w:val="24"/>
          <w:szCs w:val="24"/>
          <w:lang w:val="en-US"/>
        </w:rPr>
        <w:t xml:space="preserve"> </w:t>
      </w:r>
      <w:r w:rsidR="00613E50" w:rsidRPr="00613E50">
        <w:rPr>
          <w:rFonts w:ascii="Arial" w:hAnsi="Arial" w:cs="Arial"/>
          <w:sz w:val="24"/>
          <w:szCs w:val="24"/>
          <w:lang w:val="en-US"/>
        </w:rPr>
        <w:t>He</w:t>
      </w:r>
      <w:r w:rsidR="00CF544E" w:rsidRPr="00613E50">
        <w:rPr>
          <w:rFonts w:ascii="Arial" w:hAnsi="Arial" w:cs="Arial"/>
          <w:sz w:val="24"/>
          <w:szCs w:val="24"/>
          <w:lang w:val="en-US"/>
        </w:rPr>
        <w:t xml:space="preserve"> invited us to </w:t>
      </w:r>
      <w:r w:rsidR="00771482" w:rsidRPr="00613E50">
        <w:rPr>
          <w:rFonts w:ascii="Arial" w:hAnsi="Arial" w:cs="Arial"/>
          <w:sz w:val="24"/>
          <w:szCs w:val="24"/>
          <w:lang w:val="en-US"/>
        </w:rPr>
        <w:t xml:space="preserve">depart from the words used in the </w:t>
      </w:r>
      <w:r w:rsidR="0081306F" w:rsidRPr="00613E50">
        <w:rPr>
          <w:rFonts w:ascii="Arial" w:hAnsi="Arial" w:cs="Arial"/>
          <w:sz w:val="24"/>
          <w:szCs w:val="24"/>
          <w:lang w:val="en-US"/>
        </w:rPr>
        <w:t>contract by having re</w:t>
      </w:r>
      <w:r w:rsidR="005806E0" w:rsidRPr="00613E50">
        <w:rPr>
          <w:rFonts w:ascii="Arial" w:hAnsi="Arial" w:cs="Arial"/>
          <w:sz w:val="24"/>
          <w:szCs w:val="24"/>
          <w:lang w:val="en-US"/>
        </w:rPr>
        <w:t>g</w:t>
      </w:r>
      <w:r w:rsidR="0081306F" w:rsidRPr="00613E50">
        <w:rPr>
          <w:rFonts w:ascii="Arial" w:hAnsi="Arial" w:cs="Arial"/>
          <w:sz w:val="24"/>
          <w:szCs w:val="24"/>
          <w:lang w:val="en-US"/>
        </w:rPr>
        <w:t>ard to the background and surrounding facts</w:t>
      </w:r>
      <w:r w:rsidR="00071F88" w:rsidRPr="00613E50">
        <w:rPr>
          <w:rFonts w:ascii="Arial" w:hAnsi="Arial" w:cs="Arial"/>
          <w:sz w:val="24"/>
          <w:szCs w:val="24"/>
          <w:lang w:val="en-US"/>
        </w:rPr>
        <w:t xml:space="preserve"> </w:t>
      </w:r>
      <w:r w:rsidR="005806E0" w:rsidRPr="00613E50">
        <w:rPr>
          <w:rFonts w:ascii="Arial" w:hAnsi="Arial" w:cs="Arial"/>
          <w:sz w:val="24"/>
          <w:szCs w:val="24"/>
          <w:lang w:val="en-US"/>
        </w:rPr>
        <w:t>which indicated the purpose and intention of the parties</w:t>
      </w:r>
      <w:r w:rsidR="00071F88" w:rsidRPr="00613E50">
        <w:rPr>
          <w:rFonts w:ascii="Arial" w:hAnsi="Arial" w:cs="Arial"/>
          <w:sz w:val="24"/>
          <w:szCs w:val="24"/>
          <w:lang w:val="en-US"/>
        </w:rPr>
        <w:t>.</w:t>
      </w:r>
      <w:r w:rsidR="00071F88" w:rsidRPr="009E131A">
        <w:rPr>
          <w:rStyle w:val="FootnoteReference"/>
          <w:rFonts w:cs="Arial"/>
          <w:sz w:val="24"/>
          <w:szCs w:val="24"/>
          <w:lang w:val="en-US"/>
        </w:rPr>
        <w:footnoteReference w:id="3"/>
      </w:r>
      <w:r w:rsidR="00CB49FE" w:rsidRPr="00613E50">
        <w:rPr>
          <w:rFonts w:ascii="Arial" w:hAnsi="Arial" w:cs="Arial"/>
          <w:sz w:val="24"/>
          <w:szCs w:val="24"/>
          <w:lang w:val="en-US"/>
        </w:rPr>
        <w:t xml:space="preserve">  The </w:t>
      </w:r>
      <w:r w:rsidR="00810BD3">
        <w:rPr>
          <w:rFonts w:ascii="Arial" w:hAnsi="Arial" w:cs="Arial"/>
          <w:sz w:val="24"/>
          <w:szCs w:val="24"/>
          <w:lang w:val="en-US"/>
        </w:rPr>
        <w:t>appellant</w:t>
      </w:r>
      <w:r w:rsidR="00CB49FE" w:rsidRPr="00613E50">
        <w:rPr>
          <w:rFonts w:ascii="Arial" w:hAnsi="Arial" w:cs="Arial"/>
          <w:sz w:val="24"/>
          <w:szCs w:val="24"/>
          <w:lang w:val="en-US"/>
        </w:rPr>
        <w:t xml:space="preserve"> submitted that </w:t>
      </w:r>
      <w:r w:rsidR="00E309EA" w:rsidRPr="00613E50">
        <w:rPr>
          <w:rFonts w:ascii="Arial" w:hAnsi="Arial" w:cs="Arial"/>
          <w:sz w:val="24"/>
          <w:szCs w:val="24"/>
          <w:lang w:val="en-US"/>
        </w:rPr>
        <w:t xml:space="preserve">the termination was based on the “rationale of the contract”, and specifically the proposition that where there was no work available to perform there was no need to give notice, </w:t>
      </w:r>
      <w:r w:rsidR="00613E50" w:rsidRPr="00613E50">
        <w:rPr>
          <w:rFonts w:ascii="Arial" w:hAnsi="Arial" w:cs="Arial"/>
          <w:sz w:val="24"/>
          <w:szCs w:val="24"/>
          <w:lang w:val="en-US"/>
        </w:rPr>
        <w:t xml:space="preserve">in the same way </w:t>
      </w:r>
      <w:r w:rsidR="00E309EA" w:rsidRPr="00613E50">
        <w:rPr>
          <w:rFonts w:ascii="Arial" w:hAnsi="Arial" w:cs="Arial"/>
          <w:sz w:val="24"/>
          <w:szCs w:val="24"/>
          <w:lang w:val="en-US"/>
        </w:rPr>
        <w:t>as would have been the case where the service level agreement was terminated.</w:t>
      </w:r>
      <w:r w:rsidR="00CB49FE" w:rsidRPr="00613E50">
        <w:rPr>
          <w:rFonts w:ascii="Arial" w:hAnsi="Arial" w:cs="Arial"/>
          <w:sz w:val="24"/>
          <w:szCs w:val="24"/>
          <w:lang w:val="en-US"/>
        </w:rPr>
        <w:t xml:space="preserve"> </w:t>
      </w:r>
      <w:r w:rsidR="005806E0" w:rsidRPr="00613E50">
        <w:rPr>
          <w:rFonts w:ascii="Arial" w:hAnsi="Arial" w:cs="Arial"/>
          <w:sz w:val="24"/>
          <w:szCs w:val="24"/>
          <w:lang w:val="en-US"/>
        </w:rPr>
        <w:t xml:space="preserve"> </w:t>
      </w:r>
      <w:r w:rsidR="00ED2B79" w:rsidRPr="00613E50">
        <w:rPr>
          <w:rFonts w:ascii="Arial" w:hAnsi="Arial" w:cs="Arial"/>
          <w:sz w:val="24"/>
          <w:szCs w:val="24"/>
          <w:lang w:val="en-US"/>
        </w:rPr>
        <w:t xml:space="preserve">In advancing this submission the </w:t>
      </w:r>
      <w:r w:rsidR="00810BD3">
        <w:rPr>
          <w:rFonts w:ascii="Arial" w:hAnsi="Arial" w:cs="Arial"/>
          <w:sz w:val="24"/>
          <w:szCs w:val="24"/>
          <w:lang w:val="en-US"/>
        </w:rPr>
        <w:t>appellant</w:t>
      </w:r>
      <w:r w:rsidR="00ED2B79" w:rsidRPr="00613E50">
        <w:rPr>
          <w:rFonts w:ascii="Arial" w:hAnsi="Arial" w:cs="Arial"/>
          <w:sz w:val="24"/>
          <w:szCs w:val="24"/>
          <w:lang w:val="en-US"/>
        </w:rPr>
        <w:t xml:space="preserve"> essentially contends that the rationale behind the third ground of termination was </w:t>
      </w:r>
      <w:r w:rsidR="005F04E0" w:rsidRPr="00613E50">
        <w:rPr>
          <w:rFonts w:ascii="Arial" w:hAnsi="Arial" w:cs="Arial"/>
          <w:sz w:val="24"/>
          <w:szCs w:val="24"/>
          <w:lang w:val="en-US"/>
        </w:rPr>
        <w:t xml:space="preserve">that if there was no longer any work to be performed </w:t>
      </w:r>
      <w:r w:rsidR="009A3180">
        <w:rPr>
          <w:rFonts w:ascii="Arial" w:hAnsi="Arial" w:cs="Arial"/>
          <w:sz w:val="24"/>
          <w:szCs w:val="24"/>
          <w:lang w:val="en-US"/>
        </w:rPr>
        <w:t xml:space="preserve">by the </w:t>
      </w:r>
      <w:r w:rsidR="00810BD3">
        <w:rPr>
          <w:rFonts w:ascii="Arial" w:hAnsi="Arial" w:cs="Arial"/>
          <w:sz w:val="24"/>
          <w:szCs w:val="24"/>
          <w:lang w:val="en-US"/>
        </w:rPr>
        <w:t>respondent</w:t>
      </w:r>
      <w:r w:rsidR="009A3180" w:rsidRPr="00613E50">
        <w:rPr>
          <w:rFonts w:ascii="Arial" w:hAnsi="Arial" w:cs="Arial"/>
          <w:sz w:val="24"/>
          <w:szCs w:val="24"/>
          <w:lang w:val="en-US"/>
        </w:rPr>
        <w:t xml:space="preserve"> </w:t>
      </w:r>
      <w:r w:rsidR="00C36677" w:rsidRPr="00613E50">
        <w:rPr>
          <w:rFonts w:ascii="Arial" w:hAnsi="Arial" w:cs="Arial"/>
          <w:sz w:val="24"/>
          <w:szCs w:val="24"/>
          <w:lang w:val="en-US"/>
        </w:rPr>
        <w:t xml:space="preserve">for MTN </w:t>
      </w:r>
      <w:r w:rsidR="005F04E0" w:rsidRPr="00613E50">
        <w:rPr>
          <w:rFonts w:ascii="Arial" w:hAnsi="Arial" w:cs="Arial"/>
          <w:sz w:val="24"/>
          <w:szCs w:val="24"/>
          <w:lang w:val="en-US"/>
        </w:rPr>
        <w:t xml:space="preserve">the contract with the </w:t>
      </w:r>
      <w:r w:rsidR="00810BD3">
        <w:rPr>
          <w:rFonts w:ascii="Arial" w:hAnsi="Arial" w:cs="Arial"/>
          <w:sz w:val="24"/>
          <w:szCs w:val="24"/>
          <w:lang w:val="en-US"/>
        </w:rPr>
        <w:t>respondent</w:t>
      </w:r>
      <w:r w:rsidR="005F04E0" w:rsidRPr="00613E50">
        <w:rPr>
          <w:rFonts w:ascii="Arial" w:hAnsi="Arial" w:cs="Arial"/>
          <w:sz w:val="24"/>
          <w:szCs w:val="24"/>
          <w:lang w:val="en-US"/>
        </w:rPr>
        <w:t xml:space="preserve"> would terminate</w:t>
      </w:r>
      <w:r w:rsidR="009A3180">
        <w:rPr>
          <w:rFonts w:ascii="Arial" w:hAnsi="Arial" w:cs="Arial"/>
          <w:sz w:val="24"/>
          <w:szCs w:val="24"/>
          <w:lang w:val="en-US"/>
        </w:rPr>
        <w:t xml:space="preserve"> with immediate effect, without any need to give notice</w:t>
      </w:r>
      <w:r w:rsidR="005F04E0" w:rsidRPr="00613E50">
        <w:rPr>
          <w:rFonts w:ascii="Arial" w:hAnsi="Arial" w:cs="Arial"/>
          <w:sz w:val="24"/>
          <w:szCs w:val="24"/>
          <w:lang w:val="en-US"/>
        </w:rPr>
        <w:t xml:space="preserve">.  </w:t>
      </w:r>
    </w:p>
    <w:p w14:paraId="443A6073" w14:textId="4F55BC24" w:rsidR="00A3130B" w:rsidRPr="00613E50" w:rsidRDefault="007867A9" w:rsidP="006A62B8">
      <w:pPr>
        <w:pStyle w:val="BowLevel1ListAlt"/>
        <w:rPr>
          <w:rFonts w:ascii="Arial" w:hAnsi="Arial" w:cs="Arial"/>
          <w:sz w:val="24"/>
          <w:szCs w:val="24"/>
          <w:lang w:val="en-US"/>
        </w:rPr>
      </w:pPr>
      <w:r w:rsidRPr="00613E50">
        <w:rPr>
          <w:rFonts w:ascii="Arial" w:hAnsi="Arial" w:cs="Arial"/>
          <w:sz w:val="24"/>
          <w:szCs w:val="24"/>
          <w:lang w:val="en-US"/>
        </w:rPr>
        <w:t>The difficult</w:t>
      </w:r>
      <w:r w:rsidR="009A3180">
        <w:rPr>
          <w:rFonts w:ascii="Arial" w:hAnsi="Arial" w:cs="Arial"/>
          <w:sz w:val="24"/>
          <w:szCs w:val="24"/>
          <w:lang w:val="en-US"/>
        </w:rPr>
        <w:t>y</w:t>
      </w:r>
      <w:r w:rsidRPr="00613E50">
        <w:rPr>
          <w:rFonts w:ascii="Arial" w:hAnsi="Arial" w:cs="Arial"/>
          <w:sz w:val="24"/>
          <w:szCs w:val="24"/>
          <w:lang w:val="en-US"/>
        </w:rPr>
        <w:t xml:space="preserve"> with this submission is that it seeks, in effect, to achieve </w:t>
      </w:r>
      <w:r w:rsidR="00E63519" w:rsidRPr="00613E50">
        <w:rPr>
          <w:rFonts w:ascii="Arial" w:hAnsi="Arial" w:cs="Arial"/>
          <w:sz w:val="24"/>
          <w:szCs w:val="24"/>
          <w:lang w:val="en-US"/>
        </w:rPr>
        <w:t>a complete rewriting of the contract between the parties</w:t>
      </w:r>
      <w:r w:rsidR="009A3180">
        <w:rPr>
          <w:rFonts w:ascii="Arial" w:hAnsi="Arial" w:cs="Arial"/>
          <w:sz w:val="24"/>
          <w:szCs w:val="24"/>
          <w:lang w:val="en-US"/>
        </w:rPr>
        <w:t>,</w:t>
      </w:r>
      <w:r w:rsidR="00E63519" w:rsidRPr="00613E50">
        <w:rPr>
          <w:rFonts w:ascii="Arial" w:hAnsi="Arial" w:cs="Arial"/>
          <w:sz w:val="24"/>
          <w:szCs w:val="24"/>
          <w:lang w:val="en-US"/>
        </w:rPr>
        <w:t xml:space="preserve"> and the insertion of a term </w:t>
      </w:r>
      <w:r w:rsidR="009A3180">
        <w:rPr>
          <w:rFonts w:ascii="Arial" w:hAnsi="Arial" w:cs="Arial"/>
          <w:sz w:val="24"/>
          <w:szCs w:val="24"/>
          <w:lang w:val="en-US"/>
        </w:rPr>
        <w:t xml:space="preserve">which on the evidence was </w:t>
      </w:r>
      <w:r w:rsidR="00E63519" w:rsidRPr="00613E50">
        <w:rPr>
          <w:rFonts w:ascii="Arial" w:hAnsi="Arial" w:cs="Arial"/>
          <w:sz w:val="24"/>
          <w:szCs w:val="24"/>
          <w:lang w:val="en-US"/>
        </w:rPr>
        <w:t xml:space="preserve">not </w:t>
      </w:r>
      <w:r w:rsidR="0070499D" w:rsidRPr="00613E50">
        <w:rPr>
          <w:rFonts w:ascii="Arial" w:hAnsi="Arial" w:cs="Arial"/>
          <w:sz w:val="24"/>
          <w:szCs w:val="24"/>
          <w:lang w:val="en-US"/>
        </w:rPr>
        <w:t xml:space="preserve">in fact </w:t>
      </w:r>
      <w:r w:rsidR="00E63519" w:rsidRPr="00613E50">
        <w:rPr>
          <w:rFonts w:ascii="Arial" w:hAnsi="Arial" w:cs="Arial"/>
          <w:sz w:val="24"/>
          <w:szCs w:val="24"/>
          <w:lang w:val="en-US"/>
        </w:rPr>
        <w:t xml:space="preserve">contemplated by them </w:t>
      </w:r>
      <w:r w:rsidR="0070499D" w:rsidRPr="00613E50">
        <w:rPr>
          <w:rFonts w:ascii="Arial" w:hAnsi="Arial" w:cs="Arial"/>
          <w:sz w:val="24"/>
          <w:szCs w:val="24"/>
          <w:lang w:val="en-US"/>
        </w:rPr>
        <w:t>when they concluded their contract.</w:t>
      </w:r>
      <w:r w:rsidR="00A3130B" w:rsidRPr="00613E50">
        <w:rPr>
          <w:rFonts w:ascii="Arial" w:hAnsi="Arial" w:cs="Arial"/>
          <w:sz w:val="24"/>
          <w:szCs w:val="24"/>
          <w:lang w:val="en-US"/>
        </w:rPr>
        <w:t xml:space="preserve">  </w:t>
      </w:r>
      <w:r w:rsidR="00610D50" w:rsidRPr="00613E50">
        <w:rPr>
          <w:rFonts w:ascii="Arial" w:hAnsi="Arial" w:cs="Arial"/>
          <w:sz w:val="24"/>
          <w:szCs w:val="24"/>
          <w:lang w:val="en-US"/>
        </w:rPr>
        <w:t xml:space="preserve">The </w:t>
      </w:r>
      <w:r w:rsidR="00810BD3">
        <w:rPr>
          <w:rFonts w:ascii="Arial" w:hAnsi="Arial" w:cs="Arial"/>
          <w:sz w:val="24"/>
          <w:szCs w:val="24"/>
          <w:lang w:val="en-US"/>
        </w:rPr>
        <w:t>appellant</w:t>
      </w:r>
      <w:r w:rsidR="00610D50" w:rsidRPr="00613E50">
        <w:rPr>
          <w:rFonts w:ascii="Arial" w:hAnsi="Arial" w:cs="Arial"/>
          <w:sz w:val="24"/>
          <w:szCs w:val="24"/>
          <w:lang w:val="en-US"/>
        </w:rPr>
        <w:t xml:space="preserve"> did not seek rectification of the contrac</w:t>
      </w:r>
      <w:r w:rsidR="00410EE8" w:rsidRPr="00613E50">
        <w:rPr>
          <w:rFonts w:ascii="Arial" w:hAnsi="Arial" w:cs="Arial"/>
          <w:sz w:val="24"/>
          <w:szCs w:val="24"/>
          <w:lang w:val="en-US"/>
        </w:rPr>
        <w:t xml:space="preserve">t.  This was hardly surprising since </w:t>
      </w:r>
      <w:r w:rsidR="00410EE8" w:rsidRPr="00613E50">
        <w:rPr>
          <w:rFonts w:ascii="Arial" w:hAnsi="Arial" w:cs="Arial"/>
          <w:sz w:val="24"/>
          <w:szCs w:val="24"/>
          <w:lang w:val="en-US"/>
        </w:rPr>
        <w:lastRenderedPageBreak/>
        <w:t xml:space="preserve">both parties agreed that the specific situation that had arisen </w:t>
      </w:r>
      <w:r w:rsidR="009A3180">
        <w:rPr>
          <w:rFonts w:ascii="Arial" w:hAnsi="Arial" w:cs="Arial"/>
          <w:sz w:val="24"/>
          <w:szCs w:val="24"/>
          <w:lang w:val="en-US"/>
        </w:rPr>
        <w:t xml:space="preserve">had </w:t>
      </w:r>
      <w:r w:rsidR="00410EE8" w:rsidRPr="00613E50">
        <w:rPr>
          <w:rFonts w:ascii="Arial" w:hAnsi="Arial" w:cs="Arial"/>
          <w:sz w:val="24"/>
          <w:szCs w:val="24"/>
          <w:lang w:val="en-US"/>
        </w:rPr>
        <w:t xml:space="preserve">not in fact </w:t>
      </w:r>
      <w:r w:rsidR="009A3180">
        <w:rPr>
          <w:rFonts w:ascii="Arial" w:hAnsi="Arial" w:cs="Arial"/>
          <w:sz w:val="24"/>
          <w:szCs w:val="24"/>
          <w:lang w:val="en-US"/>
        </w:rPr>
        <w:t xml:space="preserve">been </w:t>
      </w:r>
      <w:r w:rsidR="00410EE8" w:rsidRPr="00613E50">
        <w:rPr>
          <w:rFonts w:ascii="Arial" w:hAnsi="Arial" w:cs="Arial"/>
          <w:sz w:val="24"/>
          <w:szCs w:val="24"/>
          <w:lang w:val="en-US"/>
        </w:rPr>
        <w:t xml:space="preserve">contemplated by </w:t>
      </w:r>
      <w:r w:rsidR="009A3180">
        <w:rPr>
          <w:rFonts w:ascii="Arial" w:hAnsi="Arial" w:cs="Arial"/>
          <w:sz w:val="24"/>
          <w:szCs w:val="24"/>
          <w:lang w:val="en-US"/>
        </w:rPr>
        <w:t>them</w:t>
      </w:r>
      <w:r w:rsidR="00410EE8" w:rsidRPr="00613E50">
        <w:rPr>
          <w:rFonts w:ascii="Arial" w:hAnsi="Arial" w:cs="Arial"/>
          <w:sz w:val="24"/>
          <w:szCs w:val="24"/>
          <w:lang w:val="en-US"/>
        </w:rPr>
        <w:t xml:space="preserve"> when they concluded their contract.</w:t>
      </w:r>
      <w:r w:rsidR="00610D50" w:rsidRPr="00613E50">
        <w:rPr>
          <w:rFonts w:ascii="Arial" w:hAnsi="Arial" w:cs="Arial"/>
          <w:sz w:val="24"/>
          <w:szCs w:val="24"/>
          <w:lang w:val="en-US"/>
        </w:rPr>
        <w:t xml:space="preserve"> </w:t>
      </w:r>
      <w:r w:rsidR="001F5835" w:rsidRPr="00613E50">
        <w:rPr>
          <w:rFonts w:ascii="Arial" w:hAnsi="Arial" w:cs="Arial"/>
          <w:sz w:val="24"/>
          <w:szCs w:val="24"/>
          <w:lang w:val="en-US"/>
        </w:rPr>
        <w:t xml:space="preserve"> </w:t>
      </w:r>
      <w:r w:rsidR="0070499D" w:rsidRPr="00613E50">
        <w:rPr>
          <w:rFonts w:ascii="Arial" w:hAnsi="Arial" w:cs="Arial"/>
          <w:sz w:val="24"/>
          <w:szCs w:val="24"/>
          <w:lang w:val="en-US"/>
        </w:rPr>
        <w:t xml:space="preserve">  </w:t>
      </w:r>
    </w:p>
    <w:p w14:paraId="798AF70C" w14:textId="03CD20C2" w:rsidR="001A7D41" w:rsidRDefault="00410EE8" w:rsidP="00B71F31">
      <w:pPr>
        <w:pStyle w:val="BowLevel1ListAlt"/>
        <w:rPr>
          <w:rFonts w:ascii="Arial" w:hAnsi="Arial" w:cs="Arial"/>
          <w:sz w:val="24"/>
          <w:szCs w:val="24"/>
          <w:lang w:val="en-US"/>
        </w:rPr>
      </w:pPr>
      <w:r>
        <w:rPr>
          <w:rFonts w:ascii="Arial" w:hAnsi="Arial" w:cs="Arial"/>
          <w:sz w:val="24"/>
          <w:szCs w:val="24"/>
          <w:lang w:val="en-US"/>
        </w:rPr>
        <w:t xml:space="preserve">The </w:t>
      </w:r>
      <w:r w:rsidR="00810BD3">
        <w:rPr>
          <w:rFonts w:ascii="Arial" w:hAnsi="Arial" w:cs="Arial"/>
          <w:sz w:val="24"/>
          <w:szCs w:val="24"/>
          <w:lang w:val="en-US"/>
        </w:rPr>
        <w:t>appellant</w:t>
      </w:r>
      <w:r>
        <w:rPr>
          <w:rFonts w:ascii="Arial" w:hAnsi="Arial" w:cs="Arial"/>
          <w:sz w:val="24"/>
          <w:szCs w:val="24"/>
          <w:lang w:val="en-US"/>
        </w:rPr>
        <w:t xml:space="preserve"> </w:t>
      </w:r>
      <w:r w:rsidR="00D7714D">
        <w:rPr>
          <w:rFonts w:ascii="Arial" w:hAnsi="Arial" w:cs="Arial"/>
          <w:sz w:val="24"/>
          <w:szCs w:val="24"/>
          <w:lang w:val="en-US"/>
        </w:rPr>
        <w:t xml:space="preserve">has </w:t>
      </w:r>
      <w:r w:rsidR="0048021F">
        <w:rPr>
          <w:rFonts w:ascii="Arial" w:hAnsi="Arial" w:cs="Arial"/>
          <w:sz w:val="24"/>
          <w:szCs w:val="24"/>
          <w:lang w:val="en-US"/>
        </w:rPr>
        <w:t xml:space="preserve">also </w:t>
      </w:r>
      <w:r w:rsidR="00D7714D">
        <w:rPr>
          <w:rFonts w:ascii="Arial" w:hAnsi="Arial" w:cs="Arial"/>
          <w:sz w:val="24"/>
          <w:szCs w:val="24"/>
          <w:lang w:val="en-US"/>
        </w:rPr>
        <w:t xml:space="preserve">not contended for </w:t>
      </w:r>
      <w:r w:rsidR="00175E85">
        <w:rPr>
          <w:rFonts w:ascii="Arial" w:hAnsi="Arial" w:cs="Arial"/>
          <w:sz w:val="24"/>
          <w:szCs w:val="24"/>
          <w:lang w:val="en-US"/>
        </w:rPr>
        <w:t>an implied term</w:t>
      </w:r>
      <w:r w:rsidR="00DA6C72">
        <w:rPr>
          <w:rFonts w:ascii="Arial" w:hAnsi="Arial" w:cs="Arial"/>
          <w:sz w:val="24"/>
          <w:szCs w:val="24"/>
          <w:lang w:val="en-US"/>
        </w:rPr>
        <w:t xml:space="preserve">.  It would </w:t>
      </w:r>
      <w:r w:rsidR="00EF3F7A">
        <w:rPr>
          <w:rFonts w:ascii="Arial" w:hAnsi="Arial" w:cs="Arial"/>
          <w:sz w:val="24"/>
          <w:szCs w:val="24"/>
          <w:lang w:val="en-US"/>
        </w:rPr>
        <w:t xml:space="preserve">in our view </w:t>
      </w:r>
      <w:r w:rsidR="00DA6C72">
        <w:rPr>
          <w:rFonts w:ascii="Arial" w:hAnsi="Arial" w:cs="Arial"/>
          <w:sz w:val="24"/>
          <w:szCs w:val="24"/>
          <w:lang w:val="en-US"/>
        </w:rPr>
        <w:t>have been difficult for it, if it had pleaded an implied term, t</w:t>
      </w:r>
      <w:r w:rsidR="002663F0">
        <w:rPr>
          <w:rFonts w:ascii="Arial" w:hAnsi="Arial" w:cs="Arial"/>
          <w:sz w:val="24"/>
          <w:szCs w:val="24"/>
          <w:lang w:val="en-US"/>
        </w:rPr>
        <w:t xml:space="preserve">o establish a </w:t>
      </w:r>
      <w:r w:rsidR="00AB77B7">
        <w:rPr>
          <w:rFonts w:ascii="Arial" w:hAnsi="Arial" w:cs="Arial"/>
          <w:sz w:val="24"/>
          <w:szCs w:val="24"/>
          <w:lang w:val="en-US"/>
        </w:rPr>
        <w:t xml:space="preserve">term to the effect that a reduction in resources required by MTN </w:t>
      </w:r>
      <w:r w:rsidR="003357D5">
        <w:rPr>
          <w:rFonts w:ascii="Arial" w:hAnsi="Arial" w:cs="Arial"/>
          <w:sz w:val="24"/>
          <w:szCs w:val="24"/>
          <w:lang w:val="en-US"/>
        </w:rPr>
        <w:t xml:space="preserve">that impacted the </w:t>
      </w:r>
      <w:r w:rsidR="00810BD3">
        <w:rPr>
          <w:rFonts w:ascii="Arial" w:hAnsi="Arial" w:cs="Arial"/>
          <w:sz w:val="24"/>
          <w:szCs w:val="24"/>
          <w:lang w:val="en-US"/>
        </w:rPr>
        <w:t>respondent</w:t>
      </w:r>
      <w:r w:rsidR="003357D5">
        <w:rPr>
          <w:rFonts w:ascii="Arial" w:hAnsi="Arial" w:cs="Arial"/>
          <w:sz w:val="24"/>
          <w:szCs w:val="24"/>
          <w:lang w:val="en-US"/>
        </w:rPr>
        <w:t xml:space="preserve"> </w:t>
      </w:r>
      <w:r w:rsidR="001A7D41">
        <w:rPr>
          <w:rFonts w:ascii="Arial" w:hAnsi="Arial" w:cs="Arial"/>
          <w:sz w:val="24"/>
          <w:szCs w:val="24"/>
          <w:lang w:val="en-US"/>
        </w:rPr>
        <w:t>would also result in an automatic termination of the contract</w:t>
      </w:r>
      <w:r w:rsidR="00E63519">
        <w:rPr>
          <w:rFonts w:ascii="Arial" w:hAnsi="Arial" w:cs="Arial"/>
          <w:sz w:val="24"/>
          <w:szCs w:val="24"/>
          <w:lang w:val="en-US"/>
        </w:rPr>
        <w:t xml:space="preserve">.  </w:t>
      </w:r>
    </w:p>
    <w:p w14:paraId="38E662FE" w14:textId="50F07AEA" w:rsidR="00906637" w:rsidRDefault="00E63519" w:rsidP="00B71F31">
      <w:pPr>
        <w:pStyle w:val="BowLevel1ListAlt"/>
        <w:rPr>
          <w:rFonts w:ascii="Arial" w:hAnsi="Arial" w:cs="Arial"/>
          <w:sz w:val="24"/>
          <w:szCs w:val="24"/>
          <w:lang w:val="en-US"/>
        </w:rPr>
      </w:pPr>
      <w:r>
        <w:rPr>
          <w:rFonts w:ascii="Arial" w:hAnsi="Arial" w:cs="Arial"/>
          <w:sz w:val="24"/>
          <w:szCs w:val="24"/>
          <w:lang w:val="en-US"/>
        </w:rPr>
        <w:t xml:space="preserve">The simple problem facing the </w:t>
      </w:r>
      <w:r w:rsidR="00810BD3">
        <w:rPr>
          <w:rFonts w:ascii="Arial" w:hAnsi="Arial" w:cs="Arial"/>
          <w:sz w:val="24"/>
          <w:szCs w:val="24"/>
          <w:lang w:val="en-US"/>
        </w:rPr>
        <w:t>appellant</w:t>
      </w:r>
      <w:r>
        <w:rPr>
          <w:rFonts w:ascii="Arial" w:hAnsi="Arial" w:cs="Arial"/>
          <w:sz w:val="24"/>
          <w:szCs w:val="24"/>
          <w:lang w:val="en-US"/>
        </w:rPr>
        <w:t xml:space="preserve"> on the interpretation of the contract is that the contract does </w:t>
      </w:r>
      <w:r w:rsidR="001E387B">
        <w:rPr>
          <w:rFonts w:ascii="Arial" w:hAnsi="Arial" w:cs="Arial"/>
          <w:sz w:val="24"/>
          <w:szCs w:val="24"/>
          <w:lang w:val="en-US"/>
        </w:rPr>
        <w:t xml:space="preserve">in fact </w:t>
      </w:r>
      <w:r>
        <w:rPr>
          <w:rFonts w:ascii="Arial" w:hAnsi="Arial" w:cs="Arial"/>
          <w:sz w:val="24"/>
          <w:szCs w:val="24"/>
          <w:lang w:val="en-US"/>
        </w:rPr>
        <w:t xml:space="preserve">cater for a situation in which the services of the </w:t>
      </w:r>
      <w:r w:rsidR="00810BD3">
        <w:rPr>
          <w:rFonts w:ascii="Arial" w:hAnsi="Arial" w:cs="Arial"/>
          <w:sz w:val="24"/>
          <w:szCs w:val="24"/>
          <w:lang w:val="en-US"/>
        </w:rPr>
        <w:t>respondent</w:t>
      </w:r>
      <w:r>
        <w:rPr>
          <w:rFonts w:ascii="Arial" w:hAnsi="Arial" w:cs="Arial"/>
          <w:sz w:val="24"/>
          <w:szCs w:val="24"/>
          <w:lang w:val="en-US"/>
        </w:rPr>
        <w:t xml:space="preserve"> might no longer be required during the course of the contract or project</w:t>
      </w:r>
      <w:r w:rsidR="00906637">
        <w:rPr>
          <w:rFonts w:ascii="Arial" w:hAnsi="Arial" w:cs="Arial"/>
          <w:sz w:val="24"/>
          <w:szCs w:val="24"/>
          <w:lang w:val="en-US"/>
        </w:rPr>
        <w:t xml:space="preserve">.  In that event the </w:t>
      </w:r>
      <w:r w:rsidR="00810BD3">
        <w:rPr>
          <w:rFonts w:ascii="Arial" w:hAnsi="Arial" w:cs="Arial"/>
          <w:sz w:val="24"/>
          <w:szCs w:val="24"/>
          <w:lang w:val="en-US"/>
        </w:rPr>
        <w:t>respondent</w:t>
      </w:r>
      <w:r w:rsidR="00906637">
        <w:rPr>
          <w:rFonts w:ascii="Arial" w:hAnsi="Arial" w:cs="Arial"/>
          <w:sz w:val="24"/>
          <w:szCs w:val="24"/>
          <w:lang w:val="en-US"/>
        </w:rPr>
        <w:t xml:space="preserve">’s services could be terminated </w:t>
      </w:r>
      <w:r>
        <w:rPr>
          <w:rFonts w:ascii="Arial" w:hAnsi="Arial" w:cs="Arial"/>
          <w:sz w:val="24"/>
          <w:szCs w:val="24"/>
          <w:lang w:val="en-US"/>
        </w:rPr>
        <w:t xml:space="preserve">by </w:t>
      </w:r>
      <w:r w:rsidR="00906637">
        <w:rPr>
          <w:rFonts w:ascii="Arial" w:hAnsi="Arial" w:cs="Arial"/>
          <w:sz w:val="24"/>
          <w:szCs w:val="24"/>
          <w:lang w:val="en-US"/>
        </w:rPr>
        <w:t xml:space="preserve">the </w:t>
      </w:r>
      <w:r w:rsidR="00810BD3">
        <w:rPr>
          <w:rFonts w:ascii="Arial" w:hAnsi="Arial" w:cs="Arial"/>
          <w:sz w:val="24"/>
          <w:szCs w:val="24"/>
          <w:lang w:val="en-US"/>
        </w:rPr>
        <w:t>appellant</w:t>
      </w:r>
      <w:r w:rsidR="00906637">
        <w:rPr>
          <w:rFonts w:ascii="Arial" w:hAnsi="Arial" w:cs="Arial"/>
          <w:sz w:val="24"/>
          <w:szCs w:val="24"/>
          <w:lang w:val="en-US"/>
        </w:rPr>
        <w:t xml:space="preserve"> </w:t>
      </w:r>
      <w:r>
        <w:rPr>
          <w:rFonts w:ascii="Arial" w:hAnsi="Arial" w:cs="Arial"/>
          <w:sz w:val="24"/>
          <w:szCs w:val="24"/>
          <w:lang w:val="en-US"/>
        </w:rPr>
        <w:t xml:space="preserve">giving notice.  </w:t>
      </w:r>
    </w:p>
    <w:p w14:paraId="05F15AD5" w14:textId="08BAE725" w:rsidR="00742120" w:rsidRPr="009E131A" w:rsidRDefault="00906637" w:rsidP="00742120">
      <w:pPr>
        <w:pStyle w:val="BowLevel1ListAlt"/>
        <w:rPr>
          <w:rFonts w:ascii="Arial" w:hAnsi="Arial" w:cs="Arial"/>
          <w:i/>
          <w:iCs/>
          <w:sz w:val="24"/>
          <w:szCs w:val="24"/>
          <w:lang w:val="en-US"/>
        </w:rPr>
      </w:pPr>
      <w:r w:rsidRPr="00742120">
        <w:rPr>
          <w:rFonts w:ascii="Arial" w:hAnsi="Arial" w:cs="Arial"/>
          <w:sz w:val="24"/>
          <w:szCs w:val="24"/>
          <w:lang w:val="en-US"/>
        </w:rPr>
        <w:t xml:space="preserve">In our view there are </w:t>
      </w:r>
      <w:r w:rsidR="00E63519" w:rsidRPr="00742120">
        <w:rPr>
          <w:rFonts w:ascii="Arial" w:hAnsi="Arial" w:cs="Arial"/>
          <w:sz w:val="24"/>
          <w:szCs w:val="24"/>
          <w:lang w:val="en-US"/>
        </w:rPr>
        <w:t xml:space="preserve">no grounds </w:t>
      </w:r>
      <w:r w:rsidRPr="00742120">
        <w:rPr>
          <w:rFonts w:ascii="Arial" w:hAnsi="Arial" w:cs="Arial"/>
          <w:sz w:val="24"/>
          <w:szCs w:val="24"/>
          <w:lang w:val="en-US"/>
        </w:rPr>
        <w:t xml:space="preserve">on which </w:t>
      </w:r>
      <w:r w:rsidR="00E63519" w:rsidRPr="00742120">
        <w:rPr>
          <w:rFonts w:ascii="Arial" w:hAnsi="Arial" w:cs="Arial"/>
          <w:sz w:val="24"/>
          <w:szCs w:val="24"/>
          <w:lang w:val="en-US"/>
        </w:rPr>
        <w:t xml:space="preserve">to adopt the </w:t>
      </w:r>
      <w:r w:rsidR="00E63519" w:rsidRPr="009E131A">
        <w:rPr>
          <w:rFonts w:ascii="Arial" w:hAnsi="Arial" w:cs="Arial"/>
          <w:sz w:val="24"/>
          <w:szCs w:val="24"/>
          <w:lang w:val="en-US"/>
        </w:rPr>
        <w:t>purpos</w:t>
      </w:r>
      <w:r w:rsidR="008823DA" w:rsidRPr="009E131A">
        <w:rPr>
          <w:rFonts w:ascii="Arial" w:hAnsi="Arial" w:cs="Arial"/>
          <w:sz w:val="24"/>
          <w:szCs w:val="24"/>
          <w:lang w:val="en-US"/>
        </w:rPr>
        <w:t>ive</w:t>
      </w:r>
      <w:r w:rsidR="00E63519" w:rsidRPr="009E131A">
        <w:rPr>
          <w:rFonts w:ascii="Arial" w:hAnsi="Arial" w:cs="Arial"/>
          <w:sz w:val="24"/>
          <w:szCs w:val="24"/>
          <w:lang w:val="en-US"/>
        </w:rPr>
        <w:t xml:space="preserve"> interpretation for which Mr Modiba contended</w:t>
      </w:r>
      <w:r w:rsidR="008B5992" w:rsidRPr="009E131A">
        <w:rPr>
          <w:rFonts w:ascii="Arial" w:hAnsi="Arial" w:cs="Arial"/>
          <w:sz w:val="24"/>
          <w:szCs w:val="24"/>
          <w:lang w:val="en-US"/>
        </w:rPr>
        <w:t>.  This would</w:t>
      </w:r>
      <w:r w:rsidR="00E63519" w:rsidRPr="009E131A">
        <w:rPr>
          <w:rFonts w:ascii="Arial" w:hAnsi="Arial" w:cs="Arial"/>
          <w:sz w:val="24"/>
          <w:szCs w:val="24"/>
          <w:lang w:val="en-US"/>
        </w:rPr>
        <w:t xml:space="preserve"> in effect amount to rewriting the contract for the parties</w:t>
      </w:r>
      <w:r w:rsidR="00AC65AE" w:rsidRPr="009E131A">
        <w:rPr>
          <w:rFonts w:ascii="Arial" w:hAnsi="Arial" w:cs="Arial"/>
          <w:sz w:val="24"/>
          <w:szCs w:val="24"/>
          <w:lang w:val="en-US"/>
        </w:rPr>
        <w:t xml:space="preserve">, something </w:t>
      </w:r>
      <w:r w:rsidR="0048021F">
        <w:rPr>
          <w:rFonts w:ascii="Arial" w:hAnsi="Arial" w:cs="Arial"/>
          <w:sz w:val="24"/>
          <w:szCs w:val="24"/>
          <w:lang w:val="en-US"/>
        </w:rPr>
        <w:t xml:space="preserve">the Supreme Court of Appeal </w:t>
      </w:r>
      <w:r w:rsidR="00C45FA3" w:rsidRPr="009E131A">
        <w:rPr>
          <w:rFonts w:ascii="Arial" w:hAnsi="Arial" w:cs="Arial"/>
          <w:sz w:val="24"/>
          <w:szCs w:val="24"/>
          <w:lang w:val="en-US"/>
        </w:rPr>
        <w:t xml:space="preserve">specifically warned against in </w:t>
      </w:r>
      <w:r w:rsidR="00742120" w:rsidRPr="009E131A">
        <w:rPr>
          <w:rFonts w:ascii="Arial" w:hAnsi="Arial" w:cs="Arial"/>
          <w:i/>
          <w:iCs/>
          <w:color w:val="242121"/>
          <w:sz w:val="24"/>
          <w:szCs w:val="24"/>
          <w:shd w:val="clear" w:color="auto" w:fill="FFFFFF"/>
        </w:rPr>
        <w:t>Natal Joint Municipal Pension Fund v Endumeni Municipality</w:t>
      </w:r>
      <w:r w:rsidR="00742120" w:rsidRPr="009E131A">
        <w:rPr>
          <w:rFonts w:ascii="Arial" w:hAnsi="Arial" w:cs="Arial"/>
          <w:color w:val="242121"/>
          <w:sz w:val="24"/>
          <w:szCs w:val="24"/>
          <w:shd w:val="clear" w:color="auto" w:fill="FFFFFF"/>
        </w:rPr>
        <w:t>:</w:t>
      </w:r>
      <w:r w:rsidR="00742120" w:rsidRPr="009E131A">
        <w:rPr>
          <w:rStyle w:val="FootnoteReference"/>
          <w:rFonts w:cs="Arial"/>
          <w:color w:val="242121"/>
          <w:sz w:val="24"/>
          <w:szCs w:val="24"/>
          <w:shd w:val="clear" w:color="auto" w:fill="FFFFFF"/>
        </w:rPr>
        <w:footnoteReference w:id="4"/>
      </w:r>
      <w:r w:rsidR="00742120" w:rsidRPr="009E131A">
        <w:rPr>
          <w:rFonts w:ascii="Arial" w:hAnsi="Arial" w:cs="Arial"/>
          <w:color w:val="242121"/>
          <w:sz w:val="24"/>
          <w:szCs w:val="24"/>
          <w:shd w:val="clear" w:color="auto" w:fill="FFFFFF"/>
        </w:rPr>
        <w:t> </w:t>
      </w:r>
    </w:p>
    <w:p w14:paraId="3CAAF7FE" w14:textId="4F1223B9" w:rsidR="005C2E18" w:rsidRPr="009E131A" w:rsidRDefault="004D15EB" w:rsidP="0048021F">
      <w:pPr>
        <w:pStyle w:val="BowLevel1ListAlt"/>
        <w:numPr>
          <w:ilvl w:val="0"/>
          <w:numId w:val="0"/>
        </w:numPr>
        <w:ind w:left="1440"/>
        <w:rPr>
          <w:rFonts w:ascii="Arial" w:hAnsi="Arial" w:cs="Arial"/>
          <w:i/>
          <w:iCs/>
          <w:sz w:val="24"/>
          <w:szCs w:val="24"/>
          <w:lang w:val="en-US"/>
        </w:rPr>
      </w:pPr>
      <w:r w:rsidRPr="009E131A">
        <w:rPr>
          <w:rFonts w:ascii="Arial" w:hAnsi="Arial" w:cs="Arial"/>
          <w:i/>
          <w:iCs/>
          <w:color w:val="242121"/>
          <w:sz w:val="27"/>
          <w:szCs w:val="27"/>
          <w:shd w:val="clear" w:color="auto" w:fill="FFFFFF"/>
        </w:rPr>
        <w:t>“</w:t>
      </w:r>
      <w:r w:rsidRPr="009E131A">
        <w:rPr>
          <w:rFonts w:ascii="Arial" w:hAnsi="Arial" w:cs="Arial"/>
          <w:i/>
          <w:iCs/>
          <w:color w:val="242121"/>
          <w:sz w:val="24"/>
          <w:szCs w:val="24"/>
          <w:shd w:val="clear" w:color="auto" w:fill="FFFFFF"/>
        </w:rPr>
        <w:t>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w:t>
      </w:r>
      <w:r w:rsidRPr="009E131A">
        <w:rPr>
          <w:rFonts w:ascii="Arial" w:hAnsi="Arial" w:cs="Arial"/>
          <w:i/>
          <w:iCs/>
          <w:color w:val="242121"/>
          <w:sz w:val="27"/>
          <w:szCs w:val="27"/>
          <w:shd w:val="clear" w:color="auto" w:fill="FFFFFF"/>
        </w:rPr>
        <w:t>” </w:t>
      </w:r>
      <w:r w:rsidR="00E63519" w:rsidRPr="009E131A">
        <w:rPr>
          <w:rFonts w:ascii="Arial" w:hAnsi="Arial" w:cs="Arial"/>
          <w:i/>
          <w:iCs/>
          <w:sz w:val="24"/>
          <w:szCs w:val="24"/>
          <w:lang w:val="en-US"/>
        </w:rPr>
        <w:t xml:space="preserve"> </w:t>
      </w:r>
    </w:p>
    <w:p w14:paraId="303300B2" w14:textId="38725B8A" w:rsidR="008823DA" w:rsidRDefault="00E63519" w:rsidP="00B71F31">
      <w:pPr>
        <w:pStyle w:val="BowLevel1ListAlt"/>
        <w:rPr>
          <w:rFonts w:ascii="Arial" w:hAnsi="Arial" w:cs="Arial"/>
          <w:sz w:val="24"/>
          <w:szCs w:val="24"/>
          <w:lang w:val="en-US"/>
        </w:rPr>
      </w:pPr>
      <w:r>
        <w:rPr>
          <w:rFonts w:ascii="Arial" w:hAnsi="Arial" w:cs="Arial"/>
          <w:sz w:val="24"/>
          <w:szCs w:val="24"/>
          <w:lang w:val="en-US"/>
        </w:rPr>
        <w:t xml:space="preserve">In those circumstances we </w:t>
      </w:r>
      <w:r w:rsidR="008823DA">
        <w:rPr>
          <w:rFonts w:ascii="Arial" w:hAnsi="Arial" w:cs="Arial"/>
          <w:sz w:val="24"/>
          <w:szCs w:val="24"/>
          <w:lang w:val="en-US"/>
        </w:rPr>
        <w:t xml:space="preserve">cannot </w:t>
      </w:r>
      <w:r>
        <w:rPr>
          <w:rFonts w:ascii="Arial" w:hAnsi="Arial" w:cs="Arial"/>
          <w:sz w:val="24"/>
          <w:szCs w:val="24"/>
          <w:lang w:val="en-US"/>
        </w:rPr>
        <w:t xml:space="preserve">fault the conclusion of the court </w:t>
      </w:r>
      <w:r w:rsidRPr="00E63519">
        <w:rPr>
          <w:rFonts w:ascii="Arial" w:hAnsi="Arial" w:cs="Arial"/>
          <w:i/>
          <w:iCs/>
          <w:sz w:val="24"/>
          <w:szCs w:val="24"/>
          <w:lang w:val="en-US"/>
        </w:rPr>
        <w:t>a quo</w:t>
      </w:r>
      <w:r>
        <w:rPr>
          <w:rFonts w:ascii="Arial" w:hAnsi="Arial" w:cs="Arial"/>
          <w:sz w:val="24"/>
          <w:szCs w:val="24"/>
          <w:lang w:val="en-US"/>
        </w:rPr>
        <w:t xml:space="preserve"> that notice was required to terminate the contract.  </w:t>
      </w:r>
    </w:p>
    <w:p w14:paraId="6A951143" w14:textId="367DB3A2" w:rsidR="006F7E59" w:rsidRDefault="006C3CB7" w:rsidP="00B71F31">
      <w:pPr>
        <w:pStyle w:val="BowLevel1ListAlt"/>
        <w:rPr>
          <w:rFonts w:ascii="Arial" w:hAnsi="Arial" w:cs="Arial"/>
          <w:sz w:val="24"/>
          <w:szCs w:val="24"/>
          <w:lang w:val="en-US"/>
        </w:rPr>
      </w:pPr>
      <w:r>
        <w:rPr>
          <w:rFonts w:ascii="Arial" w:hAnsi="Arial" w:cs="Arial"/>
          <w:sz w:val="24"/>
          <w:szCs w:val="24"/>
          <w:lang w:val="en-US"/>
        </w:rPr>
        <w:t xml:space="preserve">In light of the conclusion reached by the court </w:t>
      </w:r>
      <w:r w:rsidRPr="00B353DA">
        <w:rPr>
          <w:rFonts w:ascii="Arial" w:hAnsi="Arial" w:cs="Arial"/>
          <w:i/>
          <w:iCs/>
          <w:sz w:val="24"/>
          <w:szCs w:val="24"/>
          <w:lang w:val="en-US"/>
        </w:rPr>
        <w:t>a quo</w:t>
      </w:r>
      <w:r>
        <w:rPr>
          <w:rFonts w:ascii="Arial" w:hAnsi="Arial" w:cs="Arial"/>
          <w:sz w:val="24"/>
          <w:szCs w:val="24"/>
          <w:lang w:val="en-US"/>
        </w:rPr>
        <w:t xml:space="preserve"> on the question whether notice was required to terminate the contract in the circumstances it is difficult to understand the court’s reasoning in </w:t>
      </w:r>
      <w:r w:rsidR="00645AE0">
        <w:rPr>
          <w:rFonts w:ascii="Arial" w:hAnsi="Arial" w:cs="Arial"/>
          <w:sz w:val="24"/>
          <w:szCs w:val="24"/>
          <w:lang w:val="en-US"/>
        </w:rPr>
        <w:t xml:space="preserve">thereafter </w:t>
      </w:r>
      <w:r w:rsidR="00217B07">
        <w:rPr>
          <w:rFonts w:ascii="Arial" w:hAnsi="Arial" w:cs="Arial"/>
          <w:sz w:val="24"/>
          <w:szCs w:val="24"/>
          <w:lang w:val="en-US"/>
        </w:rPr>
        <w:t xml:space="preserve">describing the situation as one involving </w:t>
      </w:r>
      <w:r w:rsidR="00E63519">
        <w:rPr>
          <w:rFonts w:ascii="Arial" w:hAnsi="Arial" w:cs="Arial"/>
          <w:sz w:val="24"/>
          <w:szCs w:val="24"/>
          <w:lang w:val="en-US"/>
        </w:rPr>
        <w:t>supervening impossibility</w:t>
      </w:r>
      <w:r w:rsidR="00217B07">
        <w:rPr>
          <w:rFonts w:ascii="Arial" w:hAnsi="Arial" w:cs="Arial"/>
          <w:sz w:val="24"/>
          <w:szCs w:val="24"/>
          <w:lang w:val="en-US"/>
        </w:rPr>
        <w:t xml:space="preserve"> of performance</w:t>
      </w:r>
      <w:r w:rsidR="00E63519">
        <w:rPr>
          <w:rFonts w:ascii="Arial" w:hAnsi="Arial" w:cs="Arial"/>
          <w:sz w:val="24"/>
          <w:szCs w:val="24"/>
          <w:lang w:val="en-US"/>
        </w:rPr>
        <w:t xml:space="preserve">.  </w:t>
      </w:r>
      <w:r w:rsidR="006F7E59">
        <w:rPr>
          <w:rFonts w:ascii="Arial" w:hAnsi="Arial" w:cs="Arial"/>
          <w:sz w:val="24"/>
          <w:szCs w:val="24"/>
          <w:lang w:val="en-US"/>
        </w:rPr>
        <w:t xml:space="preserve">Nor is it apparent how or in what way this contributed to the order which the court </w:t>
      </w:r>
      <w:r w:rsidR="006F7E59" w:rsidRPr="00B353DA">
        <w:rPr>
          <w:rFonts w:ascii="Arial" w:hAnsi="Arial" w:cs="Arial"/>
          <w:i/>
          <w:iCs/>
          <w:sz w:val="24"/>
          <w:szCs w:val="24"/>
          <w:lang w:val="en-US"/>
        </w:rPr>
        <w:t>a quo</w:t>
      </w:r>
      <w:r w:rsidR="006F7E59">
        <w:rPr>
          <w:rFonts w:ascii="Arial" w:hAnsi="Arial" w:cs="Arial"/>
          <w:sz w:val="24"/>
          <w:szCs w:val="24"/>
          <w:lang w:val="en-US"/>
        </w:rPr>
        <w:t xml:space="preserve"> made.</w:t>
      </w:r>
      <w:r w:rsidR="00A62E07">
        <w:rPr>
          <w:rFonts w:ascii="Arial" w:hAnsi="Arial" w:cs="Arial"/>
          <w:sz w:val="24"/>
          <w:szCs w:val="24"/>
          <w:lang w:val="en-US"/>
        </w:rPr>
        <w:t xml:space="preserve">  It appears</w:t>
      </w:r>
      <w:r w:rsidR="000C4AF9">
        <w:rPr>
          <w:rFonts w:ascii="Arial" w:hAnsi="Arial" w:cs="Arial"/>
          <w:sz w:val="24"/>
          <w:szCs w:val="24"/>
          <w:lang w:val="en-US"/>
        </w:rPr>
        <w:t>, from the sequence of its reasoning,</w:t>
      </w:r>
      <w:r w:rsidR="00A62E07">
        <w:rPr>
          <w:rFonts w:ascii="Arial" w:hAnsi="Arial" w:cs="Arial"/>
          <w:sz w:val="24"/>
          <w:szCs w:val="24"/>
          <w:lang w:val="en-US"/>
        </w:rPr>
        <w:t xml:space="preserve"> that the court considered this question to be one that impacted the quantum of damages that the </w:t>
      </w:r>
      <w:r w:rsidR="00810BD3">
        <w:rPr>
          <w:rFonts w:ascii="Arial" w:hAnsi="Arial" w:cs="Arial"/>
          <w:sz w:val="24"/>
          <w:szCs w:val="24"/>
          <w:lang w:val="en-US"/>
        </w:rPr>
        <w:t>respondent</w:t>
      </w:r>
      <w:r w:rsidR="00A62E07">
        <w:rPr>
          <w:rFonts w:ascii="Arial" w:hAnsi="Arial" w:cs="Arial"/>
          <w:sz w:val="24"/>
          <w:szCs w:val="24"/>
          <w:lang w:val="en-US"/>
        </w:rPr>
        <w:t xml:space="preserve"> had suffered in consequence of the breach</w:t>
      </w:r>
      <w:r w:rsidR="00B9466B">
        <w:rPr>
          <w:rFonts w:ascii="Arial" w:hAnsi="Arial" w:cs="Arial"/>
          <w:sz w:val="24"/>
          <w:szCs w:val="24"/>
          <w:lang w:val="en-US"/>
        </w:rPr>
        <w:t xml:space="preserve">.  The court’s reasoning appeared to be that since the </w:t>
      </w:r>
      <w:r w:rsidR="00810BD3">
        <w:rPr>
          <w:rFonts w:ascii="Arial" w:hAnsi="Arial" w:cs="Arial"/>
          <w:sz w:val="24"/>
          <w:szCs w:val="24"/>
          <w:lang w:val="en-US"/>
        </w:rPr>
        <w:t>appellant</w:t>
      </w:r>
      <w:r w:rsidR="00B9466B">
        <w:rPr>
          <w:rFonts w:ascii="Arial" w:hAnsi="Arial" w:cs="Arial"/>
          <w:sz w:val="24"/>
          <w:szCs w:val="24"/>
          <w:lang w:val="en-US"/>
        </w:rPr>
        <w:t xml:space="preserve"> could not in fact have </w:t>
      </w:r>
      <w:r w:rsidR="00B9466B">
        <w:rPr>
          <w:rFonts w:ascii="Arial" w:hAnsi="Arial" w:cs="Arial"/>
          <w:sz w:val="24"/>
          <w:szCs w:val="24"/>
          <w:lang w:val="en-US"/>
        </w:rPr>
        <w:lastRenderedPageBreak/>
        <w:t xml:space="preserve">provided further work to the </w:t>
      </w:r>
      <w:r w:rsidR="00810BD3">
        <w:rPr>
          <w:rFonts w:ascii="Arial" w:hAnsi="Arial" w:cs="Arial"/>
          <w:sz w:val="24"/>
          <w:szCs w:val="24"/>
          <w:lang w:val="en-US"/>
        </w:rPr>
        <w:t>respondent</w:t>
      </w:r>
      <w:r w:rsidR="00B9466B">
        <w:rPr>
          <w:rFonts w:ascii="Arial" w:hAnsi="Arial" w:cs="Arial"/>
          <w:sz w:val="24"/>
          <w:szCs w:val="24"/>
          <w:lang w:val="en-US"/>
        </w:rPr>
        <w:t xml:space="preserve"> under the MTN service level agreement, the amount of damages should be limited to the fees the </w:t>
      </w:r>
      <w:r w:rsidR="00810BD3">
        <w:rPr>
          <w:rFonts w:ascii="Arial" w:hAnsi="Arial" w:cs="Arial"/>
          <w:sz w:val="24"/>
          <w:szCs w:val="24"/>
          <w:lang w:val="en-US"/>
        </w:rPr>
        <w:t>respondent</w:t>
      </w:r>
      <w:r w:rsidR="00B9466B">
        <w:rPr>
          <w:rFonts w:ascii="Arial" w:hAnsi="Arial" w:cs="Arial"/>
          <w:sz w:val="24"/>
          <w:szCs w:val="24"/>
          <w:lang w:val="en-US"/>
        </w:rPr>
        <w:t xml:space="preserve"> </w:t>
      </w:r>
      <w:r w:rsidR="00561095">
        <w:rPr>
          <w:rFonts w:ascii="Arial" w:hAnsi="Arial" w:cs="Arial"/>
          <w:sz w:val="24"/>
          <w:szCs w:val="24"/>
          <w:lang w:val="en-US"/>
        </w:rPr>
        <w:t xml:space="preserve">could have charged during the notice period.  This was what the court </w:t>
      </w:r>
      <w:r w:rsidR="000C4AF9">
        <w:rPr>
          <w:rFonts w:ascii="Arial" w:hAnsi="Arial" w:cs="Arial"/>
          <w:sz w:val="24"/>
          <w:szCs w:val="24"/>
          <w:lang w:val="en-US"/>
        </w:rPr>
        <w:t xml:space="preserve">then </w:t>
      </w:r>
      <w:r w:rsidR="00561095">
        <w:rPr>
          <w:rFonts w:ascii="Arial" w:hAnsi="Arial" w:cs="Arial"/>
          <w:sz w:val="24"/>
          <w:szCs w:val="24"/>
          <w:lang w:val="en-US"/>
        </w:rPr>
        <w:t>ordered.</w:t>
      </w:r>
    </w:p>
    <w:p w14:paraId="210356B2" w14:textId="7C0ED05C" w:rsidR="00EA4351" w:rsidRDefault="00EB1259" w:rsidP="00C83B3F">
      <w:pPr>
        <w:pStyle w:val="BowLevel1ListAlt"/>
        <w:rPr>
          <w:rFonts w:ascii="Arial" w:hAnsi="Arial" w:cs="Arial"/>
          <w:sz w:val="24"/>
          <w:szCs w:val="24"/>
          <w:lang w:val="en-US"/>
        </w:rPr>
      </w:pPr>
      <w:r>
        <w:rPr>
          <w:rFonts w:ascii="Arial" w:hAnsi="Arial" w:cs="Arial"/>
          <w:sz w:val="24"/>
          <w:szCs w:val="24"/>
          <w:lang w:val="en-US"/>
        </w:rPr>
        <w:t xml:space="preserve">The </w:t>
      </w:r>
      <w:r w:rsidR="00810BD3">
        <w:rPr>
          <w:rFonts w:ascii="Arial" w:hAnsi="Arial" w:cs="Arial"/>
          <w:sz w:val="24"/>
          <w:szCs w:val="24"/>
          <w:lang w:val="en-US"/>
        </w:rPr>
        <w:t>appellant</w:t>
      </w:r>
      <w:r>
        <w:rPr>
          <w:rFonts w:ascii="Arial" w:hAnsi="Arial" w:cs="Arial"/>
          <w:sz w:val="24"/>
          <w:szCs w:val="24"/>
          <w:lang w:val="en-US"/>
        </w:rPr>
        <w:t xml:space="preserve"> is correct that if the situation </w:t>
      </w:r>
      <w:r w:rsidR="000C4AF9">
        <w:rPr>
          <w:rFonts w:ascii="Arial" w:hAnsi="Arial" w:cs="Arial"/>
          <w:sz w:val="24"/>
          <w:szCs w:val="24"/>
          <w:lang w:val="en-US"/>
        </w:rPr>
        <w:t xml:space="preserve">had in fact been </w:t>
      </w:r>
      <w:r>
        <w:rPr>
          <w:rFonts w:ascii="Arial" w:hAnsi="Arial" w:cs="Arial"/>
          <w:sz w:val="24"/>
          <w:szCs w:val="24"/>
          <w:lang w:val="en-US"/>
        </w:rPr>
        <w:t xml:space="preserve">one in which there was a supervening possibility of performance, </w:t>
      </w:r>
      <w:r w:rsidR="00E07841">
        <w:rPr>
          <w:rFonts w:ascii="Arial" w:hAnsi="Arial" w:cs="Arial"/>
          <w:sz w:val="24"/>
          <w:szCs w:val="24"/>
          <w:lang w:val="en-US"/>
        </w:rPr>
        <w:t xml:space="preserve">its failure to perform </w:t>
      </w:r>
      <w:r w:rsidR="00167046">
        <w:rPr>
          <w:rFonts w:ascii="Arial" w:hAnsi="Arial" w:cs="Arial"/>
          <w:sz w:val="24"/>
          <w:szCs w:val="24"/>
          <w:lang w:val="en-US"/>
        </w:rPr>
        <w:t xml:space="preserve">could </w:t>
      </w:r>
      <w:r w:rsidR="00E07841">
        <w:rPr>
          <w:rFonts w:ascii="Arial" w:hAnsi="Arial" w:cs="Arial"/>
          <w:sz w:val="24"/>
          <w:szCs w:val="24"/>
          <w:lang w:val="en-US"/>
        </w:rPr>
        <w:t xml:space="preserve">not </w:t>
      </w:r>
      <w:r w:rsidR="00167046">
        <w:rPr>
          <w:rFonts w:ascii="Arial" w:hAnsi="Arial" w:cs="Arial"/>
          <w:sz w:val="24"/>
          <w:szCs w:val="24"/>
          <w:lang w:val="en-US"/>
        </w:rPr>
        <w:t xml:space="preserve">properly </w:t>
      </w:r>
      <w:r w:rsidR="00E07841">
        <w:rPr>
          <w:rFonts w:ascii="Arial" w:hAnsi="Arial" w:cs="Arial"/>
          <w:sz w:val="24"/>
          <w:szCs w:val="24"/>
          <w:lang w:val="en-US"/>
        </w:rPr>
        <w:t xml:space="preserve">have been held to constitute a breach of the contract.  In supplementary written argument delivered after </w:t>
      </w:r>
      <w:r w:rsidR="00662831">
        <w:rPr>
          <w:rFonts w:ascii="Arial" w:hAnsi="Arial" w:cs="Arial"/>
          <w:sz w:val="24"/>
          <w:szCs w:val="24"/>
          <w:lang w:val="en-US"/>
        </w:rPr>
        <w:t xml:space="preserve">oral argument (which we have decided to admit and have carefully considered) the </w:t>
      </w:r>
      <w:r w:rsidR="00810BD3">
        <w:rPr>
          <w:rFonts w:ascii="Arial" w:hAnsi="Arial" w:cs="Arial"/>
          <w:sz w:val="24"/>
          <w:szCs w:val="24"/>
          <w:lang w:val="en-US"/>
        </w:rPr>
        <w:t>appellant</w:t>
      </w:r>
      <w:r w:rsidR="00662831">
        <w:rPr>
          <w:rFonts w:ascii="Arial" w:hAnsi="Arial" w:cs="Arial"/>
          <w:sz w:val="24"/>
          <w:szCs w:val="24"/>
          <w:lang w:val="en-US"/>
        </w:rPr>
        <w:t xml:space="preserve"> characterizes the court </w:t>
      </w:r>
      <w:r w:rsidR="00662831" w:rsidRPr="009E131A">
        <w:rPr>
          <w:rFonts w:ascii="Arial" w:hAnsi="Arial" w:cs="Arial"/>
          <w:i/>
          <w:iCs/>
          <w:sz w:val="24"/>
          <w:szCs w:val="24"/>
          <w:lang w:val="en-US"/>
        </w:rPr>
        <w:t>a quo’s</w:t>
      </w:r>
      <w:r w:rsidR="00662831">
        <w:rPr>
          <w:rFonts w:ascii="Arial" w:hAnsi="Arial" w:cs="Arial"/>
          <w:sz w:val="24"/>
          <w:szCs w:val="24"/>
          <w:lang w:val="en-US"/>
        </w:rPr>
        <w:t xml:space="preserve"> finding that there was supervening impossibly of performance as a finding of fact with which, the </w:t>
      </w:r>
      <w:r w:rsidR="00810BD3">
        <w:rPr>
          <w:rFonts w:ascii="Arial" w:hAnsi="Arial" w:cs="Arial"/>
          <w:sz w:val="24"/>
          <w:szCs w:val="24"/>
          <w:lang w:val="en-US"/>
        </w:rPr>
        <w:t>appellant</w:t>
      </w:r>
      <w:r w:rsidR="00662831">
        <w:rPr>
          <w:rFonts w:ascii="Arial" w:hAnsi="Arial" w:cs="Arial"/>
          <w:sz w:val="24"/>
          <w:szCs w:val="24"/>
          <w:lang w:val="en-US"/>
        </w:rPr>
        <w:t xml:space="preserve"> submits, </w:t>
      </w:r>
      <w:r w:rsidR="00EA4351">
        <w:rPr>
          <w:rFonts w:ascii="Arial" w:hAnsi="Arial" w:cs="Arial"/>
          <w:sz w:val="24"/>
          <w:szCs w:val="24"/>
          <w:lang w:val="en-US"/>
        </w:rPr>
        <w:t xml:space="preserve">this court is </w:t>
      </w:r>
      <w:r w:rsidR="00662831">
        <w:rPr>
          <w:rFonts w:ascii="Arial" w:hAnsi="Arial" w:cs="Arial"/>
          <w:sz w:val="24"/>
          <w:szCs w:val="24"/>
          <w:lang w:val="en-US"/>
        </w:rPr>
        <w:t>not at liberty to interfere</w:t>
      </w:r>
      <w:r w:rsidR="008671DD">
        <w:rPr>
          <w:rFonts w:ascii="Arial" w:hAnsi="Arial" w:cs="Arial"/>
          <w:sz w:val="24"/>
          <w:szCs w:val="24"/>
          <w:lang w:val="en-US"/>
        </w:rPr>
        <w:t xml:space="preserve"> in the absence of a </w:t>
      </w:r>
      <w:r w:rsidR="005C60EB">
        <w:rPr>
          <w:rFonts w:ascii="Arial" w:hAnsi="Arial" w:cs="Arial"/>
          <w:sz w:val="24"/>
          <w:szCs w:val="24"/>
          <w:lang w:val="en-US"/>
        </w:rPr>
        <w:t>cross appeal</w:t>
      </w:r>
      <w:r w:rsidR="00662831">
        <w:rPr>
          <w:rFonts w:ascii="Arial" w:hAnsi="Arial" w:cs="Arial"/>
          <w:sz w:val="24"/>
          <w:szCs w:val="24"/>
          <w:lang w:val="en-US"/>
        </w:rPr>
        <w:t>.</w:t>
      </w:r>
      <w:r w:rsidR="00C83B3F">
        <w:rPr>
          <w:rFonts w:ascii="Arial" w:hAnsi="Arial" w:cs="Arial"/>
          <w:sz w:val="24"/>
          <w:szCs w:val="24"/>
          <w:lang w:val="en-US"/>
        </w:rPr>
        <w:t xml:space="preserve">  </w:t>
      </w:r>
    </w:p>
    <w:p w14:paraId="08345E0E" w14:textId="7534BD74" w:rsidR="00475161" w:rsidRDefault="00864787" w:rsidP="00C83B3F">
      <w:pPr>
        <w:pStyle w:val="BowLevel1ListAlt"/>
        <w:rPr>
          <w:rFonts w:ascii="Arial" w:hAnsi="Arial" w:cs="Arial"/>
          <w:sz w:val="24"/>
          <w:szCs w:val="24"/>
          <w:lang w:val="en-US"/>
        </w:rPr>
      </w:pPr>
      <w:r>
        <w:rPr>
          <w:rFonts w:ascii="Arial" w:hAnsi="Arial" w:cs="Arial"/>
          <w:sz w:val="24"/>
          <w:szCs w:val="24"/>
          <w:lang w:val="en-US"/>
        </w:rPr>
        <w:t xml:space="preserve">There are </w:t>
      </w:r>
      <w:r w:rsidR="005C60EB">
        <w:rPr>
          <w:rFonts w:ascii="Arial" w:hAnsi="Arial" w:cs="Arial"/>
          <w:sz w:val="24"/>
          <w:szCs w:val="24"/>
          <w:lang w:val="en-US"/>
        </w:rPr>
        <w:t>a number of</w:t>
      </w:r>
      <w:r>
        <w:rPr>
          <w:rFonts w:ascii="Arial" w:hAnsi="Arial" w:cs="Arial"/>
          <w:sz w:val="24"/>
          <w:szCs w:val="24"/>
          <w:lang w:val="en-US"/>
        </w:rPr>
        <w:t xml:space="preserve"> answers to this contention.  The first is that the finding of the </w:t>
      </w:r>
      <w:r w:rsidR="00C83B3F">
        <w:rPr>
          <w:rFonts w:ascii="Arial" w:hAnsi="Arial" w:cs="Arial"/>
          <w:sz w:val="24"/>
          <w:szCs w:val="24"/>
          <w:lang w:val="en-US"/>
        </w:rPr>
        <w:t xml:space="preserve">court </w:t>
      </w:r>
      <w:r w:rsidR="00C83B3F" w:rsidRPr="009E131A">
        <w:rPr>
          <w:rFonts w:ascii="Arial" w:hAnsi="Arial" w:cs="Arial"/>
          <w:i/>
          <w:iCs/>
          <w:sz w:val="24"/>
          <w:szCs w:val="24"/>
          <w:lang w:val="en-US"/>
        </w:rPr>
        <w:t>a quo</w:t>
      </w:r>
      <w:r>
        <w:rPr>
          <w:rFonts w:ascii="Arial" w:hAnsi="Arial" w:cs="Arial"/>
          <w:sz w:val="24"/>
          <w:szCs w:val="24"/>
          <w:lang w:val="en-US"/>
        </w:rPr>
        <w:t xml:space="preserve"> </w:t>
      </w:r>
      <w:r w:rsidR="00DB1ECF">
        <w:rPr>
          <w:rFonts w:ascii="Arial" w:hAnsi="Arial" w:cs="Arial"/>
          <w:sz w:val="24"/>
          <w:szCs w:val="24"/>
          <w:lang w:val="en-US"/>
        </w:rPr>
        <w:t xml:space="preserve">that there was supervening impossibility of performance </w:t>
      </w:r>
      <w:r w:rsidR="008829D7">
        <w:rPr>
          <w:rFonts w:ascii="Arial" w:hAnsi="Arial" w:cs="Arial"/>
          <w:sz w:val="24"/>
          <w:szCs w:val="24"/>
          <w:lang w:val="en-US"/>
        </w:rPr>
        <w:t xml:space="preserve">is clearly </w:t>
      </w:r>
      <w:r w:rsidR="005C60EB">
        <w:rPr>
          <w:rFonts w:ascii="Arial" w:hAnsi="Arial" w:cs="Arial"/>
          <w:sz w:val="24"/>
          <w:szCs w:val="24"/>
          <w:lang w:val="en-US"/>
        </w:rPr>
        <w:t xml:space="preserve">not a finding of fact </w:t>
      </w:r>
      <w:r w:rsidR="00DB1ECF">
        <w:rPr>
          <w:rFonts w:ascii="Arial" w:hAnsi="Arial" w:cs="Arial"/>
          <w:sz w:val="24"/>
          <w:szCs w:val="24"/>
          <w:lang w:val="en-US"/>
        </w:rPr>
        <w:t xml:space="preserve">but </w:t>
      </w:r>
      <w:r w:rsidR="008829D7">
        <w:rPr>
          <w:rFonts w:ascii="Arial" w:hAnsi="Arial" w:cs="Arial"/>
          <w:sz w:val="24"/>
          <w:szCs w:val="24"/>
          <w:lang w:val="en-US"/>
        </w:rPr>
        <w:t>a conclusion of law based on the established fact</w:t>
      </w:r>
      <w:r w:rsidR="00C97843">
        <w:rPr>
          <w:rFonts w:ascii="Arial" w:hAnsi="Arial" w:cs="Arial"/>
          <w:sz w:val="24"/>
          <w:szCs w:val="24"/>
          <w:lang w:val="en-US"/>
        </w:rPr>
        <w:t xml:space="preserve">s.  The conclusion is clearly wrong, for reasons explained further below.  </w:t>
      </w:r>
      <w:r w:rsidR="005A7D92">
        <w:rPr>
          <w:rFonts w:ascii="Arial" w:hAnsi="Arial" w:cs="Arial"/>
          <w:sz w:val="24"/>
          <w:szCs w:val="24"/>
          <w:lang w:val="en-US"/>
        </w:rPr>
        <w:t xml:space="preserve">The second is that the correctness or otherwise of the court’s finding in this regard is placed squarely before us in this appeal by the </w:t>
      </w:r>
      <w:r w:rsidR="00810BD3">
        <w:rPr>
          <w:rFonts w:ascii="Arial" w:hAnsi="Arial" w:cs="Arial"/>
          <w:sz w:val="24"/>
          <w:szCs w:val="24"/>
          <w:lang w:val="en-US"/>
        </w:rPr>
        <w:t>appellant</w:t>
      </w:r>
      <w:r w:rsidR="0031024B">
        <w:rPr>
          <w:rFonts w:ascii="Arial" w:hAnsi="Arial" w:cs="Arial"/>
          <w:sz w:val="24"/>
          <w:szCs w:val="24"/>
          <w:lang w:val="en-US"/>
        </w:rPr>
        <w:t xml:space="preserve">’s own submissions, and we are clearly permitted, and </w:t>
      </w:r>
      <w:r w:rsidR="00767EAB">
        <w:rPr>
          <w:rFonts w:ascii="Arial" w:hAnsi="Arial" w:cs="Arial"/>
          <w:sz w:val="24"/>
          <w:szCs w:val="24"/>
          <w:lang w:val="en-US"/>
        </w:rPr>
        <w:t xml:space="preserve">indeed </w:t>
      </w:r>
      <w:r w:rsidR="0031024B">
        <w:rPr>
          <w:rFonts w:ascii="Arial" w:hAnsi="Arial" w:cs="Arial"/>
          <w:sz w:val="24"/>
          <w:szCs w:val="24"/>
          <w:lang w:val="en-US"/>
        </w:rPr>
        <w:t>required, to decide the matter with proper regard to the correctness or otherwise of the court’s conclusion on this score.</w:t>
      </w:r>
      <w:r w:rsidR="00DB1ECF">
        <w:rPr>
          <w:rFonts w:ascii="Arial" w:hAnsi="Arial" w:cs="Arial"/>
          <w:sz w:val="24"/>
          <w:szCs w:val="24"/>
          <w:lang w:val="en-US"/>
        </w:rPr>
        <w:t xml:space="preserve">  No cross appeal is required </w:t>
      </w:r>
      <w:r w:rsidR="00B70897">
        <w:rPr>
          <w:rFonts w:ascii="Arial" w:hAnsi="Arial" w:cs="Arial"/>
          <w:sz w:val="24"/>
          <w:szCs w:val="24"/>
          <w:lang w:val="en-US"/>
        </w:rPr>
        <w:t>for this court to have regard to the correctness or otherwise of findings of fact.</w:t>
      </w:r>
      <w:r w:rsidR="00A821B4">
        <w:rPr>
          <w:rFonts w:ascii="Arial" w:hAnsi="Arial" w:cs="Arial"/>
          <w:sz w:val="24"/>
          <w:szCs w:val="24"/>
          <w:lang w:val="en-US"/>
        </w:rPr>
        <w:t xml:space="preserve">  An appeal or cross appeal </w:t>
      </w:r>
      <w:r w:rsidR="007D1762">
        <w:rPr>
          <w:rFonts w:ascii="Arial" w:hAnsi="Arial" w:cs="Arial"/>
          <w:sz w:val="24"/>
          <w:szCs w:val="24"/>
          <w:lang w:val="en-US"/>
        </w:rPr>
        <w:t>seeks to attack</w:t>
      </w:r>
      <w:r w:rsidR="00A821B4">
        <w:rPr>
          <w:rFonts w:ascii="Arial" w:hAnsi="Arial" w:cs="Arial"/>
          <w:sz w:val="24"/>
          <w:szCs w:val="24"/>
          <w:lang w:val="en-US"/>
        </w:rPr>
        <w:t xml:space="preserve"> an order</w:t>
      </w:r>
      <w:r w:rsidR="007D1762">
        <w:rPr>
          <w:rFonts w:ascii="Arial" w:hAnsi="Arial" w:cs="Arial"/>
          <w:sz w:val="24"/>
          <w:szCs w:val="24"/>
          <w:lang w:val="en-US"/>
        </w:rPr>
        <w:t xml:space="preserve"> and not only the reasons for it.</w:t>
      </w:r>
    </w:p>
    <w:p w14:paraId="670A270F" w14:textId="6D794521" w:rsidR="007D4BF7" w:rsidRDefault="00B828BD" w:rsidP="00C83B3F">
      <w:pPr>
        <w:pStyle w:val="BowLevel1ListAlt"/>
        <w:rPr>
          <w:rFonts w:ascii="Arial" w:hAnsi="Arial" w:cs="Arial"/>
          <w:sz w:val="24"/>
          <w:szCs w:val="24"/>
          <w:lang w:val="en-US"/>
        </w:rPr>
      </w:pPr>
      <w:r>
        <w:rPr>
          <w:rFonts w:ascii="Arial" w:hAnsi="Arial" w:cs="Arial"/>
          <w:sz w:val="24"/>
          <w:szCs w:val="24"/>
          <w:lang w:val="en-US"/>
        </w:rPr>
        <w:t xml:space="preserve">Even </w:t>
      </w:r>
      <w:r w:rsidR="007D4BF7">
        <w:rPr>
          <w:rFonts w:ascii="Arial" w:hAnsi="Arial" w:cs="Arial"/>
          <w:sz w:val="24"/>
          <w:szCs w:val="24"/>
          <w:lang w:val="en-US"/>
        </w:rPr>
        <w:t xml:space="preserve">where findings of fact are concerned, an appeal court is not constrained in the manner suggested by the </w:t>
      </w:r>
      <w:r w:rsidR="00810BD3">
        <w:rPr>
          <w:rFonts w:ascii="Arial" w:hAnsi="Arial" w:cs="Arial"/>
          <w:sz w:val="24"/>
          <w:szCs w:val="24"/>
          <w:lang w:val="en-US"/>
        </w:rPr>
        <w:t>appellant</w:t>
      </w:r>
      <w:r w:rsidR="007D4BF7">
        <w:rPr>
          <w:rFonts w:ascii="Arial" w:hAnsi="Arial" w:cs="Arial"/>
          <w:sz w:val="24"/>
          <w:szCs w:val="24"/>
          <w:lang w:val="en-US"/>
        </w:rPr>
        <w:t xml:space="preserve">: </w:t>
      </w:r>
    </w:p>
    <w:p w14:paraId="4EBDB70F" w14:textId="0BCA5655" w:rsidR="007D4BF7" w:rsidRPr="007D4BF7" w:rsidRDefault="0012289C" w:rsidP="009E131A">
      <w:pPr>
        <w:pStyle w:val="BowLevel1ListAlt"/>
        <w:numPr>
          <w:ilvl w:val="0"/>
          <w:numId w:val="0"/>
        </w:numPr>
        <w:ind w:left="1440"/>
        <w:rPr>
          <w:lang w:eastAsia="en-ZA"/>
        </w:rPr>
      </w:pPr>
      <w:r>
        <w:rPr>
          <w:rFonts w:ascii="Arial" w:hAnsi="Arial" w:cs="Arial"/>
          <w:i/>
          <w:iCs/>
          <w:sz w:val="24"/>
          <w:szCs w:val="24"/>
          <w:lang w:eastAsia="en-ZA"/>
        </w:rPr>
        <w:t>“</w:t>
      </w:r>
      <w:r w:rsidR="007D4BF7" w:rsidRPr="009E131A">
        <w:rPr>
          <w:rFonts w:ascii="Arial" w:hAnsi="Arial" w:cs="Arial"/>
          <w:i/>
          <w:iCs/>
          <w:sz w:val="24"/>
          <w:szCs w:val="24"/>
          <w:lang w:eastAsia="en-ZA"/>
        </w:rPr>
        <w:t xml:space="preserve">What must be stressed here, is the point that has been repeatedly made. The principle that an appellate court will not ordinarily interfere with a factual finding by a trial court is not an inflexible rule. It is a recognition of the advantages that the trial court enjoys which the appellate court does not. These advantages flow from observing and hearing witnesses as opposed to reading “the cold printed word.” The main advantage being the opportunity to observe the demeanour of the witnesses. But this rule of practice should not be used to “tie the hands of appellate courts”. It should be used to assist, and not to hamper, an appellate court to do justice to the case before it. Thus, where there is a misdirection on the facts by the trial court, the appellate court is entitled to </w:t>
      </w:r>
      <w:r w:rsidR="007D4BF7" w:rsidRPr="009E131A">
        <w:rPr>
          <w:rFonts w:ascii="Arial" w:hAnsi="Arial" w:cs="Arial"/>
          <w:i/>
          <w:iCs/>
          <w:sz w:val="24"/>
          <w:szCs w:val="24"/>
          <w:lang w:eastAsia="en-ZA"/>
        </w:rPr>
        <w:lastRenderedPageBreak/>
        <w:t>disregard the findings on facts and come to its own conclusion on the facts as they appear on the record. Similarly, where the appellate court is convinced that the conclusion reached by the trial court is clearly wrong, it will reverse it.</w:t>
      </w:r>
      <w:r w:rsidR="007D1762" w:rsidRPr="009E131A">
        <w:rPr>
          <w:rFonts w:ascii="Arial" w:hAnsi="Arial" w:cs="Arial"/>
          <w:i/>
          <w:iCs/>
          <w:sz w:val="20"/>
          <w:szCs w:val="20"/>
          <w:lang w:eastAsia="en-ZA"/>
        </w:rPr>
        <w:t>”</w:t>
      </w:r>
      <w:r w:rsidR="00215C31" w:rsidRPr="009E131A">
        <w:rPr>
          <w:rStyle w:val="FootnoteReference"/>
          <w:sz w:val="20"/>
          <w:lang w:eastAsia="en-ZA"/>
        </w:rPr>
        <w:footnoteReference w:id="5"/>
      </w:r>
    </w:p>
    <w:p w14:paraId="361253F5" w14:textId="550F8875" w:rsidR="00B85D67" w:rsidRDefault="00D268B7" w:rsidP="00B71F31">
      <w:pPr>
        <w:pStyle w:val="BowLevel1ListAlt"/>
        <w:rPr>
          <w:rFonts w:ascii="Arial" w:hAnsi="Arial" w:cs="Arial"/>
          <w:sz w:val="24"/>
          <w:szCs w:val="24"/>
          <w:lang w:val="en-US"/>
        </w:rPr>
      </w:pPr>
      <w:r>
        <w:rPr>
          <w:rFonts w:ascii="Arial" w:hAnsi="Arial" w:cs="Arial"/>
          <w:sz w:val="24"/>
          <w:szCs w:val="24"/>
          <w:lang w:val="en-US"/>
        </w:rPr>
        <w:t>Turning to the question of supervening impossibility of performance</w:t>
      </w:r>
      <w:r w:rsidR="00404223">
        <w:rPr>
          <w:rFonts w:ascii="Arial" w:hAnsi="Arial" w:cs="Arial"/>
          <w:sz w:val="24"/>
          <w:szCs w:val="24"/>
          <w:lang w:val="en-US"/>
        </w:rPr>
        <w:t xml:space="preserve">, where </w:t>
      </w:r>
      <w:r w:rsidR="00F95A53">
        <w:rPr>
          <w:rFonts w:ascii="Arial" w:hAnsi="Arial" w:cs="Arial"/>
          <w:sz w:val="24"/>
          <w:szCs w:val="24"/>
          <w:lang w:val="en-US"/>
        </w:rPr>
        <w:t xml:space="preserve">changed circumstances make it uneconomical for a party to carry out its obligations </w:t>
      </w:r>
      <w:r w:rsidR="00404223">
        <w:rPr>
          <w:rFonts w:ascii="Arial" w:hAnsi="Arial" w:cs="Arial"/>
          <w:sz w:val="24"/>
          <w:szCs w:val="24"/>
          <w:lang w:val="en-US"/>
        </w:rPr>
        <w:t xml:space="preserve">this </w:t>
      </w:r>
      <w:r w:rsidR="00F95A53">
        <w:rPr>
          <w:rFonts w:ascii="Arial" w:hAnsi="Arial" w:cs="Arial"/>
          <w:sz w:val="24"/>
          <w:szCs w:val="24"/>
          <w:lang w:val="en-US"/>
        </w:rPr>
        <w:t>does not mean that performance has become impossible</w:t>
      </w:r>
      <w:r w:rsidR="007876E1">
        <w:rPr>
          <w:rFonts w:ascii="Arial" w:hAnsi="Arial" w:cs="Arial"/>
          <w:sz w:val="24"/>
          <w:szCs w:val="24"/>
          <w:lang w:val="en-US"/>
        </w:rPr>
        <w:t>.  Th</w:t>
      </w:r>
      <w:r w:rsidR="00526A53">
        <w:rPr>
          <w:rFonts w:ascii="Arial" w:hAnsi="Arial" w:cs="Arial"/>
          <w:sz w:val="24"/>
          <w:szCs w:val="24"/>
          <w:lang w:val="en-US"/>
        </w:rPr>
        <w:t xml:space="preserve">e point </w:t>
      </w:r>
      <w:r w:rsidR="007876E1">
        <w:rPr>
          <w:rFonts w:ascii="Arial" w:hAnsi="Arial" w:cs="Arial"/>
          <w:sz w:val="24"/>
          <w:szCs w:val="24"/>
          <w:lang w:val="en-US"/>
        </w:rPr>
        <w:t xml:space="preserve">was explained </w:t>
      </w:r>
      <w:r w:rsidR="004674F7">
        <w:rPr>
          <w:rFonts w:ascii="Arial" w:hAnsi="Arial" w:cs="Arial"/>
          <w:sz w:val="24"/>
          <w:szCs w:val="24"/>
          <w:lang w:val="en-US"/>
        </w:rPr>
        <w:t>clear</w:t>
      </w:r>
      <w:r w:rsidR="000D236A">
        <w:rPr>
          <w:rFonts w:ascii="Arial" w:hAnsi="Arial" w:cs="Arial"/>
          <w:sz w:val="24"/>
          <w:szCs w:val="24"/>
          <w:lang w:val="en-US"/>
        </w:rPr>
        <w:t>ly</w:t>
      </w:r>
      <w:r w:rsidR="004674F7">
        <w:rPr>
          <w:rFonts w:ascii="Arial" w:hAnsi="Arial" w:cs="Arial"/>
          <w:sz w:val="24"/>
          <w:szCs w:val="24"/>
          <w:lang w:val="en-US"/>
        </w:rPr>
        <w:t xml:space="preserve"> </w:t>
      </w:r>
      <w:r w:rsidR="007876E1">
        <w:rPr>
          <w:rFonts w:ascii="Arial" w:hAnsi="Arial" w:cs="Arial"/>
          <w:sz w:val="24"/>
          <w:szCs w:val="24"/>
          <w:lang w:val="en-US"/>
        </w:rPr>
        <w:t xml:space="preserve">in </w:t>
      </w:r>
      <w:r w:rsidR="004674F7" w:rsidRPr="00B353DA">
        <w:rPr>
          <w:rFonts w:ascii="Arial" w:hAnsi="Arial" w:cs="Arial"/>
          <w:i/>
          <w:iCs/>
          <w:sz w:val="24"/>
          <w:szCs w:val="24"/>
          <w:lang w:val="en-US"/>
        </w:rPr>
        <w:t>Unibank Savings and Loans v ABSA Bank</w:t>
      </w:r>
      <w:r>
        <w:rPr>
          <w:rFonts w:ascii="Arial" w:hAnsi="Arial" w:cs="Arial"/>
          <w:i/>
          <w:iCs/>
          <w:sz w:val="24"/>
          <w:szCs w:val="24"/>
          <w:lang w:val="en-US"/>
        </w:rPr>
        <w:t>:</w:t>
      </w:r>
      <w:r w:rsidR="006C14DE" w:rsidRPr="00B353DA">
        <w:rPr>
          <w:rStyle w:val="FootnoteReference"/>
          <w:rFonts w:cs="Arial"/>
          <w:i/>
          <w:iCs/>
          <w:sz w:val="24"/>
          <w:szCs w:val="24"/>
          <w:lang w:val="en-US"/>
        </w:rPr>
        <w:footnoteReference w:id="6"/>
      </w:r>
    </w:p>
    <w:p w14:paraId="407DA809" w14:textId="025C0EC3" w:rsidR="00B85D67" w:rsidRDefault="007876E1" w:rsidP="009E131A">
      <w:pPr>
        <w:pStyle w:val="BowLevel1ListAlt"/>
        <w:numPr>
          <w:ilvl w:val="0"/>
          <w:numId w:val="0"/>
        </w:numPr>
        <w:ind w:left="1440"/>
        <w:rPr>
          <w:rFonts w:ascii="Arial" w:hAnsi="Arial" w:cs="Arial"/>
          <w:sz w:val="24"/>
          <w:szCs w:val="24"/>
          <w:lang w:val="en-US"/>
        </w:rPr>
      </w:pPr>
      <w:r>
        <w:rPr>
          <w:rFonts w:ascii="Arial" w:hAnsi="Arial" w:cs="Arial"/>
          <w:sz w:val="24"/>
          <w:szCs w:val="24"/>
          <w:lang w:val="en-US"/>
        </w:rPr>
        <w:t>“</w:t>
      </w:r>
      <w:r w:rsidR="00B85D67" w:rsidRPr="00B353DA">
        <w:rPr>
          <w:rFonts w:ascii="Arial" w:hAnsi="Arial" w:cs="Arial"/>
          <w:i/>
          <w:iCs/>
          <w:sz w:val="24"/>
          <w:szCs w:val="24"/>
          <w:lang w:val="en-US"/>
        </w:rPr>
        <w:t xml:space="preserve">Impossibility is furthermore not </w:t>
      </w:r>
      <w:r w:rsidRPr="00B353DA">
        <w:rPr>
          <w:rFonts w:ascii="Arial" w:hAnsi="Arial" w:cs="Arial"/>
          <w:i/>
          <w:iCs/>
          <w:sz w:val="24"/>
          <w:szCs w:val="24"/>
          <w:lang w:val="en-US"/>
        </w:rPr>
        <w:t>implicit</w:t>
      </w:r>
      <w:r w:rsidR="00B85D67" w:rsidRPr="00B353DA">
        <w:rPr>
          <w:rFonts w:ascii="Arial" w:hAnsi="Arial" w:cs="Arial"/>
          <w:i/>
          <w:iCs/>
          <w:sz w:val="24"/>
          <w:szCs w:val="24"/>
          <w:lang w:val="en-US"/>
        </w:rPr>
        <w:t xml:space="preserve"> in</w:t>
      </w:r>
      <w:r w:rsidRPr="00B353DA">
        <w:rPr>
          <w:rFonts w:ascii="Arial" w:hAnsi="Arial" w:cs="Arial"/>
          <w:i/>
          <w:iCs/>
          <w:sz w:val="24"/>
          <w:szCs w:val="24"/>
          <w:lang w:val="en-US"/>
        </w:rPr>
        <w:t xml:space="preserve"> change </w:t>
      </w:r>
      <w:r w:rsidR="00B85D67" w:rsidRPr="00B353DA">
        <w:rPr>
          <w:rFonts w:ascii="Arial" w:hAnsi="Arial" w:cs="Arial"/>
          <w:i/>
          <w:iCs/>
          <w:sz w:val="24"/>
          <w:szCs w:val="24"/>
          <w:lang w:val="en-US"/>
        </w:rPr>
        <w:t>of financial strength or in commercial circu</w:t>
      </w:r>
      <w:r w:rsidRPr="00B353DA">
        <w:rPr>
          <w:rFonts w:ascii="Arial" w:hAnsi="Arial" w:cs="Arial"/>
          <w:i/>
          <w:iCs/>
          <w:sz w:val="24"/>
          <w:szCs w:val="24"/>
          <w:lang w:val="en-US"/>
        </w:rPr>
        <w:t xml:space="preserve">mstances </w:t>
      </w:r>
      <w:r w:rsidR="00B85D67" w:rsidRPr="00B353DA">
        <w:rPr>
          <w:rFonts w:ascii="Arial" w:hAnsi="Arial" w:cs="Arial"/>
          <w:i/>
          <w:iCs/>
          <w:sz w:val="24"/>
          <w:szCs w:val="24"/>
          <w:lang w:val="en-US"/>
        </w:rPr>
        <w:t>which cause complianc</w:t>
      </w:r>
      <w:r w:rsidRPr="00B353DA">
        <w:rPr>
          <w:rFonts w:ascii="Arial" w:hAnsi="Arial" w:cs="Arial"/>
          <w:i/>
          <w:iCs/>
          <w:sz w:val="24"/>
          <w:szCs w:val="24"/>
          <w:lang w:val="en-US"/>
        </w:rPr>
        <w:t>e</w:t>
      </w:r>
      <w:r w:rsidR="00B85D67" w:rsidRPr="00B353DA">
        <w:rPr>
          <w:rFonts w:ascii="Arial" w:hAnsi="Arial" w:cs="Arial"/>
          <w:i/>
          <w:iCs/>
          <w:sz w:val="24"/>
          <w:szCs w:val="24"/>
          <w:lang w:val="en-US"/>
        </w:rPr>
        <w:t xml:space="preserve"> with the contractual obligati</w:t>
      </w:r>
      <w:r w:rsidRPr="00B353DA">
        <w:rPr>
          <w:rFonts w:ascii="Arial" w:hAnsi="Arial" w:cs="Arial"/>
          <w:i/>
          <w:iCs/>
          <w:sz w:val="24"/>
          <w:szCs w:val="24"/>
          <w:lang w:val="en-US"/>
        </w:rPr>
        <w:t>ons</w:t>
      </w:r>
      <w:r w:rsidR="00B85D67" w:rsidRPr="00B353DA">
        <w:rPr>
          <w:rFonts w:ascii="Arial" w:hAnsi="Arial" w:cs="Arial"/>
          <w:i/>
          <w:iCs/>
          <w:sz w:val="24"/>
          <w:szCs w:val="24"/>
          <w:lang w:val="en-US"/>
        </w:rPr>
        <w:t xml:space="preserve"> to be difficult, expensive or unaffordable.  Deteriorations of that nature are </w:t>
      </w:r>
      <w:r w:rsidRPr="00B353DA">
        <w:rPr>
          <w:rFonts w:ascii="Arial" w:hAnsi="Arial" w:cs="Arial"/>
          <w:i/>
          <w:iCs/>
          <w:sz w:val="24"/>
          <w:szCs w:val="24"/>
          <w:lang w:val="en-US"/>
        </w:rPr>
        <w:t>foreseeable in the business world at the time when the contract is concluded</w:t>
      </w:r>
      <w:r>
        <w:rPr>
          <w:rFonts w:ascii="Arial" w:hAnsi="Arial" w:cs="Arial"/>
          <w:sz w:val="24"/>
          <w:szCs w:val="24"/>
          <w:lang w:val="en-US"/>
        </w:rPr>
        <w:t>.”</w:t>
      </w:r>
    </w:p>
    <w:p w14:paraId="6349227F" w14:textId="4D96A839" w:rsidR="00A3772E" w:rsidRDefault="00C60925" w:rsidP="00B71F31">
      <w:pPr>
        <w:pStyle w:val="BowLevel1ListAlt"/>
        <w:rPr>
          <w:rFonts w:ascii="Arial" w:hAnsi="Arial" w:cs="Arial"/>
          <w:sz w:val="24"/>
          <w:szCs w:val="24"/>
          <w:lang w:val="en-US"/>
        </w:rPr>
      </w:pPr>
      <w:r>
        <w:rPr>
          <w:rFonts w:ascii="Arial" w:hAnsi="Arial" w:cs="Arial"/>
          <w:sz w:val="24"/>
          <w:szCs w:val="24"/>
          <w:lang w:val="en-US"/>
        </w:rPr>
        <w:t>There are simply no grounds on which it can be contended</w:t>
      </w:r>
      <w:r w:rsidR="00DB2B49">
        <w:rPr>
          <w:rFonts w:ascii="Arial" w:hAnsi="Arial" w:cs="Arial"/>
          <w:sz w:val="24"/>
          <w:szCs w:val="24"/>
          <w:lang w:val="en-US"/>
        </w:rPr>
        <w:t xml:space="preserve"> that it was </w:t>
      </w:r>
      <w:r w:rsidR="00E63519">
        <w:rPr>
          <w:rFonts w:ascii="Arial" w:hAnsi="Arial" w:cs="Arial"/>
          <w:sz w:val="24"/>
          <w:szCs w:val="24"/>
          <w:lang w:val="en-US"/>
        </w:rPr>
        <w:t xml:space="preserve">impossible </w:t>
      </w:r>
      <w:r w:rsidR="00DB2B49">
        <w:rPr>
          <w:rFonts w:ascii="Arial" w:hAnsi="Arial" w:cs="Arial"/>
          <w:sz w:val="24"/>
          <w:szCs w:val="24"/>
          <w:lang w:val="en-US"/>
        </w:rPr>
        <w:t xml:space="preserve">for the </w:t>
      </w:r>
      <w:r w:rsidR="00810BD3">
        <w:rPr>
          <w:rFonts w:ascii="Arial" w:hAnsi="Arial" w:cs="Arial"/>
          <w:sz w:val="24"/>
          <w:szCs w:val="24"/>
          <w:lang w:val="en-US"/>
        </w:rPr>
        <w:t>appellant</w:t>
      </w:r>
      <w:r w:rsidR="00DB2B49">
        <w:rPr>
          <w:rFonts w:ascii="Arial" w:hAnsi="Arial" w:cs="Arial"/>
          <w:sz w:val="24"/>
          <w:szCs w:val="24"/>
          <w:lang w:val="en-US"/>
        </w:rPr>
        <w:t xml:space="preserve"> </w:t>
      </w:r>
      <w:r w:rsidR="00E63519">
        <w:rPr>
          <w:rFonts w:ascii="Arial" w:hAnsi="Arial" w:cs="Arial"/>
          <w:sz w:val="24"/>
          <w:szCs w:val="24"/>
          <w:lang w:val="en-US"/>
        </w:rPr>
        <w:t xml:space="preserve">to </w:t>
      </w:r>
      <w:r w:rsidR="00DB2B49">
        <w:rPr>
          <w:rFonts w:ascii="Arial" w:hAnsi="Arial" w:cs="Arial"/>
          <w:sz w:val="24"/>
          <w:szCs w:val="24"/>
          <w:lang w:val="en-US"/>
        </w:rPr>
        <w:t xml:space="preserve">have </w:t>
      </w:r>
      <w:r w:rsidR="00E63519">
        <w:rPr>
          <w:rFonts w:ascii="Arial" w:hAnsi="Arial" w:cs="Arial"/>
          <w:sz w:val="24"/>
          <w:szCs w:val="24"/>
          <w:lang w:val="en-US"/>
        </w:rPr>
        <w:t>give</w:t>
      </w:r>
      <w:r w:rsidR="00DB2B49">
        <w:rPr>
          <w:rFonts w:ascii="Arial" w:hAnsi="Arial" w:cs="Arial"/>
          <w:sz w:val="24"/>
          <w:szCs w:val="24"/>
          <w:lang w:val="en-US"/>
        </w:rPr>
        <w:t>n</w:t>
      </w:r>
      <w:r w:rsidR="00E63519">
        <w:rPr>
          <w:rFonts w:ascii="Arial" w:hAnsi="Arial" w:cs="Arial"/>
          <w:sz w:val="24"/>
          <w:szCs w:val="24"/>
          <w:lang w:val="en-US"/>
        </w:rPr>
        <w:t xml:space="preserve"> the </w:t>
      </w:r>
      <w:r w:rsidR="00810BD3">
        <w:rPr>
          <w:rFonts w:ascii="Arial" w:hAnsi="Arial" w:cs="Arial"/>
          <w:sz w:val="24"/>
          <w:szCs w:val="24"/>
          <w:lang w:val="en-US"/>
        </w:rPr>
        <w:t>respondent</w:t>
      </w:r>
      <w:r w:rsidR="00E63519">
        <w:rPr>
          <w:rFonts w:ascii="Arial" w:hAnsi="Arial" w:cs="Arial"/>
          <w:sz w:val="24"/>
          <w:szCs w:val="24"/>
          <w:lang w:val="en-US"/>
        </w:rPr>
        <w:t xml:space="preserve"> notice</w:t>
      </w:r>
      <w:r w:rsidR="00177F83">
        <w:rPr>
          <w:rFonts w:ascii="Arial" w:hAnsi="Arial" w:cs="Arial"/>
          <w:sz w:val="24"/>
          <w:szCs w:val="24"/>
          <w:lang w:val="en-US"/>
        </w:rPr>
        <w:t xml:space="preserve"> of termination of the contract</w:t>
      </w:r>
      <w:r w:rsidR="00E63519">
        <w:rPr>
          <w:rFonts w:ascii="Arial" w:hAnsi="Arial" w:cs="Arial"/>
          <w:sz w:val="24"/>
          <w:szCs w:val="24"/>
          <w:lang w:val="en-US"/>
        </w:rPr>
        <w:t xml:space="preserve">.  </w:t>
      </w:r>
      <w:r w:rsidR="00E026A2">
        <w:rPr>
          <w:rFonts w:ascii="Arial" w:hAnsi="Arial" w:cs="Arial"/>
          <w:sz w:val="24"/>
          <w:szCs w:val="24"/>
          <w:lang w:val="en-US"/>
        </w:rPr>
        <w:t xml:space="preserve">That the </w:t>
      </w:r>
      <w:r w:rsidR="00810BD3">
        <w:rPr>
          <w:rFonts w:ascii="Arial" w:hAnsi="Arial" w:cs="Arial"/>
          <w:sz w:val="24"/>
          <w:szCs w:val="24"/>
          <w:lang w:val="en-US"/>
        </w:rPr>
        <w:t>appellant</w:t>
      </w:r>
      <w:r w:rsidR="00E026A2">
        <w:rPr>
          <w:rFonts w:ascii="Arial" w:hAnsi="Arial" w:cs="Arial"/>
          <w:sz w:val="24"/>
          <w:szCs w:val="24"/>
          <w:lang w:val="en-US"/>
        </w:rPr>
        <w:t xml:space="preserve"> might have been “out of pocket” in the circumstances</w:t>
      </w:r>
      <w:r w:rsidR="00A3772E">
        <w:rPr>
          <w:rFonts w:ascii="Arial" w:hAnsi="Arial" w:cs="Arial"/>
          <w:sz w:val="24"/>
          <w:szCs w:val="24"/>
          <w:lang w:val="en-US"/>
        </w:rPr>
        <w:t xml:space="preserve">, as it submits it would, is neither here nor there.  </w:t>
      </w:r>
      <w:r w:rsidR="00E63519">
        <w:rPr>
          <w:rFonts w:ascii="Arial" w:hAnsi="Arial" w:cs="Arial"/>
          <w:sz w:val="24"/>
          <w:szCs w:val="24"/>
          <w:lang w:val="en-US"/>
        </w:rPr>
        <w:t xml:space="preserve">Mr Modiba </w:t>
      </w:r>
      <w:r w:rsidR="00A3772E">
        <w:rPr>
          <w:rFonts w:ascii="Arial" w:hAnsi="Arial" w:cs="Arial"/>
          <w:sz w:val="24"/>
          <w:szCs w:val="24"/>
          <w:lang w:val="en-US"/>
        </w:rPr>
        <w:t xml:space="preserve">submitted </w:t>
      </w:r>
      <w:r w:rsidR="00E63519">
        <w:rPr>
          <w:rFonts w:ascii="Arial" w:hAnsi="Arial" w:cs="Arial"/>
          <w:sz w:val="24"/>
          <w:szCs w:val="24"/>
          <w:lang w:val="en-US"/>
        </w:rPr>
        <w:t xml:space="preserve">that it </w:t>
      </w:r>
      <w:r w:rsidR="00177F83">
        <w:rPr>
          <w:rFonts w:ascii="Arial" w:hAnsi="Arial" w:cs="Arial"/>
          <w:sz w:val="24"/>
          <w:szCs w:val="24"/>
          <w:lang w:val="en-US"/>
        </w:rPr>
        <w:t>was</w:t>
      </w:r>
      <w:r w:rsidR="00E63519">
        <w:rPr>
          <w:rFonts w:ascii="Arial" w:hAnsi="Arial" w:cs="Arial"/>
          <w:sz w:val="24"/>
          <w:szCs w:val="24"/>
          <w:lang w:val="en-US"/>
        </w:rPr>
        <w:t xml:space="preserve"> no</w:t>
      </w:r>
      <w:r w:rsidR="00177F83">
        <w:rPr>
          <w:rFonts w:ascii="Arial" w:hAnsi="Arial" w:cs="Arial"/>
          <w:sz w:val="24"/>
          <w:szCs w:val="24"/>
          <w:lang w:val="en-US"/>
        </w:rPr>
        <w:t xml:space="preserve"> longer</w:t>
      </w:r>
      <w:r w:rsidR="00E63519">
        <w:rPr>
          <w:rFonts w:ascii="Arial" w:hAnsi="Arial" w:cs="Arial"/>
          <w:sz w:val="24"/>
          <w:szCs w:val="24"/>
          <w:lang w:val="en-US"/>
        </w:rPr>
        <w:t xml:space="preserve"> possible </w:t>
      </w:r>
      <w:r w:rsidR="00526A53">
        <w:rPr>
          <w:rFonts w:ascii="Arial" w:hAnsi="Arial" w:cs="Arial"/>
          <w:sz w:val="24"/>
          <w:szCs w:val="24"/>
          <w:lang w:val="en-US"/>
        </w:rPr>
        <w:t xml:space="preserve">for the </w:t>
      </w:r>
      <w:r w:rsidR="00810BD3">
        <w:rPr>
          <w:rFonts w:ascii="Arial" w:hAnsi="Arial" w:cs="Arial"/>
          <w:sz w:val="24"/>
          <w:szCs w:val="24"/>
          <w:lang w:val="en-US"/>
        </w:rPr>
        <w:t>appellant</w:t>
      </w:r>
      <w:r w:rsidR="00526A53">
        <w:rPr>
          <w:rFonts w:ascii="Arial" w:hAnsi="Arial" w:cs="Arial"/>
          <w:sz w:val="24"/>
          <w:szCs w:val="24"/>
          <w:lang w:val="en-US"/>
        </w:rPr>
        <w:t xml:space="preserve"> </w:t>
      </w:r>
      <w:r w:rsidR="00E63519">
        <w:rPr>
          <w:rFonts w:ascii="Arial" w:hAnsi="Arial" w:cs="Arial"/>
          <w:sz w:val="24"/>
          <w:szCs w:val="24"/>
          <w:lang w:val="en-US"/>
        </w:rPr>
        <w:t xml:space="preserve">to </w:t>
      </w:r>
      <w:r w:rsidR="00526A53">
        <w:rPr>
          <w:rFonts w:ascii="Arial" w:hAnsi="Arial" w:cs="Arial"/>
          <w:sz w:val="24"/>
          <w:szCs w:val="24"/>
          <w:lang w:val="en-US"/>
        </w:rPr>
        <w:t xml:space="preserve">provide the </w:t>
      </w:r>
      <w:r w:rsidR="00810BD3">
        <w:rPr>
          <w:rFonts w:ascii="Arial" w:hAnsi="Arial" w:cs="Arial"/>
          <w:sz w:val="24"/>
          <w:szCs w:val="24"/>
          <w:lang w:val="en-US"/>
        </w:rPr>
        <w:t>respondent</w:t>
      </w:r>
      <w:r w:rsidR="00526A53">
        <w:rPr>
          <w:rFonts w:ascii="Arial" w:hAnsi="Arial" w:cs="Arial"/>
          <w:sz w:val="24"/>
          <w:szCs w:val="24"/>
          <w:lang w:val="en-US"/>
        </w:rPr>
        <w:t xml:space="preserve"> with </w:t>
      </w:r>
      <w:r w:rsidR="0039229C">
        <w:rPr>
          <w:rFonts w:ascii="Arial" w:hAnsi="Arial" w:cs="Arial"/>
          <w:sz w:val="24"/>
          <w:szCs w:val="24"/>
          <w:lang w:val="en-US"/>
        </w:rPr>
        <w:t xml:space="preserve">further </w:t>
      </w:r>
      <w:r w:rsidR="00E63519">
        <w:rPr>
          <w:rFonts w:ascii="Arial" w:hAnsi="Arial" w:cs="Arial"/>
          <w:sz w:val="24"/>
          <w:szCs w:val="24"/>
          <w:lang w:val="en-US"/>
        </w:rPr>
        <w:t xml:space="preserve">work to perform for MTN under the </w:t>
      </w:r>
      <w:r w:rsidR="00A3772E">
        <w:rPr>
          <w:rFonts w:ascii="Arial" w:hAnsi="Arial" w:cs="Arial"/>
          <w:sz w:val="24"/>
          <w:szCs w:val="24"/>
          <w:lang w:val="en-US"/>
        </w:rPr>
        <w:t>s</w:t>
      </w:r>
      <w:r w:rsidR="009E0F85">
        <w:rPr>
          <w:rFonts w:ascii="Arial" w:hAnsi="Arial" w:cs="Arial"/>
          <w:sz w:val="24"/>
          <w:szCs w:val="24"/>
          <w:lang w:val="en-US"/>
        </w:rPr>
        <w:t xml:space="preserve">ervice </w:t>
      </w:r>
      <w:r w:rsidR="00A3772E">
        <w:rPr>
          <w:rFonts w:ascii="Arial" w:hAnsi="Arial" w:cs="Arial"/>
          <w:sz w:val="24"/>
          <w:szCs w:val="24"/>
          <w:lang w:val="en-US"/>
        </w:rPr>
        <w:t>l</w:t>
      </w:r>
      <w:r w:rsidR="009E0F85">
        <w:rPr>
          <w:rFonts w:ascii="Arial" w:hAnsi="Arial" w:cs="Arial"/>
          <w:sz w:val="24"/>
          <w:szCs w:val="24"/>
          <w:lang w:val="en-US"/>
        </w:rPr>
        <w:t xml:space="preserve">evel </w:t>
      </w:r>
      <w:r w:rsidR="00A3772E">
        <w:rPr>
          <w:rFonts w:ascii="Arial" w:hAnsi="Arial" w:cs="Arial"/>
          <w:sz w:val="24"/>
          <w:szCs w:val="24"/>
          <w:lang w:val="en-US"/>
        </w:rPr>
        <w:t>a</w:t>
      </w:r>
      <w:r w:rsidR="009E0F85">
        <w:rPr>
          <w:rFonts w:ascii="Arial" w:hAnsi="Arial" w:cs="Arial"/>
          <w:sz w:val="24"/>
          <w:szCs w:val="24"/>
          <w:lang w:val="en-US"/>
        </w:rPr>
        <w:t>greement</w:t>
      </w:r>
      <w:r w:rsidR="00E63519">
        <w:rPr>
          <w:rFonts w:ascii="Arial" w:hAnsi="Arial" w:cs="Arial"/>
          <w:sz w:val="24"/>
          <w:szCs w:val="24"/>
          <w:lang w:val="en-US"/>
        </w:rPr>
        <w:t xml:space="preserve">.  </w:t>
      </w:r>
      <w:r w:rsidR="0039229C">
        <w:rPr>
          <w:rFonts w:ascii="Arial" w:hAnsi="Arial" w:cs="Arial"/>
          <w:sz w:val="24"/>
          <w:szCs w:val="24"/>
          <w:lang w:val="en-US"/>
        </w:rPr>
        <w:t xml:space="preserve">Even if this had been so, however, </w:t>
      </w:r>
      <w:r w:rsidR="00DE1EF5">
        <w:rPr>
          <w:rFonts w:ascii="Arial" w:hAnsi="Arial" w:cs="Arial"/>
          <w:sz w:val="24"/>
          <w:szCs w:val="24"/>
          <w:lang w:val="en-US"/>
        </w:rPr>
        <w:t>that</w:t>
      </w:r>
      <w:r w:rsidR="009E0F85">
        <w:rPr>
          <w:rFonts w:ascii="Arial" w:hAnsi="Arial" w:cs="Arial"/>
          <w:sz w:val="24"/>
          <w:szCs w:val="24"/>
          <w:lang w:val="en-US"/>
        </w:rPr>
        <w:t xml:space="preserve"> did not preclude </w:t>
      </w:r>
      <w:r w:rsidR="00E63519">
        <w:rPr>
          <w:rFonts w:ascii="Arial" w:hAnsi="Arial" w:cs="Arial"/>
          <w:sz w:val="24"/>
          <w:szCs w:val="24"/>
          <w:lang w:val="en-US"/>
        </w:rPr>
        <w:t xml:space="preserve">the </w:t>
      </w:r>
      <w:r w:rsidR="00810BD3">
        <w:rPr>
          <w:rFonts w:ascii="Arial" w:hAnsi="Arial" w:cs="Arial"/>
          <w:sz w:val="24"/>
          <w:szCs w:val="24"/>
          <w:lang w:val="en-US"/>
        </w:rPr>
        <w:t>appellant</w:t>
      </w:r>
      <w:r w:rsidR="00E63519">
        <w:rPr>
          <w:rFonts w:ascii="Arial" w:hAnsi="Arial" w:cs="Arial"/>
          <w:sz w:val="24"/>
          <w:szCs w:val="24"/>
          <w:lang w:val="en-US"/>
        </w:rPr>
        <w:t xml:space="preserve"> giving </w:t>
      </w:r>
      <w:r w:rsidR="009E0F85">
        <w:rPr>
          <w:rFonts w:ascii="Arial" w:hAnsi="Arial" w:cs="Arial"/>
          <w:sz w:val="24"/>
          <w:szCs w:val="24"/>
          <w:lang w:val="en-US"/>
        </w:rPr>
        <w:t xml:space="preserve">the </w:t>
      </w:r>
      <w:r w:rsidR="00810BD3">
        <w:rPr>
          <w:rFonts w:ascii="Arial" w:hAnsi="Arial" w:cs="Arial"/>
          <w:sz w:val="24"/>
          <w:szCs w:val="24"/>
          <w:lang w:val="en-US"/>
        </w:rPr>
        <w:t>respondent</w:t>
      </w:r>
      <w:r w:rsidR="009E0F85">
        <w:rPr>
          <w:rFonts w:ascii="Arial" w:hAnsi="Arial" w:cs="Arial"/>
          <w:sz w:val="24"/>
          <w:szCs w:val="24"/>
          <w:lang w:val="en-US"/>
        </w:rPr>
        <w:t xml:space="preserve"> </w:t>
      </w:r>
      <w:r w:rsidR="00E63519">
        <w:rPr>
          <w:rFonts w:ascii="Arial" w:hAnsi="Arial" w:cs="Arial"/>
          <w:sz w:val="24"/>
          <w:szCs w:val="24"/>
          <w:lang w:val="en-US"/>
        </w:rPr>
        <w:t xml:space="preserve">notice to terminate the contract.  </w:t>
      </w:r>
    </w:p>
    <w:p w14:paraId="369C9F0F" w14:textId="462F51C9" w:rsidR="00E63519" w:rsidRPr="00215C31" w:rsidRDefault="00FD4F9C" w:rsidP="00B71F31">
      <w:pPr>
        <w:pStyle w:val="BowLevel1ListAlt"/>
        <w:rPr>
          <w:rFonts w:ascii="Arial" w:hAnsi="Arial" w:cs="Arial"/>
          <w:sz w:val="24"/>
          <w:szCs w:val="24"/>
          <w:lang w:val="en-US"/>
        </w:rPr>
      </w:pPr>
      <w:r>
        <w:rPr>
          <w:rFonts w:ascii="Arial" w:hAnsi="Arial" w:cs="Arial"/>
          <w:sz w:val="24"/>
          <w:szCs w:val="24"/>
          <w:lang w:val="en-US"/>
        </w:rPr>
        <w:t xml:space="preserve">Other than in circumstances in which the </w:t>
      </w:r>
      <w:r w:rsidR="00A3772E">
        <w:rPr>
          <w:rFonts w:ascii="Arial" w:hAnsi="Arial" w:cs="Arial"/>
          <w:sz w:val="24"/>
          <w:szCs w:val="24"/>
          <w:lang w:val="en-US"/>
        </w:rPr>
        <w:t>s</w:t>
      </w:r>
      <w:r>
        <w:rPr>
          <w:rFonts w:ascii="Arial" w:hAnsi="Arial" w:cs="Arial"/>
          <w:sz w:val="24"/>
          <w:szCs w:val="24"/>
          <w:lang w:val="en-US"/>
        </w:rPr>
        <w:t xml:space="preserve">ervice </w:t>
      </w:r>
      <w:r w:rsidR="00A3772E">
        <w:rPr>
          <w:rFonts w:ascii="Arial" w:hAnsi="Arial" w:cs="Arial"/>
          <w:sz w:val="24"/>
          <w:szCs w:val="24"/>
          <w:lang w:val="en-US"/>
        </w:rPr>
        <w:t>l</w:t>
      </w:r>
      <w:r>
        <w:rPr>
          <w:rFonts w:ascii="Arial" w:hAnsi="Arial" w:cs="Arial"/>
          <w:sz w:val="24"/>
          <w:szCs w:val="24"/>
          <w:lang w:val="en-US"/>
        </w:rPr>
        <w:t xml:space="preserve">evel </w:t>
      </w:r>
      <w:r w:rsidR="00A3772E">
        <w:rPr>
          <w:rFonts w:ascii="Arial" w:hAnsi="Arial" w:cs="Arial"/>
          <w:sz w:val="24"/>
          <w:szCs w:val="24"/>
          <w:lang w:val="en-US"/>
        </w:rPr>
        <w:t>a</w:t>
      </w:r>
      <w:r>
        <w:rPr>
          <w:rFonts w:ascii="Arial" w:hAnsi="Arial" w:cs="Arial"/>
          <w:sz w:val="24"/>
          <w:szCs w:val="24"/>
          <w:lang w:val="en-US"/>
        </w:rPr>
        <w:t xml:space="preserve">greement </w:t>
      </w:r>
      <w:r w:rsidR="00A3772E">
        <w:rPr>
          <w:rFonts w:ascii="Arial" w:hAnsi="Arial" w:cs="Arial"/>
          <w:sz w:val="24"/>
          <w:szCs w:val="24"/>
          <w:lang w:val="en-US"/>
        </w:rPr>
        <w:t xml:space="preserve">itself </w:t>
      </w:r>
      <w:r>
        <w:rPr>
          <w:rFonts w:ascii="Arial" w:hAnsi="Arial" w:cs="Arial"/>
          <w:sz w:val="24"/>
          <w:szCs w:val="24"/>
          <w:lang w:val="en-US"/>
        </w:rPr>
        <w:t xml:space="preserve">was terminated, which it is common cause did not happen here, </w:t>
      </w:r>
      <w:r w:rsidR="00E63519">
        <w:rPr>
          <w:rFonts w:ascii="Arial" w:hAnsi="Arial" w:cs="Arial"/>
          <w:sz w:val="24"/>
          <w:szCs w:val="24"/>
          <w:lang w:val="en-US"/>
        </w:rPr>
        <w:t xml:space="preserve">the parties </w:t>
      </w:r>
      <w:r w:rsidR="007E6898">
        <w:rPr>
          <w:rFonts w:ascii="Arial" w:hAnsi="Arial" w:cs="Arial"/>
          <w:sz w:val="24"/>
          <w:szCs w:val="24"/>
          <w:lang w:val="en-US"/>
        </w:rPr>
        <w:t xml:space="preserve">had expressly </w:t>
      </w:r>
      <w:r w:rsidR="0042232B">
        <w:rPr>
          <w:rFonts w:ascii="Arial" w:hAnsi="Arial" w:cs="Arial"/>
          <w:sz w:val="24"/>
          <w:szCs w:val="24"/>
          <w:lang w:val="en-US"/>
        </w:rPr>
        <w:t xml:space="preserve">made </w:t>
      </w:r>
      <w:r w:rsidR="00E63519">
        <w:rPr>
          <w:rFonts w:ascii="Arial" w:hAnsi="Arial" w:cs="Arial"/>
          <w:sz w:val="24"/>
          <w:szCs w:val="24"/>
          <w:lang w:val="en-US"/>
        </w:rPr>
        <w:t xml:space="preserve">provision </w:t>
      </w:r>
      <w:r w:rsidR="0042232B">
        <w:rPr>
          <w:rFonts w:ascii="Arial" w:hAnsi="Arial" w:cs="Arial"/>
          <w:sz w:val="24"/>
          <w:szCs w:val="24"/>
          <w:lang w:val="en-US"/>
        </w:rPr>
        <w:t xml:space="preserve">in the contract </w:t>
      </w:r>
      <w:r w:rsidR="00E63519">
        <w:rPr>
          <w:rFonts w:ascii="Arial" w:hAnsi="Arial" w:cs="Arial"/>
          <w:sz w:val="24"/>
          <w:szCs w:val="24"/>
          <w:lang w:val="en-US"/>
        </w:rPr>
        <w:t xml:space="preserve">for the possibility </w:t>
      </w:r>
      <w:r w:rsidR="00600EEA">
        <w:rPr>
          <w:rFonts w:ascii="Arial" w:hAnsi="Arial" w:cs="Arial"/>
          <w:sz w:val="24"/>
          <w:szCs w:val="24"/>
          <w:lang w:val="en-US"/>
        </w:rPr>
        <w:t xml:space="preserve">that either party might want to bring the </w:t>
      </w:r>
      <w:r w:rsidR="00E63519" w:rsidRPr="00351A52">
        <w:rPr>
          <w:rFonts w:ascii="Arial" w:hAnsi="Arial" w:cs="Arial"/>
          <w:sz w:val="24"/>
          <w:szCs w:val="24"/>
          <w:lang w:val="en-US"/>
        </w:rPr>
        <w:t>contract</w:t>
      </w:r>
      <w:r w:rsidR="00E63519" w:rsidRPr="003D79C2">
        <w:rPr>
          <w:rFonts w:ascii="Arial" w:hAnsi="Arial" w:cs="Arial"/>
          <w:sz w:val="24"/>
          <w:szCs w:val="24"/>
          <w:lang w:val="en-US"/>
        </w:rPr>
        <w:t xml:space="preserve"> </w:t>
      </w:r>
      <w:r w:rsidR="00600EEA" w:rsidRPr="00AD343D">
        <w:rPr>
          <w:rFonts w:ascii="Arial" w:hAnsi="Arial" w:cs="Arial"/>
          <w:sz w:val="24"/>
          <w:szCs w:val="24"/>
          <w:lang w:val="en-US"/>
        </w:rPr>
        <w:t xml:space="preserve">to </w:t>
      </w:r>
      <w:r w:rsidR="00E63519" w:rsidRPr="00AF1E50">
        <w:rPr>
          <w:rFonts w:ascii="Arial" w:hAnsi="Arial" w:cs="Arial"/>
          <w:sz w:val="24"/>
          <w:szCs w:val="24"/>
          <w:lang w:val="en-US"/>
        </w:rPr>
        <w:t>an end prematurely</w:t>
      </w:r>
      <w:r w:rsidR="007E6898" w:rsidRPr="00AF1E50">
        <w:rPr>
          <w:rFonts w:ascii="Arial" w:hAnsi="Arial" w:cs="Arial"/>
          <w:sz w:val="24"/>
          <w:szCs w:val="24"/>
          <w:lang w:val="en-US"/>
        </w:rPr>
        <w:t xml:space="preserve">, by giving </w:t>
      </w:r>
      <w:r w:rsidR="007E6898" w:rsidRPr="008F4221">
        <w:rPr>
          <w:rFonts w:ascii="Arial" w:hAnsi="Arial" w:cs="Arial"/>
          <w:sz w:val="24"/>
          <w:szCs w:val="24"/>
          <w:lang w:val="en-US"/>
        </w:rPr>
        <w:t>written</w:t>
      </w:r>
      <w:r w:rsidR="007E6898" w:rsidRPr="00B828BD">
        <w:rPr>
          <w:rFonts w:ascii="Arial" w:hAnsi="Arial" w:cs="Arial"/>
          <w:sz w:val="24"/>
          <w:szCs w:val="24"/>
          <w:lang w:val="en-US"/>
        </w:rPr>
        <w:t xml:space="preserve"> </w:t>
      </w:r>
      <w:r w:rsidR="007E6898" w:rsidRPr="007D4BF7">
        <w:rPr>
          <w:rFonts w:ascii="Arial" w:hAnsi="Arial" w:cs="Arial"/>
          <w:sz w:val="24"/>
          <w:szCs w:val="24"/>
          <w:lang w:val="en-US"/>
        </w:rPr>
        <w:t>notice to terminate it</w:t>
      </w:r>
      <w:r w:rsidR="00E63519" w:rsidRPr="007D1762">
        <w:rPr>
          <w:rFonts w:ascii="Arial" w:hAnsi="Arial" w:cs="Arial"/>
          <w:sz w:val="24"/>
          <w:szCs w:val="24"/>
          <w:lang w:val="en-US"/>
        </w:rPr>
        <w:t xml:space="preserve">.  </w:t>
      </w:r>
    </w:p>
    <w:p w14:paraId="7E5379B1" w14:textId="41B84F9F" w:rsidR="001074CD" w:rsidRPr="009E131A" w:rsidRDefault="00600EEA" w:rsidP="009E131A">
      <w:pPr>
        <w:pStyle w:val="BowLevel1ListAlt"/>
        <w:rPr>
          <w:rFonts w:ascii="Arial" w:hAnsi="Arial" w:cs="Arial"/>
          <w:b/>
          <w:bCs/>
          <w:sz w:val="24"/>
          <w:szCs w:val="24"/>
          <w:lang w:val="en-US"/>
        </w:rPr>
      </w:pPr>
      <w:r w:rsidRPr="009E131A">
        <w:rPr>
          <w:rFonts w:ascii="Arial" w:hAnsi="Arial" w:cs="Arial"/>
          <w:sz w:val="24"/>
          <w:szCs w:val="24"/>
          <w:lang w:val="en-US"/>
        </w:rPr>
        <w:t xml:space="preserve">In summary, there </w:t>
      </w:r>
      <w:r w:rsidR="008823DA" w:rsidRPr="009E131A">
        <w:rPr>
          <w:rFonts w:ascii="Arial" w:hAnsi="Arial" w:cs="Arial"/>
          <w:sz w:val="24"/>
          <w:szCs w:val="24"/>
          <w:lang w:val="en-US"/>
        </w:rPr>
        <w:t xml:space="preserve">was in fact no obstacle to the </w:t>
      </w:r>
      <w:r w:rsidR="00810BD3">
        <w:rPr>
          <w:rFonts w:ascii="Arial" w:hAnsi="Arial" w:cs="Arial"/>
          <w:sz w:val="24"/>
          <w:szCs w:val="24"/>
          <w:lang w:val="en-US"/>
        </w:rPr>
        <w:t>appellant</w:t>
      </w:r>
      <w:r w:rsidR="008823DA" w:rsidRPr="009E131A">
        <w:rPr>
          <w:rFonts w:ascii="Arial" w:hAnsi="Arial" w:cs="Arial"/>
          <w:sz w:val="24"/>
          <w:szCs w:val="24"/>
          <w:lang w:val="en-US"/>
        </w:rPr>
        <w:t xml:space="preserve"> complying with its contractual obligation to give notice</w:t>
      </w:r>
      <w:r w:rsidRPr="009E131A">
        <w:rPr>
          <w:rFonts w:ascii="Arial" w:hAnsi="Arial" w:cs="Arial"/>
          <w:sz w:val="24"/>
          <w:szCs w:val="24"/>
          <w:lang w:val="en-US"/>
        </w:rPr>
        <w:t xml:space="preserve">, </w:t>
      </w:r>
      <w:r w:rsidR="00DE1EF5">
        <w:rPr>
          <w:rFonts w:ascii="Arial" w:hAnsi="Arial" w:cs="Arial"/>
          <w:sz w:val="24"/>
          <w:szCs w:val="24"/>
          <w:lang w:val="en-US"/>
        </w:rPr>
        <w:t>and</w:t>
      </w:r>
      <w:r w:rsidRPr="009E131A">
        <w:rPr>
          <w:rFonts w:ascii="Arial" w:hAnsi="Arial" w:cs="Arial"/>
          <w:sz w:val="24"/>
          <w:szCs w:val="24"/>
          <w:lang w:val="en-US"/>
        </w:rPr>
        <w:t xml:space="preserve"> </w:t>
      </w:r>
      <w:r w:rsidR="008823DA" w:rsidRPr="009E131A">
        <w:rPr>
          <w:rFonts w:ascii="Arial" w:hAnsi="Arial" w:cs="Arial"/>
          <w:sz w:val="24"/>
          <w:szCs w:val="24"/>
          <w:lang w:val="en-US"/>
        </w:rPr>
        <w:t>it was entitled to do</w:t>
      </w:r>
      <w:r w:rsidR="00DE1EF5">
        <w:rPr>
          <w:rFonts w:ascii="Arial" w:hAnsi="Arial" w:cs="Arial"/>
          <w:sz w:val="24"/>
          <w:szCs w:val="24"/>
          <w:lang w:val="en-US"/>
        </w:rPr>
        <w:t xml:space="preserve"> so</w:t>
      </w:r>
      <w:r w:rsidR="008823DA" w:rsidRPr="009E131A">
        <w:rPr>
          <w:rFonts w:ascii="Arial" w:hAnsi="Arial" w:cs="Arial"/>
          <w:sz w:val="24"/>
          <w:szCs w:val="24"/>
          <w:lang w:val="en-US"/>
        </w:rPr>
        <w:t xml:space="preserve">.  </w:t>
      </w:r>
      <w:r w:rsidRPr="009E131A">
        <w:rPr>
          <w:rFonts w:ascii="Arial" w:hAnsi="Arial" w:cs="Arial"/>
          <w:sz w:val="24"/>
          <w:szCs w:val="24"/>
          <w:lang w:val="en-US"/>
        </w:rPr>
        <w:t xml:space="preserve">The </w:t>
      </w:r>
      <w:r w:rsidR="00810BD3">
        <w:rPr>
          <w:rFonts w:ascii="Arial" w:hAnsi="Arial" w:cs="Arial"/>
          <w:sz w:val="24"/>
          <w:szCs w:val="24"/>
          <w:lang w:val="en-US"/>
        </w:rPr>
        <w:t>appellant</w:t>
      </w:r>
      <w:r w:rsidR="008823DA" w:rsidRPr="009E131A">
        <w:rPr>
          <w:rFonts w:ascii="Arial" w:hAnsi="Arial" w:cs="Arial"/>
          <w:sz w:val="24"/>
          <w:szCs w:val="24"/>
          <w:lang w:val="en-US"/>
        </w:rPr>
        <w:t xml:space="preserve"> elected not to give notice</w:t>
      </w:r>
      <w:r w:rsidRPr="009E131A">
        <w:rPr>
          <w:rFonts w:ascii="Arial" w:hAnsi="Arial" w:cs="Arial"/>
          <w:sz w:val="24"/>
          <w:szCs w:val="24"/>
          <w:lang w:val="en-US"/>
        </w:rPr>
        <w:t>, choosing instead to</w:t>
      </w:r>
      <w:r w:rsidR="008823DA" w:rsidRPr="009E131A">
        <w:rPr>
          <w:rFonts w:ascii="Arial" w:hAnsi="Arial" w:cs="Arial"/>
          <w:sz w:val="24"/>
          <w:szCs w:val="24"/>
          <w:lang w:val="en-US"/>
        </w:rPr>
        <w:t xml:space="preserve"> rely on the contractual provision that </w:t>
      </w:r>
      <w:r w:rsidR="00383342" w:rsidRPr="009E131A">
        <w:rPr>
          <w:rFonts w:ascii="Arial" w:hAnsi="Arial" w:cs="Arial"/>
          <w:sz w:val="24"/>
          <w:szCs w:val="24"/>
          <w:lang w:val="en-US"/>
        </w:rPr>
        <w:t xml:space="preserve">provided for automatic termination of the contract </w:t>
      </w:r>
      <w:r w:rsidR="008823DA" w:rsidRPr="009E131A">
        <w:rPr>
          <w:rFonts w:ascii="Arial" w:hAnsi="Arial" w:cs="Arial"/>
          <w:sz w:val="24"/>
          <w:szCs w:val="24"/>
          <w:lang w:val="en-US"/>
        </w:rPr>
        <w:t xml:space="preserve">on termination of the </w:t>
      </w:r>
      <w:r w:rsidR="00DE1EF5">
        <w:rPr>
          <w:rFonts w:ascii="Arial" w:hAnsi="Arial" w:cs="Arial"/>
          <w:sz w:val="24"/>
          <w:szCs w:val="24"/>
          <w:lang w:val="en-US"/>
        </w:rPr>
        <w:t>s</w:t>
      </w:r>
      <w:r w:rsidR="00383342" w:rsidRPr="009E131A">
        <w:rPr>
          <w:rFonts w:ascii="Arial" w:hAnsi="Arial" w:cs="Arial"/>
          <w:sz w:val="24"/>
          <w:szCs w:val="24"/>
          <w:lang w:val="en-US"/>
        </w:rPr>
        <w:t xml:space="preserve">ervice </w:t>
      </w:r>
      <w:r w:rsidR="00DE1EF5">
        <w:rPr>
          <w:rFonts w:ascii="Arial" w:hAnsi="Arial" w:cs="Arial"/>
          <w:sz w:val="24"/>
          <w:szCs w:val="24"/>
          <w:lang w:val="en-US"/>
        </w:rPr>
        <w:t>l</w:t>
      </w:r>
      <w:r w:rsidR="00383342" w:rsidRPr="009E131A">
        <w:rPr>
          <w:rFonts w:ascii="Arial" w:hAnsi="Arial" w:cs="Arial"/>
          <w:sz w:val="24"/>
          <w:szCs w:val="24"/>
          <w:lang w:val="en-US"/>
        </w:rPr>
        <w:t xml:space="preserve">evel </w:t>
      </w:r>
      <w:r w:rsidR="00DE1EF5">
        <w:rPr>
          <w:rFonts w:ascii="Arial" w:hAnsi="Arial" w:cs="Arial"/>
          <w:sz w:val="24"/>
          <w:szCs w:val="24"/>
          <w:lang w:val="en-US"/>
        </w:rPr>
        <w:t>a</w:t>
      </w:r>
      <w:r w:rsidR="00383342" w:rsidRPr="009E131A">
        <w:rPr>
          <w:rFonts w:ascii="Arial" w:hAnsi="Arial" w:cs="Arial"/>
          <w:sz w:val="24"/>
          <w:szCs w:val="24"/>
          <w:lang w:val="en-US"/>
        </w:rPr>
        <w:t xml:space="preserve">greement </w:t>
      </w:r>
      <w:r w:rsidR="008823DA" w:rsidRPr="009E131A">
        <w:rPr>
          <w:rFonts w:ascii="Arial" w:hAnsi="Arial" w:cs="Arial"/>
          <w:sz w:val="24"/>
          <w:szCs w:val="24"/>
          <w:lang w:val="en-US"/>
        </w:rPr>
        <w:t xml:space="preserve">between MTN and the </w:t>
      </w:r>
      <w:r w:rsidR="00810BD3">
        <w:rPr>
          <w:rFonts w:ascii="Arial" w:hAnsi="Arial" w:cs="Arial"/>
          <w:sz w:val="24"/>
          <w:szCs w:val="24"/>
          <w:lang w:val="en-US"/>
        </w:rPr>
        <w:t>appellant</w:t>
      </w:r>
      <w:r w:rsidR="008823DA" w:rsidRPr="009E131A">
        <w:rPr>
          <w:rFonts w:ascii="Arial" w:hAnsi="Arial" w:cs="Arial"/>
          <w:sz w:val="24"/>
          <w:szCs w:val="24"/>
          <w:lang w:val="en-US"/>
        </w:rPr>
        <w:t xml:space="preserve">.  But, as the court </w:t>
      </w:r>
      <w:r w:rsidR="008823DA" w:rsidRPr="009E131A">
        <w:rPr>
          <w:rFonts w:ascii="Arial" w:hAnsi="Arial" w:cs="Arial"/>
          <w:i/>
          <w:iCs/>
          <w:sz w:val="24"/>
          <w:szCs w:val="24"/>
          <w:lang w:val="en-US"/>
        </w:rPr>
        <w:t>a quo</w:t>
      </w:r>
      <w:r w:rsidR="008823DA" w:rsidRPr="009E131A">
        <w:rPr>
          <w:rFonts w:ascii="Arial" w:hAnsi="Arial" w:cs="Arial"/>
          <w:sz w:val="24"/>
          <w:szCs w:val="24"/>
          <w:lang w:val="en-US"/>
        </w:rPr>
        <w:t xml:space="preserve"> correctly </w:t>
      </w:r>
      <w:r w:rsidR="007E6898" w:rsidRPr="009E131A">
        <w:rPr>
          <w:rFonts w:ascii="Arial" w:hAnsi="Arial" w:cs="Arial"/>
          <w:sz w:val="24"/>
          <w:szCs w:val="24"/>
          <w:lang w:val="en-US"/>
        </w:rPr>
        <w:t>held</w:t>
      </w:r>
      <w:r w:rsidR="008823DA" w:rsidRPr="009E131A">
        <w:rPr>
          <w:rFonts w:ascii="Arial" w:hAnsi="Arial" w:cs="Arial"/>
          <w:sz w:val="24"/>
          <w:szCs w:val="24"/>
          <w:lang w:val="en-US"/>
        </w:rPr>
        <w:t xml:space="preserve">, </w:t>
      </w:r>
      <w:r w:rsidR="007E6898" w:rsidRPr="009E131A">
        <w:rPr>
          <w:rFonts w:ascii="Arial" w:hAnsi="Arial" w:cs="Arial"/>
          <w:sz w:val="24"/>
          <w:szCs w:val="24"/>
          <w:lang w:val="en-US"/>
        </w:rPr>
        <w:t xml:space="preserve">it was common </w:t>
      </w:r>
      <w:r w:rsidR="007E6898" w:rsidRPr="009E131A">
        <w:rPr>
          <w:rFonts w:ascii="Arial" w:hAnsi="Arial" w:cs="Arial"/>
          <w:sz w:val="24"/>
          <w:szCs w:val="24"/>
          <w:lang w:val="en-US"/>
        </w:rPr>
        <w:lastRenderedPageBreak/>
        <w:t xml:space="preserve">cause that MTN had not cancelled or terminated its service level agreement with the </w:t>
      </w:r>
      <w:r w:rsidR="00810BD3">
        <w:rPr>
          <w:rFonts w:ascii="Arial" w:hAnsi="Arial" w:cs="Arial"/>
          <w:sz w:val="24"/>
          <w:szCs w:val="24"/>
          <w:lang w:val="en-US"/>
        </w:rPr>
        <w:t>appellant</w:t>
      </w:r>
      <w:r w:rsidR="007E6898" w:rsidRPr="009E131A">
        <w:rPr>
          <w:rFonts w:ascii="Arial" w:hAnsi="Arial" w:cs="Arial"/>
          <w:sz w:val="24"/>
          <w:szCs w:val="24"/>
          <w:lang w:val="en-US"/>
        </w:rPr>
        <w:t xml:space="preserve">.  As a result, </w:t>
      </w:r>
      <w:r w:rsidR="008823DA" w:rsidRPr="009E131A">
        <w:rPr>
          <w:rFonts w:ascii="Arial" w:hAnsi="Arial" w:cs="Arial"/>
          <w:sz w:val="24"/>
          <w:szCs w:val="24"/>
          <w:lang w:val="en-US"/>
        </w:rPr>
        <w:t>that provision did not come into play</w:t>
      </w:r>
      <w:r w:rsidR="007E6898" w:rsidRPr="009E131A">
        <w:rPr>
          <w:rFonts w:ascii="Arial" w:hAnsi="Arial" w:cs="Arial"/>
          <w:sz w:val="24"/>
          <w:szCs w:val="24"/>
          <w:lang w:val="en-US"/>
        </w:rPr>
        <w:t xml:space="preserve">.  </w:t>
      </w:r>
    </w:p>
    <w:p w14:paraId="50CB8C15" w14:textId="229A597D" w:rsidR="00BA70D6" w:rsidRDefault="00E16FA7" w:rsidP="00B71F31">
      <w:pPr>
        <w:pStyle w:val="BowLevel1ListAlt"/>
        <w:rPr>
          <w:rFonts w:ascii="Arial" w:hAnsi="Arial" w:cs="Arial"/>
          <w:sz w:val="24"/>
          <w:szCs w:val="24"/>
          <w:lang w:val="en-US"/>
        </w:rPr>
      </w:pPr>
      <w:r>
        <w:rPr>
          <w:rFonts w:ascii="Arial" w:hAnsi="Arial" w:cs="Arial"/>
          <w:sz w:val="24"/>
          <w:szCs w:val="24"/>
          <w:lang w:val="en-US"/>
        </w:rPr>
        <w:t xml:space="preserve">The final matter that </w:t>
      </w:r>
      <w:r w:rsidR="00E63519" w:rsidRPr="003D79C2">
        <w:rPr>
          <w:rFonts w:ascii="Arial" w:hAnsi="Arial" w:cs="Arial"/>
          <w:sz w:val="24"/>
          <w:szCs w:val="24"/>
          <w:lang w:val="en-US"/>
        </w:rPr>
        <w:t>remain</w:t>
      </w:r>
      <w:r>
        <w:rPr>
          <w:rFonts w:ascii="Arial" w:hAnsi="Arial" w:cs="Arial"/>
          <w:sz w:val="24"/>
          <w:szCs w:val="24"/>
          <w:lang w:val="en-US"/>
        </w:rPr>
        <w:t>s</w:t>
      </w:r>
      <w:r w:rsidR="00E63519" w:rsidRPr="003D79C2">
        <w:rPr>
          <w:rFonts w:ascii="Arial" w:hAnsi="Arial" w:cs="Arial"/>
          <w:sz w:val="24"/>
          <w:szCs w:val="24"/>
          <w:lang w:val="en-US"/>
        </w:rPr>
        <w:t xml:space="preserve"> to be considered</w:t>
      </w:r>
      <w:r w:rsidR="00E63519">
        <w:rPr>
          <w:rFonts w:ascii="Arial" w:hAnsi="Arial" w:cs="Arial"/>
          <w:sz w:val="24"/>
          <w:szCs w:val="24"/>
          <w:lang w:val="en-US"/>
        </w:rPr>
        <w:t xml:space="preserve"> </w:t>
      </w:r>
      <w:r>
        <w:rPr>
          <w:rFonts w:ascii="Arial" w:hAnsi="Arial" w:cs="Arial"/>
          <w:sz w:val="24"/>
          <w:szCs w:val="24"/>
          <w:lang w:val="en-US"/>
        </w:rPr>
        <w:t xml:space="preserve">is </w:t>
      </w:r>
      <w:r w:rsidR="00E63519">
        <w:rPr>
          <w:rFonts w:ascii="Arial" w:hAnsi="Arial" w:cs="Arial"/>
          <w:sz w:val="24"/>
          <w:szCs w:val="24"/>
          <w:lang w:val="en-US"/>
        </w:rPr>
        <w:t xml:space="preserve">whether the </w:t>
      </w:r>
      <w:r w:rsidR="00810BD3">
        <w:rPr>
          <w:rFonts w:ascii="Arial" w:hAnsi="Arial" w:cs="Arial"/>
          <w:sz w:val="24"/>
          <w:szCs w:val="24"/>
          <w:lang w:val="en-US"/>
        </w:rPr>
        <w:t>respondent</w:t>
      </w:r>
      <w:r w:rsidR="00E63519">
        <w:rPr>
          <w:rFonts w:ascii="Arial" w:hAnsi="Arial" w:cs="Arial"/>
          <w:sz w:val="24"/>
          <w:szCs w:val="24"/>
          <w:lang w:val="en-US"/>
        </w:rPr>
        <w:t xml:space="preserve"> discharged the onus </w:t>
      </w:r>
      <w:r w:rsidR="00D40E10">
        <w:rPr>
          <w:rFonts w:ascii="Arial" w:hAnsi="Arial" w:cs="Arial"/>
          <w:sz w:val="24"/>
          <w:szCs w:val="24"/>
          <w:lang w:val="en-US"/>
        </w:rPr>
        <w:t xml:space="preserve">that she bore </w:t>
      </w:r>
      <w:r w:rsidR="00E63519">
        <w:rPr>
          <w:rFonts w:ascii="Arial" w:hAnsi="Arial" w:cs="Arial"/>
          <w:sz w:val="24"/>
          <w:szCs w:val="24"/>
          <w:lang w:val="en-US"/>
        </w:rPr>
        <w:t xml:space="preserve">in the court </w:t>
      </w:r>
      <w:r w:rsidR="00E63519" w:rsidRPr="001136D8">
        <w:rPr>
          <w:rFonts w:ascii="Arial" w:hAnsi="Arial" w:cs="Arial"/>
          <w:i/>
          <w:iCs/>
          <w:sz w:val="24"/>
          <w:szCs w:val="24"/>
          <w:lang w:val="en-US"/>
        </w:rPr>
        <w:t>a quo</w:t>
      </w:r>
      <w:r w:rsidR="00E63519">
        <w:rPr>
          <w:rFonts w:ascii="Arial" w:hAnsi="Arial" w:cs="Arial"/>
          <w:sz w:val="24"/>
          <w:szCs w:val="24"/>
          <w:lang w:val="en-US"/>
        </w:rPr>
        <w:t xml:space="preserve"> to demonstrate that </w:t>
      </w:r>
      <w:r w:rsidR="00D40E10">
        <w:rPr>
          <w:rFonts w:ascii="Arial" w:hAnsi="Arial" w:cs="Arial"/>
          <w:sz w:val="24"/>
          <w:szCs w:val="24"/>
          <w:lang w:val="en-US"/>
        </w:rPr>
        <w:t xml:space="preserve">she </w:t>
      </w:r>
      <w:r w:rsidR="00E63519">
        <w:rPr>
          <w:rFonts w:ascii="Arial" w:hAnsi="Arial" w:cs="Arial"/>
          <w:sz w:val="24"/>
          <w:szCs w:val="24"/>
          <w:lang w:val="en-US"/>
        </w:rPr>
        <w:t xml:space="preserve">had suffered damages in an amount equivalent to </w:t>
      </w:r>
      <w:r w:rsidR="00D40E10">
        <w:rPr>
          <w:rFonts w:ascii="Arial" w:hAnsi="Arial" w:cs="Arial"/>
          <w:sz w:val="24"/>
          <w:szCs w:val="24"/>
          <w:lang w:val="en-US"/>
        </w:rPr>
        <w:t xml:space="preserve">the fees she would have charged </w:t>
      </w:r>
      <w:r w:rsidR="00E63519">
        <w:rPr>
          <w:rFonts w:ascii="Arial" w:hAnsi="Arial" w:cs="Arial"/>
          <w:sz w:val="24"/>
          <w:szCs w:val="24"/>
          <w:lang w:val="en-US"/>
        </w:rPr>
        <w:t xml:space="preserve">during </w:t>
      </w:r>
      <w:r w:rsidR="001625A7">
        <w:rPr>
          <w:rFonts w:ascii="Arial" w:hAnsi="Arial" w:cs="Arial"/>
          <w:sz w:val="24"/>
          <w:szCs w:val="24"/>
          <w:lang w:val="en-US"/>
        </w:rPr>
        <w:t xml:space="preserve">the notice </w:t>
      </w:r>
      <w:r w:rsidR="00E63519">
        <w:rPr>
          <w:rFonts w:ascii="Arial" w:hAnsi="Arial" w:cs="Arial"/>
          <w:sz w:val="24"/>
          <w:szCs w:val="24"/>
          <w:lang w:val="en-US"/>
        </w:rPr>
        <w:t xml:space="preserve">month.  </w:t>
      </w:r>
      <w:r>
        <w:rPr>
          <w:rFonts w:ascii="Arial" w:hAnsi="Arial" w:cs="Arial"/>
          <w:sz w:val="24"/>
          <w:szCs w:val="24"/>
          <w:lang w:val="en-US"/>
        </w:rPr>
        <w:t xml:space="preserve">Although this was not a separate ground on which the </w:t>
      </w:r>
      <w:r w:rsidR="00810BD3">
        <w:rPr>
          <w:rFonts w:ascii="Arial" w:hAnsi="Arial" w:cs="Arial"/>
          <w:sz w:val="24"/>
          <w:szCs w:val="24"/>
          <w:lang w:val="en-US"/>
        </w:rPr>
        <w:t>appellant</w:t>
      </w:r>
      <w:r>
        <w:rPr>
          <w:rFonts w:ascii="Arial" w:hAnsi="Arial" w:cs="Arial"/>
          <w:sz w:val="24"/>
          <w:szCs w:val="24"/>
          <w:lang w:val="en-US"/>
        </w:rPr>
        <w:t xml:space="preserve"> </w:t>
      </w:r>
      <w:r w:rsidR="00600B05">
        <w:rPr>
          <w:rFonts w:ascii="Arial" w:hAnsi="Arial" w:cs="Arial"/>
          <w:sz w:val="24"/>
          <w:szCs w:val="24"/>
          <w:lang w:val="en-US"/>
        </w:rPr>
        <w:t xml:space="preserve">appealed against </w:t>
      </w:r>
      <w:r>
        <w:rPr>
          <w:rFonts w:ascii="Arial" w:hAnsi="Arial" w:cs="Arial"/>
          <w:sz w:val="24"/>
          <w:szCs w:val="24"/>
          <w:lang w:val="en-US"/>
        </w:rPr>
        <w:t xml:space="preserve">the order of the court </w:t>
      </w:r>
      <w:r w:rsidRPr="009E131A">
        <w:rPr>
          <w:rFonts w:ascii="Arial" w:hAnsi="Arial" w:cs="Arial"/>
          <w:i/>
          <w:iCs/>
          <w:sz w:val="24"/>
          <w:szCs w:val="24"/>
          <w:lang w:val="en-US"/>
        </w:rPr>
        <w:t>a quo</w:t>
      </w:r>
      <w:r>
        <w:rPr>
          <w:rFonts w:ascii="Arial" w:hAnsi="Arial" w:cs="Arial"/>
          <w:sz w:val="24"/>
          <w:szCs w:val="24"/>
          <w:lang w:val="en-US"/>
        </w:rPr>
        <w:t xml:space="preserve">, </w:t>
      </w:r>
      <w:r w:rsidR="006B292F">
        <w:rPr>
          <w:rFonts w:ascii="Arial" w:hAnsi="Arial" w:cs="Arial"/>
          <w:sz w:val="24"/>
          <w:szCs w:val="24"/>
          <w:lang w:val="en-US"/>
        </w:rPr>
        <w:t xml:space="preserve">the issue is closely connected to the interpretation of the contract </w:t>
      </w:r>
      <w:r w:rsidR="002700D6">
        <w:rPr>
          <w:rFonts w:ascii="Arial" w:hAnsi="Arial" w:cs="Arial"/>
          <w:sz w:val="24"/>
          <w:szCs w:val="24"/>
          <w:lang w:val="en-US"/>
        </w:rPr>
        <w:t xml:space="preserve">for which the </w:t>
      </w:r>
      <w:r w:rsidR="00810BD3">
        <w:rPr>
          <w:rFonts w:ascii="Arial" w:hAnsi="Arial" w:cs="Arial"/>
          <w:sz w:val="24"/>
          <w:szCs w:val="24"/>
          <w:lang w:val="en-US"/>
        </w:rPr>
        <w:t>appellant</w:t>
      </w:r>
      <w:r w:rsidR="002700D6">
        <w:rPr>
          <w:rFonts w:ascii="Arial" w:hAnsi="Arial" w:cs="Arial"/>
          <w:sz w:val="24"/>
          <w:szCs w:val="24"/>
          <w:lang w:val="en-US"/>
        </w:rPr>
        <w:t xml:space="preserve"> contended, and was raised in oral submission</w:t>
      </w:r>
      <w:r w:rsidR="00F12ACD">
        <w:rPr>
          <w:rFonts w:ascii="Arial" w:hAnsi="Arial" w:cs="Arial"/>
          <w:sz w:val="24"/>
          <w:szCs w:val="24"/>
          <w:lang w:val="en-US"/>
        </w:rPr>
        <w:t xml:space="preserve">.  Consequently it is </w:t>
      </w:r>
      <w:r w:rsidR="002700D6">
        <w:rPr>
          <w:rFonts w:ascii="Arial" w:hAnsi="Arial" w:cs="Arial"/>
          <w:sz w:val="24"/>
          <w:szCs w:val="24"/>
          <w:lang w:val="en-US"/>
        </w:rPr>
        <w:t xml:space="preserve">a matter that </w:t>
      </w:r>
      <w:r w:rsidR="00F12ACD">
        <w:rPr>
          <w:rFonts w:ascii="Arial" w:hAnsi="Arial" w:cs="Arial"/>
          <w:sz w:val="24"/>
          <w:szCs w:val="24"/>
          <w:lang w:val="en-US"/>
        </w:rPr>
        <w:t xml:space="preserve">in our view </w:t>
      </w:r>
      <w:r w:rsidR="002700D6">
        <w:rPr>
          <w:rFonts w:ascii="Arial" w:hAnsi="Arial" w:cs="Arial"/>
          <w:sz w:val="24"/>
          <w:szCs w:val="24"/>
          <w:lang w:val="en-US"/>
        </w:rPr>
        <w:t xml:space="preserve">requires </w:t>
      </w:r>
      <w:r w:rsidR="00600B05">
        <w:rPr>
          <w:rFonts w:ascii="Arial" w:hAnsi="Arial" w:cs="Arial"/>
          <w:sz w:val="24"/>
          <w:szCs w:val="24"/>
          <w:lang w:val="en-US"/>
        </w:rPr>
        <w:t>decision in this appeal.</w:t>
      </w:r>
    </w:p>
    <w:p w14:paraId="6D1C26C1" w14:textId="27737A63" w:rsidR="00FE6D91" w:rsidRDefault="00BA70D6" w:rsidP="00B71F31">
      <w:pPr>
        <w:pStyle w:val="BowLevel1ListAlt"/>
        <w:rPr>
          <w:rFonts w:ascii="Arial" w:hAnsi="Arial" w:cs="Arial"/>
          <w:sz w:val="24"/>
          <w:szCs w:val="24"/>
          <w:lang w:val="en-US"/>
        </w:rPr>
      </w:pPr>
      <w:r>
        <w:rPr>
          <w:rFonts w:ascii="Arial" w:hAnsi="Arial" w:cs="Arial"/>
          <w:sz w:val="24"/>
          <w:szCs w:val="24"/>
          <w:lang w:val="en-US"/>
        </w:rPr>
        <w:t xml:space="preserve">The </w:t>
      </w:r>
      <w:r w:rsidR="00810BD3">
        <w:rPr>
          <w:rFonts w:ascii="Arial" w:hAnsi="Arial" w:cs="Arial"/>
          <w:sz w:val="24"/>
          <w:szCs w:val="24"/>
          <w:lang w:val="en-US"/>
        </w:rPr>
        <w:t>appellant</w:t>
      </w:r>
      <w:r w:rsidR="00E63519">
        <w:rPr>
          <w:rFonts w:ascii="Arial" w:hAnsi="Arial" w:cs="Arial"/>
          <w:sz w:val="24"/>
          <w:szCs w:val="24"/>
          <w:lang w:val="en-US"/>
        </w:rPr>
        <w:t xml:space="preserve"> submitted that the absence of </w:t>
      </w:r>
      <w:r w:rsidR="001625A7">
        <w:rPr>
          <w:rFonts w:ascii="Arial" w:hAnsi="Arial" w:cs="Arial"/>
          <w:sz w:val="24"/>
          <w:szCs w:val="24"/>
          <w:lang w:val="en-US"/>
        </w:rPr>
        <w:t xml:space="preserve">available </w:t>
      </w:r>
      <w:r w:rsidR="00E63519">
        <w:rPr>
          <w:rFonts w:ascii="Arial" w:hAnsi="Arial" w:cs="Arial"/>
          <w:sz w:val="24"/>
          <w:szCs w:val="24"/>
          <w:lang w:val="en-US"/>
        </w:rPr>
        <w:t xml:space="preserve">work </w:t>
      </w:r>
      <w:r w:rsidR="001625A7">
        <w:rPr>
          <w:rFonts w:ascii="Arial" w:hAnsi="Arial" w:cs="Arial"/>
          <w:sz w:val="24"/>
          <w:szCs w:val="24"/>
          <w:lang w:val="en-US"/>
        </w:rPr>
        <w:t xml:space="preserve">from </w:t>
      </w:r>
      <w:r w:rsidR="00E63519">
        <w:rPr>
          <w:rFonts w:ascii="Arial" w:hAnsi="Arial" w:cs="Arial"/>
          <w:sz w:val="24"/>
          <w:szCs w:val="24"/>
          <w:lang w:val="en-US"/>
        </w:rPr>
        <w:t xml:space="preserve">MTN </w:t>
      </w:r>
      <w:r w:rsidR="00366579">
        <w:rPr>
          <w:rFonts w:ascii="Arial" w:hAnsi="Arial" w:cs="Arial"/>
          <w:sz w:val="24"/>
          <w:szCs w:val="24"/>
          <w:lang w:val="en-US"/>
        </w:rPr>
        <w:t xml:space="preserve">meant that </w:t>
      </w:r>
      <w:r w:rsidR="00E63519">
        <w:rPr>
          <w:rFonts w:ascii="Arial" w:hAnsi="Arial" w:cs="Arial"/>
          <w:sz w:val="24"/>
          <w:szCs w:val="24"/>
          <w:lang w:val="en-US"/>
        </w:rPr>
        <w:t xml:space="preserve">even if the </w:t>
      </w:r>
      <w:r w:rsidR="00810BD3">
        <w:rPr>
          <w:rFonts w:ascii="Arial" w:hAnsi="Arial" w:cs="Arial"/>
          <w:sz w:val="24"/>
          <w:szCs w:val="24"/>
          <w:lang w:val="en-US"/>
        </w:rPr>
        <w:t>respondent</w:t>
      </w:r>
      <w:r w:rsidR="00E63519">
        <w:rPr>
          <w:rFonts w:ascii="Arial" w:hAnsi="Arial" w:cs="Arial"/>
          <w:sz w:val="24"/>
          <w:szCs w:val="24"/>
          <w:lang w:val="en-US"/>
        </w:rPr>
        <w:t xml:space="preserve"> had been given notice she would have </w:t>
      </w:r>
      <w:r w:rsidR="00366579">
        <w:rPr>
          <w:rFonts w:ascii="Arial" w:hAnsi="Arial" w:cs="Arial"/>
          <w:sz w:val="24"/>
          <w:szCs w:val="24"/>
          <w:lang w:val="en-US"/>
        </w:rPr>
        <w:t xml:space="preserve">had no work to do and consequently would have </w:t>
      </w:r>
      <w:r w:rsidR="00E63519">
        <w:rPr>
          <w:rFonts w:ascii="Arial" w:hAnsi="Arial" w:cs="Arial"/>
          <w:sz w:val="24"/>
          <w:szCs w:val="24"/>
          <w:lang w:val="en-US"/>
        </w:rPr>
        <w:t>earned no fee</w:t>
      </w:r>
      <w:r w:rsidR="00366579">
        <w:rPr>
          <w:rFonts w:ascii="Arial" w:hAnsi="Arial" w:cs="Arial"/>
          <w:sz w:val="24"/>
          <w:szCs w:val="24"/>
          <w:lang w:val="en-US"/>
        </w:rPr>
        <w:t>s</w:t>
      </w:r>
      <w:r w:rsidR="001136D8">
        <w:rPr>
          <w:rFonts w:ascii="Arial" w:hAnsi="Arial" w:cs="Arial"/>
          <w:sz w:val="24"/>
          <w:szCs w:val="24"/>
          <w:lang w:val="en-US"/>
        </w:rPr>
        <w:t xml:space="preserve"> for work performed during the notice period</w:t>
      </w:r>
      <w:r w:rsidR="00E63519">
        <w:rPr>
          <w:rFonts w:ascii="Arial" w:hAnsi="Arial" w:cs="Arial"/>
          <w:sz w:val="24"/>
          <w:szCs w:val="24"/>
          <w:lang w:val="en-US"/>
        </w:rPr>
        <w:t>.</w:t>
      </w:r>
      <w:r w:rsidR="001136D8">
        <w:rPr>
          <w:rFonts w:ascii="Arial" w:hAnsi="Arial" w:cs="Arial"/>
          <w:sz w:val="24"/>
          <w:szCs w:val="24"/>
          <w:lang w:val="en-US"/>
        </w:rPr>
        <w:t xml:space="preserve">  </w:t>
      </w:r>
    </w:p>
    <w:p w14:paraId="49FFB81C" w14:textId="4D8FD46F" w:rsidR="00E63519" w:rsidRDefault="001136D8" w:rsidP="00B71F31">
      <w:pPr>
        <w:pStyle w:val="BowLevel1ListAlt"/>
        <w:rPr>
          <w:rFonts w:ascii="Arial" w:hAnsi="Arial" w:cs="Arial"/>
          <w:sz w:val="24"/>
          <w:szCs w:val="24"/>
          <w:lang w:val="en-US"/>
        </w:rPr>
      </w:pPr>
      <w:r>
        <w:rPr>
          <w:rFonts w:ascii="Arial" w:hAnsi="Arial" w:cs="Arial"/>
          <w:sz w:val="24"/>
          <w:szCs w:val="24"/>
          <w:lang w:val="en-US"/>
        </w:rPr>
        <w:t xml:space="preserve">Mr Modiba </w:t>
      </w:r>
      <w:r w:rsidR="000B3C45">
        <w:rPr>
          <w:rFonts w:ascii="Arial" w:hAnsi="Arial" w:cs="Arial"/>
          <w:sz w:val="24"/>
          <w:szCs w:val="24"/>
          <w:lang w:val="en-US"/>
        </w:rPr>
        <w:t xml:space="preserve">accepted </w:t>
      </w:r>
      <w:r>
        <w:rPr>
          <w:rFonts w:ascii="Arial" w:hAnsi="Arial" w:cs="Arial"/>
          <w:sz w:val="24"/>
          <w:szCs w:val="24"/>
          <w:lang w:val="en-US"/>
        </w:rPr>
        <w:t xml:space="preserve">that </w:t>
      </w:r>
      <w:r w:rsidR="000B3C45">
        <w:rPr>
          <w:rFonts w:ascii="Arial" w:hAnsi="Arial" w:cs="Arial"/>
          <w:sz w:val="24"/>
          <w:szCs w:val="24"/>
          <w:lang w:val="en-US"/>
        </w:rPr>
        <w:t xml:space="preserve">there were </w:t>
      </w:r>
      <w:r>
        <w:rPr>
          <w:rFonts w:ascii="Arial" w:hAnsi="Arial" w:cs="Arial"/>
          <w:sz w:val="24"/>
          <w:szCs w:val="24"/>
          <w:lang w:val="en-US"/>
        </w:rPr>
        <w:t xml:space="preserve">circumstances in which the </w:t>
      </w:r>
      <w:r w:rsidR="00810BD3">
        <w:rPr>
          <w:rFonts w:ascii="Arial" w:hAnsi="Arial" w:cs="Arial"/>
          <w:sz w:val="24"/>
          <w:szCs w:val="24"/>
          <w:lang w:val="en-US"/>
        </w:rPr>
        <w:t>respondent</w:t>
      </w:r>
      <w:r>
        <w:rPr>
          <w:rFonts w:ascii="Arial" w:hAnsi="Arial" w:cs="Arial"/>
          <w:sz w:val="24"/>
          <w:szCs w:val="24"/>
          <w:lang w:val="en-US"/>
        </w:rPr>
        <w:t xml:space="preserve"> </w:t>
      </w:r>
      <w:r w:rsidR="00DE709B">
        <w:rPr>
          <w:rFonts w:ascii="Arial" w:hAnsi="Arial" w:cs="Arial"/>
          <w:sz w:val="24"/>
          <w:szCs w:val="24"/>
          <w:lang w:val="en-US"/>
        </w:rPr>
        <w:t xml:space="preserve">had been </w:t>
      </w:r>
      <w:r>
        <w:rPr>
          <w:rFonts w:ascii="Arial" w:hAnsi="Arial" w:cs="Arial"/>
          <w:sz w:val="24"/>
          <w:szCs w:val="24"/>
          <w:lang w:val="en-US"/>
        </w:rPr>
        <w:t xml:space="preserve">paid </w:t>
      </w:r>
      <w:r w:rsidR="00FE6D91">
        <w:rPr>
          <w:rFonts w:ascii="Arial" w:hAnsi="Arial" w:cs="Arial"/>
          <w:sz w:val="24"/>
          <w:szCs w:val="24"/>
          <w:lang w:val="en-US"/>
        </w:rPr>
        <w:t xml:space="preserve">fees </w:t>
      </w:r>
      <w:r>
        <w:rPr>
          <w:rFonts w:ascii="Arial" w:hAnsi="Arial" w:cs="Arial"/>
          <w:sz w:val="24"/>
          <w:szCs w:val="24"/>
          <w:lang w:val="en-US"/>
        </w:rPr>
        <w:t xml:space="preserve">during periods when she </w:t>
      </w:r>
      <w:r w:rsidR="00992BAC">
        <w:rPr>
          <w:rFonts w:ascii="Arial" w:hAnsi="Arial" w:cs="Arial"/>
          <w:sz w:val="24"/>
          <w:szCs w:val="24"/>
          <w:lang w:val="en-US"/>
        </w:rPr>
        <w:t xml:space="preserve">had </w:t>
      </w:r>
      <w:r>
        <w:rPr>
          <w:rFonts w:ascii="Arial" w:hAnsi="Arial" w:cs="Arial"/>
          <w:sz w:val="24"/>
          <w:szCs w:val="24"/>
          <w:lang w:val="en-US"/>
        </w:rPr>
        <w:t>perform</w:t>
      </w:r>
      <w:r w:rsidR="00FE6D91">
        <w:rPr>
          <w:rFonts w:ascii="Arial" w:hAnsi="Arial" w:cs="Arial"/>
          <w:sz w:val="24"/>
          <w:szCs w:val="24"/>
          <w:lang w:val="en-US"/>
        </w:rPr>
        <w:t>ed</w:t>
      </w:r>
      <w:r>
        <w:rPr>
          <w:rFonts w:ascii="Arial" w:hAnsi="Arial" w:cs="Arial"/>
          <w:sz w:val="24"/>
          <w:szCs w:val="24"/>
          <w:lang w:val="en-US"/>
        </w:rPr>
        <w:t xml:space="preserve"> no services </w:t>
      </w:r>
      <w:r w:rsidR="00FE6D91">
        <w:rPr>
          <w:rFonts w:ascii="Arial" w:hAnsi="Arial" w:cs="Arial"/>
          <w:sz w:val="24"/>
          <w:szCs w:val="24"/>
          <w:lang w:val="en-US"/>
        </w:rPr>
        <w:t>for MTN</w:t>
      </w:r>
      <w:r w:rsidR="000B3C45">
        <w:rPr>
          <w:rFonts w:ascii="Arial" w:hAnsi="Arial" w:cs="Arial"/>
          <w:sz w:val="24"/>
          <w:szCs w:val="24"/>
          <w:lang w:val="en-US"/>
        </w:rPr>
        <w:t>.  These, he submitted,</w:t>
      </w:r>
      <w:r w:rsidR="00FE6D91">
        <w:rPr>
          <w:rFonts w:ascii="Arial" w:hAnsi="Arial" w:cs="Arial"/>
          <w:sz w:val="24"/>
          <w:szCs w:val="24"/>
          <w:lang w:val="en-US"/>
        </w:rPr>
        <w:t xml:space="preserve"> </w:t>
      </w:r>
      <w:r>
        <w:rPr>
          <w:rFonts w:ascii="Arial" w:hAnsi="Arial" w:cs="Arial"/>
          <w:sz w:val="24"/>
          <w:szCs w:val="24"/>
          <w:lang w:val="en-US"/>
        </w:rPr>
        <w:t>were exceptions</w:t>
      </w:r>
      <w:r w:rsidR="001F5F6D">
        <w:rPr>
          <w:rFonts w:ascii="Arial" w:hAnsi="Arial" w:cs="Arial"/>
          <w:sz w:val="24"/>
          <w:szCs w:val="24"/>
          <w:lang w:val="en-US"/>
        </w:rPr>
        <w:t xml:space="preserve">. In </w:t>
      </w:r>
      <w:r w:rsidR="005701B9">
        <w:rPr>
          <w:rFonts w:ascii="Arial" w:hAnsi="Arial" w:cs="Arial"/>
          <w:sz w:val="24"/>
          <w:szCs w:val="24"/>
          <w:lang w:val="en-US"/>
        </w:rPr>
        <w:t xml:space="preserve">one </w:t>
      </w:r>
      <w:r w:rsidR="001F5F6D">
        <w:rPr>
          <w:rFonts w:ascii="Arial" w:hAnsi="Arial" w:cs="Arial"/>
          <w:sz w:val="24"/>
          <w:szCs w:val="24"/>
          <w:lang w:val="en-US"/>
        </w:rPr>
        <w:t xml:space="preserve">instance this occurred </w:t>
      </w:r>
      <w:r>
        <w:rPr>
          <w:rFonts w:ascii="Arial" w:hAnsi="Arial" w:cs="Arial"/>
          <w:sz w:val="24"/>
          <w:szCs w:val="24"/>
          <w:lang w:val="en-US"/>
        </w:rPr>
        <w:t xml:space="preserve">during </w:t>
      </w:r>
      <w:r w:rsidR="001F5F6D">
        <w:rPr>
          <w:rFonts w:ascii="Arial" w:hAnsi="Arial" w:cs="Arial"/>
          <w:sz w:val="24"/>
          <w:szCs w:val="24"/>
          <w:lang w:val="en-US"/>
        </w:rPr>
        <w:t xml:space="preserve">an </w:t>
      </w:r>
      <w:r>
        <w:rPr>
          <w:rFonts w:ascii="Arial" w:hAnsi="Arial" w:cs="Arial"/>
          <w:sz w:val="24"/>
          <w:szCs w:val="24"/>
          <w:lang w:val="en-US"/>
        </w:rPr>
        <w:t xml:space="preserve">induction </w:t>
      </w:r>
      <w:r w:rsidR="001F5F6D">
        <w:rPr>
          <w:rFonts w:ascii="Arial" w:hAnsi="Arial" w:cs="Arial"/>
          <w:sz w:val="24"/>
          <w:szCs w:val="24"/>
          <w:lang w:val="en-US"/>
        </w:rPr>
        <w:t xml:space="preserve">period, when payment was </w:t>
      </w:r>
      <w:r>
        <w:rPr>
          <w:rFonts w:ascii="Arial" w:hAnsi="Arial" w:cs="Arial"/>
          <w:sz w:val="24"/>
          <w:szCs w:val="24"/>
          <w:lang w:val="en-US"/>
        </w:rPr>
        <w:t>made entirely “</w:t>
      </w:r>
      <w:r w:rsidRPr="001136D8">
        <w:rPr>
          <w:rFonts w:ascii="Arial" w:hAnsi="Arial" w:cs="Arial"/>
          <w:i/>
          <w:iCs/>
          <w:sz w:val="24"/>
          <w:szCs w:val="24"/>
          <w:lang w:val="en-US"/>
        </w:rPr>
        <w:t>ex gratia</w:t>
      </w:r>
      <w:r>
        <w:rPr>
          <w:rFonts w:ascii="Arial" w:hAnsi="Arial" w:cs="Arial"/>
          <w:sz w:val="24"/>
          <w:szCs w:val="24"/>
          <w:lang w:val="en-US"/>
        </w:rPr>
        <w:t xml:space="preserve">”, and in </w:t>
      </w:r>
      <w:r w:rsidR="005701B9">
        <w:rPr>
          <w:rFonts w:ascii="Arial" w:hAnsi="Arial" w:cs="Arial"/>
          <w:sz w:val="24"/>
          <w:szCs w:val="24"/>
          <w:lang w:val="en-US"/>
        </w:rPr>
        <w:t xml:space="preserve">other </w:t>
      </w:r>
      <w:r w:rsidR="001F5F6D">
        <w:rPr>
          <w:rFonts w:ascii="Arial" w:hAnsi="Arial" w:cs="Arial"/>
          <w:sz w:val="24"/>
          <w:szCs w:val="24"/>
          <w:lang w:val="en-US"/>
        </w:rPr>
        <w:t>instance</w:t>
      </w:r>
      <w:r w:rsidR="005701B9">
        <w:rPr>
          <w:rFonts w:ascii="Arial" w:hAnsi="Arial" w:cs="Arial"/>
          <w:sz w:val="24"/>
          <w:szCs w:val="24"/>
          <w:lang w:val="en-US"/>
        </w:rPr>
        <w:t>s</w:t>
      </w:r>
      <w:r w:rsidR="001F5F6D">
        <w:rPr>
          <w:rFonts w:ascii="Arial" w:hAnsi="Arial" w:cs="Arial"/>
          <w:sz w:val="24"/>
          <w:szCs w:val="24"/>
          <w:lang w:val="en-US"/>
        </w:rPr>
        <w:t xml:space="preserve"> </w:t>
      </w:r>
      <w:r w:rsidR="005701B9">
        <w:rPr>
          <w:rFonts w:ascii="Arial" w:hAnsi="Arial" w:cs="Arial"/>
          <w:sz w:val="24"/>
          <w:szCs w:val="24"/>
          <w:lang w:val="en-US"/>
        </w:rPr>
        <w:t xml:space="preserve">it occurred where </w:t>
      </w:r>
      <w:r w:rsidR="00FE6D91">
        <w:rPr>
          <w:rFonts w:ascii="Arial" w:hAnsi="Arial" w:cs="Arial"/>
          <w:sz w:val="24"/>
          <w:szCs w:val="24"/>
          <w:lang w:val="en-US"/>
        </w:rPr>
        <w:t xml:space="preserve">the </w:t>
      </w:r>
      <w:r w:rsidR="00810BD3">
        <w:rPr>
          <w:rFonts w:ascii="Arial" w:hAnsi="Arial" w:cs="Arial"/>
          <w:sz w:val="24"/>
          <w:szCs w:val="24"/>
          <w:lang w:val="en-US"/>
        </w:rPr>
        <w:t>appellant</w:t>
      </w:r>
      <w:r w:rsidR="00FE6D91">
        <w:rPr>
          <w:rFonts w:ascii="Arial" w:hAnsi="Arial" w:cs="Arial"/>
          <w:sz w:val="24"/>
          <w:szCs w:val="24"/>
          <w:lang w:val="en-US"/>
        </w:rPr>
        <w:t xml:space="preserve"> could charge </w:t>
      </w:r>
      <w:r>
        <w:rPr>
          <w:rFonts w:ascii="Arial" w:hAnsi="Arial" w:cs="Arial"/>
          <w:sz w:val="24"/>
          <w:szCs w:val="24"/>
          <w:lang w:val="en-US"/>
        </w:rPr>
        <w:t xml:space="preserve">MTN for resources that were </w:t>
      </w:r>
      <w:r w:rsidR="005701B9">
        <w:rPr>
          <w:rFonts w:ascii="Arial" w:hAnsi="Arial" w:cs="Arial"/>
          <w:sz w:val="24"/>
          <w:szCs w:val="24"/>
          <w:lang w:val="en-US"/>
        </w:rPr>
        <w:t xml:space="preserve">made </w:t>
      </w:r>
      <w:r>
        <w:rPr>
          <w:rFonts w:ascii="Arial" w:hAnsi="Arial" w:cs="Arial"/>
          <w:sz w:val="24"/>
          <w:szCs w:val="24"/>
          <w:lang w:val="en-US"/>
        </w:rPr>
        <w:t xml:space="preserve">available to it </w:t>
      </w:r>
      <w:r w:rsidR="001C7F3B">
        <w:rPr>
          <w:rFonts w:ascii="Arial" w:hAnsi="Arial" w:cs="Arial"/>
          <w:sz w:val="24"/>
          <w:szCs w:val="24"/>
          <w:lang w:val="en-US"/>
        </w:rPr>
        <w:t>even though</w:t>
      </w:r>
      <w:r>
        <w:rPr>
          <w:rFonts w:ascii="Arial" w:hAnsi="Arial" w:cs="Arial"/>
          <w:sz w:val="24"/>
          <w:szCs w:val="24"/>
          <w:lang w:val="en-US"/>
        </w:rPr>
        <w:t xml:space="preserve"> </w:t>
      </w:r>
      <w:r w:rsidR="00660C4C">
        <w:rPr>
          <w:rFonts w:ascii="Arial" w:hAnsi="Arial" w:cs="Arial"/>
          <w:sz w:val="24"/>
          <w:szCs w:val="24"/>
          <w:lang w:val="en-US"/>
        </w:rPr>
        <w:t xml:space="preserve">MTN’s </w:t>
      </w:r>
      <w:r>
        <w:rPr>
          <w:rFonts w:ascii="Arial" w:hAnsi="Arial" w:cs="Arial"/>
          <w:sz w:val="24"/>
          <w:szCs w:val="24"/>
          <w:lang w:val="en-US"/>
        </w:rPr>
        <w:t>own systems were not functioning or there was some other interruption in work.</w:t>
      </w:r>
    </w:p>
    <w:p w14:paraId="03E88AFA" w14:textId="3CAD7070" w:rsidR="00660C4C" w:rsidRDefault="00660C4C" w:rsidP="00B71F31">
      <w:pPr>
        <w:pStyle w:val="BowLevel1ListAlt"/>
        <w:rPr>
          <w:rFonts w:ascii="Arial" w:hAnsi="Arial" w:cs="Arial"/>
          <w:sz w:val="24"/>
          <w:szCs w:val="24"/>
          <w:lang w:val="en-US"/>
        </w:rPr>
      </w:pPr>
      <w:r>
        <w:rPr>
          <w:rFonts w:ascii="Arial" w:hAnsi="Arial" w:cs="Arial"/>
          <w:sz w:val="24"/>
          <w:szCs w:val="24"/>
          <w:lang w:val="en-US"/>
        </w:rPr>
        <w:t xml:space="preserve">In response to this Mr Netshipise, who appeared for the </w:t>
      </w:r>
      <w:r w:rsidR="00810BD3">
        <w:rPr>
          <w:rFonts w:ascii="Arial" w:hAnsi="Arial" w:cs="Arial"/>
          <w:sz w:val="24"/>
          <w:szCs w:val="24"/>
          <w:lang w:val="en-US"/>
        </w:rPr>
        <w:t>respondent</w:t>
      </w:r>
      <w:r>
        <w:rPr>
          <w:rFonts w:ascii="Arial" w:hAnsi="Arial" w:cs="Arial"/>
          <w:sz w:val="24"/>
          <w:szCs w:val="24"/>
          <w:lang w:val="en-US"/>
        </w:rPr>
        <w:t xml:space="preserve">, conceded that the </w:t>
      </w:r>
      <w:r w:rsidR="00810BD3">
        <w:rPr>
          <w:rFonts w:ascii="Arial" w:hAnsi="Arial" w:cs="Arial"/>
          <w:sz w:val="24"/>
          <w:szCs w:val="24"/>
          <w:lang w:val="en-US"/>
        </w:rPr>
        <w:t>respondent</w:t>
      </w:r>
      <w:r>
        <w:rPr>
          <w:rFonts w:ascii="Arial" w:hAnsi="Arial" w:cs="Arial"/>
          <w:sz w:val="24"/>
          <w:szCs w:val="24"/>
          <w:lang w:val="en-US"/>
        </w:rPr>
        <w:t xml:space="preserve"> was not entitled to charge fees in circumstances in which </w:t>
      </w:r>
      <w:r w:rsidR="00992BAC">
        <w:rPr>
          <w:rFonts w:ascii="Arial" w:hAnsi="Arial" w:cs="Arial"/>
          <w:sz w:val="24"/>
          <w:szCs w:val="24"/>
          <w:lang w:val="en-US"/>
        </w:rPr>
        <w:t xml:space="preserve">she performed </w:t>
      </w:r>
      <w:r>
        <w:rPr>
          <w:rFonts w:ascii="Arial" w:hAnsi="Arial" w:cs="Arial"/>
          <w:sz w:val="24"/>
          <w:szCs w:val="24"/>
          <w:lang w:val="en-US"/>
        </w:rPr>
        <w:t xml:space="preserve">no work.  He submitted, however, that on the evidence the </w:t>
      </w:r>
      <w:r w:rsidR="00810BD3">
        <w:rPr>
          <w:rFonts w:ascii="Arial" w:hAnsi="Arial" w:cs="Arial"/>
          <w:sz w:val="24"/>
          <w:szCs w:val="24"/>
          <w:lang w:val="en-US"/>
        </w:rPr>
        <w:t>respondent</w:t>
      </w:r>
      <w:r>
        <w:rPr>
          <w:rFonts w:ascii="Arial" w:hAnsi="Arial" w:cs="Arial"/>
          <w:sz w:val="24"/>
          <w:szCs w:val="24"/>
          <w:lang w:val="en-US"/>
        </w:rPr>
        <w:t xml:space="preserve"> was equipped to perform services outside the narrow ambit of those for </w:t>
      </w:r>
      <w:r w:rsidR="00071307">
        <w:rPr>
          <w:rFonts w:ascii="Arial" w:hAnsi="Arial" w:cs="Arial"/>
          <w:sz w:val="24"/>
          <w:szCs w:val="24"/>
          <w:lang w:val="en-US"/>
        </w:rPr>
        <w:t xml:space="preserve">MTN for </w:t>
      </w:r>
      <w:r>
        <w:rPr>
          <w:rFonts w:ascii="Arial" w:hAnsi="Arial" w:cs="Arial"/>
          <w:sz w:val="24"/>
          <w:szCs w:val="24"/>
          <w:lang w:val="en-US"/>
        </w:rPr>
        <w:t xml:space="preserve">which she had been engaged during the contract, and that </w:t>
      </w:r>
      <w:r w:rsidR="0016673E">
        <w:rPr>
          <w:rFonts w:ascii="Arial" w:hAnsi="Arial" w:cs="Arial"/>
          <w:sz w:val="24"/>
          <w:szCs w:val="24"/>
          <w:lang w:val="en-US"/>
        </w:rPr>
        <w:t xml:space="preserve">the fact that she </w:t>
      </w:r>
      <w:r>
        <w:rPr>
          <w:rFonts w:ascii="Arial" w:hAnsi="Arial" w:cs="Arial"/>
          <w:sz w:val="24"/>
          <w:szCs w:val="24"/>
          <w:lang w:val="en-US"/>
        </w:rPr>
        <w:t xml:space="preserve">had been paid fees </w:t>
      </w:r>
      <w:r w:rsidR="0016673E">
        <w:rPr>
          <w:rFonts w:ascii="Arial" w:hAnsi="Arial" w:cs="Arial"/>
          <w:sz w:val="24"/>
          <w:szCs w:val="24"/>
          <w:lang w:val="en-US"/>
        </w:rPr>
        <w:t xml:space="preserve">at various times </w:t>
      </w:r>
      <w:r>
        <w:rPr>
          <w:rFonts w:ascii="Arial" w:hAnsi="Arial" w:cs="Arial"/>
          <w:sz w:val="24"/>
          <w:szCs w:val="24"/>
          <w:lang w:val="en-US"/>
        </w:rPr>
        <w:t>during the subsistence of the contract when she had not actually rendered services for MTN</w:t>
      </w:r>
      <w:r w:rsidR="000E28EF">
        <w:rPr>
          <w:rFonts w:ascii="Arial" w:hAnsi="Arial" w:cs="Arial"/>
          <w:sz w:val="24"/>
          <w:szCs w:val="24"/>
          <w:lang w:val="en-US"/>
        </w:rPr>
        <w:t xml:space="preserve"> demonstrated that it was not necessarily so that she would not have been paid during the notice period</w:t>
      </w:r>
      <w:r>
        <w:rPr>
          <w:rFonts w:ascii="Arial" w:hAnsi="Arial" w:cs="Arial"/>
          <w:sz w:val="24"/>
          <w:szCs w:val="24"/>
          <w:lang w:val="en-US"/>
        </w:rPr>
        <w:t xml:space="preserve">.  </w:t>
      </w:r>
    </w:p>
    <w:p w14:paraId="19DA62AF" w14:textId="06473DE1" w:rsidR="00D372F5" w:rsidRDefault="001136D8" w:rsidP="00B71F31">
      <w:pPr>
        <w:pStyle w:val="BowLevel1ListAlt"/>
        <w:rPr>
          <w:rFonts w:ascii="Arial" w:hAnsi="Arial" w:cs="Arial"/>
          <w:sz w:val="24"/>
          <w:szCs w:val="24"/>
          <w:lang w:val="en-US"/>
        </w:rPr>
      </w:pPr>
      <w:r>
        <w:rPr>
          <w:rFonts w:ascii="Arial" w:hAnsi="Arial" w:cs="Arial"/>
          <w:sz w:val="24"/>
          <w:szCs w:val="24"/>
          <w:lang w:val="en-US"/>
        </w:rPr>
        <w:t xml:space="preserve">Ultimately, Mr Netshipise submitted, the opportunity was there for the </w:t>
      </w:r>
      <w:r w:rsidR="00810BD3">
        <w:rPr>
          <w:rFonts w:ascii="Arial" w:hAnsi="Arial" w:cs="Arial"/>
          <w:sz w:val="24"/>
          <w:szCs w:val="24"/>
          <w:lang w:val="en-US"/>
        </w:rPr>
        <w:t>respondent</w:t>
      </w:r>
      <w:r>
        <w:rPr>
          <w:rFonts w:ascii="Arial" w:hAnsi="Arial" w:cs="Arial"/>
          <w:sz w:val="24"/>
          <w:szCs w:val="24"/>
          <w:lang w:val="en-US"/>
        </w:rPr>
        <w:t xml:space="preserve"> to have been allocated work during the notice period had the </w:t>
      </w:r>
      <w:r w:rsidR="00810BD3">
        <w:rPr>
          <w:rFonts w:ascii="Arial" w:hAnsi="Arial" w:cs="Arial"/>
          <w:sz w:val="24"/>
          <w:szCs w:val="24"/>
          <w:lang w:val="en-US"/>
        </w:rPr>
        <w:t>appellant</w:t>
      </w:r>
      <w:r>
        <w:rPr>
          <w:rFonts w:ascii="Arial" w:hAnsi="Arial" w:cs="Arial"/>
          <w:sz w:val="24"/>
          <w:szCs w:val="24"/>
          <w:lang w:val="en-US"/>
        </w:rPr>
        <w:t xml:space="preserve"> given her that opportunity.  Mr Netshipise </w:t>
      </w:r>
      <w:r w:rsidR="00FD51AE">
        <w:rPr>
          <w:rFonts w:ascii="Arial" w:hAnsi="Arial" w:cs="Arial"/>
          <w:sz w:val="24"/>
          <w:szCs w:val="24"/>
          <w:lang w:val="en-US"/>
        </w:rPr>
        <w:t xml:space="preserve">submitted that there were no grounds on which to </w:t>
      </w:r>
      <w:r w:rsidR="0086789C">
        <w:rPr>
          <w:rFonts w:ascii="Arial" w:hAnsi="Arial" w:cs="Arial"/>
          <w:sz w:val="24"/>
          <w:szCs w:val="24"/>
          <w:lang w:val="en-US"/>
        </w:rPr>
        <w:t xml:space="preserve">reach a positive </w:t>
      </w:r>
      <w:r w:rsidR="00FD51AE">
        <w:rPr>
          <w:rFonts w:ascii="Arial" w:hAnsi="Arial" w:cs="Arial"/>
          <w:sz w:val="24"/>
          <w:szCs w:val="24"/>
          <w:lang w:val="en-US"/>
        </w:rPr>
        <w:t>conclu</w:t>
      </w:r>
      <w:r w:rsidR="0086789C">
        <w:rPr>
          <w:rFonts w:ascii="Arial" w:hAnsi="Arial" w:cs="Arial"/>
          <w:sz w:val="24"/>
          <w:szCs w:val="24"/>
          <w:lang w:val="en-US"/>
        </w:rPr>
        <w:t>sion</w:t>
      </w:r>
      <w:r w:rsidR="00FD51AE">
        <w:rPr>
          <w:rFonts w:ascii="Arial" w:hAnsi="Arial" w:cs="Arial"/>
          <w:sz w:val="24"/>
          <w:szCs w:val="24"/>
          <w:lang w:val="en-US"/>
        </w:rPr>
        <w:t xml:space="preserve"> that</w:t>
      </w:r>
      <w:r>
        <w:rPr>
          <w:rFonts w:ascii="Arial" w:hAnsi="Arial" w:cs="Arial"/>
          <w:sz w:val="24"/>
          <w:szCs w:val="24"/>
          <w:lang w:val="en-US"/>
        </w:rPr>
        <w:t xml:space="preserve"> no work would have been performed in circumstances in which the </w:t>
      </w:r>
      <w:r w:rsidR="00810BD3">
        <w:rPr>
          <w:rFonts w:ascii="Arial" w:hAnsi="Arial" w:cs="Arial"/>
          <w:sz w:val="24"/>
          <w:szCs w:val="24"/>
          <w:lang w:val="en-US"/>
        </w:rPr>
        <w:t>appellant</w:t>
      </w:r>
      <w:r>
        <w:rPr>
          <w:rFonts w:ascii="Arial" w:hAnsi="Arial" w:cs="Arial"/>
          <w:sz w:val="24"/>
          <w:szCs w:val="24"/>
          <w:lang w:val="en-US"/>
        </w:rPr>
        <w:t xml:space="preserve"> had failed to give notice and to</w:t>
      </w:r>
      <w:r w:rsidR="00D372F5">
        <w:rPr>
          <w:rFonts w:ascii="Arial" w:hAnsi="Arial" w:cs="Arial"/>
          <w:sz w:val="24"/>
          <w:szCs w:val="24"/>
          <w:lang w:val="en-US"/>
        </w:rPr>
        <w:t xml:space="preserve"> provide an </w:t>
      </w:r>
      <w:r>
        <w:rPr>
          <w:rFonts w:ascii="Arial" w:hAnsi="Arial" w:cs="Arial"/>
          <w:sz w:val="24"/>
          <w:szCs w:val="24"/>
          <w:lang w:val="en-US"/>
        </w:rPr>
        <w:t xml:space="preserve">opportunity for that to happen.  </w:t>
      </w:r>
    </w:p>
    <w:p w14:paraId="41E35A27" w14:textId="6A979373" w:rsidR="00D372F5" w:rsidRDefault="00D372F5" w:rsidP="00B71F31">
      <w:pPr>
        <w:pStyle w:val="BowLevel1ListAlt"/>
        <w:rPr>
          <w:rFonts w:ascii="Arial" w:hAnsi="Arial" w:cs="Arial"/>
          <w:sz w:val="24"/>
          <w:szCs w:val="24"/>
          <w:lang w:val="en-US"/>
        </w:rPr>
      </w:pPr>
      <w:r>
        <w:rPr>
          <w:rFonts w:ascii="Arial" w:hAnsi="Arial" w:cs="Arial"/>
          <w:sz w:val="24"/>
          <w:szCs w:val="24"/>
          <w:lang w:val="en-US"/>
        </w:rPr>
        <w:lastRenderedPageBreak/>
        <w:t>In reply</w:t>
      </w:r>
      <w:r w:rsidR="00CD1F3A">
        <w:rPr>
          <w:rFonts w:ascii="Arial" w:hAnsi="Arial" w:cs="Arial"/>
          <w:sz w:val="24"/>
          <w:szCs w:val="24"/>
          <w:lang w:val="en-US"/>
        </w:rPr>
        <w:t xml:space="preserve"> on this issue</w:t>
      </w:r>
      <w:r>
        <w:rPr>
          <w:rFonts w:ascii="Arial" w:hAnsi="Arial" w:cs="Arial"/>
          <w:sz w:val="24"/>
          <w:szCs w:val="24"/>
          <w:lang w:val="en-US"/>
        </w:rPr>
        <w:t xml:space="preserve"> the second </w:t>
      </w:r>
      <w:r w:rsidR="001136D8">
        <w:rPr>
          <w:rFonts w:ascii="Arial" w:hAnsi="Arial" w:cs="Arial"/>
          <w:sz w:val="24"/>
          <w:szCs w:val="24"/>
          <w:lang w:val="en-US"/>
        </w:rPr>
        <w:t>Mr Modiba</w:t>
      </w:r>
      <w:r w:rsidR="00E60144">
        <w:rPr>
          <w:rFonts w:ascii="Arial" w:hAnsi="Arial" w:cs="Arial"/>
          <w:sz w:val="24"/>
          <w:szCs w:val="24"/>
          <w:lang w:val="en-US"/>
        </w:rPr>
        <w:t>,</w:t>
      </w:r>
      <w:r w:rsidR="001136D8">
        <w:rPr>
          <w:rFonts w:ascii="Arial" w:hAnsi="Arial" w:cs="Arial"/>
          <w:sz w:val="24"/>
          <w:szCs w:val="24"/>
          <w:lang w:val="en-US"/>
        </w:rPr>
        <w:t xml:space="preserve"> the </w:t>
      </w:r>
      <w:r w:rsidR="00810BD3">
        <w:rPr>
          <w:rFonts w:ascii="Arial" w:hAnsi="Arial" w:cs="Arial"/>
          <w:sz w:val="24"/>
          <w:szCs w:val="24"/>
          <w:lang w:val="en-US"/>
        </w:rPr>
        <w:t>appellant</w:t>
      </w:r>
      <w:r>
        <w:rPr>
          <w:rFonts w:ascii="Arial" w:hAnsi="Arial" w:cs="Arial"/>
          <w:sz w:val="24"/>
          <w:szCs w:val="24"/>
          <w:lang w:val="en-US"/>
        </w:rPr>
        <w:t xml:space="preserve">’s </w:t>
      </w:r>
      <w:r w:rsidR="001136D8">
        <w:rPr>
          <w:rFonts w:ascii="Arial" w:hAnsi="Arial" w:cs="Arial"/>
          <w:sz w:val="24"/>
          <w:szCs w:val="24"/>
          <w:lang w:val="en-US"/>
        </w:rPr>
        <w:t>instructing attorney</w:t>
      </w:r>
      <w:r w:rsidR="00E60144">
        <w:rPr>
          <w:rFonts w:ascii="Arial" w:hAnsi="Arial" w:cs="Arial"/>
          <w:sz w:val="24"/>
          <w:szCs w:val="24"/>
          <w:lang w:val="en-US"/>
        </w:rPr>
        <w:t>,</w:t>
      </w:r>
      <w:r w:rsidR="001136D8">
        <w:rPr>
          <w:rFonts w:ascii="Arial" w:hAnsi="Arial" w:cs="Arial"/>
          <w:sz w:val="24"/>
          <w:szCs w:val="24"/>
          <w:lang w:val="en-US"/>
        </w:rPr>
        <w:t xml:space="preserve"> submitted that it was possible on the evidence to determine positively that no work would have been performed</w:t>
      </w:r>
      <w:r>
        <w:rPr>
          <w:rFonts w:ascii="Arial" w:hAnsi="Arial" w:cs="Arial"/>
          <w:sz w:val="24"/>
          <w:szCs w:val="24"/>
          <w:lang w:val="en-US"/>
        </w:rPr>
        <w:t xml:space="preserve"> during the notice period</w:t>
      </w:r>
      <w:r w:rsidR="001136D8">
        <w:rPr>
          <w:rFonts w:ascii="Arial" w:hAnsi="Arial" w:cs="Arial"/>
          <w:sz w:val="24"/>
          <w:szCs w:val="24"/>
          <w:lang w:val="en-US"/>
        </w:rPr>
        <w:t xml:space="preserve">.  </w:t>
      </w:r>
    </w:p>
    <w:p w14:paraId="22DE3D79" w14:textId="603FC3AD" w:rsidR="001136D8" w:rsidRDefault="0086789C" w:rsidP="00B71F31">
      <w:pPr>
        <w:pStyle w:val="BowLevel1ListAlt"/>
        <w:rPr>
          <w:rFonts w:ascii="Arial" w:hAnsi="Arial" w:cs="Arial"/>
          <w:sz w:val="24"/>
          <w:szCs w:val="24"/>
          <w:lang w:val="en-US"/>
        </w:rPr>
      </w:pPr>
      <w:r>
        <w:rPr>
          <w:rFonts w:ascii="Arial" w:hAnsi="Arial" w:cs="Arial"/>
          <w:sz w:val="24"/>
          <w:szCs w:val="24"/>
          <w:lang w:val="en-US"/>
        </w:rPr>
        <w:t xml:space="preserve">In </w:t>
      </w:r>
      <w:r w:rsidR="001136D8">
        <w:rPr>
          <w:rFonts w:ascii="Arial" w:hAnsi="Arial" w:cs="Arial"/>
          <w:sz w:val="24"/>
          <w:szCs w:val="24"/>
          <w:lang w:val="en-US"/>
        </w:rPr>
        <w:t>our view</w:t>
      </w:r>
      <w:r w:rsidR="00CD1F3A">
        <w:rPr>
          <w:rFonts w:ascii="Arial" w:hAnsi="Arial" w:cs="Arial"/>
          <w:sz w:val="24"/>
          <w:szCs w:val="24"/>
          <w:lang w:val="en-US"/>
        </w:rPr>
        <w:t xml:space="preserve">, and insofar as this is an issue in the appeal, </w:t>
      </w:r>
      <w:r w:rsidR="001136D8">
        <w:rPr>
          <w:rFonts w:ascii="Arial" w:hAnsi="Arial" w:cs="Arial"/>
          <w:sz w:val="24"/>
          <w:szCs w:val="24"/>
          <w:lang w:val="en-US"/>
        </w:rPr>
        <w:t xml:space="preserve">the </w:t>
      </w:r>
      <w:r w:rsidR="00C03EAF">
        <w:rPr>
          <w:rFonts w:ascii="Arial" w:hAnsi="Arial" w:cs="Arial"/>
          <w:sz w:val="24"/>
          <w:szCs w:val="24"/>
          <w:lang w:val="en-US"/>
        </w:rPr>
        <w:t xml:space="preserve">evidence did not </w:t>
      </w:r>
      <w:r w:rsidR="00D325CA">
        <w:rPr>
          <w:rFonts w:ascii="Arial" w:hAnsi="Arial" w:cs="Arial"/>
          <w:sz w:val="24"/>
          <w:szCs w:val="24"/>
          <w:lang w:val="en-US"/>
        </w:rPr>
        <w:t xml:space="preserve">in fact </w:t>
      </w:r>
      <w:r w:rsidR="00C03EAF">
        <w:rPr>
          <w:rFonts w:ascii="Arial" w:hAnsi="Arial" w:cs="Arial"/>
          <w:sz w:val="24"/>
          <w:szCs w:val="24"/>
          <w:lang w:val="en-US"/>
        </w:rPr>
        <w:t>establish</w:t>
      </w:r>
      <w:r w:rsidR="00B4686C">
        <w:rPr>
          <w:rFonts w:ascii="Arial" w:hAnsi="Arial" w:cs="Arial"/>
          <w:sz w:val="24"/>
          <w:szCs w:val="24"/>
          <w:lang w:val="en-US"/>
        </w:rPr>
        <w:t xml:space="preserve"> that there would have been no work for the </w:t>
      </w:r>
      <w:r w:rsidR="00810BD3">
        <w:rPr>
          <w:rFonts w:ascii="Arial" w:hAnsi="Arial" w:cs="Arial"/>
          <w:sz w:val="24"/>
          <w:szCs w:val="24"/>
          <w:lang w:val="en-US"/>
        </w:rPr>
        <w:t>respondent</w:t>
      </w:r>
      <w:r w:rsidR="001136D8">
        <w:rPr>
          <w:rFonts w:ascii="Arial" w:hAnsi="Arial" w:cs="Arial"/>
          <w:sz w:val="24"/>
          <w:szCs w:val="24"/>
          <w:lang w:val="en-US"/>
        </w:rPr>
        <w:t xml:space="preserve"> </w:t>
      </w:r>
      <w:r w:rsidR="00B4686C">
        <w:rPr>
          <w:rFonts w:ascii="Arial" w:hAnsi="Arial" w:cs="Arial"/>
          <w:sz w:val="24"/>
          <w:szCs w:val="24"/>
          <w:lang w:val="en-US"/>
        </w:rPr>
        <w:t>at all during the notice period</w:t>
      </w:r>
      <w:r w:rsidR="00D325CA">
        <w:rPr>
          <w:rFonts w:ascii="Arial" w:hAnsi="Arial" w:cs="Arial"/>
          <w:sz w:val="24"/>
          <w:szCs w:val="24"/>
          <w:lang w:val="en-US"/>
        </w:rPr>
        <w:t xml:space="preserve">.  Nor did it establish that </w:t>
      </w:r>
      <w:r w:rsidR="00B4686C">
        <w:rPr>
          <w:rFonts w:ascii="Arial" w:hAnsi="Arial" w:cs="Arial"/>
          <w:sz w:val="24"/>
          <w:szCs w:val="24"/>
          <w:lang w:val="en-US"/>
        </w:rPr>
        <w:t xml:space="preserve">MTN would not </w:t>
      </w:r>
      <w:r w:rsidR="00EC508E">
        <w:rPr>
          <w:rFonts w:ascii="Arial" w:hAnsi="Arial" w:cs="Arial"/>
          <w:sz w:val="24"/>
          <w:szCs w:val="24"/>
          <w:lang w:val="en-US"/>
        </w:rPr>
        <w:t xml:space="preserve">have paid for services made available to it during the notice period.  The stance adopted by the </w:t>
      </w:r>
      <w:r w:rsidR="00810BD3">
        <w:rPr>
          <w:rFonts w:ascii="Arial" w:hAnsi="Arial" w:cs="Arial"/>
          <w:sz w:val="24"/>
          <w:szCs w:val="24"/>
          <w:lang w:val="en-US"/>
        </w:rPr>
        <w:t>appellant</w:t>
      </w:r>
      <w:r w:rsidR="00EC508E">
        <w:rPr>
          <w:rFonts w:ascii="Arial" w:hAnsi="Arial" w:cs="Arial"/>
          <w:sz w:val="24"/>
          <w:szCs w:val="24"/>
          <w:lang w:val="en-US"/>
        </w:rPr>
        <w:t xml:space="preserve"> was that the </w:t>
      </w:r>
      <w:r w:rsidR="00810BD3">
        <w:rPr>
          <w:rFonts w:ascii="Arial" w:hAnsi="Arial" w:cs="Arial"/>
          <w:sz w:val="24"/>
          <w:szCs w:val="24"/>
          <w:lang w:val="en-US"/>
        </w:rPr>
        <w:t>respondent</w:t>
      </w:r>
      <w:r w:rsidR="00EC508E">
        <w:rPr>
          <w:rFonts w:ascii="Arial" w:hAnsi="Arial" w:cs="Arial"/>
          <w:sz w:val="24"/>
          <w:szCs w:val="24"/>
          <w:lang w:val="en-US"/>
        </w:rPr>
        <w:t xml:space="preserve">’s contract </w:t>
      </w:r>
      <w:r w:rsidR="00D54A33">
        <w:rPr>
          <w:rFonts w:ascii="Arial" w:hAnsi="Arial" w:cs="Arial"/>
          <w:sz w:val="24"/>
          <w:szCs w:val="24"/>
          <w:lang w:val="en-US"/>
        </w:rPr>
        <w:t xml:space="preserve">effectively </w:t>
      </w:r>
      <w:r w:rsidR="00EC508E">
        <w:rPr>
          <w:rFonts w:ascii="Arial" w:hAnsi="Arial" w:cs="Arial"/>
          <w:sz w:val="24"/>
          <w:szCs w:val="24"/>
          <w:lang w:val="en-US"/>
        </w:rPr>
        <w:t xml:space="preserve">terminated </w:t>
      </w:r>
      <w:r w:rsidR="00D54A33">
        <w:rPr>
          <w:rFonts w:ascii="Arial" w:hAnsi="Arial" w:cs="Arial"/>
          <w:sz w:val="24"/>
          <w:szCs w:val="24"/>
          <w:lang w:val="en-US"/>
        </w:rPr>
        <w:t xml:space="preserve">on 4 May 2020 in consequence of the MTN email to the </w:t>
      </w:r>
      <w:r w:rsidR="00810BD3">
        <w:rPr>
          <w:rFonts w:ascii="Arial" w:hAnsi="Arial" w:cs="Arial"/>
          <w:sz w:val="24"/>
          <w:szCs w:val="24"/>
          <w:lang w:val="en-US"/>
        </w:rPr>
        <w:t>appellant</w:t>
      </w:r>
      <w:r w:rsidR="00D54A33">
        <w:rPr>
          <w:rFonts w:ascii="Arial" w:hAnsi="Arial" w:cs="Arial"/>
          <w:sz w:val="24"/>
          <w:szCs w:val="24"/>
          <w:lang w:val="en-US"/>
        </w:rPr>
        <w:t xml:space="preserve">.  It took no steps either to allocate work to the </w:t>
      </w:r>
      <w:r w:rsidR="00810BD3">
        <w:rPr>
          <w:rFonts w:ascii="Arial" w:hAnsi="Arial" w:cs="Arial"/>
          <w:sz w:val="24"/>
          <w:szCs w:val="24"/>
          <w:lang w:val="en-US"/>
        </w:rPr>
        <w:t>respondent</w:t>
      </w:r>
      <w:r w:rsidR="00D54A33">
        <w:rPr>
          <w:rFonts w:ascii="Arial" w:hAnsi="Arial" w:cs="Arial"/>
          <w:sz w:val="24"/>
          <w:szCs w:val="24"/>
          <w:lang w:val="en-US"/>
        </w:rPr>
        <w:t xml:space="preserve"> </w:t>
      </w:r>
      <w:r w:rsidR="00FB7209">
        <w:rPr>
          <w:rFonts w:ascii="Arial" w:hAnsi="Arial" w:cs="Arial"/>
          <w:sz w:val="24"/>
          <w:szCs w:val="24"/>
          <w:lang w:val="en-US"/>
        </w:rPr>
        <w:t>thereafter,</w:t>
      </w:r>
      <w:r w:rsidR="00D54A33">
        <w:rPr>
          <w:rFonts w:ascii="Arial" w:hAnsi="Arial" w:cs="Arial"/>
          <w:sz w:val="24"/>
          <w:szCs w:val="24"/>
          <w:lang w:val="en-US"/>
        </w:rPr>
        <w:t xml:space="preserve"> to </w:t>
      </w:r>
      <w:r w:rsidR="002B2894">
        <w:rPr>
          <w:rFonts w:ascii="Arial" w:hAnsi="Arial" w:cs="Arial"/>
          <w:sz w:val="24"/>
          <w:szCs w:val="24"/>
          <w:lang w:val="en-US"/>
        </w:rPr>
        <w:t xml:space="preserve">procure work </w:t>
      </w:r>
      <w:r w:rsidR="00FB7209">
        <w:rPr>
          <w:rFonts w:ascii="Arial" w:hAnsi="Arial" w:cs="Arial"/>
          <w:sz w:val="24"/>
          <w:szCs w:val="24"/>
          <w:lang w:val="en-US"/>
        </w:rPr>
        <w:t xml:space="preserve">from MTN, </w:t>
      </w:r>
      <w:r w:rsidR="002B2894">
        <w:rPr>
          <w:rFonts w:ascii="Arial" w:hAnsi="Arial" w:cs="Arial"/>
          <w:sz w:val="24"/>
          <w:szCs w:val="24"/>
          <w:lang w:val="en-US"/>
        </w:rPr>
        <w:t xml:space="preserve">or </w:t>
      </w:r>
      <w:r w:rsidR="00FB7209">
        <w:rPr>
          <w:rFonts w:ascii="Arial" w:hAnsi="Arial" w:cs="Arial"/>
          <w:sz w:val="24"/>
          <w:szCs w:val="24"/>
          <w:lang w:val="en-US"/>
        </w:rPr>
        <w:t xml:space="preserve">to seek an undertaking </w:t>
      </w:r>
      <w:r w:rsidR="002B2894">
        <w:rPr>
          <w:rFonts w:ascii="Arial" w:hAnsi="Arial" w:cs="Arial"/>
          <w:sz w:val="24"/>
          <w:szCs w:val="24"/>
          <w:lang w:val="en-US"/>
        </w:rPr>
        <w:t xml:space="preserve">from MTN to pay </w:t>
      </w:r>
      <w:r w:rsidR="00FB7209">
        <w:rPr>
          <w:rFonts w:ascii="Arial" w:hAnsi="Arial" w:cs="Arial"/>
          <w:sz w:val="24"/>
          <w:szCs w:val="24"/>
          <w:lang w:val="en-US"/>
        </w:rPr>
        <w:t xml:space="preserve">the </w:t>
      </w:r>
      <w:r w:rsidR="00810BD3">
        <w:rPr>
          <w:rFonts w:ascii="Arial" w:hAnsi="Arial" w:cs="Arial"/>
          <w:sz w:val="24"/>
          <w:szCs w:val="24"/>
          <w:lang w:val="en-US"/>
        </w:rPr>
        <w:t>appellant</w:t>
      </w:r>
      <w:r w:rsidR="00FB7209">
        <w:rPr>
          <w:rFonts w:ascii="Arial" w:hAnsi="Arial" w:cs="Arial"/>
          <w:sz w:val="24"/>
          <w:szCs w:val="24"/>
          <w:lang w:val="en-US"/>
        </w:rPr>
        <w:t xml:space="preserve"> in respect of the </w:t>
      </w:r>
      <w:r w:rsidR="00810BD3">
        <w:rPr>
          <w:rFonts w:ascii="Arial" w:hAnsi="Arial" w:cs="Arial"/>
          <w:sz w:val="24"/>
          <w:szCs w:val="24"/>
          <w:lang w:val="en-US"/>
        </w:rPr>
        <w:t>respondent</w:t>
      </w:r>
      <w:r w:rsidR="00FB7209">
        <w:rPr>
          <w:rFonts w:ascii="Arial" w:hAnsi="Arial" w:cs="Arial"/>
          <w:sz w:val="24"/>
          <w:szCs w:val="24"/>
          <w:lang w:val="en-US"/>
        </w:rPr>
        <w:t xml:space="preserve">’s services </w:t>
      </w:r>
      <w:r w:rsidR="002B2894">
        <w:rPr>
          <w:rFonts w:ascii="Arial" w:hAnsi="Arial" w:cs="Arial"/>
          <w:sz w:val="24"/>
          <w:szCs w:val="24"/>
          <w:lang w:val="en-US"/>
        </w:rPr>
        <w:t>for the notice period.  In those circumstances we</w:t>
      </w:r>
      <w:r w:rsidR="00551153">
        <w:rPr>
          <w:rFonts w:ascii="Arial" w:hAnsi="Arial" w:cs="Arial"/>
          <w:sz w:val="24"/>
          <w:szCs w:val="24"/>
          <w:lang w:val="en-US"/>
        </w:rPr>
        <w:t xml:space="preserve"> </w:t>
      </w:r>
      <w:r w:rsidR="001136D8">
        <w:rPr>
          <w:rFonts w:ascii="Arial" w:hAnsi="Arial" w:cs="Arial"/>
          <w:sz w:val="24"/>
          <w:szCs w:val="24"/>
          <w:lang w:val="en-US"/>
        </w:rPr>
        <w:t xml:space="preserve">can find no reason to </w:t>
      </w:r>
      <w:r w:rsidR="00332D6D">
        <w:rPr>
          <w:rFonts w:ascii="Arial" w:hAnsi="Arial" w:cs="Arial"/>
          <w:sz w:val="24"/>
          <w:szCs w:val="24"/>
          <w:lang w:val="en-US"/>
        </w:rPr>
        <w:t xml:space="preserve">depart </w:t>
      </w:r>
      <w:r w:rsidR="001136D8">
        <w:rPr>
          <w:rFonts w:ascii="Arial" w:hAnsi="Arial" w:cs="Arial"/>
          <w:sz w:val="24"/>
          <w:szCs w:val="24"/>
          <w:lang w:val="en-US"/>
        </w:rPr>
        <w:t>from the quantification of th</w:t>
      </w:r>
      <w:r w:rsidR="00332D6D">
        <w:rPr>
          <w:rFonts w:ascii="Arial" w:hAnsi="Arial" w:cs="Arial"/>
          <w:sz w:val="24"/>
          <w:szCs w:val="24"/>
          <w:lang w:val="en-US"/>
        </w:rPr>
        <w:t xml:space="preserve">e harm </w:t>
      </w:r>
      <w:r w:rsidR="002B2894">
        <w:rPr>
          <w:rFonts w:ascii="Arial" w:hAnsi="Arial" w:cs="Arial"/>
          <w:sz w:val="24"/>
          <w:szCs w:val="24"/>
          <w:lang w:val="en-US"/>
        </w:rPr>
        <w:t xml:space="preserve">that was </w:t>
      </w:r>
      <w:r w:rsidR="00332D6D">
        <w:rPr>
          <w:rFonts w:ascii="Arial" w:hAnsi="Arial" w:cs="Arial"/>
          <w:sz w:val="24"/>
          <w:szCs w:val="24"/>
          <w:lang w:val="en-US"/>
        </w:rPr>
        <w:t xml:space="preserve">suffered, being </w:t>
      </w:r>
      <w:r w:rsidR="00FB7209">
        <w:rPr>
          <w:rFonts w:ascii="Arial" w:hAnsi="Arial" w:cs="Arial"/>
          <w:sz w:val="24"/>
          <w:szCs w:val="24"/>
          <w:lang w:val="en-US"/>
        </w:rPr>
        <w:t xml:space="preserve">damages in </w:t>
      </w:r>
      <w:r w:rsidR="00332D6D">
        <w:rPr>
          <w:rFonts w:ascii="Arial" w:hAnsi="Arial" w:cs="Arial"/>
          <w:sz w:val="24"/>
          <w:szCs w:val="24"/>
          <w:lang w:val="en-US"/>
        </w:rPr>
        <w:t xml:space="preserve">the </w:t>
      </w:r>
      <w:r w:rsidR="001136D8">
        <w:rPr>
          <w:rFonts w:ascii="Arial" w:hAnsi="Arial" w:cs="Arial"/>
          <w:sz w:val="24"/>
          <w:szCs w:val="24"/>
          <w:lang w:val="en-US"/>
        </w:rPr>
        <w:t>amount of R72</w:t>
      </w:r>
      <w:r w:rsidR="00332D6D">
        <w:rPr>
          <w:rFonts w:ascii="Arial" w:hAnsi="Arial" w:cs="Arial"/>
          <w:sz w:val="24"/>
          <w:szCs w:val="24"/>
          <w:lang w:val="en-US"/>
        </w:rPr>
        <w:t>,</w:t>
      </w:r>
      <w:r w:rsidR="001136D8">
        <w:rPr>
          <w:rFonts w:ascii="Arial" w:hAnsi="Arial" w:cs="Arial"/>
          <w:sz w:val="24"/>
          <w:szCs w:val="24"/>
          <w:lang w:val="en-US"/>
        </w:rPr>
        <w:t>000</w:t>
      </w:r>
      <w:r w:rsidR="00332D6D">
        <w:rPr>
          <w:rFonts w:ascii="Arial" w:hAnsi="Arial" w:cs="Arial"/>
          <w:sz w:val="24"/>
          <w:szCs w:val="24"/>
          <w:lang w:val="en-US"/>
        </w:rPr>
        <w:t xml:space="preserve"> as </w:t>
      </w:r>
      <w:r w:rsidR="001136D8">
        <w:rPr>
          <w:rFonts w:ascii="Arial" w:hAnsi="Arial" w:cs="Arial"/>
          <w:sz w:val="24"/>
          <w:szCs w:val="24"/>
          <w:lang w:val="en-US"/>
        </w:rPr>
        <w:t xml:space="preserve">determined by the court </w:t>
      </w:r>
      <w:r w:rsidR="001136D8" w:rsidRPr="001136D8">
        <w:rPr>
          <w:rFonts w:ascii="Arial" w:hAnsi="Arial" w:cs="Arial"/>
          <w:i/>
          <w:iCs/>
          <w:sz w:val="24"/>
          <w:szCs w:val="24"/>
          <w:lang w:val="en-US"/>
        </w:rPr>
        <w:t>a quo</w:t>
      </w:r>
      <w:r w:rsidR="001136D8">
        <w:rPr>
          <w:rFonts w:ascii="Arial" w:hAnsi="Arial" w:cs="Arial"/>
          <w:sz w:val="24"/>
          <w:szCs w:val="24"/>
          <w:lang w:val="en-US"/>
        </w:rPr>
        <w:t>.</w:t>
      </w:r>
    </w:p>
    <w:p w14:paraId="624431E5" w14:textId="045807F6" w:rsidR="005236F0" w:rsidRDefault="005236F0" w:rsidP="00B71F31">
      <w:pPr>
        <w:pStyle w:val="BowLevel1ListAlt"/>
        <w:rPr>
          <w:rFonts w:ascii="Arial" w:hAnsi="Arial" w:cs="Arial"/>
          <w:sz w:val="24"/>
          <w:szCs w:val="24"/>
          <w:lang w:val="en-US"/>
        </w:rPr>
      </w:pPr>
      <w:r>
        <w:rPr>
          <w:rFonts w:ascii="Arial" w:hAnsi="Arial" w:cs="Arial"/>
          <w:sz w:val="24"/>
          <w:szCs w:val="24"/>
          <w:lang w:val="en-US"/>
        </w:rPr>
        <w:t xml:space="preserve">The </w:t>
      </w:r>
      <w:r w:rsidR="00810BD3">
        <w:rPr>
          <w:rFonts w:ascii="Arial" w:hAnsi="Arial" w:cs="Arial"/>
          <w:sz w:val="24"/>
          <w:szCs w:val="24"/>
          <w:lang w:val="en-US"/>
        </w:rPr>
        <w:t>respondent</w:t>
      </w:r>
      <w:r>
        <w:rPr>
          <w:rFonts w:ascii="Arial" w:hAnsi="Arial" w:cs="Arial"/>
          <w:sz w:val="24"/>
          <w:szCs w:val="24"/>
          <w:lang w:val="en-US"/>
        </w:rPr>
        <w:t xml:space="preserve"> submitted that this was a case in which costs should be awarded on a punitive scale.  We can see no </w:t>
      </w:r>
      <w:r w:rsidR="00C203C7">
        <w:rPr>
          <w:rFonts w:ascii="Arial" w:hAnsi="Arial" w:cs="Arial"/>
          <w:sz w:val="24"/>
          <w:szCs w:val="24"/>
          <w:lang w:val="en-US"/>
        </w:rPr>
        <w:t xml:space="preserve">justification for this, and consider this to be a case where costs should follow the result, on the ordinary scale. </w:t>
      </w:r>
    </w:p>
    <w:p w14:paraId="6DDAF97C" w14:textId="17DD3F59" w:rsidR="005236F0" w:rsidRPr="009E131A" w:rsidRDefault="005236F0" w:rsidP="009E131A">
      <w:pPr>
        <w:pStyle w:val="BowLevel1ListAlt"/>
        <w:numPr>
          <w:ilvl w:val="0"/>
          <w:numId w:val="0"/>
        </w:numPr>
        <w:rPr>
          <w:rFonts w:ascii="Arial" w:hAnsi="Arial" w:cs="Arial"/>
          <w:b/>
          <w:bCs/>
          <w:sz w:val="24"/>
          <w:szCs w:val="24"/>
          <w:lang w:val="en-US"/>
        </w:rPr>
      </w:pPr>
      <w:r w:rsidRPr="009E131A">
        <w:rPr>
          <w:rFonts w:ascii="Arial" w:hAnsi="Arial" w:cs="Arial"/>
          <w:b/>
          <w:bCs/>
          <w:sz w:val="24"/>
          <w:szCs w:val="24"/>
          <w:lang w:val="en-US"/>
        </w:rPr>
        <w:t>Order</w:t>
      </w:r>
    </w:p>
    <w:p w14:paraId="57D8BAC2" w14:textId="28023C90" w:rsidR="001136D8" w:rsidRDefault="001136D8" w:rsidP="00B71F31">
      <w:pPr>
        <w:pStyle w:val="BowLevel1ListAlt"/>
        <w:rPr>
          <w:rFonts w:ascii="Arial" w:hAnsi="Arial" w:cs="Arial"/>
          <w:sz w:val="24"/>
          <w:szCs w:val="24"/>
          <w:lang w:val="en-US"/>
        </w:rPr>
      </w:pPr>
      <w:r>
        <w:rPr>
          <w:rFonts w:ascii="Arial" w:hAnsi="Arial" w:cs="Arial"/>
          <w:sz w:val="24"/>
          <w:szCs w:val="24"/>
          <w:lang w:val="en-US"/>
        </w:rPr>
        <w:t>In those circumstances the appeal is dismissed, with costs.</w:t>
      </w:r>
    </w:p>
    <w:p w14:paraId="78323A80" w14:textId="77777777" w:rsidR="001136D8" w:rsidRDefault="001136D8" w:rsidP="001136D8">
      <w:pPr>
        <w:pStyle w:val="BowLevel1ListAlt"/>
        <w:numPr>
          <w:ilvl w:val="0"/>
          <w:numId w:val="0"/>
        </w:numPr>
        <w:rPr>
          <w:rFonts w:ascii="Arial" w:hAnsi="Arial" w:cs="Arial"/>
          <w:sz w:val="24"/>
          <w:szCs w:val="24"/>
          <w:lang w:val="en-US"/>
        </w:rPr>
      </w:pPr>
    </w:p>
    <w:p w14:paraId="427B7C62" w14:textId="77777777" w:rsidR="001136D8" w:rsidRDefault="001136D8" w:rsidP="001136D8">
      <w:pPr>
        <w:pStyle w:val="BowLevel1ListAlt"/>
        <w:numPr>
          <w:ilvl w:val="0"/>
          <w:numId w:val="0"/>
        </w:numPr>
        <w:rPr>
          <w:rFonts w:ascii="Arial" w:hAnsi="Arial" w:cs="Arial"/>
          <w:sz w:val="24"/>
          <w:szCs w:val="24"/>
          <w:lang w:val="en-US"/>
        </w:rPr>
      </w:pPr>
      <w:r>
        <w:rPr>
          <w:rFonts w:ascii="Arial" w:hAnsi="Arial" w:cs="Arial"/>
          <w:sz w:val="24"/>
          <w:szCs w:val="24"/>
          <w:lang w:val="en-US"/>
        </w:rPr>
        <w:t xml:space="preserve">_______________________ </w:t>
      </w:r>
    </w:p>
    <w:p w14:paraId="5DB5C41C" w14:textId="1484B56C" w:rsidR="001136D8" w:rsidRDefault="001136D8" w:rsidP="001136D8">
      <w:pPr>
        <w:pStyle w:val="BowLevel1ListAlt"/>
        <w:numPr>
          <w:ilvl w:val="0"/>
          <w:numId w:val="0"/>
        </w:numPr>
        <w:rPr>
          <w:rFonts w:ascii="Arial" w:hAnsi="Arial" w:cs="Arial"/>
          <w:b/>
          <w:bCs/>
          <w:sz w:val="24"/>
          <w:szCs w:val="24"/>
          <w:lang w:val="en-US"/>
        </w:rPr>
      </w:pPr>
      <w:r w:rsidRPr="001136D8">
        <w:rPr>
          <w:rFonts w:ascii="Arial" w:hAnsi="Arial" w:cs="Arial"/>
          <w:b/>
          <w:bCs/>
          <w:sz w:val="24"/>
          <w:szCs w:val="24"/>
          <w:lang w:val="en-US"/>
        </w:rPr>
        <w:t>TODD AJ</w:t>
      </w:r>
    </w:p>
    <w:p w14:paraId="4230B864" w14:textId="1E354057" w:rsidR="00FC3090" w:rsidRDefault="00FC3090" w:rsidP="001136D8">
      <w:pPr>
        <w:pStyle w:val="BowLevel1ListAlt"/>
        <w:numPr>
          <w:ilvl w:val="0"/>
          <w:numId w:val="0"/>
        </w:numPr>
        <w:rPr>
          <w:rFonts w:ascii="Arial" w:hAnsi="Arial" w:cs="Arial"/>
          <w:b/>
          <w:bCs/>
          <w:sz w:val="24"/>
          <w:szCs w:val="24"/>
          <w:lang w:val="en-US"/>
        </w:rPr>
      </w:pPr>
    </w:p>
    <w:p w14:paraId="7BF21D4C" w14:textId="54DDA284" w:rsidR="00C203C7" w:rsidRPr="009E131A" w:rsidRDefault="00C203C7" w:rsidP="001136D8">
      <w:pPr>
        <w:pStyle w:val="BowLevel1ListAlt"/>
        <w:numPr>
          <w:ilvl w:val="0"/>
          <w:numId w:val="0"/>
        </w:numPr>
        <w:rPr>
          <w:rFonts w:ascii="Arial" w:hAnsi="Arial" w:cs="Arial"/>
          <w:sz w:val="24"/>
          <w:szCs w:val="24"/>
          <w:lang w:val="en-US"/>
        </w:rPr>
      </w:pPr>
      <w:r w:rsidRPr="009E131A">
        <w:rPr>
          <w:rFonts w:ascii="Arial" w:hAnsi="Arial" w:cs="Arial"/>
          <w:sz w:val="24"/>
          <w:szCs w:val="24"/>
          <w:lang w:val="en-US"/>
        </w:rPr>
        <w:t>I agree</w:t>
      </w:r>
      <w:r>
        <w:rPr>
          <w:rFonts w:ascii="Arial" w:hAnsi="Arial" w:cs="Arial"/>
          <w:sz w:val="24"/>
          <w:szCs w:val="24"/>
          <w:lang w:val="en-US"/>
        </w:rPr>
        <w:t>.</w:t>
      </w:r>
    </w:p>
    <w:p w14:paraId="321301B5" w14:textId="77777777" w:rsidR="00C203C7" w:rsidRDefault="00C203C7" w:rsidP="001136D8">
      <w:pPr>
        <w:pStyle w:val="BowLevel1ListAlt"/>
        <w:numPr>
          <w:ilvl w:val="0"/>
          <w:numId w:val="0"/>
        </w:numPr>
        <w:rPr>
          <w:rFonts w:ascii="Arial" w:hAnsi="Arial" w:cs="Arial"/>
          <w:b/>
          <w:bCs/>
          <w:sz w:val="24"/>
          <w:szCs w:val="24"/>
          <w:lang w:val="en-US"/>
        </w:rPr>
      </w:pPr>
    </w:p>
    <w:p w14:paraId="264F161F" w14:textId="77777777" w:rsidR="00FC3090" w:rsidRDefault="00FC3090" w:rsidP="00FC3090">
      <w:pPr>
        <w:pStyle w:val="BowLevel1ListAlt"/>
        <w:numPr>
          <w:ilvl w:val="0"/>
          <w:numId w:val="0"/>
        </w:numPr>
        <w:rPr>
          <w:rFonts w:ascii="Arial" w:hAnsi="Arial" w:cs="Arial"/>
          <w:sz w:val="24"/>
          <w:szCs w:val="24"/>
          <w:lang w:val="en-US"/>
        </w:rPr>
      </w:pPr>
      <w:r>
        <w:rPr>
          <w:rFonts w:ascii="Arial" w:hAnsi="Arial" w:cs="Arial"/>
          <w:sz w:val="24"/>
          <w:szCs w:val="24"/>
          <w:lang w:val="en-US"/>
        </w:rPr>
        <w:t>______________________</w:t>
      </w:r>
    </w:p>
    <w:p w14:paraId="43106220" w14:textId="77B2CF8B" w:rsidR="00FC3090" w:rsidRPr="001136D8" w:rsidRDefault="00FC3090" w:rsidP="00FC3090">
      <w:pPr>
        <w:pStyle w:val="BowLevel1ListAlt"/>
        <w:numPr>
          <w:ilvl w:val="0"/>
          <w:numId w:val="0"/>
        </w:numPr>
        <w:rPr>
          <w:rFonts w:ascii="Arial" w:hAnsi="Arial" w:cs="Arial"/>
          <w:b/>
          <w:bCs/>
          <w:sz w:val="24"/>
          <w:szCs w:val="24"/>
          <w:lang w:val="en-US"/>
        </w:rPr>
      </w:pPr>
      <w:r w:rsidRPr="001136D8">
        <w:rPr>
          <w:rFonts w:ascii="Arial" w:hAnsi="Arial" w:cs="Arial"/>
          <w:b/>
          <w:bCs/>
          <w:sz w:val="24"/>
          <w:szCs w:val="24"/>
          <w:lang w:val="en-US"/>
        </w:rPr>
        <w:t>M</w:t>
      </w:r>
      <w:r>
        <w:rPr>
          <w:rFonts w:ascii="Arial" w:hAnsi="Arial" w:cs="Arial"/>
          <w:b/>
          <w:bCs/>
          <w:sz w:val="24"/>
          <w:szCs w:val="24"/>
          <w:lang w:val="en-US"/>
        </w:rPr>
        <w:t>U</w:t>
      </w:r>
      <w:r w:rsidRPr="001136D8">
        <w:rPr>
          <w:rFonts w:ascii="Arial" w:hAnsi="Arial" w:cs="Arial"/>
          <w:b/>
          <w:bCs/>
          <w:sz w:val="24"/>
          <w:szCs w:val="24"/>
          <w:lang w:val="en-US"/>
        </w:rPr>
        <w:t>DAU J</w:t>
      </w:r>
    </w:p>
    <w:p w14:paraId="4D969E98" w14:textId="4D6BEF91" w:rsidR="00FC3090" w:rsidRDefault="00FC3090" w:rsidP="001136D8">
      <w:pPr>
        <w:pStyle w:val="BowLevel1ListAlt"/>
        <w:numPr>
          <w:ilvl w:val="0"/>
          <w:numId w:val="0"/>
        </w:numPr>
        <w:rPr>
          <w:rFonts w:ascii="Arial" w:hAnsi="Arial" w:cs="Arial"/>
          <w:b/>
          <w:bCs/>
          <w:sz w:val="24"/>
          <w:szCs w:val="24"/>
          <w:lang w:val="en-US"/>
        </w:rPr>
      </w:pPr>
    </w:p>
    <w:p w14:paraId="640D96C9" w14:textId="77777777" w:rsidR="00810BD3" w:rsidRPr="00A870A1" w:rsidRDefault="00810BD3" w:rsidP="00810BD3">
      <w:pPr>
        <w:pStyle w:val="BowLevel1ListAlt"/>
        <w:numPr>
          <w:ilvl w:val="0"/>
          <w:numId w:val="0"/>
        </w:numPr>
        <w:ind w:left="567" w:hanging="567"/>
        <w:rPr>
          <w:rFonts w:ascii="Arial" w:hAnsi="Arial" w:cs="Arial"/>
          <w:b/>
          <w:sz w:val="24"/>
          <w:szCs w:val="24"/>
        </w:rPr>
      </w:pPr>
      <w:r w:rsidRPr="00A870A1">
        <w:rPr>
          <w:rFonts w:ascii="Arial" w:hAnsi="Arial" w:cs="Arial"/>
          <w:b/>
          <w:sz w:val="24"/>
          <w:szCs w:val="24"/>
        </w:rPr>
        <w:lastRenderedPageBreak/>
        <w:t>REFERENCES</w:t>
      </w:r>
    </w:p>
    <w:p w14:paraId="785E89D0" w14:textId="6DF4AF8D" w:rsidR="00810BD3" w:rsidRDefault="00810BD3" w:rsidP="00810BD3">
      <w:pPr>
        <w:pStyle w:val="BowLevel1ListAlt"/>
        <w:numPr>
          <w:ilvl w:val="0"/>
          <w:numId w:val="0"/>
        </w:numPr>
        <w:ind w:left="567" w:hanging="567"/>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A7D91">
        <w:rPr>
          <w:rFonts w:ascii="Arial" w:hAnsi="Arial" w:cs="Arial"/>
          <w:sz w:val="24"/>
          <w:szCs w:val="24"/>
        </w:rPr>
        <w:t>Mr Modiba</w:t>
      </w:r>
    </w:p>
    <w:p w14:paraId="5DD9E6DF" w14:textId="784BF15D" w:rsidR="00810BD3" w:rsidRDefault="00810BD3" w:rsidP="00810BD3">
      <w:pPr>
        <w:pStyle w:val="BowLevel1ListAlt"/>
        <w:numPr>
          <w:ilvl w:val="0"/>
          <w:numId w:val="0"/>
        </w:numPr>
        <w:ind w:left="567" w:hanging="567"/>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A7D91">
        <w:rPr>
          <w:rFonts w:ascii="Arial" w:hAnsi="Arial" w:cs="Arial"/>
          <w:sz w:val="24"/>
          <w:szCs w:val="24"/>
        </w:rPr>
        <w:t>Sami Modiba Attorneys</w:t>
      </w:r>
    </w:p>
    <w:p w14:paraId="06A39112" w14:textId="77777777" w:rsidR="00810BD3" w:rsidRDefault="00810BD3" w:rsidP="00810BD3">
      <w:pPr>
        <w:pStyle w:val="BowLevel1ListAlt"/>
        <w:numPr>
          <w:ilvl w:val="0"/>
          <w:numId w:val="0"/>
        </w:numPr>
        <w:ind w:left="567" w:hanging="567"/>
        <w:rPr>
          <w:rFonts w:ascii="Arial" w:hAnsi="Arial" w:cs="Arial"/>
          <w:sz w:val="24"/>
          <w:szCs w:val="24"/>
        </w:rPr>
      </w:pPr>
    </w:p>
    <w:p w14:paraId="4C011E8E" w14:textId="098ECCDE" w:rsidR="00810BD3" w:rsidRDefault="00810BD3" w:rsidP="00810BD3">
      <w:pPr>
        <w:pStyle w:val="BowLevel1ListAlt"/>
        <w:numPr>
          <w:ilvl w:val="0"/>
          <w:numId w:val="0"/>
        </w:numPr>
        <w:ind w:left="567" w:hanging="567"/>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A7D91">
        <w:rPr>
          <w:rFonts w:ascii="Arial" w:hAnsi="Arial" w:cs="Arial"/>
          <w:sz w:val="24"/>
          <w:szCs w:val="24"/>
        </w:rPr>
        <w:t>Mr Netshipise</w:t>
      </w:r>
    </w:p>
    <w:p w14:paraId="61FDFE35" w14:textId="79B91A3F" w:rsidR="00810BD3" w:rsidRDefault="00810BD3" w:rsidP="00810BD3">
      <w:pPr>
        <w:pStyle w:val="BowLevel1ListAlt"/>
        <w:numPr>
          <w:ilvl w:val="0"/>
          <w:numId w:val="0"/>
        </w:numPr>
        <w:ind w:left="567" w:hanging="567"/>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A7D91">
        <w:rPr>
          <w:rFonts w:ascii="Arial" w:hAnsi="Arial" w:cs="Arial"/>
          <w:sz w:val="24"/>
          <w:szCs w:val="24"/>
        </w:rPr>
        <w:t>Mudau &amp; Netshipise Attorneys</w:t>
      </w:r>
    </w:p>
    <w:p w14:paraId="5B1CFFCA" w14:textId="77777777" w:rsidR="00810BD3" w:rsidRDefault="00810BD3" w:rsidP="00810BD3">
      <w:pPr>
        <w:pStyle w:val="BowLevel1ListAlt"/>
        <w:numPr>
          <w:ilvl w:val="0"/>
          <w:numId w:val="0"/>
        </w:numPr>
        <w:ind w:left="567" w:hanging="567"/>
        <w:rPr>
          <w:rFonts w:ascii="Arial" w:hAnsi="Arial" w:cs="Arial"/>
          <w:sz w:val="24"/>
          <w:szCs w:val="24"/>
        </w:rPr>
      </w:pPr>
    </w:p>
    <w:p w14:paraId="028DBF4E" w14:textId="36968209" w:rsidR="00810BD3" w:rsidRDefault="00810BD3" w:rsidP="00810BD3">
      <w:pPr>
        <w:pStyle w:val="BowLevel1ListAlt"/>
        <w:numPr>
          <w:ilvl w:val="0"/>
          <w:numId w:val="0"/>
        </w:numPr>
        <w:ind w:left="567" w:hanging="567"/>
        <w:rPr>
          <w:rFonts w:ascii="Arial" w:hAnsi="Arial" w:cs="Arial"/>
          <w:sz w:val="24"/>
          <w:szCs w:val="24"/>
        </w:rPr>
      </w:pPr>
      <w:r>
        <w:rPr>
          <w:rFonts w:ascii="Arial" w:hAnsi="Arial" w:cs="Arial"/>
          <w:sz w:val="24"/>
          <w:szCs w:val="24"/>
        </w:rPr>
        <w:t>Judgment reserved: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695811">
        <w:rPr>
          <w:rFonts w:ascii="Arial" w:hAnsi="Arial" w:cs="Arial"/>
          <w:sz w:val="24"/>
          <w:szCs w:val="24"/>
        </w:rPr>
        <w:t>1</w:t>
      </w:r>
      <w:r>
        <w:rPr>
          <w:rFonts w:ascii="Arial" w:hAnsi="Arial" w:cs="Arial"/>
          <w:sz w:val="24"/>
          <w:szCs w:val="24"/>
        </w:rPr>
        <w:t xml:space="preserve"> August</w:t>
      </w:r>
      <w:r w:rsidRPr="00952772">
        <w:rPr>
          <w:rFonts w:ascii="Arial" w:hAnsi="Arial" w:cs="Arial"/>
          <w:sz w:val="24"/>
          <w:szCs w:val="24"/>
        </w:rPr>
        <w:t xml:space="preserve"> 2022</w:t>
      </w:r>
    </w:p>
    <w:p w14:paraId="3A0ACB1C" w14:textId="6A5C9F73" w:rsidR="00810BD3" w:rsidRPr="009D2514" w:rsidRDefault="00810BD3" w:rsidP="00810BD3">
      <w:pPr>
        <w:pStyle w:val="BowLevel1ListAlt"/>
        <w:numPr>
          <w:ilvl w:val="0"/>
          <w:numId w:val="0"/>
        </w:numPr>
        <w:ind w:left="567" w:hanging="567"/>
        <w:rPr>
          <w:rFonts w:ascii="Arial" w:hAnsi="Arial" w:cs="Arial"/>
          <w:sz w:val="24"/>
          <w:szCs w:val="24"/>
        </w:rPr>
      </w:pPr>
      <w:r>
        <w:rPr>
          <w:rFonts w:ascii="Arial" w:hAnsi="Arial" w:cs="Arial"/>
          <w:sz w:val="24"/>
          <w:szCs w:val="24"/>
        </w:rPr>
        <w:t>Judgment delivered: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F0BAE">
        <w:rPr>
          <w:rFonts w:ascii="Arial" w:hAnsi="Arial" w:cs="Arial"/>
          <w:sz w:val="24"/>
          <w:szCs w:val="24"/>
        </w:rPr>
        <w:t>6 September 2022</w:t>
      </w:r>
    </w:p>
    <w:p w14:paraId="40D26F88" w14:textId="77777777" w:rsidR="00810BD3" w:rsidRPr="001136D8" w:rsidRDefault="00810BD3" w:rsidP="001136D8">
      <w:pPr>
        <w:pStyle w:val="BowLevel1ListAlt"/>
        <w:numPr>
          <w:ilvl w:val="0"/>
          <w:numId w:val="0"/>
        </w:numPr>
        <w:rPr>
          <w:rFonts w:ascii="Arial" w:hAnsi="Arial" w:cs="Arial"/>
          <w:b/>
          <w:bCs/>
          <w:sz w:val="24"/>
          <w:szCs w:val="24"/>
          <w:lang w:val="en-US"/>
        </w:rPr>
      </w:pPr>
    </w:p>
    <w:sectPr w:rsidR="00810BD3" w:rsidRPr="001136D8" w:rsidSect="00D9014F">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680" w:footer="680"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5544A" w14:textId="77777777" w:rsidR="00741859" w:rsidRDefault="00741859">
      <w:pPr>
        <w:spacing w:after="0" w:line="240" w:lineRule="auto"/>
      </w:pPr>
      <w:r>
        <w:separator/>
      </w:r>
    </w:p>
  </w:endnote>
  <w:endnote w:type="continuationSeparator" w:id="0">
    <w:p w14:paraId="2E2F8571" w14:textId="77777777" w:rsidR="00741859" w:rsidRDefault="0074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B5177" w14:textId="77777777" w:rsidR="00A85D6B" w:rsidRDefault="00A85D6B">
    <w:pPr>
      <w:pStyle w:val="Footer"/>
    </w:pPr>
  </w:p>
  <w:p w14:paraId="4DE101C5" w14:textId="77777777" w:rsidR="000B7F03" w:rsidRDefault="000B7F03"/>
  <w:p w14:paraId="4C0DBD9B" w14:textId="77777777" w:rsidR="00F40686" w:rsidRDefault="00F406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E0C8" w14:textId="4D903374" w:rsidR="00B8718D" w:rsidRPr="00B8718D" w:rsidRDefault="00741859" w:rsidP="00B8718D">
    <w:pPr>
      <w:pStyle w:val="Footer"/>
      <w:tabs>
        <w:tab w:val="clear" w:pos="4513"/>
        <w:tab w:val="clear" w:pos="9026"/>
      </w:tabs>
      <w:jc w:val="center"/>
    </w:pPr>
    <w:sdt>
      <w:sdtPr>
        <w:id w:val="-363593569"/>
        <w:docPartObj>
          <w:docPartGallery w:val="Page Numbers (Bottom of Page)"/>
          <w:docPartUnique/>
        </w:docPartObj>
      </w:sdtPr>
      <w:sdtEndPr/>
      <w:sdtContent>
        <w:r w:rsidR="00B8718D" w:rsidRPr="00B8718D">
          <w:fldChar w:fldCharType="begin"/>
        </w:r>
        <w:r w:rsidR="00B8718D" w:rsidRPr="00B8718D">
          <w:instrText xml:space="preserve"> PAGE  \* ArabicDash  \* MERGEFORMAT </w:instrText>
        </w:r>
        <w:r w:rsidR="00B8718D" w:rsidRPr="00B8718D">
          <w:fldChar w:fldCharType="separate"/>
        </w:r>
        <w:r w:rsidR="00BF5AB4">
          <w:rPr>
            <w:noProof/>
          </w:rPr>
          <w:t>- 11 -</w:t>
        </w:r>
        <w:r w:rsidR="00B8718D" w:rsidRPr="00B8718D">
          <w:fldChar w:fldCharType="end"/>
        </w:r>
      </w:sdtContent>
    </w:sdt>
  </w:p>
  <w:p w14:paraId="6C202CE0" w14:textId="612F684F" w:rsidR="000B7F03" w:rsidRDefault="00B8718D" w:rsidP="00FC23BF">
    <w:pPr>
      <w:pStyle w:val="Footer"/>
      <w:tabs>
        <w:tab w:val="clear" w:pos="4513"/>
        <w:tab w:val="clear" w:pos="9026"/>
      </w:tabs>
    </w:pPr>
    <w:r w:rsidRPr="00B8718D">
      <w:rPr>
        <w:sz w:val="12"/>
      </w:rPr>
      <w:fldChar w:fldCharType="begin"/>
    </w:r>
    <w:r w:rsidRPr="00B8718D">
      <w:rPr>
        <w:sz w:val="12"/>
      </w:rPr>
      <w:instrText xml:space="preserve"> FILENAME  \* Caps  \* MERGEFORMAT </w:instrText>
    </w:r>
    <w:r w:rsidRPr="00B8718D">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8AECC" w14:textId="77777777" w:rsidR="00EF1EDF" w:rsidRDefault="00EF1EDF" w:rsidP="006561BA">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E84D0" w14:textId="77777777" w:rsidR="00741859" w:rsidRDefault="00741859">
      <w:pPr>
        <w:spacing w:after="0" w:line="240" w:lineRule="auto"/>
      </w:pPr>
      <w:r>
        <w:separator/>
      </w:r>
    </w:p>
  </w:footnote>
  <w:footnote w:type="continuationSeparator" w:id="0">
    <w:p w14:paraId="1701F668" w14:textId="77777777" w:rsidR="00741859" w:rsidRDefault="00741859">
      <w:pPr>
        <w:spacing w:after="0" w:line="240" w:lineRule="auto"/>
      </w:pPr>
      <w:r>
        <w:continuationSeparator/>
      </w:r>
    </w:p>
  </w:footnote>
  <w:footnote w:id="1">
    <w:p w14:paraId="50428DB6" w14:textId="5B21D509" w:rsidR="000A4D83" w:rsidRPr="009E131A" w:rsidRDefault="000A4D83">
      <w:pPr>
        <w:pStyle w:val="FootnoteText"/>
        <w:rPr>
          <w:rFonts w:ascii="Arial" w:hAnsi="Arial" w:cs="Arial"/>
          <w:sz w:val="20"/>
          <w:lang w:val="en-US"/>
        </w:rPr>
      </w:pPr>
      <w:r w:rsidRPr="009E131A">
        <w:rPr>
          <w:rStyle w:val="FootnoteReference"/>
          <w:rFonts w:ascii="Arial" w:hAnsi="Arial" w:cs="Arial"/>
          <w:sz w:val="20"/>
        </w:rPr>
        <w:footnoteRef/>
      </w:r>
      <w:r w:rsidRPr="009E131A">
        <w:rPr>
          <w:rFonts w:ascii="Arial" w:hAnsi="Arial" w:cs="Arial"/>
          <w:sz w:val="20"/>
        </w:rPr>
        <w:t xml:space="preserve"> </w:t>
      </w:r>
      <w:r w:rsidR="00646A0F" w:rsidRPr="009E131A">
        <w:rPr>
          <w:rFonts w:ascii="Arial" w:hAnsi="Arial" w:cs="Arial"/>
          <w:sz w:val="20"/>
          <w:lang w:val="en-US"/>
        </w:rPr>
        <w:t>2009 (4) SA 399 (SCA) at para [39]</w:t>
      </w:r>
    </w:p>
  </w:footnote>
  <w:footnote w:id="2">
    <w:p w14:paraId="0B7006D3" w14:textId="69754C3D" w:rsidR="000A4D83" w:rsidRPr="009E131A" w:rsidRDefault="000A4D83">
      <w:pPr>
        <w:pStyle w:val="FootnoteText"/>
        <w:rPr>
          <w:rFonts w:ascii="Arial" w:hAnsi="Arial" w:cs="Arial"/>
          <w:sz w:val="20"/>
          <w:lang w:val="en-US"/>
        </w:rPr>
      </w:pPr>
      <w:r w:rsidRPr="009E131A">
        <w:rPr>
          <w:rStyle w:val="FootnoteReference"/>
          <w:rFonts w:ascii="Arial" w:hAnsi="Arial" w:cs="Arial"/>
          <w:sz w:val="20"/>
        </w:rPr>
        <w:footnoteRef/>
      </w:r>
      <w:r w:rsidRPr="009E131A">
        <w:rPr>
          <w:rFonts w:ascii="Arial" w:hAnsi="Arial" w:cs="Arial"/>
          <w:sz w:val="20"/>
        </w:rPr>
        <w:t xml:space="preserve"> </w:t>
      </w:r>
      <w:r w:rsidR="00646A0F" w:rsidRPr="009E131A">
        <w:rPr>
          <w:rFonts w:ascii="Arial" w:hAnsi="Arial" w:cs="Arial"/>
          <w:sz w:val="20"/>
        </w:rPr>
        <w:t>2016 (1) SA 518 (SCA) at paras [</w:t>
      </w:r>
      <w:r w:rsidR="008D6ABE" w:rsidRPr="009E131A">
        <w:rPr>
          <w:rFonts w:ascii="Arial" w:hAnsi="Arial" w:cs="Arial"/>
          <w:sz w:val="20"/>
        </w:rPr>
        <w:t>27], [28], [30] and [35]</w:t>
      </w:r>
    </w:p>
  </w:footnote>
  <w:footnote w:id="3">
    <w:p w14:paraId="7493F2E5" w14:textId="32EFC4D3" w:rsidR="00071F88" w:rsidRPr="009E131A" w:rsidRDefault="00071F88">
      <w:pPr>
        <w:pStyle w:val="FootnoteText"/>
        <w:rPr>
          <w:rFonts w:ascii="Arial" w:hAnsi="Arial" w:cs="Arial"/>
          <w:sz w:val="20"/>
          <w:lang w:val="en-US"/>
        </w:rPr>
      </w:pPr>
      <w:r w:rsidRPr="009E131A">
        <w:rPr>
          <w:rStyle w:val="FootnoteReference"/>
          <w:rFonts w:ascii="Arial" w:hAnsi="Arial" w:cs="Arial"/>
          <w:sz w:val="20"/>
        </w:rPr>
        <w:footnoteRef/>
      </w:r>
      <w:r w:rsidRPr="009E131A">
        <w:rPr>
          <w:rFonts w:ascii="Arial" w:hAnsi="Arial" w:cs="Arial"/>
          <w:sz w:val="20"/>
        </w:rPr>
        <w:t xml:space="preserve"> </w:t>
      </w:r>
      <w:r w:rsidRPr="009E131A">
        <w:rPr>
          <w:rFonts w:ascii="Arial" w:hAnsi="Arial" w:cs="Arial"/>
          <w:sz w:val="20"/>
          <w:lang w:val="en-US"/>
        </w:rPr>
        <w:t xml:space="preserve">Referring to </w:t>
      </w:r>
      <w:r w:rsidRPr="009E131A">
        <w:rPr>
          <w:rFonts w:ascii="Arial" w:hAnsi="Arial" w:cs="Arial"/>
          <w:i/>
          <w:iCs/>
          <w:sz w:val="20"/>
          <w:lang w:val="en-US"/>
        </w:rPr>
        <w:t xml:space="preserve">V v V </w:t>
      </w:r>
      <w:r w:rsidR="00170FFC" w:rsidRPr="009E131A">
        <w:rPr>
          <w:rFonts w:ascii="Arial" w:hAnsi="Arial" w:cs="Arial"/>
          <w:i/>
          <w:iCs/>
          <w:sz w:val="20"/>
          <w:lang w:val="en-US"/>
        </w:rPr>
        <w:t>[2016] ZAGPJHC 311</w:t>
      </w:r>
      <w:r w:rsidR="00170FFC" w:rsidRPr="009E131A">
        <w:rPr>
          <w:rFonts w:ascii="Arial" w:hAnsi="Arial" w:cs="Arial"/>
          <w:sz w:val="20"/>
          <w:lang w:val="en-US"/>
        </w:rPr>
        <w:t xml:space="preserve"> at para [12]</w:t>
      </w:r>
    </w:p>
  </w:footnote>
  <w:footnote w:id="4">
    <w:p w14:paraId="3A78E75E" w14:textId="4DE5F8E2" w:rsidR="00742120" w:rsidRPr="009E131A" w:rsidRDefault="00742120" w:rsidP="009E131A">
      <w:pPr>
        <w:pStyle w:val="BowLevel1ListAlt"/>
        <w:numPr>
          <w:ilvl w:val="0"/>
          <w:numId w:val="0"/>
        </w:numPr>
        <w:ind w:left="567" w:hanging="567"/>
        <w:rPr>
          <w:rFonts w:ascii="Arial" w:hAnsi="Arial" w:cs="Arial"/>
          <w:sz w:val="20"/>
          <w:szCs w:val="20"/>
          <w:lang w:val="en-US"/>
        </w:rPr>
      </w:pPr>
      <w:r w:rsidRPr="009E131A">
        <w:rPr>
          <w:rStyle w:val="FootnoteReference"/>
          <w:rFonts w:ascii="Arial" w:hAnsi="Arial" w:cs="Arial"/>
          <w:sz w:val="20"/>
        </w:rPr>
        <w:footnoteRef/>
      </w:r>
      <w:r w:rsidRPr="009E131A">
        <w:rPr>
          <w:rFonts w:ascii="Arial" w:hAnsi="Arial" w:cs="Arial"/>
          <w:sz w:val="20"/>
          <w:szCs w:val="20"/>
        </w:rPr>
        <w:t xml:space="preserve"> </w:t>
      </w:r>
      <w:hyperlink r:id="rId1" w:tooltip="View LawCiteRecord" w:history="1">
        <w:r w:rsidRPr="00EA4351">
          <w:rPr>
            <w:rFonts w:ascii="Arial" w:hAnsi="Arial" w:cs="Arial"/>
            <w:sz w:val="20"/>
            <w:szCs w:val="20"/>
            <w:shd w:val="clear" w:color="auto" w:fill="FFFFFF"/>
          </w:rPr>
          <w:t>2012 (4) SA 593</w:t>
        </w:r>
      </w:hyperlink>
      <w:r w:rsidRPr="00EA4351">
        <w:rPr>
          <w:rFonts w:ascii="Arial" w:hAnsi="Arial" w:cs="Arial"/>
          <w:sz w:val="20"/>
          <w:szCs w:val="20"/>
          <w:shd w:val="clear" w:color="auto" w:fill="FFFFFF"/>
        </w:rPr>
        <w:t> (</w:t>
      </w:r>
      <w:r w:rsidRPr="009E131A">
        <w:rPr>
          <w:rFonts w:ascii="Arial" w:hAnsi="Arial" w:cs="Arial"/>
          <w:color w:val="242121"/>
          <w:sz w:val="20"/>
          <w:szCs w:val="20"/>
          <w:shd w:val="clear" w:color="auto" w:fill="FFFFFF"/>
        </w:rPr>
        <w:t>SCA) at para [18]</w:t>
      </w:r>
    </w:p>
  </w:footnote>
  <w:footnote w:id="5">
    <w:p w14:paraId="698FD703" w14:textId="2F6BB692" w:rsidR="00215C31" w:rsidRPr="009E131A" w:rsidRDefault="00215C31" w:rsidP="00810BD3">
      <w:pPr>
        <w:pStyle w:val="Heading2"/>
        <w:shd w:val="clear" w:color="auto" w:fill="FFFFFF"/>
        <w:spacing w:before="240" w:after="180" w:line="288" w:lineRule="atLeast"/>
        <w:rPr>
          <w:rFonts w:ascii="Arial" w:hAnsi="Arial" w:cs="Arial"/>
          <w:sz w:val="20"/>
          <w:lang w:val="en-US"/>
        </w:rPr>
      </w:pPr>
      <w:r w:rsidRPr="00821AF2">
        <w:rPr>
          <w:rStyle w:val="FootnoteReference"/>
          <w:rFonts w:ascii="Arial" w:hAnsi="Arial" w:cs="Arial"/>
          <w:color w:val="auto"/>
          <w:sz w:val="20"/>
        </w:rPr>
        <w:footnoteRef/>
      </w:r>
      <w:r w:rsidRPr="00821AF2">
        <w:rPr>
          <w:rFonts w:ascii="Arial" w:hAnsi="Arial" w:cs="Arial"/>
          <w:color w:val="auto"/>
          <w:sz w:val="20"/>
          <w:szCs w:val="20"/>
        </w:rPr>
        <w:t xml:space="preserve"> </w:t>
      </w:r>
      <w:r w:rsidR="00A97203" w:rsidRPr="00821AF2">
        <w:rPr>
          <w:rFonts w:ascii="Arial" w:eastAsia="Times New Roman" w:hAnsi="Arial" w:cs="Arial"/>
          <w:b w:val="0"/>
          <w:bCs w:val="0"/>
          <w:i/>
          <w:iCs/>
          <w:color w:val="auto"/>
          <w:sz w:val="20"/>
          <w:szCs w:val="20"/>
          <w:lang w:eastAsia="en-ZA"/>
        </w:rPr>
        <w:t>Bernert v ABSA Bank Ltd</w:t>
      </w:r>
      <w:r w:rsidR="00A97203" w:rsidRPr="00821AF2">
        <w:rPr>
          <w:rFonts w:ascii="Arial" w:eastAsia="Times New Roman" w:hAnsi="Arial" w:cs="Arial"/>
          <w:b w:val="0"/>
          <w:bCs w:val="0"/>
          <w:color w:val="auto"/>
          <w:sz w:val="20"/>
          <w:szCs w:val="20"/>
          <w:lang w:eastAsia="en-ZA"/>
        </w:rPr>
        <w:t xml:space="preserve"> 2011 (3) SA 92 (CC)</w:t>
      </w:r>
      <w:r w:rsidR="00A97203" w:rsidRPr="00821AF2">
        <w:rPr>
          <w:rFonts w:ascii="Arial" w:eastAsia="Times New Roman" w:hAnsi="Arial" w:cs="Arial"/>
          <w:b w:val="0"/>
          <w:bCs w:val="0"/>
          <w:color w:val="auto"/>
          <w:sz w:val="20"/>
          <w:szCs w:val="20"/>
          <w:lang w:val="en-US"/>
        </w:rPr>
        <w:t> at [106</w:t>
      </w:r>
      <w:r w:rsidR="00A97203">
        <w:rPr>
          <w:rFonts w:ascii="Arial" w:eastAsia="Times New Roman" w:hAnsi="Arial" w:cs="Arial"/>
          <w:b w:val="0"/>
          <w:bCs w:val="0"/>
          <w:color w:val="auto"/>
          <w:sz w:val="20"/>
          <w:szCs w:val="20"/>
          <w:lang w:val="en-US"/>
        </w:rPr>
        <w:t>]</w:t>
      </w:r>
    </w:p>
  </w:footnote>
  <w:footnote w:id="6">
    <w:p w14:paraId="4BCDED01" w14:textId="046D09E4" w:rsidR="006C14DE" w:rsidRPr="009E131A" w:rsidRDefault="006C14DE">
      <w:pPr>
        <w:pStyle w:val="FootnoteText"/>
        <w:rPr>
          <w:rFonts w:ascii="Arial" w:hAnsi="Arial" w:cs="Arial"/>
          <w:sz w:val="20"/>
          <w:lang w:val="en-US"/>
        </w:rPr>
      </w:pPr>
      <w:r w:rsidRPr="009E131A">
        <w:rPr>
          <w:rStyle w:val="FootnoteReference"/>
          <w:rFonts w:ascii="Arial" w:hAnsi="Arial" w:cs="Arial"/>
          <w:sz w:val="20"/>
        </w:rPr>
        <w:footnoteRef/>
      </w:r>
      <w:r w:rsidRPr="009E131A">
        <w:rPr>
          <w:rFonts w:ascii="Arial" w:hAnsi="Arial" w:cs="Arial"/>
          <w:sz w:val="20"/>
        </w:rPr>
        <w:t xml:space="preserve"> </w:t>
      </w:r>
      <w:r w:rsidRPr="009E131A">
        <w:rPr>
          <w:rFonts w:ascii="Arial" w:hAnsi="Arial" w:cs="Arial"/>
          <w:sz w:val="20"/>
          <w:lang w:val="en-US"/>
        </w:rPr>
        <w:t xml:space="preserve">2000 (4) SA 191 (W) at </w:t>
      </w:r>
      <w:r w:rsidR="000D236A" w:rsidRPr="009E131A">
        <w:rPr>
          <w:rFonts w:ascii="Arial" w:hAnsi="Arial" w:cs="Arial"/>
          <w:sz w:val="20"/>
          <w:lang w:val="en-US"/>
        </w:rPr>
        <w:t>198D-E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9BD5" w14:textId="77777777" w:rsidR="00A85D6B" w:rsidRDefault="00A85D6B"/>
  <w:p w14:paraId="6CB339AE" w14:textId="77777777" w:rsidR="000B7F03" w:rsidRDefault="000B7F03"/>
  <w:p w14:paraId="32B8B95B" w14:textId="77777777" w:rsidR="00F40686" w:rsidRDefault="00F406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C5D2" w14:textId="77777777" w:rsidR="007373FB" w:rsidRDefault="007373FB">
    <w:pPr>
      <w:pStyle w:val="Header"/>
    </w:pPr>
  </w:p>
  <w:p w14:paraId="1D5BD0D9" w14:textId="77777777" w:rsidR="00F40686" w:rsidRDefault="00F406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EFDD" w14:textId="77777777" w:rsidR="00384E22" w:rsidRDefault="00384E22" w:rsidP="00384E22">
    <w:pPr>
      <w:pStyle w:val="Header"/>
      <w:jc w:val="left"/>
    </w:pPr>
  </w:p>
  <w:p w14:paraId="3595D0BF" w14:textId="77777777" w:rsidR="00F40686" w:rsidRDefault="00F406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19" w15:restartNumberingAfterBreak="0">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B26A22"/>
    <w:multiLevelType w:val="multilevel"/>
    <w:tmpl w:val="D79AC8BA"/>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0" w15:restartNumberingAfterBreak="0">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1" w15:restartNumberingAfterBreak="0">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47" w15:restartNumberingAfterBreak="0">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48" w15:restartNumberingAfterBreak="0">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6"/>
  </w:num>
  <w:num w:numId="2">
    <w:abstractNumId w:val="10"/>
  </w:num>
  <w:num w:numId="3">
    <w:abstractNumId w:val="5"/>
  </w:num>
  <w:num w:numId="4">
    <w:abstractNumId w:val="21"/>
  </w:num>
  <w:num w:numId="5">
    <w:abstractNumId w:val="2"/>
  </w:num>
  <w:num w:numId="6">
    <w:abstractNumId w:val="1"/>
  </w:num>
  <w:num w:numId="7">
    <w:abstractNumId w:val="18"/>
  </w:num>
  <w:num w:numId="8">
    <w:abstractNumId w:val="12"/>
  </w:num>
  <w:num w:numId="9">
    <w:abstractNumId w:val="32"/>
  </w:num>
  <w:num w:numId="10">
    <w:abstractNumId w:val="31"/>
  </w:num>
  <w:num w:numId="11">
    <w:abstractNumId w:val="43"/>
  </w:num>
  <w:num w:numId="12">
    <w:abstractNumId w:val="45"/>
  </w:num>
  <w:num w:numId="13">
    <w:abstractNumId w:val="3"/>
  </w:num>
  <w:num w:numId="14">
    <w:abstractNumId w:val="22"/>
  </w:num>
  <w:num w:numId="15">
    <w:abstractNumId w:val="14"/>
  </w:num>
  <w:num w:numId="16">
    <w:abstractNumId w:val="6"/>
  </w:num>
  <w:num w:numId="17">
    <w:abstractNumId w:val="4"/>
  </w:num>
  <w:num w:numId="18">
    <w:abstractNumId w:val="23"/>
  </w:num>
  <w:num w:numId="19">
    <w:abstractNumId w:val="41"/>
  </w:num>
  <w:num w:numId="20">
    <w:abstractNumId w:val="24"/>
  </w:num>
  <w:num w:numId="21">
    <w:abstractNumId w:val="29"/>
  </w:num>
  <w:num w:numId="22">
    <w:abstractNumId w:val="33"/>
  </w:num>
  <w:num w:numId="23">
    <w:abstractNumId w:val="20"/>
  </w:num>
  <w:num w:numId="24">
    <w:abstractNumId w:val="8"/>
  </w:num>
  <w:num w:numId="25">
    <w:abstractNumId w:val="34"/>
  </w:num>
  <w:num w:numId="26">
    <w:abstractNumId w:val="42"/>
  </w:num>
  <w:num w:numId="27">
    <w:abstractNumId w:val="49"/>
  </w:num>
  <w:num w:numId="28">
    <w:abstractNumId w:val="7"/>
  </w:num>
  <w:num w:numId="29">
    <w:abstractNumId w:val="19"/>
  </w:num>
  <w:num w:numId="30">
    <w:abstractNumId w:val="25"/>
  </w:num>
  <w:num w:numId="31">
    <w:abstractNumId w:val="35"/>
  </w:num>
  <w:num w:numId="32">
    <w:abstractNumId w:val="9"/>
  </w:num>
  <w:num w:numId="33">
    <w:abstractNumId w:val="36"/>
  </w:num>
  <w:num w:numId="34">
    <w:abstractNumId w:val="44"/>
  </w:num>
  <w:num w:numId="35">
    <w:abstractNumId w:val="30"/>
  </w:num>
  <w:num w:numId="36">
    <w:abstractNumId w:val="17"/>
  </w:num>
  <w:num w:numId="37">
    <w:abstractNumId w:val="38"/>
  </w:num>
  <w:num w:numId="38">
    <w:abstractNumId w:val="48"/>
  </w:num>
  <w:num w:numId="39">
    <w:abstractNumId w:val="37"/>
  </w:num>
  <w:num w:numId="40">
    <w:abstractNumId w:val="27"/>
  </w:num>
  <w:num w:numId="41">
    <w:abstractNumId w:val="40"/>
  </w:num>
  <w:num w:numId="42">
    <w:abstractNumId w:val="11"/>
  </w:num>
  <w:num w:numId="43">
    <w:abstractNumId w:val="15"/>
  </w:num>
  <w:num w:numId="44">
    <w:abstractNumId w:val="13"/>
  </w:num>
  <w:num w:numId="45">
    <w:abstractNumId w:val="47"/>
  </w:num>
  <w:num w:numId="46">
    <w:abstractNumId w:val="0"/>
  </w:num>
  <w:num w:numId="47">
    <w:abstractNumId w:val="28"/>
  </w:num>
  <w:num w:numId="48">
    <w:abstractNumId w:val="39"/>
  </w:num>
  <w:num w:numId="49">
    <w:abstractNumId w:val="16"/>
  </w:num>
  <w:num w:numId="50">
    <w:abstractNumId w:val="28"/>
  </w:num>
  <w:num w:numId="51">
    <w:abstractNumId w:val="28"/>
  </w:num>
  <w:num w:numId="52">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B71F31"/>
    <w:rsid w:val="000044FE"/>
    <w:rsid w:val="00014825"/>
    <w:rsid w:val="000164AB"/>
    <w:rsid w:val="0002034F"/>
    <w:rsid w:val="000260A7"/>
    <w:rsid w:val="00034762"/>
    <w:rsid w:val="00034FF4"/>
    <w:rsid w:val="00045D47"/>
    <w:rsid w:val="00063199"/>
    <w:rsid w:val="0007023D"/>
    <w:rsid w:val="00071307"/>
    <w:rsid w:val="00071F88"/>
    <w:rsid w:val="000732EF"/>
    <w:rsid w:val="000733C8"/>
    <w:rsid w:val="000747B2"/>
    <w:rsid w:val="00082266"/>
    <w:rsid w:val="0009296D"/>
    <w:rsid w:val="00093F2D"/>
    <w:rsid w:val="000A2E93"/>
    <w:rsid w:val="000A4D83"/>
    <w:rsid w:val="000B00B9"/>
    <w:rsid w:val="000B3C45"/>
    <w:rsid w:val="000B7F03"/>
    <w:rsid w:val="000C4AF9"/>
    <w:rsid w:val="000C6DC0"/>
    <w:rsid w:val="000C7D51"/>
    <w:rsid w:val="000D236A"/>
    <w:rsid w:val="000D36DB"/>
    <w:rsid w:val="000D4460"/>
    <w:rsid w:val="000E28EF"/>
    <w:rsid w:val="000E6988"/>
    <w:rsid w:val="000E7CE6"/>
    <w:rsid w:val="000F1ED4"/>
    <w:rsid w:val="000F2251"/>
    <w:rsid w:val="000F2FD9"/>
    <w:rsid w:val="000F4535"/>
    <w:rsid w:val="000F4812"/>
    <w:rsid w:val="000F5634"/>
    <w:rsid w:val="00106EF4"/>
    <w:rsid w:val="001074CD"/>
    <w:rsid w:val="0011130F"/>
    <w:rsid w:val="001136D8"/>
    <w:rsid w:val="00115024"/>
    <w:rsid w:val="00115C15"/>
    <w:rsid w:val="0011777D"/>
    <w:rsid w:val="001177E5"/>
    <w:rsid w:val="001201E5"/>
    <w:rsid w:val="0012289C"/>
    <w:rsid w:val="00126263"/>
    <w:rsid w:val="001350D7"/>
    <w:rsid w:val="0013627B"/>
    <w:rsid w:val="001432BC"/>
    <w:rsid w:val="0014349F"/>
    <w:rsid w:val="00153429"/>
    <w:rsid w:val="00156532"/>
    <w:rsid w:val="00161A8F"/>
    <w:rsid w:val="001625A7"/>
    <w:rsid w:val="0016673E"/>
    <w:rsid w:val="00167046"/>
    <w:rsid w:val="00170FFC"/>
    <w:rsid w:val="0017403A"/>
    <w:rsid w:val="00175E85"/>
    <w:rsid w:val="00176B09"/>
    <w:rsid w:val="00176D2E"/>
    <w:rsid w:val="00177F83"/>
    <w:rsid w:val="001800E7"/>
    <w:rsid w:val="00193B2F"/>
    <w:rsid w:val="00197E89"/>
    <w:rsid w:val="001A23C2"/>
    <w:rsid w:val="001A2D31"/>
    <w:rsid w:val="001A3F4B"/>
    <w:rsid w:val="001A4A0F"/>
    <w:rsid w:val="001A7D41"/>
    <w:rsid w:val="001C062C"/>
    <w:rsid w:val="001C19F9"/>
    <w:rsid w:val="001C7F3B"/>
    <w:rsid w:val="001D01DF"/>
    <w:rsid w:val="001D04B2"/>
    <w:rsid w:val="001E387B"/>
    <w:rsid w:val="001E44FC"/>
    <w:rsid w:val="001E7EBB"/>
    <w:rsid w:val="001F393B"/>
    <w:rsid w:val="001F5835"/>
    <w:rsid w:val="001F5F6D"/>
    <w:rsid w:val="00200563"/>
    <w:rsid w:val="0020591D"/>
    <w:rsid w:val="00215121"/>
    <w:rsid w:val="00215C31"/>
    <w:rsid w:val="00217B07"/>
    <w:rsid w:val="00234D48"/>
    <w:rsid w:val="002444C0"/>
    <w:rsid w:val="002540B5"/>
    <w:rsid w:val="00265D3B"/>
    <w:rsid w:val="00265D95"/>
    <w:rsid w:val="002663F0"/>
    <w:rsid w:val="002700D6"/>
    <w:rsid w:val="00277601"/>
    <w:rsid w:val="00280860"/>
    <w:rsid w:val="002908B8"/>
    <w:rsid w:val="00296E5E"/>
    <w:rsid w:val="002A0518"/>
    <w:rsid w:val="002A0711"/>
    <w:rsid w:val="002B1873"/>
    <w:rsid w:val="002B2553"/>
    <w:rsid w:val="002B27CC"/>
    <w:rsid w:val="002B2894"/>
    <w:rsid w:val="002C1E44"/>
    <w:rsid w:val="002C48E2"/>
    <w:rsid w:val="002C5551"/>
    <w:rsid w:val="002C59D0"/>
    <w:rsid w:val="002C5A38"/>
    <w:rsid w:val="002C6F84"/>
    <w:rsid w:val="002D27BE"/>
    <w:rsid w:val="002D2E74"/>
    <w:rsid w:val="002D4510"/>
    <w:rsid w:val="002D6473"/>
    <w:rsid w:val="002D7BAD"/>
    <w:rsid w:val="002F0B3A"/>
    <w:rsid w:val="002F0E90"/>
    <w:rsid w:val="00300A2C"/>
    <w:rsid w:val="00303283"/>
    <w:rsid w:val="003042CB"/>
    <w:rsid w:val="0030615C"/>
    <w:rsid w:val="0031024B"/>
    <w:rsid w:val="00310373"/>
    <w:rsid w:val="00332D6D"/>
    <w:rsid w:val="003357D5"/>
    <w:rsid w:val="00336661"/>
    <w:rsid w:val="00341CC3"/>
    <w:rsid w:val="003422D1"/>
    <w:rsid w:val="00351A52"/>
    <w:rsid w:val="003550CD"/>
    <w:rsid w:val="00360A53"/>
    <w:rsid w:val="00361FF0"/>
    <w:rsid w:val="003651A0"/>
    <w:rsid w:val="00366579"/>
    <w:rsid w:val="00370CF7"/>
    <w:rsid w:val="00374C2F"/>
    <w:rsid w:val="00376388"/>
    <w:rsid w:val="00377914"/>
    <w:rsid w:val="00381EBC"/>
    <w:rsid w:val="00383342"/>
    <w:rsid w:val="00384557"/>
    <w:rsid w:val="00384E22"/>
    <w:rsid w:val="00391D43"/>
    <w:rsid w:val="0039229C"/>
    <w:rsid w:val="003A024F"/>
    <w:rsid w:val="003B5FFE"/>
    <w:rsid w:val="003C2885"/>
    <w:rsid w:val="003C3503"/>
    <w:rsid w:val="003C7C7F"/>
    <w:rsid w:val="003D0003"/>
    <w:rsid w:val="003D726C"/>
    <w:rsid w:val="003D7779"/>
    <w:rsid w:val="003D79C2"/>
    <w:rsid w:val="003E607A"/>
    <w:rsid w:val="003F57D5"/>
    <w:rsid w:val="00404223"/>
    <w:rsid w:val="00405888"/>
    <w:rsid w:val="00406B9B"/>
    <w:rsid w:val="00407115"/>
    <w:rsid w:val="00410EE8"/>
    <w:rsid w:val="00411531"/>
    <w:rsid w:val="00421AAF"/>
    <w:rsid w:val="0042232B"/>
    <w:rsid w:val="00427FD4"/>
    <w:rsid w:val="004336D5"/>
    <w:rsid w:val="0044084D"/>
    <w:rsid w:val="00441CAB"/>
    <w:rsid w:val="00460C85"/>
    <w:rsid w:val="004674F7"/>
    <w:rsid w:val="00467685"/>
    <w:rsid w:val="00467C1D"/>
    <w:rsid w:val="00467F4C"/>
    <w:rsid w:val="004718D5"/>
    <w:rsid w:val="00475161"/>
    <w:rsid w:val="0048021F"/>
    <w:rsid w:val="00490EBB"/>
    <w:rsid w:val="00494405"/>
    <w:rsid w:val="004A0D0F"/>
    <w:rsid w:val="004B13CA"/>
    <w:rsid w:val="004C43AB"/>
    <w:rsid w:val="004C7A69"/>
    <w:rsid w:val="004D047F"/>
    <w:rsid w:val="004D15EB"/>
    <w:rsid w:val="004E3FF1"/>
    <w:rsid w:val="004F2DC4"/>
    <w:rsid w:val="005002E7"/>
    <w:rsid w:val="0050340E"/>
    <w:rsid w:val="00504FB0"/>
    <w:rsid w:val="00505B1E"/>
    <w:rsid w:val="00511C72"/>
    <w:rsid w:val="00515275"/>
    <w:rsid w:val="0051668C"/>
    <w:rsid w:val="00520D28"/>
    <w:rsid w:val="00520DB7"/>
    <w:rsid w:val="00520E4B"/>
    <w:rsid w:val="00522A33"/>
    <w:rsid w:val="00522EB2"/>
    <w:rsid w:val="005236F0"/>
    <w:rsid w:val="00526A53"/>
    <w:rsid w:val="005371DC"/>
    <w:rsid w:val="00542C41"/>
    <w:rsid w:val="0054350D"/>
    <w:rsid w:val="00551153"/>
    <w:rsid w:val="00553250"/>
    <w:rsid w:val="00553AAD"/>
    <w:rsid w:val="00561095"/>
    <w:rsid w:val="00565BEB"/>
    <w:rsid w:val="005701B9"/>
    <w:rsid w:val="00570967"/>
    <w:rsid w:val="00576681"/>
    <w:rsid w:val="00577216"/>
    <w:rsid w:val="005806E0"/>
    <w:rsid w:val="00580F35"/>
    <w:rsid w:val="005824A3"/>
    <w:rsid w:val="005A10E0"/>
    <w:rsid w:val="005A4188"/>
    <w:rsid w:val="005A64DB"/>
    <w:rsid w:val="005A7D92"/>
    <w:rsid w:val="005B0F8D"/>
    <w:rsid w:val="005B6659"/>
    <w:rsid w:val="005C1BDB"/>
    <w:rsid w:val="005C1D1D"/>
    <w:rsid w:val="005C2E18"/>
    <w:rsid w:val="005C5240"/>
    <w:rsid w:val="005C60EB"/>
    <w:rsid w:val="005E0B5E"/>
    <w:rsid w:val="005E1DE4"/>
    <w:rsid w:val="005E6412"/>
    <w:rsid w:val="005F04E0"/>
    <w:rsid w:val="005F392A"/>
    <w:rsid w:val="005F4CDD"/>
    <w:rsid w:val="00600109"/>
    <w:rsid w:val="00600B05"/>
    <w:rsid w:val="00600E90"/>
    <w:rsid w:val="00600EEA"/>
    <w:rsid w:val="006107E2"/>
    <w:rsid w:val="00610D50"/>
    <w:rsid w:val="00613A56"/>
    <w:rsid w:val="00613E50"/>
    <w:rsid w:val="006200A3"/>
    <w:rsid w:val="00623505"/>
    <w:rsid w:val="00645AE0"/>
    <w:rsid w:val="00646A0F"/>
    <w:rsid w:val="00651C05"/>
    <w:rsid w:val="00652544"/>
    <w:rsid w:val="006560CB"/>
    <w:rsid w:val="006561BA"/>
    <w:rsid w:val="00656B31"/>
    <w:rsid w:val="00660C4C"/>
    <w:rsid w:val="00662831"/>
    <w:rsid w:val="00662DBE"/>
    <w:rsid w:val="0066509A"/>
    <w:rsid w:val="00665B0F"/>
    <w:rsid w:val="00666169"/>
    <w:rsid w:val="00667C51"/>
    <w:rsid w:val="006905E9"/>
    <w:rsid w:val="00695811"/>
    <w:rsid w:val="006A37D8"/>
    <w:rsid w:val="006B12A8"/>
    <w:rsid w:val="006B292F"/>
    <w:rsid w:val="006B60E4"/>
    <w:rsid w:val="006C14DE"/>
    <w:rsid w:val="006C15AD"/>
    <w:rsid w:val="006C1F17"/>
    <w:rsid w:val="006C373B"/>
    <w:rsid w:val="006C3CB7"/>
    <w:rsid w:val="006C7406"/>
    <w:rsid w:val="006D2F31"/>
    <w:rsid w:val="006E1D0D"/>
    <w:rsid w:val="006E2CFB"/>
    <w:rsid w:val="006E36B9"/>
    <w:rsid w:val="006F6782"/>
    <w:rsid w:val="006F7E59"/>
    <w:rsid w:val="0070499D"/>
    <w:rsid w:val="00705066"/>
    <w:rsid w:val="00714FC3"/>
    <w:rsid w:val="00716C67"/>
    <w:rsid w:val="007373FB"/>
    <w:rsid w:val="00740642"/>
    <w:rsid w:val="0074096C"/>
    <w:rsid w:val="00741859"/>
    <w:rsid w:val="00742120"/>
    <w:rsid w:val="00744A1B"/>
    <w:rsid w:val="00745F15"/>
    <w:rsid w:val="00746FF5"/>
    <w:rsid w:val="00763FC5"/>
    <w:rsid w:val="00767EAB"/>
    <w:rsid w:val="00771482"/>
    <w:rsid w:val="007867A9"/>
    <w:rsid w:val="007876E1"/>
    <w:rsid w:val="007902E3"/>
    <w:rsid w:val="00792F34"/>
    <w:rsid w:val="007A2077"/>
    <w:rsid w:val="007A7B0A"/>
    <w:rsid w:val="007B0C6A"/>
    <w:rsid w:val="007B1524"/>
    <w:rsid w:val="007B1849"/>
    <w:rsid w:val="007B2D3B"/>
    <w:rsid w:val="007C09AB"/>
    <w:rsid w:val="007C4D93"/>
    <w:rsid w:val="007C5CF9"/>
    <w:rsid w:val="007C7BA5"/>
    <w:rsid w:val="007D1762"/>
    <w:rsid w:val="007D3484"/>
    <w:rsid w:val="007D4BF7"/>
    <w:rsid w:val="007D775E"/>
    <w:rsid w:val="007E0AFD"/>
    <w:rsid w:val="007E2208"/>
    <w:rsid w:val="007E6898"/>
    <w:rsid w:val="007E70F3"/>
    <w:rsid w:val="007F10C7"/>
    <w:rsid w:val="007F1627"/>
    <w:rsid w:val="007F5AFE"/>
    <w:rsid w:val="007F7CE7"/>
    <w:rsid w:val="00802BAD"/>
    <w:rsid w:val="00810BD3"/>
    <w:rsid w:val="0081306F"/>
    <w:rsid w:val="00814AF4"/>
    <w:rsid w:val="00821AF2"/>
    <w:rsid w:val="008245AA"/>
    <w:rsid w:val="00824983"/>
    <w:rsid w:val="00827FFD"/>
    <w:rsid w:val="008325C2"/>
    <w:rsid w:val="008329B2"/>
    <w:rsid w:val="00835F34"/>
    <w:rsid w:val="00842948"/>
    <w:rsid w:val="0085308A"/>
    <w:rsid w:val="008558BF"/>
    <w:rsid w:val="00856D8C"/>
    <w:rsid w:val="00857A24"/>
    <w:rsid w:val="008603E3"/>
    <w:rsid w:val="00864787"/>
    <w:rsid w:val="008671DD"/>
    <w:rsid w:val="008672AA"/>
    <w:rsid w:val="0086789C"/>
    <w:rsid w:val="00876C25"/>
    <w:rsid w:val="008823DA"/>
    <w:rsid w:val="008829D7"/>
    <w:rsid w:val="00884AED"/>
    <w:rsid w:val="008863D0"/>
    <w:rsid w:val="00891A3D"/>
    <w:rsid w:val="00892C13"/>
    <w:rsid w:val="008A3D4F"/>
    <w:rsid w:val="008B1A86"/>
    <w:rsid w:val="008B4E78"/>
    <w:rsid w:val="008B5992"/>
    <w:rsid w:val="008C0ADE"/>
    <w:rsid w:val="008C2C9A"/>
    <w:rsid w:val="008C3DBB"/>
    <w:rsid w:val="008D359F"/>
    <w:rsid w:val="008D519D"/>
    <w:rsid w:val="008D6ABE"/>
    <w:rsid w:val="008E0455"/>
    <w:rsid w:val="008E0A4F"/>
    <w:rsid w:val="008E0FEF"/>
    <w:rsid w:val="008F0BAE"/>
    <w:rsid w:val="008F4221"/>
    <w:rsid w:val="00904137"/>
    <w:rsid w:val="00906637"/>
    <w:rsid w:val="0090717C"/>
    <w:rsid w:val="00910069"/>
    <w:rsid w:val="00910BF1"/>
    <w:rsid w:val="0091259A"/>
    <w:rsid w:val="00913484"/>
    <w:rsid w:val="00916108"/>
    <w:rsid w:val="0091734B"/>
    <w:rsid w:val="0092197D"/>
    <w:rsid w:val="009302C8"/>
    <w:rsid w:val="00943BEF"/>
    <w:rsid w:val="009520FF"/>
    <w:rsid w:val="00972559"/>
    <w:rsid w:val="00984118"/>
    <w:rsid w:val="00985682"/>
    <w:rsid w:val="00987891"/>
    <w:rsid w:val="00987B3A"/>
    <w:rsid w:val="00990533"/>
    <w:rsid w:val="00991B25"/>
    <w:rsid w:val="00992BAC"/>
    <w:rsid w:val="009A3180"/>
    <w:rsid w:val="009B5D6F"/>
    <w:rsid w:val="009D78AA"/>
    <w:rsid w:val="009E0F85"/>
    <w:rsid w:val="009E131A"/>
    <w:rsid w:val="009E6194"/>
    <w:rsid w:val="009E6C5E"/>
    <w:rsid w:val="009E7300"/>
    <w:rsid w:val="009F011F"/>
    <w:rsid w:val="009F4CF7"/>
    <w:rsid w:val="009F7BB8"/>
    <w:rsid w:val="00A01818"/>
    <w:rsid w:val="00A04BA5"/>
    <w:rsid w:val="00A12477"/>
    <w:rsid w:val="00A21931"/>
    <w:rsid w:val="00A24E52"/>
    <w:rsid w:val="00A3130B"/>
    <w:rsid w:val="00A35431"/>
    <w:rsid w:val="00A3772E"/>
    <w:rsid w:val="00A41181"/>
    <w:rsid w:val="00A52A9E"/>
    <w:rsid w:val="00A57E36"/>
    <w:rsid w:val="00A62E07"/>
    <w:rsid w:val="00A63D25"/>
    <w:rsid w:val="00A776A4"/>
    <w:rsid w:val="00A821B4"/>
    <w:rsid w:val="00A85D6B"/>
    <w:rsid w:val="00A87CDC"/>
    <w:rsid w:val="00A94EEB"/>
    <w:rsid w:val="00A97203"/>
    <w:rsid w:val="00AB55ED"/>
    <w:rsid w:val="00AB6E80"/>
    <w:rsid w:val="00AB77B7"/>
    <w:rsid w:val="00AC312B"/>
    <w:rsid w:val="00AC3A5F"/>
    <w:rsid w:val="00AC3C3A"/>
    <w:rsid w:val="00AC65AE"/>
    <w:rsid w:val="00AD1B2B"/>
    <w:rsid w:val="00AD343D"/>
    <w:rsid w:val="00AD79F8"/>
    <w:rsid w:val="00AE1B42"/>
    <w:rsid w:val="00AE6B9D"/>
    <w:rsid w:val="00AF1E50"/>
    <w:rsid w:val="00AF39AF"/>
    <w:rsid w:val="00AF3A62"/>
    <w:rsid w:val="00B074FC"/>
    <w:rsid w:val="00B157DD"/>
    <w:rsid w:val="00B17906"/>
    <w:rsid w:val="00B20742"/>
    <w:rsid w:val="00B21294"/>
    <w:rsid w:val="00B21B20"/>
    <w:rsid w:val="00B24C0E"/>
    <w:rsid w:val="00B27924"/>
    <w:rsid w:val="00B34EA4"/>
    <w:rsid w:val="00B353DA"/>
    <w:rsid w:val="00B40636"/>
    <w:rsid w:val="00B450FA"/>
    <w:rsid w:val="00B45C6F"/>
    <w:rsid w:val="00B45FC8"/>
    <w:rsid w:val="00B46682"/>
    <w:rsid w:val="00B4686C"/>
    <w:rsid w:val="00B505D9"/>
    <w:rsid w:val="00B52E30"/>
    <w:rsid w:val="00B57FE6"/>
    <w:rsid w:val="00B70897"/>
    <w:rsid w:val="00B71086"/>
    <w:rsid w:val="00B71F31"/>
    <w:rsid w:val="00B828BD"/>
    <w:rsid w:val="00B85415"/>
    <w:rsid w:val="00B85D67"/>
    <w:rsid w:val="00B8718D"/>
    <w:rsid w:val="00B910A2"/>
    <w:rsid w:val="00B91A8B"/>
    <w:rsid w:val="00B9466B"/>
    <w:rsid w:val="00B97A9A"/>
    <w:rsid w:val="00BA467A"/>
    <w:rsid w:val="00BA70D6"/>
    <w:rsid w:val="00BB25E6"/>
    <w:rsid w:val="00BC4D53"/>
    <w:rsid w:val="00BC5FE7"/>
    <w:rsid w:val="00BC6A0E"/>
    <w:rsid w:val="00BC7744"/>
    <w:rsid w:val="00BE4F6D"/>
    <w:rsid w:val="00BF2031"/>
    <w:rsid w:val="00BF5AB4"/>
    <w:rsid w:val="00BF7C21"/>
    <w:rsid w:val="00C03666"/>
    <w:rsid w:val="00C03EAF"/>
    <w:rsid w:val="00C11405"/>
    <w:rsid w:val="00C15393"/>
    <w:rsid w:val="00C16481"/>
    <w:rsid w:val="00C1768E"/>
    <w:rsid w:val="00C203C7"/>
    <w:rsid w:val="00C2723C"/>
    <w:rsid w:val="00C36677"/>
    <w:rsid w:val="00C371BF"/>
    <w:rsid w:val="00C37A55"/>
    <w:rsid w:val="00C417C7"/>
    <w:rsid w:val="00C426F1"/>
    <w:rsid w:val="00C45FA3"/>
    <w:rsid w:val="00C51275"/>
    <w:rsid w:val="00C52D6A"/>
    <w:rsid w:val="00C56676"/>
    <w:rsid w:val="00C60925"/>
    <w:rsid w:val="00C81C41"/>
    <w:rsid w:val="00C832AF"/>
    <w:rsid w:val="00C83B3F"/>
    <w:rsid w:val="00C8556C"/>
    <w:rsid w:val="00C878C9"/>
    <w:rsid w:val="00C938C9"/>
    <w:rsid w:val="00C953B0"/>
    <w:rsid w:val="00C95FDC"/>
    <w:rsid w:val="00C9605F"/>
    <w:rsid w:val="00C97843"/>
    <w:rsid w:val="00CA2941"/>
    <w:rsid w:val="00CA6CAF"/>
    <w:rsid w:val="00CB49FE"/>
    <w:rsid w:val="00CC7079"/>
    <w:rsid w:val="00CD1F3A"/>
    <w:rsid w:val="00CE192B"/>
    <w:rsid w:val="00CE1C4B"/>
    <w:rsid w:val="00CE693A"/>
    <w:rsid w:val="00CE6CEE"/>
    <w:rsid w:val="00CF0390"/>
    <w:rsid w:val="00CF0CEF"/>
    <w:rsid w:val="00CF2339"/>
    <w:rsid w:val="00CF3001"/>
    <w:rsid w:val="00CF4C80"/>
    <w:rsid w:val="00CF544E"/>
    <w:rsid w:val="00CF773C"/>
    <w:rsid w:val="00D0263B"/>
    <w:rsid w:val="00D0268D"/>
    <w:rsid w:val="00D07206"/>
    <w:rsid w:val="00D07741"/>
    <w:rsid w:val="00D14D64"/>
    <w:rsid w:val="00D158AD"/>
    <w:rsid w:val="00D168B8"/>
    <w:rsid w:val="00D268B7"/>
    <w:rsid w:val="00D325CA"/>
    <w:rsid w:val="00D352A4"/>
    <w:rsid w:val="00D372F5"/>
    <w:rsid w:val="00D40E10"/>
    <w:rsid w:val="00D41425"/>
    <w:rsid w:val="00D44A17"/>
    <w:rsid w:val="00D47B52"/>
    <w:rsid w:val="00D50D16"/>
    <w:rsid w:val="00D523AE"/>
    <w:rsid w:val="00D52B9F"/>
    <w:rsid w:val="00D54A33"/>
    <w:rsid w:val="00D6090B"/>
    <w:rsid w:val="00D61B0A"/>
    <w:rsid w:val="00D7569D"/>
    <w:rsid w:val="00D7714D"/>
    <w:rsid w:val="00D810ED"/>
    <w:rsid w:val="00D828CD"/>
    <w:rsid w:val="00D84A15"/>
    <w:rsid w:val="00D87DF2"/>
    <w:rsid w:val="00D9014F"/>
    <w:rsid w:val="00DA6C72"/>
    <w:rsid w:val="00DA7D73"/>
    <w:rsid w:val="00DA7D91"/>
    <w:rsid w:val="00DB1ECF"/>
    <w:rsid w:val="00DB2B49"/>
    <w:rsid w:val="00DB4177"/>
    <w:rsid w:val="00DB590F"/>
    <w:rsid w:val="00DB5AF2"/>
    <w:rsid w:val="00DC12F3"/>
    <w:rsid w:val="00DC2AE7"/>
    <w:rsid w:val="00DC3BD8"/>
    <w:rsid w:val="00DC6219"/>
    <w:rsid w:val="00DE1593"/>
    <w:rsid w:val="00DE1EF5"/>
    <w:rsid w:val="00DE2370"/>
    <w:rsid w:val="00DE709B"/>
    <w:rsid w:val="00DE70F1"/>
    <w:rsid w:val="00DF0EDF"/>
    <w:rsid w:val="00DF2CEC"/>
    <w:rsid w:val="00DF545E"/>
    <w:rsid w:val="00DF5532"/>
    <w:rsid w:val="00E026A2"/>
    <w:rsid w:val="00E03C8B"/>
    <w:rsid w:val="00E05567"/>
    <w:rsid w:val="00E07841"/>
    <w:rsid w:val="00E07A4C"/>
    <w:rsid w:val="00E11554"/>
    <w:rsid w:val="00E16FA7"/>
    <w:rsid w:val="00E20A1E"/>
    <w:rsid w:val="00E309EA"/>
    <w:rsid w:val="00E562D1"/>
    <w:rsid w:val="00E60144"/>
    <w:rsid w:val="00E63519"/>
    <w:rsid w:val="00E63C79"/>
    <w:rsid w:val="00E66F1F"/>
    <w:rsid w:val="00E76D05"/>
    <w:rsid w:val="00E81004"/>
    <w:rsid w:val="00E82F6E"/>
    <w:rsid w:val="00E95F62"/>
    <w:rsid w:val="00EA4351"/>
    <w:rsid w:val="00EB1259"/>
    <w:rsid w:val="00EC508E"/>
    <w:rsid w:val="00ED2B79"/>
    <w:rsid w:val="00ED2C3C"/>
    <w:rsid w:val="00EE692D"/>
    <w:rsid w:val="00EF1EDF"/>
    <w:rsid w:val="00EF3F7A"/>
    <w:rsid w:val="00F000E0"/>
    <w:rsid w:val="00F00166"/>
    <w:rsid w:val="00F016B7"/>
    <w:rsid w:val="00F12093"/>
    <w:rsid w:val="00F12ACD"/>
    <w:rsid w:val="00F15561"/>
    <w:rsid w:val="00F22917"/>
    <w:rsid w:val="00F23EE7"/>
    <w:rsid w:val="00F26E6A"/>
    <w:rsid w:val="00F353E0"/>
    <w:rsid w:val="00F40686"/>
    <w:rsid w:val="00F44805"/>
    <w:rsid w:val="00F454C4"/>
    <w:rsid w:val="00F46213"/>
    <w:rsid w:val="00F51E8C"/>
    <w:rsid w:val="00F579C8"/>
    <w:rsid w:val="00F63788"/>
    <w:rsid w:val="00F71D98"/>
    <w:rsid w:val="00F84C13"/>
    <w:rsid w:val="00F911BB"/>
    <w:rsid w:val="00F94ECC"/>
    <w:rsid w:val="00F95457"/>
    <w:rsid w:val="00F95A53"/>
    <w:rsid w:val="00FB7209"/>
    <w:rsid w:val="00FC23BF"/>
    <w:rsid w:val="00FC3090"/>
    <w:rsid w:val="00FD4F9C"/>
    <w:rsid w:val="00FD51AE"/>
    <w:rsid w:val="00FD53C3"/>
    <w:rsid w:val="00FD6D8D"/>
    <w:rsid w:val="00FE3023"/>
    <w:rsid w:val="00FE6D91"/>
    <w:rsid w:val="00FF00DF"/>
    <w:rsid w:val="00FF0B38"/>
    <w:rsid w:val="00FF3A1E"/>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893D9"/>
  <w15:chartTrackingRefBased/>
  <w15:docId w15:val="{5E748549-E483-4D0E-BA52-1FA860E4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sz w:val="18"/>
        <w:szCs w:val="18"/>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rPr>
      <w:lang w:val="en-ZA"/>
    </w:r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sz w:val="20"/>
    </w:rPr>
  </w:style>
  <w:style w:type="paragraph" w:customStyle="1" w:styleId="BowUnnumberedHeading2Blue10">
    <w:name w:val="Bow_Unnumbered Heading 2 Blue 10"/>
    <w:basedOn w:val="Normal"/>
    <w:next w:val="BowIndentAlt"/>
    <w:rsid w:val="00377914"/>
    <w:pPr>
      <w:keepNext/>
    </w:pPr>
    <w:rPr>
      <w:b/>
      <w:color w:val="002854"/>
      <w:sz w:val="20"/>
    </w:rPr>
  </w:style>
  <w:style w:type="paragraph" w:customStyle="1" w:styleId="BowUnnumberedHeading3Copper10">
    <w:name w:val="Bow_Unnumbered Heading 3 Copper 10"/>
    <w:basedOn w:val="Normal"/>
    <w:next w:val="BowIndentAlt"/>
    <w:rsid w:val="00377914"/>
    <w:pPr>
      <w:keepNext/>
    </w:pPr>
    <w:rPr>
      <w:b/>
      <w:color w:val="B5613F"/>
      <w:sz w:val="20"/>
    </w:rPr>
  </w:style>
  <w:style w:type="paragraph" w:customStyle="1" w:styleId="BowUnnumberedHeading4Underline10">
    <w:name w:val="Bow_Unnumbered Heading 4 Underline 10"/>
    <w:basedOn w:val="Normal"/>
    <w:next w:val="BowIndentAlt"/>
    <w:rsid w:val="00377914"/>
    <w:pPr>
      <w:keepNext/>
    </w:pPr>
    <w:rPr>
      <w:sz w:val="20"/>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szCs w:val="22"/>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sz w:val="20"/>
      <w:szCs w:val="22"/>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Pr>
    <w:tcPr>
      <w:shd w:val="clear" w:color="auto" w:fill="auto"/>
    </w:tcPr>
    <w:tblStylePr w:type="firstRow">
      <w:rPr>
        <w:b/>
      </w:rPr>
    </w:tblStylePr>
  </w:style>
  <w:style w:type="character" w:customStyle="1" w:styleId="Heading2Char">
    <w:name w:val="Heading 2 Char"/>
    <w:basedOn w:val="DefaultParagraphFont"/>
    <w:link w:val="Heading2"/>
    <w:uiPriority w:val="9"/>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sz w:val="20"/>
    </w:rPr>
  </w:style>
  <w:style w:type="paragraph" w:styleId="Header">
    <w:name w:val="header"/>
    <w:basedOn w:val="Normal"/>
    <w:link w:val="HeaderChar"/>
    <w:rsid w:val="005F392A"/>
    <w:pPr>
      <w:tabs>
        <w:tab w:val="center" w:pos="4513"/>
        <w:tab w:val="right" w:pos="9026"/>
      </w:tabs>
      <w:spacing w:after="0" w:line="240" w:lineRule="auto"/>
    </w:pPr>
  </w:style>
  <w:style w:type="character" w:customStyle="1" w:styleId="HeaderChar">
    <w:name w:val="Header Char"/>
    <w:basedOn w:val="DefaultParagraphFont"/>
    <w:link w:val="Header"/>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rFonts w:ascii="Arial" w:hAnsi="Arial"/>
      <w:sz w:val="24"/>
    </w:rPr>
  </w:style>
  <w:style w:type="paragraph" w:customStyle="1" w:styleId="BowHC2AltCtrlNum2">
    <w:name w:val="Bow_HC2 Alt+Ctrl+Num2"/>
    <w:basedOn w:val="BowAnnexList2AltShiftK"/>
    <w:qFormat/>
    <w:rsid w:val="00C832AF"/>
    <w:pPr>
      <w:spacing w:after="0" w:line="480" w:lineRule="auto"/>
    </w:pPr>
    <w:rPr>
      <w:rFonts w:ascii="Arial" w:hAnsi="Arial"/>
      <w:sz w:val="24"/>
    </w:rPr>
  </w:style>
  <w:style w:type="paragraph" w:customStyle="1" w:styleId="BowHC3AltCtrlNum3">
    <w:name w:val="Bow_HC3 Alt+Ctrl+Num3"/>
    <w:basedOn w:val="BowAnnexList3AltShiftJ"/>
    <w:qFormat/>
    <w:rsid w:val="00C832AF"/>
    <w:pPr>
      <w:spacing w:after="0" w:line="480" w:lineRule="auto"/>
    </w:pPr>
    <w:rPr>
      <w:rFonts w:ascii="Arial" w:hAnsi="Arial"/>
      <w:sz w:val="24"/>
    </w:rPr>
  </w:style>
  <w:style w:type="paragraph" w:customStyle="1" w:styleId="BowHC4AltCtrlNum4">
    <w:name w:val="Bow_HC4 Alt+Ctrl+Num4"/>
    <w:basedOn w:val="BowAnnexList4AltShiftH"/>
    <w:qFormat/>
    <w:rsid w:val="00C832AF"/>
    <w:pPr>
      <w:spacing w:after="0" w:line="480" w:lineRule="auto"/>
    </w:pPr>
    <w:rPr>
      <w:rFonts w:ascii="Arial" w:hAnsi="Arial"/>
      <w:sz w:val="24"/>
    </w:rPr>
  </w:style>
  <w:style w:type="paragraph" w:customStyle="1" w:styleId="BowHC5AltCtrlNum5">
    <w:name w:val="Bow_HC5 Alt+Ctrl+Num5"/>
    <w:basedOn w:val="BowAnnexList5AltShiftG"/>
    <w:qFormat/>
    <w:rsid w:val="00C832AF"/>
    <w:pPr>
      <w:spacing w:after="0" w:line="480" w:lineRule="auto"/>
    </w:pPr>
    <w:rPr>
      <w:rFonts w:ascii="Arial" w:hAnsi="Arial"/>
      <w:sz w:val="24"/>
    </w:rPr>
  </w:style>
  <w:style w:type="paragraph" w:customStyle="1" w:styleId="BowHC6AltCtrlNum6">
    <w:name w:val="Bow_HC6 Alt+Ctrl+Num6"/>
    <w:basedOn w:val="BowAnnexList6AltShiftF"/>
    <w:qFormat/>
    <w:rsid w:val="00C832AF"/>
    <w:pPr>
      <w:spacing w:after="0" w:line="480" w:lineRule="auto"/>
    </w:pPr>
    <w:rPr>
      <w:rFonts w:ascii="Arial" w:hAnsi="Arial"/>
      <w:sz w:val="24"/>
    </w:rPr>
  </w:style>
  <w:style w:type="paragraph" w:customStyle="1" w:styleId="BowHC7AltCtrlNum7">
    <w:name w:val="Bow_HC7 Alt+Ctrl+Num7"/>
    <w:basedOn w:val="BowAnnexList7AltShiftD"/>
    <w:qFormat/>
    <w:rsid w:val="00C832AF"/>
    <w:pPr>
      <w:spacing w:after="0" w:line="480" w:lineRule="auto"/>
    </w:pPr>
    <w:rPr>
      <w:rFonts w:ascii="Arial" w:hAnsi="Arial"/>
      <w:sz w:val="24"/>
    </w:rPr>
  </w:style>
  <w:style w:type="paragraph" w:customStyle="1" w:styleId="BowHCNormalCrlNum0">
    <w:name w:val="Bow_HC Normal Crl+Num0"/>
    <w:basedOn w:val="BowIndentAlt"/>
    <w:qFormat/>
    <w:rsid w:val="00652544"/>
    <w:pPr>
      <w:spacing w:after="0" w:line="480" w:lineRule="auto"/>
    </w:pPr>
    <w:rPr>
      <w:rFonts w:ascii="Arial" w:hAnsi="Arial"/>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character" w:styleId="CommentReference">
    <w:name w:val="annotation reference"/>
    <w:basedOn w:val="DefaultParagraphFont"/>
    <w:semiHidden/>
    <w:unhideWhenUsed/>
    <w:rsid w:val="00DB5AF2"/>
    <w:rPr>
      <w:sz w:val="16"/>
      <w:szCs w:val="16"/>
    </w:rPr>
  </w:style>
  <w:style w:type="paragraph" w:styleId="CommentText">
    <w:name w:val="annotation text"/>
    <w:basedOn w:val="Normal"/>
    <w:link w:val="CommentTextChar"/>
    <w:semiHidden/>
    <w:unhideWhenUsed/>
    <w:rsid w:val="00DB5AF2"/>
    <w:pPr>
      <w:spacing w:line="240" w:lineRule="auto"/>
    </w:pPr>
    <w:rPr>
      <w:sz w:val="20"/>
      <w:szCs w:val="20"/>
    </w:rPr>
  </w:style>
  <w:style w:type="character" w:customStyle="1" w:styleId="CommentTextChar">
    <w:name w:val="Comment Text Char"/>
    <w:basedOn w:val="DefaultParagraphFont"/>
    <w:link w:val="CommentText"/>
    <w:semiHidden/>
    <w:rsid w:val="00DB5AF2"/>
    <w:rPr>
      <w:sz w:val="20"/>
      <w:szCs w:val="20"/>
      <w:lang w:val="en-ZA"/>
    </w:rPr>
  </w:style>
  <w:style w:type="paragraph" w:styleId="CommentSubject">
    <w:name w:val="annotation subject"/>
    <w:basedOn w:val="CommentText"/>
    <w:next w:val="CommentText"/>
    <w:link w:val="CommentSubjectChar"/>
    <w:semiHidden/>
    <w:unhideWhenUsed/>
    <w:rsid w:val="00DB5AF2"/>
    <w:rPr>
      <w:b/>
      <w:bCs/>
    </w:rPr>
  </w:style>
  <w:style w:type="character" w:customStyle="1" w:styleId="CommentSubjectChar">
    <w:name w:val="Comment Subject Char"/>
    <w:basedOn w:val="CommentTextChar"/>
    <w:link w:val="CommentSubject"/>
    <w:semiHidden/>
    <w:rsid w:val="00DB5AF2"/>
    <w:rPr>
      <w:b/>
      <w:bCs/>
      <w:sz w:val="20"/>
      <w:szCs w:val="20"/>
      <w:lang w:val="en-ZA"/>
    </w:rPr>
  </w:style>
  <w:style w:type="paragraph" w:customStyle="1" w:styleId="western">
    <w:name w:val="western"/>
    <w:basedOn w:val="Normal"/>
    <w:rsid w:val="007D4BF7"/>
    <w:pPr>
      <w:spacing w:before="100" w:beforeAutospacing="1" w:after="100" w:afterAutospacing="1" w:line="240" w:lineRule="auto"/>
      <w:jc w:val="left"/>
    </w:pPr>
    <w:rPr>
      <w:rFonts w:ascii="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967">
      <w:bodyDiv w:val="1"/>
      <w:marLeft w:val="0"/>
      <w:marRight w:val="0"/>
      <w:marTop w:val="0"/>
      <w:marBottom w:val="0"/>
      <w:divBdr>
        <w:top w:val="none" w:sz="0" w:space="0" w:color="auto"/>
        <w:left w:val="none" w:sz="0" w:space="0" w:color="auto"/>
        <w:bottom w:val="none" w:sz="0" w:space="0" w:color="auto"/>
        <w:right w:val="none" w:sz="0" w:space="0" w:color="auto"/>
      </w:divBdr>
    </w:div>
    <w:div w:id="47655326">
      <w:bodyDiv w:val="1"/>
      <w:marLeft w:val="0"/>
      <w:marRight w:val="0"/>
      <w:marTop w:val="0"/>
      <w:marBottom w:val="0"/>
      <w:divBdr>
        <w:top w:val="none" w:sz="0" w:space="0" w:color="auto"/>
        <w:left w:val="none" w:sz="0" w:space="0" w:color="auto"/>
        <w:bottom w:val="none" w:sz="0" w:space="0" w:color="auto"/>
        <w:right w:val="none" w:sz="0" w:space="0" w:color="auto"/>
      </w:divBdr>
    </w:div>
    <w:div w:id="4312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12%20%284%29%20SA%20593"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9200-4059-4A80-931A-F909F2B1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Bowmans</dc:creator>
  <cp:keywords/>
  <dc:description/>
  <cp:lastModifiedBy>Lazarus Rakgwale</cp:lastModifiedBy>
  <cp:revision>2</cp:revision>
  <cp:lastPrinted>2022-09-02T10:08:00Z</cp:lastPrinted>
  <dcterms:created xsi:type="dcterms:W3CDTF">2022-09-07T07:08:00Z</dcterms:created>
  <dcterms:modified xsi:type="dcterms:W3CDTF">2022-09-07T07:08:00Z</dcterms:modified>
</cp:coreProperties>
</file>