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4A5C" w14:textId="77777777" w:rsidR="001565DD" w:rsidRPr="006A7289" w:rsidRDefault="001565DD" w:rsidP="00693880">
      <w:pPr>
        <w:spacing w:line="360" w:lineRule="auto"/>
        <w:rPr>
          <w:rFonts w:cs="Arial"/>
          <w:sz w:val="24"/>
          <w:szCs w:val="24"/>
        </w:rPr>
      </w:pPr>
      <w:bookmarkStart w:id="0" w:name="_GoBack"/>
      <w:bookmarkEnd w:id="0"/>
    </w:p>
    <w:p w14:paraId="473A4502" w14:textId="77777777" w:rsidR="001565DD" w:rsidRPr="006A7289" w:rsidRDefault="001565DD" w:rsidP="00693880">
      <w:pPr>
        <w:spacing w:line="360" w:lineRule="auto"/>
        <w:rPr>
          <w:rFonts w:eastAsia="Arial" w:cs="Arial"/>
          <w:b/>
          <w:sz w:val="24"/>
          <w:szCs w:val="24"/>
        </w:rPr>
      </w:pPr>
      <w:r w:rsidRPr="006A7289">
        <w:rPr>
          <w:rFonts w:eastAsia="Arial" w:cs="Arial"/>
          <w:b/>
          <w:sz w:val="24"/>
          <w:szCs w:val="24"/>
        </w:rPr>
        <w:t xml:space="preserve">                                         REPUBLIC OF SOUTH AFRICA</w:t>
      </w:r>
    </w:p>
    <w:p w14:paraId="2176420F" w14:textId="77777777" w:rsidR="001565DD" w:rsidRPr="006A7289" w:rsidRDefault="001565DD" w:rsidP="00693880">
      <w:pPr>
        <w:spacing w:line="360" w:lineRule="auto"/>
        <w:jc w:val="center"/>
        <w:rPr>
          <w:rFonts w:eastAsia="Arial Black" w:cs="Arial"/>
          <w:b/>
          <w:sz w:val="24"/>
          <w:szCs w:val="24"/>
        </w:rPr>
      </w:pPr>
      <w:r w:rsidRPr="006A7289">
        <w:rPr>
          <w:rFonts w:eastAsia="Arial Black" w:cs="Arial"/>
          <w:b/>
          <w:noProof/>
          <w:sz w:val="24"/>
          <w:szCs w:val="24"/>
          <w:lang w:val="en-ZA" w:eastAsia="en-ZA"/>
        </w:rPr>
        <w:drawing>
          <wp:inline distT="0" distB="0" distL="0" distR="0" wp14:anchorId="502D8D82" wp14:editId="7E9A969B">
            <wp:extent cx="1362075" cy="1362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2075" cy="1362075"/>
                    </a:xfrm>
                    <a:prstGeom prst="rect">
                      <a:avLst/>
                    </a:prstGeom>
                    <a:ln/>
                  </pic:spPr>
                </pic:pic>
              </a:graphicData>
            </a:graphic>
          </wp:inline>
        </w:drawing>
      </w:r>
    </w:p>
    <w:p w14:paraId="50D0F53E" w14:textId="77777777" w:rsidR="001565DD" w:rsidRPr="006A7289" w:rsidRDefault="001565DD" w:rsidP="00693880">
      <w:pPr>
        <w:spacing w:line="360" w:lineRule="auto"/>
        <w:jc w:val="center"/>
        <w:rPr>
          <w:rFonts w:eastAsia="Arial" w:cs="Arial"/>
          <w:b/>
          <w:sz w:val="24"/>
          <w:szCs w:val="24"/>
        </w:rPr>
      </w:pPr>
      <w:r w:rsidRPr="006A7289">
        <w:rPr>
          <w:rFonts w:eastAsia="Arial" w:cs="Arial"/>
          <w:b/>
          <w:sz w:val="24"/>
          <w:szCs w:val="24"/>
        </w:rPr>
        <w:t xml:space="preserve">IN THE HIGH COURT OF SOUTH AFRICA, </w:t>
      </w:r>
    </w:p>
    <w:p w14:paraId="7B5D2369" w14:textId="77777777" w:rsidR="001565DD" w:rsidRPr="006A7289" w:rsidRDefault="001565DD" w:rsidP="00693880">
      <w:pPr>
        <w:spacing w:line="360" w:lineRule="auto"/>
        <w:rPr>
          <w:rFonts w:eastAsia="Arial" w:cs="Arial"/>
          <w:b/>
          <w:sz w:val="24"/>
          <w:szCs w:val="24"/>
        </w:rPr>
      </w:pPr>
      <w:r w:rsidRPr="006A7289">
        <w:rPr>
          <w:rFonts w:eastAsia="Arial" w:cs="Arial"/>
          <w:b/>
          <w:sz w:val="24"/>
          <w:szCs w:val="24"/>
        </w:rPr>
        <w:t xml:space="preserve">                                 GAUTENG DIVISION, JOHANNESBURG                                              </w:t>
      </w:r>
    </w:p>
    <w:p w14:paraId="3F2475D2" w14:textId="158665B5" w:rsidR="001565DD" w:rsidRPr="006A7289" w:rsidRDefault="001565DD" w:rsidP="00693880">
      <w:pPr>
        <w:spacing w:after="0" w:line="360" w:lineRule="auto"/>
        <w:jc w:val="right"/>
        <w:rPr>
          <w:rFonts w:eastAsia="Arial" w:cs="Arial"/>
          <w:b/>
          <w:smallCaps/>
          <w:sz w:val="24"/>
          <w:szCs w:val="24"/>
        </w:rPr>
      </w:pPr>
      <w:r w:rsidRPr="006A7289">
        <w:rPr>
          <w:rFonts w:eastAsia="Arial Black" w:cs="Arial"/>
          <w:b/>
          <w:sz w:val="24"/>
          <w:szCs w:val="24"/>
        </w:rPr>
        <w:t xml:space="preserve">                                                                                       </w:t>
      </w:r>
      <w:r w:rsidR="00552543" w:rsidRPr="006A7289">
        <w:rPr>
          <w:rFonts w:eastAsia="Arial Black" w:cs="Arial"/>
          <w:b/>
          <w:sz w:val="24"/>
          <w:szCs w:val="24"/>
        </w:rPr>
        <w:t xml:space="preserve">    </w:t>
      </w:r>
      <w:r w:rsidRPr="006A7289">
        <w:rPr>
          <w:rFonts w:eastAsia="Arial" w:cs="Arial"/>
          <w:b/>
          <w:sz w:val="24"/>
          <w:szCs w:val="24"/>
        </w:rPr>
        <w:t>CASE NO:</w:t>
      </w:r>
      <w:r w:rsidRPr="006A7289">
        <w:rPr>
          <w:rFonts w:eastAsia="Arial" w:cs="Arial"/>
          <w:b/>
          <w:smallCaps/>
          <w:sz w:val="24"/>
          <w:szCs w:val="24"/>
        </w:rPr>
        <w:t xml:space="preserve"> </w:t>
      </w:r>
      <w:r w:rsidR="003233A1" w:rsidRPr="006A7289">
        <w:rPr>
          <w:rFonts w:eastAsia="Arial" w:cs="Arial"/>
          <w:b/>
          <w:smallCaps/>
          <w:sz w:val="24"/>
          <w:szCs w:val="24"/>
          <w:lang w:val="en-ZA"/>
        </w:rPr>
        <w:t>21/45131</w:t>
      </w:r>
    </w:p>
    <w:p w14:paraId="74C8CABC" w14:textId="25B8B9F2" w:rsidR="001565DD" w:rsidRPr="006A7289" w:rsidRDefault="00C5440A" w:rsidP="00693880">
      <w:pPr>
        <w:spacing w:after="0" w:line="360" w:lineRule="auto"/>
        <w:jc w:val="right"/>
        <w:rPr>
          <w:rFonts w:eastAsia="Arial" w:cs="Arial"/>
          <w:b/>
          <w:smallCaps/>
          <w:sz w:val="24"/>
          <w:szCs w:val="24"/>
        </w:rPr>
      </w:pPr>
      <w:r w:rsidRPr="006A7289">
        <w:rPr>
          <w:rFonts w:cs="Arial"/>
          <w:noProof/>
          <w:sz w:val="24"/>
          <w:szCs w:val="24"/>
          <w:lang w:val="en-ZA" w:eastAsia="en-ZA"/>
        </w:rPr>
        <mc:AlternateContent>
          <mc:Choice Requires="wps">
            <w:drawing>
              <wp:anchor distT="0" distB="0" distL="114300" distR="114300" simplePos="0" relativeHeight="251659264" behindDoc="0" locked="0" layoutInCell="1" allowOverlap="1" wp14:anchorId="0B90A51C" wp14:editId="3EA65492">
                <wp:simplePos x="0" y="0"/>
                <wp:positionH relativeFrom="column">
                  <wp:posOffset>0</wp:posOffset>
                </wp:positionH>
                <wp:positionV relativeFrom="paragraph">
                  <wp:posOffset>183210</wp:posOffset>
                </wp:positionV>
                <wp:extent cx="2823845" cy="1435260"/>
                <wp:effectExtent l="0" t="0" r="1460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435260"/>
                        </a:xfrm>
                        <a:prstGeom prst="rect">
                          <a:avLst/>
                        </a:prstGeom>
                        <a:solidFill>
                          <a:srgbClr val="FFFFFF"/>
                        </a:solidFill>
                        <a:ln w="9525">
                          <a:solidFill>
                            <a:srgbClr val="000000"/>
                          </a:solidFill>
                          <a:miter lim="800000"/>
                          <a:headEnd/>
                          <a:tailEnd/>
                        </a:ln>
                      </wps:spPr>
                      <wps:txbx>
                        <w:txbxContent>
                          <w:p w14:paraId="1D07A3CE" w14:textId="77777777" w:rsidR="00825FE6" w:rsidRPr="002A7321" w:rsidRDefault="00825FE6" w:rsidP="001565DD">
                            <w:pPr>
                              <w:jc w:val="center"/>
                              <w:rPr>
                                <w:rFonts w:ascii="Arial Black" w:hAnsi="Arial Black"/>
                                <w:b/>
                                <w:sz w:val="24"/>
                                <w:szCs w:val="24"/>
                              </w:rPr>
                            </w:pPr>
                          </w:p>
                          <w:p w14:paraId="4923DC58" w14:textId="77777777" w:rsidR="00825FE6" w:rsidRDefault="00825FE6" w:rsidP="001565DD">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7FC8F2E2" w14:textId="77777777" w:rsidR="00825FE6" w:rsidRPr="00913F95" w:rsidRDefault="00825FE6" w:rsidP="001565DD">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5B1ABCEA" w14:textId="77777777" w:rsidR="00825FE6" w:rsidRDefault="00825FE6" w:rsidP="001565DD">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14:paraId="2BCE3DBE" w14:textId="52323D58" w:rsidR="00825FE6" w:rsidRPr="00913F95" w:rsidRDefault="00825FE6" w:rsidP="001565DD">
                            <w:pPr>
                              <w:spacing w:after="0" w:line="240" w:lineRule="auto"/>
                              <w:ind w:left="900"/>
                              <w:rPr>
                                <w:rFonts w:ascii="Century Gothic" w:hAnsi="Century Gothic"/>
                                <w:sz w:val="20"/>
                                <w:szCs w:val="20"/>
                              </w:rPr>
                            </w:pPr>
                            <w:bookmarkStart w:id="1" w:name="_Hlk113285035"/>
                          </w:p>
                          <w:bookmarkEnd w:id="1"/>
                          <w:p w14:paraId="2223689C" w14:textId="77777777" w:rsidR="00825FE6" w:rsidRDefault="00825FE6" w:rsidP="001565DD">
                            <w:pPr>
                              <w:rPr>
                                <w:rFonts w:ascii="Century Gothic" w:hAnsi="Century Gothic"/>
                                <w:b/>
                                <w:sz w:val="18"/>
                                <w:szCs w:val="18"/>
                              </w:rPr>
                            </w:pPr>
                            <w:r>
                              <w:rPr>
                                <w:rFonts w:ascii="Century Gothic" w:hAnsi="Century Gothic"/>
                                <w:b/>
                                <w:sz w:val="18"/>
                                <w:szCs w:val="18"/>
                              </w:rPr>
                              <w:t xml:space="preserve">                            _______________________</w:t>
                            </w:r>
                          </w:p>
                          <w:p w14:paraId="4370E032" w14:textId="77777777" w:rsidR="00825FE6" w:rsidRDefault="00825FE6" w:rsidP="001565DD">
                            <w:pPr>
                              <w:rPr>
                                <w:rFonts w:ascii="Century Gothic" w:hAnsi="Century Gothic"/>
                                <w:b/>
                                <w:sz w:val="18"/>
                                <w:szCs w:val="18"/>
                              </w:rPr>
                            </w:pPr>
                            <w:r>
                              <w:rPr>
                                <w:rFonts w:ascii="Century Gothic" w:hAnsi="Century Gothic"/>
                                <w:b/>
                                <w:sz w:val="18"/>
                                <w:szCs w:val="18"/>
                              </w:rPr>
                              <w:t xml:space="preserve">                                                        </w:t>
                            </w:r>
                          </w:p>
                          <w:p w14:paraId="5C55A87E" w14:textId="77777777" w:rsidR="00825FE6" w:rsidRDefault="00825FE6" w:rsidP="001565DD">
                            <w:pPr>
                              <w:rPr>
                                <w:rFonts w:ascii="Century Gothic" w:hAnsi="Century Gothic"/>
                                <w:b/>
                                <w:sz w:val="18"/>
                                <w:szCs w:val="18"/>
                              </w:rPr>
                            </w:pPr>
                          </w:p>
                          <w:p w14:paraId="5D2DCACE" w14:textId="77777777" w:rsidR="00825FE6" w:rsidRDefault="00825FE6" w:rsidP="001565DD">
                            <w:pPr>
                              <w:rPr>
                                <w:rFonts w:ascii="Century Gothic" w:hAnsi="Century Gothic"/>
                                <w:b/>
                                <w:sz w:val="18"/>
                                <w:szCs w:val="18"/>
                              </w:rPr>
                            </w:pPr>
                          </w:p>
                          <w:p w14:paraId="40CA234B" w14:textId="77777777" w:rsidR="00825FE6" w:rsidRDefault="00825FE6" w:rsidP="001565DD">
                            <w:pPr>
                              <w:rPr>
                                <w:rFonts w:ascii="Century Gothic" w:hAnsi="Century Gothic"/>
                                <w:b/>
                                <w:sz w:val="18"/>
                                <w:szCs w:val="18"/>
                              </w:rPr>
                            </w:pPr>
                          </w:p>
                          <w:p w14:paraId="25B8C1A6" w14:textId="77777777" w:rsidR="00825FE6" w:rsidRDefault="00825FE6" w:rsidP="001565DD">
                            <w:pPr>
                              <w:rPr>
                                <w:rFonts w:ascii="Century Gothic" w:hAnsi="Century Gothic"/>
                                <w:b/>
                                <w:sz w:val="18"/>
                                <w:szCs w:val="18"/>
                              </w:rPr>
                            </w:pPr>
                          </w:p>
                          <w:p w14:paraId="3BE9C922" w14:textId="77777777" w:rsidR="00825FE6" w:rsidRDefault="00825FE6" w:rsidP="001565DD">
                            <w:pPr>
                              <w:rPr>
                                <w:rFonts w:ascii="Century Gothic" w:hAnsi="Century Gothic"/>
                                <w:b/>
                                <w:sz w:val="18"/>
                                <w:szCs w:val="18"/>
                              </w:rPr>
                            </w:pPr>
                            <w:r>
                              <w:rPr>
                                <w:rFonts w:ascii="Century Gothic" w:hAnsi="Century Gothic"/>
                                <w:b/>
                                <w:sz w:val="18"/>
                                <w:szCs w:val="18"/>
                              </w:rPr>
                              <w:t>______________                                _____________________</w:t>
                            </w:r>
                          </w:p>
                          <w:p w14:paraId="12D5F04D" w14:textId="77777777" w:rsidR="00825FE6" w:rsidRDefault="00825FE6" w:rsidP="001565DD">
                            <w:pPr>
                              <w:rPr>
                                <w:rFonts w:ascii="Century Gothic" w:hAnsi="Century Gothic"/>
                                <w:b/>
                                <w:sz w:val="18"/>
                                <w:szCs w:val="18"/>
                              </w:rPr>
                            </w:pPr>
                          </w:p>
                          <w:p w14:paraId="3470705F" w14:textId="77777777" w:rsidR="00825FE6" w:rsidRDefault="00825FE6" w:rsidP="001565DD">
                            <w:pPr>
                              <w:rPr>
                                <w:rFonts w:ascii="Century Gothic" w:hAnsi="Century Gothic"/>
                                <w:b/>
                                <w:sz w:val="18"/>
                                <w:szCs w:val="18"/>
                              </w:rPr>
                            </w:pPr>
                          </w:p>
                          <w:p w14:paraId="5893C168" w14:textId="77777777" w:rsidR="00825FE6" w:rsidRPr="00084341" w:rsidRDefault="00825FE6" w:rsidP="001565D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76F84E7" w14:textId="77777777" w:rsidR="00825FE6" w:rsidRPr="00084341" w:rsidRDefault="00825FE6" w:rsidP="001565D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0A51C" id="_x0000_t202" coordsize="21600,21600" o:spt="202" path="m,l,21600r21600,l21600,xe">
                <v:stroke joinstyle="miter"/>
                <v:path gradientshapeok="t" o:connecttype="rect"/>
              </v:shapetype>
              <v:shape id="Text Box 1" o:spid="_x0000_s1026" type="#_x0000_t202" style="position:absolute;left:0;text-align:left;margin-left:0;margin-top:14.45pt;width:222.3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">
                <v:textbox>
                  <w:txbxContent>
                    <w:p w14:paraId="1D07A3CE" w14:textId="77777777" w:rsidR="00825FE6" w:rsidRPr="002A7321" w:rsidRDefault="00825FE6" w:rsidP="001565DD">
                      <w:pPr>
                        <w:jc w:val="center"/>
                        <w:rPr>
                          <w:rFonts w:ascii="Arial Black" w:hAnsi="Arial Black"/>
                          <w:b/>
                          <w:sz w:val="24"/>
                          <w:szCs w:val="24"/>
                        </w:rPr>
                      </w:pPr>
                    </w:p>
                    <w:p w14:paraId="4923DC58" w14:textId="77777777" w:rsidR="00825FE6" w:rsidRDefault="00825FE6" w:rsidP="001565DD">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7FC8F2E2" w14:textId="77777777" w:rsidR="00825FE6" w:rsidRPr="00913F95" w:rsidRDefault="00825FE6" w:rsidP="001565DD">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5B1ABCEA" w14:textId="77777777" w:rsidR="00825FE6" w:rsidRDefault="00825FE6" w:rsidP="001565DD">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14:paraId="2BCE3DBE" w14:textId="52323D58" w:rsidR="00825FE6" w:rsidRPr="00913F95" w:rsidRDefault="00825FE6" w:rsidP="001565DD">
                      <w:pPr>
                        <w:spacing w:after="0" w:line="240" w:lineRule="auto"/>
                        <w:ind w:left="900"/>
                        <w:rPr>
                          <w:rFonts w:ascii="Century Gothic" w:hAnsi="Century Gothic"/>
                          <w:sz w:val="20"/>
                          <w:szCs w:val="20"/>
                        </w:rPr>
                      </w:pPr>
                      <w:bookmarkStart w:id="2" w:name="_Hlk113285035"/>
                      <w:bookmarkStart w:id="3" w:name="_GoBack"/>
                      <w:bookmarkEnd w:id="3"/>
                    </w:p>
                    <w:bookmarkEnd w:id="2"/>
                    <w:p w14:paraId="2223689C" w14:textId="77777777" w:rsidR="00825FE6" w:rsidRDefault="00825FE6" w:rsidP="001565DD">
                      <w:pPr>
                        <w:rPr>
                          <w:rFonts w:ascii="Century Gothic" w:hAnsi="Century Gothic"/>
                          <w:b/>
                          <w:sz w:val="18"/>
                          <w:szCs w:val="18"/>
                        </w:rPr>
                      </w:pPr>
                      <w:r>
                        <w:rPr>
                          <w:rFonts w:ascii="Century Gothic" w:hAnsi="Century Gothic"/>
                          <w:b/>
                          <w:sz w:val="18"/>
                          <w:szCs w:val="18"/>
                        </w:rPr>
                        <w:t xml:space="preserve">                            _______________________</w:t>
                      </w:r>
                    </w:p>
                    <w:p w14:paraId="4370E032" w14:textId="77777777" w:rsidR="00825FE6" w:rsidRDefault="00825FE6" w:rsidP="001565DD">
                      <w:pPr>
                        <w:rPr>
                          <w:rFonts w:ascii="Century Gothic" w:hAnsi="Century Gothic"/>
                          <w:b/>
                          <w:sz w:val="18"/>
                          <w:szCs w:val="18"/>
                        </w:rPr>
                      </w:pPr>
                      <w:r>
                        <w:rPr>
                          <w:rFonts w:ascii="Century Gothic" w:hAnsi="Century Gothic"/>
                          <w:b/>
                          <w:sz w:val="18"/>
                          <w:szCs w:val="18"/>
                        </w:rPr>
                        <w:t xml:space="preserve">                                                        </w:t>
                      </w:r>
                    </w:p>
                    <w:p w14:paraId="5C55A87E" w14:textId="77777777" w:rsidR="00825FE6" w:rsidRDefault="00825FE6" w:rsidP="001565DD">
                      <w:pPr>
                        <w:rPr>
                          <w:rFonts w:ascii="Century Gothic" w:hAnsi="Century Gothic"/>
                          <w:b/>
                          <w:sz w:val="18"/>
                          <w:szCs w:val="18"/>
                        </w:rPr>
                      </w:pPr>
                    </w:p>
                    <w:p w14:paraId="5D2DCACE" w14:textId="77777777" w:rsidR="00825FE6" w:rsidRDefault="00825FE6" w:rsidP="001565DD">
                      <w:pPr>
                        <w:rPr>
                          <w:rFonts w:ascii="Century Gothic" w:hAnsi="Century Gothic"/>
                          <w:b/>
                          <w:sz w:val="18"/>
                          <w:szCs w:val="18"/>
                        </w:rPr>
                      </w:pPr>
                    </w:p>
                    <w:p w14:paraId="40CA234B" w14:textId="77777777" w:rsidR="00825FE6" w:rsidRDefault="00825FE6" w:rsidP="001565DD">
                      <w:pPr>
                        <w:rPr>
                          <w:rFonts w:ascii="Century Gothic" w:hAnsi="Century Gothic"/>
                          <w:b/>
                          <w:sz w:val="18"/>
                          <w:szCs w:val="18"/>
                        </w:rPr>
                      </w:pPr>
                    </w:p>
                    <w:p w14:paraId="25B8C1A6" w14:textId="77777777" w:rsidR="00825FE6" w:rsidRDefault="00825FE6" w:rsidP="001565DD">
                      <w:pPr>
                        <w:rPr>
                          <w:rFonts w:ascii="Century Gothic" w:hAnsi="Century Gothic"/>
                          <w:b/>
                          <w:sz w:val="18"/>
                          <w:szCs w:val="18"/>
                        </w:rPr>
                      </w:pPr>
                    </w:p>
                    <w:p w14:paraId="3BE9C922" w14:textId="77777777" w:rsidR="00825FE6" w:rsidRDefault="00825FE6" w:rsidP="001565DD">
                      <w:pPr>
                        <w:rPr>
                          <w:rFonts w:ascii="Century Gothic" w:hAnsi="Century Gothic"/>
                          <w:b/>
                          <w:sz w:val="18"/>
                          <w:szCs w:val="18"/>
                        </w:rPr>
                      </w:pPr>
                      <w:r>
                        <w:rPr>
                          <w:rFonts w:ascii="Century Gothic" w:hAnsi="Century Gothic"/>
                          <w:b/>
                          <w:sz w:val="18"/>
                          <w:szCs w:val="18"/>
                        </w:rPr>
                        <w:t>______________                                _____________________</w:t>
                      </w:r>
                    </w:p>
                    <w:p w14:paraId="12D5F04D" w14:textId="77777777" w:rsidR="00825FE6" w:rsidRDefault="00825FE6" w:rsidP="001565DD">
                      <w:pPr>
                        <w:rPr>
                          <w:rFonts w:ascii="Century Gothic" w:hAnsi="Century Gothic"/>
                          <w:b/>
                          <w:sz w:val="18"/>
                          <w:szCs w:val="18"/>
                        </w:rPr>
                      </w:pPr>
                    </w:p>
                    <w:p w14:paraId="3470705F" w14:textId="77777777" w:rsidR="00825FE6" w:rsidRDefault="00825FE6" w:rsidP="001565DD">
                      <w:pPr>
                        <w:rPr>
                          <w:rFonts w:ascii="Century Gothic" w:hAnsi="Century Gothic"/>
                          <w:b/>
                          <w:sz w:val="18"/>
                          <w:szCs w:val="18"/>
                        </w:rPr>
                      </w:pPr>
                    </w:p>
                    <w:p w14:paraId="5893C168" w14:textId="77777777" w:rsidR="00825FE6" w:rsidRPr="00084341" w:rsidRDefault="00825FE6" w:rsidP="001565D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76F84E7" w14:textId="77777777" w:rsidR="00825FE6" w:rsidRPr="00084341" w:rsidRDefault="00825FE6" w:rsidP="001565D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56167925" w14:textId="17629210" w:rsidR="001565DD" w:rsidRPr="006A7289" w:rsidRDefault="001565DD" w:rsidP="00693880">
      <w:pPr>
        <w:spacing w:line="360" w:lineRule="auto"/>
        <w:jc w:val="both"/>
        <w:rPr>
          <w:rFonts w:eastAsia="Arial" w:cs="Arial"/>
          <w:b/>
          <w:sz w:val="24"/>
          <w:szCs w:val="24"/>
        </w:rPr>
      </w:pPr>
    </w:p>
    <w:p w14:paraId="37325B2E" w14:textId="77777777" w:rsidR="001565DD" w:rsidRPr="006A7289" w:rsidRDefault="001565DD" w:rsidP="00693880">
      <w:pPr>
        <w:spacing w:after="0" w:line="360" w:lineRule="auto"/>
        <w:jc w:val="center"/>
        <w:rPr>
          <w:rFonts w:eastAsia="Arial" w:cs="Arial"/>
          <w:b/>
          <w:sz w:val="24"/>
          <w:szCs w:val="24"/>
        </w:rPr>
      </w:pPr>
    </w:p>
    <w:p w14:paraId="21E0CC47" w14:textId="41555D3B" w:rsidR="001565DD" w:rsidRPr="006A7289" w:rsidRDefault="001565DD" w:rsidP="00693880">
      <w:pPr>
        <w:spacing w:after="0" w:line="360" w:lineRule="auto"/>
        <w:jc w:val="center"/>
        <w:rPr>
          <w:rFonts w:eastAsia="Arial" w:cs="Arial"/>
          <w:b/>
          <w:sz w:val="24"/>
          <w:szCs w:val="24"/>
        </w:rPr>
      </w:pPr>
    </w:p>
    <w:p w14:paraId="48098E18" w14:textId="77777777" w:rsidR="001565DD" w:rsidRPr="006A7289" w:rsidRDefault="001565DD" w:rsidP="00693880">
      <w:pPr>
        <w:spacing w:after="0" w:line="360" w:lineRule="auto"/>
        <w:jc w:val="center"/>
        <w:rPr>
          <w:rFonts w:eastAsia="Arial" w:cs="Arial"/>
          <w:b/>
          <w:sz w:val="24"/>
          <w:szCs w:val="24"/>
        </w:rPr>
      </w:pPr>
    </w:p>
    <w:p w14:paraId="1BAFA835" w14:textId="77777777" w:rsidR="001565DD" w:rsidRPr="006A7289" w:rsidRDefault="001565DD" w:rsidP="00C5440A">
      <w:pPr>
        <w:spacing w:after="0" w:line="360" w:lineRule="auto"/>
        <w:rPr>
          <w:rFonts w:eastAsia="Arial" w:cs="Arial"/>
          <w:b/>
          <w:smallCaps/>
          <w:sz w:val="24"/>
          <w:szCs w:val="24"/>
        </w:rPr>
      </w:pPr>
    </w:p>
    <w:p w14:paraId="3CD4C4EF" w14:textId="31B39291" w:rsidR="001565DD" w:rsidRPr="00A52408" w:rsidRDefault="00A52408" w:rsidP="00A52408">
      <w:pPr>
        <w:spacing w:after="0" w:line="360" w:lineRule="auto"/>
        <w:jc w:val="right"/>
        <w:rPr>
          <w:rFonts w:eastAsia="Arial" w:cs="Arial"/>
          <w:bCs/>
          <w:smallCaps/>
          <w:sz w:val="24"/>
          <w:szCs w:val="24"/>
        </w:rPr>
      </w:pPr>
      <w:r w:rsidRPr="00A52408">
        <w:rPr>
          <w:rFonts w:eastAsia="Arial" w:cs="Arial"/>
          <w:bCs/>
          <w:smallCaps/>
          <w:sz w:val="24"/>
          <w:szCs w:val="24"/>
        </w:rPr>
        <w:t>0</w:t>
      </w:r>
      <w:r w:rsidR="00A35BFB">
        <w:rPr>
          <w:rFonts w:eastAsia="Arial" w:cs="Arial"/>
          <w:bCs/>
          <w:smallCaps/>
          <w:sz w:val="24"/>
          <w:szCs w:val="24"/>
        </w:rPr>
        <w:t>7</w:t>
      </w:r>
      <w:r w:rsidRPr="00A52408">
        <w:rPr>
          <w:rFonts w:eastAsia="Arial" w:cs="Arial"/>
          <w:bCs/>
          <w:smallCaps/>
          <w:sz w:val="24"/>
          <w:szCs w:val="24"/>
        </w:rPr>
        <w:t xml:space="preserve"> /09/2022</w:t>
      </w:r>
    </w:p>
    <w:p w14:paraId="4993C9D5" w14:textId="77777777" w:rsidR="001565DD" w:rsidRPr="006A7289" w:rsidRDefault="001565DD" w:rsidP="00693880">
      <w:pPr>
        <w:spacing w:after="0" w:line="360" w:lineRule="auto"/>
        <w:rPr>
          <w:rFonts w:eastAsia="Arial" w:cs="Arial"/>
          <w:sz w:val="24"/>
          <w:szCs w:val="24"/>
        </w:rPr>
      </w:pPr>
      <w:r w:rsidRPr="006A7289">
        <w:rPr>
          <w:rFonts w:eastAsia="Arial" w:cs="Arial"/>
          <w:sz w:val="24"/>
          <w:szCs w:val="24"/>
        </w:rPr>
        <w:t>In the matter between:</w:t>
      </w:r>
    </w:p>
    <w:p w14:paraId="45B2D562" w14:textId="2E52F163" w:rsidR="001565DD" w:rsidRPr="006A7289" w:rsidRDefault="000839D9" w:rsidP="00693880">
      <w:pPr>
        <w:spacing w:after="0" w:line="360" w:lineRule="auto"/>
        <w:rPr>
          <w:rFonts w:eastAsia="Arial" w:cs="Arial"/>
          <w:sz w:val="24"/>
          <w:szCs w:val="24"/>
        </w:rPr>
      </w:pPr>
      <w:r w:rsidRPr="006A7289">
        <w:rPr>
          <w:rFonts w:eastAsia="Arial" w:cs="Arial"/>
          <w:sz w:val="24"/>
          <w:szCs w:val="24"/>
        </w:rPr>
        <w:t xml:space="preserve"> </w:t>
      </w:r>
    </w:p>
    <w:p w14:paraId="238FC547" w14:textId="55027C78" w:rsidR="000839D9" w:rsidRPr="006A7289" w:rsidRDefault="003233A1" w:rsidP="003233A1">
      <w:pPr>
        <w:spacing w:after="0" w:line="360" w:lineRule="auto"/>
        <w:rPr>
          <w:rFonts w:eastAsia="Arial" w:cs="Arial"/>
          <w:b/>
          <w:sz w:val="24"/>
          <w:szCs w:val="24"/>
        </w:rPr>
      </w:pPr>
      <w:r w:rsidRPr="006A7289">
        <w:rPr>
          <w:rFonts w:eastAsia="Arial" w:cs="Arial"/>
          <w:b/>
          <w:sz w:val="24"/>
          <w:szCs w:val="24"/>
        </w:rPr>
        <w:t xml:space="preserve">MICHIELLE BANDS </w:t>
      </w:r>
      <w:r w:rsidR="00494764" w:rsidRPr="006A7289">
        <w:rPr>
          <w:rFonts w:eastAsia="Arial" w:cs="Arial"/>
          <w:b/>
          <w:sz w:val="24"/>
          <w:szCs w:val="24"/>
        </w:rPr>
        <w:tab/>
      </w:r>
      <w:r w:rsidR="00494764" w:rsidRPr="006A7289">
        <w:rPr>
          <w:rFonts w:eastAsia="Arial" w:cs="Arial"/>
          <w:b/>
          <w:sz w:val="24"/>
          <w:szCs w:val="24"/>
        </w:rPr>
        <w:tab/>
      </w:r>
      <w:r w:rsidR="00494764" w:rsidRPr="006A7289">
        <w:rPr>
          <w:rFonts w:eastAsia="Arial" w:cs="Arial"/>
          <w:b/>
          <w:sz w:val="24"/>
          <w:szCs w:val="24"/>
        </w:rPr>
        <w:tab/>
      </w:r>
      <w:r w:rsidR="00494764" w:rsidRPr="006A7289">
        <w:rPr>
          <w:rFonts w:eastAsia="Arial" w:cs="Arial"/>
          <w:b/>
          <w:sz w:val="24"/>
          <w:szCs w:val="24"/>
        </w:rPr>
        <w:tab/>
      </w:r>
      <w:r w:rsidR="00494764" w:rsidRPr="006A7289">
        <w:rPr>
          <w:rFonts w:eastAsia="Arial" w:cs="Arial"/>
          <w:b/>
          <w:sz w:val="24"/>
          <w:szCs w:val="24"/>
        </w:rPr>
        <w:tab/>
      </w:r>
      <w:r w:rsidR="00494764" w:rsidRPr="006A7289">
        <w:rPr>
          <w:rFonts w:eastAsia="Arial" w:cs="Arial"/>
          <w:b/>
          <w:sz w:val="24"/>
          <w:szCs w:val="24"/>
        </w:rPr>
        <w:tab/>
      </w:r>
      <w:r w:rsidR="00A52408">
        <w:rPr>
          <w:rFonts w:eastAsia="Arial" w:cs="Arial"/>
          <w:b/>
          <w:sz w:val="24"/>
          <w:szCs w:val="24"/>
        </w:rPr>
        <w:t xml:space="preserve">     </w:t>
      </w:r>
      <w:r w:rsidR="00CF6608">
        <w:rPr>
          <w:rFonts w:eastAsia="Arial" w:cs="Arial"/>
          <w:b/>
          <w:sz w:val="24"/>
          <w:szCs w:val="24"/>
        </w:rPr>
        <w:tab/>
        <w:t xml:space="preserve">            </w:t>
      </w:r>
      <w:r w:rsidRPr="006A7289">
        <w:rPr>
          <w:rFonts w:eastAsia="Arial" w:cs="Arial"/>
          <w:sz w:val="24"/>
          <w:szCs w:val="24"/>
        </w:rPr>
        <w:t>Excipient</w:t>
      </w:r>
    </w:p>
    <w:p w14:paraId="5D900BDC" w14:textId="761659BD" w:rsidR="000839D9" w:rsidRPr="006A7289" w:rsidRDefault="000839D9" w:rsidP="003233A1">
      <w:pPr>
        <w:spacing w:after="0" w:line="360" w:lineRule="auto"/>
        <w:rPr>
          <w:rFonts w:eastAsia="Arial" w:cs="Arial"/>
          <w:sz w:val="24"/>
          <w:szCs w:val="24"/>
        </w:rPr>
      </w:pPr>
      <w:r w:rsidRPr="006A7289">
        <w:rPr>
          <w:rFonts w:eastAsia="Arial" w:cs="Arial"/>
          <w:sz w:val="24"/>
          <w:szCs w:val="24"/>
        </w:rPr>
        <w:t>and</w:t>
      </w:r>
    </w:p>
    <w:p w14:paraId="63C2E200" w14:textId="204EBDEE" w:rsidR="003233A1" w:rsidRPr="006A7289" w:rsidRDefault="003233A1" w:rsidP="003233A1">
      <w:pPr>
        <w:spacing w:after="0" w:line="360" w:lineRule="auto"/>
        <w:rPr>
          <w:rFonts w:eastAsia="Arial" w:cs="Arial"/>
          <w:sz w:val="24"/>
          <w:szCs w:val="24"/>
        </w:rPr>
      </w:pPr>
      <w:r w:rsidRPr="006A7289">
        <w:rPr>
          <w:rFonts w:eastAsia="Arial" w:cs="Arial"/>
          <w:b/>
          <w:sz w:val="24"/>
          <w:szCs w:val="24"/>
        </w:rPr>
        <w:t xml:space="preserve">JOHANNES PETRUS MOSTERT </w:t>
      </w:r>
      <w:r w:rsidR="00494764" w:rsidRPr="006A7289">
        <w:rPr>
          <w:rFonts w:eastAsia="Arial" w:cs="Arial"/>
          <w:b/>
          <w:sz w:val="24"/>
          <w:szCs w:val="24"/>
        </w:rPr>
        <w:tab/>
      </w:r>
      <w:r w:rsidR="00494764" w:rsidRPr="006A7289">
        <w:rPr>
          <w:rFonts w:eastAsia="Arial" w:cs="Arial"/>
          <w:b/>
          <w:sz w:val="24"/>
          <w:szCs w:val="24"/>
        </w:rPr>
        <w:tab/>
      </w:r>
      <w:r w:rsidR="00494764" w:rsidRPr="006A7289">
        <w:rPr>
          <w:rFonts w:eastAsia="Arial" w:cs="Arial"/>
          <w:b/>
          <w:sz w:val="24"/>
          <w:szCs w:val="24"/>
        </w:rPr>
        <w:tab/>
      </w:r>
      <w:r w:rsidR="00494764" w:rsidRPr="006A7289">
        <w:rPr>
          <w:rFonts w:eastAsia="Arial" w:cs="Arial"/>
          <w:b/>
          <w:sz w:val="24"/>
          <w:szCs w:val="24"/>
        </w:rPr>
        <w:tab/>
        <w:t xml:space="preserve">  </w:t>
      </w:r>
      <w:r w:rsidR="00A52408">
        <w:rPr>
          <w:rFonts w:eastAsia="Arial" w:cs="Arial"/>
          <w:b/>
          <w:sz w:val="24"/>
          <w:szCs w:val="24"/>
        </w:rPr>
        <w:t xml:space="preserve">   </w:t>
      </w:r>
      <w:r w:rsidR="00CF6608">
        <w:rPr>
          <w:rFonts w:eastAsia="Arial" w:cs="Arial"/>
          <w:b/>
          <w:sz w:val="24"/>
          <w:szCs w:val="24"/>
        </w:rPr>
        <w:tab/>
        <w:t xml:space="preserve">       </w:t>
      </w:r>
      <w:r w:rsidRPr="006A7289">
        <w:rPr>
          <w:rFonts w:eastAsia="Arial" w:cs="Arial"/>
          <w:sz w:val="24"/>
          <w:szCs w:val="24"/>
        </w:rPr>
        <w:t>Respondent</w:t>
      </w:r>
      <w:r w:rsidR="00494764" w:rsidRPr="006A7289">
        <w:rPr>
          <w:rFonts w:eastAsia="Arial" w:cs="Arial"/>
          <w:sz w:val="24"/>
          <w:szCs w:val="24"/>
        </w:rPr>
        <w:t xml:space="preserve"> </w:t>
      </w:r>
    </w:p>
    <w:p w14:paraId="7A23D34E" w14:textId="77777777" w:rsidR="000839D9" w:rsidRPr="006A7289" w:rsidRDefault="000839D9" w:rsidP="003233A1">
      <w:pPr>
        <w:spacing w:after="0" w:line="360" w:lineRule="auto"/>
        <w:rPr>
          <w:rFonts w:eastAsia="Arial" w:cs="Arial"/>
          <w:b/>
          <w:sz w:val="24"/>
          <w:szCs w:val="24"/>
        </w:rPr>
      </w:pPr>
    </w:p>
    <w:p w14:paraId="46651688" w14:textId="4399C2C6" w:rsidR="003233A1" w:rsidRPr="006A7289" w:rsidRDefault="00F06D1F" w:rsidP="003233A1">
      <w:pPr>
        <w:spacing w:after="0" w:line="360" w:lineRule="auto"/>
        <w:rPr>
          <w:rFonts w:eastAsia="Arial" w:cs="Arial"/>
          <w:sz w:val="24"/>
          <w:szCs w:val="24"/>
        </w:rPr>
      </w:pPr>
      <w:r w:rsidRPr="006A7289">
        <w:rPr>
          <w:rFonts w:eastAsia="Arial" w:cs="Arial"/>
          <w:sz w:val="24"/>
          <w:szCs w:val="24"/>
        </w:rPr>
        <w:t>in re:</w:t>
      </w:r>
    </w:p>
    <w:p w14:paraId="4B6E561D" w14:textId="77777777" w:rsidR="000839D9" w:rsidRPr="006A7289" w:rsidRDefault="000839D9" w:rsidP="003233A1">
      <w:pPr>
        <w:spacing w:after="0" w:line="360" w:lineRule="auto"/>
        <w:rPr>
          <w:rFonts w:eastAsia="Arial" w:cs="Arial"/>
          <w:b/>
          <w:sz w:val="24"/>
          <w:szCs w:val="24"/>
        </w:rPr>
      </w:pPr>
    </w:p>
    <w:p w14:paraId="2F1E34E7" w14:textId="06E2323A" w:rsidR="003233A1" w:rsidRPr="006A7289" w:rsidRDefault="003233A1" w:rsidP="003233A1">
      <w:pPr>
        <w:spacing w:after="0" w:line="360" w:lineRule="auto"/>
        <w:rPr>
          <w:rFonts w:eastAsia="Arial" w:cs="Arial"/>
          <w:sz w:val="24"/>
          <w:szCs w:val="24"/>
        </w:rPr>
      </w:pPr>
      <w:r w:rsidRPr="006A7289">
        <w:rPr>
          <w:rFonts w:eastAsia="Arial" w:cs="Arial"/>
          <w:b/>
          <w:sz w:val="24"/>
          <w:szCs w:val="24"/>
        </w:rPr>
        <w:t xml:space="preserve">JOHANNES PETRUS MOSTERT </w:t>
      </w:r>
      <w:r w:rsidR="000839D9" w:rsidRPr="006A7289">
        <w:rPr>
          <w:rFonts w:eastAsia="Arial" w:cs="Arial"/>
          <w:b/>
          <w:sz w:val="24"/>
          <w:szCs w:val="24"/>
        </w:rPr>
        <w:tab/>
      </w:r>
      <w:r w:rsidR="000839D9" w:rsidRPr="006A7289">
        <w:rPr>
          <w:rFonts w:eastAsia="Arial" w:cs="Arial"/>
          <w:b/>
          <w:sz w:val="24"/>
          <w:szCs w:val="24"/>
        </w:rPr>
        <w:tab/>
      </w:r>
      <w:r w:rsidR="000839D9" w:rsidRPr="006A7289">
        <w:rPr>
          <w:rFonts w:eastAsia="Arial" w:cs="Arial"/>
          <w:b/>
          <w:sz w:val="24"/>
          <w:szCs w:val="24"/>
        </w:rPr>
        <w:tab/>
      </w:r>
      <w:r w:rsidR="000839D9" w:rsidRPr="006A7289">
        <w:rPr>
          <w:rFonts w:eastAsia="Arial" w:cs="Arial"/>
          <w:b/>
          <w:sz w:val="24"/>
          <w:szCs w:val="24"/>
        </w:rPr>
        <w:tab/>
      </w:r>
      <w:r w:rsidR="000839D9" w:rsidRPr="006A7289">
        <w:rPr>
          <w:rFonts w:eastAsia="Arial" w:cs="Arial"/>
          <w:b/>
          <w:sz w:val="24"/>
          <w:szCs w:val="24"/>
        </w:rPr>
        <w:tab/>
      </w:r>
      <w:r w:rsidR="000839D9" w:rsidRPr="006A7289">
        <w:rPr>
          <w:rFonts w:eastAsia="Arial" w:cs="Arial"/>
          <w:b/>
          <w:sz w:val="24"/>
          <w:szCs w:val="24"/>
        </w:rPr>
        <w:tab/>
        <w:t xml:space="preserve">   </w:t>
      </w:r>
      <w:r w:rsidR="00A52408">
        <w:rPr>
          <w:rFonts w:eastAsia="Arial" w:cs="Arial"/>
          <w:b/>
          <w:sz w:val="24"/>
          <w:szCs w:val="24"/>
        </w:rPr>
        <w:t xml:space="preserve"> </w:t>
      </w:r>
      <w:r w:rsidR="00A774AF" w:rsidRPr="006A7289">
        <w:rPr>
          <w:rFonts w:eastAsia="Arial" w:cs="Arial"/>
          <w:sz w:val="24"/>
          <w:szCs w:val="24"/>
        </w:rPr>
        <w:t>Plaintiff</w:t>
      </w:r>
    </w:p>
    <w:p w14:paraId="34E03F0F" w14:textId="4DE59078" w:rsidR="003233A1" w:rsidRPr="006A7289" w:rsidRDefault="000839D9" w:rsidP="003233A1">
      <w:pPr>
        <w:spacing w:after="0" w:line="360" w:lineRule="auto"/>
        <w:rPr>
          <w:rFonts w:eastAsia="Arial" w:cs="Arial"/>
          <w:sz w:val="24"/>
          <w:szCs w:val="24"/>
        </w:rPr>
      </w:pPr>
      <w:r w:rsidRPr="006A7289">
        <w:rPr>
          <w:rFonts w:eastAsia="Arial" w:cs="Arial"/>
          <w:sz w:val="24"/>
          <w:szCs w:val="24"/>
        </w:rPr>
        <w:t>a</w:t>
      </w:r>
      <w:r w:rsidR="003233A1" w:rsidRPr="006A7289">
        <w:rPr>
          <w:rFonts w:eastAsia="Arial" w:cs="Arial"/>
          <w:sz w:val="24"/>
          <w:szCs w:val="24"/>
        </w:rPr>
        <w:t>nd</w:t>
      </w:r>
    </w:p>
    <w:p w14:paraId="19E004AF" w14:textId="342BD743" w:rsidR="003233A1" w:rsidRPr="006A7289" w:rsidRDefault="003233A1" w:rsidP="003233A1">
      <w:pPr>
        <w:spacing w:after="0" w:line="360" w:lineRule="auto"/>
        <w:rPr>
          <w:rFonts w:eastAsia="Arial" w:cs="Arial"/>
          <w:b/>
          <w:sz w:val="24"/>
          <w:szCs w:val="24"/>
        </w:rPr>
      </w:pPr>
      <w:r w:rsidRPr="006A7289">
        <w:rPr>
          <w:rFonts w:eastAsia="Arial" w:cs="Arial"/>
          <w:b/>
          <w:sz w:val="24"/>
          <w:szCs w:val="24"/>
        </w:rPr>
        <w:t>MICHIELLE BANDS</w:t>
      </w:r>
      <w:r w:rsidR="00F06D1F" w:rsidRPr="006A7289">
        <w:rPr>
          <w:rFonts w:eastAsia="Arial" w:cs="Arial"/>
          <w:b/>
          <w:sz w:val="24"/>
          <w:szCs w:val="24"/>
        </w:rPr>
        <w:tab/>
      </w:r>
      <w:r w:rsidR="00F06D1F" w:rsidRPr="006A7289">
        <w:rPr>
          <w:rFonts w:eastAsia="Arial" w:cs="Arial"/>
          <w:b/>
          <w:sz w:val="24"/>
          <w:szCs w:val="24"/>
        </w:rPr>
        <w:tab/>
      </w:r>
      <w:r w:rsidR="00F06D1F" w:rsidRPr="006A7289">
        <w:rPr>
          <w:rFonts w:eastAsia="Arial" w:cs="Arial"/>
          <w:b/>
          <w:sz w:val="24"/>
          <w:szCs w:val="24"/>
        </w:rPr>
        <w:tab/>
      </w:r>
      <w:r w:rsidR="00F06D1F" w:rsidRPr="006A7289">
        <w:rPr>
          <w:rFonts w:eastAsia="Arial" w:cs="Arial"/>
          <w:b/>
          <w:sz w:val="24"/>
          <w:szCs w:val="24"/>
        </w:rPr>
        <w:tab/>
      </w:r>
      <w:r w:rsidR="00F06D1F" w:rsidRPr="006A7289">
        <w:rPr>
          <w:rFonts w:eastAsia="Arial" w:cs="Arial"/>
          <w:b/>
          <w:sz w:val="24"/>
          <w:szCs w:val="24"/>
        </w:rPr>
        <w:tab/>
      </w:r>
      <w:r w:rsidR="00F06D1F" w:rsidRPr="006A7289">
        <w:rPr>
          <w:rFonts w:eastAsia="Arial" w:cs="Arial"/>
          <w:b/>
          <w:sz w:val="24"/>
          <w:szCs w:val="24"/>
        </w:rPr>
        <w:tab/>
      </w:r>
      <w:r w:rsidR="000839D9" w:rsidRPr="006A7289">
        <w:rPr>
          <w:rFonts w:eastAsia="Arial" w:cs="Arial"/>
          <w:b/>
          <w:sz w:val="24"/>
          <w:szCs w:val="24"/>
        </w:rPr>
        <w:t xml:space="preserve"> </w:t>
      </w:r>
      <w:r w:rsidR="00A5029A" w:rsidRPr="006A7289">
        <w:rPr>
          <w:rFonts w:eastAsia="Arial" w:cs="Arial"/>
          <w:b/>
          <w:sz w:val="24"/>
          <w:szCs w:val="24"/>
        </w:rPr>
        <w:t xml:space="preserve">         </w:t>
      </w:r>
      <w:r w:rsidR="00A52408">
        <w:rPr>
          <w:rFonts w:eastAsia="Arial" w:cs="Arial"/>
          <w:b/>
          <w:sz w:val="24"/>
          <w:szCs w:val="24"/>
        </w:rPr>
        <w:tab/>
        <w:t xml:space="preserve">  </w:t>
      </w:r>
      <w:r w:rsidR="003B011D">
        <w:rPr>
          <w:rFonts w:eastAsia="Arial" w:cs="Arial"/>
          <w:sz w:val="24"/>
          <w:szCs w:val="24"/>
        </w:rPr>
        <w:t>First</w:t>
      </w:r>
      <w:r w:rsidR="000A22AB">
        <w:rPr>
          <w:rFonts w:eastAsia="Arial" w:cs="Arial"/>
          <w:sz w:val="24"/>
          <w:szCs w:val="24"/>
        </w:rPr>
        <w:t xml:space="preserve"> D</w:t>
      </w:r>
      <w:r w:rsidR="003B011D">
        <w:rPr>
          <w:rFonts w:eastAsia="Arial" w:cs="Arial"/>
          <w:sz w:val="24"/>
          <w:szCs w:val="24"/>
        </w:rPr>
        <w:t>efendant</w:t>
      </w:r>
    </w:p>
    <w:p w14:paraId="6FF898BA" w14:textId="77777777" w:rsidR="003233A1" w:rsidRPr="006A7289" w:rsidRDefault="003233A1" w:rsidP="003233A1">
      <w:pPr>
        <w:spacing w:after="0" w:line="360" w:lineRule="auto"/>
        <w:rPr>
          <w:rFonts w:eastAsia="Arial" w:cs="Arial"/>
          <w:b/>
          <w:sz w:val="24"/>
          <w:szCs w:val="24"/>
        </w:rPr>
      </w:pPr>
      <w:r w:rsidRPr="006A7289">
        <w:rPr>
          <w:rFonts w:eastAsia="Arial" w:cs="Arial"/>
          <w:b/>
          <w:sz w:val="24"/>
          <w:szCs w:val="24"/>
        </w:rPr>
        <w:t>THE SHERIFF FOR THE DISTRICT OF</w:t>
      </w:r>
    </w:p>
    <w:p w14:paraId="1E78F337" w14:textId="4B2A26CF" w:rsidR="000839D9" w:rsidRPr="006A7289" w:rsidRDefault="003233A1" w:rsidP="003233A1">
      <w:pPr>
        <w:spacing w:after="0" w:line="360" w:lineRule="auto"/>
        <w:rPr>
          <w:rFonts w:eastAsia="Arial" w:cs="Arial"/>
          <w:b/>
          <w:sz w:val="24"/>
          <w:szCs w:val="24"/>
        </w:rPr>
      </w:pPr>
      <w:r w:rsidRPr="006A7289">
        <w:rPr>
          <w:rFonts w:eastAsia="Arial" w:cs="Arial"/>
          <w:b/>
          <w:sz w:val="24"/>
          <w:szCs w:val="24"/>
        </w:rPr>
        <w:t>RANDBURG SOUTH WEST</w:t>
      </w:r>
      <w:r w:rsidR="00F06D1F" w:rsidRPr="006A7289">
        <w:rPr>
          <w:rFonts w:eastAsia="Arial" w:cs="Arial"/>
          <w:b/>
          <w:sz w:val="24"/>
          <w:szCs w:val="24"/>
        </w:rPr>
        <w:t xml:space="preserve"> </w:t>
      </w:r>
      <w:r w:rsidR="00F06D1F" w:rsidRPr="006A7289">
        <w:rPr>
          <w:rFonts w:eastAsia="Arial" w:cs="Arial"/>
          <w:b/>
          <w:sz w:val="24"/>
          <w:szCs w:val="24"/>
        </w:rPr>
        <w:tab/>
      </w:r>
      <w:r w:rsidR="00F06D1F" w:rsidRPr="006A7289">
        <w:rPr>
          <w:rFonts w:eastAsia="Arial" w:cs="Arial"/>
          <w:b/>
          <w:sz w:val="24"/>
          <w:szCs w:val="24"/>
        </w:rPr>
        <w:tab/>
      </w:r>
      <w:r w:rsidR="00F06D1F" w:rsidRPr="006A7289">
        <w:rPr>
          <w:rFonts w:eastAsia="Arial" w:cs="Arial"/>
          <w:b/>
          <w:sz w:val="24"/>
          <w:szCs w:val="24"/>
        </w:rPr>
        <w:tab/>
      </w:r>
      <w:r w:rsidR="00F06D1F" w:rsidRPr="006A7289">
        <w:rPr>
          <w:rFonts w:eastAsia="Arial" w:cs="Arial"/>
          <w:b/>
          <w:sz w:val="24"/>
          <w:szCs w:val="24"/>
        </w:rPr>
        <w:tab/>
        <w:t xml:space="preserve">      </w:t>
      </w:r>
      <w:r w:rsidR="000839D9" w:rsidRPr="006A7289">
        <w:rPr>
          <w:rFonts w:eastAsia="Arial" w:cs="Arial"/>
          <w:b/>
          <w:sz w:val="24"/>
          <w:szCs w:val="24"/>
        </w:rPr>
        <w:t xml:space="preserve">         </w:t>
      </w:r>
      <w:r w:rsidR="00A52408">
        <w:rPr>
          <w:rFonts w:eastAsia="Arial" w:cs="Arial"/>
          <w:b/>
          <w:sz w:val="24"/>
          <w:szCs w:val="24"/>
        </w:rPr>
        <w:t xml:space="preserve">    </w:t>
      </w:r>
      <w:r w:rsidR="000839D9" w:rsidRPr="006A7289">
        <w:rPr>
          <w:rFonts w:eastAsia="Arial" w:cs="Arial"/>
          <w:sz w:val="24"/>
          <w:szCs w:val="24"/>
        </w:rPr>
        <w:t xml:space="preserve">Second </w:t>
      </w:r>
      <w:r w:rsidR="00480E96" w:rsidRPr="006A7289">
        <w:rPr>
          <w:rFonts w:eastAsia="Arial" w:cs="Arial"/>
          <w:sz w:val="24"/>
          <w:szCs w:val="24"/>
        </w:rPr>
        <w:t>Defendant</w:t>
      </w:r>
    </w:p>
    <w:p w14:paraId="3D633DAD" w14:textId="48CD79BB" w:rsidR="001565DD" w:rsidRPr="006A7289" w:rsidRDefault="006C3818" w:rsidP="00693880">
      <w:pPr>
        <w:spacing w:after="0" w:line="360" w:lineRule="auto"/>
        <w:rPr>
          <w:rFonts w:eastAsia="Arial" w:cs="Arial"/>
          <w:sz w:val="24"/>
          <w:szCs w:val="24"/>
        </w:rPr>
      </w:pPr>
      <w:r w:rsidRPr="006A7289">
        <w:rPr>
          <w:rFonts w:eastAsia="Arial" w:cs="Arial"/>
          <w:sz w:val="24"/>
          <w:szCs w:val="24"/>
        </w:rPr>
        <w:lastRenderedPageBreak/>
        <w:t>___</w:t>
      </w:r>
      <w:r w:rsidR="001565DD" w:rsidRPr="006A7289">
        <w:rPr>
          <w:rFonts w:eastAsia="Arial" w:cs="Arial"/>
          <w:sz w:val="24"/>
          <w:szCs w:val="24"/>
        </w:rPr>
        <w:t>___________________________________________________________</w:t>
      </w:r>
    </w:p>
    <w:p w14:paraId="2341EDD1" w14:textId="77777777" w:rsidR="001565DD" w:rsidRPr="006A7289" w:rsidRDefault="001565DD" w:rsidP="00693880">
      <w:pPr>
        <w:spacing w:after="0" w:line="360" w:lineRule="auto"/>
        <w:rPr>
          <w:rFonts w:eastAsia="Arial" w:cs="Arial"/>
          <w:sz w:val="24"/>
          <w:szCs w:val="24"/>
        </w:rPr>
      </w:pPr>
    </w:p>
    <w:p w14:paraId="334D27D8" w14:textId="77777777" w:rsidR="001565DD" w:rsidRPr="006A7289" w:rsidRDefault="001565DD" w:rsidP="00693880">
      <w:pPr>
        <w:spacing w:after="0" w:line="360" w:lineRule="auto"/>
        <w:jc w:val="center"/>
        <w:rPr>
          <w:rFonts w:eastAsia="Arial" w:cs="Arial"/>
          <w:b/>
          <w:smallCaps/>
          <w:sz w:val="24"/>
          <w:szCs w:val="24"/>
        </w:rPr>
      </w:pPr>
      <w:r w:rsidRPr="006A7289">
        <w:rPr>
          <w:rFonts w:eastAsia="Arial" w:cs="Arial"/>
          <w:b/>
          <w:smallCaps/>
          <w:sz w:val="24"/>
          <w:szCs w:val="24"/>
        </w:rPr>
        <w:t>JUDGMENT</w:t>
      </w:r>
    </w:p>
    <w:p w14:paraId="31FE56CC" w14:textId="7290F00B" w:rsidR="00746EC4" w:rsidRPr="006A7289" w:rsidRDefault="001565DD" w:rsidP="00693880">
      <w:pPr>
        <w:spacing w:after="0" w:line="360" w:lineRule="auto"/>
        <w:rPr>
          <w:rFonts w:eastAsia="Arial" w:cs="Arial"/>
          <w:sz w:val="24"/>
          <w:szCs w:val="24"/>
        </w:rPr>
      </w:pPr>
      <w:r w:rsidRPr="006A7289">
        <w:rPr>
          <w:rFonts w:eastAsia="Arial" w:cs="Arial"/>
          <w:sz w:val="24"/>
          <w:szCs w:val="24"/>
        </w:rPr>
        <w:t>_________________________________</w:t>
      </w:r>
      <w:r w:rsidR="006C3818" w:rsidRPr="006A7289">
        <w:rPr>
          <w:rFonts w:eastAsia="Arial" w:cs="Arial"/>
          <w:sz w:val="24"/>
          <w:szCs w:val="24"/>
        </w:rPr>
        <w:t>___________________________</w:t>
      </w:r>
      <w:r w:rsidRPr="006A7289">
        <w:rPr>
          <w:rFonts w:eastAsia="Arial" w:cs="Arial"/>
          <w:sz w:val="24"/>
          <w:szCs w:val="24"/>
        </w:rPr>
        <w:t>__</w:t>
      </w:r>
    </w:p>
    <w:p w14:paraId="750F9247" w14:textId="63BCDB78" w:rsidR="00746EC4" w:rsidRPr="006A7289" w:rsidRDefault="00F62D52" w:rsidP="00F62D52">
      <w:pPr>
        <w:spacing w:after="0" w:line="360" w:lineRule="auto"/>
        <w:rPr>
          <w:rFonts w:eastAsia="Arial" w:cs="Arial"/>
          <w:b/>
          <w:sz w:val="24"/>
          <w:szCs w:val="24"/>
        </w:rPr>
      </w:pPr>
      <w:r w:rsidRPr="006A7289">
        <w:rPr>
          <w:rFonts w:eastAsia="Arial" w:cs="Arial"/>
          <w:b/>
          <w:sz w:val="24"/>
          <w:szCs w:val="24"/>
        </w:rPr>
        <w:t>Olivier</w:t>
      </w:r>
      <w:r w:rsidR="00672EFE" w:rsidRPr="006A7289">
        <w:rPr>
          <w:rFonts w:eastAsia="Arial" w:cs="Arial"/>
          <w:b/>
          <w:sz w:val="24"/>
          <w:szCs w:val="24"/>
        </w:rPr>
        <w:t>,</w:t>
      </w:r>
      <w:r w:rsidRPr="006A7289">
        <w:rPr>
          <w:rFonts w:eastAsia="Arial" w:cs="Arial"/>
          <w:b/>
          <w:sz w:val="24"/>
          <w:szCs w:val="24"/>
        </w:rPr>
        <w:t xml:space="preserve"> AJ</w:t>
      </w:r>
      <w:r w:rsidR="00672EFE" w:rsidRPr="006A7289">
        <w:rPr>
          <w:rFonts w:eastAsia="Arial" w:cs="Arial"/>
          <w:b/>
          <w:sz w:val="24"/>
          <w:szCs w:val="24"/>
        </w:rPr>
        <w:t>:</w:t>
      </w:r>
      <w:r w:rsidR="001565DD" w:rsidRPr="006A7289">
        <w:rPr>
          <w:rFonts w:eastAsia="Arial" w:cs="Arial"/>
          <w:b/>
          <w:sz w:val="24"/>
          <w:szCs w:val="24"/>
        </w:rPr>
        <w:t xml:space="preserve"> </w:t>
      </w:r>
    </w:p>
    <w:p w14:paraId="6D38C145" w14:textId="77777777" w:rsidR="00F62D52" w:rsidRPr="006A7289" w:rsidRDefault="00F62D52" w:rsidP="00F62D52">
      <w:pPr>
        <w:spacing w:after="0" w:line="360" w:lineRule="auto"/>
        <w:rPr>
          <w:rFonts w:eastAsia="Arial" w:cs="Arial"/>
          <w:b/>
          <w:sz w:val="24"/>
          <w:szCs w:val="24"/>
        </w:rPr>
      </w:pPr>
    </w:p>
    <w:p w14:paraId="716BAC92" w14:textId="78ABDA57" w:rsidR="00CB5C14" w:rsidRPr="006A7289" w:rsidRDefault="0053573D" w:rsidP="00693880">
      <w:pPr>
        <w:spacing w:after="0" w:line="360" w:lineRule="auto"/>
        <w:jc w:val="both"/>
        <w:rPr>
          <w:rFonts w:cs="Arial"/>
          <w:b/>
          <w:sz w:val="24"/>
          <w:szCs w:val="24"/>
        </w:rPr>
      </w:pPr>
      <w:r w:rsidRPr="006A7289">
        <w:rPr>
          <w:rFonts w:cs="Arial"/>
          <w:b/>
          <w:sz w:val="24"/>
          <w:szCs w:val="24"/>
        </w:rPr>
        <w:t>Introduction</w:t>
      </w:r>
    </w:p>
    <w:p w14:paraId="4AC843C4" w14:textId="77777777" w:rsidR="00E35400" w:rsidRPr="006A7289" w:rsidRDefault="00E35400" w:rsidP="00693880">
      <w:pPr>
        <w:spacing w:line="360" w:lineRule="auto"/>
        <w:jc w:val="both"/>
        <w:rPr>
          <w:rFonts w:eastAsia="Arial" w:cs="Arial"/>
          <w:b/>
          <w:sz w:val="24"/>
          <w:szCs w:val="24"/>
        </w:rPr>
      </w:pPr>
    </w:p>
    <w:p w14:paraId="6AC9907A" w14:textId="5F1F5405" w:rsidR="0014435D" w:rsidRPr="006A7289" w:rsidRDefault="003233A1" w:rsidP="00A25948">
      <w:pPr>
        <w:pStyle w:val="ListParagraph"/>
        <w:numPr>
          <w:ilvl w:val="0"/>
          <w:numId w:val="12"/>
        </w:numPr>
        <w:spacing w:after="0" w:line="360" w:lineRule="auto"/>
        <w:ind w:left="851" w:hanging="851"/>
        <w:jc w:val="both"/>
        <w:rPr>
          <w:rFonts w:cs="Arial"/>
          <w:sz w:val="24"/>
          <w:szCs w:val="24"/>
        </w:rPr>
      </w:pPr>
      <w:r w:rsidRPr="006A7289">
        <w:rPr>
          <w:rFonts w:cs="Arial"/>
          <w:sz w:val="24"/>
          <w:szCs w:val="24"/>
        </w:rPr>
        <w:t xml:space="preserve">The </w:t>
      </w:r>
      <w:r w:rsidR="00A25948" w:rsidRPr="006A7289">
        <w:rPr>
          <w:rFonts w:cs="Arial"/>
          <w:sz w:val="24"/>
          <w:szCs w:val="24"/>
        </w:rPr>
        <w:t>e</w:t>
      </w:r>
      <w:r w:rsidR="00D477BC" w:rsidRPr="006A7289">
        <w:rPr>
          <w:rFonts w:cs="Arial"/>
          <w:sz w:val="24"/>
          <w:szCs w:val="24"/>
        </w:rPr>
        <w:t>xcipient</w:t>
      </w:r>
      <w:r w:rsidR="00494764" w:rsidRPr="006A7289">
        <w:rPr>
          <w:rFonts w:cs="Arial"/>
          <w:sz w:val="24"/>
          <w:szCs w:val="24"/>
        </w:rPr>
        <w:t xml:space="preserve"> is the </w:t>
      </w:r>
      <w:r w:rsidR="003B011D">
        <w:rPr>
          <w:rFonts w:cs="Arial"/>
          <w:sz w:val="24"/>
          <w:szCs w:val="24"/>
        </w:rPr>
        <w:t>first defendant</w:t>
      </w:r>
      <w:r w:rsidR="00494764" w:rsidRPr="006A7289">
        <w:rPr>
          <w:rFonts w:cs="Arial"/>
          <w:sz w:val="24"/>
          <w:szCs w:val="24"/>
        </w:rPr>
        <w:t xml:space="preserve"> in an action instituted by the plaintiff (respondent in this exception application). The second </w:t>
      </w:r>
      <w:r w:rsidR="00480E96" w:rsidRPr="006A7289">
        <w:rPr>
          <w:rFonts w:cs="Arial"/>
          <w:sz w:val="24"/>
          <w:szCs w:val="24"/>
        </w:rPr>
        <w:t>defendant</w:t>
      </w:r>
      <w:r w:rsidR="00494764" w:rsidRPr="006A7289">
        <w:rPr>
          <w:rFonts w:cs="Arial"/>
          <w:sz w:val="24"/>
          <w:szCs w:val="24"/>
        </w:rPr>
        <w:t xml:space="preserve"> is the </w:t>
      </w:r>
      <w:r w:rsidR="003B011D">
        <w:rPr>
          <w:rFonts w:cs="Arial"/>
          <w:sz w:val="24"/>
          <w:szCs w:val="24"/>
        </w:rPr>
        <w:t>S</w:t>
      </w:r>
      <w:r w:rsidR="00494764" w:rsidRPr="006A7289">
        <w:rPr>
          <w:rFonts w:cs="Arial"/>
          <w:sz w:val="24"/>
          <w:szCs w:val="24"/>
        </w:rPr>
        <w:t>heriff for the district of Randburg South West</w:t>
      </w:r>
      <w:r w:rsidR="00B715F7">
        <w:rPr>
          <w:rFonts w:cs="Arial"/>
          <w:sz w:val="24"/>
          <w:szCs w:val="24"/>
        </w:rPr>
        <w:t>.</w:t>
      </w:r>
      <w:r w:rsidR="00494764" w:rsidRPr="006A7289">
        <w:rPr>
          <w:rFonts w:cs="Arial"/>
          <w:sz w:val="24"/>
          <w:szCs w:val="24"/>
        </w:rPr>
        <w:t xml:space="preserve"> </w:t>
      </w:r>
      <w:r w:rsidR="00A25948" w:rsidRPr="006A7289">
        <w:rPr>
          <w:rFonts w:cs="Arial"/>
          <w:sz w:val="24"/>
          <w:szCs w:val="24"/>
        </w:rPr>
        <w:t xml:space="preserve">For considerations of practicality and/or ease of reference and clarity, I </w:t>
      </w:r>
      <w:r w:rsidR="003B011D">
        <w:rPr>
          <w:rFonts w:cs="Arial"/>
          <w:sz w:val="24"/>
          <w:szCs w:val="24"/>
        </w:rPr>
        <w:t>shall</w:t>
      </w:r>
      <w:r w:rsidR="00A25948" w:rsidRPr="006A7289">
        <w:rPr>
          <w:rFonts w:cs="Arial"/>
          <w:sz w:val="24"/>
          <w:szCs w:val="24"/>
        </w:rPr>
        <w:t xml:space="preserve"> refer to the parties herein as in the main action.</w:t>
      </w:r>
    </w:p>
    <w:p w14:paraId="1EA19E33" w14:textId="0E24B440" w:rsidR="008C24D4" w:rsidRPr="006A7289" w:rsidRDefault="00494764" w:rsidP="00A5029A">
      <w:pPr>
        <w:pStyle w:val="ListParagraph"/>
        <w:numPr>
          <w:ilvl w:val="0"/>
          <w:numId w:val="12"/>
        </w:numPr>
        <w:spacing w:after="0" w:line="360" w:lineRule="auto"/>
        <w:ind w:left="851" w:hanging="851"/>
        <w:jc w:val="both"/>
        <w:rPr>
          <w:rFonts w:cs="Arial"/>
          <w:sz w:val="24"/>
          <w:szCs w:val="24"/>
        </w:rPr>
      </w:pPr>
      <w:r w:rsidRPr="006A7289">
        <w:rPr>
          <w:rFonts w:cs="Arial"/>
          <w:sz w:val="24"/>
          <w:szCs w:val="24"/>
        </w:rPr>
        <w:t xml:space="preserve">The </w:t>
      </w:r>
      <w:r w:rsidR="003B011D">
        <w:rPr>
          <w:rFonts w:cs="Arial"/>
          <w:sz w:val="24"/>
          <w:szCs w:val="24"/>
        </w:rPr>
        <w:t>first defendant</w:t>
      </w:r>
      <w:r w:rsidR="003233A1" w:rsidRPr="006A7289">
        <w:rPr>
          <w:rFonts w:cs="Arial"/>
          <w:sz w:val="24"/>
          <w:szCs w:val="24"/>
        </w:rPr>
        <w:t xml:space="preserve">, an adult </w:t>
      </w:r>
      <w:r w:rsidR="00A774AF" w:rsidRPr="006A7289">
        <w:rPr>
          <w:rFonts w:cs="Arial"/>
          <w:sz w:val="24"/>
          <w:szCs w:val="24"/>
        </w:rPr>
        <w:t>fe</w:t>
      </w:r>
      <w:r w:rsidR="003233A1" w:rsidRPr="006A7289">
        <w:rPr>
          <w:rFonts w:cs="Arial"/>
          <w:sz w:val="24"/>
          <w:szCs w:val="24"/>
        </w:rPr>
        <w:t xml:space="preserve">male, and the </w:t>
      </w:r>
      <w:r w:rsidR="0014435D" w:rsidRPr="006A7289">
        <w:rPr>
          <w:rFonts w:cs="Arial"/>
          <w:sz w:val="24"/>
          <w:szCs w:val="24"/>
        </w:rPr>
        <w:t>plaintiff</w:t>
      </w:r>
      <w:r w:rsidR="003233A1" w:rsidRPr="006A7289">
        <w:rPr>
          <w:rFonts w:cs="Arial"/>
          <w:sz w:val="24"/>
          <w:szCs w:val="24"/>
        </w:rPr>
        <w:t xml:space="preserve">, an adult male, </w:t>
      </w:r>
      <w:r w:rsidR="008C24D4" w:rsidRPr="006A7289">
        <w:rPr>
          <w:rFonts w:cs="Arial"/>
          <w:sz w:val="24"/>
          <w:szCs w:val="24"/>
        </w:rPr>
        <w:t>are former</w:t>
      </w:r>
      <w:r w:rsidR="003233A1" w:rsidRPr="006A7289">
        <w:rPr>
          <w:rFonts w:cs="Arial"/>
          <w:sz w:val="24"/>
          <w:szCs w:val="24"/>
        </w:rPr>
        <w:t xml:space="preserve"> </w:t>
      </w:r>
      <w:r w:rsidR="00596AF0" w:rsidRPr="006A7289">
        <w:rPr>
          <w:rFonts w:cs="Arial"/>
          <w:sz w:val="24"/>
          <w:szCs w:val="24"/>
        </w:rPr>
        <w:t>spouses</w:t>
      </w:r>
      <w:r w:rsidR="003233A1" w:rsidRPr="006A7289">
        <w:rPr>
          <w:rFonts w:cs="Arial"/>
          <w:sz w:val="24"/>
          <w:szCs w:val="24"/>
        </w:rPr>
        <w:t xml:space="preserve">. </w:t>
      </w:r>
      <w:r w:rsidR="003B011D">
        <w:rPr>
          <w:rFonts w:cs="Arial"/>
          <w:sz w:val="24"/>
          <w:szCs w:val="24"/>
        </w:rPr>
        <w:t>One c</w:t>
      </w:r>
      <w:r w:rsidR="008C24D4" w:rsidRPr="006A7289">
        <w:rPr>
          <w:rFonts w:cs="Arial"/>
          <w:sz w:val="24"/>
          <w:szCs w:val="24"/>
        </w:rPr>
        <w:t>hild was born</w:t>
      </w:r>
      <w:r w:rsidR="0014435D" w:rsidRPr="006A7289">
        <w:rPr>
          <w:rFonts w:cs="Arial"/>
          <w:sz w:val="24"/>
          <w:szCs w:val="24"/>
        </w:rPr>
        <w:t xml:space="preserve"> </w:t>
      </w:r>
      <w:r w:rsidR="00737AB2">
        <w:rPr>
          <w:rFonts w:cs="Arial"/>
          <w:sz w:val="24"/>
          <w:szCs w:val="24"/>
        </w:rPr>
        <w:t>of the marriage, on 1 June</w:t>
      </w:r>
      <w:r w:rsidR="0014435D" w:rsidRPr="006A7289">
        <w:rPr>
          <w:rFonts w:cs="Arial"/>
          <w:sz w:val="24"/>
          <w:szCs w:val="24"/>
        </w:rPr>
        <w:t xml:space="preserve"> 1993. The marriage was dissolved on </w:t>
      </w:r>
      <w:r w:rsidR="008C24D4" w:rsidRPr="006A7289">
        <w:rPr>
          <w:rFonts w:cs="Arial"/>
          <w:sz w:val="24"/>
          <w:szCs w:val="24"/>
        </w:rPr>
        <w:t>20 September 1995</w:t>
      </w:r>
      <w:r w:rsidR="0014435D" w:rsidRPr="006A7289">
        <w:rPr>
          <w:rFonts w:cs="Arial"/>
          <w:sz w:val="24"/>
          <w:szCs w:val="24"/>
        </w:rPr>
        <w:t>. T</w:t>
      </w:r>
      <w:r w:rsidR="00F06D1F" w:rsidRPr="006A7289">
        <w:rPr>
          <w:rFonts w:cs="Arial"/>
          <w:sz w:val="24"/>
          <w:szCs w:val="24"/>
        </w:rPr>
        <w:t xml:space="preserve">he settlement agreement concluded between the parties was made an order of court. </w:t>
      </w:r>
      <w:r w:rsidR="008C24D4" w:rsidRPr="006A7289">
        <w:rPr>
          <w:rFonts w:cs="Arial"/>
          <w:sz w:val="24"/>
          <w:szCs w:val="24"/>
        </w:rPr>
        <w:t xml:space="preserve"> </w:t>
      </w:r>
    </w:p>
    <w:p w14:paraId="393ED9F4" w14:textId="2E564DF8" w:rsidR="008C24D4" w:rsidRPr="006A7289" w:rsidRDefault="0031288C" w:rsidP="00A5029A">
      <w:pPr>
        <w:pStyle w:val="ListParagraph"/>
        <w:numPr>
          <w:ilvl w:val="0"/>
          <w:numId w:val="12"/>
        </w:numPr>
        <w:spacing w:after="0" w:line="360" w:lineRule="auto"/>
        <w:ind w:left="851" w:hanging="851"/>
        <w:jc w:val="both"/>
        <w:rPr>
          <w:rFonts w:cs="Arial"/>
          <w:sz w:val="24"/>
          <w:szCs w:val="24"/>
        </w:rPr>
      </w:pPr>
      <w:r w:rsidRPr="006A7289">
        <w:rPr>
          <w:rFonts w:cs="Arial"/>
          <w:sz w:val="24"/>
          <w:szCs w:val="24"/>
        </w:rPr>
        <w:t xml:space="preserve">The settlement agreement provided for the maintenance obligations of the </w:t>
      </w:r>
      <w:r w:rsidR="00B715F7">
        <w:rPr>
          <w:rFonts w:cs="Arial"/>
          <w:sz w:val="24"/>
          <w:szCs w:val="24"/>
        </w:rPr>
        <w:t>plaintiff</w:t>
      </w:r>
      <w:r w:rsidRPr="006A7289">
        <w:rPr>
          <w:rFonts w:cs="Arial"/>
          <w:sz w:val="24"/>
          <w:szCs w:val="24"/>
        </w:rPr>
        <w:t xml:space="preserve">. </w:t>
      </w:r>
      <w:r w:rsidR="008C24D4" w:rsidRPr="006A7289">
        <w:rPr>
          <w:rFonts w:cs="Arial"/>
          <w:sz w:val="24"/>
          <w:szCs w:val="24"/>
        </w:rPr>
        <w:t xml:space="preserve">At the time of the divorce, the </w:t>
      </w:r>
      <w:r w:rsidR="00B715F7">
        <w:rPr>
          <w:rFonts w:cs="Arial"/>
          <w:sz w:val="24"/>
          <w:szCs w:val="24"/>
        </w:rPr>
        <w:t>plaintiff</w:t>
      </w:r>
      <w:r w:rsidR="008C24D4" w:rsidRPr="006A7289">
        <w:rPr>
          <w:rFonts w:cs="Arial"/>
          <w:sz w:val="24"/>
          <w:szCs w:val="24"/>
        </w:rPr>
        <w:t xml:space="preserve"> was </w:t>
      </w:r>
      <w:r w:rsidRPr="006A7289">
        <w:rPr>
          <w:rFonts w:cs="Arial"/>
          <w:sz w:val="24"/>
          <w:szCs w:val="24"/>
        </w:rPr>
        <w:t xml:space="preserve">already </w:t>
      </w:r>
      <w:r w:rsidR="008C24D4" w:rsidRPr="006A7289">
        <w:rPr>
          <w:rFonts w:cs="Arial"/>
          <w:sz w:val="24"/>
          <w:szCs w:val="24"/>
        </w:rPr>
        <w:t xml:space="preserve">in arrears in respect of his maintenance obligations. </w:t>
      </w:r>
      <w:r w:rsidR="003B011D">
        <w:rPr>
          <w:rFonts w:cs="Arial"/>
          <w:sz w:val="24"/>
          <w:szCs w:val="24"/>
        </w:rPr>
        <w:t xml:space="preserve">The settlement agreement provided for payment of </w:t>
      </w:r>
      <w:r w:rsidR="00B715F7">
        <w:rPr>
          <w:rFonts w:cs="Arial"/>
          <w:sz w:val="24"/>
          <w:szCs w:val="24"/>
        </w:rPr>
        <w:t xml:space="preserve">past and future </w:t>
      </w:r>
      <w:r w:rsidR="003B011D">
        <w:rPr>
          <w:rFonts w:cs="Arial"/>
          <w:sz w:val="24"/>
          <w:szCs w:val="24"/>
        </w:rPr>
        <w:t>maintenance for the child, and for other expenses, including educational and medical</w:t>
      </w:r>
      <w:r w:rsidR="00A35BFB">
        <w:rPr>
          <w:rFonts w:cs="Arial"/>
          <w:sz w:val="24"/>
          <w:szCs w:val="24"/>
        </w:rPr>
        <w:t>.</w:t>
      </w:r>
    </w:p>
    <w:p w14:paraId="3B3C2DCC" w14:textId="4E0148E3" w:rsidR="008C24D4" w:rsidRPr="006A7289" w:rsidRDefault="008C24D4" w:rsidP="00A5029A">
      <w:pPr>
        <w:pStyle w:val="ListParagraph"/>
        <w:numPr>
          <w:ilvl w:val="0"/>
          <w:numId w:val="12"/>
        </w:numPr>
        <w:spacing w:after="0" w:line="360" w:lineRule="auto"/>
        <w:ind w:left="851" w:hanging="851"/>
        <w:jc w:val="both"/>
        <w:rPr>
          <w:rFonts w:cs="Arial"/>
          <w:sz w:val="24"/>
          <w:szCs w:val="24"/>
        </w:rPr>
      </w:pPr>
      <w:r w:rsidRPr="006A7289">
        <w:rPr>
          <w:rFonts w:cs="Arial"/>
          <w:sz w:val="24"/>
          <w:szCs w:val="24"/>
        </w:rPr>
        <w:t>On 6 April 2021 the Registrar</w:t>
      </w:r>
      <w:r w:rsidR="0033284B">
        <w:rPr>
          <w:rFonts w:cs="Arial"/>
          <w:sz w:val="24"/>
          <w:szCs w:val="24"/>
        </w:rPr>
        <w:t xml:space="preserve"> of this Court</w:t>
      </w:r>
      <w:r w:rsidRPr="006A7289">
        <w:rPr>
          <w:rFonts w:cs="Arial"/>
          <w:sz w:val="24"/>
          <w:szCs w:val="24"/>
        </w:rPr>
        <w:t xml:space="preserve"> issued a writ of execution against the </w:t>
      </w:r>
      <w:r w:rsidR="0033284B">
        <w:rPr>
          <w:rFonts w:cs="Arial"/>
          <w:sz w:val="24"/>
          <w:szCs w:val="24"/>
        </w:rPr>
        <w:t>plaintiff</w:t>
      </w:r>
      <w:r w:rsidRPr="006A7289">
        <w:rPr>
          <w:rFonts w:cs="Arial"/>
          <w:sz w:val="24"/>
          <w:szCs w:val="24"/>
        </w:rPr>
        <w:t xml:space="preserve">’s movables in the amount of R 2 154 461.81. The debt arises from the </w:t>
      </w:r>
      <w:r w:rsidR="003B011D">
        <w:rPr>
          <w:rFonts w:cs="Arial"/>
          <w:sz w:val="24"/>
          <w:szCs w:val="24"/>
        </w:rPr>
        <w:t>plaintiff</w:t>
      </w:r>
      <w:r w:rsidRPr="006A7289">
        <w:rPr>
          <w:rFonts w:cs="Arial"/>
          <w:sz w:val="24"/>
          <w:szCs w:val="24"/>
        </w:rPr>
        <w:t xml:space="preserve">’s alleged failure to </w:t>
      </w:r>
      <w:r w:rsidR="0033284B">
        <w:rPr>
          <w:rFonts w:cs="Arial"/>
          <w:sz w:val="24"/>
          <w:szCs w:val="24"/>
        </w:rPr>
        <w:t xml:space="preserve">meet his obligations </w:t>
      </w:r>
      <w:r w:rsidRPr="006A7289">
        <w:rPr>
          <w:rFonts w:cs="Arial"/>
          <w:sz w:val="24"/>
          <w:szCs w:val="24"/>
        </w:rPr>
        <w:t>in terms of the settlement agreement. She approached the Regist</w:t>
      </w:r>
      <w:r w:rsidR="004B1427" w:rsidRPr="006A7289">
        <w:rPr>
          <w:rFonts w:cs="Arial"/>
          <w:sz w:val="24"/>
          <w:szCs w:val="24"/>
        </w:rPr>
        <w:t>r</w:t>
      </w:r>
      <w:r w:rsidRPr="006A7289">
        <w:rPr>
          <w:rFonts w:cs="Arial"/>
          <w:sz w:val="24"/>
          <w:szCs w:val="24"/>
        </w:rPr>
        <w:t>ar with an affidavit, to which was attached a schedule setting out certain amounts, drawn from source documentation in her possession. Th</w:t>
      </w:r>
      <w:r w:rsidR="0033284B">
        <w:rPr>
          <w:rFonts w:cs="Arial"/>
          <w:sz w:val="24"/>
          <w:szCs w:val="24"/>
        </w:rPr>
        <w:t>e</w:t>
      </w:r>
      <w:r w:rsidRPr="006A7289">
        <w:rPr>
          <w:rFonts w:cs="Arial"/>
          <w:sz w:val="24"/>
          <w:szCs w:val="24"/>
        </w:rPr>
        <w:t xml:space="preserve"> </w:t>
      </w:r>
      <w:r w:rsidR="0033284B">
        <w:rPr>
          <w:rFonts w:cs="Arial"/>
          <w:sz w:val="24"/>
          <w:szCs w:val="24"/>
        </w:rPr>
        <w:t xml:space="preserve">source </w:t>
      </w:r>
      <w:r w:rsidRPr="006A7289">
        <w:rPr>
          <w:rFonts w:cs="Arial"/>
          <w:sz w:val="24"/>
          <w:szCs w:val="24"/>
        </w:rPr>
        <w:t>doc</w:t>
      </w:r>
      <w:r w:rsidR="004B1427" w:rsidRPr="006A7289">
        <w:rPr>
          <w:rFonts w:cs="Arial"/>
          <w:sz w:val="24"/>
          <w:szCs w:val="24"/>
        </w:rPr>
        <w:t>umentation</w:t>
      </w:r>
      <w:r w:rsidRPr="006A7289">
        <w:rPr>
          <w:rFonts w:cs="Arial"/>
          <w:sz w:val="24"/>
          <w:szCs w:val="24"/>
        </w:rPr>
        <w:t xml:space="preserve"> was not presented to the Registrar.  </w:t>
      </w:r>
    </w:p>
    <w:p w14:paraId="78D20E96" w14:textId="52ECD507" w:rsidR="000839D9" w:rsidRPr="006A7289" w:rsidRDefault="008C24D4" w:rsidP="00A5029A">
      <w:pPr>
        <w:pStyle w:val="ListParagraph"/>
        <w:numPr>
          <w:ilvl w:val="0"/>
          <w:numId w:val="12"/>
        </w:numPr>
        <w:spacing w:after="0" w:line="360" w:lineRule="auto"/>
        <w:ind w:left="851" w:hanging="851"/>
        <w:jc w:val="both"/>
        <w:rPr>
          <w:rFonts w:cs="Arial"/>
          <w:sz w:val="24"/>
          <w:szCs w:val="24"/>
        </w:rPr>
      </w:pPr>
      <w:r w:rsidRPr="006A7289">
        <w:rPr>
          <w:rFonts w:cs="Arial"/>
          <w:sz w:val="24"/>
          <w:szCs w:val="24"/>
        </w:rPr>
        <w:t xml:space="preserve">On 21 September 2021 the </w:t>
      </w:r>
      <w:r w:rsidR="003B011D">
        <w:rPr>
          <w:rFonts w:cs="Arial"/>
          <w:sz w:val="24"/>
          <w:szCs w:val="24"/>
        </w:rPr>
        <w:t>plaintiff</w:t>
      </w:r>
      <w:r w:rsidRPr="006A7289">
        <w:rPr>
          <w:rFonts w:cs="Arial"/>
          <w:sz w:val="24"/>
          <w:szCs w:val="24"/>
        </w:rPr>
        <w:t xml:space="preserve"> caused a combined summons to be issued to set aside the warrant of execution. </w:t>
      </w:r>
    </w:p>
    <w:p w14:paraId="6D9A7A14" w14:textId="5CD1A6C0" w:rsidR="000839D9" w:rsidRPr="006A7289" w:rsidRDefault="003233A1" w:rsidP="00901152">
      <w:pPr>
        <w:pStyle w:val="ListParagraph"/>
        <w:numPr>
          <w:ilvl w:val="0"/>
          <w:numId w:val="12"/>
        </w:numPr>
        <w:spacing w:after="0" w:line="360" w:lineRule="auto"/>
        <w:ind w:left="851" w:hanging="851"/>
        <w:jc w:val="both"/>
        <w:rPr>
          <w:rFonts w:cs="Arial"/>
          <w:sz w:val="24"/>
          <w:szCs w:val="24"/>
        </w:rPr>
      </w:pPr>
      <w:r w:rsidRPr="006A7289">
        <w:rPr>
          <w:rFonts w:cs="Arial"/>
          <w:sz w:val="24"/>
          <w:szCs w:val="24"/>
        </w:rPr>
        <w:t xml:space="preserve">The </w:t>
      </w:r>
      <w:r w:rsidR="003B011D">
        <w:rPr>
          <w:rFonts w:cs="Arial"/>
          <w:sz w:val="24"/>
          <w:szCs w:val="24"/>
        </w:rPr>
        <w:t>first defendant</w:t>
      </w:r>
      <w:r w:rsidRPr="006A7289">
        <w:rPr>
          <w:rFonts w:cs="Arial"/>
          <w:sz w:val="24"/>
          <w:szCs w:val="24"/>
        </w:rPr>
        <w:t xml:space="preserve"> raises an exception against the formulation of the </w:t>
      </w:r>
      <w:r w:rsidR="0033284B">
        <w:rPr>
          <w:rFonts w:cs="Arial"/>
          <w:sz w:val="24"/>
          <w:szCs w:val="24"/>
        </w:rPr>
        <w:t>p</w:t>
      </w:r>
      <w:r w:rsidR="00A774AF" w:rsidRPr="006A7289">
        <w:rPr>
          <w:rFonts w:cs="Arial"/>
          <w:sz w:val="24"/>
          <w:szCs w:val="24"/>
        </w:rPr>
        <w:t>laintiff</w:t>
      </w:r>
      <w:r w:rsidRPr="006A7289">
        <w:rPr>
          <w:rFonts w:cs="Arial"/>
          <w:sz w:val="24"/>
          <w:szCs w:val="24"/>
        </w:rPr>
        <w:t>’s claim</w:t>
      </w:r>
      <w:r w:rsidR="00901152" w:rsidRPr="006A7289">
        <w:rPr>
          <w:rFonts w:cs="Arial"/>
          <w:sz w:val="24"/>
          <w:szCs w:val="24"/>
        </w:rPr>
        <w:t>, alleging that it fails to disclose a cause of action. S</w:t>
      </w:r>
      <w:r w:rsidRPr="006A7289">
        <w:rPr>
          <w:rFonts w:cs="Arial"/>
          <w:sz w:val="24"/>
          <w:szCs w:val="24"/>
        </w:rPr>
        <w:t xml:space="preserve">he seeks that the </w:t>
      </w:r>
      <w:r w:rsidRPr="006A7289">
        <w:rPr>
          <w:rFonts w:cs="Arial"/>
          <w:sz w:val="24"/>
          <w:szCs w:val="24"/>
        </w:rPr>
        <w:lastRenderedPageBreak/>
        <w:t xml:space="preserve">exception be upheld and that the </w:t>
      </w:r>
      <w:r w:rsidR="003B011D">
        <w:rPr>
          <w:rFonts w:cs="Arial"/>
          <w:sz w:val="24"/>
          <w:szCs w:val="24"/>
        </w:rPr>
        <w:t>p</w:t>
      </w:r>
      <w:r w:rsidR="00A774AF" w:rsidRPr="006A7289">
        <w:rPr>
          <w:rFonts w:cs="Arial"/>
          <w:sz w:val="24"/>
          <w:szCs w:val="24"/>
        </w:rPr>
        <w:t>laintiff</w:t>
      </w:r>
      <w:r w:rsidRPr="006A7289">
        <w:rPr>
          <w:rFonts w:cs="Arial"/>
          <w:sz w:val="24"/>
          <w:szCs w:val="24"/>
        </w:rPr>
        <w:t xml:space="preserve">’s claim be dismissed with costs on a punitive scale. The </w:t>
      </w:r>
      <w:r w:rsidR="003B011D">
        <w:rPr>
          <w:rFonts w:cs="Arial"/>
          <w:sz w:val="24"/>
          <w:szCs w:val="24"/>
        </w:rPr>
        <w:t>p</w:t>
      </w:r>
      <w:r w:rsidR="00A774AF" w:rsidRPr="006A7289">
        <w:rPr>
          <w:rFonts w:cs="Arial"/>
          <w:sz w:val="24"/>
          <w:szCs w:val="24"/>
        </w:rPr>
        <w:t>laintiff</w:t>
      </w:r>
      <w:r w:rsidRPr="006A7289">
        <w:rPr>
          <w:rFonts w:cs="Arial"/>
          <w:sz w:val="24"/>
          <w:szCs w:val="24"/>
        </w:rPr>
        <w:t xml:space="preserve"> seeks dismissal of</w:t>
      </w:r>
      <w:r w:rsidR="00FB2A21" w:rsidRPr="006A7289">
        <w:rPr>
          <w:rFonts w:cs="Arial"/>
          <w:sz w:val="24"/>
          <w:szCs w:val="24"/>
        </w:rPr>
        <w:t xml:space="preserve"> the exception with costs.</w:t>
      </w:r>
      <w:r w:rsidRPr="006A7289">
        <w:rPr>
          <w:rFonts w:cs="Arial"/>
          <w:sz w:val="24"/>
          <w:szCs w:val="24"/>
        </w:rPr>
        <w:t xml:space="preserve">  </w:t>
      </w:r>
    </w:p>
    <w:p w14:paraId="3054AC0C" w14:textId="66B8EE70" w:rsidR="003233A1" w:rsidRPr="006A7289" w:rsidRDefault="003B011D" w:rsidP="000839D9">
      <w:pPr>
        <w:pStyle w:val="ListParagraph"/>
        <w:numPr>
          <w:ilvl w:val="0"/>
          <w:numId w:val="12"/>
        </w:numPr>
        <w:spacing w:after="0" w:line="360" w:lineRule="auto"/>
        <w:ind w:left="851" w:hanging="851"/>
        <w:jc w:val="both"/>
        <w:rPr>
          <w:rFonts w:cs="Arial"/>
          <w:sz w:val="24"/>
          <w:szCs w:val="24"/>
        </w:rPr>
      </w:pPr>
      <w:r>
        <w:rPr>
          <w:rFonts w:cs="Arial"/>
          <w:sz w:val="24"/>
          <w:szCs w:val="24"/>
        </w:rPr>
        <w:t>T</w:t>
      </w:r>
      <w:r w:rsidR="00F06D1F" w:rsidRPr="006A7289">
        <w:rPr>
          <w:rFonts w:cs="Arial"/>
          <w:sz w:val="24"/>
          <w:szCs w:val="24"/>
        </w:rPr>
        <w:t xml:space="preserve">he </w:t>
      </w:r>
      <w:r>
        <w:rPr>
          <w:rFonts w:cs="Arial"/>
          <w:sz w:val="24"/>
          <w:szCs w:val="24"/>
        </w:rPr>
        <w:t xml:space="preserve">first </w:t>
      </w:r>
      <w:r w:rsidR="00480E96" w:rsidRPr="006A7289">
        <w:rPr>
          <w:rFonts w:cs="Arial"/>
          <w:sz w:val="24"/>
          <w:szCs w:val="24"/>
        </w:rPr>
        <w:t>defendant</w:t>
      </w:r>
      <w:r w:rsidR="00F06D1F" w:rsidRPr="006A7289">
        <w:rPr>
          <w:rFonts w:cs="Arial"/>
          <w:sz w:val="24"/>
          <w:szCs w:val="24"/>
        </w:rPr>
        <w:t xml:space="preserve"> </w:t>
      </w:r>
      <w:r>
        <w:rPr>
          <w:rFonts w:cs="Arial"/>
          <w:sz w:val="24"/>
          <w:szCs w:val="24"/>
        </w:rPr>
        <w:t xml:space="preserve">raises a point in limine, which must first be considered. </w:t>
      </w:r>
    </w:p>
    <w:p w14:paraId="08F79595" w14:textId="77777777" w:rsidR="00BE5B10" w:rsidRPr="006A7289" w:rsidRDefault="00BE5B10" w:rsidP="000839D9">
      <w:pPr>
        <w:spacing w:after="0" w:line="360" w:lineRule="auto"/>
        <w:jc w:val="both"/>
        <w:rPr>
          <w:rFonts w:cs="Arial"/>
          <w:b/>
          <w:sz w:val="24"/>
          <w:szCs w:val="24"/>
        </w:rPr>
      </w:pPr>
    </w:p>
    <w:p w14:paraId="3FF9FECE" w14:textId="77777777" w:rsidR="00A35BFB" w:rsidRDefault="00A35BFB" w:rsidP="000839D9">
      <w:pPr>
        <w:spacing w:after="0" w:line="360" w:lineRule="auto"/>
        <w:jc w:val="both"/>
        <w:rPr>
          <w:rFonts w:cs="Arial"/>
          <w:b/>
          <w:sz w:val="24"/>
          <w:szCs w:val="24"/>
        </w:rPr>
      </w:pPr>
    </w:p>
    <w:p w14:paraId="4974D7EA" w14:textId="0A8A8737" w:rsidR="003233A1" w:rsidRPr="006A7289" w:rsidRDefault="000839D9" w:rsidP="000839D9">
      <w:pPr>
        <w:spacing w:after="0" w:line="360" w:lineRule="auto"/>
        <w:jc w:val="both"/>
        <w:rPr>
          <w:rFonts w:cs="Arial"/>
          <w:b/>
          <w:sz w:val="24"/>
          <w:szCs w:val="24"/>
        </w:rPr>
      </w:pPr>
      <w:r w:rsidRPr="006A7289">
        <w:rPr>
          <w:rFonts w:cs="Arial"/>
          <w:b/>
          <w:sz w:val="24"/>
          <w:szCs w:val="24"/>
        </w:rPr>
        <w:t xml:space="preserve">Point </w:t>
      </w:r>
      <w:r w:rsidRPr="006A7289">
        <w:rPr>
          <w:rFonts w:cs="Arial"/>
          <w:b/>
          <w:i/>
          <w:sz w:val="24"/>
          <w:szCs w:val="24"/>
        </w:rPr>
        <w:t>in limine</w:t>
      </w:r>
    </w:p>
    <w:p w14:paraId="06B67D6D" w14:textId="77777777" w:rsidR="000839D9" w:rsidRPr="006A7289" w:rsidRDefault="000839D9" w:rsidP="000839D9">
      <w:pPr>
        <w:pStyle w:val="ListParagraph"/>
        <w:spacing w:after="0" w:line="360" w:lineRule="auto"/>
        <w:ind w:left="360"/>
        <w:jc w:val="both"/>
        <w:rPr>
          <w:rFonts w:cs="Arial"/>
          <w:sz w:val="24"/>
          <w:szCs w:val="24"/>
        </w:rPr>
      </w:pPr>
    </w:p>
    <w:p w14:paraId="2DD81451" w14:textId="6F2099DB" w:rsidR="003B011D" w:rsidRPr="003B011D" w:rsidRDefault="003233A1" w:rsidP="00A52408">
      <w:pPr>
        <w:pStyle w:val="ListParagraph"/>
        <w:numPr>
          <w:ilvl w:val="0"/>
          <w:numId w:val="12"/>
        </w:numPr>
        <w:spacing w:after="0" w:line="360" w:lineRule="auto"/>
        <w:ind w:left="851" w:hanging="851"/>
        <w:jc w:val="both"/>
        <w:rPr>
          <w:rFonts w:cs="Arial"/>
          <w:sz w:val="24"/>
          <w:szCs w:val="24"/>
        </w:rPr>
      </w:pPr>
      <w:r w:rsidRPr="006A7289">
        <w:rPr>
          <w:rFonts w:cs="Arial"/>
          <w:sz w:val="24"/>
          <w:szCs w:val="24"/>
        </w:rPr>
        <w:t xml:space="preserve">The essence of the </w:t>
      </w:r>
      <w:r w:rsidR="00BE5B10" w:rsidRPr="006A7289">
        <w:rPr>
          <w:rFonts w:cs="Arial"/>
          <w:sz w:val="24"/>
          <w:szCs w:val="24"/>
        </w:rPr>
        <w:t xml:space="preserve">preliminary </w:t>
      </w:r>
      <w:r w:rsidRPr="006A7289">
        <w:rPr>
          <w:rFonts w:cs="Arial"/>
          <w:sz w:val="24"/>
          <w:szCs w:val="24"/>
        </w:rPr>
        <w:t xml:space="preserve">point is that </w:t>
      </w:r>
      <w:r w:rsidR="003B011D">
        <w:rPr>
          <w:rFonts w:cs="Arial"/>
          <w:sz w:val="24"/>
          <w:szCs w:val="24"/>
        </w:rPr>
        <w:t xml:space="preserve">the only way to challenge a writ of execution </w:t>
      </w:r>
      <w:r w:rsidRPr="006A7289">
        <w:rPr>
          <w:rFonts w:cs="Arial"/>
          <w:sz w:val="24"/>
          <w:szCs w:val="24"/>
        </w:rPr>
        <w:t xml:space="preserve">is by </w:t>
      </w:r>
      <w:r w:rsidR="008C24D4" w:rsidRPr="006A7289">
        <w:rPr>
          <w:rFonts w:cs="Arial"/>
          <w:sz w:val="24"/>
          <w:szCs w:val="24"/>
        </w:rPr>
        <w:t xml:space="preserve">way of </w:t>
      </w:r>
      <w:r w:rsidRPr="006A7289">
        <w:rPr>
          <w:rFonts w:cs="Arial"/>
          <w:sz w:val="24"/>
          <w:szCs w:val="24"/>
        </w:rPr>
        <w:t xml:space="preserve">application </w:t>
      </w:r>
      <w:r w:rsidR="00BE5B10" w:rsidRPr="006A7289">
        <w:rPr>
          <w:rFonts w:cs="Arial"/>
          <w:sz w:val="24"/>
          <w:szCs w:val="24"/>
        </w:rPr>
        <w:t xml:space="preserve">proceedings </w:t>
      </w:r>
      <w:r w:rsidRPr="006A7289">
        <w:rPr>
          <w:rFonts w:cs="Arial"/>
          <w:sz w:val="24"/>
          <w:szCs w:val="24"/>
        </w:rPr>
        <w:t xml:space="preserve">in terms of </w:t>
      </w:r>
      <w:r w:rsidR="00BE5B10" w:rsidRPr="006A7289">
        <w:rPr>
          <w:rFonts w:cs="Arial"/>
          <w:sz w:val="24"/>
          <w:szCs w:val="24"/>
        </w:rPr>
        <w:t xml:space="preserve">Rule </w:t>
      </w:r>
      <w:r w:rsidR="00BE5B10" w:rsidRPr="00AE14E4">
        <w:rPr>
          <w:rFonts w:cs="Arial"/>
          <w:sz w:val="24"/>
          <w:szCs w:val="24"/>
        </w:rPr>
        <w:t>45A</w:t>
      </w:r>
      <w:r w:rsidR="00683989" w:rsidRPr="006A7289">
        <w:rPr>
          <w:rFonts w:cs="Arial"/>
          <w:sz w:val="24"/>
          <w:szCs w:val="24"/>
        </w:rPr>
        <w:t xml:space="preserve"> of the Uniform Rules of Court (“the Rules”)</w:t>
      </w:r>
      <w:r w:rsidR="001B097D" w:rsidRPr="006A7289">
        <w:rPr>
          <w:rFonts w:cs="Arial"/>
          <w:sz w:val="24"/>
          <w:szCs w:val="24"/>
        </w:rPr>
        <w:t xml:space="preserve">. </w:t>
      </w:r>
      <w:r w:rsidR="00BE5B10" w:rsidRPr="006A7289">
        <w:rPr>
          <w:rFonts w:cs="Arial"/>
          <w:sz w:val="24"/>
          <w:szCs w:val="24"/>
        </w:rPr>
        <w:t xml:space="preserve">The </w:t>
      </w:r>
      <w:r w:rsidR="003B011D">
        <w:rPr>
          <w:rFonts w:cs="Arial"/>
          <w:sz w:val="24"/>
          <w:szCs w:val="24"/>
        </w:rPr>
        <w:t>first defendant</w:t>
      </w:r>
      <w:r w:rsidRPr="006A7289">
        <w:rPr>
          <w:rFonts w:cs="Arial"/>
          <w:sz w:val="24"/>
          <w:szCs w:val="24"/>
        </w:rPr>
        <w:t xml:space="preserve"> calls the action proceedings </w:t>
      </w:r>
      <w:r w:rsidR="001B097D" w:rsidRPr="006A7289">
        <w:rPr>
          <w:rFonts w:cs="Arial"/>
          <w:sz w:val="24"/>
          <w:szCs w:val="24"/>
        </w:rPr>
        <w:t xml:space="preserve">launched by the Plaintiff </w:t>
      </w:r>
      <w:r w:rsidR="00F06D1F" w:rsidRPr="006A7289">
        <w:rPr>
          <w:rFonts w:cs="Arial"/>
          <w:sz w:val="24"/>
          <w:szCs w:val="24"/>
        </w:rPr>
        <w:t>a</w:t>
      </w:r>
      <w:r w:rsidRPr="006A7289">
        <w:rPr>
          <w:rFonts w:cs="Arial"/>
          <w:sz w:val="24"/>
          <w:szCs w:val="24"/>
        </w:rPr>
        <w:t xml:space="preserve"> tactic</w:t>
      </w:r>
      <w:r w:rsidR="00912A62" w:rsidRPr="006A7289">
        <w:rPr>
          <w:rFonts w:cs="Arial"/>
          <w:sz w:val="24"/>
          <w:szCs w:val="24"/>
        </w:rPr>
        <w:t xml:space="preserve"> of delay</w:t>
      </w:r>
      <w:r w:rsidR="00FB08D1" w:rsidRPr="006A7289">
        <w:rPr>
          <w:rFonts w:cs="Arial"/>
          <w:sz w:val="24"/>
          <w:szCs w:val="24"/>
        </w:rPr>
        <w:t xml:space="preserve">. </w:t>
      </w:r>
    </w:p>
    <w:p w14:paraId="7D1BA21F" w14:textId="74B10B43" w:rsidR="00550A39" w:rsidRPr="006A7289" w:rsidRDefault="003233A1" w:rsidP="00A52408">
      <w:pPr>
        <w:pStyle w:val="ListParagraph"/>
        <w:numPr>
          <w:ilvl w:val="0"/>
          <w:numId w:val="12"/>
        </w:numPr>
        <w:spacing w:after="0" w:line="360" w:lineRule="auto"/>
        <w:ind w:left="851" w:hanging="851"/>
        <w:jc w:val="both"/>
        <w:rPr>
          <w:rFonts w:cs="Arial"/>
          <w:sz w:val="24"/>
          <w:szCs w:val="24"/>
        </w:rPr>
      </w:pPr>
      <w:r w:rsidRPr="006A7289">
        <w:rPr>
          <w:rFonts w:cs="Arial"/>
          <w:sz w:val="24"/>
          <w:szCs w:val="24"/>
        </w:rPr>
        <w:t xml:space="preserve">It is trite that any party initiating litigation must make an election whether to proceed </w:t>
      </w:r>
      <w:r w:rsidR="00A35BFB">
        <w:rPr>
          <w:rFonts w:cs="Arial"/>
          <w:sz w:val="24"/>
          <w:szCs w:val="24"/>
        </w:rPr>
        <w:t xml:space="preserve">either </w:t>
      </w:r>
      <w:r w:rsidRPr="006A7289">
        <w:rPr>
          <w:rFonts w:cs="Arial"/>
          <w:sz w:val="24"/>
          <w:szCs w:val="24"/>
        </w:rPr>
        <w:t>by way of action</w:t>
      </w:r>
      <w:r w:rsidR="003B011D">
        <w:rPr>
          <w:rFonts w:cs="Arial"/>
          <w:sz w:val="24"/>
          <w:szCs w:val="24"/>
        </w:rPr>
        <w:t>,</w:t>
      </w:r>
      <w:r w:rsidRPr="006A7289">
        <w:rPr>
          <w:rFonts w:cs="Arial"/>
          <w:sz w:val="24"/>
          <w:szCs w:val="24"/>
        </w:rPr>
        <w:t xml:space="preserve"> or </w:t>
      </w:r>
      <w:r w:rsidR="00BE5B10" w:rsidRPr="006A7289">
        <w:rPr>
          <w:rFonts w:cs="Arial"/>
          <w:sz w:val="24"/>
          <w:szCs w:val="24"/>
        </w:rPr>
        <w:t xml:space="preserve">by </w:t>
      </w:r>
      <w:r w:rsidRPr="006A7289">
        <w:rPr>
          <w:rFonts w:cs="Arial"/>
          <w:sz w:val="24"/>
          <w:szCs w:val="24"/>
        </w:rPr>
        <w:t xml:space="preserve">application. Critical to this decision is whether </w:t>
      </w:r>
      <w:r w:rsidR="001B097D" w:rsidRPr="006A7289">
        <w:rPr>
          <w:rFonts w:cs="Arial"/>
          <w:sz w:val="24"/>
          <w:szCs w:val="24"/>
        </w:rPr>
        <w:t xml:space="preserve">the litigant anticipates a </w:t>
      </w:r>
      <w:r w:rsidR="00550A39" w:rsidRPr="006A7289">
        <w:rPr>
          <w:rFonts w:cs="Arial"/>
          <w:i/>
          <w:sz w:val="24"/>
          <w:szCs w:val="24"/>
        </w:rPr>
        <w:t xml:space="preserve">bona fide </w:t>
      </w:r>
      <w:r w:rsidRPr="006A7289">
        <w:rPr>
          <w:rFonts w:cs="Arial"/>
          <w:sz w:val="24"/>
          <w:szCs w:val="24"/>
        </w:rPr>
        <w:t xml:space="preserve">dispute of fact </w:t>
      </w:r>
      <w:r w:rsidR="00550A39" w:rsidRPr="006A7289">
        <w:rPr>
          <w:rFonts w:cs="Arial"/>
          <w:sz w:val="24"/>
          <w:szCs w:val="24"/>
        </w:rPr>
        <w:t xml:space="preserve">to arise </w:t>
      </w:r>
      <w:r w:rsidRPr="006A7289">
        <w:rPr>
          <w:rFonts w:cs="Arial"/>
          <w:sz w:val="24"/>
          <w:szCs w:val="24"/>
        </w:rPr>
        <w:t>which will require oral evidence to be led.</w:t>
      </w:r>
      <w:r w:rsidR="00550A39" w:rsidRPr="006A7289">
        <w:rPr>
          <w:rFonts w:cs="Arial"/>
          <w:sz w:val="24"/>
          <w:szCs w:val="24"/>
        </w:rPr>
        <w:t xml:space="preserve"> If such a dispute is anticipated, a trial action should be instituted.</w:t>
      </w:r>
      <w:r w:rsidR="00550A39" w:rsidRPr="006A7289">
        <w:rPr>
          <w:rStyle w:val="FootnoteReference"/>
          <w:rFonts w:cs="Arial"/>
          <w:sz w:val="24"/>
          <w:szCs w:val="24"/>
        </w:rPr>
        <w:footnoteReference w:id="1"/>
      </w:r>
      <w:r w:rsidR="00550A39" w:rsidRPr="006A7289">
        <w:rPr>
          <w:rFonts w:cs="Arial"/>
          <w:sz w:val="24"/>
          <w:szCs w:val="24"/>
        </w:rPr>
        <w:t xml:space="preserve"> </w:t>
      </w:r>
    </w:p>
    <w:p w14:paraId="2ED396A2" w14:textId="40784642" w:rsidR="00FB08D1" w:rsidRPr="006A7289" w:rsidRDefault="00FB08D1" w:rsidP="00A52408">
      <w:pPr>
        <w:pStyle w:val="ListParagraph"/>
        <w:numPr>
          <w:ilvl w:val="0"/>
          <w:numId w:val="12"/>
        </w:numPr>
        <w:spacing w:after="0" w:line="360" w:lineRule="auto"/>
        <w:ind w:left="851" w:hanging="851"/>
        <w:jc w:val="both"/>
        <w:rPr>
          <w:rFonts w:cs="Arial"/>
          <w:sz w:val="24"/>
          <w:szCs w:val="24"/>
        </w:rPr>
      </w:pPr>
      <w:r w:rsidRPr="006A7289">
        <w:rPr>
          <w:rFonts w:cs="Arial"/>
          <w:sz w:val="24"/>
          <w:szCs w:val="24"/>
        </w:rPr>
        <w:t xml:space="preserve">A litigant runs the risk that should a matter be initiated by way of an application, and the court finds that she or he should have foreseen that a material dispute of fact will arise at the time the application </w:t>
      </w:r>
      <w:r w:rsidR="003B011D">
        <w:rPr>
          <w:rFonts w:cs="Arial"/>
          <w:sz w:val="24"/>
          <w:szCs w:val="24"/>
        </w:rPr>
        <w:t>was</w:t>
      </w:r>
      <w:r w:rsidRPr="006A7289">
        <w:rPr>
          <w:rFonts w:cs="Arial"/>
          <w:sz w:val="24"/>
          <w:szCs w:val="24"/>
        </w:rPr>
        <w:t xml:space="preserve"> brought, the court may dismiss the application with costs. A litigant must therefore consider her or his options carefully.</w:t>
      </w:r>
    </w:p>
    <w:p w14:paraId="75D1BE96" w14:textId="09613AFA" w:rsidR="001E49FC" w:rsidRPr="006A7289" w:rsidRDefault="003233A1" w:rsidP="00A52408">
      <w:pPr>
        <w:pStyle w:val="ListParagraph"/>
        <w:numPr>
          <w:ilvl w:val="0"/>
          <w:numId w:val="12"/>
        </w:numPr>
        <w:spacing w:after="0" w:line="360" w:lineRule="auto"/>
        <w:ind w:left="851" w:hanging="851"/>
        <w:jc w:val="both"/>
        <w:rPr>
          <w:rFonts w:cs="Arial"/>
          <w:sz w:val="24"/>
          <w:szCs w:val="24"/>
        </w:rPr>
      </w:pPr>
      <w:r w:rsidRPr="006A7289">
        <w:rPr>
          <w:rFonts w:cs="Arial"/>
          <w:sz w:val="24"/>
          <w:szCs w:val="24"/>
        </w:rPr>
        <w:t xml:space="preserve">The </w:t>
      </w:r>
      <w:r w:rsidR="003B011D">
        <w:rPr>
          <w:rFonts w:cs="Arial"/>
          <w:sz w:val="24"/>
          <w:szCs w:val="24"/>
        </w:rPr>
        <w:t>p</w:t>
      </w:r>
      <w:r w:rsidR="00A774AF" w:rsidRPr="006A7289">
        <w:rPr>
          <w:rFonts w:cs="Arial"/>
          <w:sz w:val="24"/>
          <w:szCs w:val="24"/>
        </w:rPr>
        <w:t>laintiff</w:t>
      </w:r>
      <w:r w:rsidRPr="006A7289">
        <w:rPr>
          <w:rFonts w:cs="Arial"/>
          <w:sz w:val="24"/>
          <w:szCs w:val="24"/>
        </w:rPr>
        <w:t xml:space="preserve"> submits that such disputes </w:t>
      </w:r>
      <w:r w:rsidR="00BE5B10" w:rsidRPr="006A7289">
        <w:rPr>
          <w:rFonts w:cs="Arial"/>
          <w:sz w:val="24"/>
          <w:szCs w:val="24"/>
        </w:rPr>
        <w:t xml:space="preserve">of fact </w:t>
      </w:r>
      <w:r w:rsidRPr="006A7289">
        <w:rPr>
          <w:rFonts w:cs="Arial"/>
          <w:sz w:val="24"/>
          <w:szCs w:val="24"/>
        </w:rPr>
        <w:t xml:space="preserve">exist </w:t>
      </w:r>
      <w:r w:rsidR="001B097D" w:rsidRPr="006A7289">
        <w:rPr>
          <w:rFonts w:cs="Arial"/>
          <w:sz w:val="24"/>
          <w:szCs w:val="24"/>
        </w:rPr>
        <w:t xml:space="preserve">in this case </w:t>
      </w:r>
      <w:r w:rsidRPr="006A7289">
        <w:rPr>
          <w:rFonts w:cs="Arial"/>
          <w:sz w:val="24"/>
          <w:szCs w:val="24"/>
        </w:rPr>
        <w:t xml:space="preserve">and that the only way to resolve them is by way of </w:t>
      </w:r>
      <w:r w:rsidR="003B011D">
        <w:rPr>
          <w:rFonts w:cs="Arial"/>
          <w:sz w:val="24"/>
          <w:szCs w:val="24"/>
        </w:rPr>
        <w:t>trial</w:t>
      </w:r>
      <w:r w:rsidR="00BE5B10" w:rsidRPr="006A7289">
        <w:rPr>
          <w:rFonts w:cs="Arial"/>
          <w:sz w:val="24"/>
          <w:szCs w:val="24"/>
        </w:rPr>
        <w:t xml:space="preserve">. </w:t>
      </w:r>
      <w:r w:rsidR="00562B34" w:rsidRPr="006A7289">
        <w:rPr>
          <w:rFonts w:cs="Arial"/>
          <w:sz w:val="24"/>
          <w:szCs w:val="24"/>
        </w:rPr>
        <w:t>T</w:t>
      </w:r>
      <w:r w:rsidRPr="006A7289">
        <w:rPr>
          <w:rFonts w:cs="Arial"/>
          <w:sz w:val="24"/>
          <w:szCs w:val="24"/>
        </w:rPr>
        <w:t xml:space="preserve">he </w:t>
      </w:r>
      <w:r w:rsidR="003B011D">
        <w:rPr>
          <w:rFonts w:cs="Arial"/>
          <w:sz w:val="24"/>
          <w:szCs w:val="24"/>
        </w:rPr>
        <w:t>p</w:t>
      </w:r>
      <w:r w:rsidR="00A774AF" w:rsidRPr="006A7289">
        <w:rPr>
          <w:rFonts w:cs="Arial"/>
          <w:sz w:val="24"/>
          <w:szCs w:val="24"/>
        </w:rPr>
        <w:t>laintiff</w:t>
      </w:r>
      <w:r w:rsidRPr="006A7289">
        <w:rPr>
          <w:rFonts w:cs="Arial"/>
          <w:sz w:val="24"/>
          <w:szCs w:val="24"/>
        </w:rPr>
        <w:t xml:space="preserve"> disputes </w:t>
      </w:r>
      <w:r w:rsidR="001E49FC" w:rsidRPr="006A7289">
        <w:rPr>
          <w:rFonts w:cs="Arial"/>
          <w:sz w:val="24"/>
          <w:szCs w:val="24"/>
        </w:rPr>
        <w:t xml:space="preserve">the veracity of the claim, </w:t>
      </w:r>
      <w:r w:rsidR="00562B34" w:rsidRPr="006A7289">
        <w:rPr>
          <w:rFonts w:cs="Arial"/>
          <w:sz w:val="24"/>
          <w:szCs w:val="24"/>
        </w:rPr>
        <w:t xml:space="preserve">the amount of indebtedness, </w:t>
      </w:r>
      <w:r w:rsidR="001E49FC" w:rsidRPr="006A7289">
        <w:rPr>
          <w:rFonts w:cs="Arial"/>
          <w:sz w:val="24"/>
          <w:szCs w:val="24"/>
        </w:rPr>
        <w:t xml:space="preserve">the computation of the claim, the reasonableness and legality of the alleged expenses, and more. </w:t>
      </w:r>
      <w:r w:rsidR="00562B34" w:rsidRPr="006A7289">
        <w:rPr>
          <w:rFonts w:cs="Arial"/>
          <w:sz w:val="24"/>
          <w:szCs w:val="24"/>
        </w:rPr>
        <w:t xml:space="preserve">He contends that it is not a liquidated sum and cannot be ascertained without leading evidence. </w:t>
      </w:r>
    </w:p>
    <w:p w14:paraId="31CB9F94" w14:textId="5BC6FFD4" w:rsidR="000643D5" w:rsidRPr="006A7289" w:rsidRDefault="00562B34" w:rsidP="00A52408">
      <w:pPr>
        <w:pStyle w:val="ListParagraph"/>
        <w:numPr>
          <w:ilvl w:val="0"/>
          <w:numId w:val="12"/>
        </w:numPr>
        <w:spacing w:after="0" w:line="360" w:lineRule="auto"/>
        <w:ind w:left="851" w:hanging="851"/>
        <w:jc w:val="both"/>
        <w:rPr>
          <w:rFonts w:cs="Arial"/>
          <w:sz w:val="24"/>
          <w:szCs w:val="24"/>
        </w:rPr>
      </w:pPr>
      <w:r w:rsidRPr="006A7289">
        <w:rPr>
          <w:rFonts w:cs="Arial"/>
          <w:sz w:val="24"/>
          <w:szCs w:val="24"/>
        </w:rPr>
        <w:t>A</w:t>
      </w:r>
      <w:r w:rsidR="003233A1" w:rsidRPr="006A7289">
        <w:rPr>
          <w:rFonts w:cs="Arial"/>
          <w:sz w:val="24"/>
          <w:szCs w:val="24"/>
        </w:rPr>
        <w:t xml:space="preserve">ccording to </w:t>
      </w:r>
      <w:r w:rsidR="004D6198">
        <w:rPr>
          <w:rFonts w:cs="Arial"/>
          <w:sz w:val="24"/>
          <w:szCs w:val="24"/>
        </w:rPr>
        <w:t>D.E. v</w:t>
      </w:r>
      <w:r w:rsidR="00AA7CDB">
        <w:rPr>
          <w:rFonts w:cs="Arial"/>
          <w:sz w:val="24"/>
          <w:szCs w:val="24"/>
        </w:rPr>
        <w:t>an Loggerenberg</w:t>
      </w:r>
      <w:r w:rsidR="003233A1" w:rsidRPr="006A7289">
        <w:rPr>
          <w:rFonts w:cs="Arial"/>
          <w:sz w:val="24"/>
          <w:szCs w:val="24"/>
        </w:rPr>
        <w:t>, “[t]he proper procedure for setting aside a writ is b</w:t>
      </w:r>
      <w:r w:rsidR="001E49FC" w:rsidRPr="006A7289">
        <w:rPr>
          <w:rFonts w:cs="Arial"/>
          <w:sz w:val="24"/>
          <w:szCs w:val="24"/>
        </w:rPr>
        <w:t xml:space="preserve">y application to set it aside, </w:t>
      </w:r>
      <w:r w:rsidR="003233A1" w:rsidRPr="006A7289">
        <w:rPr>
          <w:rFonts w:cs="Arial"/>
          <w:sz w:val="24"/>
          <w:szCs w:val="24"/>
        </w:rPr>
        <w:t>at least</w:t>
      </w:r>
      <w:r w:rsidR="00164712" w:rsidRPr="006A7289">
        <w:rPr>
          <w:rFonts w:cs="Arial"/>
          <w:sz w:val="24"/>
          <w:szCs w:val="24"/>
        </w:rPr>
        <w:t xml:space="preserve"> where no facts are in dispute </w:t>
      </w:r>
      <w:r w:rsidR="003233A1" w:rsidRPr="006A7289">
        <w:rPr>
          <w:rFonts w:cs="Arial"/>
          <w:sz w:val="24"/>
          <w:szCs w:val="24"/>
        </w:rPr>
        <w:t>…”.</w:t>
      </w:r>
      <w:r w:rsidR="00164712" w:rsidRPr="006A7289">
        <w:rPr>
          <w:rStyle w:val="FootnoteReference"/>
          <w:rFonts w:cs="Arial"/>
          <w:sz w:val="24"/>
          <w:szCs w:val="24"/>
        </w:rPr>
        <w:footnoteReference w:id="2"/>
      </w:r>
      <w:r w:rsidR="003233A1" w:rsidRPr="006A7289">
        <w:rPr>
          <w:rFonts w:cs="Arial"/>
          <w:sz w:val="24"/>
          <w:szCs w:val="24"/>
        </w:rPr>
        <w:t xml:space="preserve"> </w:t>
      </w:r>
      <w:r w:rsidR="00AA7CDB">
        <w:rPr>
          <w:rFonts w:cs="Arial"/>
          <w:sz w:val="24"/>
          <w:szCs w:val="24"/>
        </w:rPr>
        <w:t>T</w:t>
      </w:r>
      <w:r w:rsidRPr="006A7289">
        <w:rPr>
          <w:rFonts w:cs="Arial"/>
          <w:sz w:val="24"/>
          <w:szCs w:val="24"/>
        </w:rPr>
        <w:t xml:space="preserve">he statement from the learned author </w:t>
      </w:r>
      <w:r w:rsidR="00164712" w:rsidRPr="006A7289">
        <w:rPr>
          <w:rFonts w:cs="Arial"/>
          <w:sz w:val="24"/>
          <w:szCs w:val="24"/>
        </w:rPr>
        <w:t>implies</w:t>
      </w:r>
      <w:r w:rsidR="003233A1" w:rsidRPr="006A7289">
        <w:rPr>
          <w:rFonts w:cs="Arial"/>
          <w:sz w:val="24"/>
          <w:szCs w:val="24"/>
        </w:rPr>
        <w:t xml:space="preserve"> that if there </w:t>
      </w:r>
      <w:r w:rsidR="00AA7CDB">
        <w:rPr>
          <w:rFonts w:cs="Arial"/>
          <w:sz w:val="24"/>
          <w:szCs w:val="24"/>
        </w:rPr>
        <w:t>are</w:t>
      </w:r>
      <w:r w:rsidR="003233A1" w:rsidRPr="006A7289">
        <w:rPr>
          <w:rFonts w:cs="Arial"/>
          <w:sz w:val="24"/>
          <w:szCs w:val="24"/>
        </w:rPr>
        <w:t xml:space="preserve"> facts in </w:t>
      </w:r>
      <w:r w:rsidR="003233A1" w:rsidRPr="006A7289">
        <w:rPr>
          <w:rFonts w:cs="Arial"/>
          <w:sz w:val="24"/>
          <w:szCs w:val="24"/>
        </w:rPr>
        <w:lastRenderedPageBreak/>
        <w:t xml:space="preserve">dispute, </w:t>
      </w:r>
      <w:r w:rsidR="00164712" w:rsidRPr="006A7289">
        <w:rPr>
          <w:rFonts w:cs="Arial"/>
          <w:sz w:val="24"/>
          <w:szCs w:val="24"/>
        </w:rPr>
        <w:t>the challenge to the writ of execution</w:t>
      </w:r>
      <w:r w:rsidR="00AA7CDB">
        <w:rPr>
          <w:rFonts w:cs="Arial"/>
          <w:sz w:val="24"/>
          <w:szCs w:val="24"/>
        </w:rPr>
        <w:t xml:space="preserve"> can</w:t>
      </w:r>
      <w:r w:rsidR="003233A1" w:rsidRPr="006A7289">
        <w:rPr>
          <w:rFonts w:cs="Arial"/>
          <w:sz w:val="24"/>
          <w:szCs w:val="24"/>
        </w:rPr>
        <w:t xml:space="preserve"> be launched as action proceedings.</w:t>
      </w:r>
      <w:r w:rsidR="001E49FC" w:rsidRPr="006A7289">
        <w:rPr>
          <w:rFonts w:cs="Arial"/>
          <w:sz w:val="24"/>
          <w:szCs w:val="24"/>
        </w:rPr>
        <w:t xml:space="preserve"> </w:t>
      </w:r>
    </w:p>
    <w:p w14:paraId="2D2DD835" w14:textId="5EC93FD3" w:rsidR="00312FC4" w:rsidRPr="006A7289" w:rsidRDefault="000643D5" w:rsidP="00A52408">
      <w:pPr>
        <w:pStyle w:val="ListParagraph"/>
        <w:numPr>
          <w:ilvl w:val="0"/>
          <w:numId w:val="12"/>
        </w:numPr>
        <w:spacing w:after="0" w:line="360" w:lineRule="auto"/>
        <w:ind w:left="851" w:hanging="851"/>
        <w:jc w:val="both"/>
        <w:rPr>
          <w:rFonts w:cs="Arial"/>
          <w:sz w:val="24"/>
          <w:szCs w:val="24"/>
        </w:rPr>
      </w:pPr>
      <w:r w:rsidRPr="006A7289">
        <w:rPr>
          <w:rFonts w:cs="Arial"/>
          <w:sz w:val="24"/>
          <w:szCs w:val="24"/>
        </w:rPr>
        <w:t xml:space="preserve">The </w:t>
      </w:r>
      <w:r w:rsidR="00AA7CDB">
        <w:rPr>
          <w:rFonts w:cs="Arial"/>
          <w:sz w:val="24"/>
          <w:szCs w:val="24"/>
        </w:rPr>
        <w:t>f</w:t>
      </w:r>
      <w:r w:rsidR="003B011D">
        <w:rPr>
          <w:rFonts w:cs="Arial"/>
          <w:sz w:val="24"/>
          <w:szCs w:val="24"/>
        </w:rPr>
        <w:t>irst defendant</w:t>
      </w:r>
      <w:r w:rsidR="00A35BFB">
        <w:rPr>
          <w:rFonts w:cs="Arial"/>
          <w:sz w:val="24"/>
          <w:szCs w:val="24"/>
        </w:rPr>
        <w:t xml:space="preserve"> submits that the p</w:t>
      </w:r>
      <w:r w:rsidRPr="006A7289">
        <w:rPr>
          <w:rFonts w:cs="Arial"/>
          <w:sz w:val="24"/>
          <w:szCs w:val="24"/>
        </w:rPr>
        <w:t xml:space="preserve">laintiff did not plead any dispute of fact and that he has also not made out a case that there </w:t>
      </w:r>
      <w:r w:rsidR="00912A62" w:rsidRPr="006A7289">
        <w:rPr>
          <w:rFonts w:cs="Arial"/>
          <w:sz w:val="24"/>
          <w:szCs w:val="24"/>
        </w:rPr>
        <w:t xml:space="preserve">are any </w:t>
      </w:r>
      <w:r w:rsidRPr="006A7289">
        <w:rPr>
          <w:rFonts w:cs="Arial"/>
          <w:sz w:val="24"/>
          <w:szCs w:val="24"/>
        </w:rPr>
        <w:t>disputes of fact.</w:t>
      </w:r>
      <w:r w:rsidR="00562B34" w:rsidRPr="006A7289">
        <w:rPr>
          <w:rFonts w:cs="Arial"/>
          <w:sz w:val="24"/>
          <w:szCs w:val="24"/>
        </w:rPr>
        <w:t xml:space="preserve"> </w:t>
      </w:r>
      <w:r w:rsidR="00AA7CDB">
        <w:rPr>
          <w:rFonts w:cs="Arial"/>
          <w:sz w:val="24"/>
          <w:szCs w:val="24"/>
        </w:rPr>
        <w:t>It appears to me from the particulars of claim that the</w:t>
      </w:r>
      <w:r w:rsidR="00AE14E4">
        <w:rPr>
          <w:rFonts w:cs="Arial"/>
          <w:sz w:val="24"/>
          <w:szCs w:val="24"/>
        </w:rPr>
        <w:t xml:space="preserve">re are </w:t>
      </w:r>
      <w:r w:rsidR="00AA7CDB">
        <w:rPr>
          <w:rFonts w:cs="Arial"/>
          <w:sz w:val="24"/>
          <w:szCs w:val="24"/>
        </w:rPr>
        <w:t>disputes of fact.</w:t>
      </w:r>
    </w:p>
    <w:p w14:paraId="20889782" w14:textId="305EC861" w:rsidR="000643D5" w:rsidRPr="006A7289" w:rsidRDefault="00312FC4" w:rsidP="00A52408">
      <w:pPr>
        <w:pStyle w:val="ListParagraph"/>
        <w:numPr>
          <w:ilvl w:val="0"/>
          <w:numId w:val="12"/>
        </w:numPr>
        <w:spacing w:after="0" w:line="360" w:lineRule="auto"/>
        <w:ind w:left="851" w:hanging="851"/>
        <w:jc w:val="both"/>
        <w:rPr>
          <w:rFonts w:cs="Arial"/>
          <w:sz w:val="24"/>
          <w:szCs w:val="24"/>
        </w:rPr>
      </w:pPr>
      <w:r w:rsidRPr="006A7289">
        <w:rPr>
          <w:rFonts w:cs="Arial"/>
          <w:sz w:val="24"/>
          <w:szCs w:val="24"/>
        </w:rPr>
        <w:t>It is my view</w:t>
      </w:r>
      <w:r w:rsidR="00AA7CDB">
        <w:rPr>
          <w:rFonts w:cs="Arial"/>
          <w:sz w:val="24"/>
          <w:szCs w:val="24"/>
        </w:rPr>
        <w:t xml:space="preserve"> </w:t>
      </w:r>
      <w:r w:rsidR="00562B34" w:rsidRPr="006A7289">
        <w:rPr>
          <w:rFonts w:cs="Arial"/>
          <w:sz w:val="24"/>
          <w:szCs w:val="24"/>
        </w:rPr>
        <w:t xml:space="preserve">that </w:t>
      </w:r>
      <w:r w:rsidR="000643D5" w:rsidRPr="006A7289">
        <w:rPr>
          <w:rFonts w:cs="Arial"/>
          <w:sz w:val="24"/>
          <w:szCs w:val="24"/>
        </w:rPr>
        <w:t xml:space="preserve">a challenger to a writ of execution </w:t>
      </w:r>
      <w:r w:rsidR="00562B34" w:rsidRPr="006A7289">
        <w:rPr>
          <w:rFonts w:cs="Arial"/>
          <w:sz w:val="24"/>
          <w:szCs w:val="24"/>
        </w:rPr>
        <w:t xml:space="preserve">may </w:t>
      </w:r>
      <w:r w:rsidR="000643D5" w:rsidRPr="006A7289">
        <w:rPr>
          <w:rFonts w:cs="Arial"/>
          <w:sz w:val="24"/>
          <w:szCs w:val="24"/>
        </w:rPr>
        <w:t xml:space="preserve">bring </w:t>
      </w:r>
      <w:r w:rsidR="00562B34" w:rsidRPr="006A7289">
        <w:rPr>
          <w:rFonts w:cs="Arial"/>
          <w:sz w:val="24"/>
          <w:szCs w:val="24"/>
        </w:rPr>
        <w:t>the challenge</w:t>
      </w:r>
      <w:r w:rsidR="000643D5" w:rsidRPr="006A7289">
        <w:rPr>
          <w:rFonts w:cs="Arial"/>
          <w:sz w:val="24"/>
          <w:szCs w:val="24"/>
        </w:rPr>
        <w:t xml:space="preserve"> by way of </w:t>
      </w:r>
      <w:r w:rsidR="00562B34" w:rsidRPr="006A7289">
        <w:rPr>
          <w:rFonts w:cs="Arial"/>
          <w:sz w:val="24"/>
          <w:szCs w:val="24"/>
        </w:rPr>
        <w:t>action proceedings</w:t>
      </w:r>
      <w:r w:rsidR="000643D5" w:rsidRPr="006A7289">
        <w:rPr>
          <w:rFonts w:cs="Arial"/>
          <w:sz w:val="24"/>
          <w:szCs w:val="24"/>
        </w:rPr>
        <w:t xml:space="preserve">, </w:t>
      </w:r>
      <w:r w:rsidR="00562B34" w:rsidRPr="006A7289">
        <w:rPr>
          <w:rFonts w:cs="Arial"/>
          <w:sz w:val="24"/>
          <w:szCs w:val="24"/>
        </w:rPr>
        <w:t>provided</w:t>
      </w:r>
      <w:r w:rsidR="000643D5" w:rsidRPr="006A7289">
        <w:rPr>
          <w:rFonts w:cs="Arial"/>
          <w:sz w:val="24"/>
          <w:szCs w:val="24"/>
        </w:rPr>
        <w:t xml:space="preserve"> he </w:t>
      </w:r>
      <w:r w:rsidR="00AA7CDB">
        <w:rPr>
          <w:rFonts w:cs="Arial"/>
          <w:sz w:val="24"/>
          <w:szCs w:val="24"/>
        </w:rPr>
        <w:t>anticipates</w:t>
      </w:r>
      <w:r w:rsidRPr="006A7289">
        <w:rPr>
          <w:rFonts w:cs="Arial"/>
          <w:sz w:val="24"/>
          <w:szCs w:val="24"/>
        </w:rPr>
        <w:t xml:space="preserve"> a dispute of fact at the time </w:t>
      </w:r>
      <w:r w:rsidR="00562B34" w:rsidRPr="006A7289">
        <w:rPr>
          <w:rFonts w:cs="Arial"/>
          <w:sz w:val="24"/>
          <w:szCs w:val="24"/>
        </w:rPr>
        <w:t>that</w:t>
      </w:r>
      <w:r w:rsidRPr="006A7289">
        <w:rPr>
          <w:rFonts w:cs="Arial"/>
          <w:sz w:val="24"/>
          <w:szCs w:val="24"/>
        </w:rPr>
        <w:t xml:space="preserve"> the litigation </w:t>
      </w:r>
      <w:r w:rsidR="00AA7CDB">
        <w:rPr>
          <w:rFonts w:cs="Arial"/>
          <w:sz w:val="24"/>
          <w:szCs w:val="24"/>
        </w:rPr>
        <w:t>is</w:t>
      </w:r>
      <w:r w:rsidRPr="006A7289">
        <w:rPr>
          <w:rFonts w:cs="Arial"/>
          <w:sz w:val="24"/>
          <w:szCs w:val="24"/>
        </w:rPr>
        <w:t xml:space="preserve"> launched. </w:t>
      </w:r>
      <w:r w:rsidR="00AA7CDB">
        <w:rPr>
          <w:rFonts w:cs="Arial"/>
          <w:sz w:val="24"/>
          <w:szCs w:val="24"/>
        </w:rPr>
        <w:t xml:space="preserve">The point </w:t>
      </w:r>
      <w:r w:rsidR="00AA7CDB" w:rsidRPr="00AA7CDB">
        <w:rPr>
          <w:rFonts w:cs="Arial"/>
          <w:i/>
          <w:sz w:val="24"/>
          <w:szCs w:val="24"/>
        </w:rPr>
        <w:t>in limine</w:t>
      </w:r>
      <w:r w:rsidR="00AA7CDB">
        <w:rPr>
          <w:rFonts w:cs="Arial"/>
          <w:sz w:val="24"/>
          <w:szCs w:val="24"/>
        </w:rPr>
        <w:t xml:space="preserve"> is accordingly dismissed.</w:t>
      </w:r>
    </w:p>
    <w:p w14:paraId="52743926" w14:textId="77777777" w:rsidR="00683989" w:rsidRPr="006A7289" w:rsidRDefault="00683989" w:rsidP="00683989">
      <w:pPr>
        <w:spacing w:after="0" w:line="360" w:lineRule="auto"/>
        <w:jc w:val="both"/>
        <w:rPr>
          <w:rFonts w:cs="Arial"/>
          <w:b/>
          <w:sz w:val="24"/>
          <w:szCs w:val="24"/>
        </w:rPr>
      </w:pPr>
    </w:p>
    <w:p w14:paraId="1E21F919" w14:textId="5A32E383" w:rsidR="003233A1" w:rsidRPr="006A7289" w:rsidRDefault="000D3C58" w:rsidP="00683989">
      <w:pPr>
        <w:spacing w:after="0" w:line="360" w:lineRule="auto"/>
        <w:jc w:val="both"/>
        <w:rPr>
          <w:rFonts w:cs="Arial"/>
          <w:sz w:val="24"/>
          <w:szCs w:val="24"/>
        </w:rPr>
      </w:pPr>
      <w:r w:rsidRPr="006A7289">
        <w:rPr>
          <w:rFonts w:cs="Arial"/>
          <w:b/>
          <w:sz w:val="24"/>
          <w:szCs w:val="24"/>
        </w:rPr>
        <w:t>R</w:t>
      </w:r>
      <w:r w:rsidR="003233A1" w:rsidRPr="006A7289">
        <w:rPr>
          <w:rFonts w:cs="Arial"/>
          <w:b/>
          <w:sz w:val="24"/>
          <w:szCs w:val="24"/>
        </w:rPr>
        <w:t>elevant legal principles</w:t>
      </w:r>
    </w:p>
    <w:p w14:paraId="3EF1BF93" w14:textId="77777777" w:rsidR="00464B62" w:rsidRPr="006A7289" w:rsidRDefault="00464B62" w:rsidP="00464B62">
      <w:pPr>
        <w:pStyle w:val="ListParagraph"/>
        <w:spacing w:after="0" w:line="360" w:lineRule="auto"/>
        <w:ind w:left="360"/>
        <w:jc w:val="both"/>
        <w:rPr>
          <w:rFonts w:cs="Arial"/>
          <w:sz w:val="24"/>
          <w:szCs w:val="24"/>
        </w:rPr>
      </w:pPr>
    </w:p>
    <w:p w14:paraId="5C3915C4" w14:textId="1BFB1193" w:rsidR="005E428A" w:rsidRPr="00380608" w:rsidRDefault="00242E77" w:rsidP="00380608">
      <w:pPr>
        <w:pStyle w:val="ListParagraph"/>
        <w:numPr>
          <w:ilvl w:val="0"/>
          <w:numId w:val="12"/>
        </w:numPr>
        <w:spacing w:after="0" w:line="360" w:lineRule="auto"/>
        <w:ind w:left="851" w:hanging="851"/>
        <w:jc w:val="both"/>
        <w:rPr>
          <w:rFonts w:cs="Arial"/>
          <w:sz w:val="24"/>
          <w:szCs w:val="24"/>
        </w:rPr>
      </w:pPr>
      <w:r w:rsidRPr="006A7289">
        <w:rPr>
          <w:rFonts w:cs="Arial"/>
          <w:sz w:val="24"/>
          <w:szCs w:val="24"/>
        </w:rPr>
        <w:t>Exceptions are regulated by Rule 23(1)</w:t>
      </w:r>
      <w:r w:rsidR="00683989" w:rsidRPr="006A7289">
        <w:rPr>
          <w:rFonts w:cs="Arial"/>
          <w:sz w:val="24"/>
          <w:szCs w:val="24"/>
        </w:rPr>
        <w:t xml:space="preserve">. </w:t>
      </w:r>
      <w:r w:rsidRPr="006A7289">
        <w:rPr>
          <w:rFonts w:cs="Arial"/>
          <w:sz w:val="24"/>
          <w:szCs w:val="24"/>
        </w:rPr>
        <w:t xml:space="preserve">The function of an exception is that if a pleading does not disclose a cause of action, it disposes of the case, in whole or in part. </w:t>
      </w:r>
      <w:r w:rsidR="00DB43A7" w:rsidRPr="006A7289">
        <w:rPr>
          <w:rFonts w:cs="Arial"/>
          <w:sz w:val="24"/>
          <w:szCs w:val="24"/>
        </w:rPr>
        <w:t xml:space="preserve">It raises a substantive question of law which may have the effect of settling the dispute between the parties. </w:t>
      </w:r>
      <w:r w:rsidRPr="006A7289">
        <w:rPr>
          <w:rFonts w:cs="Arial"/>
          <w:sz w:val="24"/>
          <w:szCs w:val="24"/>
        </w:rPr>
        <w:t>To assess whether a pleading lacks the necessary averments to sustain a cause of action, it is necessary to consider the contested pleading (in this case the particulars of claim).</w:t>
      </w:r>
    </w:p>
    <w:p w14:paraId="5B4F461D" w14:textId="65C8225D" w:rsidR="00464B62" w:rsidRPr="006A7289" w:rsidRDefault="00464B62" w:rsidP="00A5029A">
      <w:pPr>
        <w:pStyle w:val="ListParagraph"/>
        <w:numPr>
          <w:ilvl w:val="0"/>
          <w:numId w:val="12"/>
        </w:numPr>
        <w:spacing w:after="0" w:line="360" w:lineRule="auto"/>
        <w:ind w:left="851" w:hanging="851"/>
        <w:jc w:val="both"/>
        <w:rPr>
          <w:rFonts w:cs="Arial"/>
          <w:sz w:val="24"/>
          <w:szCs w:val="24"/>
        </w:rPr>
      </w:pPr>
      <w:r w:rsidRPr="006A7289">
        <w:rPr>
          <w:rFonts w:cs="Arial"/>
          <w:sz w:val="24"/>
          <w:szCs w:val="24"/>
        </w:rPr>
        <w:t xml:space="preserve">The legal principles </w:t>
      </w:r>
      <w:r w:rsidR="000643D5" w:rsidRPr="006A7289">
        <w:rPr>
          <w:rFonts w:cs="Arial"/>
          <w:sz w:val="24"/>
          <w:szCs w:val="24"/>
        </w:rPr>
        <w:t xml:space="preserve">applicable to exceptions </w:t>
      </w:r>
      <w:r w:rsidRPr="006A7289">
        <w:rPr>
          <w:rFonts w:cs="Arial"/>
          <w:sz w:val="24"/>
          <w:szCs w:val="24"/>
        </w:rPr>
        <w:t xml:space="preserve">were set out </w:t>
      </w:r>
      <w:r w:rsidR="000643D5" w:rsidRPr="006A7289">
        <w:rPr>
          <w:rFonts w:cs="Arial"/>
          <w:sz w:val="24"/>
          <w:szCs w:val="24"/>
        </w:rPr>
        <w:t xml:space="preserve">very recently </w:t>
      </w:r>
      <w:r w:rsidRPr="006A7289">
        <w:rPr>
          <w:rFonts w:cs="Arial"/>
          <w:sz w:val="24"/>
          <w:szCs w:val="24"/>
        </w:rPr>
        <w:t xml:space="preserve">by Van Oosten J in </w:t>
      </w:r>
      <w:r w:rsidRPr="006A7289">
        <w:rPr>
          <w:rFonts w:cs="Arial"/>
          <w:i/>
          <w:sz w:val="24"/>
          <w:szCs w:val="24"/>
        </w:rPr>
        <w:t>Vayeke Sivuka</w:t>
      </w:r>
      <w:r w:rsidR="00AA7CDB">
        <w:rPr>
          <w:rFonts w:cs="Arial"/>
          <w:i/>
          <w:sz w:val="24"/>
          <w:szCs w:val="24"/>
        </w:rPr>
        <w:t xml:space="preserve"> &amp; 328 Others</w:t>
      </w:r>
      <w:r w:rsidRPr="006A7289">
        <w:rPr>
          <w:rFonts w:cs="Arial"/>
          <w:i/>
          <w:sz w:val="24"/>
          <w:szCs w:val="24"/>
        </w:rPr>
        <w:t xml:space="preserve"> v Ramaphosa</w:t>
      </w:r>
      <w:r w:rsidR="00AA7CDB">
        <w:rPr>
          <w:rFonts w:cs="Arial"/>
          <w:i/>
          <w:sz w:val="24"/>
          <w:szCs w:val="24"/>
        </w:rPr>
        <w:t xml:space="preserve"> and Others</w:t>
      </w:r>
      <w:r w:rsidR="000643D5" w:rsidRPr="006A7289">
        <w:rPr>
          <w:rFonts w:cs="Arial"/>
          <w:sz w:val="24"/>
          <w:szCs w:val="24"/>
        </w:rPr>
        <w:t>, with reference to Supreme Court of Appeal jurisprudence</w:t>
      </w:r>
      <w:r w:rsidRPr="006A7289">
        <w:rPr>
          <w:rFonts w:cs="Arial"/>
          <w:sz w:val="24"/>
          <w:szCs w:val="24"/>
        </w:rPr>
        <w:t>:</w:t>
      </w:r>
      <w:r w:rsidR="00AA7CDB">
        <w:rPr>
          <w:rStyle w:val="FootnoteReference"/>
          <w:rFonts w:cs="Arial"/>
          <w:sz w:val="24"/>
          <w:szCs w:val="24"/>
        </w:rPr>
        <w:footnoteReference w:id="3"/>
      </w:r>
      <w:r w:rsidRPr="006A7289">
        <w:rPr>
          <w:rFonts w:cs="Arial"/>
          <w:sz w:val="24"/>
          <w:szCs w:val="24"/>
        </w:rPr>
        <w:t xml:space="preserve">    </w:t>
      </w:r>
    </w:p>
    <w:p w14:paraId="0B41ACF7" w14:textId="77777777" w:rsidR="00464B62" w:rsidRPr="006A7289" w:rsidRDefault="00464B62" w:rsidP="00464B62">
      <w:pPr>
        <w:pStyle w:val="ListParagraph"/>
        <w:spacing w:after="0" w:line="360" w:lineRule="auto"/>
        <w:ind w:left="360"/>
        <w:jc w:val="both"/>
        <w:rPr>
          <w:rFonts w:cs="Arial"/>
          <w:sz w:val="24"/>
          <w:szCs w:val="24"/>
        </w:rPr>
      </w:pPr>
    </w:p>
    <w:p w14:paraId="60E3D72C" w14:textId="77777777" w:rsidR="00464B62" w:rsidRPr="00192A12" w:rsidRDefault="00464B62" w:rsidP="005E428A">
      <w:pPr>
        <w:spacing w:after="0" w:line="360" w:lineRule="auto"/>
        <w:ind w:left="1440"/>
        <w:jc w:val="both"/>
        <w:rPr>
          <w:rFonts w:cs="Arial"/>
        </w:rPr>
      </w:pPr>
      <w:r w:rsidRPr="00192A12">
        <w:rPr>
          <w:rFonts w:cs="Arial"/>
        </w:rPr>
        <w:t xml:space="preserve">[4] In the recent judgment of the Supreme Court of Appeal in </w:t>
      </w:r>
      <w:r w:rsidRPr="00192A12">
        <w:rPr>
          <w:rFonts w:cs="Arial"/>
          <w:i/>
        </w:rPr>
        <w:t xml:space="preserve">Luke M Tembani and Others v President of the Republic of South Africa and Another </w:t>
      </w:r>
      <w:r w:rsidRPr="00192A12">
        <w:rPr>
          <w:rFonts w:cs="Arial"/>
        </w:rPr>
        <w:t xml:space="preserve">(Case no 167/2021) [2022] ZASCA 70 (20 May 2022), the general principles relating to and the approach to be adopted in regard to adjudicating exceptions were summarised as follows (para14): </w:t>
      </w:r>
    </w:p>
    <w:p w14:paraId="1FC2AEC5" w14:textId="77777777" w:rsidR="00464B62" w:rsidRPr="00192A12" w:rsidRDefault="00464B62" w:rsidP="005E428A">
      <w:pPr>
        <w:pStyle w:val="ListParagraph"/>
        <w:spacing w:after="0" w:line="360" w:lineRule="auto"/>
        <w:ind w:left="1800"/>
        <w:jc w:val="both"/>
        <w:rPr>
          <w:rFonts w:cs="Arial"/>
        </w:rPr>
      </w:pPr>
      <w:r w:rsidRPr="00192A12">
        <w:rPr>
          <w:rFonts w:cs="Arial"/>
        </w:rPr>
        <w:t xml:space="preserve">‘Whilst exceptions provide a useful mechanism ‘to weed out cases without legal merit’, it is nonetheless necessary that they be dealt with sensibly (Telematrix (Pty) Ltd v Advertising Standards Authority SA [2005] ZASCA 73; 2006 (1) SA 461 (SCA) para 3). It is where pleadings are so vague that it is impossible to determine the nature of the claim, or where pleadings are bad in law in that their contents do not support a discernible and legally </w:t>
      </w:r>
      <w:r w:rsidRPr="00192A12">
        <w:rPr>
          <w:rFonts w:cs="Arial"/>
        </w:rPr>
        <w:lastRenderedPageBreak/>
        <w:t>recognised cause of action, that an exception is competent (Cilliers et al Herbstein &amp; Van Winsen The Practice of the High Courts of South Africa 5ed Vol 1 at 631; Jowell v Bramwell-Jones and Others 1998 (1) SA 836 (W) at 899E-F). The burden rests on an excipient, who must establish that on every interpretation that can reasonably be attached to it, the pleading is excipiable (</w:t>
      </w:r>
      <w:r w:rsidRPr="00192A12">
        <w:rPr>
          <w:rFonts w:cs="Arial"/>
          <w:i/>
        </w:rPr>
        <w:t>Ocean Echo Properties 327 CC and Another v Old Mutual Life Insurance Company (South Africa) Ltd</w:t>
      </w:r>
      <w:r w:rsidRPr="00192A12">
        <w:rPr>
          <w:rFonts w:cs="Arial"/>
        </w:rPr>
        <w:t xml:space="preserve"> [2018] ZASCA 9; 2018 (3) SA 405 (SCA) para 9). The test is whether on all possible readings of the facts no cause of action may be made out; it being for the excipient to satisfy the court that the conclusion of law for which the plaintiff contends cannot be supported on every interpretation that can be put upon the facts (</w:t>
      </w:r>
      <w:r w:rsidRPr="00192A12">
        <w:rPr>
          <w:rFonts w:cs="Arial"/>
          <w:i/>
        </w:rPr>
        <w:t>Trustees for the Time Being of the Children’s Resource Centre Trust and Others v Pioneer Food (Pty) Ltd and Others</w:t>
      </w:r>
      <w:r w:rsidRPr="00192A12">
        <w:rPr>
          <w:rFonts w:cs="Arial"/>
        </w:rPr>
        <w:t xml:space="preserve"> [2012] ZASCA 182; 2013 (2) SA 213 (SCA); 2013 (3) BCLR 279 (SCA); [2013] 1 All SA 648 (SCA) para 36 (</w:t>
      </w:r>
      <w:r w:rsidRPr="00192A12">
        <w:rPr>
          <w:rFonts w:cs="Arial"/>
          <w:i/>
        </w:rPr>
        <w:t>Children’s Resource Centre Trust</w:t>
      </w:r>
      <w:r w:rsidRPr="00192A12">
        <w:rPr>
          <w:rFonts w:cs="Arial"/>
        </w:rPr>
        <w:t>)).’</w:t>
      </w:r>
    </w:p>
    <w:p w14:paraId="6853799C" w14:textId="77777777" w:rsidR="00464B62" w:rsidRPr="00192A12" w:rsidRDefault="00464B62" w:rsidP="00464B62">
      <w:pPr>
        <w:pStyle w:val="ListParagraph"/>
        <w:spacing w:after="0" w:line="360" w:lineRule="auto"/>
        <w:ind w:left="1080"/>
        <w:jc w:val="both"/>
        <w:rPr>
          <w:rFonts w:cs="Arial"/>
        </w:rPr>
      </w:pPr>
    </w:p>
    <w:p w14:paraId="0AB771BE" w14:textId="20CC57C6" w:rsidR="00464B62" w:rsidRPr="00192A12" w:rsidRDefault="00464B62" w:rsidP="005E428A">
      <w:pPr>
        <w:pStyle w:val="ListParagraph"/>
        <w:spacing w:after="0" w:line="360" w:lineRule="auto"/>
        <w:ind w:left="1440"/>
        <w:jc w:val="both"/>
        <w:rPr>
          <w:rFonts w:cs="Arial"/>
        </w:rPr>
      </w:pPr>
      <w:r w:rsidRPr="00192A12">
        <w:rPr>
          <w:rFonts w:cs="Arial"/>
        </w:rPr>
        <w:t>[5] In adjudicating this exception, the court is enjoined to accept the facts pleaded by the plaintiffs as true and not to have regard to any other extraneous facts or documents (</w:t>
      </w:r>
      <w:r w:rsidRPr="00192A12">
        <w:rPr>
          <w:rFonts w:cs="Arial"/>
          <w:i/>
        </w:rPr>
        <w:t>Pretorius and Another v Transport Pension Fund and Another</w:t>
      </w:r>
      <w:r w:rsidRPr="00192A12">
        <w:rPr>
          <w:rFonts w:cs="Arial"/>
        </w:rPr>
        <w:t xml:space="preserve"> 2019 (2) SA 37 (CC) para 15). Only primary factual allegations that are necessary for the plaintiff to prove (facta probanda) in order to support his right to judgment of the court, must be pleaded and a plaintiff is not required to plead secondary allegations (facta p</w:t>
      </w:r>
      <w:r w:rsidR="004D6198">
        <w:rPr>
          <w:rFonts w:cs="Arial"/>
        </w:rPr>
        <w:t>r</w:t>
      </w:r>
      <w:r w:rsidRPr="00192A12">
        <w:rPr>
          <w:rFonts w:cs="Arial"/>
        </w:rPr>
        <w:t>obantia) upon which the plaintiff will rely in support of the primary factual allegations (</w:t>
      </w:r>
      <w:r w:rsidRPr="00192A12">
        <w:rPr>
          <w:rFonts w:cs="Arial"/>
          <w:i/>
        </w:rPr>
        <w:t xml:space="preserve">Trope v South African Reserve Bank and Another and Two Other Cases </w:t>
      </w:r>
      <w:r w:rsidRPr="00192A12">
        <w:rPr>
          <w:rFonts w:cs="Arial"/>
        </w:rPr>
        <w:t xml:space="preserve">1992 (3) SA 208 (T) 210G-H, quoted with approval in </w:t>
      </w:r>
      <w:r w:rsidRPr="00192A12">
        <w:rPr>
          <w:rFonts w:cs="Arial"/>
          <w:i/>
        </w:rPr>
        <w:t>Jowell</w:t>
      </w:r>
      <w:r w:rsidRPr="00192A12">
        <w:rPr>
          <w:rFonts w:cs="Arial"/>
        </w:rPr>
        <w:t xml:space="preserve">). But, as Vally J pointed out in </w:t>
      </w:r>
      <w:r w:rsidRPr="00192A12">
        <w:rPr>
          <w:rFonts w:cs="Arial"/>
          <w:i/>
        </w:rPr>
        <w:t>Drummond Cable Concepts v Advancenet (Pty) Ltd (08179/14) [2018] ZAGPJHC 636; 2020 (1) SA 546 (GJ)</w:t>
      </w:r>
      <w:r w:rsidRPr="00192A12">
        <w:rPr>
          <w:rFonts w:cs="Arial"/>
        </w:rPr>
        <w:t xml:space="preserve"> (para 7): </w:t>
      </w:r>
    </w:p>
    <w:p w14:paraId="794CFC37" w14:textId="07657916" w:rsidR="009D275C" w:rsidRPr="00192A12" w:rsidRDefault="00464B62" w:rsidP="00745E5D">
      <w:pPr>
        <w:pStyle w:val="ListParagraph"/>
        <w:spacing w:after="0" w:line="360" w:lineRule="auto"/>
        <w:ind w:left="1440"/>
        <w:jc w:val="both"/>
        <w:rPr>
          <w:rFonts w:cs="Arial"/>
        </w:rPr>
      </w:pPr>
      <w:r w:rsidRPr="00192A12">
        <w:rPr>
          <w:rFonts w:cs="Arial"/>
        </w:rPr>
        <w:t xml:space="preserve">‘The question that arises from this legal requirement is, what facts are necessary to ensure that the cause of action has been disclosed? The answer depends on the nature of the claim - a claim arising from a breach of contract requires different facts from a claim based in delict.’  </w:t>
      </w:r>
    </w:p>
    <w:p w14:paraId="5628ECCF" w14:textId="2DC7493C" w:rsidR="003233A1" w:rsidRPr="006A7289" w:rsidRDefault="003233A1" w:rsidP="000243FC">
      <w:pPr>
        <w:spacing w:after="0" w:line="360" w:lineRule="auto"/>
        <w:jc w:val="both"/>
        <w:rPr>
          <w:rFonts w:cs="Arial"/>
          <w:sz w:val="24"/>
          <w:szCs w:val="24"/>
        </w:rPr>
      </w:pPr>
    </w:p>
    <w:p w14:paraId="65904990" w14:textId="77777777" w:rsidR="00D36F15" w:rsidRPr="006A7289" w:rsidRDefault="00D36F15" w:rsidP="00540481">
      <w:pPr>
        <w:pStyle w:val="Judgment"/>
        <w:numPr>
          <w:ilvl w:val="0"/>
          <w:numId w:val="12"/>
        </w:numPr>
        <w:spacing w:before="0" w:after="0" w:line="360" w:lineRule="auto"/>
        <w:ind w:left="851" w:hanging="851"/>
        <w:rPr>
          <w:rFonts w:cs="Arial"/>
        </w:rPr>
      </w:pPr>
      <w:r w:rsidRPr="006A7289">
        <w:rPr>
          <w:rFonts w:cs="Arial"/>
        </w:rPr>
        <w:lastRenderedPageBreak/>
        <w:t>The purpose of pleadings is to bring clearly to the notice of the Court and to the opposing party in an action the issues upon which reliance is to be placed.</w:t>
      </w:r>
      <w:r w:rsidRPr="006A7289">
        <w:rPr>
          <w:rStyle w:val="FootnoteReference"/>
          <w:rFonts w:cs="Arial"/>
        </w:rPr>
        <w:footnoteReference w:id="4"/>
      </w:r>
    </w:p>
    <w:p w14:paraId="5A49E1D4" w14:textId="77777777" w:rsidR="003555BF" w:rsidRDefault="005C4EDC" w:rsidP="00540481">
      <w:pPr>
        <w:pStyle w:val="ListParagraph"/>
        <w:numPr>
          <w:ilvl w:val="0"/>
          <w:numId w:val="12"/>
        </w:numPr>
        <w:spacing w:after="240" w:line="360" w:lineRule="auto"/>
        <w:ind w:left="851" w:hanging="851"/>
        <w:jc w:val="both"/>
        <w:rPr>
          <w:rFonts w:eastAsia="Times New Roman" w:cs="Arial"/>
          <w:sz w:val="24"/>
          <w:szCs w:val="24"/>
          <w:lang w:val="en-ZA"/>
        </w:rPr>
      </w:pPr>
      <w:r w:rsidRPr="003555BF">
        <w:rPr>
          <w:rFonts w:eastAsia="Times New Roman" w:cs="Arial"/>
          <w:sz w:val="24"/>
          <w:szCs w:val="24"/>
          <w:lang w:val="en-ZA"/>
        </w:rPr>
        <w:t>In order to sustain a cause of action, a party must set out a clear and concise statement of the material facts upon which it relies for its claim with sufficient particularity to enable the other party to understand the case it has to meet and to reply thereto.</w:t>
      </w:r>
      <w:r w:rsidRPr="003555BF">
        <w:rPr>
          <w:rFonts w:cs="Arial"/>
          <w:sz w:val="24"/>
          <w:szCs w:val="24"/>
          <w:vertAlign w:val="superscript"/>
          <w:lang w:val="en-ZA"/>
        </w:rPr>
        <w:footnoteReference w:id="5"/>
      </w:r>
      <w:r w:rsidRPr="003555BF">
        <w:rPr>
          <w:rFonts w:eastAsia="Times New Roman" w:cs="Arial"/>
          <w:sz w:val="24"/>
          <w:szCs w:val="24"/>
          <w:lang w:val="en-ZA"/>
        </w:rPr>
        <w:t xml:space="preserve"> </w:t>
      </w:r>
    </w:p>
    <w:p w14:paraId="067583DA" w14:textId="5F696D03" w:rsidR="006E70A4" w:rsidRPr="003555BF" w:rsidRDefault="005C4EDC" w:rsidP="00540481">
      <w:pPr>
        <w:pStyle w:val="ListParagraph"/>
        <w:numPr>
          <w:ilvl w:val="0"/>
          <w:numId w:val="12"/>
        </w:numPr>
        <w:spacing w:after="240" w:line="360" w:lineRule="auto"/>
        <w:ind w:left="851" w:hanging="851"/>
        <w:jc w:val="both"/>
        <w:rPr>
          <w:rFonts w:eastAsia="Times New Roman" w:cs="Arial"/>
          <w:sz w:val="24"/>
          <w:szCs w:val="24"/>
          <w:lang w:val="en-ZA"/>
        </w:rPr>
      </w:pPr>
      <w:r w:rsidRPr="003555BF">
        <w:rPr>
          <w:rFonts w:eastAsia="Times New Roman" w:cs="Arial"/>
          <w:sz w:val="24"/>
          <w:szCs w:val="24"/>
          <w:lang w:val="en-ZA"/>
        </w:rPr>
        <w:t>If a pleading lacks an essential material fact without which there would be no foundation in law for the claim being made, the pleading is bad in law on the basis that it does not disclose a cause of action, and it would be excipiable.</w:t>
      </w:r>
      <w:r w:rsidRPr="003555BF">
        <w:rPr>
          <w:vertAlign w:val="superscript"/>
          <w:lang w:val="en-ZA"/>
        </w:rPr>
        <w:footnoteReference w:id="6"/>
      </w:r>
    </w:p>
    <w:p w14:paraId="76C18B4E" w14:textId="38D84719" w:rsidR="00AE0571" w:rsidRPr="00380608" w:rsidRDefault="00F229E4" w:rsidP="00540481">
      <w:pPr>
        <w:pStyle w:val="ListParagraph"/>
        <w:numPr>
          <w:ilvl w:val="0"/>
          <w:numId w:val="12"/>
        </w:numPr>
        <w:spacing w:after="240" w:line="360" w:lineRule="auto"/>
        <w:ind w:left="851" w:hanging="851"/>
        <w:jc w:val="both"/>
        <w:rPr>
          <w:rFonts w:eastAsia="Times New Roman" w:cs="Arial"/>
          <w:sz w:val="24"/>
          <w:szCs w:val="24"/>
          <w:lang w:val="en-ZA"/>
        </w:rPr>
      </w:pPr>
      <w:r w:rsidRPr="0076099E">
        <w:rPr>
          <w:rFonts w:cs="Arial"/>
          <w:sz w:val="24"/>
          <w:szCs w:val="24"/>
        </w:rPr>
        <w:t>T</w:t>
      </w:r>
      <w:r w:rsidR="00DB43A7" w:rsidRPr="0076099E">
        <w:rPr>
          <w:rFonts w:cs="Arial"/>
          <w:sz w:val="24"/>
          <w:szCs w:val="24"/>
        </w:rPr>
        <w:t>he pleading must contain every fact which would be necessary for the plaintiff to prove, if traversed, in order to support his right to judgment (</w:t>
      </w:r>
      <w:r w:rsidR="006E70A4">
        <w:rPr>
          <w:rFonts w:cs="Arial"/>
          <w:sz w:val="24"/>
          <w:szCs w:val="24"/>
        </w:rPr>
        <w:t xml:space="preserve">the material facts, known as </w:t>
      </w:r>
      <w:r w:rsidR="00DB43A7" w:rsidRPr="006E70A4">
        <w:rPr>
          <w:rFonts w:cs="Arial"/>
          <w:i/>
          <w:sz w:val="24"/>
          <w:szCs w:val="24"/>
        </w:rPr>
        <w:t>facta probanda</w:t>
      </w:r>
      <w:r w:rsidR="00DB43A7" w:rsidRPr="0076099E">
        <w:rPr>
          <w:rFonts w:cs="Arial"/>
          <w:sz w:val="24"/>
          <w:szCs w:val="24"/>
        </w:rPr>
        <w:t xml:space="preserve">). The </w:t>
      </w:r>
      <w:r w:rsidR="00DB43A7" w:rsidRPr="006E70A4">
        <w:rPr>
          <w:rFonts w:cs="Arial"/>
          <w:i/>
          <w:sz w:val="24"/>
          <w:szCs w:val="24"/>
        </w:rPr>
        <w:t>facta probanda</w:t>
      </w:r>
      <w:r w:rsidR="00DB43A7" w:rsidRPr="0076099E">
        <w:rPr>
          <w:rFonts w:cs="Arial"/>
          <w:sz w:val="24"/>
          <w:szCs w:val="24"/>
        </w:rPr>
        <w:t xml:space="preserve"> necessary for a complete and properly pleaded cause of action does not comprise every piece of evidence which is necessary to prove each fact</w:t>
      </w:r>
      <w:r w:rsidR="00A33B1D">
        <w:rPr>
          <w:rFonts w:cs="Arial"/>
          <w:sz w:val="24"/>
          <w:szCs w:val="24"/>
        </w:rPr>
        <w:t xml:space="preserve">. </w:t>
      </w:r>
      <w:r w:rsidR="006E70A4">
        <w:rPr>
          <w:rFonts w:eastAsia="Times New Roman" w:cs="Arial"/>
          <w:sz w:val="24"/>
          <w:szCs w:val="24"/>
        </w:rPr>
        <w:t xml:space="preserve">A </w:t>
      </w:r>
      <w:r w:rsidR="00265BB4" w:rsidRPr="0076099E">
        <w:rPr>
          <w:rFonts w:eastAsia="Times New Roman" w:cs="Arial"/>
          <w:sz w:val="24"/>
          <w:szCs w:val="24"/>
        </w:rPr>
        <w:t>plaintiff is required to plead</w:t>
      </w:r>
      <w:r w:rsidR="006E70A4">
        <w:rPr>
          <w:rFonts w:eastAsia="Times New Roman" w:cs="Arial"/>
          <w:sz w:val="24"/>
          <w:szCs w:val="24"/>
        </w:rPr>
        <w:t xml:space="preserve"> the material facts, not conclusions</w:t>
      </w:r>
      <w:r w:rsidR="00265BB4" w:rsidRPr="0076099E">
        <w:rPr>
          <w:rFonts w:eastAsia="Times New Roman" w:cs="Arial"/>
          <w:sz w:val="24"/>
          <w:szCs w:val="24"/>
        </w:rPr>
        <w:t xml:space="preserve"> that (if proved) will disclose a cause of action.</w:t>
      </w:r>
    </w:p>
    <w:p w14:paraId="27CFC340" w14:textId="3ED81397" w:rsidR="005E428A" w:rsidRPr="00380608" w:rsidRDefault="0076099E" w:rsidP="00540481">
      <w:pPr>
        <w:pStyle w:val="ListParagraph"/>
        <w:numPr>
          <w:ilvl w:val="0"/>
          <w:numId w:val="12"/>
        </w:numPr>
        <w:spacing w:after="0" w:line="360" w:lineRule="auto"/>
        <w:ind w:left="851" w:hanging="851"/>
        <w:jc w:val="both"/>
        <w:rPr>
          <w:rFonts w:eastAsia="Times New Roman" w:cs="Arial"/>
          <w:sz w:val="24"/>
          <w:szCs w:val="24"/>
          <w:lang w:val="en-ZA"/>
        </w:rPr>
      </w:pPr>
      <w:r w:rsidRPr="00AE0571">
        <w:rPr>
          <w:rFonts w:cs="Arial"/>
          <w:sz w:val="24"/>
          <w:szCs w:val="24"/>
        </w:rPr>
        <w:t>It is also a fundamental principle that when considering whether an exception should be upheld the pleadings are considered as a whole and one does not read paragraphs in isolation.</w:t>
      </w:r>
      <w:r w:rsidRPr="00E04557">
        <w:rPr>
          <w:rStyle w:val="FootnoteReference"/>
          <w:rFonts w:cs="Arial"/>
        </w:rPr>
        <w:footnoteReference w:id="7"/>
      </w:r>
    </w:p>
    <w:p w14:paraId="26262B91" w14:textId="6F2A32F2" w:rsidR="005E428A" w:rsidRPr="00380608" w:rsidRDefault="000C5DB3" w:rsidP="005E428A">
      <w:pPr>
        <w:pStyle w:val="ListParagraph"/>
        <w:numPr>
          <w:ilvl w:val="0"/>
          <w:numId w:val="12"/>
        </w:numPr>
        <w:spacing w:after="0" w:line="360" w:lineRule="auto"/>
        <w:ind w:left="851" w:hanging="851"/>
        <w:jc w:val="both"/>
        <w:rPr>
          <w:rFonts w:cs="Arial"/>
          <w:sz w:val="24"/>
          <w:szCs w:val="24"/>
        </w:rPr>
      </w:pPr>
      <w:r w:rsidRPr="003555BF">
        <w:rPr>
          <w:rFonts w:cs="Arial"/>
          <w:sz w:val="24"/>
          <w:szCs w:val="24"/>
        </w:rPr>
        <w:t>Where pleadings are bad in law in that their contents do not support a discernible and legally recognised cause of action, an exception is competent.</w:t>
      </w:r>
      <w:r w:rsidR="00A019FF" w:rsidRPr="003555BF">
        <w:rPr>
          <w:rFonts w:eastAsia="Times New Roman" w:cs="Arial"/>
          <w:sz w:val="24"/>
          <w:szCs w:val="24"/>
          <w:lang w:val="en-ZA"/>
        </w:rPr>
        <w:t xml:space="preserve"> If it does not have that effect the exception should not be entertained.</w:t>
      </w:r>
    </w:p>
    <w:p w14:paraId="2B4FEBEC" w14:textId="0F88A24B" w:rsidR="00912A62" w:rsidRPr="00380608" w:rsidRDefault="00912A62" w:rsidP="00380608">
      <w:pPr>
        <w:pStyle w:val="ListParagraph"/>
        <w:numPr>
          <w:ilvl w:val="0"/>
          <w:numId w:val="12"/>
        </w:numPr>
        <w:spacing w:after="0" w:line="360" w:lineRule="auto"/>
        <w:ind w:left="851" w:hanging="851"/>
        <w:jc w:val="both"/>
        <w:rPr>
          <w:rFonts w:cs="Arial"/>
          <w:sz w:val="24"/>
          <w:szCs w:val="24"/>
        </w:rPr>
      </w:pPr>
      <w:r w:rsidRPr="006A7289">
        <w:rPr>
          <w:rFonts w:cs="Arial"/>
          <w:sz w:val="24"/>
          <w:szCs w:val="24"/>
        </w:rPr>
        <w:t xml:space="preserve">The defect must be apparent </w:t>
      </w:r>
      <w:r w:rsidRPr="00AE0571">
        <w:rPr>
          <w:rFonts w:cs="Arial"/>
          <w:i/>
          <w:sz w:val="24"/>
          <w:szCs w:val="24"/>
        </w:rPr>
        <w:t>ex facie</w:t>
      </w:r>
      <w:r w:rsidRPr="006A7289">
        <w:rPr>
          <w:rFonts w:cs="Arial"/>
          <w:sz w:val="24"/>
          <w:szCs w:val="24"/>
        </w:rPr>
        <w:t xml:space="preserve"> the pleading, meaning that no external facts may be raised or considered.</w:t>
      </w:r>
    </w:p>
    <w:p w14:paraId="205941C6" w14:textId="77777777" w:rsidR="00540481" w:rsidRPr="00540481" w:rsidRDefault="003233A1" w:rsidP="00540481">
      <w:pPr>
        <w:pStyle w:val="ListParagraph"/>
        <w:numPr>
          <w:ilvl w:val="0"/>
          <w:numId w:val="12"/>
        </w:numPr>
        <w:spacing w:after="0" w:line="360" w:lineRule="auto"/>
        <w:ind w:left="851" w:hanging="851"/>
        <w:jc w:val="both"/>
        <w:rPr>
          <w:rFonts w:cs="Arial"/>
          <w:b/>
          <w:sz w:val="24"/>
          <w:szCs w:val="24"/>
        </w:rPr>
      </w:pPr>
      <w:r w:rsidRPr="006A7289">
        <w:rPr>
          <w:rFonts w:cs="Arial"/>
          <w:sz w:val="24"/>
          <w:szCs w:val="24"/>
        </w:rPr>
        <w:t xml:space="preserve">Should a court uphold an exception, the respondent is usually afforded an opportunity to remedy the defective pleading by making an appropriate amendment, provided that it is capable of remedy. If not, then the claim must </w:t>
      </w:r>
      <w:r w:rsidR="00540481">
        <w:rPr>
          <w:rFonts w:cs="Arial"/>
          <w:sz w:val="24"/>
          <w:szCs w:val="24"/>
        </w:rPr>
        <w:t>be dismissed.</w:t>
      </w:r>
    </w:p>
    <w:p w14:paraId="37BE612B" w14:textId="1B3CFD88" w:rsidR="009D275C" w:rsidRPr="00540481" w:rsidRDefault="00540481" w:rsidP="00540481">
      <w:pPr>
        <w:spacing w:after="0" w:line="360" w:lineRule="auto"/>
        <w:jc w:val="both"/>
        <w:rPr>
          <w:rFonts w:cs="Arial"/>
          <w:b/>
          <w:sz w:val="24"/>
          <w:szCs w:val="24"/>
        </w:rPr>
      </w:pPr>
      <w:r w:rsidRPr="00540481">
        <w:rPr>
          <w:rFonts w:cs="Arial"/>
          <w:b/>
          <w:sz w:val="24"/>
          <w:szCs w:val="24"/>
        </w:rPr>
        <w:t xml:space="preserve"> </w:t>
      </w:r>
      <w:r w:rsidR="009D275C" w:rsidRPr="00540481">
        <w:rPr>
          <w:rFonts w:cs="Arial"/>
          <w:b/>
          <w:sz w:val="24"/>
          <w:szCs w:val="24"/>
        </w:rPr>
        <w:t>Exceptions</w:t>
      </w:r>
    </w:p>
    <w:p w14:paraId="0410E844" w14:textId="77777777" w:rsidR="000C5DB3" w:rsidRPr="006A7289" w:rsidRDefault="000C5DB3" w:rsidP="009D275C">
      <w:pPr>
        <w:spacing w:after="0" w:line="360" w:lineRule="auto"/>
        <w:jc w:val="both"/>
        <w:rPr>
          <w:rFonts w:cs="Arial"/>
          <w:b/>
          <w:sz w:val="24"/>
          <w:szCs w:val="24"/>
        </w:rPr>
      </w:pPr>
    </w:p>
    <w:p w14:paraId="19DCBD07" w14:textId="57235224" w:rsidR="00CD35C4" w:rsidRDefault="0047234E" w:rsidP="00380608">
      <w:pPr>
        <w:pStyle w:val="Judgementsubpara"/>
        <w:numPr>
          <w:ilvl w:val="0"/>
          <w:numId w:val="12"/>
        </w:numPr>
        <w:spacing w:before="0" w:after="0" w:line="360" w:lineRule="auto"/>
        <w:ind w:left="851" w:right="0" w:hanging="851"/>
        <w:rPr>
          <w:rFonts w:cs="Arial"/>
        </w:rPr>
      </w:pPr>
      <w:r w:rsidRPr="006A7289">
        <w:rPr>
          <w:rFonts w:cs="Arial"/>
        </w:rPr>
        <w:t xml:space="preserve">The </w:t>
      </w:r>
      <w:r w:rsidR="003B011D">
        <w:rPr>
          <w:rFonts w:cs="Arial"/>
        </w:rPr>
        <w:t>first defendant</w:t>
      </w:r>
      <w:r w:rsidR="00B41991">
        <w:rPr>
          <w:rFonts w:cs="Arial"/>
        </w:rPr>
        <w:t xml:space="preserve"> </w:t>
      </w:r>
      <w:r w:rsidR="005A7847">
        <w:rPr>
          <w:rFonts w:cs="Arial"/>
        </w:rPr>
        <w:t>raises an exception</w:t>
      </w:r>
      <w:r w:rsidR="00B41991">
        <w:rPr>
          <w:rFonts w:cs="Arial"/>
        </w:rPr>
        <w:t xml:space="preserve"> </w:t>
      </w:r>
      <w:r w:rsidR="00ED325A">
        <w:rPr>
          <w:rFonts w:cs="Arial"/>
        </w:rPr>
        <w:t>against</w:t>
      </w:r>
      <w:r w:rsidR="00B41991">
        <w:rPr>
          <w:rFonts w:cs="Arial"/>
        </w:rPr>
        <w:t xml:space="preserve"> the </w:t>
      </w:r>
      <w:r w:rsidR="00265BB4" w:rsidRPr="006A7289">
        <w:rPr>
          <w:rFonts w:cs="Arial"/>
        </w:rPr>
        <w:t xml:space="preserve">plaintiff’s </w:t>
      </w:r>
      <w:r w:rsidR="006A7289" w:rsidRPr="006A7289">
        <w:rPr>
          <w:rFonts w:cs="Arial"/>
        </w:rPr>
        <w:t>particulars of claim</w:t>
      </w:r>
      <w:r w:rsidR="005159B6">
        <w:rPr>
          <w:rFonts w:cs="Arial"/>
        </w:rPr>
        <w:t xml:space="preserve"> </w:t>
      </w:r>
      <w:r w:rsidR="00B41991">
        <w:rPr>
          <w:rFonts w:cs="Arial"/>
        </w:rPr>
        <w:t xml:space="preserve">on the </w:t>
      </w:r>
      <w:r w:rsidR="000C7945">
        <w:rPr>
          <w:rFonts w:cs="Arial"/>
        </w:rPr>
        <w:t>basis</w:t>
      </w:r>
      <w:r w:rsidR="00B41991">
        <w:rPr>
          <w:rFonts w:cs="Arial"/>
        </w:rPr>
        <w:t xml:space="preserve"> that it fails to disclose a cause of action. </w:t>
      </w:r>
      <w:r w:rsidR="005159B6">
        <w:rPr>
          <w:rFonts w:cs="Arial"/>
        </w:rPr>
        <w:t xml:space="preserve">The </w:t>
      </w:r>
      <w:r w:rsidR="000C7945">
        <w:rPr>
          <w:rFonts w:cs="Arial"/>
        </w:rPr>
        <w:t>specific objections</w:t>
      </w:r>
      <w:r w:rsidR="005159B6">
        <w:rPr>
          <w:rFonts w:cs="Arial"/>
        </w:rPr>
        <w:t xml:space="preserve"> are not numbered. </w:t>
      </w:r>
    </w:p>
    <w:p w14:paraId="7F8E7DB5" w14:textId="77777777" w:rsidR="0085589D" w:rsidRDefault="0085589D" w:rsidP="00380608">
      <w:pPr>
        <w:pStyle w:val="Judgementsubpara"/>
        <w:numPr>
          <w:ilvl w:val="0"/>
          <w:numId w:val="12"/>
        </w:numPr>
        <w:spacing w:before="0" w:after="0" w:line="360" w:lineRule="auto"/>
        <w:ind w:left="851" w:right="0" w:hanging="851"/>
        <w:rPr>
          <w:rFonts w:cs="Arial"/>
        </w:rPr>
      </w:pPr>
      <w:r>
        <w:rPr>
          <w:rFonts w:cs="Arial"/>
        </w:rPr>
        <w:t>The</w:t>
      </w:r>
      <w:r w:rsidRPr="00CD35C4">
        <w:rPr>
          <w:rFonts w:cs="Arial"/>
        </w:rPr>
        <w:t xml:space="preserve"> </w:t>
      </w:r>
      <w:r>
        <w:rPr>
          <w:rFonts w:cs="Arial"/>
        </w:rPr>
        <w:t>first defendant</w:t>
      </w:r>
      <w:r w:rsidRPr="00CD35C4">
        <w:rPr>
          <w:rFonts w:cs="Arial"/>
        </w:rPr>
        <w:t xml:space="preserve"> complains that </w:t>
      </w:r>
      <w:r w:rsidRPr="003555BF">
        <w:rPr>
          <w:rFonts w:cs="Arial"/>
        </w:rPr>
        <w:t xml:space="preserve">the plaintiff makes a bald denial </w:t>
      </w:r>
      <w:r>
        <w:rPr>
          <w:rFonts w:cs="Arial"/>
        </w:rPr>
        <w:t xml:space="preserve">in his particulars of claim </w:t>
      </w:r>
      <w:r w:rsidRPr="003555BF">
        <w:rPr>
          <w:rFonts w:cs="Arial"/>
        </w:rPr>
        <w:t>that he owes any maintenance at all to the first defendant or that he is liable to refund any amount to the first defendant in terms of the court order, which even if taken as true, fails to disclose a cause of action.</w:t>
      </w:r>
      <w:r w:rsidRPr="00CD35C4">
        <w:rPr>
          <w:rFonts w:cs="Arial"/>
        </w:rPr>
        <w:t xml:space="preserve"> </w:t>
      </w:r>
      <w:r w:rsidRPr="006A7289">
        <w:rPr>
          <w:rFonts w:cs="Arial"/>
        </w:rPr>
        <w:t xml:space="preserve">The plaintiff pleads the existence of the settlement agreement, which contains specific and determined </w:t>
      </w:r>
      <w:r w:rsidRPr="00B41991">
        <w:rPr>
          <w:rFonts w:cs="Arial"/>
        </w:rPr>
        <w:t>amounts</w:t>
      </w:r>
      <w:r w:rsidRPr="006A7289">
        <w:rPr>
          <w:rFonts w:cs="Arial"/>
        </w:rPr>
        <w:t xml:space="preserve"> of payment, but fails to plead that the amounts in the writ are incorrect.</w:t>
      </w:r>
    </w:p>
    <w:p w14:paraId="72AB0191" w14:textId="08CCA870" w:rsidR="003C08E0" w:rsidRPr="0085589D" w:rsidRDefault="00CD35C4" w:rsidP="0085589D">
      <w:pPr>
        <w:pStyle w:val="Judgementsubpara"/>
        <w:numPr>
          <w:ilvl w:val="0"/>
          <w:numId w:val="12"/>
        </w:numPr>
        <w:spacing w:before="0" w:after="0" w:line="360" w:lineRule="auto"/>
        <w:ind w:left="851" w:right="0" w:hanging="851"/>
        <w:rPr>
          <w:rFonts w:cs="Arial"/>
        </w:rPr>
      </w:pPr>
      <w:r>
        <w:rPr>
          <w:rFonts w:cs="Arial"/>
        </w:rPr>
        <w:t xml:space="preserve">The </w:t>
      </w:r>
      <w:r w:rsidR="003B011D">
        <w:rPr>
          <w:rFonts w:cs="Arial"/>
        </w:rPr>
        <w:t>first defendant</w:t>
      </w:r>
      <w:r>
        <w:rPr>
          <w:rFonts w:cs="Arial"/>
        </w:rPr>
        <w:t xml:space="preserve"> </w:t>
      </w:r>
      <w:r w:rsidR="0085589D">
        <w:rPr>
          <w:rFonts w:cs="Arial"/>
        </w:rPr>
        <w:t xml:space="preserve">submits further that </w:t>
      </w:r>
      <w:r>
        <w:rPr>
          <w:rFonts w:cs="Arial"/>
        </w:rPr>
        <w:t xml:space="preserve">the plaintiff’s claims that the debt is in dispute, that the writ issued </w:t>
      </w:r>
      <w:r w:rsidRPr="00F932D8">
        <w:rPr>
          <w:rFonts w:cs="Arial"/>
        </w:rPr>
        <w:t>is incompetent in part or at all</w:t>
      </w:r>
      <w:r w:rsidR="0042573F">
        <w:rPr>
          <w:rFonts w:cs="Arial"/>
        </w:rPr>
        <w:t xml:space="preserve">, </w:t>
      </w:r>
      <w:r>
        <w:rPr>
          <w:rFonts w:cs="Arial"/>
        </w:rPr>
        <w:t xml:space="preserve">that the writ is faulty, that the writ was issued </w:t>
      </w:r>
      <w:r w:rsidR="0042573F">
        <w:rPr>
          <w:rFonts w:cs="Arial"/>
        </w:rPr>
        <w:t>based on</w:t>
      </w:r>
      <w:r>
        <w:rPr>
          <w:rFonts w:cs="Arial"/>
        </w:rPr>
        <w:t xml:space="preserve"> an affidavit by the </w:t>
      </w:r>
      <w:r w:rsidR="003B011D">
        <w:rPr>
          <w:rFonts w:cs="Arial"/>
        </w:rPr>
        <w:t>first defendant</w:t>
      </w:r>
      <w:r w:rsidR="004D6198">
        <w:rPr>
          <w:rFonts w:cs="Arial"/>
        </w:rPr>
        <w:t>,</w:t>
      </w:r>
      <w:r>
        <w:rPr>
          <w:rFonts w:cs="Arial"/>
        </w:rPr>
        <w:t xml:space="preserve"> and that reliance was placed on a schedule based on source documentation</w:t>
      </w:r>
      <w:r w:rsidR="00B41991">
        <w:rPr>
          <w:rFonts w:cs="Arial"/>
        </w:rPr>
        <w:t>, do not evince a cause of action</w:t>
      </w:r>
      <w:r>
        <w:rPr>
          <w:rFonts w:cs="Arial"/>
        </w:rPr>
        <w:t xml:space="preserve">. </w:t>
      </w:r>
    </w:p>
    <w:p w14:paraId="2567F9E9" w14:textId="5236C9A8" w:rsidR="003C08E0" w:rsidRPr="00380608" w:rsidRDefault="00F17868" w:rsidP="003C08E0">
      <w:pPr>
        <w:pStyle w:val="ListParagraph"/>
        <w:numPr>
          <w:ilvl w:val="0"/>
          <w:numId w:val="12"/>
        </w:numPr>
        <w:spacing w:after="0" w:line="360" w:lineRule="auto"/>
        <w:ind w:left="851" w:hanging="851"/>
        <w:jc w:val="both"/>
        <w:rPr>
          <w:rFonts w:cs="Arial"/>
          <w:sz w:val="24"/>
          <w:szCs w:val="24"/>
        </w:rPr>
      </w:pPr>
      <w:r>
        <w:rPr>
          <w:rFonts w:cs="Arial"/>
          <w:sz w:val="24"/>
          <w:szCs w:val="24"/>
        </w:rPr>
        <w:t>A further objection is that t</w:t>
      </w:r>
      <w:r w:rsidR="00D477BC" w:rsidRPr="006A7289">
        <w:rPr>
          <w:rFonts w:cs="Arial"/>
          <w:sz w:val="24"/>
          <w:szCs w:val="24"/>
        </w:rPr>
        <w:t xml:space="preserve">he </w:t>
      </w:r>
      <w:r w:rsidR="008340A4">
        <w:rPr>
          <w:rFonts w:cs="Arial"/>
          <w:sz w:val="24"/>
          <w:szCs w:val="24"/>
        </w:rPr>
        <w:t>p</w:t>
      </w:r>
      <w:r w:rsidR="00A774AF" w:rsidRPr="006A7289">
        <w:rPr>
          <w:rFonts w:cs="Arial"/>
          <w:sz w:val="24"/>
          <w:szCs w:val="24"/>
        </w:rPr>
        <w:t>laintiff</w:t>
      </w:r>
      <w:r w:rsidR="00D477BC" w:rsidRPr="006A7289">
        <w:rPr>
          <w:rFonts w:cs="Arial"/>
          <w:sz w:val="24"/>
          <w:szCs w:val="24"/>
        </w:rPr>
        <w:t xml:space="preserve"> has </w:t>
      </w:r>
      <w:r w:rsidR="00480E96" w:rsidRPr="003555BF">
        <w:rPr>
          <w:rFonts w:cs="Arial"/>
          <w:sz w:val="24"/>
          <w:szCs w:val="24"/>
        </w:rPr>
        <w:t xml:space="preserve">not </w:t>
      </w:r>
      <w:r w:rsidR="00D477BC" w:rsidRPr="003555BF">
        <w:rPr>
          <w:rFonts w:cs="Arial"/>
          <w:sz w:val="24"/>
          <w:szCs w:val="24"/>
        </w:rPr>
        <w:t>set out his claim with suffic</w:t>
      </w:r>
      <w:r w:rsidR="008C5FE5" w:rsidRPr="003555BF">
        <w:rPr>
          <w:rFonts w:cs="Arial"/>
          <w:sz w:val="24"/>
          <w:szCs w:val="24"/>
        </w:rPr>
        <w:t>ient particularity</w:t>
      </w:r>
      <w:r w:rsidR="008340A4">
        <w:rPr>
          <w:rFonts w:cs="Arial"/>
          <w:sz w:val="24"/>
          <w:szCs w:val="24"/>
        </w:rPr>
        <w:t xml:space="preserve">. </w:t>
      </w:r>
      <w:r w:rsidR="00D477BC" w:rsidRPr="006A7289">
        <w:rPr>
          <w:rFonts w:cs="Arial"/>
          <w:sz w:val="24"/>
          <w:szCs w:val="24"/>
        </w:rPr>
        <w:t xml:space="preserve">He merely </w:t>
      </w:r>
      <w:r w:rsidR="00D477BC" w:rsidRPr="003555BF">
        <w:rPr>
          <w:rFonts w:cs="Arial"/>
          <w:sz w:val="24"/>
          <w:szCs w:val="24"/>
        </w:rPr>
        <w:t xml:space="preserve">contends that he is entitled to contest the veracity of the </w:t>
      </w:r>
      <w:r w:rsidR="00480E96" w:rsidRPr="003555BF">
        <w:rPr>
          <w:rFonts w:cs="Arial"/>
          <w:sz w:val="24"/>
          <w:szCs w:val="24"/>
        </w:rPr>
        <w:t>defendant</w:t>
      </w:r>
      <w:r w:rsidR="00257A71" w:rsidRPr="003555BF">
        <w:rPr>
          <w:rFonts w:cs="Arial"/>
          <w:sz w:val="24"/>
          <w:szCs w:val="24"/>
        </w:rPr>
        <w:t>’s claim</w:t>
      </w:r>
      <w:r w:rsidR="00D477BC" w:rsidRPr="003555BF">
        <w:rPr>
          <w:rFonts w:cs="Arial"/>
          <w:sz w:val="24"/>
          <w:szCs w:val="24"/>
        </w:rPr>
        <w:t xml:space="preserve">, the computation of the </w:t>
      </w:r>
      <w:r w:rsidR="00257A71" w:rsidRPr="003555BF">
        <w:rPr>
          <w:rFonts w:cs="Arial"/>
          <w:sz w:val="24"/>
          <w:szCs w:val="24"/>
        </w:rPr>
        <w:t>amounts</w:t>
      </w:r>
      <w:r w:rsidR="00D477BC" w:rsidRPr="003555BF">
        <w:rPr>
          <w:rFonts w:cs="Arial"/>
          <w:sz w:val="24"/>
          <w:szCs w:val="24"/>
        </w:rPr>
        <w:t xml:space="preserve">, the nature of the claim (which </w:t>
      </w:r>
      <w:r w:rsidR="00257A71" w:rsidRPr="003555BF">
        <w:rPr>
          <w:rFonts w:cs="Arial"/>
          <w:sz w:val="24"/>
          <w:szCs w:val="24"/>
        </w:rPr>
        <w:t xml:space="preserve">the </w:t>
      </w:r>
      <w:r w:rsidR="00B41991" w:rsidRPr="003555BF">
        <w:rPr>
          <w:rFonts w:cs="Arial"/>
          <w:sz w:val="24"/>
          <w:szCs w:val="24"/>
        </w:rPr>
        <w:t xml:space="preserve">first </w:t>
      </w:r>
      <w:r w:rsidR="00480E96" w:rsidRPr="003555BF">
        <w:rPr>
          <w:rFonts w:cs="Arial"/>
          <w:sz w:val="24"/>
          <w:szCs w:val="24"/>
        </w:rPr>
        <w:t>defendant</w:t>
      </w:r>
      <w:r w:rsidR="00257A71" w:rsidRPr="003555BF">
        <w:rPr>
          <w:rFonts w:cs="Arial"/>
          <w:sz w:val="24"/>
          <w:szCs w:val="24"/>
        </w:rPr>
        <w:t xml:space="preserve"> says </w:t>
      </w:r>
      <w:r w:rsidR="00D477BC" w:rsidRPr="003555BF">
        <w:rPr>
          <w:rFonts w:cs="Arial"/>
          <w:sz w:val="24"/>
          <w:szCs w:val="24"/>
        </w:rPr>
        <w:t>has no merit as the nature of the claim is the court order), and the possibility that certain amounts other than maintenance have become prescribed</w:t>
      </w:r>
      <w:r w:rsidR="00257A71" w:rsidRPr="006A7289">
        <w:rPr>
          <w:rFonts w:cs="Arial"/>
          <w:sz w:val="24"/>
          <w:szCs w:val="24"/>
        </w:rPr>
        <w:t>,</w:t>
      </w:r>
      <w:r w:rsidR="00D477BC" w:rsidRPr="006A7289">
        <w:rPr>
          <w:rFonts w:cs="Arial"/>
          <w:sz w:val="24"/>
          <w:szCs w:val="24"/>
        </w:rPr>
        <w:t xml:space="preserve"> and the reasonableness and legality of expenses</w:t>
      </w:r>
      <w:r w:rsidR="00257A71" w:rsidRPr="006A7289">
        <w:rPr>
          <w:rFonts w:cs="Arial"/>
          <w:sz w:val="24"/>
          <w:szCs w:val="24"/>
        </w:rPr>
        <w:t xml:space="preserve"> which the </w:t>
      </w:r>
      <w:r w:rsidR="003B011D">
        <w:rPr>
          <w:rFonts w:cs="Arial"/>
          <w:sz w:val="24"/>
          <w:szCs w:val="24"/>
        </w:rPr>
        <w:t>first defendant</w:t>
      </w:r>
      <w:r w:rsidR="00257A71" w:rsidRPr="006A7289">
        <w:rPr>
          <w:rFonts w:cs="Arial"/>
          <w:sz w:val="24"/>
          <w:szCs w:val="24"/>
        </w:rPr>
        <w:t xml:space="preserve"> is alleged to have made</w:t>
      </w:r>
      <w:r w:rsidR="00D477BC" w:rsidRPr="006A7289">
        <w:rPr>
          <w:rFonts w:cs="Arial"/>
          <w:sz w:val="24"/>
          <w:szCs w:val="24"/>
        </w:rPr>
        <w:t>.</w:t>
      </w:r>
    </w:p>
    <w:p w14:paraId="19292FAA" w14:textId="2DB84483" w:rsidR="00CD1DEB" w:rsidRPr="00B41991" w:rsidRDefault="00D510EF" w:rsidP="00A06AF9">
      <w:pPr>
        <w:numPr>
          <w:ilvl w:val="0"/>
          <w:numId w:val="12"/>
        </w:numPr>
        <w:spacing w:line="360" w:lineRule="auto"/>
        <w:ind w:left="851" w:hanging="851"/>
        <w:jc w:val="both"/>
        <w:rPr>
          <w:rFonts w:cs="Arial"/>
          <w:sz w:val="24"/>
          <w:szCs w:val="24"/>
        </w:rPr>
      </w:pPr>
      <w:r w:rsidRPr="006A7289">
        <w:rPr>
          <w:rFonts w:cs="Arial"/>
          <w:sz w:val="24"/>
          <w:szCs w:val="24"/>
        </w:rPr>
        <w:t xml:space="preserve">The plaintiff does not </w:t>
      </w:r>
      <w:r w:rsidR="0047234E" w:rsidRPr="006A7289">
        <w:rPr>
          <w:rFonts w:cs="Arial"/>
          <w:sz w:val="24"/>
          <w:szCs w:val="24"/>
        </w:rPr>
        <w:t>plead</w:t>
      </w:r>
      <w:r w:rsidR="00D36F15" w:rsidRPr="006A7289">
        <w:rPr>
          <w:rFonts w:cs="Arial"/>
          <w:sz w:val="24"/>
          <w:szCs w:val="24"/>
        </w:rPr>
        <w:t xml:space="preserve"> the </w:t>
      </w:r>
      <w:r w:rsidR="00D36F15" w:rsidRPr="003555BF">
        <w:rPr>
          <w:rFonts w:cs="Arial"/>
          <w:sz w:val="24"/>
          <w:szCs w:val="24"/>
        </w:rPr>
        <w:t xml:space="preserve">necessary allegations to meet any </w:t>
      </w:r>
      <w:r w:rsidRPr="003555BF">
        <w:rPr>
          <w:rFonts w:cs="Arial"/>
          <w:sz w:val="24"/>
          <w:szCs w:val="24"/>
        </w:rPr>
        <w:t xml:space="preserve">of the </w:t>
      </w:r>
      <w:r w:rsidR="00A019FF" w:rsidRPr="003555BF">
        <w:rPr>
          <w:rFonts w:cs="Arial"/>
          <w:sz w:val="24"/>
          <w:szCs w:val="24"/>
        </w:rPr>
        <w:t>established grounds on which a writ of execution may be set aside</w:t>
      </w:r>
      <w:r w:rsidR="00B41991">
        <w:rPr>
          <w:rFonts w:cs="Arial"/>
          <w:sz w:val="24"/>
          <w:szCs w:val="24"/>
        </w:rPr>
        <w:t>.</w:t>
      </w:r>
      <w:r w:rsidR="00CD1DEB">
        <w:rPr>
          <w:rFonts w:cs="Arial"/>
          <w:sz w:val="24"/>
          <w:szCs w:val="24"/>
        </w:rPr>
        <w:t xml:space="preserve"> </w:t>
      </w:r>
      <w:r w:rsidR="00CD1DEB" w:rsidRPr="00B41991">
        <w:rPr>
          <w:rFonts w:cs="Arial"/>
          <w:sz w:val="24"/>
          <w:szCs w:val="24"/>
        </w:rPr>
        <w:t xml:space="preserve">D.E. van Loggerenberg identifies </w:t>
      </w:r>
      <w:r w:rsidR="00CD1DEB">
        <w:rPr>
          <w:rFonts w:cs="Arial"/>
          <w:sz w:val="24"/>
          <w:szCs w:val="24"/>
        </w:rPr>
        <w:t xml:space="preserve">them </w:t>
      </w:r>
      <w:r w:rsidR="00CD1DEB" w:rsidRPr="00B41991">
        <w:rPr>
          <w:rFonts w:cs="Arial"/>
          <w:sz w:val="24"/>
          <w:szCs w:val="24"/>
        </w:rPr>
        <w:t>as the following:</w:t>
      </w:r>
      <w:r w:rsidR="00CD1DEB" w:rsidRPr="00B41991">
        <w:rPr>
          <w:rFonts w:cs="Arial"/>
          <w:sz w:val="24"/>
          <w:szCs w:val="24"/>
          <w:vertAlign w:val="superscript"/>
        </w:rPr>
        <w:footnoteReference w:id="8"/>
      </w:r>
    </w:p>
    <w:p w14:paraId="5C165C08" w14:textId="11292445" w:rsidR="00CD1DEB" w:rsidRPr="00B41991" w:rsidRDefault="00CD1DEB" w:rsidP="004826EE">
      <w:pPr>
        <w:numPr>
          <w:ilvl w:val="1"/>
          <w:numId w:val="27"/>
        </w:numPr>
        <w:spacing w:line="360" w:lineRule="auto"/>
        <w:ind w:left="1418" w:hanging="284"/>
        <w:jc w:val="both"/>
        <w:rPr>
          <w:rFonts w:cs="Arial"/>
          <w:sz w:val="24"/>
          <w:szCs w:val="24"/>
        </w:rPr>
      </w:pPr>
      <w:r w:rsidRPr="00B41991">
        <w:rPr>
          <w:rFonts w:cs="Arial"/>
          <w:sz w:val="24"/>
          <w:szCs w:val="24"/>
        </w:rPr>
        <w:t>Where the writ had not been issued in conformity with the judgment</w:t>
      </w:r>
      <w:r w:rsidR="0042573F">
        <w:rPr>
          <w:rFonts w:cs="Arial"/>
          <w:sz w:val="24"/>
          <w:szCs w:val="24"/>
        </w:rPr>
        <w:t>;</w:t>
      </w:r>
    </w:p>
    <w:p w14:paraId="4805B4DB" w14:textId="77777777" w:rsidR="003555BF" w:rsidRDefault="00CD1DEB" w:rsidP="003555BF">
      <w:pPr>
        <w:numPr>
          <w:ilvl w:val="1"/>
          <w:numId w:val="27"/>
        </w:numPr>
        <w:spacing w:line="360" w:lineRule="auto"/>
        <w:ind w:left="1418" w:hanging="284"/>
        <w:jc w:val="both"/>
        <w:rPr>
          <w:rFonts w:cs="Arial"/>
          <w:sz w:val="24"/>
          <w:szCs w:val="24"/>
        </w:rPr>
      </w:pPr>
      <w:r w:rsidRPr="00B41991">
        <w:rPr>
          <w:rFonts w:cs="Arial"/>
          <w:sz w:val="24"/>
          <w:szCs w:val="24"/>
        </w:rPr>
        <w:t>Where the wrong person is named in the writ as a party</w:t>
      </w:r>
      <w:r w:rsidR="0042573F">
        <w:rPr>
          <w:rFonts w:cs="Arial"/>
          <w:sz w:val="24"/>
          <w:szCs w:val="24"/>
        </w:rPr>
        <w:t>;</w:t>
      </w:r>
    </w:p>
    <w:p w14:paraId="7988BD6B" w14:textId="1DF8086F" w:rsidR="00CD1DEB" w:rsidRPr="003555BF" w:rsidRDefault="00CD1DEB" w:rsidP="003555BF">
      <w:pPr>
        <w:numPr>
          <w:ilvl w:val="1"/>
          <w:numId w:val="27"/>
        </w:numPr>
        <w:spacing w:line="360" w:lineRule="auto"/>
        <w:ind w:left="1418" w:hanging="284"/>
        <w:jc w:val="both"/>
        <w:rPr>
          <w:rFonts w:cs="Arial"/>
          <w:sz w:val="24"/>
          <w:szCs w:val="24"/>
        </w:rPr>
      </w:pPr>
      <w:r w:rsidRPr="003555BF">
        <w:rPr>
          <w:rFonts w:cs="Arial"/>
          <w:sz w:val="24"/>
          <w:szCs w:val="24"/>
        </w:rPr>
        <w:lastRenderedPageBreak/>
        <w:t>Where the amount payable under the judgment can be ascertained only after deciding a further legal problem</w:t>
      </w:r>
      <w:r w:rsidR="0042573F" w:rsidRPr="003555BF">
        <w:rPr>
          <w:rFonts w:cs="Arial"/>
          <w:sz w:val="24"/>
          <w:szCs w:val="24"/>
        </w:rPr>
        <w:t>;</w:t>
      </w:r>
    </w:p>
    <w:p w14:paraId="0DD79800" w14:textId="2D486A8A" w:rsidR="00CD1DEB" w:rsidRPr="00B41991" w:rsidRDefault="00CD1DEB" w:rsidP="004826EE">
      <w:pPr>
        <w:numPr>
          <w:ilvl w:val="1"/>
          <w:numId w:val="27"/>
        </w:numPr>
        <w:spacing w:line="360" w:lineRule="auto"/>
        <w:ind w:left="1418" w:hanging="284"/>
        <w:jc w:val="both"/>
        <w:rPr>
          <w:rFonts w:cs="Arial"/>
          <w:sz w:val="24"/>
          <w:szCs w:val="24"/>
        </w:rPr>
      </w:pPr>
      <w:r w:rsidRPr="00B41991">
        <w:rPr>
          <w:rFonts w:cs="Arial"/>
          <w:sz w:val="24"/>
          <w:szCs w:val="24"/>
        </w:rPr>
        <w:t>Where the debt in respect of which the judgment was obtained has been extinguished before obtaining judgment, or where payment of the debt has been tendered</w:t>
      </w:r>
      <w:r w:rsidR="0042573F">
        <w:rPr>
          <w:rFonts w:cs="Arial"/>
          <w:sz w:val="24"/>
          <w:szCs w:val="24"/>
        </w:rPr>
        <w:t>;</w:t>
      </w:r>
    </w:p>
    <w:p w14:paraId="0AB0AA84" w14:textId="4E2BEF86" w:rsidR="00CD1DEB" w:rsidRDefault="00CD1DEB" w:rsidP="004826EE">
      <w:pPr>
        <w:numPr>
          <w:ilvl w:val="1"/>
          <w:numId w:val="27"/>
        </w:numPr>
        <w:spacing w:line="360" w:lineRule="auto"/>
        <w:ind w:left="1418" w:hanging="284"/>
        <w:jc w:val="both"/>
        <w:rPr>
          <w:rFonts w:cs="Arial"/>
          <w:sz w:val="24"/>
          <w:szCs w:val="24"/>
        </w:rPr>
      </w:pPr>
      <w:r w:rsidRPr="00B41991">
        <w:rPr>
          <w:rFonts w:cs="Arial"/>
          <w:sz w:val="24"/>
          <w:szCs w:val="24"/>
        </w:rPr>
        <w:t>Where the judgments upon which the writ is based have been set aside</w:t>
      </w:r>
      <w:r w:rsidR="0042573F">
        <w:rPr>
          <w:rFonts w:cs="Arial"/>
          <w:sz w:val="24"/>
          <w:szCs w:val="24"/>
        </w:rPr>
        <w:t>;</w:t>
      </w:r>
    </w:p>
    <w:p w14:paraId="28816DB2" w14:textId="0690B4C9" w:rsidR="00D477BC" w:rsidRDefault="00CD1DEB" w:rsidP="004826EE">
      <w:pPr>
        <w:numPr>
          <w:ilvl w:val="1"/>
          <w:numId w:val="27"/>
        </w:numPr>
        <w:spacing w:line="360" w:lineRule="auto"/>
        <w:ind w:left="1418" w:hanging="284"/>
        <w:jc w:val="both"/>
        <w:rPr>
          <w:rFonts w:cs="Arial"/>
          <w:sz w:val="24"/>
          <w:szCs w:val="24"/>
        </w:rPr>
      </w:pPr>
      <w:r w:rsidRPr="00CD1DEB">
        <w:rPr>
          <w:rFonts w:cs="Arial"/>
          <w:sz w:val="24"/>
          <w:szCs w:val="24"/>
        </w:rPr>
        <w:t>Where it is proved that an attachment is in material respect faulty on formal grounds</w:t>
      </w:r>
      <w:r w:rsidR="0042573F">
        <w:rPr>
          <w:rFonts w:cs="Arial"/>
          <w:sz w:val="24"/>
          <w:szCs w:val="24"/>
        </w:rPr>
        <w:t>.</w:t>
      </w:r>
    </w:p>
    <w:p w14:paraId="0B4196A6" w14:textId="1196B158" w:rsidR="00490FF1" w:rsidRPr="00CD1DEB" w:rsidRDefault="00490FF1" w:rsidP="00490FF1">
      <w:pPr>
        <w:numPr>
          <w:ilvl w:val="0"/>
          <w:numId w:val="12"/>
        </w:numPr>
        <w:spacing w:line="360" w:lineRule="auto"/>
        <w:ind w:left="851" w:hanging="851"/>
        <w:jc w:val="both"/>
        <w:rPr>
          <w:rFonts w:cs="Arial"/>
          <w:sz w:val="24"/>
          <w:szCs w:val="24"/>
        </w:rPr>
      </w:pPr>
      <w:r>
        <w:rPr>
          <w:rFonts w:cs="Arial"/>
          <w:sz w:val="24"/>
          <w:szCs w:val="24"/>
        </w:rPr>
        <w:t xml:space="preserve">The </w:t>
      </w:r>
      <w:r w:rsidR="001C7312">
        <w:rPr>
          <w:rFonts w:cs="Arial"/>
          <w:sz w:val="24"/>
          <w:szCs w:val="24"/>
        </w:rPr>
        <w:t xml:space="preserve">applicability, or otherwise, of the </w:t>
      </w:r>
      <w:r>
        <w:rPr>
          <w:rFonts w:cs="Arial"/>
          <w:sz w:val="24"/>
          <w:szCs w:val="24"/>
        </w:rPr>
        <w:t xml:space="preserve">Maintenance Act </w:t>
      </w:r>
      <w:r w:rsidR="00FB0817">
        <w:rPr>
          <w:rFonts w:cs="Arial"/>
          <w:sz w:val="24"/>
          <w:szCs w:val="24"/>
        </w:rPr>
        <w:t xml:space="preserve">99 of 1998 </w:t>
      </w:r>
      <w:r>
        <w:rPr>
          <w:rFonts w:cs="Arial"/>
          <w:sz w:val="24"/>
          <w:szCs w:val="24"/>
        </w:rPr>
        <w:t>was raised neither in the notice of exception, nor during oral argument</w:t>
      </w:r>
      <w:r w:rsidR="0085589D">
        <w:rPr>
          <w:rFonts w:cs="Arial"/>
          <w:sz w:val="24"/>
          <w:szCs w:val="24"/>
        </w:rPr>
        <w:t xml:space="preserve"> by either counsel</w:t>
      </w:r>
      <w:r>
        <w:rPr>
          <w:rFonts w:cs="Arial"/>
          <w:sz w:val="24"/>
          <w:szCs w:val="24"/>
        </w:rPr>
        <w:t xml:space="preserve">. </w:t>
      </w:r>
    </w:p>
    <w:p w14:paraId="663F7DF0" w14:textId="77777777" w:rsidR="003850FF" w:rsidRPr="005143A0" w:rsidRDefault="003850FF" w:rsidP="005143A0">
      <w:pPr>
        <w:spacing w:after="0" w:line="360" w:lineRule="auto"/>
        <w:jc w:val="both"/>
        <w:rPr>
          <w:rFonts w:cs="Arial"/>
          <w:b/>
          <w:sz w:val="24"/>
          <w:szCs w:val="24"/>
        </w:rPr>
      </w:pPr>
    </w:p>
    <w:p w14:paraId="44D2B7AC" w14:textId="5EF9063A" w:rsidR="003233A1" w:rsidRPr="006A7289" w:rsidRDefault="00745E5D" w:rsidP="007A7C62">
      <w:pPr>
        <w:pStyle w:val="ListParagraph"/>
        <w:spacing w:after="0" w:line="360" w:lineRule="auto"/>
        <w:ind w:left="360" w:hanging="360"/>
        <w:jc w:val="both"/>
        <w:rPr>
          <w:rFonts w:cs="Arial"/>
          <w:b/>
          <w:sz w:val="24"/>
          <w:szCs w:val="24"/>
        </w:rPr>
      </w:pPr>
      <w:r w:rsidRPr="006A7289">
        <w:rPr>
          <w:rFonts w:cs="Arial"/>
          <w:b/>
          <w:sz w:val="24"/>
          <w:szCs w:val="24"/>
        </w:rPr>
        <w:t xml:space="preserve">Plaintiff’s </w:t>
      </w:r>
      <w:r w:rsidR="00B41991">
        <w:rPr>
          <w:rFonts w:cs="Arial"/>
          <w:b/>
          <w:sz w:val="24"/>
          <w:szCs w:val="24"/>
        </w:rPr>
        <w:t xml:space="preserve">particulars of claim </w:t>
      </w:r>
    </w:p>
    <w:p w14:paraId="62DD127B" w14:textId="5DD6B44B" w:rsidR="003233A1" w:rsidRPr="006A7289" w:rsidRDefault="003233A1" w:rsidP="00745E5D">
      <w:pPr>
        <w:spacing w:after="0" w:line="360" w:lineRule="auto"/>
        <w:jc w:val="both"/>
        <w:rPr>
          <w:rFonts w:cs="Arial"/>
          <w:sz w:val="24"/>
          <w:szCs w:val="24"/>
        </w:rPr>
      </w:pPr>
    </w:p>
    <w:p w14:paraId="363EE95C" w14:textId="77777777" w:rsidR="00EB5965" w:rsidRPr="00EB5965" w:rsidRDefault="0042573F" w:rsidP="00EB5965">
      <w:pPr>
        <w:pStyle w:val="ListParagraph"/>
        <w:numPr>
          <w:ilvl w:val="0"/>
          <w:numId w:val="12"/>
        </w:numPr>
        <w:spacing w:after="0" w:line="360" w:lineRule="auto"/>
        <w:ind w:left="851" w:hanging="851"/>
        <w:jc w:val="both"/>
        <w:rPr>
          <w:rFonts w:cs="Arial"/>
          <w:sz w:val="24"/>
          <w:szCs w:val="24"/>
          <w:lang w:val="en-ZA"/>
        </w:rPr>
      </w:pPr>
      <w:r>
        <w:rPr>
          <w:rFonts w:cs="Arial"/>
          <w:sz w:val="24"/>
          <w:szCs w:val="24"/>
        </w:rPr>
        <w:t xml:space="preserve">From the prayers, it is </w:t>
      </w:r>
      <w:r w:rsidR="00C75BE4">
        <w:rPr>
          <w:rFonts w:cs="Arial"/>
          <w:sz w:val="24"/>
          <w:szCs w:val="24"/>
        </w:rPr>
        <w:t>evident</w:t>
      </w:r>
      <w:r>
        <w:rPr>
          <w:rFonts w:cs="Arial"/>
          <w:sz w:val="24"/>
          <w:szCs w:val="24"/>
        </w:rPr>
        <w:t xml:space="preserve"> </w:t>
      </w:r>
      <w:r w:rsidR="00C75BE4">
        <w:rPr>
          <w:rFonts w:cs="Arial"/>
          <w:sz w:val="24"/>
          <w:szCs w:val="24"/>
        </w:rPr>
        <w:t xml:space="preserve">that </w:t>
      </w:r>
      <w:r>
        <w:rPr>
          <w:rFonts w:cs="Arial"/>
          <w:sz w:val="24"/>
          <w:szCs w:val="24"/>
        </w:rPr>
        <w:t>the plaintiff</w:t>
      </w:r>
      <w:r w:rsidR="003850FF">
        <w:rPr>
          <w:rFonts w:cs="Arial"/>
          <w:sz w:val="24"/>
          <w:szCs w:val="24"/>
        </w:rPr>
        <w:t xml:space="preserve"> is seeking that the </w:t>
      </w:r>
      <w:r>
        <w:rPr>
          <w:rFonts w:cs="Arial"/>
          <w:sz w:val="24"/>
          <w:szCs w:val="24"/>
        </w:rPr>
        <w:t>writ</w:t>
      </w:r>
      <w:r w:rsidR="003850FF">
        <w:rPr>
          <w:rFonts w:cs="Arial"/>
          <w:sz w:val="24"/>
          <w:szCs w:val="24"/>
        </w:rPr>
        <w:t xml:space="preserve"> </w:t>
      </w:r>
      <w:r>
        <w:rPr>
          <w:rFonts w:cs="Arial"/>
          <w:sz w:val="24"/>
          <w:szCs w:val="24"/>
        </w:rPr>
        <w:t>be</w:t>
      </w:r>
      <w:r w:rsidR="003850FF">
        <w:rPr>
          <w:rFonts w:cs="Arial"/>
          <w:sz w:val="24"/>
          <w:szCs w:val="24"/>
        </w:rPr>
        <w:t xml:space="preserve"> set aside</w:t>
      </w:r>
      <w:r>
        <w:rPr>
          <w:rFonts w:cs="Arial"/>
          <w:sz w:val="24"/>
          <w:szCs w:val="24"/>
        </w:rPr>
        <w:t xml:space="preserve">. </w:t>
      </w:r>
      <w:r w:rsidR="003233A1" w:rsidRPr="006A7289">
        <w:rPr>
          <w:rFonts w:cs="Arial"/>
          <w:sz w:val="24"/>
          <w:szCs w:val="24"/>
        </w:rPr>
        <w:t xml:space="preserve">The </w:t>
      </w:r>
      <w:r w:rsidR="00A774AF" w:rsidRPr="006A7289">
        <w:rPr>
          <w:rFonts w:cs="Arial"/>
          <w:sz w:val="24"/>
          <w:szCs w:val="24"/>
        </w:rPr>
        <w:t>Plaintiff</w:t>
      </w:r>
      <w:r w:rsidR="003233A1" w:rsidRPr="006A7289">
        <w:rPr>
          <w:rFonts w:cs="Arial"/>
          <w:sz w:val="24"/>
          <w:szCs w:val="24"/>
        </w:rPr>
        <w:t xml:space="preserve"> submits that the cause of action appears clearly from the factual allegations made in the particulars of claim</w:t>
      </w:r>
      <w:r w:rsidR="003C08E0">
        <w:rPr>
          <w:rFonts w:cs="Arial"/>
          <w:sz w:val="24"/>
          <w:szCs w:val="24"/>
        </w:rPr>
        <w:t xml:space="preserve">. </w:t>
      </w:r>
    </w:p>
    <w:p w14:paraId="57807D79" w14:textId="66F0000A" w:rsidR="00B41991" w:rsidRPr="00EB5965" w:rsidRDefault="0085589D" w:rsidP="00EB5965">
      <w:pPr>
        <w:pStyle w:val="ListParagraph"/>
        <w:numPr>
          <w:ilvl w:val="0"/>
          <w:numId w:val="12"/>
        </w:numPr>
        <w:spacing w:after="0" w:line="360" w:lineRule="auto"/>
        <w:ind w:left="851" w:hanging="851"/>
        <w:jc w:val="both"/>
        <w:rPr>
          <w:rFonts w:cs="Arial"/>
          <w:sz w:val="24"/>
          <w:szCs w:val="24"/>
          <w:lang w:val="en-ZA"/>
        </w:rPr>
      </w:pPr>
      <w:r>
        <w:rPr>
          <w:rFonts w:cs="Arial"/>
          <w:sz w:val="24"/>
          <w:szCs w:val="24"/>
        </w:rPr>
        <w:t>T</w:t>
      </w:r>
      <w:r w:rsidR="003233A1" w:rsidRPr="00EB5965">
        <w:rPr>
          <w:rFonts w:cs="Arial"/>
          <w:sz w:val="24"/>
          <w:szCs w:val="24"/>
        </w:rPr>
        <w:t xml:space="preserve">he </w:t>
      </w:r>
      <w:r w:rsidR="007E0EC1" w:rsidRPr="00EB5965">
        <w:rPr>
          <w:rFonts w:cs="Arial"/>
          <w:sz w:val="24"/>
          <w:szCs w:val="24"/>
        </w:rPr>
        <w:t>p</w:t>
      </w:r>
      <w:r w:rsidR="00A774AF" w:rsidRPr="00EB5965">
        <w:rPr>
          <w:rFonts w:cs="Arial"/>
          <w:sz w:val="24"/>
          <w:szCs w:val="24"/>
        </w:rPr>
        <w:t>laintiff</w:t>
      </w:r>
      <w:r w:rsidR="003233A1" w:rsidRPr="00EB5965">
        <w:rPr>
          <w:rFonts w:cs="Arial"/>
          <w:sz w:val="24"/>
          <w:szCs w:val="24"/>
        </w:rPr>
        <w:t xml:space="preserve"> </w:t>
      </w:r>
      <w:r w:rsidR="00486ACD" w:rsidRPr="00EB5965">
        <w:rPr>
          <w:rFonts w:cs="Arial"/>
          <w:sz w:val="24"/>
          <w:szCs w:val="24"/>
        </w:rPr>
        <w:t xml:space="preserve">raises </w:t>
      </w:r>
      <w:r w:rsidR="003233A1" w:rsidRPr="00EB5965">
        <w:rPr>
          <w:rFonts w:cs="Arial"/>
          <w:sz w:val="24"/>
          <w:szCs w:val="24"/>
        </w:rPr>
        <w:t>four</w:t>
      </w:r>
      <w:r w:rsidR="007E0EC1" w:rsidRPr="00EB5965">
        <w:rPr>
          <w:rFonts w:cs="Arial"/>
          <w:sz w:val="24"/>
          <w:szCs w:val="24"/>
        </w:rPr>
        <w:t xml:space="preserve"> specific</w:t>
      </w:r>
      <w:r w:rsidR="003233A1" w:rsidRPr="00EB5965">
        <w:rPr>
          <w:rFonts w:cs="Arial"/>
          <w:sz w:val="24"/>
          <w:szCs w:val="24"/>
        </w:rPr>
        <w:t xml:space="preserve"> grounds</w:t>
      </w:r>
      <w:r w:rsidR="00737AB2" w:rsidRPr="00EB5965">
        <w:rPr>
          <w:rFonts w:cs="Arial"/>
          <w:sz w:val="24"/>
          <w:szCs w:val="24"/>
        </w:rPr>
        <w:t xml:space="preserve">. </w:t>
      </w:r>
      <w:r w:rsidR="003233A1" w:rsidRPr="00EB5965">
        <w:rPr>
          <w:rFonts w:cs="Arial"/>
          <w:sz w:val="24"/>
          <w:szCs w:val="24"/>
        </w:rPr>
        <w:t xml:space="preserve">For purposes of convenience, the grounds and the </w:t>
      </w:r>
      <w:r w:rsidR="007E0EC1" w:rsidRPr="00EB5965">
        <w:rPr>
          <w:rFonts w:cs="Arial"/>
          <w:sz w:val="24"/>
          <w:szCs w:val="24"/>
        </w:rPr>
        <w:t>f</w:t>
      </w:r>
      <w:r w:rsidR="003B011D" w:rsidRPr="00EB5965">
        <w:rPr>
          <w:rFonts w:cs="Arial"/>
          <w:sz w:val="24"/>
          <w:szCs w:val="24"/>
        </w:rPr>
        <w:t>irst defendant</w:t>
      </w:r>
      <w:r w:rsidR="003233A1" w:rsidRPr="00EB5965">
        <w:rPr>
          <w:rFonts w:cs="Arial"/>
          <w:sz w:val="24"/>
          <w:szCs w:val="24"/>
        </w:rPr>
        <w:t xml:space="preserve">’s </w:t>
      </w:r>
      <w:r w:rsidR="000C5DB3" w:rsidRPr="00EB5965">
        <w:rPr>
          <w:rFonts w:cs="Arial"/>
          <w:sz w:val="24"/>
          <w:szCs w:val="24"/>
        </w:rPr>
        <w:t>objections</w:t>
      </w:r>
      <w:r w:rsidR="003233A1" w:rsidRPr="00EB5965">
        <w:rPr>
          <w:rFonts w:cs="Arial"/>
          <w:sz w:val="24"/>
          <w:szCs w:val="24"/>
        </w:rPr>
        <w:t xml:space="preserve"> are discussed </w:t>
      </w:r>
      <w:r w:rsidR="007E0EC1" w:rsidRPr="00EB5965">
        <w:rPr>
          <w:rFonts w:cs="Arial"/>
          <w:sz w:val="24"/>
          <w:szCs w:val="24"/>
        </w:rPr>
        <w:t>simultaneously</w:t>
      </w:r>
      <w:r w:rsidR="003233A1" w:rsidRPr="00EB5965">
        <w:rPr>
          <w:rFonts w:cs="Arial"/>
          <w:sz w:val="24"/>
          <w:szCs w:val="24"/>
        </w:rPr>
        <w:t xml:space="preserve">. </w:t>
      </w:r>
    </w:p>
    <w:p w14:paraId="21A16B7A" w14:textId="48A4F339" w:rsidR="007E0EC1" w:rsidRDefault="007E0EC1" w:rsidP="009D7EE3">
      <w:pPr>
        <w:pStyle w:val="ListParagraph"/>
        <w:spacing w:after="0" w:line="360" w:lineRule="auto"/>
        <w:ind w:left="1080"/>
        <w:jc w:val="both"/>
        <w:rPr>
          <w:rFonts w:cs="Arial"/>
          <w:b/>
          <w:sz w:val="24"/>
          <w:szCs w:val="24"/>
        </w:rPr>
      </w:pPr>
    </w:p>
    <w:p w14:paraId="7B13AB9E" w14:textId="77777777" w:rsidR="007E0EC1" w:rsidRDefault="007E0EC1" w:rsidP="009D7EE3">
      <w:pPr>
        <w:pStyle w:val="ListParagraph"/>
        <w:spacing w:after="0" w:line="360" w:lineRule="auto"/>
        <w:ind w:left="1080"/>
        <w:jc w:val="both"/>
        <w:rPr>
          <w:rFonts w:cs="Arial"/>
          <w:b/>
          <w:sz w:val="24"/>
          <w:szCs w:val="24"/>
        </w:rPr>
      </w:pPr>
    </w:p>
    <w:p w14:paraId="7D820808" w14:textId="2A15D6EC" w:rsidR="008F3431" w:rsidRDefault="009D7EE3" w:rsidP="00B41991">
      <w:pPr>
        <w:spacing w:after="0" w:line="360" w:lineRule="auto"/>
        <w:jc w:val="both"/>
        <w:rPr>
          <w:rFonts w:cs="Arial"/>
          <w:b/>
          <w:sz w:val="24"/>
          <w:szCs w:val="24"/>
        </w:rPr>
      </w:pPr>
      <w:r w:rsidRPr="00B41991">
        <w:rPr>
          <w:rFonts w:cs="Arial"/>
          <w:b/>
          <w:sz w:val="24"/>
          <w:szCs w:val="24"/>
        </w:rPr>
        <w:t xml:space="preserve">First </w:t>
      </w:r>
      <w:r w:rsidR="008F3431">
        <w:rPr>
          <w:rFonts w:cs="Arial"/>
          <w:b/>
          <w:sz w:val="24"/>
          <w:szCs w:val="24"/>
        </w:rPr>
        <w:t xml:space="preserve">ground: dispute about the existence, and amount, of </w:t>
      </w:r>
      <w:r w:rsidR="005159B6">
        <w:rPr>
          <w:rFonts w:cs="Arial"/>
          <w:b/>
          <w:sz w:val="24"/>
          <w:szCs w:val="24"/>
        </w:rPr>
        <w:t xml:space="preserve">the </w:t>
      </w:r>
      <w:r w:rsidR="008F3431">
        <w:rPr>
          <w:rFonts w:cs="Arial"/>
          <w:b/>
          <w:sz w:val="24"/>
          <w:szCs w:val="24"/>
        </w:rPr>
        <w:t>debt</w:t>
      </w:r>
    </w:p>
    <w:p w14:paraId="47E8A801" w14:textId="007B1C29" w:rsidR="009D7EE3" w:rsidRPr="00B41991" w:rsidRDefault="009D7EE3" w:rsidP="00B41991">
      <w:pPr>
        <w:spacing w:after="0" w:line="360" w:lineRule="auto"/>
        <w:jc w:val="both"/>
        <w:rPr>
          <w:rFonts w:cs="Arial"/>
          <w:b/>
          <w:sz w:val="24"/>
          <w:szCs w:val="24"/>
        </w:rPr>
      </w:pPr>
      <w:r w:rsidRPr="00B41991">
        <w:rPr>
          <w:rFonts w:cs="Arial"/>
          <w:b/>
          <w:sz w:val="24"/>
          <w:szCs w:val="24"/>
        </w:rPr>
        <w:t xml:space="preserve"> </w:t>
      </w:r>
    </w:p>
    <w:p w14:paraId="2DC95434" w14:textId="160EE3B1" w:rsidR="008340A4" w:rsidRDefault="007E0EC1" w:rsidP="00A06AF9">
      <w:pPr>
        <w:pStyle w:val="ListParagraph"/>
        <w:numPr>
          <w:ilvl w:val="0"/>
          <w:numId w:val="12"/>
        </w:numPr>
        <w:spacing w:after="0" w:line="360" w:lineRule="auto"/>
        <w:ind w:left="851" w:hanging="851"/>
        <w:jc w:val="both"/>
        <w:rPr>
          <w:rFonts w:cs="Arial"/>
          <w:sz w:val="24"/>
          <w:szCs w:val="24"/>
        </w:rPr>
      </w:pPr>
      <w:r w:rsidRPr="00132756">
        <w:rPr>
          <w:rFonts w:cs="Arial"/>
          <w:sz w:val="24"/>
          <w:szCs w:val="24"/>
        </w:rPr>
        <w:t xml:space="preserve">The plaintiff contends that the </w:t>
      </w:r>
      <w:r w:rsidR="00737AB2" w:rsidRPr="00132756">
        <w:rPr>
          <w:rFonts w:cs="Arial"/>
          <w:i/>
          <w:sz w:val="24"/>
          <w:szCs w:val="24"/>
        </w:rPr>
        <w:t>lis</w:t>
      </w:r>
      <w:r w:rsidR="00737AB2" w:rsidRPr="00132756">
        <w:rPr>
          <w:rFonts w:cs="Arial"/>
          <w:sz w:val="24"/>
          <w:szCs w:val="24"/>
        </w:rPr>
        <w:t xml:space="preserve"> between the parties has not been finally resolved in the judgment dated 20 September 1995, being the settlement agreement. </w:t>
      </w:r>
      <w:r w:rsidR="00B41991" w:rsidRPr="00132756">
        <w:rPr>
          <w:rFonts w:cs="Arial"/>
          <w:sz w:val="24"/>
          <w:szCs w:val="24"/>
        </w:rPr>
        <w:t xml:space="preserve">Further judgment </w:t>
      </w:r>
      <w:r w:rsidR="00FD7367" w:rsidRPr="00132756">
        <w:rPr>
          <w:rFonts w:cs="Arial"/>
          <w:sz w:val="24"/>
          <w:szCs w:val="24"/>
        </w:rPr>
        <w:t xml:space="preserve">is required </w:t>
      </w:r>
      <w:r w:rsidR="00B41991" w:rsidRPr="00132756">
        <w:rPr>
          <w:rFonts w:cs="Arial"/>
          <w:sz w:val="24"/>
          <w:szCs w:val="24"/>
        </w:rPr>
        <w:t xml:space="preserve">to resolve the dispute on the existence </w:t>
      </w:r>
      <w:r w:rsidR="009D7EE3" w:rsidRPr="00132756">
        <w:rPr>
          <w:rFonts w:cs="Arial"/>
          <w:sz w:val="24"/>
          <w:szCs w:val="24"/>
        </w:rPr>
        <w:t>and the amount of the judgment debt</w:t>
      </w:r>
      <w:r w:rsidR="009D7EE3" w:rsidRPr="009D7EE3">
        <w:rPr>
          <w:rFonts w:cs="Arial"/>
          <w:sz w:val="24"/>
          <w:szCs w:val="24"/>
        </w:rPr>
        <w:t xml:space="preserve">. </w:t>
      </w:r>
    </w:p>
    <w:p w14:paraId="44277668" w14:textId="354628E9" w:rsidR="008F3431" w:rsidRPr="008340A4" w:rsidRDefault="009D7EE3" w:rsidP="00A06AF9">
      <w:pPr>
        <w:pStyle w:val="ListParagraph"/>
        <w:numPr>
          <w:ilvl w:val="0"/>
          <w:numId w:val="12"/>
        </w:numPr>
        <w:spacing w:after="0" w:line="360" w:lineRule="auto"/>
        <w:ind w:left="851" w:hanging="851"/>
        <w:jc w:val="both"/>
        <w:rPr>
          <w:rFonts w:cs="Arial"/>
          <w:sz w:val="24"/>
          <w:szCs w:val="24"/>
        </w:rPr>
      </w:pPr>
      <w:r w:rsidRPr="009D7EE3">
        <w:rPr>
          <w:rFonts w:cs="Arial"/>
          <w:sz w:val="24"/>
          <w:szCs w:val="24"/>
        </w:rPr>
        <w:t xml:space="preserve">He submits </w:t>
      </w:r>
      <w:r w:rsidR="008340A4">
        <w:rPr>
          <w:rFonts w:cs="Arial"/>
          <w:sz w:val="24"/>
          <w:szCs w:val="24"/>
        </w:rPr>
        <w:t xml:space="preserve">further that </w:t>
      </w:r>
      <w:r w:rsidRPr="009D7EE3">
        <w:rPr>
          <w:rFonts w:cs="Arial"/>
          <w:sz w:val="24"/>
          <w:szCs w:val="24"/>
        </w:rPr>
        <w:t>n</w:t>
      </w:r>
      <w:r w:rsidR="00737AB2" w:rsidRPr="009D7EE3">
        <w:rPr>
          <w:rFonts w:cs="Arial"/>
          <w:sz w:val="24"/>
          <w:szCs w:val="24"/>
        </w:rPr>
        <w:t xml:space="preserve">either the </w:t>
      </w:r>
      <w:r w:rsidR="00737AB2" w:rsidRPr="00132756">
        <w:rPr>
          <w:rFonts w:cs="Arial"/>
          <w:sz w:val="24"/>
          <w:szCs w:val="24"/>
        </w:rPr>
        <w:t xml:space="preserve">judgment nor the </w:t>
      </w:r>
      <w:r w:rsidRPr="00132756">
        <w:rPr>
          <w:rFonts w:cs="Arial"/>
          <w:sz w:val="24"/>
          <w:szCs w:val="24"/>
        </w:rPr>
        <w:t>writ</w:t>
      </w:r>
      <w:r w:rsidR="00737AB2" w:rsidRPr="00132756">
        <w:rPr>
          <w:rFonts w:cs="Arial"/>
          <w:sz w:val="24"/>
          <w:szCs w:val="24"/>
        </w:rPr>
        <w:t xml:space="preserve"> possesses the degree of liquidity or certainty with respect to</w:t>
      </w:r>
      <w:r w:rsidR="008F3431" w:rsidRPr="00132756">
        <w:rPr>
          <w:rFonts w:cs="Arial"/>
          <w:sz w:val="24"/>
          <w:szCs w:val="24"/>
        </w:rPr>
        <w:t xml:space="preserve"> the amount of money which the p</w:t>
      </w:r>
      <w:r w:rsidR="00737AB2" w:rsidRPr="00132756">
        <w:rPr>
          <w:rFonts w:cs="Arial"/>
          <w:sz w:val="24"/>
          <w:szCs w:val="24"/>
        </w:rPr>
        <w:t xml:space="preserve">laintiff was ordered to pay in </w:t>
      </w:r>
      <w:r w:rsidRPr="00132756">
        <w:rPr>
          <w:rFonts w:cs="Arial"/>
          <w:sz w:val="24"/>
          <w:szCs w:val="24"/>
        </w:rPr>
        <w:t>respect of educational expenses, and medical and dental expenses</w:t>
      </w:r>
      <w:r w:rsidR="008340A4">
        <w:rPr>
          <w:rFonts w:cs="Arial"/>
          <w:sz w:val="24"/>
          <w:szCs w:val="24"/>
        </w:rPr>
        <w:t xml:space="preserve"> in terms of clause</w:t>
      </w:r>
      <w:r w:rsidR="007E0EC1">
        <w:rPr>
          <w:rFonts w:cs="Arial"/>
          <w:sz w:val="24"/>
          <w:szCs w:val="24"/>
        </w:rPr>
        <w:t>s 2.4 and 2.6</w:t>
      </w:r>
      <w:r w:rsidR="008340A4">
        <w:rPr>
          <w:rFonts w:cs="Arial"/>
          <w:sz w:val="24"/>
          <w:szCs w:val="24"/>
        </w:rPr>
        <w:t xml:space="preserve"> of the settlement agreement</w:t>
      </w:r>
      <w:r w:rsidRPr="009D7EE3">
        <w:rPr>
          <w:rFonts w:cs="Arial"/>
          <w:sz w:val="24"/>
          <w:szCs w:val="24"/>
        </w:rPr>
        <w:t xml:space="preserve">. </w:t>
      </w:r>
      <w:r w:rsidR="008340A4" w:rsidRPr="008340A4">
        <w:rPr>
          <w:rFonts w:cs="Arial"/>
          <w:sz w:val="24"/>
          <w:szCs w:val="24"/>
        </w:rPr>
        <w:t>The</w:t>
      </w:r>
      <w:r w:rsidR="008340A4">
        <w:rPr>
          <w:rFonts w:cs="Arial"/>
          <w:sz w:val="24"/>
          <w:szCs w:val="24"/>
        </w:rPr>
        <w:t>se</w:t>
      </w:r>
      <w:r w:rsidR="008340A4" w:rsidRPr="008340A4">
        <w:rPr>
          <w:rFonts w:cs="Arial"/>
          <w:sz w:val="24"/>
          <w:szCs w:val="24"/>
        </w:rPr>
        <w:t xml:space="preserve"> amounts can</w:t>
      </w:r>
      <w:r w:rsidR="009102C6">
        <w:rPr>
          <w:rFonts w:cs="Arial"/>
          <w:sz w:val="24"/>
          <w:szCs w:val="24"/>
        </w:rPr>
        <w:t xml:space="preserve"> neither </w:t>
      </w:r>
      <w:r w:rsidR="008340A4" w:rsidRPr="008340A4">
        <w:rPr>
          <w:rFonts w:cs="Arial"/>
          <w:sz w:val="24"/>
          <w:szCs w:val="24"/>
        </w:rPr>
        <w:t xml:space="preserve">be ascertained </w:t>
      </w:r>
      <w:r w:rsidR="008340A4" w:rsidRPr="008340A4">
        <w:rPr>
          <w:rFonts w:cs="Arial"/>
          <w:i/>
          <w:sz w:val="24"/>
          <w:szCs w:val="24"/>
        </w:rPr>
        <w:t>ex facie</w:t>
      </w:r>
      <w:r w:rsidR="008340A4" w:rsidRPr="008340A4">
        <w:rPr>
          <w:rFonts w:cs="Arial"/>
          <w:sz w:val="24"/>
          <w:szCs w:val="24"/>
        </w:rPr>
        <w:t xml:space="preserve"> the settlement agreement, </w:t>
      </w:r>
      <w:r w:rsidR="009102C6">
        <w:rPr>
          <w:rFonts w:cs="Arial"/>
          <w:sz w:val="24"/>
          <w:szCs w:val="24"/>
        </w:rPr>
        <w:lastRenderedPageBreak/>
        <w:t>n</w:t>
      </w:r>
      <w:r w:rsidR="009102C6" w:rsidRPr="008340A4">
        <w:rPr>
          <w:rFonts w:cs="Arial"/>
          <w:sz w:val="24"/>
          <w:szCs w:val="24"/>
        </w:rPr>
        <w:t xml:space="preserve">or </w:t>
      </w:r>
      <w:r w:rsidR="009102C6">
        <w:rPr>
          <w:rFonts w:cs="Arial"/>
          <w:sz w:val="24"/>
          <w:szCs w:val="24"/>
        </w:rPr>
        <w:t xml:space="preserve">are the amounts </w:t>
      </w:r>
      <w:r w:rsidR="009102C6" w:rsidRPr="008340A4">
        <w:rPr>
          <w:rFonts w:cs="Arial"/>
          <w:sz w:val="24"/>
          <w:szCs w:val="24"/>
        </w:rPr>
        <w:t>capable of prompt and quick ascertainment</w:t>
      </w:r>
      <w:r w:rsidR="008340A4" w:rsidRPr="008340A4">
        <w:rPr>
          <w:rFonts w:cs="Arial"/>
          <w:sz w:val="24"/>
          <w:szCs w:val="24"/>
        </w:rPr>
        <w:t xml:space="preserve">. </w:t>
      </w:r>
      <w:r w:rsidR="009102C6">
        <w:rPr>
          <w:rFonts w:cs="Arial"/>
          <w:sz w:val="24"/>
          <w:szCs w:val="24"/>
        </w:rPr>
        <w:t>T</w:t>
      </w:r>
      <w:r w:rsidR="009102C6" w:rsidRPr="008340A4">
        <w:rPr>
          <w:rFonts w:cs="Arial"/>
          <w:sz w:val="24"/>
          <w:szCs w:val="24"/>
        </w:rPr>
        <w:t>he settlement agreement provides merely a method of calculation but it is dependent on a court in further proceedings to determine the amount payable.</w:t>
      </w:r>
      <w:r w:rsidR="009102C6">
        <w:rPr>
          <w:rFonts w:cs="Arial"/>
          <w:sz w:val="24"/>
          <w:szCs w:val="24"/>
        </w:rPr>
        <w:t xml:space="preserve"> </w:t>
      </w:r>
      <w:r w:rsidR="008340A4" w:rsidRPr="008340A4">
        <w:rPr>
          <w:rFonts w:cs="Arial"/>
          <w:sz w:val="24"/>
          <w:szCs w:val="24"/>
        </w:rPr>
        <w:t xml:space="preserve">If the </w:t>
      </w:r>
      <w:r w:rsidR="008340A4">
        <w:rPr>
          <w:rFonts w:cs="Arial"/>
          <w:sz w:val="24"/>
          <w:szCs w:val="24"/>
        </w:rPr>
        <w:t>f</w:t>
      </w:r>
      <w:r w:rsidR="008340A4" w:rsidRPr="008340A4">
        <w:rPr>
          <w:rFonts w:cs="Arial"/>
          <w:sz w:val="24"/>
          <w:szCs w:val="24"/>
        </w:rPr>
        <w:t>irst defendant relies on a schedule to determine the outstanding amount, this, in itself, needs to be ventilated at a trial by way of the discovery process as well as oral evidence. The actual supporting documents on which the schedule is allegedly based were not presented to the Registrar</w:t>
      </w:r>
      <w:r w:rsidR="009102C6">
        <w:rPr>
          <w:rFonts w:cs="Arial"/>
          <w:sz w:val="24"/>
          <w:szCs w:val="24"/>
        </w:rPr>
        <w:t xml:space="preserve">, and it contains </w:t>
      </w:r>
      <w:r w:rsidR="008340A4" w:rsidRPr="008340A4">
        <w:rPr>
          <w:rFonts w:cs="Arial"/>
          <w:sz w:val="24"/>
          <w:szCs w:val="24"/>
        </w:rPr>
        <w:t>no breakdown of the alleged expenses</w:t>
      </w:r>
      <w:r w:rsidR="009102C6">
        <w:rPr>
          <w:rFonts w:cs="Arial"/>
          <w:sz w:val="24"/>
          <w:szCs w:val="24"/>
        </w:rPr>
        <w:t xml:space="preserve">. </w:t>
      </w:r>
    </w:p>
    <w:p w14:paraId="53A7C7AE" w14:textId="402FD65C" w:rsidR="009D7EE3" w:rsidRPr="00961C8A" w:rsidRDefault="003233A1" w:rsidP="00A06AF9">
      <w:pPr>
        <w:pStyle w:val="ListParagraph"/>
        <w:numPr>
          <w:ilvl w:val="0"/>
          <w:numId w:val="12"/>
        </w:numPr>
        <w:spacing w:after="0" w:line="360" w:lineRule="auto"/>
        <w:ind w:left="851" w:hanging="851"/>
        <w:jc w:val="both"/>
        <w:rPr>
          <w:rFonts w:cs="Arial"/>
          <w:sz w:val="24"/>
          <w:szCs w:val="24"/>
        </w:rPr>
      </w:pPr>
      <w:r w:rsidRPr="009D7EE3">
        <w:rPr>
          <w:rFonts w:cs="Arial"/>
          <w:sz w:val="24"/>
          <w:szCs w:val="24"/>
        </w:rPr>
        <w:t xml:space="preserve">The </w:t>
      </w:r>
      <w:r w:rsidR="008F3431">
        <w:rPr>
          <w:rFonts w:cs="Arial"/>
          <w:sz w:val="24"/>
          <w:szCs w:val="24"/>
        </w:rPr>
        <w:t>f</w:t>
      </w:r>
      <w:r w:rsidR="003B011D">
        <w:rPr>
          <w:rFonts w:cs="Arial"/>
          <w:sz w:val="24"/>
          <w:szCs w:val="24"/>
        </w:rPr>
        <w:t xml:space="preserve">irst </w:t>
      </w:r>
      <w:r w:rsidR="003B011D" w:rsidRPr="00132756">
        <w:rPr>
          <w:rFonts w:cs="Arial"/>
          <w:sz w:val="24"/>
          <w:szCs w:val="24"/>
        </w:rPr>
        <w:t>defendant</w:t>
      </w:r>
      <w:r w:rsidRPr="00132756">
        <w:rPr>
          <w:rFonts w:cs="Arial"/>
          <w:sz w:val="24"/>
          <w:szCs w:val="24"/>
        </w:rPr>
        <w:t xml:space="preserve"> submits that no case is made out by the </w:t>
      </w:r>
      <w:r w:rsidR="008F3431" w:rsidRPr="00132756">
        <w:rPr>
          <w:rFonts w:cs="Arial"/>
          <w:sz w:val="24"/>
          <w:szCs w:val="24"/>
        </w:rPr>
        <w:t>p</w:t>
      </w:r>
      <w:r w:rsidR="00A774AF" w:rsidRPr="00132756">
        <w:rPr>
          <w:rFonts w:cs="Arial"/>
          <w:sz w:val="24"/>
          <w:szCs w:val="24"/>
        </w:rPr>
        <w:t>laintiff</w:t>
      </w:r>
      <w:r w:rsidRPr="00132756">
        <w:rPr>
          <w:rFonts w:cs="Arial"/>
          <w:sz w:val="24"/>
          <w:szCs w:val="24"/>
        </w:rPr>
        <w:t xml:space="preserve"> that there exists a dispute about the debt that needs to be determined at a subsequent hearing.</w:t>
      </w:r>
      <w:r w:rsidR="00CB4224" w:rsidRPr="009D7EE3">
        <w:rPr>
          <w:rFonts w:cs="Arial"/>
          <w:sz w:val="24"/>
          <w:szCs w:val="24"/>
        </w:rPr>
        <w:t xml:space="preserve"> </w:t>
      </w:r>
      <w:r w:rsidR="00961C8A">
        <w:rPr>
          <w:rFonts w:cs="Arial"/>
          <w:sz w:val="24"/>
          <w:szCs w:val="24"/>
        </w:rPr>
        <w:t xml:space="preserve">The first </w:t>
      </w:r>
      <w:r w:rsidR="00961C8A" w:rsidRPr="00961C8A">
        <w:rPr>
          <w:rFonts w:cs="Arial"/>
          <w:sz w:val="24"/>
          <w:szCs w:val="24"/>
        </w:rPr>
        <w:t xml:space="preserve">defendant contends that the quantum is capable of easy ascertainment and constitutes a liquidated sum in money. The settlement agreement provides in clear terms for payment of R 750 per month as maintenance, while the sum of R 27 750 </w:t>
      </w:r>
      <w:r w:rsidR="00961C8A">
        <w:rPr>
          <w:rFonts w:cs="Arial"/>
          <w:sz w:val="24"/>
          <w:szCs w:val="24"/>
        </w:rPr>
        <w:t xml:space="preserve">as arrear maintenance </w:t>
      </w:r>
      <w:r w:rsidR="00961C8A" w:rsidRPr="00961C8A">
        <w:rPr>
          <w:rFonts w:cs="Arial"/>
          <w:sz w:val="24"/>
          <w:szCs w:val="24"/>
        </w:rPr>
        <w:t xml:space="preserve">is clearly stated in the settlement agreement. Payment of school fees and tertiary education is easily ascertainable from the agreement and capable of prompt and quick ascertainment. </w:t>
      </w:r>
      <w:r w:rsidR="00961C8A" w:rsidRPr="00490FF1">
        <w:rPr>
          <w:rFonts w:cs="Arial"/>
          <w:sz w:val="24"/>
          <w:szCs w:val="24"/>
        </w:rPr>
        <w:t>The plaintiff does not plead what future intervention or proceedings are required, to establish the amount owing.</w:t>
      </w:r>
      <w:r w:rsidR="00961C8A" w:rsidRPr="00961C8A">
        <w:rPr>
          <w:rFonts w:cs="Arial"/>
          <w:sz w:val="24"/>
          <w:szCs w:val="24"/>
        </w:rPr>
        <w:t xml:space="preserve"> </w:t>
      </w:r>
    </w:p>
    <w:p w14:paraId="482BF82F" w14:textId="77777777" w:rsidR="009D7EE3" w:rsidRDefault="009D7EE3" w:rsidP="009D7EE3">
      <w:pPr>
        <w:pStyle w:val="ListParagraph"/>
        <w:spacing w:after="0" w:line="360" w:lineRule="auto"/>
        <w:ind w:left="360"/>
        <w:jc w:val="both"/>
        <w:rPr>
          <w:rFonts w:cs="Arial"/>
          <w:sz w:val="24"/>
          <w:szCs w:val="24"/>
        </w:rPr>
      </w:pPr>
    </w:p>
    <w:p w14:paraId="4DD643DB" w14:textId="77777777" w:rsidR="007E0EC1" w:rsidRDefault="007E0EC1" w:rsidP="008F3431">
      <w:pPr>
        <w:spacing w:after="0" w:line="360" w:lineRule="auto"/>
        <w:jc w:val="both"/>
        <w:rPr>
          <w:rFonts w:cs="Arial"/>
          <w:b/>
          <w:sz w:val="24"/>
          <w:szCs w:val="24"/>
        </w:rPr>
      </w:pPr>
    </w:p>
    <w:p w14:paraId="59DCF977" w14:textId="0B0805E1" w:rsidR="009D7EE3" w:rsidRPr="008F3431" w:rsidRDefault="009D7EE3" w:rsidP="008F3431">
      <w:pPr>
        <w:spacing w:after="0" w:line="360" w:lineRule="auto"/>
        <w:jc w:val="both"/>
        <w:rPr>
          <w:rFonts w:cs="Arial"/>
          <w:b/>
          <w:sz w:val="24"/>
          <w:szCs w:val="24"/>
        </w:rPr>
      </w:pPr>
      <w:r w:rsidRPr="008F3431">
        <w:rPr>
          <w:rFonts w:cs="Arial"/>
          <w:b/>
          <w:sz w:val="24"/>
          <w:szCs w:val="24"/>
        </w:rPr>
        <w:t>Second ground</w:t>
      </w:r>
      <w:r w:rsidR="008F3431">
        <w:rPr>
          <w:rFonts w:cs="Arial"/>
          <w:b/>
          <w:sz w:val="24"/>
          <w:szCs w:val="24"/>
        </w:rPr>
        <w:t>: demand for payment</w:t>
      </w:r>
    </w:p>
    <w:p w14:paraId="0D5B34A2" w14:textId="77777777" w:rsidR="009D7EE3" w:rsidRDefault="009D7EE3" w:rsidP="009D7EE3">
      <w:pPr>
        <w:pStyle w:val="ListParagraph"/>
        <w:spacing w:after="0" w:line="360" w:lineRule="auto"/>
        <w:ind w:left="360"/>
        <w:jc w:val="both"/>
        <w:rPr>
          <w:rFonts w:cs="Arial"/>
          <w:sz w:val="24"/>
          <w:szCs w:val="24"/>
        </w:rPr>
      </w:pPr>
    </w:p>
    <w:p w14:paraId="7A9AC253" w14:textId="28488DAE" w:rsidR="00AE7968" w:rsidRPr="00A9472F" w:rsidRDefault="00A774AF" w:rsidP="00A06AF9">
      <w:pPr>
        <w:pStyle w:val="ListParagraph"/>
        <w:numPr>
          <w:ilvl w:val="0"/>
          <w:numId w:val="12"/>
        </w:numPr>
        <w:spacing w:after="0" w:line="360" w:lineRule="auto"/>
        <w:ind w:left="851" w:hanging="851"/>
        <w:jc w:val="both"/>
        <w:rPr>
          <w:rFonts w:cs="Arial"/>
          <w:sz w:val="24"/>
          <w:szCs w:val="24"/>
        </w:rPr>
      </w:pPr>
      <w:r w:rsidRPr="009D7EE3">
        <w:rPr>
          <w:rFonts w:cs="Arial"/>
          <w:sz w:val="24"/>
          <w:szCs w:val="24"/>
        </w:rPr>
        <w:t>Plaintiff</w:t>
      </w:r>
      <w:r w:rsidR="003233A1" w:rsidRPr="009D7EE3">
        <w:rPr>
          <w:rFonts w:cs="Arial"/>
          <w:sz w:val="24"/>
          <w:szCs w:val="24"/>
        </w:rPr>
        <w:t xml:space="preserve"> claims that no demand for payment was </w:t>
      </w:r>
      <w:r w:rsidR="00474A43" w:rsidRPr="009D7EE3">
        <w:rPr>
          <w:rFonts w:cs="Arial"/>
          <w:sz w:val="24"/>
          <w:szCs w:val="24"/>
        </w:rPr>
        <w:t>made</w:t>
      </w:r>
      <w:r w:rsidR="009D7EE3">
        <w:rPr>
          <w:rFonts w:cs="Arial"/>
          <w:sz w:val="24"/>
          <w:szCs w:val="24"/>
        </w:rPr>
        <w:t xml:space="preserve"> </w:t>
      </w:r>
      <w:r w:rsidR="0005479A">
        <w:rPr>
          <w:rFonts w:cs="Arial"/>
          <w:sz w:val="24"/>
          <w:szCs w:val="24"/>
        </w:rPr>
        <w:t>and that the warrant was therefore issued without cause</w:t>
      </w:r>
      <w:r w:rsidR="003233A1" w:rsidRPr="009D7EE3">
        <w:rPr>
          <w:rFonts w:cs="Arial"/>
          <w:sz w:val="24"/>
          <w:szCs w:val="24"/>
        </w:rPr>
        <w:t xml:space="preserve">. </w:t>
      </w:r>
      <w:r w:rsidR="009D7EE3" w:rsidRPr="00132756">
        <w:rPr>
          <w:rFonts w:cs="Arial"/>
          <w:sz w:val="24"/>
          <w:szCs w:val="24"/>
        </w:rPr>
        <w:t xml:space="preserve">The </w:t>
      </w:r>
      <w:r w:rsidR="003B011D" w:rsidRPr="00132756">
        <w:rPr>
          <w:rFonts w:cs="Arial"/>
          <w:sz w:val="24"/>
          <w:szCs w:val="24"/>
        </w:rPr>
        <w:t>first defendant</w:t>
      </w:r>
      <w:r w:rsidR="003233A1" w:rsidRPr="00132756">
        <w:rPr>
          <w:rFonts w:cs="Arial"/>
          <w:sz w:val="24"/>
          <w:szCs w:val="24"/>
        </w:rPr>
        <w:t xml:space="preserve"> </w:t>
      </w:r>
      <w:r w:rsidR="009D7EE3" w:rsidRPr="00132756">
        <w:rPr>
          <w:rFonts w:cs="Arial"/>
          <w:sz w:val="24"/>
          <w:szCs w:val="24"/>
        </w:rPr>
        <w:t xml:space="preserve">was required to satisfy the Registrar that demand </w:t>
      </w:r>
      <w:r w:rsidR="00DD2402" w:rsidRPr="00132756">
        <w:rPr>
          <w:rFonts w:cs="Arial"/>
          <w:sz w:val="24"/>
          <w:szCs w:val="24"/>
        </w:rPr>
        <w:t>had been</w:t>
      </w:r>
      <w:r w:rsidR="009D7EE3" w:rsidRPr="00132756">
        <w:rPr>
          <w:rFonts w:cs="Arial"/>
          <w:sz w:val="24"/>
          <w:szCs w:val="24"/>
        </w:rPr>
        <w:t xml:space="preserve"> made to the </w:t>
      </w:r>
      <w:r w:rsidR="00D671B9" w:rsidRPr="00132756">
        <w:rPr>
          <w:rFonts w:cs="Arial"/>
          <w:sz w:val="24"/>
          <w:szCs w:val="24"/>
        </w:rPr>
        <w:t>p</w:t>
      </w:r>
      <w:r w:rsidR="009D7EE3" w:rsidRPr="00132756">
        <w:rPr>
          <w:rFonts w:cs="Arial"/>
          <w:sz w:val="24"/>
          <w:szCs w:val="24"/>
        </w:rPr>
        <w:t xml:space="preserve">laintiff for payment of expenses in specific amounts since the judgment does not settle the amounts payable. </w:t>
      </w:r>
      <w:r w:rsidR="0005479A" w:rsidRPr="00132756">
        <w:rPr>
          <w:rFonts w:cs="Arial"/>
          <w:sz w:val="24"/>
          <w:szCs w:val="24"/>
        </w:rPr>
        <w:t>The plaintiff contends that no debt for payment of tertiary education becomes due prior to demand being made</w:t>
      </w:r>
      <w:r w:rsidR="00DD2402">
        <w:rPr>
          <w:rFonts w:cs="Arial"/>
          <w:sz w:val="24"/>
          <w:szCs w:val="24"/>
        </w:rPr>
        <w:t xml:space="preserve">. </w:t>
      </w:r>
      <w:r w:rsidR="00AE7968" w:rsidRPr="00A9472F">
        <w:rPr>
          <w:rFonts w:cs="Arial"/>
          <w:sz w:val="24"/>
          <w:szCs w:val="24"/>
        </w:rPr>
        <w:t xml:space="preserve">According to the </w:t>
      </w:r>
      <w:r w:rsidR="00F60B45" w:rsidRPr="00A9472F">
        <w:rPr>
          <w:rFonts w:cs="Arial"/>
          <w:sz w:val="24"/>
          <w:szCs w:val="24"/>
        </w:rPr>
        <w:t>p</w:t>
      </w:r>
      <w:r w:rsidR="00AE7968" w:rsidRPr="00A9472F">
        <w:rPr>
          <w:rFonts w:cs="Arial"/>
          <w:sz w:val="24"/>
          <w:szCs w:val="24"/>
        </w:rPr>
        <w:t xml:space="preserve">laintiff the settlement agreement specifically </w:t>
      </w:r>
      <w:r w:rsidR="00A9472F" w:rsidRPr="00A9472F">
        <w:rPr>
          <w:rFonts w:cs="Arial"/>
          <w:sz w:val="24"/>
          <w:szCs w:val="24"/>
        </w:rPr>
        <w:t>provides</w:t>
      </w:r>
      <w:r w:rsidR="00AE7968" w:rsidRPr="00A9472F">
        <w:rPr>
          <w:rFonts w:cs="Arial"/>
          <w:sz w:val="24"/>
          <w:szCs w:val="24"/>
        </w:rPr>
        <w:t xml:space="preserve"> that in the event that the </w:t>
      </w:r>
      <w:r w:rsidR="00A9472F" w:rsidRPr="00A9472F">
        <w:rPr>
          <w:rFonts w:cs="Arial"/>
          <w:sz w:val="24"/>
          <w:szCs w:val="24"/>
        </w:rPr>
        <w:t>f</w:t>
      </w:r>
      <w:r w:rsidR="003B011D" w:rsidRPr="00A9472F">
        <w:rPr>
          <w:rFonts w:cs="Arial"/>
          <w:sz w:val="24"/>
          <w:szCs w:val="24"/>
        </w:rPr>
        <w:t>irst defendant</w:t>
      </w:r>
      <w:r w:rsidR="00AE7968" w:rsidRPr="00A9472F">
        <w:rPr>
          <w:rFonts w:cs="Arial"/>
          <w:sz w:val="24"/>
          <w:szCs w:val="24"/>
        </w:rPr>
        <w:t xml:space="preserve"> makes payment in respect of any of the </w:t>
      </w:r>
      <w:r w:rsidR="00A9472F" w:rsidRPr="00A9472F">
        <w:rPr>
          <w:rFonts w:cs="Arial"/>
          <w:sz w:val="24"/>
          <w:szCs w:val="24"/>
        </w:rPr>
        <w:t>p</w:t>
      </w:r>
      <w:r w:rsidR="00AE7968" w:rsidRPr="00A9472F">
        <w:rPr>
          <w:rFonts w:cs="Arial"/>
          <w:sz w:val="24"/>
          <w:szCs w:val="24"/>
        </w:rPr>
        <w:t xml:space="preserve">laintiff’s obligations the </w:t>
      </w:r>
      <w:r w:rsidR="00A9472F" w:rsidRPr="00A9472F">
        <w:rPr>
          <w:rFonts w:cs="Arial"/>
          <w:sz w:val="24"/>
          <w:szCs w:val="24"/>
        </w:rPr>
        <w:t>p</w:t>
      </w:r>
      <w:r w:rsidR="00AE7968" w:rsidRPr="00A9472F">
        <w:rPr>
          <w:rFonts w:cs="Arial"/>
          <w:sz w:val="24"/>
          <w:szCs w:val="24"/>
        </w:rPr>
        <w:t xml:space="preserve">laintiff shall refund the </w:t>
      </w:r>
      <w:r w:rsidR="00A9472F" w:rsidRPr="00A9472F">
        <w:rPr>
          <w:rFonts w:cs="Arial"/>
          <w:sz w:val="24"/>
          <w:szCs w:val="24"/>
        </w:rPr>
        <w:t>f</w:t>
      </w:r>
      <w:r w:rsidR="003B011D" w:rsidRPr="00A9472F">
        <w:rPr>
          <w:rFonts w:cs="Arial"/>
          <w:sz w:val="24"/>
          <w:szCs w:val="24"/>
        </w:rPr>
        <w:t>irst defendant</w:t>
      </w:r>
      <w:r w:rsidR="00AE7968" w:rsidRPr="00A9472F">
        <w:rPr>
          <w:rFonts w:cs="Arial"/>
          <w:sz w:val="24"/>
          <w:szCs w:val="24"/>
        </w:rPr>
        <w:t xml:space="preserve"> forthwith on demand (</w:t>
      </w:r>
      <w:r w:rsidR="00A9472F" w:rsidRPr="00A9472F">
        <w:rPr>
          <w:rFonts w:cs="Arial"/>
          <w:sz w:val="24"/>
          <w:szCs w:val="24"/>
        </w:rPr>
        <w:t>clause 2.6</w:t>
      </w:r>
      <w:r w:rsidR="00AE7968" w:rsidRPr="00A9472F">
        <w:rPr>
          <w:rFonts w:cs="Arial"/>
          <w:sz w:val="24"/>
          <w:szCs w:val="24"/>
        </w:rPr>
        <w:t xml:space="preserve">). </w:t>
      </w:r>
      <w:r w:rsidR="00D671B9">
        <w:rPr>
          <w:rFonts w:cs="Arial"/>
          <w:sz w:val="24"/>
          <w:szCs w:val="24"/>
        </w:rPr>
        <w:t>The p</w:t>
      </w:r>
      <w:r w:rsidR="00A9472F" w:rsidRPr="00A9472F">
        <w:rPr>
          <w:rFonts w:cs="Arial"/>
          <w:sz w:val="24"/>
          <w:szCs w:val="24"/>
        </w:rPr>
        <w:t xml:space="preserve">laintiff claims that </w:t>
      </w:r>
      <w:r w:rsidR="00AE7968" w:rsidRPr="00132756">
        <w:rPr>
          <w:rFonts w:cs="Arial"/>
          <w:sz w:val="24"/>
          <w:szCs w:val="24"/>
        </w:rPr>
        <w:t>the purpos</w:t>
      </w:r>
      <w:r w:rsidR="00DD2402" w:rsidRPr="00132756">
        <w:rPr>
          <w:rFonts w:cs="Arial"/>
          <w:sz w:val="24"/>
          <w:szCs w:val="24"/>
        </w:rPr>
        <w:t xml:space="preserve">e of the demand was to make the plaintiff </w:t>
      </w:r>
      <w:r w:rsidR="00AE7968" w:rsidRPr="00132756">
        <w:rPr>
          <w:rFonts w:cs="Arial"/>
          <w:sz w:val="24"/>
          <w:szCs w:val="24"/>
        </w:rPr>
        <w:t xml:space="preserve">alive </w:t>
      </w:r>
      <w:r w:rsidR="00AE7968" w:rsidRPr="00132756">
        <w:rPr>
          <w:rFonts w:cs="Arial"/>
          <w:sz w:val="24"/>
          <w:szCs w:val="24"/>
        </w:rPr>
        <w:lastRenderedPageBreak/>
        <w:t>to the intention to claim the amount from him</w:t>
      </w:r>
      <w:r w:rsidR="00AE7968" w:rsidRPr="00A9472F">
        <w:rPr>
          <w:rFonts w:cs="Arial"/>
          <w:sz w:val="24"/>
          <w:szCs w:val="24"/>
        </w:rPr>
        <w:t xml:space="preserve">. The warrant of execution presented the </w:t>
      </w:r>
      <w:r w:rsidR="00A9472F" w:rsidRPr="00A9472F">
        <w:rPr>
          <w:rFonts w:cs="Arial"/>
          <w:sz w:val="24"/>
          <w:szCs w:val="24"/>
        </w:rPr>
        <w:t>p</w:t>
      </w:r>
      <w:r w:rsidR="00AE7968" w:rsidRPr="00A9472F">
        <w:rPr>
          <w:rFonts w:cs="Arial"/>
          <w:sz w:val="24"/>
          <w:szCs w:val="24"/>
        </w:rPr>
        <w:t xml:space="preserve">laintiff with a </w:t>
      </w:r>
      <w:r w:rsidR="00AE7968" w:rsidRPr="00A9472F">
        <w:rPr>
          <w:rFonts w:cs="Arial"/>
          <w:i/>
          <w:sz w:val="24"/>
          <w:szCs w:val="24"/>
        </w:rPr>
        <w:t>fait accompli</w:t>
      </w:r>
      <w:r w:rsidR="00AE7968" w:rsidRPr="00A9472F">
        <w:rPr>
          <w:rFonts w:cs="Arial"/>
          <w:sz w:val="24"/>
          <w:szCs w:val="24"/>
        </w:rPr>
        <w:t xml:space="preserve">. </w:t>
      </w:r>
    </w:p>
    <w:p w14:paraId="517434EB" w14:textId="496DA094" w:rsidR="005159B6" w:rsidRPr="00D671B9" w:rsidRDefault="00A9472F" w:rsidP="00D671B9">
      <w:pPr>
        <w:pStyle w:val="ListParagraph"/>
        <w:numPr>
          <w:ilvl w:val="0"/>
          <w:numId w:val="12"/>
        </w:numPr>
        <w:spacing w:after="0" w:line="360" w:lineRule="auto"/>
        <w:ind w:left="851" w:hanging="851"/>
        <w:jc w:val="both"/>
        <w:rPr>
          <w:rFonts w:cs="Arial"/>
          <w:sz w:val="24"/>
          <w:szCs w:val="24"/>
        </w:rPr>
      </w:pPr>
      <w:r w:rsidRPr="00A9472F">
        <w:rPr>
          <w:rFonts w:cs="Arial"/>
          <w:sz w:val="24"/>
          <w:szCs w:val="24"/>
        </w:rPr>
        <w:t xml:space="preserve">The </w:t>
      </w:r>
      <w:r w:rsidR="00DD2402">
        <w:rPr>
          <w:rFonts w:cs="Arial"/>
          <w:sz w:val="24"/>
          <w:szCs w:val="24"/>
        </w:rPr>
        <w:t>f</w:t>
      </w:r>
      <w:r w:rsidRPr="00A9472F">
        <w:rPr>
          <w:rFonts w:cs="Arial"/>
          <w:sz w:val="24"/>
          <w:szCs w:val="24"/>
        </w:rPr>
        <w:t xml:space="preserve">irst defendant submits </w:t>
      </w:r>
      <w:r w:rsidR="00D671B9" w:rsidRPr="009D7EE3">
        <w:rPr>
          <w:rFonts w:cs="Arial"/>
          <w:sz w:val="24"/>
          <w:szCs w:val="24"/>
        </w:rPr>
        <w:t>that the service of the writ is the demand</w:t>
      </w:r>
      <w:r w:rsidR="00D671B9">
        <w:rPr>
          <w:rFonts w:cs="Arial"/>
          <w:sz w:val="24"/>
          <w:szCs w:val="24"/>
        </w:rPr>
        <w:t xml:space="preserve">. The </w:t>
      </w:r>
      <w:r w:rsidRPr="00A9472F">
        <w:rPr>
          <w:rFonts w:cs="Arial"/>
          <w:sz w:val="24"/>
          <w:szCs w:val="24"/>
        </w:rPr>
        <w:t xml:space="preserve">settlement agreement, which </w:t>
      </w:r>
      <w:r w:rsidR="00D671B9">
        <w:rPr>
          <w:rFonts w:cs="Arial"/>
          <w:sz w:val="24"/>
          <w:szCs w:val="24"/>
        </w:rPr>
        <w:t xml:space="preserve">was </w:t>
      </w:r>
      <w:r w:rsidRPr="00A9472F">
        <w:rPr>
          <w:rFonts w:cs="Arial"/>
          <w:sz w:val="24"/>
          <w:szCs w:val="24"/>
        </w:rPr>
        <w:t xml:space="preserve">made an order of court, provides in unequivocal terms and language that the agreement would be a judgment debt – accordingly, it can be executed on. The </w:t>
      </w:r>
      <w:r w:rsidR="00DD2402">
        <w:rPr>
          <w:rFonts w:cs="Arial"/>
          <w:sz w:val="24"/>
          <w:szCs w:val="24"/>
        </w:rPr>
        <w:t>f</w:t>
      </w:r>
      <w:r w:rsidRPr="00A9472F">
        <w:rPr>
          <w:rFonts w:cs="Arial"/>
          <w:sz w:val="24"/>
          <w:szCs w:val="24"/>
        </w:rPr>
        <w:t xml:space="preserve">irst defendant disputes that Clause 6 of the settlement agreement </w:t>
      </w:r>
      <w:r w:rsidR="00D671B9" w:rsidRPr="00A9472F">
        <w:rPr>
          <w:rFonts w:cs="Arial"/>
          <w:sz w:val="24"/>
          <w:szCs w:val="24"/>
        </w:rPr>
        <w:t>refers</w:t>
      </w:r>
      <w:r w:rsidRPr="00A9472F">
        <w:rPr>
          <w:rFonts w:cs="Arial"/>
          <w:sz w:val="24"/>
          <w:szCs w:val="24"/>
        </w:rPr>
        <w:t xml:space="preserve"> to a </w:t>
      </w:r>
      <w:r w:rsidR="00C75BE4">
        <w:rPr>
          <w:rFonts w:cs="Arial"/>
          <w:sz w:val="24"/>
          <w:szCs w:val="24"/>
        </w:rPr>
        <w:t xml:space="preserve">demand, submitting that </w:t>
      </w:r>
      <w:r w:rsidRPr="00A9472F">
        <w:rPr>
          <w:rFonts w:cs="Arial"/>
          <w:sz w:val="24"/>
          <w:szCs w:val="24"/>
        </w:rPr>
        <w:t xml:space="preserve">presumably the Plaintiff is referring to a </w:t>
      </w:r>
      <w:r w:rsidRPr="00D671B9">
        <w:rPr>
          <w:rFonts w:cs="Arial"/>
          <w:i/>
          <w:iCs/>
          <w:sz w:val="24"/>
          <w:szCs w:val="24"/>
        </w:rPr>
        <w:t>mora</w:t>
      </w:r>
      <w:r w:rsidRPr="00A9472F">
        <w:rPr>
          <w:rFonts w:cs="Arial"/>
          <w:sz w:val="24"/>
          <w:szCs w:val="24"/>
        </w:rPr>
        <w:t xml:space="preserve"> notice, but this is not provided for in the agreement. </w:t>
      </w:r>
    </w:p>
    <w:p w14:paraId="1DE31B06" w14:textId="196283B9" w:rsidR="009D7EE3" w:rsidRDefault="009D7EE3" w:rsidP="009D7EE3">
      <w:pPr>
        <w:pStyle w:val="ListParagraph"/>
        <w:spacing w:after="0" w:line="360" w:lineRule="auto"/>
        <w:ind w:left="360"/>
        <w:jc w:val="both"/>
        <w:rPr>
          <w:rFonts w:cs="Arial"/>
          <w:sz w:val="24"/>
          <w:szCs w:val="24"/>
        </w:rPr>
      </w:pPr>
    </w:p>
    <w:p w14:paraId="73642014" w14:textId="357EDEC9" w:rsidR="0005479A" w:rsidRPr="0005479A" w:rsidRDefault="0005479A" w:rsidP="00716A82">
      <w:pPr>
        <w:pStyle w:val="ListParagraph"/>
        <w:spacing w:after="0" w:line="360" w:lineRule="auto"/>
        <w:ind w:left="360" w:hanging="360"/>
        <w:jc w:val="both"/>
        <w:rPr>
          <w:rFonts w:cs="Arial"/>
          <w:b/>
          <w:sz w:val="24"/>
          <w:szCs w:val="24"/>
        </w:rPr>
      </w:pPr>
      <w:r w:rsidRPr="0005479A">
        <w:rPr>
          <w:rFonts w:cs="Arial"/>
          <w:b/>
          <w:sz w:val="24"/>
          <w:szCs w:val="24"/>
        </w:rPr>
        <w:t xml:space="preserve">Third </w:t>
      </w:r>
      <w:r w:rsidR="008F3431">
        <w:rPr>
          <w:rFonts w:cs="Arial"/>
          <w:b/>
          <w:sz w:val="24"/>
          <w:szCs w:val="24"/>
        </w:rPr>
        <w:t>ground: prima facie case</w:t>
      </w:r>
    </w:p>
    <w:p w14:paraId="3C6A76ED" w14:textId="77777777" w:rsidR="009D7EE3" w:rsidRPr="001B181E" w:rsidRDefault="009D7EE3" w:rsidP="001B181E">
      <w:pPr>
        <w:spacing w:after="0" w:line="360" w:lineRule="auto"/>
        <w:jc w:val="both"/>
        <w:rPr>
          <w:rFonts w:cs="Arial"/>
          <w:sz w:val="24"/>
          <w:szCs w:val="24"/>
        </w:rPr>
      </w:pPr>
    </w:p>
    <w:p w14:paraId="419FE6EC" w14:textId="77777777" w:rsidR="00FD1903" w:rsidRDefault="0005479A" w:rsidP="00FD1903">
      <w:pPr>
        <w:pStyle w:val="ListParagraph"/>
        <w:numPr>
          <w:ilvl w:val="0"/>
          <w:numId w:val="12"/>
        </w:numPr>
        <w:spacing w:after="0" w:line="360" w:lineRule="auto"/>
        <w:ind w:left="709" w:hanging="709"/>
        <w:jc w:val="both"/>
        <w:rPr>
          <w:rFonts w:cs="Arial"/>
          <w:sz w:val="24"/>
          <w:szCs w:val="24"/>
          <w:lang w:val="en-ZA"/>
        </w:rPr>
      </w:pPr>
      <w:r w:rsidRPr="006A7289">
        <w:rPr>
          <w:rFonts w:cs="Arial"/>
          <w:sz w:val="24"/>
          <w:szCs w:val="24"/>
        </w:rPr>
        <w:t xml:space="preserve">The </w:t>
      </w:r>
      <w:r w:rsidR="008F3431">
        <w:rPr>
          <w:rFonts w:cs="Arial"/>
          <w:sz w:val="24"/>
          <w:szCs w:val="24"/>
        </w:rPr>
        <w:t>p</w:t>
      </w:r>
      <w:r w:rsidRPr="006A7289">
        <w:rPr>
          <w:rFonts w:cs="Arial"/>
          <w:sz w:val="24"/>
          <w:szCs w:val="24"/>
        </w:rPr>
        <w:t xml:space="preserve">laintiff avers that the </w:t>
      </w:r>
      <w:r w:rsidR="008F3431">
        <w:rPr>
          <w:rFonts w:cs="Arial"/>
          <w:sz w:val="24"/>
          <w:szCs w:val="24"/>
        </w:rPr>
        <w:t>f</w:t>
      </w:r>
      <w:r w:rsidR="003B011D">
        <w:rPr>
          <w:rFonts w:cs="Arial"/>
          <w:sz w:val="24"/>
          <w:szCs w:val="24"/>
        </w:rPr>
        <w:t>irst defendant</w:t>
      </w:r>
      <w:r w:rsidRPr="006A7289">
        <w:rPr>
          <w:rFonts w:cs="Arial"/>
          <w:sz w:val="24"/>
          <w:szCs w:val="24"/>
        </w:rPr>
        <w:t xml:space="preserve"> failed to present the Registrar with </w:t>
      </w:r>
      <w:r w:rsidRPr="00132756">
        <w:rPr>
          <w:rFonts w:cs="Arial"/>
          <w:i/>
          <w:sz w:val="24"/>
          <w:szCs w:val="24"/>
        </w:rPr>
        <w:t>prima facie</w:t>
      </w:r>
      <w:r w:rsidRPr="00132756">
        <w:rPr>
          <w:rFonts w:cs="Arial"/>
          <w:sz w:val="24"/>
          <w:szCs w:val="24"/>
        </w:rPr>
        <w:t xml:space="preserve"> evidence of the existence of the judgment debt in the amount claimed</w:t>
      </w:r>
      <w:r w:rsidRPr="006A7289">
        <w:rPr>
          <w:rFonts w:cs="Arial"/>
          <w:sz w:val="24"/>
          <w:szCs w:val="24"/>
        </w:rPr>
        <w:t>, because she presented none of the supporting documents</w:t>
      </w:r>
      <w:r>
        <w:rPr>
          <w:rFonts w:cs="Arial"/>
          <w:sz w:val="24"/>
          <w:szCs w:val="24"/>
        </w:rPr>
        <w:t xml:space="preserve"> </w:t>
      </w:r>
      <w:r w:rsidRPr="006A7289">
        <w:rPr>
          <w:rFonts w:cs="Arial"/>
          <w:sz w:val="24"/>
          <w:szCs w:val="24"/>
        </w:rPr>
        <w:t xml:space="preserve">she claimed to have used to compile her schedule and to determine the amount of </w:t>
      </w:r>
      <w:r w:rsidR="008F3431">
        <w:rPr>
          <w:rFonts w:cs="Arial"/>
          <w:sz w:val="24"/>
          <w:szCs w:val="24"/>
        </w:rPr>
        <w:t xml:space="preserve">the plaintiff’s </w:t>
      </w:r>
      <w:r w:rsidRPr="006A7289">
        <w:rPr>
          <w:rFonts w:cs="Arial"/>
          <w:sz w:val="24"/>
          <w:szCs w:val="24"/>
        </w:rPr>
        <w:t>alleged indebtedness to her.</w:t>
      </w:r>
      <w:r>
        <w:rPr>
          <w:rFonts w:cs="Arial"/>
          <w:sz w:val="24"/>
          <w:szCs w:val="24"/>
        </w:rPr>
        <w:t xml:space="preserve"> </w:t>
      </w:r>
      <w:r w:rsidR="00D671B9">
        <w:rPr>
          <w:rFonts w:cs="Arial"/>
          <w:sz w:val="24"/>
          <w:szCs w:val="24"/>
        </w:rPr>
        <w:t xml:space="preserve">According to the particulars of claim, the </w:t>
      </w:r>
      <w:r>
        <w:rPr>
          <w:rFonts w:cs="Arial"/>
          <w:sz w:val="24"/>
          <w:szCs w:val="24"/>
        </w:rPr>
        <w:t>source documents have not been made available</w:t>
      </w:r>
      <w:r w:rsidR="008F3431">
        <w:rPr>
          <w:rFonts w:cs="Arial"/>
          <w:sz w:val="24"/>
          <w:szCs w:val="24"/>
        </w:rPr>
        <w:t xml:space="preserve"> to the plaintiff</w:t>
      </w:r>
      <w:r>
        <w:rPr>
          <w:rFonts w:cs="Arial"/>
          <w:sz w:val="24"/>
          <w:szCs w:val="24"/>
        </w:rPr>
        <w:t>, at the date of the issue of summons, despite a request for inspection from the plaintiff’s attorneys.</w:t>
      </w:r>
      <w:r w:rsidR="00FD1903" w:rsidRPr="00FD1903">
        <w:rPr>
          <w:rFonts w:cs="Arial"/>
          <w:sz w:val="24"/>
          <w:szCs w:val="24"/>
          <w:lang w:val="en-ZA"/>
        </w:rPr>
        <w:t xml:space="preserve"> </w:t>
      </w:r>
    </w:p>
    <w:p w14:paraId="6B914518" w14:textId="310B7707" w:rsidR="00FD1903" w:rsidRPr="00DE04C8" w:rsidRDefault="00FD1903" w:rsidP="001B181E">
      <w:pPr>
        <w:pStyle w:val="ListParagraph"/>
        <w:numPr>
          <w:ilvl w:val="0"/>
          <w:numId w:val="12"/>
        </w:numPr>
        <w:spacing w:after="0" w:line="360" w:lineRule="auto"/>
        <w:ind w:left="709" w:hanging="709"/>
        <w:jc w:val="both"/>
        <w:rPr>
          <w:rFonts w:cs="Arial"/>
          <w:sz w:val="24"/>
          <w:szCs w:val="24"/>
          <w:lang w:val="en-ZA"/>
        </w:rPr>
      </w:pPr>
      <w:r>
        <w:rPr>
          <w:rFonts w:cs="Arial"/>
          <w:sz w:val="24"/>
          <w:szCs w:val="24"/>
          <w:lang w:val="en-ZA"/>
        </w:rPr>
        <w:t>The f</w:t>
      </w:r>
      <w:r w:rsidRPr="00FD1903">
        <w:rPr>
          <w:rFonts w:cs="Arial"/>
          <w:sz w:val="24"/>
          <w:szCs w:val="24"/>
          <w:lang w:val="en-ZA"/>
        </w:rPr>
        <w:t xml:space="preserve">irst defendant submits that no facts are pleaded by the plaintiff in this respect, and that the affidavit to the </w:t>
      </w:r>
      <w:r>
        <w:rPr>
          <w:rFonts w:cs="Arial"/>
          <w:sz w:val="24"/>
          <w:szCs w:val="24"/>
          <w:lang w:val="en-ZA"/>
        </w:rPr>
        <w:t>R</w:t>
      </w:r>
      <w:r w:rsidRPr="00FD1903">
        <w:rPr>
          <w:rFonts w:cs="Arial"/>
          <w:sz w:val="24"/>
          <w:szCs w:val="24"/>
          <w:lang w:val="en-ZA"/>
        </w:rPr>
        <w:t xml:space="preserve">egistrar and her confirmation therein that the schedule of the debt is based on source documentation under her control and which she has verified, was sufficient to satisfy the </w:t>
      </w:r>
      <w:r>
        <w:rPr>
          <w:rFonts w:cs="Arial"/>
          <w:sz w:val="24"/>
          <w:szCs w:val="24"/>
          <w:lang w:val="en-ZA"/>
        </w:rPr>
        <w:t>R</w:t>
      </w:r>
      <w:r w:rsidRPr="00FD1903">
        <w:rPr>
          <w:rFonts w:cs="Arial"/>
          <w:sz w:val="24"/>
          <w:szCs w:val="24"/>
          <w:lang w:val="en-ZA"/>
        </w:rPr>
        <w:t xml:space="preserve">egistrar that a proper case had been made out and to issue the writ. </w:t>
      </w:r>
    </w:p>
    <w:p w14:paraId="16B93535" w14:textId="77777777" w:rsidR="00FD1903" w:rsidRDefault="00FD1903" w:rsidP="001B181E">
      <w:pPr>
        <w:spacing w:after="0" w:line="360" w:lineRule="auto"/>
        <w:jc w:val="both"/>
        <w:rPr>
          <w:rFonts w:cs="Arial"/>
          <w:b/>
          <w:sz w:val="24"/>
          <w:szCs w:val="24"/>
        </w:rPr>
      </w:pPr>
    </w:p>
    <w:p w14:paraId="540FD2A1" w14:textId="3F14A98C" w:rsidR="001B181E" w:rsidRPr="001B181E" w:rsidRDefault="001B181E" w:rsidP="001B181E">
      <w:pPr>
        <w:spacing w:after="0" w:line="360" w:lineRule="auto"/>
        <w:jc w:val="both"/>
        <w:rPr>
          <w:rFonts w:cs="Arial"/>
          <w:b/>
          <w:sz w:val="24"/>
          <w:szCs w:val="24"/>
        </w:rPr>
      </w:pPr>
      <w:r w:rsidRPr="001B181E">
        <w:rPr>
          <w:rFonts w:cs="Arial"/>
          <w:b/>
          <w:sz w:val="24"/>
          <w:szCs w:val="24"/>
        </w:rPr>
        <w:t xml:space="preserve">Fourth </w:t>
      </w:r>
      <w:r w:rsidR="008F3431">
        <w:rPr>
          <w:rFonts w:cs="Arial"/>
          <w:b/>
          <w:sz w:val="24"/>
          <w:szCs w:val="24"/>
        </w:rPr>
        <w:t>ground: waiver</w:t>
      </w:r>
    </w:p>
    <w:p w14:paraId="7E105BDA" w14:textId="77777777" w:rsidR="001B181E" w:rsidRPr="001B181E" w:rsidRDefault="001B181E" w:rsidP="001B181E">
      <w:pPr>
        <w:spacing w:after="0" w:line="360" w:lineRule="auto"/>
        <w:jc w:val="both"/>
        <w:rPr>
          <w:rFonts w:cs="Arial"/>
          <w:sz w:val="24"/>
          <w:szCs w:val="24"/>
        </w:rPr>
      </w:pPr>
    </w:p>
    <w:p w14:paraId="111313A7" w14:textId="21B4CF8B" w:rsidR="003161A3" w:rsidRPr="00716A82" w:rsidRDefault="001B181E" w:rsidP="00716A82">
      <w:pPr>
        <w:pStyle w:val="ListParagraph"/>
        <w:numPr>
          <w:ilvl w:val="0"/>
          <w:numId w:val="12"/>
        </w:numPr>
        <w:spacing w:after="0" w:line="360" w:lineRule="auto"/>
        <w:ind w:left="709" w:hanging="709"/>
        <w:jc w:val="both"/>
        <w:rPr>
          <w:rFonts w:cs="Arial"/>
          <w:sz w:val="24"/>
          <w:szCs w:val="24"/>
        </w:rPr>
      </w:pPr>
      <w:r w:rsidRPr="001B181E">
        <w:rPr>
          <w:rFonts w:cs="Arial"/>
          <w:sz w:val="24"/>
          <w:szCs w:val="24"/>
        </w:rPr>
        <w:t xml:space="preserve">The </w:t>
      </w:r>
      <w:r w:rsidR="003161A3">
        <w:rPr>
          <w:rFonts w:cs="Arial"/>
          <w:sz w:val="24"/>
          <w:szCs w:val="24"/>
        </w:rPr>
        <w:t>p</w:t>
      </w:r>
      <w:r w:rsidR="0085589D">
        <w:rPr>
          <w:rFonts w:cs="Arial"/>
          <w:sz w:val="24"/>
          <w:szCs w:val="24"/>
        </w:rPr>
        <w:t>laintiff pleads</w:t>
      </w:r>
      <w:r w:rsidRPr="001B181E">
        <w:rPr>
          <w:rFonts w:cs="Arial"/>
          <w:sz w:val="24"/>
          <w:szCs w:val="24"/>
        </w:rPr>
        <w:t xml:space="preserve"> an express waiver by the child of any further maintenance against him – specifically, that on </w:t>
      </w:r>
      <w:r w:rsidR="005D7DD9">
        <w:rPr>
          <w:rFonts w:cs="Arial"/>
          <w:sz w:val="24"/>
          <w:szCs w:val="24"/>
        </w:rPr>
        <w:t xml:space="preserve">or about </w:t>
      </w:r>
      <w:r w:rsidRPr="001B181E">
        <w:rPr>
          <w:rFonts w:cs="Arial"/>
          <w:sz w:val="24"/>
          <w:szCs w:val="24"/>
        </w:rPr>
        <w:t xml:space="preserve">her </w:t>
      </w:r>
      <w:r w:rsidR="003161A3" w:rsidRPr="00132756">
        <w:rPr>
          <w:rFonts w:cs="Arial"/>
          <w:sz w:val="24"/>
          <w:szCs w:val="24"/>
        </w:rPr>
        <w:t>18</w:t>
      </w:r>
      <w:r w:rsidR="003161A3" w:rsidRPr="00132756">
        <w:rPr>
          <w:rFonts w:cs="Arial"/>
          <w:sz w:val="24"/>
          <w:szCs w:val="24"/>
          <w:vertAlign w:val="superscript"/>
        </w:rPr>
        <w:t>th</w:t>
      </w:r>
      <w:r w:rsidR="003161A3" w:rsidRPr="00132756">
        <w:rPr>
          <w:rFonts w:cs="Arial"/>
          <w:sz w:val="24"/>
          <w:szCs w:val="24"/>
        </w:rPr>
        <w:t xml:space="preserve"> </w:t>
      </w:r>
      <w:r w:rsidRPr="00132756">
        <w:rPr>
          <w:rFonts w:cs="Arial"/>
          <w:sz w:val="24"/>
          <w:szCs w:val="24"/>
        </w:rPr>
        <w:t>birthday</w:t>
      </w:r>
      <w:r w:rsidR="00716A82">
        <w:rPr>
          <w:rFonts w:cs="Arial"/>
          <w:sz w:val="24"/>
          <w:szCs w:val="24"/>
        </w:rPr>
        <w:t xml:space="preserve">, </w:t>
      </w:r>
      <w:r w:rsidRPr="001B181E">
        <w:rPr>
          <w:rFonts w:cs="Arial"/>
          <w:sz w:val="24"/>
          <w:szCs w:val="24"/>
        </w:rPr>
        <w:t xml:space="preserve">and at the house of the </w:t>
      </w:r>
      <w:r w:rsidR="003161A3">
        <w:rPr>
          <w:rFonts w:cs="Arial"/>
          <w:sz w:val="24"/>
          <w:szCs w:val="24"/>
        </w:rPr>
        <w:t>f</w:t>
      </w:r>
      <w:r w:rsidR="003B011D">
        <w:rPr>
          <w:rFonts w:cs="Arial"/>
          <w:sz w:val="24"/>
          <w:szCs w:val="24"/>
        </w:rPr>
        <w:t>irst defendant</w:t>
      </w:r>
      <w:r w:rsidRPr="001B181E">
        <w:rPr>
          <w:rFonts w:cs="Arial"/>
          <w:sz w:val="24"/>
          <w:szCs w:val="24"/>
        </w:rPr>
        <w:t xml:space="preserve">, she told the </w:t>
      </w:r>
      <w:r w:rsidR="003161A3">
        <w:rPr>
          <w:rFonts w:cs="Arial"/>
          <w:sz w:val="24"/>
          <w:szCs w:val="24"/>
        </w:rPr>
        <w:t>p</w:t>
      </w:r>
      <w:r w:rsidRPr="001B181E">
        <w:rPr>
          <w:rFonts w:cs="Arial"/>
          <w:sz w:val="24"/>
          <w:szCs w:val="24"/>
        </w:rPr>
        <w:t xml:space="preserve">laintiff in the presence of the </w:t>
      </w:r>
      <w:r w:rsidR="003161A3">
        <w:rPr>
          <w:rFonts w:cs="Arial"/>
          <w:sz w:val="24"/>
          <w:szCs w:val="24"/>
        </w:rPr>
        <w:t>f</w:t>
      </w:r>
      <w:r w:rsidR="003B011D">
        <w:rPr>
          <w:rFonts w:cs="Arial"/>
          <w:sz w:val="24"/>
          <w:szCs w:val="24"/>
        </w:rPr>
        <w:t>irst defendant</w:t>
      </w:r>
      <w:r w:rsidRPr="001B181E">
        <w:rPr>
          <w:rFonts w:cs="Arial"/>
          <w:sz w:val="24"/>
          <w:szCs w:val="24"/>
        </w:rPr>
        <w:t xml:space="preserve"> that she wanted nothing </w:t>
      </w:r>
      <w:r w:rsidR="003161A3">
        <w:rPr>
          <w:rFonts w:cs="Arial"/>
          <w:sz w:val="24"/>
          <w:szCs w:val="24"/>
        </w:rPr>
        <w:t xml:space="preserve">more </w:t>
      </w:r>
      <w:r w:rsidRPr="001B181E">
        <w:rPr>
          <w:rFonts w:cs="Arial"/>
          <w:sz w:val="24"/>
          <w:szCs w:val="24"/>
        </w:rPr>
        <w:t xml:space="preserve">to do with </w:t>
      </w:r>
      <w:r w:rsidR="00716A82">
        <w:rPr>
          <w:rFonts w:cs="Arial"/>
          <w:sz w:val="24"/>
          <w:szCs w:val="24"/>
        </w:rPr>
        <w:t>him</w:t>
      </w:r>
      <w:r w:rsidRPr="001B181E">
        <w:rPr>
          <w:rFonts w:cs="Arial"/>
          <w:sz w:val="24"/>
          <w:szCs w:val="24"/>
        </w:rPr>
        <w:t xml:space="preserve"> and did not need his money. </w:t>
      </w:r>
      <w:r w:rsidR="005D7DD9">
        <w:rPr>
          <w:rFonts w:cs="Arial"/>
          <w:sz w:val="24"/>
          <w:szCs w:val="24"/>
        </w:rPr>
        <w:t xml:space="preserve">The plaintiff submits that </w:t>
      </w:r>
      <w:r w:rsidR="003161A3">
        <w:rPr>
          <w:rFonts w:cs="Arial"/>
          <w:sz w:val="24"/>
          <w:szCs w:val="24"/>
        </w:rPr>
        <w:t xml:space="preserve">this </w:t>
      </w:r>
      <w:r w:rsidR="005D7DD9">
        <w:rPr>
          <w:rFonts w:cs="Arial"/>
          <w:sz w:val="24"/>
          <w:szCs w:val="24"/>
        </w:rPr>
        <w:t>constitutes waiver</w:t>
      </w:r>
      <w:r w:rsidR="003161A3">
        <w:rPr>
          <w:rFonts w:cs="Arial"/>
          <w:sz w:val="24"/>
          <w:szCs w:val="24"/>
        </w:rPr>
        <w:t>,</w:t>
      </w:r>
      <w:r w:rsidR="005D7DD9">
        <w:rPr>
          <w:rFonts w:cs="Arial"/>
          <w:sz w:val="24"/>
          <w:szCs w:val="24"/>
        </w:rPr>
        <w:t xml:space="preserve"> which the plaintiff accepted. </w:t>
      </w:r>
      <w:r w:rsidRPr="001B181E">
        <w:rPr>
          <w:rFonts w:cs="Arial"/>
          <w:sz w:val="24"/>
          <w:szCs w:val="24"/>
        </w:rPr>
        <w:lastRenderedPageBreak/>
        <w:t xml:space="preserve">Notwithstanding, the </w:t>
      </w:r>
      <w:r w:rsidR="003161A3">
        <w:rPr>
          <w:rFonts w:cs="Arial"/>
          <w:sz w:val="24"/>
          <w:szCs w:val="24"/>
        </w:rPr>
        <w:t>f</w:t>
      </w:r>
      <w:r w:rsidR="003B011D">
        <w:rPr>
          <w:rFonts w:cs="Arial"/>
          <w:sz w:val="24"/>
          <w:szCs w:val="24"/>
        </w:rPr>
        <w:t>irst defendant</w:t>
      </w:r>
      <w:r w:rsidRPr="001B181E">
        <w:rPr>
          <w:rFonts w:cs="Arial"/>
          <w:sz w:val="24"/>
          <w:szCs w:val="24"/>
        </w:rPr>
        <w:t xml:space="preserve"> claims maintenance until 2019. </w:t>
      </w:r>
      <w:r w:rsidR="003161A3">
        <w:rPr>
          <w:rFonts w:cs="Arial"/>
          <w:sz w:val="24"/>
          <w:szCs w:val="24"/>
        </w:rPr>
        <w:t>The p</w:t>
      </w:r>
      <w:r w:rsidRPr="001B181E">
        <w:rPr>
          <w:rFonts w:cs="Arial"/>
          <w:sz w:val="24"/>
          <w:szCs w:val="24"/>
        </w:rPr>
        <w:t>laintiff argues that this is a</w:t>
      </w:r>
      <w:r w:rsidR="003161A3">
        <w:rPr>
          <w:rFonts w:cs="Arial"/>
          <w:sz w:val="24"/>
          <w:szCs w:val="24"/>
        </w:rPr>
        <w:t>n</w:t>
      </w:r>
      <w:r w:rsidRPr="001B181E">
        <w:rPr>
          <w:rFonts w:cs="Arial"/>
          <w:sz w:val="24"/>
          <w:szCs w:val="24"/>
        </w:rPr>
        <w:t xml:space="preserve"> issue</w:t>
      </w:r>
      <w:r w:rsidR="003161A3">
        <w:rPr>
          <w:rFonts w:cs="Arial"/>
          <w:sz w:val="24"/>
          <w:szCs w:val="24"/>
        </w:rPr>
        <w:t xml:space="preserve"> for trial</w:t>
      </w:r>
      <w:r w:rsidRPr="001B181E">
        <w:rPr>
          <w:rFonts w:cs="Arial"/>
          <w:sz w:val="24"/>
          <w:szCs w:val="24"/>
        </w:rPr>
        <w:t xml:space="preserve">, which impacts significantly on the value of the purported claim of the </w:t>
      </w:r>
      <w:r w:rsidR="003161A3">
        <w:rPr>
          <w:rFonts w:cs="Arial"/>
          <w:sz w:val="24"/>
          <w:szCs w:val="24"/>
        </w:rPr>
        <w:t>f</w:t>
      </w:r>
      <w:r w:rsidR="003B011D">
        <w:rPr>
          <w:rFonts w:cs="Arial"/>
          <w:sz w:val="24"/>
          <w:szCs w:val="24"/>
        </w:rPr>
        <w:t>irst defendant</w:t>
      </w:r>
      <w:r w:rsidRPr="001B181E">
        <w:rPr>
          <w:rFonts w:cs="Arial"/>
          <w:sz w:val="24"/>
          <w:szCs w:val="24"/>
        </w:rPr>
        <w:t>. If the waiver is found to be valid, no claim can exist on behalf of the child after the date of waiver.</w:t>
      </w:r>
      <w:r w:rsidR="00F06624">
        <w:rPr>
          <w:rFonts w:cs="Arial"/>
          <w:sz w:val="24"/>
          <w:szCs w:val="24"/>
        </w:rPr>
        <w:t xml:space="preserve"> </w:t>
      </w:r>
      <w:r w:rsidR="00D250E5" w:rsidRPr="00D250E5">
        <w:rPr>
          <w:rFonts w:cs="Arial"/>
          <w:sz w:val="24"/>
          <w:szCs w:val="24"/>
        </w:rPr>
        <w:t>Clause 6</w:t>
      </w:r>
      <w:r w:rsidR="00D250E5">
        <w:rPr>
          <w:rFonts w:cs="Arial"/>
          <w:sz w:val="24"/>
          <w:szCs w:val="24"/>
        </w:rPr>
        <w:t xml:space="preserve"> reads as follows</w:t>
      </w:r>
      <w:r w:rsidR="00D250E5" w:rsidRPr="00D250E5">
        <w:rPr>
          <w:rFonts w:cs="Arial"/>
          <w:sz w:val="24"/>
          <w:szCs w:val="24"/>
        </w:rPr>
        <w:t>: “This agreement constitutes the full and final settlement of all claims between the parties. Save in respect of the obligations towards the minor child, this Agreement shall not be capable of alteration or waiver or be subject to estoppel unless reduced to writing or is ordered by a competent Court.”</w:t>
      </w:r>
      <w:r w:rsidR="00716A82">
        <w:rPr>
          <w:rFonts w:cs="Arial"/>
          <w:sz w:val="24"/>
          <w:szCs w:val="24"/>
        </w:rPr>
        <w:t xml:space="preserve"> </w:t>
      </w:r>
      <w:r w:rsidR="00973D6B" w:rsidRPr="00716A82">
        <w:rPr>
          <w:rFonts w:cs="Arial"/>
          <w:sz w:val="24"/>
          <w:szCs w:val="24"/>
        </w:rPr>
        <w:t>The settlement agreement does not explicitly state when the obligation</w:t>
      </w:r>
      <w:r w:rsidR="00D250E5" w:rsidRPr="00716A82">
        <w:rPr>
          <w:rFonts w:cs="Arial"/>
          <w:sz w:val="24"/>
          <w:szCs w:val="24"/>
        </w:rPr>
        <w:t xml:space="preserve"> to pay maintenance terminates.</w:t>
      </w:r>
      <w:r w:rsidR="003161A3" w:rsidRPr="00716A82">
        <w:rPr>
          <w:rFonts w:cs="Arial"/>
          <w:sz w:val="24"/>
          <w:szCs w:val="24"/>
        </w:rPr>
        <w:t xml:space="preserve"> </w:t>
      </w:r>
    </w:p>
    <w:p w14:paraId="5BAEED44" w14:textId="3EF6F77E" w:rsidR="007C441A" w:rsidRPr="00212CB7" w:rsidRDefault="00B026BF" w:rsidP="00FD1903">
      <w:pPr>
        <w:pStyle w:val="ListParagraph"/>
        <w:numPr>
          <w:ilvl w:val="0"/>
          <w:numId w:val="32"/>
        </w:numPr>
        <w:spacing w:after="0" w:line="360" w:lineRule="auto"/>
        <w:ind w:left="709" w:hanging="709"/>
        <w:jc w:val="both"/>
        <w:rPr>
          <w:rFonts w:cs="Arial"/>
          <w:sz w:val="24"/>
          <w:szCs w:val="24"/>
        </w:rPr>
      </w:pPr>
      <w:r w:rsidRPr="00212CB7">
        <w:rPr>
          <w:rFonts w:cs="Arial"/>
          <w:sz w:val="24"/>
          <w:szCs w:val="24"/>
        </w:rPr>
        <w:t xml:space="preserve">The </w:t>
      </w:r>
      <w:r w:rsidR="005143A0" w:rsidRPr="00212CB7">
        <w:rPr>
          <w:rFonts w:cs="Arial"/>
          <w:sz w:val="24"/>
          <w:szCs w:val="24"/>
        </w:rPr>
        <w:t>f</w:t>
      </w:r>
      <w:r w:rsidR="003B011D" w:rsidRPr="00212CB7">
        <w:rPr>
          <w:rFonts w:cs="Arial"/>
          <w:sz w:val="24"/>
          <w:szCs w:val="24"/>
        </w:rPr>
        <w:t>irst defendant</w:t>
      </w:r>
      <w:r w:rsidRPr="00212CB7">
        <w:rPr>
          <w:rFonts w:cs="Arial"/>
          <w:sz w:val="24"/>
          <w:szCs w:val="24"/>
        </w:rPr>
        <w:t xml:space="preserve"> submits that the settlement agreement expressly excludes waiver unless done so in writing</w:t>
      </w:r>
      <w:r w:rsidR="00716A82">
        <w:rPr>
          <w:rFonts w:cs="Arial"/>
          <w:sz w:val="24"/>
          <w:szCs w:val="24"/>
        </w:rPr>
        <w:t>.</w:t>
      </w:r>
      <w:r w:rsidRPr="00212CB7">
        <w:rPr>
          <w:rFonts w:cs="Arial"/>
          <w:sz w:val="24"/>
          <w:szCs w:val="24"/>
        </w:rPr>
        <w:t xml:space="preserve"> In other words, oral variation is impermissible</w:t>
      </w:r>
      <w:r w:rsidR="00DE04C8">
        <w:rPr>
          <w:rFonts w:cs="Arial"/>
          <w:sz w:val="24"/>
          <w:szCs w:val="24"/>
        </w:rPr>
        <w:t>.</w:t>
      </w:r>
      <w:r w:rsidRPr="00212CB7">
        <w:rPr>
          <w:rFonts w:cs="Arial"/>
          <w:sz w:val="24"/>
          <w:szCs w:val="24"/>
        </w:rPr>
        <w:t xml:space="preserve"> Waiver must be properly pleaded, but the Plaintiff alleges no written variation. There is also a common law presumption against waiver. </w:t>
      </w:r>
    </w:p>
    <w:p w14:paraId="54E55F4B" w14:textId="77777777" w:rsidR="007C441A" w:rsidRPr="006A7289" w:rsidRDefault="007C441A" w:rsidP="00A5029A">
      <w:pPr>
        <w:pStyle w:val="ListParagraph"/>
        <w:spacing w:after="0" w:line="360" w:lineRule="auto"/>
        <w:ind w:left="851" w:hanging="425"/>
        <w:jc w:val="both"/>
        <w:rPr>
          <w:rFonts w:cs="Arial"/>
          <w:sz w:val="24"/>
          <w:szCs w:val="24"/>
        </w:rPr>
      </w:pPr>
    </w:p>
    <w:p w14:paraId="7E85A0C0" w14:textId="76616C2D" w:rsidR="007C441A" w:rsidRPr="005159B6" w:rsidRDefault="005159B6" w:rsidP="00FD1903">
      <w:pPr>
        <w:pStyle w:val="ListParagraph"/>
        <w:spacing w:after="0" w:line="360" w:lineRule="auto"/>
        <w:ind w:left="360" w:hanging="360"/>
        <w:jc w:val="both"/>
        <w:rPr>
          <w:rFonts w:cs="Arial"/>
          <w:b/>
          <w:sz w:val="24"/>
          <w:szCs w:val="24"/>
        </w:rPr>
      </w:pPr>
      <w:r w:rsidRPr="005159B6">
        <w:rPr>
          <w:rFonts w:cs="Arial"/>
          <w:b/>
          <w:sz w:val="24"/>
          <w:szCs w:val="24"/>
        </w:rPr>
        <w:t>Evaluation</w:t>
      </w:r>
    </w:p>
    <w:p w14:paraId="6774E427" w14:textId="77777777" w:rsidR="007C441A" w:rsidRPr="005159B6" w:rsidRDefault="007C441A" w:rsidP="005159B6">
      <w:pPr>
        <w:spacing w:after="0" w:line="360" w:lineRule="auto"/>
        <w:jc w:val="both"/>
        <w:rPr>
          <w:rFonts w:cs="Arial"/>
          <w:sz w:val="24"/>
          <w:szCs w:val="24"/>
        </w:rPr>
      </w:pPr>
    </w:p>
    <w:p w14:paraId="2B405C56" w14:textId="63D806F6" w:rsidR="007C441A" w:rsidRPr="006A7289" w:rsidRDefault="005159B6" w:rsidP="00A5029A">
      <w:pPr>
        <w:pStyle w:val="ListParagraph"/>
        <w:numPr>
          <w:ilvl w:val="0"/>
          <w:numId w:val="32"/>
        </w:numPr>
        <w:spacing w:after="0" w:line="360" w:lineRule="auto"/>
        <w:ind w:left="851" w:hanging="851"/>
        <w:jc w:val="both"/>
        <w:rPr>
          <w:rFonts w:cs="Arial"/>
          <w:sz w:val="24"/>
          <w:szCs w:val="24"/>
        </w:rPr>
      </w:pPr>
      <w:r>
        <w:rPr>
          <w:rFonts w:cs="Arial"/>
          <w:sz w:val="24"/>
          <w:szCs w:val="24"/>
        </w:rPr>
        <w:t xml:space="preserve">In respect of the first </w:t>
      </w:r>
      <w:r w:rsidR="00A05C70">
        <w:rPr>
          <w:rFonts w:cs="Arial"/>
          <w:sz w:val="24"/>
          <w:szCs w:val="24"/>
        </w:rPr>
        <w:t xml:space="preserve">and third </w:t>
      </w:r>
      <w:r>
        <w:rPr>
          <w:rFonts w:cs="Arial"/>
          <w:sz w:val="24"/>
          <w:szCs w:val="24"/>
        </w:rPr>
        <w:t>point</w:t>
      </w:r>
      <w:r w:rsidR="00A05C70">
        <w:rPr>
          <w:rFonts w:cs="Arial"/>
          <w:sz w:val="24"/>
          <w:szCs w:val="24"/>
        </w:rPr>
        <w:t>s</w:t>
      </w:r>
      <w:r>
        <w:rPr>
          <w:rFonts w:cs="Arial"/>
          <w:sz w:val="24"/>
          <w:szCs w:val="24"/>
        </w:rPr>
        <w:t>, the p</w:t>
      </w:r>
      <w:r w:rsidR="00A774AF" w:rsidRPr="006A7289">
        <w:rPr>
          <w:rFonts w:cs="Arial"/>
          <w:sz w:val="24"/>
          <w:szCs w:val="24"/>
        </w:rPr>
        <w:t>laintiff</w:t>
      </w:r>
      <w:r w:rsidR="00F54A11" w:rsidRPr="006A7289">
        <w:rPr>
          <w:rFonts w:cs="Arial"/>
          <w:sz w:val="24"/>
          <w:szCs w:val="24"/>
        </w:rPr>
        <w:t>’s position is that the settlement</w:t>
      </w:r>
      <w:r w:rsidR="00973D6B">
        <w:rPr>
          <w:rFonts w:cs="Arial"/>
          <w:sz w:val="24"/>
          <w:szCs w:val="24"/>
        </w:rPr>
        <w:t xml:space="preserve"> agreement (which was made a </w:t>
      </w:r>
      <w:r w:rsidR="00F82933">
        <w:rPr>
          <w:rFonts w:cs="Arial"/>
          <w:sz w:val="24"/>
          <w:szCs w:val="24"/>
        </w:rPr>
        <w:t>court order</w:t>
      </w:r>
      <w:r w:rsidR="00973D6B">
        <w:rPr>
          <w:rFonts w:cs="Arial"/>
          <w:sz w:val="24"/>
          <w:szCs w:val="24"/>
        </w:rPr>
        <w:t>)</w:t>
      </w:r>
      <w:r w:rsidR="00F54A11" w:rsidRPr="006A7289">
        <w:rPr>
          <w:rFonts w:cs="Arial"/>
          <w:sz w:val="24"/>
          <w:szCs w:val="24"/>
        </w:rPr>
        <w:t xml:space="preserve"> does not give rise to a judgment </w:t>
      </w:r>
      <w:r w:rsidR="0031288C" w:rsidRPr="006A7289">
        <w:rPr>
          <w:rFonts w:cs="Arial"/>
          <w:sz w:val="24"/>
          <w:szCs w:val="24"/>
        </w:rPr>
        <w:t xml:space="preserve">debt </w:t>
      </w:r>
      <w:r w:rsidR="00F54A11" w:rsidRPr="006A7289">
        <w:rPr>
          <w:rFonts w:cs="Arial"/>
          <w:sz w:val="24"/>
          <w:szCs w:val="24"/>
        </w:rPr>
        <w:t>sounding in money</w:t>
      </w:r>
      <w:r w:rsidR="00A05C70">
        <w:rPr>
          <w:rFonts w:cs="Arial"/>
          <w:sz w:val="24"/>
          <w:szCs w:val="24"/>
        </w:rPr>
        <w:t xml:space="preserve">, and that the first defendant could never make out a </w:t>
      </w:r>
      <w:r w:rsidR="00A05C70" w:rsidRPr="00A05C70">
        <w:rPr>
          <w:rFonts w:cs="Arial"/>
          <w:i/>
          <w:sz w:val="24"/>
          <w:szCs w:val="24"/>
        </w:rPr>
        <w:t>prima facie</w:t>
      </w:r>
      <w:r w:rsidR="00A05C70">
        <w:rPr>
          <w:rFonts w:cs="Arial"/>
          <w:sz w:val="24"/>
          <w:szCs w:val="24"/>
        </w:rPr>
        <w:t xml:space="preserve"> case for the issuing of the writ</w:t>
      </w:r>
      <w:r w:rsidR="00F54A11" w:rsidRPr="006A7289">
        <w:rPr>
          <w:rFonts w:cs="Arial"/>
          <w:sz w:val="24"/>
          <w:szCs w:val="24"/>
        </w:rPr>
        <w:t xml:space="preserve">. The </w:t>
      </w:r>
      <w:r w:rsidR="00F82933">
        <w:rPr>
          <w:rFonts w:cs="Arial"/>
          <w:sz w:val="24"/>
          <w:szCs w:val="24"/>
        </w:rPr>
        <w:t>p</w:t>
      </w:r>
      <w:r w:rsidR="00A774AF" w:rsidRPr="006A7289">
        <w:rPr>
          <w:rFonts w:cs="Arial"/>
          <w:sz w:val="24"/>
          <w:szCs w:val="24"/>
        </w:rPr>
        <w:t>laintiff</w:t>
      </w:r>
      <w:r w:rsidR="00F54A11" w:rsidRPr="006A7289">
        <w:rPr>
          <w:rFonts w:cs="Arial"/>
          <w:sz w:val="24"/>
          <w:szCs w:val="24"/>
        </w:rPr>
        <w:t xml:space="preserve"> relies on </w:t>
      </w:r>
      <w:r w:rsidR="00F54A11" w:rsidRPr="006A7289">
        <w:rPr>
          <w:rFonts w:cs="Arial"/>
          <w:i/>
          <w:sz w:val="24"/>
          <w:szCs w:val="24"/>
        </w:rPr>
        <w:t>Dezius v Dezius</w:t>
      </w:r>
      <w:r w:rsidR="007C441A" w:rsidRPr="006A7289">
        <w:rPr>
          <w:rFonts w:cs="Arial"/>
          <w:sz w:val="24"/>
          <w:szCs w:val="24"/>
        </w:rPr>
        <w:t xml:space="preserve"> </w:t>
      </w:r>
      <w:r w:rsidR="00F54A11" w:rsidRPr="006A7289">
        <w:rPr>
          <w:rFonts w:cs="Arial"/>
          <w:sz w:val="24"/>
          <w:szCs w:val="24"/>
        </w:rPr>
        <w:t xml:space="preserve">where it was held that maintenance orders are not money judgments or an order </w:t>
      </w:r>
      <w:r w:rsidR="00F54A11" w:rsidRPr="006A7289">
        <w:rPr>
          <w:rFonts w:cs="Arial"/>
          <w:i/>
          <w:sz w:val="24"/>
          <w:szCs w:val="24"/>
        </w:rPr>
        <w:t>per se</w:t>
      </w:r>
      <w:r w:rsidR="00F54A11" w:rsidRPr="006A7289">
        <w:rPr>
          <w:rFonts w:cs="Arial"/>
          <w:sz w:val="24"/>
          <w:szCs w:val="24"/>
        </w:rPr>
        <w:t xml:space="preserve"> insofar as they fall within a special category in which such relief is competent.</w:t>
      </w:r>
      <w:r w:rsidR="00F82933">
        <w:rPr>
          <w:rStyle w:val="FootnoteReference"/>
          <w:rFonts w:cs="Arial"/>
          <w:sz w:val="24"/>
          <w:szCs w:val="24"/>
        </w:rPr>
        <w:footnoteReference w:id="9"/>
      </w:r>
      <w:r w:rsidR="00F54A11" w:rsidRPr="006A7289">
        <w:rPr>
          <w:rFonts w:cs="Arial"/>
          <w:sz w:val="24"/>
          <w:szCs w:val="24"/>
        </w:rPr>
        <w:t xml:space="preserve"> </w:t>
      </w:r>
    </w:p>
    <w:p w14:paraId="1531E65F" w14:textId="2A1374D3" w:rsidR="00DD0BB9" w:rsidRPr="006A7289" w:rsidRDefault="003B011D" w:rsidP="00A5029A">
      <w:pPr>
        <w:pStyle w:val="ListParagraph"/>
        <w:numPr>
          <w:ilvl w:val="0"/>
          <w:numId w:val="32"/>
        </w:numPr>
        <w:spacing w:after="0" w:line="360" w:lineRule="auto"/>
        <w:ind w:left="851" w:hanging="851"/>
        <w:jc w:val="both"/>
        <w:rPr>
          <w:rFonts w:cs="Arial"/>
          <w:sz w:val="24"/>
          <w:szCs w:val="24"/>
        </w:rPr>
      </w:pPr>
      <w:r>
        <w:rPr>
          <w:rFonts w:cs="Arial"/>
          <w:sz w:val="24"/>
          <w:szCs w:val="24"/>
        </w:rPr>
        <w:t>First defendant</w:t>
      </w:r>
      <w:r w:rsidR="00F54A11" w:rsidRPr="006A7289">
        <w:rPr>
          <w:rFonts w:cs="Arial"/>
          <w:sz w:val="24"/>
          <w:szCs w:val="24"/>
        </w:rPr>
        <w:t xml:space="preserve">’s counsel brought to </w:t>
      </w:r>
      <w:r w:rsidR="00746633">
        <w:rPr>
          <w:rFonts w:cs="Arial"/>
          <w:sz w:val="24"/>
          <w:szCs w:val="24"/>
        </w:rPr>
        <w:t xml:space="preserve">the </w:t>
      </w:r>
      <w:r w:rsidR="00F54A11" w:rsidRPr="006A7289">
        <w:rPr>
          <w:rFonts w:cs="Arial"/>
          <w:sz w:val="24"/>
          <w:szCs w:val="24"/>
        </w:rPr>
        <w:t xml:space="preserve">attention of the court the very recent judgment of the Supreme Court of Appeal in </w:t>
      </w:r>
      <w:r w:rsidR="009677DB" w:rsidRPr="006A7289">
        <w:rPr>
          <w:rFonts w:cs="Arial"/>
          <w:i/>
          <w:sz w:val="24"/>
          <w:szCs w:val="24"/>
        </w:rPr>
        <w:t>SA v J</w:t>
      </w:r>
      <w:r w:rsidR="007445F4" w:rsidRPr="006A7289">
        <w:rPr>
          <w:rFonts w:cs="Arial"/>
          <w:i/>
          <w:sz w:val="24"/>
          <w:szCs w:val="24"/>
        </w:rPr>
        <w:t>HA</w:t>
      </w:r>
      <w:r w:rsidR="00746633">
        <w:rPr>
          <w:rFonts w:cs="Arial"/>
          <w:sz w:val="24"/>
          <w:szCs w:val="24"/>
        </w:rPr>
        <w:t>,</w:t>
      </w:r>
      <w:r w:rsidR="009677DB" w:rsidRPr="006A7289">
        <w:rPr>
          <w:rStyle w:val="FootnoteReference"/>
          <w:rFonts w:cs="Arial"/>
          <w:sz w:val="24"/>
          <w:szCs w:val="24"/>
        </w:rPr>
        <w:footnoteReference w:id="10"/>
      </w:r>
      <w:r w:rsidR="00F54A11" w:rsidRPr="006A7289">
        <w:rPr>
          <w:rFonts w:cs="Arial"/>
          <w:sz w:val="24"/>
          <w:szCs w:val="24"/>
        </w:rPr>
        <w:t xml:space="preserve"> which </w:t>
      </w:r>
      <w:r w:rsidR="00973D6B">
        <w:rPr>
          <w:rFonts w:cs="Arial"/>
          <w:sz w:val="24"/>
          <w:szCs w:val="24"/>
        </w:rPr>
        <w:t xml:space="preserve">he argues is </w:t>
      </w:r>
      <w:r w:rsidR="00F54A11" w:rsidRPr="006A7289">
        <w:rPr>
          <w:rFonts w:cs="Arial"/>
          <w:sz w:val="24"/>
          <w:szCs w:val="24"/>
        </w:rPr>
        <w:t xml:space="preserve">authority that a maintenance obligation in a consent paper incorporated in a divorce order </w:t>
      </w:r>
      <w:r w:rsidR="007445F4" w:rsidRPr="006A7289">
        <w:rPr>
          <w:rFonts w:cs="Arial"/>
          <w:sz w:val="24"/>
          <w:szCs w:val="24"/>
        </w:rPr>
        <w:t>is</w:t>
      </w:r>
      <w:r w:rsidR="00F54A11" w:rsidRPr="006A7289">
        <w:rPr>
          <w:rFonts w:cs="Arial"/>
          <w:sz w:val="24"/>
          <w:szCs w:val="24"/>
        </w:rPr>
        <w:t xml:space="preserve"> a judgment debt</w:t>
      </w:r>
      <w:r w:rsidR="00716A82">
        <w:rPr>
          <w:rFonts w:cs="Arial"/>
          <w:sz w:val="24"/>
          <w:szCs w:val="24"/>
        </w:rPr>
        <w:t xml:space="preserve">, </w:t>
      </w:r>
      <w:r w:rsidR="00746633">
        <w:rPr>
          <w:rFonts w:cs="Arial"/>
          <w:sz w:val="24"/>
          <w:szCs w:val="24"/>
        </w:rPr>
        <w:t>subject to a prescription period of thirty years</w:t>
      </w:r>
      <w:r w:rsidR="00716A82">
        <w:rPr>
          <w:rFonts w:cs="Arial"/>
          <w:sz w:val="24"/>
          <w:szCs w:val="24"/>
        </w:rPr>
        <w:t>, and executable</w:t>
      </w:r>
      <w:r w:rsidR="00D876B4" w:rsidRPr="006A7289">
        <w:rPr>
          <w:rFonts w:cs="Arial"/>
          <w:sz w:val="24"/>
          <w:szCs w:val="24"/>
        </w:rPr>
        <w:t>.</w:t>
      </w:r>
      <w:r w:rsidR="007C441A" w:rsidRPr="006A7289">
        <w:rPr>
          <w:rFonts w:cs="Arial"/>
          <w:sz w:val="24"/>
          <w:szCs w:val="24"/>
        </w:rPr>
        <w:t xml:space="preserve"> Both counsel made submissions on the relevance of this case </w:t>
      </w:r>
      <w:r w:rsidR="007445F4" w:rsidRPr="006A7289">
        <w:rPr>
          <w:rFonts w:cs="Arial"/>
          <w:sz w:val="24"/>
          <w:szCs w:val="24"/>
        </w:rPr>
        <w:t>to</w:t>
      </w:r>
      <w:r w:rsidR="007C441A" w:rsidRPr="006A7289">
        <w:rPr>
          <w:rFonts w:cs="Arial"/>
          <w:sz w:val="24"/>
          <w:szCs w:val="24"/>
        </w:rPr>
        <w:t xml:space="preserve"> the present application.</w:t>
      </w:r>
    </w:p>
    <w:p w14:paraId="7B7E6112" w14:textId="18F1356F" w:rsidR="00133DB6" w:rsidRPr="00D250E5" w:rsidRDefault="00F3329E" w:rsidP="00D250E5">
      <w:pPr>
        <w:pStyle w:val="ListParagraph"/>
        <w:numPr>
          <w:ilvl w:val="0"/>
          <w:numId w:val="32"/>
        </w:numPr>
        <w:spacing w:after="0" w:line="360" w:lineRule="auto"/>
        <w:ind w:left="851" w:hanging="851"/>
        <w:jc w:val="both"/>
        <w:rPr>
          <w:rFonts w:cs="Arial"/>
          <w:sz w:val="24"/>
          <w:szCs w:val="24"/>
        </w:rPr>
      </w:pPr>
      <w:r>
        <w:rPr>
          <w:rFonts w:cs="Arial"/>
          <w:sz w:val="24"/>
          <w:szCs w:val="24"/>
        </w:rPr>
        <w:lastRenderedPageBreak/>
        <w:t>I do not inten</w:t>
      </w:r>
      <w:r w:rsidR="00B17028">
        <w:rPr>
          <w:rFonts w:cs="Arial"/>
          <w:sz w:val="24"/>
          <w:szCs w:val="24"/>
        </w:rPr>
        <w:t>d to deal with it exhaustively. There are indeed differences between that case and the present case</w:t>
      </w:r>
      <w:r w:rsidR="00D250E5">
        <w:rPr>
          <w:rFonts w:cs="Arial"/>
          <w:sz w:val="24"/>
          <w:szCs w:val="24"/>
        </w:rPr>
        <w:t>, as pointed out by plaintiff’s counsel</w:t>
      </w:r>
      <w:r w:rsidR="00B17028">
        <w:rPr>
          <w:rFonts w:cs="Arial"/>
          <w:sz w:val="24"/>
          <w:szCs w:val="24"/>
        </w:rPr>
        <w:t xml:space="preserve">. </w:t>
      </w:r>
      <w:r w:rsidR="00D250E5">
        <w:rPr>
          <w:rFonts w:cs="Arial"/>
          <w:sz w:val="24"/>
          <w:szCs w:val="24"/>
        </w:rPr>
        <w:t>For example, i</w:t>
      </w:r>
      <w:r w:rsidR="001E0577" w:rsidRPr="00B17028">
        <w:rPr>
          <w:rFonts w:cs="Arial"/>
          <w:sz w:val="24"/>
          <w:szCs w:val="24"/>
        </w:rPr>
        <w:t xml:space="preserve">n </w:t>
      </w:r>
      <w:r w:rsidR="00D876B4" w:rsidRPr="00B17028">
        <w:rPr>
          <w:rFonts w:cs="Arial"/>
          <w:i/>
          <w:sz w:val="24"/>
          <w:szCs w:val="24"/>
        </w:rPr>
        <w:t>JHA</w:t>
      </w:r>
      <w:r w:rsidR="001E0577" w:rsidRPr="00B17028">
        <w:rPr>
          <w:rFonts w:cs="Arial"/>
          <w:sz w:val="24"/>
          <w:szCs w:val="24"/>
        </w:rPr>
        <w:t xml:space="preserve"> there </w:t>
      </w:r>
      <w:r w:rsidR="00746633" w:rsidRPr="00B17028">
        <w:rPr>
          <w:rFonts w:cs="Arial"/>
          <w:sz w:val="24"/>
          <w:szCs w:val="24"/>
        </w:rPr>
        <w:t>is</w:t>
      </w:r>
      <w:r w:rsidR="00FD3023" w:rsidRPr="00B17028">
        <w:rPr>
          <w:rFonts w:cs="Arial"/>
          <w:sz w:val="24"/>
          <w:szCs w:val="24"/>
        </w:rPr>
        <w:t xml:space="preserve"> no record of </w:t>
      </w:r>
      <w:r w:rsidR="00746633" w:rsidRPr="00B17028">
        <w:rPr>
          <w:rFonts w:cs="Arial"/>
          <w:sz w:val="24"/>
          <w:szCs w:val="24"/>
        </w:rPr>
        <w:t>a</w:t>
      </w:r>
      <w:r w:rsidR="00C0770F" w:rsidRPr="00B17028">
        <w:rPr>
          <w:rFonts w:cs="Arial"/>
          <w:sz w:val="24"/>
          <w:szCs w:val="24"/>
        </w:rPr>
        <w:t>ny</w:t>
      </w:r>
      <w:r w:rsidR="001E0577" w:rsidRPr="00B17028">
        <w:rPr>
          <w:rFonts w:cs="Arial"/>
          <w:sz w:val="24"/>
          <w:szCs w:val="24"/>
        </w:rPr>
        <w:t xml:space="preserve"> disputes pertaining to the amounts claimed</w:t>
      </w:r>
      <w:r w:rsidR="00717E8B" w:rsidRPr="00B17028">
        <w:rPr>
          <w:rFonts w:cs="Arial"/>
          <w:sz w:val="24"/>
          <w:szCs w:val="24"/>
        </w:rPr>
        <w:t xml:space="preserve">, </w:t>
      </w:r>
      <w:r w:rsidR="00716A82">
        <w:rPr>
          <w:rFonts w:cs="Arial"/>
          <w:sz w:val="24"/>
          <w:szCs w:val="24"/>
        </w:rPr>
        <w:t xml:space="preserve">or that </w:t>
      </w:r>
      <w:r w:rsidR="00717E8B" w:rsidRPr="00212CB7">
        <w:rPr>
          <w:rFonts w:cs="Arial"/>
          <w:sz w:val="24"/>
          <w:szCs w:val="24"/>
        </w:rPr>
        <w:t xml:space="preserve">the maintenance obligation of the </w:t>
      </w:r>
      <w:r w:rsidR="003707EF" w:rsidRPr="00212CB7">
        <w:rPr>
          <w:rFonts w:cs="Arial"/>
          <w:sz w:val="24"/>
          <w:szCs w:val="24"/>
        </w:rPr>
        <w:t>appellant terminated upon the children reaching majority</w:t>
      </w:r>
      <w:r w:rsidR="00716A82">
        <w:rPr>
          <w:rFonts w:cs="Arial"/>
          <w:sz w:val="24"/>
          <w:szCs w:val="24"/>
        </w:rPr>
        <w:t xml:space="preserve">. </w:t>
      </w:r>
      <w:r w:rsidR="00132756">
        <w:rPr>
          <w:rFonts w:cs="Arial"/>
          <w:sz w:val="24"/>
          <w:szCs w:val="24"/>
        </w:rPr>
        <w:t xml:space="preserve">However, these differences are not necessarily relevant. </w:t>
      </w:r>
      <w:r w:rsidR="003707EF" w:rsidRPr="00D250E5">
        <w:rPr>
          <w:rFonts w:cs="Arial"/>
          <w:sz w:val="24"/>
          <w:szCs w:val="24"/>
        </w:rPr>
        <w:t xml:space="preserve"> </w:t>
      </w:r>
    </w:p>
    <w:p w14:paraId="0BB9E2EC" w14:textId="789BB2AC" w:rsidR="00235360" w:rsidRPr="00235360" w:rsidRDefault="00003ADA" w:rsidP="00132756">
      <w:pPr>
        <w:pStyle w:val="ListParagraph"/>
        <w:numPr>
          <w:ilvl w:val="0"/>
          <w:numId w:val="32"/>
        </w:numPr>
        <w:spacing w:after="0" w:line="360" w:lineRule="auto"/>
        <w:ind w:left="851" w:hanging="851"/>
        <w:jc w:val="both"/>
        <w:rPr>
          <w:rFonts w:cs="Arial"/>
        </w:rPr>
      </w:pPr>
      <w:r>
        <w:rPr>
          <w:rFonts w:cs="Arial"/>
          <w:sz w:val="24"/>
          <w:szCs w:val="24"/>
        </w:rPr>
        <w:t xml:space="preserve">Although the primary question </w:t>
      </w:r>
      <w:r w:rsidR="007A376D">
        <w:rPr>
          <w:rFonts w:cs="Arial"/>
          <w:sz w:val="24"/>
          <w:szCs w:val="24"/>
        </w:rPr>
        <w:t xml:space="preserve">was </w:t>
      </w:r>
      <w:r w:rsidR="00E027B2" w:rsidRPr="006A7289">
        <w:rPr>
          <w:rFonts w:cs="Arial"/>
          <w:sz w:val="24"/>
          <w:szCs w:val="24"/>
        </w:rPr>
        <w:t>whether a maintenance order is a judgment debt for purposes of prescription</w:t>
      </w:r>
      <w:r w:rsidR="007A376D">
        <w:rPr>
          <w:rFonts w:cs="Arial"/>
          <w:sz w:val="24"/>
          <w:szCs w:val="24"/>
        </w:rPr>
        <w:t xml:space="preserve">, </w:t>
      </w:r>
      <w:r w:rsidR="00E027B2" w:rsidRPr="006A7289">
        <w:rPr>
          <w:rFonts w:cs="Arial"/>
          <w:sz w:val="24"/>
          <w:szCs w:val="24"/>
        </w:rPr>
        <w:t>Smith AJA</w:t>
      </w:r>
      <w:r w:rsidR="007A376D">
        <w:rPr>
          <w:rFonts w:cs="Arial"/>
          <w:sz w:val="24"/>
          <w:szCs w:val="24"/>
        </w:rPr>
        <w:t xml:space="preserve"> </w:t>
      </w:r>
      <w:r w:rsidR="00212CB7">
        <w:rPr>
          <w:rFonts w:cs="Arial"/>
          <w:sz w:val="24"/>
          <w:szCs w:val="24"/>
        </w:rPr>
        <w:t xml:space="preserve">held </w:t>
      </w:r>
      <w:r w:rsidR="007A376D">
        <w:rPr>
          <w:rFonts w:cs="Arial"/>
          <w:sz w:val="24"/>
          <w:szCs w:val="24"/>
        </w:rPr>
        <w:t xml:space="preserve">that it will depend on </w:t>
      </w:r>
      <w:r w:rsidR="00E027B2" w:rsidRPr="00212CB7">
        <w:rPr>
          <w:rFonts w:cs="Arial"/>
          <w:sz w:val="24"/>
          <w:szCs w:val="24"/>
        </w:rPr>
        <w:t>the determination of the question whether maintenance orders possess the essential nature and char</w:t>
      </w:r>
      <w:r w:rsidR="00133DB6" w:rsidRPr="00212CB7">
        <w:rPr>
          <w:rFonts w:cs="Arial"/>
          <w:sz w:val="24"/>
          <w:szCs w:val="24"/>
        </w:rPr>
        <w:t>acteristics of civil judgments.</w:t>
      </w:r>
      <w:r w:rsidR="00E027B2" w:rsidRPr="006A7289">
        <w:rPr>
          <w:rStyle w:val="FootnoteReference"/>
          <w:rFonts w:cs="Arial"/>
          <w:sz w:val="24"/>
          <w:szCs w:val="24"/>
        </w:rPr>
        <w:footnoteReference w:id="11"/>
      </w:r>
      <w:r w:rsidR="00212CB7">
        <w:rPr>
          <w:rFonts w:cs="Arial"/>
          <w:sz w:val="24"/>
          <w:szCs w:val="24"/>
        </w:rPr>
        <w:t xml:space="preserve"> </w:t>
      </w:r>
      <w:r w:rsidR="00E027B2" w:rsidRPr="00212CB7">
        <w:rPr>
          <w:rFonts w:cs="Arial"/>
          <w:sz w:val="24"/>
          <w:szCs w:val="24"/>
        </w:rPr>
        <w:t xml:space="preserve">After considering both Constitutional Court and Supreme Court of Appeal jurisprudence, </w:t>
      </w:r>
      <w:r w:rsidR="00212CB7">
        <w:rPr>
          <w:rFonts w:cs="Arial"/>
          <w:sz w:val="24"/>
          <w:szCs w:val="24"/>
        </w:rPr>
        <w:t xml:space="preserve">the learned acting judge of appeal </w:t>
      </w:r>
      <w:r w:rsidR="00E027B2" w:rsidRPr="00212CB7">
        <w:rPr>
          <w:rFonts w:cs="Arial"/>
          <w:sz w:val="24"/>
          <w:szCs w:val="24"/>
        </w:rPr>
        <w:t xml:space="preserve">concluded that a maintenance order was indeed a civil </w:t>
      </w:r>
      <w:r w:rsidR="00D250E5">
        <w:rPr>
          <w:rFonts w:cs="Arial"/>
          <w:sz w:val="24"/>
          <w:szCs w:val="24"/>
        </w:rPr>
        <w:t xml:space="preserve">judgment, </w:t>
      </w:r>
      <w:r w:rsidR="007A376D" w:rsidRPr="00212CB7">
        <w:rPr>
          <w:rFonts w:cs="Arial"/>
          <w:sz w:val="24"/>
          <w:szCs w:val="24"/>
        </w:rPr>
        <w:t>an enforceable court order</w:t>
      </w:r>
      <w:r w:rsidR="00D250E5">
        <w:rPr>
          <w:rFonts w:cs="Arial"/>
          <w:sz w:val="24"/>
          <w:szCs w:val="24"/>
        </w:rPr>
        <w:t>, dispositive of the relief claimed, definitive of the rights of the parties, and capable of execution without any further proof</w:t>
      </w:r>
      <w:r w:rsidR="007A376D" w:rsidRPr="00212CB7">
        <w:rPr>
          <w:rFonts w:cs="Arial"/>
          <w:sz w:val="24"/>
          <w:szCs w:val="24"/>
        </w:rPr>
        <w:t>.</w:t>
      </w:r>
      <w:r w:rsidR="00D250E5">
        <w:rPr>
          <w:rStyle w:val="FootnoteReference"/>
          <w:rFonts w:cs="Arial"/>
          <w:sz w:val="24"/>
          <w:szCs w:val="24"/>
        </w:rPr>
        <w:footnoteReference w:id="12"/>
      </w:r>
      <w:r w:rsidR="00E027B2" w:rsidRPr="00212CB7">
        <w:rPr>
          <w:rFonts w:cs="Arial"/>
          <w:sz w:val="24"/>
          <w:szCs w:val="24"/>
        </w:rPr>
        <w:t xml:space="preserve"> </w:t>
      </w:r>
      <w:r w:rsidR="00133DB6" w:rsidRPr="00235360">
        <w:rPr>
          <w:rFonts w:cs="Arial"/>
          <w:sz w:val="24"/>
          <w:szCs w:val="24"/>
        </w:rPr>
        <w:t>A</w:t>
      </w:r>
      <w:r w:rsidR="001F1723" w:rsidRPr="00235360">
        <w:rPr>
          <w:rFonts w:cs="Arial"/>
          <w:sz w:val="24"/>
          <w:szCs w:val="24"/>
        </w:rPr>
        <w:t>nd fur</w:t>
      </w:r>
      <w:r w:rsidR="00133DB6" w:rsidRPr="00235360">
        <w:rPr>
          <w:rFonts w:cs="Arial"/>
          <w:sz w:val="24"/>
          <w:szCs w:val="24"/>
        </w:rPr>
        <w:t>t</w:t>
      </w:r>
      <w:r w:rsidR="00235360">
        <w:rPr>
          <w:rFonts w:cs="Arial"/>
          <w:sz w:val="24"/>
          <w:szCs w:val="24"/>
        </w:rPr>
        <w:t xml:space="preserve">her: </w:t>
      </w:r>
    </w:p>
    <w:p w14:paraId="2C31100D" w14:textId="77777777" w:rsidR="00235360" w:rsidRDefault="00235360" w:rsidP="00235360">
      <w:pPr>
        <w:pStyle w:val="ListParagraph"/>
        <w:spacing w:after="0" w:line="360" w:lineRule="auto"/>
        <w:ind w:left="851"/>
        <w:rPr>
          <w:rFonts w:cs="Arial"/>
          <w:sz w:val="24"/>
          <w:szCs w:val="24"/>
        </w:rPr>
      </w:pPr>
    </w:p>
    <w:p w14:paraId="589BCCDB" w14:textId="3E8079A4" w:rsidR="007C441A" w:rsidRPr="00235360" w:rsidRDefault="004F7879" w:rsidP="00235360">
      <w:pPr>
        <w:pStyle w:val="ListParagraph"/>
        <w:spacing w:after="0" w:line="360" w:lineRule="auto"/>
        <w:ind w:left="1440"/>
        <w:rPr>
          <w:rFonts w:cs="Arial"/>
        </w:rPr>
      </w:pPr>
      <w:r w:rsidRPr="00235360">
        <w:rPr>
          <w:rFonts w:cs="Arial"/>
        </w:rPr>
        <w:t>Its decision, either by way of a reasoned judgment or by agreement between the parties, disposed of the lis which was in existence between the parties at that point in time. An application for variation of that order thus introduces a new lis, the party applying for such an order contending that circumstances have changed to such an extent that they justify a reconsideration of the original decision. Thus, the matter is res judicata on the facts which were before the court that made t</w:t>
      </w:r>
      <w:r w:rsidR="00235360">
        <w:rPr>
          <w:rFonts w:cs="Arial"/>
        </w:rPr>
        <w:t>he original maintenance order.</w:t>
      </w:r>
      <w:r w:rsidR="00235360">
        <w:rPr>
          <w:rStyle w:val="FootnoteReference"/>
          <w:rFonts w:cs="Arial"/>
        </w:rPr>
        <w:footnoteReference w:id="13"/>
      </w:r>
    </w:p>
    <w:p w14:paraId="40CE2F10" w14:textId="77777777" w:rsidR="00132756" w:rsidRDefault="00132756" w:rsidP="00132756">
      <w:pPr>
        <w:pStyle w:val="ListParagraph"/>
        <w:spacing w:line="360" w:lineRule="auto"/>
        <w:ind w:left="851"/>
        <w:jc w:val="both"/>
        <w:rPr>
          <w:rFonts w:cs="Arial"/>
          <w:sz w:val="24"/>
          <w:szCs w:val="24"/>
        </w:rPr>
      </w:pPr>
    </w:p>
    <w:p w14:paraId="18E57813" w14:textId="23817424" w:rsidR="001F1723" w:rsidRPr="00EB5965" w:rsidRDefault="00133DB6" w:rsidP="00EB5965">
      <w:pPr>
        <w:pStyle w:val="ListParagraph"/>
        <w:numPr>
          <w:ilvl w:val="0"/>
          <w:numId w:val="32"/>
        </w:numPr>
        <w:spacing w:line="360" w:lineRule="auto"/>
        <w:ind w:left="851" w:hanging="851"/>
        <w:jc w:val="both"/>
        <w:rPr>
          <w:rFonts w:cs="Arial"/>
          <w:sz w:val="24"/>
          <w:szCs w:val="24"/>
        </w:rPr>
      </w:pPr>
      <w:r w:rsidRPr="00F60B45">
        <w:rPr>
          <w:rFonts w:cs="Arial"/>
          <w:sz w:val="24"/>
          <w:szCs w:val="24"/>
        </w:rPr>
        <w:t xml:space="preserve">The </w:t>
      </w:r>
      <w:r w:rsidR="00F60B45">
        <w:rPr>
          <w:rFonts w:cs="Arial"/>
          <w:sz w:val="24"/>
          <w:szCs w:val="24"/>
        </w:rPr>
        <w:t xml:space="preserve">import of </w:t>
      </w:r>
      <w:r w:rsidRPr="00F60B45">
        <w:rPr>
          <w:rFonts w:cs="Arial"/>
          <w:sz w:val="24"/>
          <w:szCs w:val="24"/>
        </w:rPr>
        <w:t>Smith AJA</w:t>
      </w:r>
      <w:r w:rsidR="00F60B45">
        <w:rPr>
          <w:rFonts w:cs="Arial"/>
          <w:sz w:val="24"/>
          <w:szCs w:val="24"/>
        </w:rPr>
        <w:t>’s judgment</w:t>
      </w:r>
      <w:r w:rsidRPr="00F60B45">
        <w:rPr>
          <w:rFonts w:cs="Arial"/>
          <w:sz w:val="24"/>
          <w:szCs w:val="24"/>
        </w:rPr>
        <w:t xml:space="preserve"> is </w:t>
      </w:r>
      <w:r w:rsidR="00AE78E3">
        <w:rPr>
          <w:rFonts w:cs="Arial"/>
          <w:sz w:val="24"/>
          <w:szCs w:val="24"/>
        </w:rPr>
        <w:t xml:space="preserve">that </w:t>
      </w:r>
      <w:r w:rsidRPr="00F60B45">
        <w:rPr>
          <w:rFonts w:cs="Arial"/>
          <w:sz w:val="24"/>
          <w:szCs w:val="24"/>
        </w:rPr>
        <w:t xml:space="preserve">a maintenance order is a </w:t>
      </w:r>
      <w:r w:rsidR="007A376D">
        <w:rPr>
          <w:rFonts w:cs="Arial"/>
          <w:sz w:val="24"/>
          <w:szCs w:val="24"/>
        </w:rPr>
        <w:t xml:space="preserve">civil </w:t>
      </w:r>
      <w:r w:rsidRPr="00F60B45">
        <w:rPr>
          <w:rFonts w:cs="Arial"/>
          <w:sz w:val="24"/>
          <w:szCs w:val="24"/>
        </w:rPr>
        <w:t>judgment debt</w:t>
      </w:r>
      <w:r w:rsidR="007A376D">
        <w:rPr>
          <w:rFonts w:cs="Arial"/>
          <w:sz w:val="24"/>
          <w:szCs w:val="24"/>
        </w:rPr>
        <w:t>, which is enforceable</w:t>
      </w:r>
      <w:r w:rsidR="00D611E2">
        <w:rPr>
          <w:rFonts w:cs="Arial"/>
          <w:sz w:val="24"/>
          <w:szCs w:val="24"/>
        </w:rPr>
        <w:t xml:space="preserve"> without any proof</w:t>
      </w:r>
      <w:r w:rsidR="007A376D">
        <w:rPr>
          <w:rFonts w:cs="Arial"/>
          <w:sz w:val="24"/>
          <w:szCs w:val="24"/>
        </w:rPr>
        <w:t>.</w:t>
      </w:r>
      <w:r w:rsidR="0038504A" w:rsidRPr="0038504A">
        <w:rPr>
          <w:rFonts w:cs="Arial"/>
        </w:rPr>
        <w:t xml:space="preserve"> </w:t>
      </w:r>
      <w:r w:rsidR="0038504A">
        <w:rPr>
          <w:rFonts w:cs="Arial"/>
        </w:rPr>
        <w:t xml:space="preserve">It is </w:t>
      </w:r>
      <w:r w:rsidR="0038504A" w:rsidRPr="0038504A">
        <w:rPr>
          <w:rFonts w:cs="Arial"/>
          <w:sz w:val="24"/>
          <w:szCs w:val="24"/>
        </w:rPr>
        <w:t xml:space="preserve">definitive of the rights of the parties, to the extent that </w:t>
      </w:r>
      <w:r w:rsidR="0038504A">
        <w:rPr>
          <w:rFonts w:cs="Arial"/>
          <w:sz w:val="24"/>
          <w:szCs w:val="24"/>
        </w:rPr>
        <w:t>it</w:t>
      </w:r>
      <w:r w:rsidR="0038504A" w:rsidRPr="0038504A">
        <w:rPr>
          <w:rFonts w:cs="Arial"/>
          <w:sz w:val="24"/>
          <w:szCs w:val="24"/>
        </w:rPr>
        <w:t xml:space="preserve"> decide</w:t>
      </w:r>
      <w:r w:rsidR="0038504A">
        <w:rPr>
          <w:rFonts w:cs="Arial"/>
          <w:sz w:val="24"/>
          <w:szCs w:val="24"/>
        </w:rPr>
        <w:t>s</w:t>
      </w:r>
      <w:r w:rsidR="0038504A" w:rsidRPr="0038504A">
        <w:rPr>
          <w:rFonts w:cs="Arial"/>
          <w:sz w:val="24"/>
          <w:szCs w:val="24"/>
        </w:rPr>
        <w:t xml:space="preserve"> a just amount of maintenance payable based on the </w:t>
      </w:r>
      <w:r w:rsidR="001F1723">
        <w:rPr>
          <w:rFonts w:cs="Arial"/>
          <w:sz w:val="24"/>
          <w:szCs w:val="24"/>
        </w:rPr>
        <w:t xml:space="preserve">facts in existence at that time, and </w:t>
      </w:r>
      <w:r w:rsidR="0038504A" w:rsidRPr="0038504A">
        <w:rPr>
          <w:rFonts w:cs="Arial"/>
          <w:sz w:val="24"/>
          <w:szCs w:val="24"/>
        </w:rPr>
        <w:t>final and enforceable until varied or cancelled</w:t>
      </w:r>
      <w:r w:rsidR="001F1723">
        <w:rPr>
          <w:rFonts w:cs="Arial"/>
          <w:sz w:val="24"/>
          <w:szCs w:val="24"/>
        </w:rPr>
        <w:t xml:space="preserve">. </w:t>
      </w:r>
      <w:r w:rsidR="006A3DCA">
        <w:rPr>
          <w:rFonts w:cs="Arial"/>
          <w:sz w:val="24"/>
          <w:szCs w:val="24"/>
        </w:rPr>
        <w:t>This impacts negatively on the plaintiff’s argument that the first defendant ha</w:t>
      </w:r>
      <w:r w:rsidR="000F289E">
        <w:rPr>
          <w:rFonts w:cs="Arial"/>
          <w:sz w:val="24"/>
          <w:szCs w:val="24"/>
        </w:rPr>
        <w:t>d</w:t>
      </w:r>
      <w:r w:rsidR="006A3DCA">
        <w:rPr>
          <w:rFonts w:cs="Arial"/>
          <w:sz w:val="24"/>
          <w:szCs w:val="24"/>
        </w:rPr>
        <w:t xml:space="preserve"> not made out a prima facie case to the Registrar</w:t>
      </w:r>
      <w:r w:rsidR="00716A82">
        <w:rPr>
          <w:rFonts w:cs="Arial"/>
          <w:sz w:val="24"/>
          <w:szCs w:val="24"/>
        </w:rPr>
        <w:t>, as it is executable without any further proof</w:t>
      </w:r>
      <w:r w:rsidR="006A3DCA">
        <w:rPr>
          <w:rFonts w:cs="Arial"/>
          <w:sz w:val="24"/>
          <w:szCs w:val="24"/>
        </w:rPr>
        <w:t>.</w:t>
      </w:r>
    </w:p>
    <w:p w14:paraId="776DCDC9" w14:textId="1D10338F" w:rsidR="00132756" w:rsidRPr="00EB5965" w:rsidRDefault="00716A82" w:rsidP="00EB5965">
      <w:pPr>
        <w:pStyle w:val="ListParagraph"/>
        <w:numPr>
          <w:ilvl w:val="0"/>
          <w:numId w:val="32"/>
        </w:numPr>
        <w:spacing w:line="360" w:lineRule="auto"/>
        <w:ind w:left="851" w:hanging="851"/>
        <w:jc w:val="both"/>
        <w:rPr>
          <w:rFonts w:cs="Arial"/>
          <w:sz w:val="24"/>
          <w:szCs w:val="24"/>
        </w:rPr>
      </w:pPr>
      <w:r>
        <w:rPr>
          <w:rFonts w:cs="Arial"/>
          <w:sz w:val="24"/>
          <w:szCs w:val="24"/>
        </w:rPr>
        <w:lastRenderedPageBreak/>
        <w:t>T</w:t>
      </w:r>
      <w:r w:rsidR="00A34EDB">
        <w:rPr>
          <w:rFonts w:cs="Arial"/>
          <w:sz w:val="24"/>
          <w:szCs w:val="24"/>
        </w:rPr>
        <w:t>he plaintiff cannot deny the terms of the settlement agreement</w:t>
      </w:r>
      <w:r w:rsidR="00DE04C8">
        <w:rPr>
          <w:rFonts w:cs="Arial"/>
          <w:sz w:val="24"/>
          <w:szCs w:val="24"/>
        </w:rPr>
        <w:t xml:space="preserve"> </w:t>
      </w:r>
      <w:r w:rsidR="00A34EDB">
        <w:rPr>
          <w:rFonts w:cs="Arial"/>
          <w:sz w:val="24"/>
          <w:szCs w:val="24"/>
        </w:rPr>
        <w:t>as this is settled</w:t>
      </w:r>
      <w:r w:rsidR="00DE04C8">
        <w:rPr>
          <w:rFonts w:cs="Arial"/>
          <w:sz w:val="24"/>
          <w:szCs w:val="24"/>
        </w:rPr>
        <w:t xml:space="preserve"> between the parties</w:t>
      </w:r>
      <w:r w:rsidR="00A34EDB">
        <w:rPr>
          <w:rFonts w:cs="Arial"/>
          <w:sz w:val="24"/>
          <w:szCs w:val="24"/>
        </w:rPr>
        <w:t>.</w:t>
      </w:r>
      <w:r w:rsidR="0038504A">
        <w:rPr>
          <w:rFonts w:cs="Arial"/>
          <w:sz w:val="24"/>
          <w:szCs w:val="24"/>
        </w:rPr>
        <w:t xml:space="preserve"> He is bound by </w:t>
      </w:r>
      <w:r w:rsidR="00DE04C8">
        <w:rPr>
          <w:rFonts w:cs="Arial"/>
          <w:sz w:val="24"/>
          <w:szCs w:val="24"/>
        </w:rPr>
        <w:t>them</w:t>
      </w:r>
      <w:r w:rsidR="0038504A">
        <w:rPr>
          <w:rFonts w:cs="Arial"/>
          <w:sz w:val="24"/>
          <w:szCs w:val="24"/>
        </w:rPr>
        <w:t>, but so</w:t>
      </w:r>
      <w:r w:rsidR="007448D6">
        <w:rPr>
          <w:rFonts w:cs="Arial"/>
          <w:sz w:val="24"/>
          <w:szCs w:val="24"/>
        </w:rPr>
        <w:t xml:space="preserve"> too</w:t>
      </w:r>
      <w:r w:rsidR="0038504A">
        <w:rPr>
          <w:rFonts w:cs="Arial"/>
          <w:sz w:val="24"/>
          <w:szCs w:val="24"/>
        </w:rPr>
        <w:t xml:space="preserve"> is the other party to the agreement.</w:t>
      </w:r>
      <w:r w:rsidR="00E7589C">
        <w:rPr>
          <w:rFonts w:cs="Arial"/>
          <w:sz w:val="24"/>
          <w:szCs w:val="24"/>
        </w:rPr>
        <w:t xml:space="preserve"> </w:t>
      </w:r>
      <w:r w:rsidR="008160C2">
        <w:rPr>
          <w:rFonts w:cs="Arial"/>
          <w:sz w:val="24"/>
          <w:szCs w:val="24"/>
        </w:rPr>
        <w:t>T</w:t>
      </w:r>
      <w:r>
        <w:rPr>
          <w:rFonts w:cs="Arial"/>
          <w:sz w:val="24"/>
          <w:szCs w:val="24"/>
        </w:rPr>
        <w:t xml:space="preserve">he agreement as it stands has provisions </w:t>
      </w:r>
      <w:r w:rsidR="00E7589C">
        <w:rPr>
          <w:rFonts w:cs="Arial"/>
          <w:sz w:val="24"/>
          <w:szCs w:val="24"/>
        </w:rPr>
        <w:t xml:space="preserve">dealing with demand and waiver. </w:t>
      </w:r>
      <w:r w:rsidR="0038504A">
        <w:rPr>
          <w:rFonts w:cs="Arial"/>
          <w:sz w:val="24"/>
          <w:szCs w:val="24"/>
        </w:rPr>
        <w:t xml:space="preserve"> </w:t>
      </w:r>
    </w:p>
    <w:p w14:paraId="7D2BADD3" w14:textId="196A0345" w:rsidR="00D611E2" w:rsidRPr="00EB5965" w:rsidRDefault="00DB0334" w:rsidP="00EB5965">
      <w:pPr>
        <w:pStyle w:val="ListParagraph"/>
        <w:numPr>
          <w:ilvl w:val="0"/>
          <w:numId w:val="32"/>
        </w:numPr>
        <w:spacing w:line="360" w:lineRule="auto"/>
        <w:ind w:left="851" w:hanging="851"/>
        <w:jc w:val="both"/>
        <w:rPr>
          <w:rFonts w:cs="Arial"/>
          <w:sz w:val="24"/>
          <w:szCs w:val="24"/>
        </w:rPr>
      </w:pPr>
      <w:r w:rsidRPr="00132756">
        <w:rPr>
          <w:rFonts w:cs="Arial"/>
          <w:color w:val="000000"/>
          <w:sz w:val="24"/>
          <w:szCs w:val="24"/>
        </w:rPr>
        <w:t xml:space="preserve">On the face of it, the condition that alteration or waiver should be reduced to writing does not apply in respect of the obligations towards the child. The plaintiff </w:t>
      </w:r>
      <w:r w:rsidR="00132756">
        <w:rPr>
          <w:rFonts w:cs="Arial"/>
          <w:color w:val="000000"/>
          <w:sz w:val="24"/>
          <w:szCs w:val="24"/>
        </w:rPr>
        <w:t>pleads</w:t>
      </w:r>
      <w:r w:rsidRPr="00132756">
        <w:rPr>
          <w:rFonts w:cs="Arial"/>
          <w:color w:val="000000"/>
          <w:sz w:val="24"/>
          <w:szCs w:val="24"/>
        </w:rPr>
        <w:t xml:space="preserve"> waiver</w:t>
      </w:r>
      <w:r w:rsidR="00132756">
        <w:rPr>
          <w:rFonts w:cs="Arial"/>
          <w:color w:val="000000"/>
          <w:sz w:val="24"/>
          <w:szCs w:val="24"/>
        </w:rPr>
        <w:t xml:space="preserve"> by the daughter upon </w:t>
      </w:r>
      <w:r w:rsidR="004D03DC">
        <w:rPr>
          <w:rFonts w:cs="Arial"/>
          <w:color w:val="000000"/>
          <w:sz w:val="24"/>
          <w:szCs w:val="24"/>
        </w:rPr>
        <w:t xml:space="preserve">her </w:t>
      </w:r>
      <w:r w:rsidR="00132756">
        <w:rPr>
          <w:rFonts w:cs="Arial"/>
          <w:color w:val="000000"/>
          <w:sz w:val="24"/>
          <w:szCs w:val="24"/>
        </w:rPr>
        <w:t xml:space="preserve">reaching majority. The agreement does not stipulate when the maintenance obligations end. This </w:t>
      </w:r>
      <w:r w:rsidR="00490FF1">
        <w:rPr>
          <w:rFonts w:cs="Arial"/>
          <w:color w:val="000000"/>
          <w:sz w:val="24"/>
          <w:szCs w:val="24"/>
        </w:rPr>
        <w:t>could</w:t>
      </w:r>
      <w:r w:rsidRPr="00132756">
        <w:rPr>
          <w:rFonts w:cs="Arial"/>
          <w:color w:val="000000"/>
          <w:sz w:val="24"/>
          <w:szCs w:val="24"/>
        </w:rPr>
        <w:t xml:space="preserve"> a</w:t>
      </w:r>
      <w:r w:rsidR="00490FF1">
        <w:rPr>
          <w:rFonts w:cs="Arial"/>
          <w:color w:val="000000"/>
          <w:sz w:val="24"/>
          <w:szCs w:val="24"/>
        </w:rPr>
        <w:t>rguably be a</w:t>
      </w:r>
      <w:r w:rsidRPr="00132756">
        <w:rPr>
          <w:rFonts w:cs="Arial"/>
          <w:color w:val="000000"/>
          <w:sz w:val="24"/>
          <w:szCs w:val="24"/>
        </w:rPr>
        <w:t xml:space="preserve"> point </w:t>
      </w:r>
      <w:r w:rsidR="004D03DC">
        <w:rPr>
          <w:rFonts w:cs="Arial"/>
          <w:color w:val="000000"/>
          <w:sz w:val="24"/>
          <w:szCs w:val="24"/>
        </w:rPr>
        <w:t>that</w:t>
      </w:r>
      <w:r w:rsidR="00490FF1">
        <w:rPr>
          <w:rFonts w:cs="Arial"/>
          <w:color w:val="000000"/>
          <w:sz w:val="24"/>
          <w:szCs w:val="24"/>
        </w:rPr>
        <w:t xml:space="preserve"> </w:t>
      </w:r>
      <w:r w:rsidR="00132756">
        <w:rPr>
          <w:rFonts w:cs="Arial"/>
          <w:color w:val="000000"/>
          <w:sz w:val="24"/>
          <w:szCs w:val="24"/>
        </w:rPr>
        <w:t>c</w:t>
      </w:r>
      <w:r w:rsidRPr="00132756">
        <w:rPr>
          <w:rFonts w:cs="Arial"/>
          <w:color w:val="000000"/>
          <w:sz w:val="24"/>
          <w:szCs w:val="24"/>
        </w:rPr>
        <w:t>ould influen</w:t>
      </w:r>
      <w:r w:rsidR="00490FF1">
        <w:rPr>
          <w:rFonts w:cs="Arial"/>
          <w:color w:val="000000"/>
          <w:sz w:val="24"/>
          <w:szCs w:val="24"/>
        </w:rPr>
        <w:t>ce the extent of his liability</w:t>
      </w:r>
      <w:r w:rsidR="004D03DC">
        <w:rPr>
          <w:rFonts w:cs="Arial"/>
          <w:color w:val="000000"/>
          <w:sz w:val="24"/>
          <w:szCs w:val="24"/>
        </w:rPr>
        <w:t xml:space="preserve">. </w:t>
      </w:r>
    </w:p>
    <w:p w14:paraId="3EF85ED4" w14:textId="49057603" w:rsidR="00D611E2" w:rsidRPr="00EB5965" w:rsidRDefault="00E7589C" w:rsidP="00EB5965">
      <w:pPr>
        <w:pStyle w:val="ListParagraph"/>
        <w:numPr>
          <w:ilvl w:val="0"/>
          <w:numId w:val="32"/>
        </w:numPr>
        <w:spacing w:line="360" w:lineRule="auto"/>
        <w:ind w:left="851" w:hanging="851"/>
        <w:jc w:val="both"/>
        <w:rPr>
          <w:rFonts w:cs="Arial"/>
          <w:sz w:val="24"/>
          <w:szCs w:val="24"/>
        </w:rPr>
      </w:pPr>
      <w:r w:rsidRPr="00D611E2">
        <w:rPr>
          <w:rFonts w:cs="Arial"/>
          <w:sz w:val="24"/>
          <w:szCs w:val="24"/>
        </w:rPr>
        <w:t xml:space="preserve">On the issue of demand, </w:t>
      </w:r>
      <w:r w:rsidR="00DD2402" w:rsidRPr="00D611E2">
        <w:rPr>
          <w:rFonts w:cs="Arial"/>
          <w:sz w:val="24"/>
          <w:szCs w:val="24"/>
        </w:rPr>
        <w:t>the recent judgment</w:t>
      </w:r>
      <w:r w:rsidR="001E7A3F" w:rsidRPr="00D611E2">
        <w:rPr>
          <w:rFonts w:cs="Arial"/>
          <w:sz w:val="24"/>
          <w:szCs w:val="24"/>
        </w:rPr>
        <w:t xml:space="preserve"> </w:t>
      </w:r>
      <w:r w:rsidR="00DD2402" w:rsidRPr="00D611E2">
        <w:rPr>
          <w:rFonts w:cs="Arial"/>
          <w:sz w:val="24"/>
          <w:szCs w:val="24"/>
        </w:rPr>
        <w:t xml:space="preserve">of Siwendu J in </w:t>
      </w:r>
      <w:r w:rsidR="00DD2402" w:rsidRPr="00D611E2">
        <w:rPr>
          <w:rFonts w:cs="Arial"/>
          <w:i/>
          <w:sz w:val="24"/>
          <w:szCs w:val="24"/>
        </w:rPr>
        <w:t>VDB v VDB</w:t>
      </w:r>
      <w:r w:rsidR="00DD2402" w:rsidRPr="00D611E2">
        <w:rPr>
          <w:rFonts w:cs="Arial"/>
          <w:sz w:val="24"/>
          <w:szCs w:val="24"/>
        </w:rPr>
        <w:t xml:space="preserve"> </w:t>
      </w:r>
      <w:r w:rsidR="00A33B1D" w:rsidRPr="00D611E2">
        <w:rPr>
          <w:rFonts w:cs="Arial"/>
          <w:sz w:val="24"/>
          <w:szCs w:val="24"/>
        </w:rPr>
        <w:t xml:space="preserve">in this division </w:t>
      </w:r>
      <w:r w:rsidR="00DD2402" w:rsidRPr="00D611E2">
        <w:rPr>
          <w:rFonts w:cs="Arial"/>
          <w:sz w:val="24"/>
          <w:szCs w:val="24"/>
        </w:rPr>
        <w:t>is potentially relevant.</w:t>
      </w:r>
      <w:r w:rsidR="008B602E">
        <w:rPr>
          <w:rStyle w:val="FootnoteReference"/>
          <w:rFonts w:cs="Arial"/>
          <w:sz w:val="24"/>
          <w:szCs w:val="24"/>
        </w:rPr>
        <w:footnoteReference w:id="14"/>
      </w:r>
      <w:r w:rsidR="00DD2402" w:rsidRPr="00D611E2">
        <w:rPr>
          <w:rFonts w:cs="Arial"/>
          <w:sz w:val="24"/>
          <w:szCs w:val="24"/>
        </w:rPr>
        <w:t xml:space="preserve"> It concerned </w:t>
      </w:r>
      <w:r w:rsidR="001E7A3F" w:rsidRPr="00D611E2">
        <w:rPr>
          <w:rFonts w:cs="Arial"/>
          <w:sz w:val="24"/>
          <w:szCs w:val="24"/>
        </w:rPr>
        <w:t xml:space="preserve">an application </w:t>
      </w:r>
      <w:r w:rsidR="00BC772F" w:rsidRPr="00D611E2">
        <w:rPr>
          <w:rFonts w:cs="Arial"/>
          <w:sz w:val="24"/>
          <w:szCs w:val="24"/>
        </w:rPr>
        <w:t xml:space="preserve">by the applicant, who was in maintenance arrears, </w:t>
      </w:r>
      <w:r w:rsidR="006E31FA" w:rsidRPr="00D611E2">
        <w:rPr>
          <w:rFonts w:cs="Arial"/>
          <w:sz w:val="24"/>
          <w:szCs w:val="24"/>
        </w:rPr>
        <w:t xml:space="preserve">to order the </w:t>
      </w:r>
      <w:r w:rsidR="001E7A3F" w:rsidRPr="00D611E2">
        <w:rPr>
          <w:rFonts w:cs="Arial"/>
          <w:sz w:val="24"/>
          <w:szCs w:val="24"/>
        </w:rPr>
        <w:t xml:space="preserve">respondent to first furnish a notice to the applicant </w:t>
      </w:r>
      <w:r w:rsidR="00BC772F" w:rsidRPr="00D611E2">
        <w:rPr>
          <w:rFonts w:cs="Arial"/>
          <w:sz w:val="24"/>
          <w:szCs w:val="24"/>
        </w:rPr>
        <w:t>if</w:t>
      </w:r>
      <w:r w:rsidR="001E7A3F" w:rsidRPr="00D611E2">
        <w:rPr>
          <w:rFonts w:cs="Arial"/>
          <w:sz w:val="24"/>
          <w:szCs w:val="24"/>
        </w:rPr>
        <w:t xml:space="preserve"> she intends at any time to make application to any Court on an </w:t>
      </w:r>
      <w:r w:rsidR="001E7A3F" w:rsidRPr="00D611E2">
        <w:rPr>
          <w:rFonts w:cs="Arial"/>
          <w:i/>
          <w:iCs/>
          <w:sz w:val="24"/>
          <w:szCs w:val="24"/>
        </w:rPr>
        <w:t>ex parte</w:t>
      </w:r>
      <w:r w:rsidR="001E7A3F" w:rsidRPr="00D611E2">
        <w:rPr>
          <w:rFonts w:cs="Arial"/>
          <w:sz w:val="24"/>
          <w:szCs w:val="24"/>
        </w:rPr>
        <w:t xml:space="preserve"> basis for an order issuing a warrant of execution against the applicant in respect of maintenance</w:t>
      </w:r>
      <w:r w:rsidR="00BC772F" w:rsidRPr="00D611E2">
        <w:rPr>
          <w:rFonts w:cs="Arial"/>
          <w:sz w:val="24"/>
          <w:szCs w:val="24"/>
        </w:rPr>
        <w:t xml:space="preserve"> arrears. </w:t>
      </w:r>
    </w:p>
    <w:p w14:paraId="5CDA1E87" w14:textId="77777777" w:rsidR="00EB5965" w:rsidRDefault="00BC772F" w:rsidP="00EB5965">
      <w:pPr>
        <w:pStyle w:val="ListParagraph"/>
        <w:numPr>
          <w:ilvl w:val="0"/>
          <w:numId w:val="32"/>
        </w:numPr>
        <w:spacing w:line="360" w:lineRule="auto"/>
        <w:ind w:left="851" w:hanging="851"/>
        <w:jc w:val="both"/>
        <w:rPr>
          <w:rFonts w:cs="Arial"/>
          <w:sz w:val="24"/>
          <w:szCs w:val="24"/>
          <w:lang w:val="en-ZA"/>
        </w:rPr>
      </w:pPr>
      <w:r>
        <w:rPr>
          <w:rFonts w:cs="Arial"/>
          <w:sz w:val="24"/>
          <w:szCs w:val="24"/>
        </w:rPr>
        <w:t>A</w:t>
      </w:r>
      <w:r w:rsidR="006E31FA" w:rsidRPr="006E31FA">
        <w:rPr>
          <w:rFonts w:cs="Arial"/>
          <w:sz w:val="24"/>
          <w:szCs w:val="24"/>
          <w:lang w:val="en-ZA"/>
        </w:rPr>
        <w:t xml:space="preserve"> deduction had been made from </w:t>
      </w:r>
      <w:r>
        <w:rPr>
          <w:rFonts w:cs="Arial"/>
          <w:sz w:val="24"/>
          <w:szCs w:val="24"/>
          <w:lang w:val="en-ZA"/>
        </w:rPr>
        <w:t>the applicant’s</w:t>
      </w:r>
      <w:r w:rsidR="006E31FA" w:rsidRPr="006E31FA">
        <w:rPr>
          <w:rFonts w:cs="Arial"/>
          <w:sz w:val="24"/>
          <w:szCs w:val="24"/>
          <w:lang w:val="en-ZA"/>
        </w:rPr>
        <w:t xml:space="preserve"> retirement annuit</w:t>
      </w:r>
      <w:r w:rsidR="006E31FA">
        <w:rPr>
          <w:rFonts w:cs="Arial"/>
          <w:sz w:val="24"/>
          <w:szCs w:val="24"/>
          <w:lang w:val="en-ZA"/>
        </w:rPr>
        <w:t>y</w:t>
      </w:r>
      <w:r w:rsidR="00BE7FAA">
        <w:rPr>
          <w:rFonts w:cs="Arial"/>
          <w:sz w:val="24"/>
          <w:szCs w:val="24"/>
          <w:lang w:val="en-ZA"/>
        </w:rPr>
        <w:t xml:space="preserve">, without notice, in terms of a writ of execution issued out of the Maintenance Court, in terms of the Maintenance Act 99 of 1998, following </w:t>
      </w:r>
      <w:r w:rsidR="006E31FA" w:rsidRPr="006E31FA">
        <w:rPr>
          <w:rFonts w:cs="Arial"/>
          <w:sz w:val="24"/>
          <w:szCs w:val="24"/>
          <w:lang w:val="en-ZA"/>
        </w:rPr>
        <w:t xml:space="preserve">an </w:t>
      </w:r>
      <w:r w:rsidR="006E31FA" w:rsidRPr="006E31FA">
        <w:rPr>
          <w:rFonts w:cs="Arial"/>
          <w:i/>
          <w:sz w:val="24"/>
          <w:szCs w:val="24"/>
          <w:lang w:val="en-ZA"/>
        </w:rPr>
        <w:t>ex parte</w:t>
      </w:r>
      <w:r w:rsidR="006E31FA" w:rsidRPr="006E31FA">
        <w:rPr>
          <w:rFonts w:cs="Arial"/>
          <w:sz w:val="24"/>
          <w:szCs w:val="24"/>
          <w:lang w:val="en-ZA"/>
        </w:rPr>
        <w:t xml:space="preserve"> application by the first </w:t>
      </w:r>
      <w:r w:rsidR="00BE7FAA">
        <w:rPr>
          <w:rFonts w:cs="Arial"/>
          <w:sz w:val="24"/>
          <w:szCs w:val="24"/>
          <w:lang w:val="en-ZA"/>
        </w:rPr>
        <w:t xml:space="preserve">respondent, after presenting a schedule </w:t>
      </w:r>
      <w:r w:rsidR="006E31FA" w:rsidRPr="006E31FA">
        <w:rPr>
          <w:rFonts w:cs="Arial"/>
          <w:sz w:val="24"/>
          <w:szCs w:val="24"/>
          <w:lang w:val="en-ZA"/>
        </w:rPr>
        <w:t>which purported to show arrear maintenance</w:t>
      </w:r>
      <w:r w:rsidR="00BE7FAA">
        <w:rPr>
          <w:rFonts w:cs="Arial"/>
          <w:sz w:val="24"/>
          <w:szCs w:val="24"/>
          <w:lang w:val="en-ZA"/>
        </w:rPr>
        <w:t>.</w:t>
      </w:r>
    </w:p>
    <w:p w14:paraId="5E990647" w14:textId="36D21B5D" w:rsidR="00C20B8D" w:rsidRPr="00EB5965" w:rsidRDefault="00060597" w:rsidP="00EB5965">
      <w:pPr>
        <w:pStyle w:val="ListParagraph"/>
        <w:numPr>
          <w:ilvl w:val="0"/>
          <w:numId w:val="32"/>
        </w:numPr>
        <w:spacing w:line="360" w:lineRule="auto"/>
        <w:ind w:left="851" w:hanging="851"/>
        <w:jc w:val="both"/>
        <w:rPr>
          <w:rFonts w:cs="Arial"/>
          <w:sz w:val="24"/>
          <w:szCs w:val="24"/>
          <w:lang w:val="en-ZA"/>
        </w:rPr>
      </w:pPr>
      <w:r w:rsidRPr="00EB5965">
        <w:rPr>
          <w:rFonts w:cs="Arial"/>
          <w:color w:val="000000"/>
          <w:sz w:val="24"/>
          <w:szCs w:val="24"/>
        </w:rPr>
        <w:t>Siwendu J concluded that</w:t>
      </w:r>
      <w:r w:rsidR="00582E7A" w:rsidRPr="00EB5965">
        <w:rPr>
          <w:rFonts w:cs="Arial"/>
          <w:color w:val="000000"/>
          <w:sz w:val="24"/>
          <w:szCs w:val="24"/>
        </w:rPr>
        <w:t xml:space="preserve"> the applicant was not entitled to notice or demand:</w:t>
      </w:r>
      <w:r w:rsidR="00C20B8D" w:rsidRPr="00EB5965">
        <w:rPr>
          <w:rFonts w:cs="Arial"/>
          <w:color w:val="000000"/>
          <w:sz w:val="24"/>
          <w:szCs w:val="24"/>
        </w:rPr>
        <w:t xml:space="preserve"> </w:t>
      </w:r>
    </w:p>
    <w:p w14:paraId="29C66C67" w14:textId="77777777" w:rsidR="00C20B8D" w:rsidRDefault="00C20B8D" w:rsidP="00C20B8D">
      <w:pPr>
        <w:pStyle w:val="ListParagraph"/>
        <w:spacing w:line="360" w:lineRule="auto"/>
        <w:ind w:left="851"/>
        <w:jc w:val="both"/>
        <w:rPr>
          <w:rFonts w:cs="Arial"/>
          <w:color w:val="000000"/>
          <w:sz w:val="24"/>
          <w:szCs w:val="24"/>
        </w:rPr>
      </w:pPr>
    </w:p>
    <w:p w14:paraId="75F21B12" w14:textId="18BBF85A" w:rsidR="00060597" w:rsidRDefault="00060597" w:rsidP="00C20B8D">
      <w:pPr>
        <w:pStyle w:val="ListParagraph"/>
        <w:spacing w:line="360" w:lineRule="auto"/>
        <w:ind w:left="1440"/>
        <w:jc w:val="both"/>
        <w:rPr>
          <w:rFonts w:cs="Arial"/>
          <w:color w:val="000000"/>
        </w:rPr>
      </w:pPr>
      <w:r w:rsidRPr="00C20B8D">
        <w:rPr>
          <w:rFonts w:cs="Arial"/>
          <w:color w:val="000000"/>
        </w:rPr>
        <w:t>[w]here there is a pre-existing Maintenance Court Order, there is no mechanism to resolve a dispute about the quantum owing before the issue of a writ nor a requirement for a notice b</w:t>
      </w:r>
      <w:r w:rsidR="00C20B8D">
        <w:rPr>
          <w:rFonts w:cs="Arial"/>
          <w:color w:val="000000"/>
        </w:rPr>
        <w:t>efore the issue of such a writ.</w:t>
      </w:r>
      <w:r w:rsidR="00C20B8D">
        <w:rPr>
          <w:rStyle w:val="FootnoteReference"/>
          <w:rFonts w:cs="Arial"/>
          <w:color w:val="000000"/>
        </w:rPr>
        <w:footnoteReference w:id="15"/>
      </w:r>
    </w:p>
    <w:p w14:paraId="033CD755" w14:textId="77777777" w:rsidR="00C20B8D" w:rsidRPr="00C20B8D" w:rsidRDefault="00C20B8D" w:rsidP="00C20B8D">
      <w:pPr>
        <w:pStyle w:val="ListParagraph"/>
        <w:spacing w:line="360" w:lineRule="auto"/>
        <w:ind w:left="1440"/>
        <w:jc w:val="both"/>
        <w:rPr>
          <w:rFonts w:cs="Arial"/>
          <w:lang w:val="en-ZA"/>
        </w:rPr>
      </w:pPr>
    </w:p>
    <w:p w14:paraId="1087530E" w14:textId="7FB09960" w:rsidR="00D611E2" w:rsidRPr="00EB5965" w:rsidRDefault="00582E7A" w:rsidP="00EB5965">
      <w:pPr>
        <w:pStyle w:val="ListParagraph"/>
        <w:numPr>
          <w:ilvl w:val="0"/>
          <w:numId w:val="32"/>
        </w:numPr>
        <w:spacing w:line="360" w:lineRule="auto"/>
        <w:ind w:left="851" w:hanging="851"/>
        <w:jc w:val="both"/>
        <w:rPr>
          <w:rFonts w:cs="Arial"/>
          <w:sz w:val="24"/>
          <w:szCs w:val="24"/>
          <w:lang w:val="en-ZA"/>
        </w:rPr>
      </w:pPr>
      <w:r>
        <w:rPr>
          <w:rFonts w:cs="Arial"/>
          <w:sz w:val="24"/>
          <w:szCs w:val="24"/>
          <w:lang w:val="en-ZA"/>
        </w:rPr>
        <w:t xml:space="preserve">In the present case the </w:t>
      </w:r>
      <w:r w:rsidR="00543FF0" w:rsidRPr="003D4C19">
        <w:rPr>
          <w:rFonts w:cs="Arial"/>
          <w:color w:val="000000"/>
          <w:sz w:val="24"/>
          <w:szCs w:val="24"/>
        </w:rPr>
        <w:t>writ was issued by the Registrar of this Court</w:t>
      </w:r>
      <w:r w:rsidR="003D4C19">
        <w:rPr>
          <w:rFonts w:cs="Arial"/>
          <w:color w:val="000000"/>
          <w:sz w:val="24"/>
          <w:szCs w:val="24"/>
        </w:rPr>
        <w:t>, in terms of the settlement agreement</w:t>
      </w:r>
      <w:r w:rsidR="00C20B8D">
        <w:rPr>
          <w:rFonts w:cs="Arial"/>
          <w:color w:val="000000"/>
          <w:sz w:val="24"/>
          <w:szCs w:val="24"/>
        </w:rPr>
        <w:t xml:space="preserve"> which had been made </w:t>
      </w:r>
      <w:r w:rsidR="003D4C19">
        <w:rPr>
          <w:rFonts w:cs="Arial"/>
          <w:color w:val="000000"/>
          <w:sz w:val="24"/>
          <w:szCs w:val="24"/>
        </w:rPr>
        <w:t>an order of court</w:t>
      </w:r>
      <w:r w:rsidR="00543FF0">
        <w:rPr>
          <w:rFonts w:cs="Arial"/>
          <w:color w:val="000000"/>
          <w:sz w:val="24"/>
          <w:szCs w:val="24"/>
        </w:rPr>
        <w:t>.</w:t>
      </w:r>
      <w:r>
        <w:rPr>
          <w:rFonts w:cs="Arial"/>
          <w:color w:val="000000"/>
          <w:sz w:val="24"/>
          <w:szCs w:val="24"/>
        </w:rPr>
        <w:t xml:space="preserve"> </w:t>
      </w:r>
      <w:r w:rsidR="008767A1">
        <w:rPr>
          <w:rFonts w:cs="Arial"/>
          <w:color w:val="000000"/>
          <w:sz w:val="24"/>
          <w:szCs w:val="24"/>
        </w:rPr>
        <w:t xml:space="preserve">As far as I can see there </w:t>
      </w:r>
      <w:r w:rsidRPr="00490FF1">
        <w:rPr>
          <w:rFonts w:cs="Arial"/>
          <w:color w:val="000000"/>
          <w:sz w:val="24"/>
          <w:szCs w:val="24"/>
        </w:rPr>
        <w:t xml:space="preserve">is no mention in the judgment </w:t>
      </w:r>
      <w:r w:rsidR="00490FF1" w:rsidRPr="00490FF1">
        <w:rPr>
          <w:rFonts w:cs="Arial"/>
          <w:color w:val="000000"/>
          <w:sz w:val="24"/>
          <w:szCs w:val="24"/>
        </w:rPr>
        <w:t xml:space="preserve">that the </w:t>
      </w:r>
      <w:r w:rsidRPr="00490FF1">
        <w:rPr>
          <w:rFonts w:cs="Arial"/>
          <w:color w:val="000000"/>
          <w:sz w:val="24"/>
          <w:szCs w:val="24"/>
        </w:rPr>
        <w:t>settlement agreement</w:t>
      </w:r>
      <w:r w:rsidR="008160C2">
        <w:rPr>
          <w:rFonts w:cs="Arial"/>
          <w:color w:val="000000"/>
          <w:sz w:val="24"/>
          <w:szCs w:val="24"/>
        </w:rPr>
        <w:t xml:space="preserve"> had a clause </w:t>
      </w:r>
      <w:r w:rsidRPr="00490FF1">
        <w:rPr>
          <w:rFonts w:cs="Arial"/>
          <w:color w:val="000000"/>
          <w:sz w:val="24"/>
          <w:szCs w:val="24"/>
        </w:rPr>
        <w:t>requiring demand to be made first</w:t>
      </w:r>
      <w:r w:rsidR="00F077D2">
        <w:rPr>
          <w:rFonts w:cs="Arial"/>
          <w:color w:val="000000"/>
          <w:sz w:val="24"/>
          <w:szCs w:val="24"/>
        </w:rPr>
        <w:t>, as there is in the present case</w:t>
      </w:r>
      <w:r w:rsidR="008160C2">
        <w:rPr>
          <w:rFonts w:cs="Arial"/>
          <w:color w:val="000000"/>
          <w:sz w:val="24"/>
          <w:szCs w:val="24"/>
        </w:rPr>
        <w:t>.</w:t>
      </w:r>
      <w:r w:rsidRPr="00490FF1">
        <w:rPr>
          <w:rFonts w:cs="Arial"/>
          <w:color w:val="000000"/>
          <w:sz w:val="24"/>
          <w:szCs w:val="24"/>
        </w:rPr>
        <w:t xml:space="preserve">   </w:t>
      </w:r>
    </w:p>
    <w:p w14:paraId="0EA0B16B" w14:textId="1092BA25" w:rsidR="001E755E" w:rsidRPr="008160C2" w:rsidRDefault="00073E9D" w:rsidP="008160C2">
      <w:pPr>
        <w:pStyle w:val="ListParagraph"/>
        <w:numPr>
          <w:ilvl w:val="0"/>
          <w:numId w:val="32"/>
        </w:numPr>
        <w:spacing w:line="360" w:lineRule="auto"/>
        <w:ind w:left="851" w:hanging="851"/>
        <w:jc w:val="both"/>
        <w:rPr>
          <w:rFonts w:cs="Arial"/>
          <w:sz w:val="24"/>
          <w:szCs w:val="24"/>
        </w:rPr>
      </w:pPr>
      <w:r>
        <w:rPr>
          <w:rFonts w:cs="Arial"/>
          <w:sz w:val="24"/>
          <w:szCs w:val="24"/>
        </w:rPr>
        <w:lastRenderedPageBreak/>
        <w:t>The</w:t>
      </w:r>
      <w:r w:rsidR="00F3329E">
        <w:rPr>
          <w:rFonts w:cs="Arial"/>
          <w:sz w:val="24"/>
          <w:szCs w:val="24"/>
        </w:rPr>
        <w:t xml:space="preserve"> plaintiff raises some potentially arguable points relating to waiver and notice, but these</w:t>
      </w:r>
      <w:r w:rsidR="00003ADA">
        <w:rPr>
          <w:rFonts w:cs="Arial"/>
          <w:sz w:val="24"/>
          <w:szCs w:val="24"/>
        </w:rPr>
        <w:t xml:space="preserve"> on their own</w:t>
      </w:r>
      <w:r w:rsidR="00EB5965">
        <w:rPr>
          <w:rFonts w:cs="Arial"/>
          <w:sz w:val="24"/>
          <w:szCs w:val="24"/>
        </w:rPr>
        <w:t xml:space="preserve">, </w:t>
      </w:r>
      <w:r w:rsidR="00110CDA">
        <w:rPr>
          <w:rFonts w:cs="Arial"/>
          <w:sz w:val="24"/>
          <w:szCs w:val="24"/>
        </w:rPr>
        <w:t xml:space="preserve">taking into consideration </w:t>
      </w:r>
      <w:r w:rsidR="00EB5965">
        <w:rPr>
          <w:rFonts w:cs="Arial"/>
          <w:sz w:val="24"/>
          <w:szCs w:val="24"/>
        </w:rPr>
        <w:t xml:space="preserve">the judgment in </w:t>
      </w:r>
      <w:r w:rsidR="00EB5965" w:rsidRPr="00EB5965">
        <w:rPr>
          <w:rFonts w:cs="Arial"/>
          <w:i/>
          <w:sz w:val="24"/>
          <w:szCs w:val="24"/>
        </w:rPr>
        <w:t>JHA</w:t>
      </w:r>
      <w:r w:rsidR="008160C2">
        <w:rPr>
          <w:rFonts w:cs="Arial"/>
          <w:sz w:val="24"/>
          <w:szCs w:val="24"/>
        </w:rPr>
        <w:t>,</w:t>
      </w:r>
      <w:r w:rsidR="00F3329E">
        <w:rPr>
          <w:rFonts w:cs="Arial"/>
          <w:sz w:val="24"/>
          <w:szCs w:val="24"/>
        </w:rPr>
        <w:t xml:space="preserve"> are not sufficient, in my opinion, to found a cause of action.</w:t>
      </w:r>
      <w:r w:rsidR="00C20B8D">
        <w:rPr>
          <w:rFonts w:cs="Arial"/>
          <w:sz w:val="24"/>
          <w:szCs w:val="24"/>
        </w:rPr>
        <w:t xml:space="preserve"> The plaintiff disputes not only the amounts he must pay; he denies </w:t>
      </w:r>
      <w:r w:rsidR="00003ADA" w:rsidRPr="00C20B8D">
        <w:rPr>
          <w:rFonts w:cs="Arial"/>
          <w:sz w:val="24"/>
          <w:szCs w:val="24"/>
        </w:rPr>
        <w:t>owing maintenance or that he is liable to refund the first defendant at all</w:t>
      </w:r>
      <w:r w:rsidR="00DB0334">
        <w:rPr>
          <w:rFonts w:cs="Arial"/>
          <w:sz w:val="24"/>
          <w:szCs w:val="24"/>
        </w:rPr>
        <w:t xml:space="preserve"> in terms of the court order</w:t>
      </w:r>
      <w:r w:rsidR="00003ADA" w:rsidRPr="00003ADA">
        <w:rPr>
          <w:rFonts w:cs="Arial"/>
          <w:sz w:val="24"/>
          <w:szCs w:val="24"/>
        </w:rPr>
        <w:t>.</w:t>
      </w:r>
      <w:r w:rsidR="00003ADA">
        <w:rPr>
          <w:rFonts w:cs="Arial"/>
          <w:sz w:val="24"/>
          <w:szCs w:val="24"/>
        </w:rPr>
        <w:t xml:space="preserve"> </w:t>
      </w:r>
      <w:r w:rsidR="00B17028">
        <w:rPr>
          <w:rFonts w:cs="Arial"/>
          <w:sz w:val="24"/>
          <w:szCs w:val="24"/>
        </w:rPr>
        <w:t xml:space="preserve">Although he is not required to set out in detail the evidence he would present at trial, he should set out </w:t>
      </w:r>
      <w:r w:rsidR="001E755E">
        <w:rPr>
          <w:rFonts w:cs="Arial"/>
          <w:sz w:val="24"/>
          <w:szCs w:val="24"/>
        </w:rPr>
        <w:t>the material facts on which he bases his denial of liability</w:t>
      </w:r>
      <w:r w:rsidR="00B17028">
        <w:rPr>
          <w:rFonts w:cs="Arial"/>
          <w:sz w:val="24"/>
          <w:szCs w:val="24"/>
        </w:rPr>
        <w:t xml:space="preserve">. </w:t>
      </w:r>
      <w:r w:rsidR="00C20B8D">
        <w:rPr>
          <w:sz w:val="24"/>
          <w:szCs w:val="24"/>
        </w:rPr>
        <w:t>I</w:t>
      </w:r>
      <w:r w:rsidR="001928DD" w:rsidRPr="001928DD">
        <w:rPr>
          <w:sz w:val="24"/>
          <w:szCs w:val="24"/>
        </w:rPr>
        <w:t>t is incumbent on a plaintiff to plead a complete cause of action which identifies the issues which the plaintiff seeks to rely upon and on which evidence will be led</w:t>
      </w:r>
      <w:r w:rsidR="00786A07">
        <w:rPr>
          <w:sz w:val="24"/>
          <w:szCs w:val="24"/>
        </w:rPr>
        <w:t>.</w:t>
      </w:r>
      <w:r w:rsidR="001928DD" w:rsidRPr="001928DD">
        <w:rPr>
          <w:rFonts w:cs="Arial"/>
          <w:sz w:val="24"/>
          <w:szCs w:val="24"/>
        </w:rPr>
        <w:t xml:space="preserve"> </w:t>
      </w:r>
      <w:r w:rsidR="00B17028">
        <w:rPr>
          <w:rFonts w:cs="Arial"/>
          <w:sz w:val="24"/>
          <w:szCs w:val="24"/>
        </w:rPr>
        <w:t>It is insufficient to give what essentially amounts to a blank denial of liability.</w:t>
      </w:r>
    </w:p>
    <w:p w14:paraId="67476556" w14:textId="2681673D" w:rsidR="00B1603F" w:rsidRPr="00B1603F" w:rsidRDefault="00C20B8D" w:rsidP="002B351F">
      <w:pPr>
        <w:pStyle w:val="ListParagraph"/>
        <w:numPr>
          <w:ilvl w:val="0"/>
          <w:numId w:val="32"/>
        </w:numPr>
        <w:spacing w:line="360" w:lineRule="auto"/>
        <w:ind w:left="851" w:hanging="851"/>
        <w:jc w:val="both"/>
        <w:rPr>
          <w:rFonts w:cs="Arial"/>
          <w:sz w:val="24"/>
          <w:szCs w:val="24"/>
        </w:rPr>
      </w:pPr>
      <w:r>
        <w:rPr>
          <w:rFonts w:cs="Arial"/>
          <w:sz w:val="24"/>
          <w:szCs w:val="24"/>
        </w:rPr>
        <w:t xml:space="preserve">The first defendant’s exception on this ground is valid. I take the view that the claim should not be dismissed, nor that the particulars of claim should be struck out at this </w:t>
      </w:r>
      <w:r w:rsidR="008160C2">
        <w:rPr>
          <w:rFonts w:cs="Arial"/>
          <w:sz w:val="24"/>
          <w:szCs w:val="24"/>
        </w:rPr>
        <w:t>point</w:t>
      </w:r>
      <w:r>
        <w:rPr>
          <w:rFonts w:cs="Arial"/>
          <w:sz w:val="24"/>
          <w:szCs w:val="24"/>
        </w:rPr>
        <w:t xml:space="preserve">. </w:t>
      </w:r>
      <w:r w:rsidR="00B17028">
        <w:rPr>
          <w:rFonts w:cs="Arial"/>
          <w:sz w:val="24"/>
          <w:szCs w:val="24"/>
        </w:rPr>
        <w:t xml:space="preserve">I intend to grant the plaintiff </w:t>
      </w:r>
      <w:r w:rsidR="008160C2">
        <w:rPr>
          <w:rFonts w:cs="Arial"/>
          <w:sz w:val="24"/>
          <w:szCs w:val="24"/>
        </w:rPr>
        <w:t>20 (twenty)</w:t>
      </w:r>
      <w:r w:rsidR="00B17028">
        <w:rPr>
          <w:rFonts w:cs="Arial"/>
          <w:sz w:val="24"/>
          <w:szCs w:val="24"/>
        </w:rPr>
        <w:t xml:space="preserve"> days within which to amend his particulars of claim.</w:t>
      </w:r>
      <w:r>
        <w:rPr>
          <w:rFonts w:cs="Arial"/>
          <w:sz w:val="24"/>
          <w:szCs w:val="24"/>
        </w:rPr>
        <w:t xml:space="preserve"> Should he not do so, the particulars of claim will be struck out. </w:t>
      </w:r>
      <w:r w:rsidR="00B17028">
        <w:rPr>
          <w:rFonts w:cs="Arial"/>
          <w:sz w:val="24"/>
          <w:szCs w:val="24"/>
        </w:rPr>
        <w:t xml:space="preserve"> </w:t>
      </w:r>
    </w:p>
    <w:p w14:paraId="1C9827AB" w14:textId="6A361B27" w:rsidR="00B1603F" w:rsidRPr="00B1603F" w:rsidRDefault="00B1603F" w:rsidP="00B1603F">
      <w:pPr>
        <w:spacing w:line="360" w:lineRule="auto"/>
        <w:jc w:val="both"/>
        <w:rPr>
          <w:rFonts w:cs="Arial"/>
          <w:b/>
          <w:sz w:val="24"/>
          <w:szCs w:val="24"/>
        </w:rPr>
      </w:pPr>
      <w:r>
        <w:rPr>
          <w:rFonts w:cs="Arial"/>
          <w:b/>
          <w:sz w:val="24"/>
          <w:szCs w:val="24"/>
        </w:rPr>
        <w:t>Costs</w:t>
      </w:r>
    </w:p>
    <w:p w14:paraId="155D5503" w14:textId="3B636D7B" w:rsidR="00B1603F" w:rsidRPr="00B1603F" w:rsidRDefault="0062604B" w:rsidP="00A06AF9">
      <w:pPr>
        <w:pStyle w:val="ListParagraph"/>
        <w:numPr>
          <w:ilvl w:val="0"/>
          <w:numId w:val="32"/>
        </w:numPr>
        <w:spacing w:line="360" w:lineRule="auto"/>
        <w:ind w:left="851" w:hanging="851"/>
        <w:jc w:val="both"/>
        <w:rPr>
          <w:rFonts w:cs="Arial"/>
          <w:sz w:val="24"/>
          <w:szCs w:val="24"/>
        </w:rPr>
      </w:pPr>
      <w:r>
        <w:rPr>
          <w:rFonts w:cs="Arial"/>
          <w:sz w:val="24"/>
          <w:szCs w:val="24"/>
        </w:rPr>
        <w:t>C</w:t>
      </w:r>
      <w:r w:rsidR="00B1603F" w:rsidRPr="00B1603F">
        <w:rPr>
          <w:rFonts w:cs="Arial"/>
          <w:sz w:val="24"/>
          <w:szCs w:val="24"/>
        </w:rPr>
        <w:t xml:space="preserve">osts should follow </w:t>
      </w:r>
      <w:r w:rsidR="004826EE">
        <w:rPr>
          <w:rFonts w:cs="Arial"/>
          <w:sz w:val="24"/>
          <w:szCs w:val="24"/>
        </w:rPr>
        <w:t>the result</w:t>
      </w:r>
      <w:r w:rsidR="00B1603F" w:rsidRPr="00B1603F">
        <w:rPr>
          <w:rFonts w:cs="Arial"/>
          <w:sz w:val="24"/>
          <w:szCs w:val="24"/>
        </w:rPr>
        <w:t xml:space="preserve">. </w:t>
      </w:r>
      <w:r>
        <w:rPr>
          <w:rFonts w:cs="Arial"/>
          <w:sz w:val="24"/>
          <w:szCs w:val="24"/>
        </w:rPr>
        <w:t xml:space="preserve">First defendant seeks costs on an attorney-client scale. I do not consider there to be sufficient justification to award punitive costs.   </w:t>
      </w:r>
    </w:p>
    <w:p w14:paraId="441E0545" w14:textId="77777777" w:rsidR="00B1603F" w:rsidRDefault="00B1603F" w:rsidP="000D3B77">
      <w:pPr>
        <w:spacing w:line="360" w:lineRule="auto"/>
        <w:jc w:val="both"/>
        <w:rPr>
          <w:rFonts w:cs="Arial"/>
          <w:b/>
          <w:sz w:val="24"/>
          <w:szCs w:val="24"/>
        </w:rPr>
      </w:pPr>
    </w:p>
    <w:p w14:paraId="2A2FE455" w14:textId="62298AEC" w:rsidR="00460E04" w:rsidRPr="006A7289" w:rsidRDefault="000D2FB5" w:rsidP="000D3B77">
      <w:pPr>
        <w:spacing w:line="360" w:lineRule="auto"/>
        <w:jc w:val="both"/>
        <w:rPr>
          <w:rFonts w:cs="Arial"/>
          <w:b/>
          <w:sz w:val="24"/>
          <w:szCs w:val="24"/>
        </w:rPr>
      </w:pPr>
      <w:r w:rsidRPr="006A7289">
        <w:rPr>
          <w:rFonts w:cs="Arial"/>
          <w:b/>
          <w:sz w:val="24"/>
          <w:szCs w:val="24"/>
        </w:rPr>
        <w:t>THE FOLLOWING ORDER ISSUES:</w:t>
      </w:r>
    </w:p>
    <w:p w14:paraId="4EA70190" w14:textId="0E21424C" w:rsidR="00F932D8" w:rsidRPr="00EB5965" w:rsidRDefault="00F932D8" w:rsidP="00EB5965">
      <w:pPr>
        <w:pStyle w:val="ListParagraph"/>
        <w:numPr>
          <w:ilvl w:val="2"/>
          <w:numId w:val="12"/>
        </w:numPr>
        <w:pBdr>
          <w:top w:val="nil"/>
          <w:left w:val="nil"/>
          <w:bottom w:val="nil"/>
          <w:right w:val="nil"/>
          <w:between w:val="nil"/>
        </w:pBdr>
        <w:spacing w:line="360" w:lineRule="auto"/>
        <w:rPr>
          <w:rFonts w:cs="Arial"/>
          <w:sz w:val="24"/>
          <w:szCs w:val="24"/>
        </w:rPr>
      </w:pPr>
      <w:r w:rsidRPr="00EB5965">
        <w:rPr>
          <w:rFonts w:cs="Arial"/>
          <w:sz w:val="24"/>
          <w:szCs w:val="24"/>
        </w:rPr>
        <w:t>First Defen</w:t>
      </w:r>
      <w:r w:rsidR="008160C2">
        <w:rPr>
          <w:rFonts w:cs="Arial"/>
          <w:sz w:val="24"/>
          <w:szCs w:val="24"/>
        </w:rPr>
        <w:t>dant’s</w:t>
      </w:r>
      <w:r w:rsidRPr="00EB5965">
        <w:rPr>
          <w:rFonts w:cs="Arial"/>
          <w:sz w:val="24"/>
          <w:szCs w:val="24"/>
        </w:rPr>
        <w:t xml:space="preserve"> exception is upheld.</w:t>
      </w:r>
    </w:p>
    <w:p w14:paraId="7ACA441B" w14:textId="61CDBF4D" w:rsidR="00F932D8" w:rsidRDefault="00F932D8" w:rsidP="00490FF1">
      <w:pPr>
        <w:pStyle w:val="ListParagraph"/>
        <w:numPr>
          <w:ilvl w:val="2"/>
          <w:numId w:val="12"/>
        </w:numPr>
        <w:pBdr>
          <w:top w:val="nil"/>
          <w:left w:val="nil"/>
          <w:bottom w:val="nil"/>
          <w:right w:val="nil"/>
          <w:between w:val="nil"/>
        </w:pBdr>
        <w:spacing w:line="360" w:lineRule="auto"/>
        <w:rPr>
          <w:rFonts w:cs="Arial"/>
          <w:sz w:val="24"/>
          <w:szCs w:val="24"/>
        </w:rPr>
      </w:pPr>
      <w:r w:rsidRPr="00F932D8">
        <w:rPr>
          <w:rFonts w:cs="Arial"/>
          <w:sz w:val="24"/>
          <w:szCs w:val="24"/>
        </w:rPr>
        <w:t xml:space="preserve">Plaintiff is afforded </w:t>
      </w:r>
      <w:r w:rsidR="000302B5">
        <w:rPr>
          <w:rFonts w:cs="Arial"/>
          <w:sz w:val="24"/>
          <w:szCs w:val="24"/>
        </w:rPr>
        <w:t>20</w:t>
      </w:r>
      <w:r w:rsidRPr="00F932D8">
        <w:rPr>
          <w:rFonts w:cs="Arial"/>
          <w:sz w:val="24"/>
          <w:szCs w:val="24"/>
        </w:rPr>
        <w:t xml:space="preserve"> (</w:t>
      </w:r>
      <w:r w:rsidR="000302B5">
        <w:rPr>
          <w:rFonts w:cs="Arial"/>
          <w:sz w:val="24"/>
          <w:szCs w:val="24"/>
        </w:rPr>
        <w:t>twenty</w:t>
      </w:r>
      <w:r w:rsidRPr="00F932D8">
        <w:rPr>
          <w:rFonts w:cs="Arial"/>
          <w:sz w:val="24"/>
          <w:szCs w:val="24"/>
        </w:rPr>
        <w:t xml:space="preserve">) days from the date of this order to amend </w:t>
      </w:r>
      <w:r w:rsidR="008160C2">
        <w:rPr>
          <w:rFonts w:cs="Arial"/>
          <w:sz w:val="24"/>
          <w:szCs w:val="24"/>
        </w:rPr>
        <w:t>his</w:t>
      </w:r>
      <w:r w:rsidRPr="00F932D8">
        <w:rPr>
          <w:rFonts w:cs="Arial"/>
          <w:sz w:val="24"/>
          <w:szCs w:val="24"/>
        </w:rPr>
        <w:t xml:space="preserve"> particulars of claim.</w:t>
      </w:r>
    </w:p>
    <w:p w14:paraId="4853FFB7" w14:textId="1DE8BF64" w:rsidR="00F932D8" w:rsidRDefault="00F932D8" w:rsidP="00490FF1">
      <w:pPr>
        <w:pStyle w:val="ListParagraph"/>
        <w:numPr>
          <w:ilvl w:val="2"/>
          <w:numId w:val="12"/>
        </w:numPr>
        <w:pBdr>
          <w:top w:val="nil"/>
          <w:left w:val="nil"/>
          <w:bottom w:val="nil"/>
          <w:right w:val="nil"/>
          <w:between w:val="nil"/>
        </w:pBdr>
        <w:spacing w:line="360" w:lineRule="auto"/>
        <w:rPr>
          <w:rFonts w:cs="Arial"/>
          <w:sz w:val="24"/>
          <w:szCs w:val="24"/>
        </w:rPr>
      </w:pPr>
      <w:r w:rsidRPr="00F932D8">
        <w:rPr>
          <w:rFonts w:cs="Arial"/>
          <w:sz w:val="24"/>
          <w:szCs w:val="24"/>
        </w:rPr>
        <w:t xml:space="preserve">In the event of Plaintiff failing to amend the particulars of claim within </w:t>
      </w:r>
      <w:r w:rsidR="000302B5">
        <w:rPr>
          <w:rFonts w:cs="Arial"/>
          <w:sz w:val="24"/>
          <w:szCs w:val="24"/>
        </w:rPr>
        <w:t>20</w:t>
      </w:r>
      <w:r w:rsidRPr="00F932D8">
        <w:rPr>
          <w:rFonts w:cs="Arial"/>
          <w:sz w:val="24"/>
          <w:szCs w:val="24"/>
        </w:rPr>
        <w:t xml:space="preserve"> (</w:t>
      </w:r>
      <w:r w:rsidR="000302B5">
        <w:rPr>
          <w:rFonts w:cs="Arial"/>
          <w:sz w:val="24"/>
          <w:szCs w:val="24"/>
        </w:rPr>
        <w:t>twenty</w:t>
      </w:r>
      <w:r w:rsidRPr="00F932D8">
        <w:rPr>
          <w:rFonts w:cs="Arial"/>
          <w:sz w:val="24"/>
          <w:szCs w:val="24"/>
        </w:rPr>
        <w:t>) days</w:t>
      </w:r>
      <w:r w:rsidR="00E06175">
        <w:rPr>
          <w:rFonts w:cs="Arial"/>
          <w:sz w:val="24"/>
          <w:szCs w:val="24"/>
        </w:rPr>
        <w:t>,</w:t>
      </w:r>
      <w:r w:rsidRPr="00F932D8">
        <w:rPr>
          <w:rFonts w:cs="Arial"/>
          <w:sz w:val="24"/>
          <w:szCs w:val="24"/>
        </w:rPr>
        <w:t xml:space="preserve"> the particulars of claim will be struck out.</w:t>
      </w:r>
    </w:p>
    <w:p w14:paraId="052CA620" w14:textId="3DD606CD" w:rsidR="00253E62" w:rsidRDefault="00F932D8" w:rsidP="00110CDA">
      <w:pPr>
        <w:pStyle w:val="ListParagraph"/>
        <w:numPr>
          <w:ilvl w:val="2"/>
          <w:numId w:val="12"/>
        </w:numPr>
        <w:pBdr>
          <w:top w:val="nil"/>
          <w:left w:val="nil"/>
          <w:bottom w:val="nil"/>
          <w:right w:val="nil"/>
          <w:between w:val="nil"/>
        </w:pBdr>
        <w:spacing w:line="360" w:lineRule="auto"/>
        <w:rPr>
          <w:rFonts w:cs="Arial"/>
          <w:sz w:val="24"/>
          <w:szCs w:val="24"/>
        </w:rPr>
      </w:pPr>
      <w:r w:rsidRPr="00F932D8">
        <w:rPr>
          <w:rFonts w:cs="Arial"/>
          <w:sz w:val="24"/>
          <w:szCs w:val="24"/>
        </w:rPr>
        <w:t>Plaintiff is ordere</w:t>
      </w:r>
      <w:r w:rsidRPr="00110CDA">
        <w:rPr>
          <w:rFonts w:cs="Arial"/>
          <w:sz w:val="24"/>
          <w:szCs w:val="24"/>
        </w:rPr>
        <w:t>d to pay the costs of the exception.</w:t>
      </w:r>
    </w:p>
    <w:p w14:paraId="56CFCDA6" w14:textId="77777777" w:rsidR="00110CDA" w:rsidRDefault="00110CDA" w:rsidP="00110CDA">
      <w:pPr>
        <w:pStyle w:val="ListParagraph"/>
        <w:pBdr>
          <w:top w:val="nil"/>
          <w:left w:val="nil"/>
          <w:bottom w:val="nil"/>
          <w:right w:val="nil"/>
          <w:between w:val="nil"/>
        </w:pBdr>
        <w:spacing w:line="360" w:lineRule="auto"/>
        <w:ind w:left="360"/>
        <w:rPr>
          <w:rFonts w:cs="Arial"/>
          <w:sz w:val="24"/>
          <w:szCs w:val="24"/>
        </w:rPr>
      </w:pPr>
    </w:p>
    <w:p w14:paraId="7D1137B6" w14:textId="77777777" w:rsidR="00110CDA" w:rsidRPr="00110CDA" w:rsidRDefault="00110CDA" w:rsidP="00110CDA">
      <w:pPr>
        <w:pStyle w:val="ListParagraph"/>
        <w:pBdr>
          <w:top w:val="nil"/>
          <w:left w:val="nil"/>
          <w:bottom w:val="nil"/>
          <w:right w:val="nil"/>
          <w:between w:val="nil"/>
        </w:pBdr>
        <w:spacing w:line="360" w:lineRule="auto"/>
        <w:ind w:left="360"/>
        <w:rPr>
          <w:rFonts w:cs="Arial"/>
          <w:sz w:val="24"/>
          <w:szCs w:val="24"/>
        </w:rPr>
      </w:pPr>
    </w:p>
    <w:p w14:paraId="1CEDD652" w14:textId="2D469DC3" w:rsidR="001C6411" w:rsidRPr="006A7289" w:rsidRDefault="001C6411" w:rsidP="00724EB5">
      <w:pPr>
        <w:spacing w:after="0" w:line="360" w:lineRule="auto"/>
        <w:jc w:val="right"/>
        <w:rPr>
          <w:rFonts w:eastAsia="Arial" w:cs="Arial"/>
          <w:sz w:val="24"/>
          <w:szCs w:val="24"/>
          <w:u w:val="single"/>
        </w:rPr>
      </w:pPr>
      <w:r w:rsidRPr="006A7289">
        <w:rPr>
          <w:rFonts w:eastAsia="Arial" w:cs="Arial"/>
          <w:sz w:val="24"/>
          <w:szCs w:val="24"/>
        </w:rPr>
        <w:lastRenderedPageBreak/>
        <w:t xml:space="preserve">                                           </w:t>
      </w:r>
      <w:r w:rsidR="00253E62" w:rsidRPr="006A7289">
        <w:rPr>
          <w:rFonts w:eastAsia="Arial" w:cs="Arial"/>
          <w:sz w:val="24"/>
          <w:szCs w:val="24"/>
        </w:rPr>
        <w:t xml:space="preserve">                              </w:t>
      </w:r>
      <w:r w:rsidRPr="006A7289">
        <w:rPr>
          <w:rFonts w:eastAsia="Arial" w:cs="Arial"/>
          <w:sz w:val="24"/>
          <w:szCs w:val="24"/>
        </w:rPr>
        <w:t xml:space="preserve">   </w:t>
      </w:r>
      <w:r w:rsidR="00724EB5">
        <w:rPr>
          <w:rFonts w:eastAsia="Arial" w:cs="Arial"/>
          <w:sz w:val="24"/>
          <w:szCs w:val="24"/>
        </w:rPr>
        <w:tab/>
      </w:r>
      <w:r w:rsidR="00724EB5">
        <w:rPr>
          <w:rFonts w:eastAsia="Arial" w:cs="Arial"/>
          <w:sz w:val="24"/>
          <w:szCs w:val="24"/>
        </w:rPr>
        <w:tab/>
      </w:r>
      <w:r w:rsidR="00724EB5">
        <w:rPr>
          <w:rFonts w:eastAsia="Arial" w:cs="Arial"/>
          <w:sz w:val="24"/>
          <w:szCs w:val="24"/>
        </w:rPr>
        <w:tab/>
      </w:r>
      <w:r w:rsidR="00724EB5">
        <w:rPr>
          <w:rFonts w:eastAsia="Arial" w:cs="Arial"/>
          <w:sz w:val="24"/>
          <w:szCs w:val="24"/>
        </w:rPr>
        <w:tab/>
      </w:r>
      <w:r w:rsidR="00724EB5">
        <w:rPr>
          <w:rFonts w:eastAsia="Arial" w:cs="Arial"/>
          <w:sz w:val="24"/>
          <w:szCs w:val="24"/>
        </w:rPr>
        <w:tab/>
      </w:r>
      <w:r w:rsidR="00724EB5">
        <w:rPr>
          <w:rFonts w:eastAsia="Arial" w:cs="Arial"/>
          <w:sz w:val="24"/>
          <w:szCs w:val="24"/>
        </w:rPr>
        <w:tab/>
      </w:r>
    </w:p>
    <w:p w14:paraId="6B43C035" w14:textId="26E5006A" w:rsidR="001C6411" w:rsidRPr="006A7289" w:rsidRDefault="001C6411" w:rsidP="00693880">
      <w:pPr>
        <w:spacing w:after="0" w:line="360" w:lineRule="auto"/>
        <w:jc w:val="center"/>
        <w:rPr>
          <w:rFonts w:eastAsia="Arial" w:cs="Arial"/>
          <w:b/>
          <w:sz w:val="24"/>
          <w:szCs w:val="24"/>
        </w:rPr>
      </w:pPr>
      <w:r w:rsidRPr="006A7289">
        <w:rPr>
          <w:rFonts w:eastAsia="Arial" w:cs="Arial"/>
          <w:sz w:val="24"/>
          <w:szCs w:val="24"/>
        </w:rPr>
        <w:t xml:space="preserve">                                                                            </w:t>
      </w:r>
      <w:r w:rsidR="00D64259" w:rsidRPr="006A7289">
        <w:rPr>
          <w:rFonts w:eastAsia="Arial" w:cs="Arial"/>
          <w:sz w:val="24"/>
          <w:szCs w:val="24"/>
        </w:rPr>
        <w:t xml:space="preserve">  </w:t>
      </w:r>
      <w:r w:rsidRPr="006A7289">
        <w:rPr>
          <w:rFonts w:eastAsia="Arial" w:cs="Arial"/>
          <w:sz w:val="24"/>
          <w:szCs w:val="24"/>
        </w:rPr>
        <w:t xml:space="preserve">           </w:t>
      </w:r>
      <w:r w:rsidR="001328E9" w:rsidRPr="006A7289">
        <w:rPr>
          <w:rFonts w:eastAsia="Arial" w:cs="Arial"/>
          <w:sz w:val="24"/>
          <w:szCs w:val="24"/>
        </w:rPr>
        <w:t xml:space="preserve">           </w:t>
      </w:r>
      <w:r w:rsidR="006C3818" w:rsidRPr="006A7289">
        <w:rPr>
          <w:rFonts w:eastAsia="Arial" w:cs="Arial"/>
          <w:sz w:val="24"/>
          <w:szCs w:val="24"/>
        </w:rPr>
        <w:t xml:space="preserve">        </w:t>
      </w:r>
      <w:r w:rsidRPr="006A7289">
        <w:rPr>
          <w:rFonts w:eastAsia="Arial" w:cs="Arial"/>
          <w:sz w:val="24"/>
          <w:szCs w:val="24"/>
        </w:rPr>
        <w:t xml:space="preserve"> </w:t>
      </w:r>
      <w:r w:rsidRPr="006A7289">
        <w:rPr>
          <w:rFonts w:eastAsia="Arial" w:cs="Arial"/>
          <w:b/>
          <w:bCs/>
          <w:sz w:val="24"/>
          <w:szCs w:val="24"/>
        </w:rPr>
        <w:t xml:space="preserve">M </w:t>
      </w:r>
      <w:r w:rsidRPr="006A7289">
        <w:rPr>
          <w:rFonts w:eastAsia="Arial" w:cs="Arial"/>
          <w:b/>
          <w:sz w:val="24"/>
          <w:szCs w:val="24"/>
        </w:rPr>
        <w:t xml:space="preserve">Olivier </w:t>
      </w:r>
    </w:p>
    <w:p w14:paraId="41C64867" w14:textId="102E2D66" w:rsidR="001328E9" w:rsidRPr="006A7289" w:rsidRDefault="001C6411" w:rsidP="001328E9">
      <w:pPr>
        <w:spacing w:after="0" w:line="360" w:lineRule="auto"/>
        <w:ind w:left="4320" w:firstLine="790"/>
        <w:jc w:val="right"/>
        <w:rPr>
          <w:rFonts w:eastAsia="Arial" w:cs="Arial"/>
          <w:b/>
          <w:sz w:val="24"/>
          <w:szCs w:val="24"/>
        </w:rPr>
      </w:pPr>
      <w:r w:rsidRPr="006A7289">
        <w:rPr>
          <w:rFonts w:eastAsia="Arial" w:cs="Arial"/>
          <w:b/>
          <w:sz w:val="24"/>
          <w:szCs w:val="24"/>
        </w:rPr>
        <w:t>Acting Judg</w:t>
      </w:r>
      <w:r w:rsidR="001328E9" w:rsidRPr="006A7289">
        <w:rPr>
          <w:rFonts w:eastAsia="Arial" w:cs="Arial"/>
          <w:b/>
          <w:sz w:val="24"/>
          <w:szCs w:val="24"/>
        </w:rPr>
        <w:t xml:space="preserve">e of the High Court               </w:t>
      </w:r>
      <w:r w:rsidRPr="006A7289">
        <w:rPr>
          <w:rFonts w:eastAsia="Arial" w:cs="Arial"/>
          <w:b/>
          <w:sz w:val="24"/>
          <w:szCs w:val="24"/>
        </w:rPr>
        <w:t xml:space="preserve">                       </w:t>
      </w:r>
      <w:r w:rsidR="001328E9" w:rsidRPr="006A7289">
        <w:rPr>
          <w:rFonts w:eastAsia="Arial" w:cs="Arial"/>
          <w:b/>
          <w:sz w:val="24"/>
          <w:szCs w:val="24"/>
        </w:rPr>
        <w:t xml:space="preserve">                     Gauteng Local </w:t>
      </w:r>
      <w:r w:rsidR="007C34F7" w:rsidRPr="006A7289">
        <w:rPr>
          <w:rFonts w:eastAsia="Arial" w:cs="Arial"/>
          <w:b/>
          <w:sz w:val="24"/>
          <w:szCs w:val="24"/>
        </w:rPr>
        <w:t>Division Johannesburg</w:t>
      </w:r>
      <w:r w:rsidR="001328E9" w:rsidRPr="006A7289">
        <w:rPr>
          <w:rFonts w:eastAsia="Arial" w:cs="Arial"/>
          <w:b/>
          <w:sz w:val="24"/>
          <w:szCs w:val="24"/>
        </w:rPr>
        <w:t xml:space="preserve"> </w:t>
      </w:r>
    </w:p>
    <w:p w14:paraId="12F01392" w14:textId="77777777" w:rsidR="001C6411" w:rsidRPr="006A7289" w:rsidRDefault="001C6411" w:rsidP="00693880">
      <w:pPr>
        <w:spacing w:after="0" w:line="360" w:lineRule="auto"/>
        <w:rPr>
          <w:rFonts w:eastAsia="Arial" w:cs="Arial"/>
          <w:sz w:val="24"/>
          <w:szCs w:val="24"/>
        </w:rPr>
      </w:pPr>
    </w:p>
    <w:p w14:paraId="1F2B82C9" w14:textId="3CCE7F2F" w:rsidR="001C6411" w:rsidRPr="006A7289" w:rsidRDefault="001C6411" w:rsidP="00693880">
      <w:pPr>
        <w:spacing w:line="360" w:lineRule="auto"/>
        <w:jc w:val="both"/>
        <w:rPr>
          <w:rFonts w:cs="Arial"/>
          <w:i/>
          <w:iCs/>
          <w:sz w:val="24"/>
          <w:szCs w:val="24"/>
        </w:rPr>
      </w:pPr>
      <w:r w:rsidRPr="006A7289">
        <w:rPr>
          <w:rFonts w:cs="Arial"/>
          <w:i/>
          <w:sz w:val="24"/>
          <w:szCs w:val="24"/>
          <w:lang w:val="en-ZA"/>
        </w:rPr>
        <w:t>This judgment was handed down electronicall</w:t>
      </w:r>
      <w:r w:rsidR="00D10F07" w:rsidRPr="006A7289">
        <w:rPr>
          <w:rFonts w:cs="Arial"/>
          <w:i/>
          <w:sz w:val="24"/>
          <w:szCs w:val="24"/>
          <w:lang w:val="en-ZA"/>
        </w:rPr>
        <w:t>y by circulation to the parties</w:t>
      </w:r>
      <w:r w:rsidRPr="006A7289">
        <w:rPr>
          <w:rFonts w:cs="Arial"/>
          <w:i/>
          <w:sz w:val="24"/>
          <w:szCs w:val="24"/>
          <w:lang w:val="en-ZA"/>
        </w:rPr>
        <w:t xml:space="preserve"> and/or parties’ representatives by email and by </w:t>
      </w:r>
      <w:r w:rsidRPr="006A7289">
        <w:rPr>
          <w:rFonts w:cs="Arial"/>
          <w:i/>
          <w:sz w:val="24"/>
          <w:szCs w:val="24"/>
        </w:rPr>
        <w:t>upload</w:t>
      </w:r>
      <w:r w:rsidRPr="006A7289">
        <w:rPr>
          <w:rFonts w:cs="Arial"/>
          <w:i/>
          <w:sz w:val="24"/>
          <w:szCs w:val="24"/>
          <w:lang w:val="en-ZA"/>
        </w:rPr>
        <w:t xml:space="preserve"> to CaseLines. The date and time for hand-down is deemed to be 1</w:t>
      </w:r>
      <w:r w:rsidR="0054153B" w:rsidRPr="006A7289">
        <w:rPr>
          <w:rFonts w:cs="Arial"/>
          <w:i/>
          <w:sz w:val="24"/>
          <w:szCs w:val="24"/>
          <w:lang w:val="en-ZA"/>
        </w:rPr>
        <w:t>6</w:t>
      </w:r>
      <w:r w:rsidRPr="006A7289">
        <w:rPr>
          <w:rFonts w:cs="Arial"/>
          <w:i/>
          <w:sz w:val="24"/>
          <w:szCs w:val="24"/>
          <w:lang w:val="en-ZA"/>
        </w:rPr>
        <w:t xml:space="preserve">h00 on </w:t>
      </w:r>
      <w:r w:rsidR="00C42517">
        <w:rPr>
          <w:rFonts w:cs="Arial"/>
          <w:i/>
          <w:iCs/>
          <w:sz w:val="24"/>
          <w:szCs w:val="24"/>
        </w:rPr>
        <w:t>7</w:t>
      </w:r>
      <w:r w:rsidR="00AE7968" w:rsidRPr="006A7289">
        <w:rPr>
          <w:rFonts w:cs="Arial"/>
          <w:i/>
          <w:iCs/>
          <w:sz w:val="24"/>
          <w:szCs w:val="24"/>
        </w:rPr>
        <w:t xml:space="preserve"> September</w:t>
      </w:r>
      <w:r w:rsidRPr="006A7289">
        <w:rPr>
          <w:rFonts w:cs="Arial"/>
          <w:i/>
          <w:iCs/>
          <w:sz w:val="24"/>
          <w:szCs w:val="24"/>
        </w:rPr>
        <w:t xml:space="preserve"> 2022.</w:t>
      </w:r>
    </w:p>
    <w:p w14:paraId="283C28D9" w14:textId="3ECC3A4B" w:rsidR="001C6411" w:rsidRPr="006A7289" w:rsidRDefault="001C6411" w:rsidP="00C5440A">
      <w:pPr>
        <w:spacing w:after="0" w:line="360" w:lineRule="auto"/>
        <w:jc w:val="center"/>
        <w:rPr>
          <w:rFonts w:eastAsia="Arial" w:cs="Arial"/>
          <w:sz w:val="24"/>
          <w:szCs w:val="24"/>
        </w:rPr>
      </w:pPr>
      <w:r w:rsidRPr="006A7289">
        <w:rPr>
          <w:rFonts w:eastAsia="Arial" w:cs="Arial"/>
          <w:sz w:val="24"/>
          <w:szCs w:val="24"/>
        </w:rPr>
        <w:t xml:space="preserve">                                                                                              </w:t>
      </w:r>
    </w:p>
    <w:p w14:paraId="26F7DC55" w14:textId="70153DE4" w:rsidR="002E2C46" w:rsidRPr="006A7289" w:rsidRDefault="003233A1" w:rsidP="00693880">
      <w:pPr>
        <w:spacing w:line="360" w:lineRule="auto"/>
        <w:rPr>
          <w:rFonts w:cs="Arial"/>
          <w:sz w:val="24"/>
          <w:szCs w:val="24"/>
        </w:rPr>
      </w:pPr>
      <w:r w:rsidRPr="006A7289">
        <w:rPr>
          <w:rFonts w:cs="Arial"/>
          <w:sz w:val="24"/>
          <w:szCs w:val="24"/>
        </w:rPr>
        <w:t>Date of hearing: 23</w:t>
      </w:r>
      <w:r w:rsidR="0005503E" w:rsidRPr="006A7289">
        <w:rPr>
          <w:rFonts w:cs="Arial"/>
          <w:sz w:val="24"/>
          <w:szCs w:val="24"/>
        </w:rPr>
        <w:t xml:space="preserve"> May 2022</w:t>
      </w:r>
    </w:p>
    <w:p w14:paraId="5D079549" w14:textId="59E3F9A2" w:rsidR="00AC562C" w:rsidRPr="006A7289" w:rsidRDefault="00612DB7" w:rsidP="00693880">
      <w:pPr>
        <w:spacing w:line="360" w:lineRule="auto"/>
        <w:rPr>
          <w:rFonts w:cs="Arial"/>
          <w:sz w:val="24"/>
          <w:szCs w:val="24"/>
        </w:rPr>
      </w:pPr>
      <w:r w:rsidRPr="006A7289">
        <w:rPr>
          <w:rFonts w:cs="Arial"/>
          <w:sz w:val="24"/>
          <w:szCs w:val="24"/>
        </w:rPr>
        <w:t xml:space="preserve">Date of judgment: </w:t>
      </w:r>
      <w:r w:rsidR="00C42517">
        <w:rPr>
          <w:rFonts w:cs="Arial"/>
          <w:sz w:val="24"/>
          <w:szCs w:val="24"/>
        </w:rPr>
        <w:t>7</w:t>
      </w:r>
      <w:r w:rsidR="000517AA" w:rsidRPr="006A7289">
        <w:rPr>
          <w:rFonts w:cs="Arial"/>
          <w:sz w:val="24"/>
          <w:szCs w:val="24"/>
        </w:rPr>
        <w:t xml:space="preserve"> </w:t>
      </w:r>
      <w:r w:rsidR="00AE7968" w:rsidRPr="006A7289">
        <w:rPr>
          <w:rFonts w:cs="Arial"/>
          <w:sz w:val="24"/>
          <w:szCs w:val="24"/>
        </w:rPr>
        <w:t>September</w:t>
      </w:r>
      <w:r w:rsidR="00CD3C16" w:rsidRPr="006A7289">
        <w:rPr>
          <w:rFonts w:cs="Arial"/>
          <w:sz w:val="24"/>
          <w:szCs w:val="24"/>
        </w:rPr>
        <w:t xml:space="preserve"> 2022</w:t>
      </w:r>
    </w:p>
    <w:p w14:paraId="0E0270A1" w14:textId="77777777" w:rsidR="003233A1" w:rsidRPr="006A7289" w:rsidRDefault="003233A1" w:rsidP="003233A1">
      <w:pPr>
        <w:spacing w:line="360" w:lineRule="auto"/>
        <w:rPr>
          <w:rFonts w:cs="Arial"/>
          <w:i/>
          <w:sz w:val="24"/>
          <w:szCs w:val="24"/>
        </w:rPr>
      </w:pPr>
    </w:p>
    <w:p w14:paraId="63181E7C" w14:textId="5B97192A" w:rsidR="003233A1" w:rsidRPr="006A7289" w:rsidRDefault="00E00356" w:rsidP="003233A1">
      <w:pPr>
        <w:spacing w:line="360" w:lineRule="auto"/>
        <w:rPr>
          <w:rFonts w:cs="Arial"/>
          <w:sz w:val="24"/>
          <w:szCs w:val="24"/>
        </w:rPr>
      </w:pPr>
      <w:r w:rsidRPr="006A7289">
        <w:rPr>
          <w:rFonts w:cs="Arial"/>
          <w:i/>
          <w:sz w:val="24"/>
          <w:szCs w:val="24"/>
        </w:rPr>
        <w:t xml:space="preserve">On behalf of </w:t>
      </w:r>
      <w:r w:rsidR="00A53143" w:rsidRPr="006A7289">
        <w:rPr>
          <w:rFonts w:cs="Arial"/>
          <w:i/>
          <w:sz w:val="24"/>
          <w:szCs w:val="24"/>
        </w:rPr>
        <w:t>E</w:t>
      </w:r>
      <w:r w:rsidR="003233A1" w:rsidRPr="006A7289">
        <w:rPr>
          <w:rFonts w:cs="Arial"/>
          <w:i/>
          <w:sz w:val="24"/>
          <w:szCs w:val="24"/>
        </w:rPr>
        <w:t>xcipient</w:t>
      </w:r>
      <w:r w:rsidR="00A53143" w:rsidRPr="006A7289">
        <w:rPr>
          <w:rFonts w:cs="Arial"/>
          <w:i/>
          <w:sz w:val="24"/>
          <w:szCs w:val="24"/>
        </w:rPr>
        <w:t>/</w:t>
      </w:r>
      <w:r w:rsidR="003B011D">
        <w:rPr>
          <w:rFonts w:cs="Arial"/>
          <w:i/>
          <w:sz w:val="24"/>
          <w:szCs w:val="24"/>
        </w:rPr>
        <w:t>First defendant</w:t>
      </w:r>
      <w:r w:rsidR="002E2C46" w:rsidRPr="006A7289">
        <w:rPr>
          <w:rFonts w:cs="Arial"/>
          <w:sz w:val="24"/>
          <w:szCs w:val="24"/>
        </w:rPr>
        <w:t xml:space="preserve">: </w:t>
      </w:r>
      <w:r w:rsidR="003233A1" w:rsidRPr="006A7289">
        <w:rPr>
          <w:rFonts w:cs="Arial"/>
          <w:sz w:val="24"/>
          <w:szCs w:val="24"/>
        </w:rPr>
        <w:t xml:space="preserve">R. Cohen </w:t>
      </w:r>
    </w:p>
    <w:p w14:paraId="214418A8" w14:textId="08D6CB24" w:rsidR="003233A1" w:rsidRPr="006A7289" w:rsidRDefault="003233A1" w:rsidP="003233A1">
      <w:pPr>
        <w:spacing w:line="360" w:lineRule="auto"/>
        <w:rPr>
          <w:rFonts w:cs="Arial"/>
          <w:sz w:val="24"/>
          <w:szCs w:val="24"/>
        </w:rPr>
      </w:pPr>
      <w:r w:rsidRPr="006A7289">
        <w:rPr>
          <w:rFonts w:cs="Arial"/>
          <w:i/>
          <w:sz w:val="24"/>
          <w:szCs w:val="24"/>
        </w:rPr>
        <w:t>Instructed by</w:t>
      </w:r>
      <w:r w:rsidRPr="006A7289">
        <w:rPr>
          <w:rFonts w:cs="Arial"/>
          <w:sz w:val="24"/>
          <w:szCs w:val="24"/>
        </w:rPr>
        <w:t>: Glynnis Cohen Attorne</w:t>
      </w:r>
      <w:r w:rsidR="00A53143" w:rsidRPr="006A7289">
        <w:rPr>
          <w:rFonts w:cs="Arial"/>
          <w:sz w:val="24"/>
          <w:szCs w:val="24"/>
        </w:rPr>
        <w:t>ys</w:t>
      </w:r>
    </w:p>
    <w:p w14:paraId="3CD8C8D9" w14:textId="77777777" w:rsidR="003233A1" w:rsidRPr="006A7289" w:rsidRDefault="003233A1" w:rsidP="003233A1">
      <w:pPr>
        <w:spacing w:line="360" w:lineRule="auto"/>
        <w:rPr>
          <w:rFonts w:cs="Arial"/>
          <w:sz w:val="24"/>
          <w:szCs w:val="24"/>
        </w:rPr>
      </w:pPr>
    </w:p>
    <w:p w14:paraId="6752BC59" w14:textId="42474096" w:rsidR="00E00356" w:rsidRPr="006A7289" w:rsidRDefault="00E00356" w:rsidP="00693880">
      <w:pPr>
        <w:spacing w:line="360" w:lineRule="auto"/>
        <w:rPr>
          <w:rFonts w:cs="Arial"/>
          <w:sz w:val="24"/>
          <w:szCs w:val="24"/>
        </w:rPr>
      </w:pPr>
      <w:r w:rsidRPr="006A7289">
        <w:rPr>
          <w:rFonts w:cs="Arial"/>
          <w:i/>
          <w:sz w:val="24"/>
          <w:szCs w:val="24"/>
        </w:rPr>
        <w:t>On behalf of</w:t>
      </w:r>
      <w:r w:rsidR="00A53143" w:rsidRPr="006A7289">
        <w:rPr>
          <w:rFonts w:cs="Arial"/>
          <w:i/>
          <w:sz w:val="24"/>
          <w:szCs w:val="24"/>
        </w:rPr>
        <w:t xml:space="preserve"> R</w:t>
      </w:r>
      <w:r w:rsidR="003233A1" w:rsidRPr="006A7289">
        <w:rPr>
          <w:rFonts w:cs="Arial"/>
          <w:i/>
          <w:sz w:val="24"/>
          <w:szCs w:val="24"/>
        </w:rPr>
        <w:t>espondent</w:t>
      </w:r>
      <w:r w:rsidR="00A53143" w:rsidRPr="006A7289">
        <w:rPr>
          <w:rFonts w:cs="Arial"/>
          <w:i/>
          <w:sz w:val="24"/>
          <w:szCs w:val="24"/>
        </w:rPr>
        <w:t>/</w:t>
      </w:r>
      <w:r w:rsidR="00A774AF" w:rsidRPr="006A7289">
        <w:rPr>
          <w:rFonts w:cs="Arial"/>
          <w:i/>
          <w:sz w:val="24"/>
          <w:szCs w:val="24"/>
        </w:rPr>
        <w:t>Plaintiff</w:t>
      </w:r>
      <w:r w:rsidR="002E2C46" w:rsidRPr="006A7289">
        <w:rPr>
          <w:rFonts w:cs="Arial"/>
          <w:sz w:val="24"/>
          <w:szCs w:val="24"/>
        </w:rPr>
        <w:t xml:space="preserve">: </w:t>
      </w:r>
      <w:r w:rsidR="003233A1" w:rsidRPr="006A7289">
        <w:rPr>
          <w:rFonts w:cs="Arial"/>
          <w:sz w:val="24"/>
          <w:szCs w:val="24"/>
        </w:rPr>
        <w:t xml:space="preserve">L. Posthumus </w:t>
      </w:r>
    </w:p>
    <w:p w14:paraId="0EA94873" w14:textId="36DA32D3" w:rsidR="00940A69" w:rsidRPr="006A7289" w:rsidRDefault="00E00356" w:rsidP="003233A1">
      <w:pPr>
        <w:spacing w:line="360" w:lineRule="auto"/>
        <w:rPr>
          <w:rFonts w:cs="Arial"/>
          <w:sz w:val="24"/>
          <w:szCs w:val="24"/>
        </w:rPr>
      </w:pPr>
      <w:r w:rsidRPr="006A7289">
        <w:rPr>
          <w:rFonts w:cs="Arial"/>
          <w:i/>
          <w:sz w:val="24"/>
          <w:szCs w:val="24"/>
        </w:rPr>
        <w:t>Instructed by</w:t>
      </w:r>
      <w:r w:rsidRPr="006A7289">
        <w:rPr>
          <w:rFonts w:cs="Arial"/>
          <w:sz w:val="24"/>
          <w:szCs w:val="24"/>
        </w:rPr>
        <w:t xml:space="preserve">: </w:t>
      </w:r>
      <w:r w:rsidR="002E2C46" w:rsidRPr="006A7289">
        <w:rPr>
          <w:rFonts w:cs="Arial"/>
          <w:sz w:val="24"/>
          <w:szCs w:val="24"/>
        </w:rPr>
        <w:t xml:space="preserve"> </w:t>
      </w:r>
      <w:r w:rsidR="00CB5C14" w:rsidRPr="006A7289">
        <w:rPr>
          <w:rFonts w:cs="Arial"/>
          <w:sz w:val="24"/>
          <w:szCs w:val="24"/>
        </w:rPr>
        <w:t xml:space="preserve">  </w:t>
      </w:r>
      <w:r w:rsidR="00A53143" w:rsidRPr="006A7289">
        <w:rPr>
          <w:rFonts w:cs="Arial"/>
          <w:sz w:val="24"/>
          <w:szCs w:val="24"/>
        </w:rPr>
        <w:t>JNS A</w:t>
      </w:r>
      <w:r w:rsidR="003233A1" w:rsidRPr="006A7289">
        <w:rPr>
          <w:rFonts w:cs="Arial"/>
          <w:sz w:val="24"/>
          <w:szCs w:val="24"/>
        </w:rPr>
        <w:t>ttorneys</w:t>
      </w:r>
    </w:p>
    <w:sectPr w:rsidR="00940A69" w:rsidRPr="006A7289" w:rsidSect="00C5440A">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45527" w14:textId="77777777" w:rsidR="004811F1" w:rsidRDefault="004811F1" w:rsidP="00746EC4">
      <w:pPr>
        <w:spacing w:after="0" w:line="240" w:lineRule="auto"/>
      </w:pPr>
      <w:r>
        <w:separator/>
      </w:r>
    </w:p>
  </w:endnote>
  <w:endnote w:type="continuationSeparator" w:id="0">
    <w:p w14:paraId="2C58A147" w14:textId="77777777" w:rsidR="004811F1" w:rsidRDefault="004811F1" w:rsidP="0074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4"/>
        <w:szCs w:val="24"/>
      </w:rPr>
      <w:id w:val="386530896"/>
      <w:docPartObj>
        <w:docPartGallery w:val="Page Numbers (Bottom of Page)"/>
        <w:docPartUnique/>
      </w:docPartObj>
    </w:sdtPr>
    <w:sdtEndPr>
      <w:rPr>
        <w:noProof/>
      </w:rPr>
    </w:sdtEndPr>
    <w:sdtContent>
      <w:p w14:paraId="043F3D4A" w14:textId="3C5AA5AB" w:rsidR="00825FE6" w:rsidRPr="00A06AF9" w:rsidRDefault="00825FE6">
        <w:pPr>
          <w:pStyle w:val="Footer"/>
          <w:jc w:val="center"/>
          <w:rPr>
            <w:rFonts w:cs="Arial"/>
            <w:sz w:val="24"/>
            <w:szCs w:val="24"/>
          </w:rPr>
        </w:pPr>
        <w:r w:rsidRPr="00A06AF9">
          <w:rPr>
            <w:rFonts w:cs="Arial"/>
            <w:sz w:val="24"/>
            <w:szCs w:val="24"/>
          </w:rPr>
          <w:fldChar w:fldCharType="begin"/>
        </w:r>
        <w:r w:rsidRPr="00A06AF9">
          <w:rPr>
            <w:rFonts w:cs="Arial"/>
            <w:sz w:val="24"/>
            <w:szCs w:val="24"/>
          </w:rPr>
          <w:instrText xml:space="preserve"> PAGE   \* MERGEFORMAT </w:instrText>
        </w:r>
        <w:r w:rsidRPr="00A06AF9">
          <w:rPr>
            <w:rFonts w:cs="Arial"/>
            <w:sz w:val="24"/>
            <w:szCs w:val="24"/>
          </w:rPr>
          <w:fldChar w:fldCharType="separate"/>
        </w:r>
        <w:r w:rsidR="003C7725">
          <w:rPr>
            <w:rFonts w:cs="Arial"/>
            <w:noProof/>
            <w:sz w:val="24"/>
            <w:szCs w:val="24"/>
          </w:rPr>
          <w:t>5</w:t>
        </w:r>
        <w:r w:rsidRPr="00A06AF9">
          <w:rPr>
            <w:rFonts w:cs="Arial"/>
            <w:noProof/>
            <w:sz w:val="24"/>
            <w:szCs w:val="24"/>
          </w:rPr>
          <w:fldChar w:fldCharType="end"/>
        </w:r>
      </w:p>
    </w:sdtContent>
  </w:sdt>
  <w:p w14:paraId="446549AD" w14:textId="77777777" w:rsidR="00825FE6" w:rsidRPr="00A06AF9" w:rsidRDefault="00825FE6">
    <w:pPr>
      <w:pStyle w:val="Footer"/>
      <w:rPr>
        <w:rFonts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B231D" w14:textId="77777777" w:rsidR="004811F1" w:rsidRDefault="004811F1" w:rsidP="00746EC4">
      <w:pPr>
        <w:spacing w:after="0" w:line="240" w:lineRule="auto"/>
      </w:pPr>
      <w:r>
        <w:separator/>
      </w:r>
    </w:p>
  </w:footnote>
  <w:footnote w:type="continuationSeparator" w:id="0">
    <w:p w14:paraId="5CC6EB4E" w14:textId="77777777" w:rsidR="004811F1" w:rsidRDefault="004811F1" w:rsidP="00746EC4">
      <w:pPr>
        <w:spacing w:after="0" w:line="240" w:lineRule="auto"/>
      </w:pPr>
      <w:r>
        <w:continuationSeparator/>
      </w:r>
    </w:p>
  </w:footnote>
  <w:footnote w:id="1">
    <w:p w14:paraId="54F8D0F2" w14:textId="4229007F" w:rsidR="00825FE6" w:rsidRDefault="00825FE6">
      <w:pPr>
        <w:pStyle w:val="FootnoteText"/>
      </w:pPr>
      <w:r>
        <w:rPr>
          <w:rStyle w:val="FootnoteReference"/>
        </w:rPr>
        <w:footnoteRef/>
      </w:r>
      <w:r>
        <w:t xml:space="preserve"> See </w:t>
      </w:r>
      <w:r w:rsidRPr="00550A39">
        <w:rPr>
          <w:i/>
        </w:rPr>
        <w:t>Room Hire Co (Pty) Ltd v Jeppe Street Mansions (Pty) Ltd</w:t>
      </w:r>
      <w:r w:rsidR="003555BF">
        <w:t xml:space="preserve"> 1949 (3) SA 1155 (T)</w:t>
      </w:r>
      <w:r>
        <w:t>.</w:t>
      </w:r>
    </w:p>
  </w:footnote>
  <w:footnote w:id="2">
    <w:p w14:paraId="14BCBFB3" w14:textId="134ABECA" w:rsidR="00825FE6" w:rsidRDefault="00825FE6" w:rsidP="00164712">
      <w:pPr>
        <w:pStyle w:val="FootnoteText"/>
      </w:pPr>
      <w:r>
        <w:rPr>
          <w:rStyle w:val="FootnoteReference"/>
        </w:rPr>
        <w:footnoteRef/>
      </w:r>
      <w:r>
        <w:t xml:space="preserve"> </w:t>
      </w:r>
      <w:r w:rsidR="008B35D4" w:rsidRPr="00A35BFB">
        <w:rPr>
          <w:i/>
        </w:rPr>
        <w:t>Erasmus Superior Court Practice</w:t>
      </w:r>
      <w:r w:rsidR="008B35D4" w:rsidRPr="008B35D4">
        <w:t xml:space="preserve"> Volume 2, D1-605 [RS 17, 2021]. </w:t>
      </w:r>
      <w:r w:rsidR="008B35D4">
        <w:t xml:space="preserve">See too </w:t>
      </w:r>
      <w:r w:rsidR="008B35D4" w:rsidRPr="008B35D4">
        <w:rPr>
          <w:i/>
          <w:iCs/>
        </w:rPr>
        <w:t>Mears v Pretoria Estate &amp; Market Co Ltd</w:t>
      </w:r>
      <w:r w:rsidR="008B35D4" w:rsidRPr="008B35D4">
        <w:t xml:space="preserve"> 1906 TS 661; </w:t>
      </w:r>
      <w:r w:rsidR="008B35D4" w:rsidRPr="008B35D4">
        <w:rPr>
          <w:i/>
          <w:iCs/>
        </w:rPr>
        <w:t>Reinhardt v Ricker and David</w:t>
      </w:r>
      <w:r w:rsidR="00A35BFB">
        <w:t xml:space="preserve"> 1905 TS 179.</w:t>
      </w:r>
    </w:p>
  </w:footnote>
  <w:footnote w:id="3">
    <w:p w14:paraId="4D7F545D" w14:textId="7053AE59" w:rsidR="00825FE6" w:rsidRDefault="00825FE6">
      <w:pPr>
        <w:pStyle w:val="FootnoteText"/>
      </w:pPr>
      <w:r>
        <w:rPr>
          <w:rStyle w:val="FootnoteReference"/>
        </w:rPr>
        <w:footnoteRef/>
      </w:r>
      <w:r>
        <w:t xml:space="preserve"> </w:t>
      </w:r>
      <w:r w:rsidR="00BF47A1" w:rsidRPr="00BF47A1">
        <w:t>ZAGPJHC 446 (30 June 2022)</w:t>
      </w:r>
      <w:r w:rsidR="00BF47A1">
        <w:t xml:space="preserve"> at paras [4]</w:t>
      </w:r>
      <w:r w:rsidR="007A7C62">
        <w:t>--</w:t>
      </w:r>
      <w:r w:rsidR="00BF47A1">
        <w:t>[6].</w:t>
      </w:r>
    </w:p>
  </w:footnote>
  <w:footnote w:id="4">
    <w:p w14:paraId="6B62FBC4" w14:textId="77777777" w:rsidR="00825FE6" w:rsidRDefault="00825FE6" w:rsidP="00D36F15">
      <w:pPr>
        <w:pStyle w:val="FootnoteText"/>
        <w:jc w:val="both"/>
      </w:pPr>
      <w:r w:rsidRPr="00D81343">
        <w:rPr>
          <w:rStyle w:val="FootnoteReference"/>
          <w:rFonts w:cs="Arial"/>
        </w:rPr>
        <w:footnoteRef/>
      </w:r>
      <w:r w:rsidRPr="00D81343">
        <w:rPr>
          <w:rFonts w:cs="Arial"/>
        </w:rPr>
        <w:t xml:space="preserve"> </w:t>
      </w:r>
      <w:r w:rsidRPr="00D81343">
        <w:rPr>
          <w:rFonts w:cs="Arial"/>
          <w:i/>
          <w:iCs/>
          <w:lang w:val="en-US"/>
        </w:rPr>
        <w:t>Durbach v Fairway Hotel (Pty) Ltd</w:t>
      </w:r>
      <w:r w:rsidRPr="00D81343">
        <w:rPr>
          <w:rFonts w:cs="Arial"/>
          <w:lang w:val="en-US"/>
        </w:rPr>
        <w:t xml:space="preserve"> 1949 (3) SA 1081 (SR) at 1082; </w:t>
      </w:r>
      <w:r w:rsidRPr="00D81343">
        <w:rPr>
          <w:rFonts w:cs="Arial"/>
          <w:i/>
          <w:iCs/>
          <w:lang w:val="en-US"/>
        </w:rPr>
        <w:t>Minister of Agriculture and Land Affairs &amp; Another v De Klerk &amp; Others</w:t>
      </w:r>
      <w:r w:rsidRPr="00D81343">
        <w:rPr>
          <w:rFonts w:cs="Arial"/>
          <w:lang w:val="en-US"/>
        </w:rPr>
        <w:t xml:space="preserve"> 2014 (1) SA 212 (SCA) at para [39].</w:t>
      </w:r>
    </w:p>
  </w:footnote>
  <w:footnote w:id="5">
    <w:p w14:paraId="14E2C9C0" w14:textId="77777777" w:rsidR="00825FE6" w:rsidRDefault="00825FE6" w:rsidP="005C4EDC">
      <w:pPr>
        <w:pStyle w:val="FootnoteText"/>
        <w:jc w:val="both"/>
      </w:pPr>
      <w:r w:rsidRPr="00D81343">
        <w:rPr>
          <w:rStyle w:val="FootnoteReference"/>
          <w:rFonts w:cs="Arial"/>
        </w:rPr>
        <w:footnoteRef/>
      </w:r>
      <w:r w:rsidRPr="00D81343">
        <w:rPr>
          <w:rFonts w:cs="Arial"/>
        </w:rPr>
        <w:t xml:space="preserve"> </w:t>
      </w:r>
      <w:r w:rsidRPr="00D81343">
        <w:rPr>
          <w:rFonts w:cs="Arial"/>
          <w:i/>
          <w:iCs/>
          <w:lang w:val="en-US"/>
        </w:rPr>
        <w:t>Minister of Safety and Security v Slabbert</w:t>
      </w:r>
      <w:r w:rsidRPr="00D81343">
        <w:rPr>
          <w:rFonts w:cs="Arial"/>
          <w:lang w:val="en-US"/>
        </w:rPr>
        <w:t xml:space="preserve"> [2010] 2 All SA 471 (SCA) at para [11].</w:t>
      </w:r>
    </w:p>
  </w:footnote>
  <w:footnote w:id="6">
    <w:p w14:paraId="12FE63B9" w14:textId="77777777" w:rsidR="00825FE6" w:rsidRDefault="00825FE6" w:rsidP="005C4EDC">
      <w:pPr>
        <w:pStyle w:val="FootnoteText"/>
        <w:jc w:val="both"/>
      </w:pPr>
      <w:r w:rsidRPr="00D81343">
        <w:rPr>
          <w:rStyle w:val="FootnoteReference"/>
          <w:rFonts w:cs="Arial"/>
        </w:rPr>
        <w:footnoteRef/>
      </w:r>
      <w:r w:rsidRPr="00D81343">
        <w:rPr>
          <w:rFonts w:cs="Arial"/>
        </w:rPr>
        <w:t xml:space="preserve"> </w:t>
      </w:r>
      <w:r w:rsidRPr="00D81343">
        <w:rPr>
          <w:rFonts w:cs="Arial"/>
          <w:i/>
          <w:iCs/>
          <w:lang w:val="en-US"/>
        </w:rPr>
        <w:t>Baliso v Firstrand Bank Limited t/a Wesbank</w:t>
      </w:r>
      <w:r w:rsidRPr="00D81343">
        <w:rPr>
          <w:rFonts w:cs="Arial"/>
          <w:lang w:val="en-US"/>
        </w:rPr>
        <w:t xml:space="preserve"> 2017 (1) SA 292 (CC) at 303D-E.</w:t>
      </w:r>
    </w:p>
  </w:footnote>
  <w:footnote w:id="7">
    <w:p w14:paraId="2260BF7A" w14:textId="77777777" w:rsidR="00825FE6" w:rsidRDefault="00825FE6" w:rsidP="0076099E">
      <w:pPr>
        <w:pStyle w:val="FootnoteText"/>
        <w:jc w:val="both"/>
      </w:pPr>
      <w:r w:rsidRPr="00E04557">
        <w:rPr>
          <w:rStyle w:val="FootnoteReference"/>
          <w:rFonts w:cs="Arial"/>
        </w:rPr>
        <w:footnoteRef/>
      </w:r>
      <w:r w:rsidRPr="00E04557">
        <w:rPr>
          <w:rFonts w:cs="Arial"/>
        </w:rPr>
        <w:t xml:space="preserve"> See </w:t>
      </w:r>
      <w:r w:rsidRPr="00E04557">
        <w:rPr>
          <w:rFonts w:cs="Arial"/>
          <w:i/>
        </w:rPr>
        <w:t>Nel and others NNO v McArthur</w:t>
      </w:r>
      <w:r w:rsidRPr="00E04557">
        <w:rPr>
          <w:rFonts w:cs="Arial"/>
        </w:rPr>
        <w:t xml:space="preserve"> 2003(4) SA 142 (T) at 149F.</w:t>
      </w:r>
    </w:p>
  </w:footnote>
  <w:footnote w:id="8">
    <w:p w14:paraId="3AB4F14D" w14:textId="6BB41735" w:rsidR="00CD1DEB" w:rsidRDefault="00CD1DEB" w:rsidP="00BA2933">
      <w:pPr>
        <w:pStyle w:val="BodyText"/>
        <w:kinsoku w:val="0"/>
        <w:overflowPunct w:val="0"/>
        <w:jc w:val="both"/>
      </w:pPr>
      <w:r w:rsidRPr="00B51232">
        <w:rPr>
          <w:rStyle w:val="FootnoteReference"/>
          <w:sz w:val="20"/>
          <w:szCs w:val="20"/>
        </w:rPr>
        <w:footnoteRef/>
      </w:r>
      <w:r w:rsidRPr="00B51232">
        <w:rPr>
          <w:sz w:val="20"/>
          <w:szCs w:val="20"/>
        </w:rPr>
        <w:t xml:space="preserve"> </w:t>
      </w:r>
      <w:bookmarkStart w:id="2" w:name="_Hlk113292881"/>
      <w:r w:rsidR="008B35D4" w:rsidRPr="008B35D4">
        <w:rPr>
          <w:i/>
          <w:iCs/>
          <w:sz w:val="20"/>
          <w:szCs w:val="20"/>
        </w:rPr>
        <w:t>Supra</w:t>
      </w:r>
      <w:r w:rsidR="008B35D4">
        <w:rPr>
          <w:sz w:val="20"/>
          <w:szCs w:val="20"/>
        </w:rPr>
        <w:t xml:space="preserve"> note 2.</w:t>
      </w:r>
      <w:r w:rsidR="0042573F">
        <w:rPr>
          <w:w w:val="105"/>
          <w:sz w:val="20"/>
          <w:szCs w:val="20"/>
        </w:rPr>
        <w:t xml:space="preserve"> </w:t>
      </w:r>
      <w:bookmarkEnd w:id="2"/>
      <w:r w:rsidR="0042573F">
        <w:rPr>
          <w:w w:val="105"/>
          <w:sz w:val="20"/>
          <w:szCs w:val="20"/>
        </w:rPr>
        <w:t xml:space="preserve">See too </w:t>
      </w:r>
      <w:r w:rsidR="0042573F" w:rsidRPr="0042573F">
        <w:rPr>
          <w:i/>
          <w:iCs/>
          <w:sz w:val="20"/>
          <w:szCs w:val="20"/>
        </w:rPr>
        <w:t>Le Roux v Yskor Landgoed (Edms) Bpk</w:t>
      </w:r>
      <w:r w:rsidR="0042573F" w:rsidRPr="0042573F">
        <w:rPr>
          <w:sz w:val="20"/>
          <w:szCs w:val="20"/>
        </w:rPr>
        <w:t xml:space="preserve"> 1984 (4) SA 252 (T)</w:t>
      </w:r>
      <w:r w:rsidR="0042573F">
        <w:rPr>
          <w:sz w:val="20"/>
          <w:szCs w:val="20"/>
        </w:rPr>
        <w:t>, which sets out the most common grounds.</w:t>
      </w:r>
    </w:p>
  </w:footnote>
  <w:footnote w:id="9">
    <w:p w14:paraId="1C13ACC6" w14:textId="5CB87090" w:rsidR="00825FE6" w:rsidRDefault="00825FE6">
      <w:pPr>
        <w:pStyle w:val="FootnoteText"/>
      </w:pPr>
      <w:r>
        <w:rPr>
          <w:rStyle w:val="FootnoteReference"/>
        </w:rPr>
        <w:footnoteRef/>
      </w:r>
      <w:r>
        <w:t xml:space="preserve"> 2006 (6) SA 395 (T) at 402F—H.</w:t>
      </w:r>
    </w:p>
  </w:footnote>
  <w:footnote w:id="10">
    <w:p w14:paraId="46379532" w14:textId="116DDE8F" w:rsidR="00825FE6" w:rsidRDefault="00825FE6">
      <w:pPr>
        <w:pStyle w:val="FootnoteText"/>
      </w:pPr>
      <w:r>
        <w:rPr>
          <w:rStyle w:val="FootnoteReference"/>
        </w:rPr>
        <w:footnoteRef/>
      </w:r>
      <w:r>
        <w:t xml:space="preserve"> </w:t>
      </w:r>
      <w:r w:rsidRPr="009677DB">
        <w:t>2022 (3) SA 149 (SCA).</w:t>
      </w:r>
    </w:p>
  </w:footnote>
  <w:footnote w:id="11">
    <w:p w14:paraId="17CB135A" w14:textId="3A2CE796" w:rsidR="00825FE6" w:rsidRDefault="00825FE6">
      <w:pPr>
        <w:pStyle w:val="FootnoteText"/>
      </w:pPr>
      <w:r>
        <w:rPr>
          <w:rStyle w:val="FootnoteReference"/>
        </w:rPr>
        <w:footnoteRef/>
      </w:r>
      <w:r>
        <w:t xml:space="preserve"> Para [14]. </w:t>
      </w:r>
    </w:p>
  </w:footnote>
  <w:footnote w:id="12">
    <w:p w14:paraId="263BC524" w14:textId="77777777" w:rsidR="00D250E5" w:rsidRDefault="00D250E5" w:rsidP="00D250E5">
      <w:pPr>
        <w:pStyle w:val="FootnoteText"/>
      </w:pPr>
      <w:r>
        <w:rPr>
          <w:rStyle w:val="FootnoteReference"/>
        </w:rPr>
        <w:footnoteRef/>
      </w:r>
      <w:r>
        <w:t xml:space="preserve"> Paras [15]—[19].</w:t>
      </w:r>
    </w:p>
  </w:footnote>
  <w:footnote w:id="13">
    <w:p w14:paraId="61C76B8F" w14:textId="3E087374" w:rsidR="00235360" w:rsidRDefault="00235360">
      <w:pPr>
        <w:pStyle w:val="FootnoteText"/>
      </w:pPr>
      <w:r>
        <w:rPr>
          <w:rStyle w:val="FootnoteReference"/>
        </w:rPr>
        <w:footnoteRef/>
      </w:r>
      <w:r>
        <w:t xml:space="preserve"> Para [19]. </w:t>
      </w:r>
    </w:p>
  </w:footnote>
  <w:footnote w:id="14">
    <w:p w14:paraId="22BA103F" w14:textId="45705345" w:rsidR="008B602E" w:rsidRDefault="008B602E">
      <w:pPr>
        <w:pStyle w:val="FootnoteText"/>
      </w:pPr>
      <w:r>
        <w:rPr>
          <w:rStyle w:val="FootnoteReference"/>
        </w:rPr>
        <w:footnoteRef/>
      </w:r>
      <w:r>
        <w:t xml:space="preserve"> </w:t>
      </w:r>
      <w:r w:rsidRPr="008B602E">
        <w:rPr>
          <w:i/>
          <w:iCs/>
        </w:rPr>
        <w:t>VDB v VDB and Others</w:t>
      </w:r>
      <w:r w:rsidRPr="008B602E">
        <w:t xml:space="preserve"> (22/11181) [2022] ZAGPJHC 271 (20 April 2022)</w:t>
      </w:r>
      <w:r w:rsidR="00D611E2">
        <w:t xml:space="preserve">. </w:t>
      </w:r>
    </w:p>
  </w:footnote>
  <w:footnote w:id="15">
    <w:p w14:paraId="7E335714" w14:textId="46DE40B9" w:rsidR="00C20B8D" w:rsidRDefault="00C20B8D">
      <w:pPr>
        <w:pStyle w:val="FootnoteText"/>
      </w:pPr>
      <w:r>
        <w:rPr>
          <w:rStyle w:val="FootnoteReference"/>
        </w:rPr>
        <w:footnoteRef/>
      </w:r>
      <w:r>
        <w:t xml:space="preserve"> </w:t>
      </w:r>
      <w:r w:rsidRPr="00D611E2">
        <w:t>Para [</w:t>
      </w:r>
      <w:r w:rsidR="00D611E2" w:rsidRPr="00D611E2">
        <w:t>25</w:t>
      </w:r>
      <w:r w:rsidRPr="00D611E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769"/>
    <w:multiLevelType w:val="multilevel"/>
    <w:tmpl w:val="4D8EA9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521D07"/>
    <w:multiLevelType w:val="hybridMultilevel"/>
    <w:tmpl w:val="3C32C5D2"/>
    <w:lvl w:ilvl="0" w:tplc="A388473E">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756C99"/>
    <w:multiLevelType w:val="hybridMultilevel"/>
    <w:tmpl w:val="A4387934"/>
    <w:lvl w:ilvl="0" w:tplc="7DB291D2">
      <w:start w:val="1"/>
      <w:numFmt w:val="decimal"/>
      <w:pStyle w:val="Judgment"/>
      <w:lvlText w:val="[%1]"/>
      <w:lvlJc w:val="left"/>
      <w:pPr>
        <w:ind w:left="851" w:hanging="851"/>
      </w:pPr>
      <w:rPr>
        <w:rFonts w:cs="Times New Roman" w:hint="default"/>
        <w:b w:val="0"/>
        <w:bCs/>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0D99662F"/>
    <w:multiLevelType w:val="hybridMultilevel"/>
    <w:tmpl w:val="A22A9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D084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427B3"/>
    <w:multiLevelType w:val="multilevel"/>
    <w:tmpl w:val="69A67658"/>
    <w:lvl w:ilvl="0">
      <w:start w:val="1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F74034"/>
    <w:multiLevelType w:val="hybridMultilevel"/>
    <w:tmpl w:val="9A1C9F82"/>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C1D18"/>
    <w:multiLevelType w:val="hybridMultilevel"/>
    <w:tmpl w:val="9538FB18"/>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C166C"/>
    <w:multiLevelType w:val="hybridMultilevel"/>
    <w:tmpl w:val="B846D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35E2F"/>
    <w:multiLevelType w:val="hybridMultilevel"/>
    <w:tmpl w:val="C486CA9E"/>
    <w:lvl w:ilvl="0" w:tplc="3D2065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1C1BBE"/>
    <w:multiLevelType w:val="hybridMultilevel"/>
    <w:tmpl w:val="0C1022A6"/>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07911"/>
    <w:multiLevelType w:val="hybridMultilevel"/>
    <w:tmpl w:val="7A4C194A"/>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C710F"/>
    <w:multiLevelType w:val="hybridMultilevel"/>
    <w:tmpl w:val="C7941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797A64"/>
    <w:multiLevelType w:val="hybridMultilevel"/>
    <w:tmpl w:val="4006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13A95"/>
    <w:multiLevelType w:val="hybridMultilevel"/>
    <w:tmpl w:val="CC8832C6"/>
    <w:lvl w:ilvl="0" w:tplc="753C067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2C62C0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370DE"/>
    <w:multiLevelType w:val="hybridMultilevel"/>
    <w:tmpl w:val="6D3E73DE"/>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2E467E"/>
    <w:multiLevelType w:val="multilevel"/>
    <w:tmpl w:val="A30A441A"/>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5F0713"/>
    <w:multiLevelType w:val="hybridMultilevel"/>
    <w:tmpl w:val="2984F574"/>
    <w:lvl w:ilvl="0" w:tplc="3F60974E">
      <w:start w:val="17"/>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4FB47A99"/>
    <w:multiLevelType w:val="multilevel"/>
    <w:tmpl w:val="4D8EA9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B15509"/>
    <w:multiLevelType w:val="multilevel"/>
    <w:tmpl w:val="53B48C38"/>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C962D7"/>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56D164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E1351C"/>
    <w:multiLevelType w:val="hybridMultilevel"/>
    <w:tmpl w:val="62AE3E46"/>
    <w:lvl w:ilvl="0" w:tplc="ED48A89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E25450"/>
    <w:multiLevelType w:val="hybridMultilevel"/>
    <w:tmpl w:val="7D12BBD2"/>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5326FA"/>
    <w:multiLevelType w:val="hybridMultilevel"/>
    <w:tmpl w:val="8B441B3A"/>
    <w:lvl w:ilvl="0" w:tplc="80CCA57A">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15:restartNumberingAfterBreak="0">
    <w:nsid w:val="59747403"/>
    <w:multiLevelType w:val="hybridMultilevel"/>
    <w:tmpl w:val="AEF6A7D8"/>
    <w:lvl w:ilvl="0" w:tplc="573603F2">
      <w:start w:val="3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774699"/>
    <w:multiLevelType w:val="multilevel"/>
    <w:tmpl w:val="1AE073A6"/>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8B7F1F"/>
    <w:multiLevelType w:val="hybridMultilevel"/>
    <w:tmpl w:val="919A256E"/>
    <w:lvl w:ilvl="0" w:tplc="664C108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126F4B"/>
    <w:multiLevelType w:val="multilevel"/>
    <w:tmpl w:val="C9E60180"/>
    <w:lvl w:ilvl="0">
      <w:start w:val="1"/>
      <w:numFmt w:val="decimal"/>
      <w:pStyle w:val="Judgementsub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7E74957"/>
    <w:multiLevelType w:val="hybridMultilevel"/>
    <w:tmpl w:val="C5F86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24496"/>
    <w:multiLevelType w:val="hybridMultilevel"/>
    <w:tmpl w:val="C74417A4"/>
    <w:lvl w:ilvl="0" w:tplc="753C06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C8D1FAE"/>
    <w:multiLevelType w:val="hybridMultilevel"/>
    <w:tmpl w:val="3A8E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7569CB"/>
    <w:multiLevelType w:val="multilevel"/>
    <w:tmpl w:val="DB1EBBBA"/>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EEC3473"/>
    <w:multiLevelType w:val="hybridMultilevel"/>
    <w:tmpl w:val="AC7EC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987755"/>
    <w:multiLevelType w:val="multilevel"/>
    <w:tmpl w:val="F82C684A"/>
    <w:lvl w:ilvl="0">
      <w:start w:val="4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27610F"/>
    <w:multiLevelType w:val="multilevel"/>
    <w:tmpl w:val="3E4077BC"/>
    <w:lvl w:ilvl="0">
      <w:start w:val="1"/>
      <w:numFmt w:val="decimal"/>
      <w:lvlText w:val="[%1]"/>
      <w:lvlJc w:val="left"/>
      <w:pPr>
        <w:tabs>
          <w:tab w:val="num" w:pos="737"/>
        </w:tabs>
        <w:ind w:left="737" w:hanging="737"/>
      </w:pPr>
      <w:rPr>
        <w:rFonts w:cs="Times New Roman" w:hint="default"/>
        <w:b w:val="0"/>
        <w:i w:val="0"/>
      </w:rPr>
    </w:lvl>
    <w:lvl w:ilvl="1">
      <w:start w:val="1"/>
      <w:numFmt w:val="decimal"/>
      <w:lvlText w:val="[%1.%2]"/>
      <w:lvlJc w:val="left"/>
      <w:pPr>
        <w:tabs>
          <w:tab w:val="num" w:pos="1701"/>
        </w:tabs>
        <w:ind w:left="1701" w:hanging="964"/>
      </w:pPr>
      <w:rPr>
        <w:rFonts w:cs="Times New Roman" w:hint="default"/>
        <w:b w:val="0"/>
        <w:i w:val="0"/>
      </w:rPr>
    </w:lvl>
    <w:lvl w:ilvl="2">
      <w:start w:val="1"/>
      <w:numFmt w:val="decimal"/>
      <w:lvlText w:val="%1.%2.%3."/>
      <w:lvlJc w:val="left"/>
      <w:pPr>
        <w:tabs>
          <w:tab w:val="num" w:pos="2835"/>
        </w:tabs>
        <w:ind w:left="2835" w:hanging="1134"/>
      </w:pPr>
      <w:rPr>
        <w:rFonts w:cs="Times New Roman" w:hint="default"/>
        <w:b w:val="0"/>
        <w:i w:val="0"/>
      </w:rPr>
    </w:lvl>
    <w:lvl w:ilvl="3">
      <w:start w:val="1"/>
      <w:numFmt w:val="decimal"/>
      <w:lvlText w:val="%1.%2.%3.%4."/>
      <w:lvlJc w:val="left"/>
      <w:pPr>
        <w:tabs>
          <w:tab w:val="num" w:pos="6634"/>
        </w:tabs>
        <w:ind w:left="6634" w:hanging="260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736002F2"/>
    <w:multiLevelType w:val="hybridMultilevel"/>
    <w:tmpl w:val="605C4474"/>
    <w:lvl w:ilvl="0" w:tplc="753C06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577797"/>
    <w:multiLevelType w:val="hybridMultilevel"/>
    <w:tmpl w:val="462A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015FDF"/>
    <w:multiLevelType w:val="multilevel"/>
    <w:tmpl w:val="BC0A8542"/>
    <w:lvl w:ilvl="0">
      <w:start w:val="1"/>
      <w:numFmt w:val="decimal"/>
      <w:lvlText w:val="[%1]"/>
      <w:lvlJc w:val="left"/>
      <w:pPr>
        <w:ind w:left="360" w:hanging="360"/>
      </w:pPr>
      <w:rPr>
        <w:rFonts w:hint="default"/>
        <w:b w:val="0"/>
        <w:sz w:val="26"/>
        <w:szCs w:val="26"/>
      </w:rPr>
    </w:lvl>
    <w:lvl w:ilvl="1">
      <w:start w:val="1"/>
      <w:numFmt w:val="lowerLetter"/>
      <w:lvlText w:val="%2."/>
      <w:lvlJc w:val="left"/>
      <w:pPr>
        <w:ind w:left="792" w:hanging="432"/>
      </w:pPr>
      <w:rPr>
        <w:rFonts w:ascii="Arial" w:eastAsiaTheme="minorHAnsi" w:hAnsi="Arial" w:cs="Arial"/>
        <w:b w:val="0"/>
      </w:rPr>
    </w:lvl>
    <w:lvl w:ilvl="2">
      <w:start w:val="1"/>
      <w:numFmt w:val="lowerLetter"/>
      <w:lvlText w:val="%3."/>
      <w:lvlJc w:val="left"/>
      <w:pPr>
        <w:ind w:left="1224" w:hanging="504"/>
      </w:pPr>
      <w:rPr>
        <w:rFonts w:ascii="Arial" w:eastAsiaTheme="minorHAnsi" w:hAnsi="Arial"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876353"/>
    <w:multiLevelType w:val="hybridMultilevel"/>
    <w:tmpl w:val="54BE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4D0DF8"/>
    <w:multiLevelType w:val="hybridMultilevel"/>
    <w:tmpl w:val="38045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0"/>
  </w:num>
  <w:num w:numId="3">
    <w:abstractNumId w:val="39"/>
  </w:num>
  <w:num w:numId="4">
    <w:abstractNumId w:val="22"/>
  </w:num>
  <w:num w:numId="5">
    <w:abstractNumId w:val="7"/>
  </w:num>
  <w:num w:numId="6">
    <w:abstractNumId w:val="4"/>
  </w:num>
  <w:num w:numId="7">
    <w:abstractNumId w:val="20"/>
  </w:num>
  <w:num w:numId="8">
    <w:abstractNumId w:val="26"/>
  </w:num>
  <w:num w:numId="9">
    <w:abstractNumId w:val="29"/>
  </w:num>
  <w:num w:numId="10">
    <w:abstractNumId w:val="18"/>
  </w:num>
  <w:num w:numId="11">
    <w:abstractNumId w:val="13"/>
  </w:num>
  <w:num w:numId="12">
    <w:abstractNumId w:val="38"/>
  </w:num>
  <w:num w:numId="13">
    <w:abstractNumId w:val="40"/>
  </w:num>
  <w:num w:numId="14">
    <w:abstractNumId w:val="33"/>
  </w:num>
  <w:num w:numId="15">
    <w:abstractNumId w:val="8"/>
  </w:num>
  <w:num w:numId="16">
    <w:abstractNumId w:val="1"/>
  </w:num>
  <w:num w:numId="17">
    <w:abstractNumId w:val="32"/>
  </w:num>
  <w:num w:numId="18">
    <w:abstractNumId w:val="31"/>
  </w:num>
  <w:num w:numId="19">
    <w:abstractNumId w:val="12"/>
  </w:num>
  <w:num w:numId="20">
    <w:abstractNumId w:val="17"/>
  </w:num>
  <w:num w:numId="21">
    <w:abstractNumId w:val="27"/>
  </w:num>
  <w:num w:numId="22">
    <w:abstractNumId w:val="16"/>
  </w:num>
  <w:num w:numId="23">
    <w:abstractNumId w:val="5"/>
  </w:num>
  <w:num w:numId="24">
    <w:abstractNumId w:val="19"/>
  </w:num>
  <w:num w:numId="25">
    <w:abstractNumId w:val="3"/>
  </w:num>
  <w:num w:numId="26">
    <w:abstractNumId w:val="30"/>
  </w:num>
  <w:num w:numId="27">
    <w:abstractNumId w:val="14"/>
  </w:num>
  <w:num w:numId="28">
    <w:abstractNumId w:val="9"/>
  </w:num>
  <w:num w:numId="29">
    <w:abstractNumId w:val="37"/>
  </w:num>
  <w:num w:numId="30">
    <w:abstractNumId w:val="23"/>
  </w:num>
  <w:num w:numId="31">
    <w:abstractNumId w:val="25"/>
  </w:num>
  <w:num w:numId="32">
    <w:abstractNumId w:val="34"/>
  </w:num>
  <w:num w:numId="33">
    <w:abstractNumId w:val="6"/>
  </w:num>
  <w:num w:numId="34">
    <w:abstractNumId w:val="11"/>
  </w:num>
  <w:num w:numId="35">
    <w:abstractNumId w:val="2"/>
  </w:num>
  <w:num w:numId="36">
    <w:abstractNumId w:val="35"/>
  </w:num>
  <w:num w:numId="37">
    <w:abstractNumId w:val="15"/>
  </w:num>
  <w:num w:numId="38">
    <w:abstractNumId w:val="36"/>
  </w:num>
  <w:num w:numId="39">
    <w:abstractNumId w:val="24"/>
  </w:num>
  <w:num w:numId="40">
    <w:abstractNumId w:val="1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14"/>
    <w:rsid w:val="00000D18"/>
    <w:rsid w:val="000020AB"/>
    <w:rsid w:val="00003ADA"/>
    <w:rsid w:val="00003DD5"/>
    <w:rsid w:val="00005663"/>
    <w:rsid w:val="00017907"/>
    <w:rsid w:val="00022E68"/>
    <w:rsid w:val="000243FC"/>
    <w:rsid w:val="00025FF4"/>
    <w:rsid w:val="000302B5"/>
    <w:rsid w:val="00030BEE"/>
    <w:rsid w:val="000337BA"/>
    <w:rsid w:val="0004643C"/>
    <w:rsid w:val="000517AA"/>
    <w:rsid w:val="0005479A"/>
    <w:rsid w:val="0005503E"/>
    <w:rsid w:val="000565DB"/>
    <w:rsid w:val="00060597"/>
    <w:rsid w:val="00060C79"/>
    <w:rsid w:val="00063365"/>
    <w:rsid w:val="00063500"/>
    <w:rsid w:val="000643D5"/>
    <w:rsid w:val="00067511"/>
    <w:rsid w:val="00071ECB"/>
    <w:rsid w:val="00073049"/>
    <w:rsid w:val="00073E9D"/>
    <w:rsid w:val="00080EF4"/>
    <w:rsid w:val="00080F5C"/>
    <w:rsid w:val="000812F0"/>
    <w:rsid w:val="000839D9"/>
    <w:rsid w:val="00084B59"/>
    <w:rsid w:val="00096636"/>
    <w:rsid w:val="000A1A3A"/>
    <w:rsid w:val="000A22AB"/>
    <w:rsid w:val="000A68A4"/>
    <w:rsid w:val="000B0C42"/>
    <w:rsid w:val="000B0FAD"/>
    <w:rsid w:val="000B1178"/>
    <w:rsid w:val="000B1A27"/>
    <w:rsid w:val="000B5395"/>
    <w:rsid w:val="000B5C20"/>
    <w:rsid w:val="000C5DB3"/>
    <w:rsid w:val="000C6485"/>
    <w:rsid w:val="000C7945"/>
    <w:rsid w:val="000D166F"/>
    <w:rsid w:val="000D2FB5"/>
    <w:rsid w:val="000D3B77"/>
    <w:rsid w:val="000D3C58"/>
    <w:rsid w:val="000D640F"/>
    <w:rsid w:val="000D651A"/>
    <w:rsid w:val="000D70E0"/>
    <w:rsid w:val="000D760F"/>
    <w:rsid w:val="000F1AEB"/>
    <w:rsid w:val="000F289E"/>
    <w:rsid w:val="00105BDA"/>
    <w:rsid w:val="00105FAE"/>
    <w:rsid w:val="00110CDA"/>
    <w:rsid w:val="00112C26"/>
    <w:rsid w:val="0011327E"/>
    <w:rsid w:val="001234DA"/>
    <w:rsid w:val="00131204"/>
    <w:rsid w:val="00132756"/>
    <w:rsid w:val="001328E9"/>
    <w:rsid w:val="00133DB6"/>
    <w:rsid w:val="001353E9"/>
    <w:rsid w:val="00140872"/>
    <w:rsid w:val="00143A93"/>
    <w:rsid w:val="0014435D"/>
    <w:rsid w:val="0014577B"/>
    <w:rsid w:val="00146CEF"/>
    <w:rsid w:val="001565DD"/>
    <w:rsid w:val="00160598"/>
    <w:rsid w:val="00162236"/>
    <w:rsid w:val="00162D72"/>
    <w:rsid w:val="00164712"/>
    <w:rsid w:val="001717A6"/>
    <w:rsid w:val="001736EE"/>
    <w:rsid w:val="001843B8"/>
    <w:rsid w:val="001911DC"/>
    <w:rsid w:val="001928DD"/>
    <w:rsid w:val="00192A12"/>
    <w:rsid w:val="00195547"/>
    <w:rsid w:val="001A1A79"/>
    <w:rsid w:val="001A61CF"/>
    <w:rsid w:val="001A61F0"/>
    <w:rsid w:val="001B097D"/>
    <w:rsid w:val="001B181E"/>
    <w:rsid w:val="001B6FA0"/>
    <w:rsid w:val="001C5533"/>
    <w:rsid w:val="001C6411"/>
    <w:rsid w:val="001C7312"/>
    <w:rsid w:val="001D3CA9"/>
    <w:rsid w:val="001E0464"/>
    <w:rsid w:val="001E0577"/>
    <w:rsid w:val="001E20FC"/>
    <w:rsid w:val="001E49FC"/>
    <w:rsid w:val="001E65D7"/>
    <w:rsid w:val="001E755E"/>
    <w:rsid w:val="001E7A3F"/>
    <w:rsid w:val="001E7D8E"/>
    <w:rsid w:val="001F15C5"/>
    <w:rsid w:val="001F1723"/>
    <w:rsid w:val="002007A0"/>
    <w:rsid w:val="00212CB7"/>
    <w:rsid w:val="002138ED"/>
    <w:rsid w:val="002237E4"/>
    <w:rsid w:val="002276CE"/>
    <w:rsid w:val="00227891"/>
    <w:rsid w:val="00230D21"/>
    <w:rsid w:val="002312B9"/>
    <w:rsid w:val="00235360"/>
    <w:rsid w:val="00235CF5"/>
    <w:rsid w:val="00237831"/>
    <w:rsid w:val="00237C49"/>
    <w:rsid w:val="00240D0B"/>
    <w:rsid w:val="00242E77"/>
    <w:rsid w:val="00247A4F"/>
    <w:rsid w:val="0025294B"/>
    <w:rsid w:val="00253B40"/>
    <w:rsid w:val="00253E62"/>
    <w:rsid w:val="00255315"/>
    <w:rsid w:val="00257A71"/>
    <w:rsid w:val="00260708"/>
    <w:rsid w:val="00265BB4"/>
    <w:rsid w:val="00277D1E"/>
    <w:rsid w:val="00291931"/>
    <w:rsid w:val="00292530"/>
    <w:rsid w:val="00292B55"/>
    <w:rsid w:val="002A71C1"/>
    <w:rsid w:val="002B351F"/>
    <w:rsid w:val="002B4873"/>
    <w:rsid w:val="002C3FC2"/>
    <w:rsid w:val="002D46CF"/>
    <w:rsid w:val="002D4EE6"/>
    <w:rsid w:val="002D500E"/>
    <w:rsid w:val="002E2C46"/>
    <w:rsid w:val="002E6E0C"/>
    <w:rsid w:val="002E7392"/>
    <w:rsid w:val="002F092C"/>
    <w:rsid w:val="002F150F"/>
    <w:rsid w:val="002F1E74"/>
    <w:rsid w:val="002F4743"/>
    <w:rsid w:val="00303F05"/>
    <w:rsid w:val="0030538A"/>
    <w:rsid w:val="003123E3"/>
    <w:rsid w:val="0031288C"/>
    <w:rsid w:val="00312FC4"/>
    <w:rsid w:val="0031594B"/>
    <w:rsid w:val="003161A3"/>
    <w:rsid w:val="00321D3E"/>
    <w:rsid w:val="003233A1"/>
    <w:rsid w:val="00326B28"/>
    <w:rsid w:val="0033064E"/>
    <w:rsid w:val="0033284B"/>
    <w:rsid w:val="003337DE"/>
    <w:rsid w:val="0034555E"/>
    <w:rsid w:val="003555BF"/>
    <w:rsid w:val="00356322"/>
    <w:rsid w:val="0036019A"/>
    <w:rsid w:val="00367E5D"/>
    <w:rsid w:val="003701AD"/>
    <w:rsid w:val="003707EF"/>
    <w:rsid w:val="00372FA5"/>
    <w:rsid w:val="00373065"/>
    <w:rsid w:val="00374214"/>
    <w:rsid w:val="00380608"/>
    <w:rsid w:val="0038138D"/>
    <w:rsid w:val="00382837"/>
    <w:rsid w:val="0038504A"/>
    <w:rsid w:val="003850FF"/>
    <w:rsid w:val="00385AF2"/>
    <w:rsid w:val="003879BF"/>
    <w:rsid w:val="00396604"/>
    <w:rsid w:val="003A7A22"/>
    <w:rsid w:val="003B011D"/>
    <w:rsid w:val="003C000D"/>
    <w:rsid w:val="003C03D0"/>
    <w:rsid w:val="003C08E0"/>
    <w:rsid w:val="003C1B57"/>
    <w:rsid w:val="003C2150"/>
    <w:rsid w:val="003C4290"/>
    <w:rsid w:val="003C530C"/>
    <w:rsid w:val="003C592D"/>
    <w:rsid w:val="003C6274"/>
    <w:rsid w:val="003C7725"/>
    <w:rsid w:val="003D14BF"/>
    <w:rsid w:val="003D1A97"/>
    <w:rsid w:val="003D4C19"/>
    <w:rsid w:val="003D5EB9"/>
    <w:rsid w:val="003E2774"/>
    <w:rsid w:val="004018C0"/>
    <w:rsid w:val="0040296D"/>
    <w:rsid w:val="00403C14"/>
    <w:rsid w:val="0040625B"/>
    <w:rsid w:val="00410F9D"/>
    <w:rsid w:val="00411825"/>
    <w:rsid w:val="00423E48"/>
    <w:rsid w:val="00423FC1"/>
    <w:rsid w:val="00424425"/>
    <w:rsid w:val="0042573F"/>
    <w:rsid w:val="00426894"/>
    <w:rsid w:val="00427F13"/>
    <w:rsid w:val="00436290"/>
    <w:rsid w:val="00437D71"/>
    <w:rsid w:val="00442012"/>
    <w:rsid w:val="00442E1F"/>
    <w:rsid w:val="00444801"/>
    <w:rsid w:val="004461E7"/>
    <w:rsid w:val="0045239E"/>
    <w:rsid w:val="004560DD"/>
    <w:rsid w:val="00456E9F"/>
    <w:rsid w:val="00460E04"/>
    <w:rsid w:val="0046139A"/>
    <w:rsid w:val="00464B62"/>
    <w:rsid w:val="00465E89"/>
    <w:rsid w:val="0047234E"/>
    <w:rsid w:val="00472522"/>
    <w:rsid w:val="00474A43"/>
    <w:rsid w:val="004758AC"/>
    <w:rsid w:val="00480E96"/>
    <w:rsid w:val="004811F1"/>
    <w:rsid w:val="00481C45"/>
    <w:rsid w:val="004826EE"/>
    <w:rsid w:val="0048648B"/>
    <w:rsid w:val="00486ACD"/>
    <w:rsid w:val="00490FF1"/>
    <w:rsid w:val="00494764"/>
    <w:rsid w:val="00497280"/>
    <w:rsid w:val="004A1D42"/>
    <w:rsid w:val="004B0896"/>
    <w:rsid w:val="004B1427"/>
    <w:rsid w:val="004B421C"/>
    <w:rsid w:val="004B652E"/>
    <w:rsid w:val="004C423C"/>
    <w:rsid w:val="004D03DC"/>
    <w:rsid w:val="004D6198"/>
    <w:rsid w:val="004E2D4B"/>
    <w:rsid w:val="004E7404"/>
    <w:rsid w:val="004F3FFE"/>
    <w:rsid w:val="004F4F06"/>
    <w:rsid w:val="004F7879"/>
    <w:rsid w:val="005143A0"/>
    <w:rsid w:val="005159B6"/>
    <w:rsid w:val="00520365"/>
    <w:rsid w:val="0052563E"/>
    <w:rsid w:val="005256D7"/>
    <w:rsid w:val="00525C01"/>
    <w:rsid w:val="00527BBB"/>
    <w:rsid w:val="005334E4"/>
    <w:rsid w:val="0053573D"/>
    <w:rsid w:val="00536307"/>
    <w:rsid w:val="00540481"/>
    <w:rsid w:val="00540E39"/>
    <w:rsid w:val="0054153B"/>
    <w:rsid w:val="00543FF0"/>
    <w:rsid w:val="00550A39"/>
    <w:rsid w:val="00552543"/>
    <w:rsid w:val="00562B34"/>
    <w:rsid w:val="00564D30"/>
    <w:rsid w:val="005672CB"/>
    <w:rsid w:val="00571EA7"/>
    <w:rsid w:val="005734C5"/>
    <w:rsid w:val="00581D79"/>
    <w:rsid w:val="00582E7A"/>
    <w:rsid w:val="0059177A"/>
    <w:rsid w:val="005939FF"/>
    <w:rsid w:val="00594508"/>
    <w:rsid w:val="00596AF0"/>
    <w:rsid w:val="005A369A"/>
    <w:rsid w:val="005A6834"/>
    <w:rsid w:val="005A7847"/>
    <w:rsid w:val="005C4EDC"/>
    <w:rsid w:val="005D7774"/>
    <w:rsid w:val="005D7DD9"/>
    <w:rsid w:val="005E1112"/>
    <w:rsid w:val="005E428A"/>
    <w:rsid w:val="005E73A2"/>
    <w:rsid w:val="005F61BB"/>
    <w:rsid w:val="0060043F"/>
    <w:rsid w:val="00600A5F"/>
    <w:rsid w:val="00605050"/>
    <w:rsid w:val="00612DB7"/>
    <w:rsid w:val="00612FA5"/>
    <w:rsid w:val="00614C6D"/>
    <w:rsid w:val="006209CD"/>
    <w:rsid w:val="0062219B"/>
    <w:rsid w:val="0062257E"/>
    <w:rsid w:val="0062604B"/>
    <w:rsid w:val="0063669C"/>
    <w:rsid w:val="006367CF"/>
    <w:rsid w:val="006427D0"/>
    <w:rsid w:val="00643861"/>
    <w:rsid w:val="00643B0A"/>
    <w:rsid w:val="0065142C"/>
    <w:rsid w:val="00655BCF"/>
    <w:rsid w:val="0066081F"/>
    <w:rsid w:val="0066315C"/>
    <w:rsid w:val="00672EFE"/>
    <w:rsid w:val="00677887"/>
    <w:rsid w:val="00680F03"/>
    <w:rsid w:val="00683989"/>
    <w:rsid w:val="00693880"/>
    <w:rsid w:val="006970EC"/>
    <w:rsid w:val="006A3DCA"/>
    <w:rsid w:val="006A6D7A"/>
    <w:rsid w:val="006A7289"/>
    <w:rsid w:val="006B135F"/>
    <w:rsid w:val="006B62DA"/>
    <w:rsid w:val="006B685B"/>
    <w:rsid w:val="006C177A"/>
    <w:rsid w:val="006C3818"/>
    <w:rsid w:val="006C6E4D"/>
    <w:rsid w:val="006D197E"/>
    <w:rsid w:val="006E2F51"/>
    <w:rsid w:val="006E31FA"/>
    <w:rsid w:val="006E5867"/>
    <w:rsid w:val="006E5CD9"/>
    <w:rsid w:val="006E70A4"/>
    <w:rsid w:val="006F3501"/>
    <w:rsid w:val="006F5AED"/>
    <w:rsid w:val="006F7022"/>
    <w:rsid w:val="006F7123"/>
    <w:rsid w:val="00705663"/>
    <w:rsid w:val="007126F1"/>
    <w:rsid w:val="00713C14"/>
    <w:rsid w:val="00714968"/>
    <w:rsid w:val="00716A82"/>
    <w:rsid w:val="00717E8B"/>
    <w:rsid w:val="00724EB5"/>
    <w:rsid w:val="0073131E"/>
    <w:rsid w:val="00731D81"/>
    <w:rsid w:val="00737AB2"/>
    <w:rsid w:val="007445F4"/>
    <w:rsid w:val="007448D6"/>
    <w:rsid w:val="00745E5D"/>
    <w:rsid w:val="00746633"/>
    <w:rsid w:val="00746EC4"/>
    <w:rsid w:val="00747FB2"/>
    <w:rsid w:val="00751D22"/>
    <w:rsid w:val="00754CC2"/>
    <w:rsid w:val="00756453"/>
    <w:rsid w:val="007607E1"/>
    <w:rsid w:val="0076099E"/>
    <w:rsid w:val="0076732B"/>
    <w:rsid w:val="00770D4C"/>
    <w:rsid w:val="00770E27"/>
    <w:rsid w:val="00780F0D"/>
    <w:rsid w:val="00781627"/>
    <w:rsid w:val="00781C17"/>
    <w:rsid w:val="00783D86"/>
    <w:rsid w:val="00784347"/>
    <w:rsid w:val="00784CE5"/>
    <w:rsid w:val="00786A07"/>
    <w:rsid w:val="007A376D"/>
    <w:rsid w:val="007A68EA"/>
    <w:rsid w:val="007A7C62"/>
    <w:rsid w:val="007C31C7"/>
    <w:rsid w:val="007C34F7"/>
    <w:rsid w:val="007C3589"/>
    <w:rsid w:val="007C3CF7"/>
    <w:rsid w:val="007C4307"/>
    <w:rsid w:val="007C441A"/>
    <w:rsid w:val="007C49C8"/>
    <w:rsid w:val="007E0EC1"/>
    <w:rsid w:val="007E2043"/>
    <w:rsid w:val="007E3E65"/>
    <w:rsid w:val="007E72F8"/>
    <w:rsid w:val="00800D4C"/>
    <w:rsid w:val="00801135"/>
    <w:rsid w:val="00813CCD"/>
    <w:rsid w:val="00814C0C"/>
    <w:rsid w:val="008160C2"/>
    <w:rsid w:val="00823A07"/>
    <w:rsid w:val="00825FDE"/>
    <w:rsid w:val="00825FE6"/>
    <w:rsid w:val="00830F46"/>
    <w:rsid w:val="008340A4"/>
    <w:rsid w:val="00837540"/>
    <w:rsid w:val="00837794"/>
    <w:rsid w:val="008411A8"/>
    <w:rsid w:val="00842514"/>
    <w:rsid w:val="008429C2"/>
    <w:rsid w:val="00846E7D"/>
    <w:rsid w:val="008512DA"/>
    <w:rsid w:val="0085414C"/>
    <w:rsid w:val="0085589D"/>
    <w:rsid w:val="008568FD"/>
    <w:rsid w:val="00862C55"/>
    <w:rsid w:val="00867FA3"/>
    <w:rsid w:val="00870633"/>
    <w:rsid w:val="008767A1"/>
    <w:rsid w:val="0088351F"/>
    <w:rsid w:val="00883A07"/>
    <w:rsid w:val="00883BC2"/>
    <w:rsid w:val="00886F4F"/>
    <w:rsid w:val="00890B64"/>
    <w:rsid w:val="008B0CA2"/>
    <w:rsid w:val="008B0D5F"/>
    <w:rsid w:val="008B35D4"/>
    <w:rsid w:val="008B3D55"/>
    <w:rsid w:val="008B5D8D"/>
    <w:rsid w:val="008B602E"/>
    <w:rsid w:val="008B7648"/>
    <w:rsid w:val="008C23C5"/>
    <w:rsid w:val="008C24D4"/>
    <w:rsid w:val="008C2E56"/>
    <w:rsid w:val="008C5FE5"/>
    <w:rsid w:val="008C75B0"/>
    <w:rsid w:val="008D32C3"/>
    <w:rsid w:val="008E336C"/>
    <w:rsid w:val="008E4CF7"/>
    <w:rsid w:val="008F06B4"/>
    <w:rsid w:val="008F3431"/>
    <w:rsid w:val="00901152"/>
    <w:rsid w:val="009101BF"/>
    <w:rsid w:val="009102C6"/>
    <w:rsid w:val="009110DA"/>
    <w:rsid w:val="00912A62"/>
    <w:rsid w:val="00913769"/>
    <w:rsid w:val="00915034"/>
    <w:rsid w:val="009211DD"/>
    <w:rsid w:val="00921AC8"/>
    <w:rsid w:val="00923373"/>
    <w:rsid w:val="0092645D"/>
    <w:rsid w:val="00926461"/>
    <w:rsid w:val="00936975"/>
    <w:rsid w:val="0094071C"/>
    <w:rsid w:val="00940A69"/>
    <w:rsid w:val="00950E79"/>
    <w:rsid w:val="00954B50"/>
    <w:rsid w:val="009601CC"/>
    <w:rsid w:val="00961C8A"/>
    <w:rsid w:val="009677DB"/>
    <w:rsid w:val="00973D6B"/>
    <w:rsid w:val="00975DBC"/>
    <w:rsid w:val="0098382B"/>
    <w:rsid w:val="009922B8"/>
    <w:rsid w:val="00993197"/>
    <w:rsid w:val="00994CEE"/>
    <w:rsid w:val="009A6913"/>
    <w:rsid w:val="009B3A2E"/>
    <w:rsid w:val="009C1B6B"/>
    <w:rsid w:val="009D275C"/>
    <w:rsid w:val="009D5D20"/>
    <w:rsid w:val="009D774F"/>
    <w:rsid w:val="009D7EE3"/>
    <w:rsid w:val="009E45E6"/>
    <w:rsid w:val="009E73DB"/>
    <w:rsid w:val="009F0E1D"/>
    <w:rsid w:val="009F375D"/>
    <w:rsid w:val="009F4482"/>
    <w:rsid w:val="00A019FF"/>
    <w:rsid w:val="00A01CAF"/>
    <w:rsid w:val="00A02E75"/>
    <w:rsid w:val="00A05C70"/>
    <w:rsid w:val="00A06AF9"/>
    <w:rsid w:val="00A07237"/>
    <w:rsid w:val="00A123B0"/>
    <w:rsid w:val="00A17A85"/>
    <w:rsid w:val="00A24BFE"/>
    <w:rsid w:val="00A25948"/>
    <w:rsid w:val="00A25E7A"/>
    <w:rsid w:val="00A3281C"/>
    <w:rsid w:val="00A33B1D"/>
    <w:rsid w:val="00A34EDB"/>
    <w:rsid w:val="00A35BFB"/>
    <w:rsid w:val="00A360C9"/>
    <w:rsid w:val="00A37CD8"/>
    <w:rsid w:val="00A37E5E"/>
    <w:rsid w:val="00A453FA"/>
    <w:rsid w:val="00A459C1"/>
    <w:rsid w:val="00A5029A"/>
    <w:rsid w:val="00A52408"/>
    <w:rsid w:val="00A53143"/>
    <w:rsid w:val="00A56DFD"/>
    <w:rsid w:val="00A57294"/>
    <w:rsid w:val="00A60D49"/>
    <w:rsid w:val="00A61EFF"/>
    <w:rsid w:val="00A708C8"/>
    <w:rsid w:val="00A774A5"/>
    <w:rsid w:val="00A774AF"/>
    <w:rsid w:val="00A777AA"/>
    <w:rsid w:val="00A84848"/>
    <w:rsid w:val="00A9472F"/>
    <w:rsid w:val="00AA7CDB"/>
    <w:rsid w:val="00AB7347"/>
    <w:rsid w:val="00AC3F41"/>
    <w:rsid w:val="00AC562C"/>
    <w:rsid w:val="00AC5C6B"/>
    <w:rsid w:val="00AC5D4E"/>
    <w:rsid w:val="00AD3A5A"/>
    <w:rsid w:val="00AD5F39"/>
    <w:rsid w:val="00AD6896"/>
    <w:rsid w:val="00AE0136"/>
    <w:rsid w:val="00AE03E4"/>
    <w:rsid w:val="00AE0571"/>
    <w:rsid w:val="00AE14E4"/>
    <w:rsid w:val="00AE3456"/>
    <w:rsid w:val="00AE5AFD"/>
    <w:rsid w:val="00AE78E3"/>
    <w:rsid w:val="00AE7968"/>
    <w:rsid w:val="00AE7AF6"/>
    <w:rsid w:val="00AF0F21"/>
    <w:rsid w:val="00AF73BE"/>
    <w:rsid w:val="00B00F34"/>
    <w:rsid w:val="00B026BF"/>
    <w:rsid w:val="00B0479B"/>
    <w:rsid w:val="00B055F3"/>
    <w:rsid w:val="00B06BA8"/>
    <w:rsid w:val="00B14B35"/>
    <w:rsid w:val="00B1603F"/>
    <w:rsid w:val="00B162A8"/>
    <w:rsid w:val="00B17028"/>
    <w:rsid w:val="00B22A0E"/>
    <w:rsid w:val="00B41991"/>
    <w:rsid w:val="00B4661A"/>
    <w:rsid w:val="00B50F73"/>
    <w:rsid w:val="00B5520A"/>
    <w:rsid w:val="00B56445"/>
    <w:rsid w:val="00B65955"/>
    <w:rsid w:val="00B715F7"/>
    <w:rsid w:val="00B8110B"/>
    <w:rsid w:val="00B84D1F"/>
    <w:rsid w:val="00B90D30"/>
    <w:rsid w:val="00B953A9"/>
    <w:rsid w:val="00B9540A"/>
    <w:rsid w:val="00B97026"/>
    <w:rsid w:val="00BA04D8"/>
    <w:rsid w:val="00BA2933"/>
    <w:rsid w:val="00BA4DC5"/>
    <w:rsid w:val="00BA62C8"/>
    <w:rsid w:val="00BB477D"/>
    <w:rsid w:val="00BC317E"/>
    <w:rsid w:val="00BC62EC"/>
    <w:rsid w:val="00BC772F"/>
    <w:rsid w:val="00BD4445"/>
    <w:rsid w:val="00BE2B95"/>
    <w:rsid w:val="00BE5B10"/>
    <w:rsid w:val="00BE7FAA"/>
    <w:rsid w:val="00BF47A1"/>
    <w:rsid w:val="00BF7619"/>
    <w:rsid w:val="00C01D06"/>
    <w:rsid w:val="00C03997"/>
    <w:rsid w:val="00C0770F"/>
    <w:rsid w:val="00C13748"/>
    <w:rsid w:val="00C159E9"/>
    <w:rsid w:val="00C16C50"/>
    <w:rsid w:val="00C16EA2"/>
    <w:rsid w:val="00C20517"/>
    <w:rsid w:val="00C20B8D"/>
    <w:rsid w:val="00C259EA"/>
    <w:rsid w:val="00C26825"/>
    <w:rsid w:val="00C30027"/>
    <w:rsid w:val="00C373F5"/>
    <w:rsid w:val="00C37856"/>
    <w:rsid w:val="00C41F6C"/>
    <w:rsid w:val="00C42517"/>
    <w:rsid w:val="00C42741"/>
    <w:rsid w:val="00C42B53"/>
    <w:rsid w:val="00C43793"/>
    <w:rsid w:val="00C4450C"/>
    <w:rsid w:val="00C47C6E"/>
    <w:rsid w:val="00C51A82"/>
    <w:rsid w:val="00C51FC2"/>
    <w:rsid w:val="00C5440A"/>
    <w:rsid w:val="00C6436E"/>
    <w:rsid w:val="00C67A06"/>
    <w:rsid w:val="00C7330B"/>
    <w:rsid w:val="00C75BE4"/>
    <w:rsid w:val="00C76856"/>
    <w:rsid w:val="00C83E29"/>
    <w:rsid w:val="00C864C2"/>
    <w:rsid w:val="00C87531"/>
    <w:rsid w:val="00CA0A98"/>
    <w:rsid w:val="00CA1A1D"/>
    <w:rsid w:val="00CA5623"/>
    <w:rsid w:val="00CB1493"/>
    <w:rsid w:val="00CB4224"/>
    <w:rsid w:val="00CB56B1"/>
    <w:rsid w:val="00CB5C14"/>
    <w:rsid w:val="00CD1DEB"/>
    <w:rsid w:val="00CD35C4"/>
    <w:rsid w:val="00CD3C16"/>
    <w:rsid w:val="00CD45A5"/>
    <w:rsid w:val="00CE19DF"/>
    <w:rsid w:val="00CF131E"/>
    <w:rsid w:val="00CF1372"/>
    <w:rsid w:val="00CF6608"/>
    <w:rsid w:val="00D000D6"/>
    <w:rsid w:val="00D040CC"/>
    <w:rsid w:val="00D104D0"/>
    <w:rsid w:val="00D10F07"/>
    <w:rsid w:val="00D12358"/>
    <w:rsid w:val="00D250E5"/>
    <w:rsid w:val="00D35AA7"/>
    <w:rsid w:val="00D36F15"/>
    <w:rsid w:val="00D459B1"/>
    <w:rsid w:val="00D461FF"/>
    <w:rsid w:val="00D477BC"/>
    <w:rsid w:val="00D510EF"/>
    <w:rsid w:val="00D57A79"/>
    <w:rsid w:val="00D611E2"/>
    <w:rsid w:val="00D62736"/>
    <w:rsid w:val="00D64259"/>
    <w:rsid w:val="00D65984"/>
    <w:rsid w:val="00D671B9"/>
    <w:rsid w:val="00D72C1E"/>
    <w:rsid w:val="00D73375"/>
    <w:rsid w:val="00D77234"/>
    <w:rsid w:val="00D85833"/>
    <w:rsid w:val="00D85BBA"/>
    <w:rsid w:val="00D86765"/>
    <w:rsid w:val="00D876B4"/>
    <w:rsid w:val="00D940B1"/>
    <w:rsid w:val="00DB0334"/>
    <w:rsid w:val="00DB43A7"/>
    <w:rsid w:val="00DD0BB9"/>
    <w:rsid w:val="00DD2402"/>
    <w:rsid w:val="00DD5A80"/>
    <w:rsid w:val="00DE04C8"/>
    <w:rsid w:val="00DE0F93"/>
    <w:rsid w:val="00DE4BB9"/>
    <w:rsid w:val="00DE68F6"/>
    <w:rsid w:val="00DF04D5"/>
    <w:rsid w:val="00DF1291"/>
    <w:rsid w:val="00DF148E"/>
    <w:rsid w:val="00DF2453"/>
    <w:rsid w:val="00DF60FB"/>
    <w:rsid w:val="00DF645D"/>
    <w:rsid w:val="00E00356"/>
    <w:rsid w:val="00E012F0"/>
    <w:rsid w:val="00E01690"/>
    <w:rsid w:val="00E020A7"/>
    <w:rsid w:val="00E027B2"/>
    <w:rsid w:val="00E03DF7"/>
    <w:rsid w:val="00E06175"/>
    <w:rsid w:val="00E06DA2"/>
    <w:rsid w:val="00E12BD7"/>
    <w:rsid w:val="00E13B5B"/>
    <w:rsid w:val="00E24F67"/>
    <w:rsid w:val="00E2769B"/>
    <w:rsid w:val="00E30C2F"/>
    <w:rsid w:val="00E336AD"/>
    <w:rsid w:val="00E35400"/>
    <w:rsid w:val="00E359D5"/>
    <w:rsid w:val="00E41CF2"/>
    <w:rsid w:val="00E46F1F"/>
    <w:rsid w:val="00E4716A"/>
    <w:rsid w:val="00E7013B"/>
    <w:rsid w:val="00E73400"/>
    <w:rsid w:val="00E7589C"/>
    <w:rsid w:val="00E80575"/>
    <w:rsid w:val="00E874B5"/>
    <w:rsid w:val="00E9123C"/>
    <w:rsid w:val="00E95EC7"/>
    <w:rsid w:val="00EA4D79"/>
    <w:rsid w:val="00EB21D1"/>
    <w:rsid w:val="00EB5965"/>
    <w:rsid w:val="00EC08D1"/>
    <w:rsid w:val="00EC426B"/>
    <w:rsid w:val="00EC73E9"/>
    <w:rsid w:val="00ED325A"/>
    <w:rsid w:val="00EE2B28"/>
    <w:rsid w:val="00EF36EC"/>
    <w:rsid w:val="00EF41D7"/>
    <w:rsid w:val="00F01D8B"/>
    <w:rsid w:val="00F02771"/>
    <w:rsid w:val="00F03304"/>
    <w:rsid w:val="00F06624"/>
    <w:rsid w:val="00F06D1F"/>
    <w:rsid w:val="00F07277"/>
    <w:rsid w:val="00F077D2"/>
    <w:rsid w:val="00F07859"/>
    <w:rsid w:val="00F163B6"/>
    <w:rsid w:val="00F17868"/>
    <w:rsid w:val="00F21A1E"/>
    <w:rsid w:val="00F2217D"/>
    <w:rsid w:val="00F229E4"/>
    <w:rsid w:val="00F22D13"/>
    <w:rsid w:val="00F27BCA"/>
    <w:rsid w:val="00F27C2D"/>
    <w:rsid w:val="00F314B0"/>
    <w:rsid w:val="00F33237"/>
    <w:rsid w:val="00F3329E"/>
    <w:rsid w:val="00F3485A"/>
    <w:rsid w:val="00F43AF7"/>
    <w:rsid w:val="00F50106"/>
    <w:rsid w:val="00F53721"/>
    <w:rsid w:val="00F548A0"/>
    <w:rsid w:val="00F54A11"/>
    <w:rsid w:val="00F574EB"/>
    <w:rsid w:val="00F60B45"/>
    <w:rsid w:val="00F612B7"/>
    <w:rsid w:val="00F62D52"/>
    <w:rsid w:val="00F66518"/>
    <w:rsid w:val="00F66860"/>
    <w:rsid w:val="00F67802"/>
    <w:rsid w:val="00F6791E"/>
    <w:rsid w:val="00F82933"/>
    <w:rsid w:val="00F84DF5"/>
    <w:rsid w:val="00F8689F"/>
    <w:rsid w:val="00F926AA"/>
    <w:rsid w:val="00F92D12"/>
    <w:rsid w:val="00F932D8"/>
    <w:rsid w:val="00F95BAA"/>
    <w:rsid w:val="00F97189"/>
    <w:rsid w:val="00FB0817"/>
    <w:rsid w:val="00FB08D1"/>
    <w:rsid w:val="00FB12E1"/>
    <w:rsid w:val="00FB154B"/>
    <w:rsid w:val="00FB1752"/>
    <w:rsid w:val="00FB2A21"/>
    <w:rsid w:val="00FB58AF"/>
    <w:rsid w:val="00FC2EB2"/>
    <w:rsid w:val="00FD0AC9"/>
    <w:rsid w:val="00FD1195"/>
    <w:rsid w:val="00FD121F"/>
    <w:rsid w:val="00FD1903"/>
    <w:rsid w:val="00FD3023"/>
    <w:rsid w:val="00FD7367"/>
    <w:rsid w:val="00FE185D"/>
    <w:rsid w:val="00FE1895"/>
    <w:rsid w:val="00FE712D"/>
    <w:rsid w:val="00FF02BA"/>
    <w:rsid w:val="00FF7144"/>
    <w:rsid w:val="00FF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A3DC"/>
  <w15:docId w15:val="{E3877EDB-9D11-4685-BA64-F57102A5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DD"/>
    <w:rPr>
      <w:rFonts w:ascii="Tahoma" w:hAnsi="Tahoma" w:cs="Tahoma"/>
      <w:sz w:val="16"/>
      <w:szCs w:val="16"/>
    </w:rPr>
  </w:style>
  <w:style w:type="paragraph" w:styleId="FootnoteText">
    <w:name w:val="footnote text"/>
    <w:basedOn w:val="Normal"/>
    <w:link w:val="FootnoteTextChar"/>
    <w:uiPriority w:val="99"/>
    <w:unhideWhenUsed/>
    <w:rsid w:val="00746EC4"/>
    <w:pPr>
      <w:spacing w:after="0" w:line="240" w:lineRule="auto"/>
    </w:pPr>
    <w:rPr>
      <w:sz w:val="20"/>
      <w:szCs w:val="20"/>
    </w:rPr>
  </w:style>
  <w:style w:type="character" w:customStyle="1" w:styleId="FootnoteTextChar">
    <w:name w:val="Footnote Text Char"/>
    <w:basedOn w:val="DefaultParagraphFont"/>
    <w:link w:val="FootnoteText"/>
    <w:uiPriority w:val="99"/>
    <w:rsid w:val="00746EC4"/>
    <w:rPr>
      <w:sz w:val="20"/>
      <w:szCs w:val="20"/>
    </w:rPr>
  </w:style>
  <w:style w:type="character" w:styleId="FootnoteReference">
    <w:name w:val="footnote reference"/>
    <w:basedOn w:val="DefaultParagraphFont"/>
    <w:uiPriority w:val="99"/>
    <w:unhideWhenUsed/>
    <w:rsid w:val="00746EC4"/>
    <w:rPr>
      <w:vertAlign w:val="superscript"/>
    </w:rPr>
  </w:style>
  <w:style w:type="paragraph" w:styleId="ListParagraph">
    <w:name w:val="List Paragraph"/>
    <w:basedOn w:val="Normal"/>
    <w:uiPriority w:val="34"/>
    <w:qFormat/>
    <w:rsid w:val="0053573D"/>
    <w:pPr>
      <w:ind w:left="720"/>
      <w:contextualSpacing/>
    </w:pPr>
  </w:style>
  <w:style w:type="paragraph" w:styleId="Header">
    <w:name w:val="header"/>
    <w:basedOn w:val="Normal"/>
    <w:link w:val="HeaderChar"/>
    <w:uiPriority w:val="99"/>
    <w:unhideWhenUsed/>
    <w:rsid w:val="0064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861"/>
  </w:style>
  <w:style w:type="paragraph" w:styleId="Footer">
    <w:name w:val="footer"/>
    <w:basedOn w:val="Normal"/>
    <w:link w:val="FooterChar"/>
    <w:uiPriority w:val="99"/>
    <w:unhideWhenUsed/>
    <w:rsid w:val="0064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861"/>
  </w:style>
  <w:style w:type="paragraph" w:customStyle="1" w:styleId="Judgment">
    <w:name w:val="Judgment"/>
    <w:basedOn w:val="Normal"/>
    <w:link w:val="JudgmentChar"/>
    <w:rsid w:val="00D36F15"/>
    <w:pPr>
      <w:numPr>
        <w:numId w:val="35"/>
      </w:numPr>
      <w:spacing w:before="240" w:after="240" w:line="480" w:lineRule="auto"/>
      <w:jc w:val="both"/>
    </w:pPr>
    <w:rPr>
      <w:rFonts w:eastAsia="Times New Roman" w:cs="Times New Roman"/>
      <w:sz w:val="24"/>
      <w:szCs w:val="24"/>
      <w:lang w:val="en-ZA"/>
    </w:rPr>
  </w:style>
  <w:style w:type="character" w:customStyle="1" w:styleId="JudgmentChar">
    <w:name w:val="Judgment Char"/>
    <w:basedOn w:val="DefaultParagraphFont"/>
    <w:link w:val="Judgment"/>
    <w:locked/>
    <w:rsid w:val="00D36F15"/>
    <w:rPr>
      <w:rFonts w:eastAsia="Times New Roman" w:cs="Times New Roman"/>
      <w:sz w:val="24"/>
      <w:szCs w:val="24"/>
      <w:lang w:val="en-ZA"/>
    </w:rPr>
  </w:style>
  <w:style w:type="paragraph" w:customStyle="1" w:styleId="Judgementsubpara">
    <w:name w:val="Judgement sub para"/>
    <w:basedOn w:val="Judgment"/>
    <w:next w:val="Judgment"/>
    <w:link w:val="JudgementsubparaChar"/>
    <w:qFormat/>
    <w:rsid w:val="0047234E"/>
    <w:pPr>
      <w:numPr>
        <w:numId w:val="1"/>
      </w:numPr>
      <w:ind w:right="851"/>
    </w:pPr>
  </w:style>
  <w:style w:type="character" w:customStyle="1" w:styleId="JudgementsubparaChar">
    <w:name w:val="Judgement sub para Char"/>
    <w:basedOn w:val="DefaultParagraphFont"/>
    <w:link w:val="Judgementsubpara"/>
    <w:locked/>
    <w:rsid w:val="0047234E"/>
    <w:rPr>
      <w:rFonts w:eastAsia="Times New Roman" w:cs="Times New Roman"/>
      <w:sz w:val="24"/>
      <w:szCs w:val="24"/>
      <w:lang w:val="en-ZA"/>
    </w:rPr>
  </w:style>
  <w:style w:type="paragraph" w:styleId="BodyText">
    <w:name w:val="Body Text"/>
    <w:basedOn w:val="Normal"/>
    <w:link w:val="BodyTextChar"/>
    <w:uiPriority w:val="1"/>
    <w:qFormat/>
    <w:rsid w:val="00975DBC"/>
    <w:pPr>
      <w:widowControl w:val="0"/>
      <w:autoSpaceDE w:val="0"/>
      <w:autoSpaceDN w:val="0"/>
      <w:adjustRightInd w:val="0"/>
      <w:spacing w:after="0" w:line="240" w:lineRule="auto"/>
    </w:pPr>
    <w:rPr>
      <w:rFonts w:eastAsiaTheme="minorEastAsia" w:cs="Arial"/>
      <w:sz w:val="18"/>
      <w:szCs w:val="18"/>
      <w:lang w:eastAsia="en-GB"/>
    </w:rPr>
  </w:style>
  <w:style w:type="character" w:customStyle="1" w:styleId="BodyTextChar">
    <w:name w:val="Body Text Char"/>
    <w:basedOn w:val="DefaultParagraphFont"/>
    <w:link w:val="BodyText"/>
    <w:uiPriority w:val="1"/>
    <w:rsid w:val="00975DBC"/>
    <w:rPr>
      <w:rFonts w:eastAsiaTheme="minorEastAsia" w:cs="Arial"/>
      <w:sz w:val="18"/>
      <w:szCs w:val="18"/>
      <w:lang w:eastAsia="en-GB"/>
    </w:rPr>
  </w:style>
  <w:style w:type="paragraph" w:customStyle="1" w:styleId="Default">
    <w:name w:val="Default"/>
    <w:rsid w:val="006E31FA"/>
    <w:pPr>
      <w:autoSpaceDE w:val="0"/>
      <w:autoSpaceDN w:val="0"/>
      <w:adjustRightInd w:val="0"/>
      <w:spacing w:after="0" w:line="240" w:lineRule="auto"/>
    </w:pPr>
    <w:rPr>
      <w:rFonts w:ascii="Verdana" w:eastAsia="Times New Roman" w:hAnsi="Verdana" w:cs="Verdana"/>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2113-26DB-40EC-82E2-56ED41B5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4012</Words>
  <Characters>22873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Lazarus Rakgwale</cp:lastModifiedBy>
  <cp:revision>2</cp:revision>
  <cp:lastPrinted>2022-08-16T12:05:00Z</cp:lastPrinted>
  <dcterms:created xsi:type="dcterms:W3CDTF">2022-09-13T09:51:00Z</dcterms:created>
  <dcterms:modified xsi:type="dcterms:W3CDTF">2022-09-13T09:51:00Z</dcterms:modified>
</cp:coreProperties>
</file>