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1C" w:rsidRPr="004F2C74" w:rsidRDefault="00AC601C" w:rsidP="00AC601C">
      <w:pPr>
        <w:spacing w:before="0" w:after="200" w:line="276" w:lineRule="auto"/>
        <w:jc w:val="center"/>
        <w:rPr>
          <w:rFonts w:eastAsiaTheme="minorEastAsia" w:cs="Arial"/>
          <w:b/>
          <w:szCs w:val="24"/>
          <w:lang w:eastAsia="en-ZA"/>
        </w:rPr>
      </w:pPr>
      <w:r w:rsidRPr="004F2C74">
        <w:rPr>
          <w:rFonts w:eastAsiaTheme="minorEastAsia" w:cs="Arial"/>
          <w:b/>
          <w:szCs w:val="24"/>
          <w:lang w:eastAsia="en-ZA"/>
        </w:rPr>
        <w:t>IN THE HIGH COURT OF SOUTH AFRICA</w:t>
      </w:r>
      <w:r w:rsidRPr="004F2C74">
        <w:rPr>
          <w:rFonts w:ascii="Times New Roman" w:eastAsiaTheme="minorEastAsia" w:hAnsi="Times New Roman"/>
          <w:b/>
          <w:bCs/>
          <w:szCs w:val="24"/>
          <w:lang w:val="en-GB" w:eastAsia="en-ZA"/>
        </w:rPr>
        <w:tab/>
      </w: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r w:rsidRPr="004F2C74">
        <w:rPr>
          <w:rFonts w:asciiTheme="minorHAnsi" w:eastAsiaTheme="minorEastAsia" w:hAnsiTheme="minorHAnsi" w:cstheme="minorBidi"/>
          <w:noProof/>
          <w:sz w:val="22"/>
          <w:szCs w:val="22"/>
          <w:lang w:eastAsia="en-ZA"/>
        </w:rPr>
        <w:drawing>
          <wp:inline distT="0" distB="0" distL="0" distR="0" wp14:anchorId="2DF1224A" wp14:editId="16BD4DB9">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r w:rsidRPr="004F2C74">
        <w:rPr>
          <w:rFonts w:ascii="Times New Roman" w:eastAsiaTheme="minorEastAsia" w:hAnsi="Times New Roman"/>
          <w:b/>
          <w:szCs w:val="24"/>
          <w:lang w:eastAsia="en-ZA"/>
        </w:rPr>
        <w:tab/>
        <w:t xml:space="preserve"> </w:t>
      </w:r>
    </w:p>
    <w:p w:rsidR="00AC601C" w:rsidRPr="004F2C74" w:rsidRDefault="00EA1C18" w:rsidP="00AC601C">
      <w:pPr>
        <w:spacing w:before="0" w:after="200" w:line="276" w:lineRule="auto"/>
        <w:jc w:val="center"/>
        <w:rPr>
          <w:rFonts w:eastAsiaTheme="minorEastAsia" w:cs="Arial"/>
          <w:b/>
          <w:szCs w:val="24"/>
          <w:lang w:eastAsia="en-ZA"/>
        </w:rPr>
      </w:pPr>
      <w:r>
        <w:rPr>
          <w:rFonts w:eastAsiaTheme="minorEastAsia" w:cs="Arial"/>
          <w:b/>
          <w:szCs w:val="24"/>
          <w:lang w:eastAsia="en-ZA"/>
        </w:rPr>
        <w:t>GAUTENG</w:t>
      </w:r>
      <w:r w:rsidR="00AC601C" w:rsidRPr="004F2C74">
        <w:rPr>
          <w:rFonts w:eastAsiaTheme="minorEastAsia" w:cs="Arial"/>
          <w:b/>
          <w:szCs w:val="24"/>
          <w:lang w:eastAsia="en-ZA"/>
        </w:rPr>
        <w:t xml:space="preserve"> DIVISION, JOHANNESBURG</w:t>
      </w:r>
    </w:p>
    <w:p w:rsidR="007E6D2C" w:rsidRPr="004F2C74" w:rsidRDefault="008C5716" w:rsidP="00FE0DC6">
      <w:pPr>
        <w:spacing w:before="0" w:after="200" w:line="276" w:lineRule="auto"/>
        <w:jc w:val="right"/>
        <w:rPr>
          <w:rFonts w:eastAsiaTheme="minorEastAsia" w:cs="Arial"/>
          <w:szCs w:val="24"/>
          <w:lang w:eastAsia="en-ZA"/>
        </w:rPr>
      </w:pPr>
      <w:r>
        <w:rPr>
          <w:rFonts w:eastAsiaTheme="minorEastAsia" w:cs="Arial"/>
          <w:szCs w:val="24"/>
          <w:lang w:eastAsia="en-ZA"/>
        </w:rPr>
        <w:t>CASE NUMBER:</w:t>
      </w:r>
      <w:r w:rsidRPr="008C5716">
        <w:rPr>
          <w:rFonts w:cs="Arial"/>
          <w:color w:val="000000"/>
          <w:u w:color="000000"/>
          <w:lang w:eastAsia="en-ZA"/>
        </w:rPr>
        <w:t xml:space="preserve"> </w:t>
      </w:r>
      <w:r>
        <w:rPr>
          <w:rFonts w:cs="Arial"/>
          <w:color w:val="000000"/>
          <w:u w:color="000000"/>
          <w:lang w:eastAsia="en-ZA"/>
        </w:rPr>
        <w:t>37520/2021</w:t>
      </w:r>
    </w:p>
    <w:p w:rsidR="00AC601C" w:rsidRPr="004F2C74" w:rsidRDefault="007E6D2C" w:rsidP="00AC601C">
      <w:pPr>
        <w:spacing w:before="0" w:after="200" w:line="276" w:lineRule="auto"/>
        <w:jc w:val="right"/>
        <w:rPr>
          <w:rFonts w:ascii="Times New Roman" w:eastAsiaTheme="minorEastAsia" w:hAnsi="Times New Roman"/>
          <w:szCs w:val="24"/>
          <w:lang w:eastAsia="en-ZA"/>
        </w:rPr>
      </w:pPr>
      <w:r w:rsidRPr="004F2C74">
        <w:rPr>
          <w:rFonts w:asciiTheme="minorHAnsi" w:eastAsiaTheme="minorHAnsi" w:hAnsiTheme="minorHAnsi" w:cstheme="minorBidi"/>
          <w:noProof/>
          <w:sz w:val="22"/>
          <w:szCs w:val="22"/>
          <w:lang w:eastAsia="en-ZA"/>
        </w:rPr>
        <mc:AlternateContent>
          <mc:Choice Requires="wps">
            <w:drawing>
              <wp:anchor distT="0" distB="0" distL="114300" distR="114300" simplePos="0" relativeHeight="251659264" behindDoc="0" locked="0" layoutInCell="1" allowOverlap="1" wp14:anchorId="775B67B4" wp14:editId="08A658C2">
                <wp:simplePos x="0" y="0"/>
                <wp:positionH relativeFrom="column">
                  <wp:posOffset>-447674</wp:posOffset>
                </wp:positionH>
                <wp:positionV relativeFrom="paragraph">
                  <wp:posOffset>179070</wp:posOffset>
                </wp:positionV>
                <wp:extent cx="3636010" cy="12192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219200"/>
                        </a:xfrm>
                        <a:prstGeom prst="rect">
                          <a:avLst/>
                        </a:prstGeom>
                        <a:solidFill>
                          <a:srgbClr val="FFFFFF"/>
                        </a:solidFill>
                        <a:ln w="9525">
                          <a:solidFill>
                            <a:srgbClr val="000000"/>
                          </a:solidFill>
                          <a:miter lim="800000"/>
                          <a:headEnd/>
                          <a:tailEnd/>
                        </a:ln>
                      </wps:spPr>
                      <wps:txbx>
                        <w:txbxContent>
                          <w:p w:rsidR="00AC601C" w:rsidRPr="0038792A" w:rsidRDefault="00AC601C" w:rsidP="00AC601C">
                            <w:pPr>
                              <w:rPr>
                                <w:rFonts w:ascii="Century Gothic" w:hAnsi="Century Gothic" w:cs="Arial"/>
                                <w:b/>
                                <w:sz w:val="20"/>
                              </w:rPr>
                            </w:pPr>
                            <w:r w:rsidRPr="0038792A">
                              <w:rPr>
                                <w:rFonts w:ascii="Century Gothic" w:hAnsi="Century Gothic" w:cs="Arial"/>
                                <w:b/>
                                <w:sz w:val="20"/>
                              </w:rPr>
                              <w:t>DELETE WHICHEVER IS NOT APPLICABLE</w:t>
                            </w:r>
                          </w:p>
                          <w:p w:rsidR="00AC601C" w:rsidRPr="0038792A" w:rsidRDefault="00AC601C" w:rsidP="00AC601C">
                            <w:pPr>
                              <w:numPr>
                                <w:ilvl w:val="0"/>
                                <w:numId w:val="1"/>
                              </w:numPr>
                              <w:spacing w:before="0" w:after="0" w:line="240" w:lineRule="auto"/>
                              <w:rPr>
                                <w:rFonts w:ascii="Century Gothic" w:hAnsi="Century Gothic"/>
                                <w:sz w:val="20"/>
                              </w:rPr>
                            </w:pPr>
                            <w:r>
                              <w:rPr>
                                <w:rFonts w:ascii="Century Gothic" w:hAnsi="Century Gothic"/>
                                <w:sz w:val="20"/>
                              </w:rPr>
                              <w:t xml:space="preserve">REPORTABLE: </w:t>
                            </w:r>
                            <w:r w:rsidR="00A44463">
                              <w:rPr>
                                <w:rFonts w:ascii="Century Gothic" w:hAnsi="Century Gothic"/>
                                <w:sz w:val="20"/>
                              </w:rPr>
                              <w:t>YES</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OF </w:t>
                            </w:r>
                            <w:r w:rsidR="00A44463">
                              <w:rPr>
                                <w:rFonts w:ascii="Century Gothic" w:hAnsi="Century Gothic"/>
                                <w:sz w:val="20"/>
                              </w:rPr>
                              <w:t>INTEREST TO OTHER JUDGES: YES</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REVISED: </w:t>
                            </w:r>
                          </w:p>
                          <w:p w:rsidR="00AC601C" w:rsidRPr="0038792A" w:rsidRDefault="00AC601C" w:rsidP="00AC601C">
                            <w:pPr>
                              <w:rPr>
                                <w:rFonts w:ascii="Century Gothic" w:hAnsi="Century Gothic"/>
                                <w:sz w:val="20"/>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r>
                              <w:rPr>
                                <w:rFonts w:ascii="Century Gothic" w:hAnsi="Century Gothic"/>
                                <w:sz w:val="28"/>
                                <w:szCs w:val="28"/>
                              </w:rPr>
                              <w:t>____________________        ____________________</w:t>
                            </w:r>
                          </w:p>
                          <w:p w:rsidR="00AC601C" w:rsidRDefault="00AC601C" w:rsidP="00AC601C">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Pr="009533D5" w:rsidRDefault="00AC601C" w:rsidP="00AC601C">
                            <w:pPr>
                              <w:rPr>
                                <w:rFonts w:ascii="Century Gothic" w:hAnsi="Century Gothic"/>
                                <w:sz w:val="28"/>
                                <w:szCs w:val="2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Pr="00B93709" w:rsidRDefault="00AC601C" w:rsidP="00AC601C">
                            <w:pPr>
                              <w:rPr>
                                <w:rFonts w:ascii="Century Gothic" w:hAnsi="Century Gothic"/>
                                <w:b/>
                                <w:sz w:val="18"/>
                                <w:szCs w:val="18"/>
                              </w:rPr>
                            </w:pPr>
                          </w:p>
                          <w:p w:rsidR="00AC601C" w:rsidRPr="00B93709" w:rsidRDefault="00AC601C" w:rsidP="00AC601C">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B67B4" id="_x0000_t202" coordsize="21600,21600" o:spt="202" path="m,l,21600r21600,l21600,xe">
                <v:stroke joinstyle="miter"/>
                <v:path gradientshapeok="t" o:connecttype="rect"/>
              </v:shapetype>
              <v:shape id="Text Box 2" o:spid="_x0000_s1026" type="#_x0000_t202" style="position:absolute;left:0;text-align:left;margin-left:-35.25pt;margin-top:14.1pt;width:286.3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">
                <v:textbox>
                  <w:txbxContent>
                    <w:p w:rsidR="00AC601C" w:rsidRPr="0038792A" w:rsidRDefault="00AC601C" w:rsidP="00AC601C">
                      <w:pPr>
                        <w:rPr>
                          <w:rFonts w:ascii="Century Gothic" w:hAnsi="Century Gothic" w:cs="Arial"/>
                          <w:b/>
                          <w:sz w:val="20"/>
                        </w:rPr>
                      </w:pPr>
                      <w:r w:rsidRPr="0038792A">
                        <w:rPr>
                          <w:rFonts w:ascii="Century Gothic" w:hAnsi="Century Gothic" w:cs="Arial"/>
                          <w:b/>
                          <w:sz w:val="20"/>
                        </w:rPr>
                        <w:t>DELETE WHICHEVER IS NOT APPLICABLE</w:t>
                      </w:r>
                    </w:p>
                    <w:p w:rsidR="00AC601C" w:rsidRPr="0038792A" w:rsidRDefault="00AC601C" w:rsidP="00AC601C">
                      <w:pPr>
                        <w:numPr>
                          <w:ilvl w:val="0"/>
                          <w:numId w:val="1"/>
                        </w:numPr>
                        <w:spacing w:before="0" w:after="0" w:line="240" w:lineRule="auto"/>
                        <w:rPr>
                          <w:rFonts w:ascii="Century Gothic" w:hAnsi="Century Gothic"/>
                          <w:sz w:val="20"/>
                        </w:rPr>
                      </w:pPr>
                      <w:r>
                        <w:rPr>
                          <w:rFonts w:ascii="Century Gothic" w:hAnsi="Century Gothic"/>
                          <w:sz w:val="20"/>
                        </w:rPr>
                        <w:t xml:space="preserve">REPORTABLE: </w:t>
                      </w:r>
                      <w:r w:rsidR="00A44463">
                        <w:rPr>
                          <w:rFonts w:ascii="Century Gothic" w:hAnsi="Century Gothic"/>
                          <w:sz w:val="20"/>
                        </w:rPr>
                        <w:t>YES</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OF </w:t>
                      </w:r>
                      <w:r w:rsidR="00A44463">
                        <w:rPr>
                          <w:rFonts w:ascii="Century Gothic" w:hAnsi="Century Gothic"/>
                          <w:sz w:val="20"/>
                        </w:rPr>
                        <w:t>INTEREST TO OTHER JUDGES: YES</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REVISED: </w:t>
                      </w:r>
                    </w:p>
                    <w:p w:rsidR="00AC601C" w:rsidRPr="0038792A" w:rsidRDefault="00AC601C" w:rsidP="00AC601C">
                      <w:pPr>
                        <w:rPr>
                          <w:rFonts w:ascii="Century Gothic" w:hAnsi="Century Gothic"/>
                          <w:sz w:val="20"/>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r>
                        <w:rPr>
                          <w:rFonts w:ascii="Century Gothic" w:hAnsi="Century Gothic"/>
                          <w:sz w:val="28"/>
                          <w:szCs w:val="28"/>
                        </w:rPr>
                        <w:t>____________________        ____________________</w:t>
                      </w:r>
                    </w:p>
                    <w:p w:rsidR="00AC601C" w:rsidRDefault="00AC601C" w:rsidP="00AC601C">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Pr="009533D5" w:rsidRDefault="00AC601C" w:rsidP="00AC601C">
                      <w:pPr>
                        <w:rPr>
                          <w:rFonts w:ascii="Century Gothic" w:hAnsi="Century Gothic"/>
                          <w:sz w:val="28"/>
                          <w:szCs w:val="2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Pr="00B93709" w:rsidRDefault="00AC601C" w:rsidP="00AC601C">
                      <w:pPr>
                        <w:rPr>
                          <w:rFonts w:ascii="Century Gothic" w:hAnsi="Century Gothic"/>
                          <w:b/>
                          <w:sz w:val="18"/>
                          <w:szCs w:val="18"/>
                        </w:rPr>
                      </w:pPr>
                    </w:p>
                    <w:p w:rsidR="00AC601C" w:rsidRPr="00B93709" w:rsidRDefault="00AC601C" w:rsidP="00AC601C">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outlineLvl w:val="0"/>
        <w:rPr>
          <w:rFonts w:ascii="Times New Roman" w:eastAsiaTheme="minorEastAsia" w:hAnsi="Times New Roman"/>
          <w:b/>
          <w:szCs w:val="24"/>
          <w:lang w:eastAsia="en-ZA"/>
        </w:rPr>
      </w:pPr>
    </w:p>
    <w:p w:rsidR="00C7444A" w:rsidRDefault="00145CA6" w:rsidP="00AC601C">
      <w:pPr>
        <w:jc w:val="both"/>
        <w:rPr>
          <w:szCs w:val="24"/>
        </w:rPr>
      </w:pPr>
      <w:r>
        <w:rPr>
          <w:szCs w:val="24"/>
        </w:rPr>
        <w:t xml:space="preserve">In the </w:t>
      </w:r>
      <w:r w:rsidR="007E6D2C">
        <w:rPr>
          <w:szCs w:val="24"/>
        </w:rPr>
        <w:t>application of</w:t>
      </w:r>
      <w:r w:rsidR="00AC601C" w:rsidRPr="004F2C74">
        <w:rPr>
          <w:szCs w:val="24"/>
        </w:rPr>
        <w:t>:</w:t>
      </w:r>
    </w:p>
    <w:p w:rsidR="00E53D4B" w:rsidRDefault="00F47404" w:rsidP="00AC601C">
      <w:pPr>
        <w:jc w:val="both"/>
        <w:rPr>
          <w:szCs w:val="24"/>
        </w:rPr>
      </w:pPr>
      <w:r w:rsidRPr="00F47404">
        <w:rPr>
          <w:b/>
          <w:szCs w:val="24"/>
        </w:rPr>
        <w:t>CENTAUR MINING SOUTH AFRICA (PTY) LTD</w:t>
      </w:r>
      <w:r w:rsidR="00E53D4B">
        <w:rPr>
          <w:szCs w:val="24"/>
        </w:rPr>
        <w:t xml:space="preserve">                                                               Applicant</w:t>
      </w:r>
    </w:p>
    <w:p w:rsidR="00E53D4B" w:rsidRDefault="00E53D4B" w:rsidP="00AC601C">
      <w:pPr>
        <w:jc w:val="both"/>
        <w:rPr>
          <w:szCs w:val="24"/>
        </w:rPr>
      </w:pPr>
    </w:p>
    <w:p w:rsidR="00E53D4B" w:rsidRDefault="005D4E0D" w:rsidP="00E53D4B">
      <w:pPr>
        <w:jc w:val="both"/>
        <w:rPr>
          <w:szCs w:val="24"/>
        </w:rPr>
      </w:pPr>
      <w:proofErr w:type="gramStart"/>
      <w:r>
        <w:rPr>
          <w:szCs w:val="24"/>
        </w:rPr>
        <w:t>and</w:t>
      </w:r>
      <w:proofErr w:type="gramEnd"/>
    </w:p>
    <w:p w:rsidR="00F47404" w:rsidRDefault="00F47404" w:rsidP="00AC601C">
      <w:pPr>
        <w:jc w:val="both"/>
        <w:rPr>
          <w:szCs w:val="24"/>
        </w:rPr>
      </w:pPr>
    </w:p>
    <w:p w:rsidR="00F47404" w:rsidRDefault="00F47404" w:rsidP="00AC601C">
      <w:pPr>
        <w:jc w:val="both"/>
        <w:rPr>
          <w:szCs w:val="24"/>
        </w:rPr>
      </w:pPr>
      <w:r w:rsidRPr="0083598C">
        <w:rPr>
          <w:rFonts w:cs="Arial"/>
          <w:b/>
          <w:bCs/>
          <w:color w:val="000000"/>
          <w:u w:color="000000"/>
          <w:lang w:eastAsia="en-ZA"/>
        </w:rPr>
        <w:t>CLOETE MURRAY N.O.</w:t>
      </w:r>
      <w:r w:rsidR="00AC601C">
        <w:rPr>
          <w:szCs w:val="24"/>
        </w:rPr>
        <w:t xml:space="preserve">     </w:t>
      </w:r>
      <w:r w:rsidR="00145CA6">
        <w:rPr>
          <w:szCs w:val="24"/>
        </w:rPr>
        <w:t xml:space="preserve">    </w:t>
      </w:r>
      <w:r w:rsidR="00E53D4B">
        <w:rPr>
          <w:szCs w:val="24"/>
        </w:rPr>
        <w:t xml:space="preserve">                         </w:t>
      </w:r>
      <w:r>
        <w:rPr>
          <w:szCs w:val="24"/>
        </w:rPr>
        <w:t xml:space="preserve">                                          </w:t>
      </w:r>
      <w:r w:rsidR="00E53D4B">
        <w:rPr>
          <w:szCs w:val="24"/>
        </w:rPr>
        <w:t xml:space="preserve">  1</w:t>
      </w:r>
      <w:r w:rsidR="00E53D4B" w:rsidRPr="00E53D4B">
        <w:rPr>
          <w:szCs w:val="24"/>
          <w:vertAlign w:val="superscript"/>
        </w:rPr>
        <w:t>st</w:t>
      </w:r>
      <w:r w:rsidR="00E53D4B">
        <w:rPr>
          <w:szCs w:val="24"/>
        </w:rPr>
        <w:t xml:space="preserve"> Respondent</w:t>
      </w:r>
      <w:r w:rsidR="00145CA6">
        <w:rPr>
          <w:szCs w:val="24"/>
        </w:rPr>
        <w:t xml:space="preserve">                                 </w:t>
      </w:r>
    </w:p>
    <w:p w:rsidR="00F47404" w:rsidRDefault="00F47404" w:rsidP="00AC601C">
      <w:pPr>
        <w:jc w:val="both"/>
        <w:rPr>
          <w:szCs w:val="24"/>
        </w:rPr>
      </w:pPr>
      <w:r w:rsidRPr="0083598C">
        <w:rPr>
          <w:rFonts w:cs="Arial"/>
          <w:b/>
          <w:bCs/>
          <w:color w:val="000000"/>
          <w:u w:color="000000"/>
          <w:lang w:eastAsia="en-ZA"/>
        </w:rPr>
        <w:t>SIVALUTCHMEE MOODLIAR N.O.</w:t>
      </w:r>
      <w:r w:rsidR="00145CA6">
        <w:rPr>
          <w:b/>
          <w:szCs w:val="24"/>
        </w:rPr>
        <w:t xml:space="preserve">                                                          </w:t>
      </w:r>
      <w:r w:rsidR="00145CA6">
        <w:rPr>
          <w:szCs w:val="24"/>
        </w:rPr>
        <w:t>2</w:t>
      </w:r>
      <w:r w:rsidR="00145CA6" w:rsidRPr="00145CA6">
        <w:rPr>
          <w:szCs w:val="24"/>
          <w:vertAlign w:val="superscript"/>
        </w:rPr>
        <w:t>nd</w:t>
      </w:r>
      <w:r w:rsidR="00E53D4B">
        <w:rPr>
          <w:szCs w:val="24"/>
        </w:rPr>
        <w:t xml:space="preserve"> Respondent</w:t>
      </w:r>
      <w:r w:rsidR="00145CA6">
        <w:rPr>
          <w:szCs w:val="24"/>
        </w:rPr>
        <w:t xml:space="preserve"> </w:t>
      </w:r>
    </w:p>
    <w:p w:rsidR="00F47404" w:rsidRDefault="00F47404" w:rsidP="00AC601C">
      <w:pPr>
        <w:jc w:val="both"/>
        <w:rPr>
          <w:rFonts w:cs="Arial"/>
          <w:b/>
          <w:bCs/>
          <w:color w:val="000000"/>
          <w:u w:color="000000"/>
          <w:lang w:eastAsia="en-ZA"/>
        </w:rPr>
      </w:pPr>
      <w:r w:rsidRPr="0083598C">
        <w:rPr>
          <w:rFonts w:cs="Arial"/>
          <w:b/>
          <w:bCs/>
          <w:color w:val="000000"/>
          <w:u w:color="000000"/>
          <w:lang w:eastAsia="en-ZA"/>
        </w:rPr>
        <w:t>NDUMISO SENZOSENKOSI SIBIYA N.O.</w:t>
      </w:r>
    </w:p>
    <w:p w:rsidR="00F47404" w:rsidRPr="0083598C" w:rsidRDefault="00F47404" w:rsidP="00F47404">
      <w:pPr>
        <w:tabs>
          <w:tab w:val="right" w:pos="8505"/>
        </w:tabs>
        <w:suppressAutoHyphens/>
        <w:rPr>
          <w:rFonts w:cs="Arial"/>
          <w:color w:val="000000"/>
          <w:u w:color="000000"/>
          <w:lang w:eastAsia="en-ZA"/>
        </w:rPr>
      </w:pPr>
      <w:r w:rsidRPr="0083598C">
        <w:rPr>
          <w:rFonts w:cs="Arial"/>
          <w:color w:val="000000"/>
          <w:u w:color="000000"/>
          <w:lang w:eastAsia="en-ZA"/>
        </w:rPr>
        <w:t xml:space="preserve">[In their capacities as duly appointed joint provisional </w:t>
      </w:r>
    </w:p>
    <w:p w:rsidR="00581F30" w:rsidRDefault="00F47404" w:rsidP="00F47404">
      <w:pPr>
        <w:tabs>
          <w:tab w:val="right" w:pos="8505"/>
        </w:tabs>
        <w:suppressAutoHyphens/>
        <w:rPr>
          <w:szCs w:val="24"/>
        </w:rPr>
      </w:pPr>
      <w:proofErr w:type="gramStart"/>
      <w:r w:rsidRPr="0083598C">
        <w:rPr>
          <w:rFonts w:cs="Arial"/>
          <w:color w:val="000000"/>
          <w:u w:color="000000"/>
          <w:lang w:eastAsia="en-ZA"/>
        </w:rPr>
        <w:t>liquidators</w:t>
      </w:r>
      <w:proofErr w:type="gramEnd"/>
      <w:r w:rsidRPr="0083598C">
        <w:rPr>
          <w:rFonts w:cs="Arial"/>
          <w:color w:val="000000"/>
          <w:u w:color="000000"/>
          <w:lang w:eastAsia="en-ZA"/>
        </w:rPr>
        <w:t xml:space="preserve"> of Trillian Management Consulting (Pty) Ltd]</w:t>
      </w:r>
      <w:r>
        <w:rPr>
          <w:rFonts w:cs="Arial"/>
          <w:color w:val="000000"/>
          <w:u w:color="000000"/>
          <w:lang w:eastAsia="en-ZA"/>
        </w:rPr>
        <w:t xml:space="preserve">                            </w:t>
      </w:r>
      <w:r w:rsidR="00E53D4B">
        <w:rPr>
          <w:szCs w:val="24"/>
        </w:rPr>
        <w:t>3</w:t>
      </w:r>
      <w:r w:rsidR="00E53D4B" w:rsidRPr="00E53D4B">
        <w:rPr>
          <w:szCs w:val="24"/>
          <w:vertAlign w:val="superscript"/>
        </w:rPr>
        <w:t>rd</w:t>
      </w:r>
      <w:r w:rsidR="00E53D4B">
        <w:rPr>
          <w:szCs w:val="24"/>
        </w:rPr>
        <w:t xml:space="preserve"> Respondent</w:t>
      </w:r>
      <w:r w:rsidR="00AC601C" w:rsidRPr="00145CA6">
        <w:rPr>
          <w:szCs w:val="24"/>
        </w:rPr>
        <w:t xml:space="preserve"> </w:t>
      </w:r>
    </w:p>
    <w:p w:rsidR="00F47404" w:rsidRDefault="00F47404" w:rsidP="00F47404">
      <w:pPr>
        <w:tabs>
          <w:tab w:val="right" w:pos="8505"/>
        </w:tabs>
        <w:suppressAutoHyphens/>
        <w:rPr>
          <w:rFonts w:cs="Arial"/>
          <w:b/>
          <w:color w:val="000000"/>
          <w:u w:color="000000"/>
          <w:lang w:eastAsia="en-ZA"/>
        </w:rPr>
      </w:pPr>
      <w:r w:rsidRPr="00F47404">
        <w:rPr>
          <w:rFonts w:cs="Arial"/>
          <w:b/>
          <w:color w:val="000000"/>
          <w:u w:color="000000"/>
          <w:lang w:eastAsia="en-ZA"/>
        </w:rPr>
        <w:t>TRILLIAN CAPITAL PARTNERS (PTY) LTD</w:t>
      </w:r>
      <w:r>
        <w:rPr>
          <w:rFonts w:cs="Arial"/>
          <w:b/>
          <w:color w:val="000000"/>
          <w:u w:color="000000"/>
          <w:lang w:eastAsia="en-ZA"/>
        </w:rPr>
        <w:t xml:space="preserve">                                           </w:t>
      </w:r>
      <w:r w:rsidRPr="00F47404">
        <w:rPr>
          <w:rFonts w:cs="Arial"/>
          <w:color w:val="000000"/>
          <w:u w:color="000000"/>
          <w:lang w:eastAsia="en-ZA"/>
        </w:rPr>
        <w:t>4</w:t>
      </w:r>
      <w:r w:rsidRPr="00F47404">
        <w:rPr>
          <w:rFonts w:cs="Arial"/>
          <w:color w:val="000000"/>
          <w:u w:color="000000"/>
          <w:vertAlign w:val="superscript"/>
          <w:lang w:eastAsia="en-ZA"/>
        </w:rPr>
        <w:t>th</w:t>
      </w:r>
      <w:r w:rsidRPr="00F47404">
        <w:rPr>
          <w:rFonts w:cs="Arial"/>
          <w:color w:val="000000"/>
          <w:u w:color="000000"/>
          <w:lang w:eastAsia="en-ZA"/>
        </w:rPr>
        <w:t xml:space="preserve"> Respondent</w:t>
      </w:r>
      <w:r>
        <w:rPr>
          <w:rFonts w:cs="Arial"/>
          <w:b/>
          <w:color w:val="000000"/>
          <w:u w:color="000000"/>
          <w:lang w:eastAsia="en-ZA"/>
        </w:rPr>
        <w:t xml:space="preserve"> </w:t>
      </w:r>
    </w:p>
    <w:p w:rsidR="003E0A84" w:rsidRDefault="003E0A84" w:rsidP="00F47404">
      <w:pPr>
        <w:tabs>
          <w:tab w:val="right" w:pos="8505"/>
        </w:tabs>
        <w:suppressAutoHyphens/>
        <w:rPr>
          <w:rFonts w:eastAsia="Arial" w:cs="Arial"/>
          <w:bCs/>
          <w:color w:val="000000"/>
          <w:u w:color="000000"/>
          <w:lang w:eastAsia="en-ZA"/>
        </w:rPr>
      </w:pPr>
      <w:r w:rsidRPr="0083598C">
        <w:rPr>
          <w:rFonts w:eastAsia="Arial" w:cs="Arial"/>
          <w:b/>
          <w:bCs/>
          <w:color w:val="000000"/>
          <w:u w:color="000000"/>
          <w:lang w:eastAsia="en-ZA"/>
        </w:rPr>
        <w:t>TRILLIAN SECURITIES (PTY) LTD</w:t>
      </w:r>
      <w:r>
        <w:rPr>
          <w:rFonts w:eastAsia="Arial" w:cs="Arial"/>
          <w:b/>
          <w:bCs/>
          <w:color w:val="000000"/>
          <w:u w:color="000000"/>
          <w:lang w:eastAsia="en-ZA"/>
        </w:rPr>
        <w:t xml:space="preserve">                                                          </w:t>
      </w:r>
      <w:r>
        <w:rPr>
          <w:rFonts w:eastAsia="Arial" w:cs="Arial"/>
          <w:bCs/>
          <w:color w:val="000000"/>
          <w:u w:color="000000"/>
          <w:lang w:eastAsia="en-ZA"/>
        </w:rPr>
        <w:t>5</w:t>
      </w:r>
      <w:r w:rsidRPr="003E0A84">
        <w:rPr>
          <w:rFonts w:eastAsia="Arial" w:cs="Arial"/>
          <w:bCs/>
          <w:color w:val="000000"/>
          <w:u w:color="000000"/>
          <w:vertAlign w:val="superscript"/>
          <w:lang w:eastAsia="en-ZA"/>
        </w:rPr>
        <w:t>th</w:t>
      </w:r>
      <w:r>
        <w:rPr>
          <w:rFonts w:eastAsia="Arial" w:cs="Arial"/>
          <w:bCs/>
          <w:color w:val="000000"/>
          <w:u w:color="000000"/>
          <w:lang w:eastAsia="en-ZA"/>
        </w:rPr>
        <w:t xml:space="preserve"> Respondent </w:t>
      </w:r>
    </w:p>
    <w:p w:rsidR="003E0A84" w:rsidRDefault="003E0A84" w:rsidP="00F47404">
      <w:pPr>
        <w:tabs>
          <w:tab w:val="right" w:pos="8505"/>
        </w:tabs>
        <w:suppressAutoHyphens/>
        <w:rPr>
          <w:rFonts w:eastAsia="Arial" w:cs="Arial"/>
          <w:bCs/>
          <w:color w:val="000000"/>
          <w:u w:color="000000"/>
          <w:lang w:eastAsia="en-ZA"/>
        </w:rPr>
      </w:pPr>
      <w:r w:rsidRPr="0083598C">
        <w:rPr>
          <w:rFonts w:eastAsia="Arial" w:cs="Arial"/>
          <w:b/>
          <w:bCs/>
          <w:color w:val="000000"/>
          <w:u w:color="000000"/>
          <w:lang w:eastAsia="en-ZA"/>
        </w:rPr>
        <w:lastRenderedPageBreak/>
        <w:t>TRILLIAN NOMINEES (PTY) LTD</w:t>
      </w:r>
      <w:r>
        <w:rPr>
          <w:rFonts w:eastAsia="Arial" w:cs="Arial"/>
          <w:b/>
          <w:bCs/>
          <w:color w:val="000000"/>
          <w:u w:color="000000"/>
          <w:lang w:eastAsia="en-ZA"/>
        </w:rPr>
        <w:t xml:space="preserve">                                                            </w:t>
      </w:r>
      <w:r>
        <w:rPr>
          <w:rFonts w:eastAsia="Arial" w:cs="Arial"/>
          <w:bCs/>
          <w:color w:val="000000"/>
          <w:u w:color="000000"/>
          <w:lang w:eastAsia="en-ZA"/>
        </w:rPr>
        <w:t>6</w:t>
      </w:r>
      <w:r w:rsidRPr="003E0A84">
        <w:rPr>
          <w:rFonts w:eastAsia="Arial" w:cs="Arial"/>
          <w:bCs/>
          <w:color w:val="000000"/>
          <w:u w:color="000000"/>
          <w:vertAlign w:val="superscript"/>
          <w:lang w:eastAsia="en-ZA"/>
        </w:rPr>
        <w:t>th</w:t>
      </w:r>
      <w:r>
        <w:rPr>
          <w:rFonts w:eastAsia="Arial" w:cs="Arial"/>
          <w:bCs/>
          <w:color w:val="000000"/>
          <w:u w:color="000000"/>
          <w:lang w:eastAsia="en-ZA"/>
        </w:rPr>
        <w:t xml:space="preserve"> Respondent </w:t>
      </w:r>
    </w:p>
    <w:p w:rsidR="00852FD6" w:rsidRDefault="00852FD6" w:rsidP="00F47404">
      <w:pPr>
        <w:tabs>
          <w:tab w:val="right" w:pos="8505"/>
        </w:tabs>
        <w:suppressAutoHyphens/>
        <w:rPr>
          <w:rFonts w:eastAsia="Arial" w:cs="Arial"/>
          <w:bCs/>
          <w:color w:val="000000"/>
          <w:u w:color="000000"/>
          <w:lang w:eastAsia="en-ZA"/>
        </w:rPr>
      </w:pPr>
      <w:r w:rsidRPr="0083598C">
        <w:rPr>
          <w:rFonts w:eastAsia="Arial" w:cs="Arial"/>
          <w:b/>
          <w:bCs/>
          <w:color w:val="000000"/>
          <w:u w:color="000000"/>
          <w:lang w:eastAsia="en-ZA"/>
        </w:rPr>
        <w:t>TRILLIAN SHARED SERVICES (PTY) LTD</w:t>
      </w:r>
      <w:r>
        <w:rPr>
          <w:rFonts w:eastAsia="Arial" w:cs="Arial"/>
          <w:b/>
          <w:bCs/>
          <w:color w:val="000000"/>
          <w:u w:color="000000"/>
          <w:lang w:eastAsia="en-ZA"/>
        </w:rPr>
        <w:t xml:space="preserve">                                             </w:t>
      </w:r>
      <w:r>
        <w:rPr>
          <w:rFonts w:eastAsia="Arial" w:cs="Arial"/>
          <w:bCs/>
          <w:color w:val="000000"/>
          <w:u w:color="000000"/>
          <w:lang w:eastAsia="en-ZA"/>
        </w:rPr>
        <w:t>7</w:t>
      </w:r>
      <w:r w:rsidRPr="00852FD6">
        <w:rPr>
          <w:rFonts w:eastAsia="Arial" w:cs="Arial"/>
          <w:bCs/>
          <w:color w:val="000000"/>
          <w:u w:color="000000"/>
          <w:vertAlign w:val="superscript"/>
          <w:lang w:eastAsia="en-ZA"/>
        </w:rPr>
        <w:t>th</w:t>
      </w:r>
      <w:r>
        <w:rPr>
          <w:rFonts w:eastAsia="Arial" w:cs="Arial"/>
          <w:bCs/>
          <w:color w:val="000000"/>
          <w:u w:color="000000"/>
          <w:lang w:eastAsia="en-ZA"/>
        </w:rPr>
        <w:t xml:space="preserve"> Respondent </w:t>
      </w:r>
    </w:p>
    <w:p w:rsidR="00B81928" w:rsidRDefault="00B81928" w:rsidP="00F47404">
      <w:pPr>
        <w:tabs>
          <w:tab w:val="right" w:pos="8505"/>
        </w:tabs>
        <w:suppressAutoHyphens/>
        <w:rPr>
          <w:rFonts w:eastAsia="Arial" w:cs="Arial"/>
          <w:bCs/>
          <w:color w:val="000000"/>
          <w:u w:color="000000"/>
          <w:lang w:eastAsia="en-ZA"/>
        </w:rPr>
      </w:pPr>
      <w:r w:rsidRPr="0083598C">
        <w:rPr>
          <w:rFonts w:eastAsia="Arial" w:cs="Arial"/>
          <w:b/>
          <w:bCs/>
          <w:color w:val="000000"/>
          <w:u w:color="000000"/>
          <w:lang w:eastAsia="en-ZA"/>
        </w:rPr>
        <w:t>TRILLIAN PROPERTY (PTY) LTD</w:t>
      </w:r>
      <w:r>
        <w:rPr>
          <w:rFonts w:eastAsia="Arial" w:cs="Arial"/>
          <w:b/>
          <w:bCs/>
          <w:color w:val="000000"/>
          <w:u w:color="000000"/>
          <w:lang w:eastAsia="en-ZA"/>
        </w:rPr>
        <w:t xml:space="preserve">                                                            </w:t>
      </w:r>
      <w:r>
        <w:rPr>
          <w:rFonts w:eastAsia="Arial" w:cs="Arial"/>
          <w:bCs/>
          <w:color w:val="000000"/>
          <w:u w:color="000000"/>
          <w:lang w:eastAsia="en-ZA"/>
        </w:rPr>
        <w:t>8</w:t>
      </w:r>
      <w:r w:rsidRPr="00B81928">
        <w:rPr>
          <w:rFonts w:eastAsia="Arial" w:cs="Arial"/>
          <w:bCs/>
          <w:color w:val="000000"/>
          <w:u w:color="000000"/>
          <w:vertAlign w:val="superscript"/>
          <w:lang w:eastAsia="en-ZA"/>
        </w:rPr>
        <w:t>th</w:t>
      </w:r>
      <w:r>
        <w:rPr>
          <w:rFonts w:eastAsia="Arial" w:cs="Arial"/>
          <w:bCs/>
          <w:color w:val="000000"/>
          <w:u w:color="000000"/>
          <w:lang w:eastAsia="en-ZA"/>
        </w:rPr>
        <w:t xml:space="preserve"> Respondent </w:t>
      </w:r>
    </w:p>
    <w:p w:rsidR="00653AB8" w:rsidRPr="00653AB8" w:rsidRDefault="00653AB8" w:rsidP="00F47404">
      <w:pPr>
        <w:tabs>
          <w:tab w:val="right" w:pos="8505"/>
        </w:tabs>
        <w:suppressAutoHyphens/>
        <w:rPr>
          <w:rFonts w:cs="Arial"/>
          <w:color w:val="000000"/>
          <w:u w:color="000000"/>
          <w:lang w:eastAsia="en-ZA"/>
        </w:rPr>
      </w:pPr>
      <w:r w:rsidRPr="0083598C">
        <w:rPr>
          <w:rFonts w:eastAsia="Arial" w:cs="Arial"/>
          <w:b/>
          <w:bCs/>
          <w:color w:val="000000"/>
          <w:u w:color="000000"/>
          <w:lang w:eastAsia="en-ZA"/>
        </w:rPr>
        <w:t>TRILLIAN FINANCIAL ADVISORY (PTY) LTD</w:t>
      </w:r>
      <w:r>
        <w:rPr>
          <w:rFonts w:eastAsia="Arial" w:cs="Arial"/>
          <w:b/>
          <w:bCs/>
          <w:color w:val="000000"/>
          <w:u w:color="000000"/>
          <w:lang w:eastAsia="en-ZA"/>
        </w:rPr>
        <w:t xml:space="preserve">                                        </w:t>
      </w:r>
      <w:r>
        <w:rPr>
          <w:rFonts w:eastAsia="Arial" w:cs="Arial"/>
          <w:bCs/>
          <w:color w:val="000000"/>
          <w:u w:color="000000"/>
          <w:lang w:eastAsia="en-ZA"/>
        </w:rPr>
        <w:t>9</w:t>
      </w:r>
      <w:r w:rsidRPr="00653AB8">
        <w:rPr>
          <w:rFonts w:eastAsia="Arial" w:cs="Arial"/>
          <w:bCs/>
          <w:color w:val="000000"/>
          <w:u w:color="000000"/>
          <w:vertAlign w:val="superscript"/>
          <w:lang w:eastAsia="en-ZA"/>
        </w:rPr>
        <w:t>th</w:t>
      </w:r>
      <w:r>
        <w:rPr>
          <w:rFonts w:eastAsia="Arial" w:cs="Arial"/>
          <w:bCs/>
          <w:color w:val="000000"/>
          <w:u w:color="000000"/>
          <w:lang w:eastAsia="en-ZA"/>
        </w:rPr>
        <w:t xml:space="preserve"> Respondent</w:t>
      </w:r>
    </w:p>
    <w:p w:rsidR="006E2DAB" w:rsidRDefault="006E2DAB" w:rsidP="00AC601C">
      <w:pPr>
        <w:jc w:val="both"/>
        <w:rPr>
          <w:rFonts w:eastAsia="Arial" w:cs="Arial"/>
          <w:bCs/>
          <w:color w:val="000000"/>
          <w:u w:color="000000"/>
          <w:lang w:eastAsia="en-ZA"/>
        </w:rPr>
      </w:pPr>
      <w:r w:rsidRPr="0083598C">
        <w:rPr>
          <w:rFonts w:eastAsia="Arial" w:cs="Arial"/>
          <w:b/>
          <w:bCs/>
          <w:color w:val="000000"/>
          <w:u w:color="000000"/>
          <w:lang w:eastAsia="en-ZA"/>
        </w:rPr>
        <w:t>ZARA W (PTY) LTD</w:t>
      </w:r>
      <w:r>
        <w:rPr>
          <w:rFonts w:eastAsia="Arial" w:cs="Arial"/>
          <w:b/>
          <w:bCs/>
          <w:color w:val="000000"/>
          <w:u w:color="000000"/>
          <w:lang w:eastAsia="en-ZA"/>
        </w:rPr>
        <w:t xml:space="preserve">                                                                                     </w:t>
      </w:r>
      <w:r>
        <w:rPr>
          <w:rFonts w:eastAsia="Arial" w:cs="Arial"/>
          <w:bCs/>
          <w:color w:val="000000"/>
          <w:u w:color="000000"/>
          <w:lang w:eastAsia="en-ZA"/>
        </w:rPr>
        <w:t>10</w:t>
      </w:r>
      <w:r w:rsidRPr="006E2DAB">
        <w:rPr>
          <w:rFonts w:eastAsia="Arial" w:cs="Arial"/>
          <w:bCs/>
          <w:color w:val="000000"/>
          <w:u w:color="000000"/>
          <w:vertAlign w:val="superscript"/>
          <w:lang w:eastAsia="en-ZA"/>
        </w:rPr>
        <w:t>th</w:t>
      </w:r>
      <w:r>
        <w:rPr>
          <w:rFonts w:eastAsia="Arial" w:cs="Arial"/>
          <w:bCs/>
          <w:color w:val="000000"/>
          <w:u w:color="000000"/>
          <w:lang w:eastAsia="en-ZA"/>
        </w:rPr>
        <w:t xml:space="preserve"> Respondent </w:t>
      </w:r>
    </w:p>
    <w:p w:rsidR="006E2DAB" w:rsidRDefault="006E2DAB" w:rsidP="00AC601C">
      <w:pPr>
        <w:jc w:val="both"/>
        <w:rPr>
          <w:b/>
          <w:szCs w:val="24"/>
        </w:rPr>
      </w:pPr>
      <w:r w:rsidRPr="0083598C">
        <w:rPr>
          <w:rFonts w:eastAsia="Arial" w:cs="Arial"/>
          <w:b/>
          <w:bCs/>
          <w:color w:val="000000"/>
          <w:u w:color="000000"/>
          <w:lang w:eastAsia="en-ZA"/>
        </w:rPr>
        <w:t>THE MASTER OF THE HIGH COURT, PRETORIA</w:t>
      </w:r>
      <w:r>
        <w:rPr>
          <w:b/>
          <w:szCs w:val="24"/>
        </w:rPr>
        <w:t xml:space="preserve">                                 </w:t>
      </w:r>
      <w:r>
        <w:rPr>
          <w:szCs w:val="24"/>
        </w:rPr>
        <w:t>11</w:t>
      </w:r>
      <w:r w:rsidRPr="006E2DAB">
        <w:rPr>
          <w:szCs w:val="24"/>
          <w:vertAlign w:val="superscript"/>
        </w:rPr>
        <w:t>th</w:t>
      </w:r>
      <w:r>
        <w:rPr>
          <w:szCs w:val="24"/>
        </w:rPr>
        <w:t xml:space="preserve"> Respondent </w:t>
      </w:r>
      <w:r w:rsidR="00AC601C" w:rsidRPr="007E6D2C">
        <w:rPr>
          <w:b/>
          <w:szCs w:val="24"/>
        </w:rPr>
        <w:t xml:space="preserve">     </w:t>
      </w:r>
    </w:p>
    <w:p w:rsidR="006E2DAB" w:rsidRDefault="006E2DAB" w:rsidP="00AC601C">
      <w:pPr>
        <w:jc w:val="both"/>
        <w:rPr>
          <w:rFonts w:eastAsia="Arial" w:cs="Arial"/>
          <w:b/>
          <w:bCs/>
          <w:color w:val="000000"/>
          <w:u w:color="000000"/>
          <w:lang w:eastAsia="en-ZA"/>
        </w:rPr>
      </w:pPr>
      <w:r w:rsidRPr="0083598C">
        <w:rPr>
          <w:rFonts w:eastAsia="Arial" w:cs="Arial"/>
          <w:b/>
          <w:bCs/>
          <w:color w:val="000000"/>
          <w:u w:color="000000"/>
          <w:lang w:eastAsia="en-ZA"/>
        </w:rPr>
        <w:t>THE COMPANIES AND INTELLECTUAL PROPERTY</w:t>
      </w:r>
    </w:p>
    <w:p w:rsidR="000B4A55" w:rsidRDefault="00AC601C" w:rsidP="00AC601C">
      <w:pPr>
        <w:jc w:val="both"/>
        <w:rPr>
          <w:b/>
          <w:szCs w:val="24"/>
        </w:rPr>
      </w:pPr>
      <w:r w:rsidRPr="007E6D2C">
        <w:rPr>
          <w:b/>
          <w:szCs w:val="24"/>
        </w:rPr>
        <w:t xml:space="preserve"> </w:t>
      </w:r>
      <w:r w:rsidR="006E2DAB" w:rsidRPr="0083598C">
        <w:rPr>
          <w:rFonts w:eastAsia="Arial" w:cs="Arial"/>
          <w:b/>
          <w:bCs/>
          <w:color w:val="000000"/>
          <w:u w:color="000000"/>
          <w:lang w:eastAsia="en-ZA"/>
        </w:rPr>
        <w:t>COMMISSION</w:t>
      </w:r>
      <w:r w:rsidR="006E2DAB">
        <w:rPr>
          <w:rFonts w:eastAsia="Arial" w:cs="Arial"/>
          <w:b/>
          <w:bCs/>
          <w:color w:val="000000"/>
          <w:u w:color="000000"/>
          <w:lang w:eastAsia="en-ZA"/>
        </w:rPr>
        <w:t xml:space="preserve">                                                                                             </w:t>
      </w:r>
      <w:r w:rsidR="006E2DAB">
        <w:rPr>
          <w:rFonts w:eastAsia="Arial" w:cs="Arial"/>
          <w:bCs/>
          <w:color w:val="000000"/>
          <w:u w:color="000000"/>
          <w:lang w:eastAsia="en-ZA"/>
        </w:rPr>
        <w:t>12</w:t>
      </w:r>
      <w:r w:rsidR="006E2DAB" w:rsidRPr="006E2DAB">
        <w:rPr>
          <w:rFonts w:eastAsia="Arial" w:cs="Arial"/>
          <w:bCs/>
          <w:color w:val="000000"/>
          <w:u w:color="000000"/>
          <w:vertAlign w:val="superscript"/>
          <w:lang w:eastAsia="en-ZA"/>
        </w:rPr>
        <w:t>th</w:t>
      </w:r>
      <w:r w:rsidR="006E2DAB">
        <w:rPr>
          <w:rFonts w:eastAsia="Arial" w:cs="Arial"/>
          <w:bCs/>
          <w:color w:val="000000"/>
          <w:u w:color="000000"/>
          <w:lang w:eastAsia="en-ZA"/>
        </w:rPr>
        <w:t xml:space="preserve"> Respondent</w:t>
      </w:r>
      <w:r w:rsidRPr="007E6D2C">
        <w:rPr>
          <w:b/>
          <w:szCs w:val="24"/>
        </w:rPr>
        <w:t xml:space="preserve">  </w:t>
      </w:r>
    </w:p>
    <w:p w:rsidR="00AC601C" w:rsidRPr="006E2DAB" w:rsidRDefault="00AC601C" w:rsidP="00AC601C">
      <w:pPr>
        <w:jc w:val="both"/>
        <w:rPr>
          <w:rFonts w:eastAsia="Arial" w:cs="Arial"/>
          <w:bCs/>
          <w:color w:val="000000"/>
          <w:u w:color="000000"/>
          <w:lang w:eastAsia="en-ZA"/>
        </w:rPr>
      </w:pPr>
      <w:r w:rsidRPr="007E6D2C">
        <w:rPr>
          <w:b/>
          <w:szCs w:val="24"/>
        </w:rPr>
        <w:t xml:space="preserve">                              </w:t>
      </w:r>
      <w:r w:rsidR="008573AD" w:rsidRPr="007E6D2C">
        <w:rPr>
          <w:b/>
          <w:szCs w:val="24"/>
        </w:rPr>
        <w:t xml:space="preserve">     </w:t>
      </w:r>
      <w:r w:rsidR="007E6D2C" w:rsidRPr="007E6D2C">
        <w:rPr>
          <w:b/>
          <w:szCs w:val="24"/>
        </w:rPr>
        <w:t xml:space="preserve">          </w:t>
      </w:r>
    </w:p>
    <w:p w:rsidR="00AC601C" w:rsidRDefault="00AC601C" w:rsidP="00AC601C">
      <w:pPr>
        <w:jc w:val="both"/>
        <w:rPr>
          <w:szCs w:val="24"/>
        </w:rPr>
      </w:pPr>
      <w:r w:rsidRPr="00AC601C">
        <w:rPr>
          <w:b/>
          <w:szCs w:val="24"/>
        </w:rPr>
        <w:t>Coram:</w:t>
      </w:r>
      <w:r>
        <w:rPr>
          <w:b/>
          <w:szCs w:val="24"/>
        </w:rPr>
        <w:t xml:space="preserve"> </w:t>
      </w:r>
      <w:r w:rsidR="00EA1C18">
        <w:rPr>
          <w:szCs w:val="24"/>
        </w:rPr>
        <w:t>Wepener J</w:t>
      </w:r>
    </w:p>
    <w:p w:rsidR="007E6D2C" w:rsidRDefault="00CE0024" w:rsidP="009D12E5">
      <w:pPr>
        <w:jc w:val="both"/>
        <w:rPr>
          <w:szCs w:val="24"/>
        </w:rPr>
      </w:pPr>
      <w:r>
        <w:rPr>
          <w:b/>
          <w:szCs w:val="24"/>
        </w:rPr>
        <w:t>Date of hearing</w:t>
      </w:r>
      <w:r w:rsidR="00EA1C18">
        <w:rPr>
          <w:szCs w:val="24"/>
        </w:rPr>
        <w:t xml:space="preserve">: </w:t>
      </w:r>
      <w:r w:rsidR="00EB1DBA">
        <w:rPr>
          <w:szCs w:val="24"/>
        </w:rPr>
        <w:t>22</w:t>
      </w:r>
      <w:r w:rsidR="00EB1DBA">
        <w:rPr>
          <w:szCs w:val="24"/>
          <w:vertAlign w:val="superscript"/>
        </w:rPr>
        <w:t>nd</w:t>
      </w:r>
      <w:r w:rsidR="00EB1DBA">
        <w:rPr>
          <w:szCs w:val="24"/>
        </w:rPr>
        <w:t xml:space="preserve"> August </w:t>
      </w:r>
      <w:r w:rsidR="00BC7714">
        <w:rPr>
          <w:szCs w:val="24"/>
        </w:rPr>
        <w:t>2022</w:t>
      </w:r>
    </w:p>
    <w:p w:rsidR="00CE0024" w:rsidRDefault="00CE0024" w:rsidP="009D12E5">
      <w:pPr>
        <w:jc w:val="both"/>
        <w:rPr>
          <w:szCs w:val="24"/>
        </w:rPr>
      </w:pPr>
      <w:r>
        <w:rPr>
          <w:b/>
          <w:szCs w:val="24"/>
        </w:rPr>
        <w:t xml:space="preserve">Date of Judgment: </w:t>
      </w:r>
      <w:r w:rsidR="00D06BDC">
        <w:rPr>
          <w:szCs w:val="24"/>
        </w:rPr>
        <w:t>12</w:t>
      </w:r>
      <w:r w:rsidR="005D4E0D">
        <w:rPr>
          <w:szCs w:val="24"/>
        </w:rPr>
        <w:t xml:space="preserve"> September</w:t>
      </w:r>
      <w:r w:rsidR="00BC7714">
        <w:rPr>
          <w:szCs w:val="24"/>
        </w:rPr>
        <w:t xml:space="preserve"> 2022</w:t>
      </w:r>
    </w:p>
    <w:p w:rsidR="000B4A55" w:rsidRPr="00BC7714" w:rsidRDefault="000B4A55" w:rsidP="009D12E5">
      <w:pPr>
        <w:jc w:val="both"/>
        <w:rPr>
          <w:szCs w:val="24"/>
        </w:rPr>
      </w:pPr>
      <w:bookmarkStart w:id="0" w:name="_GoBack"/>
      <w:bookmarkEnd w:id="0"/>
    </w:p>
    <w:p w:rsidR="00213B75" w:rsidRDefault="00AA7DA7" w:rsidP="004F6B47">
      <w:pPr>
        <w:jc w:val="both"/>
        <w:rPr>
          <w:szCs w:val="24"/>
        </w:rPr>
      </w:pPr>
      <w:r w:rsidRPr="00AA7DA7">
        <w:rPr>
          <w:szCs w:val="24"/>
        </w:rPr>
        <w:t xml:space="preserve">This judgment is made an Order of Court by the Judge whose name is reflected herein, duly stamped by the Registrar of the Court and is submitted electronically to the Parties/their legal representatives by email.  The judgment is further uploaded to the electronic file of this matter on </w:t>
      </w:r>
      <w:proofErr w:type="spellStart"/>
      <w:r w:rsidRPr="00AA7DA7">
        <w:rPr>
          <w:szCs w:val="24"/>
        </w:rPr>
        <w:t>Caselines</w:t>
      </w:r>
      <w:proofErr w:type="spellEnd"/>
      <w:r w:rsidRPr="00AA7DA7">
        <w:rPr>
          <w:szCs w:val="24"/>
        </w:rPr>
        <w:t xml:space="preserve"> by the Judge </w:t>
      </w:r>
      <w:r w:rsidR="005D4E0D">
        <w:rPr>
          <w:szCs w:val="24"/>
        </w:rPr>
        <w:t xml:space="preserve">or </w:t>
      </w:r>
      <w:r w:rsidRPr="00AA7DA7">
        <w:rPr>
          <w:szCs w:val="24"/>
        </w:rPr>
        <w:t xml:space="preserve">his secretary.  The date </w:t>
      </w:r>
      <w:r w:rsidR="005D4E0D">
        <w:rPr>
          <w:szCs w:val="24"/>
        </w:rPr>
        <w:t xml:space="preserve">of this Order is deemed to </w:t>
      </w:r>
      <w:proofErr w:type="gramStart"/>
      <w:r w:rsidR="005D4E0D">
        <w:rPr>
          <w:szCs w:val="24"/>
        </w:rPr>
        <w:t>be  September</w:t>
      </w:r>
      <w:proofErr w:type="gramEnd"/>
      <w:r w:rsidRPr="00AA7DA7">
        <w:rPr>
          <w:szCs w:val="24"/>
        </w:rPr>
        <w:t xml:space="preserve"> 2022</w:t>
      </w:r>
      <w:r>
        <w:rPr>
          <w:szCs w:val="24"/>
        </w:rPr>
        <w:t>.</w:t>
      </w:r>
    </w:p>
    <w:p w:rsidR="00D24B9B" w:rsidRDefault="00D24B9B" w:rsidP="004F6B47">
      <w:pPr>
        <w:jc w:val="both"/>
        <w:rPr>
          <w:szCs w:val="24"/>
        </w:rPr>
      </w:pPr>
    </w:p>
    <w:p w:rsidR="00D24B9B" w:rsidRDefault="00D24B9B" w:rsidP="004F6B47">
      <w:pPr>
        <w:jc w:val="both"/>
        <w:rPr>
          <w:szCs w:val="24"/>
        </w:rPr>
      </w:pPr>
    </w:p>
    <w:p w:rsidR="00D24B9B" w:rsidRDefault="00D24B9B" w:rsidP="004F6B47">
      <w:pPr>
        <w:jc w:val="both"/>
        <w:rPr>
          <w:szCs w:val="24"/>
        </w:rPr>
      </w:pPr>
    </w:p>
    <w:p w:rsidR="00D24B9B" w:rsidRDefault="00D24B9B" w:rsidP="004F6B47">
      <w:pPr>
        <w:jc w:val="both"/>
        <w:rPr>
          <w:szCs w:val="24"/>
        </w:rPr>
      </w:pPr>
    </w:p>
    <w:p w:rsidR="00874065" w:rsidRDefault="00874065" w:rsidP="004F6B47">
      <w:pPr>
        <w:jc w:val="both"/>
        <w:rPr>
          <w:szCs w:val="24"/>
        </w:rPr>
      </w:pPr>
    </w:p>
    <w:p w:rsidR="00D24B9B" w:rsidRDefault="00D24B9B" w:rsidP="004F6B47">
      <w:pPr>
        <w:jc w:val="both"/>
        <w:rPr>
          <w:szCs w:val="24"/>
        </w:rPr>
      </w:pPr>
    </w:p>
    <w:p w:rsidR="00D24B9B" w:rsidRPr="007E0E1B" w:rsidRDefault="00D24B9B" w:rsidP="003F13E1">
      <w:pPr>
        <w:ind w:left="1276" w:hanging="1276"/>
        <w:jc w:val="both"/>
        <w:rPr>
          <w:szCs w:val="24"/>
        </w:rPr>
      </w:pPr>
      <w:r>
        <w:rPr>
          <w:b/>
          <w:szCs w:val="24"/>
        </w:rPr>
        <w:lastRenderedPageBreak/>
        <w:t xml:space="preserve">Summary: </w:t>
      </w:r>
      <w:r>
        <w:rPr>
          <w:szCs w:val="24"/>
        </w:rPr>
        <w:t>An order collapsing or integrating companies whose incorporation is found to be an unconscionable abuse of the juristic personality, may be granted in terms of s 20(9) of the Companies Act. The powers granted to</w:t>
      </w:r>
      <w:r w:rsidR="00C574B9">
        <w:rPr>
          <w:szCs w:val="24"/>
        </w:rPr>
        <w:t xml:space="preserve"> a</w:t>
      </w:r>
      <w:r>
        <w:rPr>
          <w:szCs w:val="24"/>
        </w:rPr>
        <w:t xml:space="preserve"> court </w:t>
      </w:r>
      <w:r w:rsidR="00A44463">
        <w:rPr>
          <w:szCs w:val="24"/>
        </w:rPr>
        <w:t>to make appropriate orders</w:t>
      </w:r>
      <w:r>
        <w:rPr>
          <w:szCs w:val="24"/>
        </w:rPr>
        <w:t xml:space="preserve"> include an order integrating it into a company in winding-up, as the powers contained in s 20(9</w:t>
      </w:r>
      <w:proofErr w:type="gramStart"/>
      <w:r>
        <w:rPr>
          <w:szCs w:val="24"/>
        </w:rPr>
        <w:t>)(</w:t>
      </w:r>
      <w:proofErr w:type="gramEnd"/>
      <w:r>
        <w:rPr>
          <w:szCs w:val="24"/>
        </w:rPr>
        <w:t>b) are sufficient to encompass an order referring the matter to the Master to perform certain further functions, which was necessary because the company into which the companies declared not to be separate juristic persons</w:t>
      </w:r>
      <w:r w:rsidR="00A44463">
        <w:rPr>
          <w:szCs w:val="24"/>
        </w:rPr>
        <w:t xml:space="preserve"> was integrated</w:t>
      </w:r>
      <w:r>
        <w:rPr>
          <w:szCs w:val="24"/>
        </w:rPr>
        <w:t>, was in liquidation.</w:t>
      </w:r>
    </w:p>
    <w:p w:rsidR="00AC601C" w:rsidRPr="00C44C2C" w:rsidRDefault="000B21D4" w:rsidP="00AC601C">
      <w:pPr>
        <w:pStyle w:val="Textinlines"/>
      </w:pPr>
      <w:r>
        <w:t xml:space="preserve">JUDGMENT </w:t>
      </w:r>
    </w:p>
    <w:p w:rsidR="00AC601C" w:rsidRDefault="00AC601C" w:rsidP="00AC601C">
      <w:pPr>
        <w:jc w:val="both"/>
        <w:rPr>
          <w:b/>
          <w:szCs w:val="24"/>
        </w:rPr>
      </w:pPr>
      <w:r w:rsidRPr="00AC601C">
        <w:rPr>
          <w:b/>
          <w:szCs w:val="24"/>
        </w:rPr>
        <w:t>Wepener, J</w:t>
      </w:r>
      <w:r>
        <w:rPr>
          <w:b/>
          <w:szCs w:val="24"/>
        </w:rPr>
        <w:t>:</w:t>
      </w:r>
    </w:p>
    <w:p w:rsidR="001401A8" w:rsidRDefault="004239B2" w:rsidP="00C31001">
      <w:pPr>
        <w:jc w:val="both"/>
        <w:rPr>
          <w:szCs w:val="24"/>
        </w:rPr>
      </w:pPr>
      <w:r>
        <w:rPr>
          <w:szCs w:val="24"/>
        </w:rPr>
        <w:t>[1]</w:t>
      </w:r>
      <w:r>
        <w:rPr>
          <w:szCs w:val="24"/>
        </w:rPr>
        <w:tab/>
        <w:t>The applicant (‘CMSA’) seeks a resciss</w:t>
      </w:r>
      <w:r w:rsidR="00BA5320">
        <w:rPr>
          <w:szCs w:val="24"/>
        </w:rPr>
        <w:t>ion of an order issued by this c</w:t>
      </w:r>
      <w:r>
        <w:rPr>
          <w:szCs w:val="24"/>
        </w:rPr>
        <w:t>ourt (Keightley</w:t>
      </w:r>
      <w:r w:rsidR="000762F0">
        <w:rPr>
          <w:szCs w:val="24"/>
        </w:rPr>
        <w:t>,</w:t>
      </w:r>
      <w:r w:rsidR="00F51849">
        <w:rPr>
          <w:szCs w:val="24"/>
        </w:rPr>
        <w:t xml:space="preserve"> </w:t>
      </w:r>
      <w:r>
        <w:rPr>
          <w:szCs w:val="24"/>
        </w:rPr>
        <w:t>J) on 20 October 20</w:t>
      </w:r>
      <w:r w:rsidR="00DD48E5">
        <w:rPr>
          <w:szCs w:val="24"/>
        </w:rPr>
        <w:t>20 u</w:t>
      </w:r>
      <w:r w:rsidR="00E90BDA">
        <w:rPr>
          <w:szCs w:val="24"/>
        </w:rPr>
        <w:t>nder s 54 of the Companies Act</w:t>
      </w:r>
      <w:r w:rsidR="00E90BDA">
        <w:rPr>
          <w:rStyle w:val="FootnoteReference"/>
          <w:szCs w:val="24"/>
        </w:rPr>
        <w:footnoteReference w:id="1"/>
      </w:r>
      <w:r w:rsidR="00E90BDA">
        <w:rPr>
          <w:szCs w:val="24"/>
        </w:rPr>
        <w:t xml:space="preserve"> </w:t>
      </w:r>
      <w:r w:rsidR="0000745F">
        <w:rPr>
          <w:szCs w:val="24"/>
        </w:rPr>
        <w:t xml:space="preserve">(‘the Companies Act’) </w:t>
      </w:r>
      <w:r w:rsidR="00E90BDA">
        <w:rPr>
          <w:szCs w:val="24"/>
        </w:rPr>
        <w:t>on the basis that the winding-up proceedings (</w:t>
      </w:r>
      <w:r w:rsidR="00F51849">
        <w:rPr>
          <w:szCs w:val="24"/>
        </w:rPr>
        <w:t>of the collapsed or inte</w:t>
      </w:r>
      <w:r w:rsidR="00A72C45">
        <w:rPr>
          <w:szCs w:val="24"/>
        </w:rPr>
        <w:t>grated</w:t>
      </w:r>
      <w:r w:rsidR="00E90BDA">
        <w:rPr>
          <w:szCs w:val="24"/>
        </w:rPr>
        <w:t xml:space="preserve"> companies) referred to below was incompetent; or </w:t>
      </w:r>
      <w:r w:rsidR="00C574B9">
        <w:rPr>
          <w:szCs w:val="24"/>
        </w:rPr>
        <w:t xml:space="preserve">under </w:t>
      </w:r>
      <w:r w:rsidR="00E90BDA">
        <w:rPr>
          <w:szCs w:val="24"/>
        </w:rPr>
        <w:t>Rule 42(1</w:t>
      </w:r>
      <w:proofErr w:type="gramStart"/>
      <w:r w:rsidR="00E90BDA">
        <w:rPr>
          <w:szCs w:val="24"/>
        </w:rPr>
        <w:t>)(</w:t>
      </w:r>
      <w:proofErr w:type="gramEnd"/>
      <w:r w:rsidR="00E90BDA">
        <w:rPr>
          <w:szCs w:val="24"/>
        </w:rPr>
        <w:t xml:space="preserve">a) of the Uniform Rules of Court or the common law, based on good cause. The last basis can be safely disregarded as CMSA did not make out a case based on good cause nor argue a case based thereon. </w:t>
      </w:r>
      <w:r w:rsidR="001401A8">
        <w:rPr>
          <w:szCs w:val="24"/>
        </w:rPr>
        <w:t xml:space="preserve">This </w:t>
      </w:r>
      <w:r w:rsidR="00F15BD8">
        <w:rPr>
          <w:szCs w:val="24"/>
        </w:rPr>
        <w:t>requirement when rescission is</w:t>
      </w:r>
      <w:r w:rsidR="001401A8">
        <w:rPr>
          <w:szCs w:val="24"/>
        </w:rPr>
        <w:t xml:space="preserve"> sought under the Rules, obliges</w:t>
      </w:r>
      <w:r w:rsidR="00F15BD8">
        <w:rPr>
          <w:szCs w:val="24"/>
        </w:rPr>
        <w:t xml:space="preserve"> the party seeking a rescission to set up a bona fide defence against the relief previously granted</w:t>
      </w:r>
      <w:r w:rsidR="001401A8">
        <w:rPr>
          <w:szCs w:val="24"/>
        </w:rPr>
        <w:t>.</w:t>
      </w:r>
      <w:r w:rsidR="00F15BD8">
        <w:rPr>
          <w:szCs w:val="24"/>
        </w:rPr>
        <w:t xml:space="preserve"> CMSA has not set up such a defence, nor can it. </w:t>
      </w:r>
    </w:p>
    <w:p w:rsidR="00000169" w:rsidRDefault="00C64A46" w:rsidP="00C31001">
      <w:pPr>
        <w:jc w:val="both"/>
        <w:rPr>
          <w:szCs w:val="24"/>
        </w:rPr>
      </w:pPr>
      <w:r>
        <w:rPr>
          <w:szCs w:val="24"/>
        </w:rPr>
        <w:t>[2</w:t>
      </w:r>
      <w:r w:rsidR="00AC601C" w:rsidRPr="00AC601C">
        <w:rPr>
          <w:szCs w:val="24"/>
        </w:rPr>
        <w:t>]</w:t>
      </w:r>
      <w:r w:rsidR="00AC601C">
        <w:rPr>
          <w:szCs w:val="24"/>
        </w:rPr>
        <w:tab/>
      </w:r>
      <w:r w:rsidR="009946D3">
        <w:rPr>
          <w:szCs w:val="24"/>
        </w:rPr>
        <w:t xml:space="preserve">The pertinent parts of </w:t>
      </w:r>
      <w:r w:rsidR="00F26DBD">
        <w:rPr>
          <w:szCs w:val="24"/>
        </w:rPr>
        <w:t xml:space="preserve">the </w:t>
      </w:r>
      <w:r>
        <w:rPr>
          <w:szCs w:val="24"/>
        </w:rPr>
        <w:t>s</w:t>
      </w:r>
      <w:r w:rsidR="00A50A68">
        <w:rPr>
          <w:szCs w:val="24"/>
        </w:rPr>
        <w:t xml:space="preserve"> 20(9)</w:t>
      </w:r>
      <w:r w:rsidR="004D0F53">
        <w:rPr>
          <w:rStyle w:val="FootnoteReference"/>
          <w:szCs w:val="24"/>
        </w:rPr>
        <w:footnoteReference w:id="2"/>
      </w:r>
      <w:r w:rsidR="00A50A68">
        <w:rPr>
          <w:szCs w:val="24"/>
        </w:rPr>
        <w:t xml:space="preserve"> </w:t>
      </w:r>
      <w:r w:rsidR="0000745F">
        <w:rPr>
          <w:szCs w:val="24"/>
        </w:rPr>
        <w:t xml:space="preserve">order under the </w:t>
      </w:r>
      <w:r w:rsidR="007B4976">
        <w:rPr>
          <w:szCs w:val="24"/>
        </w:rPr>
        <w:t xml:space="preserve">Companies </w:t>
      </w:r>
      <w:proofErr w:type="gramStart"/>
      <w:r w:rsidR="007B4976">
        <w:rPr>
          <w:szCs w:val="24"/>
        </w:rPr>
        <w:t xml:space="preserve">Act </w:t>
      </w:r>
      <w:r w:rsidR="002913D6">
        <w:rPr>
          <w:szCs w:val="24"/>
        </w:rPr>
        <w:t xml:space="preserve"> </w:t>
      </w:r>
      <w:r w:rsidR="0076037D">
        <w:rPr>
          <w:szCs w:val="24"/>
        </w:rPr>
        <w:t>are</w:t>
      </w:r>
      <w:proofErr w:type="gramEnd"/>
      <w:r w:rsidR="0076037D">
        <w:rPr>
          <w:szCs w:val="24"/>
        </w:rPr>
        <w:t xml:space="preserve"> found</w:t>
      </w:r>
      <w:r w:rsidR="00342DE1">
        <w:rPr>
          <w:szCs w:val="24"/>
        </w:rPr>
        <w:t xml:space="preserve"> in para 2(a) thereof</w:t>
      </w:r>
      <w:r w:rsidR="005025A3">
        <w:rPr>
          <w:szCs w:val="24"/>
        </w:rPr>
        <w:t>:</w:t>
      </w:r>
    </w:p>
    <w:p w:rsidR="0098632B" w:rsidRDefault="0098632B" w:rsidP="00E93BFF">
      <w:pPr>
        <w:ind w:left="709"/>
        <w:jc w:val="both"/>
        <w:rPr>
          <w:sz w:val="22"/>
          <w:szCs w:val="24"/>
        </w:rPr>
      </w:pPr>
      <w:r>
        <w:rPr>
          <w:sz w:val="22"/>
          <w:szCs w:val="24"/>
        </w:rPr>
        <w:lastRenderedPageBreak/>
        <w:t xml:space="preserve">‘It is hereby declared that the rule nisi in the following terms are granted (“the provisional order”) </w:t>
      </w:r>
    </w:p>
    <w:p w:rsidR="00932834" w:rsidRDefault="00932834" w:rsidP="00932834">
      <w:pPr>
        <w:ind w:left="1418" w:hanging="709"/>
        <w:jc w:val="both"/>
        <w:rPr>
          <w:sz w:val="22"/>
          <w:szCs w:val="24"/>
        </w:rPr>
      </w:pPr>
      <w:r>
        <w:rPr>
          <w:sz w:val="22"/>
          <w:szCs w:val="24"/>
        </w:rPr>
        <w:t>(a)</w:t>
      </w:r>
      <w:r w:rsidR="001D6FD6">
        <w:rPr>
          <w:sz w:val="22"/>
          <w:szCs w:val="24"/>
        </w:rPr>
        <w:tab/>
        <w:t>Trillian Capital Partners (Pty) Ltd [</w:t>
      </w:r>
      <w:proofErr w:type="spellStart"/>
      <w:r w:rsidR="001D6FD6">
        <w:rPr>
          <w:sz w:val="22"/>
          <w:szCs w:val="24"/>
        </w:rPr>
        <w:t>Reg</w:t>
      </w:r>
      <w:proofErr w:type="spellEnd"/>
      <w:r w:rsidR="001D6FD6">
        <w:rPr>
          <w:sz w:val="22"/>
          <w:szCs w:val="24"/>
        </w:rPr>
        <w:t xml:space="preserve"> No: 2015/111759/07], Trillian Securities (Pty) Ltd [</w:t>
      </w:r>
      <w:proofErr w:type="spellStart"/>
      <w:r w:rsidR="001D6FD6">
        <w:rPr>
          <w:sz w:val="22"/>
          <w:szCs w:val="24"/>
        </w:rPr>
        <w:t>Reg</w:t>
      </w:r>
      <w:proofErr w:type="spellEnd"/>
      <w:r w:rsidR="001D6FD6">
        <w:rPr>
          <w:sz w:val="22"/>
          <w:szCs w:val="24"/>
        </w:rPr>
        <w:t xml:space="preserve"> No: 2015/152852/07]. Trillian Nominees (Pty) Ltd [</w:t>
      </w:r>
      <w:proofErr w:type="spellStart"/>
      <w:r w:rsidR="001D6FD6">
        <w:rPr>
          <w:sz w:val="22"/>
          <w:szCs w:val="24"/>
        </w:rPr>
        <w:t>Reg</w:t>
      </w:r>
      <w:proofErr w:type="spellEnd"/>
      <w:r w:rsidR="001D6FD6">
        <w:rPr>
          <w:sz w:val="22"/>
          <w:szCs w:val="24"/>
        </w:rPr>
        <w:t xml:space="preserve"> No: 2017/036662/07], Trillian Shared Services (Pty) Ltd [</w:t>
      </w:r>
      <w:proofErr w:type="spellStart"/>
      <w:r w:rsidR="001D6FD6">
        <w:rPr>
          <w:sz w:val="22"/>
          <w:szCs w:val="24"/>
        </w:rPr>
        <w:t>Reg</w:t>
      </w:r>
      <w:proofErr w:type="spellEnd"/>
      <w:r w:rsidR="001D6FD6">
        <w:rPr>
          <w:sz w:val="22"/>
          <w:szCs w:val="24"/>
        </w:rPr>
        <w:t xml:space="preserve"> No: </w:t>
      </w:r>
      <w:r>
        <w:rPr>
          <w:sz w:val="22"/>
          <w:szCs w:val="24"/>
        </w:rPr>
        <w:t>2015/111747/07], Trillian Property (Pty) Ltd [</w:t>
      </w:r>
      <w:proofErr w:type="spellStart"/>
      <w:r>
        <w:rPr>
          <w:sz w:val="22"/>
          <w:szCs w:val="24"/>
        </w:rPr>
        <w:t>Reg</w:t>
      </w:r>
      <w:proofErr w:type="spellEnd"/>
      <w:r>
        <w:rPr>
          <w:sz w:val="22"/>
          <w:szCs w:val="24"/>
        </w:rPr>
        <w:t xml:space="preserve"> No: 2016/046295/07] and Trillian Financial Advisory (Pty) Ltd [</w:t>
      </w:r>
      <w:proofErr w:type="spellStart"/>
      <w:r>
        <w:rPr>
          <w:sz w:val="22"/>
          <w:szCs w:val="24"/>
        </w:rPr>
        <w:t>Reg</w:t>
      </w:r>
      <w:proofErr w:type="spellEnd"/>
      <w:r>
        <w:rPr>
          <w:sz w:val="22"/>
          <w:szCs w:val="24"/>
        </w:rPr>
        <w:t xml:space="preserve"> No: 2014/122082/07] (“the subject companies”):</w:t>
      </w:r>
    </w:p>
    <w:p w:rsidR="0098632B" w:rsidRDefault="00932834" w:rsidP="00932834">
      <w:pPr>
        <w:ind w:left="1418" w:hanging="567"/>
        <w:jc w:val="both"/>
        <w:rPr>
          <w:sz w:val="22"/>
          <w:szCs w:val="24"/>
        </w:rPr>
      </w:pPr>
      <w:r>
        <w:rPr>
          <w:sz w:val="22"/>
          <w:szCs w:val="24"/>
        </w:rPr>
        <w:t>(</w:t>
      </w:r>
      <w:proofErr w:type="spellStart"/>
      <w:r>
        <w:rPr>
          <w:sz w:val="22"/>
          <w:szCs w:val="24"/>
        </w:rPr>
        <w:t>i</w:t>
      </w:r>
      <w:proofErr w:type="spellEnd"/>
      <w:r w:rsidR="0098632B">
        <w:rPr>
          <w:sz w:val="22"/>
          <w:szCs w:val="24"/>
        </w:rPr>
        <w:t>)</w:t>
      </w:r>
      <w:r>
        <w:rPr>
          <w:sz w:val="22"/>
          <w:szCs w:val="24"/>
        </w:rPr>
        <w:tab/>
      </w:r>
      <w:proofErr w:type="gramStart"/>
      <w:r>
        <w:rPr>
          <w:sz w:val="22"/>
          <w:szCs w:val="24"/>
        </w:rPr>
        <w:t>are</w:t>
      </w:r>
      <w:proofErr w:type="gramEnd"/>
      <w:r>
        <w:rPr>
          <w:sz w:val="22"/>
          <w:szCs w:val="24"/>
        </w:rPr>
        <w:t xml:space="preserve"> deemed not to be separate juristic persons in respect of any right, obligation, or liability of those companies or of a shareholder of the subject companies;</w:t>
      </w:r>
    </w:p>
    <w:p w:rsidR="00932834" w:rsidRDefault="00932834" w:rsidP="00932834">
      <w:pPr>
        <w:ind w:left="1418" w:hanging="567"/>
        <w:jc w:val="both"/>
        <w:rPr>
          <w:sz w:val="22"/>
          <w:szCs w:val="24"/>
        </w:rPr>
      </w:pPr>
      <w:r>
        <w:rPr>
          <w:sz w:val="22"/>
          <w:szCs w:val="24"/>
        </w:rPr>
        <w:t xml:space="preserve">(ii)      are collapsed into Trillian Management Consulting (Pty) Ltd (“TMC”) and the subject companies and TMC henceforth exist as a single entity by ignoring their separate legal existence as contemplated by section 20(9) read with section 22 of the Companies Act, 71 of 2008 (“the 2008 Act”) and Chapter 14 of the Companies Act, 61 of 1973 (“the 1973 Act”); and </w:t>
      </w:r>
    </w:p>
    <w:p w:rsidR="00E93BFF" w:rsidRDefault="00E93BFF" w:rsidP="00932834">
      <w:pPr>
        <w:ind w:left="1418" w:hanging="567"/>
        <w:jc w:val="both"/>
        <w:rPr>
          <w:sz w:val="22"/>
          <w:szCs w:val="24"/>
        </w:rPr>
      </w:pPr>
      <w:r>
        <w:rPr>
          <w:sz w:val="22"/>
          <w:szCs w:val="24"/>
        </w:rPr>
        <w:t>(iii)</w:t>
      </w:r>
      <w:r>
        <w:rPr>
          <w:sz w:val="22"/>
          <w:szCs w:val="24"/>
        </w:rPr>
        <w:tab/>
      </w:r>
      <w:proofErr w:type="gramStart"/>
      <w:r>
        <w:rPr>
          <w:sz w:val="22"/>
          <w:szCs w:val="24"/>
        </w:rPr>
        <w:t>the</w:t>
      </w:r>
      <w:proofErr w:type="gramEnd"/>
      <w:r>
        <w:rPr>
          <w:sz w:val="22"/>
          <w:szCs w:val="24"/>
        </w:rPr>
        <w:t xml:space="preserve"> effective date of the commencement of the subject companies’ liquidation proceedings is the date upon which TMC was placed in liquidation;</w:t>
      </w:r>
    </w:p>
    <w:p w:rsidR="00E93BFF" w:rsidRDefault="00E93BFF" w:rsidP="00932834">
      <w:pPr>
        <w:ind w:left="1418" w:hanging="567"/>
        <w:jc w:val="both"/>
        <w:rPr>
          <w:sz w:val="22"/>
          <w:szCs w:val="24"/>
        </w:rPr>
      </w:pPr>
      <w:r>
        <w:rPr>
          <w:sz w:val="22"/>
          <w:szCs w:val="24"/>
        </w:rPr>
        <w:t>(b)</w:t>
      </w:r>
      <w:r>
        <w:rPr>
          <w:sz w:val="22"/>
          <w:szCs w:val="24"/>
        </w:rPr>
        <w:tab/>
        <w:t>The Companies and Intellectual Property Commission (“CIPC”) and the Master of the High Court, Pretoria are directed to amend their records to reflect the consolidation of the subject companies, their composite winding up process and such further consequences as they deem fit and/or necessary, in accordance with the orders granted pursuant to this application.</w:t>
      </w:r>
    </w:p>
    <w:p w:rsidR="00E93BFF" w:rsidRDefault="00E93BFF" w:rsidP="00932834">
      <w:pPr>
        <w:ind w:left="1418" w:hanging="567"/>
        <w:jc w:val="both"/>
        <w:rPr>
          <w:sz w:val="22"/>
          <w:szCs w:val="24"/>
        </w:rPr>
      </w:pPr>
      <w:r>
        <w:rPr>
          <w:sz w:val="22"/>
          <w:szCs w:val="24"/>
        </w:rPr>
        <w:t>(c)</w:t>
      </w:r>
      <w:r>
        <w:rPr>
          <w:sz w:val="22"/>
          <w:szCs w:val="24"/>
        </w:rPr>
        <w:tab/>
        <w:t>The costs of this application are costs are costs in the consolidated winding-up of TMC and the subject companies.’</w:t>
      </w:r>
    </w:p>
    <w:p w:rsidR="002D13C5" w:rsidRDefault="00FD40B7" w:rsidP="002D13C5">
      <w:pPr>
        <w:jc w:val="both"/>
        <w:rPr>
          <w:szCs w:val="24"/>
        </w:rPr>
      </w:pPr>
      <w:r>
        <w:rPr>
          <w:szCs w:val="24"/>
        </w:rPr>
        <w:t>[3</w:t>
      </w:r>
      <w:r w:rsidR="002D13C5" w:rsidRPr="002D13C5">
        <w:rPr>
          <w:szCs w:val="24"/>
        </w:rPr>
        <w:t>]</w:t>
      </w:r>
      <w:r w:rsidR="002D13C5" w:rsidRPr="002D13C5">
        <w:rPr>
          <w:szCs w:val="24"/>
        </w:rPr>
        <w:tab/>
      </w:r>
      <w:r w:rsidR="002D13C5">
        <w:rPr>
          <w:szCs w:val="24"/>
        </w:rPr>
        <w:t xml:space="preserve">This order was confirmed </w:t>
      </w:r>
      <w:r w:rsidR="00BA5320">
        <w:rPr>
          <w:szCs w:val="24"/>
        </w:rPr>
        <w:t>by the c</w:t>
      </w:r>
      <w:r w:rsidR="002D13C5">
        <w:rPr>
          <w:szCs w:val="24"/>
        </w:rPr>
        <w:t xml:space="preserve">ourt on 20 January 2021 when a final order was issued. </w:t>
      </w:r>
      <w:r w:rsidR="00A50A68">
        <w:rPr>
          <w:szCs w:val="24"/>
        </w:rPr>
        <w:t xml:space="preserve">It is common </w:t>
      </w:r>
      <w:proofErr w:type="gramStart"/>
      <w:r w:rsidR="00A50A68">
        <w:rPr>
          <w:szCs w:val="24"/>
        </w:rPr>
        <w:t>cause</w:t>
      </w:r>
      <w:proofErr w:type="gramEnd"/>
      <w:r w:rsidR="00A50A68">
        <w:rPr>
          <w:szCs w:val="24"/>
        </w:rPr>
        <w:t xml:space="preserve"> that </w:t>
      </w:r>
      <w:r w:rsidR="0034542A">
        <w:rPr>
          <w:szCs w:val="24"/>
        </w:rPr>
        <w:t xml:space="preserve">CMSA was not a party </w:t>
      </w:r>
      <w:r w:rsidR="00C64A46">
        <w:rPr>
          <w:szCs w:val="24"/>
        </w:rPr>
        <w:t>to the proceedings where the s</w:t>
      </w:r>
      <w:r w:rsidR="0034542A">
        <w:rPr>
          <w:szCs w:val="24"/>
        </w:rPr>
        <w:t xml:space="preserve"> 20(9) order was issued. </w:t>
      </w:r>
    </w:p>
    <w:p w:rsidR="0034542A" w:rsidRDefault="00FD40B7" w:rsidP="002D13C5">
      <w:pPr>
        <w:jc w:val="both"/>
        <w:rPr>
          <w:szCs w:val="24"/>
        </w:rPr>
      </w:pPr>
      <w:r>
        <w:rPr>
          <w:szCs w:val="24"/>
        </w:rPr>
        <w:t>[4</w:t>
      </w:r>
      <w:r w:rsidR="0034542A">
        <w:rPr>
          <w:szCs w:val="24"/>
        </w:rPr>
        <w:t>]</w:t>
      </w:r>
      <w:r w:rsidR="0034542A">
        <w:rPr>
          <w:szCs w:val="24"/>
        </w:rPr>
        <w:tab/>
        <w:t xml:space="preserve">After the issue of the final order, the liquidators </w:t>
      </w:r>
      <w:r w:rsidR="00F15BD8">
        <w:rPr>
          <w:szCs w:val="24"/>
        </w:rPr>
        <w:t xml:space="preserve">of </w:t>
      </w:r>
      <w:r w:rsidR="00F15BD8" w:rsidRPr="00F15BD8">
        <w:rPr>
          <w:szCs w:val="24"/>
        </w:rPr>
        <w:t xml:space="preserve">Trillian Management Consulting (Pty) Ltd (in liquidation) (‘TMC’) </w:t>
      </w:r>
      <w:r w:rsidR="0034542A">
        <w:rPr>
          <w:szCs w:val="24"/>
        </w:rPr>
        <w:t xml:space="preserve">instituted the action against CMSA based on two agreements in terms of which CMSA lent </w:t>
      </w:r>
      <w:r w:rsidR="00785687">
        <w:rPr>
          <w:szCs w:val="24"/>
        </w:rPr>
        <w:t xml:space="preserve">money to the seventh respondent, </w:t>
      </w:r>
      <w:r w:rsidR="00785687">
        <w:rPr>
          <w:rFonts w:eastAsia="Arial" w:cs="Arial"/>
          <w:bCs/>
          <w:color w:val="000000"/>
          <w:u w:color="000000"/>
          <w:lang w:eastAsia="en-ZA"/>
        </w:rPr>
        <w:t>Trillian Shared Services (Pty</w:t>
      </w:r>
      <w:r w:rsidR="00785687" w:rsidRPr="00785687">
        <w:rPr>
          <w:rFonts w:eastAsia="Arial" w:cs="Arial"/>
          <w:bCs/>
          <w:color w:val="000000"/>
          <w:u w:color="000000"/>
          <w:lang w:eastAsia="en-ZA"/>
        </w:rPr>
        <w:t>)</w:t>
      </w:r>
      <w:r w:rsidR="00785687">
        <w:rPr>
          <w:rFonts w:eastAsia="Arial" w:cs="Arial"/>
          <w:b/>
          <w:bCs/>
          <w:color w:val="000000"/>
          <w:u w:color="000000"/>
          <w:lang w:eastAsia="en-ZA"/>
        </w:rPr>
        <w:t xml:space="preserve"> </w:t>
      </w:r>
      <w:r w:rsidR="00785687">
        <w:rPr>
          <w:rFonts w:eastAsia="Arial" w:cs="Arial"/>
          <w:bCs/>
          <w:color w:val="000000"/>
          <w:u w:color="000000"/>
          <w:lang w:eastAsia="en-ZA"/>
        </w:rPr>
        <w:t>Ltd</w:t>
      </w:r>
      <w:r w:rsidR="00785687">
        <w:rPr>
          <w:szCs w:val="24"/>
        </w:rPr>
        <w:t xml:space="preserve"> </w:t>
      </w:r>
      <w:r w:rsidR="0034542A">
        <w:rPr>
          <w:szCs w:val="24"/>
        </w:rPr>
        <w:t>(‘TSS’)</w:t>
      </w:r>
      <w:proofErr w:type="gramStart"/>
      <w:r w:rsidR="00785687">
        <w:rPr>
          <w:szCs w:val="24"/>
        </w:rPr>
        <w:t>,  and</w:t>
      </w:r>
      <w:proofErr w:type="gramEnd"/>
      <w:r w:rsidR="00785687">
        <w:rPr>
          <w:szCs w:val="24"/>
        </w:rPr>
        <w:t xml:space="preserve"> the ninth respondent, Trillian Financial Advisory (Pty) Ltd (‘TFA’)</w:t>
      </w:r>
      <w:r w:rsidR="003B63D3">
        <w:rPr>
          <w:szCs w:val="24"/>
        </w:rPr>
        <w:t>,</w:t>
      </w:r>
      <w:r w:rsidR="00785687">
        <w:rPr>
          <w:szCs w:val="24"/>
        </w:rPr>
        <w:t xml:space="preserve"> respectively, and which TSS and TFA had partially repaid to CMSA. </w:t>
      </w:r>
      <w:r w:rsidR="006E5BED">
        <w:rPr>
          <w:szCs w:val="24"/>
        </w:rPr>
        <w:t xml:space="preserve">The </w:t>
      </w:r>
      <w:r w:rsidR="006E5BED">
        <w:rPr>
          <w:szCs w:val="24"/>
        </w:rPr>
        <w:lastRenderedPageBreak/>
        <w:t>liquidators alleged that these payments by TSS and TFA as well as TMC to CMSA constituted voidable dispositions and sought to set it aside in terms of the Insolvency Act.</w:t>
      </w:r>
      <w:r w:rsidR="006E5BED">
        <w:rPr>
          <w:rStyle w:val="FootnoteReference"/>
          <w:szCs w:val="24"/>
        </w:rPr>
        <w:footnoteReference w:id="3"/>
      </w:r>
      <w:r w:rsidR="0058276D">
        <w:rPr>
          <w:szCs w:val="24"/>
        </w:rPr>
        <w:t xml:space="preserve"> </w:t>
      </w:r>
    </w:p>
    <w:p w:rsidR="0060002D" w:rsidRDefault="00FD40B7" w:rsidP="00075717">
      <w:pPr>
        <w:jc w:val="both"/>
        <w:rPr>
          <w:szCs w:val="24"/>
        </w:rPr>
      </w:pPr>
      <w:r>
        <w:rPr>
          <w:szCs w:val="24"/>
        </w:rPr>
        <w:t>[5</w:t>
      </w:r>
      <w:r w:rsidR="0058276D">
        <w:rPr>
          <w:szCs w:val="24"/>
        </w:rPr>
        <w:t>]</w:t>
      </w:r>
      <w:r w:rsidR="0058276D">
        <w:rPr>
          <w:szCs w:val="24"/>
        </w:rPr>
        <w:tab/>
      </w:r>
      <w:r w:rsidR="005025A3" w:rsidRPr="005025A3">
        <w:rPr>
          <w:szCs w:val="24"/>
        </w:rPr>
        <w:t xml:space="preserve">Although several issues were canvassed in the papers and heads of argument, counsel for the applicant advised that the issues raised in oral argument are the ones for consideration by this court. </w:t>
      </w:r>
    </w:p>
    <w:p w:rsidR="00075717" w:rsidRDefault="00FD40B7" w:rsidP="00075717">
      <w:pPr>
        <w:jc w:val="both"/>
        <w:rPr>
          <w:szCs w:val="24"/>
        </w:rPr>
      </w:pPr>
      <w:r>
        <w:rPr>
          <w:szCs w:val="24"/>
        </w:rPr>
        <w:t>[6</w:t>
      </w:r>
      <w:r w:rsidR="0060002D">
        <w:rPr>
          <w:szCs w:val="24"/>
        </w:rPr>
        <w:t>]</w:t>
      </w:r>
      <w:r w:rsidR="0060002D">
        <w:rPr>
          <w:szCs w:val="24"/>
        </w:rPr>
        <w:tab/>
      </w:r>
      <w:r w:rsidR="0058276D">
        <w:rPr>
          <w:szCs w:val="24"/>
        </w:rPr>
        <w:t>CMSA became</w:t>
      </w:r>
      <w:r w:rsidR="0050331D">
        <w:rPr>
          <w:szCs w:val="24"/>
        </w:rPr>
        <w:t xml:space="preserve"> aware of the action against it and</w:t>
      </w:r>
      <w:r w:rsidR="0058276D">
        <w:rPr>
          <w:szCs w:val="24"/>
        </w:rPr>
        <w:t xml:space="preserve"> seeks a rescission of the order that collapsed the lending compani</w:t>
      </w:r>
      <w:r w:rsidR="00311CFA">
        <w:rPr>
          <w:szCs w:val="24"/>
        </w:rPr>
        <w:t>es into TMC on the basis that CMSA</w:t>
      </w:r>
      <w:r w:rsidR="0058276D">
        <w:rPr>
          <w:szCs w:val="24"/>
        </w:rPr>
        <w:t xml:space="preserve"> had an interest in </w:t>
      </w:r>
      <w:r w:rsidR="0050331D">
        <w:rPr>
          <w:szCs w:val="24"/>
        </w:rPr>
        <w:t>the order</w:t>
      </w:r>
      <w:r w:rsidR="00300A87">
        <w:rPr>
          <w:szCs w:val="24"/>
        </w:rPr>
        <w:t xml:space="preserve"> which</w:t>
      </w:r>
      <w:r w:rsidR="0070625B">
        <w:rPr>
          <w:szCs w:val="24"/>
        </w:rPr>
        <w:t xml:space="preserve"> was</w:t>
      </w:r>
      <w:r w:rsidR="00300A87">
        <w:rPr>
          <w:szCs w:val="24"/>
        </w:rPr>
        <w:t xml:space="preserve"> granted i</w:t>
      </w:r>
      <w:r w:rsidR="00311CFA">
        <w:rPr>
          <w:szCs w:val="24"/>
        </w:rPr>
        <w:t>n its</w:t>
      </w:r>
      <w:r w:rsidR="0070625B">
        <w:rPr>
          <w:szCs w:val="24"/>
        </w:rPr>
        <w:t xml:space="preserve"> absence,</w:t>
      </w:r>
      <w:r w:rsidR="00BA5320">
        <w:rPr>
          <w:szCs w:val="24"/>
        </w:rPr>
        <w:t xml:space="preserve"> and that the c</w:t>
      </w:r>
      <w:r w:rsidR="00300A87">
        <w:rPr>
          <w:szCs w:val="24"/>
        </w:rPr>
        <w:t>ourt was</w:t>
      </w:r>
      <w:r w:rsidR="0070625B">
        <w:rPr>
          <w:szCs w:val="24"/>
        </w:rPr>
        <w:t xml:space="preserve"> not</w:t>
      </w:r>
      <w:r w:rsidR="00300A87">
        <w:rPr>
          <w:szCs w:val="24"/>
        </w:rPr>
        <w:t xml:space="preserve"> competent to issue such order.</w:t>
      </w:r>
      <w:r w:rsidR="0035582F">
        <w:rPr>
          <w:szCs w:val="24"/>
        </w:rPr>
        <w:t xml:space="preserve"> </w:t>
      </w:r>
      <w:r w:rsidR="0035582F" w:rsidRPr="00075717">
        <w:rPr>
          <w:szCs w:val="24"/>
        </w:rPr>
        <w:t>The general rule is that any party pers</w:t>
      </w:r>
      <w:r w:rsidR="00BA5320">
        <w:rPr>
          <w:szCs w:val="24"/>
        </w:rPr>
        <w:t>onally affected by an order of c</w:t>
      </w:r>
      <w:r w:rsidR="0035582F" w:rsidRPr="00075717">
        <w:rPr>
          <w:szCs w:val="24"/>
        </w:rPr>
        <w:t>ourt may seek a rescission of that order</w:t>
      </w:r>
      <w:r w:rsidR="00075717">
        <w:rPr>
          <w:szCs w:val="24"/>
        </w:rPr>
        <w:t>.</w:t>
      </w:r>
      <w:r w:rsidR="0035582F" w:rsidRPr="00920400">
        <w:rPr>
          <w:rStyle w:val="FootnoteReference"/>
          <w:sz w:val="22"/>
          <w:szCs w:val="24"/>
        </w:rPr>
        <w:footnoteReference w:id="4"/>
      </w:r>
      <w:r w:rsidR="00075717">
        <w:rPr>
          <w:szCs w:val="24"/>
        </w:rPr>
        <w:t xml:space="preserve"> It was said:</w:t>
      </w:r>
    </w:p>
    <w:p w:rsidR="00075717" w:rsidRDefault="00075717" w:rsidP="00075717">
      <w:pPr>
        <w:ind w:left="709"/>
        <w:jc w:val="both"/>
        <w:rPr>
          <w:sz w:val="22"/>
          <w:szCs w:val="24"/>
        </w:rPr>
      </w:pPr>
      <w:r>
        <w:rPr>
          <w:szCs w:val="24"/>
        </w:rPr>
        <w:tab/>
      </w:r>
      <w:r>
        <w:rPr>
          <w:sz w:val="22"/>
          <w:szCs w:val="24"/>
        </w:rPr>
        <w:t xml:space="preserve">‘As an affected party, Mr Zuma has a direct and substantial interest in the order sought to be rescinded. He has locus </w:t>
      </w:r>
      <w:proofErr w:type="spellStart"/>
      <w:r>
        <w:rPr>
          <w:sz w:val="22"/>
          <w:szCs w:val="24"/>
        </w:rPr>
        <w:t>standi</w:t>
      </w:r>
      <w:proofErr w:type="spellEnd"/>
      <w:r>
        <w:rPr>
          <w:sz w:val="22"/>
          <w:szCs w:val="24"/>
        </w:rPr>
        <w:t xml:space="preserve"> to approach this Court for rescission in terms of Rule 42. However, of course, having standing </w:t>
      </w:r>
      <w:r w:rsidR="008567A8">
        <w:rPr>
          <w:sz w:val="22"/>
          <w:szCs w:val="24"/>
        </w:rPr>
        <w:t xml:space="preserve">is the not the end of the story. Any party reasonably affected by the order of Court may seek a rescission of that order. But those sort of proceedings have little to do with an applicant’s right to seek a rescission and everything to do with whether that applicant can discharge the onus of proving that the requirements for rescission are met. </w:t>
      </w:r>
      <w:r w:rsidR="006C29DB">
        <w:rPr>
          <w:sz w:val="22"/>
          <w:szCs w:val="24"/>
        </w:rPr>
        <w:t xml:space="preserve">Litigants are to appreciate that proving this in no straight forward task. It is trite that an applicant who invokes the rule must show that order sought to be rescinded was granted in his order absence </w:t>
      </w:r>
      <w:r w:rsidR="006C29DB" w:rsidRPr="006C29DB">
        <w:rPr>
          <w:i/>
          <w:sz w:val="22"/>
          <w:szCs w:val="24"/>
        </w:rPr>
        <w:t>and</w:t>
      </w:r>
      <w:r w:rsidR="006C29DB">
        <w:rPr>
          <w:i/>
          <w:sz w:val="22"/>
          <w:szCs w:val="24"/>
        </w:rPr>
        <w:t xml:space="preserve"> </w:t>
      </w:r>
      <w:r w:rsidR="006C29DB">
        <w:rPr>
          <w:sz w:val="22"/>
          <w:szCs w:val="24"/>
        </w:rPr>
        <w:t xml:space="preserve">that it was erroneously granted or sought. Both grounds must be shown to exist.’ </w:t>
      </w:r>
    </w:p>
    <w:p w:rsidR="00267FBB" w:rsidRPr="00267FBB" w:rsidRDefault="00FD40B7" w:rsidP="00267FBB">
      <w:pPr>
        <w:jc w:val="both"/>
        <w:rPr>
          <w:szCs w:val="24"/>
        </w:rPr>
      </w:pPr>
      <w:r>
        <w:rPr>
          <w:szCs w:val="24"/>
        </w:rPr>
        <w:t>[7</w:t>
      </w:r>
      <w:r w:rsidR="00267FBB">
        <w:rPr>
          <w:szCs w:val="24"/>
        </w:rPr>
        <w:t>]</w:t>
      </w:r>
      <w:r w:rsidR="00267FBB">
        <w:rPr>
          <w:szCs w:val="24"/>
        </w:rPr>
        <w:tab/>
        <w:t>The test whether CMSA had a direct and</w:t>
      </w:r>
      <w:r w:rsidR="00C64A46">
        <w:rPr>
          <w:szCs w:val="24"/>
        </w:rPr>
        <w:t xml:space="preserve"> substantial interest in the s</w:t>
      </w:r>
      <w:r w:rsidR="00267FBB">
        <w:rPr>
          <w:szCs w:val="24"/>
        </w:rPr>
        <w:t xml:space="preserve"> 20(9) o</w:t>
      </w:r>
      <w:r w:rsidR="00AB213C">
        <w:rPr>
          <w:szCs w:val="24"/>
        </w:rPr>
        <w:t xml:space="preserve">rder was set out in </w:t>
      </w:r>
      <w:r w:rsidR="00AB213C" w:rsidRPr="00AB213C">
        <w:rPr>
          <w:i/>
          <w:szCs w:val="24"/>
        </w:rPr>
        <w:t xml:space="preserve">Naidoo v </w:t>
      </w:r>
      <w:proofErr w:type="spellStart"/>
      <w:r w:rsidR="00AB213C" w:rsidRPr="00AB213C">
        <w:rPr>
          <w:i/>
          <w:szCs w:val="24"/>
        </w:rPr>
        <w:t>Mat</w:t>
      </w:r>
      <w:r w:rsidR="00267FBB" w:rsidRPr="00AB213C">
        <w:rPr>
          <w:i/>
          <w:szCs w:val="24"/>
        </w:rPr>
        <w:t>lala</w:t>
      </w:r>
      <w:proofErr w:type="spellEnd"/>
      <w:r w:rsidR="00AB213C">
        <w:rPr>
          <w:szCs w:val="24"/>
        </w:rPr>
        <w:t xml:space="preserve"> </w:t>
      </w:r>
      <w:r w:rsidR="00267FBB">
        <w:rPr>
          <w:rStyle w:val="FootnoteReference"/>
          <w:szCs w:val="24"/>
        </w:rPr>
        <w:footnoteReference w:id="5"/>
      </w:r>
    </w:p>
    <w:p w:rsidR="00267FBB" w:rsidRPr="00267FBB" w:rsidRDefault="00920400" w:rsidP="00267FBB">
      <w:pPr>
        <w:ind w:left="709"/>
        <w:jc w:val="both"/>
        <w:rPr>
          <w:sz w:val="22"/>
          <w:szCs w:val="24"/>
        </w:rPr>
      </w:pPr>
      <w:r>
        <w:rPr>
          <w:sz w:val="22"/>
          <w:szCs w:val="24"/>
        </w:rPr>
        <w:t xml:space="preserve"> </w:t>
      </w:r>
      <w:r w:rsidR="00267FBB">
        <w:rPr>
          <w:sz w:val="22"/>
          <w:szCs w:val="24"/>
        </w:rPr>
        <w:t>‘</w:t>
      </w:r>
      <w:r w:rsidR="00267FBB" w:rsidRPr="00267FBB">
        <w:rPr>
          <w:sz w:val="22"/>
          <w:szCs w:val="24"/>
        </w:rPr>
        <w:t>The applicants seek to set aside a seque</w:t>
      </w:r>
      <w:r w:rsidR="00267FBB">
        <w:rPr>
          <w:sz w:val="22"/>
          <w:szCs w:val="24"/>
        </w:rPr>
        <w:t xml:space="preserve">stration order which was not </w:t>
      </w:r>
      <w:r w:rsidR="00267FBB" w:rsidRPr="00267FBB">
        <w:rPr>
          <w:sz w:val="22"/>
          <w:szCs w:val="24"/>
        </w:rPr>
        <w:t>made against them. Whether they bring the application in terms of s 149(2) of the Act or in terms of the common law or in terms of rule 42(1</w:t>
      </w:r>
      <w:proofErr w:type="gramStart"/>
      <w:r w:rsidR="00267FBB" w:rsidRPr="00267FBB">
        <w:rPr>
          <w:sz w:val="22"/>
          <w:szCs w:val="24"/>
        </w:rPr>
        <w:t>)(</w:t>
      </w:r>
      <w:proofErr w:type="gramEnd"/>
      <w:r w:rsidR="00267FBB" w:rsidRPr="00267FBB">
        <w:rPr>
          <w:sz w:val="22"/>
          <w:szCs w:val="24"/>
        </w:rPr>
        <w:t xml:space="preserve">a) they must have locus </w:t>
      </w:r>
      <w:proofErr w:type="spellStart"/>
      <w:r w:rsidR="00267FBB" w:rsidRPr="00267FBB">
        <w:rPr>
          <w:sz w:val="22"/>
          <w:szCs w:val="24"/>
        </w:rPr>
        <w:t>standi</w:t>
      </w:r>
      <w:proofErr w:type="spellEnd"/>
      <w:r w:rsidR="00267FBB" w:rsidRPr="00267FBB">
        <w:rPr>
          <w:sz w:val="22"/>
          <w:szCs w:val="24"/>
        </w:rPr>
        <w:t xml:space="preserve">: </w:t>
      </w:r>
      <w:proofErr w:type="spellStart"/>
      <w:r w:rsidR="00267FBB" w:rsidRPr="00267FBB">
        <w:rPr>
          <w:sz w:val="22"/>
          <w:szCs w:val="24"/>
        </w:rPr>
        <w:t>ie</w:t>
      </w:r>
      <w:proofErr w:type="spellEnd"/>
      <w:r w:rsidR="00267FBB" w:rsidRPr="00267FBB">
        <w:rPr>
          <w:sz w:val="22"/>
          <w:szCs w:val="24"/>
        </w:rPr>
        <w:t xml:space="preserve"> they must show that they had and have a direct and substantial interest in the order sought — see </w:t>
      </w:r>
      <w:r w:rsidR="00267FBB" w:rsidRPr="00267FBB">
        <w:rPr>
          <w:i/>
          <w:sz w:val="22"/>
          <w:szCs w:val="24"/>
        </w:rPr>
        <w:t xml:space="preserve">Amalgamated </w:t>
      </w:r>
      <w:r w:rsidR="00267FBB" w:rsidRPr="00267FBB">
        <w:rPr>
          <w:i/>
          <w:sz w:val="22"/>
          <w:szCs w:val="24"/>
        </w:rPr>
        <w:lastRenderedPageBreak/>
        <w:t>Engineering Union v Minister of Labour</w:t>
      </w:r>
      <w:r w:rsidR="00267FBB" w:rsidRPr="00267FBB">
        <w:rPr>
          <w:sz w:val="22"/>
          <w:szCs w:val="24"/>
        </w:rPr>
        <w:t xml:space="preserve"> 1949 (3) </w:t>
      </w:r>
      <w:r w:rsidR="00267FBB">
        <w:rPr>
          <w:sz w:val="22"/>
          <w:szCs w:val="24"/>
        </w:rPr>
        <w:t xml:space="preserve">SA 637 (A) </w:t>
      </w:r>
      <w:r w:rsidR="00267FBB" w:rsidRPr="00267FBB">
        <w:rPr>
          <w:sz w:val="22"/>
          <w:szCs w:val="24"/>
        </w:rPr>
        <w:t>at 651. As pointed out in United Watch supra at 414D – G:</w:t>
      </w:r>
    </w:p>
    <w:p w:rsidR="00267FBB" w:rsidRPr="00267FBB" w:rsidRDefault="00267FBB" w:rsidP="007760E0">
      <w:pPr>
        <w:ind w:left="709"/>
        <w:jc w:val="both"/>
        <w:rPr>
          <w:sz w:val="22"/>
          <w:szCs w:val="24"/>
        </w:rPr>
      </w:pPr>
      <w:r w:rsidRPr="00267FBB">
        <w:rPr>
          <w:sz w:val="22"/>
          <w:szCs w:val="24"/>
        </w:rPr>
        <w:t xml:space="preserve">'Before it is possible to consider these various arguments, it is necessary to determine whether the applicants have locus </w:t>
      </w:r>
      <w:proofErr w:type="spellStart"/>
      <w:r w:rsidRPr="00267FBB">
        <w:rPr>
          <w:sz w:val="22"/>
          <w:szCs w:val="24"/>
        </w:rPr>
        <w:t>standi</w:t>
      </w:r>
      <w:proofErr w:type="spellEnd"/>
      <w:r w:rsidRPr="00267FBB">
        <w:rPr>
          <w:sz w:val="22"/>
          <w:szCs w:val="24"/>
        </w:rPr>
        <w:t xml:space="preserve"> to bring an application for the rescission, or setting aside, of para. 4 of the Court's order and for the further consequential relief claimed. . . . It is </w:t>
      </w:r>
      <w:proofErr w:type="gramStart"/>
      <w:r w:rsidRPr="00267FBB">
        <w:rPr>
          <w:sz w:val="22"/>
          <w:szCs w:val="24"/>
        </w:rPr>
        <w:t>obvious  H</w:t>
      </w:r>
      <w:proofErr w:type="gramEnd"/>
      <w:r w:rsidRPr="00267FBB">
        <w:rPr>
          <w:sz w:val="22"/>
          <w:szCs w:val="24"/>
        </w:rPr>
        <w:t xml:space="preserve"> that this is fundamental to the whole application and that it is, therefore, the first matter that must be considered.</w:t>
      </w:r>
    </w:p>
    <w:p w:rsidR="00486C24" w:rsidRPr="00486C24" w:rsidRDefault="00267FBB" w:rsidP="00486C24">
      <w:pPr>
        <w:ind w:left="709"/>
        <w:jc w:val="both"/>
        <w:rPr>
          <w:sz w:val="22"/>
          <w:szCs w:val="24"/>
        </w:rPr>
      </w:pPr>
      <w:r w:rsidRPr="00267FBB">
        <w:rPr>
          <w:sz w:val="22"/>
          <w:szCs w:val="24"/>
        </w:rPr>
        <w:t>Whether the application be founded upon Rule of Court 42(1)(a) or upon the common-law rule relating to the non-disclosure of material facts in an ex parte application, it is clear that it is only a limited class of persons who are entitled to bring an application of this na</w:t>
      </w:r>
      <w:r w:rsidR="00486C24">
        <w:rPr>
          <w:sz w:val="22"/>
          <w:szCs w:val="24"/>
        </w:rPr>
        <w:t xml:space="preserve">ture. The </w:t>
      </w:r>
      <w:r w:rsidRPr="00267FBB">
        <w:rPr>
          <w:sz w:val="22"/>
          <w:szCs w:val="24"/>
        </w:rPr>
        <w:t>Rule of Court specifically speaks of the application being</w:t>
      </w:r>
      <w:r w:rsidR="0032535F">
        <w:rPr>
          <w:sz w:val="22"/>
          <w:szCs w:val="24"/>
        </w:rPr>
        <w:t xml:space="preserve"> brought by any party affected</w:t>
      </w:r>
      <w:r w:rsidRPr="00267FBB">
        <w:rPr>
          <w:sz w:val="22"/>
          <w:szCs w:val="24"/>
        </w:rPr>
        <w:t>; and it is manifest that the Court would not entertain an application under the common-law at the instance of a disinterested third party. This much is transparently clear; but what is not so clear is how that limited class of persons is to be defined. In this connection neither Mr. Friedman nor M</w:t>
      </w:r>
      <w:r w:rsidR="00486C24">
        <w:rPr>
          <w:sz w:val="22"/>
          <w:szCs w:val="24"/>
        </w:rPr>
        <w:t xml:space="preserve">r. </w:t>
      </w:r>
      <w:proofErr w:type="spellStart"/>
      <w:r w:rsidR="00486C24">
        <w:rPr>
          <w:sz w:val="22"/>
          <w:szCs w:val="24"/>
        </w:rPr>
        <w:t>Grosskopf</w:t>
      </w:r>
      <w:proofErr w:type="spellEnd"/>
      <w:r w:rsidR="00486C24">
        <w:rPr>
          <w:sz w:val="22"/>
          <w:szCs w:val="24"/>
        </w:rPr>
        <w:t xml:space="preserve"> appeared to draw </w:t>
      </w:r>
      <w:r w:rsidR="00486C24" w:rsidRPr="00486C24">
        <w:rPr>
          <w:sz w:val="22"/>
          <w:szCs w:val="24"/>
        </w:rPr>
        <w:t xml:space="preserve">any positive distinction between the Rule of Court and the common-law rule, and I accept that the position as to locus </w:t>
      </w:r>
      <w:proofErr w:type="spellStart"/>
      <w:r w:rsidR="00486C24" w:rsidRPr="00486C24">
        <w:rPr>
          <w:sz w:val="22"/>
          <w:szCs w:val="24"/>
        </w:rPr>
        <w:t>standi</w:t>
      </w:r>
      <w:proofErr w:type="spellEnd"/>
      <w:r w:rsidR="00486C24" w:rsidRPr="00486C24">
        <w:rPr>
          <w:sz w:val="22"/>
          <w:szCs w:val="24"/>
        </w:rPr>
        <w:t xml:space="preserve"> is broadly the same under both.'</w:t>
      </w:r>
    </w:p>
    <w:p w:rsidR="00486C24" w:rsidRPr="00486C24" w:rsidRDefault="00486C24" w:rsidP="00486C24">
      <w:pPr>
        <w:ind w:left="709"/>
        <w:jc w:val="both"/>
        <w:rPr>
          <w:sz w:val="22"/>
          <w:szCs w:val="24"/>
        </w:rPr>
      </w:pPr>
      <w:r w:rsidRPr="00486C24">
        <w:rPr>
          <w:sz w:val="22"/>
          <w:szCs w:val="24"/>
        </w:rPr>
        <w:t>And at 415A – B:</w:t>
      </w:r>
    </w:p>
    <w:p w:rsidR="0098632B" w:rsidRPr="00267FBB" w:rsidRDefault="00486C24" w:rsidP="00486C24">
      <w:pPr>
        <w:ind w:left="851"/>
        <w:jc w:val="both"/>
        <w:rPr>
          <w:sz w:val="20"/>
          <w:szCs w:val="24"/>
        </w:rPr>
      </w:pPr>
      <w:r>
        <w:rPr>
          <w:sz w:val="22"/>
          <w:szCs w:val="24"/>
        </w:rPr>
        <w:t>“</w:t>
      </w:r>
      <w:r w:rsidRPr="00486C24">
        <w:rPr>
          <w:sz w:val="22"/>
          <w:szCs w:val="24"/>
        </w:rPr>
        <w:t>(A</w:t>
      </w:r>
      <w:proofErr w:type="gramStart"/>
      <w:r w:rsidRPr="00486C24">
        <w:rPr>
          <w:sz w:val="22"/>
          <w:szCs w:val="24"/>
        </w:rPr>
        <w:t>)n</w:t>
      </w:r>
      <w:proofErr w:type="gramEnd"/>
      <w:r w:rsidRPr="00486C24">
        <w:rPr>
          <w:sz w:val="22"/>
          <w:szCs w:val="24"/>
        </w:rPr>
        <w:t xml:space="preserve"> applicant for an order setting aside or</w:t>
      </w:r>
      <w:r w:rsidR="00BA5320">
        <w:rPr>
          <w:sz w:val="22"/>
          <w:szCs w:val="24"/>
        </w:rPr>
        <w:t xml:space="preserve"> varying a judgment or order </w:t>
      </w:r>
      <w:r w:rsidRPr="00486C24">
        <w:rPr>
          <w:sz w:val="22"/>
          <w:szCs w:val="24"/>
        </w:rPr>
        <w:t xml:space="preserve">of Court must show, in order to establish locus </w:t>
      </w:r>
      <w:proofErr w:type="spellStart"/>
      <w:r w:rsidRPr="00486C24">
        <w:rPr>
          <w:sz w:val="22"/>
          <w:szCs w:val="24"/>
        </w:rPr>
        <w:t>standi</w:t>
      </w:r>
      <w:proofErr w:type="spellEnd"/>
      <w:r w:rsidRPr="00486C24">
        <w:rPr>
          <w:sz w:val="22"/>
          <w:szCs w:val="24"/>
        </w:rPr>
        <w:t>, that he has an interest in the subject-matter of the judgment or order sufficiently direct and subs</w:t>
      </w:r>
      <w:r>
        <w:rPr>
          <w:sz w:val="22"/>
          <w:szCs w:val="24"/>
        </w:rPr>
        <w:t xml:space="preserve">tantial to have entitled him to </w:t>
      </w:r>
      <w:r w:rsidRPr="00486C24">
        <w:rPr>
          <w:sz w:val="22"/>
          <w:szCs w:val="24"/>
        </w:rPr>
        <w:t>intervene in the original application upon which the judgm</w:t>
      </w:r>
      <w:r>
        <w:rPr>
          <w:sz w:val="22"/>
          <w:szCs w:val="24"/>
        </w:rPr>
        <w:t>ent was given or order granted.”</w:t>
      </w:r>
    </w:p>
    <w:p w:rsidR="00000169" w:rsidRDefault="00FE2D59" w:rsidP="00FE2D59">
      <w:pPr>
        <w:ind w:left="709"/>
        <w:jc w:val="both"/>
        <w:rPr>
          <w:sz w:val="22"/>
          <w:szCs w:val="24"/>
        </w:rPr>
      </w:pPr>
      <w:r w:rsidRPr="00FE2D59">
        <w:rPr>
          <w:sz w:val="22"/>
          <w:szCs w:val="24"/>
        </w:rPr>
        <w:t xml:space="preserve">See also </w:t>
      </w:r>
      <w:r w:rsidRPr="00FE2D59">
        <w:rPr>
          <w:i/>
          <w:sz w:val="22"/>
          <w:szCs w:val="24"/>
        </w:rPr>
        <w:t>Parkview Properties (Pty) Ltd v Haven Holdings (Pty) Ltd</w:t>
      </w:r>
      <w:r>
        <w:rPr>
          <w:sz w:val="22"/>
          <w:szCs w:val="24"/>
        </w:rPr>
        <w:t xml:space="preserve"> </w:t>
      </w:r>
      <w:r w:rsidRPr="00FE2D59">
        <w:rPr>
          <w:sz w:val="22"/>
          <w:szCs w:val="24"/>
        </w:rPr>
        <w:t>1981 (2) SA 52 (T) at 54H – 55C.</w:t>
      </w:r>
      <w:r>
        <w:rPr>
          <w:sz w:val="22"/>
          <w:szCs w:val="24"/>
        </w:rPr>
        <w:t>’</w:t>
      </w:r>
    </w:p>
    <w:p w:rsidR="00331468" w:rsidRDefault="00FD40B7" w:rsidP="006F684B">
      <w:pPr>
        <w:jc w:val="both"/>
        <w:rPr>
          <w:szCs w:val="24"/>
        </w:rPr>
      </w:pPr>
      <w:r>
        <w:rPr>
          <w:szCs w:val="24"/>
        </w:rPr>
        <w:t>[8</w:t>
      </w:r>
      <w:r w:rsidR="002C2FFB">
        <w:rPr>
          <w:szCs w:val="24"/>
        </w:rPr>
        <w:t>]</w:t>
      </w:r>
      <w:r w:rsidR="002C2FFB">
        <w:rPr>
          <w:szCs w:val="24"/>
        </w:rPr>
        <w:tab/>
        <w:t>The applicant</w:t>
      </w:r>
      <w:r w:rsidR="00765F46">
        <w:rPr>
          <w:szCs w:val="24"/>
        </w:rPr>
        <w:t>’s loan amounts</w:t>
      </w:r>
      <w:r w:rsidR="002C2FFB">
        <w:rPr>
          <w:szCs w:val="24"/>
        </w:rPr>
        <w:t xml:space="preserve"> and repayment </w:t>
      </w:r>
      <w:r w:rsidR="00765F46">
        <w:rPr>
          <w:szCs w:val="24"/>
        </w:rPr>
        <w:t>amounts are</w:t>
      </w:r>
      <w:r w:rsidR="002C2FFB">
        <w:rPr>
          <w:szCs w:val="24"/>
        </w:rPr>
        <w:t xml:space="preserve"> common cause, albeit that the respondents give a different </w:t>
      </w:r>
      <w:r w:rsidR="00C813E3">
        <w:rPr>
          <w:szCs w:val="24"/>
        </w:rPr>
        <w:t>colour to it</w:t>
      </w:r>
      <w:r w:rsidR="004754C2">
        <w:rPr>
          <w:szCs w:val="24"/>
        </w:rPr>
        <w:t>. O</w:t>
      </w:r>
      <w:r w:rsidR="00C813E3">
        <w:rPr>
          <w:szCs w:val="24"/>
        </w:rPr>
        <w:t>n the basis of a</w:t>
      </w:r>
      <w:r w:rsidR="00A844CE">
        <w:rPr>
          <w:szCs w:val="24"/>
        </w:rPr>
        <w:t>n ordinary</w:t>
      </w:r>
      <w:r w:rsidR="00C813E3">
        <w:rPr>
          <w:szCs w:val="24"/>
        </w:rPr>
        <w:t xml:space="preserve"> loan repayment</w:t>
      </w:r>
      <w:r w:rsidR="00607F9F">
        <w:rPr>
          <w:szCs w:val="24"/>
        </w:rPr>
        <w:t>,</w:t>
      </w:r>
      <w:r w:rsidR="00C813E3">
        <w:rPr>
          <w:szCs w:val="24"/>
        </w:rPr>
        <w:t xml:space="preserve"> the applicant, in my view, would have a direct intere</w:t>
      </w:r>
      <w:r w:rsidR="00342DE1">
        <w:rPr>
          <w:szCs w:val="24"/>
        </w:rPr>
        <w:t>st in the order which c</w:t>
      </w:r>
      <w:r w:rsidR="00765F46">
        <w:rPr>
          <w:szCs w:val="24"/>
        </w:rPr>
        <w:t>ould result</w:t>
      </w:r>
      <w:r w:rsidR="00FE02DE">
        <w:rPr>
          <w:szCs w:val="24"/>
        </w:rPr>
        <w:t xml:space="preserve"> in</w:t>
      </w:r>
      <w:r w:rsidR="00C813E3">
        <w:rPr>
          <w:szCs w:val="24"/>
        </w:rPr>
        <w:t xml:space="preserve"> a setting aside of the</w:t>
      </w:r>
      <w:r w:rsidR="00A844CE">
        <w:rPr>
          <w:szCs w:val="24"/>
        </w:rPr>
        <w:t xml:space="preserve"> order </w:t>
      </w:r>
      <w:r w:rsidR="00342DE1">
        <w:rPr>
          <w:szCs w:val="24"/>
        </w:rPr>
        <w:t xml:space="preserve">that </w:t>
      </w:r>
      <w:r w:rsidR="00C813E3">
        <w:rPr>
          <w:szCs w:val="24"/>
        </w:rPr>
        <w:t>in effect make</w:t>
      </w:r>
      <w:r w:rsidR="00A44463">
        <w:rPr>
          <w:szCs w:val="24"/>
        </w:rPr>
        <w:t>s</w:t>
      </w:r>
      <w:r w:rsidR="00C813E3">
        <w:rPr>
          <w:szCs w:val="24"/>
        </w:rPr>
        <w:t xml:space="preserve"> it a concurrent creditor for the balance of its claim.</w:t>
      </w:r>
      <w:r w:rsidR="003460DA">
        <w:rPr>
          <w:szCs w:val="24"/>
        </w:rPr>
        <w:t xml:space="preserve"> It is common cause that CSMA did not comply with the second leg of the</w:t>
      </w:r>
      <w:r w:rsidR="00C32BF0">
        <w:rPr>
          <w:szCs w:val="24"/>
        </w:rPr>
        <w:t xml:space="preserve"> ordinary</w:t>
      </w:r>
      <w:r w:rsidR="003460DA">
        <w:rPr>
          <w:szCs w:val="24"/>
        </w:rPr>
        <w:t xml:space="preserve"> requirements of rescission, </w:t>
      </w:r>
      <w:proofErr w:type="spellStart"/>
      <w:r w:rsidR="003460DA">
        <w:rPr>
          <w:szCs w:val="24"/>
        </w:rPr>
        <w:t>i.e</w:t>
      </w:r>
      <w:proofErr w:type="spellEnd"/>
      <w:r w:rsidR="003460DA">
        <w:rPr>
          <w:szCs w:val="24"/>
        </w:rPr>
        <w:t xml:space="preserve">, showing </w:t>
      </w:r>
      <w:r w:rsidR="00B84E4B">
        <w:rPr>
          <w:szCs w:val="24"/>
        </w:rPr>
        <w:t xml:space="preserve">good cause or a bona fide </w:t>
      </w:r>
      <w:proofErr w:type="spellStart"/>
      <w:r w:rsidR="00B84E4B">
        <w:rPr>
          <w:szCs w:val="24"/>
        </w:rPr>
        <w:lastRenderedPageBreak/>
        <w:t>defens</w:t>
      </w:r>
      <w:r w:rsidR="003460DA">
        <w:rPr>
          <w:szCs w:val="24"/>
        </w:rPr>
        <w:t>e</w:t>
      </w:r>
      <w:proofErr w:type="spellEnd"/>
      <w:r w:rsidR="003460DA">
        <w:rPr>
          <w:szCs w:val="24"/>
        </w:rPr>
        <w:t xml:space="preserve">. </w:t>
      </w:r>
      <w:r w:rsidR="00E672ED">
        <w:rPr>
          <w:szCs w:val="24"/>
        </w:rPr>
        <w:t>It can thus not rely on s 354 of the old Companies Act or common law.</w:t>
      </w:r>
      <w:r w:rsidR="00E672ED">
        <w:rPr>
          <w:rStyle w:val="FootnoteReference"/>
          <w:szCs w:val="24"/>
        </w:rPr>
        <w:footnoteReference w:id="6"/>
      </w:r>
      <w:r w:rsidR="00E672ED">
        <w:rPr>
          <w:szCs w:val="24"/>
        </w:rPr>
        <w:t xml:space="preserve"> </w:t>
      </w:r>
      <w:r w:rsidR="00A74F95">
        <w:rPr>
          <w:szCs w:val="24"/>
        </w:rPr>
        <w:t xml:space="preserve">Counsel for the applicant submitted that this is not the type of case where that requirement needs to </w:t>
      </w:r>
      <w:r w:rsidR="00C64A46">
        <w:rPr>
          <w:szCs w:val="24"/>
        </w:rPr>
        <w:t>be met as CMSA relies on the s</w:t>
      </w:r>
      <w:r w:rsidR="00A74F95">
        <w:rPr>
          <w:szCs w:val="24"/>
        </w:rPr>
        <w:t xml:space="preserve"> 20(9) order being a nullity due to it being gran</w:t>
      </w:r>
      <w:r w:rsidR="00A844CE">
        <w:rPr>
          <w:szCs w:val="24"/>
        </w:rPr>
        <w:t>ted in circumstances where the c</w:t>
      </w:r>
      <w:r w:rsidR="00A74F95">
        <w:rPr>
          <w:szCs w:val="24"/>
        </w:rPr>
        <w:t xml:space="preserve">ourt lacked jurisdiction to grant such an order. </w:t>
      </w:r>
      <w:r w:rsidR="00784BF3">
        <w:rPr>
          <w:szCs w:val="24"/>
        </w:rPr>
        <w:t xml:space="preserve">Where jurisdiction is lacking, any order granted is a nullity and the rescission application is not hampered by </w:t>
      </w:r>
      <w:r w:rsidR="00A844CE">
        <w:rPr>
          <w:szCs w:val="24"/>
        </w:rPr>
        <w:t>the requirements of good cause</w:t>
      </w:r>
      <w:r w:rsidR="006F684B">
        <w:rPr>
          <w:szCs w:val="24"/>
        </w:rPr>
        <w:t>.</w:t>
      </w:r>
      <w:r w:rsidR="005E0FF3">
        <w:rPr>
          <w:szCs w:val="24"/>
        </w:rPr>
        <w:t xml:space="preserve"> Firstly, the common law</w:t>
      </w:r>
      <w:r w:rsidR="00817CEB">
        <w:rPr>
          <w:szCs w:val="24"/>
        </w:rPr>
        <w:t xml:space="preserve"> and Rule 42</w:t>
      </w:r>
      <w:r w:rsidR="005E0FF3">
        <w:rPr>
          <w:szCs w:val="24"/>
        </w:rPr>
        <w:t xml:space="preserve"> requirement of good cause applies to ap</w:t>
      </w:r>
      <w:r w:rsidR="00A44463">
        <w:rPr>
          <w:szCs w:val="24"/>
        </w:rPr>
        <w:t>plications</w:t>
      </w:r>
      <w:r w:rsidR="00E672ED">
        <w:rPr>
          <w:szCs w:val="24"/>
        </w:rPr>
        <w:t xml:space="preserve"> for rescission where the</w:t>
      </w:r>
      <w:r w:rsidR="005E0FF3">
        <w:rPr>
          <w:szCs w:val="24"/>
        </w:rPr>
        <w:t xml:space="preserve"> judgment or order was granted erroneously. It cannot be argued that the s 20(9) order was granted erroneously as the test applied to qualify for such a rescission application was set out by </w:t>
      </w:r>
      <w:proofErr w:type="spellStart"/>
      <w:r w:rsidR="005E0FF3">
        <w:rPr>
          <w:szCs w:val="24"/>
        </w:rPr>
        <w:t>Streicher</w:t>
      </w:r>
      <w:proofErr w:type="spellEnd"/>
      <w:r w:rsidR="005E0FF3">
        <w:rPr>
          <w:szCs w:val="24"/>
        </w:rPr>
        <w:t xml:space="preserve"> JA in </w:t>
      </w:r>
      <w:proofErr w:type="spellStart"/>
      <w:r w:rsidR="005E0FF3" w:rsidRPr="005E0FF3">
        <w:rPr>
          <w:i/>
          <w:szCs w:val="24"/>
        </w:rPr>
        <w:t>Lodhi</w:t>
      </w:r>
      <w:proofErr w:type="spellEnd"/>
      <w:r w:rsidR="005E0FF3" w:rsidRPr="005E0FF3">
        <w:rPr>
          <w:i/>
          <w:szCs w:val="24"/>
        </w:rPr>
        <w:t xml:space="preserve"> 2 Properties Investments CC and Another v </w:t>
      </w:r>
      <w:proofErr w:type="spellStart"/>
      <w:r w:rsidR="005E0FF3" w:rsidRPr="005E0FF3">
        <w:rPr>
          <w:i/>
          <w:szCs w:val="24"/>
        </w:rPr>
        <w:t>Bondev</w:t>
      </w:r>
      <w:proofErr w:type="spellEnd"/>
      <w:r w:rsidR="005E0FF3" w:rsidRPr="005E0FF3">
        <w:rPr>
          <w:i/>
          <w:szCs w:val="24"/>
        </w:rPr>
        <w:t xml:space="preserve"> Developments (Pty) Ltd</w:t>
      </w:r>
      <w:r w:rsidR="00331468">
        <w:rPr>
          <w:i/>
          <w:szCs w:val="24"/>
        </w:rPr>
        <w:t xml:space="preserve"> </w:t>
      </w:r>
      <w:r w:rsidR="005E0FF3">
        <w:rPr>
          <w:rStyle w:val="FootnoteReference"/>
          <w:szCs w:val="24"/>
        </w:rPr>
        <w:footnoteReference w:id="7"/>
      </w:r>
      <w:r w:rsidR="00331468">
        <w:rPr>
          <w:szCs w:val="24"/>
        </w:rPr>
        <w:t xml:space="preserve">as follows: </w:t>
      </w:r>
    </w:p>
    <w:p w:rsidR="00331468" w:rsidRPr="00331468" w:rsidRDefault="00331468" w:rsidP="00331468">
      <w:pPr>
        <w:ind w:left="709"/>
        <w:jc w:val="both"/>
        <w:rPr>
          <w:sz w:val="20"/>
          <w:szCs w:val="24"/>
        </w:rPr>
      </w:pPr>
      <w:r w:rsidRPr="00331468">
        <w:rPr>
          <w:sz w:val="22"/>
          <w:szCs w:val="24"/>
        </w:rPr>
        <w:tab/>
        <w:t>‘Similarly, in a case where a plaintiff is procedurally entitled to judgment in the absence of the defendant the judgment if granted cannot be said to have been granted erroneously in the light of a subsequently disclosed defence. A Court which grants a judgment by default like the judgments we are presen</w:t>
      </w:r>
      <w:r w:rsidR="00E672ED">
        <w:rPr>
          <w:sz w:val="22"/>
          <w:szCs w:val="24"/>
        </w:rPr>
        <w:t xml:space="preserve">tly concerned with, does not </w:t>
      </w:r>
      <w:r w:rsidRPr="00331468">
        <w:rPr>
          <w:sz w:val="22"/>
          <w:szCs w:val="24"/>
        </w:rPr>
        <w:t>grant the judgment on the basis that the defendant does not have a defence: it grants the judgment on the basis that the defendant has been notified of the plaintiff's claim as required by the Rules, that the defendant, not having given notice of an intention to defend, is not defending the matter and that the plaintiff is in terms of the Rules entitled to the order sought. The existence or non-ex</w:t>
      </w:r>
      <w:r w:rsidR="00DB65C7">
        <w:rPr>
          <w:sz w:val="22"/>
          <w:szCs w:val="24"/>
        </w:rPr>
        <w:t xml:space="preserve">istence of a </w:t>
      </w:r>
      <w:r w:rsidRPr="00331468">
        <w:rPr>
          <w:sz w:val="22"/>
          <w:szCs w:val="24"/>
        </w:rPr>
        <w:t>defence on the merits is an irrelevant consideration and, if subsequently disclosed, cannot transform a validly obtained judgment into an erroneous judgment.</w:t>
      </w:r>
      <w:r>
        <w:rPr>
          <w:sz w:val="22"/>
          <w:szCs w:val="24"/>
        </w:rPr>
        <w:t>’</w:t>
      </w:r>
    </w:p>
    <w:p w:rsidR="006538A0" w:rsidRDefault="005E0FF3" w:rsidP="006F684B">
      <w:pPr>
        <w:jc w:val="both"/>
        <w:rPr>
          <w:szCs w:val="24"/>
        </w:rPr>
      </w:pPr>
      <w:r>
        <w:rPr>
          <w:i/>
          <w:szCs w:val="24"/>
        </w:rPr>
        <w:t xml:space="preserve"> </w:t>
      </w:r>
      <w:r w:rsidR="00186F60">
        <w:rPr>
          <w:szCs w:val="24"/>
        </w:rPr>
        <w:t>[9]</w:t>
      </w:r>
      <w:r w:rsidR="00186F60">
        <w:rPr>
          <w:szCs w:val="24"/>
        </w:rPr>
        <w:tab/>
        <w:t>The case for CMSA does not fall within the</w:t>
      </w:r>
      <w:r w:rsidR="0030532C">
        <w:rPr>
          <w:szCs w:val="24"/>
        </w:rPr>
        <w:t xml:space="preserve"> category</w:t>
      </w:r>
      <w:r w:rsidR="00186F60">
        <w:rPr>
          <w:szCs w:val="24"/>
        </w:rPr>
        <w:t xml:space="preserve"> of cases that qualify for rescission based on an erroneous order</w:t>
      </w:r>
      <w:r w:rsidR="00DB65C7">
        <w:rPr>
          <w:szCs w:val="24"/>
        </w:rPr>
        <w:t xml:space="preserve"> under Rule 42(1</w:t>
      </w:r>
      <w:proofErr w:type="gramStart"/>
      <w:r w:rsidR="00DB65C7">
        <w:rPr>
          <w:szCs w:val="24"/>
        </w:rPr>
        <w:t>)(</w:t>
      </w:r>
      <w:proofErr w:type="gramEnd"/>
      <w:r w:rsidR="00DB65C7">
        <w:rPr>
          <w:szCs w:val="24"/>
        </w:rPr>
        <w:t>a)</w:t>
      </w:r>
      <w:r w:rsidR="00186F60">
        <w:rPr>
          <w:szCs w:val="24"/>
        </w:rPr>
        <w:t xml:space="preserve">. What remains is the argument that the order was incompetent or falls outside of the jurisdiction of the court that granted it. </w:t>
      </w:r>
      <w:r w:rsidR="006538A0">
        <w:rPr>
          <w:szCs w:val="24"/>
        </w:rPr>
        <w:t xml:space="preserve">In this regard I refer to what </w:t>
      </w:r>
      <w:proofErr w:type="spellStart"/>
      <w:r w:rsidR="006538A0">
        <w:rPr>
          <w:szCs w:val="24"/>
        </w:rPr>
        <w:t>Schoeman</w:t>
      </w:r>
      <w:proofErr w:type="spellEnd"/>
      <w:r w:rsidR="006538A0">
        <w:rPr>
          <w:szCs w:val="24"/>
        </w:rPr>
        <w:t xml:space="preserve"> JA said in </w:t>
      </w:r>
      <w:r w:rsidR="006538A0" w:rsidRPr="006538A0">
        <w:rPr>
          <w:i/>
          <w:szCs w:val="24"/>
        </w:rPr>
        <w:t>Travelex Limited v Maloney and Another</w:t>
      </w:r>
      <w:r w:rsidR="006538A0">
        <w:rPr>
          <w:i/>
          <w:szCs w:val="24"/>
        </w:rPr>
        <w:t>:</w:t>
      </w:r>
      <w:r w:rsidR="006538A0">
        <w:rPr>
          <w:rStyle w:val="FootnoteReference"/>
          <w:i/>
          <w:szCs w:val="24"/>
        </w:rPr>
        <w:footnoteReference w:id="8"/>
      </w:r>
      <w:r w:rsidR="006538A0">
        <w:rPr>
          <w:szCs w:val="24"/>
        </w:rPr>
        <w:t xml:space="preserve"> </w:t>
      </w:r>
    </w:p>
    <w:p w:rsidR="00903F38" w:rsidRPr="006538A0" w:rsidRDefault="006538A0" w:rsidP="006538A0">
      <w:pPr>
        <w:ind w:left="709"/>
        <w:jc w:val="both"/>
        <w:rPr>
          <w:sz w:val="22"/>
          <w:szCs w:val="24"/>
        </w:rPr>
      </w:pPr>
      <w:r>
        <w:rPr>
          <w:szCs w:val="24"/>
        </w:rPr>
        <w:lastRenderedPageBreak/>
        <w:tab/>
      </w:r>
      <w:r>
        <w:rPr>
          <w:sz w:val="22"/>
          <w:szCs w:val="24"/>
        </w:rPr>
        <w:t>‘</w:t>
      </w:r>
      <w:r w:rsidRPr="006538A0">
        <w:rPr>
          <w:sz w:val="22"/>
          <w:szCs w:val="24"/>
        </w:rPr>
        <w:t>I incline to the view that if a judgment or order has been granted by a court that lacks jurisdiction, such order or judgment is a nullity and it is not required to be set aside. However, I agree with the view expressed in Erasmus Superior Court Practice, that if the parties do not agree as to the status of the impugned judgment or or</w:t>
      </w:r>
      <w:r w:rsidR="00903F38">
        <w:rPr>
          <w:sz w:val="22"/>
          <w:szCs w:val="24"/>
        </w:rPr>
        <w:t xml:space="preserve">der, it should be rescinded. </w:t>
      </w:r>
      <w:r w:rsidRPr="006538A0">
        <w:rPr>
          <w:sz w:val="22"/>
          <w:szCs w:val="24"/>
        </w:rPr>
        <w:t>That is the position in the instant matter where the appellant applied to have the order set aside on the premise that the court did not have jurisdiction. Therefore, the usual requirements for a rescission application in terms of the common law or rule 42 do not apply.</w:t>
      </w:r>
      <w:r>
        <w:rPr>
          <w:sz w:val="22"/>
          <w:szCs w:val="24"/>
        </w:rPr>
        <w:t>’</w:t>
      </w:r>
    </w:p>
    <w:p w:rsidR="00796E76" w:rsidRDefault="00903F38" w:rsidP="00796E76">
      <w:pPr>
        <w:jc w:val="both"/>
        <w:rPr>
          <w:szCs w:val="24"/>
        </w:rPr>
      </w:pPr>
      <w:r>
        <w:rPr>
          <w:szCs w:val="24"/>
        </w:rPr>
        <w:t>[10]</w:t>
      </w:r>
      <w:r>
        <w:rPr>
          <w:szCs w:val="24"/>
        </w:rPr>
        <w:tab/>
      </w:r>
      <w:r w:rsidR="00796E76" w:rsidRPr="00796E76">
        <w:rPr>
          <w:szCs w:val="24"/>
        </w:rPr>
        <w:t>The re</w:t>
      </w:r>
      <w:r w:rsidR="00140815">
        <w:rPr>
          <w:szCs w:val="24"/>
        </w:rPr>
        <w:t>s</w:t>
      </w:r>
      <w:r w:rsidR="00796E76" w:rsidRPr="00796E76">
        <w:rPr>
          <w:szCs w:val="24"/>
        </w:rPr>
        <w:t>cission application based on the lack of jurisdiction where the judgment was granted is consequently in my view sui generis and does not fall under the requirements of the rules regarding re</w:t>
      </w:r>
      <w:r w:rsidR="00AE5C2F">
        <w:rPr>
          <w:szCs w:val="24"/>
        </w:rPr>
        <w:t>s</w:t>
      </w:r>
      <w:r w:rsidR="00796E76" w:rsidRPr="00796E76">
        <w:rPr>
          <w:szCs w:val="24"/>
        </w:rPr>
        <w:t xml:space="preserve">cission generally. Or, as </w:t>
      </w:r>
      <w:proofErr w:type="spellStart"/>
      <w:r w:rsidR="00796E76" w:rsidRPr="00796E76">
        <w:rPr>
          <w:szCs w:val="24"/>
        </w:rPr>
        <w:t>Mabuse</w:t>
      </w:r>
      <w:proofErr w:type="spellEnd"/>
      <w:r w:rsidR="00796E76" w:rsidRPr="00796E76">
        <w:rPr>
          <w:szCs w:val="24"/>
        </w:rPr>
        <w:t xml:space="preserve"> J said </w:t>
      </w:r>
      <w:r w:rsidR="00796E76">
        <w:rPr>
          <w:szCs w:val="24"/>
        </w:rPr>
        <w:t>in</w:t>
      </w:r>
      <w:r w:rsidR="00796E76" w:rsidRPr="00796E76">
        <w:rPr>
          <w:i/>
          <w:szCs w:val="24"/>
        </w:rPr>
        <w:t xml:space="preserve"> </w:t>
      </w:r>
      <w:proofErr w:type="spellStart"/>
      <w:r w:rsidR="00796E76" w:rsidRPr="00796E76">
        <w:rPr>
          <w:i/>
          <w:szCs w:val="24"/>
        </w:rPr>
        <w:t>Seleka</w:t>
      </w:r>
      <w:proofErr w:type="spellEnd"/>
      <w:r w:rsidR="00796E76" w:rsidRPr="00796E76">
        <w:rPr>
          <w:i/>
          <w:szCs w:val="24"/>
        </w:rPr>
        <w:t xml:space="preserve"> v Fast Issuer SPV (RF) Limited</w:t>
      </w:r>
      <w:r w:rsidR="00796E76">
        <w:rPr>
          <w:i/>
          <w:szCs w:val="24"/>
        </w:rPr>
        <w:t xml:space="preserve"> </w:t>
      </w:r>
      <w:r w:rsidR="00796E76">
        <w:rPr>
          <w:rStyle w:val="FootnoteReference"/>
          <w:i/>
          <w:szCs w:val="24"/>
        </w:rPr>
        <w:footnoteReference w:id="9"/>
      </w:r>
      <w:r w:rsidR="00796E76" w:rsidRPr="00796E76">
        <w:rPr>
          <w:szCs w:val="24"/>
        </w:rPr>
        <w:t xml:space="preserve"> </w:t>
      </w:r>
    </w:p>
    <w:p w:rsidR="00796E76" w:rsidRPr="00796E76" w:rsidRDefault="00796E76" w:rsidP="00796E76">
      <w:pPr>
        <w:ind w:left="709"/>
        <w:jc w:val="both"/>
        <w:rPr>
          <w:sz w:val="22"/>
          <w:szCs w:val="24"/>
        </w:rPr>
      </w:pPr>
      <w:r>
        <w:rPr>
          <w:szCs w:val="24"/>
        </w:rPr>
        <w:t>‘</w:t>
      </w:r>
      <w:r w:rsidRPr="00796E76">
        <w:rPr>
          <w:sz w:val="22"/>
          <w:szCs w:val="24"/>
        </w:rPr>
        <w:t>The power of the Registrar of the Court to grant default judgment is circumscribed.  He does not have power to grant all the applications for default judgment.  He can only do so where the law expressly authorises him to do so.  The Registrar may therefore not grant default judgments where it is so prohibited by statue, such as s 130 of NCA.  If he oversteps his powers or where contrary to the statues, he arrogates to himself the power to grant a default judgment, such a default judgment is null and void.’</w:t>
      </w:r>
    </w:p>
    <w:p w:rsidR="006F7F93" w:rsidRDefault="003C3D0B" w:rsidP="00796E76">
      <w:pPr>
        <w:jc w:val="both"/>
        <w:rPr>
          <w:szCs w:val="24"/>
        </w:rPr>
      </w:pPr>
      <w:r>
        <w:rPr>
          <w:szCs w:val="24"/>
        </w:rPr>
        <w:t>[11]</w:t>
      </w:r>
      <w:r>
        <w:rPr>
          <w:szCs w:val="24"/>
        </w:rPr>
        <w:tab/>
        <w:t xml:space="preserve">Relying on this principle, the applicant submits that the order, issued by this court, fell outside of the powers of the learned judge and is therefore null and void. </w:t>
      </w:r>
    </w:p>
    <w:p w:rsidR="006F684B" w:rsidRDefault="006F7F93" w:rsidP="00796E76">
      <w:pPr>
        <w:jc w:val="both"/>
        <w:rPr>
          <w:szCs w:val="24"/>
        </w:rPr>
      </w:pPr>
      <w:r>
        <w:rPr>
          <w:szCs w:val="24"/>
        </w:rPr>
        <w:t>[12]</w:t>
      </w:r>
      <w:r>
        <w:rPr>
          <w:szCs w:val="24"/>
        </w:rPr>
        <w:tab/>
      </w:r>
      <w:r w:rsidR="006F684B">
        <w:rPr>
          <w:szCs w:val="24"/>
        </w:rPr>
        <w:t>In the result, tw</w:t>
      </w:r>
      <w:r w:rsidR="00A844CE">
        <w:rPr>
          <w:szCs w:val="24"/>
        </w:rPr>
        <w:t>o questions require answering: d</w:t>
      </w:r>
      <w:r w:rsidR="006F684B">
        <w:rPr>
          <w:szCs w:val="24"/>
        </w:rPr>
        <w:t>oes the respondent</w:t>
      </w:r>
      <w:r w:rsidR="00C85B79">
        <w:rPr>
          <w:szCs w:val="24"/>
        </w:rPr>
        <w:t>’s</w:t>
      </w:r>
      <w:r w:rsidR="006F684B">
        <w:rPr>
          <w:szCs w:val="24"/>
        </w:rPr>
        <w:t xml:space="preserve"> case controvert the applicant’s standing or locus </w:t>
      </w:r>
      <w:proofErr w:type="spellStart"/>
      <w:r w:rsidR="006F684B">
        <w:rPr>
          <w:szCs w:val="24"/>
        </w:rPr>
        <w:t>stand</w:t>
      </w:r>
      <w:r w:rsidR="00C85B79">
        <w:rPr>
          <w:szCs w:val="24"/>
        </w:rPr>
        <w:t>i</w:t>
      </w:r>
      <w:proofErr w:type="spellEnd"/>
      <w:r w:rsidR="00C85B79">
        <w:rPr>
          <w:szCs w:val="24"/>
        </w:rPr>
        <w:t xml:space="preserve"> regarding the loan repayment?</w:t>
      </w:r>
      <w:r w:rsidR="006F684B">
        <w:rPr>
          <w:szCs w:val="24"/>
        </w:rPr>
        <w:t xml:space="preserve"> And secondly, did the court la</w:t>
      </w:r>
      <w:r w:rsidR="00C64A46">
        <w:rPr>
          <w:szCs w:val="24"/>
        </w:rPr>
        <w:t>ck jurisdiction to issue the s</w:t>
      </w:r>
      <w:r w:rsidR="006F684B">
        <w:rPr>
          <w:szCs w:val="24"/>
        </w:rPr>
        <w:t xml:space="preserve"> 20(9) order? </w:t>
      </w:r>
    </w:p>
    <w:p w:rsidR="009B4B6B" w:rsidRDefault="006F7F93" w:rsidP="006F684B">
      <w:pPr>
        <w:jc w:val="both"/>
        <w:rPr>
          <w:szCs w:val="24"/>
        </w:rPr>
      </w:pPr>
      <w:r>
        <w:rPr>
          <w:szCs w:val="24"/>
        </w:rPr>
        <w:t>[13</w:t>
      </w:r>
      <w:r w:rsidR="006F684B">
        <w:rPr>
          <w:szCs w:val="24"/>
        </w:rPr>
        <w:t>]</w:t>
      </w:r>
      <w:r w:rsidR="006F684B">
        <w:rPr>
          <w:szCs w:val="24"/>
        </w:rPr>
        <w:tab/>
        <w:t>The respondents resist the finding that CMSA has standing on the basis that the claims by it, against the collapsed companies, were</w:t>
      </w:r>
      <w:r w:rsidR="00C32BF0">
        <w:rPr>
          <w:szCs w:val="24"/>
        </w:rPr>
        <w:t xml:space="preserve"> not</w:t>
      </w:r>
      <w:r w:rsidR="006F684B">
        <w:rPr>
          <w:szCs w:val="24"/>
        </w:rPr>
        <w:t xml:space="preserve"> gen</w:t>
      </w:r>
      <w:r w:rsidR="00C85B79">
        <w:rPr>
          <w:szCs w:val="24"/>
        </w:rPr>
        <w:t xml:space="preserve">uine claims but formed part </w:t>
      </w:r>
      <w:proofErr w:type="gramStart"/>
      <w:r w:rsidR="00C85B79">
        <w:rPr>
          <w:szCs w:val="24"/>
        </w:rPr>
        <w:t xml:space="preserve">of </w:t>
      </w:r>
      <w:r w:rsidR="006F684B">
        <w:rPr>
          <w:szCs w:val="24"/>
        </w:rPr>
        <w:t xml:space="preserve"> wider</w:t>
      </w:r>
      <w:proofErr w:type="gramEnd"/>
      <w:r w:rsidR="006F684B">
        <w:rPr>
          <w:szCs w:val="24"/>
        </w:rPr>
        <w:t xml:space="preserve"> fraudulent conduct. </w:t>
      </w:r>
      <w:r w:rsidR="0016692A">
        <w:rPr>
          <w:szCs w:val="24"/>
        </w:rPr>
        <w:t xml:space="preserve">It is stated that the reason why the applicant does not refer to the merits of </w:t>
      </w:r>
      <w:r w:rsidR="00A844CE">
        <w:rPr>
          <w:szCs w:val="24"/>
        </w:rPr>
        <w:t>the matter is because</w:t>
      </w:r>
      <w:r w:rsidR="000B5988">
        <w:rPr>
          <w:szCs w:val="24"/>
        </w:rPr>
        <w:t xml:space="preserve"> that it must </w:t>
      </w:r>
      <w:r w:rsidR="00C85B79">
        <w:rPr>
          <w:szCs w:val="24"/>
        </w:rPr>
        <w:t>stay</w:t>
      </w:r>
      <w:r w:rsidR="007F1674">
        <w:rPr>
          <w:szCs w:val="24"/>
        </w:rPr>
        <w:t xml:space="preserve"> away from dealing with</w:t>
      </w:r>
      <w:r w:rsidR="00C85B79">
        <w:rPr>
          <w:szCs w:val="24"/>
        </w:rPr>
        <w:t xml:space="preserve"> </w:t>
      </w:r>
      <w:r w:rsidR="007F1674">
        <w:rPr>
          <w:szCs w:val="24"/>
        </w:rPr>
        <w:t>the merits</w:t>
      </w:r>
      <w:r w:rsidR="0016692A">
        <w:rPr>
          <w:szCs w:val="24"/>
        </w:rPr>
        <w:t xml:space="preserve">. </w:t>
      </w:r>
      <w:r w:rsidR="00647335">
        <w:rPr>
          <w:szCs w:val="24"/>
        </w:rPr>
        <w:t xml:space="preserve">The respondents set out in some detail the factual background of </w:t>
      </w:r>
      <w:r w:rsidR="002A7BDD">
        <w:rPr>
          <w:szCs w:val="24"/>
        </w:rPr>
        <w:t>the alleged loan and repayment of both the companies t</w:t>
      </w:r>
      <w:r w:rsidR="00634112">
        <w:rPr>
          <w:szCs w:val="24"/>
        </w:rPr>
        <w:t>hat were collapsed into TMC</w:t>
      </w:r>
      <w:r w:rsidR="002A7BDD">
        <w:rPr>
          <w:szCs w:val="24"/>
        </w:rPr>
        <w:t xml:space="preserve">. The </w:t>
      </w:r>
      <w:proofErr w:type="gramStart"/>
      <w:r w:rsidR="002A7BDD">
        <w:rPr>
          <w:szCs w:val="24"/>
        </w:rPr>
        <w:t>liquidators</w:t>
      </w:r>
      <w:proofErr w:type="gramEnd"/>
      <w:r w:rsidR="002A7BDD">
        <w:rPr>
          <w:szCs w:val="24"/>
        </w:rPr>
        <w:t xml:space="preserve"> dispute </w:t>
      </w:r>
      <w:r w:rsidR="002A7BDD">
        <w:rPr>
          <w:szCs w:val="24"/>
        </w:rPr>
        <w:lastRenderedPageBreak/>
        <w:t>that the claim arose as alleged by CMSA as purely a l</w:t>
      </w:r>
      <w:r w:rsidR="000B5988">
        <w:rPr>
          <w:szCs w:val="24"/>
        </w:rPr>
        <w:t>oan and put it in context in their</w:t>
      </w:r>
      <w:r w:rsidR="002A7BDD">
        <w:rPr>
          <w:szCs w:val="24"/>
        </w:rPr>
        <w:t xml:space="preserve"> affidavit.</w:t>
      </w:r>
      <w:r w:rsidR="00F12EC7">
        <w:rPr>
          <w:szCs w:val="24"/>
        </w:rPr>
        <w:t xml:space="preserve"> I need not set out the all the paragraphs dealing with this issue.</w:t>
      </w:r>
      <w:r w:rsidR="00F12EC7">
        <w:rPr>
          <w:rStyle w:val="FootnoteReference"/>
          <w:szCs w:val="24"/>
        </w:rPr>
        <w:footnoteReference w:id="10"/>
      </w:r>
      <w:r w:rsidR="00400E8F">
        <w:rPr>
          <w:szCs w:val="24"/>
        </w:rPr>
        <w:t xml:space="preserve"> But,</w:t>
      </w:r>
      <w:r w:rsidR="009B4B6B">
        <w:rPr>
          <w:szCs w:val="24"/>
        </w:rPr>
        <w:t xml:space="preserve"> the liquidator said:</w:t>
      </w:r>
    </w:p>
    <w:p w:rsidR="009B4B6B" w:rsidRPr="009B4B6B" w:rsidRDefault="009B4B6B" w:rsidP="009B4B6B">
      <w:pPr>
        <w:ind w:left="709"/>
        <w:jc w:val="both"/>
        <w:rPr>
          <w:sz w:val="22"/>
          <w:szCs w:val="24"/>
        </w:rPr>
      </w:pPr>
      <w:r>
        <w:rPr>
          <w:sz w:val="22"/>
          <w:szCs w:val="24"/>
        </w:rPr>
        <w:t>‘The Trillion constituents</w:t>
      </w:r>
      <w:r w:rsidR="000B5988">
        <w:rPr>
          <w:sz w:val="22"/>
          <w:szCs w:val="24"/>
        </w:rPr>
        <w:t>,</w:t>
      </w:r>
      <w:r>
        <w:rPr>
          <w:sz w:val="22"/>
          <w:szCs w:val="24"/>
        </w:rPr>
        <w:t xml:space="preserve"> </w:t>
      </w:r>
      <w:r w:rsidR="002C5B9D">
        <w:rPr>
          <w:sz w:val="22"/>
          <w:szCs w:val="24"/>
        </w:rPr>
        <w:t>particularly</w:t>
      </w:r>
      <w:r>
        <w:rPr>
          <w:sz w:val="22"/>
          <w:szCs w:val="24"/>
        </w:rPr>
        <w:t xml:space="preserve"> TMC and the subject companies, were for all intents and purposes used</w:t>
      </w:r>
      <w:r w:rsidR="000B5988">
        <w:rPr>
          <w:sz w:val="22"/>
          <w:szCs w:val="24"/>
        </w:rPr>
        <w:t xml:space="preserve"> in synergy as one indivisible vehicle through which a </w:t>
      </w:r>
      <w:proofErr w:type="spellStart"/>
      <w:r w:rsidR="000B5988">
        <w:rPr>
          <w:sz w:val="22"/>
          <w:szCs w:val="24"/>
        </w:rPr>
        <w:t>hig</w:t>
      </w:r>
      <w:r>
        <w:rPr>
          <w:sz w:val="22"/>
          <w:szCs w:val="24"/>
        </w:rPr>
        <w:t>ly</w:t>
      </w:r>
      <w:proofErr w:type="spellEnd"/>
      <w:r>
        <w:rPr>
          <w:sz w:val="22"/>
          <w:szCs w:val="24"/>
        </w:rPr>
        <w:t xml:space="preserve"> sophisticated and  multi-dimensional corruption, fraud and money laundering scheme was conducted, with Wood the controlling mind behind all of them.’   </w:t>
      </w:r>
    </w:p>
    <w:p w:rsidR="00400E8F" w:rsidRDefault="009B4B6B" w:rsidP="006F684B">
      <w:pPr>
        <w:jc w:val="both"/>
        <w:rPr>
          <w:szCs w:val="24"/>
        </w:rPr>
      </w:pPr>
      <w:r>
        <w:rPr>
          <w:szCs w:val="24"/>
        </w:rPr>
        <w:t xml:space="preserve">  </w:t>
      </w:r>
      <w:proofErr w:type="gramStart"/>
      <w:r w:rsidR="00634112">
        <w:rPr>
          <w:szCs w:val="24"/>
        </w:rPr>
        <w:t>and</w:t>
      </w:r>
      <w:proofErr w:type="gramEnd"/>
      <w:r w:rsidR="00634112">
        <w:rPr>
          <w:szCs w:val="24"/>
        </w:rPr>
        <w:t xml:space="preserve"> </w:t>
      </w:r>
      <w:r>
        <w:rPr>
          <w:szCs w:val="24"/>
        </w:rPr>
        <w:t>concluded</w:t>
      </w:r>
      <w:r w:rsidR="00400E8F">
        <w:rPr>
          <w:szCs w:val="24"/>
        </w:rPr>
        <w:t xml:space="preserve"> that CMSA is </w:t>
      </w:r>
    </w:p>
    <w:p w:rsidR="006F684B" w:rsidRPr="001C1C9D" w:rsidRDefault="00400E8F" w:rsidP="00400E8F">
      <w:pPr>
        <w:ind w:left="709"/>
        <w:jc w:val="both"/>
        <w:rPr>
          <w:sz w:val="22"/>
          <w:szCs w:val="24"/>
        </w:rPr>
      </w:pPr>
      <w:r w:rsidRPr="001C1C9D">
        <w:rPr>
          <w:sz w:val="22"/>
          <w:szCs w:val="24"/>
        </w:rPr>
        <w:t>‘. . . for the aforesaid reasons not a creditor in truth and in fact in the respects contended for the only reason why it advanced funds to Trillion was because CVL (Centaur Ventures Limited) could not directly do so and the CVL funding from the Gupta purse, had to be channelled through CMSA so as to avoid reporting scrutiny.’</w:t>
      </w:r>
    </w:p>
    <w:p w:rsidR="00E12786" w:rsidRDefault="006F7F93" w:rsidP="00092527">
      <w:pPr>
        <w:jc w:val="both"/>
        <w:rPr>
          <w:szCs w:val="24"/>
        </w:rPr>
      </w:pPr>
      <w:r>
        <w:rPr>
          <w:szCs w:val="24"/>
        </w:rPr>
        <w:t>[14</w:t>
      </w:r>
      <w:r w:rsidR="003A669D">
        <w:rPr>
          <w:szCs w:val="24"/>
        </w:rPr>
        <w:t>]</w:t>
      </w:r>
      <w:r w:rsidR="003A669D">
        <w:rPr>
          <w:szCs w:val="24"/>
        </w:rPr>
        <w:tab/>
      </w:r>
      <w:r w:rsidR="000B5988">
        <w:rPr>
          <w:szCs w:val="24"/>
        </w:rPr>
        <w:t>The deponent states that the TFA</w:t>
      </w:r>
      <w:r w:rsidR="003A669D">
        <w:rPr>
          <w:szCs w:val="24"/>
        </w:rPr>
        <w:t xml:space="preserve"> and TSS loans and loan agreements were, however, not a true reflection of the </w:t>
      </w:r>
      <w:proofErr w:type="spellStart"/>
      <w:r w:rsidR="003A669D">
        <w:rPr>
          <w:szCs w:val="24"/>
        </w:rPr>
        <w:t>recordal</w:t>
      </w:r>
      <w:proofErr w:type="spellEnd"/>
      <w:r w:rsidR="003A669D">
        <w:rPr>
          <w:szCs w:val="24"/>
        </w:rPr>
        <w:t xml:space="preserve"> of what had in truth and in fact transpired.</w:t>
      </w:r>
      <w:r w:rsidR="00CD4AFB">
        <w:rPr>
          <w:szCs w:val="24"/>
        </w:rPr>
        <w:t xml:space="preserve"> They were rather agreements conjured up in an attempt to, respectively, regularise or rather ‘paper’ the flow of funds for CVL to CMSA and, ultimately, to its true intended recipient, Trillian. </w:t>
      </w:r>
    </w:p>
    <w:p w:rsidR="004F38DC" w:rsidRDefault="006F7F93" w:rsidP="00092527">
      <w:pPr>
        <w:jc w:val="both"/>
        <w:rPr>
          <w:szCs w:val="24"/>
        </w:rPr>
      </w:pPr>
      <w:r>
        <w:rPr>
          <w:szCs w:val="24"/>
        </w:rPr>
        <w:t>[15</w:t>
      </w:r>
      <w:r w:rsidR="00A2326B">
        <w:rPr>
          <w:szCs w:val="24"/>
        </w:rPr>
        <w:t>]</w:t>
      </w:r>
      <w:r w:rsidR="00A2326B">
        <w:rPr>
          <w:szCs w:val="24"/>
        </w:rPr>
        <w:tab/>
        <w:t>The liquidators</w:t>
      </w:r>
      <w:r w:rsidR="00E12786">
        <w:rPr>
          <w:szCs w:val="24"/>
        </w:rPr>
        <w:t xml:space="preserve"> set out that the alleged </w:t>
      </w:r>
      <w:proofErr w:type="gramStart"/>
      <w:r w:rsidR="00E12786">
        <w:rPr>
          <w:szCs w:val="24"/>
        </w:rPr>
        <w:t>loans</w:t>
      </w:r>
      <w:r w:rsidR="00A2326B">
        <w:rPr>
          <w:szCs w:val="24"/>
        </w:rPr>
        <w:t xml:space="preserve"> </w:t>
      </w:r>
      <w:r w:rsidR="00E12786">
        <w:rPr>
          <w:szCs w:val="24"/>
        </w:rPr>
        <w:t xml:space="preserve"> were</w:t>
      </w:r>
      <w:proofErr w:type="gramEnd"/>
      <w:r w:rsidR="00E12786">
        <w:rPr>
          <w:szCs w:val="24"/>
        </w:rPr>
        <w:t xml:space="preserve"> not such. How does the CMSA deal with these allegations?</w:t>
      </w:r>
      <w:r w:rsidR="00CD4AFB">
        <w:rPr>
          <w:szCs w:val="24"/>
        </w:rPr>
        <w:t xml:space="preserve"> </w:t>
      </w:r>
      <w:r w:rsidR="00BD72DB">
        <w:rPr>
          <w:szCs w:val="24"/>
        </w:rPr>
        <w:t>The deponent</w:t>
      </w:r>
      <w:r w:rsidR="00A2326B">
        <w:rPr>
          <w:szCs w:val="24"/>
        </w:rPr>
        <w:t xml:space="preserve"> for CMSA</w:t>
      </w:r>
      <w:r w:rsidR="00BD72DB">
        <w:rPr>
          <w:szCs w:val="24"/>
        </w:rPr>
        <w:t xml:space="preserve"> then, in reply, submits that the allegations are hearsay, </w:t>
      </w:r>
      <w:r w:rsidR="00BD72DB" w:rsidRPr="00BD72DB">
        <w:rPr>
          <w:szCs w:val="24"/>
        </w:rPr>
        <w:t>vexatious</w:t>
      </w:r>
      <w:r w:rsidR="00BD72DB">
        <w:rPr>
          <w:szCs w:val="24"/>
        </w:rPr>
        <w:t xml:space="preserve"> and scandalous. </w:t>
      </w:r>
      <w:r w:rsidR="001B1DE0">
        <w:rPr>
          <w:szCs w:val="24"/>
        </w:rPr>
        <w:t xml:space="preserve">He makes no attempt to deal with correctness of the allegations. The legal principles to apply to a matter brought on application are well settled. In </w:t>
      </w:r>
      <w:r w:rsidR="000B5988">
        <w:rPr>
          <w:i/>
          <w:szCs w:val="24"/>
        </w:rPr>
        <w:t>Wightman</w:t>
      </w:r>
      <w:r w:rsidR="001B1DE0">
        <w:rPr>
          <w:rStyle w:val="FootnoteReference"/>
          <w:szCs w:val="24"/>
        </w:rPr>
        <w:footnoteReference w:id="11"/>
      </w:r>
      <w:r w:rsidR="00BA5320">
        <w:rPr>
          <w:szCs w:val="24"/>
        </w:rPr>
        <w:t xml:space="preserve"> the c</w:t>
      </w:r>
      <w:r w:rsidR="00924BAC">
        <w:rPr>
          <w:szCs w:val="24"/>
        </w:rPr>
        <w:t>ourt held:</w:t>
      </w:r>
    </w:p>
    <w:p w:rsidR="00924BAC" w:rsidRDefault="00924BAC" w:rsidP="00924BAC">
      <w:pPr>
        <w:ind w:left="709"/>
        <w:jc w:val="both"/>
        <w:rPr>
          <w:sz w:val="22"/>
          <w:szCs w:val="24"/>
        </w:rPr>
      </w:pPr>
      <w:r>
        <w:rPr>
          <w:szCs w:val="24"/>
        </w:rPr>
        <w:tab/>
      </w:r>
      <w:r>
        <w:rPr>
          <w:sz w:val="22"/>
          <w:szCs w:val="24"/>
        </w:rPr>
        <w:t>‘</w:t>
      </w:r>
      <w:r w:rsidRPr="00924BAC">
        <w:rPr>
          <w:sz w:val="22"/>
          <w:szCs w:val="24"/>
        </w:rPr>
        <w:t>A real, genuine and bona fide dispute of fact can exist only where the court is satisfied that the party who purpo</w:t>
      </w:r>
      <w:r>
        <w:rPr>
          <w:sz w:val="22"/>
          <w:szCs w:val="24"/>
        </w:rPr>
        <w:t xml:space="preserve">rts to raise the dispute has </w:t>
      </w:r>
      <w:r w:rsidRPr="00924BAC">
        <w:rPr>
          <w:sz w:val="22"/>
          <w:szCs w:val="24"/>
        </w:rPr>
        <w:t>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w:t>
      </w:r>
      <w:r>
        <w:rPr>
          <w:sz w:val="22"/>
          <w:szCs w:val="24"/>
        </w:rPr>
        <w:t xml:space="preserve">ing the veracity or accuracy </w:t>
      </w:r>
      <w:r w:rsidRPr="00924BAC">
        <w:rPr>
          <w:sz w:val="22"/>
          <w:szCs w:val="24"/>
        </w:rPr>
        <w:t xml:space="preserve">of the averment. When the facts </w:t>
      </w:r>
      <w:r w:rsidRPr="00924BAC">
        <w:rPr>
          <w:sz w:val="22"/>
          <w:szCs w:val="24"/>
        </w:rPr>
        <w:lastRenderedPageBreak/>
        <w:t xml:space="preserve">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w:t>
      </w:r>
      <w:r>
        <w:rPr>
          <w:sz w:val="22"/>
          <w:szCs w:val="24"/>
        </w:rPr>
        <w:t>the test is satisfied. I say “generally”</w:t>
      </w:r>
      <w:r w:rsidRPr="00924BAC">
        <w:rPr>
          <w:sz w:val="22"/>
          <w:szCs w:val="24"/>
        </w:rPr>
        <w:t xml:space="preserve"> because factual averments seldom stand apart from a broader matrix of circumstances all of which needs to be borne in mind when arriving at a decision. A litigant m</w:t>
      </w:r>
      <w:r>
        <w:rPr>
          <w:sz w:val="22"/>
          <w:szCs w:val="24"/>
        </w:rPr>
        <w:t xml:space="preserve">ay not necessarily recognise or </w:t>
      </w:r>
      <w:r w:rsidRPr="00924BAC">
        <w:rPr>
          <w:sz w:val="22"/>
          <w:szCs w:val="24"/>
        </w:rPr>
        <w:t>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w:t>
      </w:r>
      <w:r>
        <w:rPr>
          <w:sz w:val="22"/>
          <w:szCs w:val="24"/>
        </w:rPr>
        <w:t xml:space="preserve">hem. There is thus a serious </w:t>
      </w:r>
      <w:r w:rsidRPr="00924BAC">
        <w:rPr>
          <w:sz w:val="22"/>
          <w:szCs w:val="24"/>
        </w:rPr>
        <w:t>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r>
        <w:rPr>
          <w:sz w:val="22"/>
          <w:szCs w:val="24"/>
        </w:rPr>
        <w:t>’</w:t>
      </w:r>
    </w:p>
    <w:p w:rsidR="004D3C59" w:rsidRDefault="006F7F93" w:rsidP="00A5396F">
      <w:pPr>
        <w:jc w:val="both"/>
        <w:rPr>
          <w:szCs w:val="24"/>
        </w:rPr>
      </w:pPr>
      <w:r>
        <w:rPr>
          <w:szCs w:val="24"/>
        </w:rPr>
        <w:t>[16</w:t>
      </w:r>
      <w:r w:rsidR="00A5396F" w:rsidRPr="00A5396F">
        <w:rPr>
          <w:szCs w:val="24"/>
        </w:rPr>
        <w:t>]</w:t>
      </w:r>
      <w:r w:rsidR="00A5396F" w:rsidRPr="00A5396F">
        <w:rPr>
          <w:szCs w:val="24"/>
        </w:rPr>
        <w:tab/>
      </w:r>
      <w:r w:rsidR="00A5396F">
        <w:rPr>
          <w:szCs w:val="24"/>
        </w:rPr>
        <w:t>The liquidators</w:t>
      </w:r>
      <w:r w:rsidR="000657D8">
        <w:rPr>
          <w:szCs w:val="24"/>
        </w:rPr>
        <w:t>’</w:t>
      </w:r>
      <w:r w:rsidR="00A5396F">
        <w:rPr>
          <w:szCs w:val="24"/>
        </w:rPr>
        <w:t xml:space="preserve"> version regarding the involvement of CMSA and the fraudulent scheme regarding the transfer of funds is not contested in any serious manner and its version of events does not fall to be rejected but must be accepted.</w:t>
      </w:r>
      <w:r w:rsidR="009D612E">
        <w:rPr>
          <w:rStyle w:val="FootnoteReference"/>
          <w:szCs w:val="24"/>
        </w:rPr>
        <w:footnoteReference w:id="12"/>
      </w:r>
      <w:r w:rsidR="004D3C59">
        <w:rPr>
          <w:szCs w:val="24"/>
        </w:rPr>
        <w:t xml:space="preserve"> This</w:t>
      </w:r>
      <w:r w:rsidR="000657D8">
        <w:rPr>
          <w:szCs w:val="24"/>
        </w:rPr>
        <w:t xml:space="preserve"> is</w:t>
      </w:r>
      <w:r w:rsidR="004D3C59">
        <w:rPr>
          <w:szCs w:val="24"/>
        </w:rPr>
        <w:t xml:space="preserve"> also so, because fraud (as alleged by the liquidators) results in the fact that </w:t>
      </w:r>
    </w:p>
    <w:p w:rsidR="00A5396F" w:rsidRDefault="004D3C59" w:rsidP="004D3C59">
      <w:pPr>
        <w:ind w:left="709"/>
        <w:jc w:val="both"/>
        <w:rPr>
          <w:sz w:val="22"/>
          <w:szCs w:val="24"/>
        </w:rPr>
      </w:pPr>
      <w:r>
        <w:rPr>
          <w:sz w:val="22"/>
          <w:szCs w:val="24"/>
        </w:rPr>
        <w:t>‘</w:t>
      </w:r>
      <w:r w:rsidRPr="004D3C59">
        <w:rPr>
          <w:sz w:val="22"/>
          <w:szCs w:val="24"/>
        </w:rPr>
        <w:t xml:space="preserve">No Court in this land will allow a person to keep an advantage which he has obtained by fraud. No judgment of a Court, no order of a Minister, can be allowed to stand if it has been obtained by fraud. Fraud </w:t>
      </w:r>
      <w:r>
        <w:rPr>
          <w:sz w:val="22"/>
          <w:szCs w:val="24"/>
        </w:rPr>
        <w:t xml:space="preserve">unravels everything…once it is </w:t>
      </w:r>
      <w:r w:rsidRPr="004D3C59">
        <w:rPr>
          <w:sz w:val="22"/>
          <w:szCs w:val="24"/>
        </w:rPr>
        <w:t xml:space="preserve">proved, it vitiates judgments, contracts and all transactions </w:t>
      </w:r>
      <w:proofErr w:type="gramStart"/>
      <w:r w:rsidRPr="004D3C59">
        <w:rPr>
          <w:sz w:val="22"/>
          <w:szCs w:val="24"/>
        </w:rPr>
        <w:t>whatever.</w:t>
      </w:r>
      <w:proofErr w:type="gramEnd"/>
      <w:r w:rsidRPr="004D3C59">
        <w:rPr>
          <w:sz w:val="22"/>
          <w:szCs w:val="24"/>
        </w:rPr>
        <w:t xml:space="preserve"> . . </w:t>
      </w:r>
      <w:r>
        <w:rPr>
          <w:sz w:val="22"/>
          <w:szCs w:val="24"/>
        </w:rPr>
        <w:t>.</w:t>
      </w:r>
      <w:r w:rsidRPr="004D3C59">
        <w:rPr>
          <w:sz w:val="22"/>
          <w:szCs w:val="24"/>
        </w:rPr>
        <w:t>‘</w:t>
      </w:r>
      <w:r w:rsidR="00155826">
        <w:rPr>
          <w:rStyle w:val="FootnoteReference"/>
          <w:sz w:val="22"/>
          <w:szCs w:val="24"/>
        </w:rPr>
        <w:footnoteReference w:id="13"/>
      </w:r>
    </w:p>
    <w:p w:rsidR="000E2A65" w:rsidRDefault="006F7F93" w:rsidP="005F5FC2">
      <w:pPr>
        <w:jc w:val="both"/>
        <w:rPr>
          <w:szCs w:val="24"/>
        </w:rPr>
      </w:pPr>
      <w:r>
        <w:rPr>
          <w:szCs w:val="24"/>
        </w:rPr>
        <w:t>[17</w:t>
      </w:r>
      <w:r w:rsidR="000E2A65">
        <w:rPr>
          <w:szCs w:val="24"/>
        </w:rPr>
        <w:t>]</w:t>
      </w:r>
      <w:r w:rsidR="000E2A65">
        <w:rPr>
          <w:szCs w:val="24"/>
        </w:rPr>
        <w:tab/>
      </w:r>
      <w:r w:rsidR="00741AD0">
        <w:rPr>
          <w:szCs w:val="24"/>
        </w:rPr>
        <w:t xml:space="preserve">The version furnished by the liquidators was met with an allegation that it </w:t>
      </w:r>
      <w:proofErr w:type="gramStart"/>
      <w:r w:rsidR="00741AD0">
        <w:rPr>
          <w:szCs w:val="24"/>
        </w:rPr>
        <w:t>is</w:t>
      </w:r>
      <w:r w:rsidR="00AB1E9F">
        <w:rPr>
          <w:szCs w:val="24"/>
        </w:rPr>
        <w:t xml:space="preserve"> </w:t>
      </w:r>
      <w:r w:rsidR="00B6153A">
        <w:rPr>
          <w:szCs w:val="24"/>
        </w:rPr>
        <w:t xml:space="preserve"> vexatious</w:t>
      </w:r>
      <w:proofErr w:type="gramEnd"/>
      <w:r w:rsidR="00B6153A">
        <w:rPr>
          <w:szCs w:val="24"/>
        </w:rPr>
        <w:t xml:space="preserve">  and </w:t>
      </w:r>
      <w:r w:rsidR="00AB1E9F">
        <w:rPr>
          <w:szCs w:val="24"/>
        </w:rPr>
        <w:t>hearsay. This was not argued</w:t>
      </w:r>
      <w:r w:rsidR="00741AD0">
        <w:rPr>
          <w:szCs w:val="24"/>
        </w:rPr>
        <w:t xml:space="preserve"> by counsel for CMSA and the respondents counsel was not required to deal with it in his argument. Counsel for CMSA touched on the issue in reply, but did not persist with any submission or application for the striking out of evidence but left it, at most, for this court to deal ‘. . . within</w:t>
      </w:r>
      <w:r w:rsidR="002C2CF9">
        <w:rPr>
          <w:szCs w:val="24"/>
        </w:rPr>
        <w:t xml:space="preserve"> </w:t>
      </w:r>
      <w:r w:rsidR="00741AD0">
        <w:rPr>
          <w:szCs w:val="24"/>
        </w:rPr>
        <w:t xml:space="preserve"> the context of the whole case.’ In the circumstances, the respondents did not deal with this aspect in their submissions, in particular, whether the provisions of the Law of Evidence Amendment </w:t>
      </w:r>
      <w:r w:rsidR="00741AD0">
        <w:rPr>
          <w:szCs w:val="24"/>
        </w:rPr>
        <w:lastRenderedPageBreak/>
        <w:t>Act</w:t>
      </w:r>
      <w:r w:rsidR="00741AD0">
        <w:rPr>
          <w:rStyle w:val="FootnoteReference"/>
          <w:szCs w:val="24"/>
        </w:rPr>
        <w:footnoteReference w:id="14"/>
      </w:r>
      <w:r w:rsidR="00741AD0">
        <w:rPr>
          <w:szCs w:val="24"/>
        </w:rPr>
        <w:t xml:space="preserve"> would or should find application. I am not inclined to regard evidence as</w:t>
      </w:r>
      <w:r w:rsidR="008F14F1">
        <w:rPr>
          <w:szCs w:val="24"/>
        </w:rPr>
        <w:t xml:space="preserve"> hearsay </w:t>
      </w:r>
      <w:proofErr w:type="gramStart"/>
      <w:r w:rsidR="008F14F1">
        <w:rPr>
          <w:szCs w:val="24"/>
        </w:rPr>
        <w:t xml:space="preserve">or </w:t>
      </w:r>
      <w:r w:rsidR="00741AD0">
        <w:rPr>
          <w:szCs w:val="24"/>
        </w:rPr>
        <w:t xml:space="preserve"> vexatious</w:t>
      </w:r>
      <w:proofErr w:type="gramEnd"/>
      <w:r w:rsidR="00741AD0">
        <w:rPr>
          <w:szCs w:val="24"/>
        </w:rPr>
        <w:t xml:space="preserve"> without full argument, nor</w:t>
      </w:r>
      <w:r w:rsidR="00C62767">
        <w:rPr>
          <w:szCs w:val="24"/>
        </w:rPr>
        <w:t xml:space="preserve"> to disregard evidence that may</w:t>
      </w:r>
      <w:r w:rsidR="00741AD0">
        <w:rPr>
          <w:szCs w:val="24"/>
        </w:rPr>
        <w:t xml:space="preserve"> </w:t>
      </w:r>
      <w:r w:rsidR="00AA1F44">
        <w:rPr>
          <w:szCs w:val="24"/>
        </w:rPr>
        <w:t xml:space="preserve">be </w:t>
      </w:r>
      <w:r w:rsidR="008F14F1">
        <w:rPr>
          <w:szCs w:val="24"/>
        </w:rPr>
        <w:t>prima facie</w:t>
      </w:r>
      <w:r w:rsidR="001C1534">
        <w:rPr>
          <w:szCs w:val="24"/>
        </w:rPr>
        <w:t xml:space="preserve"> </w:t>
      </w:r>
      <w:r w:rsidR="00741AD0">
        <w:rPr>
          <w:szCs w:val="24"/>
        </w:rPr>
        <w:t>hearsay without proper argument from both sides.</w:t>
      </w:r>
      <w:r w:rsidR="00741AD0">
        <w:rPr>
          <w:rStyle w:val="FootnoteReference"/>
          <w:szCs w:val="24"/>
        </w:rPr>
        <w:footnoteReference w:id="15"/>
      </w:r>
      <w:r w:rsidR="00741AD0">
        <w:rPr>
          <w:szCs w:val="24"/>
        </w:rPr>
        <w:t xml:space="preserve">  </w:t>
      </w:r>
    </w:p>
    <w:p w:rsidR="000E5A73" w:rsidRDefault="006F7F93" w:rsidP="005F5FC2">
      <w:pPr>
        <w:jc w:val="both"/>
        <w:rPr>
          <w:szCs w:val="24"/>
        </w:rPr>
      </w:pPr>
      <w:r>
        <w:rPr>
          <w:szCs w:val="24"/>
        </w:rPr>
        <w:t>[18</w:t>
      </w:r>
      <w:r w:rsidR="005F5FC2">
        <w:rPr>
          <w:szCs w:val="24"/>
        </w:rPr>
        <w:t>]</w:t>
      </w:r>
      <w:r w:rsidR="005F5FC2">
        <w:rPr>
          <w:szCs w:val="24"/>
        </w:rPr>
        <w:tab/>
        <w:t>CMSA is thus, on the papers before this court</w:t>
      </w:r>
      <w:r w:rsidR="00182FBA">
        <w:rPr>
          <w:szCs w:val="24"/>
        </w:rPr>
        <w:t xml:space="preserve"> and due to its participation in the fraudulent conduct</w:t>
      </w:r>
      <w:r w:rsidR="005F5FC2">
        <w:rPr>
          <w:szCs w:val="24"/>
        </w:rPr>
        <w:t>, not a true creditor of TFA</w:t>
      </w:r>
      <w:r w:rsidR="000657D8">
        <w:rPr>
          <w:szCs w:val="24"/>
        </w:rPr>
        <w:t xml:space="preserve"> and TSS</w:t>
      </w:r>
      <w:r w:rsidR="00795689">
        <w:rPr>
          <w:szCs w:val="24"/>
        </w:rPr>
        <w:t xml:space="preserve"> (the collapsed companies</w:t>
      </w:r>
      <w:r w:rsidR="005F5FC2">
        <w:rPr>
          <w:szCs w:val="24"/>
        </w:rPr>
        <w:t>) and could not have been</w:t>
      </w:r>
      <w:r w:rsidR="00EE3D96">
        <w:rPr>
          <w:szCs w:val="24"/>
        </w:rPr>
        <w:t xml:space="preserve"> lawfully</w:t>
      </w:r>
      <w:r w:rsidR="005F5FC2">
        <w:rPr>
          <w:szCs w:val="24"/>
        </w:rPr>
        <w:t xml:space="preserve"> affecte</w:t>
      </w:r>
      <w:r w:rsidR="00C64A46">
        <w:rPr>
          <w:szCs w:val="24"/>
        </w:rPr>
        <w:t>d by the s</w:t>
      </w:r>
      <w:r w:rsidR="005F5FC2">
        <w:rPr>
          <w:szCs w:val="24"/>
        </w:rPr>
        <w:t xml:space="preserve"> 20(9) order. </w:t>
      </w:r>
    </w:p>
    <w:p w:rsidR="003A4733" w:rsidRDefault="006F7F93" w:rsidP="005F5FC2">
      <w:pPr>
        <w:jc w:val="both"/>
        <w:rPr>
          <w:szCs w:val="24"/>
        </w:rPr>
      </w:pPr>
      <w:r>
        <w:rPr>
          <w:szCs w:val="24"/>
        </w:rPr>
        <w:t>[19</w:t>
      </w:r>
      <w:r w:rsidR="000E5A73">
        <w:rPr>
          <w:szCs w:val="24"/>
        </w:rPr>
        <w:t>]</w:t>
      </w:r>
      <w:r w:rsidR="000E5A73">
        <w:rPr>
          <w:szCs w:val="24"/>
        </w:rPr>
        <w:tab/>
        <w:t xml:space="preserve">In this circumstances CMSA has failed to establish locus </w:t>
      </w:r>
      <w:proofErr w:type="spellStart"/>
      <w:r w:rsidR="000E5A73">
        <w:rPr>
          <w:szCs w:val="24"/>
        </w:rPr>
        <w:t>standi</w:t>
      </w:r>
      <w:proofErr w:type="spellEnd"/>
      <w:r w:rsidR="000E5A73">
        <w:rPr>
          <w:szCs w:val="24"/>
        </w:rPr>
        <w:t xml:space="preserve"> to launch the present application as its fraudulent conduct, as set out in in the </w:t>
      </w:r>
      <w:proofErr w:type="gramStart"/>
      <w:r w:rsidR="000E5A73">
        <w:rPr>
          <w:szCs w:val="24"/>
        </w:rPr>
        <w:t>liquidators</w:t>
      </w:r>
      <w:proofErr w:type="gramEnd"/>
      <w:r w:rsidR="000E5A73">
        <w:rPr>
          <w:szCs w:val="24"/>
        </w:rPr>
        <w:t xml:space="preserve"> affidavit, can give it no legitimate i</w:t>
      </w:r>
      <w:r w:rsidR="00C64A46">
        <w:rPr>
          <w:szCs w:val="24"/>
        </w:rPr>
        <w:t>nterest in the s</w:t>
      </w:r>
      <w:r w:rsidR="00795689">
        <w:rPr>
          <w:szCs w:val="24"/>
        </w:rPr>
        <w:t xml:space="preserve"> 20(9) order</w:t>
      </w:r>
      <w:r w:rsidR="002C2CF9">
        <w:rPr>
          <w:szCs w:val="24"/>
        </w:rPr>
        <w:t>,</w:t>
      </w:r>
      <w:r w:rsidR="00795689">
        <w:rPr>
          <w:szCs w:val="24"/>
        </w:rPr>
        <w:t xml:space="preserve"> based on any purported loans.</w:t>
      </w:r>
    </w:p>
    <w:p w:rsidR="003A4733" w:rsidRDefault="006F7F93" w:rsidP="005F5FC2">
      <w:pPr>
        <w:jc w:val="both"/>
        <w:rPr>
          <w:szCs w:val="24"/>
        </w:rPr>
      </w:pPr>
      <w:r>
        <w:rPr>
          <w:szCs w:val="24"/>
        </w:rPr>
        <w:t>[20</w:t>
      </w:r>
      <w:r w:rsidR="003A4733">
        <w:rPr>
          <w:szCs w:val="24"/>
        </w:rPr>
        <w:t>]</w:t>
      </w:r>
      <w:r w:rsidR="003A4733">
        <w:rPr>
          <w:szCs w:val="24"/>
        </w:rPr>
        <w:tab/>
        <w:t xml:space="preserve">On this basis, the application falls to be dismissed. </w:t>
      </w:r>
    </w:p>
    <w:p w:rsidR="00E671DB" w:rsidRDefault="006F7F93" w:rsidP="005F5FC2">
      <w:pPr>
        <w:jc w:val="both"/>
        <w:rPr>
          <w:szCs w:val="24"/>
        </w:rPr>
      </w:pPr>
      <w:r>
        <w:rPr>
          <w:szCs w:val="24"/>
        </w:rPr>
        <w:t>[21</w:t>
      </w:r>
      <w:r w:rsidR="003A4733">
        <w:rPr>
          <w:szCs w:val="24"/>
        </w:rPr>
        <w:t>]</w:t>
      </w:r>
      <w:r w:rsidR="003A4733">
        <w:rPr>
          <w:szCs w:val="24"/>
        </w:rPr>
        <w:tab/>
        <w:t xml:space="preserve">The second </w:t>
      </w:r>
      <w:proofErr w:type="gramStart"/>
      <w:r w:rsidR="003A4733">
        <w:rPr>
          <w:szCs w:val="24"/>
        </w:rPr>
        <w:t xml:space="preserve">question </w:t>
      </w:r>
      <w:r w:rsidR="000E5A73">
        <w:rPr>
          <w:szCs w:val="24"/>
        </w:rPr>
        <w:t xml:space="preserve"> </w:t>
      </w:r>
      <w:r w:rsidR="003A4733">
        <w:rPr>
          <w:szCs w:val="24"/>
        </w:rPr>
        <w:t>is</w:t>
      </w:r>
      <w:proofErr w:type="gramEnd"/>
      <w:r w:rsidR="003A4733">
        <w:rPr>
          <w:szCs w:val="24"/>
        </w:rPr>
        <w:t xml:space="preserve"> whether the rescission of the</w:t>
      </w:r>
      <w:r w:rsidR="008D15D6">
        <w:rPr>
          <w:szCs w:val="24"/>
        </w:rPr>
        <w:t xml:space="preserve"> order is available due to the c</w:t>
      </w:r>
      <w:r w:rsidR="003A4733">
        <w:rPr>
          <w:szCs w:val="24"/>
        </w:rPr>
        <w:t>ourt</w:t>
      </w:r>
      <w:r w:rsidR="008F14F1">
        <w:rPr>
          <w:szCs w:val="24"/>
        </w:rPr>
        <w:t>’s lack of jurisdiction to grant</w:t>
      </w:r>
      <w:r w:rsidR="003A4733">
        <w:rPr>
          <w:szCs w:val="24"/>
        </w:rPr>
        <w:t xml:space="preserve"> it. </w:t>
      </w:r>
      <w:r w:rsidR="007172DE">
        <w:rPr>
          <w:szCs w:val="24"/>
        </w:rPr>
        <w:t>This issue revolves around the w</w:t>
      </w:r>
      <w:r w:rsidR="00C64A46">
        <w:rPr>
          <w:szCs w:val="24"/>
        </w:rPr>
        <w:t>ording of s</w:t>
      </w:r>
      <w:r w:rsidR="007172DE">
        <w:rPr>
          <w:szCs w:val="24"/>
        </w:rPr>
        <w:t xml:space="preserve"> 20(9), and </w:t>
      </w:r>
      <w:r w:rsidR="008F14F1">
        <w:rPr>
          <w:szCs w:val="24"/>
        </w:rPr>
        <w:t>particular, a judgment of the</w:t>
      </w:r>
      <w:r w:rsidR="008D15D6">
        <w:rPr>
          <w:szCs w:val="24"/>
        </w:rPr>
        <w:t xml:space="preserve"> c</w:t>
      </w:r>
      <w:r w:rsidR="007172DE">
        <w:rPr>
          <w:szCs w:val="24"/>
        </w:rPr>
        <w:t xml:space="preserve">ourt in </w:t>
      </w:r>
      <w:r w:rsidR="007172DE" w:rsidRPr="007172DE">
        <w:rPr>
          <w:i/>
          <w:szCs w:val="24"/>
        </w:rPr>
        <w:t>Barak</w:t>
      </w:r>
      <w:r w:rsidR="00D92C6D">
        <w:rPr>
          <w:rStyle w:val="FootnoteReference"/>
          <w:i/>
          <w:szCs w:val="24"/>
        </w:rPr>
        <w:footnoteReference w:id="16"/>
      </w:r>
      <w:r w:rsidR="00795689">
        <w:rPr>
          <w:szCs w:val="24"/>
        </w:rPr>
        <w:t xml:space="preserve"> </w:t>
      </w:r>
      <w:r w:rsidR="007172DE">
        <w:rPr>
          <w:szCs w:val="24"/>
        </w:rPr>
        <w:t>delivered on 12 July 2022.</w:t>
      </w:r>
      <w:r w:rsidR="007172DE">
        <w:rPr>
          <w:rStyle w:val="FootnoteReference"/>
          <w:szCs w:val="24"/>
        </w:rPr>
        <w:footnoteReference w:id="17"/>
      </w:r>
      <w:r w:rsidR="004E5527">
        <w:rPr>
          <w:szCs w:val="24"/>
        </w:rPr>
        <w:t xml:space="preserve"> That</w:t>
      </w:r>
      <w:r w:rsidR="008D15D6">
        <w:rPr>
          <w:szCs w:val="24"/>
        </w:rPr>
        <w:t xml:space="preserve"> c</w:t>
      </w:r>
      <w:r w:rsidR="00D92C6D">
        <w:rPr>
          <w:szCs w:val="24"/>
        </w:rPr>
        <w:t>ourt expressed serious reservations regarding the failure of the liquidators to</w:t>
      </w:r>
      <w:r w:rsidR="00C64A46">
        <w:rPr>
          <w:szCs w:val="24"/>
        </w:rPr>
        <w:t xml:space="preserve"> utilise their powers under </w:t>
      </w:r>
      <w:proofErr w:type="spellStart"/>
      <w:r w:rsidR="00C64A46">
        <w:rPr>
          <w:szCs w:val="24"/>
        </w:rPr>
        <w:t>ss</w:t>
      </w:r>
      <w:proofErr w:type="spellEnd"/>
      <w:r w:rsidR="00D92C6D">
        <w:rPr>
          <w:szCs w:val="24"/>
        </w:rPr>
        <w:t xml:space="preserve"> 417 and 418 of the old Companies Act.</w:t>
      </w:r>
      <w:r w:rsidR="00D92C6D">
        <w:rPr>
          <w:rStyle w:val="FootnoteReference"/>
          <w:szCs w:val="24"/>
        </w:rPr>
        <w:footnoteReference w:id="18"/>
      </w:r>
      <w:r w:rsidR="00D92C6D">
        <w:rPr>
          <w:szCs w:val="24"/>
        </w:rPr>
        <w:t xml:space="preserve"> This issue is not pertinent in the matter under consideration</w:t>
      </w:r>
      <w:r w:rsidR="00795689">
        <w:rPr>
          <w:szCs w:val="24"/>
        </w:rPr>
        <w:t>.</w:t>
      </w:r>
      <w:r w:rsidR="00D92C6D">
        <w:rPr>
          <w:szCs w:val="24"/>
        </w:rPr>
        <w:t xml:space="preserve"> </w:t>
      </w:r>
    </w:p>
    <w:p w:rsidR="00FC2432" w:rsidRDefault="006F7F93" w:rsidP="005F5FC2">
      <w:pPr>
        <w:jc w:val="both"/>
        <w:rPr>
          <w:szCs w:val="24"/>
        </w:rPr>
      </w:pPr>
      <w:r>
        <w:rPr>
          <w:szCs w:val="24"/>
        </w:rPr>
        <w:t>[22</w:t>
      </w:r>
      <w:r w:rsidR="00E671DB">
        <w:rPr>
          <w:szCs w:val="24"/>
        </w:rPr>
        <w:t>]</w:t>
      </w:r>
      <w:r w:rsidR="00E671DB">
        <w:rPr>
          <w:szCs w:val="24"/>
        </w:rPr>
        <w:tab/>
      </w:r>
      <w:r w:rsidR="00E671DB" w:rsidRPr="001B08E4">
        <w:rPr>
          <w:i/>
          <w:szCs w:val="24"/>
        </w:rPr>
        <w:t>Barak</w:t>
      </w:r>
      <w:r w:rsidR="00E671DB">
        <w:rPr>
          <w:szCs w:val="24"/>
        </w:rPr>
        <w:t xml:space="preserve"> is furt</w:t>
      </w:r>
      <w:r w:rsidR="00BA5320">
        <w:rPr>
          <w:szCs w:val="24"/>
        </w:rPr>
        <w:t>her to be distinguished as the c</w:t>
      </w:r>
      <w:r w:rsidR="00E671DB">
        <w:rPr>
          <w:szCs w:val="24"/>
        </w:rPr>
        <w:t>ourt found that the sole purpose of that application was</w:t>
      </w:r>
    </w:p>
    <w:p w:rsidR="005F5FC2" w:rsidRDefault="00FC2432" w:rsidP="00FC2432">
      <w:pPr>
        <w:ind w:left="709"/>
        <w:jc w:val="both"/>
        <w:rPr>
          <w:sz w:val="22"/>
          <w:szCs w:val="24"/>
        </w:rPr>
      </w:pPr>
      <w:r w:rsidRPr="00FC2432">
        <w:rPr>
          <w:sz w:val="22"/>
          <w:szCs w:val="24"/>
        </w:rPr>
        <w:t>‘</w:t>
      </w:r>
      <w:proofErr w:type="gramStart"/>
      <w:r w:rsidRPr="00FC2432">
        <w:rPr>
          <w:sz w:val="22"/>
          <w:szCs w:val="24"/>
        </w:rPr>
        <w:t>to</w:t>
      </w:r>
      <w:proofErr w:type="gramEnd"/>
      <w:r w:rsidRPr="00FC2432">
        <w:rPr>
          <w:sz w:val="22"/>
          <w:szCs w:val="24"/>
        </w:rPr>
        <w:t xml:space="preserve"> divest Barak</w:t>
      </w:r>
      <w:r w:rsidRPr="00BA5320">
        <w:rPr>
          <w:b/>
          <w:sz w:val="22"/>
          <w:szCs w:val="24"/>
        </w:rPr>
        <w:t xml:space="preserve"> </w:t>
      </w:r>
      <w:r w:rsidRPr="00FC2432">
        <w:rPr>
          <w:sz w:val="22"/>
          <w:szCs w:val="24"/>
        </w:rPr>
        <w:t xml:space="preserve">of those rights and to vest those rights in the liquidators of </w:t>
      </w:r>
      <w:r w:rsidRPr="00FC2432">
        <w:rPr>
          <w:i/>
          <w:sz w:val="22"/>
          <w:szCs w:val="24"/>
        </w:rPr>
        <w:t>Insure</w:t>
      </w:r>
      <w:r w:rsidRPr="00FC2432">
        <w:rPr>
          <w:sz w:val="22"/>
          <w:szCs w:val="24"/>
        </w:rPr>
        <w:t xml:space="preserve"> </w:t>
      </w:r>
      <w:r w:rsidRPr="00FC2432">
        <w:rPr>
          <w:sz w:val="22"/>
          <w:szCs w:val="24"/>
          <w:u w:val="single"/>
        </w:rPr>
        <w:t>so as to ensure that these rights are dissipated and or watered down</w:t>
      </w:r>
      <w:r w:rsidRPr="00FC2432">
        <w:rPr>
          <w:sz w:val="22"/>
          <w:szCs w:val="24"/>
        </w:rPr>
        <w:t>.’ (</w:t>
      </w:r>
      <w:proofErr w:type="gramStart"/>
      <w:r w:rsidRPr="00FC2432">
        <w:rPr>
          <w:sz w:val="22"/>
          <w:szCs w:val="24"/>
        </w:rPr>
        <w:t>my</w:t>
      </w:r>
      <w:proofErr w:type="gramEnd"/>
      <w:r w:rsidRPr="00FC2432">
        <w:rPr>
          <w:sz w:val="22"/>
          <w:szCs w:val="24"/>
        </w:rPr>
        <w:t xml:space="preserve"> underlining)</w:t>
      </w:r>
    </w:p>
    <w:p w:rsidR="0060516D" w:rsidRDefault="006F7F93" w:rsidP="0060516D">
      <w:pPr>
        <w:jc w:val="both"/>
        <w:rPr>
          <w:szCs w:val="24"/>
        </w:rPr>
      </w:pPr>
      <w:r>
        <w:rPr>
          <w:szCs w:val="24"/>
        </w:rPr>
        <w:t>[23</w:t>
      </w:r>
      <w:r w:rsidR="0060516D" w:rsidRPr="0060516D">
        <w:rPr>
          <w:szCs w:val="24"/>
        </w:rPr>
        <w:t>]</w:t>
      </w:r>
      <w:r w:rsidR="0060516D" w:rsidRPr="0060516D">
        <w:rPr>
          <w:szCs w:val="24"/>
        </w:rPr>
        <w:tab/>
      </w:r>
      <w:r w:rsidR="0060516D">
        <w:rPr>
          <w:szCs w:val="24"/>
        </w:rPr>
        <w:t xml:space="preserve">There is no suggestion in the matter under consideration that the purpose of the liquidators are or were other than exposing fraudulent conduct which disentitles CMSA from making claims and or resisting claims </w:t>
      </w:r>
      <w:r w:rsidR="00D05BAD">
        <w:rPr>
          <w:szCs w:val="24"/>
        </w:rPr>
        <w:t xml:space="preserve">pursuant to voidable transactions due to fraud. </w:t>
      </w:r>
    </w:p>
    <w:p w:rsidR="000E2A65" w:rsidRDefault="006F7F93" w:rsidP="0060516D">
      <w:pPr>
        <w:jc w:val="both"/>
        <w:rPr>
          <w:szCs w:val="24"/>
        </w:rPr>
      </w:pPr>
      <w:r>
        <w:rPr>
          <w:szCs w:val="24"/>
        </w:rPr>
        <w:lastRenderedPageBreak/>
        <w:t>[24</w:t>
      </w:r>
      <w:r w:rsidR="003B7F1C">
        <w:rPr>
          <w:szCs w:val="24"/>
        </w:rPr>
        <w:t>]</w:t>
      </w:r>
      <w:r w:rsidR="003B7F1C">
        <w:rPr>
          <w:szCs w:val="24"/>
        </w:rPr>
        <w:tab/>
        <w:t xml:space="preserve">The reference to </w:t>
      </w:r>
      <w:r w:rsidR="003B7F1C" w:rsidRPr="001B08E4">
        <w:rPr>
          <w:i/>
          <w:szCs w:val="24"/>
        </w:rPr>
        <w:t>Barak</w:t>
      </w:r>
      <w:r w:rsidR="003B7F1C">
        <w:rPr>
          <w:szCs w:val="24"/>
        </w:rPr>
        <w:t xml:space="preserve"> is beca</w:t>
      </w:r>
      <w:r w:rsidR="008D15D6">
        <w:rPr>
          <w:szCs w:val="24"/>
        </w:rPr>
        <w:t>use that c</w:t>
      </w:r>
      <w:r w:rsidR="00C64A46">
        <w:rPr>
          <w:szCs w:val="24"/>
        </w:rPr>
        <w:t>ourt held that the s</w:t>
      </w:r>
      <w:r w:rsidR="003B7F1C">
        <w:rPr>
          <w:szCs w:val="24"/>
        </w:rPr>
        <w:t xml:space="preserve"> 20(9) application was inappropriate because the companies to be co</w:t>
      </w:r>
      <w:r w:rsidR="001B08E4">
        <w:rPr>
          <w:szCs w:val="24"/>
        </w:rPr>
        <w:t>llapsed were not in winding-up.</w:t>
      </w:r>
      <w:r w:rsidR="001B08E4">
        <w:rPr>
          <w:rStyle w:val="FootnoteReference"/>
          <w:szCs w:val="24"/>
        </w:rPr>
        <w:footnoteReference w:id="19"/>
      </w:r>
      <w:r w:rsidR="006C1219">
        <w:rPr>
          <w:szCs w:val="24"/>
        </w:rPr>
        <w:t xml:space="preserve"> The learned judge held</w:t>
      </w:r>
      <w:r w:rsidR="006C1219">
        <w:rPr>
          <w:rStyle w:val="FootnoteReference"/>
          <w:szCs w:val="24"/>
        </w:rPr>
        <w:footnoteReference w:id="20"/>
      </w:r>
      <w:r w:rsidR="006C1219">
        <w:rPr>
          <w:szCs w:val="24"/>
        </w:rPr>
        <w:t xml:space="preserve"> that the liquidators </w:t>
      </w:r>
      <w:r w:rsidR="00AB1E9F">
        <w:rPr>
          <w:szCs w:val="24"/>
        </w:rPr>
        <w:t>failed to set out the</w:t>
      </w:r>
      <w:r w:rsidR="001029D1">
        <w:rPr>
          <w:szCs w:val="24"/>
        </w:rPr>
        <w:t xml:space="preserve"> source which permits the collapse when neither company was placed into winding-up. I see no obstacle to such an order in </w:t>
      </w:r>
      <w:r w:rsidR="008B1DCE">
        <w:rPr>
          <w:szCs w:val="24"/>
        </w:rPr>
        <w:t>the wording of s</w:t>
      </w:r>
      <w:r w:rsidR="001029D1">
        <w:rPr>
          <w:szCs w:val="24"/>
        </w:rPr>
        <w:t xml:space="preserve"> 20(9). It gives a court the power to make a declaration and then to make any further order that</w:t>
      </w:r>
      <w:r w:rsidR="008D15D6">
        <w:rPr>
          <w:szCs w:val="24"/>
        </w:rPr>
        <w:t xml:space="preserve"> the c</w:t>
      </w:r>
      <w:r w:rsidR="001029D1">
        <w:rPr>
          <w:szCs w:val="24"/>
        </w:rPr>
        <w:t>ourt considers appropriate, clearly having regard to</w:t>
      </w:r>
      <w:r w:rsidR="00235AB7">
        <w:rPr>
          <w:szCs w:val="24"/>
        </w:rPr>
        <w:t xml:space="preserve"> the declaration in terms of s</w:t>
      </w:r>
      <w:r w:rsidR="001029D1">
        <w:rPr>
          <w:szCs w:val="24"/>
        </w:rPr>
        <w:t xml:space="preserve"> 20(9)(a).</w:t>
      </w:r>
      <w:r w:rsidR="00EF3D01">
        <w:rPr>
          <w:szCs w:val="24"/>
        </w:rPr>
        <w:t xml:space="preserve"> I am of the view that, if the facts justify piercing the corporate veil,</w:t>
      </w:r>
      <w:r w:rsidR="00EF3D01">
        <w:rPr>
          <w:rStyle w:val="FootnoteReference"/>
          <w:szCs w:val="24"/>
        </w:rPr>
        <w:footnoteReference w:id="21"/>
      </w:r>
      <w:r w:rsidR="00EF3D01">
        <w:rPr>
          <w:szCs w:val="24"/>
        </w:rPr>
        <w:t xml:space="preserve"> the court </w:t>
      </w:r>
      <w:r w:rsidR="00CB42A2">
        <w:rPr>
          <w:szCs w:val="24"/>
        </w:rPr>
        <w:t xml:space="preserve">is </w:t>
      </w:r>
      <w:r w:rsidR="00EF3D01">
        <w:rPr>
          <w:szCs w:val="24"/>
        </w:rPr>
        <w:t xml:space="preserve">empowered </w:t>
      </w:r>
      <w:r w:rsidR="00CB42A2">
        <w:rPr>
          <w:szCs w:val="24"/>
        </w:rPr>
        <w:t>to grant appropriate relief.</w:t>
      </w:r>
      <w:r w:rsidR="00CB42A2">
        <w:rPr>
          <w:rStyle w:val="FootnoteReference"/>
          <w:szCs w:val="24"/>
        </w:rPr>
        <w:footnoteReference w:id="22"/>
      </w:r>
      <w:r w:rsidR="00CB42A2">
        <w:rPr>
          <w:szCs w:val="24"/>
        </w:rPr>
        <w:t xml:space="preserve"> The distinguishing feature relied upon by counsel fo</w:t>
      </w:r>
      <w:r w:rsidR="0054555F">
        <w:rPr>
          <w:szCs w:val="24"/>
        </w:rPr>
        <w:t>r CMSA is that TMC</w:t>
      </w:r>
      <w:r w:rsidR="00CB42A2">
        <w:rPr>
          <w:szCs w:val="24"/>
        </w:rPr>
        <w:t xml:space="preserve"> was in liquidation and the two collapsed companies were not.</w:t>
      </w:r>
      <w:r w:rsidR="00A44463">
        <w:rPr>
          <w:szCs w:val="24"/>
        </w:rPr>
        <w:t xml:space="preserve"> It was argued</w:t>
      </w:r>
      <w:r w:rsidR="00F56F8A">
        <w:rPr>
          <w:szCs w:val="24"/>
        </w:rPr>
        <w:t>,</w:t>
      </w:r>
      <w:r w:rsidR="00A44463">
        <w:rPr>
          <w:szCs w:val="24"/>
        </w:rPr>
        <w:t xml:space="preserve"> and said in </w:t>
      </w:r>
      <w:r w:rsidR="00A44463" w:rsidRPr="00A44463">
        <w:rPr>
          <w:i/>
          <w:szCs w:val="24"/>
        </w:rPr>
        <w:t>Barak</w:t>
      </w:r>
      <w:r w:rsidR="00F56F8A">
        <w:rPr>
          <w:i/>
          <w:szCs w:val="24"/>
        </w:rPr>
        <w:t>,</w:t>
      </w:r>
      <w:r w:rsidR="00A44463">
        <w:rPr>
          <w:rStyle w:val="FootnoteReference"/>
          <w:i/>
          <w:szCs w:val="24"/>
        </w:rPr>
        <w:footnoteReference w:id="23"/>
      </w:r>
      <w:r w:rsidR="00A44463">
        <w:rPr>
          <w:i/>
          <w:szCs w:val="24"/>
        </w:rPr>
        <w:t xml:space="preserve"> </w:t>
      </w:r>
      <w:r w:rsidR="00AB1DA1" w:rsidRPr="00AB1DA1">
        <w:rPr>
          <w:szCs w:val="24"/>
        </w:rPr>
        <w:t>that</w:t>
      </w:r>
      <w:r w:rsidR="00AB1DA1">
        <w:rPr>
          <w:i/>
          <w:szCs w:val="24"/>
        </w:rPr>
        <w:t xml:space="preserve"> </w:t>
      </w:r>
      <w:r w:rsidR="00A44463">
        <w:rPr>
          <w:szCs w:val="24"/>
        </w:rPr>
        <w:t>due to the different en</w:t>
      </w:r>
      <w:r w:rsidR="00DB1C05">
        <w:rPr>
          <w:szCs w:val="24"/>
        </w:rPr>
        <w:t xml:space="preserve">tities being collapsed they would </w:t>
      </w:r>
      <w:r w:rsidR="00A44463">
        <w:rPr>
          <w:szCs w:val="24"/>
        </w:rPr>
        <w:t xml:space="preserve">now </w:t>
      </w:r>
      <w:r w:rsidR="00DB1C05">
        <w:rPr>
          <w:szCs w:val="24"/>
        </w:rPr>
        <w:t xml:space="preserve">be </w:t>
      </w:r>
      <w:r w:rsidR="00A44463">
        <w:rPr>
          <w:szCs w:val="24"/>
        </w:rPr>
        <w:t>exposed to different debts. That is so</w:t>
      </w:r>
      <w:r w:rsidR="00AB1DA1">
        <w:rPr>
          <w:szCs w:val="24"/>
        </w:rPr>
        <w:t xml:space="preserve">, and it is so in </w:t>
      </w:r>
      <w:r w:rsidR="00A44463">
        <w:rPr>
          <w:szCs w:val="24"/>
        </w:rPr>
        <w:t>every matter where companies are collapsed, whether they are in liquidation or otherwise and the distinguishing feature of being under liquidation or not, has no new or additional effect or c</w:t>
      </w:r>
      <w:r w:rsidR="0090325B">
        <w:rPr>
          <w:szCs w:val="24"/>
        </w:rPr>
        <w:t xml:space="preserve">annot be a bar to the collapse. </w:t>
      </w:r>
      <w:r w:rsidR="00B229E8">
        <w:rPr>
          <w:szCs w:val="24"/>
        </w:rPr>
        <w:t xml:space="preserve">I am </w:t>
      </w:r>
      <w:r w:rsidR="0090325B">
        <w:rPr>
          <w:szCs w:val="24"/>
        </w:rPr>
        <w:t xml:space="preserve">of </w:t>
      </w:r>
      <w:r w:rsidR="00B229E8">
        <w:rPr>
          <w:szCs w:val="24"/>
        </w:rPr>
        <w:t>the view that it is a distinguishing feature</w:t>
      </w:r>
      <w:r w:rsidR="00235AB7">
        <w:rPr>
          <w:szCs w:val="24"/>
        </w:rPr>
        <w:t xml:space="preserve"> without</w:t>
      </w:r>
      <w:r w:rsidR="00B229E8">
        <w:rPr>
          <w:szCs w:val="24"/>
        </w:rPr>
        <w:t xml:space="preserve"> conseque</w:t>
      </w:r>
      <w:r w:rsidR="00AB1DA1">
        <w:rPr>
          <w:szCs w:val="24"/>
        </w:rPr>
        <w:t>nce. If a court can collapse</w:t>
      </w:r>
      <w:r w:rsidR="00B229E8">
        <w:rPr>
          <w:szCs w:val="24"/>
        </w:rPr>
        <w:t xml:space="preserve"> liquidated companie</w:t>
      </w:r>
      <w:r w:rsidR="00235AB7">
        <w:rPr>
          <w:szCs w:val="24"/>
        </w:rPr>
        <w:t>s</w:t>
      </w:r>
      <w:r w:rsidR="00BA5D82">
        <w:rPr>
          <w:szCs w:val="24"/>
        </w:rPr>
        <w:t>,</w:t>
      </w:r>
      <w:r w:rsidR="00AB1DA1">
        <w:rPr>
          <w:rStyle w:val="FootnoteReference"/>
          <w:szCs w:val="24"/>
        </w:rPr>
        <w:footnoteReference w:id="24"/>
      </w:r>
      <w:r w:rsidR="00235AB7">
        <w:rPr>
          <w:szCs w:val="24"/>
        </w:rPr>
        <w:t xml:space="preserve"> that power is contained in s</w:t>
      </w:r>
      <w:r w:rsidR="00B229E8">
        <w:rPr>
          <w:szCs w:val="24"/>
        </w:rPr>
        <w:t xml:space="preserve"> 20(9). I see no reason why it cannot exercise its powers and collapse an unliquidated company that is clearly deemed not to be a separate juristic person into the liquidated company. In so far </w:t>
      </w:r>
      <w:r w:rsidR="00665F71">
        <w:rPr>
          <w:szCs w:val="24"/>
        </w:rPr>
        <w:t>as the finding by the</w:t>
      </w:r>
      <w:r w:rsidR="00235AB7">
        <w:rPr>
          <w:szCs w:val="24"/>
        </w:rPr>
        <w:t xml:space="preserve"> court </w:t>
      </w:r>
      <w:r w:rsidR="00B229E8">
        <w:rPr>
          <w:szCs w:val="24"/>
        </w:rPr>
        <w:t xml:space="preserve">stands, that TSS and TFA were deemed not to be separate juristic persons, and by implication </w:t>
      </w:r>
      <w:r w:rsidR="00AB1E9F">
        <w:rPr>
          <w:szCs w:val="24"/>
        </w:rPr>
        <w:t xml:space="preserve">formed </w:t>
      </w:r>
      <w:r w:rsidR="002C2CF9">
        <w:rPr>
          <w:szCs w:val="24"/>
        </w:rPr>
        <w:t>part of TMC</w:t>
      </w:r>
      <w:r w:rsidR="00B229E8">
        <w:rPr>
          <w:szCs w:val="24"/>
        </w:rPr>
        <w:t xml:space="preserve">, </w:t>
      </w:r>
      <w:r w:rsidR="0054555F">
        <w:rPr>
          <w:szCs w:val="24"/>
        </w:rPr>
        <w:t>a</w:t>
      </w:r>
      <w:r w:rsidR="00B229E8">
        <w:rPr>
          <w:szCs w:val="24"/>
        </w:rPr>
        <w:t>n appropriate order would be to col</w:t>
      </w:r>
      <w:r w:rsidR="00A474FF">
        <w:rPr>
          <w:szCs w:val="24"/>
        </w:rPr>
        <w:t>lapse them into TMC</w:t>
      </w:r>
      <w:r w:rsidR="00B229E8">
        <w:rPr>
          <w:szCs w:val="24"/>
        </w:rPr>
        <w:t xml:space="preserve">, whether they are in liquidation or otherwise. </w:t>
      </w:r>
      <w:r w:rsidR="00F97487">
        <w:rPr>
          <w:szCs w:val="24"/>
        </w:rPr>
        <w:t>The effect would b</w:t>
      </w:r>
      <w:r w:rsidR="000D1322">
        <w:rPr>
          <w:szCs w:val="24"/>
        </w:rPr>
        <w:t xml:space="preserve">e that those two companies, which </w:t>
      </w:r>
      <w:r w:rsidR="00F97487">
        <w:rPr>
          <w:szCs w:val="24"/>
        </w:rPr>
        <w:t>are not in fact separate entities, would collapse or integrate i</w:t>
      </w:r>
      <w:r w:rsidR="000D1322">
        <w:rPr>
          <w:szCs w:val="24"/>
        </w:rPr>
        <w:t>nto the liquidated company as they were</w:t>
      </w:r>
      <w:r w:rsidR="00F97487">
        <w:rPr>
          <w:szCs w:val="24"/>
        </w:rPr>
        <w:t xml:space="preserve"> not entitled to claim to be separate juristic persons from the outset. Removing the fraudulent conduct places them squarely as part and parcel of TMC. </w:t>
      </w:r>
    </w:p>
    <w:p w:rsidR="008C446B" w:rsidRDefault="00764BF2" w:rsidP="0060516D">
      <w:pPr>
        <w:jc w:val="both"/>
        <w:rPr>
          <w:szCs w:val="24"/>
        </w:rPr>
      </w:pPr>
      <w:r>
        <w:rPr>
          <w:szCs w:val="24"/>
        </w:rPr>
        <w:t>[25]</w:t>
      </w:r>
      <w:r>
        <w:rPr>
          <w:szCs w:val="24"/>
        </w:rPr>
        <w:tab/>
      </w:r>
      <w:proofErr w:type="gramStart"/>
      <w:r>
        <w:rPr>
          <w:szCs w:val="24"/>
        </w:rPr>
        <w:t xml:space="preserve">The </w:t>
      </w:r>
      <w:r w:rsidR="007A2999">
        <w:rPr>
          <w:szCs w:val="24"/>
        </w:rPr>
        <w:t xml:space="preserve"> main</w:t>
      </w:r>
      <w:proofErr w:type="gramEnd"/>
      <w:r w:rsidR="007A2999">
        <w:rPr>
          <w:szCs w:val="24"/>
        </w:rPr>
        <w:t xml:space="preserve"> </w:t>
      </w:r>
      <w:r>
        <w:rPr>
          <w:szCs w:val="24"/>
        </w:rPr>
        <w:t xml:space="preserve">attack on the s 20(9) order is the apparent lack of jurisdiction of the court to collapse the two companies into TMC. The attack does not concern the court’s finding </w:t>
      </w:r>
      <w:r>
        <w:rPr>
          <w:szCs w:val="24"/>
        </w:rPr>
        <w:lastRenderedPageBreak/>
        <w:t>of necessity that the conduct which found the basis of the order, constituted an unconscionable abuse of the juristic personalities of those two companies as sepa</w:t>
      </w:r>
      <w:r w:rsidR="00A474FF">
        <w:rPr>
          <w:szCs w:val="24"/>
        </w:rPr>
        <w:t>rate entities. That the requirements</w:t>
      </w:r>
      <w:r>
        <w:rPr>
          <w:szCs w:val="24"/>
        </w:rPr>
        <w:t xml:space="preserve"> of s 20(</w:t>
      </w:r>
      <w:r w:rsidR="00700746">
        <w:rPr>
          <w:szCs w:val="24"/>
        </w:rPr>
        <w:t>9</w:t>
      </w:r>
      <w:r>
        <w:rPr>
          <w:szCs w:val="24"/>
        </w:rPr>
        <w:t>)</w:t>
      </w:r>
      <w:r w:rsidR="00700746">
        <w:rPr>
          <w:szCs w:val="24"/>
        </w:rPr>
        <w:t>(a)</w:t>
      </w:r>
      <w:r w:rsidR="00A474FF">
        <w:rPr>
          <w:szCs w:val="24"/>
        </w:rPr>
        <w:t xml:space="preserve"> were</w:t>
      </w:r>
      <w:r>
        <w:rPr>
          <w:szCs w:val="24"/>
        </w:rPr>
        <w:t xml:space="preserve"> satisfied, is a foregone conclusion</w:t>
      </w:r>
      <w:r w:rsidR="006B44B0">
        <w:rPr>
          <w:szCs w:val="24"/>
        </w:rPr>
        <w:t xml:space="preserve"> and CMSA takes no issue with the factual allegations in the founding papers of the s 20(9) application</w:t>
      </w:r>
      <w:r w:rsidR="007A2999">
        <w:rPr>
          <w:szCs w:val="24"/>
        </w:rPr>
        <w:t xml:space="preserve">. CMSA’s </w:t>
      </w:r>
      <w:r>
        <w:rPr>
          <w:szCs w:val="24"/>
        </w:rPr>
        <w:t>complaint that the order that followed, i.e., the collapsing</w:t>
      </w:r>
      <w:r w:rsidR="00432F06">
        <w:rPr>
          <w:szCs w:val="24"/>
        </w:rPr>
        <w:t>,</w:t>
      </w:r>
      <w:r>
        <w:rPr>
          <w:szCs w:val="24"/>
        </w:rPr>
        <w:t xml:space="preserve"> was not permissible. </w:t>
      </w:r>
      <w:r w:rsidR="00700746">
        <w:rPr>
          <w:szCs w:val="24"/>
        </w:rPr>
        <w:t>I do not agree. The provisions of s</w:t>
      </w:r>
      <w:r w:rsidR="00D86AE7">
        <w:rPr>
          <w:szCs w:val="24"/>
        </w:rPr>
        <w:t xml:space="preserve"> 20(9)</w:t>
      </w:r>
      <w:r w:rsidR="00432F06">
        <w:rPr>
          <w:szCs w:val="24"/>
        </w:rPr>
        <w:t xml:space="preserve"> allows the court </w:t>
      </w:r>
      <w:r w:rsidR="00700746">
        <w:rPr>
          <w:szCs w:val="24"/>
        </w:rPr>
        <w:t>to</w:t>
      </w:r>
      <w:r w:rsidR="00D86AE7">
        <w:rPr>
          <w:szCs w:val="24"/>
        </w:rPr>
        <w:t xml:space="preserve"> integrate or collapse the entities and to</w:t>
      </w:r>
      <w:r w:rsidR="00700746">
        <w:rPr>
          <w:szCs w:val="24"/>
        </w:rPr>
        <w:t xml:space="preserve"> structure its order with further orders that it considers appropriate. ‘[A]</w:t>
      </w:r>
      <w:proofErr w:type="spellStart"/>
      <w:r w:rsidR="00700746">
        <w:rPr>
          <w:szCs w:val="24"/>
        </w:rPr>
        <w:t>ppropriate</w:t>
      </w:r>
      <w:proofErr w:type="spellEnd"/>
      <w:r w:rsidR="00700746">
        <w:rPr>
          <w:szCs w:val="24"/>
        </w:rPr>
        <w:t xml:space="preserve"> means suitable or right for the situation or occasion.’</w:t>
      </w:r>
      <w:r w:rsidR="00700746">
        <w:rPr>
          <w:rStyle w:val="FootnoteReference"/>
          <w:szCs w:val="24"/>
        </w:rPr>
        <w:footnoteReference w:id="25"/>
      </w:r>
      <w:r w:rsidR="00700746">
        <w:rPr>
          <w:szCs w:val="24"/>
        </w:rPr>
        <w:t xml:space="preserve"> Or ‘suitable, proper’.</w:t>
      </w:r>
      <w:r w:rsidR="00700746">
        <w:rPr>
          <w:rStyle w:val="FootnoteReference"/>
          <w:szCs w:val="24"/>
        </w:rPr>
        <w:footnoteReference w:id="26"/>
      </w:r>
      <w:r w:rsidR="00700746">
        <w:rPr>
          <w:szCs w:val="24"/>
        </w:rPr>
        <w:t xml:space="preserve"> </w:t>
      </w:r>
      <w:r w:rsidR="008C446B">
        <w:rPr>
          <w:szCs w:val="24"/>
        </w:rPr>
        <w:t>It was found</w:t>
      </w:r>
      <w:r w:rsidR="008C446B">
        <w:rPr>
          <w:rStyle w:val="FootnoteReference"/>
          <w:szCs w:val="24"/>
        </w:rPr>
        <w:footnoteReference w:id="27"/>
      </w:r>
      <w:r w:rsidR="008C446B">
        <w:rPr>
          <w:szCs w:val="24"/>
        </w:rPr>
        <w:t xml:space="preserve"> by </w:t>
      </w:r>
      <w:proofErr w:type="spellStart"/>
      <w:r w:rsidR="008C446B">
        <w:rPr>
          <w:szCs w:val="24"/>
        </w:rPr>
        <w:t>Binns</w:t>
      </w:r>
      <w:proofErr w:type="spellEnd"/>
      <w:r w:rsidR="008C446B">
        <w:rPr>
          <w:szCs w:val="24"/>
        </w:rPr>
        <w:t>-Ward J as follows:</w:t>
      </w:r>
    </w:p>
    <w:p w:rsidR="008C446B" w:rsidRPr="008C446B" w:rsidRDefault="008C446B" w:rsidP="008C446B">
      <w:pPr>
        <w:ind w:left="709"/>
        <w:jc w:val="both"/>
        <w:rPr>
          <w:sz w:val="22"/>
          <w:szCs w:val="24"/>
        </w:rPr>
      </w:pPr>
      <w:r>
        <w:rPr>
          <w:sz w:val="22"/>
          <w:szCs w:val="24"/>
        </w:rPr>
        <w:t>‘</w:t>
      </w:r>
      <w:r w:rsidR="00555580">
        <w:rPr>
          <w:sz w:val="22"/>
          <w:szCs w:val="24"/>
        </w:rPr>
        <w:t xml:space="preserve">Paragraph (b) of the subsection affords the </w:t>
      </w:r>
      <w:proofErr w:type="gramStart"/>
      <w:r w:rsidR="00555580">
        <w:rPr>
          <w:sz w:val="22"/>
          <w:szCs w:val="24"/>
        </w:rPr>
        <w:t>court  the</w:t>
      </w:r>
      <w:proofErr w:type="gramEnd"/>
      <w:r w:rsidR="00555580">
        <w:rPr>
          <w:sz w:val="22"/>
          <w:szCs w:val="24"/>
        </w:rPr>
        <w:t xml:space="preserve"> very widest of powers to grant consequential relief. An order made in terms of paragraph (b) will always have the effect, however, o</w:t>
      </w:r>
      <w:r w:rsidR="00A474FF">
        <w:rPr>
          <w:sz w:val="22"/>
          <w:szCs w:val="24"/>
        </w:rPr>
        <w:t>f</w:t>
      </w:r>
      <w:r w:rsidR="00555580">
        <w:rPr>
          <w:sz w:val="22"/>
          <w:szCs w:val="24"/>
        </w:rPr>
        <w:t xml:space="preserve"> fixing the right, obligation or liability in issue of the company somewhere else. In the current case the “right” involved is the property held by the subsidiary companies in the King Group and the obligation or liability is that which any of them might actually have to account to and make payment to the investors.’</w:t>
      </w:r>
    </w:p>
    <w:p w:rsidR="004865E2" w:rsidRDefault="00700746" w:rsidP="0060516D">
      <w:pPr>
        <w:jc w:val="both"/>
        <w:rPr>
          <w:szCs w:val="24"/>
        </w:rPr>
      </w:pPr>
      <w:r>
        <w:rPr>
          <w:szCs w:val="24"/>
        </w:rPr>
        <w:t>Being faced with the conduct of the tw</w:t>
      </w:r>
      <w:r w:rsidR="00432F06">
        <w:rPr>
          <w:szCs w:val="24"/>
        </w:rPr>
        <w:t>o collapsed companies</w:t>
      </w:r>
      <w:r w:rsidR="00665F71">
        <w:rPr>
          <w:szCs w:val="24"/>
        </w:rPr>
        <w:t xml:space="preserve"> and TMC</w:t>
      </w:r>
      <w:r w:rsidR="007A2999">
        <w:rPr>
          <w:szCs w:val="24"/>
        </w:rPr>
        <w:t>,</w:t>
      </w:r>
      <w:r w:rsidR="00A474FF">
        <w:rPr>
          <w:szCs w:val="24"/>
        </w:rPr>
        <w:t xml:space="preserve"> whose conduct</w:t>
      </w:r>
      <w:r w:rsidR="00432F06">
        <w:rPr>
          <w:szCs w:val="24"/>
        </w:rPr>
        <w:t xml:space="preserve"> constituted </w:t>
      </w:r>
      <w:r>
        <w:rPr>
          <w:szCs w:val="24"/>
        </w:rPr>
        <w:t>an unconscionable abus</w:t>
      </w:r>
      <w:r w:rsidR="00665F71">
        <w:rPr>
          <w:szCs w:val="24"/>
        </w:rPr>
        <w:t>e of their juristic personalities</w:t>
      </w:r>
      <w:r w:rsidR="00432F06">
        <w:rPr>
          <w:szCs w:val="24"/>
        </w:rPr>
        <w:t>, t</w:t>
      </w:r>
      <w:r>
        <w:rPr>
          <w:szCs w:val="24"/>
        </w:rPr>
        <w:t>he appropriate order was</w:t>
      </w:r>
      <w:r w:rsidR="007A2999">
        <w:rPr>
          <w:szCs w:val="24"/>
        </w:rPr>
        <w:t xml:space="preserve"> to collapse them into the other </w:t>
      </w:r>
      <w:r>
        <w:rPr>
          <w:szCs w:val="24"/>
        </w:rPr>
        <w:t xml:space="preserve">perpetrator. The further appropriate order was to allow the Master to appoint liquidators to follow the requirements of the law regarding liquidation of the two collapsed companies. </w:t>
      </w:r>
    </w:p>
    <w:p w:rsidR="00024754" w:rsidRDefault="004865E2" w:rsidP="0060516D">
      <w:pPr>
        <w:jc w:val="both"/>
        <w:rPr>
          <w:szCs w:val="24"/>
        </w:rPr>
      </w:pPr>
      <w:r>
        <w:rPr>
          <w:szCs w:val="24"/>
        </w:rPr>
        <w:t>[26]</w:t>
      </w:r>
      <w:r>
        <w:rPr>
          <w:szCs w:val="24"/>
        </w:rPr>
        <w:tab/>
        <w:t>The applicant</w:t>
      </w:r>
      <w:r w:rsidR="007A2999">
        <w:rPr>
          <w:szCs w:val="24"/>
        </w:rPr>
        <w:t>’</w:t>
      </w:r>
      <w:r>
        <w:rPr>
          <w:szCs w:val="24"/>
        </w:rPr>
        <w:t xml:space="preserve">s counsel relied on </w:t>
      </w:r>
      <w:r w:rsidRPr="004865E2">
        <w:rPr>
          <w:i/>
          <w:szCs w:val="24"/>
        </w:rPr>
        <w:t>City Capita</w:t>
      </w:r>
      <w:r w:rsidR="00A474FF">
        <w:rPr>
          <w:i/>
          <w:szCs w:val="24"/>
        </w:rPr>
        <w:t xml:space="preserve">l </w:t>
      </w:r>
      <w:r w:rsidR="0026273F">
        <w:rPr>
          <w:rStyle w:val="FootnoteReference"/>
          <w:i/>
          <w:szCs w:val="24"/>
        </w:rPr>
        <w:footnoteReference w:id="28"/>
      </w:r>
      <w:r w:rsidR="007A2999">
        <w:rPr>
          <w:i/>
          <w:szCs w:val="24"/>
        </w:rPr>
        <w:t xml:space="preserve"> </w:t>
      </w:r>
      <w:r>
        <w:rPr>
          <w:szCs w:val="24"/>
        </w:rPr>
        <w:t xml:space="preserve">and </w:t>
      </w:r>
      <w:proofErr w:type="spellStart"/>
      <w:r w:rsidRPr="004865E2">
        <w:rPr>
          <w:i/>
          <w:szCs w:val="24"/>
        </w:rPr>
        <w:t>Munsamy</w:t>
      </w:r>
      <w:proofErr w:type="spellEnd"/>
      <w:r w:rsidR="00A474FF">
        <w:rPr>
          <w:i/>
          <w:szCs w:val="24"/>
        </w:rPr>
        <w:t xml:space="preserve"> </w:t>
      </w:r>
      <w:r>
        <w:rPr>
          <w:rStyle w:val="FootnoteReference"/>
          <w:i/>
          <w:szCs w:val="24"/>
        </w:rPr>
        <w:footnoteReference w:id="29"/>
      </w:r>
      <w:r>
        <w:rPr>
          <w:i/>
          <w:szCs w:val="24"/>
        </w:rPr>
        <w:t xml:space="preserve"> </w:t>
      </w:r>
      <w:r>
        <w:rPr>
          <w:szCs w:val="24"/>
        </w:rPr>
        <w:t>for support for its submission that the or</w:t>
      </w:r>
      <w:r w:rsidR="00F35D3A">
        <w:rPr>
          <w:szCs w:val="24"/>
        </w:rPr>
        <w:t xml:space="preserve">der in terms of which the </w:t>
      </w:r>
      <w:r>
        <w:rPr>
          <w:szCs w:val="24"/>
        </w:rPr>
        <w:t>order requires the Master to appoint a liquidator was</w:t>
      </w:r>
      <w:r w:rsidR="000E3924">
        <w:rPr>
          <w:szCs w:val="24"/>
        </w:rPr>
        <w:t xml:space="preserve"> outside</w:t>
      </w:r>
      <w:r w:rsidR="009E7ED6">
        <w:rPr>
          <w:szCs w:val="24"/>
        </w:rPr>
        <w:t xml:space="preserve"> of the court’s power. That </w:t>
      </w:r>
      <w:proofErr w:type="gramStart"/>
      <w:r w:rsidR="009E7ED6">
        <w:rPr>
          <w:szCs w:val="24"/>
        </w:rPr>
        <w:t>is  a</w:t>
      </w:r>
      <w:proofErr w:type="gramEnd"/>
      <w:r w:rsidR="009E7ED6">
        <w:rPr>
          <w:szCs w:val="24"/>
        </w:rPr>
        <w:t xml:space="preserve"> misinterpretation of what </w:t>
      </w:r>
      <w:r w:rsidR="009E7ED6" w:rsidRPr="009E7ED6">
        <w:rPr>
          <w:i/>
          <w:szCs w:val="24"/>
        </w:rPr>
        <w:t>City Capital</w:t>
      </w:r>
      <w:r w:rsidR="009E7ED6">
        <w:rPr>
          <w:szCs w:val="24"/>
        </w:rPr>
        <w:t xml:space="preserve"> and </w:t>
      </w:r>
      <w:proofErr w:type="spellStart"/>
      <w:r w:rsidR="009E7ED6" w:rsidRPr="009E7ED6">
        <w:rPr>
          <w:i/>
          <w:szCs w:val="24"/>
        </w:rPr>
        <w:t>Munsamy</w:t>
      </w:r>
      <w:proofErr w:type="spellEnd"/>
      <w:r w:rsidR="009E7ED6">
        <w:rPr>
          <w:szCs w:val="24"/>
        </w:rPr>
        <w:t xml:space="preserve"> held,</w:t>
      </w:r>
      <w:r w:rsidR="00A474FF">
        <w:rPr>
          <w:szCs w:val="24"/>
        </w:rPr>
        <w:t xml:space="preserve"> which was</w:t>
      </w:r>
      <w:r w:rsidR="009E7ED6">
        <w:rPr>
          <w:szCs w:val="24"/>
        </w:rPr>
        <w:t xml:space="preserve"> that a court does not have the power to appoint a particular liquidator. But the court order that requires the Master to perform his or her duties is, in my view,</w:t>
      </w:r>
      <w:r w:rsidR="000E3924">
        <w:rPr>
          <w:szCs w:val="24"/>
        </w:rPr>
        <w:t xml:space="preserve"> unobjectionable.</w:t>
      </w:r>
      <w:r w:rsidR="009E7ED6">
        <w:rPr>
          <w:szCs w:val="24"/>
        </w:rPr>
        <w:t xml:space="preserve"> This would make it clear that the</w:t>
      </w:r>
      <w:r w:rsidR="00A474FF">
        <w:rPr>
          <w:szCs w:val="24"/>
        </w:rPr>
        <w:t xml:space="preserve"> natural</w:t>
      </w:r>
      <w:r w:rsidR="00F35D3A">
        <w:rPr>
          <w:szCs w:val="24"/>
        </w:rPr>
        <w:t xml:space="preserve"> consequences</w:t>
      </w:r>
      <w:r w:rsidR="009E7ED6">
        <w:rPr>
          <w:szCs w:val="24"/>
        </w:rPr>
        <w:t xml:space="preserve"> of the </w:t>
      </w:r>
      <w:r w:rsidR="009E7ED6">
        <w:rPr>
          <w:szCs w:val="24"/>
        </w:rPr>
        <w:lastRenderedPageBreak/>
        <w:t>collapse was to place TSS and TFA into liquidation.</w:t>
      </w:r>
      <w:r w:rsidR="009E7ED6">
        <w:rPr>
          <w:rStyle w:val="FootnoteReference"/>
          <w:szCs w:val="24"/>
        </w:rPr>
        <w:footnoteReference w:id="30"/>
      </w:r>
      <w:r>
        <w:rPr>
          <w:szCs w:val="24"/>
        </w:rPr>
        <w:t xml:space="preserve"> </w:t>
      </w:r>
      <w:r w:rsidR="0026273F">
        <w:rPr>
          <w:szCs w:val="24"/>
        </w:rPr>
        <w:t xml:space="preserve">The court order in this matter does not transgress that which is set out in </w:t>
      </w:r>
      <w:r w:rsidR="0026273F" w:rsidRPr="0026273F">
        <w:rPr>
          <w:i/>
          <w:szCs w:val="24"/>
        </w:rPr>
        <w:t>City Capital</w:t>
      </w:r>
      <w:r w:rsidR="0026273F">
        <w:rPr>
          <w:i/>
          <w:szCs w:val="24"/>
        </w:rPr>
        <w:t xml:space="preserve"> </w:t>
      </w:r>
      <w:r w:rsidR="00393607">
        <w:rPr>
          <w:szCs w:val="24"/>
        </w:rPr>
        <w:t xml:space="preserve">and </w:t>
      </w:r>
      <w:proofErr w:type="spellStart"/>
      <w:r w:rsidR="00393607" w:rsidRPr="00393607">
        <w:rPr>
          <w:i/>
          <w:szCs w:val="24"/>
        </w:rPr>
        <w:t>Munsamy</w:t>
      </w:r>
      <w:proofErr w:type="spellEnd"/>
      <w:r w:rsidR="00393607">
        <w:rPr>
          <w:szCs w:val="24"/>
        </w:rPr>
        <w:t>.</w:t>
      </w:r>
      <w:r w:rsidR="0026273F">
        <w:rPr>
          <w:szCs w:val="24"/>
        </w:rPr>
        <w:t xml:space="preserve"> </w:t>
      </w:r>
    </w:p>
    <w:p w:rsidR="00A474FF" w:rsidRDefault="00024754" w:rsidP="0060516D">
      <w:pPr>
        <w:jc w:val="both"/>
        <w:rPr>
          <w:szCs w:val="24"/>
        </w:rPr>
      </w:pPr>
      <w:r>
        <w:rPr>
          <w:szCs w:val="24"/>
        </w:rPr>
        <w:t>[27]</w:t>
      </w:r>
      <w:r>
        <w:rPr>
          <w:szCs w:val="24"/>
        </w:rPr>
        <w:tab/>
      </w:r>
      <w:r w:rsidR="003971A3">
        <w:rPr>
          <w:szCs w:val="24"/>
        </w:rPr>
        <w:t>The</w:t>
      </w:r>
      <w:r w:rsidR="00A474FF">
        <w:rPr>
          <w:szCs w:val="24"/>
        </w:rPr>
        <w:t xml:space="preserve"> submission on behalf of CMSA was</w:t>
      </w:r>
      <w:r w:rsidR="003971A3">
        <w:rPr>
          <w:szCs w:val="24"/>
        </w:rPr>
        <w:t xml:space="preserve"> that </w:t>
      </w:r>
      <w:r w:rsidR="00463E78">
        <w:rPr>
          <w:szCs w:val="24"/>
        </w:rPr>
        <w:t>and</w:t>
      </w:r>
      <w:r w:rsidR="00A474FF">
        <w:rPr>
          <w:szCs w:val="24"/>
        </w:rPr>
        <w:t xml:space="preserve"> which is </w:t>
      </w:r>
      <w:r w:rsidR="003971A3">
        <w:rPr>
          <w:szCs w:val="24"/>
        </w:rPr>
        <w:t xml:space="preserve">aligned with the findings in </w:t>
      </w:r>
      <w:r w:rsidR="003971A3" w:rsidRPr="003971A3">
        <w:rPr>
          <w:i/>
          <w:szCs w:val="24"/>
        </w:rPr>
        <w:t>Barak</w:t>
      </w:r>
      <w:r w:rsidR="00463E78">
        <w:rPr>
          <w:i/>
          <w:szCs w:val="24"/>
        </w:rPr>
        <w:t>,</w:t>
      </w:r>
      <w:r w:rsidR="00C9343E">
        <w:rPr>
          <w:rStyle w:val="FootnoteReference"/>
          <w:i/>
          <w:szCs w:val="24"/>
        </w:rPr>
        <w:footnoteReference w:id="31"/>
      </w:r>
      <w:r w:rsidR="00463E78">
        <w:rPr>
          <w:szCs w:val="24"/>
        </w:rPr>
        <w:t xml:space="preserve"> </w:t>
      </w:r>
      <w:r w:rsidR="003971A3">
        <w:rPr>
          <w:szCs w:val="24"/>
        </w:rPr>
        <w:t xml:space="preserve">CMSA will have to contend with an entirely new set of facts such as that it will have unsecured claims to be shared by other creditors. This aspect misses the </w:t>
      </w:r>
      <w:r w:rsidR="000A76F9">
        <w:rPr>
          <w:szCs w:val="24"/>
        </w:rPr>
        <w:t xml:space="preserve">point in this case. On the facts, it has </w:t>
      </w:r>
      <w:r w:rsidR="00432F06">
        <w:rPr>
          <w:szCs w:val="24"/>
        </w:rPr>
        <w:t xml:space="preserve">no </w:t>
      </w:r>
      <w:r w:rsidR="000A76F9">
        <w:rPr>
          <w:szCs w:val="24"/>
        </w:rPr>
        <w:t>genuine claim under the loan agreements. The cond</w:t>
      </w:r>
      <w:r w:rsidR="00432F06">
        <w:rPr>
          <w:szCs w:val="24"/>
        </w:rPr>
        <w:t xml:space="preserve">uct of </w:t>
      </w:r>
      <w:r w:rsidR="000A76F9">
        <w:rPr>
          <w:szCs w:val="24"/>
        </w:rPr>
        <w:t>TMC and the collapsed companies was an unconscionable abuse of their juristic personalities and any claim, purportedly based on the fraud</w:t>
      </w:r>
      <w:r w:rsidR="00432F06">
        <w:rPr>
          <w:szCs w:val="24"/>
        </w:rPr>
        <w:t>ulent</w:t>
      </w:r>
      <w:r w:rsidR="000A76F9">
        <w:rPr>
          <w:szCs w:val="24"/>
        </w:rPr>
        <w:t xml:space="preserve"> loans,</w:t>
      </w:r>
      <w:r w:rsidR="00665F71">
        <w:rPr>
          <w:szCs w:val="24"/>
        </w:rPr>
        <w:t xml:space="preserve"> which</w:t>
      </w:r>
      <w:r w:rsidR="000A76F9">
        <w:rPr>
          <w:szCs w:val="24"/>
        </w:rPr>
        <w:t xml:space="preserve"> </w:t>
      </w:r>
      <w:r w:rsidR="00A474FF">
        <w:rPr>
          <w:szCs w:val="24"/>
        </w:rPr>
        <w:t>may be resisted</w:t>
      </w:r>
      <w:r>
        <w:rPr>
          <w:szCs w:val="24"/>
        </w:rPr>
        <w:t xml:space="preserve"> </w:t>
      </w:r>
      <w:r w:rsidR="00A474FF">
        <w:rPr>
          <w:szCs w:val="24"/>
        </w:rPr>
        <w:t>i</w:t>
      </w:r>
      <w:r>
        <w:rPr>
          <w:szCs w:val="24"/>
        </w:rPr>
        <w:t>f that version proves to be correct, but is the version before this court</w:t>
      </w:r>
      <w:r w:rsidR="00CA4F2A">
        <w:rPr>
          <w:szCs w:val="24"/>
        </w:rPr>
        <w:t xml:space="preserve">. </w:t>
      </w:r>
      <w:r w:rsidR="0038626E">
        <w:rPr>
          <w:szCs w:val="24"/>
        </w:rPr>
        <w:t xml:space="preserve">CMSA has no genuine claim based on the alleged loan agreements and the </w:t>
      </w:r>
      <w:r w:rsidR="0038626E" w:rsidRPr="0038626E">
        <w:rPr>
          <w:i/>
          <w:szCs w:val="24"/>
        </w:rPr>
        <w:t>Barak</w:t>
      </w:r>
      <w:r w:rsidR="0038626E">
        <w:rPr>
          <w:szCs w:val="24"/>
        </w:rPr>
        <w:t xml:space="preserve"> matter was not decided on such a basis. </w:t>
      </w:r>
    </w:p>
    <w:p w:rsidR="00764BF2" w:rsidRDefault="00A474FF" w:rsidP="0060516D">
      <w:pPr>
        <w:jc w:val="both"/>
        <w:rPr>
          <w:szCs w:val="24"/>
        </w:rPr>
      </w:pPr>
      <w:r>
        <w:rPr>
          <w:szCs w:val="24"/>
        </w:rPr>
        <w:t>[28]</w:t>
      </w:r>
      <w:r>
        <w:rPr>
          <w:szCs w:val="24"/>
        </w:rPr>
        <w:tab/>
      </w:r>
      <w:r w:rsidR="00AE5C2F">
        <w:rPr>
          <w:szCs w:val="24"/>
        </w:rPr>
        <w:t xml:space="preserve">Counsel for the applicant submitted on the strength of </w:t>
      </w:r>
      <w:proofErr w:type="spellStart"/>
      <w:r w:rsidR="00B41490" w:rsidRPr="00B41490">
        <w:rPr>
          <w:i/>
          <w:szCs w:val="24"/>
        </w:rPr>
        <w:t>Geach</w:t>
      </w:r>
      <w:proofErr w:type="spellEnd"/>
      <w:r w:rsidR="00B41490">
        <w:rPr>
          <w:rStyle w:val="FootnoteReference"/>
          <w:szCs w:val="24"/>
        </w:rPr>
        <w:footnoteReference w:id="32"/>
      </w:r>
      <w:r w:rsidR="00B41490">
        <w:rPr>
          <w:szCs w:val="24"/>
        </w:rPr>
        <w:t xml:space="preserve"> </w:t>
      </w:r>
      <w:r w:rsidR="003B1094">
        <w:rPr>
          <w:szCs w:val="24"/>
        </w:rPr>
        <w:t>that the true question is whether the court did indeed have the power to issue the additional relief. I have shown t</w:t>
      </w:r>
      <w:r w:rsidR="00954E26">
        <w:rPr>
          <w:szCs w:val="24"/>
        </w:rPr>
        <w:t>hat the provisions of s 20(9)</w:t>
      </w:r>
      <w:r w:rsidR="003B1094">
        <w:rPr>
          <w:szCs w:val="24"/>
        </w:rPr>
        <w:t xml:space="preserve"> are wide and would not only permit of such a power but the circumstances of the matter call for such an appropriate order. </w:t>
      </w:r>
    </w:p>
    <w:p w:rsidR="003B1094" w:rsidRDefault="001C1534" w:rsidP="0060516D">
      <w:pPr>
        <w:jc w:val="both"/>
        <w:rPr>
          <w:szCs w:val="24"/>
        </w:rPr>
      </w:pPr>
      <w:r>
        <w:rPr>
          <w:szCs w:val="24"/>
        </w:rPr>
        <w:t>[29</w:t>
      </w:r>
      <w:r w:rsidR="00954E26">
        <w:rPr>
          <w:szCs w:val="24"/>
        </w:rPr>
        <w:t>]</w:t>
      </w:r>
      <w:r w:rsidR="00954E26">
        <w:rPr>
          <w:szCs w:val="24"/>
        </w:rPr>
        <w:tab/>
      </w:r>
      <w:r w:rsidR="003B1094">
        <w:rPr>
          <w:szCs w:val="24"/>
        </w:rPr>
        <w:t xml:space="preserve">The further reliance on </w:t>
      </w:r>
      <w:proofErr w:type="spellStart"/>
      <w:r w:rsidR="003B1094" w:rsidRPr="003B1094">
        <w:rPr>
          <w:i/>
          <w:szCs w:val="24"/>
        </w:rPr>
        <w:t>Micromatica</w:t>
      </w:r>
      <w:proofErr w:type="spellEnd"/>
      <w:r w:rsidR="003B1094">
        <w:rPr>
          <w:rStyle w:val="FootnoteReference"/>
          <w:i/>
          <w:szCs w:val="24"/>
        </w:rPr>
        <w:footnoteReference w:id="33"/>
      </w:r>
      <w:r w:rsidR="003B1094">
        <w:rPr>
          <w:szCs w:val="24"/>
        </w:rPr>
        <w:t xml:space="preserve"> goes no further.</w:t>
      </w:r>
      <w:r w:rsidR="003B1094">
        <w:rPr>
          <w:rStyle w:val="FootnoteReference"/>
          <w:szCs w:val="24"/>
        </w:rPr>
        <w:footnoteReference w:id="34"/>
      </w:r>
      <w:r w:rsidR="003B1094">
        <w:rPr>
          <w:szCs w:val="24"/>
        </w:rPr>
        <w:t xml:space="preserve"> </w:t>
      </w:r>
      <w:r w:rsidR="00FC0BBA">
        <w:rPr>
          <w:szCs w:val="24"/>
        </w:rPr>
        <w:t>T</w:t>
      </w:r>
      <w:r w:rsidR="00665F71">
        <w:rPr>
          <w:szCs w:val="24"/>
        </w:rPr>
        <w:t>he court stated</w:t>
      </w:r>
      <w:r w:rsidR="005B7EC9">
        <w:rPr>
          <w:szCs w:val="24"/>
        </w:rPr>
        <w:t xml:space="preserve"> thus</w:t>
      </w:r>
      <w:r w:rsidR="00FC0BBA">
        <w:rPr>
          <w:szCs w:val="24"/>
        </w:rPr>
        <w:t xml:space="preserve">: </w:t>
      </w:r>
    </w:p>
    <w:p w:rsidR="005B7EC9" w:rsidRDefault="00FC0BBA" w:rsidP="00FC0BBA">
      <w:pPr>
        <w:ind w:left="709"/>
        <w:jc w:val="both"/>
        <w:rPr>
          <w:sz w:val="22"/>
          <w:szCs w:val="24"/>
        </w:rPr>
      </w:pPr>
      <w:r>
        <w:rPr>
          <w:szCs w:val="24"/>
        </w:rPr>
        <w:tab/>
      </w:r>
      <w:r>
        <w:rPr>
          <w:sz w:val="22"/>
          <w:szCs w:val="24"/>
        </w:rPr>
        <w:t>‘</w:t>
      </w:r>
      <w:r w:rsidRPr="00FC0BBA">
        <w:rPr>
          <w:sz w:val="22"/>
          <w:szCs w:val="24"/>
        </w:rPr>
        <w:t xml:space="preserve">Section 20(9) of the 2008 Act does not deal with the winding-up of companies. It provides a statutory basis for piercing the </w:t>
      </w:r>
      <w:r>
        <w:rPr>
          <w:sz w:val="22"/>
          <w:szCs w:val="24"/>
        </w:rPr>
        <w:t xml:space="preserve">corporate veil of companies </w:t>
      </w:r>
      <w:r w:rsidRPr="00FC0BBA">
        <w:rPr>
          <w:sz w:val="22"/>
          <w:szCs w:val="24"/>
        </w:rPr>
        <w:t>and empowers the court to grant consequential relief for purposes of “fixing the right, obligation or liability in issue of</w:t>
      </w:r>
      <w:r>
        <w:rPr>
          <w:sz w:val="22"/>
          <w:szCs w:val="24"/>
        </w:rPr>
        <w:t xml:space="preserve"> the company somewhere else”</w:t>
      </w:r>
      <w:r w:rsidRPr="00FC0BBA">
        <w:rPr>
          <w:sz w:val="22"/>
          <w:szCs w:val="24"/>
        </w:rPr>
        <w:t xml:space="preserve">. That does not translate into a power to appoint a liquidator in the circumstances contemplated in chapter 14 of the 1973 Act. Chapter 14 provides a structured framework for the appointment of liquidators and the rationale for that structure, with the emphasis on the master’s power to appoint liquidators, was explained in detail in Ex Parte Master of the High Court South Africa (North Gauteng). It could not have been the legislature’s intention to hide in a statutory provision for piercing the corporate veil, a power for the court to appoint a liquidator in circumstances contemplated in chapter 14 whilst express provision is made for such appointments to be made by the master within </w:t>
      </w:r>
      <w:r w:rsidRPr="00FC0BBA">
        <w:rPr>
          <w:sz w:val="22"/>
          <w:szCs w:val="24"/>
        </w:rPr>
        <w:lastRenderedPageBreak/>
        <w:t>the structure provided for in chapter 14. If it were the intention of the legislature to empower the court to appoint liquidators in circumstances contemplated in chapter 14, express provision would have been made for it.</w:t>
      </w:r>
      <w:r>
        <w:rPr>
          <w:sz w:val="22"/>
          <w:szCs w:val="24"/>
        </w:rPr>
        <w:t>’</w:t>
      </w:r>
    </w:p>
    <w:p w:rsidR="005B7EC9" w:rsidRPr="005B7EC9" w:rsidRDefault="001C1534" w:rsidP="005B7EC9">
      <w:pPr>
        <w:jc w:val="both"/>
        <w:rPr>
          <w:szCs w:val="24"/>
        </w:rPr>
      </w:pPr>
      <w:r>
        <w:rPr>
          <w:szCs w:val="24"/>
        </w:rPr>
        <w:t>[30</w:t>
      </w:r>
      <w:r w:rsidR="005B7EC9" w:rsidRPr="005B7EC9">
        <w:rPr>
          <w:szCs w:val="24"/>
        </w:rPr>
        <w:t>]</w:t>
      </w:r>
      <w:r w:rsidR="005B7EC9" w:rsidRPr="005B7EC9">
        <w:rPr>
          <w:szCs w:val="24"/>
        </w:rPr>
        <w:tab/>
      </w:r>
      <w:r w:rsidR="00CA4F2A">
        <w:rPr>
          <w:szCs w:val="24"/>
        </w:rPr>
        <w:t xml:space="preserve">That </w:t>
      </w:r>
      <w:r w:rsidR="005B7EC9">
        <w:rPr>
          <w:szCs w:val="24"/>
        </w:rPr>
        <w:t>court correctly held that s 20(9) does not deal with winding-u</w:t>
      </w:r>
      <w:r w:rsidR="00665F71">
        <w:rPr>
          <w:szCs w:val="24"/>
        </w:rPr>
        <w:t>p of companies. The court said</w:t>
      </w:r>
      <w:r w:rsidR="005B7EC9">
        <w:rPr>
          <w:szCs w:val="24"/>
        </w:rPr>
        <w:t xml:space="preserve"> </w:t>
      </w:r>
      <w:r w:rsidR="00665F71">
        <w:rPr>
          <w:szCs w:val="24"/>
        </w:rPr>
        <w:t>that a court ma</w:t>
      </w:r>
      <w:r w:rsidR="00272BF3">
        <w:rPr>
          <w:szCs w:val="24"/>
        </w:rPr>
        <w:t>y not app</w:t>
      </w:r>
      <w:r w:rsidR="00665F71">
        <w:rPr>
          <w:szCs w:val="24"/>
        </w:rPr>
        <w:t xml:space="preserve">oint liquidators – this the </w:t>
      </w:r>
      <w:r w:rsidR="00B43F53">
        <w:rPr>
          <w:szCs w:val="24"/>
        </w:rPr>
        <w:t>court in the s 20(9) application</w:t>
      </w:r>
      <w:r w:rsidR="00272BF3">
        <w:rPr>
          <w:szCs w:val="24"/>
        </w:rPr>
        <w:t xml:space="preserve"> did not do</w:t>
      </w:r>
      <w:r w:rsidR="00290563">
        <w:rPr>
          <w:szCs w:val="24"/>
        </w:rPr>
        <w:t>. This it</w:t>
      </w:r>
      <w:r w:rsidR="008C446B">
        <w:rPr>
          <w:szCs w:val="24"/>
        </w:rPr>
        <w:t xml:space="preserve"> left it </w:t>
      </w:r>
      <w:r w:rsidR="00B51830">
        <w:rPr>
          <w:szCs w:val="24"/>
        </w:rPr>
        <w:t>correctly to the Master to do</w:t>
      </w:r>
      <w:r w:rsidR="008C446B">
        <w:rPr>
          <w:szCs w:val="24"/>
        </w:rPr>
        <w:t xml:space="preserve">. Reliance on the </w:t>
      </w:r>
      <w:proofErr w:type="spellStart"/>
      <w:r w:rsidR="008C446B" w:rsidRPr="008C446B">
        <w:rPr>
          <w:i/>
          <w:szCs w:val="24"/>
        </w:rPr>
        <w:t>Micromatica</w:t>
      </w:r>
      <w:proofErr w:type="spellEnd"/>
      <w:r w:rsidR="008C446B">
        <w:rPr>
          <w:szCs w:val="24"/>
        </w:rPr>
        <w:t xml:space="preserve"> case does not assist the applicant. </w:t>
      </w:r>
    </w:p>
    <w:p w:rsidR="003B7F1C" w:rsidRDefault="001C1534" w:rsidP="0060516D">
      <w:pPr>
        <w:jc w:val="both"/>
        <w:rPr>
          <w:szCs w:val="24"/>
        </w:rPr>
      </w:pPr>
      <w:r>
        <w:rPr>
          <w:szCs w:val="24"/>
        </w:rPr>
        <w:t>[31</w:t>
      </w:r>
      <w:r w:rsidR="000E2A65">
        <w:rPr>
          <w:szCs w:val="24"/>
        </w:rPr>
        <w:t>]</w:t>
      </w:r>
      <w:r w:rsidR="000E2A65">
        <w:rPr>
          <w:szCs w:val="24"/>
        </w:rPr>
        <w:tab/>
        <w:t xml:space="preserve">Once </w:t>
      </w:r>
      <w:r w:rsidR="00CA4F2A">
        <w:rPr>
          <w:szCs w:val="24"/>
        </w:rPr>
        <w:t>the requirement</w:t>
      </w:r>
      <w:r w:rsidR="00A474FF">
        <w:rPr>
          <w:szCs w:val="24"/>
        </w:rPr>
        <w:t>s</w:t>
      </w:r>
      <w:r w:rsidR="00CA4F2A">
        <w:rPr>
          <w:szCs w:val="24"/>
        </w:rPr>
        <w:t xml:space="preserve"> of </w:t>
      </w:r>
      <w:r w:rsidR="000E2A65">
        <w:rPr>
          <w:szCs w:val="24"/>
        </w:rPr>
        <w:t>s</w:t>
      </w:r>
      <w:r w:rsidR="00A474FF">
        <w:rPr>
          <w:szCs w:val="24"/>
        </w:rPr>
        <w:t xml:space="preserve"> 20(9</w:t>
      </w:r>
      <w:proofErr w:type="gramStart"/>
      <w:r w:rsidR="00A474FF">
        <w:rPr>
          <w:szCs w:val="24"/>
        </w:rPr>
        <w:t>)(</w:t>
      </w:r>
      <w:proofErr w:type="gramEnd"/>
      <w:r w:rsidR="00A474FF">
        <w:rPr>
          <w:szCs w:val="24"/>
        </w:rPr>
        <w:t>a) are</w:t>
      </w:r>
      <w:r w:rsidR="000E2A65" w:rsidRPr="000E2A65">
        <w:rPr>
          <w:szCs w:val="24"/>
        </w:rPr>
        <w:t xml:space="preserve"> satisfied, and there is no s</w:t>
      </w:r>
      <w:r w:rsidR="00275D1E">
        <w:rPr>
          <w:szCs w:val="24"/>
        </w:rPr>
        <w:t>uggestion that it was not, the c</w:t>
      </w:r>
      <w:r w:rsidR="000E2A65" w:rsidRPr="000E2A65">
        <w:rPr>
          <w:szCs w:val="24"/>
        </w:rPr>
        <w:t xml:space="preserve">ourt has the power to make appropriate orders. It would be untenable that a main fraudster can be liquidated and that when the co-conspirators are discovered and found to </w:t>
      </w:r>
      <w:r w:rsidR="00B43F53">
        <w:rPr>
          <w:szCs w:val="24"/>
        </w:rPr>
        <w:t xml:space="preserve">be </w:t>
      </w:r>
      <w:r w:rsidR="000E2A65" w:rsidRPr="000E2A65">
        <w:rPr>
          <w:szCs w:val="24"/>
        </w:rPr>
        <w:t>hol</w:t>
      </w:r>
      <w:r w:rsidR="00AB1E9F">
        <w:rPr>
          <w:szCs w:val="24"/>
        </w:rPr>
        <w:t>ding the assets and being</w:t>
      </w:r>
      <w:r w:rsidR="00BA5320">
        <w:rPr>
          <w:szCs w:val="24"/>
        </w:rPr>
        <w:t xml:space="preserve"> solvent,</w:t>
      </w:r>
      <w:r w:rsidR="00B43F53">
        <w:rPr>
          <w:rStyle w:val="FootnoteReference"/>
          <w:szCs w:val="24"/>
        </w:rPr>
        <w:footnoteReference w:id="35"/>
      </w:r>
      <w:r w:rsidR="00BA5320">
        <w:rPr>
          <w:szCs w:val="24"/>
        </w:rPr>
        <w:t xml:space="preserve"> that the c</w:t>
      </w:r>
      <w:r w:rsidR="000E2A65" w:rsidRPr="000E2A65">
        <w:rPr>
          <w:szCs w:val="24"/>
        </w:rPr>
        <w:t>ourt would not exe</w:t>
      </w:r>
      <w:r w:rsidR="000E2A65">
        <w:rPr>
          <w:szCs w:val="24"/>
        </w:rPr>
        <w:t>rcise the powers in terms of s</w:t>
      </w:r>
      <w:r w:rsidR="000E2A65" w:rsidRPr="000E2A65">
        <w:rPr>
          <w:szCs w:val="24"/>
        </w:rPr>
        <w:t xml:space="preserve"> 20(9)</w:t>
      </w:r>
      <w:r w:rsidR="000E2A65">
        <w:rPr>
          <w:szCs w:val="24"/>
        </w:rPr>
        <w:t>,</w:t>
      </w:r>
      <w:r w:rsidR="000E2A65" w:rsidRPr="000E2A65">
        <w:rPr>
          <w:szCs w:val="24"/>
        </w:rPr>
        <w:t xml:space="preserve"> as it happened in this matter. </w:t>
      </w:r>
      <w:r w:rsidR="00AA532B">
        <w:rPr>
          <w:szCs w:val="24"/>
        </w:rPr>
        <w:t xml:space="preserve">In </w:t>
      </w:r>
      <w:r w:rsidR="00AA532B" w:rsidRPr="00AB1E9F">
        <w:rPr>
          <w:i/>
          <w:szCs w:val="24"/>
        </w:rPr>
        <w:t>Barak</w:t>
      </w:r>
      <w:r w:rsidR="003E7151">
        <w:rPr>
          <w:i/>
          <w:szCs w:val="24"/>
        </w:rPr>
        <w:t>,</w:t>
      </w:r>
      <w:r w:rsidR="00275D1E">
        <w:rPr>
          <w:szCs w:val="24"/>
        </w:rPr>
        <w:t xml:space="preserve"> the c</w:t>
      </w:r>
      <w:r w:rsidR="00AA532B">
        <w:rPr>
          <w:szCs w:val="24"/>
        </w:rPr>
        <w:t>ourt held that the liquidator had no power to assume control of the assets of the companies</w:t>
      </w:r>
      <w:r w:rsidR="00633D55">
        <w:rPr>
          <w:szCs w:val="24"/>
        </w:rPr>
        <w:t xml:space="preserve"> that were</w:t>
      </w:r>
      <w:r w:rsidR="00AA532B">
        <w:rPr>
          <w:szCs w:val="24"/>
        </w:rPr>
        <w:t xml:space="preserve"> collapsed. That is indeed so, but once collapsed, the Master has certain duties to perform. That is what the order i</w:t>
      </w:r>
      <w:r w:rsidR="00BA5320">
        <w:rPr>
          <w:szCs w:val="24"/>
        </w:rPr>
        <w:t>n this matter foresees and the c</w:t>
      </w:r>
      <w:r w:rsidR="00AA532B">
        <w:rPr>
          <w:szCs w:val="24"/>
        </w:rPr>
        <w:t xml:space="preserve">ourt left it to the Master to appoint liquidators. </w:t>
      </w:r>
    </w:p>
    <w:p w:rsidR="00A474FF" w:rsidRPr="00A474FF" w:rsidRDefault="001C1534" w:rsidP="0060516D">
      <w:pPr>
        <w:jc w:val="both"/>
        <w:rPr>
          <w:szCs w:val="24"/>
        </w:rPr>
      </w:pPr>
      <w:r>
        <w:rPr>
          <w:szCs w:val="24"/>
        </w:rPr>
        <w:t>[32</w:t>
      </w:r>
      <w:r w:rsidR="00A474FF">
        <w:rPr>
          <w:szCs w:val="24"/>
        </w:rPr>
        <w:t>]</w:t>
      </w:r>
      <w:r w:rsidR="00A474FF">
        <w:rPr>
          <w:szCs w:val="24"/>
        </w:rPr>
        <w:tab/>
        <w:t xml:space="preserve">The main reliance by counsel for CMSA is with reference to para 74 of </w:t>
      </w:r>
      <w:r w:rsidR="00A474FF" w:rsidRPr="00A474FF">
        <w:rPr>
          <w:i/>
          <w:szCs w:val="24"/>
        </w:rPr>
        <w:t>Barak</w:t>
      </w:r>
      <w:r w:rsidR="00A474FF">
        <w:rPr>
          <w:i/>
          <w:szCs w:val="24"/>
        </w:rPr>
        <w:t xml:space="preserve">. </w:t>
      </w:r>
      <w:r w:rsidR="00A474FF">
        <w:rPr>
          <w:szCs w:val="24"/>
        </w:rPr>
        <w:t xml:space="preserve">I am unable to agree with that finding </w:t>
      </w:r>
      <w:r w:rsidR="00633D55">
        <w:rPr>
          <w:szCs w:val="24"/>
        </w:rPr>
        <w:t xml:space="preserve">that, </w:t>
      </w:r>
      <w:r w:rsidR="00A474FF">
        <w:rPr>
          <w:szCs w:val="24"/>
        </w:rPr>
        <w:t xml:space="preserve">because the two companies have not been placed into liquidation, it could not be collapsed even with the clear evidence that the court had to exercise the deeming provision in s20(9)(a). I am of the view that the effect of the order (collapsing the two companies into the liquidated company) does not support the finding that </w:t>
      </w:r>
      <w:r w:rsidR="00C2220F">
        <w:rPr>
          <w:szCs w:val="24"/>
        </w:rPr>
        <w:t>the court has no</w:t>
      </w:r>
      <w:r w:rsidR="00B166B5">
        <w:rPr>
          <w:szCs w:val="24"/>
        </w:rPr>
        <w:t xml:space="preserve"> power to make the order.</w:t>
      </w:r>
      <w:r w:rsidR="00C2220F">
        <w:rPr>
          <w:szCs w:val="24"/>
        </w:rPr>
        <w:t xml:space="preserve"> The power to grant the s 20(9)</w:t>
      </w:r>
      <w:r w:rsidR="000126A6">
        <w:rPr>
          <w:szCs w:val="24"/>
        </w:rPr>
        <w:t xml:space="preserve"> order must be considered without</w:t>
      </w:r>
      <w:r w:rsidR="00C2220F">
        <w:rPr>
          <w:szCs w:val="24"/>
        </w:rPr>
        <w:t xml:space="preserve"> the consequenc</w:t>
      </w:r>
      <w:r w:rsidR="000126A6">
        <w:rPr>
          <w:szCs w:val="24"/>
        </w:rPr>
        <w:t>es thereof as the consequences d</w:t>
      </w:r>
      <w:r w:rsidR="00C2220F">
        <w:rPr>
          <w:szCs w:val="24"/>
        </w:rPr>
        <w:t>o not dictate the terms</w:t>
      </w:r>
      <w:r w:rsidR="000126A6">
        <w:rPr>
          <w:szCs w:val="24"/>
        </w:rPr>
        <w:t xml:space="preserve"> or powers</w:t>
      </w:r>
      <w:r w:rsidR="00C2220F">
        <w:rPr>
          <w:szCs w:val="24"/>
        </w:rPr>
        <w:t xml:space="preserve"> of the provisions of s 20(9).</w:t>
      </w:r>
    </w:p>
    <w:p w:rsidR="00AB037A" w:rsidRDefault="001C1534" w:rsidP="005F5FC2">
      <w:pPr>
        <w:jc w:val="both"/>
        <w:rPr>
          <w:szCs w:val="24"/>
        </w:rPr>
      </w:pPr>
      <w:r>
        <w:rPr>
          <w:szCs w:val="24"/>
        </w:rPr>
        <w:t>[33</w:t>
      </w:r>
      <w:r w:rsidR="004865E2">
        <w:rPr>
          <w:szCs w:val="24"/>
        </w:rPr>
        <w:t>]</w:t>
      </w:r>
      <w:r w:rsidR="004865E2">
        <w:rPr>
          <w:szCs w:val="24"/>
        </w:rPr>
        <w:tab/>
      </w:r>
      <w:r w:rsidR="00CA4F2A" w:rsidRPr="00CA4F2A">
        <w:rPr>
          <w:szCs w:val="24"/>
        </w:rPr>
        <w:t>Even if two or more entities under liquidation are c</w:t>
      </w:r>
      <w:r w:rsidR="00A474FF">
        <w:rPr>
          <w:szCs w:val="24"/>
        </w:rPr>
        <w:t xml:space="preserve">ollapsed, the separate </w:t>
      </w:r>
      <w:proofErr w:type="spellStart"/>
      <w:r w:rsidR="00A474FF">
        <w:rPr>
          <w:szCs w:val="24"/>
        </w:rPr>
        <w:t>concursus</w:t>
      </w:r>
      <w:proofErr w:type="spellEnd"/>
      <w:r w:rsidR="00CA4F2A" w:rsidRPr="00CA4F2A">
        <w:rPr>
          <w:szCs w:val="24"/>
        </w:rPr>
        <w:t xml:space="preserve"> in each will fall a</w:t>
      </w:r>
      <w:r w:rsidR="00A474FF">
        <w:rPr>
          <w:szCs w:val="24"/>
        </w:rPr>
        <w:t xml:space="preserve">way to become a single </w:t>
      </w:r>
      <w:proofErr w:type="spellStart"/>
      <w:r w:rsidR="00A474FF">
        <w:rPr>
          <w:szCs w:val="24"/>
        </w:rPr>
        <w:t>concursus</w:t>
      </w:r>
      <w:proofErr w:type="spellEnd"/>
      <w:r w:rsidR="00CA4F2A" w:rsidRPr="00CA4F2A">
        <w:rPr>
          <w:szCs w:val="24"/>
        </w:rPr>
        <w:t xml:space="preserve"> in the liqu</w:t>
      </w:r>
      <w:r w:rsidR="00A474FF">
        <w:rPr>
          <w:szCs w:val="24"/>
        </w:rPr>
        <w:t>idated entities. And I have</w:t>
      </w:r>
      <w:r w:rsidR="00AB037A">
        <w:rPr>
          <w:szCs w:val="24"/>
        </w:rPr>
        <w:t xml:space="preserve"> not</w:t>
      </w:r>
      <w:r w:rsidR="00A474FF">
        <w:rPr>
          <w:szCs w:val="24"/>
        </w:rPr>
        <w:t xml:space="preserve"> seen</w:t>
      </w:r>
      <w:r w:rsidR="00AB037A">
        <w:rPr>
          <w:szCs w:val="24"/>
        </w:rPr>
        <w:t xml:space="preserve"> any</w:t>
      </w:r>
      <w:r w:rsidR="00CA4F2A" w:rsidRPr="00CA4F2A">
        <w:rPr>
          <w:szCs w:val="24"/>
        </w:rPr>
        <w:t xml:space="preserve"> objection to </w:t>
      </w:r>
      <w:r w:rsidR="003A0673">
        <w:rPr>
          <w:szCs w:val="24"/>
        </w:rPr>
        <w:t>liquidated companies being integrated.</w:t>
      </w:r>
      <w:r w:rsidR="00CA4F2A">
        <w:rPr>
          <w:szCs w:val="24"/>
        </w:rPr>
        <w:t xml:space="preserve">  </w:t>
      </w:r>
    </w:p>
    <w:p w:rsidR="007172DE" w:rsidRDefault="001C1534" w:rsidP="005F5FC2">
      <w:pPr>
        <w:jc w:val="both"/>
        <w:rPr>
          <w:szCs w:val="24"/>
        </w:rPr>
      </w:pPr>
      <w:r>
        <w:rPr>
          <w:szCs w:val="24"/>
        </w:rPr>
        <w:lastRenderedPageBreak/>
        <w:t>[34</w:t>
      </w:r>
      <w:r w:rsidR="00CA4F2A">
        <w:rPr>
          <w:szCs w:val="24"/>
        </w:rPr>
        <w:t>]</w:t>
      </w:r>
      <w:r w:rsidR="00CA4F2A">
        <w:rPr>
          <w:szCs w:val="24"/>
        </w:rPr>
        <w:tab/>
      </w:r>
      <w:r w:rsidR="009F543C">
        <w:rPr>
          <w:szCs w:val="24"/>
        </w:rPr>
        <w:t>Counsel for CMSA submi</w:t>
      </w:r>
      <w:r w:rsidR="00205AA2">
        <w:rPr>
          <w:szCs w:val="24"/>
        </w:rPr>
        <w:t xml:space="preserve">tted that, on the strength of </w:t>
      </w:r>
      <w:r w:rsidR="00205AA2" w:rsidRPr="00205AA2">
        <w:rPr>
          <w:i/>
          <w:szCs w:val="24"/>
        </w:rPr>
        <w:t>Barak</w:t>
      </w:r>
      <w:r w:rsidR="00AE5C2F">
        <w:rPr>
          <w:i/>
          <w:szCs w:val="24"/>
        </w:rPr>
        <w:t xml:space="preserve"> </w:t>
      </w:r>
      <w:r w:rsidR="00AE5C2F">
        <w:rPr>
          <w:szCs w:val="24"/>
        </w:rPr>
        <w:t xml:space="preserve">and </w:t>
      </w:r>
      <w:proofErr w:type="spellStart"/>
      <w:r w:rsidR="00AE5C2F" w:rsidRPr="00AE5C2F">
        <w:rPr>
          <w:i/>
          <w:szCs w:val="24"/>
        </w:rPr>
        <w:t>Micromatic</w:t>
      </w:r>
      <w:r w:rsidR="003B1094">
        <w:rPr>
          <w:i/>
          <w:szCs w:val="24"/>
        </w:rPr>
        <w:t>a</w:t>
      </w:r>
      <w:proofErr w:type="spellEnd"/>
      <w:r w:rsidR="008F4B70" w:rsidRPr="00AE5C2F">
        <w:rPr>
          <w:i/>
          <w:szCs w:val="24"/>
        </w:rPr>
        <w:t>,</w:t>
      </w:r>
      <w:r w:rsidR="008F4B70">
        <w:rPr>
          <w:szCs w:val="24"/>
        </w:rPr>
        <w:t xml:space="preserve"> s</w:t>
      </w:r>
      <w:r w:rsidR="009F543C">
        <w:rPr>
          <w:szCs w:val="24"/>
        </w:rPr>
        <w:t xml:space="preserve"> 20(9) does not deal with liquidation. </w:t>
      </w:r>
      <w:r w:rsidR="0052023D">
        <w:rPr>
          <w:szCs w:val="24"/>
        </w:rPr>
        <w:t xml:space="preserve">This </w:t>
      </w:r>
      <w:r w:rsidR="00BD7EE2">
        <w:rPr>
          <w:szCs w:val="24"/>
        </w:rPr>
        <w:t xml:space="preserve">is </w:t>
      </w:r>
      <w:r w:rsidR="0052023D">
        <w:rPr>
          <w:szCs w:val="24"/>
        </w:rPr>
        <w:t>indeed so. It does not. Nor does it deal with all the myriad of consequences in any case of a collapse. Sec</w:t>
      </w:r>
      <w:r w:rsidR="00BA5320">
        <w:rPr>
          <w:szCs w:val="24"/>
        </w:rPr>
        <w:t>tion 20(9</w:t>
      </w:r>
      <w:proofErr w:type="gramStart"/>
      <w:r w:rsidR="00BA5320">
        <w:rPr>
          <w:szCs w:val="24"/>
        </w:rPr>
        <w:t>)(</w:t>
      </w:r>
      <w:proofErr w:type="gramEnd"/>
      <w:r w:rsidR="00BA5320">
        <w:rPr>
          <w:szCs w:val="24"/>
        </w:rPr>
        <w:t>b) leaves it to the c</w:t>
      </w:r>
      <w:r w:rsidR="0052023D">
        <w:rPr>
          <w:szCs w:val="24"/>
        </w:rPr>
        <w:t>ourt to make appropriate orders to give effect to the order regarding the collapse. These powers are wide and, in my view, suff</w:t>
      </w:r>
      <w:r w:rsidR="008F4B70">
        <w:rPr>
          <w:szCs w:val="24"/>
        </w:rPr>
        <w:t>icient to cater for consequential relief</w:t>
      </w:r>
      <w:r w:rsidR="0052023D">
        <w:rPr>
          <w:szCs w:val="24"/>
        </w:rPr>
        <w:t>. Wh</w:t>
      </w:r>
      <w:r w:rsidR="008F4B70">
        <w:rPr>
          <w:szCs w:val="24"/>
        </w:rPr>
        <w:t>at is more important is that s</w:t>
      </w:r>
      <w:r w:rsidR="0052023D">
        <w:rPr>
          <w:szCs w:val="24"/>
        </w:rPr>
        <w:t xml:space="preserve"> 20(9</w:t>
      </w:r>
      <w:proofErr w:type="gramStart"/>
      <w:r w:rsidR="0052023D">
        <w:rPr>
          <w:szCs w:val="24"/>
        </w:rPr>
        <w:t>)(</w:t>
      </w:r>
      <w:proofErr w:type="gramEnd"/>
      <w:r w:rsidR="0052023D">
        <w:rPr>
          <w:szCs w:val="24"/>
        </w:rPr>
        <w:t xml:space="preserve">a) does not place the limitation sought to be introduced by CMSA in this matter. </w:t>
      </w:r>
    </w:p>
    <w:p w:rsidR="00B6153A" w:rsidRDefault="001C1534" w:rsidP="005F5FC2">
      <w:pPr>
        <w:jc w:val="both"/>
        <w:rPr>
          <w:szCs w:val="24"/>
        </w:rPr>
      </w:pPr>
      <w:r>
        <w:rPr>
          <w:szCs w:val="24"/>
        </w:rPr>
        <w:t>[35</w:t>
      </w:r>
      <w:r w:rsidR="00143A11">
        <w:rPr>
          <w:szCs w:val="24"/>
        </w:rPr>
        <w:t>]</w:t>
      </w:r>
      <w:r w:rsidR="00143A11">
        <w:rPr>
          <w:szCs w:val="24"/>
        </w:rPr>
        <w:tab/>
        <w:t>The further effect of this</w:t>
      </w:r>
      <w:r w:rsidR="00527DEC">
        <w:rPr>
          <w:szCs w:val="24"/>
        </w:rPr>
        <w:t xml:space="preserve"> application</w:t>
      </w:r>
      <w:r w:rsidR="00A44463">
        <w:rPr>
          <w:szCs w:val="24"/>
        </w:rPr>
        <w:t>, if s</w:t>
      </w:r>
      <w:r w:rsidR="00143A11">
        <w:rPr>
          <w:szCs w:val="24"/>
        </w:rPr>
        <w:t>uccessful, will be to set aside a portion of the order of the court a quo only.</w:t>
      </w:r>
      <w:r w:rsidR="00527DEC">
        <w:rPr>
          <w:rStyle w:val="FootnoteReference"/>
          <w:szCs w:val="24"/>
        </w:rPr>
        <w:footnoteReference w:id="36"/>
      </w:r>
      <w:r w:rsidR="00143A11">
        <w:rPr>
          <w:szCs w:val="24"/>
        </w:rPr>
        <w:t xml:space="preserve"> The part that finds the abuse and the declaration that TSS and TFA are </w:t>
      </w:r>
      <w:r w:rsidR="00555652">
        <w:rPr>
          <w:szCs w:val="24"/>
        </w:rPr>
        <w:t>not separate juristic entities, will remain extant and is</w:t>
      </w:r>
      <w:r w:rsidR="00143A11">
        <w:rPr>
          <w:szCs w:val="24"/>
        </w:rPr>
        <w:t xml:space="preserve"> not under discussion. This is so because the applicant relies on the ground that the court had no </w:t>
      </w:r>
      <w:r w:rsidR="00CA4F2A">
        <w:rPr>
          <w:szCs w:val="24"/>
        </w:rPr>
        <w:t>jurisdiction to</w:t>
      </w:r>
      <w:r w:rsidR="00143A11">
        <w:rPr>
          <w:szCs w:val="24"/>
        </w:rPr>
        <w:t xml:space="preserve"> </w:t>
      </w:r>
      <w:r w:rsidR="00CA4F2A">
        <w:rPr>
          <w:szCs w:val="24"/>
        </w:rPr>
        <w:t xml:space="preserve">issue the order collapsing the companies, </w:t>
      </w:r>
      <w:r w:rsidR="00143A11">
        <w:rPr>
          <w:szCs w:val="24"/>
        </w:rPr>
        <w:t>which does not call for it to set out a bona fide defence. It results that the</w:t>
      </w:r>
      <w:r w:rsidR="00A44463">
        <w:rPr>
          <w:szCs w:val="24"/>
        </w:rPr>
        <w:t xml:space="preserve"> existing </w:t>
      </w:r>
      <w:r w:rsidR="00143A11">
        <w:rPr>
          <w:szCs w:val="24"/>
        </w:rPr>
        <w:t>order is only pa</w:t>
      </w:r>
      <w:r w:rsidR="00B6153A">
        <w:rPr>
          <w:szCs w:val="24"/>
        </w:rPr>
        <w:t>rtially under attack and</w:t>
      </w:r>
      <w:r w:rsidR="00143A11">
        <w:rPr>
          <w:szCs w:val="24"/>
        </w:rPr>
        <w:t xml:space="preserve"> order 2(a</w:t>
      </w:r>
      <w:proofErr w:type="gramStart"/>
      <w:r w:rsidR="00143A11">
        <w:rPr>
          <w:szCs w:val="24"/>
        </w:rPr>
        <w:t>)(</w:t>
      </w:r>
      <w:proofErr w:type="spellStart"/>
      <w:proofErr w:type="gramEnd"/>
      <w:r w:rsidR="00143A11">
        <w:rPr>
          <w:szCs w:val="24"/>
        </w:rPr>
        <w:t>i</w:t>
      </w:r>
      <w:proofErr w:type="spellEnd"/>
      <w:r w:rsidR="00143A11">
        <w:rPr>
          <w:szCs w:val="24"/>
        </w:rPr>
        <w:t xml:space="preserve">) </w:t>
      </w:r>
      <w:r w:rsidR="00555652">
        <w:rPr>
          <w:szCs w:val="24"/>
        </w:rPr>
        <w:t>will remain</w:t>
      </w:r>
      <w:r w:rsidR="00143A11">
        <w:rPr>
          <w:szCs w:val="24"/>
        </w:rPr>
        <w:t xml:space="preserve"> u</w:t>
      </w:r>
      <w:r w:rsidR="000B663E">
        <w:rPr>
          <w:szCs w:val="24"/>
        </w:rPr>
        <w:t>naffected and there is no attempt</w:t>
      </w:r>
      <w:r w:rsidR="00B6153A">
        <w:rPr>
          <w:szCs w:val="24"/>
        </w:rPr>
        <w:t xml:space="preserve"> to rescind</w:t>
      </w:r>
      <w:r w:rsidR="00143A11">
        <w:rPr>
          <w:szCs w:val="24"/>
        </w:rPr>
        <w:t xml:space="preserve"> that part of the order, despite</w:t>
      </w:r>
      <w:r w:rsidR="00B6153A">
        <w:rPr>
          <w:szCs w:val="24"/>
        </w:rPr>
        <w:t xml:space="preserve"> the relief being sought in the notice of motion being </w:t>
      </w:r>
      <w:r w:rsidR="00143A11">
        <w:rPr>
          <w:szCs w:val="24"/>
        </w:rPr>
        <w:t xml:space="preserve">that the entire order be set aside. </w:t>
      </w:r>
    </w:p>
    <w:p w:rsidR="00143A11" w:rsidRDefault="00B6153A" w:rsidP="005F5FC2">
      <w:pPr>
        <w:jc w:val="both"/>
        <w:rPr>
          <w:szCs w:val="24"/>
        </w:rPr>
      </w:pPr>
      <w:r>
        <w:rPr>
          <w:szCs w:val="24"/>
        </w:rPr>
        <w:t>[</w:t>
      </w:r>
      <w:r w:rsidR="001C1534">
        <w:rPr>
          <w:szCs w:val="24"/>
        </w:rPr>
        <w:t>36</w:t>
      </w:r>
      <w:r>
        <w:rPr>
          <w:szCs w:val="24"/>
        </w:rPr>
        <w:t>]</w:t>
      </w:r>
      <w:r>
        <w:rPr>
          <w:szCs w:val="24"/>
        </w:rPr>
        <w:tab/>
      </w:r>
      <w:r w:rsidR="00143A11">
        <w:rPr>
          <w:szCs w:val="24"/>
        </w:rPr>
        <w:t>A further point raise</w:t>
      </w:r>
      <w:r w:rsidR="000B663E">
        <w:rPr>
          <w:szCs w:val="24"/>
        </w:rPr>
        <w:t>d</w:t>
      </w:r>
      <w:r w:rsidR="00143A11">
        <w:rPr>
          <w:szCs w:val="24"/>
        </w:rPr>
        <w:t>: it was submitted that the order requiring the Master to amend his or her records,</w:t>
      </w:r>
      <w:r w:rsidR="00A44463">
        <w:rPr>
          <w:szCs w:val="24"/>
        </w:rPr>
        <w:t xml:space="preserve"> led</w:t>
      </w:r>
      <w:r w:rsidR="00143A11">
        <w:rPr>
          <w:szCs w:val="24"/>
        </w:rPr>
        <w:t xml:space="preserve"> to the Master deregistering the companies and not reflecting</w:t>
      </w:r>
      <w:r w:rsidR="000B663E">
        <w:rPr>
          <w:szCs w:val="24"/>
        </w:rPr>
        <w:t xml:space="preserve"> them </w:t>
      </w:r>
      <w:r w:rsidR="00143A11">
        <w:rPr>
          <w:szCs w:val="24"/>
        </w:rPr>
        <w:t xml:space="preserve">as having been liquidated. It does not affect the court order. If the Master erred, appropriate relief should be sought against the Master. I need say nothing further on this point as it does not affect the court order. </w:t>
      </w:r>
    </w:p>
    <w:p w:rsidR="000B663E" w:rsidRPr="00F2738F" w:rsidRDefault="001C1534" w:rsidP="005F5FC2">
      <w:pPr>
        <w:jc w:val="both"/>
        <w:rPr>
          <w:szCs w:val="24"/>
        </w:rPr>
      </w:pPr>
      <w:r>
        <w:rPr>
          <w:szCs w:val="24"/>
        </w:rPr>
        <w:t>[37</w:t>
      </w:r>
      <w:r w:rsidR="000B663E">
        <w:rPr>
          <w:szCs w:val="24"/>
        </w:rPr>
        <w:t>]</w:t>
      </w:r>
      <w:r w:rsidR="000B663E">
        <w:rPr>
          <w:szCs w:val="24"/>
        </w:rPr>
        <w:tab/>
        <w:t>In all the circumstances, the application falls to be dismissed with costs, such costs to include the costs of two counsel.</w:t>
      </w:r>
    </w:p>
    <w:p w:rsidR="00AE3970" w:rsidRDefault="00AE3970" w:rsidP="00092527">
      <w:pPr>
        <w:jc w:val="both"/>
        <w:rPr>
          <w:szCs w:val="24"/>
        </w:rPr>
      </w:pPr>
    </w:p>
    <w:p w:rsidR="00AE3970" w:rsidRDefault="00AE3970" w:rsidP="00092527">
      <w:pPr>
        <w:jc w:val="both"/>
        <w:rPr>
          <w:szCs w:val="24"/>
        </w:rPr>
      </w:pPr>
    </w:p>
    <w:p w:rsidR="00D179DA" w:rsidRDefault="00D179DA" w:rsidP="00092527">
      <w:pPr>
        <w:jc w:val="both"/>
        <w:rPr>
          <w:szCs w:val="24"/>
        </w:rPr>
      </w:pPr>
    </w:p>
    <w:p w:rsidR="00D179DA" w:rsidRDefault="00D179DA" w:rsidP="00092527">
      <w:pPr>
        <w:jc w:val="both"/>
        <w:rPr>
          <w:szCs w:val="24"/>
        </w:rPr>
      </w:pPr>
    </w:p>
    <w:p w:rsidR="00D179DA" w:rsidRDefault="00D179DA" w:rsidP="00092527">
      <w:pPr>
        <w:jc w:val="both"/>
        <w:rPr>
          <w:szCs w:val="24"/>
        </w:rPr>
      </w:pPr>
    </w:p>
    <w:p w:rsidR="00822AD3" w:rsidRPr="00877B4E" w:rsidRDefault="005E1DBE" w:rsidP="00822AD3">
      <w:pPr>
        <w:pStyle w:val="Unnumberedtext"/>
        <w:jc w:val="left"/>
        <w:rPr>
          <w:b/>
        </w:rPr>
      </w:pPr>
      <w:r>
        <w:rPr>
          <w:b/>
        </w:rPr>
        <w:t>_________________</w:t>
      </w:r>
    </w:p>
    <w:p w:rsidR="00822AD3" w:rsidRDefault="003E548F" w:rsidP="00822AD3">
      <w:pPr>
        <w:pStyle w:val="Unnumberedtext"/>
        <w:spacing w:after="0"/>
        <w:jc w:val="left"/>
        <w:rPr>
          <w:b/>
        </w:rPr>
      </w:pPr>
      <w:r>
        <w:rPr>
          <w:b/>
        </w:rPr>
        <w:t>W.L. Wepener</w:t>
      </w:r>
    </w:p>
    <w:p w:rsidR="003E548F" w:rsidRDefault="003E548F" w:rsidP="00822AD3">
      <w:pPr>
        <w:pStyle w:val="Unnumberedtext"/>
        <w:spacing w:after="0"/>
        <w:jc w:val="left"/>
      </w:pPr>
      <w:r>
        <w:t>Judge of the High Court of South Africa</w:t>
      </w:r>
    </w:p>
    <w:p w:rsidR="003A11D4" w:rsidRDefault="003A11D4" w:rsidP="00822AD3">
      <w:pPr>
        <w:pStyle w:val="Unnumberedtext"/>
        <w:spacing w:after="0"/>
        <w:jc w:val="left"/>
      </w:pPr>
    </w:p>
    <w:p w:rsidR="00AE3970" w:rsidRDefault="00044ADC" w:rsidP="00822AD3">
      <w:pPr>
        <w:pStyle w:val="Unnumberedtext"/>
        <w:spacing w:after="0"/>
        <w:jc w:val="left"/>
      </w:pPr>
      <w:r>
        <w:t xml:space="preserve">Counsel for the Applicants: </w:t>
      </w:r>
      <w:r w:rsidR="003A11D4">
        <w:t>G.</w:t>
      </w:r>
      <w:r w:rsidR="00221666">
        <w:t>D.</w:t>
      </w:r>
      <w:r w:rsidRPr="00283FB4">
        <w:t xml:space="preserve"> Wickins SC</w:t>
      </w:r>
      <w:r w:rsidR="00AD22D6">
        <w:t xml:space="preserve"> with J.</w:t>
      </w:r>
      <w:r w:rsidR="00B70D43">
        <w:t>D.</w:t>
      </w:r>
      <w:r w:rsidR="00AD22D6" w:rsidRPr="00AD22D6">
        <w:t xml:space="preserve"> Brewer</w:t>
      </w:r>
    </w:p>
    <w:p w:rsidR="00CE0024" w:rsidRDefault="00CE0024" w:rsidP="00822AD3">
      <w:pPr>
        <w:pStyle w:val="Unnumberedtext"/>
        <w:spacing w:after="0"/>
        <w:jc w:val="left"/>
      </w:pPr>
      <w:r>
        <w:t xml:space="preserve">Attorneys for the Applicants: </w:t>
      </w:r>
      <w:r w:rsidR="00AD22D6" w:rsidRPr="00AD22D6">
        <w:t xml:space="preserve">Mervyn </w:t>
      </w:r>
      <w:proofErr w:type="spellStart"/>
      <w:r w:rsidR="00AD22D6" w:rsidRPr="00AD22D6">
        <w:t>Taback</w:t>
      </w:r>
      <w:proofErr w:type="spellEnd"/>
      <w:r w:rsidR="00AD22D6" w:rsidRPr="00AD22D6">
        <w:t xml:space="preserve"> Incorporated t/</w:t>
      </w:r>
      <w:proofErr w:type="gramStart"/>
      <w:r w:rsidR="00AD22D6" w:rsidRPr="00AD22D6">
        <w:t>a</w:t>
      </w:r>
      <w:proofErr w:type="gramEnd"/>
      <w:r w:rsidR="00AD22D6" w:rsidRPr="00AD22D6">
        <w:t xml:space="preserve"> Andersen.</w:t>
      </w:r>
    </w:p>
    <w:p w:rsidR="00044ADC" w:rsidRDefault="00044ADC" w:rsidP="00822AD3">
      <w:pPr>
        <w:pStyle w:val="Unnumberedtext"/>
        <w:spacing w:after="0"/>
        <w:jc w:val="left"/>
      </w:pPr>
      <w:r w:rsidRPr="00044ADC">
        <w:t>Counsel for the First to Third Respondents:</w:t>
      </w:r>
      <w:r w:rsidR="003A11D4" w:rsidRPr="003A11D4">
        <w:t xml:space="preserve"> </w:t>
      </w:r>
      <w:r w:rsidR="003A11D4">
        <w:t>B. Swart SC with P.</w:t>
      </w:r>
      <w:r w:rsidR="00221666">
        <w:t>W.T.</w:t>
      </w:r>
      <w:r w:rsidR="003A11D4">
        <w:t xml:space="preserve"> </w:t>
      </w:r>
      <w:proofErr w:type="spellStart"/>
      <w:r w:rsidR="003A11D4">
        <w:t>Lourens</w:t>
      </w:r>
      <w:proofErr w:type="spellEnd"/>
    </w:p>
    <w:p w:rsidR="00AC601C" w:rsidRPr="00AC601C" w:rsidRDefault="00AE3970" w:rsidP="00205AA2">
      <w:pPr>
        <w:pStyle w:val="Unnumberedtext"/>
        <w:spacing w:after="0"/>
        <w:jc w:val="left"/>
        <w:rPr>
          <w:szCs w:val="24"/>
        </w:rPr>
      </w:pPr>
      <w:r>
        <w:t>Attorneys for the</w:t>
      </w:r>
      <w:r w:rsidR="00283FB4">
        <w:t xml:space="preserve"> First to Third</w:t>
      </w:r>
      <w:r>
        <w:t xml:space="preserve"> </w:t>
      </w:r>
      <w:r w:rsidR="00AC38FC">
        <w:t xml:space="preserve">Respondents: </w:t>
      </w:r>
      <w:proofErr w:type="spellStart"/>
      <w:r w:rsidR="00AC38FC" w:rsidRPr="00AC38FC">
        <w:t>MacRobert</w:t>
      </w:r>
      <w:proofErr w:type="spellEnd"/>
      <w:r w:rsidR="00AC38FC" w:rsidRPr="00AC38FC">
        <w:t xml:space="preserve"> Attorneys</w:t>
      </w:r>
      <w:r w:rsidR="00AC601C">
        <w:rPr>
          <w:szCs w:val="24"/>
        </w:rPr>
        <w:t xml:space="preserve">                          </w:t>
      </w:r>
    </w:p>
    <w:sectPr w:rsidR="00AC601C" w:rsidRPr="00AC60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5D1" w:rsidRDefault="009A75D1" w:rsidP="007C6F91">
      <w:pPr>
        <w:spacing w:before="0" w:after="0" w:line="240" w:lineRule="auto"/>
      </w:pPr>
      <w:r>
        <w:separator/>
      </w:r>
    </w:p>
  </w:endnote>
  <w:endnote w:type="continuationSeparator" w:id="0">
    <w:p w:rsidR="009A75D1" w:rsidRDefault="009A75D1" w:rsidP="007C6F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5D1" w:rsidRDefault="009A75D1" w:rsidP="007C6F91">
      <w:pPr>
        <w:spacing w:before="0" w:after="0" w:line="240" w:lineRule="auto"/>
      </w:pPr>
      <w:r>
        <w:separator/>
      </w:r>
    </w:p>
  </w:footnote>
  <w:footnote w:type="continuationSeparator" w:id="0">
    <w:p w:rsidR="009A75D1" w:rsidRDefault="009A75D1" w:rsidP="007C6F91">
      <w:pPr>
        <w:spacing w:before="0" w:after="0" w:line="240" w:lineRule="auto"/>
      </w:pPr>
      <w:r>
        <w:continuationSeparator/>
      </w:r>
    </w:p>
  </w:footnote>
  <w:footnote w:id="1">
    <w:p w:rsidR="00E90BDA" w:rsidRPr="00E90BDA" w:rsidRDefault="00E90BDA">
      <w:pPr>
        <w:pStyle w:val="FootnoteText"/>
        <w:rPr>
          <w:lang w:val="en-GB"/>
        </w:rPr>
      </w:pPr>
      <w:r>
        <w:rPr>
          <w:rStyle w:val="FootnoteReference"/>
        </w:rPr>
        <w:footnoteRef/>
      </w:r>
      <w:r>
        <w:t xml:space="preserve"> </w:t>
      </w:r>
      <w:r w:rsidR="00C574B9">
        <w:t>Act 7</w:t>
      </w:r>
      <w:r w:rsidR="0000745F">
        <w:t>1</w:t>
      </w:r>
      <w:r w:rsidR="00C574B9">
        <w:t xml:space="preserve"> of 2008</w:t>
      </w:r>
      <w:r>
        <w:t>.</w:t>
      </w:r>
    </w:p>
  </w:footnote>
  <w:footnote w:id="2">
    <w:p w:rsidR="004D0F53" w:rsidRDefault="004D0F53" w:rsidP="009946D3">
      <w:pPr>
        <w:pStyle w:val="FootnoteText"/>
        <w:jc w:val="both"/>
      </w:pPr>
      <w:r>
        <w:rPr>
          <w:rStyle w:val="FootnoteReference"/>
        </w:rPr>
        <w:footnoteRef/>
      </w:r>
      <w:r>
        <w:t xml:space="preserve"> ‘If, on application by an interested person or in any proceedings in which a company is involved, a court finds that the incorporation of the company, any use of the company, or any act by or on behalf of the</w:t>
      </w:r>
    </w:p>
    <w:p w:rsidR="004D0F53" w:rsidRDefault="004D0F53" w:rsidP="009946D3">
      <w:pPr>
        <w:pStyle w:val="FootnoteText"/>
        <w:jc w:val="both"/>
      </w:pPr>
      <w:r>
        <w:t xml:space="preserve">company, constitutes an unconscionable abuse of the juristic personality of the company as a separate </w:t>
      </w:r>
    </w:p>
    <w:p w:rsidR="004D0F53" w:rsidRDefault="004D0F53" w:rsidP="009946D3">
      <w:pPr>
        <w:pStyle w:val="FootnoteText"/>
        <w:jc w:val="both"/>
      </w:pPr>
      <w:r>
        <w:t>entity, the court may -</w:t>
      </w:r>
    </w:p>
    <w:p w:rsidR="004D0F53" w:rsidRDefault="004D0F53" w:rsidP="009946D3">
      <w:pPr>
        <w:pStyle w:val="FootnoteText"/>
        <w:jc w:val="both"/>
      </w:pPr>
      <w:r>
        <w:t>(a) declare that the company is to be deemed not to be a juristic person in respect of any right, obligation or liability of the company or of a shareholder of the company or, in the case of a non-profit company, a</w:t>
      </w:r>
    </w:p>
    <w:p w:rsidR="004D0F53" w:rsidRDefault="004D0F53" w:rsidP="009946D3">
      <w:pPr>
        <w:pStyle w:val="FootnoteText"/>
        <w:jc w:val="both"/>
      </w:pPr>
      <w:r>
        <w:t>member of the company, or of another person specified in the declaration; and</w:t>
      </w:r>
    </w:p>
    <w:p w:rsidR="004D0F53" w:rsidRDefault="004D0F53" w:rsidP="00B817CE">
      <w:pPr>
        <w:pStyle w:val="FootnoteText"/>
        <w:jc w:val="both"/>
      </w:pPr>
      <w:r>
        <w:t>(</w:t>
      </w:r>
      <w:proofErr w:type="gramStart"/>
      <w:r>
        <w:t>b</w:t>
      </w:r>
      <w:proofErr w:type="gramEnd"/>
      <w:r>
        <w:t>) make any further order the court considers appropriate to give effect to a declaration contemplated in paragraph (a).’</w:t>
      </w:r>
    </w:p>
  </w:footnote>
  <w:footnote w:id="3">
    <w:p w:rsidR="006E5BED" w:rsidRDefault="006E5BED">
      <w:pPr>
        <w:pStyle w:val="FootnoteText"/>
      </w:pPr>
      <w:r>
        <w:rPr>
          <w:rStyle w:val="FootnoteReference"/>
        </w:rPr>
        <w:footnoteRef/>
      </w:r>
      <w:r>
        <w:t xml:space="preserve"> Act 24 of 1936.</w:t>
      </w:r>
    </w:p>
  </w:footnote>
  <w:footnote w:id="4">
    <w:p w:rsidR="0035582F" w:rsidRDefault="0035582F">
      <w:pPr>
        <w:pStyle w:val="FootnoteText"/>
      </w:pPr>
      <w:r>
        <w:rPr>
          <w:rStyle w:val="FootnoteReference"/>
        </w:rPr>
        <w:footnoteRef/>
      </w:r>
      <w:r>
        <w:t xml:space="preserve"> </w:t>
      </w:r>
      <w:r w:rsidRPr="00191C95">
        <w:rPr>
          <w:i/>
        </w:rPr>
        <w:t xml:space="preserve">Zuma v Secretary of the Judicial Commission of Inquiry into Allegations of State Capture, Corruption and Fraud in the Public Sector including Organs of </w:t>
      </w:r>
      <w:r w:rsidR="0021732F" w:rsidRPr="00191C95">
        <w:rPr>
          <w:i/>
        </w:rPr>
        <w:t>State and Others</w:t>
      </w:r>
      <w:r w:rsidR="0021732F">
        <w:t xml:space="preserve"> </w:t>
      </w:r>
      <w:r w:rsidR="00191C95" w:rsidRPr="00191C95">
        <w:t xml:space="preserve"> </w:t>
      </w:r>
      <w:r w:rsidR="00E30971" w:rsidRPr="00E30971">
        <w:t>(CCT 52/21) [2021] ZACC 28</w:t>
      </w:r>
      <w:r w:rsidR="000126A6">
        <w:t xml:space="preserve"> </w:t>
      </w:r>
      <w:r w:rsidR="00E30971">
        <w:t>para 54.</w:t>
      </w:r>
    </w:p>
  </w:footnote>
  <w:footnote w:id="5">
    <w:p w:rsidR="00267FBB" w:rsidRDefault="00267FBB">
      <w:pPr>
        <w:pStyle w:val="FootnoteText"/>
      </w:pPr>
      <w:r>
        <w:rPr>
          <w:rStyle w:val="FootnoteReference"/>
        </w:rPr>
        <w:footnoteRef/>
      </w:r>
      <w:r w:rsidR="00AB213C">
        <w:t xml:space="preserve"> </w:t>
      </w:r>
      <w:r w:rsidR="00AB213C" w:rsidRPr="00AB213C">
        <w:rPr>
          <w:i/>
        </w:rPr>
        <w:t xml:space="preserve">Naidoo and Another v </w:t>
      </w:r>
      <w:proofErr w:type="spellStart"/>
      <w:r w:rsidR="00AB213C" w:rsidRPr="00AB213C">
        <w:rPr>
          <w:i/>
        </w:rPr>
        <w:t>Matlala</w:t>
      </w:r>
      <w:proofErr w:type="spellEnd"/>
      <w:r w:rsidR="00AB213C" w:rsidRPr="00AB213C">
        <w:rPr>
          <w:i/>
        </w:rPr>
        <w:t xml:space="preserve"> and Others</w:t>
      </w:r>
      <w:r w:rsidR="00AB213C">
        <w:t xml:space="preserve"> 2012 (1) SA 143 (GNP) at 153F – 154C.</w:t>
      </w:r>
      <w:r>
        <w:t xml:space="preserve"> </w:t>
      </w:r>
    </w:p>
  </w:footnote>
  <w:footnote w:id="6">
    <w:p w:rsidR="00E672ED" w:rsidRDefault="00E672ED">
      <w:pPr>
        <w:pStyle w:val="FootnoteText"/>
      </w:pPr>
      <w:r>
        <w:rPr>
          <w:rStyle w:val="FootnoteReference"/>
        </w:rPr>
        <w:footnoteRef/>
      </w:r>
      <w:r>
        <w:t xml:space="preserve"> See </w:t>
      </w:r>
      <w:r w:rsidR="0076767F">
        <w:rPr>
          <w:i/>
        </w:rPr>
        <w:t>Ward and Another v Smit</w:t>
      </w:r>
      <w:r w:rsidR="003D7EA5">
        <w:rPr>
          <w:i/>
        </w:rPr>
        <w:t xml:space="preserve"> and Others: In </w:t>
      </w:r>
      <w:r w:rsidR="00D156C1">
        <w:rPr>
          <w:i/>
        </w:rPr>
        <w:t>r</w:t>
      </w:r>
      <w:r w:rsidRPr="00E20B3D">
        <w:rPr>
          <w:i/>
        </w:rPr>
        <w:t xml:space="preserve">e </w:t>
      </w:r>
      <w:proofErr w:type="spellStart"/>
      <w:r w:rsidRPr="00E20B3D">
        <w:rPr>
          <w:i/>
        </w:rPr>
        <w:t>Gurr</w:t>
      </w:r>
      <w:proofErr w:type="spellEnd"/>
      <w:r w:rsidRPr="00E20B3D">
        <w:rPr>
          <w:i/>
        </w:rPr>
        <w:t xml:space="preserve"> v Zambia Airways Corporation Ltd</w:t>
      </w:r>
      <w:r>
        <w:t xml:space="preserve"> </w:t>
      </w:r>
      <w:r w:rsidRPr="00E672ED">
        <w:t>1998 (3) SA 175 (SCA)</w:t>
      </w:r>
      <w:r w:rsidR="00B76673">
        <w:t xml:space="preserve"> at </w:t>
      </w:r>
      <w:r w:rsidR="0076767F">
        <w:t>181A-E.</w:t>
      </w:r>
    </w:p>
  </w:footnote>
  <w:footnote w:id="7">
    <w:p w:rsidR="005E0FF3" w:rsidRPr="005E0FF3" w:rsidRDefault="005E0FF3">
      <w:pPr>
        <w:pStyle w:val="FootnoteText"/>
        <w:rPr>
          <w:lang w:val="en-GB"/>
        </w:rPr>
      </w:pPr>
      <w:r>
        <w:rPr>
          <w:rStyle w:val="FootnoteReference"/>
        </w:rPr>
        <w:footnoteRef/>
      </w:r>
      <w:r>
        <w:t xml:space="preserve"> </w:t>
      </w:r>
      <w:r w:rsidR="000D6EBE">
        <w:rPr>
          <w:lang w:val="en-GB"/>
        </w:rPr>
        <w:t xml:space="preserve">2007 (6) SA 87 (SCA) </w:t>
      </w:r>
      <w:r>
        <w:rPr>
          <w:lang w:val="en-GB"/>
        </w:rPr>
        <w:t>para 27.</w:t>
      </w:r>
    </w:p>
  </w:footnote>
  <w:footnote w:id="8">
    <w:p w:rsidR="006538A0" w:rsidRDefault="006538A0">
      <w:pPr>
        <w:pStyle w:val="FootnoteText"/>
      </w:pPr>
      <w:r>
        <w:rPr>
          <w:rStyle w:val="FootnoteReference"/>
        </w:rPr>
        <w:footnoteRef/>
      </w:r>
      <w:r w:rsidR="008B6DA0">
        <w:t xml:space="preserve"> </w:t>
      </w:r>
      <w:r>
        <w:t>[2016</w:t>
      </w:r>
      <w:r w:rsidR="008B6DA0">
        <w:t xml:space="preserve">] ZASCA 128 </w:t>
      </w:r>
      <w:r>
        <w:t xml:space="preserve">para 16. </w:t>
      </w:r>
    </w:p>
  </w:footnote>
  <w:footnote w:id="9">
    <w:p w:rsidR="00796E76" w:rsidRDefault="00796E76">
      <w:pPr>
        <w:pStyle w:val="FootnoteText"/>
      </w:pPr>
      <w:r>
        <w:rPr>
          <w:rStyle w:val="FootnoteReference"/>
        </w:rPr>
        <w:footnoteRef/>
      </w:r>
      <w:r>
        <w:t xml:space="preserve"> </w:t>
      </w:r>
      <w:r w:rsidRPr="00796E76">
        <w:t>[2021] Z</w:t>
      </w:r>
      <w:r w:rsidR="000D6EBE">
        <w:t xml:space="preserve">AGPPHC 128 </w:t>
      </w:r>
      <w:r>
        <w:t>para 15.</w:t>
      </w:r>
    </w:p>
  </w:footnote>
  <w:footnote w:id="10">
    <w:p w:rsidR="00F12EC7" w:rsidRDefault="00F12EC7">
      <w:pPr>
        <w:pStyle w:val="FootnoteText"/>
      </w:pPr>
      <w:r>
        <w:rPr>
          <w:rStyle w:val="FootnoteReference"/>
        </w:rPr>
        <w:footnoteRef/>
      </w:r>
      <w:r>
        <w:t xml:space="preserve"> Answering affidavit paras 35-102.</w:t>
      </w:r>
    </w:p>
  </w:footnote>
  <w:footnote w:id="11">
    <w:p w:rsidR="001B1DE0" w:rsidRDefault="001B1DE0">
      <w:pPr>
        <w:pStyle w:val="FootnoteText"/>
      </w:pPr>
      <w:r>
        <w:rPr>
          <w:rStyle w:val="FootnoteReference"/>
        </w:rPr>
        <w:footnoteRef/>
      </w:r>
      <w:r>
        <w:t xml:space="preserve"> </w:t>
      </w:r>
      <w:r w:rsidRPr="001B1DE0">
        <w:rPr>
          <w:i/>
        </w:rPr>
        <w:t xml:space="preserve">Wightman t/a JW Construction v </w:t>
      </w:r>
      <w:proofErr w:type="spellStart"/>
      <w:r w:rsidRPr="001B1DE0">
        <w:rPr>
          <w:i/>
        </w:rPr>
        <w:t>Headfour</w:t>
      </w:r>
      <w:proofErr w:type="spellEnd"/>
      <w:r w:rsidRPr="001B1DE0">
        <w:rPr>
          <w:i/>
        </w:rPr>
        <w:t xml:space="preserve"> (Pty) Ltd and Another</w:t>
      </w:r>
      <w:r>
        <w:t xml:space="preserve"> </w:t>
      </w:r>
      <w:r w:rsidRPr="001B1DE0">
        <w:t>2008 (3) SA 371 (SCA)</w:t>
      </w:r>
      <w:r w:rsidR="000D6EBE">
        <w:t xml:space="preserve"> </w:t>
      </w:r>
      <w:r w:rsidR="00924BAC">
        <w:t>para 13.</w:t>
      </w:r>
    </w:p>
  </w:footnote>
  <w:footnote w:id="12">
    <w:p w:rsidR="009D612E" w:rsidRPr="009D612E" w:rsidRDefault="009D612E">
      <w:pPr>
        <w:pStyle w:val="FootnoteText"/>
      </w:pPr>
      <w:r>
        <w:rPr>
          <w:rStyle w:val="FootnoteReference"/>
        </w:rPr>
        <w:footnoteRef/>
      </w:r>
      <w:r>
        <w:t xml:space="preserve"> </w:t>
      </w:r>
      <w:proofErr w:type="spellStart"/>
      <w:r w:rsidR="000D6EBE">
        <w:rPr>
          <w:i/>
        </w:rPr>
        <w:t>Plascon</w:t>
      </w:r>
      <w:proofErr w:type="spellEnd"/>
      <w:r w:rsidR="000D6EBE">
        <w:rPr>
          <w:i/>
        </w:rPr>
        <w:t xml:space="preserve">-Evans Paints (TVL) Ltd v Van </w:t>
      </w:r>
      <w:proofErr w:type="spellStart"/>
      <w:r w:rsidR="000D6EBE">
        <w:rPr>
          <w:i/>
        </w:rPr>
        <w:t>Riebeck</w:t>
      </w:r>
      <w:proofErr w:type="spellEnd"/>
      <w:r w:rsidR="000D6EBE">
        <w:rPr>
          <w:i/>
        </w:rPr>
        <w:t xml:space="preserve"> Paints (Pty) Ltd</w:t>
      </w:r>
      <w:r>
        <w:rPr>
          <w:i/>
        </w:rPr>
        <w:t xml:space="preserve"> </w:t>
      </w:r>
      <w:r w:rsidRPr="009D612E">
        <w:t>1984 (3) SA 623</w:t>
      </w:r>
      <w:r w:rsidR="000D6EBE">
        <w:t xml:space="preserve"> (A)</w:t>
      </w:r>
      <w:r>
        <w:t>.</w:t>
      </w:r>
    </w:p>
  </w:footnote>
  <w:footnote w:id="13">
    <w:p w:rsidR="00155826" w:rsidRDefault="00155826">
      <w:pPr>
        <w:pStyle w:val="FootnoteText"/>
      </w:pPr>
      <w:r>
        <w:rPr>
          <w:rStyle w:val="FootnoteReference"/>
        </w:rPr>
        <w:footnoteRef/>
      </w:r>
      <w:r>
        <w:t xml:space="preserve"> </w:t>
      </w:r>
      <w:r w:rsidR="00DB4683" w:rsidRPr="00DB4683">
        <w:rPr>
          <w:i/>
        </w:rPr>
        <w:t xml:space="preserve">Lazarus Estate Ltd v </w:t>
      </w:r>
      <w:proofErr w:type="spellStart"/>
      <w:r w:rsidR="00DB4683" w:rsidRPr="00DB4683">
        <w:rPr>
          <w:i/>
        </w:rPr>
        <w:t>Beasly</w:t>
      </w:r>
      <w:proofErr w:type="spellEnd"/>
      <w:r w:rsidR="00DB4683" w:rsidRPr="00DB4683">
        <w:t xml:space="preserve"> </w:t>
      </w:r>
      <w:r w:rsidRPr="00155826">
        <w:t>[</w:t>
      </w:r>
      <w:r w:rsidR="00F273D7">
        <w:t>1956] 1 .Q.B 702</w:t>
      </w:r>
      <w:r w:rsidRPr="00155826">
        <w:t>.</w:t>
      </w:r>
      <w:r w:rsidRPr="00155826">
        <w:cr/>
      </w:r>
    </w:p>
  </w:footnote>
  <w:footnote w:id="14">
    <w:p w:rsidR="00741AD0" w:rsidRDefault="00741AD0">
      <w:pPr>
        <w:pStyle w:val="FootnoteText"/>
      </w:pPr>
      <w:r>
        <w:rPr>
          <w:rStyle w:val="FootnoteReference"/>
        </w:rPr>
        <w:footnoteRef/>
      </w:r>
      <w:r w:rsidR="00A969AA">
        <w:t xml:space="preserve"> Act 45 of 1988</w:t>
      </w:r>
      <w:r>
        <w:t>.</w:t>
      </w:r>
    </w:p>
  </w:footnote>
  <w:footnote w:id="15">
    <w:p w:rsidR="00741AD0" w:rsidRDefault="00741AD0">
      <w:pPr>
        <w:pStyle w:val="FootnoteText"/>
      </w:pPr>
      <w:r>
        <w:rPr>
          <w:rStyle w:val="FootnoteReference"/>
        </w:rPr>
        <w:footnoteRef/>
      </w:r>
      <w:r>
        <w:t xml:space="preserve"> See also the approach of </w:t>
      </w:r>
      <w:r w:rsidRPr="00153BBE">
        <w:rPr>
          <w:i/>
        </w:rPr>
        <w:t>Dippenaar J in Malherbe v City of Johannesburg Metropolitan Municipalit</w:t>
      </w:r>
      <w:r>
        <w:t xml:space="preserve">y </w:t>
      </w:r>
      <w:r w:rsidR="00153BBE" w:rsidRPr="00153BBE">
        <w:t>[20</w:t>
      </w:r>
      <w:r w:rsidR="00A969AA">
        <w:t xml:space="preserve">22] ZAGPJHC 587 </w:t>
      </w:r>
      <w:r w:rsidR="00153BBE">
        <w:t xml:space="preserve">para 30. </w:t>
      </w:r>
    </w:p>
  </w:footnote>
  <w:footnote w:id="16">
    <w:p w:rsidR="00D92C6D" w:rsidRDefault="00D92C6D">
      <w:pPr>
        <w:pStyle w:val="FootnoteText"/>
      </w:pPr>
      <w:r>
        <w:rPr>
          <w:rStyle w:val="FootnoteReference"/>
        </w:rPr>
        <w:footnoteRef/>
      </w:r>
      <w:r>
        <w:t xml:space="preserve"> </w:t>
      </w:r>
      <w:r w:rsidR="00795689" w:rsidRPr="00795689">
        <w:rPr>
          <w:i/>
        </w:rPr>
        <w:t xml:space="preserve">Barak Fund SPC Limited vs Insure Group Managers Limited (in liquidation) and </w:t>
      </w:r>
      <w:proofErr w:type="gramStart"/>
      <w:r w:rsidR="00795689" w:rsidRPr="00795689">
        <w:rPr>
          <w:i/>
        </w:rPr>
        <w:t>Others</w:t>
      </w:r>
      <w:proofErr w:type="gramEnd"/>
      <w:r w:rsidR="00795689" w:rsidRPr="00795689">
        <w:t xml:space="preserve"> </w:t>
      </w:r>
      <w:r w:rsidR="00A969AA">
        <w:t>[2022] ZAGPJHC 469</w:t>
      </w:r>
      <w:r>
        <w:t>.</w:t>
      </w:r>
    </w:p>
  </w:footnote>
  <w:footnote w:id="17">
    <w:p w:rsidR="007172DE" w:rsidRDefault="007172DE">
      <w:pPr>
        <w:pStyle w:val="FootnoteText"/>
      </w:pPr>
      <w:r>
        <w:rPr>
          <w:rStyle w:val="FootnoteReference"/>
        </w:rPr>
        <w:footnoteRef/>
      </w:r>
      <w:r>
        <w:t xml:space="preserve"> An application for leave to appeal the </w:t>
      </w:r>
      <w:r w:rsidRPr="004E5527">
        <w:rPr>
          <w:i/>
        </w:rPr>
        <w:t>Barak</w:t>
      </w:r>
      <w:r>
        <w:t xml:space="preserve"> judgment is pending at the time of this judgment.</w:t>
      </w:r>
    </w:p>
  </w:footnote>
  <w:footnote w:id="18">
    <w:p w:rsidR="00D92C6D" w:rsidRDefault="00D92C6D">
      <w:pPr>
        <w:pStyle w:val="FootnoteText"/>
      </w:pPr>
      <w:r>
        <w:rPr>
          <w:rStyle w:val="FootnoteReference"/>
        </w:rPr>
        <w:footnoteRef/>
      </w:r>
      <w:r>
        <w:t xml:space="preserve"> Act 61 of 1973.</w:t>
      </w:r>
    </w:p>
  </w:footnote>
  <w:footnote w:id="19">
    <w:p w:rsidR="001B08E4" w:rsidRDefault="001B08E4">
      <w:pPr>
        <w:pStyle w:val="FootnoteText"/>
      </w:pPr>
      <w:r>
        <w:rPr>
          <w:rStyle w:val="FootnoteReference"/>
        </w:rPr>
        <w:footnoteRef/>
      </w:r>
      <w:r w:rsidR="006C1219">
        <w:t xml:space="preserve"> Paragraphs 68, 71 and 74.</w:t>
      </w:r>
    </w:p>
  </w:footnote>
  <w:footnote w:id="20">
    <w:p w:rsidR="006C1219" w:rsidRDefault="006C1219">
      <w:pPr>
        <w:pStyle w:val="FootnoteText"/>
      </w:pPr>
      <w:r>
        <w:rPr>
          <w:rStyle w:val="FootnoteReference"/>
        </w:rPr>
        <w:footnoteRef/>
      </w:r>
      <w:r>
        <w:t xml:space="preserve"> At para 18. </w:t>
      </w:r>
    </w:p>
  </w:footnote>
  <w:footnote w:id="21">
    <w:p w:rsidR="00EF3D01" w:rsidRDefault="00EF3D01">
      <w:pPr>
        <w:pStyle w:val="FootnoteText"/>
      </w:pPr>
      <w:r>
        <w:rPr>
          <w:rStyle w:val="FootnoteReference"/>
        </w:rPr>
        <w:footnoteRef/>
      </w:r>
      <w:r>
        <w:t xml:space="preserve"> Section</w:t>
      </w:r>
      <w:r w:rsidRPr="00EF3D01">
        <w:t xml:space="preserve"> 20(9</w:t>
      </w:r>
      <w:proofErr w:type="gramStart"/>
      <w:r w:rsidRPr="00EF3D01">
        <w:t>)(</w:t>
      </w:r>
      <w:proofErr w:type="gramEnd"/>
      <w:r w:rsidRPr="00EF3D01">
        <w:t>a)</w:t>
      </w:r>
      <w:r>
        <w:t>.</w:t>
      </w:r>
    </w:p>
  </w:footnote>
  <w:footnote w:id="22">
    <w:p w:rsidR="00CB42A2" w:rsidRDefault="00CB42A2">
      <w:pPr>
        <w:pStyle w:val="FootnoteText"/>
      </w:pPr>
      <w:r>
        <w:rPr>
          <w:rStyle w:val="FootnoteReference"/>
        </w:rPr>
        <w:footnoteRef/>
      </w:r>
      <w:r>
        <w:t xml:space="preserve"> Section 20(9</w:t>
      </w:r>
      <w:proofErr w:type="gramStart"/>
      <w:r>
        <w:t>)(</w:t>
      </w:r>
      <w:proofErr w:type="gramEnd"/>
      <w:r>
        <w:t>b).</w:t>
      </w:r>
    </w:p>
  </w:footnote>
  <w:footnote w:id="23">
    <w:p w:rsidR="00A44463" w:rsidRPr="00A44463" w:rsidRDefault="00A44463">
      <w:pPr>
        <w:pStyle w:val="FootnoteText"/>
        <w:rPr>
          <w:lang w:val="en-GB"/>
        </w:rPr>
      </w:pPr>
      <w:r>
        <w:rPr>
          <w:rStyle w:val="FootnoteReference"/>
        </w:rPr>
        <w:footnoteRef/>
      </w:r>
      <w:r>
        <w:t xml:space="preserve"> </w:t>
      </w:r>
      <w:r>
        <w:rPr>
          <w:lang w:val="en-GB"/>
        </w:rPr>
        <w:t>At paras 54 and 55.</w:t>
      </w:r>
    </w:p>
  </w:footnote>
  <w:footnote w:id="24">
    <w:p w:rsidR="00AB1DA1" w:rsidRDefault="00AB1DA1">
      <w:pPr>
        <w:pStyle w:val="FootnoteText"/>
      </w:pPr>
      <w:r>
        <w:rPr>
          <w:rStyle w:val="FootnoteReference"/>
        </w:rPr>
        <w:footnoteRef/>
      </w:r>
      <w:r>
        <w:t xml:space="preserve"> As it did in </w:t>
      </w:r>
      <w:r w:rsidRPr="00AB1DA1">
        <w:rPr>
          <w:i/>
        </w:rPr>
        <w:t>Ex parte Gore NO and Others NNO</w:t>
      </w:r>
      <w:r w:rsidR="0090325B">
        <w:t xml:space="preserve"> [2013] 2 All SA 43</w:t>
      </w:r>
      <w:r>
        <w:t>7 (WCC).</w:t>
      </w:r>
    </w:p>
  </w:footnote>
  <w:footnote w:id="25">
    <w:p w:rsidR="00700746" w:rsidRDefault="00700746">
      <w:pPr>
        <w:pStyle w:val="FootnoteText"/>
      </w:pPr>
      <w:r>
        <w:rPr>
          <w:rStyle w:val="FootnoteReference"/>
        </w:rPr>
        <w:footnoteRef/>
      </w:r>
      <w:r>
        <w:t xml:space="preserve"> Cambridge Dictionary (online). </w:t>
      </w:r>
    </w:p>
  </w:footnote>
  <w:footnote w:id="26">
    <w:p w:rsidR="00700746" w:rsidRDefault="00700746">
      <w:pPr>
        <w:pStyle w:val="FootnoteText"/>
      </w:pPr>
      <w:r>
        <w:rPr>
          <w:rStyle w:val="FootnoteReference"/>
        </w:rPr>
        <w:footnoteRef/>
      </w:r>
      <w:r>
        <w:t xml:space="preserve"> Concise Oxford </w:t>
      </w:r>
      <w:r w:rsidR="004B2AD8">
        <w:t>Dictionary</w:t>
      </w:r>
      <w:r>
        <w:t>.</w:t>
      </w:r>
    </w:p>
  </w:footnote>
  <w:footnote w:id="27">
    <w:p w:rsidR="008C446B" w:rsidRPr="00C9343E" w:rsidRDefault="008C446B">
      <w:pPr>
        <w:pStyle w:val="FootnoteText"/>
      </w:pPr>
      <w:r>
        <w:rPr>
          <w:rStyle w:val="FootnoteReference"/>
        </w:rPr>
        <w:footnoteRef/>
      </w:r>
      <w:r>
        <w:t xml:space="preserve"> </w:t>
      </w:r>
      <w:r w:rsidR="00C9343E">
        <w:rPr>
          <w:i/>
        </w:rPr>
        <w:t>Gore</w:t>
      </w:r>
      <w:r w:rsidR="00C9343E">
        <w:t>,</w:t>
      </w:r>
      <w:r w:rsidR="00C9343E">
        <w:rPr>
          <w:i/>
        </w:rPr>
        <w:t xml:space="preserve"> </w:t>
      </w:r>
      <w:r w:rsidR="00C62767">
        <w:t>supra para 34.</w:t>
      </w:r>
    </w:p>
  </w:footnote>
  <w:footnote w:id="28">
    <w:p w:rsidR="0026273F" w:rsidRDefault="0026273F">
      <w:pPr>
        <w:pStyle w:val="FootnoteText"/>
      </w:pPr>
      <w:r>
        <w:rPr>
          <w:rStyle w:val="FootnoteReference"/>
        </w:rPr>
        <w:footnoteRef/>
      </w:r>
      <w:r>
        <w:t xml:space="preserve"> </w:t>
      </w:r>
      <w:r w:rsidRPr="0026273F">
        <w:rPr>
          <w:i/>
        </w:rPr>
        <w:t>City Capital</w:t>
      </w:r>
      <w:r w:rsidR="008B675F">
        <w:rPr>
          <w:i/>
        </w:rPr>
        <w:t xml:space="preserve"> SA P</w:t>
      </w:r>
      <w:r w:rsidR="001C71C1">
        <w:rPr>
          <w:i/>
        </w:rPr>
        <w:t>ro</w:t>
      </w:r>
      <w:r w:rsidR="008B675F">
        <w:rPr>
          <w:i/>
        </w:rPr>
        <w:t>perty Holdings Ltd</w:t>
      </w:r>
      <w:r w:rsidRPr="0026273F">
        <w:rPr>
          <w:i/>
        </w:rPr>
        <w:t xml:space="preserve"> v </w:t>
      </w:r>
      <w:proofErr w:type="spellStart"/>
      <w:r w:rsidRPr="0026273F">
        <w:rPr>
          <w:i/>
        </w:rPr>
        <w:t>Chavonnes</w:t>
      </w:r>
      <w:proofErr w:type="spellEnd"/>
      <w:r w:rsidRPr="0026273F">
        <w:rPr>
          <w:i/>
        </w:rPr>
        <w:t xml:space="preserve"> </w:t>
      </w:r>
      <w:proofErr w:type="spellStart"/>
      <w:r w:rsidRPr="0026273F">
        <w:rPr>
          <w:i/>
        </w:rPr>
        <w:t>Badenhorst</w:t>
      </w:r>
      <w:proofErr w:type="spellEnd"/>
      <w:r w:rsidRPr="0026273F">
        <w:rPr>
          <w:i/>
        </w:rPr>
        <w:t xml:space="preserve"> </w:t>
      </w:r>
      <w:r w:rsidR="008B675F">
        <w:rPr>
          <w:i/>
        </w:rPr>
        <w:t xml:space="preserve">St Clair Cooper and Others </w:t>
      </w:r>
      <w:r>
        <w:t>2018 (4) SA 71</w:t>
      </w:r>
      <w:r w:rsidR="008B675F">
        <w:t xml:space="preserve"> (SCA)</w:t>
      </w:r>
      <w:r>
        <w:t>.</w:t>
      </w:r>
    </w:p>
  </w:footnote>
  <w:footnote w:id="29">
    <w:p w:rsidR="004865E2" w:rsidRDefault="004865E2">
      <w:pPr>
        <w:pStyle w:val="FootnoteText"/>
      </w:pPr>
      <w:r>
        <w:rPr>
          <w:rStyle w:val="FootnoteReference"/>
        </w:rPr>
        <w:footnoteRef/>
      </w:r>
      <w:r>
        <w:t xml:space="preserve"> </w:t>
      </w:r>
      <w:proofErr w:type="spellStart"/>
      <w:r w:rsidRPr="004865E2">
        <w:rPr>
          <w:i/>
        </w:rPr>
        <w:t>Munsamy</w:t>
      </w:r>
      <w:proofErr w:type="spellEnd"/>
      <w:r w:rsidRPr="004865E2">
        <w:rPr>
          <w:i/>
        </w:rPr>
        <w:t xml:space="preserve"> and Another v </w:t>
      </w:r>
      <w:proofErr w:type="spellStart"/>
      <w:r w:rsidRPr="004865E2">
        <w:rPr>
          <w:i/>
        </w:rPr>
        <w:t>Astron</w:t>
      </w:r>
      <w:proofErr w:type="spellEnd"/>
      <w:r w:rsidRPr="004865E2">
        <w:rPr>
          <w:i/>
        </w:rPr>
        <w:t xml:space="preserve"> Energy (Pty) Ltd and Others</w:t>
      </w:r>
      <w:r>
        <w:t xml:space="preserve"> 2022 (4) SA 267 (GJ).</w:t>
      </w:r>
    </w:p>
  </w:footnote>
  <w:footnote w:id="30">
    <w:p w:rsidR="009E7ED6" w:rsidRDefault="009E7ED6">
      <w:pPr>
        <w:pStyle w:val="FootnoteText"/>
      </w:pPr>
      <w:r>
        <w:rPr>
          <w:rStyle w:val="FootnoteReference"/>
        </w:rPr>
        <w:footnoteRef/>
      </w:r>
      <w:r>
        <w:t xml:space="preserve"> See </w:t>
      </w:r>
      <w:proofErr w:type="spellStart"/>
      <w:r w:rsidRPr="009E7ED6">
        <w:rPr>
          <w:i/>
        </w:rPr>
        <w:t>Munsamy</w:t>
      </w:r>
      <w:proofErr w:type="spellEnd"/>
      <w:r w:rsidR="00FA5597">
        <w:t xml:space="preserve"> </w:t>
      </w:r>
      <w:r>
        <w:t>para 38.</w:t>
      </w:r>
    </w:p>
  </w:footnote>
  <w:footnote w:id="31">
    <w:p w:rsidR="00C9343E" w:rsidRDefault="00C9343E">
      <w:pPr>
        <w:pStyle w:val="FootnoteText"/>
      </w:pPr>
      <w:r>
        <w:rPr>
          <w:rStyle w:val="FootnoteReference"/>
        </w:rPr>
        <w:footnoteRef/>
      </w:r>
      <w:r>
        <w:t xml:space="preserve"> At paras 54 and 55.</w:t>
      </w:r>
    </w:p>
  </w:footnote>
  <w:footnote w:id="32">
    <w:p w:rsidR="00B41490" w:rsidRDefault="00B41490">
      <w:pPr>
        <w:pStyle w:val="FootnoteText"/>
      </w:pPr>
      <w:r>
        <w:rPr>
          <w:rStyle w:val="FootnoteReference"/>
        </w:rPr>
        <w:footnoteRef/>
      </w:r>
      <w:r>
        <w:t xml:space="preserve"> </w:t>
      </w:r>
      <w:r w:rsidRPr="00B41490">
        <w:rPr>
          <w:i/>
        </w:rPr>
        <w:t xml:space="preserve">General Council of the Bar of South Africa v </w:t>
      </w:r>
      <w:proofErr w:type="spellStart"/>
      <w:r w:rsidRPr="00B41490">
        <w:rPr>
          <w:i/>
        </w:rPr>
        <w:t>Geach</w:t>
      </w:r>
      <w:proofErr w:type="spellEnd"/>
      <w:r w:rsidRPr="00B41490">
        <w:rPr>
          <w:i/>
        </w:rPr>
        <w:t xml:space="preserve"> and Others</w:t>
      </w:r>
      <w:r w:rsidRPr="00B41490">
        <w:t xml:space="preserve"> 2013 (2) SA 52 (SCA)</w:t>
      </w:r>
      <w:r>
        <w:t xml:space="preserve"> at para 195.</w:t>
      </w:r>
    </w:p>
  </w:footnote>
  <w:footnote w:id="33">
    <w:p w:rsidR="003B1094" w:rsidRDefault="003B1094">
      <w:pPr>
        <w:pStyle w:val="FootnoteText"/>
      </w:pPr>
      <w:r>
        <w:rPr>
          <w:rStyle w:val="FootnoteReference"/>
        </w:rPr>
        <w:footnoteRef/>
      </w:r>
      <w:r>
        <w:t xml:space="preserve"> </w:t>
      </w:r>
      <w:r w:rsidRPr="00FC0BBA">
        <w:rPr>
          <w:i/>
        </w:rPr>
        <w:t xml:space="preserve">Cooper NO and Others v </w:t>
      </w:r>
      <w:proofErr w:type="spellStart"/>
      <w:r w:rsidRPr="00FC0BBA">
        <w:rPr>
          <w:i/>
        </w:rPr>
        <w:t>Micromatica</w:t>
      </w:r>
      <w:proofErr w:type="spellEnd"/>
      <w:r w:rsidRPr="00FC0BBA">
        <w:rPr>
          <w:i/>
        </w:rPr>
        <w:t xml:space="preserve"> 324 (Pty) Ltd and Others (City Capitals a Property Holding Limited and Others (Intervening)</w:t>
      </w:r>
      <w:r w:rsidR="00FC0BBA" w:rsidRPr="00FC0BBA">
        <w:rPr>
          <w:i/>
        </w:rPr>
        <w:t>)</w:t>
      </w:r>
      <w:r w:rsidRPr="00FC0BBA">
        <w:rPr>
          <w:i/>
        </w:rPr>
        <w:t xml:space="preserve"> </w:t>
      </w:r>
      <w:r w:rsidR="00FC0BBA">
        <w:t>[20</w:t>
      </w:r>
      <w:r w:rsidR="00A45525">
        <w:t>16] ZAWCHC 148</w:t>
      </w:r>
      <w:r w:rsidR="00FC0BBA">
        <w:t>.</w:t>
      </w:r>
    </w:p>
  </w:footnote>
  <w:footnote w:id="34">
    <w:p w:rsidR="003B1094" w:rsidRDefault="003B1094">
      <w:pPr>
        <w:pStyle w:val="FootnoteText"/>
      </w:pPr>
      <w:r>
        <w:rPr>
          <w:rStyle w:val="FootnoteReference"/>
        </w:rPr>
        <w:footnoteRef/>
      </w:r>
      <w:r>
        <w:t xml:space="preserve"> </w:t>
      </w:r>
      <w:proofErr w:type="spellStart"/>
      <w:r w:rsidRPr="003B1094">
        <w:rPr>
          <w:i/>
        </w:rPr>
        <w:t>Micromatica</w:t>
      </w:r>
      <w:proofErr w:type="spellEnd"/>
      <w:r w:rsidR="00A45525">
        <w:t xml:space="preserve"> id</w:t>
      </w:r>
      <w:r>
        <w:t xml:space="preserve"> para 37.</w:t>
      </w:r>
    </w:p>
  </w:footnote>
  <w:footnote w:id="35">
    <w:p w:rsidR="00B43F53" w:rsidRDefault="00B43F53">
      <w:pPr>
        <w:pStyle w:val="FootnoteText"/>
      </w:pPr>
      <w:r>
        <w:rPr>
          <w:rStyle w:val="FootnoteReference"/>
        </w:rPr>
        <w:footnoteRef/>
      </w:r>
      <w:r>
        <w:t xml:space="preserve"> In this matter it is not disputed that both TSS and TFA are hopelessly insolvent.</w:t>
      </w:r>
    </w:p>
  </w:footnote>
  <w:footnote w:id="36">
    <w:p w:rsidR="00527DEC" w:rsidRDefault="00527DEC">
      <w:pPr>
        <w:pStyle w:val="FootnoteText"/>
      </w:pPr>
      <w:r>
        <w:rPr>
          <w:rStyle w:val="FootnoteReference"/>
        </w:rPr>
        <w:footnoteRef/>
      </w:r>
      <w:r>
        <w:t xml:space="preserve"> See </w:t>
      </w:r>
      <w:proofErr w:type="spellStart"/>
      <w:r w:rsidRPr="00527DEC">
        <w:rPr>
          <w:i/>
        </w:rPr>
        <w:t>Conekt</w:t>
      </w:r>
      <w:proofErr w:type="spellEnd"/>
      <w:r w:rsidRPr="00527DEC">
        <w:rPr>
          <w:i/>
        </w:rPr>
        <w:t xml:space="preserve"> Business Group (Pty) Ltd v Navigator Computer Consultants CC</w:t>
      </w:r>
      <w:r>
        <w:t xml:space="preserve"> 2015 (4) SA 103</w:t>
      </w:r>
      <w:r w:rsidR="001060A0">
        <w:t xml:space="preserve"> (GJ)</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91901"/>
      <w:docPartObj>
        <w:docPartGallery w:val="Page Numbers (Top of Page)"/>
        <w:docPartUnique/>
      </w:docPartObj>
    </w:sdtPr>
    <w:sdtEndPr>
      <w:rPr>
        <w:noProof/>
      </w:rPr>
    </w:sdtEndPr>
    <w:sdtContent>
      <w:p w:rsidR="002D7072" w:rsidRDefault="002D7072">
        <w:pPr>
          <w:pStyle w:val="Header"/>
          <w:jc w:val="right"/>
        </w:pPr>
        <w:r>
          <w:fldChar w:fldCharType="begin"/>
        </w:r>
        <w:r>
          <w:instrText xml:space="preserve"> PAGE   \* MERGEFORMAT </w:instrText>
        </w:r>
        <w:r>
          <w:fldChar w:fldCharType="separate"/>
        </w:r>
        <w:r w:rsidR="00527856">
          <w:rPr>
            <w:noProof/>
          </w:rPr>
          <w:t>2</w:t>
        </w:r>
        <w:r>
          <w:rPr>
            <w:noProof/>
          </w:rPr>
          <w:fldChar w:fldCharType="end"/>
        </w:r>
      </w:p>
    </w:sdtContent>
  </w:sdt>
  <w:p w:rsidR="002D7072" w:rsidRDefault="002D7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E6374A"/>
    <w:multiLevelType w:val="hybridMultilevel"/>
    <w:tmpl w:val="CB586EF4"/>
    <w:lvl w:ilvl="0" w:tplc="A7085F1A">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1C"/>
    <w:rsid w:val="00000169"/>
    <w:rsid w:val="0000745F"/>
    <w:rsid w:val="000126A6"/>
    <w:rsid w:val="000131F4"/>
    <w:rsid w:val="00024754"/>
    <w:rsid w:val="00044ADC"/>
    <w:rsid w:val="000657D8"/>
    <w:rsid w:val="0006655B"/>
    <w:rsid w:val="00075717"/>
    <w:rsid w:val="000762F0"/>
    <w:rsid w:val="00090B59"/>
    <w:rsid w:val="00092527"/>
    <w:rsid w:val="00095A7A"/>
    <w:rsid w:val="00095B0B"/>
    <w:rsid w:val="000A76F9"/>
    <w:rsid w:val="000A7965"/>
    <w:rsid w:val="000B21D4"/>
    <w:rsid w:val="000B21E2"/>
    <w:rsid w:val="000B2881"/>
    <w:rsid w:val="000B4A55"/>
    <w:rsid w:val="000B5988"/>
    <w:rsid w:val="000B663E"/>
    <w:rsid w:val="000D1322"/>
    <w:rsid w:val="000D6EBE"/>
    <w:rsid w:val="000E2A65"/>
    <w:rsid w:val="000E3924"/>
    <w:rsid w:val="000E5A73"/>
    <w:rsid w:val="001029D1"/>
    <w:rsid w:val="001060A0"/>
    <w:rsid w:val="00120137"/>
    <w:rsid w:val="001401A8"/>
    <w:rsid w:val="00140254"/>
    <w:rsid w:val="00140815"/>
    <w:rsid w:val="00143A11"/>
    <w:rsid w:val="00145CA6"/>
    <w:rsid w:val="00153BBE"/>
    <w:rsid w:val="00155826"/>
    <w:rsid w:val="0016692A"/>
    <w:rsid w:val="00172528"/>
    <w:rsid w:val="00182FBA"/>
    <w:rsid w:val="00186F60"/>
    <w:rsid w:val="00191C95"/>
    <w:rsid w:val="001970AD"/>
    <w:rsid w:val="001A282B"/>
    <w:rsid w:val="001B08E4"/>
    <w:rsid w:val="001B1DE0"/>
    <w:rsid w:val="001C1534"/>
    <w:rsid w:val="001C1C9D"/>
    <w:rsid w:val="001C71C1"/>
    <w:rsid w:val="001D6FD6"/>
    <w:rsid w:val="00205AA2"/>
    <w:rsid w:val="00213B75"/>
    <w:rsid w:val="0021732F"/>
    <w:rsid w:val="00221666"/>
    <w:rsid w:val="00235AB7"/>
    <w:rsid w:val="00242272"/>
    <w:rsid w:val="00244E15"/>
    <w:rsid w:val="0026273F"/>
    <w:rsid w:val="00267FBB"/>
    <w:rsid w:val="00272BF3"/>
    <w:rsid w:val="00275D1E"/>
    <w:rsid w:val="00283FB4"/>
    <w:rsid w:val="00290563"/>
    <w:rsid w:val="002913D6"/>
    <w:rsid w:val="002A7BDD"/>
    <w:rsid w:val="002C2CF9"/>
    <w:rsid w:val="002C2FFB"/>
    <w:rsid w:val="002C5B9D"/>
    <w:rsid w:val="002D13C5"/>
    <w:rsid w:val="002D6DDF"/>
    <w:rsid w:val="002D7072"/>
    <w:rsid w:val="002E614D"/>
    <w:rsid w:val="00300A87"/>
    <w:rsid w:val="0030532C"/>
    <w:rsid w:val="00311CFA"/>
    <w:rsid w:val="00324753"/>
    <w:rsid w:val="0032535F"/>
    <w:rsid w:val="00331468"/>
    <w:rsid w:val="00342DE1"/>
    <w:rsid w:val="0034542A"/>
    <w:rsid w:val="003460DA"/>
    <w:rsid w:val="0035582F"/>
    <w:rsid w:val="00360DA5"/>
    <w:rsid w:val="0038626E"/>
    <w:rsid w:val="00393607"/>
    <w:rsid w:val="003971A3"/>
    <w:rsid w:val="003A0673"/>
    <w:rsid w:val="003A11D4"/>
    <w:rsid w:val="003A4733"/>
    <w:rsid w:val="003A669D"/>
    <w:rsid w:val="003A6D71"/>
    <w:rsid w:val="003B1094"/>
    <w:rsid w:val="003B4116"/>
    <w:rsid w:val="003B6038"/>
    <w:rsid w:val="003B63D3"/>
    <w:rsid w:val="003B7F1C"/>
    <w:rsid w:val="003C2754"/>
    <w:rsid w:val="003C3D0B"/>
    <w:rsid w:val="003C4F26"/>
    <w:rsid w:val="003D5257"/>
    <w:rsid w:val="003D69C2"/>
    <w:rsid w:val="003D7EA5"/>
    <w:rsid w:val="003E0A84"/>
    <w:rsid w:val="003E548F"/>
    <w:rsid w:val="003E7151"/>
    <w:rsid w:val="003F13E1"/>
    <w:rsid w:val="003F236F"/>
    <w:rsid w:val="00400E8F"/>
    <w:rsid w:val="004147AE"/>
    <w:rsid w:val="004239B2"/>
    <w:rsid w:val="00432F06"/>
    <w:rsid w:val="00463E78"/>
    <w:rsid w:val="004754C2"/>
    <w:rsid w:val="004830CA"/>
    <w:rsid w:val="004865E2"/>
    <w:rsid w:val="00486C24"/>
    <w:rsid w:val="004B2AD8"/>
    <w:rsid w:val="004D0F53"/>
    <w:rsid w:val="004D3C59"/>
    <w:rsid w:val="004D7417"/>
    <w:rsid w:val="004E5527"/>
    <w:rsid w:val="004E7F9D"/>
    <w:rsid w:val="004F38DC"/>
    <w:rsid w:val="004F6B47"/>
    <w:rsid w:val="00501D57"/>
    <w:rsid w:val="005025A3"/>
    <w:rsid w:val="0050331D"/>
    <w:rsid w:val="0052023D"/>
    <w:rsid w:val="00525D5E"/>
    <w:rsid w:val="00527856"/>
    <w:rsid w:val="00527DEC"/>
    <w:rsid w:val="0053358D"/>
    <w:rsid w:val="00541F13"/>
    <w:rsid w:val="0054555F"/>
    <w:rsid w:val="00555580"/>
    <w:rsid w:val="00555652"/>
    <w:rsid w:val="00572A72"/>
    <w:rsid w:val="00581F30"/>
    <w:rsid w:val="0058276D"/>
    <w:rsid w:val="005B7EC9"/>
    <w:rsid w:val="005D3F3B"/>
    <w:rsid w:val="005D4E0D"/>
    <w:rsid w:val="005E0FF3"/>
    <w:rsid w:val="005E1DBE"/>
    <w:rsid w:val="005F53A4"/>
    <w:rsid w:val="005F5FC2"/>
    <w:rsid w:val="0060002D"/>
    <w:rsid w:val="0060516D"/>
    <w:rsid w:val="00607F9F"/>
    <w:rsid w:val="0062568B"/>
    <w:rsid w:val="00633D55"/>
    <w:rsid w:val="00634112"/>
    <w:rsid w:val="00634831"/>
    <w:rsid w:val="00643C8C"/>
    <w:rsid w:val="00647335"/>
    <w:rsid w:val="006538A0"/>
    <w:rsid w:val="00653AB8"/>
    <w:rsid w:val="00661AED"/>
    <w:rsid w:val="00665F71"/>
    <w:rsid w:val="006B44B0"/>
    <w:rsid w:val="006C1219"/>
    <w:rsid w:val="006C29DB"/>
    <w:rsid w:val="006E2DAB"/>
    <w:rsid w:val="006E5BED"/>
    <w:rsid w:val="006F684B"/>
    <w:rsid w:val="006F7F93"/>
    <w:rsid w:val="00700746"/>
    <w:rsid w:val="00705B2C"/>
    <w:rsid w:val="0070625B"/>
    <w:rsid w:val="007172DE"/>
    <w:rsid w:val="00726CC3"/>
    <w:rsid w:val="00741AD0"/>
    <w:rsid w:val="00745EBF"/>
    <w:rsid w:val="0076037D"/>
    <w:rsid w:val="00764BF2"/>
    <w:rsid w:val="00765F46"/>
    <w:rsid w:val="0076767F"/>
    <w:rsid w:val="00773150"/>
    <w:rsid w:val="007760E0"/>
    <w:rsid w:val="00783C56"/>
    <w:rsid w:val="00784BF3"/>
    <w:rsid w:val="00785687"/>
    <w:rsid w:val="00795689"/>
    <w:rsid w:val="00796E76"/>
    <w:rsid w:val="007A10C1"/>
    <w:rsid w:val="007A2999"/>
    <w:rsid w:val="007B4976"/>
    <w:rsid w:val="007B7AB7"/>
    <w:rsid w:val="007C300B"/>
    <w:rsid w:val="007C6F91"/>
    <w:rsid w:val="007D7F08"/>
    <w:rsid w:val="007E0E1B"/>
    <w:rsid w:val="007E6D2C"/>
    <w:rsid w:val="007F1674"/>
    <w:rsid w:val="007F2554"/>
    <w:rsid w:val="0080500C"/>
    <w:rsid w:val="00817CEB"/>
    <w:rsid w:val="00822AD3"/>
    <w:rsid w:val="00852FD6"/>
    <w:rsid w:val="008567A8"/>
    <w:rsid w:val="008573AD"/>
    <w:rsid w:val="00857A3D"/>
    <w:rsid w:val="00872E51"/>
    <w:rsid w:val="00874065"/>
    <w:rsid w:val="008813EF"/>
    <w:rsid w:val="00890514"/>
    <w:rsid w:val="00897D2B"/>
    <w:rsid w:val="008B1DCE"/>
    <w:rsid w:val="008B675F"/>
    <w:rsid w:val="008B6DA0"/>
    <w:rsid w:val="008C446B"/>
    <w:rsid w:val="008C5716"/>
    <w:rsid w:val="008D15D6"/>
    <w:rsid w:val="008E0350"/>
    <w:rsid w:val="008F14F1"/>
    <w:rsid w:val="008F4B70"/>
    <w:rsid w:val="0090325B"/>
    <w:rsid w:val="00903F38"/>
    <w:rsid w:val="00920400"/>
    <w:rsid w:val="00924BAC"/>
    <w:rsid w:val="00932834"/>
    <w:rsid w:val="00937ACC"/>
    <w:rsid w:val="00945BB0"/>
    <w:rsid w:val="00953184"/>
    <w:rsid w:val="00954E26"/>
    <w:rsid w:val="0098632B"/>
    <w:rsid w:val="009946D3"/>
    <w:rsid w:val="009A75D1"/>
    <w:rsid w:val="009B4B6B"/>
    <w:rsid w:val="009D12E5"/>
    <w:rsid w:val="009D612E"/>
    <w:rsid w:val="009E7ED6"/>
    <w:rsid w:val="009F2A4B"/>
    <w:rsid w:val="009F543C"/>
    <w:rsid w:val="009F5E2F"/>
    <w:rsid w:val="00A2326B"/>
    <w:rsid w:val="00A24858"/>
    <w:rsid w:val="00A44463"/>
    <w:rsid w:val="00A45525"/>
    <w:rsid w:val="00A474FF"/>
    <w:rsid w:val="00A50A68"/>
    <w:rsid w:val="00A5396F"/>
    <w:rsid w:val="00A72C45"/>
    <w:rsid w:val="00A74F95"/>
    <w:rsid w:val="00A844CE"/>
    <w:rsid w:val="00A969AA"/>
    <w:rsid w:val="00AA1650"/>
    <w:rsid w:val="00AA1F44"/>
    <w:rsid w:val="00AA532B"/>
    <w:rsid w:val="00AA7DA7"/>
    <w:rsid w:val="00AB037A"/>
    <w:rsid w:val="00AB1DA1"/>
    <w:rsid w:val="00AB1E9F"/>
    <w:rsid w:val="00AB213C"/>
    <w:rsid w:val="00AC38FC"/>
    <w:rsid w:val="00AC601C"/>
    <w:rsid w:val="00AD22D6"/>
    <w:rsid w:val="00AE3970"/>
    <w:rsid w:val="00AE5C2F"/>
    <w:rsid w:val="00B128DA"/>
    <w:rsid w:val="00B166B5"/>
    <w:rsid w:val="00B229E8"/>
    <w:rsid w:val="00B36AE5"/>
    <w:rsid w:val="00B377A6"/>
    <w:rsid w:val="00B41490"/>
    <w:rsid w:val="00B43F53"/>
    <w:rsid w:val="00B51830"/>
    <w:rsid w:val="00B5347B"/>
    <w:rsid w:val="00B53DBF"/>
    <w:rsid w:val="00B6153A"/>
    <w:rsid w:val="00B70D43"/>
    <w:rsid w:val="00B76673"/>
    <w:rsid w:val="00B80236"/>
    <w:rsid w:val="00B817CE"/>
    <w:rsid w:val="00B81928"/>
    <w:rsid w:val="00B84E4B"/>
    <w:rsid w:val="00B85929"/>
    <w:rsid w:val="00BA5320"/>
    <w:rsid w:val="00BA5D82"/>
    <w:rsid w:val="00BA6348"/>
    <w:rsid w:val="00BA71F9"/>
    <w:rsid w:val="00BC7714"/>
    <w:rsid w:val="00BD72DB"/>
    <w:rsid w:val="00BD7EE2"/>
    <w:rsid w:val="00C2220F"/>
    <w:rsid w:val="00C2544B"/>
    <w:rsid w:val="00C31001"/>
    <w:rsid w:val="00C32BF0"/>
    <w:rsid w:val="00C52F3D"/>
    <w:rsid w:val="00C5343A"/>
    <w:rsid w:val="00C574B9"/>
    <w:rsid w:val="00C62767"/>
    <w:rsid w:val="00C64A46"/>
    <w:rsid w:val="00C7444A"/>
    <w:rsid w:val="00C813E3"/>
    <w:rsid w:val="00C85B79"/>
    <w:rsid w:val="00C9343E"/>
    <w:rsid w:val="00C93537"/>
    <w:rsid w:val="00C96675"/>
    <w:rsid w:val="00CA4F2A"/>
    <w:rsid w:val="00CB42A2"/>
    <w:rsid w:val="00CC2647"/>
    <w:rsid w:val="00CD3B05"/>
    <w:rsid w:val="00CD4AFB"/>
    <w:rsid w:val="00CE0024"/>
    <w:rsid w:val="00CF0172"/>
    <w:rsid w:val="00CF0276"/>
    <w:rsid w:val="00D02E4E"/>
    <w:rsid w:val="00D05BAD"/>
    <w:rsid w:val="00D06BDC"/>
    <w:rsid w:val="00D156C1"/>
    <w:rsid w:val="00D179DA"/>
    <w:rsid w:val="00D24B9B"/>
    <w:rsid w:val="00D2517E"/>
    <w:rsid w:val="00D34F99"/>
    <w:rsid w:val="00D52BC9"/>
    <w:rsid w:val="00D80778"/>
    <w:rsid w:val="00D86AE7"/>
    <w:rsid w:val="00D92C6D"/>
    <w:rsid w:val="00DB1C05"/>
    <w:rsid w:val="00DB4683"/>
    <w:rsid w:val="00DB65C7"/>
    <w:rsid w:val="00DD48E5"/>
    <w:rsid w:val="00E12786"/>
    <w:rsid w:val="00E12A5E"/>
    <w:rsid w:val="00E20B3D"/>
    <w:rsid w:val="00E30971"/>
    <w:rsid w:val="00E31244"/>
    <w:rsid w:val="00E35C34"/>
    <w:rsid w:val="00E45A11"/>
    <w:rsid w:val="00E53D4B"/>
    <w:rsid w:val="00E56A98"/>
    <w:rsid w:val="00E63F54"/>
    <w:rsid w:val="00E671DB"/>
    <w:rsid w:val="00E672ED"/>
    <w:rsid w:val="00E736B8"/>
    <w:rsid w:val="00E87A90"/>
    <w:rsid w:val="00E90BDA"/>
    <w:rsid w:val="00E93BFF"/>
    <w:rsid w:val="00E97211"/>
    <w:rsid w:val="00E97CEE"/>
    <w:rsid w:val="00EA1C18"/>
    <w:rsid w:val="00EA552B"/>
    <w:rsid w:val="00EB1DBA"/>
    <w:rsid w:val="00EE3D96"/>
    <w:rsid w:val="00EE7CDD"/>
    <w:rsid w:val="00EF3D01"/>
    <w:rsid w:val="00F12EC7"/>
    <w:rsid w:val="00F14D75"/>
    <w:rsid w:val="00F15BD8"/>
    <w:rsid w:val="00F26DBD"/>
    <w:rsid w:val="00F2738F"/>
    <w:rsid w:val="00F273D7"/>
    <w:rsid w:val="00F27B72"/>
    <w:rsid w:val="00F35D3A"/>
    <w:rsid w:val="00F47404"/>
    <w:rsid w:val="00F51849"/>
    <w:rsid w:val="00F56F8A"/>
    <w:rsid w:val="00F7726E"/>
    <w:rsid w:val="00F824B4"/>
    <w:rsid w:val="00F97487"/>
    <w:rsid w:val="00FA5597"/>
    <w:rsid w:val="00FC0BBA"/>
    <w:rsid w:val="00FC0D2E"/>
    <w:rsid w:val="00FC2432"/>
    <w:rsid w:val="00FD40B7"/>
    <w:rsid w:val="00FD61D9"/>
    <w:rsid w:val="00FE02DE"/>
    <w:rsid w:val="00FE0DC6"/>
    <w:rsid w:val="00FE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75064-1CC7-40F7-B8A0-7DEF0D80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601C"/>
    <w:pPr>
      <w:spacing w:before="120" w:after="120" w:line="360" w:lineRule="auto"/>
    </w:pPr>
    <w:rPr>
      <w:rFonts w:ascii="Arial" w:eastAsia="Calibri"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numberedtext">
    <w:name w:val="Unnumbered text"/>
    <w:basedOn w:val="Normal"/>
    <w:qFormat/>
    <w:rsid w:val="00AC601C"/>
    <w:pPr>
      <w:jc w:val="both"/>
    </w:pPr>
  </w:style>
  <w:style w:type="paragraph" w:customStyle="1" w:styleId="Textinlines">
    <w:name w:val="Text in lines"/>
    <w:basedOn w:val="Normal"/>
    <w:next w:val="Unnumberedtext"/>
    <w:uiPriority w:val="1"/>
    <w:qFormat/>
    <w:rsid w:val="00AC601C"/>
    <w:pPr>
      <w:pBdr>
        <w:top w:val="single" w:sz="12" w:space="6" w:color="auto"/>
        <w:bottom w:val="single" w:sz="12" w:space="1" w:color="auto"/>
      </w:pBdr>
      <w:tabs>
        <w:tab w:val="left" w:pos="5954"/>
      </w:tabs>
      <w:spacing w:before="480" w:after="480"/>
      <w:jc w:val="center"/>
    </w:pPr>
    <w:rPr>
      <w:b/>
      <w:caps/>
    </w:rPr>
  </w:style>
  <w:style w:type="paragraph" w:styleId="BalloonText">
    <w:name w:val="Balloon Text"/>
    <w:basedOn w:val="Normal"/>
    <w:link w:val="BalloonTextChar"/>
    <w:uiPriority w:val="99"/>
    <w:semiHidden/>
    <w:unhideWhenUsed/>
    <w:rsid w:val="00D52B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BC9"/>
    <w:rPr>
      <w:rFonts w:ascii="Segoe UI" w:eastAsia="Calibri" w:hAnsi="Segoe UI" w:cs="Segoe UI"/>
      <w:sz w:val="18"/>
      <w:szCs w:val="18"/>
      <w:lang w:val="en-ZA"/>
    </w:rPr>
  </w:style>
  <w:style w:type="paragraph" w:styleId="FootnoteText">
    <w:name w:val="footnote text"/>
    <w:basedOn w:val="Normal"/>
    <w:link w:val="FootnoteTextChar"/>
    <w:uiPriority w:val="99"/>
    <w:semiHidden/>
    <w:unhideWhenUsed/>
    <w:rsid w:val="007C6F91"/>
    <w:pPr>
      <w:spacing w:before="0" w:after="0" w:line="240" w:lineRule="auto"/>
    </w:pPr>
    <w:rPr>
      <w:sz w:val="20"/>
    </w:rPr>
  </w:style>
  <w:style w:type="character" w:customStyle="1" w:styleId="FootnoteTextChar">
    <w:name w:val="Footnote Text Char"/>
    <w:basedOn w:val="DefaultParagraphFont"/>
    <w:link w:val="FootnoteText"/>
    <w:uiPriority w:val="99"/>
    <w:semiHidden/>
    <w:rsid w:val="007C6F91"/>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7C6F91"/>
    <w:rPr>
      <w:vertAlign w:val="superscript"/>
    </w:rPr>
  </w:style>
  <w:style w:type="paragraph" w:styleId="ListParagraph">
    <w:name w:val="List Paragraph"/>
    <w:basedOn w:val="Normal"/>
    <w:uiPriority w:val="34"/>
    <w:qFormat/>
    <w:rsid w:val="0098632B"/>
    <w:pPr>
      <w:ind w:left="720"/>
      <w:contextualSpacing/>
    </w:pPr>
  </w:style>
  <w:style w:type="paragraph" w:styleId="Header">
    <w:name w:val="header"/>
    <w:basedOn w:val="Normal"/>
    <w:link w:val="HeaderChar"/>
    <w:uiPriority w:val="99"/>
    <w:unhideWhenUsed/>
    <w:rsid w:val="002D707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D7072"/>
    <w:rPr>
      <w:rFonts w:ascii="Arial" w:eastAsia="Calibri" w:hAnsi="Arial" w:cs="Times New Roman"/>
      <w:sz w:val="24"/>
      <w:szCs w:val="20"/>
      <w:lang w:val="en-ZA"/>
    </w:rPr>
  </w:style>
  <w:style w:type="paragraph" w:styleId="Footer">
    <w:name w:val="footer"/>
    <w:basedOn w:val="Normal"/>
    <w:link w:val="FooterChar"/>
    <w:uiPriority w:val="99"/>
    <w:unhideWhenUsed/>
    <w:rsid w:val="002D707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D7072"/>
    <w:rPr>
      <w:rFonts w:ascii="Arial" w:eastAsia="Calibri" w:hAnsi="Arial" w:cs="Times New Roman"/>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1BC95-F941-4E98-B533-F41EE6DD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4872</Words>
  <Characters>27773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Mornay Moolman</dc:creator>
  <cp:keywords/>
  <dc:description/>
  <cp:lastModifiedBy>Lazarus Rakgwale</cp:lastModifiedBy>
  <cp:revision>2</cp:revision>
  <cp:lastPrinted>2022-09-08T11:02:00Z</cp:lastPrinted>
  <dcterms:created xsi:type="dcterms:W3CDTF">2022-09-13T13:41:00Z</dcterms:created>
  <dcterms:modified xsi:type="dcterms:W3CDTF">2022-09-13T13:41:00Z</dcterms:modified>
</cp:coreProperties>
</file>