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C6" w:rsidRPr="00D65393" w:rsidRDefault="008A38C6" w:rsidP="008A38C6">
      <w:pPr>
        <w:jc w:val="center"/>
        <w:rPr>
          <w:rFonts w:ascii="Calibri" w:eastAsia="Times New Roman" w:hAnsi="Calibri" w:cs="Times New Roman"/>
          <w:b/>
          <w:sz w:val="20"/>
          <w:szCs w:val="20"/>
        </w:rPr>
      </w:pPr>
      <w:bookmarkStart w:id="0" w:name="_GoBack"/>
      <w:bookmarkEnd w:id="0"/>
      <w:r>
        <w:rPr>
          <w:rFonts w:ascii="Calibri" w:eastAsia="Times New Roman" w:hAnsi="Calibri" w:cs="Times New Roman"/>
          <w:b/>
          <w:noProof/>
          <w:sz w:val="20"/>
          <w:szCs w:val="20"/>
          <w:lang w:eastAsia="en-ZA"/>
        </w:rPr>
        <w:drawing>
          <wp:inline distT="0" distB="0" distL="0" distR="0" wp14:anchorId="343E1686" wp14:editId="4CF2E6E6">
            <wp:extent cx="1007745" cy="10077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inline>
        </w:drawing>
      </w:r>
    </w:p>
    <w:p w:rsidR="008A38C6" w:rsidRPr="00D65393" w:rsidRDefault="008A38C6" w:rsidP="008A38C6">
      <w:pPr>
        <w:jc w:val="center"/>
        <w:rPr>
          <w:rFonts w:ascii="Arial" w:eastAsia="Times New Roman" w:hAnsi="Arial" w:cs="Arial"/>
          <w:b/>
          <w:sz w:val="20"/>
          <w:szCs w:val="20"/>
        </w:rPr>
      </w:pPr>
      <w:r w:rsidRPr="00D65393">
        <w:rPr>
          <w:rFonts w:ascii="Arial" w:eastAsia="Times New Roman" w:hAnsi="Arial" w:cs="Arial"/>
          <w:b/>
          <w:sz w:val="20"/>
          <w:szCs w:val="20"/>
        </w:rPr>
        <w:t>IN THE HIGH COURT OF SOUTH AFRICA</w:t>
      </w:r>
    </w:p>
    <w:p w:rsidR="008A38C6" w:rsidRPr="00D65393" w:rsidRDefault="008A38C6" w:rsidP="008A38C6">
      <w:pPr>
        <w:jc w:val="center"/>
        <w:rPr>
          <w:rFonts w:ascii="Arial" w:eastAsia="Times New Roman" w:hAnsi="Arial" w:cs="Arial"/>
          <w:b/>
          <w:sz w:val="20"/>
          <w:szCs w:val="20"/>
        </w:rPr>
      </w:pPr>
      <w:r w:rsidRPr="00D65393">
        <w:rPr>
          <w:rFonts w:ascii="Arial" w:eastAsia="Times New Roman" w:hAnsi="Arial" w:cs="Arial"/>
          <w:b/>
          <w:sz w:val="20"/>
          <w:szCs w:val="20"/>
        </w:rPr>
        <w:t>GAUTENG LOCAL DIVISION, JOHANNESBURG</w:t>
      </w:r>
    </w:p>
    <w:p w:rsidR="008A38C6" w:rsidRPr="00D65393" w:rsidRDefault="008A38C6" w:rsidP="008A38C6">
      <w:pPr>
        <w:jc w:val="right"/>
        <w:rPr>
          <w:rFonts w:ascii="Arial" w:eastAsia="Times New Roman" w:hAnsi="Arial" w:cs="Arial"/>
          <w:b/>
          <w:sz w:val="20"/>
          <w:szCs w:val="20"/>
        </w:rPr>
      </w:pPr>
      <w:r w:rsidRPr="00D65393">
        <w:rPr>
          <w:rFonts w:ascii="Arial" w:eastAsia="Times New Roman" w:hAnsi="Arial" w:cs="Arial"/>
          <w:b/>
          <w:sz w:val="20"/>
          <w:szCs w:val="20"/>
        </w:rPr>
        <w:t>CASE NO:   SS 40/2006</w:t>
      </w:r>
    </w:p>
    <w:p w:rsidR="008A38C6" w:rsidRPr="00D65393" w:rsidRDefault="008A38C6" w:rsidP="008A38C6">
      <w:pPr>
        <w:jc w:val="both"/>
        <w:rPr>
          <w:rFonts w:ascii="Calibri" w:eastAsia="Times New Roman" w:hAnsi="Calibri" w:cs="Times New Roman"/>
          <w:sz w:val="20"/>
          <w:szCs w:val="20"/>
          <w:lang w:val="en-US"/>
        </w:rPr>
      </w:pPr>
      <w:r>
        <w:rPr>
          <w:rFonts w:ascii="Calibri" w:eastAsia="Times New Roman" w:hAnsi="Calibri" w:cs="Times New Roman"/>
          <w:noProof/>
          <w:sz w:val="20"/>
          <w:szCs w:val="20"/>
          <w:lang w:eastAsia="en-ZA"/>
        </w:rPr>
        <mc:AlternateContent>
          <mc:Choice Requires="wps">
            <w:drawing>
              <wp:anchor distT="0" distB="0" distL="114300" distR="114300" simplePos="0" relativeHeight="251659264" behindDoc="0" locked="0" layoutInCell="1" allowOverlap="1" wp14:anchorId="1D90E5B1" wp14:editId="5AC86C80">
                <wp:simplePos x="0" y="0"/>
                <wp:positionH relativeFrom="column">
                  <wp:posOffset>0</wp:posOffset>
                </wp:positionH>
                <wp:positionV relativeFrom="paragraph">
                  <wp:posOffset>154940</wp:posOffset>
                </wp:positionV>
                <wp:extent cx="3314700" cy="1602105"/>
                <wp:effectExtent l="9525" t="762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2105"/>
                        </a:xfrm>
                        <a:prstGeom prst="rect">
                          <a:avLst/>
                        </a:prstGeom>
                        <a:solidFill>
                          <a:srgbClr val="FFFFFF"/>
                        </a:solidFill>
                        <a:ln w="9525">
                          <a:solidFill>
                            <a:srgbClr val="000000"/>
                          </a:solidFill>
                          <a:miter lim="800000"/>
                          <a:headEnd/>
                          <a:tailEnd/>
                        </a:ln>
                      </wps:spPr>
                      <wps:txbx>
                        <w:txbxContent>
                          <w:p w:rsidR="004E52BC" w:rsidRPr="00913F95" w:rsidRDefault="004E52BC" w:rsidP="008A38C6">
                            <w:pPr>
                              <w:jc w:val="center"/>
                              <w:rPr>
                                <w:rFonts w:ascii="Century Gothic" w:hAnsi="Century Gothic"/>
                                <w:b/>
                                <w:sz w:val="20"/>
                                <w:szCs w:val="20"/>
                              </w:rPr>
                            </w:pPr>
                          </w:p>
                          <w:p w:rsidR="004E52BC" w:rsidRDefault="004E52BC" w:rsidP="008A38C6">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w:t>
                            </w:r>
                            <w:r>
                              <w:rPr>
                                <w:rFonts w:ascii="Century Gothic" w:hAnsi="Century Gothic"/>
                                <w:b/>
                                <w:sz w:val="20"/>
                                <w:szCs w:val="20"/>
                              </w:rPr>
                              <w:t>NO</w:t>
                            </w:r>
                          </w:p>
                          <w:p w:rsidR="004E52BC" w:rsidRPr="00913F95" w:rsidRDefault="004E52BC" w:rsidP="008A38C6">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b/>
                                <w:sz w:val="20"/>
                                <w:szCs w:val="20"/>
                              </w:rPr>
                              <w:t xml:space="preserve"> </w:t>
                            </w:r>
                            <w:r w:rsidRPr="001B2DCB">
                              <w:rPr>
                                <w:rFonts w:ascii="Century Gothic" w:hAnsi="Century Gothic"/>
                                <w:b/>
                                <w:sz w:val="20"/>
                                <w:szCs w:val="20"/>
                              </w:rPr>
                              <w:t>YES</w:t>
                            </w:r>
                          </w:p>
                          <w:p w:rsidR="004E52BC" w:rsidRPr="00913F95" w:rsidRDefault="004E52BC" w:rsidP="008A38C6">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YES</w:t>
                            </w:r>
                          </w:p>
                          <w:p w:rsidR="004E52BC" w:rsidRDefault="004E52BC" w:rsidP="008A38C6">
                            <w:pPr>
                              <w:rPr>
                                <w:rFonts w:ascii="Century Gothic" w:hAnsi="Century Gothic"/>
                                <w:b/>
                                <w:sz w:val="18"/>
                                <w:szCs w:val="18"/>
                              </w:rPr>
                            </w:pPr>
                          </w:p>
                          <w:p w:rsidR="004E52BC" w:rsidRPr="00084341" w:rsidRDefault="004E52BC" w:rsidP="008A38C6">
                            <w:pPr>
                              <w:rPr>
                                <w:rFonts w:ascii="Century Gothic" w:hAnsi="Century Gothic"/>
                                <w:b/>
                                <w:sz w:val="18"/>
                                <w:szCs w:val="18"/>
                              </w:rPr>
                            </w:pPr>
                            <w:r w:rsidRPr="00084341">
                              <w:rPr>
                                <w:rFonts w:ascii="Century Gothic" w:hAnsi="Century Gothic"/>
                                <w:b/>
                                <w:sz w:val="18"/>
                                <w:szCs w:val="18"/>
                              </w:rPr>
                              <w:t xml:space="preserve">         </w:t>
                            </w:r>
                            <w:r w:rsidR="001B2DCB">
                              <w:rPr>
                                <w:rFonts w:ascii="Century Gothic" w:hAnsi="Century Gothic"/>
                                <w:b/>
                                <w:sz w:val="18"/>
                                <w:szCs w:val="18"/>
                              </w:rPr>
                              <w:t>11 August 2022</w:t>
                            </w:r>
                            <w:r w:rsidRPr="00084341">
                              <w:rPr>
                                <w:rFonts w:ascii="Century Gothic" w:hAnsi="Century Gothic"/>
                                <w:b/>
                                <w:sz w:val="18"/>
                                <w:szCs w:val="18"/>
                              </w:rPr>
                              <w:tab/>
                            </w:r>
                            <w:r w:rsidRPr="00084341">
                              <w:rPr>
                                <w:rFonts w:ascii="Century Gothic" w:hAnsi="Century Gothic"/>
                                <w:b/>
                                <w:sz w:val="18"/>
                                <w:szCs w:val="18"/>
                              </w:rPr>
                              <w:tab/>
                              <w:t>………………………...</w:t>
                            </w:r>
                          </w:p>
                          <w:p w:rsidR="004E52BC" w:rsidRPr="00084341" w:rsidRDefault="004E52BC" w:rsidP="008A38C6">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0E5B1" id="_x0000_t202" coordsize="21600,21600" o:spt="202" path="m,l,21600r21600,l21600,xe">
                <v:stroke joinstyle="miter"/>
                <v:path gradientshapeok="t" o:connecttype="rect"/>
              </v:shapetype>
              <v:shape id="Text Box 1" o:spid="_x0000_s1026" type="#_x0000_t202" style="position:absolute;left:0;text-align:left;margin-left:0;margin-top:12.2pt;width:261pt;height:1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">
                <v:textbox>
                  <w:txbxContent>
                    <w:p w:rsidR="004E52BC" w:rsidRPr="00913F95" w:rsidRDefault="004E52BC" w:rsidP="008A38C6">
                      <w:pPr>
                        <w:jc w:val="center"/>
                        <w:rPr>
                          <w:rFonts w:ascii="Century Gothic" w:hAnsi="Century Gothic"/>
                          <w:b/>
                          <w:sz w:val="20"/>
                          <w:szCs w:val="20"/>
                        </w:rPr>
                      </w:pPr>
                    </w:p>
                    <w:p w:rsidR="004E52BC" w:rsidRDefault="004E52BC" w:rsidP="008A38C6">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Pr>
                          <w:rFonts w:ascii="Century Gothic" w:hAnsi="Century Gothic"/>
                          <w:sz w:val="20"/>
                          <w:szCs w:val="20"/>
                        </w:rPr>
                        <w:t xml:space="preserve"> </w:t>
                      </w:r>
                      <w:r>
                        <w:rPr>
                          <w:rFonts w:ascii="Century Gothic" w:hAnsi="Century Gothic"/>
                          <w:b/>
                          <w:sz w:val="20"/>
                          <w:szCs w:val="20"/>
                        </w:rPr>
                        <w:t>NO</w:t>
                      </w:r>
                    </w:p>
                    <w:p w:rsidR="004E52BC" w:rsidRPr="00913F95" w:rsidRDefault="004E52BC" w:rsidP="008A38C6">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b/>
                          <w:sz w:val="20"/>
                          <w:szCs w:val="20"/>
                        </w:rPr>
                        <w:t xml:space="preserve"> </w:t>
                      </w:r>
                      <w:r w:rsidRPr="001B2DCB">
                        <w:rPr>
                          <w:rFonts w:ascii="Century Gothic" w:hAnsi="Century Gothic"/>
                          <w:b/>
                          <w:sz w:val="20"/>
                          <w:szCs w:val="20"/>
                        </w:rPr>
                        <w:t>YES</w:t>
                      </w:r>
                    </w:p>
                    <w:p w:rsidR="004E52BC" w:rsidRPr="00913F95" w:rsidRDefault="004E52BC" w:rsidP="008A38C6">
                      <w:pPr>
                        <w:numPr>
                          <w:ilvl w:val="0"/>
                          <w:numId w:val="3"/>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YES</w:t>
                      </w:r>
                    </w:p>
                    <w:p w:rsidR="004E52BC" w:rsidRDefault="004E52BC" w:rsidP="008A38C6">
                      <w:pPr>
                        <w:rPr>
                          <w:rFonts w:ascii="Century Gothic" w:hAnsi="Century Gothic"/>
                          <w:b/>
                          <w:sz w:val="18"/>
                          <w:szCs w:val="18"/>
                        </w:rPr>
                      </w:pPr>
                    </w:p>
                    <w:p w:rsidR="004E52BC" w:rsidRPr="00084341" w:rsidRDefault="004E52BC" w:rsidP="008A38C6">
                      <w:pPr>
                        <w:rPr>
                          <w:rFonts w:ascii="Century Gothic" w:hAnsi="Century Gothic"/>
                          <w:b/>
                          <w:sz w:val="18"/>
                          <w:szCs w:val="18"/>
                        </w:rPr>
                      </w:pPr>
                      <w:r w:rsidRPr="00084341">
                        <w:rPr>
                          <w:rFonts w:ascii="Century Gothic" w:hAnsi="Century Gothic"/>
                          <w:b/>
                          <w:sz w:val="18"/>
                          <w:szCs w:val="18"/>
                        </w:rPr>
                        <w:t xml:space="preserve">         </w:t>
                      </w:r>
                      <w:r w:rsidR="001B2DCB">
                        <w:rPr>
                          <w:rFonts w:ascii="Century Gothic" w:hAnsi="Century Gothic"/>
                          <w:b/>
                          <w:sz w:val="18"/>
                          <w:szCs w:val="18"/>
                        </w:rPr>
                        <w:t>11 August 2022</w:t>
                      </w:r>
                      <w:r w:rsidRPr="00084341">
                        <w:rPr>
                          <w:rFonts w:ascii="Century Gothic" w:hAnsi="Century Gothic"/>
                          <w:b/>
                          <w:sz w:val="18"/>
                          <w:szCs w:val="18"/>
                        </w:rPr>
                        <w:tab/>
                      </w:r>
                      <w:r w:rsidRPr="00084341">
                        <w:rPr>
                          <w:rFonts w:ascii="Century Gothic" w:hAnsi="Century Gothic"/>
                          <w:b/>
                          <w:sz w:val="18"/>
                          <w:szCs w:val="18"/>
                        </w:rPr>
                        <w:tab/>
                        <w:t>………………………...</w:t>
                      </w:r>
                    </w:p>
                    <w:p w:rsidR="004E52BC" w:rsidRPr="00084341" w:rsidRDefault="004E52BC" w:rsidP="008A38C6">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8A38C6" w:rsidRPr="00D65393" w:rsidRDefault="008A38C6" w:rsidP="008A38C6">
      <w:pPr>
        <w:jc w:val="both"/>
        <w:rPr>
          <w:rFonts w:ascii="Calibri" w:eastAsia="Times New Roman" w:hAnsi="Calibri" w:cs="Times New Roman"/>
          <w:sz w:val="20"/>
          <w:szCs w:val="20"/>
          <w:lang w:val="en-US"/>
        </w:rPr>
      </w:pPr>
    </w:p>
    <w:p w:rsidR="008A38C6" w:rsidRPr="00D65393" w:rsidRDefault="008A38C6" w:rsidP="008A38C6">
      <w:pPr>
        <w:jc w:val="both"/>
        <w:rPr>
          <w:rFonts w:ascii="Calibri" w:eastAsia="Times New Roman" w:hAnsi="Calibri" w:cs="Times New Roman"/>
          <w:sz w:val="20"/>
          <w:szCs w:val="20"/>
          <w:lang w:val="en-US"/>
        </w:rPr>
      </w:pPr>
    </w:p>
    <w:p w:rsidR="008A38C6" w:rsidRPr="00D65393" w:rsidRDefault="008A38C6" w:rsidP="008A38C6">
      <w:pPr>
        <w:jc w:val="both"/>
        <w:rPr>
          <w:rFonts w:ascii="Calibri" w:eastAsia="Times New Roman" w:hAnsi="Calibri" w:cs="Times New Roman"/>
          <w:sz w:val="20"/>
          <w:szCs w:val="20"/>
          <w:lang w:val="en-US"/>
        </w:rPr>
      </w:pPr>
    </w:p>
    <w:p w:rsidR="008A38C6" w:rsidRPr="00D65393" w:rsidRDefault="008A38C6" w:rsidP="008A38C6">
      <w:pPr>
        <w:jc w:val="both"/>
        <w:rPr>
          <w:rFonts w:ascii="Calibri" w:eastAsia="Times New Roman" w:hAnsi="Calibri" w:cs="Times New Roman"/>
          <w:sz w:val="20"/>
          <w:szCs w:val="20"/>
          <w:lang w:val="en-US"/>
        </w:rPr>
      </w:pPr>
    </w:p>
    <w:p w:rsidR="008A38C6" w:rsidRPr="00D65393" w:rsidRDefault="008A38C6" w:rsidP="008A38C6">
      <w:pPr>
        <w:spacing w:line="240" w:lineRule="auto"/>
        <w:rPr>
          <w:rFonts w:ascii="Arial" w:eastAsia="Times New Roman" w:hAnsi="Arial" w:cs="Arial"/>
          <w:sz w:val="20"/>
          <w:szCs w:val="20"/>
          <w:lang w:val="en-US"/>
        </w:rPr>
      </w:pPr>
    </w:p>
    <w:p w:rsidR="008A38C6" w:rsidRPr="00D65393" w:rsidRDefault="008A38C6" w:rsidP="008A38C6">
      <w:pPr>
        <w:spacing w:line="240" w:lineRule="auto"/>
        <w:rPr>
          <w:rFonts w:ascii="Arial" w:eastAsia="Times New Roman" w:hAnsi="Arial" w:cs="Arial"/>
          <w:sz w:val="20"/>
          <w:szCs w:val="20"/>
          <w:lang w:val="en-US"/>
        </w:rPr>
      </w:pPr>
    </w:p>
    <w:tbl>
      <w:tblPr>
        <w:tblW w:w="5000" w:type="pct"/>
        <w:tblLook w:val="0000" w:firstRow="0" w:lastRow="0" w:firstColumn="0" w:lastColumn="0" w:noHBand="0" w:noVBand="0"/>
      </w:tblPr>
      <w:tblGrid>
        <w:gridCol w:w="6421"/>
        <w:gridCol w:w="2605"/>
      </w:tblGrid>
      <w:tr w:rsidR="008A38C6" w:rsidRPr="00D65393" w:rsidTr="00540506">
        <w:tc>
          <w:tcPr>
            <w:tcW w:w="3557" w:type="pct"/>
          </w:tcPr>
          <w:p w:rsidR="008A38C6" w:rsidRPr="00D65393" w:rsidRDefault="008A38C6" w:rsidP="00540506">
            <w:pPr>
              <w:spacing w:after="240" w:line="240" w:lineRule="auto"/>
              <w:rPr>
                <w:rFonts w:ascii="Arial" w:eastAsia="Times New Roman" w:hAnsi="Arial" w:cs="Arial"/>
                <w:b/>
                <w:spacing w:val="24"/>
                <w:sz w:val="18"/>
                <w:szCs w:val="18"/>
                <w:lang w:val="en-GB"/>
              </w:rPr>
            </w:pPr>
            <w:r w:rsidRPr="00D65393">
              <w:rPr>
                <w:rFonts w:ascii="Arial" w:eastAsia="Times New Roman" w:hAnsi="Arial" w:cs="Arial"/>
                <w:b/>
                <w:spacing w:val="24"/>
                <w:sz w:val="18"/>
                <w:szCs w:val="18"/>
                <w:lang w:val="en-GB"/>
              </w:rPr>
              <w:t>THE STATE</w:t>
            </w:r>
          </w:p>
          <w:p w:rsidR="008A38C6" w:rsidRPr="00D65393" w:rsidRDefault="008A38C6" w:rsidP="00540506">
            <w:pPr>
              <w:spacing w:after="240" w:line="240" w:lineRule="auto"/>
              <w:rPr>
                <w:rFonts w:ascii="Arial" w:eastAsia="Times New Roman" w:hAnsi="Arial" w:cs="Arial"/>
                <w:b/>
                <w:spacing w:val="24"/>
                <w:sz w:val="18"/>
                <w:szCs w:val="18"/>
                <w:lang w:val="en-GB"/>
              </w:rPr>
            </w:pPr>
            <w:r w:rsidRPr="00D65393">
              <w:rPr>
                <w:rFonts w:ascii="Arial" w:eastAsia="Times New Roman" w:hAnsi="Arial" w:cs="Arial"/>
                <w:b/>
                <w:spacing w:val="24"/>
                <w:sz w:val="18"/>
                <w:szCs w:val="18"/>
                <w:lang w:val="en-GB"/>
              </w:rPr>
              <w:t>v</w:t>
            </w:r>
          </w:p>
          <w:p w:rsidR="008A38C6" w:rsidRPr="00D65393" w:rsidRDefault="008A38C6" w:rsidP="00540506">
            <w:pPr>
              <w:spacing w:after="240" w:line="240" w:lineRule="auto"/>
              <w:rPr>
                <w:rFonts w:ascii="Arial" w:eastAsia="Times New Roman" w:hAnsi="Arial" w:cs="Arial"/>
                <w:b/>
                <w:spacing w:val="24"/>
                <w:sz w:val="18"/>
                <w:szCs w:val="18"/>
                <w:lang w:val="en-GB"/>
              </w:rPr>
            </w:pPr>
            <w:r>
              <w:rPr>
                <w:rFonts w:ascii="Arial" w:eastAsia="Times New Roman" w:hAnsi="Arial" w:cs="Arial"/>
                <w:b/>
                <w:spacing w:val="24"/>
                <w:sz w:val="18"/>
                <w:szCs w:val="18"/>
                <w:lang w:val="en-GB"/>
              </w:rPr>
              <w:t>PORRITT</w:t>
            </w:r>
            <w:r w:rsidRPr="00D65393">
              <w:rPr>
                <w:rFonts w:ascii="Arial" w:eastAsia="Times New Roman" w:hAnsi="Arial" w:cs="Arial"/>
                <w:b/>
                <w:spacing w:val="24"/>
                <w:sz w:val="18"/>
                <w:szCs w:val="18"/>
                <w:lang w:val="en-GB"/>
              </w:rPr>
              <w:t>, GARY PATRICK</w:t>
            </w:r>
          </w:p>
        </w:tc>
        <w:tc>
          <w:tcPr>
            <w:tcW w:w="1443" w:type="pct"/>
            <w:vAlign w:val="bottom"/>
          </w:tcPr>
          <w:p w:rsidR="008A38C6" w:rsidRPr="00D65393" w:rsidRDefault="008A38C6" w:rsidP="00540506">
            <w:pPr>
              <w:spacing w:line="240" w:lineRule="auto"/>
              <w:jc w:val="right"/>
              <w:rPr>
                <w:rFonts w:ascii="Arial" w:eastAsia="Times New Roman" w:hAnsi="Arial" w:cs="Arial"/>
                <w:sz w:val="18"/>
                <w:szCs w:val="18"/>
                <w:lang w:val="en-US"/>
              </w:rPr>
            </w:pPr>
            <w:r w:rsidRPr="00D65393">
              <w:rPr>
                <w:rFonts w:ascii="Arial" w:eastAsia="Times New Roman" w:hAnsi="Arial" w:cs="Arial"/>
                <w:sz w:val="18"/>
                <w:szCs w:val="18"/>
                <w:lang w:val="en-US"/>
              </w:rPr>
              <w:t>Accused no. 1</w:t>
            </w:r>
          </w:p>
        </w:tc>
      </w:tr>
      <w:tr w:rsidR="008A38C6" w:rsidRPr="00D65393" w:rsidTr="00540506">
        <w:tc>
          <w:tcPr>
            <w:tcW w:w="3557" w:type="pct"/>
          </w:tcPr>
          <w:p w:rsidR="008A38C6" w:rsidRPr="00D65393" w:rsidRDefault="008A38C6" w:rsidP="00540506">
            <w:pPr>
              <w:spacing w:after="240" w:line="240" w:lineRule="auto"/>
              <w:rPr>
                <w:rFonts w:ascii="Arial" w:eastAsia="Times New Roman" w:hAnsi="Arial" w:cs="Arial"/>
                <w:b/>
                <w:spacing w:val="24"/>
                <w:sz w:val="18"/>
                <w:szCs w:val="18"/>
                <w:lang w:val="en-GB"/>
              </w:rPr>
            </w:pPr>
            <w:r>
              <w:rPr>
                <w:rFonts w:ascii="Arial" w:eastAsia="Times New Roman" w:hAnsi="Arial" w:cs="Arial"/>
                <w:b/>
                <w:spacing w:val="24"/>
                <w:sz w:val="18"/>
                <w:szCs w:val="18"/>
                <w:lang w:val="en-GB"/>
              </w:rPr>
              <w:t>BENNETT</w:t>
            </w:r>
            <w:r w:rsidRPr="00D65393">
              <w:rPr>
                <w:rFonts w:ascii="Arial" w:eastAsia="Times New Roman" w:hAnsi="Arial" w:cs="Arial"/>
                <w:b/>
                <w:spacing w:val="24"/>
                <w:sz w:val="18"/>
                <w:szCs w:val="18"/>
                <w:lang w:val="en-GB"/>
              </w:rPr>
              <w:t>, SUSAN HILARY</w:t>
            </w:r>
          </w:p>
        </w:tc>
        <w:tc>
          <w:tcPr>
            <w:tcW w:w="1443" w:type="pct"/>
            <w:vAlign w:val="bottom"/>
          </w:tcPr>
          <w:p w:rsidR="008A38C6" w:rsidRPr="00D65393" w:rsidRDefault="008A38C6" w:rsidP="00540506">
            <w:pPr>
              <w:spacing w:line="240" w:lineRule="auto"/>
              <w:jc w:val="right"/>
              <w:rPr>
                <w:rFonts w:ascii="Arial" w:eastAsia="Times New Roman" w:hAnsi="Arial" w:cs="Arial"/>
                <w:sz w:val="18"/>
                <w:szCs w:val="18"/>
                <w:lang w:val="en-US"/>
              </w:rPr>
            </w:pPr>
            <w:r w:rsidRPr="00D65393">
              <w:rPr>
                <w:rFonts w:ascii="Arial" w:eastAsia="Times New Roman" w:hAnsi="Arial" w:cs="Arial"/>
                <w:sz w:val="18"/>
                <w:szCs w:val="18"/>
                <w:lang w:val="en-US"/>
              </w:rPr>
              <w:t>Accused no. 2</w:t>
            </w:r>
          </w:p>
          <w:p w:rsidR="008A38C6" w:rsidRPr="00D65393" w:rsidRDefault="008A38C6" w:rsidP="00540506">
            <w:pPr>
              <w:spacing w:line="240" w:lineRule="auto"/>
              <w:jc w:val="right"/>
              <w:rPr>
                <w:rFonts w:ascii="Arial" w:eastAsia="Times New Roman" w:hAnsi="Arial" w:cs="Arial"/>
                <w:b/>
                <w:spacing w:val="24"/>
                <w:sz w:val="18"/>
                <w:szCs w:val="18"/>
                <w:lang w:val="en-GB"/>
              </w:rPr>
            </w:pPr>
          </w:p>
        </w:tc>
      </w:tr>
    </w:tbl>
    <w:p w:rsidR="008A38C6" w:rsidRPr="00D65393" w:rsidRDefault="008A38C6" w:rsidP="008A38C6">
      <w:pPr>
        <w:pBdr>
          <w:bottom w:val="single" w:sz="12" w:space="1" w:color="auto"/>
        </w:pBdr>
        <w:spacing w:line="240" w:lineRule="auto"/>
        <w:rPr>
          <w:rFonts w:ascii="Arial" w:eastAsia="Times New Roman" w:hAnsi="Arial" w:cs="Arial"/>
          <w:sz w:val="20"/>
          <w:szCs w:val="20"/>
        </w:rPr>
      </w:pPr>
    </w:p>
    <w:p w:rsidR="008A38C6" w:rsidRDefault="00922E88" w:rsidP="008A38C6">
      <w:pPr>
        <w:spacing w:line="240" w:lineRule="auto"/>
        <w:jc w:val="center"/>
        <w:rPr>
          <w:rFonts w:ascii="Arial" w:eastAsia="Times New Roman" w:hAnsi="Arial" w:cs="Arial"/>
          <w:b/>
          <w:sz w:val="20"/>
          <w:szCs w:val="20"/>
        </w:rPr>
      </w:pPr>
      <w:r>
        <w:rPr>
          <w:rFonts w:ascii="Arial" w:eastAsia="Times New Roman" w:hAnsi="Arial" w:cs="Arial"/>
          <w:b/>
          <w:sz w:val="20"/>
          <w:szCs w:val="20"/>
        </w:rPr>
        <w:t xml:space="preserve">REASONS </w:t>
      </w:r>
      <w:r w:rsidR="003B05EF">
        <w:rPr>
          <w:rFonts w:ascii="Arial" w:eastAsia="Times New Roman" w:hAnsi="Arial" w:cs="Arial"/>
          <w:b/>
          <w:sz w:val="20"/>
          <w:szCs w:val="20"/>
        </w:rPr>
        <w:t>OF 11 AUGUST 2022</w:t>
      </w:r>
    </w:p>
    <w:p w:rsidR="008A38C6" w:rsidRPr="00D65393" w:rsidRDefault="00922E88" w:rsidP="008A38C6">
      <w:pPr>
        <w:spacing w:line="240" w:lineRule="auto"/>
        <w:jc w:val="center"/>
        <w:rPr>
          <w:rFonts w:ascii="Arial" w:eastAsia="Times New Roman" w:hAnsi="Arial" w:cs="Arial"/>
          <w:b/>
          <w:sz w:val="20"/>
          <w:szCs w:val="20"/>
        </w:rPr>
      </w:pPr>
      <w:r>
        <w:rPr>
          <w:rFonts w:ascii="Arial" w:eastAsia="Times New Roman" w:hAnsi="Arial" w:cs="Arial"/>
          <w:b/>
          <w:sz w:val="20"/>
          <w:szCs w:val="20"/>
        </w:rPr>
        <w:t xml:space="preserve">REGARDING </w:t>
      </w:r>
      <w:r w:rsidR="003B05EF">
        <w:rPr>
          <w:rFonts w:ascii="Arial" w:eastAsia="Times New Roman" w:hAnsi="Arial" w:cs="Arial"/>
          <w:b/>
          <w:sz w:val="20"/>
          <w:szCs w:val="20"/>
        </w:rPr>
        <w:t xml:space="preserve">BOTH </w:t>
      </w:r>
      <w:r w:rsidR="008A38C6">
        <w:rPr>
          <w:rFonts w:ascii="Arial" w:eastAsia="Times New Roman" w:hAnsi="Arial" w:cs="Arial"/>
          <w:b/>
          <w:sz w:val="20"/>
          <w:szCs w:val="20"/>
        </w:rPr>
        <w:t>ACCUSED</w:t>
      </w:r>
      <w:r w:rsidR="003B05EF">
        <w:rPr>
          <w:rFonts w:ascii="Arial" w:eastAsia="Times New Roman" w:hAnsi="Arial" w:cs="Arial"/>
          <w:b/>
          <w:sz w:val="20"/>
          <w:szCs w:val="20"/>
        </w:rPr>
        <w:t xml:space="preserve">’S </w:t>
      </w:r>
      <w:r w:rsidR="008A38C6">
        <w:rPr>
          <w:rFonts w:ascii="Arial" w:eastAsia="Times New Roman" w:hAnsi="Arial" w:cs="Arial"/>
          <w:b/>
          <w:sz w:val="20"/>
          <w:szCs w:val="20"/>
        </w:rPr>
        <w:t xml:space="preserve">CROSS-EXAMINATION OF </w:t>
      </w:r>
      <w:r w:rsidR="003B05EF">
        <w:rPr>
          <w:rFonts w:ascii="Arial" w:eastAsia="Times New Roman" w:hAnsi="Arial" w:cs="Arial"/>
          <w:b/>
          <w:sz w:val="20"/>
          <w:szCs w:val="20"/>
        </w:rPr>
        <w:t>MR RAMSAY</w:t>
      </w:r>
    </w:p>
    <w:p w:rsidR="008A38C6" w:rsidRPr="00D65393" w:rsidRDefault="008A38C6" w:rsidP="008A38C6">
      <w:pPr>
        <w:pBdr>
          <w:bottom w:val="single" w:sz="12" w:space="1" w:color="auto"/>
        </w:pBdr>
        <w:spacing w:line="240" w:lineRule="auto"/>
        <w:rPr>
          <w:rFonts w:ascii="Arial" w:eastAsia="Times New Roman" w:hAnsi="Arial" w:cs="Arial"/>
        </w:rPr>
      </w:pPr>
    </w:p>
    <w:p w:rsidR="008A38C6" w:rsidRPr="00A82108" w:rsidRDefault="008A38C6" w:rsidP="008A38C6">
      <w:pPr>
        <w:spacing w:line="360" w:lineRule="auto"/>
        <w:rPr>
          <w:rFonts w:ascii="Arial" w:eastAsia="Times New Roman" w:hAnsi="Arial" w:cs="Arial"/>
          <w:b/>
          <w:sz w:val="24"/>
          <w:szCs w:val="24"/>
        </w:rPr>
      </w:pPr>
      <w:r w:rsidRPr="00A82108">
        <w:rPr>
          <w:rFonts w:ascii="Arial" w:eastAsia="Times New Roman" w:hAnsi="Arial" w:cs="Arial"/>
          <w:b/>
          <w:sz w:val="24"/>
          <w:szCs w:val="24"/>
        </w:rPr>
        <w:t>SPILG, J:</w:t>
      </w:r>
    </w:p>
    <w:p w:rsidR="00A52ADC" w:rsidRPr="00A52ADC" w:rsidRDefault="00A52ADC" w:rsidP="008A38C6">
      <w:pPr>
        <w:spacing w:line="360" w:lineRule="auto"/>
        <w:rPr>
          <w:rFonts w:ascii="Arial" w:hAnsi="Arial" w:cs="Arial"/>
          <w:b/>
        </w:rPr>
      </w:pPr>
      <w:r w:rsidRPr="00A52ADC">
        <w:rPr>
          <w:rFonts w:ascii="Arial" w:hAnsi="Arial" w:cs="Arial"/>
          <w:b/>
        </w:rPr>
        <w:t>INTRODUCTION</w:t>
      </w:r>
    </w:p>
    <w:p w:rsidR="003B05EF" w:rsidRDefault="003B05EF" w:rsidP="00850F3A">
      <w:pPr>
        <w:pStyle w:val="ListParagraph"/>
        <w:numPr>
          <w:ilvl w:val="0"/>
          <w:numId w:val="1"/>
        </w:numPr>
        <w:spacing w:line="360" w:lineRule="auto"/>
        <w:rPr>
          <w:rFonts w:ascii="Arial" w:hAnsi="Arial" w:cs="Arial"/>
        </w:rPr>
      </w:pPr>
      <w:r>
        <w:rPr>
          <w:rFonts w:ascii="Arial" w:hAnsi="Arial" w:cs="Arial"/>
        </w:rPr>
        <w:t xml:space="preserve">On </w:t>
      </w:r>
      <w:r w:rsidR="00850F3A">
        <w:rPr>
          <w:rFonts w:ascii="Arial" w:hAnsi="Arial" w:cs="Arial"/>
        </w:rPr>
        <w:t xml:space="preserve">a number of </w:t>
      </w:r>
      <w:r w:rsidR="007C7BF9">
        <w:rPr>
          <w:rFonts w:ascii="Arial" w:hAnsi="Arial" w:cs="Arial"/>
        </w:rPr>
        <w:t>occasions</w:t>
      </w:r>
      <w:r w:rsidR="00850F3A">
        <w:rPr>
          <w:rFonts w:ascii="Arial" w:hAnsi="Arial" w:cs="Arial"/>
        </w:rPr>
        <w:t xml:space="preserve"> commencing , I believe, in early June 2018 </w:t>
      </w:r>
      <w:r>
        <w:rPr>
          <w:rFonts w:ascii="Arial" w:hAnsi="Arial" w:cs="Arial"/>
        </w:rPr>
        <w:t xml:space="preserve">this </w:t>
      </w:r>
      <w:r w:rsidR="00850F3A">
        <w:rPr>
          <w:rFonts w:ascii="Arial" w:hAnsi="Arial" w:cs="Arial"/>
        </w:rPr>
        <w:t>court w</w:t>
      </w:r>
      <w:r w:rsidR="007C7BF9">
        <w:rPr>
          <w:rFonts w:ascii="Arial" w:hAnsi="Arial" w:cs="Arial"/>
        </w:rPr>
        <w:t>as obliged to make</w:t>
      </w:r>
      <w:r w:rsidR="00850F3A">
        <w:rPr>
          <w:rFonts w:ascii="Arial" w:hAnsi="Arial" w:cs="Arial"/>
        </w:rPr>
        <w:t xml:space="preserve"> orders </w:t>
      </w:r>
      <w:r>
        <w:rPr>
          <w:rFonts w:ascii="Arial" w:hAnsi="Arial" w:cs="Arial"/>
        </w:rPr>
        <w:t xml:space="preserve">limiting </w:t>
      </w:r>
      <w:r w:rsidR="00850F3A">
        <w:rPr>
          <w:rFonts w:ascii="Arial" w:hAnsi="Arial" w:cs="Arial"/>
        </w:rPr>
        <w:t xml:space="preserve">firstly </w:t>
      </w:r>
      <w:r>
        <w:rPr>
          <w:rFonts w:ascii="Arial" w:hAnsi="Arial" w:cs="Arial"/>
        </w:rPr>
        <w:t>Mr Porritt’s</w:t>
      </w:r>
      <w:r w:rsidR="007C7BF9">
        <w:rPr>
          <w:rFonts w:ascii="Arial" w:hAnsi="Arial" w:cs="Arial"/>
        </w:rPr>
        <w:t xml:space="preserve"> and later Ms Bennett’s cross-</w:t>
      </w:r>
      <w:proofErr w:type="gramStart"/>
      <w:r w:rsidR="007C7BF9">
        <w:rPr>
          <w:rFonts w:ascii="Arial" w:hAnsi="Arial" w:cs="Arial"/>
        </w:rPr>
        <w:lastRenderedPageBreak/>
        <w:t>examination</w:t>
      </w:r>
      <w:proofErr w:type="gramEnd"/>
      <w:r w:rsidR="007C7BF9">
        <w:rPr>
          <w:rFonts w:ascii="Arial" w:hAnsi="Arial" w:cs="Arial"/>
        </w:rPr>
        <w:t xml:space="preserve"> of Mr Milne who was the first witness called by the prosecution  </w:t>
      </w:r>
      <w:r w:rsidR="00850F3A">
        <w:rPr>
          <w:rStyle w:val="FootnoteReference"/>
          <w:rFonts w:ascii="Arial" w:hAnsi="Arial" w:cs="Arial"/>
        </w:rPr>
        <w:footnoteReference w:id="1"/>
      </w:r>
      <w:r w:rsidR="009E6E79">
        <w:rPr>
          <w:rFonts w:ascii="Arial" w:hAnsi="Arial" w:cs="Arial"/>
        </w:rPr>
        <w:t>.</w:t>
      </w:r>
      <w:r w:rsidR="00850F3A">
        <w:rPr>
          <w:rFonts w:ascii="Arial" w:hAnsi="Arial" w:cs="Arial"/>
        </w:rPr>
        <w:t xml:space="preserve"> It did so because both accused </w:t>
      </w:r>
      <w:r w:rsidR="00850F3A" w:rsidRPr="00850F3A">
        <w:rPr>
          <w:rFonts w:ascii="Arial" w:hAnsi="Arial" w:cs="Arial"/>
        </w:rPr>
        <w:t>contin</w:t>
      </w:r>
      <w:r w:rsidR="00850F3A">
        <w:rPr>
          <w:rFonts w:ascii="Arial" w:hAnsi="Arial" w:cs="Arial"/>
        </w:rPr>
        <w:t>ued to unreasonably protract their</w:t>
      </w:r>
      <w:r w:rsidR="00850F3A" w:rsidRPr="00850F3A">
        <w:rPr>
          <w:rFonts w:ascii="Arial" w:hAnsi="Arial" w:cs="Arial"/>
        </w:rPr>
        <w:t xml:space="preserve"> cross-examination</w:t>
      </w:r>
      <w:r w:rsidR="007C7BF9">
        <w:rPr>
          <w:rFonts w:ascii="Arial" w:hAnsi="Arial" w:cs="Arial"/>
        </w:rPr>
        <w:t>.</w:t>
      </w:r>
    </w:p>
    <w:p w:rsidR="003B05EF" w:rsidRDefault="003B05EF" w:rsidP="003B05EF">
      <w:pPr>
        <w:pStyle w:val="ListParagraph"/>
        <w:spacing w:line="360" w:lineRule="auto"/>
        <w:ind w:left="360"/>
        <w:rPr>
          <w:rFonts w:ascii="Arial" w:hAnsi="Arial" w:cs="Arial"/>
        </w:rPr>
      </w:pPr>
    </w:p>
    <w:p w:rsidR="006B3423" w:rsidRDefault="003B05EF" w:rsidP="009E6E79">
      <w:pPr>
        <w:pStyle w:val="ListParagraph"/>
        <w:numPr>
          <w:ilvl w:val="0"/>
          <w:numId w:val="1"/>
        </w:numPr>
        <w:spacing w:line="360" w:lineRule="auto"/>
        <w:rPr>
          <w:rFonts w:ascii="Arial" w:hAnsi="Arial" w:cs="Arial"/>
        </w:rPr>
      </w:pPr>
      <w:r>
        <w:rPr>
          <w:rFonts w:ascii="Arial" w:hAnsi="Arial" w:cs="Arial"/>
        </w:rPr>
        <w:t xml:space="preserve">The necessity </w:t>
      </w:r>
      <w:r w:rsidR="009B196C">
        <w:rPr>
          <w:rFonts w:ascii="Arial" w:hAnsi="Arial" w:cs="Arial"/>
        </w:rPr>
        <w:t>for doi</w:t>
      </w:r>
      <w:r>
        <w:rPr>
          <w:rFonts w:ascii="Arial" w:hAnsi="Arial" w:cs="Arial"/>
        </w:rPr>
        <w:t xml:space="preserve">ng so </w:t>
      </w:r>
      <w:r w:rsidR="009B196C">
        <w:rPr>
          <w:rFonts w:ascii="Arial" w:hAnsi="Arial" w:cs="Arial"/>
        </w:rPr>
        <w:t xml:space="preserve">now in respect of </w:t>
      </w:r>
      <w:r w:rsidR="009E6E79">
        <w:rPr>
          <w:rFonts w:ascii="Arial" w:hAnsi="Arial" w:cs="Arial"/>
        </w:rPr>
        <w:t xml:space="preserve">the present state witness, </w:t>
      </w:r>
      <w:r w:rsidR="009B196C">
        <w:rPr>
          <w:rFonts w:ascii="Arial" w:hAnsi="Arial" w:cs="Arial"/>
        </w:rPr>
        <w:t>Mr Ramsay</w:t>
      </w:r>
      <w:r w:rsidR="007C7BF9">
        <w:rPr>
          <w:rFonts w:ascii="Arial" w:hAnsi="Arial" w:cs="Arial"/>
        </w:rPr>
        <w:t>,</w:t>
      </w:r>
      <w:r w:rsidR="009B196C">
        <w:rPr>
          <w:rFonts w:ascii="Arial" w:hAnsi="Arial" w:cs="Arial"/>
        </w:rPr>
        <w:t xml:space="preserve"> </w:t>
      </w:r>
      <w:r>
        <w:rPr>
          <w:rFonts w:ascii="Arial" w:hAnsi="Arial" w:cs="Arial"/>
        </w:rPr>
        <w:t xml:space="preserve">has not </w:t>
      </w:r>
      <w:r w:rsidR="009E6E79">
        <w:rPr>
          <w:rFonts w:ascii="Arial" w:hAnsi="Arial" w:cs="Arial"/>
        </w:rPr>
        <w:t>changed</w:t>
      </w:r>
      <w:r w:rsidR="009B196C">
        <w:rPr>
          <w:rFonts w:ascii="Arial" w:hAnsi="Arial" w:cs="Arial"/>
        </w:rPr>
        <w:t xml:space="preserve">.  </w:t>
      </w:r>
      <w:r w:rsidR="009E6E79">
        <w:rPr>
          <w:rFonts w:ascii="Arial" w:hAnsi="Arial" w:cs="Arial"/>
        </w:rPr>
        <w:t>A while ago</w:t>
      </w:r>
      <w:r w:rsidR="007C7BF9">
        <w:rPr>
          <w:rFonts w:ascii="Arial" w:hAnsi="Arial" w:cs="Arial"/>
        </w:rPr>
        <w:t>,</w:t>
      </w:r>
      <w:r w:rsidR="009E6E79">
        <w:rPr>
          <w:rFonts w:ascii="Arial" w:hAnsi="Arial" w:cs="Arial"/>
        </w:rPr>
        <w:t xml:space="preserve"> while Ramsay was being led in chief</w:t>
      </w:r>
      <w:r w:rsidR="007C7BF9">
        <w:rPr>
          <w:rFonts w:ascii="Arial" w:hAnsi="Arial" w:cs="Arial"/>
        </w:rPr>
        <w:t>,</w:t>
      </w:r>
      <w:r w:rsidR="009E6E79">
        <w:rPr>
          <w:rFonts w:ascii="Arial" w:hAnsi="Arial" w:cs="Arial"/>
        </w:rPr>
        <w:t xml:space="preserve"> Porritt told the court that the trial would carry on for another ten years and explained what he believed would be achieved. Bennett </w:t>
      </w:r>
      <w:r w:rsidR="006B3423">
        <w:rPr>
          <w:rFonts w:ascii="Arial" w:hAnsi="Arial" w:cs="Arial"/>
        </w:rPr>
        <w:t>did not disagree.</w:t>
      </w:r>
    </w:p>
    <w:p w:rsidR="006B3423" w:rsidRPr="006B3423" w:rsidRDefault="006B3423" w:rsidP="006B3423">
      <w:pPr>
        <w:pStyle w:val="ListParagraph"/>
        <w:rPr>
          <w:rFonts w:ascii="Arial" w:hAnsi="Arial" w:cs="Arial"/>
        </w:rPr>
      </w:pPr>
    </w:p>
    <w:p w:rsidR="006B3423" w:rsidRDefault="006B3423" w:rsidP="006B3423">
      <w:pPr>
        <w:pStyle w:val="ListParagraph"/>
        <w:numPr>
          <w:ilvl w:val="0"/>
          <w:numId w:val="1"/>
        </w:numPr>
        <w:spacing w:line="360" w:lineRule="auto"/>
        <w:rPr>
          <w:rFonts w:ascii="Arial" w:hAnsi="Arial" w:cs="Arial"/>
        </w:rPr>
      </w:pPr>
      <w:r w:rsidRPr="001B2DCB">
        <w:rPr>
          <w:rFonts w:ascii="Arial" w:hAnsi="Arial" w:cs="Arial"/>
        </w:rPr>
        <w:t xml:space="preserve">Recently Porritt said that it would take another three years, and then added for clarity, just </w:t>
      </w:r>
      <w:r w:rsidR="007C7BF9">
        <w:rPr>
          <w:rFonts w:ascii="Arial" w:hAnsi="Arial" w:cs="Arial"/>
        </w:rPr>
        <w:t xml:space="preserve">to </w:t>
      </w:r>
      <w:r w:rsidRPr="001B2DCB">
        <w:rPr>
          <w:rFonts w:ascii="Arial" w:hAnsi="Arial" w:cs="Arial"/>
        </w:rPr>
        <w:t>cross-</w:t>
      </w:r>
      <w:r w:rsidR="007C7BF9" w:rsidRPr="001B2DCB">
        <w:rPr>
          <w:rFonts w:ascii="Arial" w:hAnsi="Arial" w:cs="Arial"/>
        </w:rPr>
        <w:t>examin</w:t>
      </w:r>
      <w:r w:rsidR="007C7BF9">
        <w:rPr>
          <w:rFonts w:ascii="Arial" w:hAnsi="Arial" w:cs="Arial"/>
        </w:rPr>
        <w:t>e</w:t>
      </w:r>
      <w:r w:rsidRPr="001B2DCB">
        <w:rPr>
          <w:rFonts w:ascii="Arial" w:hAnsi="Arial" w:cs="Arial"/>
        </w:rPr>
        <w:t xml:space="preserve"> Ramsay. Bennett did not disagree at the time but last week, I believe it was, said that she cannot be associated with Porritt’s comments. </w:t>
      </w:r>
    </w:p>
    <w:p w:rsidR="006B3423" w:rsidRPr="006B3423" w:rsidRDefault="006B3423" w:rsidP="006B3423">
      <w:pPr>
        <w:pStyle w:val="ListParagraph"/>
        <w:rPr>
          <w:rFonts w:ascii="Arial" w:hAnsi="Arial" w:cs="Arial"/>
        </w:rPr>
      </w:pPr>
    </w:p>
    <w:p w:rsidR="006B3423" w:rsidRDefault="006B3423" w:rsidP="006B3423">
      <w:pPr>
        <w:pStyle w:val="ListParagraph"/>
        <w:spacing w:line="360" w:lineRule="auto"/>
        <w:ind w:left="360"/>
        <w:rPr>
          <w:rFonts w:ascii="Arial" w:hAnsi="Arial" w:cs="Arial"/>
        </w:rPr>
      </w:pPr>
      <w:r w:rsidRPr="001B2DCB">
        <w:rPr>
          <w:rFonts w:ascii="Arial" w:hAnsi="Arial" w:cs="Arial"/>
        </w:rPr>
        <w:t xml:space="preserve">The difficulty is that Bennett was the one who complained when I indicated some time back that it will </w:t>
      </w:r>
      <w:r w:rsidR="007C7BF9" w:rsidRPr="001B2DCB">
        <w:rPr>
          <w:rFonts w:ascii="Arial" w:hAnsi="Arial" w:cs="Arial"/>
        </w:rPr>
        <w:t>be necessary</w:t>
      </w:r>
      <w:r w:rsidRPr="001B2DCB">
        <w:rPr>
          <w:rFonts w:ascii="Arial" w:hAnsi="Arial" w:cs="Arial"/>
        </w:rPr>
        <w:t xml:space="preserve"> to </w:t>
      </w:r>
      <w:r w:rsidR="007C7BF9" w:rsidRPr="001B2DCB">
        <w:rPr>
          <w:rFonts w:ascii="Arial" w:hAnsi="Arial" w:cs="Arial"/>
        </w:rPr>
        <w:t>identify</w:t>
      </w:r>
      <w:r w:rsidRPr="001B2DCB">
        <w:rPr>
          <w:rFonts w:ascii="Arial" w:hAnsi="Arial" w:cs="Arial"/>
        </w:rPr>
        <w:t xml:space="preserve"> </w:t>
      </w:r>
      <w:r>
        <w:rPr>
          <w:rFonts w:ascii="Arial" w:hAnsi="Arial" w:cs="Arial"/>
        </w:rPr>
        <w:t>t</w:t>
      </w:r>
      <w:r w:rsidRPr="001B2DCB">
        <w:rPr>
          <w:rFonts w:ascii="Arial" w:hAnsi="Arial" w:cs="Arial"/>
        </w:rPr>
        <w:t xml:space="preserve">he issues that will have to be covered in the initial few weeks of cross-examination. As I recall </w:t>
      </w:r>
      <w:r w:rsidR="007C7BF9" w:rsidRPr="001B2DCB">
        <w:rPr>
          <w:rFonts w:ascii="Arial" w:hAnsi="Arial" w:cs="Arial"/>
        </w:rPr>
        <w:t>it,</w:t>
      </w:r>
      <w:r w:rsidRPr="001B2DCB">
        <w:rPr>
          <w:rFonts w:ascii="Arial" w:hAnsi="Arial" w:cs="Arial"/>
        </w:rPr>
        <w:t xml:space="preserve"> her </w:t>
      </w:r>
      <w:r w:rsidR="007C7BF9">
        <w:rPr>
          <w:rFonts w:ascii="Arial" w:hAnsi="Arial" w:cs="Arial"/>
        </w:rPr>
        <w:t>response</w:t>
      </w:r>
      <w:r w:rsidRPr="001B2DCB">
        <w:rPr>
          <w:rFonts w:ascii="Arial" w:hAnsi="Arial" w:cs="Arial"/>
        </w:rPr>
        <w:t xml:space="preserve"> was to the effect that this would</w:t>
      </w:r>
      <w:r w:rsidR="007C7BF9">
        <w:rPr>
          <w:rFonts w:ascii="Arial" w:hAnsi="Arial" w:cs="Arial"/>
        </w:rPr>
        <w:t xml:space="preserve"> impermissibly </w:t>
      </w:r>
      <w:r w:rsidRPr="001B2DCB">
        <w:rPr>
          <w:rFonts w:ascii="Arial" w:hAnsi="Arial" w:cs="Arial"/>
        </w:rPr>
        <w:t xml:space="preserve">limit </w:t>
      </w:r>
      <w:r w:rsidR="007C7BF9" w:rsidRPr="001B2DCB">
        <w:rPr>
          <w:rFonts w:ascii="Arial" w:hAnsi="Arial" w:cs="Arial"/>
        </w:rPr>
        <w:t>her entitlement</w:t>
      </w:r>
      <w:r w:rsidRPr="001B2DCB">
        <w:rPr>
          <w:rFonts w:ascii="Arial" w:hAnsi="Arial" w:cs="Arial"/>
        </w:rPr>
        <w:t xml:space="preserve"> to challenge Ramsay’s credibility, either </w:t>
      </w:r>
      <w:r w:rsidR="007C7BF9" w:rsidRPr="001B2DCB">
        <w:rPr>
          <w:rFonts w:ascii="Arial" w:hAnsi="Arial" w:cs="Arial"/>
        </w:rPr>
        <w:t>stating</w:t>
      </w:r>
      <w:r w:rsidRPr="001B2DCB">
        <w:rPr>
          <w:rFonts w:ascii="Arial" w:hAnsi="Arial" w:cs="Arial"/>
        </w:rPr>
        <w:t xml:space="preserve"> or implying that </w:t>
      </w:r>
      <w:r>
        <w:rPr>
          <w:rFonts w:ascii="Arial" w:hAnsi="Arial" w:cs="Arial"/>
        </w:rPr>
        <w:t xml:space="preserve">just testing </w:t>
      </w:r>
      <w:r w:rsidR="007C7BF9">
        <w:rPr>
          <w:rFonts w:ascii="Arial" w:hAnsi="Arial" w:cs="Arial"/>
        </w:rPr>
        <w:t>Ram</w:t>
      </w:r>
      <w:r w:rsidRPr="001B2DCB">
        <w:rPr>
          <w:rFonts w:ascii="Arial" w:hAnsi="Arial" w:cs="Arial"/>
        </w:rPr>
        <w:t>say’s credibility could take up the whole of that period</w:t>
      </w:r>
      <w:r>
        <w:rPr>
          <w:rFonts w:ascii="Arial" w:hAnsi="Arial" w:cs="Arial"/>
        </w:rPr>
        <w:t xml:space="preserve">. </w:t>
      </w:r>
      <w:r w:rsidRPr="001B2DCB">
        <w:rPr>
          <w:rFonts w:ascii="Arial" w:hAnsi="Arial" w:cs="Arial"/>
        </w:rPr>
        <w:t xml:space="preserve"> </w:t>
      </w:r>
    </w:p>
    <w:p w:rsidR="005B1256" w:rsidRDefault="005B1256" w:rsidP="006B3423">
      <w:pPr>
        <w:pStyle w:val="ListParagraph"/>
        <w:spacing w:line="360" w:lineRule="auto"/>
        <w:ind w:left="360"/>
        <w:rPr>
          <w:rFonts w:ascii="Arial" w:hAnsi="Arial" w:cs="Arial"/>
        </w:rPr>
      </w:pPr>
    </w:p>
    <w:p w:rsidR="00833B30" w:rsidRDefault="006B3423" w:rsidP="006B3423">
      <w:pPr>
        <w:pStyle w:val="ListParagraph"/>
        <w:spacing w:line="360" w:lineRule="auto"/>
        <w:ind w:left="360"/>
        <w:rPr>
          <w:rFonts w:ascii="Arial" w:hAnsi="Arial" w:cs="Arial"/>
        </w:rPr>
      </w:pPr>
      <w:r>
        <w:rPr>
          <w:rFonts w:ascii="Arial" w:hAnsi="Arial" w:cs="Arial"/>
        </w:rPr>
        <w:t xml:space="preserve">The issue of protracted cross-examination is </w:t>
      </w:r>
      <w:r w:rsidR="004465B6">
        <w:rPr>
          <w:rFonts w:ascii="Arial" w:hAnsi="Arial" w:cs="Arial"/>
        </w:rPr>
        <w:t xml:space="preserve">an </w:t>
      </w:r>
      <w:r w:rsidR="007C7BF9">
        <w:rPr>
          <w:rFonts w:ascii="Arial" w:hAnsi="Arial" w:cs="Arial"/>
        </w:rPr>
        <w:t>aspect</w:t>
      </w:r>
      <w:r w:rsidR="004465B6">
        <w:rPr>
          <w:rFonts w:ascii="Arial" w:hAnsi="Arial" w:cs="Arial"/>
        </w:rPr>
        <w:t xml:space="preserve"> of trial delay and it is not just Porritt who has been found to be </w:t>
      </w:r>
      <w:r w:rsidR="007C7BF9">
        <w:rPr>
          <w:rFonts w:ascii="Arial" w:hAnsi="Arial" w:cs="Arial"/>
        </w:rPr>
        <w:t>adopting</w:t>
      </w:r>
      <w:r w:rsidR="004465B6">
        <w:rPr>
          <w:rFonts w:ascii="Arial" w:hAnsi="Arial" w:cs="Arial"/>
        </w:rPr>
        <w:t xml:space="preserve"> a </w:t>
      </w:r>
      <w:r w:rsidR="007C7BF9">
        <w:rPr>
          <w:rFonts w:ascii="Arial" w:hAnsi="Arial" w:cs="Arial"/>
        </w:rPr>
        <w:t>stratagem</w:t>
      </w:r>
      <w:r w:rsidR="004465B6">
        <w:rPr>
          <w:rFonts w:ascii="Arial" w:hAnsi="Arial" w:cs="Arial"/>
        </w:rPr>
        <w:t xml:space="preserve"> of delay </w:t>
      </w:r>
      <w:r w:rsidR="007C7BF9">
        <w:rPr>
          <w:rFonts w:ascii="Arial" w:hAnsi="Arial" w:cs="Arial"/>
        </w:rPr>
        <w:t>by</w:t>
      </w:r>
      <w:r w:rsidR="004465B6">
        <w:rPr>
          <w:rFonts w:ascii="Arial" w:hAnsi="Arial" w:cs="Arial"/>
        </w:rPr>
        <w:t xml:space="preserve"> this court</w:t>
      </w:r>
      <w:r w:rsidR="007C7BF9">
        <w:rPr>
          <w:rFonts w:ascii="Arial" w:hAnsi="Arial" w:cs="Arial"/>
        </w:rPr>
        <w:t>;</w:t>
      </w:r>
      <w:r w:rsidR="004465B6">
        <w:rPr>
          <w:rFonts w:ascii="Arial" w:hAnsi="Arial" w:cs="Arial"/>
        </w:rPr>
        <w:t xml:space="preserve"> Bennett has too. The </w:t>
      </w:r>
      <w:r w:rsidR="009E6E79" w:rsidRPr="009E6E79">
        <w:rPr>
          <w:rFonts w:ascii="Arial" w:hAnsi="Arial" w:cs="Arial"/>
        </w:rPr>
        <w:t xml:space="preserve">Supreme Court of Appeal </w:t>
      </w:r>
      <w:r w:rsidR="004465B6">
        <w:rPr>
          <w:rFonts w:ascii="Arial" w:hAnsi="Arial" w:cs="Arial"/>
        </w:rPr>
        <w:t xml:space="preserve">also </w:t>
      </w:r>
      <w:r w:rsidR="009E6E79">
        <w:rPr>
          <w:rFonts w:ascii="Arial" w:hAnsi="Arial" w:cs="Arial"/>
        </w:rPr>
        <w:t xml:space="preserve">found </w:t>
      </w:r>
      <w:r w:rsidR="007C7BF9">
        <w:rPr>
          <w:rFonts w:ascii="Arial" w:hAnsi="Arial" w:cs="Arial"/>
        </w:rPr>
        <w:t>that</w:t>
      </w:r>
      <w:r w:rsidR="004465B6">
        <w:rPr>
          <w:rFonts w:ascii="Arial" w:hAnsi="Arial" w:cs="Arial"/>
        </w:rPr>
        <w:t xml:space="preserve"> Porritt and</w:t>
      </w:r>
      <w:r w:rsidR="009E6E79">
        <w:rPr>
          <w:rFonts w:ascii="Arial" w:hAnsi="Arial" w:cs="Arial"/>
        </w:rPr>
        <w:t xml:space="preserve"> Bennett </w:t>
      </w:r>
      <w:r w:rsidR="004465B6">
        <w:rPr>
          <w:rFonts w:ascii="Arial" w:hAnsi="Arial" w:cs="Arial"/>
        </w:rPr>
        <w:t xml:space="preserve">as well </w:t>
      </w:r>
      <w:r w:rsidR="009E6E79">
        <w:rPr>
          <w:rFonts w:ascii="Arial" w:hAnsi="Arial" w:cs="Arial"/>
        </w:rPr>
        <w:t>were adopting a stratagem of delay</w:t>
      </w:r>
      <w:r w:rsidR="004465B6">
        <w:rPr>
          <w:rFonts w:ascii="Arial" w:hAnsi="Arial" w:cs="Arial"/>
        </w:rPr>
        <w:t xml:space="preserve"> in commencing and thereafter continuing the trial. </w:t>
      </w:r>
      <w:proofErr w:type="spellStart"/>
      <w:r w:rsidR="00833B30">
        <w:rPr>
          <w:rFonts w:ascii="Arial" w:hAnsi="Arial" w:cs="Arial"/>
        </w:rPr>
        <w:t>Ponnan</w:t>
      </w:r>
      <w:proofErr w:type="spellEnd"/>
      <w:r w:rsidR="00833B30">
        <w:rPr>
          <w:rFonts w:ascii="Arial" w:hAnsi="Arial" w:cs="Arial"/>
        </w:rPr>
        <w:t xml:space="preserve"> JA speaking for the court said:</w:t>
      </w:r>
    </w:p>
    <w:p w:rsidR="001B2DCB" w:rsidRPr="001B2DCB" w:rsidRDefault="001B2DCB" w:rsidP="001B2DCB">
      <w:pPr>
        <w:pStyle w:val="ListParagraph"/>
        <w:rPr>
          <w:rFonts w:ascii="Arial" w:hAnsi="Arial" w:cs="Arial"/>
        </w:rPr>
      </w:pPr>
    </w:p>
    <w:p w:rsidR="00833B30" w:rsidRPr="002B214B" w:rsidRDefault="001B2DCB" w:rsidP="00833B30">
      <w:pPr>
        <w:pStyle w:val="ListParagraph"/>
        <w:spacing w:line="360" w:lineRule="auto"/>
        <w:ind w:left="1440"/>
        <w:rPr>
          <w:rFonts w:ascii="Arial" w:hAnsi="Arial" w:cs="Arial"/>
          <w:i/>
        </w:rPr>
      </w:pPr>
      <w:r>
        <w:rPr>
          <w:rFonts w:ascii="Arial" w:hAnsi="Arial" w:cs="Arial"/>
          <w:i/>
        </w:rPr>
        <w:t>“</w:t>
      </w:r>
      <w:r w:rsidR="00833B30" w:rsidRPr="002B214B">
        <w:rPr>
          <w:rFonts w:ascii="Arial" w:hAnsi="Arial" w:cs="Arial"/>
          <w:i/>
        </w:rPr>
        <w:t xml:space="preserve">But as has been made plain both in this court and the one below they intend to employ every stratagem available to them in order to delay the commencement and thereafter continuation of the trial for as long as they possibly can. Whilst pursuing that as their chosen course may well be their right, it may not be without its consequences. For as the Constitutional Court has endeavoured to stress (S v </w:t>
      </w:r>
      <w:proofErr w:type="spellStart"/>
      <w:r w:rsidR="007C7BF9" w:rsidRPr="002B214B">
        <w:rPr>
          <w:rFonts w:ascii="Arial" w:hAnsi="Arial" w:cs="Arial"/>
          <w:i/>
        </w:rPr>
        <w:t>Jaipal</w:t>
      </w:r>
      <w:proofErr w:type="spellEnd"/>
      <w:r w:rsidR="007C7BF9" w:rsidRPr="002B214B">
        <w:rPr>
          <w:rFonts w:ascii="Arial" w:hAnsi="Arial" w:cs="Arial"/>
          <w:i/>
        </w:rPr>
        <w:t>)</w:t>
      </w:r>
      <w:r w:rsidR="00833B30" w:rsidRPr="002B214B">
        <w:rPr>
          <w:rFonts w:ascii="Arial" w:hAnsi="Arial" w:cs="Arial"/>
          <w:i/>
        </w:rPr>
        <w:t xml:space="preserve">: </w:t>
      </w:r>
    </w:p>
    <w:p w:rsidR="00833B30" w:rsidRDefault="00833B30" w:rsidP="00833B30">
      <w:pPr>
        <w:pStyle w:val="ListParagraph"/>
        <w:spacing w:line="360" w:lineRule="auto"/>
        <w:ind w:left="1440"/>
        <w:rPr>
          <w:rFonts w:ascii="Arial" w:hAnsi="Arial" w:cs="Arial"/>
          <w:i/>
        </w:rPr>
      </w:pPr>
      <w:r w:rsidRPr="002B214B">
        <w:rPr>
          <w:rFonts w:ascii="Arial" w:hAnsi="Arial" w:cs="Arial"/>
          <w:i/>
        </w:rPr>
        <w:t xml:space="preserve">'The right of an accused to a fair trial requires fairness to the accused, as well as fairness to the public as represented by the State. It has to instil confidence in the criminal justice system with the public, including those close </w:t>
      </w:r>
      <w:r w:rsidRPr="002B214B">
        <w:rPr>
          <w:rFonts w:ascii="Arial" w:hAnsi="Arial" w:cs="Arial"/>
          <w:i/>
        </w:rPr>
        <w:lastRenderedPageBreak/>
        <w:t>to the accused, as well as those distressed by the audacity and horror of crime.'</w:t>
      </w:r>
      <w:r w:rsidR="002B214B">
        <w:rPr>
          <w:rStyle w:val="FootnoteReference"/>
          <w:rFonts w:ascii="Arial" w:hAnsi="Arial" w:cs="Arial"/>
          <w:i/>
        </w:rPr>
        <w:footnoteReference w:id="2"/>
      </w:r>
    </w:p>
    <w:p w:rsidR="001B2DCB" w:rsidRDefault="001B2DCB" w:rsidP="00833B30">
      <w:pPr>
        <w:pStyle w:val="ListParagraph"/>
        <w:spacing w:line="360" w:lineRule="auto"/>
        <w:ind w:left="1440"/>
        <w:rPr>
          <w:rFonts w:ascii="Arial" w:hAnsi="Arial" w:cs="Arial"/>
          <w:i/>
        </w:rPr>
      </w:pPr>
    </w:p>
    <w:p w:rsidR="00F00BC6" w:rsidRDefault="002B214B" w:rsidP="001B2DCB">
      <w:pPr>
        <w:pStyle w:val="ListParagraph"/>
        <w:spacing w:line="360" w:lineRule="auto"/>
        <w:ind w:left="360"/>
        <w:rPr>
          <w:rFonts w:ascii="Arial" w:hAnsi="Arial" w:cs="Arial"/>
        </w:rPr>
      </w:pPr>
      <w:r w:rsidRPr="001B2DCB">
        <w:rPr>
          <w:rFonts w:ascii="Arial" w:hAnsi="Arial" w:cs="Arial"/>
        </w:rPr>
        <w:t>T</w:t>
      </w:r>
      <w:r w:rsidR="001B2DCB" w:rsidRPr="001B2DCB">
        <w:rPr>
          <w:rFonts w:ascii="Arial" w:hAnsi="Arial" w:cs="Arial"/>
        </w:rPr>
        <w:t xml:space="preserve">his was said over a decade ago in relation to these </w:t>
      </w:r>
      <w:r w:rsidR="007C7BF9">
        <w:rPr>
          <w:rFonts w:ascii="Arial" w:hAnsi="Arial" w:cs="Arial"/>
        </w:rPr>
        <w:t xml:space="preserve">very </w:t>
      </w:r>
      <w:r w:rsidR="001B2DCB" w:rsidRPr="001B2DCB">
        <w:rPr>
          <w:rFonts w:ascii="Arial" w:hAnsi="Arial" w:cs="Arial"/>
        </w:rPr>
        <w:t>same trial proceedings.</w:t>
      </w:r>
    </w:p>
    <w:p w:rsidR="00536585" w:rsidRDefault="00536585" w:rsidP="001B2DCB">
      <w:pPr>
        <w:pStyle w:val="ListParagraph"/>
        <w:spacing w:line="360" w:lineRule="auto"/>
        <w:ind w:left="360"/>
        <w:rPr>
          <w:rFonts w:ascii="Arial" w:hAnsi="Arial" w:cs="Arial"/>
        </w:rPr>
      </w:pPr>
    </w:p>
    <w:p w:rsidR="00536585" w:rsidRDefault="00536585" w:rsidP="00536585">
      <w:pPr>
        <w:pStyle w:val="ListParagraph"/>
        <w:numPr>
          <w:ilvl w:val="0"/>
          <w:numId w:val="1"/>
        </w:numPr>
        <w:spacing w:line="360" w:lineRule="auto"/>
        <w:rPr>
          <w:rFonts w:ascii="Arial" w:hAnsi="Arial" w:cs="Arial"/>
        </w:rPr>
      </w:pPr>
      <w:r w:rsidRPr="005B1256">
        <w:rPr>
          <w:rFonts w:ascii="Arial" w:hAnsi="Arial" w:cs="Arial"/>
        </w:rPr>
        <w:t xml:space="preserve">At the </w:t>
      </w:r>
      <w:r>
        <w:rPr>
          <w:rFonts w:ascii="Arial" w:hAnsi="Arial" w:cs="Arial"/>
        </w:rPr>
        <w:t>time the accused indicated how long Ramsay’s cross-examinati</w:t>
      </w:r>
      <w:r w:rsidR="007C7BF9">
        <w:rPr>
          <w:rFonts w:ascii="Arial" w:hAnsi="Arial" w:cs="Arial"/>
        </w:rPr>
        <w:t>on would take</w:t>
      </w:r>
      <w:r>
        <w:rPr>
          <w:rFonts w:ascii="Arial" w:hAnsi="Arial" w:cs="Arial"/>
        </w:rPr>
        <w:t xml:space="preserve"> and that the first three weeks alone would be taken up testing his credibility, </w:t>
      </w:r>
      <w:r w:rsidRPr="005B1256">
        <w:rPr>
          <w:rFonts w:ascii="Arial" w:hAnsi="Arial" w:cs="Arial"/>
        </w:rPr>
        <w:t xml:space="preserve">I </w:t>
      </w:r>
      <w:r>
        <w:rPr>
          <w:rFonts w:ascii="Arial" w:hAnsi="Arial" w:cs="Arial"/>
        </w:rPr>
        <w:t>informed them</w:t>
      </w:r>
      <w:r w:rsidRPr="005B1256">
        <w:rPr>
          <w:rFonts w:ascii="Arial" w:hAnsi="Arial" w:cs="Arial"/>
        </w:rPr>
        <w:t xml:space="preserve"> that Ramsay’s credibility was already tarnished as his evidence </w:t>
      </w:r>
      <w:r>
        <w:rPr>
          <w:rFonts w:ascii="Arial" w:hAnsi="Arial" w:cs="Arial"/>
        </w:rPr>
        <w:t xml:space="preserve">so </w:t>
      </w:r>
      <w:r w:rsidRPr="005B1256">
        <w:rPr>
          <w:rFonts w:ascii="Arial" w:hAnsi="Arial" w:cs="Arial"/>
        </w:rPr>
        <w:t>far had placed him squarely as a willing and active party to at least acts of fraud, misrepresentation and theft</w:t>
      </w:r>
      <w:r>
        <w:rPr>
          <w:rStyle w:val="FootnoteReference"/>
          <w:rFonts w:ascii="Arial" w:hAnsi="Arial" w:cs="Arial"/>
        </w:rPr>
        <w:footnoteReference w:id="3"/>
      </w:r>
      <w:r w:rsidRPr="005B1256">
        <w:rPr>
          <w:rFonts w:ascii="Arial" w:hAnsi="Arial" w:cs="Arial"/>
        </w:rPr>
        <w:t>.</w:t>
      </w:r>
      <w:r>
        <w:rPr>
          <w:rFonts w:ascii="Arial" w:hAnsi="Arial" w:cs="Arial"/>
        </w:rPr>
        <w:t xml:space="preserve"> </w:t>
      </w:r>
      <w:r w:rsidRPr="005B1256">
        <w:rPr>
          <w:rFonts w:ascii="Arial" w:hAnsi="Arial" w:cs="Arial"/>
        </w:rPr>
        <w:t xml:space="preserve">I </w:t>
      </w:r>
      <w:r>
        <w:rPr>
          <w:rFonts w:ascii="Arial" w:hAnsi="Arial" w:cs="Arial"/>
        </w:rPr>
        <w:t xml:space="preserve">advised that the court </w:t>
      </w:r>
      <w:r w:rsidRPr="005B1256">
        <w:rPr>
          <w:rFonts w:ascii="Arial" w:hAnsi="Arial" w:cs="Arial"/>
        </w:rPr>
        <w:t>was quite prepared to accept that Ramsay has demonstrated himself to be untruthful</w:t>
      </w:r>
      <w:r>
        <w:rPr>
          <w:rFonts w:ascii="Arial" w:hAnsi="Arial" w:cs="Arial"/>
        </w:rPr>
        <w:t xml:space="preserve">. The </w:t>
      </w:r>
      <w:r w:rsidRPr="005B1256">
        <w:rPr>
          <w:rFonts w:ascii="Arial" w:hAnsi="Arial" w:cs="Arial"/>
        </w:rPr>
        <w:t xml:space="preserve">real evidence which the court will have to weigh </w:t>
      </w:r>
      <w:r>
        <w:rPr>
          <w:rFonts w:ascii="Arial" w:hAnsi="Arial" w:cs="Arial"/>
        </w:rPr>
        <w:t xml:space="preserve">is contained in the </w:t>
      </w:r>
      <w:r w:rsidRPr="005B1256">
        <w:rPr>
          <w:rFonts w:ascii="Arial" w:hAnsi="Arial" w:cs="Arial"/>
        </w:rPr>
        <w:t>documents produced</w:t>
      </w:r>
      <w:r>
        <w:rPr>
          <w:rFonts w:ascii="Arial" w:hAnsi="Arial" w:cs="Arial"/>
        </w:rPr>
        <w:t xml:space="preserve"> by the prosecution. </w:t>
      </w:r>
    </w:p>
    <w:p w:rsidR="00536585" w:rsidRDefault="00536585" w:rsidP="00536585">
      <w:pPr>
        <w:pStyle w:val="ListParagraph"/>
        <w:spacing w:line="360" w:lineRule="auto"/>
        <w:ind w:left="360"/>
        <w:rPr>
          <w:rFonts w:ascii="Arial" w:hAnsi="Arial" w:cs="Arial"/>
        </w:rPr>
      </w:pPr>
    </w:p>
    <w:p w:rsidR="00536585" w:rsidRDefault="00536585" w:rsidP="00536585">
      <w:pPr>
        <w:pStyle w:val="ListParagraph"/>
        <w:numPr>
          <w:ilvl w:val="0"/>
          <w:numId w:val="1"/>
        </w:numPr>
        <w:spacing w:line="360" w:lineRule="auto"/>
        <w:rPr>
          <w:rFonts w:ascii="Arial" w:hAnsi="Arial" w:cs="Arial"/>
        </w:rPr>
      </w:pPr>
      <w:r>
        <w:rPr>
          <w:rFonts w:ascii="Arial" w:hAnsi="Arial" w:cs="Arial"/>
        </w:rPr>
        <w:t xml:space="preserve">Ramsay’s </w:t>
      </w:r>
      <w:r w:rsidR="007C7BF9">
        <w:rPr>
          <w:rFonts w:ascii="Arial" w:hAnsi="Arial" w:cs="Arial"/>
        </w:rPr>
        <w:t>evidence of</w:t>
      </w:r>
      <w:r>
        <w:rPr>
          <w:rFonts w:ascii="Arial" w:hAnsi="Arial" w:cs="Arial"/>
        </w:rPr>
        <w:t xml:space="preserve"> whether each accused was aware of a </w:t>
      </w:r>
      <w:r w:rsidR="007C7BF9">
        <w:rPr>
          <w:rFonts w:ascii="Arial" w:hAnsi="Arial" w:cs="Arial"/>
        </w:rPr>
        <w:t>document’s existence</w:t>
      </w:r>
      <w:r>
        <w:rPr>
          <w:rFonts w:ascii="Arial" w:hAnsi="Arial" w:cs="Arial"/>
        </w:rPr>
        <w:t>, when they met R</w:t>
      </w:r>
      <w:r w:rsidRPr="005B1256">
        <w:rPr>
          <w:rFonts w:ascii="Arial" w:hAnsi="Arial" w:cs="Arial"/>
        </w:rPr>
        <w:t>amsay an</w:t>
      </w:r>
      <w:r w:rsidR="00953B35">
        <w:rPr>
          <w:rFonts w:ascii="Arial" w:hAnsi="Arial" w:cs="Arial"/>
        </w:rPr>
        <w:t>d what they discussed may also</w:t>
      </w:r>
      <w:r w:rsidRPr="005B1256">
        <w:rPr>
          <w:rFonts w:ascii="Arial" w:hAnsi="Arial" w:cs="Arial"/>
        </w:rPr>
        <w:t xml:space="preserve"> be clear from the documents </w:t>
      </w:r>
      <w:r>
        <w:rPr>
          <w:rFonts w:ascii="Arial" w:hAnsi="Arial" w:cs="Arial"/>
        </w:rPr>
        <w:t xml:space="preserve">themselves. I </w:t>
      </w:r>
      <w:r w:rsidR="007C7BF9">
        <w:rPr>
          <w:rFonts w:ascii="Arial" w:hAnsi="Arial" w:cs="Arial"/>
        </w:rPr>
        <w:t>naturally accept</w:t>
      </w:r>
      <w:r>
        <w:rPr>
          <w:rFonts w:ascii="Arial" w:hAnsi="Arial" w:cs="Arial"/>
        </w:rPr>
        <w:t xml:space="preserve"> </w:t>
      </w:r>
      <w:r w:rsidR="007C7BF9">
        <w:rPr>
          <w:rFonts w:ascii="Arial" w:hAnsi="Arial" w:cs="Arial"/>
        </w:rPr>
        <w:t xml:space="preserve">that </w:t>
      </w:r>
      <w:r>
        <w:rPr>
          <w:rFonts w:ascii="Arial" w:hAnsi="Arial" w:cs="Arial"/>
        </w:rPr>
        <w:t xml:space="preserve">the extent to which Porritt or Bennett were privy to </w:t>
      </w:r>
      <w:r w:rsidR="00953B35">
        <w:rPr>
          <w:rFonts w:ascii="Arial" w:hAnsi="Arial" w:cs="Arial"/>
        </w:rPr>
        <w:t xml:space="preserve">them may not appear from the documents themselves and that </w:t>
      </w:r>
      <w:r>
        <w:rPr>
          <w:rFonts w:ascii="Arial" w:hAnsi="Arial" w:cs="Arial"/>
        </w:rPr>
        <w:t xml:space="preserve">Ramsay’s veracity and </w:t>
      </w:r>
      <w:r w:rsidR="007C7BF9">
        <w:rPr>
          <w:rFonts w:ascii="Arial" w:hAnsi="Arial" w:cs="Arial"/>
        </w:rPr>
        <w:t>reliability on</w:t>
      </w:r>
      <w:r>
        <w:rPr>
          <w:rFonts w:ascii="Arial" w:hAnsi="Arial" w:cs="Arial"/>
        </w:rPr>
        <w:t xml:space="preserve"> discussions he claims to have had with either or both accused </w:t>
      </w:r>
      <w:r w:rsidR="00953B35">
        <w:rPr>
          <w:rFonts w:ascii="Arial" w:hAnsi="Arial" w:cs="Arial"/>
        </w:rPr>
        <w:t xml:space="preserve">must </w:t>
      </w:r>
      <w:r>
        <w:rPr>
          <w:rFonts w:ascii="Arial" w:hAnsi="Arial" w:cs="Arial"/>
        </w:rPr>
        <w:t xml:space="preserve">be subjected to cross-examination. </w:t>
      </w:r>
    </w:p>
    <w:p w:rsidR="00536585" w:rsidRDefault="00536585" w:rsidP="00536585">
      <w:pPr>
        <w:pStyle w:val="ListParagraph"/>
        <w:spacing w:line="360" w:lineRule="auto"/>
        <w:ind w:left="0"/>
        <w:rPr>
          <w:rFonts w:ascii="Arial" w:hAnsi="Arial" w:cs="Arial"/>
        </w:rPr>
      </w:pPr>
    </w:p>
    <w:p w:rsidR="00536585" w:rsidRPr="00953B35" w:rsidRDefault="00536585" w:rsidP="00953B35">
      <w:pPr>
        <w:pStyle w:val="ListParagraph"/>
        <w:spacing w:line="360" w:lineRule="auto"/>
        <w:ind w:left="360"/>
        <w:rPr>
          <w:rFonts w:ascii="Arial" w:hAnsi="Arial" w:cs="Arial"/>
        </w:rPr>
      </w:pPr>
      <w:r>
        <w:rPr>
          <w:rFonts w:ascii="Arial" w:hAnsi="Arial" w:cs="Arial"/>
        </w:rPr>
        <w:t xml:space="preserve">But without a version being put on certain key elements of the testimony, </w:t>
      </w:r>
      <w:r w:rsidR="007C7BF9">
        <w:rPr>
          <w:rFonts w:ascii="Arial" w:hAnsi="Arial" w:cs="Arial"/>
        </w:rPr>
        <w:t>particularly</w:t>
      </w:r>
      <w:r>
        <w:rPr>
          <w:rFonts w:ascii="Arial" w:hAnsi="Arial" w:cs="Arial"/>
        </w:rPr>
        <w:t xml:space="preserve"> if they are based on admitted documentation or documentation which is said to be in Porritt’s hand </w:t>
      </w:r>
      <w:r w:rsidR="00953B35">
        <w:rPr>
          <w:rFonts w:ascii="Arial" w:hAnsi="Arial" w:cs="Arial"/>
        </w:rPr>
        <w:t>(</w:t>
      </w:r>
      <w:r>
        <w:rPr>
          <w:rFonts w:ascii="Arial" w:hAnsi="Arial" w:cs="Arial"/>
        </w:rPr>
        <w:t>and which he has not expressly disputed</w:t>
      </w:r>
      <w:r w:rsidR="00953B35">
        <w:rPr>
          <w:rFonts w:ascii="Arial" w:hAnsi="Arial" w:cs="Arial"/>
        </w:rPr>
        <w:t>)</w:t>
      </w:r>
      <w:r>
        <w:rPr>
          <w:rFonts w:ascii="Arial" w:hAnsi="Arial" w:cs="Arial"/>
        </w:rPr>
        <w:t>, such extensive questioning on credibility alone may lack overall relevance in relation to some overarching issues</w:t>
      </w:r>
      <w:r w:rsidR="00953B35">
        <w:rPr>
          <w:rFonts w:ascii="Arial" w:hAnsi="Arial" w:cs="Arial"/>
        </w:rPr>
        <w:t xml:space="preserve">,  delays the trial and is </w:t>
      </w:r>
      <w:proofErr w:type="spellStart"/>
      <w:r w:rsidR="00953B35">
        <w:rPr>
          <w:rFonts w:ascii="Arial" w:hAnsi="Arial" w:cs="Arial"/>
        </w:rPr>
        <w:t>intimidatory</w:t>
      </w:r>
      <w:proofErr w:type="spellEnd"/>
      <w:r w:rsidR="00953B35">
        <w:rPr>
          <w:rFonts w:ascii="Arial" w:hAnsi="Arial" w:cs="Arial"/>
        </w:rPr>
        <w:t xml:space="preserve"> </w:t>
      </w:r>
    </w:p>
    <w:p w:rsidR="00953B35" w:rsidRDefault="00536585" w:rsidP="00536585">
      <w:pPr>
        <w:pStyle w:val="ListParagraph"/>
        <w:numPr>
          <w:ilvl w:val="0"/>
          <w:numId w:val="1"/>
        </w:numPr>
        <w:spacing w:line="360" w:lineRule="auto"/>
        <w:rPr>
          <w:rFonts w:ascii="Arial" w:hAnsi="Arial" w:cs="Arial"/>
        </w:rPr>
      </w:pPr>
      <w:r>
        <w:rPr>
          <w:rFonts w:ascii="Arial" w:hAnsi="Arial" w:cs="Arial"/>
        </w:rPr>
        <w:lastRenderedPageBreak/>
        <w:t xml:space="preserve">This is so for the simple reason that irrespective of how untruthful the messenger is, there remain a series of documents which the court must consider and weigh based on their </w:t>
      </w:r>
      <w:r w:rsidR="00953B35">
        <w:rPr>
          <w:rFonts w:ascii="Arial" w:hAnsi="Arial" w:cs="Arial"/>
        </w:rPr>
        <w:t>content and the</w:t>
      </w:r>
      <w:r>
        <w:rPr>
          <w:rFonts w:ascii="Arial" w:hAnsi="Arial" w:cs="Arial"/>
        </w:rPr>
        <w:t xml:space="preserve"> version the accused may or may not elect to put to Ramsay concerning the</w:t>
      </w:r>
      <w:r w:rsidR="00953B35">
        <w:rPr>
          <w:rFonts w:ascii="Arial" w:hAnsi="Arial" w:cs="Arial"/>
        </w:rPr>
        <w:t>ir content</w:t>
      </w:r>
      <w:r>
        <w:rPr>
          <w:rFonts w:ascii="Arial" w:hAnsi="Arial" w:cs="Arial"/>
        </w:rPr>
        <w:t xml:space="preserve">. Unlike most criminal trials, in a so called white collar crime involving investors in listed public companies, oversight authorities such as the JSE or in tax related </w:t>
      </w:r>
      <w:r w:rsidR="007C7BF9">
        <w:rPr>
          <w:rFonts w:ascii="Arial" w:hAnsi="Arial" w:cs="Arial"/>
        </w:rPr>
        <w:t>offences</w:t>
      </w:r>
      <w:r w:rsidR="00953B35">
        <w:rPr>
          <w:rFonts w:ascii="Arial" w:hAnsi="Arial" w:cs="Arial"/>
        </w:rPr>
        <w:t>,</w:t>
      </w:r>
      <w:r w:rsidR="007C7BF9">
        <w:rPr>
          <w:rFonts w:ascii="Arial" w:hAnsi="Arial" w:cs="Arial"/>
        </w:rPr>
        <w:t xml:space="preserve"> the</w:t>
      </w:r>
      <w:r>
        <w:rPr>
          <w:rFonts w:ascii="Arial" w:hAnsi="Arial" w:cs="Arial"/>
        </w:rPr>
        <w:t xml:space="preserve"> prosecution relies heavily on documentation. This is such a case and at this stage of the trial the court has already heard testimony from accounting forensic experts w</w:t>
      </w:r>
      <w:r w:rsidR="00953B35">
        <w:rPr>
          <w:rFonts w:ascii="Arial" w:hAnsi="Arial" w:cs="Arial"/>
        </w:rPr>
        <w:t>hich were</w:t>
      </w:r>
      <w:r>
        <w:rPr>
          <w:rFonts w:ascii="Arial" w:hAnsi="Arial" w:cs="Arial"/>
        </w:rPr>
        <w:t xml:space="preserve"> subject to such cross-</w:t>
      </w:r>
      <w:proofErr w:type="gramStart"/>
      <w:r>
        <w:rPr>
          <w:rFonts w:ascii="Arial" w:hAnsi="Arial" w:cs="Arial"/>
        </w:rPr>
        <w:t xml:space="preserve">examination </w:t>
      </w:r>
      <w:r w:rsidR="00953B35">
        <w:rPr>
          <w:rFonts w:ascii="Arial" w:hAnsi="Arial" w:cs="Arial"/>
        </w:rPr>
        <w:t xml:space="preserve"> </w:t>
      </w:r>
      <w:r>
        <w:rPr>
          <w:rFonts w:ascii="Arial" w:hAnsi="Arial" w:cs="Arial"/>
        </w:rPr>
        <w:t>as</w:t>
      </w:r>
      <w:proofErr w:type="gramEnd"/>
      <w:r>
        <w:rPr>
          <w:rFonts w:ascii="Arial" w:hAnsi="Arial" w:cs="Arial"/>
        </w:rPr>
        <w:t xml:space="preserve"> </w:t>
      </w:r>
      <w:r w:rsidR="00953B35">
        <w:rPr>
          <w:rFonts w:ascii="Arial" w:hAnsi="Arial" w:cs="Arial"/>
        </w:rPr>
        <w:t>the accused elected to engage in</w:t>
      </w:r>
      <w:r>
        <w:rPr>
          <w:rFonts w:ascii="Arial" w:hAnsi="Arial" w:cs="Arial"/>
        </w:rPr>
        <w:t xml:space="preserve">. </w:t>
      </w:r>
    </w:p>
    <w:p w:rsidR="00536585" w:rsidRDefault="00536585" w:rsidP="00953B35">
      <w:pPr>
        <w:pStyle w:val="ListParagraph"/>
        <w:spacing w:line="360" w:lineRule="auto"/>
        <w:ind w:left="360"/>
        <w:rPr>
          <w:rFonts w:ascii="Arial" w:hAnsi="Arial" w:cs="Arial"/>
        </w:rPr>
      </w:pPr>
      <w:r>
        <w:rPr>
          <w:rFonts w:ascii="Arial" w:hAnsi="Arial" w:cs="Arial"/>
        </w:rPr>
        <w:t xml:space="preserve"> </w:t>
      </w:r>
    </w:p>
    <w:p w:rsidR="00536585" w:rsidRPr="00BC6478" w:rsidRDefault="00536585" w:rsidP="00536585">
      <w:pPr>
        <w:pStyle w:val="ListParagraph"/>
        <w:numPr>
          <w:ilvl w:val="0"/>
          <w:numId w:val="1"/>
        </w:numPr>
        <w:spacing w:line="360" w:lineRule="auto"/>
        <w:rPr>
          <w:rFonts w:ascii="Arial" w:hAnsi="Arial" w:cs="Arial"/>
        </w:rPr>
      </w:pPr>
      <w:r>
        <w:rPr>
          <w:rFonts w:ascii="Arial" w:hAnsi="Arial" w:cs="Arial"/>
        </w:rPr>
        <w:t>T</w:t>
      </w:r>
      <w:r w:rsidRPr="00BC6478">
        <w:rPr>
          <w:rFonts w:ascii="Arial" w:hAnsi="Arial" w:cs="Arial"/>
        </w:rPr>
        <w:t xml:space="preserve">he accused have already </w:t>
      </w:r>
      <w:r w:rsidR="00953B35">
        <w:rPr>
          <w:rFonts w:ascii="Arial" w:hAnsi="Arial" w:cs="Arial"/>
        </w:rPr>
        <w:t xml:space="preserve">indicated </w:t>
      </w:r>
      <w:r w:rsidR="00257676">
        <w:rPr>
          <w:rFonts w:ascii="Arial" w:hAnsi="Arial" w:cs="Arial"/>
        </w:rPr>
        <w:t>that they intend</w:t>
      </w:r>
      <w:r w:rsidRPr="00BC6478">
        <w:rPr>
          <w:rFonts w:ascii="Arial" w:hAnsi="Arial" w:cs="Arial"/>
        </w:rPr>
        <w:t xml:space="preserve"> cross-examine R</w:t>
      </w:r>
      <w:r w:rsidR="00257676">
        <w:rPr>
          <w:rFonts w:ascii="Arial" w:hAnsi="Arial" w:cs="Arial"/>
        </w:rPr>
        <w:t>amsay for</w:t>
      </w:r>
      <w:r w:rsidRPr="00BC6478">
        <w:rPr>
          <w:rFonts w:ascii="Arial" w:hAnsi="Arial" w:cs="Arial"/>
        </w:rPr>
        <w:t xml:space="preserve"> three weeks </w:t>
      </w:r>
      <w:r w:rsidR="00257676">
        <w:rPr>
          <w:rFonts w:ascii="Arial" w:hAnsi="Arial" w:cs="Arial"/>
        </w:rPr>
        <w:t xml:space="preserve">or more </w:t>
      </w:r>
      <w:r w:rsidRPr="00BC6478">
        <w:rPr>
          <w:rFonts w:ascii="Arial" w:hAnsi="Arial" w:cs="Arial"/>
        </w:rPr>
        <w:t>without putting any version to him</w:t>
      </w:r>
      <w:r>
        <w:rPr>
          <w:rFonts w:ascii="Arial" w:hAnsi="Arial" w:cs="Arial"/>
        </w:rPr>
        <w:t>. T</w:t>
      </w:r>
      <w:r w:rsidRPr="00BC6478">
        <w:rPr>
          <w:rFonts w:ascii="Arial" w:hAnsi="Arial" w:cs="Arial"/>
        </w:rPr>
        <w:t xml:space="preserve">he court does not wish to face the same situation it did </w:t>
      </w:r>
      <w:r>
        <w:rPr>
          <w:rFonts w:ascii="Arial" w:hAnsi="Arial" w:cs="Arial"/>
        </w:rPr>
        <w:t xml:space="preserve">previously </w:t>
      </w:r>
      <w:r w:rsidRPr="00BC6478">
        <w:rPr>
          <w:rFonts w:ascii="Arial" w:hAnsi="Arial" w:cs="Arial"/>
        </w:rPr>
        <w:t>when, despite being cross examined for fifteen days</w:t>
      </w:r>
      <w:r w:rsidR="00257676">
        <w:rPr>
          <w:rFonts w:ascii="Arial" w:hAnsi="Arial" w:cs="Arial"/>
        </w:rPr>
        <w:t>,</w:t>
      </w:r>
      <w:r w:rsidRPr="00BC6478">
        <w:rPr>
          <w:rFonts w:ascii="Arial" w:hAnsi="Arial" w:cs="Arial"/>
        </w:rPr>
        <w:t xml:space="preserve"> very little had actually been put to Milne</w:t>
      </w:r>
      <w:r w:rsidR="00257676">
        <w:rPr>
          <w:rFonts w:ascii="Arial" w:hAnsi="Arial" w:cs="Arial"/>
        </w:rPr>
        <w:t xml:space="preserve"> concerning</w:t>
      </w:r>
      <w:r w:rsidRPr="00BC6478">
        <w:rPr>
          <w:rFonts w:ascii="Arial" w:hAnsi="Arial" w:cs="Arial"/>
        </w:rPr>
        <w:t xml:space="preserve"> the substance of his testimony.  Even then the court had indicated on several occasions to Porritt in the presence of Bennett that the case in relation to the charges to which Milne had been led in evidence, may turn on the documents that are admitted into evidence irrespective of the court taking into account, as it must, that Milne had confessed to fraud and lied to the members of the investing public, albeit in respect of a different company to the ones which the </w:t>
      </w:r>
      <w:r w:rsidR="007C7BF9" w:rsidRPr="00BC6478">
        <w:rPr>
          <w:rFonts w:ascii="Arial" w:hAnsi="Arial" w:cs="Arial"/>
        </w:rPr>
        <w:t>overwhelming</w:t>
      </w:r>
      <w:r w:rsidRPr="00BC6478">
        <w:rPr>
          <w:rFonts w:ascii="Arial" w:hAnsi="Arial" w:cs="Arial"/>
        </w:rPr>
        <w:t xml:space="preserve"> portion of Ramsay’s testimony relates. </w:t>
      </w:r>
      <w:r>
        <w:rPr>
          <w:rFonts w:ascii="Arial" w:hAnsi="Arial" w:cs="Arial"/>
        </w:rPr>
        <w:t xml:space="preserve">Despite being put on terms by orders </w:t>
      </w:r>
      <w:proofErr w:type="gramStart"/>
      <w:r w:rsidR="00257676">
        <w:rPr>
          <w:rFonts w:ascii="Arial" w:hAnsi="Arial" w:cs="Arial"/>
        </w:rPr>
        <w:t xml:space="preserve">in </w:t>
      </w:r>
      <w:r>
        <w:rPr>
          <w:rFonts w:ascii="Arial" w:hAnsi="Arial" w:cs="Arial"/>
        </w:rPr>
        <w:t xml:space="preserve"> J</w:t>
      </w:r>
      <w:r w:rsidR="00257676">
        <w:rPr>
          <w:rFonts w:ascii="Arial" w:hAnsi="Arial" w:cs="Arial"/>
        </w:rPr>
        <w:t>une</w:t>
      </w:r>
      <w:proofErr w:type="gramEnd"/>
      <w:r w:rsidR="00257676">
        <w:rPr>
          <w:rFonts w:ascii="Arial" w:hAnsi="Arial" w:cs="Arial"/>
        </w:rPr>
        <w:t xml:space="preserve"> </w:t>
      </w:r>
      <w:r>
        <w:rPr>
          <w:rFonts w:ascii="Arial" w:hAnsi="Arial" w:cs="Arial"/>
        </w:rPr>
        <w:t xml:space="preserve"> and July 2018, by late August it was necessary to again circumscribe Porritt’s cross-examination of Milne. </w:t>
      </w:r>
    </w:p>
    <w:p w:rsidR="00536585" w:rsidRDefault="00536585" w:rsidP="00536585">
      <w:pPr>
        <w:pStyle w:val="ListParagraph"/>
        <w:spacing w:line="360" w:lineRule="auto"/>
        <w:ind w:left="360"/>
        <w:rPr>
          <w:rFonts w:ascii="Arial" w:hAnsi="Arial" w:cs="Arial"/>
        </w:rPr>
      </w:pPr>
    </w:p>
    <w:p w:rsidR="008758A5" w:rsidRDefault="008758A5" w:rsidP="008758A5">
      <w:pPr>
        <w:pStyle w:val="ListParagraph"/>
        <w:numPr>
          <w:ilvl w:val="0"/>
          <w:numId w:val="1"/>
        </w:numPr>
        <w:spacing w:line="360" w:lineRule="auto"/>
        <w:rPr>
          <w:rFonts w:ascii="Arial" w:hAnsi="Arial" w:cs="Arial"/>
        </w:rPr>
      </w:pPr>
      <w:r>
        <w:rPr>
          <w:rFonts w:ascii="Arial" w:hAnsi="Arial" w:cs="Arial"/>
        </w:rPr>
        <w:t xml:space="preserve">. Section 166(3)(a) of the Criminal Procedure Act  </w:t>
      </w:r>
      <w:r w:rsidR="00121458">
        <w:rPr>
          <w:rFonts w:ascii="Arial" w:hAnsi="Arial" w:cs="Arial"/>
        </w:rPr>
        <w:t>51 of 1977</w:t>
      </w:r>
      <w:r>
        <w:rPr>
          <w:rFonts w:ascii="Arial" w:hAnsi="Arial" w:cs="Arial"/>
        </w:rPr>
        <w:t xml:space="preserve"> provides :</w:t>
      </w:r>
    </w:p>
    <w:p w:rsidR="008758A5" w:rsidRPr="00CB1205" w:rsidRDefault="008758A5" w:rsidP="008758A5">
      <w:pPr>
        <w:pStyle w:val="ListParagraph"/>
        <w:spacing w:line="360" w:lineRule="auto"/>
        <w:rPr>
          <w:rFonts w:ascii="Arial" w:hAnsi="Arial" w:cs="Arial"/>
        </w:rPr>
      </w:pPr>
    </w:p>
    <w:p w:rsidR="008758A5" w:rsidRPr="00355BD1" w:rsidRDefault="008758A5" w:rsidP="00121458">
      <w:pPr>
        <w:pStyle w:val="ListParagraph"/>
        <w:spacing w:line="360" w:lineRule="auto"/>
        <w:ind w:left="1080"/>
        <w:rPr>
          <w:rFonts w:ascii="Arial" w:hAnsi="Arial" w:cs="Arial"/>
        </w:rPr>
      </w:pPr>
      <w:r>
        <w:rPr>
          <w:rFonts w:ascii="Arial" w:hAnsi="Arial" w:cs="Arial"/>
          <w:i/>
        </w:rPr>
        <w:t>If it appears to a court that any cross-examination contemplated in this section is being protracted unreasonably and thereby causing the proceeding to be delayed unreasonably, the court may request the cross-examiner to disclose the relevance of any particular line of the examination and may impose reasonable limits on the examination regarding the length thereof or regarding any particular line of examination”.</w:t>
      </w:r>
    </w:p>
    <w:p w:rsidR="008758A5" w:rsidRPr="00CB1205" w:rsidRDefault="008758A5" w:rsidP="008758A5">
      <w:pPr>
        <w:pStyle w:val="ListParagraph"/>
        <w:spacing w:line="360" w:lineRule="auto"/>
        <w:ind w:left="1080"/>
        <w:rPr>
          <w:rFonts w:ascii="Arial" w:hAnsi="Arial" w:cs="Arial"/>
        </w:rPr>
      </w:pPr>
    </w:p>
    <w:p w:rsidR="008758A5" w:rsidRDefault="008758A5" w:rsidP="008758A5">
      <w:pPr>
        <w:pStyle w:val="ListParagraph"/>
        <w:spacing w:line="360" w:lineRule="auto"/>
        <w:ind w:left="360"/>
        <w:rPr>
          <w:rFonts w:ascii="Arial" w:hAnsi="Arial" w:cs="Arial"/>
        </w:rPr>
      </w:pPr>
      <w:r>
        <w:rPr>
          <w:rFonts w:ascii="Arial" w:hAnsi="Arial" w:cs="Arial"/>
        </w:rPr>
        <w:t xml:space="preserve">The two powers that the court is entitled to exercise are discreet; a court may require the cross-examiner to demonstrate the relevance of a particular line of protracted cross-examination or if it appears that cross-examination as a whole will be unreasonably protracted. If this were not so the manner of applying the power would make no sense. </w:t>
      </w:r>
    </w:p>
    <w:p w:rsidR="008758A5" w:rsidRPr="008758A5" w:rsidRDefault="008758A5" w:rsidP="008758A5">
      <w:pPr>
        <w:pStyle w:val="ListParagraph"/>
        <w:rPr>
          <w:rFonts w:ascii="Arial" w:hAnsi="Arial" w:cs="Arial"/>
        </w:rPr>
      </w:pPr>
    </w:p>
    <w:p w:rsidR="00536585" w:rsidRPr="00CB1205" w:rsidRDefault="00536585" w:rsidP="00536585">
      <w:pPr>
        <w:pStyle w:val="ListParagraph"/>
        <w:numPr>
          <w:ilvl w:val="0"/>
          <w:numId w:val="1"/>
        </w:numPr>
        <w:spacing w:line="360" w:lineRule="auto"/>
        <w:rPr>
          <w:rFonts w:ascii="Arial" w:hAnsi="Arial" w:cs="Arial"/>
        </w:rPr>
      </w:pPr>
      <w:r>
        <w:rPr>
          <w:rFonts w:ascii="Arial" w:hAnsi="Arial" w:cs="Arial"/>
        </w:rPr>
        <w:lastRenderedPageBreak/>
        <w:t>In previous reasons</w:t>
      </w:r>
      <w:r w:rsidR="00257676">
        <w:rPr>
          <w:rFonts w:ascii="Arial" w:hAnsi="Arial" w:cs="Arial"/>
        </w:rPr>
        <w:t>,</w:t>
      </w:r>
      <w:r>
        <w:rPr>
          <w:rFonts w:ascii="Arial" w:hAnsi="Arial" w:cs="Arial"/>
        </w:rPr>
        <w:t xml:space="preserve"> the court set out why it was circumscribing cross-examination. </w:t>
      </w:r>
      <w:r w:rsidR="007C7BF9">
        <w:rPr>
          <w:rFonts w:ascii="Arial" w:hAnsi="Arial" w:cs="Arial"/>
        </w:rPr>
        <w:t>Th</w:t>
      </w:r>
      <w:r w:rsidR="00257676">
        <w:rPr>
          <w:rFonts w:ascii="Arial" w:hAnsi="Arial" w:cs="Arial"/>
        </w:rPr>
        <w:t>ey</w:t>
      </w:r>
      <w:r w:rsidR="007C7BF9">
        <w:rPr>
          <w:rFonts w:ascii="Arial" w:hAnsi="Arial" w:cs="Arial"/>
        </w:rPr>
        <w:t xml:space="preserve"> included a consideration of all the grounds raised by the accused for the length of time </w:t>
      </w:r>
      <w:r w:rsidR="00257676">
        <w:rPr>
          <w:rFonts w:ascii="Arial" w:hAnsi="Arial" w:cs="Arial"/>
        </w:rPr>
        <w:t xml:space="preserve">required </w:t>
      </w:r>
      <w:r w:rsidR="007C7BF9">
        <w:rPr>
          <w:rFonts w:ascii="Arial" w:hAnsi="Arial" w:cs="Arial"/>
        </w:rPr>
        <w:t xml:space="preserve">to do so. </w:t>
      </w:r>
      <w:r>
        <w:rPr>
          <w:rFonts w:ascii="Arial" w:hAnsi="Arial" w:cs="Arial"/>
        </w:rPr>
        <w:t>The same overall considerations which weighed with the court the</w:t>
      </w:r>
      <w:r w:rsidR="007C7BF9">
        <w:rPr>
          <w:rFonts w:ascii="Arial" w:hAnsi="Arial" w:cs="Arial"/>
        </w:rPr>
        <w:t>n</w:t>
      </w:r>
      <w:r>
        <w:rPr>
          <w:rFonts w:ascii="Arial" w:hAnsi="Arial" w:cs="Arial"/>
        </w:rPr>
        <w:t xml:space="preserve">, including the accused’s constitutional </w:t>
      </w:r>
      <w:r w:rsidR="007C7BF9">
        <w:rPr>
          <w:rFonts w:ascii="Arial" w:hAnsi="Arial" w:cs="Arial"/>
        </w:rPr>
        <w:t>right to</w:t>
      </w:r>
      <w:r>
        <w:rPr>
          <w:rFonts w:ascii="Arial" w:hAnsi="Arial" w:cs="Arial"/>
        </w:rPr>
        <w:t xml:space="preserve"> cross-examine and the justification for their curtailment, apply now.   </w:t>
      </w:r>
    </w:p>
    <w:p w:rsidR="00536585" w:rsidRDefault="00536585" w:rsidP="007C7BF9">
      <w:pPr>
        <w:pStyle w:val="ListParagraph"/>
        <w:spacing w:line="360" w:lineRule="auto"/>
        <w:ind w:left="360"/>
        <w:rPr>
          <w:rFonts w:ascii="Arial" w:hAnsi="Arial" w:cs="Arial"/>
        </w:rPr>
      </w:pPr>
    </w:p>
    <w:p w:rsidR="00F22747" w:rsidRDefault="00F22747" w:rsidP="00536585">
      <w:pPr>
        <w:pStyle w:val="ListParagraph"/>
        <w:numPr>
          <w:ilvl w:val="0"/>
          <w:numId w:val="1"/>
        </w:numPr>
        <w:spacing w:line="360" w:lineRule="auto"/>
        <w:rPr>
          <w:rFonts w:ascii="Arial" w:hAnsi="Arial" w:cs="Arial"/>
        </w:rPr>
      </w:pPr>
      <w:r>
        <w:rPr>
          <w:rFonts w:ascii="Arial" w:hAnsi="Arial" w:cs="Arial"/>
        </w:rPr>
        <w:t xml:space="preserve"> I am satisfied that </w:t>
      </w:r>
      <w:r w:rsidR="007C7BF9">
        <w:rPr>
          <w:rFonts w:ascii="Arial" w:hAnsi="Arial" w:cs="Arial"/>
        </w:rPr>
        <w:t>the accused</w:t>
      </w:r>
      <w:r>
        <w:rPr>
          <w:rFonts w:ascii="Arial" w:hAnsi="Arial" w:cs="Arial"/>
        </w:rPr>
        <w:t xml:space="preserve"> have made their intention clear</w:t>
      </w:r>
      <w:r w:rsidR="00257676">
        <w:rPr>
          <w:rFonts w:ascii="Arial" w:hAnsi="Arial" w:cs="Arial"/>
        </w:rPr>
        <w:t xml:space="preserve"> </w:t>
      </w:r>
      <w:r>
        <w:rPr>
          <w:rFonts w:ascii="Arial" w:hAnsi="Arial" w:cs="Arial"/>
        </w:rPr>
        <w:t xml:space="preserve">to embark on </w:t>
      </w:r>
      <w:r w:rsidR="007C7BF9">
        <w:rPr>
          <w:rFonts w:ascii="Arial" w:hAnsi="Arial" w:cs="Arial"/>
        </w:rPr>
        <w:t>protracted</w:t>
      </w:r>
      <w:r>
        <w:rPr>
          <w:rFonts w:ascii="Arial" w:hAnsi="Arial" w:cs="Arial"/>
        </w:rPr>
        <w:t xml:space="preserve"> cross-examination of Ramsay in the same vein as with Milne. The court does not have to wait for this to occur but needs to be proactive while ensuring that the accused’</w:t>
      </w:r>
      <w:r w:rsidR="00536585">
        <w:rPr>
          <w:rFonts w:ascii="Arial" w:hAnsi="Arial" w:cs="Arial"/>
        </w:rPr>
        <w:t>s fair trial rights are re</w:t>
      </w:r>
      <w:r>
        <w:rPr>
          <w:rFonts w:ascii="Arial" w:hAnsi="Arial" w:cs="Arial"/>
        </w:rPr>
        <w:t>s</w:t>
      </w:r>
      <w:r w:rsidR="00536585">
        <w:rPr>
          <w:rFonts w:ascii="Arial" w:hAnsi="Arial" w:cs="Arial"/>
        </w:rPr>
        <w:t>p</w:t>
      </w:r>
      <w:r>
        <w:rPr>
          <w:rFonts w:ascii="Arial" w:hAnsi="Arial" w:cs="Arial"/>
        </w:rPr>
        <w:t>ected</w:t>
      </w:r>
      <w:r w:rsidR="00536585">
        <w:rPr>
          <w:rFonts w:ascii="Arial" w:hAnsi="Arial" w:cs="Arial"/>
        </w:rPr>
        <w:t xml:space="preserve">. The accused’s indication of how long Ramsay’s cross examination will take together with the length of Milne’s cross-examination and its content already demonstrates the desirability to place </w:t>
      </w:r>
      <w:r w:rsidR="00536585" w:rsidRPr="00536585">
        <w:rPr>
          <w:rFonts w:ascii="Arial" w:hAnsi="Arial" w:cs="Arial"/>
        </w:rPr>
        <w:t>time constraint</w:t>
      </w:r>
      <w:r w:rsidR="00536585">
        <w:rPr>
          <w:rFonts w:ascii="Arial" w:hAnsi="Arial" w:cs="Arial"/>
        </w:rPr>
        <w:t xml:space="preserve">s in order to </w:t>
      </w:r>
      <w:r w:rsidR="00536585" w:rsidRPr="00536585">
        <w:rPr>
          <w:rFonts w:ascii="Arial" w:hAnsi="Arial" w:cs="Arial"/>
        </w:rPr>
        <w:t>focus the</w:t>
      </w:r>
      <w:r w:rsidR="00536585">
        <w:rPr>
          <w:rFonts w:ascii="Arial" w:hAnsi="Arial" w:cs="Arial"/>
        </w:rPr>
        <w:t xml:space="preserve"> accused</w:t>
      </w:r>
      <w:r w:rsidR="00536585" w:rsidRPr="00536585">
        <w:rPr>
          <w:rFonts w:ascii="Arial" w:hAnsi="Arial" w:cs="Arial"/>
        </w:rPr>
        <w:t xml:space="preserve"> </w:t>
      </w:r>
      <w:r w:rsidR="00536585">
        <w:rPr>
          <w:rFonts w:ascii="Arial" w:hAnsi="Arial" w:cs="Arial"/>
        </w:rPr>
        <w:t xml:space="preserve">on </w:t>
      </w:r>
      <w:r w:rsidR="00536585" w:rsidRPr="00536585">
        <w:rPr>
          <w:rFonts w:ascii="Arial" w:hAnsi="Arial" w:cs="Arial"/>
        </w:rPr>
        <w:t>ask</w:t>
      </w:r>
      <w:r w:rsidR="00536585">
        <w:rPr>
          <w:rFonts w:ascii="Arial" w:hAnsi="Arial" w:cs="Arial"/>
        </w:rPr>
        <w:t>ing</w:t>
      </w:r>
      <w:r w:rsidR="00536585" w:rsidRPr="00536585">
        <w:rPr>
          <w:rFonts w:ascii="Arial" w:hAnsi="Arial" w:cs="Arial"/>
        </w:rPr>
        <w:t xml:space="preserve"> questions responsibly, avoid irrelevant or repetitive questions and, if so minded, to put a version, </w:t>
      </w:r>
      <w:r w:rsidR="00536585">
        <w:rPr>
          <w:rFonts w:ascii="Arial" w:hAnsi="Arial" w:cs="Arial"/>
        </w:rPr>
        <w:t xml:space="preserve">fully </w:t>
      </w:r>
      <w:r w:rsidR="00536585" w:rsidRPr="00536585">
        <w:rPr>
          <w:rFonts w:ascii="Arial" w:hAnsi="Arial" w:cs="Arial"/>
        </w:rPr>
        <w:t xml:space="preserve">appreciative </w:t>
      </w:r>
      <w:r w:rsidR="00536585">
        <w:rPr>
          <w:rFonts w:ascii="Arial" w:hAnsi="Arial" w:cs="Arial"/>
        </w:rPr>
        <w:t xml:space="preserve">by now </w:t>
      </w:r>
      <w:r w:rsidR="00536585" w:rsidRPr="00536585">
        <w:rPr>
          <w:rFonts w:ascii="Arial" w:hAnsi="Arial" w:cs="Arial"/>
        </w:rPr>
        <w:t>of the possible consequences of not doing so.</w:t>
      </w:r>
    </w:p>
    <w:p w:rsidR="007C7BF9" w:rsidRPr="007C7BF9" w:rsidRDefault="00F1100A" w:rsidP="007C7BF9">
      <w:pPr>
        <w:spacing w:line="360" w:lineRule="auto"/>
        <w:rPr>
          <w:rFonts w:ascii="Arial" w:hAnsi="Arial" w:cs="Arial"/>
          <w:b/>
        </w:rPr>
      </w:pPr>
      <w:r>
        <w:rPr>
          <w:rFonts w:ascii="Arial" w:hAnsi="Arial" w:cs="Arial"/>
          <w:b/>
        </w:rPr>
        <w:t>RULING</w:t>
      </w:r>
    </w:p>
    <w:p w:rsidR="007C7BF9" w:rsidRPr="00F1100A" w:rsidRDefault="007C7BF9" w:rsidP="00536585">
      <w:pPr>
        <w:pStyle w:val="ListParagraph"/>
        <w:numPr>
          <w:ilvl w:val="0"/>
          <w:numId w:val="1"/>
        </w:numPr>
        <w:spacing w:line="360" w:lineRule="auto"/>
        <w:rPr>
          <w:rFonts w:ascii="Arial" w:hAnsi="Arial" w:cs="Arial"/>
        </w:rPr>
      </w:pPr>
      <w:r w:rsidRPr="00F1100A">
        <w:rPr>
          <w:rFonts w:ascii="Arial" w:hAnsi="Arial" w:cs="Arial"/>
        </w:rPr>
        <w:t xml:space="preserve">These are the brief reasons </w:t>
      </w:r>
      <w:r w:rsidR="00257676" w:rsidRPr="00F1100A">
        <w:rPr>
          <w:rFonts w:ascii="Arial" w:hAnsi="Arial" w:cs="Arial"/>
        </w:rPr>
        <w:t xml:space="preserve">for </w:t>
      </w:r>
      <w:r w:rsidR="00F1100A">
        <w:rPr>
          <w:rFonts w:ascii="Arial" w:hAnsi="Arial" w:cs="Arial"/>
        </w:rPr>
        <w:t>issu</w:t>
      </w:r>
      <w:r w:rsidR="00E03530" w:rsidRPr="00F1100A">
        <w:rPr>
          <w:rFonts w:ascii="Arial" w:hAnsi="Arial" w:cs="Arial"/>
        </w:rPr>
        <w:t xml:space="preserve">ing the following ruling and directions on </w:t>
      </w:r>
      <w:r w:rsidR="00257676" w:rsidRPr="00F1100A">
        <w:rPr>
          <w:rFonts w:ascii="Arial" w:hAnsi="Arial" w:cs="Arial"/>
        </w:rPr>
        <w:t>10 August:</w:t>
      </w:r>
    </w:p>
    <w:p w:rsidR="00EA2423" w:rsidRPr="00F1100A" w:rsidRDefault="00EA2423" w:rsidP="00EA2423">
      <w:pPr>
        <w:pStyle w:val="ListParagraph"/>
        <w:spacing w:line="360" w:lineRule="auto"/>
        <w:ind w:left="360"/>
        <w:rPr>
          <w:rFonts w:ascii="Arial" w:hAnsi="Arial" w:cs="Arial"/>
        </w:rPr>
      </w:pPr>
    </w:p>
    <w:p w:rsidR="00E03530" w:rsidRPr="00F1100A" w:rsidRDefault="00E03530" w:rsidP="00EA2423">
      <w:pPr>
        <w:pStyle w:val="ListParagraph"/>
        <w:numPr>
          <w:ilvl w:val="0"/>
          <w:numId w:val="2"/>
        </w:numPr>
        <w:spacing w:line="360" w:lineRule="auto"/>
        <w:rPr>
          <w:rFonts w:ascii="Arial" w:hAnsi="Arial" w:cs="Arial"/>
          <w:i/>
        </w:rPr>
      </w:pPr>
      <w:r w:rsidRPr="00F1100A">
        <w:rPr>
          <w:rFonts w:ascii="Arial" w:hAnsi="Arial" w:cs="Arial"/>
          <w:i/>
        </w:rPr>
        <w:t>Within 15 court days after the completion of Ramsay’s evidence in chief Mr Porritt, being accused no 1, shall have put his case in regard to at least;</w:t>
      </w:r>
    </w:p>
    <w:p w:rsidR="00EA2423" w:rsidRPr="00F1100A" w:rsidRDefault="00EA2423" w:rsidP="00EA2423">
      <w:pPr>
        <w:pStyle w:val="ListParagraph"/>
        <w:spacing w:line="360" w:lineRule="auto"/>
        <w:ind w:left="1080"/>
        <w:rPr>
          <w:rFonts w:ascii="Arial" w:hAnsi="Arial" w:cs="Arial"/>
          <w:i/>
        </w:rPr>
      </w:pPr>
    </w:p>
    <w:p w:rsidR="00E03530" w:rsidRPr="00F1100A" w:rsidRDefault="00E03530" w:rsidP="00EA2423">
      <w:pPr>
        <w:pStyle w:val="ListParagraph"/>
        <w:numPr>
          <w:ilvl w:val="1"/>
          <w:numId w:val="2"/>
        </w:numPr>
        <w:spacing w:line="360" w:lineRule="auto"/>
        <w:rPr>
          <w:rFonts w:ascii="Arial" w:hAnsi="Arial" w:cs="Arial"/>
          <w:i/>
        </w:rPr>
      </w:pPr>
      <w:r w:rsidRPr="00F1100A">
        <w:rPr>
          <w:rFonts w:ascii="Arial" w:hAnsi="Arial" w:cs="Arial"/>
          <w:i/>
        </w:rPr>
        <w:t>whether it is denied;</w:t>
      </w:r>
    </w:p>
    <w:p w:rsidR="00EA2423" w:rsidRPr="00F1100A" w:rsidRDefault="00EA2423" w:rsidP="00EA2423">
      <w:pPr>
        <w:pStyle w:val="ListParagraph"/>
        <w:spacing w:line="360" w:lineRule="auto"/>
        <w:ind w:left="1800"/>
        <w:rPr>
          <w:rFonts w:ascii="Arial" w:hAnsi="Arial" w:cs="Arial"/>
          <w:i/>
        </w:rPr>
      </w:pPr>
    </w:p>
    <w:p w:rsidR="00E03530" w:rsidRDefault="00E03530" w:rsidP="00EA2423">
      <w:pPr>
        <w:pStyle w:val="ListParagraph"/>
        <w:numPr>
          <w:ilvl w:val="2"/>
          <w:numId w:val="2"/>
        </w:numPr>
        <w:spacing w:line="360" w:lineRule="auto"/>
        <w:rPr>
          <w:rFonts w:ascii="Arial" w:hAnsi="Arial" w:cs="Arial"/>
          <w:i/>
        </w:rPr>
      </w:pPr>
      <w:r w:rsidRPr="00F1100A">
        <w:rPr>
          <w:rFonts w:ascii="Arial" w:hAnsi="Arial" w:cs="Arial"/>
          <w:i/>
        </w:rPr>
        <w:t>that the word “Colin “which appears on the letter of 4 March 1991 which is Exhibit DQ 38 is in his, Porritt’s, handwriting</w:t>
      </w:r>
    </w:p>
    <w:p w:rsidR="00E2002F" w:rsidRPr="00F1100A" w:rsidRDefault="00E2002F" w:rsidP="00E2002F">
      <w:pPr>
        <w:pStyle w:val="ListParagraph"/>
        <w:spacing w:line="360" w:lineRule="auto"/>
        <w:ind w:left="2520"/>
        <w:rPr>
          <w:rFonts w:ascii="Arial" w:hAnsi="Arial" w:cs="Arial"/>
          <w:i/>
        </w:rPr>
      </w:pPr>
    </w:p>
    <w:p w:rsidR="00E03530" w:rsidRDefault="00E03530" w:rsidP="00EA2423">
      <w:pPr>
        <w:pStyle w:val="ListParagraph"/>
        <w:numPr>
          <w:ilvl w:val="2"/>
          <w:numId w:val="2"/>
        </w:numPr>
        <w:spacing w:line="360" w:lineRule="auto"/>
        <w:rPr>
          <w:rFonts w:ascii="Arial" w:hAnsi="Arial" w:cs="Arial"/>
          <w:i/>
        </w:rPr>
      </w:pPr>
      <w:r w:rsidRPr="00F1100A">
        <w:rPr>
          <w:rFonts w:ascii="Arial" w:hAnsi="Arial" w:cs="Arial"/>
          <w:i/>
        </w:rPr>
        <w:t>that the letter of 4 March 1991 (</w:t>
      </w:r>
      <w:proofErr w:type="spellStart"/>
      <w:r w:rsidRPr="00F1100A">
        <w:rPr>
          <w:rFonts w:ascii="Arial" w:hAnsi="Arial" w:cs="Arial"/>
          <w:i/>
        </w:rPr>
        <w:t>Exh</w:t>
      </w:r>
      <w:proofErr w:type="spellEnd"/>
      <w:r w:rsidRPr="00F1100A">
        <w:rPr>
          <w:rFonts w:ascii="Arial" w:hAnsi="Arial" w:cs="Arial"/>
          <w:i/>
        </w:rPr>
        <w:t xml:space="preserve"> DQ41-42) regarding the disallowance of s 11(b) and 11 (</w:t>
      </w:r>
      <w:proofErr w:type="spellStart"/>
      <w:r w:rsidRPr="00F1100A">
        <w:rPr>
          <w:rFonts w:ascii="Arial" w:hAnsi="Arial" w:cs="Arial"/>
          <w:i/>
        </w:rPr>
        <w:t>bis</w:t>
      </w:r>
      <w:proofErr w:type="spellEnd"/>
      <w:r w:rsidRPr="00F1100A">
        <w:rPr>
          <w:rFonts w:ascii="Arial" w:hAnsi="Arial" w:cs="Arial"/>
          <w:i/>
        </w:rPr>
        <w:t xml:space="preserve">) allowances/expenditure was received by   Effective Barter (Natal) (Pty) Ltd (subsequently named Synergy Management &amp; Finance (Pty) Ltd) </w:t>
      </w:r>
    </w:p>
    <w:p w:rsidR="00E2002F" w:rsidRPr="00E2002F" w:rsidRDefault="00E2002F" w:rsidP="00E2002F">
      <w:pPr>
        <w:pStyle w:val="ListParagraph"/>
        <w:rPr>
          <w:rFonts w:ascii="Arial" w:hAnsi="Arial" w:cs="Arial"/>
          <w:i/>
        </w:rPr>
      </w:pPr>
    </w:p>
    <w:p w:rsidR="00E03530" w:rsidRPr="00F1100A"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that the letter purporting to be written by Mr </w:t>
      </w:r>
      <w:proofErr w:type="spellStart"/>
      <w:r w:rsidRPr="00F1100A">
        <w:rPr>
          <w:rFonts w:ascii="Arial" w:hAnsi="Arial" w:cs="Arial"/>
          <w:i/>
        </w:rPr>
        <w:t>Carrihill</w:t>
      </w:r>
      <w:proofErr w:type="spellEnd"/>
      <w:r w:rsidRPr="00F1100A">
        <w:rPr>
          <w:rFonts w:ascii="Arial" w:hAnsi="Arial" w:cs="Arial"/>
          <w:i/>
        </w:rPr>
        <w:t xml:space="preserve"> to Effective Barter (Natal) (Pty) Ltd regarding the allowance of s 11(b) and 11 (</w:t>
      </w:r>
      <w:proofErr w:type="spellStart"/>
      <w:r w:rsidRPr="00F1100A">
        <w:rPr>
          <w:rFonts w:ascii="Arial" w:hAnsi="Arial" w:cs="Arial"/>
          <w:i/>
        </w:rPr>
        <w:t>bis</w:t>
      </w:r>
      <w:proofErr w:type="spellEnd"/>
      <w:r w:rsidRPr="00F1100A">
        <w:rPr>
          <w:rFonts w:ascii="Arial" w:hAnsi="Arial" w:cs="Arial"/>
          <w:i/>
        </w:rPr>
        <w:t>) allowances/expenditure (</w:t>
      </w:r>
      <w:proofErr w:type="spellStart"/>
      <w:r w:rsidRPr="00F1100A">
        <w:rPr>
          <w:rFonts w:ascii="Arial" w:hAnsi="Arial" w:cs="Arial"/>
          <w:i/>
        </w:rPr>
        <w:t>Exh</w:t>
      </w:r>
      <w:proofErr w:type="spellEnd"/>
      <w:r w:rsidRPr="00F1100A">
        <w:rPr>
          <w:rFonts w:ascii="Arial" w:hAnsi="Arial" w:cs="Arial"/>
          <w:i/>
        </w:rPr>
        <w:t xml:space="preserve"> DQ 75 also DM GHR4-6);</w:t>
      </w:r>
    </w:p>
    <w:p w:rsidR="00E03530" w:rsidRPr="00F1100A" w:rsidRDefault="00E03530" w:rsidP="00EA2423">
      <w:pPr>
        <w:pStyle w:val="ListParagraph"/>
        <w:numPr>
          <w:ilvl w:val="3"/>
          <w:numId w:val="2"/>
        </w:numPr>
        <w:spacing w:line="360" w:lineRule="auto"/>
        <w:rPr>
          <w:rFonts w:ascii="Arial" w:hAnsi="Arial" w:cs="Arial"/>
          <w:i/>
        </w:rPr>
      </w:pPr>
      <w:r w:rsidRPr="00F1100A">
        <w:rPr>
          <w:rFonts w:ascii="Arial" w:hAnsi="Arial" w:cs="Arial"/>
          <w:i/>
        </w:rPr>
        <w:t>is a forgery;</w:t>
      </w:r>
    </w:p>
    <w:p w:rsidR="00E03530" w:rsidRPr="00F1100A" w:rsidRDefault="00E03530" w:rsidP="00EA2423">
      <w:pPr>
        <w:pStyle w:val="ListParagraph"/>
        <w:numPr>
          <w:ilvl w:val="3"/>
          <w:numId w:val="2"/>
        </w:numPr>
        <w:spacing w:line="360" w:lineRule="auto"/>
        <w:rPr>
          <w:rFonts w:ascii="Arial" w:hAnsi="Arial" w:cs="Arial"/>
          <w:i/>
        </w:rPr>
      </w:pPr>
      <w:r w:rsidRPr="00F1100A">
        <w:rPr>
          <w:rFonts w:ascii="Arial" w:hAnsi="Arial" w:cs="Arial"/>
          <w:i/>
        </w:rPr>
        <w:t>did not come into existence on the date reflected in the letter</w:t>
      </w:r>
    </w:p>
    <w:p w:rsidR="00E03530" w:rsidRPr="00F1100A" w:rsidRDefault="00E03530" w:rsidP="00EA2423">
      <w:pPr>
        <w:pStyle w:val="ListParagraph"/>
        <w:numPr>
          <w:ilvl w:val="3"/>
          <w:numId w:val="2"/>
        </w:numPr>
        <w:spacing w:line="360" w:lineRule="auto"/>
        <w:rPr>
          <w:rFonts w:ascii="Arial" w:hAnsi="Arial" w:cs="Arial"/>
          <w:i/>
        </w:rPr>
      </w:pPr>
      <w:r w:rsidRPr="00F1100A">
        <w:rPr>
          <w:rFonts w:ascii="Arial" w:hAnsi="Arial" w:cs="Arial"/>
          <w:i/>
        </w:rPr>
        <w:lastRenderedPageBreak/>
        <w:t xml:space="preserve">only came into existence in 1999 after </w:t>
      </w:r>
      <w:proofErr w:type="spellStart"/>
      <w:r w:rsidRPr="00F1100A">
        <w:rPr>
          <w:rFonts w:ascii="Arial" w:hAnsi="Arial" w:cs="Arial"/>
          <w:i/>
        </w:rPr>
        <w:t>Exh</w:t>
      </w:r>
      <w:proofErr w:type="spellEnd"/>
      <w:r w:rsidRPr="00F1100A">
        <w:rPr>
          <w:rFonts w:ascii="Arial" w:hAnsi="Arial" w:cs="Arial"/>
          <w:i/>
        </w:rPr>
        <w:t xml:space="preserve"> DJ 597, being a letter of 23 April 1999 regarding the appointment of Simon Hurwitz, was signed on behalf of the board of Synergy Management &amp; Finance (Pty) Ltd Board </w:t>
      </w:r>
    </w:p>
    <w:p w:rsidR="00EA2423" w:rsidRPr="00F1100A" w:rsidRDefault="00EA2423" w:rsidP="00EA2423">
      <w:pPr>
        <w:pStyle w:val="ListParagraph"/>
        <w:spacing w:line="360" w:lineRule="auto"/>
        <w:ind w:left="4079"/>
        <w:rPr>
          <w:rFonts w:ascii="Arial" w:hAnsi="Arial" w:cs="Arial"/>
          <w:i/>
        </w:rPr>
      </w:pPr>
    </w:p>
    <w:p w:rsidR="00E03530" w:rsidRPr="00F1100A" w:rsidRDefault="00E03530" w:rsidP="00EA2423">
      <w:pPr>
        <w:pStyle w:val="ListParagraph"/>
        <w:numPr>
          <w:ilvl w:val="1"/>
          <w:numId w:val="2"/>
        </w:numPr>
        <w:spacing w:line="360" w:lineRule="auto"/>
        <w:rPr>
          <w:rFonts w:ascii="Arial" w:hAnsi="Arial" w:cs="Arial"/>
          <w:i/>
        </w:rPr>
      </w:pPr>
      <w:r w:rsidRPr="00F1100A">
        <w:rPr>
          <w:rFonts w:ascii="Arial" w:hAnsi="Arial" w:cs="Arial"/>
          <w:i/>
        </w:rPr>
        <w:t>the allegations by Ramsay;</w:t>
      </w:r>
    </w:p>
    <w:p w:rsidR="00EA2423" w:rsidRPr="00F1100A" w:rsidRDefault="00EA2423" w:rsidP="00EA2423">
      <w:pPr>
        <w:pStyle w:val="ListParagraph"/>
        <w:spacing w:line="360" w:lineRule="auto"/>
        <w:ind w:left="1800"/>
        <w:rPr>
          <w:rFonts w:ascii="Arial" w:hAnsi="Arial" w:cs="Arial"/>
          <w:i/>
        </w:rPr>
      </w:pPr>
    </w:p>
    <w:p w:rsidR="00E03530" w:rsidRDefault="00E03530" w:rsidP="00EA2423">
      <w:pPr>
        <w:pStyle w:val="ListParagraph"/>
        <w:numPr>
          <w:ilvl w:val="2"/>
          <w:numId w:val="2"/>
        </w:numPr>
        <w:spacing w:line="360" w:lineRule="auto"/>
        <w:rPr>
          <w:rFonts w:ascii="Arial" w:hAnsi="Arial" w:cs="Arial"/>
          <w:i/>
        </w:rPr>
      </w:pPr>
      <w:r w:rsidRPr="00F1100A">
        <w:rPr>
          <w:rFonts w:ascii="Arial" w:hAnsi="Arial" w:cs="Arial"/>
          <w:i/>
        </w:rPr>
        <w:t>of Porritt and Bennett’s involvement leading up to creation of the alleged forged letter referred to in para 1()a)(iii) hereof</w:t>
      </w:r>
    </w:p>
    <w:p w:rsidR="00E2002F" w:rsidRPr="00F1100A" w:rsidRDefault="00E2002F" w:rsidP="00E2002F">
      <w:pPr>
        <w:pStyle w:val="ListParagraph"/>
        <w:spacing w:line="360" w:lineRule="auto"/>
        <w:ind w:left="2520"/>
        <w:rPr>
          <w:rFonts w:ascii="Arial" w:hAnsi="Arial" w:cs="Arial"/>
          <w:i/>
        </w:rPr>
      </w:pPr>
    </w:p>
    <w:p w:rsidR="00E03530"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that Porritt made amendments to </w:t>
      </w:r>
      <w:proofErr w:type="spellStart"/>
      <w:r w:rsidRPr="00F1100A">
        <w:rPr>
          <w:rFonts w:ascii="Arial" w:hAnsi="Arial" w:cs="Arial"/>
          <w:i/>
        </w:rPr>
        <w:t>Exh</w:t>
      </w:r>
      <w:proofErr w:type="spellEnd"/>
      <w:r w:rsidRPr="00F1100A">
        <w:rPr>
          <w:rFonts w:ascii="Arial" w:hAnsi="Arial" w:cs="Arial"/>
          <w:i/>
        </w:rPr>
        <w:t xml:space="preserve"> DL 27 </w:t>
      </w:r>
    </w:p>
    <w:p w:rsidR="00E2002F" w:rsidRPr="00E2002F" w:rsidRDefault="00E2002F" w:rsidP="00E2002F">
      <w:pPr>
        <w:pStyle w:val="ListParagraph"/>
        <w:rPr>
          <w:rFonts w:ascii="Arial" w:hAnsi="Arial" w:cs="Arial"/>
          <w:i/>
        </w:rPr>
      </w:pPr>
    </w:p>
    <w:p w:rsidR="00E2002F"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that at the time of the respective transactions concerning the intellectual property from </w:t>
      </w:r>
      <w:proofErr w:type="spellStart"/>
      <w:r w:rsidRPr="00F1100A">
        <w:rPr>
          <w:rFonts w:ascii="Arial" w:hAnsi="Arial" w:cs="Arial"/>
          <w:i/>
        </w:rPr>
        <w:t>Europoint</w:t>
      </w:r>
      <w:proofErr w:type="spellEnd"/>
      <w:r w:rsidRPr="00F1100A">
        <w:rPr>
          <w:rFonts w:ascii="Arial" w:hAnsi="Arial" w:cs="Arial"/>
          <w:i/>
        </w:rPr>
        <w:t xml:space="preserve"> to Asia Pacific, from Asia Pacific to Tandem and from Tandem to </w:t>
      </w:r>
      <w:proofErr w:type="spellStart"/>
      <w:r w:rsidRPr="00F1100A">
        <w:rPr>
          <w:rFonts w:ascii="Arial" w:hAnsi="Arial" w:cs="Arial"/>
          <w:i/>
        </w:rPr>
        <w:t>Shawcell</w:t>
      </w:r>
      <w:proofErr w:type="spellEnd"/>
      <w:r w:rsidRPr="00F1100A">
        <w:rPr>
          <w:rFonts w:ascii="Arial" w:hAnsi="Arial" w:cs="Arial"/>
          <w:i/>
        </w:rPr>
        <w:t xml:space="preserve"> Telecom each company was a related party to the other</w:t>
      </w:r>
    </w:p>
    <w:p w:rsidR="00E2002F" w:rsidRPr="00E2002F" w:rsidRDefault="00E2002F" w:rsidP="00E2002F">
      <w:pPr>
        <w:pStyle w:val="ListParagraph"/>
        <w:rPr>
          <w:rFonts w:ascii="Arial" w:hAnsi="Arial" w:cs="Arial"/>
          <w:i/>
        </w:rPr>
      </w:pPr>
    </w:p>
    <w:p w:rsidR="00E03530"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that no value was added to any intellectual property between the time it was disposed of by </w:t>
      </w:r>
      <w:proofErr w:type="spellStart"/>
      <w:r w:rsidRPr="00F1100A">
        <w:rPr>
          <w:rFonts w:ascii="Arial" w:hAnsi="Arial" w:cs="Arial"/>
          <w:i/>
        </w:rPr>
        <w:t>Europoint</w:t>
      </w:r>
      <w:proofErr w:type="spellEnd"/>
      <w:r w:rsidRPr="00F1100A">
        <w:rPr>
          <w:rFonts w:ascii="Arial" w:hAnsi="Arial" w:cs="Arial"/>
          <w:i/>
        </w:rPr>
        <w:t xml:space="preserve"> to the time it was acquired by </w:t>
      </w:r>
      <w:proofErr w:type="spellStart"/>
      <w:r w:rsidRPr="00F1100A">
        <w:rPr>
          <w:rFonts w:ascii="Arial" w:hAnsi="Arial" w:cs="Arial"/>
          <w:i/>
        </w:rPr>
        <w:t>Shawcell</w:t>
      </w:r>
      <w:proofErr w:type="spellEnd"/>
      <w:r w:rsidRPr="00F1100A">
        <w:rPr>
          <w:rFonts w:ascii="Arial" w:hAnsi="Arial" w:cs="Arial"/>
          <w:i/>
        </w:rPr>
        <w:t xml:space="preserve"> </w:t>
      </w:r>
    </w:p>
    <w:p w:rsidR="00E2002F" w:rsidRPr="00E2002F" w:rsidRDefault="00E2002F" w:rsidP="00E2002F">
      <w:pPr>
        <w:pStyle w:val="ListParagraph"/>
        <w:rPr>
          <w:rFonts w:ascii="Arial" w:hAnsi="Arial" w:cs="Arial"/>
          <w:i/>
        </w:rPr>
      </w:pPr>
    </w:p>
    <w:p w:rsidR="00E03530"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of the facts regarding Tandem’s actual business operations in Mauritius insofar as it relates (and the contents of </w:t>
      </w:r>
      <w:proofErr w:type="spellStart"/>
      <w:r w:rsidRPr="00F1100A">
        <w:rPr>
          <w:rFonts w:ascii="Arial" w:hAnsi="Arial" w:cs="Arial"/>
          <w:i/>
        </w:rPr>
        <w:t>Exh</w:t>
      </w:r>
      <w:proofErr w:type="spellEnd"/>
      <w:r w:rsidRPr="00F1100A">
        <w:rPr>
          <w:rFonts w:ascii="Arial" w:hAnsi="Arial" w:cs="Arial"/>
          <w:i/>
        </w:rPr>
        <w:t xml:space="preserve"> DL98 are to be dealt with)</w:t>
      </w:r>
    </w:p>
    <w:p w:rsidR="00E2002F" w:rsidRPr="00E2002F" w:rsidRDefault="00E2002F" w:rsidP="00E2002F">
      <w:pPr>
        <w:pStyle w:val="ListParagraph"/>
        <w:rPr>
          <w:rFonts w:ascii="Arial" w:hAnsi="Arial" w:cs="Arial"/>
          <w:i/>
        </w:rPr>
      </w:pPr>
    </w:p>
    <w:p w:rsidR="00E03530"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that the </w:t>
      </w:r>
      <w:proofErr w:type="spellStart"/>
      <w:r w:rsidRPr="00F1100A">
        <w:rPr>
          <w:rFonts w:ascii="Arial" w:hAnsi="Arial" w:cs="Arial"/>
          <w:i/>
        </w:rPr>
        <w:t>Shawcell</w:t>
      </w:r>
      <w:proofErr w:type="spellEnd"/>
      <w:r w:rsidRPr="00F1100A">
        <w:rPr>
          <w:rFonts w:ascii="Arial" w:hAnsi="Arial" w:cs="Arial"/>
          <w:i/>
        </w:rPr>
        <w:t xml:space="preserve"> Telecom listing did not raise R150 million cash but only raised R40 million</w:t>
      </w:r>
    </w:p>
    <w:p w:rsidR="00E2002F" w:rsidRPr="00E2002F" w:rsidRDefault="00E2002F" w:rsidP="00E2002F">
      <w:pPr>
        <w:pStyle w:val="ListParagraph"/>
        <w:rPr>
          <w:rFonts w:ascii="Arial" w:hAnsi="Arial" w:cs="Arial"/>
          <w:i/>
        </w:rPr>
      </w:pPr>
    </w:p>
    <w:p w:rsidR="00E2002F"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that the shares identified in </w:t>
      </w:r>
      <w:proofErr w:type="spellStart"/>
      <w:r w:rsidRPr="00F1100A">
        <w:rPr>
          <w:rFonts w:ascii="Arial" w:hAnsi="Arial" w:cs="Arial"/>
          <w:i/>
        </w:rPr>
        <w:t>Exh</w:t>
      </w:r>
      <w:proofErr w:type="spellEnd"/>
      <w:r w:rsidRPr="00F1100A">
        <w:rPr>
          <w:rFonts w:ascii="Arial" w:hAnsi="Arial" w:cs="Arial"/>
          <w:i/>
        </w:rPr>
        <w:t xml:space="preserve"> DL 56 were not issued for cash</w:t>
      </w:r>
    </w:p>
    <w:p w:rsidR="00E2002F" w:rsidRPr="00E2002F" w:rsidRDefault="00E2002F" w:rsidP="00E2002F">
      <w:pPr>
        <w:pStyle w:val="ListParagraph"/>
        <w:rPr>
          <w:rFonts w:ascii="Arial" w:hAnsi="Arial" w:cs="Arial"/>
          <w:i/>
        </w:rPr>
      </w:pPr>
    </w:p>
    <w:p w:rsidR="00EA2423"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that R999 061 521 supposedly raised by Tigon to selected investors was not received as required and cannot be accounted for (see </w:t>
      </w:r>
      <w:proofErr w:type="spellStart"/>
      <w:r w:rsidRPr="00F1100A">
        <w:rPr>
          <w:rFonts w:ascii="Arial" w:hAnsi="Arial" w:cs="Arial"/>
          <w:i/>
        </w:rPr>
        <w:t>Exh</w:t>
      </w:r>
      <w:proofErr w:type="spellEnd"/>
      <w:r w:rsidRPr="00F1100A">
        <w:rPr>
          <w:rFonts w:ascii="Arial" w:hAnsi="Arial" w:cs="Arial"/>
          <w:i/>
        </w:rPr>
        <w:t xml:space="preserve"> DJ 330)</w:t>
      </w:r>
    </w:p>
    <w:p w:rsidR="00E2002F" w:rsidRPr="00E2002F" w:rsidRDefault="00E2002F" w:rsidP="00E2002F">
      <w:pPr>
        <w:pStyle w:val="ListParagraph"/>
        <w:rPr>
          <w:rFonts w:ascii="Arial" w:hAnsi="Arial" w:cs="Arial"/>
          <w:i/>
        </w:rPr>
      </w:pPr>
    </w:p>
    <w:p w:rsidR="00E03530" w:rsidRDefault="00E03530" w:rsidP="00EA2423">
      <w:pPr>
        <w:pStyle w:val="ListParagraph"/>
        <w:numPr>
          <w:ilvl w:val="2"/>
          <w:numId w:val="2"/>
        </w:numPr>
        <w:spacing w:line="360" w:lineRule="auto"/>
        <w:rPr>
          <w:rFonts w:ascii="Arial" w:hAnsi="Arial" w:cs="Arial"/>
          <w:i/>
        </w:rPr>
      </w:pPr>
      <w:r w:rsidRPr="00F1100A">
        <w:rPr>
          <w:rFonts w:ascii="Arial" w:hAnsi="Arial" w:cs="Arial"/>
          <w:i/>
        </w:rPr>
        <w:t xml:space="preserve"> concerning notes 15 and 16 to the Annual Financial Statements at </w:t>
      </w:r>
      <w:proofErr w:type="spellStart"/>
      <w:r w:rsidRPr="00F1100A">
        <w:rPr>
          <w:rFonts w:ascii="Arial" w:hAnsi="Arial" w:cs="Arial"/>
          <w:i/>
        </w:rPr>
        <w:t>Exh</w:t>
      </w:r>
      <w:proofErr w:type="spellEnd"/>
      <w:r w:rsidRPr="00F1100A">
        <w:rPr>
          <w:rFonts w:ascii="Arial" w:hAnsi="Arial" w:cs="Arial"/>
          <w:i/>
        </w:rPr>
        <w:t xml:space="preserve"> DO106, that R1.259 billion was not actually received on the disposal of the subsidiary and that it cannot be properly accounted for;</w:t>
      </w:r>
    </w:p>
    <w:p w:rsidR="00E2002F" w:rsidRPr="00E2002F" w:rsidRDefault="00E2002F" w:rsidP="00E2002F">
      <w:pPr>
        <w:pStyle w:val="ListParagraph"/>
        <w:rPr>
          <w:rFonts w:ascii="Arial" w:hAnsi="Arial" w:cs="Arial"/>
          <w:i/>
        </w:rPr>
      </w:pPr>
    </w:p>
    <w:p w:rsidR="00E03530" w:rsidRPr="00F1100A" w:rsidRDefault="00E03530" w:rsidP="00EA2423">
      <w:pPr>
        <w:pStyle w:val="ListParagraph"/>
        <w:numPr>
          <w:ilvl w:val="2"/>
          <w:numId w:val="2"/>
        </w:numPr>
        <w:spacing w:line="360" w:lineRule="auto"/>
        <w:rPr>
          <w:rFonts w:ascii="Arial" w:hAnsi="Arial" w:cs="Arial"/>
          <w:i/>
        </w:rPr>
      </w:pPr>
      <w:r w:rsidRPr="00F1100A">
        <w:rPr>
          <w:rFonts w:ascii="Arial" w:hAnsi="Arial" w:cs="Arial"/>
          <w:i/>
        </w:rPr>
        <w:t>that the Tigon group would have been trading at a loss during the 1999 to 2002 financial years but for the s 11(</w:t>
      </w:r>
      <w:proofErr w:type="spellStart"/>
      <w:r w:rsidRPr="00F1100A">
        <w:rPr>
          <w:rFonts w:ascii="Arial" w:hAnsi="Arial" w:cs="Arial"/>
          <w:i/>
        </w:rPr>
        <w:t>gA</w:t>
      </w:r>
      <w:proofErr w:type="spellEnd"/>
      <w:r w:rsidRPr="00F1100A">
        <w:rPr>
          <w:rFonts w:ascii="Arial" w:hAnsi="Arial" w:cs="Arial"/>
          <w:i/>
        </w:rPr>
        <w:t>), 11(b) and 11(</w:t>
      </w:r>
      <w:proofErr w:type="spellStart"/>
      <w:r w:rsidRPr="00F1100A">
        <w:rPr>
          <w:rFonts w:ascii="Arial" w:hAnsi="Arial" w:cs="Arial"/>
          <w:i/>
        </w:rPr>
        <w:t>bis</w:t>
      </w:r>
      <w:proofErr w:type="spellEnd"/>
      <w:r w:rsidRPr="00F1100A">
        <w:rPr>
          <w:rFonts w:ascii="Arial" w:hAnsi="Arial" w:cs="Arial"/>
          <w:i/>
        </w:rPr>
        <w:t>) assessed losses and allowances</w:t>
      </w:r>
    </w:p>
    <w:p w:rsidR="00EA2423" w:rsidRPr="00F1100A" w:rsidRDefault="00EA2423" w:rsidP="00EA2423">
      <w:pPr>
        <w:pStyle w:val="ListParagraph"/>
        <w:spacing w:line="360" w:lineRule="auto"/>
        <w:ind w:left="3359"/>
        <w:rPr>
          <w:rFonts w:ascii="Arial" w:hAnsi="Arial" w:cs="Arial"/>
          <w:i/>
        </w:rPr>
      </w:pPr>
    </w:p>
    <w:p w:rsidR="00EA2423" w:rsidRPr="00F1100A" w:rsidRDefault="00E03530" w:rsidP="00EA2423">
      <w:pPr>
        <w:pStyle w:val="ListParagraph"/>
        <w:numPr>
          <w:ilvl w:val="0"/>
          <w:numId w:val="2"/>
        </w:numPr>
        <w:spacing w:line="360" w:lineRule="auto"/>
        <w:rPr>
          <w:rFonts w:ascii="Arial" w:hAnsi="Arial" w:cs="Arial"/>
          <w:i/>
        </w:rPr>
      </w:pPr>
      <w:r w:rsidRPr="00F1100A">
        <w:rPr>
          <w:rFonts w:ascii="Arial" w:hAnsi="Arial" w:cs="Arial"/>
          <w:i/>
        </w:rPr>
        <w:t>In the event that Ms Bennett cross-examines Ramsay first, then within 15 court days after the completion of Ramsay’s evidence in chief she shall have put her case in regard to at least each of the matters set out in para 1 hereof save for paras 1 (a) (</w:t>
      </w:r>
      <w:proofErr w:type="spellStart"/>
      <w:r w:rsidRPr="00F1100A">
        <w:rPr>
          <w:rFonts w:ascii="Arial" w:hAnsi="Arial" w:cs="Arial"/>
          <w:i/>
        </w:rPr>
        <w:t>i</w:t>
      </w:r>
      <w:proofErr w:type="spellEnd"/>
      <w:r w:rsidRPr="00F1100A">
        <w:rPr>
          <w:rFonts w:ascii="Arial" w:hAnsi="Arial" w:cs="Arial"/>
          <w:i/>
        </w:rPr>
        <w:t>) and (ii) and para 1(b)(</w:t>
      </w:r>
      <w:proofErr w:type="spellStart"/>
      <w:r w:rsidRPr="00F1100A">
        <w:rPr>
          <w:rFonts w:ascii="Arial" w:hAnsi="Arial" w:cs="Arial"/>
          <w:i/>
        </w:rPr>
        <w:t>i</w:t>
      </w:r>
      <w:proofErr w:type="spellEnd"/>
      <w:r w:rsidRPr="00F1100A">
        <w:rPr>
          <w:rFonts w:ascii="Arial" w:hAnsi="Arial" w:cs="Arial"/>
          <w:i/>
        </w:rPr>
        <w:t xml:space="preserve">) </w:t>
      </w:r>
    </w:p>
    <w:p w:rsidR="00E03530" w:rsidRPr="00F1100A" w:rsidRDefault="00E03530" w:rsidP="00EA2423">
      <w:pPr>
        <w:pStyle w:val="ListParagraph"/>
        <w:spacing w:line="360" w:lineRule="auto"/>
        <w:ind w:left="1080"/>
        <w:rPr>
          <w:rFonts w:ascii="Arial" w:hAnsi="Arial" w:cs="Arial"/>
          <w:i/>
        </w:rPr>
      </w:pPr>
      <w:r w:rsidRPr="00F1100A">
        <w:rPr>
          <w:rFonts w:ascii="Arial" w:hAnsi="Arial" w:cs="Arial"/>
          <w:i/>
        </w:rPr>
        <w:t xml:space="preserve"> </w:t>
      </w:r>
    </w:p>
    <w:p w:rsidR="00E03530" w:rsidRPr="00F1100A" w:rsidRDefault="00E03530" w:rsidP="00EA2423">
      <w:pPr>
        <w:pStyle w:val="ListParagraph"/>
        <w:numPr>
          <w:ilvl w:val="0"/>
          <w:numId w:val="2"/>
        </w:numPr>
        <w:spacing w:line="360" w:lineRule="auto"/>
        <w:rPr>
          <w:rFonts w:ascii="Arial" w:hAnsi="Arial" w:cs="Arial"/>
          <w:i/>
        </w:rPr>
      </w:pPr>
      <w:r w:rsidRPr="00F1100A">
        <w:rPr>
          <w:rFonts w:ascii="Arial" w:hAnsi="Arial" w:cs="Arial"/>
          <w:i/>
        </w:rPr>
        <w:t>If the accused who first proceeds with the cross-examination fails to put his or her case to Ramsay in regard to at least the issues and documents set out in para 1 or 2 (as the case may be)- within the 15 court day period, then unless good cause is shown in a written application deposed to by that accused under oath;</w:t>
      </w:r>
    </w:p>
    <w:p w:rsidR="00EA2423" w:rsidRPr="00F1100A" w:rsidRDefault="00EA2423" w:rsidP="00EA2423">
      <w:pPr>
        <w:pStyle w:val="ListParagraph"/>
        <w:spacing w:line="360" w:lineRule="auto"/>
        <w:ind w:left="1919"/>
        <w:rPr>
          <w:rFonts w:ascii="Arial" w:hAnsi="Arial" w:cs="Arial"/>
          <w:i/>
        </w:rPr>
      </w:pPr>
    </w:p>
    <w:p w:rsidR="00E03530" w:rsidRPr="00F1100A" w:rsidRDefault="00E03530" w:rsidP="00EA2423">
      <w:pPr>
        <w:pStyle w:val="ListParagraph"/>
        <w:numPr>
          <w:ilvl w:val="1"/>
          <w:numId w:val="2"/>
        </w:numPr>
        <w:spacing w:line="360" w:lineRule="auto"/>
        <w:rPr>
          <w:rFonts w:ascii="Arial" w:hAnsi="Arial" w:cs="Arial"/>
          <w:i/>
        </w:rPr>
      </w:pPr>
      <w:r w:rsidRPr="00F1100A">
        <w:rPr>
          <w:rFonts w:ascii="Arial" w:hAnsi="Arial" w:cs="Arial"/>
          <w:i/>
        </w:rPr>
        <w:t xml:space="preserve">such accused will be deemed to have exercised the right not to disclose his or her defence in relation to these matters and will be precluded from subsequently putting his or her case to Ramsay in respect of such matters; </w:t>
      </w:r>
    </w:p>
    <w:p w:rsidR="00EA2423" w:rsidRPr="00F1100A" w:rsidRDefault="00EA2423" w:rsidP="00EA2423">
      <w:pPr>
        <w:pStyle w:val="ListParagraph"/>
        <w:spacing w:line="360" w:lineRule="auto"/>
        <w:ind w:left="2639"/>
        <w:rPr>
          <w:rFonts w:ascii="Arial" w:hAnsi="Arial" w:cs="Arial"/>
          <w:i/>
        </w:rPr>
      </w:pPr>
    </w:p>
    <w:p w:rsidR="00E03530" w:rsidRDefault="00E03530" w:rsidP="00EA2423">
      <w:pPr>
        <w:pStyle w:val="ListParagraph"/>
        <w:numPr>
          <w:ilvl w:val="1"/>
          <w:numId w:val="2"/>
        </w:numPr>
        <w:spacing w:line="360" w:lineRule="auto"/>
        <w:rPr>
          <w:rFonts w:ascii="Arial" w:hAnsi="Arial" w:cs="Arial"/>
          <w:i/>
        </w:rPr>
      </w:pPr>
      <w:proofErr w:type="gramStart"/>
      <w:r w:rsidRPr="00F1100A">
        <w:rPr>
          <w:rFonts w:ascii="Arial" w:hAnsi="Arial" w:cs="Arial"/>
          <w:i/>
        </w:rPr>
        <w:t>the</w:t>
      </w:r>
      <w:proofErr w:type="gramEnd"/>
      <w:r w:rsidRPr="00F1100A">
        <w:rPr>
          <w:rFonts w:ascii="Arial" w:hAnsi="Arial" w:cs="Arial"/>
          <w:i/>
        </w:rPr>
        <w:t xml:space="preserve"> court will then determine by when the individual accused concerned is to put further aspects of his or her case to Ramsay, alternatively the court will determine by when the accused is to conclude his or her cross-examination of Ramsay.</w:t>
      </w:r>
    </w:p>
    <w:p w:rsidR="00E2002F" w:rsidRDefault="00E2002F" w:rsidP="00E2002F">
      <w:pPr>
        <w:pStyle w:val="ListParagraph"/>
        <w:rPr>
          <w:rFonts w:ascii="Arial" w:hAnsi="Arial" w:cs="Arial"/>
          <w:i/>
        </w:rPr>
      </w:pPr>
    </w:p>
    <w:p w:rsidR="00E2002F" w:rsidRDefault="00E2002F" w:rsidP="00E2002F">
      <w:pPr>
        <w:pStyle w:val="ListParagraph"/>
        <w:rPr>
          <w:rFonts w:ascii="Arial" w:hAnsi="Arial" w:cs="Arial"/>
          <w:i/>
        </w:rPr>
      </w:pPr>
    </w:p>
    <w:p w:rsidR="00E2002F" w:rsidRDefault="00E2002F" w:rsidP="00E2002F">
      <w:pPr>
        <w:pStyle w:val="ListParagraph"/>
        <w:rPr>
          <w:rFonts w:ascii="Arial" w:hAnsi="Arial" w:cs="Arial"/>
          <w:i/>
        </w:rPr>
      </w:pPr>
    </w:p>
    <w:p w:rsidR="00E2002F" w:rsidRDefault="00E2002F" w:rsidP="00E2002F">
      <w:pPr>
        <w:pStyle w:val="ListParagraph"/>
        <w:rPr>
          <w:rFonts w:ascii="Arial" w:hAnsi="Arial" w:cs="Arial"/>
          <w:i/>
        </w:rPr>
      </w:pPr>
    </w:p>
    <w:p w:rsidR="00E2002F" w:rsidRDefault="00E2002F" w:rsidP="00E2002F">
      <w:pPr>
        <w:pStyle w:val="ListParagraph"/>
        <w:rPr>
          <w:rFonts w:ascii="Arial" w:hAnsi="Arial" w:cs="Arial"/>
          <w:i/>
        </w:rPr>
      </w:pPr>
    </w:p>
    <w:p w:rsidR="00E2002F" w:rsidRPr="00E2002F" w:rsidRDefault="00E2002F" w:rsidP="00E2002F">
      <w:pPr>
        <w:pStyle w:val="ListParagraph"/>
        <w:ind w:left="5040"/>
        <w:rPr>
          <w:rFonts w:ascii="Arial" w:hAnsi="Arial" w:cs="Arial"/>
          <w:b/>
          <w:i/>
        </w:rPr>
      </w:pPr>
      <w:r w:rsidRPr="00E2002F">
        <w:rPr>
          <w:rFonts w:ascii="Arial" w:hAnsi="Arial" w:cs="Arial"/>
          <w:b/>
          <w:i/>
        </w:rPr>
        <w:t>________________</w:t>
      </w:r>
    </w:p>
    <w:p w:rsidR="00E2002F" w:rsidRPr="00E2002F" w:rsidRDefault="00E2002F" w:rsidP="00E2002F">
      <w:pPr>
        <w:spacing w:line="360" w:lineRule="auto"/>
        <w:rPr>
          <w:rFonts w:ascii="Arial" w:hAnsi="Arial" w:cs="Arial"/>
          <w:b/>
        </w:rPr>
      </w:pPr>
      <w:r w:rsidRPr="00E2002F">
        <w:rPr>
          <w:rFonts w:ascii="Arial" w:hAnsi="Arial" w:cs="Arial"/>
          <w:b/>
        </w:rPr>
        <w:tab/>
      </w:r>
      <w:r w:rsidRPr="00E2002F">
        <w:rPr>
          <w:rFonts w:ascii="Arial" w:hAnsi="Arial" w:cs="Arial"/>
          <w:b/>
        </w:rPr>
        <w:tab/>
      </w:r>
      <w:r w:rsidRPr="00E2002F">
        <w:rPr>
          <w:rFonts w:ascii="Arial" w:hAnsi="Arial" w:cs="Arial"/>
          <w:b/>
        </w:rPr>
        <w:tab/>
      </w:r>
      <w:r w:rsidRPr="00E2002F">
        <w:rPr>
          <w:rFonts w:ascii="Arial" w:hAnsi="Arial" w:cs="Arial"/>
          <w:b/>
        </w:rPr>
        <w:tab/>
      </w:r>
      <w:r w:rsidRPr="00E2002F">
        <w:rPr>
          <w:rFonts w:ascii="Arial" w:hAnsi="Arial" w:cs="Arial"/>
          <w:b/>
        </w:rPr>
        <w:tab/>
      </w:r>
      <w:r w:rsidRPr="00E2002F">
        <w:rPr>
          <w:rFonts w:ascii="Arial" w:hAnsi="Arial" w:cs="Arial"/>
          <w:b/>
        </w:rPr>
        <w:tab/>
      </w:r>
      <w:r w:rsidRPr="00E2002F">
        <w:rPr>
          <w:rFonts w:ascii="Arial" w:hAnsi="Arial" w:cs="Arial"/>
          <w:b/>
        </w:rPr>
        <w:tab/>
      </w:r>
      <w:r>
        <w:rPr>
          <w:rFonts w:ascii="Arial" w:hAnsi="Arial" w:cs="Arial"/>
          <w:b/>
        </w:rPr>
        <w:t xml:space="preserve">       </w:t>
      </w:r>
      <w:r w:rsidRPr="00E2002F">
        <w:rPr>
          <w:rFonts w:ascii="Arial" w:hAnsi="Arial" w:cs="Arial"/>
          <w:b/>
        </w:rPr>
        <w:t>SPILG, J</w:t>
      </w:r>
    </w:p>
    <w:p w:rsidR="00A33089" w:rsidRPr="00A33089" w:rsidRDefault="00A33089" w:rsidP="00A33089">
      <w:pPr>
        <w:pStyle w:val="ListParagraph"/>
        <w:rPr>
          <w:rFonts w:ascii="Arial" w:hAnsi="Arial" w:cs="Arial"/>
          <w:i/>
        </w:rPr>
      </w:pPr>
    </w:p>
    <w:p w:rsidR="00E2002F" w:rsidRPr="00E2002F" w:rsidRDefault="00E2002F" w:rsidP="00E2002F">
      <w:pPr>
        <w:spacing w:line="360" w:lineRule="auto"/>
        <w:contextualSpacing/>
        <w:rPr>
          <w:rFonts w:ascii="Arial" w:hAnsi="Arial" w:cs="Arial"/>
          <w:sz w:val="24"/>
          <w:szCs w:val="24"/>
        </w:rPr>
      </w:pPr>
    </w:p>
    <w:sectPr w:rsidR="00E2002F" w:rsidRPr="00E2002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B9" w:rsidRDefault="004F3BB9" w:rsidP="006920F6">
      <w:pPr>
        <w:spacing w:after="0" w:line="240" w:lineRule="auto"/>
      </w:pPr>
      <w:r>
        <w:separator/>
      </w:r>
    </w:p>
  </w:endnote>
  <w:endnote w:type="continuationSeparator" w:id="0">
    <w:p w:rsidR="004F3BB9" w:rsidRDefault="004F3BB9" w:rsidP="0069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B9" w:rsidRDefault="004F3BB9" w:rsidP="006920F6">
      <w:pPr>
        <w:spacing w:after="0" w:line="240" w:lineRule="auto"/>
      </w:pPr>
      <w:r>
        <w:separator/>
      </w:r>
    </w:p>
  </w:footnote>
  <w:footnote w:type="continuationSeparator" w:id="0">
    <w:p w:rsidR="004F3BB9" w:rsidRDefault="004F3BB9" w:rsidP="006920F6">
      <w:pPr>
        <w:spacing w:after="0" w:line="240" w:lineRule="auto"/>
      </w:pPr>
      <w:r>
        <w:continuationSeparator/>
      </w:r>
    </w:p>
  </w:footnote>
  <w:footnote w:id="1">
    <w:p w:rsidR="00850F3A" w:rsidRPr="00850F3A" w:rsidRDefault="00850F3A">
      <w:pPr>
        <w:pStyle w:val="FootnoteText"/>
        <w:rPr>
          <w:lang w:val="en-GB"/>
        </w:rPr>
      </w:pPr>
      <w:r>
        <w:rPr>
          <w:rStyle w:val="FootnoteReference"/>
        </w:rPr>
        <w:footnoteRef/>
      </w:r>
      <w:r>
        <w:t xml:space="preserve"> </w:t>
      </w:r>
      <w:r>
        <w:rPr>
          <w:lang w:val="en-GB"/>
        </w:rPr>
        <w:t xml:space="preserve">The orders circumscribing Porritt’s cross-examination of Mile appear to have been made in early June, early July and again in late </w:t>
      </w:r>
      <w:r w:rsidR="007C7BF9">
        <w:rPr>
          <w:lang w:val="en-GB"/>
        </w:rPr>
        <w:t>August</w:t>
      </w:r>
      <w:r>
        <w:rPr>
          <w:lang w:val="en-GB"/>
        </w:rPr>
        <w:t xml:space="preserve"> 2018. The order circumscribing Bennett’s cross examination of Milne was made in May 2019</w:t>
      </w:r>
    </w:p>
  </w:footnote>
  <w:footnote w:id="2">
    <w:p w:rsidR="004E52BC" w:rsidRDefault="004E52BC">
      <w:pPr>
        <w:pStyle w:val="FootnoteText"/>
        <w:rPr>
          <w:lang w:val="en-GB"/>
        </w:rPr>
      </w:pPr>
      <w:r>
        <w:rPr>
          <w:rStyle w:val="FootnoteReference"/>
        </w:rPr>
        <w:footnoteRef/>
      </w:r>
      <w:r>
        <w:t xml:space="preserve"> </w:t>
      </w:r>
      <w:r>
        <w:rPr>
          <w:lang w:val="en-GB"/>
        </w:rPr>
        <w:t xml:space="preserve">See   </w:t>
      </w:r>
      <w:r w:rsidRPr="002B214B">
        <w:rPr>
          <w:i/>
          <w:lang w:val="en-GB"/>
        </w:rPr>
        <w:t>Legal Aid Board v S and Others</w:t>
      </w:r>
      <w:r>
        <w:rPr>
          <w:lang w:val="en-GB"/>
        </w:rPr>
        <w:t xml:space="preserve"> 2011 (1) SACR 166 (SCA) at para 35. The passage was immediately preceded by the court observing that:</w:t>
      </w:r>
    </w:p>
    <w:p w:rsidR="004E52BC" w:rsidRPr="002B214B" w:rsidRDefault="004E52BC" w:rsidP="002B214B">
      <w:pPr>
        <w:pStyle w:val="FootnoteText"/>
        <w:ind w:left="720"/>
        <w:rPr>
          <w:i/>
          <w:lang w:val="en-GB"/>
        </w:rPr>
      </w:pPr>
      <w:r>
        <w:rPr>
          <w:i/>
          <w:lang w:val="en-GB"/>
        </w:rPr>
        <w:t>“</w:t>
      </w:r>
      <w:r w:rsidRPr="002B214B">
        <w:rPr>
          <w:i/>
          <w:lang w:val="en-GB"/>
        </w:rPr>
        <w:t>Given the information supplied by them, one is none the wiser as to why the trusts (or indeed which ones) furnished as much as R23m for various preliminary legal skirmishes. And why they are no longer willing to fund the defence of either in the criminal trial proper. Moreover, one cannot discern on what basis the respondents and in particular Bennet qualified for assistance from those trusts. It is also somewhat rich for Bennett to say that she qualified for assistance from the trusts because her legal expenses and those of Porritt have invariably been the same and yet in the face of that to assert an entitlement separate from him to representation at State expense. On the LAB’s reckoning the criminal trial would cost substantially less than the R23m already spent.  A more pragmatic utilisation of the funds at their disposal from the outset would have rendered their application for legal aid unnecessary</w:t>
      </w:r>
      <w:r>
        <w:rPr>
          <w:i/>
          <w:lang w:val="en-GB"/>
        </w:rPr>
        <w:t>. “</w:t>
      </w:r>
    </w:p>
    <w:p w:rsidR="004E52BC" w:rsidRPr="002B214B" w:rsidRDefault="00953B35">
      <w:pPr>
        <w:pStyle w:val="FootnoteText"/>
        <w:rPr>
          <w:i/>
          <w:lang w:val="en-GB"/>
        </w:rPr>
      </w:pPr>
      <w:r>
        <w:rPr>
          <w:i/>
          <w:lang w:val="en-GB"/>
        </w:rPr>
        <w:t>(</w:t>
      </w:r>
    </w:p>
  </w:footnote>
  <w:footnote w:id="3">
    <w:p w:rsidR="00536585" w:rsidRPr="006B3423" w:rsidRDefault="00536585" w:rsidP="00536585">
      <w:pPr>
        <w:pStyle w:val="FootnoteText"/>
        <w:rPr>
          <w:lang w:val="en-GB"/>
        </w:rPr>
      </w:pPr>
      <w:r>
        <w:rPr>
          <w:rStyle w:val="FootnoteReference"/>
        </w:rPr>
        <w:footnoteRef/>
      </w:r>
      <w:r>
        <w:t xml:space="preserve"> </w:t>
      </w:r>
      <w:r w:rsidRPr="006B3423">
        <w:rPr>
          <w:lang w:val="en-GB"/>
        </w:rPr>
        <w:t xml:space="preserve">Ramsay’s evidence and its </w:t>
      </w:r>
      <w:r w:rsidR="007C7BF9" w:rsidRPr="006B3423">
        <w:rPr>
          <w:lang w:val="en-GB"/>
        </w:rPr>
        <w:t>value already</w:t>
      </w:r>
      <w:r w:rsidRPr="006B3423">
        <w:rPr>
          <w:lang w:val="en-GB"/>
        </w:rPr>
        <w:t xml:space="preserve"> comes under closer </w:t>
      </w:r>
      <w:r w:rsidR="007C7BF9" w:rsidRPr="006B3423">
        <w:rPr>
          <w:lang w:val="en-GB"/>
        </w:rPr>
        <w:t>scrutiny because</w:t>
      </w:r>
      <w:r w:rsidRPr="006B3423">
        <w:rPr>
          <w:lang w:val="en-GB"/>
        </w:rPr>
        <w:t xml:space="preserve"> he </w:t>
      </w:r>
      <w:r>
        <w:rPr>
          <w:lang w:val="en-GB"/>
        </w:rPr>
        <w:t xml:space="preserve">was </w:t>
      </w:r>
      <w:r w:rsidRPr="006B3423">
        <w:rPr>
          <w:lang w:val="en-GB"/>
        </w:rPr>
        <w:t xml:space="preserve">warned as </w:t>
      </w:r>
      <w:proofErr w:type="gramStart"/>
      <w:r w:rsidRPr="006B3423">
        <w:rPr>
          <w:lang w:val="en-GB"/>
        </w:rPr>
        <w:t>a</w:t>
      </w:r>
      <w:proofErr w:type="gramEnd"/>
      <w:r w:rsidRPr="006B3423">
        <w:rPr>
          <w:lang w:val="en-GB"/>
        </w:rPr>
        <w:t xml:space="preserve"> s 204 witness.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7410"/>
      <w:docPartObj>
        <w:docPartGallery w:val="Page Numbers (Top of Page)"/>
        <w:docPartUnique/>
      </w:docPartObj>
    </w:sdtPr>
    <w:sdtEndPr>
      <w:rPr>
        <w:noProof/>
      </w:rPr>
    </w:sdtEndPr>
    <w:sdtContent>
      <w:p w:rsidR="004E52BC" w:rsidRDefault="004E52BC">
        <w:pPr>
          <w:pStyle w:val="Header"/>
          <w:jc w:val="right"/>
        </w:pPr>
        <w:r>
          <w:fldChar w:fldCharType="begin"/>
        </w:r>
        <w:r>
          <w:instrText xml:space="preserve"> PAGE   \* MERGEFORMAT </w:instrText>
        </w:r>
        <w:r>
          <w:fldChar w:fldCharType="separate"/>
        </w:r>
        <w:r w:rsidR="003F06B2">
          <w:rPr>
            <w:noProof/>
          </w:rPr>
          <w:t>7</w:t>
        </w:r>
        <w:r>
          <w:rPr>
            <w:noProof/>
          </w:rPr>
          <w:fldChar w:fldCharType="end"/>
        </w:r>
      </w:p>
    </w:sdtContent>
  </w:sdt>
  <w:p w:rsidR="004E52BC" w:rsidRDefault="004E5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6A61542"/>
    <w:multiLevelType w:val="hybridMultilevel"/>
    <w:tmpl w:val="D1A091B6"/>
    <w:lvl w:ilvl="0" w:tplc="55DC5256">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7942C0C"/>
    <w:multiLevelType w:val="hybridMultilevel"/>
    <w:tmpl w:val="83E679C8"/>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70"/>
    <w:rsid w:val="00026E8D"/>
    <w:rsid w:val="000620C0"/>
    <w:rsid w:val="00063CFB"/>
    <w:rsid w:val="000A5B03"/>
    <w:rsid w:val="000D3DF7"/>
    <w:rsid w:val="001133C5"/>
    <w:rsid w:val="00115306"/>
    <w:rsid w:val="00121458"/>
    <w:rsid w:val="00184DB6"/>
    <w:rsid w:val="001B2DCB"/>
    <w:rsid w:val="001C4E31"/>
    <w:rsid w:val="00222818"/>
    <w:rsid w:val="00227328"/>
    <w:rsid w:val="0025723D"/>
    <w:rsid w:val="00257676"/>
    <w:rsid w:val="00261F7E"/>
    <w:rsid w:val="0029294B"/>
    <w:rsid w:val="002B214B"/>
    <w:rsid w:val="002C61D8"/>
    <w:rsid w:val="002D4A9F"/>
    <w:rsid w:val="00312188"/>
    <w:rsid w:val="00355BD1"/>
    <w:rsid w:val="00356870"/>
    <w:rsid w:val="0036522C"/>
    <w:rsid w:val="003704E4"/>
    <w:rsid w:val="00373777"/>
    <w:rsid w:val="003B05EF"/>
    <w:rsid w:val="003B26C1"/>
    <w:rsid w:val="003B350D"/>
    <w:rsid w:val="003F06B2"/>
    <w:rsid w:val="00402C56"/>
    <w:rsid w:val="004108BA"/>
    <w:rsid w:val="00434E43"/>
    <w:rsid w:val="004465B6"/>
    <w:rsid w:val="00484940"/>
    <w:rsid w:val="004A3B16"/>
    <w:rsid w:val="004A4F76"/>
    <w:rsid w:val="004A64F0"/>
    <w:rsid w:val="004D0AD8"/>
    <w:rsid w:val="004E52BC"/>
    <w:rsid w:val="004F046F"/>
    <w:rsid w:val="004F3BB9"/>
    <w:rsid w:val="005306CF"/>
    <w:rsid w:val="00536585"/>
    <w:rsid w:val="00540506"/>
    <w:rsid w:val="00544914"/>
    <w:rsid w:val="00565182"/>
    <w:rsid w:val="005857B9"/>
    <w:rsid w:val="005B1256"/>
    <w:rsid w:val="005C4911"/>
    <w:rsid w:val="005F3646"/>
    <w:rsid w:val="0060055E"/>
    <w:rsid w:val="006117C6"/>
    <w:rsid w:val="006252D1"/>
    <w:rsid w:val="0064543E"/>
    <w:rsid w:val="00660100"/>
    <w:rsid w:val="006920F6"/>
    <w:rsid w:val="006B1F96"/>
    <w:rsid w:val="006B3423"/>
    <w:rsid w:val="006D2B72"/>
    <w:rsid w:val="006D38D0"/>
    <w:rsid w:val="006E1C91"/>
    <w:rsid w:val="00735EE5"/>
    <w:rsid w:val="0074584F"/>
    <w:rsid w:val="0075303C"/>
    <w:rsid w:val="00795D03"/>
    <w:rsid w:val="007C6085"/>
    <w:rsid w:val="007C7BF9"/>
    <w:rsid w:val="007E1636"/>
    <w:rsid w:val="00833B30"/>
    <w:rsid w:val="00835A96"/>
    <w:rsid w:val="00850F3A"/>
    <w:rsid w:val="00853A05"/>
    <w:rsid w:val="008758A5"/>
    <w:rsid w:val="008A28D2"/>
    <w:rsid w:val="008A38C6"/>
    <w:rsid w:val="008B6AB8"/>
    <w:rsid w:val="00916AAC"/>
    <w:rsid w:val="00922E88"/>
    <w:rsid w:val="00951910"/>
    <w:rsid w:val="00953B35"/>
    <w:rsid w:val="0096238B"/>
    <w:rsid w:val="009659CA"/>
    <w:rsid w:val="00994698"/>
    <w:rsid w:val="009952EF"/>
    <w:rsid w:val="009A6791"/>
    <w:rsid w:val="009B196C"/>
    <w:rsid w:val="009B3A5B"/>
    <w:rsid w:val="009E6E79"/>
    <w:rsid w:val="00A0149F"/>
    <w:rsid w:val="00A27F10"/>
    <w:rsid w:val="00A33089"/>
    <w:rsid w:val="00A42A79"/>
    <w:rsid w:val="00A52ADC"/>
    <w:rsid w:val="00A55E56"/>
    <w:rsid w:val="00A9782E"/>
    <w:rsid w:val="00B16438"/>
    <w:rsid w:val="00B511BE"/>
    <w:rsid w:val="00B64802"/>
    <w:rsid w:val="00BC2C54"/>
    <w:rsid w:val="00BC6478"/>
    <w:rsid w:val="00BD4FA5"/>
    <w:rsid w:val="00BE2B03"/>
    <w:rsid w:val="00BE494C"/>
    <w:rsid w:val="00C1038A"/>
    <w:rsid w:val="00C22B15"/>
    <w:rsid w:val="00C5525F"/>
    <w:rsid w:val="00C84B85"/>
    <w:rsid w:val="00CA0249"/>
    <w:rsid w:val="00CA06CD"/>
    <w:rsid w:val="00CA518D"/>
    <w:rsid w:val="00CB1205"/>
    <w:rsid w:val="00CB2179"/>
    <w:rsid w:val="00CC008C"/>
    <w:rsid w:val="00CE0DB1"/>
    <w:rsid w:val="00D40439"/>
    <w:rsid w:val="00DA193C"/>
    <w:rsid w:val="00DD45BA"/>
    <w:rsid w:val="00DE1A3D"/>
    <w:rsid w:val="00E03530"/>
    <w:rsid w:val="00E039B8"/>
    <w:rsid w:val="00E1528D"/>
    <w:rsid w:val="00E2002F"/>
    <w:rsid w:val="00E251E7"/>
    <w:rsid w:val="00E40BF5"/>
    <w:rsid w:val="00E62F04"/>
    <w:rsid w:val="00E66697"/>
    <w:rsid w:val="00E74C12"/>
    <w:rsid w:val="00E9684B"/>
    <w:rsid w:val="00EA2423"/>
    <w:rsid w:val="00EF50C9"/>
    <w:rsid w:val="00EF7FE5"/>
    <w:rsid w:val="00F00BC6"/>
    <w:rsid w:val="00F014DB"/>
    <w:rsid w:val="00F05028"/>
    <w:rsid w:val="00F1100A"/>
    <w:rsid w:val="00F22747"/>
    <w:rsid w:val="00F37780"/>
    <w:rsid w:val="00F445C6"/>
    <w:rsid w:val="00F513C6"/>
    <w:rsid w:val="00F66D5A"/>
    <w:rsid w:val="00FA10C2"/>
    <w:rsid w:val="00FD07F1"/>
    <w:rsid w:val="00FD6D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6C989-CEF3-4C86-B74F-1C3E4665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DC"/>
    <w:pPr>
      <w:ind w:left="720"/>
      <w:contextualSpacing/>
    </w:pPr>
  </w:style>
  <w:style w:type="paragraph" w:styleId="FootnoteText">
    <w:name w:val="footnote text"/>
    <w:basedOn w:val="Normal"/>
    <w:link w:val="FootnoteTextChar"/>
    <w:uiPriority w:val="99"/>
    <w:semiHidden/>
    <w:unhideWhenUsed/>
    <w:rsid w:val="00692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0F6"/>
    <w:rPr>
      <w:sz w:val="20"/>
      <w:szCs w:val="20"/>
    </w:rPr>
  </w:style>
  <w:style w:type="character" w:styleId="FootnoteReference">
    <w:name w:val="footnote reference"/>
    <w:basedOn w:val="DefaultParagraphFont"/>
    <w:uiPriority w:val="99"/>
    <w:semiHidden/>
    <w:unhideWhenUsed/>
    <w:rsid w:val="006920F6"/>
    <w:rPr>
      <w:vertAlign w:val="superscript"/>
    </w:rPr>
  </w:style>
  <w:style w:type="paragraph" w:styleId="Header">
    <w:name w:val="header"/>
    <w:basedOn w:val="Normal"/>
    <w:link w:val="HeaderChar"/>
    <w:uiPriority w:val="99"/>
    <w:unhideWhenUsed/>
    <w:rsid w:val="00F37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780"/>
  </w:style>
  <w:style w:type="paragraph" w:styleId="Footer">
    <w:name w:val="footer"/>
    <w:basedOn w:val="Normal"/>
    <w:link w:val="FooterChar"/>
    <w:uiPriority w:val="99"/>
    <w:unhideWhenUsed/>
    <w:rsid w:val="00F37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780"/>
  </w:style>
  <w:style w:type="paragraph" w:styleId="BalloonText">
    <w:name w:val="Balloon Text"/>
    <w:basedOn w:val="Normal"/>
    <w:link w:val="BalloonTextChar"/>
    <w:uiPriority w:val="99"/>
    <w:semiHidden/>
    <w:unhideWhenUsed/>
    <w:rsid w:val="008A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B957-DB8D-4AE4-B1C1-24A52925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Judge-Brian Spilg</dc:creator>
  <cp:keywords/>
  <dc:description/>
  <cp:lastModifiedBy>Lazarus Rakgwale</cp:lastModifiedBy>
  <cp:revision>2</cp:revision>
  <cp:lastPrinted>2022-08-11T10:34:00Z</cp:lastPrinted>
  <dcterms:created xsi:type="dcterms:W3CDTF">2022-09-12T10:50:00Z</dcterms:created>
  <dcterms:modified xsi:type="dcterms:W3CDTF">2022-09-12T10:50:00Z</dcterms:modified>
</cp:coreProperties>
</file>