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74" w:rsidRPr="003E4474" w:rsidRDefault="003E4474" w:rsidP="00BE5321">
      <w:pPr>
        <w:spacing w:before="40" w:after="40" w:line="360" w:lineRule="auto"/>
        <w:ind w:leftChars="-38" w:left="-84"/>
        <w:jc w:val="center"/>
        <w:rPr>
          <w:rFonts w:ascii="Arial" w:eastAsia="Times New Roman" w:hAnsi="Arial" w:cs="Arial"/>
          <w:b/>
          <w:kern w:val="28"/>
          <w:sz w:val="24"/>
          <w:szCs w:val="24"/>
          <w:lang w:eastAsia="en-GB"/>
        </w:rPr>
      </w:pPr>
      <w:bookmarkStart w:id="0" w:name="_GoBack"/>
      <w:bookmarkEnd w:id="0"/>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REPUBLIC OF SOUTH AFRICA</w:t>
      </w:r>
    </w:p>
    <w:p w:rsidR="003E4474" w:rsidRPr="003E4474" w:rsidRDefault="003E4474" w:rsidP="00BE5321">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noProof/>
          <w:kern w:val="28"/>
          <w:sz w:val="24"/>
          <w:szCs w:val="24"/>
          <w:lang w:eastAsia="en-ZA"/>
        </w:rPr>
        <w:drawing>
          <wp:inline distT="0" distB="0" distL="0" distR="0" wp14:anchorId="772C3E10" wp14:editId="7755D3CF">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IN THE HIGH COURT OF SOUTH AFRICA</w:t>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GAUTENG LOCAL DIVISION, JOHANNESBURG</w:t>
      </w:r>
    </w:p>
    <w:p w:rsidR="00395AC5" w:rsidRPr="0038212F" w:rsidRDefault="00395AC5" w:rsidP="00395AC5">
      <w:pPr>
        <w:widowControl w:val="0"/>
        <w:spacing w:after="0" w:line="240" w:lineRule="auto"/>
        <w:jc w:val="center"/>
        <w:rPr>
          <w:rFonts w:ascii="Arial" w:eastAsia="Times New Roman" w:hAnsi="Arial" w:cs="Arial"/>
          <w:kern w:val="28"/>
          <w:sz w:val="24"/>
          <w:szCs w:val="24"/>
          <w:lang w:eastAsia="en-GB"/>
        </w:rPr>
      </w:pPr>
    </w:p>
    <w:p w:rsidR="00395AC5" w:rsidRPr="002E646E" w:rsidRDefault="00395AC5" w:rsidP="00395AC5">
      <w:pPr>
        <w:tabs>
          <w:tab w:val="left" w:pos="-720"/>
        </w:tabs>
        <w:suppressAutoHyphens/>
        <w:spacing w:after="0" w:line="240" w:lineRule="auto"/>
        <w:jc w:val="right"/>
        <w:rPr>
          <w:rFonts w:ascii="Arial" w:eastAsia="Times New Roman" w:hAnsi="Arial" w:cs="Arial"/>
          <w:b/>
          <w:kern w:val="28"/>
          <w:sz w:val="28"/>
          <w:szCs w:val="24"/>
          <w:lang w:val="en-GB" w:eastAsia="en-GB"/>
        </w:rPr>
      </w:pPr>
      <w:r w:rsidRPr="0038212F">
        <w:rPr>
          <w:rFonts w:ascii="Arial" w:eastAsia="Times New Roman" w:hAnsi="Arial" w:cs="Arial"/>
          <w:b/>
          <w:bCs/>
          <w:spacing w:val="-3"/>
          <w:kern w:val="28"/>
          <w:sz w:val="24"/>
          <w:szCs w:val="24"/>
          <w:lang w:eastAsia="en-GB"/>
        </w:rPr>
        <w:t>CASE NUMBER:</w:t>
      </w:r>
      <w:r w:rsidRPr="0038212F">
        <w:rPr>
          <w:rFonts w:ascii="Arial" w:eastAsia="Times New Roman" w:hAnsi="Arial" w:cs="Times New Roman"/>
          <w:kern w:val="28"/>
          <w:sz w:val="24"/>
          <w:szCs w:val="24"/>
          <w:lang w:eastAsia="en-GB"/>
        </w:rPr>
        <w:t xml:space="preserve"> </w:t>
      </w:r>
      <w:r w:rsidRPr="0038212F">
        <w:rPr>
          <w:rFonts w:ascii="Arial" w:eastAsia="Times New Roman" w:hAnsi="Arial" w:cs="Times New Roman"/>
          <w:b/>
          <w:kern w:val="28"/>
          <w:sz w:val="24"/>
          <w:szCs w:val="24"/>
          <w:lang w:val="en-GB" w:eastAsia="en-GB"/>
        </w:rPr>
        <w:t xml:space="preserve"> </w:t>
      </w:r>
      <w:r w:rsidR="00E22AF1">
        <w:rPr>
          <w:rFonts w:ascii="Arial" w:hAnsi="Arial" w:cs="Arial"/>
          <w:b/>
          <w:sz w:val="24"/>
        </w:rPr>
        <w:t>42876/2020</w:t>
      </w:r>
    </w:p>
    <w:p w:rsidR="00395AC5" w:rsidRPr="0038212F" w:rsidRDefault="00395AC5" w:rsidP="00395AC5">
      <w:pPr>
        <w:tabs>
          <w:tab w:val="left" w:pos="-720"/>
        </w:tabs>
        <w:suppressAutoHyphens/>
        <w:spacing w:after="0" w:line="240" w:lineRule="auto"/>
        <w:jc w:val="right"/>
        <w:rPr>
          <w:rFonts w:ascii="Arial" w:eastAsia="Times New Roman" w:hAnsi="Arial" w:cs="Arial"/>
          <w:b/>
          <w:bCs/>
          <w:spacing w:val="-3"/>
          <w:kern w:val="28"/>
          <w:sz w:val="24"/>
          <w:szCs w:val="24"/>
          <w:lang w:eastAsia="en-GB"/>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395AC5" w:rsidRPr="0038212F" w:rsidTr="00F22AC5">
        <w:trPr>
          <w:trHeight w:val="2528"/>
        </w:trPr>
        <w:tc>
          <w:tcPr>
            <w:tcW w:w="5812" w:type="dxa"/>
            <w:tcBorders>
              <w:top w:val="single" w:sz="4" w:space="0" w:color="auto"/>
              <w:left w:val="single" w:sz="4" w:space="0" w:color="auto"/>
              <w:bottom w:val="single" w:sz="4" w:space="0" w:color="auto"/>
              <w:right w:val="single" w:sz="4" w:space="0" w:color="auto"/>
            </w:tcBorders>
          </w:tcPr>
          <w:p w:rsidR="00395AC5" w:rsidRPr="0038212F" w:rsidRDefault="00395AC5" w:rsidP="00F22AC5">
            <w:pPr>
              <w:spacing w:after="0" w:line="240" w:lineRule="auto"/>
              <w:jc w:val="both"/>
              <w:rPr>
                <w:rFonts w:ascii="Arial" w:eastAsia="Times New Roman" w:hAnsi="Arial" w:cs="Arial"/>
                <w:kern w:val="28"/>
                <w:sz w:val="16"/>
                <w:szCs w:val="16"/>
                <w:lang w:eastAsia="en-GB"/>
              </w:rPr>
            </w:pPr>
          </w:p>
          <w:p w:rsidR="00395AC5" w:rsidRPr="0038212F" w:rsidRDefault="00395AC5" w:rsidP="00F22AC5">
            <w:pPr>
              <w:spacing w:after="0" w:line="240" w:lineRule="auto"/>
              <w:ind w:left="180"/>
              <w:jc w:val="center"/>
              <w:rPr>
                <w:rFonts w:ascii="Arial" w:eastAsia="Times New Roman" w:hAnsi="Arial" w:cs="Arial"/>
                <w:b/>
                <w:bCs/>
                <w:color w:val="FF0000"/>
                <w:kern w:val="28"/>
                <w:sz w:val="18"/>
                <w:szCs w:val="18"/>
                <w:u w:val="single"/>
                <w:lang w:eastAsia="en-GB"/>
              </w:rPr>
            </w:pPr>
            <w:r w:rsidRPr="0038212F">
              <w:rPr>
                <w:rFonts w:ascii="Arial" w:eastAsia="Times New Roman" w:hAnsi="Arial" w:cs="Arial"/>
                <w:b/>
                <w:bCs/>
                <w:color w:val="FF0000"/>
                <w:kern w:val="28"/>
                <w:sz w:val="18"/>
                <w:szCs w:val="18"/>
                <w:u w:val="single"/>
                <w:lang w:eastAsia="en-GB"/>
              </w:rPr>
              <w:t>DELETE WHICHEVER IS NOT APPLICABLE</w:t>
            </w:r>
          </w:p>
          <w:p w:rsidR="00395AC5" w:rsidRPr="0038212F" w:rsidRDefault="00395AC5" w:rsidP="00F22AC5">
            <w:pPr>
              <w:spacing w:after="0" w:line="240" w:lineRule="auto"/>
              <w:ind w:left="180"/>
              <w:jc w:val="center"/>
              <w:rPr>
                <w:rFonts w:ascii="Arial" w:eastAsia="Times New Roman" w:hAnsi="Arial" w:cs="Arial"/>
                <w:b/>
                <w:bCs/>
                <w:color w:val="FF0000"/>
                <w:kern w:val="28"/>
                <w:sz w:val="18"/>
                <w:szCs w:val="18"/>
                <w:u w:val="single"/>
                <w:lang w:eastAsia="en-GB"/>
              </w:rPr>
            </w:pPr>
          </w:p>
          <w:p w:rsidR="00395AC5" w:rsidRPr="0038212F" w:rsidRDefault="00395AC5" w:rsidP="00F22AC5">
            <w:pPr>
              <w:spacing w:after="0" w:line="480" w:lineRule="auto"/>
              <w:ind w:left="180"/>
              <w:jc w:val="both"/>
              <w:rPr>
                <w:rFonts w:ascii="Arial" w:eastAsia="Times New Roman" w:hAnsi="Arial" w:cs="Arial"/>
                <w:bCs/>
                <w:color w:val="FF0000"/>
                <w:kern w:val="28"/>
                <w:sz w:val="18"/>
                <w:szCs w:val="18"/>
                <w:lang w:eastAsia="en-GB"/>
              </w:rPr>
            </w:pPr>
            <w:r w:rsidRPr="0038212F">
              <w:rPr>
                <w:rFonts w:ascii="Arial" w:eastAsia="Times New Roman" w:hAnsi="Arial" w:cs="Arial"/>
                <w:bCs/>
                <w:color w:val="FF0000"/>
                <w:kern w:val="28"/>
                <w:sz w:val="18"/>
                <w:szCs w:val="18"/>
                <w:lang w:eastAsia="en-GB"/>
              </w:rPr>
              <w:t>1.REPORTABLE:                                                                   NO</w:t>
            </w:r>
          </w:p>
          <w:p w:rsidR="00395AC5" w:rsidRPr="0038212F" w:rsidRDefault="00395AC5" w:rsidP="00F22AC5">
            <w:pPr>
              <w:spacing w:after="0" w:line="480" w:lineRule="auto"/>
              <w:ind w:left="180"/>
              <w:jc w:val="both"/>
              <w:rPr>
                <w:rFonts w:ascii="Arial" w:eastAsia="Times New Roman" w:hAnsi="Arial" w:cs="Arial"/>
                <w:bCs/>
                <w:color w:val="FF0000"/>
                <w:kern w:val="28"/>
                <w:sz w:val="18"/>
                <w:szCs w:val="18"/>
                <w:lang w:eastAsia="en-GB"/>
              </w:rPr>
            </w:pPr>
            <w:r w:rsidRPr="0038212F">
              <w:rPr>
                <w:rFonts w:ascii="Arial" w:eastAsia="Times New Roman" w:hAnsi="Arial" w:cs="Arial"/>
                <w:bCs/>
                <w:color w:val="FF0000"/>
                <w:kern w:val="28"/>
                <w:sz w:val="18"/>
                <w:szCs w:val="18"/>
                <w:lang w:eastAsia="en-GB"/>
              </w:rPr>
              <w:t>2.OF INTEREST TO OTHER JUDGES:                                NO</w:t>
            </w:r>
          </w:p>
          <w:p w:rsidR="00395AC5" w:rsidRPr="0038212F" w:rsidRDefault="00395AC5" w:rsidP="00F22AC5">
            <w:pPr>
              <w:spacing w:after="0" w:line="480" w:lineRule="auto"/>
              <w:ind w:left="180"/>
              <w:jc w:val="both"/>
              <w:rPr>
                <w:rFonts w:ascii="Arial" w:eastAsia="Times New Roman" w:hAnsi="Arial" w:cs="Arial"/>
                <w:bCs/>
                <w:color w:val="FF0000"/>
                <w:kern w:val="28"/>
                <w:sz w:val="18"/>
                <w:szCs w:val="18"/>
                <w:lang w:eastAsia="en-GB"/>
              </w:rPr>
            </w:pPr>
            <w:r w:rsidRPr="0038212F">
              <w:rPr>
                <w:rFonts w:ascii="Arial" w:eastAsia="Times New Roman" w:hAnsi="Arial" w:cs="Arial"/>
                <w:bCs/>
                <w:color w:val="FF0000"/>
                <w:kern w:val="28"/>
                <w:sz w:val="18"/>
                <w:szCs w:val="18"/>
                <w:lang w:eastAsia="en-GB"/>
              </w:rPr>
              <w:t>3.REVISED                                                                            NO</w:t>
            </w:r>
          </w:p>
          <w:p w:rsidR="00395AC5" w:rsidRPr="0038212F" w:rsidRDefault="00395AC5" w:rsidP="00F22AC5">
            <w:pPr>
              <w:spacing w:after="0" w:line="360" w:lineRule="auto"/>
              <w:ind w:left="180"/>
              <w:jc w:val="both"/>
              <w:rPr>
                <w:rFonts w:ascii="Arial" w:eastAsia="Times New Roman" w:hAnsi="Arial" w:cs="Arial"/>
                <w:bCs/>
                <w:color w:val="FF0000"/>
                <w:kern w:val="28"/>
                <w:sz w:val="18"/>
                <w:szCs w:val="18"/>
                <w:lang w:eastAsia="en-GB"/>
              </w:rPr>
            </w:pPr>
          </w:p>
          <w:p w:rsidR="00395AC5" w:rsidRPr="0038212F" w:rsidRDefault="00395AC5" w:rsidP="00F22AC5">
            <w:pPr>
              <w:spacing w:after="0" w:line="360" w:lineRule="auto"/>
              <w:ind w:left="180"/>
              <w:jc w:val="both"/>
              <w:rPr>
                <w:rFonts w:ascii="Arial" w:eastAsia="Times New Roman" w:hAnsi="Arial" w:cs="Arial"/>
                <w:kern w:val="28"/>
                <w:sz w:val="16"/>
                <w:szCs w:val="16"/>
                <w:lang w:eastAsia="en-GB"/>
              </w:rPr>
            </w:pPr>
            <w:r w:rsidRPr="0038212F">
              <w:rPr>
                <w:rFonts w:ascii="Arial" w:eastAsia="Times New Roman" w:hAnsi="Arial" w:cs="Arial"/>
                <w:b/>
                <w:bCs/>
                <w:color w:val="FF0000"/>
                <w:kern w:val="28"/>
                <w:sz w:val="18"/>
                <w:szCs w:val="18"/>
                <w:lang w:eastAsia="en-GB"/>
              </w:rPr>
              <w:t xml:space="preserve">                                                                   Judge Dippenaar</w:t>
            </w:r>
          </w:p>
        </w:tc>
      </w:tr>
    </w:tbl>
    <w:p w:rsidR="00395AC5" w:rsidRPr="0038212F" w:rsidRDefault="00395AC5" w:rsidP="00395AC5">
      <w:pPr>
        <w:tabs>
          <w:tab w:val="left" w:pos="-720"/>
        </w:tabs>
        <w:suppressAutoHyphens/>
        <w:spacing w:after="0" w:line="240" w:lineRule="auto"/>
        <w:rPr>
          <w:rFonts w:ascii="Arial" w:eastAsia="Times New Roman" w:hAnsi="Arial" w:cs="Arial"/>
          <w:bCs/>
          <w:spacing w:val="-3"/>
          <w:kern w:val="28"/>
          <w:sz w:val="24"/>
          <w:szCs w:val="24"/>
          <w:lang w:eastAsia="en-GB"/>
        </w:rPr>
      </w:pPr>
    </w:p>
    <w:p w:rsidR="00395AC5" w:rsidRPr="0038212F" w:rsidRDefault="00395AC5" w:rsidP="00395AC5">
      <w:pPr>
        <w:tabs>
          <w:tab w:val="left" w:pos="-720"/>
        </w:tabs>
        <w:suppressAutoHyphens/>
        <w:spacing w:after="0" w:line="240" w:lineRule="auto"/>
        <w:rPr>
          <w:rFonts w:ascii="Arial" w:eastAsia="Times New Roman" w:hAnsi="Arial" w:cs="Arial"/>
          <w:bCs/>
          <w:spacing w:val="-3"/>
          <w:kern w:val="28"/>
          <w:sz w:val="24"/>
          <w:szCs w:val="24"/>
          <w:lang w:eastAsia="en-GB"/>
        </w:rPr>
      </w:pPr>
    </w:p>
    <w:p w:rsidR="00395AC5" w:rsidRPr="0038212F" w:rsidRDefault="00395AC5" w:rsidP="00395AC5">
      <w:pPr>
        <w:tabs>
          <w:tab w:val="left" w:pos="-720"/>
        </w:tabs>
        <w:suppressAutoHyphens/>
        <w:spacing w:after="0" w:line="240" w:lineRule="auto"/>
        <w:rPr>
          <w:rFonts w:ascii="Arial" w:eastAsia="Times New Roman" w:hAnsi="Arial" w:cs="Arial"/>
          <w:bCs/>
          <w:spacing w:val="-3"/>
          <w:kern w:val="28"/>
          <w:sz w:val="24"/>
          <w:szCs w:val="24"/>
          <w:lang w:eastAsia="en-GB"/>
        </w:rPr>
      </w:pPr>
    </w:p>
    <w:p w:rsidR="00395AC5" w:rsidRPr="0038212F" w:rsidRDefault="00395AC5" w:rsidP="00395AC5">
      <w:pPr>
        <w:tabs>
          <w:tab w:val="left" w:pos="-720"/>
        </w:tabs>
        <w:suppressAutoHyphens/>
        <w:spacing w:after="0" w:line="240" w:lineRule="auto"/>
        <w:rPr>
          <w:rFonts w:ascii="Arial" w:eastAsia="Times New Roman" w:hAnsi="Arial" w:cs="Arial"/>
          <w:bCs/>
          <w:spacing w:val="-3"/>
          <w:kern w:val="28"/>
          <w:sz w:val="24"/>
          <w:szCs w:val="24"/>
          <w:lang w:eastAsia="en-GB"/>
        </w:rPr>
      </w:pPr>
      <w:r w:rsidRPr="0038212F">
        <w:rPr>
          <w:rFonts w:ascii="Arial" w:eastAsia="Times New Roman" w:hAnsi="Arial" w:cs="Arial"/>
          <w:bCs/>
          <w:spacing w:val="-3"/>
          <w:kern w:val="28"/>
          <w:sz w:val="24"/>
          <w:szCs w:val="24"/>
          <w:lang w:eastAsia="en-GB"/>
        </w:rPr>
        <w:t>In the matter between:</w:t>
      </w:r>
    </w:p>
    <w:p w:rsidR="00395AC5" w:rsidRPr="0038212F" w:rsidRDefault="00395AC5" w:rsidP="00395AC5">
      <w:pPr>
        <w:widowControl w:val="0"/>
        <w:tabs>
          <w:tab w:val="right" w:pos="9356"/>
        </w:tabs>
        <w:spacing w:after="0" w:line="240" w:lineRule="auto"/>
        <w:jc w:val="both"/>
        <w:rPr>
          <w:rFonts w:ascii="Arial" w:eastAsia="Calibri" w:hAnsi="Arial" w:cs="Arial"/>
          <w:b/>
          <w:bCs/>
          <w:sz w:val="24"/>
          <w:szCs w:val="24"/>
          <w:lang w:val="en-US"/>
        </w:rPr>
      </w:pPr>
    </w:p>
    <w:p w:rsidR="00395AC5" w:rsidRDefault="00E22AF1" w:rsidP="00395AC5">
      <w:pPr>
        <w:widowControl w:val="0"/>
        <w:tabs>
          <w:tab w:val="right" w:pos="9356"/>
        </w:tabs>
        <w:spacing w:after="0" w:line="240" w:lineRule="auto"/>
        <w:jc w:val="both"/>
        <w:rPr>
          <w:rFonts w:ascii="Arial" w:eastAsia="Calibri" w:hAnsi="Arial" w:cs="Arial"/>
          <w:bCs/>
          <w:sz w:val="24"/>
          <w:szCs w:val="24"/>
          <w:lang w:val="en-US"/>
        </w:rPr>
      </w:pPr>
      <w:r>
        <w:rPr>
          <w:rFonts w:ascii="Arial" w:eastAsia="Calibri" w:hAnsi="Arial" w:cs="Arial"/>
          <w:b/>
          <w:bCs/>
          <w:sz w:val="24"/>
          <w:szCs w:val="24"/>
          <w:lang w:val="en-US"/>
        </w:rPr>
        <w:t xml:space="preserve">ARNOLD, PHILLIP HENRY </w:t>
      </w:r>
      <w:r w:rsidR="00395AC5">
        <w:rPr>
          <w:rFonts w:ascii="Arial" w:eastAsia="Calibri" w:hAnsi="Arial" w:cs="Arial"/>
          <w:b/>
          <w:bCs/>
          <w:sz w:val="24"/>
          <w:szCs w:val="24"/>
          <w:lang w:val="en-US"/>
        </w:rPr>
        <w:tab/>
      </w:r>
      <w:r>
        <w:rPr>
          <w:rFonts w:ascii="Arial" w:eastAsia="Calibri" w:hAnsi="Arial" w:cs="Arial"/>
          <w:bCs/>
          <w:sz w:val="24"/>
          <w:szCs w:val="24"/>
          <w:lang w:val="en-US"/>
        </w:rPr>
        <w:t xml:space="preserve">First </w:t>
      </w:r>
      <w:r w:rsidR="00E871DB">
        <w:rPr>
          <w:rFonts w:ascii="Arial" w:eastAsia="Calibri" w:hAnsi="Arial" w:cs="Arial"/>
          <w:bCs/>
          <w:sz w:val="24"/>
          <w:szCs w:val="24"/>
          <w:lang w:val="en-US"/>
        </w:rPr>
        <w:t>Applicant</w:t>
      </w:r>
    </w:p>
    <w:p w:rsidR="00E22AF1" w:rsidRDefault="00E22AF1" w:rsidP="00395AC5">
      <w:pPr>
        <w:widowControl w:val="0"/>
        <w:tabs>
          <w:tab w:val="right" w:pos="9356"/>
        </w:tabs>
        <w:spacing w:after="0" w:line="240" w:lineRule="auto"/>
        <w:jc w:val="both"/>
        <w:rPr>
          <w:rFonts w:ascii="Arial" w:eastAsia="Calibri" w:hAnsi="Arial" w:cs="Arial"/>
          <w:bCs/>
          <w:sz w:val="24"/>
          <w:szCs w:val="24"/>
          <w:lang w:val="en-US"/>
        </w:rPr>
      </w:pPr>
    </w:p>
    <w:p w:rsidR="00E22AF1" w:rsidRPr="00794337" w:rsidRDefault="00E22AF1" w:rsidP="00395AC5">
      <w:pPr>
        <w:widowControl w:val="0"/>
        <w:tabs>
          <w:tab w:val="right" w:pos="9356"/>
        </w:tabs>
        <w:spacing w:after="0" w:line="240" w:lineRule="auto"/>
        <w:jc w:val="both"/>
        <w:rPr>
          <w:rFonts w:ascii="Arial" w:eastAsia="Calibri" w:hAnsi="Arial" w:cs="Arial"/>
          <w:b/>
          <w:bCs/>
          <w:sz w:val="24"/>
          <w:szCs w:val="24"/>
          <w:lang w:val="en-US"/>
        </w:rPr>
      </w:pPr>
      <w:r w:rsidRPr="00E22AF1">
        <w:rPr>
          <w:rFonts w:ascii="Arial" w:eastAsia="Calibri" w:hAnsi="Arial" w:cs="Arial"/>
          <w:b/>
          <w:bCs/>
          <w:sz w:val="24"/>
          <w:szCs w:val="24"/>
          <w:lang w:val="en-US"/>
        </w:rPr>
        <w:t>ULTIMAX CONSULTING (PTY) LTD</w:t>
      </w:r>
      <w:r>
        <w:rPr>
          <w:rFonts w:ascii="Arial" w:eastAsia="Calibri" w:hAnsi="Arial" w:cs="Arial"/>
          <w:bCs/>
          <w:sz w:val="24"/>
          <w:szCs w:val="24"/>
          <w:lang w:val="en-US"/>
        </w:rPr>
        <w:t xml:space="preserve"> </w:t>
      </w:r>
      <w:r>
        <w:rPr>
          <w:rFonts w:ascii="Arial" w:eastAsia="Calibri" w:hAnsi="Arial" w:cs="Arial"/>
          <w:bCs/>
          <w:sz w:val="24"/>
          <w:szCs w:val="24"/>
          <w:lang w:val="en-US"/>
        </w:rPr>
        <w:tab/>
        <w:t>Second Applicant</w:t>
      </w:r>
    </w:p>
    <w:p w:rsidR="00395AC5" w:rsidRPr="00794337" w:rsidRDefault="00395AC5" w:rsidP="009C5938">
      <w:pPr>
        <w:widowControl w:val="0"/>
        <w:tabs>
          <w:tab w:val="right" w:pos="9356"/>
        </w:tabs>
        <w:spacing w:after="0" w:line="360" w:lineRule="auto"/>
        <w:jc w:val="both"/>
        <w:rPr>
          <w:rFonts w:ascii="Arial" w:eastAsia="Calibri" w:hAnsi="Arial" w:cs="Arial"/>
          <w:b/>
          <w:bCs/>
          <w:sz w:val="24"/>
          <w:szCs w:val="24"/>
          <w:lang w:val="en-US"/>
        </w:rPr>
      </w:pPr>
    </w:p>
    <w:p w:rsidR="00395AC5" w:rsidRPr="009C5938" w:rsidRDefault="00395AC5" w:rsidP="00395AC5">
      <w:pPr>
        <w:widowControl w:val="0"/>
        <w:tabs>
          <w:tab w:val="right" w:pos="9356"/>
        </w:tabs>
        <w:spacing w:after="0" w:line="240" w:lineRule="auto"/>
        <w:jc w:val="both"/>
        <w:rPr>
          <w:rFonts w:ascii="Arial" w:eastAsia="Calibri" w:hAnsi="Arial" w:cs="Arial"/>
          <w:bCs/>
          <w:sz w:val="24"/>
          <w:szCs w:val="24"/>
          <w:lang w:val="en-US"/>
        </w:rPr>
      </w:pPr>
      <w:r w:rsidRPr="009C5938">
        <w:rPr>
          <w:rFonts w:ascii="Arial" w:eastAsia="Calibri" w:hAnsi="Arial" w:cs="Arial"/>
          <w:bCs/>
          <w:sz w:val="24"/>
          <w:szCs w:val="24"/>
          <w:lang w:val="en-US"/>
        </w:rPr>
        <w:t>and</w:t>
      </w:r>
    </w:p>
    <w:p w:rsidR="00395AC5" w:rsidRPr="00794337" w:rsidRDefault="00395AC5" w:rsidP="009C5938">
      <w:pPr>
        <w:widowControl w:val="0"/>
        <w:tabs>
          <w:tab w:val="right" w:pos="9356"/>
        </w:tabs>
        <w:spacing w:after="0" w:line="360" w:lineRule="auto"/>
        <w:jc w:val="both"/>
        <w:rPr>
          <w:rFonts w:ascii="Arial" w:eastAsia="Calibri" w:hAnsi="Arial" w:cs="Arial"/>
          <w:b/>
          <w:bCs/>
          <w:sz w:val="24"/>
          <w:szCs w:val="24"/>
          <w:lang w:val="en-US"/>
        </w:rPr>
      </w:pPr>
    </w:p>
    <w:p w:rsidR="005F5C4D" w:rsidRDefault="00E22AF1" w:rsidP="00E871DB">
      <w:pPr>
        <w:widowControl w:val="0"/>
        <w:tabs>
          <w:tab w:val="right" w:pos="9356"/>
        </w:tabs>
        <w:spacing w:after="0" w:line="360" w:lineRule="auto"/>
        <w:jc w:val="both"/>
        <w:rPr>
          <w:rFonts w:ascii="Arial" w:eastAsia="Calibri" w:hAnsi="Arial" w:cs="Arial"/>
          <w:b/>
          <w:bCs/>
          <w:sz w:val="24"/>
          <w:szCs w:val="24"/>
          <w:lang w:val="en-US"/>
        </w:rPr>
      </w:pPr>
      <w:r>
        <w:rPr>
          <w:rFonts w:ascii="Arial" w:eastAsia="Calibri" w:hAnsi="Arial" w:cs="Arial"/>
          <w:b/>
          <w:bCs/>
          <w:sz w:val="24"/>
          <w:szCs w:val="24"/>
          <w:lang w:val="en-US"/>
        </w:rPr>
        <w:t xml:space="preserve">ABSA BANK LIMITED </w:t>
      </w:r>
      <w:r w:rsidR="005F5C4D">
        <w:rPr>
          <w:rFonts w:ascii="Arial" w:eastAsia="Calibri" w:hAnsi="Arial" w:cs="Arial"/>
          <w:b/>
          <w:bCs/>
          <w:sz w:val="24"/>
          <w:szCs w:val="24"/>
          <w:lang w:val="en-US"/>
        </w:rPr>
        <w:t xml:space="preserve">                                                     </w:t>
      </w:r>
      <w:r w:rsidR="009C5938">
        <w:rPr>
          <w:rFonts w:ascii="Arial" w:eastAsia="Calibri" w:hAnsi="Arial" w:cs="Arial"/>
          <w:b/>
          <w:bCs/>
          <w:sz w:val="24"/>
          <w:szCs w:val="24"/>
          <w:lang w:val="en-US"/>
        </w:rPr>
        <w:tab/>
        <w:t xml:space="preserve"> </w:t>
      </w:r>
      <w:r w:rsidR="009C5938" w:rsidRPr="009C5938">
        <w:rPr>
          <w:rFonts w:ascii="Arial" w:eastAsia="Calibri" w:hAnsi="Arial" w:cs="Arial"/>
          <w:bCs/>
          <w:sz w:val="24"/>
          <w:szCs w:val="24"/>
          <w:lang w:val="en-US"/>
        </w:rPr>
        <w:t>First</w:t>
      </w:r>
      <w:r w:rsidR="00E871DB">
        <w:rPr>
          <w:rFonts w:ascii="Arial" w:eastAsia="Calibri" w:hAnsi="Arial" w:cs="Arial"/>
          <w:bCs/>
          <w:sz w:val="24"/>
          <w:szCs w:val="24"/>
          <w:lang w:val="en-US"/>
        </w:rPr>
        <w:t xml:space="preserve"> Respondent</w:t>
      </w:r>
      <w:r w:rsidR="00395AC5">
        <w:rPr>
          <w:rFonts w:ascii="Arial" w:eastAsia="Calibri" w:hAnsi="Arial" w:cs="Arial"/>
          <w:b/>
          <w:bCs/>
          <w:sz w:val="24"/>
          <w:szCs w:val="24"/>
          <w:lang w:val="en-US"/>
        </w:rPr>
        <w:t xml:space="preserve"> </w:t>
      </w:r>
    </w:p>
    <w:p w:rsidR="005F5C4D" w:rsidRPr="00E871DB" w:rsidRDefault="001D5E93" w:rsidP="00E871DB">
      <w:pPr>
        <w:widowControl w:val="0"/>
        <w:tabs>
          <w:tab w:val="right" w:pos="9356"/>
        </w:tabs>
        <w:spacing w:after="0" w:line="360" w:lineRule="auto"/>
        <w:jc w:val="both"/>
        <w:rPr>
          <w:rFonts w:ascii="Arial" w:eastAsia="Calibri" w:hAnsi="Arial" w:cs="Arial"/>
          <w:bCs/>
          <w:sz w:val="24"/>
          <w:szCs w:val="24"/>
          <w:lang w:val="en-US"/>
        </w:rPr>
      </w:pPr>
      <w:r>
        <w:rPr>
          <w:rFonts w:ascii="Arial" w:eastAsia="Calibri" w:hAnsi="Arial" w:cs="Arial"/>
          <w:b/>
          <w:bCs/>
          <w:sz w:val="24"/>
          <w:szCs w:val="24"/>
          <w:lang w:val="en-US"/>
        </w:rPr>
        <w:t>FIRST NATIONAL BANK LIMITED</w:t>
      </w:r>
      <w:r w:rsidR="00E871DB">
        <w:rPr>
          <w:rFonts w:ascii="Arial" w:eastAsia="Calibri" w:hAnsi="Arial" w:cs="Arial"/>
          <w:b/>
          <w:bCs/>
          <w:sz w:val="24"/>
          <w:szCs w:val="24"/>
          <w:lang w:val="en-US"/>
        </w:rPr>
        <w:tab/>
      </w:r>
      <w:r w:rsidR="00E871DB">
        <w:rPr>
          <w:rFonts w:ascii="Arial" w:eastAsia="Calibri" w:hAnsi="Arial" w:cs="Arial"/>
          <w:bCs/>
          <w:sz w:val="24"/>
          <w:szCs w:val="24"/>
          <w:lang w:val="en-US"/>
        </w:rPr>
        <w:t>Second Respondent</w:t>
      </w:r>
    </w:p>
    <w:p w:rsidR="00E871DB" w:rsidRPr="00E871DB" w:rsidRDefault="00C23F97" w:rsidP="00E871DB">
      <w:pPr>
        <w:widowControl w:val="0"/>
        <w:tabs>
          <w:tab w:val="right" w:pos="9356"/>
        </w:tabs>
        <w:spacing w:after="0" w:line="360" w:lineRule="auto"/>
        <w:jc w:val="both"/>
        <w:rPr>
          <w:rFonts w:ascii="Arial" w:eastAsia="Calibri" w:hAnsi="Arial" w:cs="Arial"/>
          <w:bCs/>
          <w:kern w:val="28"/>
          <w:sz w:val="24"/>
          <w:szCs w:val="24"/>
          <w:lang w:val="en-US" w:eastAsia="en-GB"/>
        </w:rPr>
      </w:pPr>
      <w:r>
        <w:rPr>
          <w:rFonts w:ascii="Arial" w:eastAsia="Calibri" w:hAnsi="Arial" w:cs="Arial"/>
          <w:b/>
          <w:bCs/>
          <w:kern w:val="28"/>
          <w:sz w:val="24"/>
          <w:szCs w:val="24"/>
          <w:lang w:val="en-US" w:eastAsia="en-GB"/>
        </w:rPr>
        <w:t>FITZGERALD, MICHAEL N.O.</w:t>
      </w:r>
      <w:r w:rsidR="00E871DB">
        <w:rPr>
          <w:rFonts w:ascii="Arial" w:eastAsia="Calibri" w:hAnsi="Arial" w:cs="Arial"/>
          <w:b/>
          <w:bCs/>
          <w:kern w:val="28"/>
          <w:sz w:val="24"/>
          <w:szCs w:val="24"/>
          <w:lang w:val="en-US" w:eastAsia="en-GB"/>
        </w:rPr>
        <w:tab/>
      </w:r>
      <w:r w:rsidR="00E871DB">
        <w:rPr>
          <w:rFonts w:ascii="Arial" w:eastAsia="Calibri" w:hAnsi="Arial" w:cs="Arial"/>
          <w:bCs/>
          <w:kern w:val="28"/>
          <w:sz w:val="24"/>
          <w:szCs w:val="24"/>
          <w:lang w:val="en-US" w:eastAsia="en-GB"/>
        </w:rPr>
        <w:t>Third Respondent</w:t>
      </w:r>
    </w:p>
    <w:p w:rsidR="00E871DB" w:rsidRPr="00E871DB" w:rsidRDefault="00C23F97" w:rsidP="00E871DB">
      <w:pPr>
        <w:widowControl w:val="0"/>
        <w:tabs>
          <w:tab w:val="right" w:pos="9356"/>
        </w:tabs>
        <w:spacing w:after="0" w:line="360" w:lineRule="auto"/>
        <w:jc w:val="both"/>
        <w:rPr>
          <w:rFonts w:ascii="Arial" w:eastAsia="Calibri" w:hAnsi="Arial" w:cs="Arial"/>
          <w:bCs/>
          <w:kern w:val="28"/>
          <w:sz w:val="24"/>
          <w:szCs w:val="24"/>
          <w:lang w:val="en-US" w:eastAsia="en-GB"/>
        </w:rPr>
      </w:pPr>
      <w:r>
        <w:rPr>
          <w:rFonts w:ascii="Arial" w:eastAsia="Calibri" w:hAnsi="Arial" w:cs="Arial"/>
          <w:b/>
          <w:bCs/>
          <w:kern w:val="28"/>
          <w:sz w:val="24"/>
          <w:szCs w:val="24"/>
          <w:lang w:val="en-US" w:eastAsia="en-GB"/>
        </w:rPr>
        <w:t>COWIN, MONICA N.O.</w:t>
      </w:r>
      <w:r w:rsidR="00E871DB">
        <w:rPr>
          <w:rFonts w:ascii="Arial" w:eastAsia="Calibri" w:hAnsi="Arial" w:cs="Arial"/>
          <w:b/>
          <w:bCs/>
          <w:kern w:val="28"/>
          <w:sz w:val="24"/>
          <w:szCs w:val="24"/>
          <w:lang w:val="en-US" w:eastAsia="en-GB"/>
        </w:rPr>
        <w:tab/>
      </w:r>
      <w:r w:rsidR="00E871DB">
        <w:rPr>
          <w:rFonts w:ascii="Arial" w:eastAsia="Calibri" w:hAnsi="Arial" w:cs="Arial"/>
          <w:bCs/>
          <w:kern w:val="28"/>
          <w:sz w:val="24"/>
          <w:szCs w:val="24"/>
          <w:lang w:val="en-US" w:eastAsia="en-GB"/>
        </w:rPr>
        <w:t>Fourth Respondent</w:t>
      </w:r>
    </w:p>
    <w:p w:rsidR="00E871DB" w:rsidRPr="00E871DB" w:rsidRDefault="00C23F97" w:rsidP="00E871DB">
      <w:pPr>
        <w:widowControl w:val="0"/>
        <w:tabs>
          <w:tab w:val="right" w:pos="9356"/>
        </w:tabs>
        <w:spacing w:after="0" w:line="360" w:lineRule="auto"/>
        <w:jc w:val="both"/>
        <w:rPr>
          <w:rFonts w:ascii="Arial" w:eastAsia="Calibri" w:hAnsi="Arial" w:cs="Arial"/>
          <w:bCs/>
          <w:kern w:val="28"/>
          <w:sz w:val="24"/>
          <w:szCs w:val="24"/>
          <w:lang w:val="en-US" w:eastAsia="en-GB"/>
        </w:rPr>
      </w:pPr>
      <w:r>
        <w:rPr>
          <w:rFonts w:ascii="Arial" w:eastAsia="Calibri" w:hAnsi="Arial" w:cs="Arial"/>
          <w:b/>
          <w:bCs/>
          <w:kern w:val="28"/>
          <w:sz w:val="24"/>
          <w:szCs w:val="24"/>
          <w:lang w:val="en-US" w:eastAsia="en-GB"/>
        </w:rPr>
        <w:t>VAN JAARSVELDT, ANKIA N.O.</w:t>
      </w:r>
      <w:r w:rsidR="00E871DB">
        <w:rPr>
          <w:rFonts w:ascii="Arial" w:eastAsia="Calibri" w:hAnsi="Arial" w:cs="Arial"/>
          <w:b/>
          <w:bCs/>
          <w:kern w:val="28"/>
          <w:sz w:val="24"/>
          <w:szCs w:val="24"/>
          <w:lang w:val="en-US" w:eastAsia="en-GB"/>
        </w:rPr>
        <w:tab/>
      </w:r>
      <w:r w:rsidR="00E871DB">
        <w:rPr>
          <w:rFonts w:ascii="Arial" w:eastAsia="Calibri" w:hAnsi="Arial" w:cs="Arial"/>
          <w:bCs/>
          <w:kern w:val="28"/>
          <w:sz w:val="24"/>
          <w:szCs w:val="24"/>
          <w:lang w:val="en-US" w:eastAsia="en-GB"/>
        </w:rPr>
        <w:t>Fifth Respondent</w:t>
      </w:r>
    </w:p>
    <w:p w:rsidR="00E871DB" w:rsidRPr="00E871DB" w:rsidRDefault="00C23F97" w:rsidP="00E871DB">
      <w:pPr>
        <w:widowControl w:val="0"/>
        <w:tabs>
          <w:tab w:val="right" w:pos="9356"/>
        </w:tabs>
        <w:spacing w:after="0" w:line="360" w:lineRule="auto"/>
        <w:jc w:val="both"/>
        <w:rPr>
          <w:rFonts w:ascii="Arial" w:eastAsia="Calibri" w:hAnsi="Arial" w:cs="Arial"/>
          <w:bCs/>
          <w:kern w:val="28"/>
          <w:sz w:val="24"/>
          <w:szCs w:val="24"/>
          <w:lang w:val="en-US" w:eastAsia="en-GB"/>
        </w:rPr>
      </w:pPr>
      <w:r>
        <w:rPr>
          <w:rFonts w:ascii="Arial" w:eastAsia="Calibri" w:hAnsi="Arial" w:cs="Arial"/>
          <w:b/>
          <w:bCs/>
          <w:kern w:val="28"/>
          <w:sz w:val="24"/>
          <w:szCs w:val="24"/>
          <w:lang w:val="en-US" w:eastAsia="en-GB"/>
        </w:rPr>
        <w:lastRenderedPageBreak/>
        <w:t>EOH MANAGED SERVICES (PTY) LTD</w:t>
      </w:r>
      <w:r w:rsidR="00E871DB">
        <w:rPr>
          <w:rFonts w:ascii="Arial" w:eastAsia="Calibri" w:hAnsi="Arial" w:cs="Arial"/>
          <w:b/>
          <w:bCs/>
          <w:kern w:val="28"/>
          <w:sz w:val="24"/>
          <w:szCs w:val="24"/>
          <w:lang w:val="en-US" w:eastAsia="en-GB"/>
        </w:rPr>
        <w:tab/>
      </w:r>
      <w:r w:rsidR="00E871DB">
        <w:rPr>
          <w:rFonts w:ascii="Arial" w:eastAsia="Calibri" w:hAnsi="Arial" w:cs="Arial"/>
          <w:bCs/>
          <w:kern w:val="28"/>
          <w:sz w:val="24"/>
          <w:szCs w:val="24"/>
          <w:lang w:val="en-US" w:eastAsia="en-GB"/>
        </w:rPr>
        <w:t>Sixth Respondent</w:t>
      </w:r>
    </w:p>
    <w:p w:rsidR="004B3A72" w:rsidRDefault="00C23F97" w:rsidP="00ED4D67">
      <w:pPr>
        <w:widowControl w:val="0"/>
        <w:tabs>
          <w:tab w:val="right" w:pos="9356"/>
        </w:tabs>
        <w:spacing w:after="0" w:line="360" w:lineRule="auto"/>
        <w:rPr>
          <w:rFonts w:ascii="Arial" w:eastAsia="Calibri" w:hAnsi="Arial" w:cs="Arial"/>
          <w:b/>
          <w:bCs/>
          <w:kern w:val="28"/>
          <w:sz w:val="24"/>
          <w:szCs w:val="24"/>
          <w:lang w:val="en-US" w:eastAsia="en-GB"/>
        </w:rPr>
      </w:pPr>
      <w:r>
        <w:rPr>
          <w:rFonts w:ascii="Arial" w:eastAsia="Calibri" w:hAnsi="Arial" w:cs="Arial"/>
          <w:b/>
          <w:bCs/>
          <w:kern w:val="28"/>
          <w:sz w:val="24"/>
          <w:szCs w:val="24"/>
          <w:lang w:val="en-US" w:eastAsia="en-GB"/>
        </w:rPr>
        <w:t>SILVER TOUCH IT SOLUTIONS (PTY) LTD</w:t>
      </w:r>
      <w:r w:rsidR="00E871DB">
        <w:rPr>
          <w:rFonts w:ascii="Arial" w:eastAsia="Calibri" w:hAnsi="Arial" w:cs="Arial"/>
          <w:b/>
          <w:bCs/>
          <w:kern w:val="28"/>
          <w:sz w:val="24"/>
          <w:szCs w:val="24"/>
          <w:lang w:val="en-US" w:eastAsia="en-GB"/>
        </w:rPr>
        <w:t xml:space="preserve">                              </w:t>
      </w:r>
      <w:r>
        <w:rPr>
          <w:rFonts w:ascii="Arial" w:eastAsia="Calibri" w:hAnsi="Arial" w:cs="Arial"/>
          <w:b/>
          <w:bCs/>
          <w:kern w:val="28"/>
          <w:sz w:val="24"/>
          <w:szCs w:val="24"/>
          <w:lang w:val="en-US" w:eastAsia="en-GB"/>
        </w:rPr>
        <w:t xml:space="preserve">   </w:t>
      </w:r>
      <w:r w:rsidR="00E871DB">
        <w:rPr>
          <w:rFonts w:ascii="Arial" w:eastAsia="Calibri" w:hAnsi="Arial" w:cs="Arial"/>
          <w:b/>
          <w:bCs/>
          <w:kern w:val="28"/>
          <w:sz w:val="24"/>
          <w:szCs w:val="24"/>
          <w:lang w:val="en-US" w:eastAsia="en-GB"/>
        </w:rPr>
        <w:t xml:space="preserve"> </w:t>
      </w:r>
      <w:r>
        <w:rPr>
          <w:rFonts w:ascii="Arial" w:eastAsia="Calibri" w:hAnsi="Arial" w:cs="Arial"/>
          <w:b/>
          <w:bCs/>
          <w:kern w:val="28"/>
          <w:sz w:val="24"/>
          <w:szCs w:val="24"/>
          <w:lang w:val="en-US" w:eastAsia="en-GB"/>
        </w:rPr>
        <w:t xml:space="preserve"> </w:t>
      </w:r>
      <w:r w:rsidRPr="00E871DB">
        <w:rPr>
          <w:rFonts w:ascii="Arial" w:eastAsia="Calibri" w:hAnsi="Arial" w:cs="Arial"/>
          <w:bCs/>
          <w:kern w:val="28"/>
          <w:sz w:val="24"/>
          <w:szCs w:val="24"/>
          <w:lang w:val="en-US" w:eastAsia="en-GB"/>
        </w:rPr>
        <w:t>Seventh Respondent</w:t>
      </w:r>
      <w:r>
        <w:rPr>
          <w:rFonts w:ascii="Arial" w:eastAsia="Calibri" w:hAnsi="Arial" w:cs="Arial"/>
          <w:b/>
          <w:bCs/>
          <w:kern w:val="28"/>
          <w:sz w:val="24"/>
          <w:szCs w:val="24"/>
          <w:lang w:val="en-US" w:eastAsia="en-GB"/>
        </w:rPr>
        <w:t xml:space="preserve"> </w:t>
      </w:r>
    </w:p>
    <w:p w:rsidR="009C5938" w:rsidRDefault="004B3A72" w:rsidP="009C5938">
      <w:pPr>
        <w:widowControl w:val="0"/>
        <w:tabs>
          <w:tab w:val="right" w:pos="9356"/>
        </w:tabs>
        <w:spacing w:after="0" w:line="360" w:lineRule="auto"/>
        <w:rPr>
          <w:rFonts w:ascii="Arial" w:eastAsia="Calibri" w:hAnsi="Arial" w:cs="Arial"/>
          <w:b/>
          <w:bCs/>
          <w:kern w:val="28"/>
          <w:sz w:val="24"/>
          <w:szCs w:val="24"/>
          <w:lang w:val="en-US" w:eastAsia="en-GB"/>
        </w:rPr>
      </w:pPr>
      <w:r>
        <w:rPr>
          <w:rFonts w:ascii="Arial" w:eastAsia="Calibri" w:hAnsi="Arial" w:cs="Arial"/>
          <w:b/>
          <w:bCs/>
          <w:kern w:val="28"/>
          <w:sz w:val="24"/>
          <w:szCs w:val="24"/>
          <w:lang w:val="en-US" w:eastAsia="en-GB"/>
        </w:rPr>
        <w:t xml:space="preserve">THE MASTER OF THE HIGH COURT </w:t>
      </w:r>
      <w:r w:rsidR="009C5938">
        <w:rPr>
          <w:rFonts w:ascii="Arial" w:eastAsia="Calibri" w:hAnsi="Arial" w:cs="Arial"/>
          <w:b/>
          <w:bCs/>
          <w:kern w:val="28"/>
          <w:sz w:val="24"/>
          <w:szCs w:val="24"/>
          <w:lang w:val="en-US" w:eastAsia="en-GB"/>
        </w:rPr>
        <w:tab/>
      </w:r>
      <w:r w:rsidR="009C5938">
        <w:rPr>
          <w:rFonts w:ascii="Arial" w:eastAsia="Calibri" w:hAnsi="Arial" w:cs="Arial"/>
          <w:bCs/>
          <w:kern w:val="28"/>
          <w:sz w:val="24"/>
          <w:szCs w:val="24"/>
          <w:lang w:val="en-US" w:eastAsia="en-GB"/>
        </w:rPr>
        <w:t>Eighth Respondent</w:t>
      </w:r>
      <w:r w:rsidR="009C5938" w:rsidRPr="0038212F">
        <w:rPr>
          <w:rFonts w:ascii="Arial" w:eastAsia="Times New Roman" w:hAnsi="Arial" w:cs="Times New Roman"/>
          <w:b/>
          <w:kern w:val="28"/>
          <w:sz w:val="24"/>
          <w:szCs w:val="24"/>
          <w:lang w:eastAsia="en-GB"/>
        </w:rPr>
        <w:tab/>
        <w:t xml:space="preserve">   </w:t>
      </w:r>
    </w:p>
    <w:p w:rsidR="009C5938" w:rsidRDefault="004B3A72" w:rsidP="004B3A72">
      <w:pPr>
        <w:widowControl w:val="0"/>
        <w:tabs>
          <w:tab w:val="right" w:pos="9356"/>
        </w:tabs>
        <w:spacing w:after="0" w:line="360" w:lineRule="auto"/>
        <w:rPr>
          <w:rFonts w:ascii="Arial" w:eastAsia="Calibri" w:hAnsi="Arial" w:cs="Arial"/>
          <w:b/>
          <w:bCs/>
          <w:kern w:val="28"/>
          <w:sz w:val="24"/>
          <w:szCs w:val="24"/>
          <w:lang w:val="en-US" w:eastAsia="en-GB"/>
        </w:rPr>
      </w:pPr>
      <w:r>
        <w:rPr>
          <w:rFonts w:ascii="Arial" w:eastAsia="Calibri" w:hAnsi="Arial" w:cs="Arial"/>
          <w:b/>
          <w:bCs/>
          <w:kern w:val="28"/>
          <w:sz w:val="24"/>
          <w:szCs w:val="24"/>
          <w:lang w:val="en-US" w:eastAsia="en-GB"/>
        </w:rPr>
        <w:t>GAUTENG LOCAL DIVISION, JOHANNESBURG</w:t>
      </w:r>
      <w:r w:rsidR="00C23F97">
        <w:rPr>
          <w:rFonts w:ascii="Arial" w:eastAsia="Calibri" w:hAnsi="Arial" w:cs="Arial"/>
          <w:b/>
          <w:bCs/>
          <w:kern w:val="28"/>
          <w:sz w:val="24"/>
          <w:szCs w:val="24"/>
          <w:lang w:val="en-US" w:eastAsia="en-GB"/>
        </w:rPr>
        <w:t xml:space="preserve">                        </w:t>
      </w:r>
      <w:r>
        <w:rPr>
          <w:rFonts w:ascii="Arial" w:eastAsia="Calibri" w:hAnsi="Arial" w:cs="Arial"/>
          <w:b/>
          <w:bCs/>
          <w:kern w:val="28"/>
          <w:sz w:val="24"/>
          <w:szCs w:val="24"/>
          <w:lang w:val="en-US" w:eastAsia="en-GB"/>
        </w:rPr>
        <w:tab/>
      </w:r>
    </w:p>
    <w:p w:rsidR="004B3A72" w:rsidRDefault="009C5938" w:rsidP="004B3A72">
      <w:pPr>
        <w:widowControl w:val="0"/>
        <w:tabs>
          <w:tab w:val="right" w:pos="9356"/>
        </w:tabs>
        <w:spacing w:after="0" w:line="360" w:lineRule="auto"/>
        <w:rPr>
          <w:rFonts w:ascii="Arial" w:eastAsia="Calibri" w:hAnsi="Arial" w:cs="Arial"/>
          <w:bCs/>
          <w:kern w:val="28"/>
          <w:sz w:val="24"/>
          <w:szCs w:val="24"/>
          <w:lang w:val="en-US" w:eastAsia="en-GB"/>
        </w:rPr>
      </w:pPr>
      <w:r>
        <w:rPr>
          <w:rFonts w:ascii="Arial" w:eastAsia="Calibri" w:hAnsi="Arial" w:cs="Arial"/>
          <w:b/>
          <w:bCs/>
          <w:kern w:val="28"/>
          <w:sz w:val="24"/>
          <w:szCs w:val="24"/>
          <w:lang w:val="en-US" w:eastAsia="en-GB"/>
        </w:rPr>
        <w:t>WERKSMANS ATTORNEYS</w:t>
      </w:r>
      <w:r>
        <w:rPr>
          <w:rFonts w:ascii="Arial" w:eastAsia="Calibri" w:hAnsi="Arial" w:cs="Arial"/>
          <w:b/>
          <w:bCs/>
          <w:kern w:val="28"/>
          <w:sz w:val="24"/>
          <w:szCs w:val="24"/>
          <w:lang w:val="en-US" w:eastAsia="en-GB"/>
        </w:rPr>
        <w:tab/>
      </w:r>
      <w:r>
        <w:rPr>
          <w:rFonts w:ascii="Arial" w:eastAsia="Calibri" w:hAnsi="Arial" w:cs="Arial"/>
          <w:bCs/>
          <w:kern w:val="28"/>
          <w:sz w:val="24"/>
          <w:szCs w:val="24"/>
          <w:lang w:val="en-US" w:eastAsia="en-GB"/>
        </w:rPr>
        <w:t>Ninth Respondent</w:t>
      </w:r>
    </w:p>
    <w:p w:rsidR="009C5938" w:rsidRDefault="009C5938" w:rsidP="004B3A72">
      <w:pPr>
        <w:widowControl w:val="0"/>
        <w:tabs>
          <w:tab w:val="right" w:pos="9356"/>
        </w:tabs>
        <w:spacing w:after="0" w:line="360" w:lineRule="auto"/>
        <w:rPr>
          <w:rFonts w:ascii="Arial" w:eastAsia="Calibri" w:hAnsi="Arial" w:cs="Arial"/>
          <w:bCs/>
          <w:kern w:val="28"/>
          <w:sz w:val="24"/>
          <w:szCs w:val="24"/>
          <w:lang w:val="en-US" w:eastAsia="en-GB"/>
        </w:rPr>
      </w:pPr>
    </w:p>
    <w:p w:rsidR="009C5938" w:rsidRDefault="009C5938" w:rsidP="004B3A72">
      <w:pPr>
        <w:widowControl w:val="0"/>
        <w:tabs>
          <w:tab w:val="right" w:pos="9356"/>
        </w:tabs>
        <w:spacing w:after="0" w:line="360" w:lineRule="auto"/>
        <w:rPr>
          <w:rFonts w:ascii="Arial" w:eastAsia="Calibri" w:hAnsi="Arial" w:cs="Arial"/>
          <w:bCs/>
          <w:kern w:val="28"/>
          <w:sz w:val="24"/>
          <w:szCs w:val="24"/>
          <w:lang w:val="en-US" w:eastAsia="en-GB"/>
        </w:rPr>
      </w:pPr>
      <w:r>
        <w:rPr>
          <w:rFonts w:ascii="Arial" w:eastAsia="Calibri" w:hAnsi="Arial" w:cs="Arial"/>
          <w:bCs/>
          <w:kern w:val="28"/>
          <w:sz w:val="24"/>
          <w:szCs w:val="24"/>
          <w:lang w:val="en-US" w:eastAsia="en-GB"/>
        </w:rPr>
        <w:t>In re:</w:t>
      </w:r>
      <w:r>
        <w:rPr>
          <w:rFonts w:ascii="Arial" w:eastAsia="Calibri" w:hAnsi="Arial" w:cs="Arial"/>
          <w:bCs/>
          <w:kern w:val="28"/>
          <w:sz w:val="24"/>
          <w:szCs w:val="24"/>
          <w:lang w:val="en-US" w:eastAsia="en-GB"/>
        </w:rPr>
        <w:br/>
      </w:r>
    </w:p>
    <w:p w:rsidR="009C5938" w:rsidRPr="009C5938" w:rsidRDefault="009C5938" w:rsidP="004B3A72">
      <w:pPr>
        <w:widowControl w:val="0"/>
        <w:tabs>
          <w:tab w:val="right" w:pos="9356"/>
        </w:tabs>
        <w:spacing w:after="0" w:line="360" w:lineRule="auto"/>
        <w:rPr>
          <w:rFonts w:ascii="Arial" w:eastAsia="Calibri" w:hAnsi="Arial" w:cs="Arial"/>
          <w:bCs/>
          <w:kern w:val="28"/>
          <w:sz w:val="24"/>
          <w:szCs w:val="24"/>
          <w:lang w:val="en-US" w:eastAsia="en-GB"/>
        </w:rPr>
      </w:pPr>
      <w:r>
        <w:rPr>
          <w:rFonts w:ascii="Arial" w:eastAsia="Calibri" w:hAnsi="Arial" w:cs="Arial"/>
          <w:b/>
          <w:bCs/>
          <w:kern w:val="28"/>
          <w:sz w:val="24"/>
          <w:szCs w:val="24"/>
          <w:lang w:val="en-US" w:eastAsia="en-GB"/>
        </w:rPr>
        <w:t>EOH MANAGED SERVICES (PTY) LTD</w:t>
      </w:r>
      <w:r>
        <w:rPr>
          <w:rFonts w:ascii="Arial" w:eastAsia="Calibri" w:hAnsi="Arial" w:cs="Arial"/>
          <w:b/>
          <w:bCs/>
          <w:kern w:val="28"/>
          <w:sz w:val="24"/>
          <w:szCs w:val="24"/>
          <w:lang w:val="en-US" w:eastAsia="en-GB"/>
        </w:rPr>
        <w:tab/>
      </w:r>
      <w:r>
        <w:rPr>
          <w:rFonts w:ascii="Arial" w:eastAsia="Calibri" w:hAnsi="Arial" w:cs="Arial"/>
          <w:bCs/>
          <w:kern w:val="28"/>
          <w:sz w:val="24"/>
          <w:szCs w:val="24"/>
          <w:lang w:val="en-US" w:eastAsia="en-GB"/>
        </w:rPr>
        <w:t>Applicant</w:t>
      </w:r>
    </w:p>
    <w:p w:rsidR="009C5938" w:rsidRDefault="009C5938" w:rsidP="002D6E63">
      <w:pPr>
        <w:widowControl w:val="0"/>
        <w:tabs>
          <w:tab w:val="right" w:pos="9356"/>
        </w:tabs>
        <w:spacing w:after="0" w:line="360" w:lineRule="auto"/>
        <w:rPr>
          <w:rFonts w:ascii="Arial" w:eastAsia="Times New Roman" w:hAnsi="Arial" w:cs="Times New Roman"/>
          <w:kern w:val="28"/>
          <w:sz w:val="24"/>
          <w:szCs w:val="24"/>
          <w:lang w:eastAsia="en-GB"/>
        </w:rPr>
      </w:pPr>
    </w:p>
    <w:p w:rsidR="009C5938" w:rsidRDefault="009C5938" w:rsidP="004B3A72">
      <w:pPr>
        <w:widowControl w:val="0"/>
        <w:tabs>
          <w:tab w:val="right" w:pos="9356"/>
        </w:tabs>
        <w:spacing w:after="0" w:line="360" w:lineRule="auto"/>
        <w:rPr>
          <w:rFonts w:ascii="Arial" w:eastAsia="Times New Roman" w:hAnsi="Arial" w:cs="Times New Roman"/>
          <w:kern w:val="28"/>
          <w:sz w:val="24"/>
          <w:szCs w:val="24"/>
          <w:lang w:eastAsia="en-GB"/>
        </w:rPr>
      </w:pPr>
      <w:r>
        <w:rPr>
          <w:rFonts w:ascii="Arial" w:eastAsia="Times New Roman" w:hAnsi="Arial" w:cs="Times New Roman"/>
          <w:kern w:val="28"/>
          <w:sz w:val="24"/>
          <w:szCs w:val="24"/>
          <w:lang w:eastAsia="en-GB"/>
        </w:rPr>
        <w:t>and</w:t>
      </w:r>
    </w:p>
    <w:p w:rsidR="00C621D6" w:rsidRDefault="00C621D6" w:rsidP="003B7F1D">
      <w:pPr>
        <w:widowControl w:val="0"/>
        <w:tabs>
          <w:tab w:val="right" w:pos="9356"/>
        </w:tabs>
        <w:spacing w:after="0" w:line="240" w:lineRule="auto"/>
        <w:jc w:val="both"/>
        <w:rPr>
          <w:rFonts w:ascii="Arial" w:eastAsia="Calibri" w:hAnsi="Arial" w:cs="Arial"/>
          <w:b/>
          <w:bCs/>
          <w:kern w:val="28"/>
          <w:sz w:val="24"/>
          <w:szCs w:val="24"/>
          <w:lang w:val="en-US" w:eastAsia="en-GB"/>
        </w:rPr>
      </w:pPr>
    </w:p>
    <w:p w:rsidR="00C621D6" w:rsidRDefault="00C621D6" w:rsidP="003B7F1D">
      <w:pPr>
        <w:widowControl w:val="0"/>
        <w:tabs>
          <w:tab w:val="right" w:pos="9356"/>
        </w:tabs>
        <w:spacing w:after="0" w:line="240" w:lineRule="auto"/>
        <w:jc w:val="both"/>
        <w:rPr>
          <w:rFonts w:ascii="Arial" w:eastAsia="Calibri" w:hAnsi="Arial" w:cs="Arial"/>
          <w:bCs/>
          <w:kern w:val="28"/>
          <w:sz w:val="24"/>
          <w:szCs w:val="24"/>
          <w:lang w:val="en-US" w:eastAsia="en-GB"/>
        </w:rPr>
      </w:pPr>
      <w:r>
        <w:rPr>
          <w:rFonts w:ascii="Arial" w:eastAsia="Calibri" w:hAnsi="Arial" w:cs="Arial"/>
          <w:b/>
          <w:bCs/>
          <w:kern w:val="28"/>
          <w:sz w:val="24"/>
          <w:szCs w:val="24"/>
          <w:lang w:val="en-US" w:eastAsia="en-GB"/>
        </w:rPr>
        <w:t xml:space="preserve">ADAM CRESWICK </w:t>
      </w:r>
      <w:r>
        <w:rPr>
          <w:rFonts w:ascii="Arial" w:eastAsia="Calibri" w:hAnsi="Arial" w:cs="Arial"/>
          <w:b/>
          <w:bCs/>
          <w:kern w:val="28"/>
          <w:sz w:val="24"/>
          <w:szCs w:val="24"/>
          <w:lang w:val="en-US" w:eastAsia="en-GB"/>
        </w:rPr>
        <w:tab/>
      </w:r>
      <w:r>
        <w:rPr>
          <w:rFonts w:ascii="Arial" w:eastAsia="Calibri" w:hAnsi="Arial" w:cs="Arial"/>
          <w:bCs/>
          <w:kern w:val="28"/>
          <w:sz w:val="24"/>
          <w:szCs w:val="24"/>
          <w:lang w:val="en-US" w:eastAsia="en-GB"/>
        </w:rPr>
        <w:t>First Respondent</w:t>
      </w:r>
    </w:p>
    <w:p w:rsidR="00C621D6" w:rsidRDefault="00C621D6" w:rsidP="003B7F1D">
      <w:pPr>
        <w:widowControl w:val="0"/>
        <w:tabs>
          <w:tab w:val="right" w:pos="9356"/>
        </w:tabs>
        <w:spacing w:after="0" w:line="240" w:lineRule="auto"/>
        <w:jc w:val="both"/>
        <w:rPr>
          <w:rFonts w:ascii="Arial" w:eastAsia="Calibri" w:hAnsi="Arial" w:cs="Arial"/>
          <w:bCs/>
          <w:kern w:val="28"/>
          <w:sz w:val="24"/>
          <w:szCs w:val="24"/>
          <w:lang w:val="en-US" w:eastAsia="en-GB"/>
        </w:rPr>
      </w:pPr>
    </w:p>
    <w:p w:rsidR="00C621D6" w:rsidRPr="00C621D6" w:rsidRDefault="00C621D6" w:rsidP="00C621D6">
      <w:pPr>
        <w:widowControl w:val="0"/>
        <w:tabs>
          <w:tab w:val="right" w:pos="9356"/>
        </w:tabs>
        <w:spacing w:after="0" w:line="240" w:lineRule="auto"/>
        <w:jc w:val="both"/>
        <w:rPr>
          <w:rFonts w:ascii="Arial" w:eastAsia="Calibri" w:hAnsi="Arial" w:cs="Arial"/>
          <w:bCs/>
          <w:kern w:val="28"/>
          <w:sz w:val="24"/>
          <w:szCs w:val="24"/>
          <w:lang w:val="en-US" w:eastAsia="en-GB"/>
        </w:rPr>
      </w:pPr>
      <w:r>
        <w:rPr>
          <w:rFonts w:ascii="Arial" w:eastAsia="Calibri" w:hAnsi="Arial" w:cs="Arial"/>
          <w:b/>
          <w:bCs/>
          <w:sz w:val="24"/>
          <w:szCs w:val="24"/>
          <w:lang w:val="en-US"/>
        </w:rPr>
        <w:t>ARNOLD, PHILLIP HENRY</w:t>
      </w:r>
      <w:r>
        <w:rPr>
          <w:rFonts w:ascii="Arial" w:eastAsia="Calibri" w:hAnsi="Arial" w:cs="Arial"/>
          <w:b/>
          <w:bCs/>
          <w:sz w:val="24"/>
          <w:szCs w:val="24"/>
          <w:lang w:val="en-US"/>
        </w:rPr>
        <w:tab/>
      </w:r>
      <w:r>
        <w:rPr>
          <w:rFonts w:ascii="Arial" w:eastAsia="Calibri" w:hAnsi="Arial" w:cs="Arial"/>
          <w:bCs/>
          <w:sz w:val="24"/>
          <w:szCs w:val="24"/>
          <w:lang w:val="en-US"/>
        </w:rPr>
        <w:t>Second Respondent</w:t>
      </w:r>
    </w:p>
    <w:p w:rsidR="009C5938" w:rsidRDefault="009C5938" w:rsidP="003B7F1D">
      <w:pPr>
        <w:widowControl w:val="0"/>
        <w:tabs>
          <w:tab w:val="right" w:pos="9356"/>
        </w:tabs>
        <w:spacing w:after="0" w:line="240" w:lineRule="auto"/>
        <w:jc w:val="both"/>
        <w:rPr>
          <w:rFonts w:ascii="Arial" w:eastAsia="Calibri" w:hAnsi="Arial" w:cs="Arial"/>
          <w:b/>
          <w:bCs/>
          <w:kern w:val="28"/>
          <w:sz w:val="24"/>
          <w:szCs w:val="24"/>
          <w:lang w:val="en-US" w:eastAsia="en-GB"/>
        </w:rPr>
      </w:pPr>
    </w:p>
    <w:p w:rsidR="00C621D6" w:rsidRDefault="00C621D6" w:rsidP="00C621D6">
      <w:pPr>
        <w:widowControl w:val="0"/>
        <w:tabs>
          <w:tab w:val="right" w:pos="9356"/>
        </w:tabs>
        <w:spacing w:after="0" w:line="240" w:lineRule="auto"/>
        <w:jc w:val="both"/>
        <w:rPr>
          <w:rFonts w:ascii="Arial" w:eastAsia="Calibri" w:hAnsi="Arial" w:cs="Arial"/>
          <w:bCs/>
          <w:sz w:val="24"/>
          <w:szCs w:val="24"/>
          <w:lang w:val="en-US"/>
        </w:rPr>
      </w:pPr>
      <w:r w:rsidRPr="00E22AF1">
        <w:rPr>
          <w:rFonts w:ascii="Arial" w:eastAsia="Calibri" w:hAnsi="Arial" w:cs="Arial"/>
          <w:b/>
          <w:bCs/>
          <w:sz w:val="24"/>
          <w:szCs w:val="24"/>
          <w:lang w:val="en-US"/>
        </w:rPr>
        <w:t>ULTIMAX CONSULTING (PTY) LTD</w:t>
      </w:r>
      <w:r>
        <w:rPr>
          <w:rFonts w:ascii="Arial" w:eastAsia="Calibri" w:hAnsi="Arial" w:cs="Arial"/>
          <w:b/>
          <w:bCs/>
          <w:sz w:val="24"/>
          <w:szCs w:val="24"/>
          <w:lang w:val="en-US"/>
        </w:rPr>
        <w:tab/>
      </w:r>
      <w:r>
        <w:rPr>
          <w:rFonts w:ascii="Arial" w:eastAsia="Calibri" w:hAnsi="Arial" w:cs="Arial"/>
          <w:bCs/>
          <w:sz w:val="24"/>
          <w:szCs w:val="24"/>
          <w:lang w:val="en-US"/>
        </w:rPr>
        <w:t>Third Respondent</w:t>
      </w:r>
    </w:p>
    <w:p w:rsidR="00C621D6" w:rsidRPr="00C621D6" w:rsidRDefault="00C621D6" w:rsidP="00C621D6">
      <w:pPr>
        <w:widowControl w:val="0"/>
        <w:tabs>
          <w:tab w:val="right" w:pos="9356"/>
        </w:tabs>
        <w:spacing w:after="0" w:line="240" w:lineRule="auto"/>
        <w:jc w:val="both"/>
        <w:rPr>
          <w:rFonts w:ascii="Arial" w:eastAsia="Calibri" w:hAnsi="Arial" w:cs="Arial"/>
          <w:bCs/>
          <w:kern w:val="28"/>
          <w:sz w:val="24"/>
          <w:szCs w:val="24"/>
          <w:lang w:val="en-US" w:eastAsia="en-GB"/>
        </w:rPr>
      </w:pPr>
    </w:p>
    <w:p w:rsidR="003E4474" w:rsidRPr="003E4474" w:rsidRDefault="003E4474" w:rsidP="003B7F1D">
      <w:pPr>
        <w:widowControl w:val="0"/>
        <w:tabs>
          <w:tab w:val="right" w:pos="9356"/>
        </w:tabs>
        <w:spacing w:after="0" w:line="240" w:lineRule="auto"/>
        <w:jc w:val="both"/>
        <w:rPr>
          <w:rFonts w:ascii="Arial" w:eastAsia="Times New Roman" w:hAnsi="Arial" w:cs="Times New Roman"/>
          <w:b/>
          <w:kern w:val="28"/>
          <w:sz w:val="24"/>
          <w:szCs w:val="24"/>
          <w:lang w:eastAsia="en-GB"/>
        </w:rPr>
      </w:pPr>
      <w:r w:rsidRPr="003B7F1D">
        <w:rPr>
          <w:rFonts w:ascii="Arial" w:eastAsia="Calibri" w:hAnsi="Arial" w:cs="Arial"/>
          <w:b/>
          <w:bCs/>
          <w:kern w:val="28"/>
          <w:sz w:val="24"/>
          <w:szCs w:val="24"/>
          <w:lang w:val="en-US" w:eastAsia="en-GB"/>
        </w:rPr>
        <w:tab/>
      </w:r>
      <w:r w:rsidRPr="003E4474">
        <w:rPr>
          <w:rFonts w:ascii="Arial" w:eastAsia="Times New Roman" w:hAnsi="Arial" w:cs="Times New Roman"/>
          <w:b/>
          <w:kern w:val="28"/>
          <w:sz w:val="24"/>
          <w:szCs w:val="24"/>
          <w:lang w:eastAsia="en-GB"/>
        </w:rPr>
        <w:tab/>
        <w:t xml:space="preserve">   </w:t>
      </w:r>
    </w:p>
    <w:p w:rsidR="005F5C4D" w:rsidRPr="003E4474" w:rsidRDefault="00E871DB" w:rsidP="003E4474">
      <w:pPr>
        <w:widowControl w:val="0"/>
        <w:pBdr>
          <w:top w:val="single" w:sz="4" w:space="12" w:color="auto"/>
          <w:bottom w:val="single" w:sz="4" w:space="12" w:color="auto"/>
        </w:pBdr>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JUDGMENT</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rsidR="00395AC5" w:rsidRPr="00A94E74" w:rsidRDefault="00395AC5" w:rsidP="00395AC5">
      <w:pPr>
        <w:spacing w:after="0" w:line="240" w:lineRule="auto"/>
        <w:ind w:left="1440" w:hanging="1440"/>
        <w:jc w:val="both"/>
        <w:rPr>
          <w:rFonts w:ascii="Arial" w:eastAsia="Times New Roman" w:hAnsi="Arial" w:cs="Arial"/>
          <w:b/>
          <w:kern w:val="28"/>
          <w:sz w:val="24"/>
          <w:szCs w:val="24"/>
          <w:lang w:eastAsia="en-GB"/>
        </w:rPr>
      </w:pPr>
    </w:p>
    <w:p w:rsidR="00395AC5" w:rsidRPr="00A94E74" w:rsidRDefault="00395AC5" w:rsidP="00395AC5">
      <w:pPr>
        <w:spacing w:after="0" w:line="240" w:lineRule="auto"/>
        <w:ind w:left="1440" w:hanging="1440"/>
        <w:jc w:val="both"/>
        <w:rPr>
          <w:rFonts w:ascii="Arial" w:eastAsia="Times New Roman" w:hAnsi="Arial" w:cs="Arial"/>
          <w:kern w:val="28"/>
          <w:sz w:val="24"/>
          <w:szCs w:val="24"/>
          <w:lang w:eastAsia="en-GB"/>
        </w:rPr>
      </w:pPr>
      <w:r w:rsidRPr="00A94E74">
        <w:rPr>
          <w:rFonts w:ascii="Arial" w:eastAsia="Times New Roman" w:hAnsi="Arial" w:cs="Arial"/>
          <w:b/>
          <w:kern w:val="28"/>
          <w:sz w:val="24"/>
          <w:szCs w:val="24"/>
          <w:lang w:eastAsia="en-GB"/>
        </w:rPr>
        <w:t>Delivered:</w:t>
      </w:r>
      <w:r w:rsidRPr="00A94E74">
        <w:rPr>
          <w:rFonts w:ascii="Arial" w:eastAsia="Times New Roman" w:hAnsi="Arial" w:cs="Arial"/>
          <w:b/>
          <w:kern w:val="28"/>
          <w:sz w:val="24"/>
          <w:szCs w:val="24"/>
          <w:lang w:eastAsia="en-GB"/>
        </w:rPr>
        <w:tab/>
      </w:r>
      <w:r w:rsidRPr="00A94E74">
        <w:rPr>
          <w:rFonts w:ascii="Arial" w:eastAsia="Times New Roman" w:hAnsi="Arial" w:cs="Arial"/>
          <w:kern w:val="28"/>
          <w:sz w:val="24"/>
          <w:szCs w:val="24"/>
          <w:lang w:eastAsia="en-GB"/>
        </w:rPr>
        <w:t>This judgment was handed down electronically by circulation to the parties’ legal representatives by e-mail. The date and time for hand-down is deemed to be 1</w:t>
      </w:r>
      <w:r w:rsidR="00DB64F9">
        <w:rPr>
          <w:rFonts w:ascii="Arial" w:eastAsia="Times New Roman" w:hAnsi="Arial" w:cs="Arial"/>
          <w:kern w:val="28"/>
          <w:sz w:val="24"/>
          <w:szCs w:val="24"/>
          <w:lang w:eastAsia="en-GB"/>
        </w:rPr>
        <w:t>1</w:t>
      </w:r>
      <w:r w:rsidRPr="00A94E74">
        <w:rPr>
          <w:rFonts w:ascii="Arial" w:eastAsia="Times New Roman" w:hAnsi="Arial" w:cs="Arial"/>
          <w:kern w:val="28"/>
          <w:sz w:val="24"/>
          <w:szCs w:val="24"/>
          <w:lang w:eastAsia="en-GB"/>
        </w:rPr>
        <w:t>h</w:t>
      </w:r>
      <w:r w:rsidR="00DB64F9">
        <w:rPr>
          <w:rFonts w:ascii="Arial" w:eastAsia="Times New Roman" w:hAnsi="Arial" w:cs="Arial"/>
          <w:kern w:val="28"/>
          <w:sz w:val="24"/>
          <w:szCs w:val="24"/>
          <w:lang w:eastAsia="en-GB"/>
        </w:rPr>
        <w:t>3</w:t>
      </w:r>
      <w:r w:rsidRPr="00A94E74">
        <w:rPr>
          <w:rFonts w:ascii="Arial" w:eastAsia="Times New Roman" w:hAnsi="Arial" w:cs="Arial"/>
          <w:kern w:val="28"/>
          <w:sz w:val="24"/>
          <w:szCs w:val="24"/>
          <w:lang w:eastAsia="en-GB"/>
        </w:rPr>
        <w:t>0 on the</w:t>
      </w:r>
      <w:r w:rsidR="00AD20EB">
        <w:rPr>
          <w:rFonts w:ascii="Arial" w:eastAsia="Times New Roman" w:hAnsi="Arial" w:cs="Arial"/>
          <w:kern w:val="28"/>
          <w:sz w:val="24"/>
          <w:szCs w:val="24"/>
          <w:lang w:eastAsia="en-GB"/>
        </w:rPr>
        <w:t xml:space="preserve"> </w:t>
      </w:r>
      <w:r w:rsidR="001136B4">
        <w:rPr>
          <w:rFonts w:ascii="Arial" w:eastAsia="Times New Roman" w:hAnsi="Arial" w:cs="Arial"/>
          <w:kern w:val="28"/>
          <w:sz w:val="24"/>
          <w:szCs w:val="24"/>
          <w:lang w:eastAsia="en-GB"/>
        </w:rPr>
        <w:t>1</w:t>
      </w:r>
      <w:r w:rsidR="00C57261">
        <w:rPr>
          <w:rFonts w:ascii="Arial" w:eastAsia="Times New Roman" w:hAnsi="Arial" w:cs="Arial"/>
          <w:kern w:val="28"/>
          <w:sz w:val="24"/>
          <w:szCs w:val="24"/>
          <w:lang w:eastAsia="en-GB"/>
        </w:rPr>
        <w:t>4</w:t>
      </w:r>
      <w:r w:rsidRPr="00A94E74">
        <w:rPr>
          <w:rFonts w:ascii="Arial" w:eastAsia="Times New Roman" w:hAnsi="Arial" w:cs="Arial"/>
          <w:kern w:val="28"/>
          <w:sz w:val="24"/>
          <w:szCs w:val="24"/>
          <w:lang w:eastAsia="en-GB"/>
        </w:rPr>
        <w:t xml:space="preserve">th of </w:t>
      </w:r>
      <w:r w:rsidR="00E22AF1">
        <w:rPr>
          <w:rFonts w:ascii="Arial" w:eastAsia="Times New Roman" w:hAnsi="Arial" w:cs="Arial"/>
          <w:kern w:val="28"/>
          <w:sz w:val="24"/>
          <w:szCs w:val="24"/>
          <w:lang w:eastAsia="en-GB"/>
        </w:rPr>
        <w:t>September</w:t>
      </w:r>
      <w:r w:rsidRPr="00A94E74">
        <w:rPr>
          <w:rFonts w:ascii="Arial" w:eastAsia="Times New Roman" w:hAnsi="Arial" w:cs="Arial"/>
          <w:kern w:val="28"/>
          <w:sz w:val="24"/>
          <w:szCs w:val="24"/>
          <w:lang w:eastAsia="en-GB"/>
        </w:rPr>
        <w:t xml:space="preserve"> 2022.</w:t>
      </w:r>
    </w:p>
    <w:p w:rsidR="00395AC5" w:rsidRDefault="00395AC5" w:rsidP="003E4474">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rsidR="00D95C99" w:rsidRDefault="003E4474" w:rsidP="00D95C99">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r w:rsidRPr="003E4474">
        <w:rPr>
          <w:rFonts w:ascii="Arial" w:eastAsia="Times New Roman" w:hAnsi="Arial" w:cs="Arial"/>
          <w:b/>
          <w:bCs/>
          <w:spacing w:val="-3"/>
          <w:kern w:val="28"/>
          <w:sz w:val="24"/>
          <w:szCs w:val="24"/>
          <w:u w:val="single"/>
          <w:lang w:eastAsia="en-GB"/>
        </w:rPr>
        <w:t>DIPPENAAR J</w:t>
      </w:r>
      <w:r w:rsidR="00A94E74">
        <w:rPr>
          <w:rFonts w:ascii="Arial" w:eastAsia="Times New Roman" w:hAnsi="Arial" w:cs="Arial"/>
          <w:b/>
          <w:bCs/>
          <w:spacing w:val="-3"/>
          <w:kern w:val="28"/>
          <w:sz w:val="24"/>
          <w:szCs w:val="24"/>
          <w:u w:val="single"/>
          <w:lang w:eastAsia="en-GB"/>
        </w:rPr>
        <w:t xml:space="preserve"> </w:t>
      </w:r>
    </w:p>
    <w:p w:rsidR="00D95C99" w:rsidRPr="00D95C99" w:rsidRDefault="00D95C99" w:rsidP="00D95C99">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rsidR="00907CB0" w:rsidRDefault="00907CB0" w:rsidP="00D95C99">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The central issue to be determined is the costs of an urgent application as between the applicants and the sixth respondent. The other parties did not participate in the proceedings.</w:t>
      </w:r>
      <w:r w:rsidR="00466B44">
        <w:rPr>
          <w:rFonts w:ascii="Arial" w:eastAsia="Times New Roman" w:hAnsi="Arial" w:cs="Arial"/>
          <w:bCs/>
          <w:spacing w:val="-3"/>
          <w:kern w:val="28"/>
          <w:sz w:val="24"/>
          <w:szCs w:val="24"/>
          <w:lang w:eastAsia="en-GB"/>
        </w:rPr>
        <w:t xml:space="preserve"> The sixth respondent seeks costs on the scale as between attorney and client against the applicants and their attorney, Mr Creswick on a</w:t>
      </w:r>
      <w:r w:rsidR="00466B44" w:rsidRPr="00466B44">
        <w:rPr>
          <w:rFonts w:ascii="Arial" w:eastAsia="Times New Roman" w:hAnsi="Arial" w:cs="Arial"/>
          <w:bCs/>
          <w:i/>
          <w:spacing w:val="-3"/>
          <w:kern w:val="28"/>
          <w:sz w:val="24"/>
          <w:szCs w:val="24"/>
          <w:lang w:eastAsia="en-GB"/>
        </w:rPr>
        <w:t xml:space="preserve"> de bonis propriis</w:t>
      </w:r>
      <w:r w:rsidR="00466B44">
        <w:rPr>
          <w:rFonts w:ascii="Arial" w:eastAsia="Times New Roman" w:hAnsi="Arial" w:cs="Arial"/>
          <w:bCs/>
          <w:spacing w:val="-3"/>
          <w:kern w:val="28"/>
          <w:sz w:val="24"/>
          <w:szCs w:val="24"/>
          <w:lang w:eastAsia="en-GB"/>
        </w:rPr>
        <w:t xml:space="preserve"> basis.</w:t>
      </w:r>
    </w:p>
    <w:p w:rsidR="00907CB0" w:rsidRPr="00907CB0" w:rsidRDefault="00907CB0" w:rsidP="00907CB0">
      <w:pPr>
        <w:tabs>
          <w:tab w:val="left" w:pos="-720"/>
        </w:tabs>
        <w:suppressAutoHyphens/>
        <w:spacing w:after="0" w:line="360" w:lineRule="auto"/>
        <w:jc w:val="both"/>
        <w:rPr>
          <w:rFonts w:ascii="Arial" w:eastAsia="Times New Roman" w:hAnsi="Arial" w:cs="Arial"/>
          <w:bCs/>
          <w:spacing w:val="-3"/>
          <w:kern w:val="28"/>
          <w:sz w:val="24"/>
          <w:szCs w:val="24"/>
          <w:lang w:eastAsia="en-GB"/>
        </w:rPr>
      </w:pPr>
    </w:p>
    <w:p w:rsidR="00466B44" w:rsidRDefault="00407140" w:rsidP="00D95C99">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sidRPr="00D95C99">
        <w:rPr>
          <w:rFonts w:ascii="Arial" w:eastAsia="Times New Roman" w:hAnsi="Arial" w:cs="Arial"/>
          <w:bCs/>
          <w:spacing w:val="-3"/>
          <w:kern w:val="28"/>
          <w:sz w:val="24"/>
          <w:szCs w:val="24"/>
          <w:lang w:eastAsia="en-GB"/>
        </w:rPr>
        <w:lastRenderedPageBreak/>
        <w:t>The genesis of this application is an urgent application launched by the applicants on 21 April 2021</w:t>
      </w:r>
      <w:r w:rsidR="003E2CBE" w:rsidRPr="00D95C99">
        <w:rPr>
          <w:rFonts w:ascii="Arial" w:eastAsia="Times New Roman" w:hAnsi="Arial" w:cs="Arial"/>
          <w:bCs/>
          <w:spacing w:val="-3"/>
          <w:kern w:val="28"/>
          <w:sz w:val="24"/>
          <w:szCs w:val="24"/>
          <w:lang w:eastAsia="en-GB"/>
        </w:rPr>
        <w:t xml:space="preserve"> in terms of which the applicants sought relie</w:t>
      </w:r>
      <w:r w:rsidR="00A3176D" w:rsidRPr="00D95C99">
        <w:rPr>
          <w:rFonts w:ascii="Arial" w:eastAsia="Times New Roman" w:hAnsi="Arial" w:cs="Arial"/>
          <w:bCs/>
          <w:spacing w:val="-3"/>
          <w:kern w:val="28"/>
          <w:sz w:val="24"/>
          <w:szCs w:val="24"/>
          <w:lang w:eastAsia="en-GB"/>
        </w:rPr>
        <w:t xml:space="preserve">f against </w:t>
      </w:r>
      <w:r w:rsidR="003E2CBE" w:rsidRPr="00D95C99">
        <w:rPr>
          <w:rFonts w:ascii="Arial" w:eastAsia="Times New Roman" w:hAnsi="Arial" w:cs="Arial"/>
          <w:bCs/>
          <w:spacing w:val="-3"/>
          <w:kern w:val="28"/>
          <w:sz w:val="24"/>
          <w:szCs w:val="24"/>
          <w:lang w:eastAsia="en-GB"/>
        </w:rPr>
        <w:t>Absa Bank Ltd</w:t>
      </w:r>
      <w:r w:rsidR="000269EB" w:rsidRPr="00D95C99">
        <w:rPr>
          <w:rFonts w:ascii="Arial" w:eastAsia="Times New Roman" w:hAnsi="Arial" w:cs="Arial"/>
          <w:bCs/>
          <w:spacing w:val="-3"/>
          <w:kern w:val="28"/>
          <w:sz w:val="24"/>
          <w:szCs w:val="24"/>
          <w:lang w:eastAsia="en-GB"/>
        </w:rPr>
        <w:t xml:space="preserve"> and First National Bank Limited to prohibit them from providing certain documents pursuant to subpoenas issued to provide such documents to a commission of enquiry under s417 and 418 of the Old Companies Act, 1973</w:t>
      </w:r>
      <w:r w:rsidR="00907CB0">
        <w:rPr>
          <w:rFonts w:ascii="Arial" w:eastAsia="Times New Roman" w:hAnsi="Arial" w:cs="Arial"/>
          <w:bCs/>
          <w:spacing w:val="-3"/>
          <w:kern w:val="28"/>
          <w:sz w:val="24"/>
          <w:szCs w:val="24"/>
          <w:lang w:eastAsia="en-GB"/>
        </w:rPr>
        <w:t xml:space="preserve"> (“the enquiry”)</w:t>
      </w:r>
      <w:r w:rsidR="000269EB" w:rsidRPr="00D95C99">
        <w:rPr>
          <w:rFonts w:ascii="Arial" w:eastAsia="Times New Roman" w:hAnsi="Arial" w:cs="Arial"/>
          <w:bCs/>
          <w:spacing w:val="-3"/>
          <w:kern w:val="28"/>
          <w:sz w:val="24"/>
          <w:szCs w:val="24"/>
          <w:lang w:eastAsia="en-GB"/>
        </w:rPr>
        <w:t>.</w:t>
      </w:r>
      <w:r w:rsidRPr="00D95C99">
        <w:rPr>
          <w:rFonts w:ascii="Arial" w:eastAsia="Times New Roman" w:hAnsi="Arial" w:cs="Arial"/>
          <w:bCs/>
          <w:spacing w:val="-3"/>
          <w:kern w:val="28"/>
          <w:sz w:val="24"/>
          <w:szCs w:val="24"/>
          <w:lang w:eastAsia="en-GB"/>
        </w:rPr>
        <w:t xml:space="preserve"> </w:t>
      </w:r>
    </w:p>
    <w:p w:rsidR="00466B44" w:rsidRPr="00466B44" w:rsidRDefault="00466B44" w:rsidP="00466B44">
      <w:pPr>
        <w:pStyle w:val="ListParagraph"/>
        <w:rPr>
          <w:rFonts w:ascii="Arial" w:eastAsia="Times New Roman" w:hAnsi="Arial" w:cs="Arial"/>
          <w:bCs/>
          <w:spacing w:val="-3"/>
          <w:kern w:val="28"/>
          <w:sz w:val="24"/>
          <w:szCs w:val="24"/>
          <w:lang w:eastAsia="en-GB"/>
        </w:rPr>
      </w:pPr>
    </w:p>
    <w:p w:rsidR="00466B44" w:rsidRDefault="00C57261" w:rsidP="00D95C99">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 xml:space="preserve">The application was opposed by the sixth respondent, represented by senior counsel. </w:t>
      </w:r>
      <w:r w:rsidR="005266ED" w:rsidRPr="00D95C99">
        <w:rPr>
          <w:rFonts w:ascii="Arial" w:eastAsia="Times New Roman" w:hAnsi="Arial" w:cs="Arial"/>
          <w:bCs/>
          <w:spacing w:val="-3"/>
          <w:kern w:val="28"/>
          <w:sz w:val="24"/>
          <w:szCs w:val="24"/>
          <w:lang w:eastAsia="en-GB"/>
        </w:rPr>
        <w:t>T</w:t>
      </w:r>
      <w:r w:rsidR="00407140" w:rsidRPr="00D95C99">
        <w:rPr>
          <w:rFonts w:ascii="Arial" w:eastAsia="Times New Roman" w:hAnsi="Arial" w:cs="Arial"/>
          <w:bCs/>
          <w:spacing w:val="-3"/>
          <w:kern w:val="28"/>
          <w:sz w:val="24"/>
          <w:szCs w:val="24"/>
          <w:lang w:eastAsia="en-GB"/>
        </w:rPr>
        <w:t xml:space="preserve">he application </w:t>
      </w:r>
      <w:r w:rsidR="00AD20EB" w:rsidRPr="00D95C99">
        <w:rPr>
          <w:rFonts w:ascii="Arial" w:eastAsia="Times New Roman" w:hAnsi="Arial" w:cs="Arial"/>
          <w:bCs/>
          <w:spacing w:val="-3"/>
          <w:kern w:val="28"/>
          <w:sz w:val="24"/>
          <w:szCs w:val="24"/>
          <w:lang w:eastAsia="en-GB"/>
        </w:rPr>
        <w:t xml:space="preserve">came before Vally J in the urgent court </w:t>
      </w:r>
      <w:r w:rsidR="00466B44">
        <w:rPr>
          <w:rFonts w:ascii="Arial" w:eastAsia="Times New Roman" w:hAnsi="Arial" w:cs="Arial"/>
          <w:bCs/>
          <w:spacing w:val="-3"/>
          <w:kern w:val="28"/>
          <w:sz w:val="24"/>
          <w:szCs w:val="24"/>
          <w:lang w:eastAsia="en-GB"/>
        </w:rPr>
        <w:t xml:space="preserve">on 21 April 2021, </w:t>
      </w:r>
      <w:r w:rsidR="00AD20EB" w:rsidRPr="00D95C99">
        <w:rPr>
          <w:rFonts w:ascii="Arial" w:eastAsia="Times New Roman" w:hAnsi="Arial" w:cs="Arial"/>
          <w:bCs/>
          <w:spacing w:val="-3"/>
          <w:kern w:val="28"/>
          <w:sz w:val="24"/>
          <w:szCs w:val="24"/>
          <w:lang w:eastAsia="en-GB"/>
        </w:rPr>
        <w:t xml:space="preserve">but </w:t>
      </w:r>
      <w:r w:rsidR="00407140" w:rsidRPr="00D95C99">
        <w:rPr>
          <w:rFonts w:ascii="Arial" w:eastAsia="Times New Roman" w:hAnsi="Arial" w:cs="Arial"/>
          <w:bCs/>
          <w:spacing w:val="-3"/>
          <w:kern w:val="28"/>
          <w:sz w:val="24"/>
          <w:szCs w:val="24"/>
          <w:lang w:eastAsia="en-GB"/>
        </w:rPr>
        <w:t xml:space="preserve">was </w:t>
      </w:r>
      <w:r w:rsidR="00466B44">
        <w:rPr>
          <w:rFonts w:ascii="Arial" w:eastAsia="Times New Roman" w:hAnsi="Arial" w:cs="Arial"/>
          <w:bCs/>
          <w:spacing w:val="-3"/>
          <w:kern w:val="28"/>
          <w:sz w:val="24"/>
          <w:szCs w:val="24"/>
          <w:lang w:eastAsia="en-GB"/>
        </w:rPr>
        <w:t xml:space="preserve">at the discretion of the presiding judge </w:t>
      </w:r>
      <w:r w:rsidR="00EE7598" w:rsidRPr="00D95C99">
        <w:rPr>
          <w:rFonts w:ascii="Arial" w:eastAsia="Times New Roman" w:hAnsi="Arial" w:cs="Arial"/>
          <w:bCs/>
          <w:spacing w:val="-3"/>
          <w:kern w:val="28"/>
          <w:sz w:val="24"/>
          <w:szCs w:val="24"/>
          <w:lang w:eastAsia="en-GB"/>
        </w:rPr>
        <w:t>not enrolled for hearing</w:t>
      </w:r>
      <w:r w:rsidR="00AD20EB" w:rsidRPr="00D95C99">
        <w:rPr>
          <w:rFonts w:ascii="Arial" w:eastAsia="Times New Roman" w:hAnsi="Arial" w:cs="Arial"/>
          <w:bCs/>
          <w:spacing w:val="-3"/>
          <w:kern w:val="28"/>
          <w:sz w:val="24"/>
          <w:szCs w:val="24"/>
          <w:lang w:eastAsia="en-GB"/>
        </w:rPr>
        <w:t xml:space="preserve">. </w:t>
      </w:r>
      <w:r w:rsidR="00407140" w:rsidRPr="00D95C99">
        <w:rPr>
          <w:rFonts w:ascii="Arial" w:eastAsia="Times New Roman" w:hAnsi="Arial" w:cs="Arial"/>
          <w:bCs/>
          <w:spacing w:val="-3"/>
          <w:kern w:val="28"/>
          <w:sz w:val="24"/>
          <w:szCs w:val="24"/>
          <w:lang w:eastAsia="en-GB"/>
        </w:rPr>
        <w:t>No costs order was made.</w:t>
      </w:r>
    </w:p>
    <w:p w:rsidR="00466B44" w:rsidRPr="00466B44" w:rsidRDefault="00466B44" w:rsidP="00466B44">
      <w:pPr>
        <w:pStyle w:val="ListParagraph"/>
        <w:rPr>
          <w:rFonts w:ascii="Arial" w:eastAsia="Times New Roman" w:hAnsi="Arial" w:cs="Arial"/>
          <w:bCs/>
          <w:spacing w:val="-3"/>
          <w:kern w:val="28"/>
          <w:sz w:val="24"/>
          <w:szCs w:val="24"/>
          <w:lang w:eastAsia="en-GB"/>
        </w:rPr>
      </w:pPr>
    </w:p>
    <w:p w:rsidR="00D95C99" w:rsidRDefault="00907CB0" w:rsidP="00D95C99">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The</w:t>
      </w:r>
      <w:r w:rsidR="00EE7598" w:rsidRPr="00D95C99">
        <w:rPr>
          <w:rFonts w:ascii="Arial" w:eastAsia="Times New Roman" w:hAnsi="Arial" w:cs="Arial"/>
          <w:bCs/>
          <w:spacing w:val="-3"/>
          <w:kern w:val="28"/>
          <w:sz w:val="24"/>
          <w:szCs w:val="24"/>
          <w:lang w:eastAsia="en-GB"/>
        </w:rPr>
        <w:t xml:space="preserve"> application was brought on truncated time periods and</w:t>
      </w:r>
      <w:r w:rsidR="00C57261">
        <w:rPr>
          <w:rFonts w:ascii="Arial" w:eastAsia="Times New Roman" w:hAnsi="Arial" w:cs="Arial"/>
          <w:bCs/>
          <w:spacing w:val="-3"/>
          <w:kern w:val="28"/>
          <w:sz w:val="24"/>
          <w:szCs w:val="24"/>
          <w:lang w:eastAsia="en-GB"/>
        </w:rPr>
        <w:t xml:space="preserve"> on</w:t>
      </w:r>
      <w:r w:rsidR="00EE7598" w:rsidRPr="00D95C99">
        <w:rPr>
          <w:rFonts w:ascii="Arial" w:eastAsia="Times New Roman" w:hAnsi="Arial" w:cs="Arial"/>
          <w:bCs/>
          <w:spacing w:val="-3"/>
          <w:kern w:val="28"/>
          <w:sz w:val="24"/>
          <w:szCs w:val="24"/>
          <w:lang w:eastAsia="en-GB"/>
        </w:rPr>
        <w:t xml:space="preserve"> less than 2 hours</w:t>
      </w:r>
      <w:r w:rsidR="00AD20EB" w:rsidRPr="00D95C99">
        <w:rPr>
          <w:rFonts w:ascii="Arial" w:eastAsia="Times New Roman" w:hAnsi="Arial" w:cs="Arial"/>
          <w:bCs/>
          <w:spacing w:val="-3"/>
          <w:kern w:val="28"/>
          <w:sz w:val="24"/>
          <w:szCs w:val="24"/>
          <w:lang w:eastAsia="en-GB"/>
        </w:rPr>
        <w:t>’</w:t>
      </w:r>
      <w:r w:rsidR="00EE7598" w:rsidRPr="00D95C99">
        <w:rPr>
          <w:rFonts w:ascii="Arial" w:eastAsia="Times New Roman" w:hAnsi="Arial" w:cs="Arial"/>
          <w:bCs/>
          <w:spacing w:val="-3"/>
          <w:kern w:val="28"/>
          <w:sz w:val="24"/>
          <w:szCs w:val="24"/>
          <w:lang w:eastAsia="en-GB"/>
        </w:rPr>
        <w:t xml:space="preserve"> notice</w:t>
      </w:r>
      <w:r>
        <w:rPr>
          <w:rFonts w:ascii="Arial" w:eastAsia="Times New Roman" w:hAnsi="Arial" w:cs="Arial"/>
          <w:bCs/>
          <w:spacing w:val="-3"/>
          <w:kern w:val="28"/>
          <w:sz w:val="24"/>
          <w:szCs w:val="24"/>
          <w:lang w:eastAsia="en-GB"/>
        </w:rPr>
        <w:t>, albeit that the application was heard later than the time stipulated in the notice of motion</w:t>
      </w:r>
      <w:r w:rsidR="00EE7598" w:rsidRPr="00D95C99">
        <w:rPr>
          <w:rFonts w:ascii="Arial" w:eastAsia="Times New Roman" w:hAnsi="Arial" w:cs="Arial"/>
          <w:bCs/>
          <w:spacing w:val="-3"/>
          <w:kern w:val="28"/>
          <w:sz w:val="24"/>
          <w:szCs w:val="24"/>
          <w:lang w:eastAsia="en-GB"/>
        </w:rPr>
        <w:t>.</w:t>
      </w:r>
      <w:r w:rsidR="00407140" w:rsidRPr="00D95C99">
        <w:rPr>
          <w:rFonts w:ascii="Arial" w:eastAsia="Times New Roman" w:hAnsi="Arial" w:cs="Arial"/>
          <w:bCs/>
          <w:spacing w:val="-3"/>
          <w:kern w:val="28"/>
          <w:sz w:val="24"/>
          <w:szCs w:val="24"/>
          <w:lang w:eastAsia="en-GB"/>
        </w:rPr>
        <w:t xml:space="preserve"> </w:t>
      </w:r>
      <w:r w:rsidR="00AD20EB" w:rsidRPr="00D95C99">
        <w:rPr>
          <w:rFonts w:ascii="Arial" w:eastAsia="Times New Roman" w:hAnsi="Arial" w:cs="Arial"/>
          <w:bCs/>
          <w:spacing w:val="-3"/>
          <w:kern w:val="28"/>
          <w:sz w:val="24"/>
          <w:szCs w:val="24"/>
          <w:lang w:eastAsia="en-GB"/>
        </w:rPr>
        <w:t>There were also issue</w:t>
      </w:r>
      <w:r w:rsidR="00466B44">
        <w:rPr>
          <w:rFonts w:ascii="Arial" w:eastAsia="Times New Roman" w:hAnsi="Arial" w:cs="Arial"/>
          <w:bCs/>
          <w:spacing w:val="-3"/>
          <w:kern w:val="28"/>
          <w:sz w:val="24"/>
          <w:szCs w:val="24"/>
          <w:lang w:eastAsia="en-GB"/>
        </w:rPr>
        <w:t>s</w:t>
      </w:r>
      <w:r w:rsidR="00AD20EB" w:rsidRPr="00D95C99">
        <w:rPr>
          <w:rFonts w:ascii="Arial" w:eastAsia="Times New Roman" w:hAnsi="Arial" w:cs="Arial"/>
          <w:bCs/>
          <w:spacing w:val="-3"/>
          <w:kern w:val="28"/>
          <w:sz w:val="24"/>
          <w:szCs w:val="24"/>
          <w:lang w:eastAsia="en-GB"/>
        </w:rPr>
        <w:t xml:space="preserve"> with service on the fourth and fifth respondents. </w:t>
      </w:r>
      <w:r w:rsidR="00C57261">
        <w:rPr>
          <w:rFonts w:ascii="Arial" w:eastAsia="Times New Roman" w:hAnsi="Arial" w:cs="Arial"/>
          <w:bCs/>
          <w:spacing w:val="-3"/>
          <w:kern w:val="28"/>
          <w:sz w:val="24"/>
          <w:szCs w:val="24"/>
          <w:lang w:eastAsia="en-GB"/>
        </w:rPr>
        <w:t xml:space="preserve"> The costs were </w:t>
      </w:r>
      <w:r>
        <w:rPr>
          <w:rFonts w:ascii="Arial" w:eastAsia="Times New Roman" w:hAnsi="Arial" w:cs="Arial"/>
          <w:bCs/>
          <w:spacing w:val="-3"/>
          <w:kern w:val="28"/>
          <w:sz w:val="24"/>
          <w:szCs w:val="24"/>
          <w:lang w:eastAsia="en-GB"/>
        </w:rPr>
        <w:t xml:space="preserve">later </w:t>
      </w:r>
      <w:r w:rsidR="00C57261">
        <w:rPr>
          <w:rFonts w:ascii="Arial" w:eastAsia="Times New Roman" w:hAnsi="Arial" w:cs="Arial"/>
          <w:bCs/>
          <w:spacing w:val="-3"/>
          <w:kern w:val="28"/>
          <w:sz w:val="24"/>
          <w:szCs w:val="24"/>
          <w:lang w:eastAsia="en-GB"/>
        </w:rPr>
        <w:t>reserved by agreement between the parties.</w:t>
      </w:r>
    </w:p>
    <w:p w:rsidR="00D95C99" w:rsidRDefault="00D95C99" w:rsidP="00D95C99">
      <w:pPr>
        <w:pStyle w:val="ListParagraph"/>
        <w:tabs>
          <w:tab w:val="left" w:pos="-720"/>
        </w:tabs>
        <w:suppressAutoHyphens/>
        <w:spacing w:after="0" w:line="360" w:lineRule="auto"/>
        <w:ind w:left="0"/>
        <w:jc w:val="both"/>
        <w:rPr>
          <w:rFonts w:ascii="Arial" w:eastAsia="Times New Roman" w:hAnsi="Arial" w:cs="Arial"/>
          <w:bCs/>
          <w:spacing w:val="-3"/>
          <w:kern w:val="28"/>
          <w:sz w:val="24"/>
          <w:szCs w:val="24"/>
          <w:lang w:eastAsia="en-GB"/>
        </w:rPr>
      </w:pPr>
    </w:p>
    <w:p w:rsidR="00D95C99" w:rsidRDefault="00D95C99" w:rsidP="00ED4D67">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 xml:space="preserve">Pursuant thereto, </w:t>
      </w:r>
      <w:r w:rsidR="00466B44">
        <w:rPr>
          <w:rFonts w:ascii="Arial" w:eastAsia="Times New Roman" w:hAnsi="Arial" w:cs="Arial"/>
          <w:bCs/>
          <w:spacing w:val="-3"/>
          <w:kern w:val="28"/>
          <w:sz w:val="24"/>
          <w:szCs w:val="24"/>
          <w:lang w:eastAsia="en-GB"/>
        </w:rPr>
        <w:t xml:space="preserve">the applicant delivered </w:t>
      </w:r>
      <w:r>
        <w:rPr>
          <w:rFonts w:ascii="Arial" w:eastAsia="Times New Roman" w:hAnsi="Arial" w:cs="Arial"/>
          <w:bCs/>
          <w:spacing w:val="-3"/>
          <w:kern w:val="28"/>
          <w:sz w:val="24"/>
          <w:szCs w:val="24"/>
          <w:lang w:eastAsia="en-GB"/>
        </w:rPr>
        <w:t xml:space="preserve">a </w:t>
      </w:r>
      <w:r w:rsidR="00907CB0">
        <w:rPr>
          <w:rFonts w:ascii="Arial" w:eastAsia="Times New Roman" w:hAnsi="Arial" w:cs="Arial"/>
          <w:bCs/>
          <w:spacing w:val="-3"/>
          <w:kern w:val="28"/>
          <w:sz w:val="24"/>
          <w:szCs w:val="24"/>
          <w:lang w:eastAsia="en-GB"/>
        </w:rPr>
        <w:t>further</w:t>
      </w:r>
      <w:r>
        <w:rPr>
          <w:rFonts w:ascii="Arial" w:eastAsia="Times New Roman" w:hAnsi="Arial" w:cs="Arial"/>
          <w:bCs/>
          <w:spacing w:val="-3"/>
          <w:kern w:val="28"/>
          <w:sz w:val="24"/>
          <w:szCs w:val="24"/>
          <w:lang w:eastAsia="en-GB"/>
        </w:rPr>
        <w:t xml:space="preserve"> notice of motion and a voluminous supplementary affidavit</w:t>
      </w:r>
      <w:r w:rsidR="00466B44">
        <w:rPr>
          <w:rFonts w:ascii="Arial" w:eastAsia="Times New Roman" w:hAnsi="Arial" w:cs="Arial"/>
          <w:bCs/>
          <w:spacing w:val="-3"/>
          <w:kern w:val="28"/>
          <w:sz w:val="24"/>
          <w:szCs w:val="24"/>
          <w:lang w:eastAsia="en-GB"/>
        </w:rPr>
        <w:t>.</w:t>
      </w:r>
      <w:r>
        <w:rPr>
          <w:rFonts w:ascii="Arial" w:eastAsia="Times New Roman" w:hAnsi="Arial" w:cs="Arial"/>
          <w:bCs/>
          <w:spacing w:val="-3"/>
          <w:kern w:val="28"/>
          <w:sz w:val="24"/>
          <w:szCs w:val="24"/>
          <w:lang w:eastAsia="en-GB"/>
        </w:rPr>
        <w:t xml:space="preserve"> The sixth respondent had delivered substantial answering papers </w:t>
      </w:r>
      <w:r w:rsidR="00C57261">
        <w:rPr>
          <w:rFonts w:ascii="Arial" w:eastAsia="Times New Roman" w:hAnsi="Arial" w:cs="Arial"/>
          <w:bCs/>
          <w:spacing w:val="-3"/>
          <w:kern w:val="28"/>
          <w:sz w:val="24"/>
          <w:szCs w:val="24"/>
          <w:lang w:eastAsia="en-GB"/>
        </w:rPr>
        <w:t xml:space="preserve">to the original founding affidavit </w:t>
      </w:r>
      <w:r>
        <w:rPr>
          <w:rFonts w:ascii="Arial" w:eastAsia="Times New Roman" w:hAnsi="Arial" w:cs="Arial"/>
          <w:bCs/>
          <w:spacing w:val="-3"/>
          <w:kern w:val="28"/>
          <w:sz w:val="24"/>
          <w:szCs w:val="24"/>
          <w:lang w:eastAsia="en-GB"/>
        </w:rPr>
        <w:t xml:space="preserve">and </w:t>
      </w:r>
      <w:r w:rsidR="00907CB0">
        <w:rPr>
          <w:rFonts w:ascii="Arial" w:eastAsia="Times New Roman" w:hAnsi="Arial" w:cs="Arial"/>
          <w:bCs/>
          <w:spacing w:val="-3"/>
          <w:kern w:val="28"/>
          <w:sz w:val="24"/>
          <w:szCs w:val="24"/>
          <w:lang w:eastAsia="en-GB"/>
        </w:rPr>
        <w:t xml:space="preserve">also delivered </w:t>
      </w:r>
      <w:r>
        <w:rPr>
          <w:rFonts w:ascii="Arial" w:eastAsia="Times New Roman" w:hAnsi="Arial" w:cs="Arial"/>
          <w:bCs/>
          <w:spacing w:val="-3"/>
          <w:kern w:val="28"/>
          <w:sz w:val="24"/>
          <w:szCs w:val="24"/>
          <w:lang w:eastAsia="en-GB"/>
        </w:rPr>
        <w:t>substantial supplementary answering papers</w:t>
      </w:r>
      <w:r w:rsidR="00C57261">
        <w:rPr>
          <w:rFonts w:ascii="Arial" w:eastAsia="Times New Roman" w:hAnsi="Arial" w:cs="Arial"/>
          <w:bCs/>
          <w:spacing w:val="-3"/>
          <w:kern w:val="28"/>
          <w:sz w:val="24"/>
          <w:szCs w:val="24"/>
          <w:lang w:eastAsia="en-GB"/>
        </w:rPr>
        <w:t xml:space="preserve"> responding to the supplementary founding papers</w:t>
      </w:r>
      <w:r>
        <w:rPr>
          <w:rFonts w:ascii="Arial" w:eastAsia="Times New Roman" w:hAnsi="Arial" w:cs="Arial"/>
          <w:bCs/>
          <w:spacing w:val="-3"/>
          <w:kern w:val="28"/>
          <w:sz w:val="24"/>
          <w:szCs w:val="24"/>
          <w:lang w:eastAsia="en-GB"/>
        </w:rPr>
        <w:t xml:space="preserve">.  </w:t>
      </w:r>
    </w:p>
    <w:p w:rsidR="00D95C99" w:rsidRPr="00D95C99" w:rsidRDefault="00D95C99" w:rsidP="00275A76">
      <w:pPr>
        <w:pStyle w:val="ListParagraph"/>
        <w:spacing w:line="360" w:lineRule="auto"/>
        <w:rPr>
          <w:rFonts w:ascii="Arial" w:eastAsia="Times New Roman" w:hAnsi="Arial" w:cs="Arial"/>
          <w:bCs/>
          <w:spacing w:val="-3"/>
          <w:kern w:val="28"/>
          <w:sz w:val="24"/>
          <w:szCs w:val="24"/>
          <w:lang w:eastAsia="en-GB"/>
        </w:rPr>
      </w:pPr>
    </w:p>
    <w:p w:rsidR="00466B44" w:rsidRDefault="00D95C99" w:rsidP="00D95C99">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sidRPr="00D95C99">
        <w:rPr>
          <w:rFonts w:ascii="Arial" w:eastAsia="Times New Roman" w:hAnsi="Arial" w:cs="Arial"/>
          <w:bCs/>
          <w:spacing w:val="-3"/>
          <w:kern w:val="28"/>
          <w:sz w:val="24"/>
          <w:szCs w:val="24"/>
          <w:lang w:eastAsia="en-GB"/>
        </w:rPr>
        <w:t xml:space="preserve">The application was </w:t>
      </w:r>
      <w:r w:rsidR="00C57261">
        <w:rPr>
          <w:rFonts w:ascii="Arial" w:eastAsia="Times New Roman" w:hAnsi="Arial" w:cs="Arial"/>
          <w:bCs/>
          <w:spacing w:val="-3"/>
          <w:kern w:val="28"/>
          <w:sz w:val="24"/>
          <w:szCs w:val="24"/>
          <w:lang w:eastAsia="en-GB"/>
        </w:rPr>
        <w:t xml:space="preserve">again </w:t>
      </w:r>
      <w:r w:rsidRPr="00D95C99">
        <w:rPr>
          <w:rFonts w:ascii="Arial" w:eastAsia="Times New Roman" w:hAnsi="Arial" w:cs="Arial"/>
          <w:bCs/>
          <w:spacing w:val="-3"/>
          <w:kern w:val="28"/>
          <w:sz w:val="24"/>
          <w:szCs w:val="24"/>
          <w:lang w:eastAsia="en-GB"/>
        </w:rPr>
        <w:t xml:space="preserve">enrolled for hearing </w:t>
      </w:r>
      <w:r w:rsidR="00C57261">
        <w:rPr>
          <w:rFonts w:ascii="Arial" w:eastAsia="Times New Roman" w:hAnsi="Arial" w:cs="Arial"/>
          <w:bCs/>
          <w:spacing w:val="-3"/>
          <w:kern w:val="28"/>
          <w:sz w:val="24"/>
          <w:szCs w:val="24"/>
          <w:lang w:eastAsia="en-GB"/>
        </w:rPr>
        <w:t xml:space="preserve">in the urgent court </w:t>
      </w:r>
      <w:r w:rsidRPr="00D95C99">
        <w:rPr>
          <w:rFonts w:ascii="Arial" w:eastAsia="Times New Roman" w:hAnsi="Arial" w:cs="Arial"/>
          <w:bCs/>
          <w:spacing w:val="-3"/>
          <w:kern w:val="28"/>
          <w:sz w:val="24"/>
          <w:szCs w:val="24"/>
          <w:lang w:eastAsia="en-GB"/>
        </w:rPr>
        <w:t>on 29 April 2021</w:t>
      </w:r>
      <w:r w:rsidR="00466B44">
        <w:rPr>
          <w:rFonts w:ascii="Arial" w:eastAsia="Times New Roman" w:hAnsi="Arial" w:cs="Arial"/>
          <w:bCs/>
          <w:spacing w:val="-3"/>
          <w:kern w:val="28"/>
          <w:sz w:val="24"/>
          <w:szCs w:val="24"/>
          <w:lang w:eastAsia="en-GB"/>
        </w:rPr>
        <w:t>.</w:t>
      </w:r>
      <w:r>
        <w:rPr>
          <w:rFonts w:ascii="Arial" w:eastAsia="Times New Roman" w:hAnsi="Arial" w:cs="Arial"/>
          <w:bCs/>
          <w:spacing w:val="-3"/>
          <w:kern w:val="28"/>
          <w:sz w:val="24"/>
          <w:szCs w:val="24"/>
          <w:lang w:eastAsia="en-GB"/>
        </w:rPr>
        <w:t xml:space="preserve"> </w:t>
      </w:r>
      <w:r w:rsidR="00466B44">
        <w:rPr>
          <w:rFonts w:ascii="Arial" w:eastAsia="Times New Roman" w:hAnsi="Arial" w:cs="Arial"/>
          <w:bCs/>
          <w:spacing w:val="-3"/>
          <w:kern w:val="28"/>
          <w:sz w:val="24"/>
          <w:szCs w:val="24"/>
          <w:lang w:eastAsia="en-GB"/>
        </w:rPr>
        <w:t>O</w:t>
      </w:r>
      <w:r>
        <w:rPr>
          <w:rFonts w:ascii="Arial" w:eastAsia="Times New Roman" w:hAnsi="Arial" w:cs="Arial"/>
          <w:bCs/>
          <w:spacing w:val="-3"/>
          <w:kern w:val="28"/>
          <w:sz w:val="24"/>
          <w:szCs w:val="24"/>
          <w:lang w:eastAsia="en-GB"/>
        </w:rPr>
        <w:t xml:space="preserve">n </w:t>
      </w:r>
      <w:r w:rsidR="00466B44">
        <w:rPr>
          <w:rFonts w:ascii="Arial" w:eastAsia="Times New Roman" w:hAnsi="Arial" w:cs="Arial"/>
          <w:bCs/>
          <w:spacing w:val="-3"/>
          <w:kern w:val="28"/>
          <w:sz w:val="24"/>
          <w:szCs w:val="24"/>
          <w:lang w:eastAsia="en-GB"/>
        </w:rPr>
        <w:t>that</w:t>
      </w:r>
      <w:r>
        <w:rPr>
          <w:rFonts w:ascii="Arial" w:eastAsia="Times New Roman" w:hAnsi="Arial" w:cs="Arial"/>
          <w:bCs/>
          <w:spacing w:val="-3"/>
          <w:kern w:val="28"/>
          <w:sz w:val="24"/>
          <w:szCs w:val="24"/>
          <w:lang w:eastAsia="en-GB"/>
        </w:rPr>
        <w:t xml:space="preserve"> date Wright J was </w:t>
      </w:r>
      <w:r w:rsidRPr="00D95C99">
        <w:rPr>
          <w:rFonts w:ascii="Arial" w:eastAsia="Times New Roman" w:hAnsi="Arial" w:cs="Arial"/>
          <w:bCs/>
          <w:spacing w:val="-3"/>
          <w:kern w:val="28"/>
          <w:sz w:val="24"/>
          <w:szCs w:val="24"/>
          <w:lang w:eastAsia="en-GB"/>
        </w:rPr>
        <w:t>concerned with proper service on the</w:t>
      </w:r>
      <w:r w:rsidR="00C57261">
        <w:rPr>
          <w:rFonts w:ascii="Arial" w:eastAsia="Times New Roman" w:hAnsi="Arial" w:cs="Arial"/>
          <w:bCs/>
          <w:spacing w:val="-3"/>
          <w:kern w:val="28"/>
          <w:sz w:val="24"/>
          <w:szCs w:val="24"/>
          <w:lang w:eastAsia="en-GB"/>
        </w:rPr>
        <w:t xml:space="preserve"> fourth and fifth respondents, the</w:t>
      </w:r>
      <w:r w:rsidRPr="00D95C99">
        <w:rPr>
          <w:rFonts w:ascii="Arial" w:eastAsia="Times New Roman" w:hAnsi="Arial" w:cs="Arial"/>
          <w:bCs/>
          <w:spacing w:val="-3"/>
          <w:kern w:val="28"/>
          <w:sz w:val="24"/>
          <w:szCs w:val="24"/>
          <w:lang w:eastAsia="en-GB"/>
        </w:rPr>
        <w:t xml:space="preserve"> liquidators</w:t>
      </w:r>
      <w:r w:rsidR="00C57261">
        <w:rPr>
          <w:rFonts w:ascii="Arial" w:eastAsia="Times New Roman" w:hAnsi="Arial" w:cs="Arial"/>
          <w:bCs/>
          <w:spacing w:val="-3"/>
          <w:kern w:val="28"/>
          <w:sz w:val="24"/>
          <w:szCs w:val="24"/>
          <w:lang w:eastAsia="en-GB"/>
        </w:rPr>
        <w:t>,</w:t>
      </w:r>
      <w:r w:rsidRPr="00D95C99">
        <w:rPr>
          <w:rFonts w:ascii="Arial" w:eastAsia="Times New Roman" w:hAnsi="Arial" w:cs="Arial"/>
          <w:bCs/>
          <w:spacing w:val="-3"/>
          <w:kern w:val="28"/>
          <w:sz w:val="24"/>
          <w:szCs w:val="24"/>
          <w:lang w:eastAsia="en-GB"/>
        </w:rPr>
        <w:t xml:space="preserve"> and removed the matter from the roll. Costs were reserved. </w:t>
      </w:r>
    </w:p>
    <w:p w:rsidR="00466B44" w:rsidRPr="00466B44" w:rsidRDefault="00466B44" w:rsidP="00466B44">
      <w:pPr>
        <w:pStyle w:val="ListParagraph"/>
        <w:rPr>
          <w:rFonts w:ascii="Arial" w:eastAsia="Times New Roman" w:hAnsi="Arial" w:cs="Arial"/>
          <w:bCs/>
          <w:spacing w:val="-3"/>
          <w:kern w:val="28"/>
          <w:sz w:val="24"/>
          <w:szCs w:val="24"/>
          <w:lang w:eastAsia="en-GB"/>
        </w:rPr>
      </w:pPr>
    </w:p>
    <w:p w:rsidR="00D95C99" w:rsidRDefault="00D95C99" w:rsidP="00D95C99">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sidRPr="00D95C99">
        <w:rPr>
          <w:rFonts w:ascii="Arial" w:eastAsia="Times New Roman" w:hAnsi="Arial" w:cs="Arial"/>
          <w:bCs/>
          <w:spacing w:val="-3"/>
          <w:kern w:val="28"/>
          <w:sz w:val="24"/>
          <w:szCs w:val="24"/>
          <w:lang w:eastAsia="en-GB"/>
        </w:rPr>
        <w:t>No substantive relief was ever granted in relation to the urgent application.</w:t>
      </w:r>
    </w:p>
    <w:p w:rsidR="00D95C99" w:rsidRPr="00D95C99" w:rsidRDefault="00D95C99" w:rsidP="00275A76">
      <w:pPr>
        <w:tabs>
          <w:tab w:val="left" w:pos="-720"/>
        </w:tabs>
        <w:suppressAutoHyphens/>
        <w:spacing w:after="0" w:line="360" w:lineRule="auto"/>
        <w:jc w:val="both"/>
        <w:rPr>
          <w:rFonts w:ascii="Arial" w:eastAsia="Times New Roman" w:hAnsi="Arial" w:cs="Arial"/>
          <w:bCs/>
          <w:spacing w:val="-3"/>
          <w:kern w:val="28"/>
          <w:sz w:val="24"/>
          <w:szCs w:val="24"/>
          <w:lang w:eastAsia="en-GB"/>
        </w:rPr>
      </w:pPr>
    </w:p>
    <w:p w:rsidR="00466B44" w:rsidRDefault="00D95C99" w:rsidP="00D95C99">
      <w:pPr>
        <w:pStyle w:val="ListParagraph"/>
        <w:numPr>
          <w:ilvl w:val="0"/>
          <w:numId w:val="25"/>
        </w:numPr>
        <w:suppressAutoHyphens/>
        <w:spacing w:after="0" w:line="360" w:lineRule="auto"/>
        <w:ind w:left="0" w:firstLine="0"/>
        <w:jc w:val="both"/>
        <w:rPr>
          <w:rFonts w:ascii="Arial" w:eastAsia="Times New Roman" w:hAnsi="Arial" w:cs="Arial"/>
          <w:bCs/>
          <w:spacing w:val="-3"/>
          <w:kern w:val="28"/>
          <w:sz w:val="24"/>
          <w:szCs w:val="24"/>
          <w:lang w:eastAsia="en-GB"/>
        </w:rPr>
      </w:pPr>
      <w:r w:rsidRPr="00D95C99">
        <w:rPr>
          <w:rFonts w:ascii="Arial" w:eastAsia="Times New Roman" w:hAnsi="Arial" w:cs="Arial"/>
          <w:bCs/>
          <w:spacing w:val="-3"/>
          <w:kern w:val="28"/>
          <w:sz w:val="24"/>
          <w:szCs w:val="24"/>
          <w:lang w:eastAsia="en-GB"/>
        </w:rPr>
        <w:t xml:space="preserve">On 4 May 2021 </w:t>
      </w:r>
      <w:r w:rsidR="00907CB0">
        <w:rPr>
          <w:rFonts w:ascii="Arial" w:eastAsia="Times New Roman" w:hAnsi="Arial" w:cs="Arial"/>
          <w:bCs/>
          <w:spacing w:val="-3"/>
          <w:kern w:val="28"/>
          <w:sz w:val="24"/>
          <w:szCs w:val="24"/>
          <w:lang w:eastAsia="en-GB"/>
        </w:rPr>
        <w:t xml:space="preserve">at the </w:t>
      </w:r>
      <w:r w:rsidRPr="00D95C99">
        <w:rPr>
          <w:rFonts w:ascii="Arial" w:eastAsia="Times New Roman" w:hAnsi="Arial" w:cs="Arial"/>
          <w:bCs/>
          <w:spacing w:val="-3"/>
          <w:kern w:val="28"/>
          <w:sz w:val="24"/>
          <w:szCs w:val="24"/>
          <w:lang w:eastAsia="en-GB"/>
        </w:rPr>
        <w:t>enquiry</w:t>
      </w:r>
      <w:r w:rsidR="00907CB0">
        <w:rPr>
          <w:rFonts w:ascii="Arial" w:eastAsia="Times New Roman" w:hAnsi="Arial" w:cs="Arial"/>
          <w:bCs/>
          <w:spacing w:val="-3"/>
          <w:kern w:val="28"/>
          <w:sz w:val="24"/>
          <w:szCs w:val="24"/>
          <w:lang w:eastAsia="en-GB"/>
        </w:rPr>
        <w:t>,</w:t>
      </w:r>
      <w:r w:rsidRPr="00D95C99">
        <w:rPr>
          <w:rFonts w:ascii="Arial" w:eastAsia="Times New Roman" w:hAnsi="Arial" w:cs="Arial"/>
          <w:bCs/>
          <w:spacing w:val="-3"/>
          <w:kern w:val="28"/>
          <w:sz w:val="24"/>
          <w:szCs w:val="24"/>
          <w:lang w:eastAsia="en-GB"/>
        </w:rPr>
        <w:t xml:space="preserve"> Absa Bank Ltd provided the documents</w:t>
      </w:r>
      <w:r w:rsidR="00C57261">
        <w:rPr>
          <w:rFonts w:ascii="Arial" w:eastAsia="Times New Roman" w:hAnsi="Arial" w:cs="Arial"/>
          <w:bCs/>
          <w:spacing w:val="-3"/>
          <w:kern w:val="28"/>
          <w:sz w:val="24"/>
          <w:szCs w:val="24"/>
          <w:lang w:eastAsia="en-GB"/>
        </w:rPr>
        <w:t xml:space="preserve"> forming the subject matter of the urgent application</w:t>
      </w:r>
      <w:r w:rsidRPr="00D95C99">
        <w:rPr>
          <w:rFonts w:ascii="Arial" w:eastAsia="Times New Roman" w:hAnsi="Arial" w:cs="Arial"/>
          <w:bCs/>
          <w:spacing w:val="-3"/>
          <w:kern w:val="28"/>
          <w:sz w:val="24"/>
          <w:szCs w:val="24"/>
          <w:lang w:eastAsia="en-GB"/>
        </w:rPr>
        <w:t>.</w:t>
      </w:r>
      <w:r w:rsidR="00907CB0">
        <w:rPr>
          <w:rFonts w:ascii="Arial" w:eastAsia="Times New Roman" w:hAnsi="Arial" w:cs="Arial"/>
          <w:bCs/>
          <w:spacing w:val="-3"/>
          <w:kern w:val="28"/>
          <w:sz w:val="24"/>
          <w:szCs w:val="24"/>
          <w:lang w:eastAsia="en-GB"/>
        </w:rPr>
        <w:t xml:space="preserve"> The relief sought against First National Bank Limited had already become moot earlier, when it provided the documents referred to in the subpoena.</w:t>
      </w:r>
      <w:r w:rsidRPr="00D95C99">
        <w:rPr>
          <w:rFonts w:ascii="Arial" w:eastAsia="Times New Roman" w:hAnsi="Arial" w:cs="Arial"/>
          <w:bCs/>
          <w:spacing w:val="-3"/>
          <w:kern w:val="28"/>
          <w:sz w:val="24"/>
          <w:szCs w:val="24"/>
          <w:lang w:eastAsia="en-GB"/>
        </w:rPr>
        <w:t xml:space="preserve"> </w:t>
      </w:r>
    </w:p>
    <w:p w:rsidR="00466B44" w:rsidRPr="00466B44" w:rsidRDefault="00466B44" w:rsidP="00466B44">
      <w:pPr>
        <w:pStyle w:val="ListParagraph"/>
        <w:rPr>
          <w:rFonts w:ascii="Arial" w:eastAsia="Times New Roman" w:hAnsi="Arial" w:cs="Arial"/>
          <w:bCs/>
          <w:spacing w:val="-3"/>
          <w:kern w:val="28"/>
          <w:sz w:val="24"/>
          <w:szCs w:val="24"/>
          <w:lang w:eastAsia="en-GB"/>
        </w:rPr>
      </w:pPr>
    </w:p>
    <w:p w:rsidR="00907CB0" w:rsidRDefault="00907CB0" w:rsidP="00D95C99">
      <w:pPr>
        <w:pStyle w:val="ListParagraph"/>
        <w:numPr>
          <w:ilvl w:val="0"/>
          <w:numId w:val="25"/>
        </w:numPr>
        <w:suppressAutoHyphens/>
        <w:spacing w:after="0" w:line="360" w:lineRule="auto"/>
        <w:ind w:left="0" w:firstLine="0"/>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lastRenderedPageBreak/>
        <w:t>The applicants</w:t>
      </w:r>
      <w:r w:rsidR="00466B44">
        <w:rPr>
          <w:rFonts w:ascii="Arial" w:eastAsia="Times New Roman" w:hAnsi="Arial" w:cs="Arial"/>
          <w:bCs/>
          <w:spacing w:val="-3"/>
          <w:kern w:val="28"/>
          <w:sz w:val="24"/>
          <w:szCs w:val="24"/>
          <w:lang w:eastAsia="en-GB"/>
        </w:rPr>
        <w:t>, on their own version and in an affidavit deposed to by their attorney, Mr Creswick,</w:t>
      </w:r>
      <w:r>
        <w:rPr>
          <w:rFonts w:ascii="Arial" w:eastAsia="Times New Roman" w:hAnsi="Arial" w:cs="Arial"/>
          <w:bCs/>
          <w:spacing w:val="-3"/>
          <w:kern w:val="28"/>
          <w:sz w:val="24"/>
          <w:szCs w:val="24"/>
          <w:lang w:eastAsia="en-GB"/>
        </w:rPr>
        <w:t xml:space="preserve"> had elected not to pursue the urgent application but to rather make submissions at the enquiry. </w:t>
      </w:r>
      <w:r w:rsidR="00466B44">
        <w:rPr>
          <w:rFonts w:ascii="Arial" w:eastAsia="Times New Roman" w:hAnsi="Arial" w:cs="Arial"/>
          <w:bCs/>
          <w:spacing w:val="-3"/>
          <w:kern w:val="28"/>
          <w:sz w:val="24"/>
          <w:szCs w:val="24"/>
          <w:lang w:eastAsia="en-GB"/>
        </w:rPr>
        <w:t xml:space="preserve"> The applicants did not further pursue the application and i</w:t>
      </w:r>
      <w:r>
        <w:rPr>
          <w:rFonts w:ascii="Arial" w:eastAsia="Times New Roman" w:hAnsi="Arial" w:cs="Arial"/>
          <w:bCs/>
          <w:spacing w:val="-3"/>
          <w:kern w:val="28"/>
          <w:sz w:val="24"/>
          <w:szCs w:val="24"/>
          <w:lang w:eastAsia="en-GB"/>
        </w:rPr>
        <w:t xml:space="preserve">t was common cause that the urgent application </w:t>
      </w:r>
      <w:r w:rsidR="00466B44">
        <w:rPr>
          <w:rFonts w:ascii="Arial" w:eastAsia="Times New Roman" w:hAnsi="Arial" w:cs="Arial"/>
          <w:bCs/>
          <w:spacing w:val="-3"/>
          <w:kern w:val="28"/>
          <w:sz w:val="24"/>
          <w:szCs w:val="24"/>
          <w:lang w:eastAsia="en-GB"/>
        </w:rPr>
        <w:t xml:space="preserve">had </w:t>
      </w:r>
      <w:r>
        <w:rPr>
          <w:rFonts w:ascii="Arial" w:eastAsia="Times New Roman" w:hAnsi="Arial" w:cs="Arial"/>
          <w:bCs/>
          <w:spacing w:val="-3"/>
          <w:kern w:val="28"/>
          <w:sz w:val="24"/>
          <w:szCs w:val="24"/>
          <w:lang w:eastAsia="en-GB"/>
        </w:rPr>
        <w:t>bec</w:t>
      </w:r>
      <w:r w:rsidR="00466B44">
        <w:rPr>
          <w:rFonts w:ascii="Arial" w:eastAsia="Times New Roman" w:hAnsi="Arial" w:cs="Arial"/>
          <w:bCs/>
          <w:spacing w:val="-3"/>
          <w:kern w:val="28"/>
          <w:sz w:val="24"/>
          <w:szCs w:val="24"/>
          <w:lang w:eastAsia="en-GB"/>
        </w:rPr>
        <w:t>o</w:t>
      </w:r>
      <w:r>
        <w:rPr>
          <w:rFonts w:ascii="Arial" w:eastAsia="Times New Roman" w:hAnsi="Arial" w:cs="Arial"/>
          <w:bCs/>
          <w:spacing w:val="-3"/>
          <w:kern w:val="28"/>
          <w:sz w:val="24"/>
          <w:szCs w:val="24"/>
          <w:lang w:eastAsia="en-GB"/>
        </w:rPr>
        <w:t xml:space="preserve">me moot.  </w:t>
      </w:r>
    </w:p>
    <w:p w:rsidR="00907CB0" w:rsidRPr="00907CB0" w:rsidRDefault="00907CB0" w:rsidP="00907CB0">
      <w:pPr>
        <w:suppressAutoHyphens/>
        <w:spacing w:after="0" w:line="360" w:lineRule="auto"/>
        <w:jc w:val="both"/>
        <w:rPr>
          <w:rFonts w:ascii="Arial" w:eastAsia="Times New Roman" w:hAnsi="Arial" w:cs="Arial"/>
          <w:bCs/>
          <w:spacing w:val="-3"/>
          <w:kern w:val="28"/>
          <w:sz w:val="24"/>
          <w:szCs w:val="24"/>
          <w:lang w:eastAsia="en-GB"/>
        </w:rPr>
      </w:pPr>
    </w:p>
    <w:p w:rsidR="00D95C99" w:rsidRDefault="00D95C99" w:rsidP="00D95C99">
      <w:pPr>
        <w:pStyle w:val="ListParagraph"/>
        <w:numPr>
          <w:ilvl w:val="0"/>
          <w:numId w:val="25"/>
        </w:numPr>
        <w:suppressAutoHyphens/>
        <w:spacing w:after="0" w:line="360" w:lineRule="auto"/>
        <w:ind w:left="0" w:firstLine="0"/>
        <w:jc w:val="both"/>
        <w:rPr>
          <w:rFonts w:ascii="Arial" w:eastAsia="Times New Roman" w:hAnsi="Arial" w:cs="Arial"/>
          <w:bCs/>
          <w:spacing w:val="-3"/>
          <w:kern w:val="28"/>
          <w:sz w:val="24"/>
          <w:szCs w:val="24"/>
          <w:lang w:eastAsia="en-GB"/>
        </w:rPr>
      </w:pPr>
      <w:r w:rsidRPr="00D95C99">
        <w:rPr>
          <w:rFonts w:ascii="Arial" w:eastAsia="Times New Roman" w:hAnsi="Arial" w:cs="Arial"/>
          <w:bCs/>
          <w:spacing w:val="-3"/>
          <w:kern w:val="28"/>
          <w:sz w:val="24"/>
          <w:szCs w:val="24"/>
          <w:lang w:eastAsia="en-GB"/>
        </w:rPr>
        <w:t xml:space="preserve">On 6 May 2021, the attorneys for the sixth respondent addressed correspondence to the applicant’s attorneys seeking </w:t>
      </w:r>
      <w:r w:rsidR="00907CB0">
        <w:rPr>
          <w:rFonts w:ascii="Arial" w:eastAsia="Times New Roman" w:hAnsi="Arial" w:cs="Arial"/>
          <w:bCs/>
          <w:spacing w:val="-3"/>
          <w:kern w:val="28"/>
          <w:sz w:val="24"/>
          <w:szCs w:val="24"/>
          <w:lang w:eastAsia="en-GB"/>
        </w:rPr>
        <w:t xml:space="preserve">a </w:t>
      </w:r>
      <w:r w:rsidRPr="00D95C99">
        <w:rPr>
          <w:rFonts w:ascii="Arial" w:eastAsia="Times New Roman" w:hAnsi="Arial" w:cs="Arial"/>
          <w:bCs/>
          <w:spacing w:val="-3"/>
          <w:kern w:val="28"/>
          <w:sz w:val="24"/>
          <w:szCs w:val="24"/>
          <w:lang w:eastAsia="en-GB"/>
        </w:rPr>
        <w:t xml:space="preserve">tender </w:t>
      </w:r>
      <w:r w:rsidR="00907CB0">
        <w:rPr>
          <w:rFonts w:ascii="Arial" w:eastAsia="Times New Roman" w:hAnsi="Arial" w:cs="Arial"/>
          <w:bCs/>
          <w:spacing w:val="-3"/>
          <w:kern w:val="28"/>
          <w:sz w:val="24"/>
          <w:szCs w:val="24"/>
          <w:lang w:eastAsia="en-GB"/>
        </w:rPr>
        <w:t>of cost</w:t>
      </w:r>
      <w:r w:rsidR="009E146E">
        <w:rPr>
          <w:rFonts w:ascii="Arial" w:eastAsia="Times New Roman" w:hAnsi="Arial" w:cs="Arial"/>
          <w:bCs/>
          <w:spacing w:val="-3"/>
          <w:kern w:val="28"/>
          <w:sz w:val="24"/>
          <w:szCs w:val="24"/>
          <w:lang w:eastAsia="en-GB"/>
        </w:rPr>
        <w:t>s</w:t>
      </w:r>
      <w:r w:rsidR="00907CB0">
        <w:rPr>
          <w:rFonts w:ascii="Arial" w:eastAsia="Times New Roman" w:hAnsi="Arial" w:cs="Arial"/>
          <w:bCs/>
          <w:spacing w:val="-3"/>
          <w:kern w:val="28"/>
          <w:sz w:val="24"/>
          <w:szCs w:val="24"/>
          <w:lang w:eastAsia="en-GB"/>
        </w:rPr>
        <w:t xml:space="preserve"> in relation to the urgent application.</w:t>
      </w:r>
      <w:r w:rsidRPr="00D95C99">
        <w:rPr>
          <w:rFonts w:ascii="Arial" w:eastAsia="Times New Roman" w:hAnsi="Arial" w:cs="Arial"/>
          <w:bCs/>
          <w:spacing w:val="-3"/>
          <w:kern w:val="28"/>
          <w:sz w:val="24"/>
          <w:szCs w:val="24"/>
          <w:lang w:eastAsia="en-GB"/>
        </w:rPr>
        <w:t xml:space="preserve"> </w:t>
      </w:r>
      <w:r w:rsidR="00466B44">
        <w:rPr>
          <w:rFonts w:ascii="Arial" w:eastAsia="Times New Roman" w:hAnsi="Arial" w:cs="Arial"/>
          <w:bCs/>
          <w:spacing w:val="-3"/>
          <w:kern w:val="28"/>
          <w:sz w:val="24"/>
          <w:szCs w:val="24"/>
          <w:lang w:eastAsia="en-GB"/>
        </w:rPr>
        <w:t xml:space="preserve">No tender was forthcoming. </w:t>
      </w:r>
      <w:r w:rsidRPr="00D95C99">
        <w:rPr>
          <w:rFonts w:ascii="Arial" w:eastAsia="Times New Roman" w:hAnsi="Arial" w:cs="Arial"/>
          <w:bCs/>
          <w:spacing w:val="-3"/>
          <w:kern w:val="28"/>
          <w:sz w:val="24"/>
          <w:szCs w:val="24"/>
          <w:lang w:eastAsia="en-GB"/>
        </w:rPr>
        <w:t xml:space="preserve">Pursuant to further correspondence between the parties, the sixth respondent delivered a notice of motion </w:t>
      </w:r>
      <w:r w:rsidR="00C57261">
        <w:rPr>
          <w:rFonts w:ascii="Arial" w:eastAsia="Times New Roman" w:hAnsi="Arial" w:cs="Arial"/>
          <w:bCs/>
          <w:spacing w:val="-3"/>
          <w:kern w:val="28"/>
          <w:sz w:val="24"/>
          <w:szCs w:val="24"/>
          <w:lang w:eastAsia="en-GB"/>
        </w:rPr>
        <w:t>seeking leave to file</w:t>
      </w:r>
      <w:r w:rsidRPr="00D95C99">
        <w:rPr>
          <w:rFonts w:ascii="Arial" w:eastAsia="Times New Roman" w:hAnsi="Arial" w:cs="Arial"/>
          <w:bCs/>
          <w:spacing w:val="-3"/>
          <w:kern w:val="28"/>
          <w:sz w:val="24"/>
          <w:szCs w:val="24"/>
          <w:lang w:eastAsia="en-GB"/>
        </w:rPr>
        <w:t xml:space="preserve"> a supplementary affidavit for costs.</w:t>
      </w:r>
      <w:r w:rsidR="00466B44">
        <w:rPr>
          <w:rFonts w:ascii="Arial" w:eastAsia="Times New Roman" w:hAnsi="Arial" w:cs="Arial"/>
          <w:bCs/>
          <w:spacing w:val="-3"/>
          <w:kern w:val="28"/>
          <w:sz w:val="24"/>
          <w:szCs w:val="24"/>
          <w:lang w:eastAsia="en-GB"/>
        </w:rPr>
        <w:t xml:space="preserve"> It then enrolled the application for hearing, initially on the unopposed roll. </w:t>
      </w:r>
      <w:r w:rsidR="0081637B">
        <w:rPr>
          <w:rFonts w:ascii="Arial" w:eastAsia="Times New Roman" w:hAnsi="Arial" w:cs="Arial"/>
          <w:bCs/>
          <w:spacing w:val="-3"/>
          <w:kern w:val="28"/>
          <w:sz w:val="24"/>
          <w:szCs w:val="24"/>
          <w:lang w:eastAsia="en-GB"/>
        </w:rPr>
        <w:t>On 18 January 2022, Mudau J granted a consent order setting dates for the delivery of opposing papers and postponing the application. The matter was on 27 June 2022 set down on the opposed roll.</w:t>
      </w:r>
      <w:r w:rsidR="00466B44">
        <w:rPr>
          <w:rFonts w:ascii="Arial" w:eastAsia="Times New Roman" w:hAnsi="Arial" w:cs="Arial"/>
          <w:bCs/>
          <w:spacing w:val="-3"/>
          <w:kern w:val="28"/>
          <w:sz w:val="24"/>
          <w:szCs w:val="24"/>
          <w:lang w:eastAsia="en-GB"/>
        </w:rPr>
        <w:t xml:space="preserve"> </w:t>
      </w:r>
    </w:p>
    <w:p w:rsidR="00D95C99" w:rsidRPr="00D95C99" w:rsidRDefault="00D95C99" w:rsidP="00275A76">
      <w:pPr>
        <w:pStyle w:val="ListParagraph"/>
        <w:spacing w:line="360" w:lineRule="auto"/>
        <w:rPr>
          <w:rFonts w:ascii="Arial" w:eastAsia="Times New Roman" w:hAnsi="Arial" w:cs="Arial"/>
          <w:bCs/>
          <w:spacing w:val="-3"/>
          <w:kern w:val="28"/>
          <w:sz w:val="24"/>
          <w:szCs w:val="24"/>
          <w:lang w:eastAsia="en-GB"/>
        </w:rPr>
      </w:pPr>
    </w:p>
    <w:p w:rsidR="00D95C99" w:rsidRPr="0081637B" w:rsidRDefault="00D95C99" w:rsidP="001B6A2B">
      <w:pPr>
        <w:pStyle w:val="ListParagraph"/>
        <w:numPr>
          <w:ilvl w:val="0"/>
          <w:numId w:val="25"/>
        </w:numPr>
        <w:suppressAutoHyphens/>
        <w:spacing w:after="0" w:line="360" w:lineRule="auto"/>
        <w:ind w:left="0" w:firstLine="0"/>
        <w:jc w:val="both"/>
        <w:rPr>
          <w:rFonts w:ascii="Arial" w:eastAsia="Times New Roman" w:hAnsi="Arial" w:cs="Arial"/>
          <w:bCs/>
          <w:spacing w:val="-3"/>
          <w:kern w:val="28"/>
          <w:sz w:val="24"/>
          <w:szCs w:val="24"/>
          <w:lang w:eastAsia="en-GB"/>
        </w:rPr>
      </w:pPr>
      <w:r w:rsidRPr="0081637B">
        <w:rPr>
          <w:rFonts w:ascii="Arial" w:eastAsia="Times New Roman" w:hAnsi="Arial" w:cs="Arial"/>
          <w:bCs/>
          <w:spacing w:val="-3"/>
          <w:kern w:val="28"/>
          <w:sz w:val="24"/>
          <w:szCs w:val="24"/>
          <w:lang w:eastAsia="en-GB"/>
        </w:rPr>
        <w:t>The applicants conceded that part B of the urgent application ha</w:t>
      </w:r>
      <w:r w:rsidR="00466B44" w:rsidRPr="0081637B">
        <w:rPr>
          <w:rFonts w:ascii="Arial" w:eastAsia="Times New Roman" w:hAnsi="Arial" w:cs="Arial"/>
          <w:bCs/>
          <w:spacing w:val="-3"/>
          <w:kern w:val="28"/>
          <w:sz w:val="24"/>
          <w:szCs w:val="24"/>
          <w:lang w:eastAsia="en-GB"/>
        </w:rPr>
        <w:t>d</w:t>
      </w:r>
      <w:r w:rsidRPr="0081637B">
        <w:rPr>
          <w:rFonts w:ascii="Arial" w:eastAsia="Times New Roman" w:hAnsi="Arial" w:cs="Arial"/>
          <w:bCs/>
          <w:spacing w:val="-3"/>
          <w:kern w:val="28"/>
          <w:sz w:val="24"/>
          <w:szCs w:val="24"/>
          <w:lang w:eastAsia="en-GB"/>
        </w:rPr>
        <w:t xml:space="preserve"> become moot as of 4 May 2021</w:t>
      </w:r>
      <w:r w:rsidR="009E146E">
        <w:rPr>
          <w:rFonts w:ascii="Arial" w:eastAsia="Times New Roman" w:hAnsi="Arial" w:cs="Arial"/>
          <w:bCs/>
          <w:spacing w:val="-3"/>
          <w:kern w:val="28"/>
          <w:sz w:val="24"/>
          <w:szCs w:val="24"/>
          <w:lang w:eastAsia="en-GB"/>
        </w:rPr>
        <w:t>,</w:t>
      </w:r>
      <w:r w:rsidRPr="0081637B">
        <w:rPr>
          <w:rFonts w:ascii="Arial" w:eastAsia="Times New Roman" w:hAnsi="Arial" w:cs="Arial"/>
          <w:bCs/>
          <w:spacing w:val="-3"/>
          <w:kern w:val="28"/>
          <w:sz w:val="24"/>
          <w:szCs w:val="24"/>
          <w:lang w:eastAsia="en-GB"/>
        </w:rPr>
        <w:t xml:space="preserve"> but argued that the sixth applicant </w:t>
      </w:r>
      <w:r w:rsidR="00466B44" w:rsidRPr="0081637B">
        <w:rPr>
          <w:rFonts w:ascii="Arial" w:eastAsia="Times New Roman" w:hAnsi="Arial" w:cs="Arial"/>
          <w:bCs/>
          <w:spacing w:val="-3"/>
          <w:kern w:val="28"/>
          <w:sz w:val="24"/>
          <w:szCs w:val="24"/>
          <w:lang w:eastAsia="en-GB"/>
        </w:rPr>
        <w:t>wa</w:t>
      </w:r>
      <w:r w:rsidRPr="0081637B">
        <w:rPr>
          <w:rFonts w:ascii="Arial" w:eastAsia="Times New Roman" w:hAnsi="Arial" w:cs="Arial"/>
          <w:bCs/>
          <w:spacing w:val="-3"/>
          <w:kern w:val="28"/>
          <w:sz w:val="24"/>
          <w:szCs w:val="24"/>
          <w:lang w:eastAsia="en-GB"/>
        </w:rPr>
        <w:t xml:space="preserve">s not entitled to a dismissal of the application with costs as it had not set the main application down for hearing. </w:t>
      </w:r>
      <w:r w:rsidR="00466B44" w:rsidRPr="0081637B">
        <w:rPr>
          <w:rFonts w:ascii="Arial" w:eastAsia="Times New Roman" w:hAnsi="Arial" w:cs="Arial"/>
          <w:bCs/>
          <w:spacing w:val="-3"/>
          <w:kern w:val="28"/>
          <w:sz w:val="24"/>
          <w:szCs w:val="24"/>
          <w:lang w:eastAsia="en-GB"/>
        </w:rPr>
        <w:t>In my view, this argument lacks merit</w:t>
      </w:r>
      <w:r w:rsidR="0081637B" w:rsidRPr="0081637B">
        <w:rPr>
          <w:rFonts w:ascii="Arial" w:eastAsia="Times New Roman" w:hAnsi="Arial" w:cs="Arial"/>
          <w:bCs/>
          <w:spacing w:val="-3"/>
          <w:kern w:val="28"/>
          <w:sz w:val="24"/>
          <w:szCs w:val="24"/>
          <w:lang w:eastAsia="en-GB"/>
        </w:rPr>
        <w:t xml:space="preserve">. From the notice of set down it is clear that the </w:t>
      </w:r>
      <w:r w:rsidR="0081637B">
        <w:rPr>
          <w:rFonts w:ascii="Arial" w:eastAsia="Times New Roman" w:hAnsi="Arial" w:cs="Arial"/>
          <w:bCs/>
          <w:spacing w:val="-3"/>
          <w:kern w:val="28"/>
          <w:sz w:val="24"/>
          <w:szCs w:val="24"/>
          <w:lang w:eastAsia="en-GB"/>
        </w:rPr>
        <w:t xml:space="preserve">main </w:t>
      </w:r>
      <w:r w:rsidR="0081637B" w:rsidRPr="0081637B">
        <w:rPr>
          <w:rFonts w:ascii="Arial" w:eastAsia="Times New Roman" w:hAnsi="Arial" w:cs="Arial"/>
          <w:bCs/>
          <w:spacing w:val="-3"/>
          <w:kern w:val="28"/>
          <w:sz w:val="24"/>
          <w:szCs w:val="24"/>
          <w:lang w:eastAsia="en-GB"/>
        </w:rPr>
        <w:t>application was enrolled for hearing</w:t>
      </w:r>
      <w:r w:rsidR="0081637B">
        <w:rPr>
          <w:rFonts w:ascii="Arial" w:eastAsia="Times New Roman" w:hAnsi="Arial" w:cs="Arial"/>
          <w:bCs/>
          <w:spacing w:val="-3"/>
          <w:kern w:val="28"/>
          <w:sz w:val="24"/>
          <w:szCs w:val="24"/>
          <w:lang w:eastAsia="en-GB"/>
        </w:rPr>
        <w:t xml:space="preserve"> on the opposed roll and not any interlocutory application,</w:t>
      </w:r>
      <w:r w:rsidR="0081637B" w:rsidRPr="0081637B">
        <w:rPr>
          <w:rFonts w:ascii="Arial" w:eastAsia="Times New Roman" w:hAnsi="Arial" w:cs="Arial"/>
          <w:bCs/>
          <w:spacing w:val="-3"/>
          <w:kern w:val="28"/>
          <w:sz w:val="24"/>
          <w:szCs w:val="24"/>
          <w:lang w:eastAsia="en-GB"/>
        </w:rPr>
        <w:t xml:space="preserve"> </w:t>
      </w:r>
      <w:r w:rsidR="0081637B" w:rsidRPr="00526FAB">
        <w:rPr>
          <w:rFonts w:ascii="Arial" w:eastAsia="Times New Roman" w:hAnsi="Arial" w:cs="Arial"/>
          <w:bCs/>
          <w:spacing w:val="-3"/>
          <w:kern w:val="28"/>
          <w:sz w:val="24"/>
          <w:szCs w:val="24"/>
          <w:lang w:eastAsia="en-GB"/>
        </w:rPr>
        <w:t>albeit that a supplementary notice of motion and supplementary affidavit were delivered during July 2021.</w:t>
      </w:r>
      <w:r w:rsidR="0081637B">
        <w:rPr>
          <w:rFonts w:ascii="Arial" w:eastAsia="Times New Roman" w:hAnsi="Arial" w:cs="Arial"/>
          <w:bCs/>
          <w:spacing w:val="-3"/>
          <w:kern w:val="28"/>
          <w:sz w:val="24"/>
          <w:szCs w:val="24"/>
          <w:lang w:eastAsia="en-GB"/>
        </w:rPr>
        <w:t xml:space="preserve"> </w:t>
      </w:r>
    </w:p>
    <w:p w:rsidR="0081637B" w:rsidRPr="00907CB0" w:rsidRDefault="0081637B" w:rsidP="00907CB0">
      <w:pPr>
        <w:pStyle w:val="ListParagraph"/>
        <w:rPr>
          <w:rFonts w:ascii="Arial" w:eastAsia="Times New Roman" w:hAnsi="Arial" w:cs="Arial"/>
          <w:bCs/>
          <w:spacing w:val="-3"/>
          <w:kern w:val="28"/>
          <w:sz w:val="24"/>
          <w:szCs w:val="24"/>
          <w:lang w:eastAsia="en-GB"/>
        </w:rPr>
      </w:pPr>
    </w:p>
    <w:p w:rsidR="00D95C99" w:rsidRPr="00275A76" w:rsidRDefault="007B3BC9" w:rsidP="00275A76">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The sixth respondent</w:t>
      </w:r>
      <w:r w:rsidR="00D95C99" w:rsidRPr="00D95C99">
        <w:rPr>
          <w:rFonts w:ascii="Arial" w:eastAsia="Times New Roman" w:hAnsi="Arial" w:cs="Arial"/>
          <w:bCs/>
          <w:spacing w:val="-3"/>
          <w:kern w:val="28"/>
          <w:sz w:val="24"/>
          <w:szCs w:val="24"/>
          <w:lang w:eastAsia="en-GB"/>
        </w:rPr>
        <w:t xml:space="preserve"> argued that the procedure followed in placing the supplementary affidavit before court was proper and required in the circumstances given the relevant subsequent events which occurred after the original application papers were delivered. I agree that this is a case where the supplementary affidavit should be allowed</w:t>
      </w:r>
      <w:r w:rsidR="00D95C99">
        <w:rPr>
          <w:rStyle w:val="FootnoteReference"/>
          <w:rFonts w:ascii="Arial" w:eastAsia="Times New Roman" w:hAnsi="Arial" w:cs="Arial"/>
          <w:bCs/>
          <w:spacing w:val="-3"/>
          <w:kern w:val="28"/>
          <w:sz w:val="24"/>
          <w:szCs w:val="24"/>
          <w:lang w:eastAsia="en-GB"/>
        </w:rPr>
        <w:footnoteReference w:id="1"/>
      </w:r>
      <w:r w:rsidR="00C57261">
        <w:rPr>
          <w:rFonts w:ascii="Arial" w:eastAsia="Times New Roman" w:hAnsi="Arial" w:cs="Arial"/>
          <w:bCs/>
          <w:spacing w:val="-3"/>
          <w:kern w:val="28"/>
          <w:sz w:val="24"/>
          <w:szCs w:val="24"/>
          <w:lang w:eastAsia="en-GB"/>
        </w:rPr>
        <w:t>.</w:t>
      </w:r>
      <w:r w:rsidR="00A3176D" w:rsidRPr="00D95C99">
        <w:rPr>
          <w:rFonts w:ascii="Arial" w:eastAsia="Times New Roman" w:hAnsi="Arial" w:cs="Arial"/>
          <w:bCs/>
          <w:spacing w:val="-3"/>
          <w:kern w:val="28"/>
          <w:sz w:val="24"/>
          <w:szCs w:val="24"/>
          <w:lang w:eastAsia="en-GB"/>
        </w:rPr>
        <w:tab/>
      </w:r>
      <w:r w:rsidR="00B75AF6" w:rsidRPr="00275A76">
        <w:rPr>
          <w:rFonts w:ascii="Arial" w:eastAsia="Times New Roman" w:hAnsi="Arial" w:cs="Arial"/>
          <w:bCs/>
          <w:spacing w:val="-3"/>
          <w:kern w:val="28"/>
          <w:sz w:val="24"/>
          <w:szCs w:val="24"/>
          <w:lang w:eastAsia="en-GB"/>
        </w:rPr>
        <w:t xml:space="preserve"> </w:t>
      </w:r>
    </w:p>
    <w:p w:rsidR="00D95C99" w:rsidRPr="00D95C99" w:rsidRDefault="00D95C99" w:rsidP="00275A76">
      <w:pPr>
        <w:pStyle w:val="ListParagraph"/>
        <w:spacing w:line="360" w:lineRule="auto"/>
        <w:rPr>
          <w:rFonts w:ascii="Arial" w:eastAsia="Times New Roman" w:hAnsi="Arial" w:cs="Arial"/>
          <w:bCs/>
          <w:spacing w:val="-3"/>
          <w:kern w:val="28"/>
          <w:sz w:val="24"/>
          <w:szCs w:val="24"/>
          <w:lang w:eastAsia="en-GB"/>
        </w:rPr>
      </w:pPr>
    </w:p>
    <w:p w:rsidR="007B3BC9" w:rsidRDefault="00D95C99" w:rsidP="007B3BC9">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sidRPr="00D95C99">
        <w:rPr>
          <w:rFonts w:ascii="Arial" w:eastAsia="Times New Roman" w:hAnsi="Arial" w:cs="Arial"/>
          <w:bCs/>
          <w:spacing w:val="-3"/>
          <w:kern w:val="28"/>
          <w:sz w:val="24"/>
          <w:szCs w:val="24"/>
          <w:lang w:eastAsia="en-GB"/>
        </w:rPr>
        <w:t xml:space="preserve">According to the affidavit of Mr Creswick, the applicants erroneously </w:t>
      </w:r>
      <w:r w:rsidR="007B3BC9">
        <w:rPr>
          <w:rFonts w:ascii="Arial" w:eastAsia="Times New Roman" w:hAnsi="Arial" w:cs="Arial"/>
          <w:bCs/>
          <w:spacing w:val="-3"/>
          <w:kern w:val="28"/>
          <w:sz w:val="24"/>
          <w:szCs w:val="24"/>
          <w:lang w:eastAsia="en-GB"/>
        </w:rPr>
        <w:t xml:space="preserve">but </w:t>
      </w:r>
      <w:r w:rsidR="007B3BC9" w:rsidRPr="007B3BC9">
        <w:rPr>
          <w:rFonts w:ascii="Arial" w:eastAsia="Times New Roman" w:hAnsi="Arial" w:cs="Arial"/>
          <w:bCs/>
          <w:i/>
          <w:spacing w:val="-3"/>
          <w:kern w:val="28"/>
          <w:sz w:val="24"/>
          <w:szCs w:val="24"/>
          <w:lang w:eastAsia="en-GB"/>
        </w:rPr>
        <w:t>bona fide</w:t>
      </w:r>
      <w:r w:rsidR="007B3BC9">
        <w:rPr>
          <w:rFonts w:ascii="Arial" w:eastAsia="Times New Roman" w:hAnsi="Arial" w:cs="Arial"/>
          <w:bCs/>
          <w:spacing w:val="-3"/>
          <w:kern w:val="28"/>
          <w:sz w:val="24"/>
          <w:szCs w:val="24"/>
          <w:lang w:eastAsia="en-GB"/>
        </w:rPr>
        <w:t xml:space="preserve"> t</w:t>
      </w:r>
      <w:r w:rsidRPr="00D95C99">
        <w:rPr>
          <w:rFonts w:ascii="Arial" w:eastAsia="Times New Roman" w:hAnsi="Arial" w:cs="Arial"/>
          <w:bCs/>
          <w:spacing w:val="-3"/>
          <w:kern w:val="28"/>
          <w:sz w:val="24"/>
          <w:szCs w:val="24"/>
          <w:lang w:eastAsia="en-GB"/>
        </w:rPr>
        <w:t>hought Werksmans attorneys</w:t>
      </w:r>
      <w:r w:rsidR="007B3BC9">
        <w:rPr>
          <w:rFonts w:ascii="Arial" w:eastAsia="Times New Roman" w:hAnsi="Arial" w:cs="Arial"/>
          <w:bCs/>
          <w:spacing w:val="-3"/>
          <w:kern w:val="28"/>
          <w:sz w:val="24"/>
          <w:szCs w:val="24"/>
          <w:lang w:eastAsia="en-GB"/>
        </w:rPr>
        <w:t>, the attorneys of the sixth respondent,</w:t>
      </w:r>
      <w:r w:rsidRPr="00D95C99">
        <w:rPr>
          <w:rFonts w:ascii="Arial" w:eastAsia="Times New Roman" w:hAnsi="Arial" w:cs="Arial"/>
          <w:bCs/>
          <w:spacing w:val="-3"/>
          <w:kern w:val="28"/>
          <w:sz w:val="24"/>
          <w:szCs w:val="24"/>
          <w:lang w:eastAsia="en-GB"/>
        </w:rPr>
        <w:t xml:space="preserve"> were representing the </w:t>
      </w:r>
      <w:r w:rsidRPr="00D95C99">
        <w:rPr>
          <w:rFonts w:ascii="Arial" w:eastAsia="Times New Roman" w:hAnsi="Arial" w:cs="Arial"/>
          <w:bCs/>
          <w:spacing w:val="-3"/>
          <w:kern w:val="28"/>
          <w:sz w:val="24"/>
          <w:szCs w:val="24"/>
          <w:lang w:eastAsia="en-GB"/>
        </w:rPr>
        <w:lastRenderedPageBreak/>
        <w:t xml:space="preserve">joint liquidators, </w:t>
      </w:r>
      <w:r w:rsidR="009777EC">
        <w:rPr>
          <w:rFonts w:ascii="Arial" w:eastAsia="Times New Roman" w:hAnsi="Arial" w:cs="Arial"/>
          <w:bCs/>
          <w:spacing w:val="-3"/>
          <w:kern w:val="28"/>
          <w:sz w:val="24"/>
          <w:szCs w:val="24"/>
          <w:lang w:eastAsia="en-GB"/>
        </w:rPr>
        <w:t xml:space="preserve">and thus the </w:t>
      </w:r>
      <w:r w:rsidR="007B3BC9">
        <w:rPr>
          <w:rFonts w:ascii="Arial" w:eastAsia="Times New Roman" w:hAnsi="Arial" w:cs="Arial"/>
          <w:bCs/>
          <w:spacing w:val="-3"/>
          <w:kern w:val="28"/>
          <w:sz w:val="24"/>
          <w:szCs w:val="24"/>
          <w:lang w:eastAsia="en-GB"/>
        </w:rPr>
        <w:t xml:space="preserve">urgent </w:t>
      </w:r>
      <w:r w:rsidR="009777EC">
        <w:rPr>
          <w:rFonts w:ascii="Arial" w:eastAsia="Times New Roman" w:hAnsi="Arial" w:cs="Arial"/>
          <w:bCs/>
          <w:spacing w:val="-3"/>
          <w:kern w:val="28"/>
          <w:sz w:val="24"/>
          <w:szCs w:val="24"/>
          <w:lang w:eastAsia="en-GB"/>
        </w:rPr>
        <w:t xml:space="preserve">application was </w:t>
      </w:r>
      <w:r w:rsidR="007B3BC9">
        <w:rPr>
          <w:rFonts w:ascii="Arial" w:eastAsia="Times New Roman" w:hAnsi="Arial" w:cs="Arial"/>
          <w:bCs/>
          <w:spacing w:val="-3"/>
          <w:kern w:val="28"/>
          <w:sz w:val="24"/>
          <w:szCs w:val="24"/>
          <w:lang w:eastAsia="en-GB"/>
        </w:rPr>
        <w:t xml:space="preserve">initially </w:t>
      </w:r>
      <w:r w:rsidR="009777EC">
        <w:rPr>
          <w:rFonts w:ascii="Arial" w:eastAsia="Times New Roman" w:hAnsi="Arial" w:cs="Arial"/>
          <w:bCs/>
          <w:spacing w:val="-3"/>
          <w:kern w:val="28"/>
          <w:sz w:val="24"/>
          <w:szCs w:val="24"/>
          <w:lang w:eastAsia="en-GB"/>
        </w:rPr>
        <w:t>not served on the liquidators</w:t>
      </w:r>
      <w:r w:rsidR="007B3BC9">
        <w:rPr>
          <w:rFonts w:ascii="Arial" w:eastAsia="Times New Roman" w:hAnsi="Arial" w:cs="Arial"/>
          <w:bCs/>
          <w:spacing w:val="-3"/>
          <w:kern w:val="28"/>
          <w:sz w:val="24"/>
          <w:szCs w:val="24"/>
          <w:lang w:eastAsia="en-GB"/>
        </w:rPr>
        <w:t>. It is thus undisputed that there was an issue with service on the fourth and fifth respondents when the application was heard on 21 April 2021.</w:t>
      </w:r>
    </w:p>
    <w:p w:rsidR="007B3BC9" w:rsidRPr="007B3BC9" w:rsidRDefault="007B3BC9" w:rsidP="007B3BC9">
      <w:pPr>
        <w:pStyle w:val="ListParagraph"/>
        <w:rPr>
          <w:rFonts w:ascii="Arial" w:eastAsia="Times New Roman" w:hAnsi="Arial" w:cs="Arial"/>
          <w:bCs/>
          <w:spacing w:val="-3"/>
          <w:kern w:val="28"/>
          <w:sz w:val="24"/>
          <w:szCs w:val="24"/>
          <w:lang w:eastAsia="en-GB"/>
        </w:rPr>
      </w:pPr>
    </w:p>
    <w:p w:rsidR="007B3BC9" w:rsidRDefault="009E146E" w:rsidP="00D95C99">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 xml:space="preserve">In his affidavit, </w:t>
      </w:r>
      <w:r w:rsidR="00D95C99" w:rsidRPr="00D95C99">
        <w:rPr>
          <w:rFonts w:ascii="Arial" w:eastAsia="Times New Roman" w:hAnsi="Arial" w:cs="Arial"/>
          <w:bCs/>
          <w:spacing w:val="-3"/>
          <w:kern w:val="28"/>
          <w:sz w:val="24"/>
          <w:szCs w:val="24"/>
          <w:lang w:eastAsia="en-GB"/>
        </w:rPr>
        <w:t xml:space="preserve">Mr Creswick further contended that Wright </w:t>
      </w:r>
      <w:r>
        <w:rPr>
          <w:rFonts w:ascii="Arial" w:eastAsia="Times New Roman" w:hAnsi="Arial" w:cs="Arial"/>
          <w:bCs/>
          <w:spacing w:val="-3"/>
          <w:kern w:val="28"/>
          <w:sz w:val="24"/>
          <w:szCs w:val="24"/>
          <w:lang w:eastAsia="en-GB"/>
        </w:rPr>
        <w:t xml:space="preserve">J </w:t>
      </w:r>
      <w:r w:rsidR="00D95C99" w:rsidRPr="00D95C99">
        <w:rPr>
          <w:rFonts w:ascii="Arial" w:eastAsia="Times New Roman" w:hAnsi="Arial" w:cs="Arial"/>
          <w:bCs/>
          <w:spacing w:val="-3"/>
          <w:kern w:val="28"/>
          <w:sz w:val="24"/>
          <w:szCs w:val="24"/>
          <w:lang w:eastAsia="en-GB"/>
        </w:rPr>
        <w:t xml:space="preserve">could not be persuaded to allow the matter to stand down </w:t>
      </w:r>
      <w:r w:rsidR="007B3BC9">
        <w:rPr>
          <w:rFonts w:ascii="Arial" w:eastAsia="Times New Roman" w:hAnsi="Arial" w:cs="Arial"/>
          <w:bCs/>
          <w:spacing w:val="-3"/>
          <w:kern w:val="28"/>
          <w:sz w:val="24"/>
          <w:szCs w:val="24"/>
          <w:lang w:eastAsia="en-GB"/>
        </w:rPr>
        <w:t xml:space="preserve">on 29 April 2021 to the following day </w:t>
      </w:r>
      <w:r w:rsidR="00D95C99" w:rsidRPr="00D95C99">
        <w:rPr>
          <w:rFonts w:ascii="Arial" w:eastAsia="Times New Roman" w:hAnsi="Arial" w:cs="Arial"/>
          <w:bCs/>
          <w:spacing w:val="-3"/>
          <w:kern w:val="28"/>
          <w:sz w:val="24"/>
          <w:szCs w:val="24"/>
          <w:lang w:eastAsia="en-GB"/>
        </w:rPr>
        <w:t xml:space="preserve">for the liquidators to assess their position. He contended that if the matter had </w:t>
      </w:r>
      <w:r w:rsidR="007B3BC9">
        <w:rPr>
          <w:rFonts w:ascii="Arial" w:eastAsia="Times New Roman" w:hAnsi="Arial" w:cs="Arial"/>
          <w:bCs/>
          <w:spacing w:val="-3"/>
          <w:kern w:val="28"/>
          <w:sz w:val="24"/>
          <w:szCs w:val="24"/>
          <w:lang w:eastAsia="en-GB"/>
        </w:rPr>
        <w:t xml:space="preserve">been </w:t>
      </w:r>
      <w:r w:rsidR="00D95C99" w:rsidRPr="00D95C99">
        <w:rPr>
          <w:rFonts w:ascii="Arial" w:eastAsia="Times New Roman" w:hAnsi="Arial" w:cs="Arial"/>
          <w:bCs/>
          <w:spacing w:val="-3"/>
          <w:kern w:val="28"/>
          <w:sz w:val="24"/>
          <w:szCs w:val="24"/>
          <w:lang w:eastAsia="en-GB"/>
        </w:rPr>
        <w:t>stood down</w:t>
      </w:r>
      <w:r w:rsidR="007B3BC9">
        <w:rPr>
          <w:rFonts w:ascii="Arial" w:eastAsia="Times New Roman" w:hAnsi="Arial" w:cs="Arial"/>
          <w:bCs/>
          <w:spacing w:val="-3"/>
          <w:kern w:val="28"/>
          <w:sz w:val="24"/>
          <w:szCs w:val="24"/>
          <w:lang w:eastAsia="en-GB"/>
        </w:rPr>
        <w:t>,</w:t>
      </w:r>
      <w:r w:rsidR="00D95C99" w:rsidRPr="00D95C99">
        <w:rPr>
          <w:rFonts w:ascii="Arial" w:eastAsia="Times New Roman" w:hAnsi="Arial" w:cs="Arial"/>
          <w:bCs/>
          <w:spacing w:val="-3"/>
          <w:kern w:val="28"/>
          <w:sz w:val="24"/>
          <w:szCs w:val="24"/>
          <w:lang w:eastAsia="en-GB"/>
        </w:rPr>
        <w:t xml:space="preserve"> the merits would have been determined and </w:t>
      </w:r>
      <w:r w:rsidR="007B3BC9">
        <w:rPr>
          <w:rFonts w:ascii="Arial" w:eastAsia="Times New Roman" w:hAnsi="Arial" w:cs="Arial"/>
          <w:bCs/>
          <w:spacing w:val="-3"/>
          <w:kern w:val="28"/>
          <w:sz w:val="24"/>
          <w:szCs w:val="24"/>
          <w:lang w:eastAsia="en-GB"/>
        </w:rPr>
        <w:t xml:space="preserve">that </w:t>
      </w:r>
      <w:r w:rsidR="00D95C99" w:rsidRPr="00D95C99">
        <w:rPr>
          <w:rFonts w:ascii="Arial" w:eastAsia="Times New Roman" w:hAnsi="Arial" w:cs="Arial"/>
          <w:bCs/>
          <w:spacing w:val="-3"/>
          <w:kern w:val="28"/>
          <w:sz w:val="24"/>
          <w:szCs w:val="24"/>
          <w:lang w:eastAsia="en-GB"/>
        </w:rPr>
        <w:t xml:space="preserve">the applicants had good prospects of success </w:t>
      </w:r>
      <w:r w:rsidR="009777EC">
        <w:rPr>
          <w:rFonts w:ascii="Arial" w:eastAsia="Times New Roman" w:hAnsi="Arial" w:cs="Arial"/>
          <w:bCs/>
          <w:spacing w:val="-3"/>
          <w:kern w:val="28"/>
          <w:sz w:val="24"/>
          <w:szCs w:val="24"/>
          <w:lang w:eastAsia="en-GB"/>
        </w:rPr>
        <w:t xml:space="preserve">if the </w:t>
      </w:r>
      <w:r w:rsidR="00D95C99" w:rsidRPr="00D95C99">
        <w:rPr>
          <w:rFonts w:ascii="Arial" w:eastAsia="Times New Roman" w:hAnsi="Arial" w:cs="Arial"/>
          <w:bCs/>
          <w:spacing w:val="-3"/>
          <w:kern w:val="28"/>
          <w:sz w:val="24"/>
          <w:szCs w:val="24"/>
          <w:lang w:eastAsia="en-GB"/>
        </w:rPr>
        <w:t xml:space="preserve">matter </w:t>
      </w:r>
      <w:r w:rsidR="009777EC">
        <w:rPr>
          <w:rFonts w:ascii="Arial" w:eastAsia="Times New Roman" w:hAnsi="Arial" w:cs="Arial"/>
          <w:bCs/>
          <w:spacing w:val="-3"/>
          <w:kern w:val="28"/>
          <w:sz w:val="24"/>
          <w:szCs w:val="24"/>
          <w:lang w:eastAsia="en-GB"/>
        </w:rPr>
        <w:t xml:space="preserve">had been </w:t>
      </w:r>
      <w:r w:rsidR="007B3BC9">
        <w:rPr>
          <w:rFonts w:ascii="Arial" w:eastAsia="Times New Roman" w:hAnsi="Arial" w:cs="Arial"/>
          <w:bCs/>
          <w:spacing w:val="-3"/>
          <w:kern w:val="28"/>
          <w:sz w:val="24"/>
          <w:szCs w:val="24"/>
          <w:lang w:eastAsia="en-GB"/>
        </w:rPr>
        <w:t>h</w:t>
      </w:r>
      <w:r w:rsidR="00D95C99" w:rsidRPr="00D95C99">
        <w:rPr>
          <w:rFonts w:ascii="Arial" w:eastAsia="Times New Roman" w:hAnsi="Arial" w:cs="Arial"/>
          <w:bCs/>
          <w:spacing w:val="-3"/>
          <w:kern w:val="28"/>
          <w:sz w:val="24"/>
          <w:szCs w:val="24"/>
          <w:lang w:eastAsia="en-GB"/>
        </w:rPr>
        <w:t>eard.</w:t>
      </w:r>
      <w:r w:rsidR="007B3BC9">
        <w:rPr>
          <w:rFonts w:ascii="Arial" w:eastAsia="Times New Roman" w:hAnsi="Arial" w:cs="Arial"/>
          <w:bCs/>
          <w:spacing w:val="-3"/>
          <w:kern w:val="28"/>
          <w:sz w:val="24"/>
          <w:szCs w:val="24"/>
          <w:lang w:eastAsia="en-GB"/>
        </w:rPr>
        <w:t xml:space="preserve"> </w:t>
      </w:r>
    </w:p>
    <w:p w:rsidR="007B3BC9" w:rsidRPr="007B3BC9" w:rsidRDefault="007B3BC9" w:rsidP="007B3BC9">
      <w:pPr>
        <w:pStyle w:val="ListParagraph"/>
        <w:rPr>
          <w:rFonts w:ascii="Arial" w:eastAsia="Times New Roman" w:hAnsi="Arial" w:cs="Arial"/>
          <w:bCs/>
          <w:spacing w:val="-3"/>
          <w:kern w:val="28"/>
          <w:sz w:val="24"/>
          <w:szCs w:val="24"/>
          <w:lang w:eastAsia="en-GB"/>
        </w:rPr>
      </w:pPr>
    </w:p>
    <w:p w:rsidR="00D95C99" w:rsidRDefault="007B3BC9" w:rsidP="00D95C99">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 xml:space="preserve">In argument, the applicants contended that the application should be determined on its merits in order to determine an appropriate costs order, despite the merits of the application having become moot.   </w:t>
      </w:r>
    </w:p>
    <w:p w:rsidR="00D95C99" w:rsidRPr="00D95C99" w:rsidRDefault="00D95C99" w:rsidP="00275A76">
      <w:pPr>
        <w:pStyle w:val="ListParagraph"/>
        <w:spacing w:line="360" w:lineRule="auto"/>
        <w:rPr>
          <w:rFonts w:ascii="Arial" w:eastAsia="Times New Roman" w:hAnsi="Arial" w:cs="Arial"/>
          <w:bCs/>
          <w:spacing w:val="-3"/>
          <w:kern w:val="28"/>
          <w:sz w:val="24"/>
          <w:szCs w:val="24"/>
          <w:lang w:eastAsia="en-GB"/>
        </w:rPr>
      </w:pPr>
    </w:p>
    <w:p w:rsidR="00F46A1E" w:rsidRDefault="00D95C99" w:rsidP="00970760">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sidRPr="00D95C99">
        <w:rPr>
          <w:rFonts w:ascii="Arial" w:eastAsia="Times New Roman" w:hAnsi="Arial" w:cs="Arial"/>
          <w:bCs/>
          <w:spacing w:val="-3"/>
          <w:kern w:val="28"/>
          <w:sz w:val="24"/>
          <w:szCs w:val="24"/>
          <w:lang w:eastAsia="en-GB"/>
        </w:rPr>
        <w:t xml:space="preserve">Relying on </w:t>
      </w:r>
      <w:r w:rsidRPr="00D95C99">
        <w:rPr>
          <w:rFonts w:ascii="Arial" w:eastAsia="Times New Roman" w:hAnsi="Arial" w:cs="Arial"/>
          <w:bCs/>
          <w:i/>
          <w:spacing w:val="-3"/>
          <w:kern w:val="28"/>
          <w:sz w:val="24"/>
          <w:szCs w:val="24"/>
          <w:lang w:eastAsia="en-GB"/>
        </w:rPr>
        <w:t>Pretoria Garrison Institutes v Danish Variety Products (Pty) Ltd</w:t>
      </w:r>
      <w:r w:rsidRPr="00ED0C77">
        <w:rPr>
          <w:rStyle w:val="FootnoteReference"/>
          <w:rFonts w:ascii="Arial" w:eastAsia="Times New Roman" w:hAnsi="Arial" w:cs="Arial"/>
          <w:bCs/>
          <w:spacing w:val="-3"/>
          <w:kern w:val="28"/>
          <w:sz w:val="24"/>
          <w:szCs w:val="24"/>
          <w:lang w:eastAsia="en-GB"/>
        </w:rPr>
        <w:footnoteReference w:id="2"/>
      </w:r>
      <w:r w:rsidRPr="00D95C99">
        <w:rPr>
          <w:rFonts w:ascii="Arial" w:eastAsia="Times New Roman" w:hAnsi="Arial" w:cs="Arial"/>
          <w:bCs/>
          <w:spacing w:val="-3"/>
          <w:kern w:val="28"/>
          <w:sz w:val="24"/>
          <w:szCs w:val="24"/>
          <w:lang w:eastAsia="en-GB"/>
        </w:rPr>
        <w:t xml:space="preserve"> and </w:t>
      </w:r>
      <w:r w:rsidRPr="00D95C99">
        <w:rPr>
          <w:rFonts w:ascii="Arial" w:eastAsia="Times New Roman" w:hAnsi="Arial" w:cs="Arial"/>
          <w:bCs/>
          <w:i/>
          <w:spacing w:val="-3"/>
          <w:kern w:val="28"/>
          <w:sz w:val="24"/>
          <w:szCs w:val="24"/>
          <w:lang w:eastAsia="en-GB"/>
        </w:rPr>
        <w:t>Jenkins v SA Boiler Makers, Iron&amp; Steel Works &amp; Ship Builders Society</w:t>
      </w:r>
      <w:r>
        <w:rPr>
          <w:rStyle w:val="FootnoteReference"/>
          <w:rFonts w:ascii="Arial" w:eastAsia="Times New Roman" w:hAnsi="Arial" w:cs="Arial"/>
          <w:bCs/>
          <w:spacing w:val="-3"/>
          <w:kern w:val="28"/>
          <w:sz w:val="24"/>
          <w:szCs w:val="24"/>
          <w:lang w:eastAsia="en-GB"/>
        </w:rPr>
        <w:footnoteReference w:id="3"/>
      </w:r>
      <w:r w:rsidRPr="00D95C99">
        <w:rPr>
          <w:rFonts w:ascii="Arial" w:eastAsia="Times New Roman" w:hAnsi="Arial" w:cs="Arial"/>
          <w:bCs/>
          <w:spacing w:val="-3"/>
          <w:kern w:val="28"/>
          <w:sz w:val="24"/>
          <w:szCs w:val="24"/>
          <w:lang w:eastAsia="en-GB"/>
        </w:rPr>
        <w:t xml:space="preserve">, the applicants argued that a court hearing an application which has become moot must determine the issue of costs </w:t>
      </w:r>
      <w:r w:rsidR="009777EC">
        <w:rPr>
          <w:rFonts w:ascii="Arial" w:eastAsia="Times New Roman" w:hAnsi="Arial" w:cs="Arial"/>
          <w:bCs/>
          <w:spacing w:val="-3"/>
          <w:kern w:val="28"/>
          <w:sz w:val="24"/>
          <w:szCs w:val="24"/>
          <w:lang w:eastAsia="en-GB"/>
        </w:rPr>
        <w:t>by considering</w:t>
      </w:r>
      <w:r w:rsidRPr="00D95C99">
        <w:rPr>
          <w:rFonts w:ascii="Arial" w:eastAsia="Times New Roman" w:hAnsi="Arial" w:cs="Arial"/>
          <w:bCs/>
          <w:spacing w:val="-3"/>
          <w:kern w:val="28"/>
          <w:sz w:val="24"/>
          <w:szCs w:val="24"/>
          <w:lang w:eastAsia="en-GB"/>
        </w:rPr>
        <w:t xml:space="preserve"> the merits of the application and not simply on the basis that the application has become moot. </w:t>
      </w:r>
    </w:p>
    <w:p w:rsidR="0005479B" w:rsidRPr="0005479B" w:rsidRDefault="0005479B" w:rsidP="0005479B">
      <w:pPr>
        <w:pStyle w:val="ListParagraph"/>
        <w:rPr>
          <w:rFonts w:ascii="Arial" w:eastAsia="Times New Roman" w:hAnsi="Arial" w:cs="Arial"/>
          <w:bCs/>
          <w:spacing w:val="-3"/>
          <w:kern w:val="28"/>
          <w:sz w:val="24"/>
          <w:szCs w:val="24"/>
          <w:lang w:eastAsia="en-GB"/>
        </w:rPr>
      </w:pPr>
    </w:p>
    <w:p w:rsidR="0005479B" w:rsidRPr="0005479B" w:rsidRDefault="0005479B" w:rsidP="00970760">
      <w:pPr>
        <w:pStyle w:val="ListParagraph"/>
        <w:numPr>
          <w:ilvl w:val="0"/>
          <w:numId w:val="25"/>
        </w:numPr>
        <w:tabs>
          <w:tab w:val="left" w:pos="-720"/>
        </w:tabs>
        <w:suppressAutoHyphens/>
        <w:spacing w:after="0" w:line="360" w:lineRule="auto"/>
        <w:ind w:left="0" w:firstLine="0"/>
        <w:jc w:val="both"/>
        <w:rPr>
          <w:rStyle w:val="FootnoteReference"/>
          <w:rFonts w:ascii="Arial" w:eastAsia="Times New Roman" w:hAnsi="Arial" w:cs="Arial"/>
          <w:bCs/>
          <w:spacing w:val="-3"/>
          <w:kern w:val="28"/>
          <w:sz w:val="24"/>
          <w:szCs w:val="24"/>
          <w:vertAlign w:val="baseline"/>
          <w:lang w:eastAsia="en-GB"/>
        </w:rPr>
      </w:pPr>
      <w:r>
        <w:rPr>
          <w:rFonts w:ascii="Arial" w:eastAsia="Times New Roman" w:hAnsi="Arial" w:cs="Arial"/>
          <w:bCs/>
          <w:spacing w:val="-3"/>
          <w:kern w:val="28"/>
          <w:sz w:val="24"/>
          <w:szCs w:val="24"/>
          <w:lang w:eastAsia="en-GB"/>
        </w:rPr>
        <w:t>In my view, the argument lacks merit for various reasons. First, as the application has become moot, there is no existing or live controversy between the parties.</w:t>
      </w:r>
      <w:r w:rsidRPr="0005479B">
        <w:rPr>
          <w:rStyle w:val="FootnoteReference"/>
          <w:rFonts w:ascii="Arial" w:eastAsia="Times New Roman" w:hAnsi="Arial" w:cs="Arial"/>
          <w:bCs/>
          <w:spacing w:val="-3"/>
          <w:kern w:val="28"/>
          <w:sz w:val="24"/>
          <w:szCs w:val="24"/>
          <w:lang w:eastAsia="en-GB"/>
        </w:rPr>
        <w:t xml:space="preserve"> </w:t>
      </w:r>
      <w:r>
        <w:rPr>
          <w:rStyle w:val="FootnoteReference"/>
          <w:rFonts w:ascii="Arial" w:eastAsia="Times New Roman" w:hAnsi="Arial" w:cs="Arial"/>
          <w:bCs/>
          <w:spacing w:val="-3"/>
          <w:kern w:val="28"/>
          <w:sz w:val="24"/>
          <w:szCs w:val="24"/>
          <w:lang w:eastAsia="en-GB"/>
        </w:rPr>
        <w:footnoteReference w:id="4"/>
      </w:r>
    </w:p>
    <w:p w:rsidR="0005479B" w:rsidRPr="0005479B" w:rsidRDefault="0005479B" w:rsidP="0005479B">
      <w:pPr>
        <w:pStyle w:val="ListParagraph"/>
        <w:rPr>
          <w:rFonts w:ascii="Arial" w:eastAsia="Times New Roman" w:hAnsi="Arial" w:cs="Arial"/>
          <w:bCs/>
          <w:spacing w:val="-3"/>
          <w:kern w:val="28"/>
          <w:sz w:val="24"/>
          <w:szCs w:val="24"/>
          <w:lang w:eastAsia="en-GB"/>
        </w:rPr>
      </w:pPr>
    </w:p>
    <w:p w:rsidR="0005479B" w:rsidRDefault="0005479B" w:rsidP="00970760">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 xml:space="preserve">Second, it is not for this court to revisit the decision made by Wright J on 29 April 2021 to remove the matter from the roll and that decision is not open to appeal. In the exercise of his discretion, Wright J decided not to entertain the merits of the application but to remove it and to reserve costs. </w:t>
      </w:r>
    </w:p>
    <w:p w:rsidR="0005479B" w:rsidRPr="0005479B" w:rsidRDefault="0005479B" w:rsidP="0005479B">
      <w:pPr>
        <w:pStyle w:val="ListParagraph"/>
        <w:rPr>
          <w:rFonts w:ascii="Arial" w:eastAsia="Times New Roman" w:hAnsi="Arial" w:cs="Arial"/>
          <w:bCs/>
          <w:spacing w:val="-3"/>
          <w:kern w:val="28"/>
          <w:sz w:val="24"/>
          <w:szCs w:val="24"/>
          <w:lang w:eastAsia="en-GB"/>
        </w:rPr>
      </w:pPr>
    </w:p>
    <w:p w:rsidR="00970760" w:rsidRPr="0005479B" w:rsidRDefault="0005479B" w:rsidP="006E78FB">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sidRPr="0005479B">
        <w:rPr>
          <w:rFonts w:ascii="Arial" w:eastAsia="Times New Roman" w:hAnsi="Arial" w:cs="Arial"/>
          <w:bCs/>
          <w:spacing w:val="-3"/>
          <w:kern w:val="28"/>
          <w:sz w:val="24"/>
          <w:szCs w:val="24"/>
          <w:lang w:eastAsia="en-GB"/>
        </w:rPr>
        <w:lastRenderedPageBreak/>
        <w:t xml:space="preserve">  Third, </w:t>
      </w:r>
      <w:r w:rsidR="00970760" w:rsidRPr="0005479B">
        <w:rPr>
          <w:rFonts w:ascii="Arial" w:eastAsia="Times New Roman" w:hAnsi="Arial" w:cs="Arial"/>
          <w:bCs/>
          <w:i/>
          <w:spacing w:val="-3"/>
          <w:kern w:val="28"/>
          <w:sz w:val="24"/>
          <w:szCs w:val="24"/>
          <w:lang w:eastAsia="en-GB"/>
        </w:rPr>
        <w:t xml:space="preserve">Pretoria Garrison </w:t>
      </w:r>
      <w:r w:rsidR="00970760" w:rsidRPr="0005479B">
        <w:rPr>
          <w:rFonts w:ascii="Arial" w:eastAsia="Times New Roman" w:hAnsi="Arial" w:cs="Arial"/>
          <w:bCs/>
          <w:spacing w:val="-3"/>
          <w:kern w:val="28"/>
          <w:sz w:val="24"/>
          <w:szCs w:val="24"/>
          <w:lang w:eastAsia="en-GB"/>
        </w:rPr>
        <w:t xml:space="preserve">is distinguishable, given that it pertains to the principles which must be applied in deciding an appeal as to costs and </w:t>
      </w:r>
      <w:r>
        <w:rPr>
          <w:rFonts w:ascii="Arial" w:eastAsia="Times New Roman" w:hAnsi="Arial" w:cs="Arial"/>
          <w:bCs/>
          <w:spacing w:val="-3"/>
          <w:kern w:val="28"/>
          <w:sz w:val="24"/>
          <w:szCs w:val="24"/>
          <w:lang w:eastAsia="en-GB"/>
        </w:rPr>
        <w:t xml:space="preserve">whether </w:t>
      </w:r>
      <w:r w:rsidR="00970760" w:rsidRPr="0005479B">
        <w:rPr>
          <w:rFonts w:ascii="Arial" w:eastAsia="Times New Roman" w:hAnsi="Arial" w:cs="Arial"/>
          <w:bCs/>
          <w:spacing w:val="-3"/>
          <w:kern w:val="28"/>
          <w:sz w:val="24"/>
          <w:szCs w:val="24"/>
          <w:lang w:eastAsia="en-GB"/>
        </w:rPr>
        <w:t>interlocutory orders</w:t>
      </w:r>
      <w:r>
        <w:rPr>
          <w:rFonts w:ascii="Arial" w:eastAsia="Times New Roman" w:hAnsi="Arial" w:cs="Arial"/>
          <w:bCs/>
          <w:spacing w:val="-3"/>
          <w:kern w:val="28"/>
          <w:sz w:val="24"/>
          <w:szCs w:val="24"/>
          <w:lang w:eastAsia="en-GB"/>
        </w:rPr>
        <w:t xml:space="preserve"> are appealable</w:t>
      </w:r>
      <w:r w:rsidR="00970760" w:rsidRPr="0005479B">
        <w:rPr>
          <w:rFonts w:ascii="Arial" w:eastAsia="Times New Roman" w:hAnsi="Arial" w:cs="Arial"/>
          <w:bCs/>
          <w:spacing w:val="-3"/>
          <w:kern w:val="28"/>
          <w:sz w:val="24"/>
          <w:szCs w:val="24"/>
          <w:lang w:eastAsia="en-GB"/>
        </w:rPr>
        <w:t>.</w:t>
      </w:r>
      <w:r w:rsidRPr="0005479B">
        <w:rPr>
          <w:rFonts w:ascii="Arial" w:eastAsia="Times New Roman" w:hAnsi="Arial" w:cs="Arial"/>
          <w:bCs/>
          <w:spacing w:val="-3"/>
          <w:kern w:val="28"/>
          <w:sz w:val="24"/>
          <w:szCs w:val="24"/>
          <w:lang w:eastAsia="en-GB"/>
        </w:rPr>
        <w:t xml:space="preserve"> In any event, </w:t>
      </w:r>
      <w:r w:rsidRPr="00970760">
        <w:rPr>
          <w:rFonts w:ascii="Arial" w:eastAsia="Times New Roman" w:hAnsi="Arial" w:cs="Arial"/>
          <w:bCs/>
          <w:i/>
          <w:spacing w:val="-3"/>
          <w:kern w:val="28"/>
          <w:sz w:val="24"/>
          <w:szCs w:val="24"/>
          <w:lang w:eastAsia="en-GB"/>
        </w:rPr>
        <w:t>Pretoria Garrison</w:t>
      </w:r>
      <w:r>
        <w:rPr>
          <w:rStyle w:val="FootnoteReference"/>
          <w:rFonts w:ascii="Arial" w:eastAsia="Times New Roman" w:hAnsi="Arial" w:cs="Arial"/>
          <w:bCs/>
          <w:i/>
          <w:spacing w:val="-3"/>
          <w:kern w:val="28"/>
          <w:sz w:val="24"/>
          <w:szCs w:val="24"/>
          <w:lang w:eastAsia="en-GB"/>
        </w:rPr>
        <w:footnoteReference w:id="5"/>
      </w:r>
      <w:r>
        <w:rPr>
          <w:rFonts w:ascii="Arial" w:eastAsia="Times New Roman" w:hAnsi="Arial" w:cs="Arial"/>
          <w:bCs/>
          <w:i/>
          <w:spacing w:val="-3"/>
          <w:kern w:val="28"/>
          <w:sz w:val="24"/>
          <w:szCs w:val="24"/>
          <w:lang w:eastAsia="en-GB"/>
        </w:rPr>
        <w:t xml:space="preserve"> </w:t>
      </w:r>
      <w:r>
        <w:rPr>
          <w:rFonts w:ascii="Arial" w:eastAsia="Times New Roman" w:hAnsi="Arial" w:cs="Arial"/>
          <w:bCs/>
          <w:spacing w:val="-3"/>
          <w:kern w:val="28"/>
          <w:sz w:val="24"/>
          <w:szCs w:val="24"/>
          <w:lang w:eastAsia="en-GB"/>
        </w:rPr>
        <w:t>does not avail the applicants in the present context. It was held:</w:t>
      </w:r>
    </w:p>
    <w:p w:rsidR="00970760" w:rsidRPr="0005479B" w:rsidRDefault="00970760" w:rsidP="0005479B">
      <w:pPr>
        <w:tabs>
          <w:tab w:val="left" w:pos="-720"/>
        </w:tabs>
        <w:suppressAutoHyphens/>
        <w:spacing w:line="360" w:lineRule="auto"/>
        <w:jc w:val="both"/>
        <w:rPr>
          <w:rFonts w:ascii="Arial" w:eastAsia="Times New Roman" w:hAnsi="Arial" w:cs="Arial"/>
          <w:bCs/>
          <w:spacing w:val="-3"/>
          <w:kern w:val="28"/>
          <w:sz w:val="24"/>
          <w:szCs w:val="24"/>
          <w:lang w:eastAsia="en-GB"/>
        </w:rPr>
      </w:pPr>
    </w:p>
    <w:p w:rsidR="00970760" w:rsidRPr="00970760" w:rsidRDefault="009777EC" w:rsidP="009777EC">
      <w:pPr>
        <w:tabs>
          <w:tab w:val="left" w:pos="-720"/>
        </w:tabs>
        <w:suppressAutoHyphens/>
        <w:spacing w:line="360" w:lineRule="auto"/>
        <w:ind w:left="360"/>
        <w:jc w:val="both"/>
        <w:rPr>
          <w:rFonts w:ascii="Arial" w:eastAsia="Times New Roman" w:hAnsi="Arial" w:cs="Arial"/>
          <w:bCs/>
          <w:i/>
          <w:spacing w:val="-3"/>
          <w:kern w:val="28"/>
          <w:sz w:val="20"/>
          <w:szCs w:val="20"/>
          <w:lang w:eastAsia="en-GB"/>
        </w:rPr>
      </w:pPr>
      <w:r>
        <w:rPr>
          <w:rFonts w:ascii="Arial" w:eastAsia="Times New Roman" w:hAnsi="Arial" w:cs="Arial"/>
          <w:bCs/>
          <w:i/>
          <w:spacing w:val="-3"/>
          <w:kern w:val="28"/>
          <w:sz w:val="20"/>
          <w:szCs w:val="20"/>
          <w:lang w:eastAsia="en-GB"/>
        </w:rPr>
        <w:t>“I</w:t>
      </w:r>
      <w:r w:rsidR="00970760" w:rsidRPr="00970760">
        <w:rPr>
          <w:rFonts w:ascii="Arial" w:eastAsia="Times New Roman" w:hAnsi="Arial" w:cs="Arial"/>
          <w:bCs/>
          <w:i/>
          <w:spacing w:val="-3"/>
          <w:kern w:val="28"/>
          <w:sz w:val="20"/>
          <w:szCs w:val="20"/>
          <w:lang w:eastAsia="en-GB"/>
        </w:rPr>
        <w:t>t may even be that no order on the merits was made in the court a quo because by the time the matter came before that court the necessity for an order was gone and the sole question that one of costs</w:t>
      </w:r>
      <w:r>
        <w:rPr>
          <w:rFonts w:ascii="Arial" w:eastAsia="Times New Roman" w:hAnsi="Arial" w:cs="Arial"/>
          <w:bCs/>
          <w:i/>
          <w:spacing w:val="-3"/>
          <w:kern w:val="28"/>
          <w:sz w:val="20"/>
          <w:szCs w:val="20"/>
          <w:lang w:eastAsia="en-GB"/>
        </w:rPr>
        <w:t>. T</w:t>
      </w:r>
      <w:r w:rsidR="00970760" w:rsidRPr="00970760">
        <w:rPr>
          <w:rFonts w:ascii="Arial" w:eastAsia="Times New Roman" w:hAnsi="Arial" w:cs="Arial"/>
          <w:bCs/>
          <w:i/>
          <w:spacing w:val="-3"/>
          <w:kern w:val="28"/>
          <w:sz w:val="20"/>
          <w:szCs w:val="20"/>
          <w:lang w:eastAsia="en-GB"/>
        </w:rPr>
        <w:t>his shows the merits of the dispute in the court below must be investigated in order to decide whether the order as to costs made in that dispute was properly made or not. In deciding whether or not the court below made the correct order as to costs the reasons which prompted that court to make its order must be examined that those reasons must be the actual reasons and no others.”</w:t>
      </w:r>
    </w:p>
    <w:p w:rsidR="00275A76" w:rsidRPr="00970760" w:rsidRDefault="00275A76" w:rsidP="00275A76">
      <w:pPr>
        <w:pStyle w:val="ListParagraph"/>
        <w:spacing w:after="0" w:line="360" w:lineRule="auto"/>
        <w:ind w:left="709"/>
        <w:rPr>
          <w:rFonts w:ascii="Arial" w:eastAsia="Times New Roman" w:hAnsi="Arial" w:cs="Arial"/>
          <w:bCs/>
          <w:spacing w:val="-3"/>
          <w:kern w:val="28"/>
          <w:sz w:val="24"/>
          <w:szCs w:val="24"/>
          <w:lang w:eastAsia="en-GB"/>
        </w:rPr>
      </w:pPr>
    </w:p>
    <w:p w:rsidR="00970760" w:rsidRDefault="0005479B" w:rsidP="00970760">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 xml:space="preserve">Fourth, </w:t>
      </w:r>
      <w:r w:rsidR="00970760" w:rsidRPr="00F46A1E">
        <w:rPr>
          <w:rFonts w:ascii="Arial" w:eastAsia="Times New Roman" w:hAnsi="Arial" w:cs="Arial"/>
          <w:bCs/>
          <w:i/>
          <w:spacing w:val="-3"/>
          <w:kern w:val="28"/>
          <w:sz w:val="24"/>
          <w:szCs w:val="24"/>
          <w:lang w:eastAsia="en-GB"/>
        </w:rPr>
        <w:t>Jenkins</w:t>
      </w:r>
      <w:r w:rsidR="00970760">
        <w:rPr>
          <w:rFonts w:ascii="Arial" w:eastAsia="Times New Roman" w:hAnsi="Arial" w:cs="Arial"/>
          <w:bCs/>
          <w:spacing w:val="-3"/>
          <w:kern w:val="28"/>
          <w:sz w:val="24"/>
          <w:szCs w:val="24"/>
          <w:lang w:eastAsia="en-GB"/>
        </w:rPr>
        <w:t xml:space="preserve"> </w:t>
      </w:r>
      <w:r>
        <w:rPr>
          <w:rFonts w:ascii="Arial" w:eastAsia="Times New Roman" w:hAnsi="Arial" w:cs="Arial"/>
          <w:bCs/>
          <w:spacing w:val="-3"/>
          <w:kern w:val="28"/>
          <w:sz w:val="24"/>
          <w:szCs w:val="24"/>
          <w:lang w:eastAsia="en-GB"/>
        </w:rPr>
        <w:t xml:space="preserve">does not avail the applicants as </w:t>
      </w:r>
      <w:r w:rsidR="00970760">
        <w:rPr>
          <w:rFonts w:ascii="Arial" w:eastAsia="Times New Roman" w:hAnsi="Arial" w:cs="Arial"/>
          <w:bCs/>
          <w:spacing w:val="-3"/>
          <w:kern w:val="28"/>
          <w:sz w:val="24"/>
          <w:szCs w:val="24"/>
          <w:lang w:eastAsia="en-GB"/>
        </w:rPr>
        <w:t>it was held that where a disputed application is settled on a basis which disposes of the merits except insofar as the costs are concerned</w:t>
      </w:r>
      <w:r>
        <w:rPr>
          <w:rFonts w:ascii="Arial" w:eastAsia="Times New Roman" w:hAnsi="Arial" w:cs="Arial"/>
          <w:bCs/>
          <w:spacing w:val="-3"/>
          <w:kern w:val="28"/>
          <w:sz w:val="24"/>
          <w:szCs w:val="24"/>
          <w:lang w:eastAsia="en-GB"/>
        </w:rPr>
        <w:t>,</w:t>
      </w:r>
      <w:r w:rsidR="00970760">
        <w:rPr>
          <w:rFonts w:ascii="Arial" w:eastAsia="Times New Roman" w:hAnsi="Arial" w:cs="Arial"/>
          <w:bCs/>
          <w:spacing w:val="-3"/>
          <w:kern w:val="28"/>
          <w:sz w:val="24"/>
          <w:szCs w:val="24"/>
          <w:lang w:eastAsia="en-GB"/>
        </w:rPr>
        <w:t xml:space="preserve"> a court should not have to hear evidence to decide the disputed facts in order to decide who is liable for costs</w:t>
      </w:r>
      <w:r>
        <w:rPr>
          <w:rFonts w:ascii="Arial" w:eastAsia="Times New Roman" w:hAnsi="Arial" w:cs="Arial"/>
          <w:bCs/>
          <w:spacing w:val="-3"/>
          <w:kern w:val="28"/>
          <w:sz w:val="24"/>
          <w:szCs w:val="24"/>
          <w:lang w:eastAsia="en-GB"/>
        </w:rPr>
        <w:t>.</w:t>
      </w:r>
      <w:r w:rsidR="00B75AF6" w:rsidRPr="00970760">
        <w:rPr>
          <w:rFonts w:ascii="Arial" w:eastAsia="Times New Roman" w:hAnsi="Arial" w:cs="Arial"/>
          <w:bCs/>
          <w:spacing w:val="-3"/>
          <w:kern w:val="28"/>
          <w:sz w:val="24"/>
          <w:szCs w:val="24"/>
          <w:lang w:eastAsia="en-GB"/>
        </w:rPr>
        <w:t xml:space="preserve"> </w:t>
      </w:r>
      <w:r w:rsidR="00526FAB">
        <w:rPr>
          <w:rFonts w:ascii="Arial" w:eastAsia="Times New Roman" w:hAnsi="Arial" w:cs="Arial"/>
          <w:bCs/>
          <w:spacing w:val="-3"/>
          <w:kern w:val="28"/>
          <w:sz w:val="24"/>
          <w:szCs w:val="24"/>
          <w:lang w:eastAsia="en-GB"/>
        </w:rPr>
        <w:t>The court held</w:t>
      </w:r>
      <w:r>
        <w:rPr>
          <w:rStyle w:val="FootnoteReference"/>
          <w:rFonts w:ascii="Arial" w:eastAsia="Times New Roman" w:hAnsi="Arial" w:cs="Arial"/>
          <w:bCs/>
          <w:i/>
          <w:spacing w:val="-3"/>
          <w:kern w:val="28"/>
          <w:sz w:val="24"/>
          <w:szCs w:val="24"/>
          <w:lang w:eastAsia="en-GB"/>
        </w:rPr>
        <w:footnoteReference w:id="6"/>
      </w:r>
      <w:r w:rsidR="00526FAB">
        <w:rPr>
          <w:rFonts w:ascii="Arial" w:eastAsia="Times New Roman" w:hAnsi="Arial" w:cs="Arial"/>
          <w:bCs/>
          <w:spacing w:val="-3"/>
          <w:kern w:val="28"/>
          <w:sz w:val="24"/>
          <w:szCs w:val="24"/>
          <w:lang w:eastAsia="en-GB"/>
        </w:rPr>
        <w:t>:</w:t>
      </w:r>
    </w:p>
    <w:p w:rsidR="0005479B" w:rsidRDefault="00970760" w:rsidP="0005479B">
      <w:pPr>
        <w:tabs>
          <w:tab w:val="left" w:pos="-720"/>
        </w:tabs>
        <w:suppressAutoHyphens/>
        <w:spacing w:after="0" w:line="360" w:lineRule="auto"/>
        <w:ind w:left="720"/>
        <w:jc w:val="both"/>
        <w:rPr>
          <w:rFonts w:ascii="Arial" w:eastAsia="Times New Roman" w:hAnsi="Arial" w:cs="Arial"/>
          <w:bCs/>
          <w:i/>
          <w:spacing w:val="-3"/>
          <w:kern w:val="28"/>
          <w:sz w:val="20"/>
          <w:szCs w:val="20"/>
          <w:lang w:eastAsia="en-GB"/>
        </w:rPr>
      </w:pPr>
      <w:r>
        <w:rPr>
          <w:rFonts w:ascii="Arial" w:eastAsia="Times New Roman" w:hAnsi="Arial" w:cs="Arial"/>
          <w:bCs/>
          <w:spacing w:val="-3"/>
          <w:kern w:val="28"/>
          <w:sz w:val="24"/>
          <w:szCs w:val="24"/>
          <w:lang w:eastAsia="en-GB"/>
        </w:rPr>
        <w:br/>
        <w:t>“</w:t>
      </w:r>
      <w:r w:rsidR="00526FAB">
        <w:rPr>
          <w:rFonts w:ascii="Arial" w:eastAsia="Times New Roman" w:hAnsi="Arial" w:cs="Arial"/>
          <w:bCs/>
          <w:i/>
          <w:spacing w:val="-3"/>
          <w:kern w:val="28"/>
          <w:sz w:val="20"/>
          <w:szCs w:val="20"/>
          <w:lang w:eastAsia="en-GB"/>
        </w:rPr>
        <w:t>I</w:t>
      </w:r>
      <w:r w:rsidRPr="00B75AF6">
        <w:rPr>
          <w:rFonts w:ascii="Arial" w:eastAsia="Times New Roman" w:hAnsi="Arial" w:cs="Arial"/>
          <w:bCs/>
          <w:i/>
          <w:spacing w:val="-3"/>
          <w:kern w:val="28"/>
          <w:sz w:val="20"/>
          <w:szCs w:val="20"/>
          <w:lang w:eastAsia="en-GB"/>
        </w:rPr>
        <w:t>t seems to me to be against all principle for the court time to be taken up for several days in the hearing of a case in respect of which the me</w:t>
      </w:r>
      <w:r>
        <w:rPr>
          <w:rFonts w:ascii="Arial" w:eastAsia="Times New Roman" w:hAnsi="Arial" w:cs="Arial"/>
          <w:bCs/>
          <w:i/>
          <w:spacing w:val="-3"/>
          <w:kern w:val="28"/>
          <w:sz w:val="20"/>
          <w:szCs w:val="20"/>
          <w:lang w:eastAsia="en-GB"/>
        </w:rPr>
        <w:t>r</w:t>
      </w:r>
      <w:r w:rsidRPr="00B75AF6">
        <w:rPr>
          <w:rFonts w:ascii="Arial" w:eastAsia="Times New Roman" w:hAnsi="Arial" w:cs="Arial"/>
          <w:bCs/>
          <w:i/>
          <w:spacing w:val="-3"/>
          <w:kern w:val="28"/>
          <w:sz w:val="20"/>
          <w:szCs w:val="20"/>
          <w:lang w:eastAsia="en-GB"/>
        </w:rPr>
        <w:t>i</w:t>
      </w:r>
      <w:r>
        <w:rPr>
          <w:rFonts w:ascii="Arial" w:eastAsia="Times New Roman" w:hAnsi="Arial" w:cs="Arial"/>
          <w:bCs/>
          <w:i/>
          <w:spacing w:val="-3"/>
          <w:kern w:val="28"/>
          <w:sz w:val="20"/>
          <w:szCs w:val="20"/>
          <w:lang w:eastAsia="en-GB"/>
        </w:rPr>
        <w:t>t</w:t>
      </w:r>
      <w:r w:rsidRPr="00B75AF6">
        <w:rPr>
          <w:rFonts w:ascii="Arial" w:eastAsia="Times New Roman" w:hAnsi="Arial" w:cs="Arial"/>
          <w:bCs/>
          <w:i/>
          <w:spacing w:val="-3"/>
          <w:kern w:val="28"/>
          <w:sz w:val="20"/>
          <w:szCs w:val="20"/>
          <w:lang w:eastAsia="en-GB"/>
        </w:rPr>
        <w:t>s have been disposed of by the acceptance of an o</w:t>
      </w:r>
      <w:r>
        <w:rPr>
          <w:rFonts w:ascii="Arial" w:eastAsia="Times New Roman" w:hAnsi="Arial" w:cs="Arial"/>
          <w:bCs/>
          <w:i/>
          <w:spacing w:val="-3"/>
          <w:kern w:val="28"/>
          <w:sz w:val="20"/>
          <w:szCs w:val="20"/>
          <w:lang w:eastAsia="en-GB"/>
        </w:rPr>
        <w:t>r</w:t>
      </w:r>
      <w:r w:rsidRPr="00B75AF6">
        <w:rPr>
          <w:rFonts w:ascii="Arial" w:eastAsia="Times New Roman" w:hAnsi="Arial" w:cs="Arial"/>
          <w:bCs/>
          <w:i/>
          <w:spacing w:val="-3"/>
          <w:kern w:val="28"/>
          <w:sz w:val="20"/>
          <w:szCs w:val="20"/>
          <w:lang w:eastAsia="en-GB"/>
        </w:rPr>
        <w:t>der in order to decide</w:t>
      </w:r>
      <w:r>
        <w:rPr>
          <w:rFonts w:ascii="Arial" w:eastAsia="Times New Roman" w:hAnsi="Arial" w:cs="Arial"/>
          <w:bCs/>
          <w:i/>
          <w:spacing w:val="-3"/>
          <w:kern w:val="28"/>
          <w:sz w:val="20"/>
          <w:szCs w:val="20"/>
          <w:lang w:eastAsia="en-GB"/>
        </w:rPr>
        <w:t xml:space="preserve"> </w:t>
      </w:r>
      <w:r w:rsidRPr="00B75AF6">
        <w:rPr>
          <w:rFonts w:ascii="Arial" w:eastAsia="Times New Roman" w:hAnsi="Arial" w:cs="Arial"/>
          <w:bCs/>
          <w:i/>
          <w:spacing w:val="-3"/>
          <w:kern w:val="28"/>
          <w:sz w:val="20"/>
          <w:szCs w:val="20"/>
          <w:lang w:eastAsia="en-GB"/>
        </w:rPr>
        <w:t xml:space="preserve">questions of cost </w:t>
      </w:r>
      <w:r w:rsidR="0005479B">
        <w:rPr>
          <w:rFonts w:ascii="Arial" w:eastAsia="Times New Roman" w:hAnsi="Arial" w:cs="Arial"/>
          <w:bCs/>
          <w:i/>
          <w:spacing w:val="-3"/>
          <w:kern w:val="28"/>
          <w:sz w:val="20"/>
          <w:szCs w:val="20"/>
          <w:lang w:eastAsia="en-GB"/>
        </w:rPr>
        <w:t>…</w:t>
      </w:r>
    </w:p>
    <w:p w:rsidR="00970760" w:rsidRDefault="00970760" w:rsidP="0005479B">
      <w:pPr>
        <w:tabs>
          <w:tab w:val="left" w:pos="-720"/>
        </w:tabs>
        <w:suppressAutoHyphens/>
        <w:spacing w:after="0" w:line="360" w:lineRule="auto"/>
        <w:ind w:left="720"/>
        <w:jc w:val="both"/>
        <w:rPr>
          <w:rFonts w:ascii="Arial" w:eastAsia="Times New Roman" w:hAnsi="Arial" w:cs="Arial"/>
          <w:bCs/>
          <w:spacing w:val="-3"/>
          <w:kern w:val="28"/>
          <w:sz w:val="24"/>
          <w:szCs w:val="24"/>
          <w:lang w:eastAsia="en-GB"/>
        </w:rPr>
      </w:pPr>
      <w:r w:rsidRPr="00B75AF6">
        <w:rPr>
          <w:rFonts w:ascii="Arial" w:eastAsia="Times New Roman" w:hAnsi="Arial" w:cs="Arial"/>
          <w:bCs/>
          <w:i/>
          <w:spacing w:val="-3"/>
          <w:kern w:val="28"/>
          <w:sz w:val="20"/>
          <w:szCs w:val="20"/>
          <w:lang w:eastAsia="en-GB"/>
        </w:rPr>
        <w:t>I think the court must to d</w:t>
      </w:r>
      <w:r>
        <w:rPr>
          <w:rFonts w:ascii="Arial" w:eastAsia="Times New Roman" w:hAnsi="Arial" w:cs="Arial"/>
          <w:bCs/>
          <w:i/>
          <w:spacing w:val="-3"/>
          <w:kern w:val="28"/>
          <w:sz w:val="20"/>
          <w:szCs w:val="20"/>
          <w:lang w:eastAsia="en-GB"/>
        </w:rPr>
        <w:t xml:space="preserve">o </w:t>
      </w:r>
      <w:r w:rsidRPr="00B75AF6">
        <w:rPr>
          <w:rFonts w:ascii="Arial" w:eastAsia="Times New Roman" w:hAnsi="Arial" w:cs="Arial"/>
          <w:bCs/>
          <w:i/>
          <w:spacing w:val="-3"/>
          <w:kern w:val="28"/>
          <w:sz w:val="20"/>
          <w:szCs w:val="20"/>
          <w:lang w:eastAsia="en-GB"/>
        </w:rPr>
        <w:t>its best with the material at its disposal to make a fair allocation of costs, empl</w:t>
      </w:r>
      <w:r>
        <w:rPr>
          <w:rFonts w:ascii="Arial" w:eastAsia="Times New Roman" w:hAnsi="Arial" w:cs="Arial"/>
          <w:bCs/>
          <w:i/>
          <w:spacing w:val="-3"/>
          <w:kern w:val="28"/>
          <w:sz w:val="20"/>
          <w:szCs w:val="20"/>
          <w:lang w:eastAsia="en-GB"/>
        </w:rPr>
        <w:t>o</w:t>
      </w:r>
      <w:r w:rsidRPr="00B75AF6">
        <w:rPr>
          <w:rFonts w:ascii="Arial" w:eastAsia="Times New Roman" w:hAnsi="Arial" w:cs="Arial"/>
          <w:bCs/>
          <w:i/>
          <w:spacing w:val="-3"/>
          <w:kern w:val="28"/>
          <w:sz w:val="20"/>
          <w:szCs w:val="20"/>
          <w:lang w:eastAsia="en-GB"/>
        </w:rPr>
        <w:t>y</w:t>
      </w:r>
      <w:r>
        <w:rPr>
          <w:rFonts w:ascii="Arial" w:eastAsia="Times New Roman" w:hAnsi="Arial" w:cs="Arial"/>
          <w:bCs/>
          <w:i/>
          <w:spacing w:val="-3"/>
          <w:kern w:val="28"/>
          <w:sz w:val="20"/>
          <w:szCs w:val="20"/>
          <w:lang w:eastAsia="en-GB"/>
        </w:rPr>
        <w:t>i</w:t>
      </w:r>
      <w:r w:rsidRPr="00B75AF6">
        <w:rPr>
          <w:rFonts w:ascii="Arial" w:eastAsia="Times New Roman" w:hAnsi="Arial" w:cs="Arial"/>
          <w:bCs/>
          <w:i/>
          <w:spacing w:val="-3"/>
          <w:kern w:val="28"/>
          <w:sz w:val="20"/>
          <w:szCs w:val="20"/>
          <w:lang w:eastAsia="en-GB"/>
        </w:rPr>
        <w:t>ng such legal principles as are applicable to the situation. This is much to be preferred to laying down a principle which requires courts to investigate dead issues to see who would have won on such issues. In most such cases the litigants would be required to incur far greate</w:t>
      </w:r>
      <w:r>
        <w:rPr>
          <w:rFonts w:ascii="Arial" w:eastAsia="Times New Roman" w:hAnsi="Arial" w:cs="Arial"/>
          <w:bCs/>
          <w:i/>
          <w:spacing w:val="-3"/>
          <w:kern w:val="28"/>
          <w:sz w:val="20"/>
          <w:szCs w:val="20"/>
          <w:lang w:eastAsia="en-GB"/>
        </w:rPr>
        <w:t>r</w:t>
      </w:r>
      <w:r w:rsidRPr="00B75AF6">
        <w:rPr>
          <w:rFonts w:ascii="Arial" w:eastAsia="Times New Roman" w:hAnsi="Arial" w:cs="Arial"/>
          <w:bCs/>
          <w:i/>
          <w:spacing w:val="-3"/>
          <w:kern w:val="28"/>
          <w:sz w:val="20"/>
          <w:szCs w:val="20"/>
          <w:lang w:eastAsia="en-GB"/>
        </w:rPr>
        <w:t xml:space="preserve"> costs than those at sta</w:t>
      </w:r>
      <w:r>
        <w:rPr>
          <w:rFonts w:ascii="Arial" w:eastAsia="Times New Roman" w:hAnsi="Arial" w:cs="Arial"/>
          <w:bCs/>
          <w:i/>
          <w:spacing w:val="-3"/>
          <w:kern w:val="28"/>
          <w:sz w:val="20"/>
          <w:szCs w:val="20"/>
          <w:lang w:eastAsia="en-GB"/>
        </w:rPr>
        <w:t>k</w:t>
      </w:r>
      <w:r w:rsidRPr="00B75AF6">
        <w:rPr>
          <w:rFonts w:ascii="Arial" w:eastAsia="Times New Roman" w:hAnsi="Arial" w:cs="Arial"/>
          <w:bCs/>
          <w:i/>
          <w:spacing w:val="-3"/>
          <w:kern w:val="28"/>
          <w:sz w:val="20"/>
          <w:szCs w:val="20"/>
          <w:lang w:eastAsia="en-GB"/>
        </w:rPr>
        <w:t>e. In my view the costs must be decided on broad general lines and, not on lines t</w:t>
      </w:r>
      <w:r>
        <w:rPr>
          <w:rFonts w:ascii="Arial" w:eastAsia="Times New Roman" w:hAnsi="Arial" w:cs="Arial"/>
          <w:bCs/>
          <w:i/>
          <w:spacing w:val="-3"/>
          <w:kern w:val="28"/>
          <w:sz w:val="20"/>
          <w:szCs w:val="20"/>
          <w:lang w:eastAsia="en-GB"/>
        </w:rPr>
        <w:t>h</w:t>
      </w:r>
      <w:r w:rsidRPr="00B75AF6">
        <w:rPr>
          <w:rFonts w:ascii="Arial" w:eastAsia="Times New Roman" w:hAnsi="Arial" w:cs="Arial"/>
          <w:bCs/>
          <w:i/>
          <w:spacing w:val="-3"/>
          <w:kern w:val="28"/>
          <w:sz w:val="20"/>
          <w:szCs w:val="20"/>
          <w:lang w:eastAsia="en-GB"/>
        </w:rPr>
        <w:t xml:space="preserve">at would necessitate a full hearing on the merits of a case that has already been settled.” </w:t>
      </w:r>
    </w:p>
    <w:p w:rsidR="00970760" w:rsidRDefault="00970760" w:rsidP="00275A76">
      <w:pPr>
        <w:pStyle w:val="ListParagraph"/>
        <w:spacing w:line="360" w:lineRule="auto"/>
        <w:rPr>
          <w:rFonts w:ascii="Arial" w:eastAsia="Times New Roman" w:hAnsi="Arial" w:cs="Arial"/>
          <w:bCs/>
          <w:spacing w:val="-3"/>
          <w:kern w:val="28"/>
          <w:sz w:val="24"/>
          <w:szCs w:val="24"/>
          <w:lang w:eastAsia="en-GB"/>
        </w:rPr>
      </w:pPr>
    </w:p>
    <w:p w:rsidR="00970760" w:rsidRDefault="00526FAB" w:rsidP="00970760">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In my view the same principles would apply to the present circumstances where the applicants have abandoned the application and the relief sought has become moot. Costs must thus be decided on broad general lines</w:t>
      </w:r>
      <w:r w:rsidR="00970760">
        <w:rPr>
          <w:rFonts w:ascii="Arial" w:eastAsia="Times New Roman" w:hAnsi="Arial" w:cs="Arial"/>
          <w:bCs/>
          <w:spacing w:val="-3"/>
          <w:kern w:val="28"/>
          <w:sz w:val="24"/>
          <w:szCs w:val="24"/>
          <w:lang w:eastAsia="en-GB"/>
        </w:rPr>
        <w:t>.</w:t>
      </w:r>
    </w:p>
    <w:p w:rsidR="00970760" w:rsidRDefault="00970760" w:rsidP="00970760">
      <w:pPr>
        <w:pStyle w:val="ListParagraph"/>
        <w:tabs>
          <w:tab w:val="left" w:pos="-720"/>
        </w:tabs>
        <w:suppressAutoHyphens/>
        <w:spacing w:after="0" w:line="360" w:lineRule="auto"/>
        <w:ind w:left="0"/>
        <w:jc w:val="both"/>
        <w:rPr>
          <w:rFonts w:ascii="Arial" w:eastAsia="Times New Roman" w:hAnsi="Arial" w:cs="Arial"/>
          <w:bCs/>
          <w:spacing w:val="-3"/>
          <w:kern w:val="28"/>
          <w:sz w:val="24"/>
          <w:szCs w:val="24"/>
          <w:lang w:eastAsia="en-GB"/>
        </w:rPr>
      </w:pPr>
    </w:p>
    <w:p w:rsidR="00F46A1E" w:rsidRPr="00281249" w:rsidRDefault="00281249" w:rsidP="00DD3296">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sidRPr="00281249">
        <w:rPr>
          <w:rFonts w:ascii="Arial" w:eastAsia="Times New Roman" w:hAnsi="Arial" w:cs="Arial"/>
          <w:bCs/>
          <w:spacing w:val="-3"/>
          <w:kern w:val="28"/>
          <w:sz w:val="24"/>
          <w:szCs w:val="24"/>
          <w:lang w:eastAsia="en-GB"/>
        </w:rPr>
        <w:lastRenderedPageBreak/>
        <w:t>Having considered the available material and</w:t>
      </w:r>
      <w:r w:rsidR="00970760" w:rsidRPr="00281249">
        <w:rPr>
          <w:rFonts w:ascii="Arial" w:eastAsia="Times New Roman" w:hAnsi="Arial" w:cs="Arial"/>
          <w:bCs/>
          <w:spacing w:val="-3"/>
          <w:kern w:val="28"/>
          <w:sz w:val="24"/>
          <w:szCs w:val="24"/>
          <w:lang w:eastAsia="en-GB"/>
        </w:rPr>
        <w:t xml:space="preserve"> the undisputed facts, </w:t>
      </w:r>
      <w:r w:rsidRPr="00281249">
        <w:rPr>
          <w:rFonts w:ascii="Arial" w:eastAsia="Times New Roman" w:hAnsi="Arial" w:cs="Arial"/>
          <w:bCs/>
          <w:spacing w:val="-3"/>
          <w:kern w:val="28"/>
          <w:sz w:val="24"/>
          <w:szCs w:val="24"/>
          <w:lang w:eastAsia="en-GB"/>
        </w:rPr>
        <w:t xml:space="preserve">I concluded that </w:t>
      </w:r>
      <w:r w:rsidR="00970760" w:rsidRPr="00281249">
        <w:rPr>
          <w:rFonts w:ascii="Arial" w:eastAsia="Times New Roman" w:hAnsi="Arial" w:cs="Arial"/>
          <w:bCs/>
          <w:spacing w:val="-3"/>
          <w:kern w:val="28"/>
          <w:sz w:val="24"/>
          <w:szCs w:val="24"/>
          <w:lang w:eastAsia="en-GB"/>
        </w:rPr>
        <w:t xml:space="preserve">the applicants did not comply with the requirements set out by Sutherland J in </w:t>
      </w:r>
      <w:r w:rsidR="00970760" w:rsidRPr="00281249">
        <w:rPr>
          <w:rFonts w:ascii="Arial" w:eastAsia="Times New Roman" w:hAnsi="Arial" w:cs="Arial"/>
          <w:bCs/>
          <w:i/>
          <w:spacing w:val="-3"/>
          <w:kern w:val="28"/>
          <w:sz w:val="24"/>
          <w:szCs w:val="24"/>
          <w:lang w:eastAsia="en-GB"/>
        </w:rPr>
        <w:t>South African Airways SOC v BDFM Publishers (Pty) Ltd</w:t>
      </w:r>
      <w:r w:rsidR="00970760" w:rsidRPr="00F46A1E">
        <w:rPr>
          <w:rStyle w:val="FootnoteReference"/>
          <w:rFonts w:ascii="Arial" w:eastAsia="Times New Roman" w:hAnsi="Arial" w:cs="Arial"/>
          <w:bCs/>
          <w:i/>
          <w:spacing w:val="-3"/>
          <w:kern w:val="28"/>
          <w:sz w:val="24"/>
          <w:szCs w:val="24"/>
          <w:lang w:eastAsia="en-GB"/>
        </w:rPr>
        <w:footnoteReference w:id="7"/>
      </w:r>
      <w:r w:rsidR="00970760" w:rsidRPr="00281249">
        <w:rPr>
          <w:rFonts w:ascii="Arial" w:eastAsia="Times New Roman" w:hAnsi="Arial" w:cs="Arial"/>
          <w:bCs/>
          <w:spacing w:val="-3"/>
          <w:kern w:val="28"/>
          <w:sz w:val="24"/>
          <w:szCs w:val="24"/>
          <w:lang w:eastAsia="en-GB"/>
        </w:rPr>
        <w:t xml:space="preserve"> in launching the application on 21 April 2021</w:t>
      </w:r>
      <w:r w:rsidR="00526FAB" w:rsidRPr="00281249">
        <w:rPr>
          <w:rFonts w:ascii="Arial" w:eastAsia="Times New Roman" w:hAnsi="Arial" w:cs="Arial"/>
          <w:bCs/>
          <w:spacing w:val="-3"/>
          <w:kern w:val="28"/>
          <w:sz w:val="24"/>
          <w:szCs w:val="24"/>
          <w:lang w:eastAsia="en-GB"/>
        </w:rPr>
        <w:t>, on less than two hours</w:t>
      </w:r>
      <w:r w:rsidR="0005479B" w:rsidRPr="00281249">
        <w:rPr>
          <w:rFonts w:ascii="Arial" w:eastAsia="Times New Roman" w:hAnsi="Arial" w:cs="Arial"/>
          <w:bCs/>
          <w:spacing w:val="-3"/>
          <w:kern w:val="28"/>
          <w:sz w:val="24"/>
          <w:szCs w:val="24"/>
          <w:lang w:eastAsia="en-GB"/>
        </w:rPr>
        <w:t>’</w:t>
      </w:r>
      <w:r w:rsidR="00526FAB" w:rsidRPr="00281249">
        <w:rPr>
          <w:rFonts w:ascii="Arial" w:eastAsia="Times New Roman" w:hAnsi="Arial" w:cs="Arial"/>
          <w:bCs/>
          <w:spacing w:val="-3"/>
          <w:kern w:val="28"/>
          <w:sz w:val="24"/>
          <w:szCs w:val="24"/>
          <w:lang w:eastAsia="en-GB"/>
        </w:rPr>
        <w:t xml:space="preserve"> notice</w:t>
      </w:r>
      <w:r w:rsidR="00970760" w:rsidRPr="00281249">
        <w:rPr>
          <w:rFonts w:ascii="Arial" w:eastAsia="Times New Roman" w:hAnsi="Arial" w:cs="Arial"/>
          <w:bCs/>
          <w:spacing w:val="-3"/>
          <w:kern w:val="28"/>
          <w:sz w:val="24"/>
          <w:szCs w:val="24"/>
          <w:lang w:eastAsia="en-GB"/>
        </w:rPr>
        <w:t>.</w:t>
      </w:r>
      <w:r>
        <w:rPr>
          <w:rFonts w:ascii="Arial" w:eastAsia="Times New Roman" w:hAnsi="Arial" w:cs="Arial"/>
          <w:bCs/>
          <w:spacing w:val="-3"/>
          <w:kern w:val="28"/>
          <w:sz w:val="24"/>
          <w:szCs w:val="24"/>
          <w:lang w:eastAsia="en-GB"/>
        </w:rPr>
        <w:t xml:space="preserve"> </w:t>
      </w:r>
      <w:r w:rsidR="00970760" w:rsidRPr="00281249">
        <w:rPr>
          <w:rFonts w:ascii="Arial" w:eastAsia="Times New Roman" w:hAnsi="Arial" w:cs="Arial"/>
          <w:bCs/>
          <w:spacing w:val="-3"/>
          <w:kern w:val="28"/>
          <w:sz w:val="24"/>
          <w:szCs w:val="24"/>
          <w:lang w:eastAsia="en-GB"/>
        </w:rPr>
        <w:t>The applicants further did not comply with the practice directives pertaining to urgent applications</w:t>
      </w:r>
      <w:r>
        <w:rPr>
          <w:rFonts w:ascii="Arial" w:eastAsia="Times New Roman" w:hAnsi="Arial" w:cs="Arial"/>
          <w:bCs/>
          <w:spacing w:val="-3"/>
          <w:kern w:val="28"/>
          <w:sz w:val="24"/>
          <w:szCs w:val="24"/>
          <w:lang w:eastAsia="en-GB"/>
        </w:rPr>
        <w:t xml:space="preserve"> and the relevant principles </w:t>
      </w:r>
      <w:r w:rsidR="0005479B" w:rsidRPr="00281249">
        <w:rPr>
          <w:rFonts w:ascii="Arial" w:eastAsia="Times New Roman" w:hAnsi="Arial" w:cs="Arial"/>
          <w:bCs/>
          <w:spacing w:val="-3"/>
          <w:kern w:val="28"/>
          <w:sz w:val="24"/>
          <w:szCs w:val="24"/>
          <w:lang w:eastAsia="en-GB"/>
        </w:rPr>
        <w:t xml:space="preserve">explained </w:t>
      </w:r>
      <w:r w:rsidR="00970760" w:rsidRPr="00281249">
        <w:rPr>
          <w:rFonts w:ascii="Arial" w:eastAsia="Times New Roman" w:hAnsi="Arial" w:cs="Arial"/>
          <w:bCs/>
          <w:spacing w:val="-3"/>
          <w:kern w:val="28"/>
          <w:sz w:val="24"/>
          <w:szCs w:val="24"/>
          <w:lang w:eastAsia="en-GB"/>
        </w:rPr>
        <w:t xml:space="preserve">by Wepener J in </w:t>
      </w:r>
      <w:r w:rsidR="00970760" w:rsidRPr="00281249">
        <w:rPr>
          <w:rFonts w:ascii="Arial" w:eastAsia="Times New Roman" w:hAnsi="Arial" w:cs="Arial"/>
          <w:bCs/>
          <w:i/>
          <w:spacing w:val="-3"/>
          <w:kern w:val="28"/>
          <w:sz w:val="24"/>
          <w:szCs w:val="24"/>
          <w:lang w:eastAsia="en-GB"/>
        </w:rPr>
        <w:t>In re : Several Matters on the urgent Court Roll</w:t>
      </w:r>
      <w:r w:rsidR="00970760" w:rsidRPr="00F46A1E">
        <w:rPr>
          <w:rStyle w:val="FootnoteReference"/>
          <w:rFonts w:ascii="Arial" w:eastAsia="Times New Roman" w:hAnsi="Arial" w:cs="Arial"/>
          <w:bCs/>
          <w:i/>
          <w:spacing w:val="-3"/>
          <w:kern w:val="28"/>
          <w:sz w:val="24"/>
          <w:szCs w:val="24"/>
          <w:lang w:eastAsia="en-GB"/>
        </w:rPr>
        <w:footnoteReference w:id="8"/>
      </w:r>
      <w:r w:rsidR="00970760" w:rsidRPr="00281249">
        <w:rPr>
          <w:rFonts w:ascii="Arial" w:eastAsia="Times New Roman" w:hAnsi="Arial" w:cs="Arial"/>
          <w:bCs/>
          <w:spacing w:val="-3"/>
          <w:kern w:val="28"/>
          <w:sz w:val="24"/>
          <w:szCs w:val="24"/>
          <w:lang w:eastAsia="en-GB"/>
        </w:rPr>
        <w:t>.</w:t>
      </w:r>
      <w:r w:rsidR="00D84174" w:rsidRPr="00281249">
        <w:rPr>
          <w:rFonts w:ascii="Arial" w:eastAsia="Times New Roman" w:hAnsi="Arial" w:cs="Arial"/>
          <w:bCs/>
          <w:spacing w:val="-3"/>
          <w:kern w:val="28"/>
          <w:sz w:val="24"/>
          <w:szCs w:val="24"/>
          <w:lang w:eastAsia="en-GB"/>
        </w:rPr>
        <w:t xml:space="preserve"> </w:t>
      </w:r>
    </w:p>
    <w:p w:rsidR="00970760" w:rsidRPr="00970760" w:rsidRDefault="00970760" w:rsidP="00275A76">
      <w:pPr>
        <w:pStyle w:val="ListParagraph"/>
        <w:spacing w:line="360" w:lineRule="auto"/>
        <w:rPr>
          <w:rFonts w:ascii="Arial" w:eastAsia="Times New Roman" w:hAnsi="Arial" w:cs="Arial"/>
          <w:bCs/>
          <w:spacing w:val="-3"/>
          <w:kern w:val="28"/>
          <w:sz w:val="24"/>
          <w:szCs w:val="24"/>
          <w:lang w:eastAsia="en-GB"/>
        </w:rPr>
      </w:pPr>
    </w:p>
    <w:p w:rsidR="0053078B" w:rsidRDefault="007E197B" w:rsidP="00ED4D67">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These deficiencies, c</w:t>
      </w:r>
      <w:r w:rsidR="00970760">
        <w:rPr>
          <w:rFonts w:ascii="Arial" w:eastAsia="Times New Roman" w:hAnsi="Arial" w:cs="Arial"/>
          <w:bCs/>
          <w:spacing w:val="-3"/>
          <w:kern w:val="28"/>
          <w:sz w:val="24"/>
          <w:szCs w:val="24"/>
          <w:lang w:eastAsia="en-GB"/>
        </w:rPr>
        <w:t>ombined with the lack of proper service on the liquidators and the abandonment of the</w:t>
      </w:r>
      <w:r>
        <w:rPr>
          <w:rFonts w:ascii="Arial" w:eastAsia="Times New Roman" w:hAnsi="Arial" w:cs="Arial"/>
          <w:bCs/>
          <w:spacing w:val="-3"/>
          <w:kern w:val="28"/>
          <w:sz w:val="24"/>
          <w:szCs w:val="24"/>
          <w:lang w:eastAsia="en-GB"/>
        </w:rPr>
        <w:t xml:space="preserve"> application by the applicants, justify a </w:t>
      </w:r>
      <w:r w:rsidR="00970760">
        <w:rPr>
          <w:rFonts w:ascii="Arial" w:eastAsia="Times New Roman" w:hAnsi="Arial" w:cs="Arial"/>
          <w:bCs/>
          <w:spacing w:val="-3"/>
          <w:kern w:val="28"/>
          <w:sz w:val="24"/>
          <w:szCs w:val="24"/>
          <w:lang w:eastAsia="en-GB"/>
        </w:rPr>
        <w:t>conclu</w:t>
      </w:r>
      <w:r>
        <w:rPr>
          <w:rFonts w:ascii="Arial" w:eastAsia="Times New Roman" w:hAnsi="Arial" w:cs="Arial"/>
          <w:bCs/>
          <w:spacing w:val="-3"/>
          <w:kern w:val="28"/>
          <w:sz w:val="24"/>
          <w:szCs w:val="24"/>
          <w:lang w:eastAsia="en-GB"/>
        </w:rPr>
        <w:t>sion</w:t>
      </w:r>
      <w:r w:rsidR="00970760">
        <w:rPr>
          <w:rFonts w:ascii="Arial" w:eastAsia="Times New Roman" w:hAnsi="Arial" w:cs="Arial"/>
          <w:bCs/>
          <w:spacing w:val="-3"/>
          <w:kern w:val="28"/>
          <w:sz w:val="24"/>
          <w:szCs w:val="24"/>
          <w:lang w:eastAsia="en-GB"/>
        </w:rPr>
        <w:t xml:space="preserve"> that the application constituted an abuse of process, as contended by the sixth respondent.</w:t>
      </w:r>
    </w:p>
    <w:p w:rsidR="0053078B" w:rsidRPr="0053078B" w:rsidRDefault="0053078B" w:rsidP="00275A76">
      <w:pPr>
        <w:pStyle w:val="ListParagraph"/>
        <w:spacing w:line="360" w:lineRule="auto"/>
        <w:rPr>
          <w:rFonts w:ascii="Arial" w:eastAsia="Times New Roman" w:hAnsi="Arial" w:cs="Arial"/>
          <w:bCs/>
          <w:spacing w:val="-3"/>
          <w:kern w:val="28"/>
          <w:sz w:val="24"/>
          <w:szCs w:val="24"/>
          <w:lang w:eastAsia="en-GB"/>
        </w:rPr>
      </w:pPr>
    </w:p>
    <w:p w:rsidR="0053078B" w:rsidRDefault="007E197B" w:rsidP="00275A76">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Having abandoned the application</w:t>
      </w:r>
      <w:r w:rsidR="0053078B" w:rsidRPr="0053078B">
        <w:rPr>
          <w:rFonts w:ascii="Arial" w:eastAsia="Times New Roman" w:hAnsi="Arial" w:cs="Arial"/>
          <w:bCs/>
          <w:spacing w:val="-3"/>
          <w:kern w:val="28"/>
          <w:sz w:val="24"/>
          <w:szCs w:val="24"/>
          <w:lang w:eastAsia="en-GB"/>
        </w:rPr>
        <w:t>, the applicants had a duty to make a reasonable proposal pertaining to costs</w:t>
      </w:r>
      <w:r w:rsidR="0053078B">
        <w:rPr>
          <w:rStyle w:val="FootnoteReference"/>
          <w:rFonts w:ascii="Arial" w:eastAsia="Times New Roman" w:hAnsi="Arial" w:cs="Arial"/>
          <w:bCs/>
          <w:spacing w:val="-3"/>
          <w:kern w:val="28"/>
          <w:sz w:val="24"/>
          <w:szCs w:val="24"/>
          <w:lang w:eastAsia="en-GB"/>
        </w:rPr>
        <w:footnoteReference w:id="9"/>
      </w:r>
      <w:r w:rsidR="0053078B" w:rsidRPr="0053078B">
        <w:rPr>
          <w:rFonts w:ascii="Arial" w:eastAsia="Times New Roman" w:hAnsi="Arial" w:cs="Arial"/>
          <w:bCs/>
          <w:spacing w:val="-3"/>
          <w:kern w:val="28"/>
          <w:sz w:val="24"/>
          <w:szCs w:val="24"/>
          <w:lang w:eastAsia="en-GB"/>
        </w:rPr>
        <w:t xml:space="preserve"> pursuant to the parties</w:t>
      </w:r>
      <w:r>
        <w:rPr>
          <w:rFonts w:ascii="Arial" w:eastAsia="Times New Roman" w:hAnsi="Arial" w:cs="Arial"/>
          <w:bCs/>
          <w:spacing w:val="-3"/>
          <w:kern w:val="28"/>
          <w:sz w:val="24"/>
          <w:szCs w:val="24"/>
          <w:lang w:eastAsia="en-GB"/>
        </w:rPr>
        <w:t>’</w:t>
      </w:r>
      <w:r w:rsidR="0053078B" w:rsidRPr="0053078B">
        <w:rPr>
          <w:rFonts w:ascii="Arial" w:eastAsia="Times New Roman" w:hAnsi="Arial" w:cs="Arial"/>
          <w:bCs/>
          <w:spacing w:val="-3"/>
          <w:kern w:val="28"/>
          <w:sz w:val="24"/>
          <w:szCs w:val="24"/>
          <w:lang w:eastAsia="en-GB"/>
        </w:rPr>
        <w:t xml:space="preserve"> duty to contribute to the efficient use of judicial resources. The applicants failed to do so. To the contrary, the applicants sought to place on additional burden on this court by insisting that the main application, consisting of a voluminous record, be considered on its merits in the face of them abandoning the relief sought therein</w:t>
      </w:r>
      <w:r>
        <w:rPr>
          <w:rFonts w:ascii="Arial" w:eastAsia="Times New Roman" w:hAnsi="Arial" w:cs="Arial"/>
          <w:bCs/>
          <w:spacing w:val="-3"/>
          <w:kern w:val="28"/>
          <w:sz w:val="24"/>
          <w:szCs w:val="24"/>
          <w:lang w:eastAsia="en-GB"/>
        </w:rPr>
        <w:t xml:space="preserve"> and the application having become moot</w:t>
      </w:r>
      <w:r w:rsidR="0053078B" w:rsidRPr="0053078B">
        <w:rPr>
          <w:rFonts w:ascii="Arial" w:eastAsia="Times New Roman" w:hAnsi="Arial" w:cs="Arial"/>
          <w:bCs/>
          <w:spacing w:val="-3"/>
          <w:kern w:val="28"/>
          <w:sz w:val="24"/>
          <w:szCs w:val="24"/>
          <w:lang w:eastAsia="en-GB"/>
        </w:rPr>
        <w:t xml:space="preserve">. </w:t>
      </w:r>
    </w:p>
    <w:p w:rsidR="00275A76" w:rsidRPr="0053078B" w:rsidRDefault="00275A76" w:rsidP="00275A76">
      <w:pPr>
        <w:pStyle w:val="ListParagraph"/>
        <w:tabs>
          <w:tab w:val="left" w:pos="-720"/>
        </w:tabs>
        <w:suppressAutoHyphens/>
        <w:spacing w:after="0" w:line="360" w:lineRule="auto"/>
        <w:ind w:left="0"/>
        <w:jc w:val="both"/>
        <w:rPr>
          <w:rFonts w:ascii="Arial" w:eastAsia="Times New Roman" w:hAnsi="Arial" w:cs="Arial"/>
          <w:bCs/>
          <w:spacing w:val="-3"/>
          <w:kern w:val="28"/>
          <w:sz w:val="24"/>
          <w:szCs w:val="24"/>
          <w:lang w:eastAsia="en-GB"/>
        </w:rPr>
      </w:pPr>
    </w:p>
    <w:p w:rsidR="0053078B" w:rsidRDefault="0053078B" w:rsidP="00275A76">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sidRPr="0053078B">
        <w:rPr>
          <w:rFonts w:ascii="Arial" w:eastAsia="Times New Roman" w:hAnsi="Arial" w:cs="Arial"/>
          <w:bCs/>
          <w:spacing w:val="-3"/>
          <w:kern w:val="28"/>
          <w:sz w:val="24"/>
          <w:szCs w:val="24"/>
          <w:lang w:eastAsia="en-GB"/>
        </w:rPr>
        <w:t>Had the applicants timeously made a reasonable proposal, substantial additional time and costs could have been avoided. Instead, substantial time and expense was spent on preparing additional affidavits and heads of argument in addition to the costs of this opposed application.  The applicants in abandoning the application did not avail themselves of the procedure envisaged by rule 41 (1)(c). Had this remedy been u</w:t>
      </w:r>
      <w:r w:rsidR="007E197B">
        <w:rPr>
          <w:rFonts w:ascii="Arial" w:eastAsia="Times New Roman" w:hAnsi="Arial" w:cs="Arial"/>
          <w:bCs/>
          <w:spacing w:val="-3"/>
          <w:kern w:val="28"/>
          <w:sz w:val="24"/>
          <w:szCs w:val="24"/>
          <w:lang w:eastAsia="en-GB"/>
        </w:rPr>
        <w:t>tilised</w:t>
      </w:r>
      <w:r w:rsidRPr="0053078B">
        <w:rPr>
          <w:rFonts w:ascii="Arial" w:eastAsia="Times New Roman" w:hAnsi="Arial" w:cs="Arial"/>
          <w:bCs/>
          <w:spacing w:val="-3"/>
          <w:kern w:val="28"/>
          <w:sz w:val="24"/>
          <w:szCs w:val="24"/>
          <w:lang w:eastAsia="en-GB"/>
        </w:rPr>
        <w:t xml:space="preserve">, further costs would have been avoided. </w:t>
      </w:r>
    </w:p>
    <w:p w:rsidR="0053078B" w:rsidRDefault="0053078B" w:rsidP="0053078B">
      <w:pPr>
        <w:pStyle w:val="ListParagraph"/>
        <w:tabs>
          <w:tab w:val="left" w:pos="-720"/>
        </w:tabs>
        <w:suppressAutoHyphens/>
        <w:spacing w:after="0" w:line="360" w:lineRule="auto"/>
        <w:ind w:left="0"/>
        <w:jc w:val="both"/>
        <w:rPr>
          <w:rFonts w:ascii="Arial" w:eastAsia="Times New Roman" w:hAnsi="Arial" w:cs="Arial"/>
          <w:bCs/>
          <w:spacing w:val="-3"/>
          <w:kern w:val="28"/>
          <w:sz w:val="24"/>
          <w:szCs w:val="24"/>
          <w:lang w:eastAsia="en-GB"/>
        </w:rPr>
      </w:pPr>
    </w:p>
    <w:p w:rsidR="0053078B" w:rsidRDefault="0053078B" w:rsidP="0053078B">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sidRPr="0053078B">
        <w:rPr>
          <w:rFonts w:ascii="Arial" w:eastAsia="Times New Roman" w:hAnsi="Arial" w:cs="Arial"/>
          <w:bCs/>
          <w:spacing w:val="-3"/>
          <w:kern w:val="28"/>
          <w:sz w:val="24"/>
          <w:szCs w:val="24"/>
          <w:lang w:eastAsia="en-GB"/>
        </w:rPr>
        <w:t>The first tender of any costs, was made shortly before the hearing on 22 July 2022. That tender, made by the first and second applicants under rule 34</w:t>
      </w:r>
      <w:r w:rsidR="007E197B">
        <w:rPr>
          <w:rFonts w:ascii="Arial" w:eastAsia="Times New Roman" w:hAnsi="Arial" w:cs="Arial"/>
          <w:bCs/>
          <w:spacing w:val="-3"/>
          <w:kern w:val="28"/>
          <w:sz w:val="24"/>
          <w:szCs w:val="24"/>
          <w:lang w:eastAsia="en-GB"/>
        </w:rPr>
        <w:t>,</w:t>
      </w:r>
      <w:r w:rsidRPr="0053078B">
        <w:rPr>
          <w:rFonts w:ascii="Arial" w:eastAsia="Times New Roman" w:hAnsi="Arial" w:cs="Arial"/>
          <w:bCs/>
          <w:spacing w:val="-3"/>
          <w:kern w:val="28"/>
          <w:sz w:val="24"/>
          <w:szCs w:val="24"/>
          <w:lang w:eastAsia="en-GB"/>
        </w:rPr>
        <w:t xml:space="preserve"> was for payment of the </w:t>
      </w:r>
      <w:r w:rsidRPr="0053078B">
        <w:rPr>
          <w:rFonts w:ascii="Arial" w:eastAsia="Times New Roman" w:hAnsi="Arial" w:cs="Arial"/>
          <w:bCs/>
          <w:spacing w:val="-3"/>
          <w:kern w:val="28"/>
          <w:sz w:val="24"/>
          <w:szCs w:val="24"/>
          <w:lang w:eastAsia="en-GB"/>
        </w:rPr>
        <w:lastRenderedPageBreak/>
        <w:t xml:space="preserve">costs of the day in respect of the hearing before Vally J on Wednesday, 21 April 2021 and Wright J on Thursday 29 April 2021 only. </w:t>
      </w:r>
    </w:p>
    <w:p w:rsidR="0053078B" w:rsidRPr="0053078B" w:rsidRDefault="0053078B" w:rsidP="0053078B">
      <w:pPr>
        <w:pStyle w:val="ListParagraph"/>
        <w:tabs>
          <w:tab w:val="left" w:pos="-720"/>
        </w:tabs>
        <w:suppressAutoHyphens/>
        <w:spacing w:after="0" w:line="360" w:lineRule="auto"/>
        <w:ind w:left="0"/>
        <w:jc w:val="both"/>
        <w:rPr>
          <w:rFonts w:ascii="Arial" w:eastAsia="Times New Roman" w:hAnsi="Arial" w:cs="Arial"/>
          <w:bCs/>
          <w:spacing w:val="-3"/>
          <w:kern w:val="28"/>
          <w:sz w:val="24"/>
          <w:szCs w:val="24"/>
          <w:lang w:eastAsia="en-GB"/>
        </w:rPr>
      </w:pPr>
    </w:p>
    <w:p w:rsidR="00F46A1E" w:rsidRDefault="0053078B" w:rsidP="00F46A1E">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I am not persuaded that this tender was reasonable or that these are the only costs the applicants are liable for, given the undisputed facts. The applicants’ argument that it is logical that the only costs in issue relates to the hearings of 21 and 29 April 2021</w:t>
      </w:r>
      <w:r w:rsidR="007E197B">
        <w:rPr>
          <w:rFonts w:ascii="Arial" w:eastAsia="Times New Roman" w:hAnsi="Arial" w:cs="Arial"/>
          <w:bCs/>
          <w:spacing w:val="-3"/>
          <w:kern w:val="28"/>
          <w:sz w:val="24"/>
          <w:szCs w:val="24"/>
          <w:lang w:eastAsia="en-GB"/>
        </w:rPr>
        <w:t>,</w:t>
      </w:r>
      <w:r>
        <w:rPr>
          <w:rFonts w:ascii="Arial" w:eastAsia="Times New Roman" w:hAnsi="Arial" w:cs="Arial"/>
          <w:bCs/>
          <w:spacing w:val="-3"/>
          <w:kern w:val="28"/>
          <w:sz w:val="24"/>
          <w:szCs w:val="24"/>
          <w:lang w:eastAsia="en-GB"/>
        </w:rPr>
        <w:t xml:space="preserve"> lacks merit</w:t>
      </w:r>
      <w:r w:rsidR="007E197B">
        <w:rPr>
          <w:rFonts w:ascii="Arial" w:eastAsia="Times New Roman" w:hAnsi="Arial" w:cs="Arial"/>
          <w:bCs/>
          <w:spacing w:val="-3"/>
          <w:kern w:val="28"/>
          <w:sz w:val="24"/>
          <w:szCs w:val="24"/>
          <w:lang w:eastAsia="en-GB"/>
        </w:rPr>
        <w:t>.</w:t>
      </w:r>
    </w:p>
    <w:p w:rsidR="0053078B" w:rsidRPr="0053078B" w:rsidRDefault="0053078B" w:rsidP="00275A76">
      <w:pPr>
        <w:pStyle w:val="ListParagraph"/>
        <w:spacing w:line="360" w:lineRule="auto"/>
        <w:rPr>
          <w:rFonts w:ascii="Arial" w:eastAsia="Times New Roman" w:hAnsi="Arial" w:cs="Arial"/>
          <w:bCs/>
          <w:spacing w:val="-3"/>
          <w:kern w:val="28"/>
          <w:sz w:val="24"/>
          <w:szCs w:val="24"/>
          <w:lang w:eastAsia="en-GB"/>
        </w:rPr>
      </w:pPr>
    </w:p>
    <w:p w:rsidR="0053078B" w:rsidRDefault="0053078B" w:rsidP="007E5A4F">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sidRPr="00DD51FC">
        <w:rPr>
          <w:rFonts w:ascii="Arial" w:eastAsia="Times New Roman" w:hAnsi="Arial" w:cs="Arial"/>
          <w:bCs/>
          <w:spacing w:val="-3"/>
          <w:kern w:val="28"/>
          <w:sz w:val="24"/>
          <w:szCs w:val="24"/>
          <w:lang w:eastAsia="en-GB"/>
        </w:rPr>
        <w:t>For the reasons advanced herein, I am persuaded that a costs order on the scale as between attorney and client is justified, having regard to the applicants</w:t>
      </w:r>
      <w:r w:rsidR="007E197B" w:rsidRPr="00DD51FC">
        <w:rPr>
          <w:rFonts w:ascii="Arial" w:eastAsia="Times New Roman" w:hAnsi="Arial" w:cs="Arial"/>
          <w:bCs/>
          <w:spacing w:val="-3"/>
          <w:kern w:val="28"/>
          <w:sz w:val="24"/>
          <w:szCs w:val="24"/>
          <w:lang w:eastAsia="en-GB"/>
        </w:rPr>
        <w:t>’</w:t>
      </w:r>
      <w:r w:rsidRPr="00DD51FC">
        <w:rPr>
          <w:rFonts w:ascii="Arial" w:eastAsia="Times New Roman" w:hAnsi="Arial" w:cs="Arial"/>
          <w:bCs/>
          <w:spacing w:val="-3"/>
          <w:kern w:val="28"/>
          <w:sz w:val="24"/>
          <w:szCs w:val="24"/>
          <w:lang w:eastAsia="en-GB"/>
        </w:rPr>
        <w:t xml:space="preserve"> conduct in relation to the matter.</w:t>
      </w:r>
      <w:r w:rsidR="007E197B" w:rsidRPr="00DD51FC">
        <w:rPr>
          <w:rFonts w:ascii="Arial" w:eastAsia="Times New Roman" w:hAnsi="Arial" w:cs="Arial"/>
          <w:bCs/>
          <w:spacing w:val="-3"/>
          <w:kern w:val="28"/>
          <w:sz w:val="24"/>
          <w:szCs w:val="24"/>
          <w:lang w:eastAsia="en-GB"/>
        </w:rPr>
        <w:t xml:space="preserve"> Even if such a costs order is not granted on a punitive basis, the circumstances are such that there are special considerations rendering it just that the sixth respondent not be left out of pocket in relation to the costs of the application.</w:t>
      </w:r>
      <w:r w:rsidR="007E197B">
        <w:rPr>
          <w:rStyle w:val="FootnoteReference"/>
          <w:rFonts w:ascii="Arial" w:eastAsia="Times New Roman" w:hAnsi="Arial" w:cs="Arial"/>
          <w:bCs/>
          <w:spacing w:val="-3"/>
          <w:kern w:val="28"/>
          <w:sz w:val="24"/>
          <w:szCs w:val="24"/>
          <w:lang w:eastAsia="en-GB"/>
        </w:rPr>
        <w:footnoteReference w:id="10"/>
      </w:r>
      <w:r w:rsidR="007E197B" w:rsidRPr="00DD51FC">
        <w:rPr>
          <w:rFonts w:ascii="Arial" w:eastAsia="Times New Roman" w:hAnsi="Arial" w:cs="Arial"/>
          <w:bCs/>
          <w:spacing w:val="-3"/>
          <w:kern w:val="28"/>
          <w:sz w:val="24"/>
          <w:szCs w:val="24"/>
          <w:lang w:eastAsia="en-GB"/>
        </w:rPr>
        <w:t xml:space="preserve"> </w:t>
      </w:r>
      <w:r w:rsidRPr="00DD51FC">
        <w:rPr>
          <w:rFonts w:ascii="Arial" w:eastAsia="Times New Roman" w:hAnsi="Arial" w:cs="Arial"/>
          <w:bCs/>
          <w:spacing w:val="-3"/>
          <w:kern w:val="28"/>
          <w:sz w:val="24"/>
          <w:szCs w:val="24"/>
          <w:lang w:eastAsia="en-GB"/>
        </w:rPr>
        <w:t xml:space="preserve"> </w:t>
      </w:r>
    </w:p>
    <w:p w:rsidR="00DD51FC" w:rsidRPr="00DD51FC" w:rsidRDefault="00DD51FC" w:rsidP="00DD51FC">
      <w:pPr>
        <w:pStyle w:val="ListParagraph"/>
        <w:rPr>
          <w:rFonts w:ascii="Arial" w:eastAsia="Times New Roman" w:hAnsi="Arial" w:cs="Arial"/>
          <w:bCs/>
          <w:spacing w:val="-3"/>
          <w:kern w:val="28"/>
          <w:sz w:val="24"/>
          <w:szCs w:val="24"/>
          <w:lang w:eastAsia="en-GB"/>
        </w:rPr>
      </w:pPr>
    </w:p>
    <w:p w:rsidR="0053078B" w:rsidRPr="0053078B" w:rsidRDefault="0053078B" w:rsidP="0053078B">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sidRPr="0053078B">
        <w:rPr>
          <w:rFonts w:ascii="Arial" w:eastAsia="Times New Roman" w:hAnsi="Arial" w:cs="Arial"/>
          <w:bCs/>
          <w:spacing w:val="-3"/>
          <w:kern w:val="28"/>
          <w:sz w:val="24"/>
          <w:szCs w:val="24"/>
          <w:lang w:eastAsia="en-GB"/>
        </w:rPr>
        <w:t xml:space="preserve">The sixth respondent argued that a </w:t>
      </w:r>
      <w:r w:rsidRPr="007E197B">
        <w:rPr>
          <w:rFonts w:ascii="Arial" w:eastAsia="Times New Roman" w:hAnsi="Arial" w:cs="Arial"/>
          <w:bCs/>
          <w:i/>
          <w:spacing w:val="-3"/>
          <w:kern w:val="28"/>
          <w:sz w:val="24"/>
          <w:szCs w:val="24"/>
          <w:lang w:eastAsia="en-GB"/>
        </w:rPr>
        <w:t>de bonis propriis</w:t>
      </w:r>
      <w:r w:rsidRPr="0053078B">
        <w:rPr>
          <w:rFonts w:ascii="Arial" w:eastAsia="Times New Roman" w:hAnsi="Arial" w:cs="Arial"/>
          <w:bCs/>
          <w:spacing w:val="-3"/>
          <w:kern w:val="28"/>
          <w:sz w:val="24"/>
          <w:szCs w:val="24"/>
          <w:lang w:eastAsia="en-GB"/>
        </w:rPr>
        <w:t xml:space="preserve"> costs order was warranted on the basis that Mr Creswick had instituted the urgent proceedings in a haphazard manner, wilfully ignored court procedures and rules and presented a case that was plainly misconceived and frivolous.</w:t>
      </w:r>
    </w:p>
    <w:p w:rsidR="0053078B" w:rsidRPr="0053078B" w:rsidRDefault="0053078B" w:rsidP="00275A76">
      <w:pPr>
        <w:pStyle w:val="ListParagraph"/>
        <w:tabs>
          <w:tab w:val="left" w:pos="-720"/>
        </w:tabs>
        <w:suppressAutoHyphens/>
        <w:spacing w:after="0" w:line="360" w:lineRule="auto"/>
        <w:ind w:left="0"/>
        <w:jc w:val="both"/>
        <w:rPr>
          <w:rFonts w:ascii="Arial" w:eastAsia="Times New Roman" w:hAnsi="Arial" w:cs="Arial"/>
          <w:bCs/>
          <w:spacing w:val="-3"/>
          <w:kern w:val="28"/>
          <w:sz w:val="24"/>
          <w:szCs w:val="24"/>
          <w:lang w:eastAsia="en-GB"/>
        </w:rPr>
      </w:pPr>
    </w:p>
    <w:p w:rsidR="0053078B" w:rsidRPr="00275A76" w:rsidRDefault="0053078B" w:rsidP="00275A76">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sidRPr="0053078B">
        <w:rPr>
          <w:rFonts w:ascii="Arial" w:eastAsia="Times New Roman" w:hAnsi="Arial" w:cs="Arial"/>
          <w:bCs/>
          <w:spacing w:val="-3"/>
          <w:kern w:val="28"/>
          <w:sz w:val="24"/>
          <w:szCs w:val="24"/>
          <w:lang w:eastAsia="en-GB"/>
        </w:rPr>
        <w:t xml:space="preserve">A court is vested with a discretion to award costs on a </w:t>
      </w:r>
      <w:r w:rsidRPr="007E197B">
        <w:rPr>
          <w:rFonts w:ascii="Arial" w:eastAsia="Times New Roman" w:hAnsi="Arial" w:cs="Arial"/>
          <w:bCs/>
          <w:i/>
          <w:spacing w:val="-3"/>
          <w:kern w:val="28"/>
          <w:sz w:val="24"/>
          <w:szCs w:val="24"/>
          <w:lang w:eastAsia="en-GB"/>
        </w:rPr>
        <w:t>de bonis propriis</w:t>
      </w:r>
      <w:r w:rsidRPr="0053078B">
        <w:rPr>
          <w:rFonts w:ascii="Arial" w:eastAsia="Times New Roman" w:hAnsi="Arial" w:cs="Arial"/>
          <w:bCs/>
          <w:spacing w:val="-3"/>
          <w:kern w:val="28"/>
          <w:sz w:val="24"/>
          <w:szCs w:val="24"/>
          <w:lang w:eastAsia="en-GB"/>
        </w:rPr>
        <w:t xml:space="preserve"> basis where a practitioner has acted inappropriately in a reasonably egregious manner</w:t>
      </w:r>
      <w:r w:rsidR="007E197B">
        <w:rPr>
          <w:rFonts w:ascii="Arial" w:eastAsia="Times New Roman" w:hAnsi="Arial" w:cs="Arial"/>
          <w:bCs/>
          <w:spacing w:val="-3"/>
          <w:kern w:val="28"/>
          <w:sz w:val="24"/>
          <w:szCs w:val="24"/>
          <w:lang w:eastAsia="en-GB"/>
        </w:rPr>
        <w:t>.</w:t>
      </w:r>
      <w:r w:rsidRPr="0053078B">
        <w:rPr>
          <w:rStyle w:val="FootnoteReference"/>
          <w:rFonts w:ascii="Arial" w:eastAsia="Times New Roman" w:hAnsi="Arial" w:cs="Arial"/>
          <w:bCs/>
          <w:spacing w:val="-3"/>
          <w:kern w:val="28"/>
          <w:sz w:val="24"/>
          <w:szCs w:val="24"/>
          <w:lang w:eastAsia="en-GB"/>
        </w:rPr>
        <w:t xml:space="preserve"> </w:t>
      </w:r>
      <w:r>
        <w:rPr>
          <w:rStyle w:val="FootnoteReference"/>
          <w:rFonts w:ascii="Arial" w:eastAsia="Times New Roman" w:hAnsi="Arial" w:cs="Arial"/>
          <w:bCs/>
          <w:spacing w:val="-3"/>
          <w:kern w:val="28"/>
          <w:sz w:val="24"/>
          <w:szCs w:val="24"/>
          <w:lang w:eastAsia="en-GB"/>
        </w:rPr>
        <w:footnoteReference w:id="11"/>
      </w:r>
    </w:p>
    <w:p w:rsidR="0053078B" w:rsidRPr="0053078B" w:rsidRDefault="0053078B" w:rsidP="00275A76">
      <w:pPr>
        <w:pStyle w:val="ListParagraph"/>
        <w:spacing w:line="360" w:lineRule="auto"/>
        <w:rPr>
          <w:rFonts w:ascii="Arial" w:eastAsia="Times New Roman" w:hAnsi="Arial" w:cs="Arial"/>
          <w:bCs/>
          <w:spacing w:val="-3"/>
          <w:kern w:val="28"/>
          <w:sz w:val="24"/>
          <w:szCs w:val="24"/>
          <w:lang w:eastAsia="en-GB"/>
        </w:rPr>
      </w:pPr>
    </w:p>
    <w:p w:rsidR="00484308" w:rsidRDefault="00DD51FC" w:rsidP="0053078B">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Although there is merit in the sixth respondent’s criticism against the way in the application was launched and the litigation conducted, i</w:t>
      </w:r>
      <w:r w:rsidR="0053078B" w:rsidRPr="0053078B">
        <w:rPr>
          <w:rFonts w:ascii="Arial" w:eastAsia="Times New Roman" w:hAnsi="Arial" w:cs="Arial"/>
          <w:bCs/>
          <w:spacing w:val="-3"/>
          <w:kern w:val="28"/>
          <w:sz w:val="24"/>
          <w:szCs w:val="24"/>
          <w:lang w:eastAsia="en-GB"/>
        </w:rPr>
        <w:t xml:space="preserve">t is not clear from the papers </w:t>
      </w:r>
      <w:r>
        <w:rPr>
          <w:rFonts w:ascii="Arial" w:eastAsia="Times New Roman" w:hAnsi="Arial" w:cs="Arial"/>
          <w:bCs/>
          <w:spacing w:val="-3"/>
          <w:kern w:val="28"/>
          <w:sz w:val="24"/>
          <w:szCs w:val="24"/>
          <w:lang w:eastAsia="en-GB"/>
        </w:rPr>
        <w:t>whether</w:t>
      </w:r>
      <w:r w:rsidR="0053078B" w:rsidRPr="0053078B">
        <w:rPr>
          <w:rFonts w:ascii="Arial" w:eastAsia="Times New Roman" w:hAnsi="Arial" w:cs="Arial"/>
          <w:bCs/>
          <w:spacing w:val="-3"/>
          <w:kern w:val="28"/>
          <w:sz w:val="24"/>
          <w:szCs w:val="24"/>
          <w:lang w:eastAsia="en-GB"/>
        </w:rPr>
        <w:t xml:space="preserve"> Mr Creswick </w:t>
      </w:r>
      <w:r>
        <w:rPr>
          <w:rFonts w:ascii="Arial" w:eastAsia="Times New Roman" w:hAnsi="Arial" w:cs="Arial"/>
          <w:bCs/>
          <w:spacing w:val="-3"/>
          <w:kern w:val="28"/>
          <w:sz w:val="24"/>
          <w:szCs w:val="24"/>
          <w:lang w:eastAsia="en-GB"/>
        </w:rPr>
        <w:t xml:space="preserve">had simply </w:t>
      </w:r>
      <w:r w:rsidR="0053078B" w:rsidRPr="0053078B">
        <w:rPr>
          <w:rFonts w:ascii="Arial" w:eastAsia="Times New Roman" w:hAnsi="Arial" w:cs="Arial"/>
          <w:bCs/>
          <w:spacing w:val="-3"/>
          <w:kern w:val="28"/>
          <w:sz w:val="24"/>
          <w:szCs w:val="24"/>
          <w:lang w:eastAsia="en-GB"/>
        </w:rPr>
        <w:t>acted on instructions of his clients or whether his conduct in relation to the main application was at his own instance. I</w:t>
      </w:r>
      <w:r>
        <w:rPr>
          <w:rFonts w:ascii="Arial" w:eastAsia="Times New Roman" w:hAnsi="Arial" w:cs="Arial"/>
          <w:bCs/>
          <w:spacing w:val="-3"/>
          <w:kern w:val="28"/>
          <w:sz w:val="24"/>
          <w:szCs w:val="24"/>
          <w:lang w:eastAsia="en-GB"/>
        </w:rPr>
        <w:t>n those circumstances I</w:t>
      </w:r>
      <w:r w:rsidR="0053078B" w:rsidRPr="0053078B">
        <w:rPr>
          <w:rFonts w:ascii="Arial" w:eastAsia="Times New Roman" w:hAnsi="Arial" w:cs="Arial"/>
          <w:bCs/>
          <w:spacing w:val="-3"/>
          <w:kern w:val="28"/>
          <w:sz w:val="24"/>
          <w:szCs w:val="24"/>
          <w:lang w:eastAsia="en-GB"/>
        </w:rPr>
        <w:t xml:space="preserve"> am not persuaded that it would be appropriate to direct Mr Creswick to pay the costs on a </w:t>
      </w:r>
      <w:r w:rsidR="0053078B" w:rsidRPr="00DD51FC">
        <w:rPr>
          <w:rFonts w:ascii="Arial" w:eastAsia="Times New Roman" w:hAnsi="Arial" w:cs="Arial"/>
          <w:bCs/>
          <w:i/>
          <w:spacing w:val="-3"/>
          <w:kern w:val="28"/>
          <w:sz w:val="24"/>
          <w:szCs w:val="24"/>
          <w:lang w:eastAsia="en-GB"/>
        </w:rPr>
        <w:t>de bonis propriis</w:t>
      </w:r>
      <w:r w:rsidR="0053078B" w:rsidRPr="0053078B">
        <w:rPr>
          <w:rFonts w:ascii="Arial" w:eastAsia="Times New Roman" w:hAnsi="Arial" w:cs="Arial"/>
          <w:bCs/>
          <w:spacing w:val="-3"/>
          <w:kern w:val="28"/>
          <w:sz w:val="24"/>
          <w:szCs w:val="24"/>
          <w:lang w:eastAsia="en-GB"/>
        </w:rPr>
        <w:t xml:space="preserve"> basis.</w:t>
      </w:r>
    </w:p>
    <w:p w:rsidR="0053078B" w:rsidRDefault="0053078B" w:rsidP="00275A76">
      <w:pPr>
        <w:pStyle w:val="ListParagraph"/>
        <w:tabs>
          <w:tab w:val="left" w:pos="-720"/>
        </w:tabs>
        <w:suppressAutoHyphens/>
        <w:spacing w:line="360" w:lineRule="auto"/>
        <w:ind w:left="0"/>
        <w:jc w:val="both"/>
        <w:rPr>
          <w:rFonts w:ascii="Arial" w:eastAsia="Times New Roman" w:hAnsi="Arial" w:cs="Arial"/>
          <w:bCs/>
          <w:spacing w:val="-3"/>
          <w:kern w:val="28"/>
          <w:sz w:val="24"/>
          <w:szCs w:val="24"/>
          <w:lang w:eastAsia="en-GB"/>
        </w:rPr>
      </w:pPr>
    </w:p>
    <w:p w:rsidR="00275A76" w:rsidRPr="00275A76" w:rsidRDefault="0053078B" w:rsidP="00275A76">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lastRenderedPageBreak/>
        <w:t xml:space="preserve">I further conclude that the sixth respondent is entitled to an order dismissing the main application so that finality can be achieved in relation thereto. The applicants on their own version abandoned the relief sought and concede that the application is moot. The simple fact of the matter is that wasted costs were incurred </w:t>
      </w:r>
      <w:r w:rsidR="00DD51FC">
        <w:rPr>
          <w:rFonts w:ascii="Arial" w:eastAsia="Times New Roman" w:hAnsi="Arial" w:cs="Arial"/>
          <w:bCs/>
          <w:spacing w:val="-3"/>
          <w:kern w:val="28"/>
          <w:sz w:val="24"/>
          <w:szCs w:val="24"/>
          <w:lang w:eastAsia="en-GB"/>
        </w:rPr>
        <w:t xml:space="preserve">by the sixth respondent </w:t>
      </w:r>
      <w:r>
        <w:rPr>
          <w:rFonts w:ascii="Arial" w:eastAsia="Times New Roman" w:hAnsi="Arial" w:cs="Arial"/>
          <w:bCs/>
          <w:spacing w:val="-3"/>
          <w:kern w:val="28"/>
          <w:sz w:val="24"/>
          <w:szCs w:val="24"/>
          <w:lang w:eastAsia="en-GB"/>
        </w:rPr>
        <w:t>in opposing the application</w:t>
      </w:r>
      <w:r w:rsidR="00DD51FC">
        <w:rPr>
          <w:rFonts w:ascii="Arial" w:eastAsia="Times New Roman" w:hAnsi="Arial" w:cs="Arial"/>
          <w:bCs/>
          <w:spacing w:val="-3"/>
          <w:kern w:val="28"/>
          <w:sz w:val="24"/>
          <w:szCs w:val="24"/>
          <w:lang w:eastAsia="en-GB"/>
        </w:rPr>
        <w:t>,</w:t>
      </w:r>
      <w:r>
        <w:rPr>
          <w:rFonts w:ascii="Arial" w:eastAsia="Times New Roman" w:hAnsi="Arial" w:cs="Arial"/>
          <w:bCs/>
          <w:spacing w:val="-3"/>
          <w:kern w:val="28"/>
          <w:sz w:val="24"/>
          <w:szCs w:val="24"/>
          <w:lang w:eastAsia="en-GB"/>
        </w:rPr>
        <w:t xml:space="preserve"> which was thereafter simply abandoned. There are consequences to the applicants’ election.</w:t>
      </w:r>
    </w:p>
    <w:p w:rsidR="0053078B" w:rsidRPr="0053078B" w:rsidRDefault="0053078B" w:rsidP="00275A76">
      <w:pPr>
        <w:pStyle w:val="ListParagraph"/>
        <w:spacing w:line="360" w:lineRule="auto"/>
        <w:rPr>
          <w:rFonts w:ascii="Arial" w:eastAsia="Times New Roman" w:hAnsi="Arial" w:cs="Arial"/>
          <w:bCs/>
          <w:spacing w:val="-3"/>
          <w:kern w:val="28"/>
          <w:sz w:val="24"/>
          <w:szCs w:val="24"/>
          <w:lang w:eastAsia="en-GB"/>
        </w:rPr>
      </w:pPr>
    </w:p>
    <w:p w:rsidR="00C5138B" w:rsidRPr="00C5138B" w:rsidRDefault="0053078B" w:rsidP="00C5138B">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As the sixth respondent is substantially successful in this application, there is no reason to deviate from the normal principle that costs follow the result.</w:t>
      </w:r>
    </w:p>
    <w:p w:rsidR="0053078B" w:rsidRPr="0053078B" w:rsidRDefault="0053078B" w:rsidP="0053078B">
      <w:pPr>
        <w:pStyle w:val="ListParagraph"/>
        <w:spacing w:line="360" w:lineRule="auto"/>
        <w:rPr>
          <w:rFonts w:ascii="Arial" w:eastAsia="Times New Roman" w:hAnsi="Arial" w:cs="Arial"/>
          <w:bCs/>
          <w:spacing w:val="-3"/>
          <w:kern w:val="28"/>
          <w:sz w:val="24"/>
          <w:szCs w:val="24"/>
          <w:lang w:eastAsia="en-GB"/>
        </w:rPr>
      </w:pPr>
    </w:p>
    <w:p w:rsidR="0053078B" w:rsidRPr="0053078B" w:rsidRDefault="0053078B" w:rsidP="0053078B">
      <w:pPr>
        <w:pStyle w:val="ListParagraph"/>
        <w:numPr>
          <w:ilvl w:val="0"/>
          <w:numId w:val="25"/>
        </w:numPr>
        <w:tabs>
          <w:tab w:val="left" w:pos="-720"/>
        </w:tabs>
        <w:suppressAutoHyphens/>
        <w:spacing w:after="0" w:line="360" w:lineRule="auto"/>
        <w:ind w:left="0" w:firstLine="0"/>
        <w:jc w:val="both"/>
        <w:rPr>
          <w:rFonts w:ascii="Arial" w:eastAsia="Times New Roman" w:hAnsi="Arial" w:cs="Arial"/>
          <w:bCs/>
          <w:spacing w:val="-3"/>
          <w:kern w:val="28"/>
          <w:sz w:val="24"/>
          <w:szCs w:val="24"/>
          <w:lang w:eastAsia="en-GB"/>
        </w:rPr>
      </w:pPr>
      <w:r w:rsidRPr="0053078B">
        <w:rPr>
          <w:rFonts w:ascii="Arial" w:eastAsia="Times New Roman" w:hAnsi="Arial" w:cs="Arial"/>
          <w:bCs/>
          <w:spacing w:val="-3"/>
          <w:kern w:val="28"/>
          <w:sz w:val="24"/>
          <w:szCs w:val="24"/>
          <w:lang w:eastAsia="en-GB"/>
        </w:rPr>
        <w:t>I grant the following order:</w:t>
      </w:r>
      <w:r w:rsidRPr="0053078B">
        <w:rPr>
          <w:rFonts w:ascii="Arial" w:eastAsia="Times New Roman" w:hAnsi="Arial" w:cs="Arial"/>
          <w:bCs/>
          <w:spacing w:val="-3"/>
          <w:kern w:val="28"/>
          <w:sz w:val="24"/>
          <w:szCs w:val="24"/>
          <w:lang w:eastAsia="en-GB"/>
        </w:rPr>
        <w:tab/>
      </w:r>
    </w:p>
    <w:p w:rsidR="0053078B" w:rsidRDefault="0053078B" w:rsidP="0053078B">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ab/>
      </w:r>
    </w:p>
    <w:p w:rsidR="0053078B" w:rsidRDefault="0053078B" w:rsidP="0053078B">
      <w:pPr>
        <w:tabs>
          <w:tab w:val="left" w:pos="-720"/>
        </w:tabs>
        <w:suppressAutoHyphens/>
        <w:spacing w:after="0" w:line="360" w:lineRule="auto"/>
        <w:ind w:left="720" w:hanging="720"/>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[1]</w:t>
      </w:r>
      <w:r>
        <w:rPr>
          <w:rFonts w:ascii="Arial" w:eastAsia="Times New Roman" w:hAnsi="Arial" w:cs="Arial"/>
          <w:bCs/>
          <w:spacing w:val="-3"/>
          <w:kern w:val="28"/>
          <w:sz w:val="24"/>
          <w:szCs w:val="24"/>
          <w:lang w:eastAsia="en-GB"/>
        </w:rPr>
        <w:tab/>
        <w:t>The sixth respondent is granted leave to file the further supplementary affidavit of Jennifer Anne Smit</w:t>
      </w:r>
      <w:r w:rsidR="00DD51FC">
        <w:rPr>
          <w:rFonts w:ascii="Arial" w:eastAsia="Times New Roman" w:hAnsi="Arial" w:cs="Arial"/>
          <w:bCs/>
          <w:spacing w:val="-3"/>
          <w:kern w:val="28"/>
          <w:sz w:val="24"/>
          <w:szCs w:val="24"/>
          <w:lang w:eastAsia="en-GB"/>
        </w:rPr>
        <w:t xml:space="preserve"> dated 15 February 2022</w:t>
      </w:r>
      <w:r>
        <w:rPr>
          <w:rFonts w:ascii="Arial" w:eastAsia="Times New Roman" w:hAnsi="Arial" w:cs="Arial"/>
          <w:bCs/>
          <w:spacing w:val="-3"/>
          <w:kern w:val="28"/>
          <w:sz w:val="24"/>
          <w:szCs w:val="24"/>
          <w:lang w:eastAsia="en-GB"/>
        </w:rPr>
        <w:t>;</w:t>
      </w:r>
    </w:p>
    <w:p w:rsidR="0053078B" w:rsidRDefault="0053078B" w:rsidP="0053078B">
      <w:pPr>
        <w:tabs>
          <w:tab w:val="left" w:pos="-720"/>
        </w:tabs>
        <w:suppressAutoHyphens/>
        <w:spacing w:after="0" w:line="360" w:lineRule="auto"/>
        <w:jc w:val="both"/>
        <w:rPr>
          <w:rFonts w:ascii="Arial" w:eastAsia="Times New Roman" w:hAnsi="Arial" w:cs="Arial"/>
          <w:bCs/>
          <w:spacing w:val="-3"/>
          <w:kern w:val="28"/>
          <w:sz w:val="24"/>
          <w:szCs w:val="24"/>
          <w:lang w:eastAsia="en-GB"/>
        </w:rPr>
      </w:pPr>
    </w:p>
    <w:p w:rsidR="0053078B" w:rsidRDefault="0053078B" w:rsidP="0053078B">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[2]</w:t>
      </w:r>
      <w:r>
        <w:rPr>
          <w:rFonts w:ascii="Arial" w:eastAsia="Times New Roman" w:hAnsi="Arial" w:cs="Arial"/>
          <w:bCs/>
          <w:spacing w:val="-3"/>
          <w:kern w:val="28"/>
          <w:sz w:val="24"/>
          <w:szCs w:val="24"/>
          <w:lang w:eastAsia="en-GB"/>
        </w:rPr>
        <w:tab/>
        <w:t>The main application brought by the applicants is dismissed;</w:t>
      </w:r>
    </w:p>
    <w:p w:rsidR="0053078B" w:rsidRDefault="0053078B" w:rsidP="0053078B">
      <w:pPr>
        <w:tabs>
          <w:tab w:val="left" w:pos="-720"/>
        </w:tabs>
        <w:suppressAutoHyphens/>
        <w:spacing w:after="0" w:line="360" w:lineRule="auto"/>
        <w:jc w:val="both"/>
        <w:rPr>
          <w:rFonts w:ascii="Arial" w:eastAsia="Times New Roman" w:hAnsi="Arial" w:cs="Arial"/>
          <w:bCs/>
          <w:spacing w:val="-3"/>
          <w:kern w:val="28"/>
          <w:sz w:val="24"/>
          <w:szCs w:val="24"/>
          <w:lang w:eastAsia="en-GB"/>
        </w:rPr>
      </w:pPr>
    </w:p>
    <w:p w:rsidR="0053078B" w:rsidRDefault="0053078B" w:rsidP="0053078B">
      <w:pPr>
        <w:tabs>
          <w:tab w:val="left" w:pos="-720"/>
        </w:tabs>
        <w:suppressAutoHyphens/>
        <w:spacing w:after="0" w:line="360" w:lineRule="auto"/>
        <w:ind w:left="720" w:hanging="720"/>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[3]</w:t>
      </w:r>
      <w:r>
        <w:rPr>
          <w:rFonts w:ascii="Arial" w:eastAsia="Times New Roman" w:hAnsi="Arial" w:cs="Arial"/>
          <w:bCs/>
          <w:spacing w:val="-3"/>
          <w:kern w:val="28"/>
          <w:sz w:val="24"/>
          <w:szCs w:val="24"/>
          <w:lang w:eastAsia="en-GB"/>
        </w:rPr>
        <w:tab/>
        <w:t>The costs of the main application, including the costs of the hearings on both 21 April 2021 and 29 April 2021 are to be paid by the applicants, jointly and severally, on the scale as between attorney and client;</w:t>
      </w:r>
    </w:p>
    <w:p w:rsidR="0053078B" w:rsidRDefault="0053078B" w:rsidP="0053078B">
      <w:pPr>
        <w:tabs>
          <w:tab w:val="left" w:pos="-720"/>
        </w:tabs>
        <w:suppressAutoHyphens/>
        <w:spacing w:after="0" w:line="360" w:lineRule="auto"/>
        <w:jc w:val="both"/>
        <w:rPr>
          <w:rFonts w:ascii="Arial" w:eastAsia="Times New Roman" w:hAnsi="Arial" w:cs="Arial"/>
          <w:bCs/>
          <w:spacing w:val="-3"/>
          <w:kern w:val="28"/>
          <w:sz w:val="24"/>
          <w:szCs w:val="24"/>
          <w:lang w:eastAsia="en-GB"/>
        </w:rPr>
      </w:pPr>
    </w:p>
    <w:p w:rsidR="0053078B" w:rsidRPr="00275A76" w:rsidRDefault="0053078B" w:rsidP="00275A76">
      <w:pPr>
        <w:pStyle w:val="ListParagraph"/>
        <w:tabs>
          <w:tab w:val="left" w:pos="-720"/>
        </w:tabs>
        <w:suppressAutoHyphens/>
        <w:spacing w:after="0" w:line="360" w:lineRule="auto"/>
        <w:ind w:left="709" w:hanging="709"/>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[4]</w:t>
      </w:r>
      <w:r>
        <w:rPr>
          <w:rFonts w:ascii="Arial" w:eastAsia="Times New Roman" w:hAnsi="Arial" w:cs="Arial"/>
          <w:bCs/>
          <w:spacing w:val="-3"/>
          <w:kern w:val="28"/>
          <w:sz w:val="24"/>
          <w:szCs w:val="24"/>
          <w:lang w:eastAsia="en-GB"/>
        </w:rPr>
        <w:tab/>
        <w:t>The applicants are directed to pay the costs of the sixth respondent in relation to the hearing on 2</w:t>
      </w:r>
      <w:r w:rsidR="00281249">
        <w:rPr>
          <w:rFonts w:ascii="Arial" w:eastAsia="Times New Roman" w:hAnsi="Arial" w:cs="Arial"/>
          <w:bCs/>
          <w:spacing w:val="-3"/>
          <w:kern w:val="28"/>
          <w:sz w:val="24"/>
          <w:szCs w:val="24"/>
          <w:lang w:eastAsia="en-GB"/>
        </w:rPr>
        <w:t>8</w:t>
      </w:r>
      <w:r>
        <w:rPr>
          <w:rFonts w:ascii="Arial" w:eastAsia="Times New Roman" w:hAnsi="Arial" w:cs="Arial"/>
          <w:bCs/>
          <w:spacing w:val="-3"/>
          <w:kern w:val="28"/>
          <w:sz w:val="24"/>
          <w:szCs w:val="24"/>
          <w:lang w:eastAsia="en-GB"/>
        </w:rPr>
        <w:t xml:space="preserve"> July 2022</w:t>
      </w:r>
      <w:r w:rsidR="00281249">
        <w:rPr>
          <w:rFonts w:ascii="Arial" w:eastAsia="Times New Roman" w:hAnsi="Arial" w:cs="Arial"/>
          <w:bCs/>
          <w:spacing w:val="-3"/>
          <w:kern w:val="28"/>
          <w:sz w:val="24"/>
          <w:szCs w:val="24"/>
          <w:lang w:eastAsia="en-GB"/>
        </w:rPr>
        <w:t>, jointly and severally</w:t>
      </w:r>
      <w:r>
        <w:rPr>
          <w:rFonts w:ascii="Arial" w:eastAsia="Times New Roman" w:hAnsi="Arial" w:cs="Arial"/>
          <w:bCs/>
          <w:spacing w:val="-3"/>
          <w:kern w:val="28"/>
          <w:sz w:val="24"/>
          <w:szCs w:val="24"/>
          <w:lang w:eastAsia="en-GB"/>
        </w:rPr>
        <w:t>.</w:t>
      </w:r>
      <w:r w:rsidRPr="00275A76">
        <w:rPr>
          <w:rFonts w:ascii="Arial" w:eastAsia="Times New Roman" w:hAnsi="Arial" w:cs="Arial"/>
          <w:bCs/>
          <w:spacing w:val="-3"/>
          <w:kern w:val="28"/>
          <w:sz w:val="24"/>
          <w:szCs w:val="24"/>
          <w:lang w:eastAsia="en-GB"/>
        </w:rPr>
        <w:tab/>
      </w:r>
    </w:p>
    <w:p w:rsidR="00987EED" w:rsidRDefault="00987EED" w:rsidP="003B7F1D">
      <w:pPr>
        <w:pStyle w:val="level1"/>
        <w:numPr>
          <w:ilvl w:val="0"/>
          <w:numId w:val="0"/>
        </w:numPr>
        <w:spacing w:after="480" w:line="360" w:lineRule="auto"/>
        <w:jc w:val="both"/>
        <w:rPr>
          <w:lang w:val="en-US"/>
        </w:rPr>
      </w:pPr>
    </w:p>
    <w:p w:rsidR="00281249" w:rsidRPr="003B7F1D" w:rsidRDefault="00281249" w:rsidP="003B7F1D">
      <w:pPr>
        <w:pStyle w:val="level1"/>
        <w:numPr>
          <w:ilvl w:val="0"/>
          <w:numId w:val="0"/>
        </w:numPr>
        <w:spacing w:after="480" w:line="360" w:lineRule="auto"/>
        <w:jc w:val="both"/>
        <w:rPr>
          <w:lang w:val="en-US"/>
        </w:rPr>
      </w:pPr>
    </w:p>
    <w:p w:rsidR="003E4474" w:rsidRPr="003E4474" w:rsidRDefault="003E4474" w:rsidP="003E4474">
      <w:pPr>
        <w:spacing w:after="0" w:line="360" w:lineRule="auto"/>
        <w:ind w:left="2880" w:firstLine="720"/>
        <w:rPr>
          <w:rFonts w:ascii="Arial" w:eastAsia="Times New Roman" w:hAnsi="Arial" w:cs="Times New Roman"/>
          <w:kern w:val="28"/>
          <w:sz w:val="24"/>
          <w:szCs w:val="24"/>
          <w:lang w:eastAsia="en-GB"/>
        </w:rPr>
      </w:pPr>
      <w:r w:rsidRPr="003E4474">
        <w:rPr>
          <w:rFonts w:ascii="Arial" w:eastAsia="Times New Roman" w:hAnsi="Arial" w:cs="Times New Roman"/>
          <w:kern w:val="28"/>
          <w:sz w:val="24"/>
          <w:szCs w:val="24"/>
          <w:lang w:eastAsia="en-GB"/>
        </w:rPr>
        <w:tab/>
        <w:t>_____________________________________</w:t>
      </w:r>
    </w:p>
    <w:p w:rsidR="003E4474" w:rsidRPr="003E4474" w:rsidRDefault="00BE5321" w:rsidP="00BE5321">
      <w:pPr>
        <w:spacing w:after="0" w:line="240" w:lineRule="auto"/>
        <w:ind w:left="2880" w:firstLine="720"/>
        <w:rPr>
          <w:rFonts w:ascii="Arial" w:eastAsia="Times New Roman" w:hAnsi="Arial" w:cs="Times New Roman"/>
          <w:b/>
          <w:kern w:val="28"/>
          <w:sz w:val="24"/>
          <w:szCs w:val="24"/>
          <w:lang w:eastAsia="en-GB"/>
        </w:rPr>
      </w:pPr>
      <w:r>
        <w:rPr>
          <w:rFonts w:ascii="Arial" w:eastAsia="Times New Roman" w:hAnsi="Arial" w:cs="Times New Roman"/>
          <w:b/>
          <w:kern w:val="28"/>
          <w:sz w:val="24"/>
          <w:szCs w:val="24"/>
          <w:lang w:eastAsia="en-GB"/>
        </w:rPr>
        <w:t xml:space="preserve">           </w:t>
      </w:r>
      <w:r w:rsidR="003E4474" w:rsidRPr="003E4474">
        <w:rPr>
          <w:rFonts w:ascii="Arial" w:eastAsia="Times New Roman" w:hAnsi="Arial" w:cs="Times New Roman"/>
          <w:b/>
          <w:kern w:val="28"/>
          <w:sz w:val="24"/>
          <w:szCs w:val="24"/>
          <w:lang w:eastAsia="en-GB"/>
        </w:rPr>
        <w:t>EF DIPPENAAR</w:t>
      </w:r>
      <w:r w:rsidR="003E4474" w:rsidRPr="003E4474">
        <w:rPr>
          <w:rFonts w:ascii="Arial" w:eastAsia="Times New Roman" w:hAnsi="Arial" w:cs="Times New Roman"/>
          <w:kern w:val="28"/>
          <w:sz w:val="24"/>
          <w:szCs w:val="24"/>
          <w:lang w:eastAsia="en-GB"/>
        </w:rPr>
        <w:t xml:space="preserve">                        </w:t>
      </w:r>
    </w:p>
    <w:p w:rsidR="003E4474" w:rsidRPr="003E4474" w:rsidRDefault="003E4474" w:rsidP="00BE5321">
      <w:pPr>
        <w:spacing w:after="0" w:line="240" w:lineRule="auto"/>
        <w:ind w:left="4320"/>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 xml:space="preserve">JUDGE OF THE HIGH COURT </w:t>
      </w:r>
      <w:r w:rsidR="00BE5321">
        <w:rPr>
          <w:rFonts w:ascii="Arial" w:eastAsia="Times New Roman" w:hAnsi="Arial" w:cs="Times New Roman"/>
          <w:b/>
          <w:kern w:val="28"/>
          <w:sz w:val="24"/>
          <w:szCs w:val="24"/>
          <w:lang w:eastAsia="en-GB"/>
        </w:rPr>
        <w:t xml:space="preserve">  </w:t>
      </w:r>
      <w:r w:rsidRPr="003E4474">
        <w:rPr>
          <w:rFonts w:ascii="Arial" w:eastAsia="Times New Roman" w:hAnsi="Arial" w:cs="Times New Roman"/>
          <w:b/>
          <w:kern w:val="28"/>
          <w:sz w:val="24"/>
          <w:szCs w:val="24"/>
          <w:lang w:eastAsia="en-GB"/>
        </w:rPr>
        <w:t>JOHANNESBURG</w:t>
      </w:r>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r w:rsidRPr="003E4474">
        <w:rPr>
          <w:rFonts w:ascii="Arial" w:eastAsia="Times New Roman" w:hAnsi="Arial" w:cs="Times New Roman"/>
          <w:b/>
          <w:kern w:val="28"/>
          <w:sz w:val="24"/>
          <w:szCs w:val="24"/>
          <w:u w:val="single"/>
          <w:lang w:eastAsia="en-GB"/>
        </w:rPr>
        <w:lastRenderedPageBreak/>
        <w:t xml:space="preserve">APPEARANCES </w:t>
      </w:r>
    </w:p>
    <w:p w:rsidR="003E4474" w:rsidRPr="003E4474" w:rsidRDefault="003E4474" w:rsidP="003E4474">
      <w:pPr>
        <w:spacing w:after="0" w:line="240" w:lineRule="auto"/>
        <w:contextualSpacing/>
        <w:rPr>
          <w:rFonts w:ascii="Arial" w:eastAsia="Calibri" w:hAnsi="Arial" w:cs="Times New Roman"/>
          <w:sz w:val="24"/>
        </w:rPr>
      </w:pPr>
    </w:p>
    <w:p w:rsidR="003E4474" w:rsidRPr="003E4474" w:rsidRDefault="003E4474" w:rsidP="003E4474">
      <w:pPr>
        <w:spacing w:after="0" w:line="240" w:lineRule="auto"/>
        <w:rPr>
          <w:rFonts w:ascii="Arial" w:eastAsia="Times New Roman" w:hAnsi="Arial" w:cs="Times New Roman"/>
          <w:kern w:val="28"/>
          <w:sz w:val="24"/>
          <w:szCs w:val="24"/>
          <w:lang w:eastAsia="en-GB"/>
        </w:rPr>
      </w:pPr>
      <w:r w:rsidRPr="003E4474">
        <w:rPr>
          <w:rFonts w:ascii="Arial" w:eastAsia="Times New Roman" w:hAnsi="Arial" w:cs="Times New Roman"/>
          <w:b/>
          <w:kern w:val="28"/>
          <w:sz w:val="24"/>
          <w:szCs w:val="24"/>
          <w:lang w:eastAsia="en-GB"/>
        </w:rPr>
        <w:t>DATE OF HEARING</w:t>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00940F95">
        <w:rPr>
          <w:rFonts w:ascii="Arial" w:eastAsia="Times New Roman" w:hAnsi="Arial" w:cs="Times New Roman"/>
          <w:kern w:val="28"/>
          <w:sz w:val="24"/>
          <w:szCs w:val="24"/>
          <w:lang w:eastAsia="en-GB"/>
        </w:rPr>
        <w:t xml:space="preserve">:  </w:t>
      </w:r>
      <w:r w:rsidR="009C5938">
        <w:rPr>
          <w:rFonts w:ascii="Arial" w:eastAsia="Times New Roman" w:hAnsi="Arial" w:cs="Times New Roman"/>
          <w:kern w:val="28"/>
          <w:sz w:val="24"/>
          <w:szCs w:val="24"/>
          <w:lang w:eastAsia="en-GB"/>
        </w:rPr>
        <w:t>2</w:t>
      </w:r>
      <w:r w:rsidR="00281249">
        <w:rPr>
          <w:rFonts w:ascii="Arial" w:eastAsia="Times New Roman" w:hAnsi="Arial" w:cs="Times New Roman"/>
          <w:kern w:val="28"/>
          <w:sz w:val="24"/>
          <w:szCs w:val="24"/>
          <w:lang w:eastAsia="en-GB"/>
        </w:rPr>
        <w:t>8</w:t>
      </w:r>
      <w:r w:rsidR="009C5938">
        <w:rPr>
          <w:rFonts w:ascii="Arial" w:eastAsia="Times New Roman" w:hAnsi="Arial" w:cs="Times New Roman"/>
          <w:kern w:val="28"/>
          <w:sz w:val="24"/>
          <w:szCs w:val="24"/>
          <w:lang w:eastAsia="en-GB"/>
        </w:rPr>
        <w:t xml:space="preserve"> July </w:t>
      </w:r>
      <w:r w:rsidR="005C02D9">
        <w:rPr>
          <w:rFonts w:ascii="Arial" w:eastAsia="Times New Roman" w:hAnsi="Arial" w:cs="Times New Roman"/>
          <w:kern w:val="28"/>
          <w:sz w:val="24"/>
          <w:szCs w:val="24"/>
          <w:lang w:eastAsia="en-GB"/>
        </w:rPr>
        <w:t>2022</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p>
    <w:p w:rsidR="003E4474" w:rsidRPr="003E4474" w:rsidRDefault="003E4474" w:rsidP="003E4474">
      <w:pPr>
        <w:spacing w:after="0" w:line="240" w:lineRule="auto"/>
        <w:rPr>
          <w:rFonts w:ascii="Arial" w:eastAsia="Times New Roman" w:hAnsi="Arial" w:cs="Times New Roman"/>
          <w:b/>
          <w:kern w:val="28"/>
          <w:sz w:val="24"/>
          <w:szCs w:val="24"/>
          <w:lang w:eastAsia="en-GB"/>
        </w:rPr>
      </w:pPr>
    </w:p>
    <w:p w:rsidR="003E4474" w:rsidRDefault="003E4474" w:rsidP="003E4474">
      <w:pPr>
        <w:spacing w:after="0" w:line="240" w:lineRule="auto"/>
        <w:rPr>
          <w:rFonts w:ascii="Arial" w:eastAsia="Times New Roman" w:hAnsi="Arial" w:cs="Times New Roman"/>
          <w:kern w:val="28"/>
          <w:sz w:val="24"/>
          <w:szCs w:val="24"/>
          <w:lang w:eastAsia="en-GB"/>
        </w:rPr>
      </w:pPr>
      <w:r w:rsidRPr="003E4474">
        <w:rPr>
          <w:rFonts w:ascii="Arial" w:eastAsia="Times New Roman" w:hAnsi="Arial" w:cs="Times New Roman"/>
          <w:b/>
          <w:kern w:val="28"/>
          <w:sz w:val="24"/>
          <w:szCs w:val="24"/>
          <w:lang w:eastAsia="en-GB"/>
        </w:rPr>
        <w:t xml:space="preserve">DATE OF JUDGMENT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r w:rsidR="001136B4">
        <w:rPr>
          <w:rFonts w:ascii="Arial" w:eastAsia="Times New Roman" w:hAnsi="Arial" w:cs="Times New Roman"/>
          <w:kern w:val="28"/>
          <w:sz w:val="24"/>
          <w:szCs w:val="24"/>
          <w:lang w:eastAsia="en-GB"/>
        </w:rPr>
        <w:t>1</w:t>
      </w:r>
      <w:r w:rsidR="00281249">
        <w:rPr>
          <w:rFonts w:ascii="Arial" w:eastAsia="Times New Roman" w:hAnsi="Arial" w:cs="Times New Roman"/>
          <w:kern w:val="28"/>
          <w:sz w:val="24"/>
          <w:szCs w:val="24"/>
          <w:lang w:eastAsia="en-GB"/>
        </w:rPr>
        <w:t>4</w:t>
      </w:r>
      <w:r w:rsidR="00830FF4">
        <w:rPr>
          <w:rFonts w:ascii="Arial" w:eastAsia="Times New Roman" w:hAnsi="Arial" w:cs="Times New Roman"/>
          <w:kern w:val="28"/>
          <w:sz w:val="24"/>
          <w:szCs w:val="24"/>
          <w:lang w:eastAsia="en-GB"/>
        </w:rPr>
        <w:t xml:space="preserve"> </w:t>
      </w:r>
      <w:r w:rsidR="00E22AF1">
        <w:rPr>
          <w:rFonts w:ascii="Arial" w:eastAsia="Times New Roman" w:hAnsi="Arial" w:cs="Times New Roman"/>
          <w:kern w:val="28"/>
          <w:sz w:val="24"/>
          <w:szCs w:val="24"/>
          <w:lang w:eastAsia="en-GB"/>
        </w:rPr>
        <w:t>September</w:t>
      </w:r>
      <w:r w:rsidR="008618E4">
        <w:rPr>
          <w:rFonts w:ascii="Arial" w:eastAsia="Times New Roman" w:hAnsi="Arial" w:cs="Times New Roman"/>
          <w:kern w:val="28"/>
          <w:sz w:val="24"/>
          <w:szCs w:val="24"/>
          <w:lang w:eastAsia="en-GB"/>
        </w:rPr>
        <w:t xml:space="preserve"> </w:t>
      </w:r>
      <w:r w:rsidRPr="003E4474">
        <w:rPr>
          <w:rFonts w:ascii="Arial" w:eastAsia="Times New Roman" w:hAnsi="Arial" w:cs="Times New Roman"/>
          <w:kern w:val="28"/>
          <w:sz w:val="24"/>
          <w:szCs w:val="24"/>
          <w:lang w:eastAsia="en-GB"/>
        </w:rPr>
        <w:t>2022</w:t>
      </w:r>
    </w:p>
    <w:p w:rsidR="006C07A0" w:rsidRDefault="006C07A0" w:rsidP="003E4474">
      <w:pPr>
        <w:spacing w:after="0" w:line="240" w:lineRule="auto"/>
        <w:rPr>
          <w:rFonts w:ascii="Arial" w:eastAsia="Times New Roman" w:hAnsi="Arial" w:cs="Times New Roman"/>
          <w:kern w:val="28"/>
          <w:sz w:val="24"/>
          <w:szCs w:val="24"/>
          <w:lang w:eastAsia="en-GB"/>
        </w:rPr>
      </w:pPr>
    </w:p>
    <w:p w:rsidR="006A19CD" w:rsidRPr="006C07A0" w:rsidRDefault="00E871DB" w:rsidP="006A19CD">
      <w:pPr>
        <w:spacing w:after="200" w:line="240" w:lineRule="auto"/>
        <w:contextualSpacing/>
        <w:rPr>
          <w:rFonts w:ascii="Arial" w:eastAsia="Calibri" w:hAnsi="Arial" w:cs="Times New Roman"/>
          <w:sz w:val="24"/>
        </w:rPr>
      </w:pPr>
      <w:r>
        <w:rPr>
          <w:rFonts w:ascii="Arial" w:eastAsia="Calibri" w:hAnsi="Arial" w:cs="Times New Roman"/>
          <w:b/>
          <w:sz w:val="24"/>
        </w:rPr>
        <w:t>APPLICANT’S</w:t>
      </w:r>
      <w:r w:rsidR="006C07A0" w:rsidRPr="006C07A0">
        <w:rPr>
          <w:rFonts w:ascii="Arial" w:eastAsia="Calibri" w:hAnsi="Arial" w:cs="Times New Roman"/>
          <w:b/>
          <w:sz w:val="24"/>
        </w:rPr>
        <w:t xml:space="preserve"> COUNSEL</w:t>
      </w:r>
      <w:r w:rsidR="006C07A0" w:rsidRPr="006C07A0">
        <w:rPr>
          <w:rFonts w:ascii="Arial" w:eastAsia="Calibri" w:hAnsi="Arial" w:cs="Times New Roman"/>
          <w:b/>
          <w:sz w:val="24"/>
        </w:rPr>
        <w:tab/>
      </w:r>
      <w:r w:rsidR="006C07A0" w:rsidRPr="006C07A0">
        <w:rPr>
          <w:rFonts w:ascii="Arial" w:eastAsia="Calibri" w:hAnsi="Arial" w:cs="Times New Roman"/>
          <w:b/>
          <w:sz w:val="24"/>
        </w:rPr>
        <w:tab/>
      </w:r>
      <w:r w:rsidR="006C07A0" w:rsidRPr="006C07A0">
        <w:rPr>
          <w:rFonts w:ascii="Arial" w:eastAsia="Calibri" w:hAnsi="Arial" w:cs="Times New Roman"/>
          <w:b/>
          <w:sz w:val="24"/>
        </w:rPr>
        <w:tab/>
      </w:r>
      <w:r w:rsidR="006C07A0" w:rsidRPr="006C07A0">
        <w:rPr>
          <w:rFonts w:ascii="Arial" w:eastAsia="Calibri" w:hAnsi="Arial" w:cs="Times New Roman"/>
          <w:b/>
          <w:sz w:val="24"/>
        </w:rPr>
        <w:tab/>
      </w:r>
      <w:r w:rsidR="006C07A0" w:rsidRPr="006C07A0">
        <w:rPr>
          <w:rFonts w:ascii="Arial" w:eastAsia="Calibri" w:hAnsi="Arial" w:cs="Times New Roman"/>
          <w:sz w:val="24"/>
        </w:rPr>
        <w:t xml:space="preserve">: </w:t>
      </w:r>
      <w:r w:rsidR="009C5938">
        <w:rPr>
          <w:rFonts w:ascii="Arial" w:eastAsia="Calibri" w:hAnsi="Arial" w:cs="Times New Roman"/>
          <w:sz w:val="24"/>
        </w:rPr>
        <w:t>Adv Ross Shepstone</w:t>
      </w:r>
    </w:p>
    <w:p w:rsidR="006A19CD" w:rsidRPr="006C07A0" w:rsidRDefault="006A19CD" w:rsidP="006A19CD">
      <w:pPr>
        <w:spacing w:after="200" w:line="240" w:lineRule="auto"/>
        <w:contextualSpacing/>
        <w:rPr>
          <w:rFonts w:ascii="Arial" w:eastAsia="Calibri" w:hAnsi="Arial" w:cs="Times New Roman"/>
          <w:sz w:val="24"/>
        </w:rPr>
      </w:pPr>
    </w:p>
    <w:p w:rsidR="006A19CD" w:rsidRPr="006C07A0" w:rsidRDefault="00E871DB" w:rsidP="006A19CD">
      <w:pPr>
        <w:spacing w:after="200" w:line="240" w:lineRule="auto"/>
        <w:contextualSpacing/>
        <w:rPr>
          <w:rFonts w:ascii="Arial" w:eastAsia="Calibri" w:hAnsi="Arial" w:cs="Times New Roman"/>
          <w:sz w:val="24"/>
        </w:rPr>
      </w:pPr>
      <w:r>
        <w:rPr>
          <w:rFonts w:ascii="Arial" w:eastAsia="Calibri" w:hAnsi="Arial" w:cs="Times New Roman"/>
          <w:b/>
          <w:bCs/>
          <w:sz w:val="24"/>
        </w:rPr>
        <w:t>APPLICANT’S</w:t>
      </w:r>
      <w:r w:rsidR="006A19CD" w:rsidRPr="006C07A0">
        <w:rPr>
          <w:rFonts w:ascii="Arial" w:eastAsia="Calibri" w:hAnsi="Arial" w:cs="Times New Roman"/>
          <w:b/>
          <w:bCs/>
          <w:sz w:val="24"/>
        </w:rPr>
        <w:t xml:space="preserve"> ATTORNEYS</w:t>
      </w:r>
      <w:r w:rsidR="006A19CD" w:rsidRPr="006C07A0">
        <w:rPr>
          <w:rFonts w:ascii="Arial" w:eastAsia="Calibri" w:hAnsi="Arial" w:cs="Times New Roman"/>
          <w:sz w:val="24"/>
        </w:rPr>
        <w:tab/>
      </w:r>
      <w:r w:rsidR="006A19CD" w:rsidRPr="006C07A0">
        <w:rPr>
          <w:rFonts w:ascii="Arial" w:eastAsia="Calibri" w:hAnsi="Arial" w:cs="Times New Roman"/>
          <w:sz w:val="24"/>
        </w:rPr>
        <w:tab/>
      </w:r>
      <w:r w:rsidR="006A19CD" w:rsidRPr="006C07A0">
        <w:rPr>
          <w:rFonts w:ascii="Arial" w:eastAsia="Calibri" w:hAnsi="Arial" w:cs="Times New Roman"/>
          <w:sz w:val="24"/>
        </w:rPr>
        <w:tab/>
        <w:t xml:space="preserve">: </w:t>
      </w:r>
      <w:r w:rsidR="009C5938">
        <w:rPr>
          <w:rFonts w:ascii="Arial" w:eastAsia="Calibri" w:hAnsi="Arial" w:cs="Times New Roman"/>
          <w:sz w:val="24"/>
        </w:rPr>
        <w:t>Adam Creswick Attorneys</w:t>
      </w:r>
    </w:p>
    <w:p w:rsidR="006A19CD" w:rsidRPr="006C07A0" w:rsidRDefault="006A19CD" w:rsidP="006A19CD">
      <w:pPr>
        <w:spacing w:after="200" w:line="240" w:lineRule="auto"/>
        <w:contextualSpacing/>
        <w:rPr>
          <w:rFonts w:ascii="Arial" w:eastAsia="Calibri" w:hAnsi="Arial" w:cs="Times New Roman"/>
          <w:sz w:val="24"/>
        </w:rPr>
      </w:pPr>
    </w:p>
    <w:p w:rsidR="00ED4D67" w:rsidRPr="006C07A0" w:rsidRDefault="00E871DB" w:rsidP="006A19CD">
      <w:pPr>
        <w:spacing w:after="200" w:line="240" w:lineRule="auto"/>
        <w:contextualSpacing/>
        <w:rPr>
          <w:rFonts w:ascii="Arial" w:eastAsia="Calibri" w:hAnsi="Arial" w:cs="Times New Roman"/>
          <w:sz w:val="24"/>
        </w:rPr>
      </w:pPr>
      <w:r>
        <w:rPr>
          <w:rFonts w:ascii="Arial" w:eastAsia="Calibri" w:hAnsi="Arial" w:cs="Times New Roman"/>
          <w:b/>
          <w:sz w:val="24"/>
        </w:rPr>
        <w:t>RESPONDENT’S</w:t>
      </w:r>
      <w:r w:rsidR="006A19CD" w:rsidRPr="006C07A0">
        <w:rPr>
          <w:rFonts w:ascii="Arial" w:eastAsia="Calibri" w:hAnsi="Arial" w:cs="Times New Roman"/>
          <w:b/>
          <w:sz w:val="24"/>
        </w:rPr>
        <w:t xml:space="preserve"> COUNSEL</w:t>
      </w:r>
      <w:r w:rsidR="006A19CD" w:rsidRPr="006C07A0">
        <w:rPr>
          <w:rFonts w:ascii="Arial" w:eastAsia="Calibri" w:hAnsi="Arial" w:cs="Times New Roman"/>
          <w:b/>
          <w:sz w:val="24"/>
        </w:rPr>
        <w:tab/>
      </w:r>
      <w:r w:rsidR="006A19CD" w:rsidRPr="006C07A0">
        <w:rPr>
          <w:rFonts w:ascii="Arial" w:eastAsia="Calibri" w:hAnsi="Arial" w:cs="Times New Roman"/>
          <w:b/>
          <w:sz w:val="24"/>
        </w:rPr>
        <w:tab/>
      </w:r>
      <w:r w:rsidR="006A19CD" w:rsidRPr="006C07A0">
        <w:rPr>
          <w:rFonts w:ascii="Arial" w:eastAsia="Calibri" w:hAnsi="Arial" w:cs="Times New Roman"/>
          <w:b/>
          <w:sz w:val="24"/>
        </w:rPr>
        <w:tab/>
      </w:r>
      <w:r w:rsidR="00ED4D67">
        <w:rPr>
          <w:rFonts w:ascii="Arial" w:eastAsia="Calibri" w:hAnsi="Arial" w:cs="Times New Roman"/>
          <w:sz w:val="24"/>
        </w:rPr>
        <w:t xml:space="preserve">: </w:t>
      </w:r>
      <w:r w:rsidR="009C5938">
        <w:rPr>
          <w:rFonts w:ascii="Arial" w:eastAsia="Calibri" w:hAnsi="Arial" w:cs="Times New Roman"/>
          <w:sz w:val="24"/>
        </w:rPr>
        <w:t>Adv Douglas Ainslie</w:t>
      </w:r>
    </w:p>
    <w:p w:rsidR="006A19CD" w:rsidRPr="006C07A0" w:rsidRDefault="006A19CD" w:rsidP="006A19CD">
      <w:pPr>
        <w:spacing w:after="200" w:line="240" w:lineRule="auto"/>
        <w:contextualSpacing/>
        <w:rPr>
          <w:rFonts w:ascii="Arial" w:eastAsia="Calibri" w:hAnsi="Arial" w:cs="Times New Roman"/>
          <w:sz w:val="24"/>
        </w:rPr>
      </w:pPr>
    </w:p>
    <w:p w:rsidR="003E4474" w:rsidRPr="00721A97" w:rsidRDefault="00E871DB" w:rsidP="00721A97">
      <w:pPr>
        <w:spacing w:after="200" w:line="240" w:lineRule="auto"/>
        <w:contextualSpacing/>
        <w:rPr>
          <w:rFonts w:ascii="Arial" w:eastAsia="Calibri" w:hAnsi="Arial" w:cs="Times New Roman"/>
          <w:sz w:val="24"/>
        </w:rPr>
      </w:pPr>
      <w:r>
        <w:rPr>
          <w:rFonts w:ascii="Arial" w:eastAsia="Calibri" w:hAnsi="Arial" w:cs="Times New Roman"/>
          <w:b/>
          <w:sz w:val="24"/>
        </w:rPr>
        <w:t>RESPONDENT’S</w:t>
      </w:r>
      <w:r w:rsidR="006A19CD" w:rsidRPr="006C07A0">
        <w:rPr>
          <w:rFonts w:ascii="Arial" w:eastAsia="Calibri" w:hAnsi="Arial" w:cs="Times New Roman"/>
          <w:b/>
          <w:sz w:val="24"/>
        </w:rPr>
        <w:t xml:space="preserve"> ATTORNEYS</w:t>
      </w:r>
      <w:r w:rsidR="006A19CD" w:rsidRPr="006C07A0">
        <w:rPr>
          <w:rFonts w:ascii="Arial" w:eastAsia="Calibri" w:hAnsi="Arial" w:cs="Times New Roman"/>
          <w:b/>
          <w:sz w:val="24"/>
        </w:rPr>
        <w:tab/>
      </w:r>
      <w:r w:rsidR="006A19CD" w:rsidRPr="006C07A0">
        <w:rPr>
          <w:rFonts w:ascii="Arial" w:eastAsia="Calibri" w:hAnsi="Arial" w:cs="Times New Roman"/>
          <w:b/>
          <w:sz w:val="24"/>
        </w:rPr>
        <w:tab/>
      </w:r>
      <w:r w:rsidR="006A19CD" w:rsidRPr="006C07A0">
        <w:rPr>
          <w:rFonts w:ascii="Arial" w:eastAsia="Calibri" w:hAnsi="Arial" w:cs="Times New Roman"/>
          <w:b/>
          <w:sz w:val="24"/>
        </w:rPr>
        <w:tab/>
      </w:r>
      <w:r w:rsidR="006A19CD" w:rsidRPr="006C07A0">
        <w:rPr>
          <w:rFonts w:ascii="Arial" w:eastAsia="Calibri" w:hAnsi="Arial" w:cs="Times New Roman"/>
          <w:sz w:val="24"/>
        </w:rPr>
        <w:t>:</w:t>
      </w:r>
      <w:r w:rsidR="009C5938">
        <w:rPr>
          <w:rFonts w:ascii="Arial" w:eastAsia="Calibri" w:hAnsi="Arial" w:cs="Times New Roman"/>
          <w:sz w:val="24"/>
        </w:rPr>
        <w:t xml:space="preserve"> Werksmans Attorneys </w:t>
      </w:r>
    </w:p>
    <w:sectPr w:rsidR="003E4474" w:rsidRPr="00721A97" w:rsidSect="00F22AC5">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9E0" w:rsidRDefault="009859E0" w:rsidP="003E4474">
      <w:pPr>
        <w:spacing w:after="0" w:line="240" w:lineRule="auto"/>
      </w:pPr>
      <w:r>
        <w:separator/>
      </w:r>
    </w:p>
  </w:endnote>
  <w:endnote w:type="continuationSeparator" w:id="0">
    <w:p w:rsidR="009859E0" w:rsidRDefault="009859E0" w:rsidP="003E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9E0" w:rsidRDefault="009859E0" w:rsidP="003E4474">
      <w:pPr>
        <w:spacing w:after="0" w:line="240" w:lineRule="auto"/>
      </w:pPr>
      <w:r>
        <w:separator/>
      </w:r>
    </w:p>
  </w:footnote>
  <w:footnote w:type="continuationSeparator" w:id="0">
    <w:p w:rsidR="009859E0" w:rsidRDefault="009859E0" w:rsidP="003E4474">
      <w:pPr>
        <w:spacing w:after="0" w:line="240" w:lineRule="auto"/>
      </w:pPr>
      <w:r>
        <w:continuationSeparator/>
      </w:r>
    </w:p>
  </w:footnote>
  <w:footnote w:id="1">
    <w:p w:rsidR="00D95C99" w:rsidRDefault="00D95C99" w:rsidP="00D95C99">
      <w:pPr>
        <w:pStyle w:val="FootnoteText"/>
      </w:pPr>
      <w:r>
        <w:rPr>
          <w:rStyle w:val="FootnoteReference"/>
        </w:rPr>
        <w:footnoteRef/>
      </w:r>
      <w:r>
        <w:t xml:space="preserve"> Hano Trading C</w:t>
      </w:r>
      <w:r w:rsidR="002B051F">
        <w:t>C</w:t>
      </w:r>
      <w:r>
        <w:t xml:space="preserve"> v JR 209 Investments (Pty) Ltd and Another 2013 (1) S</w:t>
      </w:r>
      <w:r w:rsidR="002B051F">
        <w:t>A</w:t>
      </w:r>
      <w:r>
        <w:t xml:space="preserve"> 161 (SCA) para 11; Kings Prop Development (Pty) Ltd v Checkmate Distribution (Pty) Ltd 2019 JDR 1243 (GJ)</w:t>
      </w:r>
    </w:p>
  </w:footnote>
  <w:footnote w:id="2">
    <w:p w:rsidR="00D95C99" w:rsidRPr="00C43632" w:rsidRDefault="00D95C99" w:rsidP="00D95C99">
      <w:pPr>
        <w:pStyle w:val="FootnoteText"/>
      </w:pPr>
      <w:r>
        <w:rPr>
          <w:rStyle w:val="FootnoteReference"/>
        </w:rPr>
        <w:footnoteRef/>
      </w:r>
      <w:r>
        <w:t xml:space="preserve"> </w:t>
      </w:r>
      <w:r w:rsidRPr="00C43632">
        <w:rPr>
          <w:bCs/>
        </w:rPr>
        <w:t>1948 (1) SA 839 (A) at 863</w:t>
      </w:r>
    </w:p>
  </w:footnote>
  <w:footnote w:id="3">
    <w:p w:rsidR="00D95C99" w:rsidRDefault="00D95C99" w:rsidP="00D95C99">
      <w:pPr>
        <w:pStyle w:val="FootnoteText"/>
      </w:pPr>
      <w:r>
        <w:rPr>
          <w:rStyle w:val="FootnoteReference"/>
        </w:rPr>
        <w:footnoteRef/>
      </w:r>
      <w:r>
        <w:t xml:space="preserve"> </w:t>
      </w:r>
      <w:r w:rsidRPr="00C43632">
        <w:rPr>
          <w:bCs/>
        </w:rPr>
        <w:t>1946 WLD 15</w:t>
      </w:r>
    </w:p>
  </w:footnote>
  <w:footnote w:id="4">
    <w:p w:rsidR="0005479B" w:rsidRDefault="0005479B" w:rsidP="0005479B">
      <w:pPr>
        <w:pStyle w:val="FootnoteText"/>
      </w:pPr>
      <w:r>
        <w:rPr>
          <w:rStyle w:val="FootnoteReference"/>
        </w:rPr>
        <w:footnoteRef/>
      </w:r>
      <w:r>
        <w:t xml:space="preserve"> Radio Pretoria v Chairman, Independent Communications Authority of South Africa and Another 2005 (1) SA 47 (SCA) para 39</w:t>
      </w:r>
    </w:p>
  </w:footnote>
  <w:footnote w:id="5">
    <w:p w:rsidR="0005479B" w:rsidRDefault="0005479B" w:rsidP="0005479B">
      <w:pPr>
        <w:pStyle w:val="FootnoteText"/>
      </w:pPr>
      <w:r>
        <w:rPr>
          <w:rStyle w:val="FootnoteReference"/>
        </w:rPr>
        <w:footnoteRef/>
      </w:r>
      <w:r>
        <w:t xml:space="preserve"> At p868</w:t>
      </w:r>
    </w:p>
  </w:footnote>
  <w:footnote w:id="6">
    <w:p w:rsidR="0005479B" w:rsidRDefault="0005479B" w:rsidP="0005479B">
      <w:pPr>
        <w:pStyle w:val="FootnoteText"/>
      </w:pPr>
      <w:r>
        <w:rPr>
          <w:rStyle w:val="FootnoteReference"/>
        </w:rPr>
        <w:footnoteRef/>
      </w:r>
      <w:r>
        <w:t xml:space="preserve"> At pp17-18</w:t>
      </w:r>
    </w:p>
  </w:footnote>
  <w:footnote w:id="7">
    <w:p w:rsidR="00970760" w:rsidRDefault="00970760" w:rsidP="00970760">
      <w:pPr>
        <w:pStyle w:val="FootnoteText"/>
      </w:pPr>
      <w:r>
        <w:rPr>
          <w:rStyle w:val="FootnoteReference"/>
        </w:rPr>
        <w:footnoteRef/>
      </w:r>
      <w:r>
        <w:t xml:space="preserve"> 2016 (2) SA 561 (GJ) paras 24 to 26</w:t>
      </w:r>
    </w:p>
  </w:footnote>
  <w:footnote w:id="8">
    <w:p w:rsidR="00970760" w:rsidRDefault="00970760" w:rsidP="00970760">
      <w:pPr>
        <w:pStyle w:val="FootnoteText"/>
      </w:pPr>
      <w:r>
        <w:rPr>
          <w:rStyle w:val="FootnoteReference"/>
        </w:rPr>
        <w:footnoteRef/>
      </w:r>
      <w:r>
        <w:t xml:space="preserve"> 2013 (1) SA 549 (GSJ)</w:t>
      </w:r>
    </w:p>
  </w:footnote>
  <w:footnote w:id="9">
    <w:p w:rsidR="0053078B" w:rsidRDefault="0053078B" w:rsidP="0053078B">
      <w:pPr>
        <w:pStyle w:val="FootnoteText"/>
      </w:pPr>
      <w:r>
        <w:rPr>
          <w:rStyle w:val="FootnoteReference"/>
        </w:rPr>
        <w:footnoteRef/>
      </w:r>
      <w:r>
        <w:t xml:space="preserve"> John Walker Pools v Consolidated Aone Trade &amp; Invest 6 (Pty) Ltd (in liquidation) and Another 2018 (4) S</w:t>
      </w:r>
      <w:r w:rsidR="00A16977">
        <w:t>A</w:t>
      </w:r>
      <w:r>
        <w:t xml:space="preserve"> 433 (SCA) para 10</w:t>
      </w:r>
    </w:p>
  </w:footnote>
  <w:footnote w:id="10">
    <w:p w:rsidR="007E197B" w:rsidRDefault="007E197B">
      <w:pPr>
        <w:pStyle w:val="FootnoteText"/>
      </w:pPr>
      <w:r>
        <w:rPr>
          <w:rStyle w:val="FootnoteReference"/>
        </w:rPr>
        <w:footnoteRef/>
      </w:r>
      <w:r>
        <w:t xml:space="preserve"> Nel v Waterberg Landbouwers Ko-operativewe Vereeniging 1946 AD 597 at 607</w:t>
      </w:r>
    </w:p>
  </w:footnote>
  <w:footnote w:id="11">
    <w:p w:rsidR="0053078B" w:rsidRDefault="0053078B" w:rsidP="0053078B">
      <w:pPr>
        <w:pStyle w:val="FootnoteText"/>
      </w:pPr>
      <w:r>
        <w:rPr>
          <w:rStyle w:val="FootnoteReference"/>
        </w:rPr>
        <w:footnoteRef/>
      </w:r>
      <w:r>
        <w:t xml:space="preserve"> Stainbank v South African Apartheid Museum at Freedom Park and Another [2011] ZACC 20; 2011 (1) BCLR 1058 (CC) para 52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678" w:rsidRDefault="00DD3678">
    <w:pPr>
      <w:pStyle w:val="Header"/>
      <w:jc w:val="right"/>
    </w:pPr>
    <w:r>
      <w:t xml:space="preserve">Page </w:t>
    </w:r>
    <w:r>
      <w:fldChar w:fldCharType="begin"/>
    </w:r>
    <w:r>
      <w:instrText xml:space="preserve"> PAGE   \* MERGEFORMAT </w:instrText>
    </w:r>
    <w:r>
      <w:fldChar w:fldCharType="separate"/>
    </w:r>
    <w:r w:rsidR="00817F0F">
      <w:rPr>
        <w:noProof/>
      </w:rPr>
      <w:t>10</w:t>
    </w:r>
    <w:r>
      <w:rPr>
        <w:noProof/>
      </w:rPr>
      <w:fldChar w:fldCharType="end"/>
    </w:r>
  </w:p>
  <w:p w:rsidR="00DD3678" w:rsidRDefault="00DD3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3979"/>
    <w:multiLevelType w:val="hybridMultilevel"/>
    <w:tmpl w:val="4B160786"/>
    <w:lvl w:ilvl="0" w:tplc="FB906D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7932DB"/>
    <w:multiLevelType w:val="hybridMultilevel"/>
    <w:tmpl w:val="69CAFD8C"/>
    <w:lvl w:ilvl="0" w:tplc="5FF8473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6244062"/>
    <w:multiLevelType w:val="hybridMultilevel"/>
    <w:tmpl w:val="5DFC28C4"/>
    <w:lvl w:ilvl="0" w:tplc="454494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371A16"/>
    <w:multiLevelType w:val="hybridMultilevel"/>
    <w:tmpl w:val="C40CB07E"/>
    <w:lvl w:ilvl="0" w:tplc="C2224DB6">
      <w:start w:val="2"/>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 w15:restartNumberingAfterBreak="0">
    <w:nsid w:val="0BB97CA0"/>
    <w:multiLevelType w:val="multilevel"/>
    <w:tmpl w:val="34762168"/>
    <w:numStyleLink w:val="Style1"/>
  </w:abstractNum>
  <w:abstractNum w:abstractNumId="5" w15:restartNumberingAfterBreak="0">
    <w:nsid w:val="0D6174B8"/>
    <w:multiLevelType w:val="hybridMultilevel"/>
    <w:tmpl w:val="B6DC93FC"/>
    <w:lvl w:ilvl="0" w:tplc="C2224D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72D4DF5"/>
    <w:multiLevelType w:val="multilevel"/>
    <w:tmpl w:val="4E6CD8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FD0633"/>
    <w:multiLevelType w:val="multilevel"/>
    <w:tmpl w:val="4E6CD8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874514"/>
    <w:multiLevelType w:val="hybridMultilevel"/>
    <w:tmpl w:val="2D2695A6"/>
    <w:lvl w:ilvl="0" w:tplc="F58A540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16F201B"/>
    <w:multiLevelType w:val="hybridMultilevel"/>
    <w:tmpl w:val="DFE04198"/>
    <w:lvl w:ilvl="0" w:tplc="53E87D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9D00F40"/>
    <w:multiLevelType w:val="hybridMultilevel"/>
    <w:tmpl w:val="2A06B42E"/>
    <w:lvl w:ilvl="0" w:tplc="F190D7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2370709"/>
    <w:multiLevelType w:val="multilevel"/>
    <w:tmpl w:val="4E6CD8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B1A6381"/>
    <w:multiLevelType w:val="hybridMultilevel"/>
    <w:tmpl w:val="30CA24A4"/>
    <w:lvl w:ilvl="0" w:tplc="FDB0DC20">
      <w:start w:val="1"/>
      <w:numFmt w:val="lowerRoman"/>
      <w:lvlText w:val="(%1)"/>
      <w:lvlJc w:val="left"/>
      <w:pPr>
        <w:ind w:left="1800" w:hanging="720"/>
      </w:pPr>
      <w:rPr>
        <w:rFonts w:hint="default"/>
        <w:sz w:val="2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569B461B"/>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7D42D79"/>
    <w:multiLevelType w:val="hybridMultilevel"/>
    <w:tmpl w:val="3FB224B6"/>
    <w:lvl w:ilvl="0" w:tplc="8DBAA8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31D2044"/>
    <w:multiLevelType w:val="hybridMultilevel"/>
    <w:tmpl w:val="A2FC4F1C"/>
    <w:lvl w:ilvl="0" w:tplc="0520E62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644F09B3"/>
    <w:multiLevelType w:val="multilevel"/>
    <w:tmpl w:val="4E6CD8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4850FC0"/>
    <w:multiLevelType w:val="hybridMultilevel"/>
    <w:tmpl w:val="D364378C"/>
    <w:lvl w:ilvl="0" w:tplc="3762041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BD17F80"/>
    <w:multiLevelType w:val="hybridMultilevel"/>
    <w:tmpl w:val="55644460"/>
    <w:lvl w:ilvl="0" w:tplc="605ABA1C">
      <w:start w:val="1"/>
      <w:numFmt w:val="decimal"/>
      <w:pStyle w:val="level1"/>
      <w:lvlText w:val="[%1]"/>
      <w:lvlJc w:val="left"/>
      <w:pPr>
        <w:ind w:left="360" w:hanging="360"/>
      </w:pPr>
      <w:rPr>
        <w:rFonts w:hint="default"/>
        <w:i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E476875"/>
    <w:multiLevelType w:val="multilevel"/>
    <w:tmpl w:val="51E07292"/>
    <w:lvl w:ilvl="0">
      <w:start w:val="1"/>
      <w:numFmt w:val="decimal"/>
      <w:pStyle w:val="1"/>
      <w:lvlText w:val="[%1]"/>
      <w:lvlJc w:val="center"/>
      <w:pPr>
        <w:tabs>
          <w:tab w:val="num" w:pos="851"/>
        </w:tabs>
        <w:ind w:left="851" w:hanging="851"/>
      </w:pPr>
      <w:rPr>
        <w:rFonts w:hint="default"/>
        <w:b w:val="0"/>
        <w:bCs w:val="0"/>
        <w:i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11"/>
      <w:lvlText w:val="%1.%2"/>
      <w:lvlJc w:val="left"/>
      <w:pPr>
        <w:tabs>
          <w:tab w:val="num" w:pos="1559"/>
        </w:tabs>
        <w:ind w:left="1559" w:hanging="708"/>
      </w:pPr>
      <w:rPr>
        <w:rFonts w:hint="default"/>
        <w:b w:val="0"/>
      </w:rPr>
    </w:lvl>
    <w:lvl w:ilvl="2">
      <w:start w:val="1"/>
      <w:numFmt w:val="decimal"/>
      <w:pStyle w:val="111"/>
      <w:lvlText w:val="%1.%2.%3"/>
      <w:lvlJc w:val="left"/>
      <w:pPr>
        <w:tabs>
          <w:tab w:val="num" w:pos="2552"/>
        </w:tabs>
        <w:ind w:left="2552" w:hanging="993"/>
      </w:pPr>
      <w:rPr>
        <w:rFonts w:hint="default"/>
      </w:rPr>
    </w:lvl>
    <w:lvl w:ilvl="3">
      <w:start w:val="1"/>
      <w:numFmt w:val="decimal"/>
      <w:lvlText w:val="%1.%2.%3.%4"/>
      <w:lvlJc w:val="left"/>
      <w:pPr>
        <w:tabs>
          <w:tab w:val="num" w:pos="3686"/>
        </w:tabs>
        <w:ind w:left="3686"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tabs>
          <w:tab w:val="num" w:pos="4961"/>
        </w:tabs>
        <w:ind w:left="4961" w:hanging="1275"/>
      </w:pPr>
      <w:rPr>
        <w:rFonts w:hint="default"/>
      </w:rPr>
    </w:lvl>
    <w:lvl w:ilvl="5">
      <w:start w:val="1"/>
      <w:numFmt w:val="decimal"/>
      <w:lvlText w:val="%1.%2.%3.%4.%5.%6."/>
      <w:lvlJc w:val="left"/>
      <w:pPr>
        <w:tabs>
          <w:tab w:val="num" w:pos="-5124"/>
        </w:tabs>
        <w:ind w:left="-5628" w:hanging="936"/>
      </w:pPr>
      <w:rPr>
        <w:rFonts w:hint="default"/>
      </w:rPr>
    </w:lvl>
    <w:lvl w:ilvl="6">
      <w:start w:val="1"/>
      <w:numFmt w:val="decimal"/>
      <w:lvlText w:val="%1.%2.%3.%4.%5.%6.%7."/>
      <w:lvlJc w:val="left"/>
      <w:pPr>
        <w:tabs>
          <w:tab w:val="num" w:pos="-4404"/>
        </w:tabs>
        <w:ind w:left="-5124" w:hanging="1080"/>
      </w:pPr>
      <w:rPr>
        <w:rFonts w:hint="default"/>
      </w:rPr>
    </w:lvl>
    <w:lvl w:ilvl="7">
      <w:start w:val="1"/>
      <w:numFmt w:val="decimal"/>
      <w:lvlText w:val="%1.%2.%3.%4.%5.%6.%7.%8."/>
      <w:lvlJc w:val="left"/>
      <w:pPr>
        <w:tabs>
          <w:tab w:val="num" w:pos="-4044"/>
        </w:tabs>
        <w:ind w:left="-4620" w:hanging="1224"/>
      </w:pPr>
      <w:rPr>
        <w:rFonts w:hint="default"/>
      </w:rPr>
    </w:lvl>
    <w:lvl w:ilvl="8">
      <w:start w:val="1"/>
      <w:numFmt w:val="decimal"/>
      <w:lvlText w:val="%1.%2.%3.%4.%5.%6.%7.%8.%9."/>
      <w:lvlJc w:val="left"/>
      <w:pPr>
        <w:tabs>
          <w:tab w:val="num" w:pos="-3324"/>
        </w:tabs>
        <w:ind w:left="-4044" w:hanging="1440"/>
      </w:pPr>
      <w:rPr>
        <w:rFonts w:hint="default"/>
      </w:rPr>
    </w:lvl>
  </w:abstractNum>
  <w:abstractNum w:abstractNumId="20" w15:restartNumberingAfterBreak="0">
    <w:nsid w:val="72016F35"/>
    <w:multiLevelType w:val="hybridMultilevel"/>
    <w:tmpl w:val="27A8B4BE"/>
    <w:lvl w:ilvl="0" w:tplc="E8E642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2712558"/>
    <w:multiLevelType w:val="multilevel"/>
    <w:tmpl w:val="4E6CD8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32E7476"/>
    <w:multiLevelType w:val="multilevel"/>
    <w:tmpl w:val="34762168"/>
    <w:numStyleLink w:val="Style1"/>
  </w:abstractNum>
  <w:abstractNum w:abstractNumId="23" w15:restartNumberingAfterBreak="0">
    <w:nsid w:val="7CF814C9"/>
    <w:multiLevelType w:val="hybridMultilevel"/>
    <w:tmpl w:val="4BD6BF42"/>
    <w:lvl w:ilvl="0" w:tplc="53E87D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E734314"/>
    <w:multiLevelType w:val="hybridMultilevel"/>
    <w:tmpl w:val="23F24640"/>
    <w:lvl w:ilvl="0" w:tplc="E1A06026">
      <w:start w:val="1"/>
      <w:numFmt w:val="lowerRoman"/>
      <w:lvlText w:val="(%1)"/>
      <w:lvlJc w:val="left"/>
      <w:pPr>
        <w:ind w:left="1080" w:hanging="72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F93080B"/>
    <w:multiLevelType w:val="multilevel"/>
    <w:tmpl w:val="34762168"/>
    <w:styleLink w:val="Style1"/>
    <w:lvl w:ilvl="0">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1"/>
  </w:num>
  <w:num w:numId="3">
    <w:abstractNumId w:val="14"/>
  </w:num>
  <w:num w:numId="4">
    <w:abstractNumId w:val="17"/>
  </w:num>
  <w:num w:numId="5">
    <w:abstractNumId w:val="5"/>
  </w:num>
  <w:num w:numId="6">
    <w:abstractNumId w:val="3"/>
  </w:num>
  <w:num w:numId="7">
    <w:abstractNumId w:val="20"/>
  </w:num>
  <w:num w:numId="8">
    <w:abstractNumId w:val="15"/>
  </w:num>
  <w:num w:numId="9">
    <w:abstractNumId w:val="8"/>
  </w:num>
  <w:num w:numId="10">
    <w:abstractNumId w:val="10"/>
  </w:num>
  <w:num w:numId="11">
    <w:abstractNumId w:val="24"/>
  </w:num>
  <w:num w:numId="12">
    <w:abstractNumId w:val="12"/>
  </w:num>
  <w:num w:numId="13">
    <w:abstractNumId w:val="2"/>
  </w:num>
  <w:num w:numId="14">
    <w:abstractNumId w:val="0"/>
  </w:num>
  <w:num w:numId="15">
    <w:abstractNumId w:val="19"/>
  </w:num>
  <w:num w:numId="16">
    <w:abstractNumId w:val="23"/>
  </w:num>
  <w:num w:numId="17">
    <w:abstractNumId w:val="9"/>
  </w:num>
  <w:num w:numId="18">
    <w:abstractNumId w:val="13"/>
  </w:num>
  <w:num w:numId="19">
    <w:abstractNumId w:val="11"/>
  </w:num>
  <w:num w:numId="20">
    <w:abstractNumId w:val="25"/>
  </w:num>
  <w:num w:numId="21">
    <w:abstractNumId w:val="4"/>
  </w:num>
  <w:num w:numId="22">
    <w:abstractNumId w:val="16"/>
  </w:num>
  <w:num w:numId="23">
    <w:abstractNumId w:val="6"/>
  </w:num>
  <w:num w:numId="24">
    <w:abstractNumId w:val="7"/>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74"/>
    <w:rsid w:val="00002A85"/>
    <w:rsid w:val="000102BC"/>
    <w:rsid w:val="00015E74"/>
    <w:rsid w:val="000269EB"/>
    <w:rsid w:val="0003637B"/>
    <w:rsid w:val="0005479B"/>
    <w:rsid w:val="000604A0"/>
    <w:rsid w:val="00084BAE"/>
    <w:rsid w:val="00087445"/>
    <w:rsid w:val="000A24F1"/>
    <w:rsid w:val="000A633A"/>
    <w:rsid w:val="000C26EC"/>
    <w:rsid w:val="000C74CE"/>
    <w:rsid w:val="000D3234"/>
    <w:rsid w:val="000D3E3D"/>
    <w:rsid w:val="000F04AE"/>
    <w:rsid w:val="000F0879"/>
    <w:rsid w:val="00104322"/>
    <w:rsid w:val="00110FA4"/>
    <w:rsid w:val="001136B4"/>
    <w:rsid w:val="0011760E"/>
    <w:rsid w:val="00131D5D"/>
    <w:rsid w:val="001412AE"/>
    <w:rsid w:val="0015548E"/>
    <w:rsid w:val="00167CE8"/>
    <w:rsid w:val="00170112"/>
    <w:rsid w:val="00174088"/>
    <w:rsid w:val="00192733"/>
    <w:rsid w:val="001D09ED"/>
    <w:rsid w:val="001D5E93"/>
    <w:rsid w:val="001F0EC4"/>
    <w:rsid w:val="00204D21"/>
    <w:rsid w:val="002153DA"/>
    <w:rsid w:val="00256B14"/>
    <w:rsid w:val="002626F1"/>
    <w:rsid w:val="00275A76"/>
    <w:rsid w:val="00281249"/>
    <w:rsid w:val="00294877"/>
    <w:rsid w:val="002A06D4"/>
    <w:rsid w:val="002B051F"/>
    <w:rsid w:val="002B71A5"/>
    <w:rsid w:val="002D298A"/>
    <w:rsid w:val="002D6E63"/>
    <w:rsid w:val="002E02EE"/>
    <w:rsid w:val="002E646E"/>
    <w:rsid w:val="00346AC2"/>
    <w:rsid w:val="003834DC"/>
    <w:rsid w:val="00395AC5"/>
    <w:rsid w:val="003B7F1D"/>
    <w:rsid w:val="003C7AAA"/>
    <w:rsid w:val="003E2CBE"/>
    <w:rsid w:val="003E4474"/>
    <w:rsid w:val="00407140"/>
    <w:rsid w:val="00412C84"/>
    <w:rsid w:val="00424AD4"/>
    <w:rsid w:val="00426D67"/>
    <w:rsid w:val="00466B44"/>
    <w:rsid w:val="00484308"/>
    <w:rsid w:val="004B31C8"/>
    <w:rsid w:val="004B3A72"/>
    <w:rsid w:val="004D3746"/>
    <w:rsid w:val="00502791"/>
    <w:rsid w:val="0052002B"/>
    <w:rsid w:val="005266ED"/>
    <w:rsid w:val="00526FAB"/>
    <w:rsid w:val="0053078B"/>
    <w:rsid w:val="00540443"/>
    <w:rsid w:val="00547CEB"/>
    <w:rsid w:val="00554B1C"/>
    <w:rsid w:val="005833E9"/>
    <w:rsid w:val="005B3F0C"/>
    <w:rsid w:val="005C02D9"/>
    <w:rsid w:val="005F5C4D"/>
    <w:rsid w:val="00626391"/>
    <w:rsid w:val="00641F1C"/>
    <w:rsid w:val="006A19CD"/>
    <w:rsid w:val="006C07A0"/>
    <w:rsid w:val="006F3F74"/>
    <w:rsid w:val="00721A97"/>
    <w:rsid w:val="00743128"/>
    <w:rsid w:val="00754AC6"/>
    <w:rsid w:val="00771BDE"/>
    <w:rsid w:val="007B0F6E"/>
    <w:rsid w:val="007B3BC9"/>
    <w:rsid w:val="007B6944"/>
    <w:rsid w:val="007E197B"/>
    <w:rsid w:val="007F32E5"/>
    <w:rsid w:val="007F723F"/>
    <w:rsid w:val="00812B71"/>
    <w:rsid w:val="0081637B"/>
    <w:rsid w:val="00817F0F"/>
    <w:rsid w:val="00821721"/>
    <w:rsid w:val="00823138"/>
    <w:rsid w:val="00830FF4"/>
    <w:rsid w:val="00854F3F"/>
    <w:rsid w:val="008618E4"/>
    <w:rsid w:val="00874364"/>
    <w:rsid w:val="00886873"/>
    <w:rsid w:val="008902AE"/>
    <w:rsid w:val="00890B23"/>
    <w:rsid w:val="008D48D8"/>
    <w:rsid w:val="008D66D0"/>
    <w:rsid w:val="009032F7"/>
    <w:rsid w:val="00906F14"/>
    <w:rsid w:val="00907CB0"/>
    <w:rsid w:val="009154AE"/>
    <w:rsid w:val="009246EB"/>
    <w:rsid w:val="00937E86"/>
    <w:rsid w:val="00940F95"/>
    <w:rsid w:val="00957E59"/>
    <w:rsid w:val="00970760"/>
    <w:rsid w:val="009777EC"/>
    <w:rsid w:val="009859E0"/>
    <w:rsid w:val="00987EED"/>
    <w:rsid w:val="009C5938"/>
    <w:rsid w:val="009E146E"/>
    <w:rsid w:val="00A00DBB"/>
    <w:rsid w:val="00A16977"/>
    <w:rsid w:val="00A16D68"/>
    <w:rsid w:val="00A3176D"/>
    <w:rsid w:val="00A63730"/>
    <w:rsid w:val="00A94E74"/>
    <w:rsid w:val="00AD20EB"/>
    <w:rsid w:val="00AD7D7A"/>
    <w:rsid w:val="00B10FFB"/>
    <w:rsid w:val="00B34BC4"/>
    <w:rsid w:val="00B415B3"/>
    <w:rsid w:val="00B75AF6"/>
    <w:rsid w:val="00BA03A5"/>
    <w:rsid w:val="00BE45F4"/>
    <w:rsid w:val="00BE4947"/>
    <w:rsid w:val="00BE5321"/>
    <w:rsid w:val="00BE5F38"/>
    <w:rsid w:val="00C23F97"/>
    <w:rsid w:val="00C43632"/>
    <w:rsid w:val="00C5138B"/>
    <w:rsid w:val="00C57261"/>
    <w:rsid w:val="00C621D6"/>
    <w:rsid w:val="00C62497"/>
    <w:rsid w:val="00C62D9A"/>
    <w:rsid w:val="00C72A12"/>
    <w:rsid w:val="00C76C87"/>
    <w:rsid w:val="00CA3C87"/>
    <w:rsid w:val="00CB7E07"/>
    <w:rsid w:val="00D168C6"/>
    <w:rsid w:val="00D42732"/>
    <w:rsid w:val="00D43083"/>
    <w:rsid w:val="00D56440"/>
    <w:rsid w:val="00D624E0"/>
    <w:rsid w:val="00D84174"/>
    <w:rsid w:val="00D95C99"/>
    <w:rsid w:val="00D95EDA"/>
    <w:rsid w:val="00DA6802"/>
    <w:rsid w:val="00DB0CAC"/>
    <w:rsid w:val="00DB0CED"/>
    <w:rsid w:val="00DB599F"/>
    <w:rsid w:val="00DB64F9"/>
    <w:rsid w:val="00DD3678"/>
    <w:rsid w:val="00DD51FC"/>
    <w:rsid w:val="00E22AF1"/>
    <w:rsid w:val="00E32AE7"/>
    <w:rsid w:val="00E871DB"/>
    <w:rsid w:val="00EC0F89"/>
    <w:rsid w:val="00EC165D"/>
    <w:rsid w:val="00ED0C77"/>
    <w:rsid w:val="00ED4D67"/>
    <w:rsid w:val="00EE02CB"/>
    <w:rsid w:val="00EE0DFB"/>
    <w:rsid w:val="00EE679E"/>
    <w:rsid w:val="00EE7598"/>
    <w:rsid w:val="00EF243C"/>
    <w:rsid w:val="00EF302E"/>
    <w:rsid w:val="00F22AC5"/>
    <w:rsid w:val="00F46A1E"/>
    <w:rsid w:val="00F55DF4"/>
    <w:rsid w:val="00FB6D16"/>
    <w:rsid w:val="00FC34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CAC37-0828-473C-A536-5BD31258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4AE"/>
  </w:style>
  <w:style w:type="paragraph" w:styleId="Heading2">
    <w:name w:val="heading 2"/>
    <w:basedOn w:val="Normal"/>
    <w:next w:val="Normal"/>
    <w:link w:val="Heading2Char"/>
    <w:uiPriority w:val="9"/>
    <w:unhideWhenUsed/>
    <w:qFormat/>
    <w:rsid w:val="00ED4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74"/>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iPriority w:val="99"/>
    <w:unhideWhenUsed/>
    <w:rsid w:val="003E4474"/>
    <w:pPr>
      <w:spacing w:after="0" w:line="240" w:lineRule="auto"/>
    </w:pPr>
    <w:rPr>
      <w:rFonts w:ascii="Arial" w:eastAsia="Times New Roman" w:hAnsi="Arial" w:cs="Times New Roman"/>
      <w:kern w:val="28"/>
      <w:sz w:val="20"/>
      <w:szCs w:val="20"/>
      <w:lang w:eastAsia="en-GB"/>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rsid w:val="003E4474"/>
    <w:rPr>
      <w:rFonts w:ascii="Arial" w:eastAsia="Times New Roman" w:hAnsi="Arial" w:cs="Times New Roman"/>
      <w:kern w:val="28"/>
      <w:sz w:val="20"/>
      <w:szCs w:val="20"/>
      <w:lang w:eastAsia="en-GB"/>
    </w:rPr>
  </w:style>
  <w:style w:type="character" w:styleId="FootnoteReference">
    <w:name w:val="footnote reference"/>
    <w:uiPriority w:val="99"/>
    <w:unhideWhenUsed/>
    <w:rsid w:val="003E4474"/>
    <w:rPr>
      <w:vertAlign w:val="superscript"/>
    </w:rPr>
  </w:style>
  <w:style w:type="paragraph" w:customStyle="1" w:styleId="level1">
    <w:name w:val="level1"/>
    <w:basedOn w:val="Normal"/>
    <w:rsid w:val="003E4474"/>
    <w:pPr>
      <w:numPr>
        <w:numId w:val="1"/>
      </w:numPr>
      <w:spacing w:after="0" w:line="240" w:lineRule="auto"/>
    </w:pPr>
    <w:rPr>
      <w:rFonts w:ascii="Arial" w:eastAsia="Times New Roman" w:hAnsi="Arial" w:cs="Times New Roman"/>
      <w:kern w:val="28"/>
      <w:sz w:val="24"/>
      <w:szCs w:val="24"/>
      <w:lang w:eastAsia="en-GB"/>
    </w:rPr>
  </w:style>
  <w:style w:type="paragraph" w:styleId="Footer">
    <w:name w:val="footer"/>
    <w:basedOn w:val="Normal"/>
    <w:link w:val="FooterChar"/>
    <w:uiPriority w:val="99"/>
    <w:unhideWhenUsed/>
    <w:rsid w:val="00547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CEB"/>
  </w:style>
  <w:style w:type="character" w:styleId="Hyperlink">
    <w:name w:val="Hyperlink"/>
    <w:basedOn w:val="DefaultParagraphFont"/>
    <w:uiPriority w:val="99"/>
    <w:unhideWhenUsed/>
    <w:rsid w:val="002D298A"/>
    <w:rPr>
      <w:color w:val="0563C1" w:themeColor="hyperlink"/>
      <w:u w:val="single"/>
    </w:rPr>
  </w:style>
  <w:style w:type="paragraph" w:styleId="ListParagraph">
    <w:name w:val="List Paragraph"/>
    <w:basedOn w:val="Normal"/>
    <w:uiPriority w:val="34"/>
    <w:qFormat/>
    <w:rsid w:val="00B415B3"/>
    <w:pPr>
      <w:ind w:left="720"/>
      <w:contextualSpacing/>
    </w:pPr>
  </w:style>
  <w:style w:type="paragraph" w:customStyle="1" w:styleId="1">
    <w:name w:val="1"/>
    <w:basedOn w:val="Normal"/>
    <w:rsid w:val="00ED4D67"/>
    <w:pPr>
      <w:numPr>
        <w:numId w:val="15"/>
      </w:numPr>
    </w:pPr>
  </w:style>
  <w:style w:type="paragraph" w:customStyle="1" w:styleId="11">
    <w:name w:val="1.1"/>
    <w:basedOn w:val="Normal"/>
    <w:rsid w:val="00ED4D67"/>
    <w:pPr>
      <w:numPr>
        <w:ilvl w:val="1"/>
        <w:numId w:val="15"/>
      </w:numPr>
    </w:pPr>
  </w:style>
  <w:style w:type="paragraph" w:customStyle="1" w:styleId="111">
    <w:name w:val="1.1.1"/>
    <w:basedOn w:val="Normal"/>
    <w:rsid w:val="00ED4D67"/>
    <w:pPr>
      <w:numPr>
        <w:ilvl w:val="2"/>
        <w:numId w:val="15"/>
      </w:numPr>
    </w:pPr>
  </w:style>
  <w:style w:type="character" w:customStyle="1" w:styleId="Heading2Char">
    <w:name w:val="Heading 2 Char"/>
    <w:basedOn w:val="DefaultParagraphFont"/>
    <w:link w:val="Heading2"/>
    <w:uiPriority w:val="9"/>
    <w:rsid w:val="00ED4D67"/>
    <w:rPr>
      <w:rFonts w:asciiTheme="majorHAnsi" w:eastAsiaTheme="majorEastAsia" w:hAnsiTheme="majorHAnsi" w:cstheme="majorBidi"/>
      <w:color w:val="2E74B5" w:themeColor="accent1" w:themeShade="BF"/>
      <w:sz w:val="26"/>
      <w:szCs w:val="26"/>
    </w:rPr>
  </w:style>
  <w:style w:type="numbering" w:customStyle="1" w:styleId="Style1">
    <w:name w:val="Style1"/>
    <w:uiPriority w:val="99"/>
    <w:rsid w:val="00854F3F"/>
    <w:pPr>
      <w:numPr>
        <w:numId w:val="20"/>
      </w:numPr>
    </w:pPr>
  </w:style>
  <w:style w:type="paragraph" w:styleId="BalloonText">
    <w:name w:val="Balloon Text"/>
    <w:basedOn w:val="Normal"/>
    <w:link w:val="BalloonTextChar"/>
    <w:uiPriority w:val="99"/>
    <w:semiHidden/>
    <w:unhideWhenUsed/>
    <w:rsid w:val="00DB6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68866">
      <w:bodyDiv w:val="1"/>
      <w:marLeft w:val="0"/>
      <w:marRight w:val="0"/>
      <w:marTop w:val="0"/>
      <w:marBottom w:val="0"/>
      <w:divBdr>
        <w:top w:val="none" w:sz="0" w:space="0" w:color="auto"/>
        <w:left w:val="none" w:sz="0" w:space="0" w:color="auto"/>
        <w:bottom w:val="none" w:sz="0" w:space="0" w:color="auto"/>
        <w:right w:val="none" w:sz="0" w:space="0" w:color="auto"/>
      </w:divBdr>
      <w:divsChild>
        <w:div w:id="269974032">
          <w:marLeft w:val="0"/>
          <w:marRight w:val="0"/>
          <w:marTop w:val="0"/>
          <w:marBottom w:val="0"/>
          <w:divBdr>
            <w:top w:val="none" w:sz="0" w:space="0" w:color="auto"/>
            <w:left w:val="none" w:sz="0" w:space="0" w:color="auto"/>
            <w:bottom w:val="none" w:sz="0" w:space="0" w:color="auto"/>
            <w:right w:val="none" w:sz="0" w:space="0" w:color="auto"/>
          </w:divBdr>
        </w:div>
        <w:div w:id="1826705071">
          <w:marLeft w:val="0"/>
          <w:marRight w:val="0"/>
          <w:marTop w:val="0"/>
          <w:marBottom w:val="0"/>
          <w:divBdr>
            <w:top w:val="none" w:sz="0" w:space="0" w:color="auto"/>
            <w:left w:val="none" w:sz="0" w:space="0" w:color="auto"/>
            <w:bottom w:val="none" w:sz="0" w:space="0" w:color="auto"/>
            <w:right w:val="none" w:sz="0" w:space="0" w:color="auto"/>
          </w:divBdr>
        </w:div>
        <w:div w:id="624847296">
          <w:marLeft w:val="0"/>
          <w:marRight w:val="0"/>
          <w:marTop w:val="0"/>
          <w:marBottom w:val="0"/>
          <w:divBdr>
            <w:top w:val="none" w:sz="0" w:space="0" w:color="auto"/>
            <w:left w:val="none" w:sz="0" w:space="0" w:color="auto"/>
            <w:bottom w:val="none" w:sz="0" w:space="0" w:color="auto"/>
            <w:right w:val="none" w:sz="0" w:space="0" w:color="auto"/>
          </w:divBdr>
        </w:div>
        <w:div w:id="368651542">
          <w:marLeft w:val="0"/>
          <w:marRight w:val="0"/>
          <w:marTop w:val="0"/>
          <w:marBottom w:val="0"/>
          <w:divBdr>
            <w:top w:val="none" w:sz="0" w:space="0" w:color="auto"/>
            <w:left w:val="none" w:sz="0" w:space="0" w:color="auto"/>
            <w:bottom w:val="none" w:sz="0" w:space="0" w:color="auto"/>
            <w:right w:val="none" w:sz="0" w:space="0" w:color="auto"/>
          </w:divBdr>
        </w:div>
        <w:div w:id="769743845">
          <w:marLeft w:val="0"/>
          <w:marRight w:val="0"/>
          <w:marTop w:val="0"/>
          <w:marBottom w:val="0"/>
          <w:divBdr>
            <w:top w:val="none" w:sz="0" w:space="0" w:color="auto"/>
            <w:left w:val="none" w:sz="0" w:space="0" w:color="auto"/>
            <w:bottom w:val="none" w:sz="0" w:space="0" w:color="auto"/>
            <w:right w:val="none" w:sz="0" w:space="0" w:color="auto"/>
          </w:divBdr>
        </w:div>
        <w:div w:id="2117016332">
          <w:marLeft w:val="0"/>
          <w:marRight w:val="0"/>
          <w:marTop w:val="0"/>
          <w:marBottom w:val="0"/>
          <w:divBdr>
            <w:top w:val="none" w:sz="0" w:space="0" w:color="auto"/>
            <w:left w:val="none" w:sz="0" w:space="0" w:color="auto"/>
            <w:bottom w:val="none" w:sz="0" w:space="0" w:color="auto"/>
            <w:right w:val="none" w:sz="0" w:space="0" w:color="auto"/>
          </w:divBdr>
        </w:div>
        <w:div w:id="479998225">
          <w:marLeft w:val="0"/>
          <w:marRight w:val="0"/>
          <w:marTop w:val="0"/>
          <w:marBottom w:val="0"/>
          <w:divBdr>
            <w:top w:val="none" w:sz="0" w:space="0" w:color="auto"/>
            <w:left w:val="none" w:sz="0" w:space="0" w:color="auto"/>
            <w:bottom w:val="none" w:sz="0" w:space="0" w:color="auto"/>
            <w:right w:val="none" w:sz="0" w:space="0" w:color="auto"/>
          </w:divBdr>
        </w:div>
        <w:div w:id="1558324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9CA91-DC32-4DB6-8275-D26511FB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Lazarus Rakgwale</cp:lastModifiedBy>
  <cp:revision>2</cp:revision>
  <cp:lastPrinted>2022-09-14T10:19:00Z</cp:lastPrinted>
  <dcterms:created xsi:type="dcterms:W3CDTF">2022-09-15T09:36:00Z</dcterms:created>
  <dcterms:modified xsi:type="dcterms:W3CDTF">2022-09-15T09:36:00Z</dcterms:modified>
</cp:coreProperties>
</file>