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620E"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bookmarkStart w:id="0" w:name="_GoBack"/>
      <w:bookmarkEnd w:id="0"/>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1438BAA2" w:rsidR="00FB3669" w:rsidRDefault="00FB3669" w:rsidP="00FB3669">
      <w:pPr>
        <w:tabs>
          <w:tab w:val="right" w:pos="9029"/>
        </w:tabs>
        <w:jc w:val="both"/>
        <w:rPr>
          <w:rFonts w:ascii="Times New Roman" w:eastAsia="Times New Roman" w:hAnsi="Times New Roman" w:cs="Times New Roman"/>
          <w:b/>
          <w:bCs/>
          <w:lang w:val="en-ZA"/>
        </w:rPr>
      </w:pPr>
      <w:r w:rsidRPr="002A2849">
        <w:rPr>
          <w:rFonts w:ascii="Times New Roman" w:eastAsia="Times New Roman" w:hAnsi="Times New Roman" w:cs="Times New Roman"/>
          <w:lang w:val="en-ZA"/>
        </w:rPr>
        <w:tab/>
      </w:r>
      <w:r w:rsidR="001A4515" w:rsidRPr="004E190E">
        <w:rPr>
          <w:rFonts w:ascii="Times New Roman" w:eastAsia="Times New Roman" w:hAnsi="Times New Roman" w:cs="Times New Roman"/>
          <w:b/>
          <w:bCs/>
          <w:lang w:val="en-ZA"/>
        </w:rPr>
        <w:t xml:space="preserve">Appeal </w:t>
      </w:r>
      <w:r w:rsidRPr="004E190E">
        <w:rPr>
          <w:rFonts w:ascii="Times New Roman" w:eastAsia="Times New Roman" w:hAnsi="Times New Roman" w:cs="Times New Roman"/>
          <w:b/>
          <w:bCs/>
          <w:lang w:val="en-ZA"/>
        </w:rPr>
        <w:t xml:space="preserve">Case Number: </w:t>
      </w:r>
      <w:r w:rsidR="001A4515" w:rsidRPr="004E190E">
        <w:rPr>
          <w:rFonts w:ascii="Times New Roman" w:eastAsia="Times New Roman" w:hAnsi="Times New Roman" w:cs="Times New Roman"/>
          <w:b/>
          <w:bCs/>
          <w:lang w:val="en-ZA"/>
        </w:rPr>
        <w:t>A3057/2021</w:t>
      </w:r>
    </w:p>
    <w:p w14:paraId="1CFEA933" w14:textId="6369BB3F" w:rsidR="004E190E" w:rsidRDefault="004E190E" w:rsidP="004E190E">
      <w:pPr>
        <w:tabs>
          <w:tab w:val="right" w:pos="9029"/>
        </w:tabs>
        <w:jc w:val="right"/>
        <w:rPr>
          <w:rFonts w:ascii="Times New Roman" w:eastAsia="Times New Roman" w:hAnsi="Times New Roman" w:cs="Times New Roman"/>
          <w:b/>
          <w:bCs/>
          <w:lang w:val="en-ZA"/>
        </w:rPr>
      </w:pPr>
      <w:r>
        <w:rPr>
          <w:rFonts w:ascii="Times New Roman" w:eastAsia="Times New Roman" w:hAnsi="Times New Roman" w:cs="Times New Roman"/>
          <w:b/>
          <w:bCs/>
          <w:lang w:val="en-ZA"/>
        </w:rPr>
        <w:t>Magistrate’s Case No: 19407/19</w:t>
      </w:r>
    </w:p>
    <w:p w14:paraId="1D1518F9" w14:textId="64B27287" w:rsidR="004E190E" w:rsidRDefault="004E190E" w:rsidP="004E190E">
      <w:pPr>
        <w:tabs>
          <w:tab w:val="right" w:pos="9029"/>
        </w:tabs>
        <w:jc w:val="right"/>
        <w:rPr>
          <w:rFonts w:ascii="Times New Roman" w:eastAsia="Times New Roman" w:hAnsi="Times New Roman" w:cs="Times New Roman"/>
          <w:b/>
          <w:bCs/>
          <w:lang w:val="en-ZA"/>
        </w:rPr>
      </w:pPr>
      <w:r>
        <w:rPr>
          <w:rFonts w:ascii="Times New Roman" w:eastAsia="Times New Roman" w:hAnsi="Times New Roman" w:cs="Times New Roman"/>
          <w:b/>
          <w:bCs/>
          <w:lang w:val="en-ZA"/>
        </w:rPr>
        <w:t>19403/19</w:t>
      </w:r>
    </w:p>
    <w:p w14:paraId="303F0584" w14:textId="4F947BED" w:rsidR="004E190E" w:rsidRDefault="004E190E" w:rsidP="004E190E">
      <w:pPr>
        <w:tabs>
          <w:tab w:val="right" w:pos="9029"/>
        </w:tabs>
        <w:jc w:val="right"/>
        <w:rPr>
          <w:rFonts w:ascii="Times New Roman" w:eastAsia="Times New Roman" w:hAnsi="Times New Roman" w:cs="Times New Roman"/>
          <w:b/>
          <w:bCs/>
          <w:lang w:val="en-ZA"/>
        </w:rPr>
      </w:pPr>
      <w:r>
        <w:rPr>
          <w:rFonts w:ascii="Times New Roman" w:eastAsia="Times New Roman" w:hAnsi="Times New Roman" w:cs="Times New Roman"/>
          <w:b/>
          <w:bCs/>
          <w:lang w:val="en-ZA"/>
        </w:rPr>
        <w:t>19405/19</w:t>
      </w:r>
    </w:p>
    <w:p w14:paraId="5C804B93" w14:textId="065F043A" w:rsidR="004E190E" w:rsidRDefault="00B059B8" w:rsidP="004E190E">
      <w:pPr>
        <w:tabs>
          <w:tab w:val="right" w:pos="9029"/>
        </w:tabs>
        <w:jc w:val="right"/>
        <w:rPr>
          <w:rFonts w:ascii="Times New Roman" w:eastAsia="Times New Roman" w:hAnsi="Times New Roman" w:cs="Times New Roman"/>
          <w:b/>
          <w:bCs/>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3E091C7B">
                <wp:simplePos x="0" y="0"/>
                <wp:positionH relativeFrom="margin">
                  <wp:posOffset>-253497</wp:posOffset>
                </wp:positionH>
                <wp:positionV relativeFrom="paragraph">
                  <wp:posOffset>141869</wp:posOffset>
                </wp:positionV>
                <wp:extent cx="3314700" cy="1403287"/>
                <wp:effectExtent l="0" t="0" r="1270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287"/>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173F1A6D"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REPORTABLE: NO</w:t>
                            </w:r>
                          </w:p>
                          <w:p w14:paraId="70FD4287" w14:textId="77777777"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08D71813"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818C8">
                              <w:rPr>
                                <w:rFonts w:ascii="Times New Roman" w:hAnsi="Times New Roman" w:cs="Times New Roman"/>
                                <w:b/>
                                <w:sz w:val="20"/>
                                <w:szCs w:val="20"/>
                              </w:rPr>
                              <w:t>13/9/</w:t>
                            </w:r>
                            <w:r w:rsidR="00CB1E27">
                              <w:rPr>
                                <w:rFonts w:ascii="Times New Roman" w:hAnsi="Times New Roman" w:cs="Times New Roman"/>
                                <w:b/>
                                <w:sz w:val="20"/>
                                <w:szCs w:val="20"/>
                              </w:rPr>
                              <w:t>202</w:t>
                            </w:r>
                            <w:r>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19.95pt;margin-top:11.15pt;width:261pt;height:1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ueKwIAAFEEAAAOAAAAZHJzL2Uyb0RvYy54bWysVNtu2zAMfR+wfxD0vthxkj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173F1A6D"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REPORTABLE: NO</w:t>
                      </w:r>
                    </w:p>
                    <w:p w14:paraId="70FD4287" w14:textId="77777777"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B368FB" w:rsidRPr="002A2849" w:rsidRDefault="00B368F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08D71813"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818C8">
                        <w:rPr>
                          <w:rFonts w:ascii="Times New Roman" w:hAnsi="Times New Roman" w:cs="Times New Roman"/>
                          <w:b/>
                          <w:sz w:val="20"/>
                          <w:szCs w:val="20"/>
                        </w:rPr>
                        <w:t>13/9/</w:t>
                      </w:r>
                      <w:bookmarkStart w:id="1" w:name="_GoBack"/>
                      <w:bookmarkEnd w:id="1"/>
                      <w:r w:rsidR="00CB1E27">
                        <w:rPr>
                          <w:rFonts w:ascii="Times New Roman" w:hAnsi="Times New Roman" w:cs="Times New Roman"/>
                          <w:b/>
                          <w:sz w:val="20"/>
                          <w:szCs w:val="20"/>
                        </w:rPr>
                        <w:t>202</w:t>
                      </w:r>
                      <w:r>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r w:rsidR="004E190E">
        <w:rPr>
          <w:rFonts w:ascii="Times New Roman" w:eastAsia="Times New Roman" w:hAnsi="Times New Roman" w:cs="Times New Roman"/>
          <w:b/>
          <w:bCs/>
          <w:lang w:val="en-ZA"/>
        </w:rPr>
        <w:t>19406/19</w:t>
      </w:r>
    </w:p>
    <w:p w14:paraId="32E1054D" w14:textId="16748A18" w:rsidR="004E190E" w:rsidRDefault="004E190E" w:rsidP="004E190E">
      <w:pPr>
        <w:tabs>
          <w:tab w:val="right" w:pos="9029"/>
        </w:tabs>
        <w:jc w:val="right"/>
        <w:rPr>
          <w:rFonts w:ascii="Times New Roman" w:eastAsia="Times New Roman" w:hAnsi="Times New Roman" w:cs="Times New Roman"/>
          <w:b/>
          <w:bCs/>
          <w:lang w:val="en-ZA"/>
        </w:rPr>
      </w:pPr>
      <w:r>
        <w:rPr>
          <w:rFonts w:ascii="Times New Roman" w:eastAsia="Times New Roman" w:hAnsi="Times New Roman" w:cs="Times New Roman"/>
          <w:b/>
          <w:bCs/>
          <w:lang w:val="en-ZA"/>
        </w:rPr>
        <w:t>19417/19</w:t>
      </w:r>
    </w:p>
    <w:p w14:paraId="50B24722" w14:textId="0E49D6A8" w:rsidR="004E190E" w:rsidRPr="004E190E" w:rsidRDefault="004E190E" w:rsidP="004E190E">
      <w:pPr>
        <w:tabs>
          <w:tab w:val="right" w:pos="9029"/>
        </w:tabs>
        <w:jc w:val="right"/>
        <w:rPr>
          <w:rFonts w:ascii="Times New Roman" w:eastAsia="Times New Roman" w:hAnsi="Times New Roman" w:cs="Times New Roman"/>
          <w:b/>
          <w:bCs/>
          <w:lang w:val="en-ZA"/>
        </w:rPr>
      </w:pPr>
      <w:r>
        <w:rPr>
          <w:rFonts w:ascii="Times New Roman" w:eastAsia="Times New Roman" w:hAnsi="Times New Roman" w:cs="Times New Roman"/>
          <w:b/>
          <w:bCs/>
          <w:lang w:val="en-ZA"/>
        </w:rPr>
        <w:t>19419/19</w:t>
      </w:r>
    </w:p>
    <w:p w14:paraId="6785524C" w14:textId="3B42A274"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63C9C372"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139B99B2"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53640A58" w14:textId="77777777" w:rsidR="004E190E" w:rsidRPr="002A2849" w:rsidRDefault="004E190E" w:rsidP="00FB3669">
      <w:pPr>
        <w:tabs>
          <w:tab w:val="right" w:pos="9029"/>
        </w:tabs>
        <w:contextualSpacing/>
        <w:jc w:val="both"/>
        <w:rPr>
          <w:rFonts w:ascii="Times New Roman" w:eastAsia="Times New Roman" w:hAnsi="Times New Roman" w:cs="Times New Roman"/>
          <w:b/>
          <w:lang w:val="en-ZA"/>
        </w:rPr>
      </w:pP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6BFE1A41" w:rsidR="00FB3669"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MOKHELE NORAH BASETSANA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 xml:space="preserve"> FIRST APPELLANT</w:t>
      </w:r>
    </w:p>
    <w:p w14:paraId="285F70A7" w14:textId="09EF86FD" w:rsidR="001A4515"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MPHEKGWANA ALFRED MATOME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 xml:space="preserve"> SECOND APPELLANT</w:t>
      </w:r>
    </w:p>
    <w:p w14:paraId="5BC08DD9" w14:textId="087D7E55" w:rsidR="001A4515"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LUVUNO LINAH HOSHI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 xml:space="preserv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THIRD APPELANT</w:t>
      </w:r>
    </w:p>
    <w:p w14:paraId="6F81CA44" w14:textId="2D113726" w:rsidR="001A4515"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NGCAMEVA NOMVAKALISO FLORENCE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FOURTH APPELLANT</w:t>
      </w:r>
    </w:p>
    <w:p w14:paraId="736AF5FE" w14:textId="167813B9" w:rsidR="001A4515"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MOHLOKI HERMAN RAMOKGELE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FIFTH APPELLANT</w:t>
      </w:r>
    </w:p>
    <w:p w14:paraId="7C214B75" w14:textId="2699CC0E" w:rsidR="00FB3669"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LUKHELE WANG DANIEL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SIXTH APPELLANT</w:t>
      </w:r>
      <w:r w:rsidR="00FB3669" w:rsidRPr="004E190E">
        <w:rPr>
          <w:rFonts w:ascii="Times New Roman" w:eastAsia="Times New Roman" w:hAnsi="Times New Roman" w:cs="Times New Roman"/>
          <w:b/>
          <w:sz w:val="22"/>
          <w:szCs w:val="22"/>
          <w:lang w:val="en-ZA"/>
        </w:rPr>
        <w:tab/>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3AA6282A" w:rsidR="00FB3669"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135FB245" w14:textId="77777777" w:rsidR="004E190E" w:rsidRPr="007A6503" w:rsidRDefault="004E190E" w:rsidP="00FB3669">
      <w:pPr>
        <w:tabs>
          <w:tab w:val="right" w:pos="9029"/>
        </w:tabs>
        <w:contextualSpacing/>
        <w:jc w:val="both"/>
        <w:rPr>
          <w:rFonts w:ascii="Times New Roman" w:eastAsia="Times New Roman" w:hAnsi="Times New Roman" w:cs="Times New Roman"/>
          <w:b/>
          <w:lang w:val="en-ZA"/>
        </w:rPr>
      </w:pPr>
    </w:p>
    <w:p w14:paraId="7F8F77F7" w14:textId="59EB8657" w:rsidR="00FB3669"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JAN VAN DEN BOS N.O                                                                </w:t>
      </w:r>
      <w:r w:rsidR="004E190E" w:rsidRPr="004E190E">
        <w:rPr>
          <w:rFonts w:ascii="Times New Roman" w:eastAsia="Times New Roman" w:hAnsi="Times New Roman" w:cs="Times New Roman"/>
          <w:b/>
          <w:sz w:val="22"/>
          <w:szCs w:val="22"/>
          <w:lang w:val="en-ZA"/>
        </w:rPr>
        <w:t xml:space="preserv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 xml:space="preserve"> FIRST RESPONDENT</w:t>
      </w:r>
    </w:p>
    <w:p w14:paraId="330BD2BB" w14:textId="51BE0020" w:rsidR="001A4515" w:rsidRPr="004E190E" w:rsidRDefault="001A4515" w:rsidP="004E190E">
      <w:pPr>
        <w:tabs>
          <w:tab w:val="right" w:pos="9029"/>
        </w:tabs>
        <w:spacing w:line="360" w:lineRule="auto"/>
        <w:contextualSpacing/>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SHERIFF OF JOHANNESBURG CENTRAL                         </w:t>
      </w:r>
      <w:r w:rsidR="004E190E" w:rsidRPr="004E190E">
        <w:rPr>
          <w:rFonts w:ascii="Times New Roman" w:eastAsia="Times New Roman" w:hAnsi="Times New Roman" w:cs="Times New Roman"/>
          <w:b/>
          <w:sz w:val="22"/>
          <w:szCs w:val="22"/>
          <w:lang w:val="en-ZA"/>
        </w:rPr>
        <w:t xml:space="preserve"> </w:t>
      </w:r>
      <w:r w:rsidR="004E190E">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SECOND RESPONDENT</w:t>
      </w:r>
    </w:p>
    <w:p w14:paraId="47A6B36F" w14:textId="57A74421" w:rsidR="00FB3669" w:rsidRPr="004E190E" w:rsidRDefault="004E190E" w:rsidP="004E190E">
      <w:pPr>
        <w:tabs>
          <w:tab w:val="right" w:pos="9029"/>
        </w:tabs>
        <w:spacing w:line="360" w:lineRule="auto"/>
        <w:jc w:val="both"/>
        <w:rPr>
          <w:rFonts w:ascii="Times New Roman" w:eastAsia="Times New Roman" w:hAnsi="Times New Roman" w:cs="Times New Roman"/>
          <w:b/>
          <w:sz w:val="22"/>
          <w:szCs w:val="22"/>
          <w:lang w:val="en-ZA"/>
        </w:rPr>
      </w:pPr>
      <w:r w:rsidRPr="004E190E">
        <w:rPr>
          <w:rFonts w:ascii="Times New Roman" w:eastAsia="Times New Roman" w:hAnsi="Times New Roman" w:cs="Times New Roman"/>
          <w:b/>
          <w:sz w:val="22"/>
          <w:szCs w:val="22"/>
          <w:lang w:val="en-ZA"/>
        </w:rPr>
        <w:t xml:space="preserve">A GRAF: ADDITIONAL MAGISTRATE                                     </w:t>
      </w:r>
      <w:r>
        <w:rPr>
          <w:rFonts w:ascii="Times New Roman" w:eastAsia="Times New Roman" w:hAnsi="Times New Roman" w:cs="Times New Roman"/>
          <w:b/>
          <w:sz w:val="22"/>
          <w:szCs w:val="22"/>
          <w:lang w:val="en-ZA"/>
        </w:rPr>
        <w:t xml:space="preserve">             </w:t>
      </w:r>
      <w:r w:rsidRPr="004E190E">
        <w:rPr>
          <w:rFonts w:ascii="Times New Roman" w:eastAsia="Times New Roman" w:hAnsi="Times New Roman" w:cs="Times New Roman"/>
          <w:b/>
          <w:sz w:val="22"/>
          <w:szCs w:val="22"/>
          <w:lang w:val="en-ZA"/>
        </w:rPr>
        <w:t xml:space="preserve">THIRD RESPONDENT  </w:t>
      </w: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65FD9D68" w14:textId="1519C51C" w:rsidR="00017D90" w:rsidRPr="007A6503" w:rsidRDefault="00017D90" w:rsidP="00017D90">
      <w:pPr>
        <w:spacing w:line="360" w:lineRule="auto"/>
        <w:jc w:val="both"/>
        <w:rPr>
          <w:rFonts w:ascii="Times New Roman" w:hAnsi="Times New Roman" w:cs="Times New Roman"/>
        </w:rPr>
      </w:pPr>
      <w:r>
        <w:rPr>
          <w:rFonts w:ascii="Times New Roman" w:hAnsi="Times New Roman" w:cs="Times New Roman"/>
          <w:color w:val="000000"/>
        </w:rPr>
        <w:t xml:space="preserve">Delivered: </w:t>
      </w:r>
      <w:r w:rsidRPr="007A6503">
        <w:rPr>
          <w:rFonts w:ascii="Times New Roman" w:hAnsi="Times New Roman" w:cs="Times New Roman"/>
          <w:color w:val="000000"/>
        </w:rPr>
        <w:t xml:space="preserve">This judgment was handed down electronically by circulation to the </w:t>
      </w:r>
      <w:r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and by release to SAFLII. The date and time for hand-down is deemed to be 1</w:t>
      </w:r>
      <w:r w:rsidR="00454A4F">
        <w:rPr>
          <w:rFonts w:ascii="Times New Roman" w:hAnsi="Times New Roman" w:cs="Times New Roman"/>
          <w:color w:val="000000"/>
        </w:rPr>
        <w:t>0</w:t>
      </w:r>
      <w:r w:rsidRPr="007A6503">
        <w:rPr>
          <w:rFonts w:ascii="Times New Roman" w:hAnsi="Times New Roman" w:cs="Times New Roman"/>
          <w:color w:val="000000"/>
        </w:rPr>
        <w:t xml:space="preserve">h00 on </w:t>
      </w:r>
      <w:r w:rsidR="00454A4F">
        <w:rPr>
          <w:rFonts w:ascii="Times New Roman" w:hAnsi="Times New Roman" w:cs="Times New Roman"/>
          <w:color w:val="000000"/>
        </w:rPr>
        <w:t>the 13</w:t>
      </w:r>
      <w:r w:rsidR="00454A4F" w:rsidRPr="00454A4F">
        <w:rPr>
          <w:rFonts w:ascii="Times New Roman" w:hAnsi="Times New Roman" w:cs="Times New Roman"/>
          <w:color w:val="000000"/>
          <w:vertAlign w:val="superscript"/>
        </w:rPr>
        <w:t>th</w:t>
      </w:r>
      <w:r w:rsidR="00454A4F">
        <w:rPr>
          <w:rFonts w:ascii="Times New Roman" w:hAnsi="Times New Roman" w:cs="Times New Roman"/>
          <w:color w:val="000000"/>
        </w:rPr>
        <w:t xml:space="preserve"> of September</w:t>
      </w:r>
      <w:r>
        <w:rPr>
          <w:rFonts w:ascii="Times New Roman" w:hAnsi="Times New Roman" w:cs="Times New Roman"/>
          <w:color w:val="000000"/>
        </w:rPr>
        <w:t xml:space="preserve"> </w:t>
      </w:r>
      <w:r w:rsidRPr="007A6503">
        <w:rPr>
          <w:rFonts w:ascii="Times New Roman" w:hAnsi="Times New Roman" w:cs="Times New Roman"/>
          <w:color w:val="000000"/>
        </w:rPr>
        <w:t>2022.</w:t>
      </w:r>
    </w:p>
    <w:p w14:paraId="228E8373" w14:textId="77777777" w:rsidR="00017D90" w:rsidRDefault="00017D90" w:rsidP="00C5475F">
      <w:pPr>
        <w:rPr>
          <w:rFonts w:ascii="Times New Roman" w:hAnsi="Times New Roman" w:cs="Times New Roman"/>
          <w:b/>
        </w:rPr>
      </w:pPr>
    </w:p>
    <w:p w14:paraId="2EE5F9ED" w14:textId="77777777" w:rsidR="00017D90" w:rsidRDefault="00017D90" w:rsidP="00C5475F">
      <w:pPr>
        <w:rPr>
          <w:rFonts w:ascii="Times New Roman" w:hAnsi="Times New Roman" w:cs="Times New Roman"/>
          <w:b/>
        </w:rPr>
      </w:pPr>
    </w:p>
    <w:p w14:paraId="1B4318CC" w14:textId="3BC008F2"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OSTHUIZEN-SENEKAL </w:t>
      </w:r>
      <w:r w:rsidR="00385311" w:rsidRPr="007A6503">
        <w:rPr>
          <w:rFonts w:ascii="Times New Roman" w:hAnsi="Times New Roman" w:cs="Times New Roman"/>
          <w:b/>
        </w:rPr>
        <w:t>AJ</w:t>
      </w:r>
      <w:r w:rsidR="00876825">
        <w:rPr>
          <w:rFonts w:ascii="Times New Roman" w:hAnsi="Times New Roman" w:cs="Times New Roman"/>
          <w:b/>
        </w:rPr>
        <w:t xml:space="preserve"> (DIPPENAAR J concurring)</w:t>
      </w:r>
    </w:p>
    <w:p w14:paraId="77D26C5C" w14:textId="5E940E2A" w:rsidR="00385311" w:rsidRPr="007A6503" w:rsidRDefault="00385311" w:rsidP="00C5475F">
      <w:pPr>
        <w:rPr>
          <w:rFonts w:ascii="Times New Roman" w:hAnsi="Times New Roman" w:cs="Times New Roman"/>
          <w:b/>
          <w:bCs/>
        </w:rPr>
      </w:pPr>
    </w:p>
    <w:p w14:paraId="70F04E20" w14:textId="5708B692" w:rsidR="00385311" w:rsidRPr="007A6503" w:rsidRDefault="007341E3" w:rsidP="00B51251">
      <w:pPr>
        <w:spacing w:line="360" w:lineRule="auto"/>
        <w:jc w:val="both"/>
        <w:rPr>
          <w:rFonts w:ascii="Times New Roman" w:hAnsi="Times New Roman" w:cs="Times New Roman"/>
          <w:b/>
          <w:i/>
        </w:rPr>
      </w:pPr>
      <w:r w:rsidRPr="007A6503">
        <w:rPr>
          <w:rFonts w:ascii="Times New Roman" w:hAnsi="Times New Roman" w:cs="Times New Roman"/>
          <w:b/>
          <w:i/>
        </w:rPr>
        <w:t>Introduction</w:t>
      </w:r>
      <w:r w:rsidR="00791AA7">
        <w:rPr>
          <w:rFonts w:ascii="Times New Roman" w:hAnsi="Times New Roman" w:cs="Times New Roman"/>
          <w:b/>
          <w:i/>
        </w:rPr>
        <w:t xml:space="preserve"> </w:t>
      </w:r>
    </w:p>
    <w:p w14:paraId="69AD790C" w14:textId="351B6A30" w:rsidR="00A32396" w:rsidRDefault="003040C6">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appellants appeal against the judgment of Magistrate A. Graf </w:t>
      </w:r>
      <w:r w:rsidRPr="00DE5671">
        <w:rPr>
          <w:rFonts w:ascii="Times New Roman" w:hAnsi="Times New Roman" w:cs="Times New Roman"/>
          <w:bCs/>
          <w:iCs/>
        </w:rPr>
        <w:t>(</w:t>
      </w:r>
      <w:r w:rsidRPr="00C738B1">
        <w:rPr>
          <w:rFonts w:ascii="Times New Roman" w:hAnsi="Times New Roman" w:cs="Times New Roman"/>
          <w:iCs/>
        </w:rPr>
        <w:t>“the third respondent”</w:t>
      </w:r>
      <w:r w:rsidRPr="00DE5671">
        <w:rPr>
          <w:rFonts w:ascii="Times New Roman" w:hAnsi="Times New Roman" w:cs="Times New Roman"/>
          <w:bCs/>
          <w:iCs/>
        </w:rPr>
        <w:t>)</w:t>
      </w:r>
      <w:r>
        <w:rPr>
          <w:rFonts w:ascii="Times New Roman" w:hAnsi="Times New Roman" w:cs="Times New Roman"/>
          <w:bCs/>
          <w:iCs/>
        </w:rPr>
        <w:t xml:space="preserve"> handed down on 8 December 2020 in the Johannesburg Central </w:t>
      </w:r>
      <w:r w:rsidR="00EB2598">
        <w:rPr>
          <w:rFonts w:ascii="Times New Roman" w:hAnsi="Times New Roman" w:cs="Times New Roman"/>
          <w:bCs/>
          <w:iCs/>
        </w:rPr>
        <w:t>Magistrate’s</w:t>
      </w:r>
      <w:r>
        <w:rPr>
          <w:rFonts w:ascii="Times New Roman" w:hAnsi="Times New Roman" w:cs="Times New Roman"/>
          <w:bCs/>
          <w:iCs/>
        </w:rPr>
        <w:t xml:space="preserve"> Court.  In terms of the judgment the </w:t>
      </w:r>
      <w:r w:rsidR="00EB2598">
        <w:rPr>
          <w:rFonts w:ascii="Times New Roman" w:hAnsi="Times New Roman" w:cs="Times New Roman"/>
          <w:bCs/>
          <w:iCs/>
        </w:rPr>
        <w:t xml:space="preserve">appellants had unsuccessfully sought to rescind orders previously granted by the </w:t>
      </w:r>
      <w:r w:rsidR="0065517A">
        <w:rPr>
          <w:rFonts w:ascii="Times New Roman" w:hAnsi="Times New Roman" w:cs="Times New Roman"/>
          <w:bCs/>
          <w:iCs/>
        </w:rPr>
        <w:t xml:space="preserve">court </w:t>
      </w:r>
      <w:r w:rsidR="0065517A">
        <w:rPr>
          <w:rFonts w:ascii="Times New Roman" w:hAnsi="Times New Roman" w:cs="Times New Roman"/>
          <w:bCs/>
          <w:i/>
        </w:rPr>
        <w:t>a quo.</w:t>
      </w:r>
    </w:p>
    <w:p w14:paraId="6F21C0DD" w14:textId="36C6E2B3" w:rsidR="00A32396" w:rsidRPr="007A6503" w:rsidRDefault="00A32396" w:rsidP="00B51251">
      <w:pPr>
        <w:spacing w:line="360" w:lineRule="auto"/>
        <w:jc w:val="both"/>
        <w:rPr>
          <w:rFonts w:ascii="Times New Roman" w:hAnsi="Times New Roman" w:cs="Times New Roman"/>
          <w:bCs/>
          <w:iCs/>
        </w:rPr>
      </w:pPr>
    </w:p>
    <w:p w14:paraId="577D6FFF" w14:textId="774346E7" w:rsidR="006D4644" w:rsidRDefault="0065517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magistrate handed down a judgment in case 19407/19.  </w:t>
      </w:r>
      <w:r w:rsidR="00250483">
        <w:rPr>
          <w:rFonts w:ascii="Times New Roman" w:hAnsi="Times New Roman" w:cs="Times New Roman"/>
          <w:bCs/>
          <w:iCs/>
        </w:rPr>
        <w:t>On commencement of</w:t>
      </w:r>
      <w:r>
        <w:rPr>
          <w:rFonts w:ascii="Times New Roman" w:hAnsi="Times New Roman" w:cs="Times New Roman"/>
          <w:bCs/>
          <w:iCs/>
        </w:rPr>
        <w:t xml:space="preserve"> the hearing</w:t>
      </w:r>
      <w:r w:rsidR="00250483">
        <w:rPr>
          <w:rFonts w:ascii="Times New Roman" w:hAnsi="Times New Roman" w:cs="Times New Roman"/>
          <w:bCs/>
          <w:iCs/>
        </w:rPr>
        <w:t xml:space="preserve"> before the magistrate</w:t>
      </w:r>
      <w:r>
        <w:rPr>
          <w:rFonts w:ascii="Times New Roman" w:hAnsi="Times New Roman" w:cs="Times New Roman"/>
          <w:bCs/>
          <w:iCs/>
        </w:rPr>
        <w:t xml:space="preserve"> it was agreed by the parties that the judgment in</w:t>
      </w:r>
      <w:r w:rsidR="002C08F8">
        <w:rPr>
          <w:rFonts w:ascii="Times New Roman" w:hAnsi="Times New Roman" w:cs="Times New Roman"/>
          <w:bCs/>
          <w:iCs/>
        </w:rPr>
        <w:t xml:space="preserve"> case 19407/19 </w:t>
      </w:r>
      <w:r>
        <w:rPr>
          <w:rFonts w:ascii="Times New Roman" w:hAnsi="Times New Roman" w:cs="Times New Roman"/>
          <w:bCs/>
          <w:iCs/>
        </w:rPr>
        <w:t xml:space="preserve">will be applicable to </w:t>
      </w:r>
      <w:r w:rsidR="000D09B8">
        <w:rPr>
          <w:rFonts w:ascii="Times New Roman" w:hAnsi="Times New Roman" w:cs="Times New Roman"/>
          <w:bCs/>
          <w:iCs/>
        </w:rPr>
        <w:t>the following cases;</w:t>
      </w:r>
    </w:p>
    <w:p w14:paraId="749D64B9" w14:textId="77777777" w:rsidR="000D09B8" w:rsidRPr="000D09B8" w:rsidRDefault="000D09B8" w:rsidP="000D09B8">
      <w:pPr>
        <w:pStyle w:val="ListParagraph"/>
        <w:rPr>
          <w:rFonts w:ascii="Times New Roman" w:hAnsi="Times New Roman" w:cs="Times New Roman"/>
          <w:bCs/>
          <w:iCs/>
        </w:rPr>
      </w:pPr>
    </w:p>
    <w:p w14:paraId="757DC28C" w14:textId="1D33E95A" w:rsidR="000D09B8" w:rsidRDefault="000D09B8">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19403/19,</w:t>
      </w:r>
    </w:p>
    <w:p w14:paraId="6B8BD911" w14:textId="2CAE0AB9" w:rsidR="000D09B8" w:rsidRDefault="000D09B8">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19405/19,</w:t>
      </w:r>
    </w:p>
    <w:p w14:paraId="2BDE29F5" w14:textId="3091FBDA" w:rsidR="000D09B8" w:rsidRDefault="000D09B8">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19406/19,</w:t>
      </w:r>
    </w:p>
    <w:p w14:paraId="6B779F21" w14:textId="641F6632" w:rsidR="000D09B8" w:rsidRDefault="000D09B8">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19417/19, and</w:t>
      </w:r>
    </w:p>
    <w:p w14:paraId="23A06E19" w14:textId="0C85FE83" w:rsidR="000D09B8" w:rsidRDefault="000D09B8">
      <w:pPr>
        <w:pStyle w:val="ListParagraph"/>
        <w:numPr>
          <w:ilvl w:val="0"/>
          <w:numId w:val="5"/>
        </w:numPr>
        <w:spacing w:line="360" w:lineRule="auto"/>
        <w:jc w:val="both"/>
        <w:rPr>
          <w:rFonts w:ascii="Times New Roman" w:hAnsi="Times New Roman" w:cs="Times New Roman"/>
          <w:bCs/>
          <w:iCs/>
        </w:rPr>
      </w:pPr>
      <w:r>
        <w:rPr>
          <w:rFonts w:ascii="Times New Roman" w:hAnsi="Times New Roman" w:cs="Times New Roman"/>
          <w:bCs/>
          <w:iCs/>
        </w:rPr>
        <w:t>19419/19.</w:t>
      </w:r>
    </w:p>
    <w:p w14:paraId="738411B4" w14:textId="77777777" w:rsidR="00795AEA" w:rsidRPr="00795AEA" w:rsidRDefault="00795AEA" w:rsidP="00795AEA">
      <w:pPr>
        <w:pStyle w:val="ListParagraph"/>
        <w:rPr>
          <w:rFonts w:ascii="Times New Roman" w:hAnsi="Times New Roman" w:cs="Times New Roman"/>
          <w:bCs/>
          <w:iCs/>
        </w:rPr>
      </w:pPr>
    </w:p>
    <w:p w14:paraId="7E79510F" w14:textId="17D411C2" w:rsidR="00795AEA" w:rsidRDefault="000D09B8">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reason for the above agreement was because all the cases mentioned have their origins in virtually identical summonses sued out of the Johannesburg Central Magistrate’s Court, and each summon</w:t>
      </w:r>
      <w:r w:rsidR="00B059B8">
        <w:rPr>
          <w:rFonts w:ascii="Times New Roman" w:hAnsi="Times New Roman" w:cs="Times New Roman"/>
          <w:bCs/>
          <w:iCs/>
        </w:rPr>
        <w:t xml:space="preserve"> </w:t>
      </w:r>
      <w:r>
        <w:rPr>
          <w:rFonts w:ascii="Times New Roman" w:hAnsi="Times New Roman" w:cs="Times New Roman"/>
          <w:bCs/>
          <w:iCs/>
        </w:rPr>
        <w:t>contained the identical cause of action.</w:t>
      </w:r>
    </w:p>
    <w:p w14:paraId="4223B594" w14:textId="77777777" w:rsidR="000D09B8" w:rsidRDefault="000D09B8" w:rsidP="000D09B8">
      <w:pPr>
        <w:pStyle w:val="ListParagraph"/>
        <w:spacing w:line="360" w:lineRule="auto"/>
        <w:ind w:left="567"/>
        <w:jc w:val="both"/>
        <w:rPr>
          <w:rFonts w:ascii="Times New Roman" w:hAnsi="Times New Roman" w:cs="Times New Roman"/>
          <w:bCs/>
          <w:iCs/>
        </w:rPr>
      </w:pPr>
    </w:p>
    <w:p w14:paraId="59296785" w14:textId="3CEAFB92" w:rsidR="000D09B8" w:rsidRDefault="000D09B8">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appeal concern</w:t>
      </w:r>
      <w:r w:rsidR="00A14AE4">
        <w:rPr>
          <w:rFonts w:ascii="Times New Roman" w:hAnsi="Times New Roman" w:cs="Times New Roman"/>
          <w:bCs/>
          <w:iCs/>
        </w:rPr>
        <w:t>s</w:t>
      </w:r>
      <w:r>
        <w:rPr>
          <w:rFonts w:ascii="Times New Roman" w:hAnsi="Times New Roman" w:cs="Times New Roman"/>
          <w:bCs/>
          <w:iCs/>
        </w:rPr>
        <w:t xml:space="preserve"> </w:t>
      </w:r>
      <w:r w:rsidR="00A14AE4">
        <w:rPr>
          <w:rFonts w:ascii="Times New Roman" w:hAnsi="Times New Roman" w:cs="Times New Roman"/>
          <w:bCs/>
          <w:iCs/>
        </w:rPr>
        <w:t xml:space="preserve">Mr Jan van den Bos N.O </w:t>
      </w:r>
      <w:r w:rsidR="00A14AE4" w:rsidRPr="00DE5671">
        <w:rPr>
          <w:rFonts w:ascii="Times New Roman" w:hAnsi="Times New Roman" w:cs="Times New Roman"/>
          <w:bCs/>
          <w:iCs/>
        </w:rPr>
        <w:t>(</w:t>
      </w:r>
      <w:r w:rsidR="002A7B0A" w:rsidRPr="00C738B1">
        <w:rPr>
          <w:rFonts w:ascii="Times New Roman" w:hAnsi="Times New Roman" w:cs="Times New Roman"/>
          <w:iCs/>
        </w:rPr>
        <w:t xml:space="preserve">“the </w:t>
      </w:r>
      <w:r w:rsidR="00A14AE4" w:rsidRPr="00C738B1">
        <w:rPr>
          <w:rFonts w:ascii="Times New Roman" w:hAnsi="Times New Roman" w:cs="Times New Roman"/>
          <w:iCs/>
        </w:rPr>
        <w:t>first respondent”</w:t>
      </w:r>
      <w:r w:rsidR="00A14AE4" w:rsidRPr="00DE5671">
        <w:rPr>
          <w:rFonts w:ascii="Times New Roman" w:hAnsi="Times New Roman" w:cs="Times New Roman"/>
          <w:bCs/>
          <w:iCs/>
        </w:rPr>
        <w:t>)</w:t>
      </w:r>
      <w:r w:rsidR="00A14AE4">
        <w:rPr>
          <w:rFonts w:ascii="Times New Roman" w:hAnsi="Times New Roman" w:cs="Times New Roman"/>
          <w:bCs/>
          <w:iCs/>
        </w:rPr>
        <w:t xml:space="preserve"> and administrator of Pan</w:t>
      </w:r>
      <w:r w:rsidR="00AC6F67">
        <w:rPr>
          <w:rFonts w:ascii="Times New Roman" w:hAnsi="Times New Roman" w:cs="Times New Roman"/>
          <w:bCs/>
          <w:iCs/>
        </w:rPr>
        <w:t>a</w:t>
      </w:r>
      <w:r w:rsidR="00A14AE4">
        <w:rPr>
          <w:rFonts w:ascii="Times New Roman" w:hAnsi="Times New Roman" w:cs="Times New Roman"/>
          <w:bCs/>
          <w:iCs/>
        </w:rPr>
        <w:t>rama Place Body Corporate</w:t>
      </w:r>
      <w:r w:rsidR="00AC6F67">
        <w:rPr>
          <w:rFonts w:ascii="Times New Roman" w:hAnsi="Times New Roman" w:cs="Times New Roman"/>
          <w:bCs/>
          <w:iCs/>
        </w:rPr>
        <w:t>,</w:t>
      </w:r>
      <w:r w:rsidR="00A14AE4">
        <w:rPr>
          <w:rFonts w:ascii="Times New Roman" w:hAnsi="Times New Roman" w:cs="Times New Roman"/>
          <w:bCs/>
          <w:iCs/>
        </w:rPr>
        <w:t xml:space="preserve"> issuing summons against the </w:t>
      </w:r>
      <w:r w:rsidR="00791AA7">
        <w:rPr>
          <w:rFonts w:ascii="Times New Roman" w:hAnsi="Times New Roman" w:cs="Times New Roman"/>
          <w:bCs/>
          <w:iCs/>
        </w:rPr>
        <w:t>six-unit</w:t>
      </w:r>
      <w:r w:rsidR="00A14AE4">
        <w:rPr>
          <w:rFonts w:ascii="Times New Roman" w:hAnsi="Times New Roman" w:cs="Times New Roman"/>
          <w:bCs/>
          <w:iCs/>
        </w:rPr>
        <w:t xml:space="preserve"> holders in the sectional title development known as Pan</w:t>
      </w:r>
      <w:r w:rsidR="00B059B8">
        <w:rPr>
          <w:rFonts w:ascii="Times New Roman" w:hAnsi="Times New Roman" w:cs="Times New Roman"/>
          <w:bCs/>
          <w:iCs/>
        </w:rPr>
        <w:t>a</w:t>
      </w:r>
      <w:r w:rsidR="00A14AE4">
        <w:rPr>
          <w:rFonts w:ascii="Times New Roman" w:hAnsi="Times New Roman" w:cs="Times New Roman"/>
          <w:bCs/>
          <w:iCs/>
        </w:rPr>
        <w:t>rama Place</w:t>
      </w:r>
      <w:r w:rsidR="00791AA7">
        <w:rPr>
          <w:rFonts w:ascii="Times New Roman" w:hAnsi="Times New Roman" w:cs="Times New Roman"/>
          <w:bCs/>
          <w:iCs/>
        </w:rPr>
        <w:t>.</w:t>
      </w:r>
      <w:r w:rsidR="002C08F8">
        <w:rPr>
          <w:rFonts w:ascii="Times New Roman" w:hAnsi="Times New Roman" w:cs="Times New Roman"/>
          <w:bCs/>
          <w:iCs/>
        </w:rPr>
        <w:t xml:space="preserve">  The appellants are all members and owners of the relevant units </w:t>
      </w:r>
      <w:r w:rsidR="003112B4">
        <w:rPr>
          <w:rFonts w:ascii="Times New Roman" w:hAnsi="Times New Roman" w:cs="Times New Roman"/>
          <w:bCs/>
          <w:iCs/>
        </w:rPr>
        <w:t>which forms part of Pan</w:t>
      </w:r>
      <w:r w:rsidR="00E12423">
        <w:rPr>
          <w:rFonts w:ascii="Times New Roman" w:hAnsi="Times New Roman" w:cs="Times New Roman"/>
          <w:bCs/>
          <w:iCs/>
        </w:rPr>
        <w:t>a</w:t>
      </w:r>
      <w:r w:rsidR="003112B4">
        <w:rPr>
          <w:rFonts w:ascii="Times New Roman" w:hAnsi="Times New Roman" w:cs="Times New Roman"/>
          <w:bCs/>
          <w:iCs/>
        </w:rPr>
        <w:t>rama Place run and controlled by the first respondent.</w:t>
      </w:r>
    </w:p>
    <w:p w14:paraId="577D3786" w14:textId="77777777" w:rsidR="00791AA7" w:rsidRPr="00791AA7" w:rsidRDefault="00791AA7" w:rsidP="00791AA7">
      <w:pPr>
        <w:pStyle w:val="ListParagraph"/>
        <w:rPr>
          <w:rFonts w:ascii="Times New Roman" w:hAnsi="Times New Roman" w:cs="Times New Roman"/>
          <w:bCs/>
          <w:iCs/>
        </w:rPr>
      </w:pPr>
    </w:p>
    <w:p w14:paraId="6AAF05C5" w14:textId="0A795DE5" w:rsidR="00791AA7" w:rsidRDefault="00C7029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D</w:t>
      </w:r>
      <w:r w:rsidR="00AC6F67">
        <w:rPr>
          <w:rFonts w:ascii="Times New Roman" w:hAnsi="Times New Roman" w:cs="Times New Roman"/>
          <w:bCs/>
          <w:iCs/>
        </w:rPr>
        <w:t>uring 2007/2008</w:t>
      </w:r>
      <w:r w:rsidR="00791AA7">
        <w:rPr>
          <w:rFonts w:ascii="Times New Roman" w:hAnsi="Times New Roman" w:cs="Times New Roman"/>
          <w:bCs/>
          <w:iCs/>
        </w:rPr>
        <w:t xml:space="preserve"> as a result of the</w:t>
      </w:r>
      <w:r w:rsidR="00E12423">
        <w:rPr>
          <w:rFonts w:ascii="Times New Roman" w:hAnsi="Times New Roman" w:cs="Times New Roman"/>
          <w:bCs/>
          <w:iCs/>
        </w:rPr>
        <w:t xml:space="preserve"> B</w:t>
      </w:r>
      <w:r w:rsidR="00791AA7">
        <w:rPr>
          <w:rFonts w:ascii="Times New Roman" w:hAnsi="Times New Roman" w:cs="Times New Roman"/>
          <w:bCs/>
          <w:iCs/>
        </w:rPr>
        <w:t xml:space="preserve">ody </w:t>
      </w:r>
      <w:r w:rsidR="003112B4">
        <w:rPr>
          <w:rFonts w:ascii="Times New Roman" w:hAnsi="Times New Roman" w:cs="Times New Roman"/>
          <w:bCs/>
          <w:iCs/>
        </w:rPr>
        <w:t>C</w:t>
      </w:r>
      <w:r w:rsidR="00791AA7">
        <w:rPr>
          <w:rFonts w:ascii="Times New Roman" w:hAnsi="Times New Roman" w:cs="Times New Roman"/>
          <w:bCs/>
          <w:iCs/>
        </w:rPr>
        <w:t>orporate experiencing financial difficulties</w:t>
      </w:r>
      <w:r w:rsidR="003112B4">
        <w:rPr>
          <w:rFonts w:ascii="Times New Roman" w:hAnsi="Times New Roman" w:cs="Times New Roman"/>
          <w:bCs/>
          <w:iCs/>
        </w:rPr>
        <w:t xml:space="preserve"> and maladministration</w:t>
      </w:r>
      <w:r w:rsidR="00791AA7">
        <w:rPr>
          <w:rFonts w:ascii="Times New Roman" w:hAnsi="Times New Roman" w:cs="Times New Roman"/>
          <w:bCs/>
          <w:iCs/>
        </w:rPr>
        <w:t>, the first respondent was appointed by th</w:t>
      </w:r>
      <w:r w:rsidR="002C08F8">
        <w:rPr>
          <w:rFonts w:ascii="Times New Roman" w:hAnsi="Times New Roman" w:cs="Times New Roman"/>
          <w:bCs/>
          <w:iCs/>
        </w:rPr>
        <w:t>e High C</w:t>
      </w:r>
      <w:r w:rsidR="00791AA7">
        <w:rPr>
          <w:rFonts w:ascii="Times New Roman" w:hAnsi="Times New Roman" w:cs="Times New Roman"/>
          <w:bCs/>
          <w:iCs/>
        </w:rPr>
        <w:t>ourt as administrator of the body corporate.</w:t>
      </w:r>
      <w:r w:rsidR="003C28C7">
        <w:rPr>
          <w:rFonts w:ascii="Times New Roman" w:hAnsi="Times New Roman" w:cs="Times New Roman"/>
          <w:bCs/>
          <w:iCs/>
        </w:rPr>
        <w:t xml:space="preserve">  </w:t>
      </w:r>
    </w:p>
    <w:p w14:paraId="7DA1353D" w14:textId="77777777" w:rsidR="00791AA7" w:rsidRPr="00791AA7" w:rsidRDefault="00791AA7" w:rsidP="00791AA7">
      <w:pPr>
        <w:pStyle w:val="ListParagraph"/>
        <w:rPr>
          <w:rFonts w:ascii="Times New Roman" w:hAnsi="Times New Roman" w:cs="Times New Roman"/>
          <w:bCs/>
          <w:iCs/>
        </w:rPr>
      </w:pPr>
    </w:p>
    <w:p w14:paraId="5A90BCA0" w14:textId="39C48BE8" w:rsidR="00791AA7" w:rsidRDefault="00250483">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In each of the actions instituted in the Magistrate</w:t>
      </w:r>
      <w:r w:rsidR="003E487B">
        <w:rPr>
          <w:rFonts w:ascii="Times New Roman" w:hAnsi="Times New Roman" w:cs="Times New Roman"/>
          <w:bCs/>
          <w:iCs/>
        </w:rPr>
        <w:t>s’</w:t>
      </w:r>
      <w:r>
        <w:rPr>
          <w:rFonts w:ascii="Times New Roman" w:hAnsi="Times New Roman" w:cs="Times New Roman"/>
          <w:bCs/>
          <w:iCs/>
        </w:rPr>
        <w:t xml:space="preserve"> Court, and which are now subject of th</w:t>
      </w:r>
      <w:r w:rsidR="00C7029B">
        <w:rPr>
          <w:rFonts w:ascii="Times New Roman" w:hAnsi="Times New Roman" w:cs="Times New Roman"/>
          <w:bCs/>
          <w:iCs/>
        </w:rPr>
        <w:t>is</w:t>
      </w:r>
      <w:r>
        <w:rPr>
          <w:rFonts w:ascii="Times New Roman" w:hAnsi="Times New Roman" w:cs="Times New Roman"/>
          <w:bCs/>
          <w:iCs/>
        </w:rPr>
        <w:t xml:space="preserve"> appeal, the appointment of the first respondent was still extant, in that it was extended by the High Court in 201</w:t>
      </w:r>
      <w:r w:rsidR="003C28C7">
        <w:rPr>
          <w:rFonts w:ascii="Times New Roman" w:hAnsi="Times New Roman" w:cs="Times New Roman"/>
          <w:bCs/>
          <w:iCs/>
        </w:rPr>
        <w:t>7</w:t>
      </w:r>
      <w:r w:rsidR="00AC6F67">
        <w:rPr>
          <w:rFonts w:ascii="Times New Roman" w:hAnsi="Times New Roman" w:cs="Times New Roman"/>
          <w:bCs/>
          <w:iCs/>
        </w:rPr>
        <w:t xml:space="preserve"> and 2019</w:t>
      </w:r>
      <w:r>
        <w:rPr>
          <w:rFonts w:ascii="Times New Roman" w:hAnsi="Times New Roman" w:cs="Times New Roman"/>
          <w:bCs/>
          <w:iCs/>
        </w:rPr>
        <w:t>.</w:t>
      </w:r>
    </w:p>
    <w:p w14:paraId="4D095A07" w14:textId="77777777" w:rsidR="002C08F8" w:rsidRPr="002C08F8" w:rsidRDefault="002C08F8" w:rsidP="002C08F8">
      <w:pPr>
        <w:pStyle w:val="ListParagraph"/>
        <w:rPr>
          <w:rFonts w:ascii="Times New Roman" w:hAnsi="Times New Roman" w:cs="Times New Roman"/>
          <w:bCs/>
          <w:iCs/>
        </w:rPr>
      </w:pPr>
    </w:p>
    <w:p w14:paraId="59DB0E1C" w14:textId="77DEB353" w:rsidR="00250483" w:rsidRPr="002C08F8" w:rsidRDefault="002C08F8" w:rsidP="002C08F8">
      <w:pPr>
        <w:spacing w:line="360" w:lineRule="auto"/>
        <w:jc w:val="both"/>
        <w:rPr>
          <w:rFonts w:ascii="Times New Roman" w:hAnsi="Times New Roman" w:cs="Times New Roman"/>
          <w:b/>
          <w:i/>
        </w:rPr>
      </w:pPr>
      <w:r>
        <w:rPr>
          <w:rFonts w:ascii="Times New Roman" w:hAnsi="Times New Roman" w:cs="Times New Roman"/>
          <w:b/>
          <w:i/>
        </w:rPr>
        <w:t>Background</w:t>
      </w:r>
    </w:p>
    <w:p w14:paraId="059C57A5" w14:textId="2045BAD7" w:rsidR="00250483" w:rsidRDefault="003112B4">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first respondent </w:t>
      </w:r>
      <w:r w:rsidR="00AC591D">
        <w:rPr>
          <w:rFonts w:ascii="Times New Roman" w:hAnsi="Times New Roman" w:cs="Times New Roman"/>
          <w:bCs/>
          <w:iCs/>
        </w:rPr>
        <w:t xml:space="preserve">issued summonses in the court </w:t>
      </w:r>
      <w:r w:rsidR="00AC591D">
        <w:rPr>
          <w:rFonts w:ascii="Times New Roman" w:hAnsi="Times New Roman" w:cs="Times New Roman"/>
          <w:bCs/>
          <w:i/>
        </w:rPr>
        <w:t xml:space="preserve">a quo </w:t>
      </w:r>
      <w:r w:rsidR="00AC591D">
        <w:rPr>
          <w:rFonts w:ascii="Times New Roman" w:hAnsi="Times New Roman" w:cs="Times New Roman"/>
          <w:bCs/>
          <w:iCs/>
        </w:rPr>
        <w:t>against the appellants for outstanding levies</w:t>
      </w:r>
      <w:r w:rsidR="00E12423">
        <w:rPr>
          <w:rFonts w:ascii="Times New Roman" w:hAnsi="Times New Roman" w:cs="Times New Roman"/>
          <w:bCs/>
          <w:iCs/>
        </w:rPr>
        <w:t xml:space="preserve"> and related charges</w:t>
      </w:r>
      <w:r w:rsidR="00AC591D">
        <w:rPr>
          <w:rFonts w:ascii="Times New Roman" w:hAnsi="Times New Roman" w:cs="Times New Roman"/>
          <w:bCs/>
          <w:iCs/>
        </w:rPr>
        <w:t xml:space="preserve"> owed to the Body Corporate.  Each of the summonses was delivered to the respective appellants by handing it to the occupants</w:t>
      </w:r>
      <w:r w:rsidR="0068216D">
        <w:rPr>
          <w:rFonts w:ascii="Times New Roman" w:hAnsi="Times New Roman" w:cs="Times New Roman"/>
          <w:bCs/>
          <w:iCs/>
        </w:rPr>
        <w:t>/tenants</w:t>
      </w:r>
      <w:r w:rsidR="00AC591D">
        <w:rPr>
          <w:rFonts w:ascii="Times New Roman" w:hAnsi="Times New Roman" w:cs="Times New Roman"/>
          <w:bCs/>
          <w:iCs/>
        </w:rPr>
        <w:t xml:space="preserve"> of the units</w:t>
      </w:r>
      <w:r w:rsidR="00814A96">
        <w:rPr>
          <w:rFonts w:ascii="Times New Roman" w:hAnsi="Times New Roman" w:cs="Times New Roman"/>
          <w:bCs/>
          <w:iCs/>
        </w:rPr>
        <w:t xml:space="preserve">.  </w:t>
      </w:r>
    </w:p>
    <w:p w14:paraId="121FE23E" w14:textId="77777777" w:rsidR="00814A96" w:rsidRPr="00814A96" w:rsidRDefault="00814A96" w:rsidP="00814A96">
      <w:pPr>
        <w:spacing w:line="360" w:lineRule="auto"/>
        <w:jc w:val="both"/>
        <w:rPr>
          <w:rFonts w:ascii="Times New Roman" w:hAnsi="Times New Roman" w:cs="Times New Roman"/>
          <w:bCs/>
          <w:iCs/>
        </w:rPr>
      </w:pPr>
    </w:p>
    <w:p w14:paraId="2582592D" w14:textId="1985871B" w:rsidR="0065517A" w:rsidRDefault="00814A96">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After being informed of the legal action being instituted against the</w:t>
      </w:r>
      <w:r w:rsidR="0068216D">
        <w:rPr>
          <w:rFonts w:ascii="Times New Roman" w:hAnsi="Times New Roman" w:cs="Times New Roman"/>
          <w:bCs/>
          <w:iCs/>
        </w:rPr>
        <w:t>m</w:t>
      </w:r>
      <w:r>
        <w:rPr>
          <w:rFonts w:ascii="Times New Roman" w:hAnsi="Times New Roman" w:cs="Times New Roman"/>
          <w:bCs/>
          <w:iCs/>
        </w:rPr>
        <w:t>, th</w:t>
      </w:r>
      <w:r w:rsidR="0068216D">
        <w:rPr>
          <w:rFonts w:ascii="Times New Roman" w:hAnsi="Times New Roman" w:cs="Times New Roman"/>
          <w:bCs/>
          <w:iCs/>
        </w:rPr>
        <w:t>e appellants</w:t>
      </w:r>
      <w:r>
        <w:rPr>
          <w:rFonts w:ascii="Times New Roman" w:hAnsi="Times New Roman" w:cs="Times New Roman"/>
          <w:bCs/>
          <w:iCs/>
        </w:rPr>
        <w:t xml:space="preserve"> instructed legal counsel to opposed the </w:t>
      </w:r>
      <w:r w:rsidR="0068216D">
        <w:rPr>
          <w:rFonts w:ascii="Times New Roman" w:hAnsi="Times New Roman" w:cs="Times New Roman"/>
          <w:bCs/>
          <w:iCs/>
        </w:rPr>
        <w:t xml:space="preserve">summonses.  Notice to oppose was </w:t>
      </w:r>
      <w:r w:rsidR="00FA3642">
        <w:rPr>
          <w:rFonts w:ascii="Times New Roman" w:hAnsi="Times New Roman" w:cs="Times New Roman"/>
          <w:bCs/>
          <w:iCs/>
        </w:rPr>
        <w:t xml:space="preserve">delivered in some of the matters </w:t>
      </w:r>
      <w:r w:rsidR="0068216D">
        <w:rPr>
          <w:rFonts w:ascii="Times New Roman" w:hAnsi="Times New Roman" w:cs="Times New Roman"/>
          <w:bCs/>
          <w:iCs/>
        </w:rPr>
        <w:t>during December 2019.</w:t>
      </w:r>
      <w:r w:rsidR="00FA3642">
        <w:rPr>
          <w:rFonts w:ascii="Times New Roman" w:hAnsi="Times New Roman" w:cs="Times New Roman"/>
          <w:bCs/>
          <w:iCs/>
        </w:rPr>
        <w:t xml:space="preserve">  </w:t>
      </w:r>
    </w:p>
    <w:p w14:paraId="544380C7" w14:textId="77777777" w:rsidR="0068216D" w:rsidRPr="0068216D" w:rsidRDefault="0068216D" w:rsidP="0068216D">
      <w:pPr>
        <w:pStyle w:val="ListParagraph"/>
        <w:rPr>
          <w:rFonts w:ascii="Times New Roman" w:hAnsi="Times New Roman" w:cs="Times New Roman"/>
          <w:bCs/>
          <w:iCs/>
        </w:rPr>
      </w:pPr>
    </w:p>
    <w:p w14:paraId="15A41EEF" w14:textId="3D82494A" w:rsidR="0068216D" w:rsidRDefault="00A4175C">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Due to</w:t>
      </w:r>
      <w:r w:rsidR="00C7029B">
        <w:rPr>
          <w:rFonts w:ascii="Times New Roman" w:hAnsi="Times New Roman" w:cs="Times New Roman"/>
          <w:bCs/>
          <w:iCs/>
        </w:rPr>
        <w:t xml:space="preserve"> the</w:t>
      </w:r>
      <w:r>
        <w:rPr>
          <w:rFonts w:ascii="Times New Roman" w:hAnsi="Times New Roman" w:cs="Times New Roman"/>
          <w:bCs/>
          <w:iCs/>
        </w:rPr>
        <w:t xml:space="preserve"> failure of the appellants to</w:t>
      </w:r>
      <w:r w:rsidR="00C7029B">
        <w:rPr>
          <w:rFonts w:ascii="Times New Roman" w:hAnsi="Times New Roman" w:cs="Times New Roman"/>
          <w:bCs/>
          <w:iCs/>
        </w:rPr>
        <w:t xml:space="preserve"> file</w:t>
      </w:r>
      <w:r>
        <w:rPr>
          <w:rFonts w:ascii="Times New Roman" w:hAnsi="Times New Roman" w:cs="Times New Roman"/>
          <w:bCs/>
          <w:iCs/>
        </w:rPr>
        <w:t xml:space="preserve"> </w:t>
      </w:r>
      <w:r w:rsidR="00FA3642">
        <w:rPr>
          <w:rFonts w:ascii="Times New Roman" w:hAnsi="Times New Roman" w:cs="Times New Roman"/>
          <w:bCs/>
          <w:iCs/>
        </w:rPr>
        <w:t>either notice to oppose or filing</w:t>
      </w:r>
      <w:r>
        <w:rPr>
          <w:rFonts w:ascii="Times New Roman" w:hAnsi="Times New Roman" w:cs="Times New Roman"/>
          <w:bCs/>
          <w:iCs/>
        </w:rPr>
        <w:t xml:space="preserve"> opposing affidavits, the first respondent approached the court </w:t>
      </w:r>
      <w:r>
        <w:rPr>
          <w:rFonts w:ascii="Times New Roman" w:hAnsi="Times New Roman" w:cs="Times New Roman"/>
          <w:bCs/>
          <w:i/>
        </w:rPr>
        <w:t xml:space="preserve">a qou, </w:t>
      </w:r>
      <w:r>
        <w:rPr>
          <w:rFonts w:ascii="Times New Roman" w:hAnsi="Times New Roman" w:cs="Times New Roman"/>
          <w:bCs/>
          <w:iCs/>
        </w:rPr>
        <w:t xml:space="preserve">and as a result </w:t>
      </w:r>
      <w:r w:rsidR="00C90B5C">
        <w:rPr>
          <w:rFonts w:ascii="Times New Roman" w:hAnsi="Times New Roman" w:cs="Times New Roman"/>
          <w:bCs/>
          <w:iCs/>
        </w:rPr>
        <w:t xml:space="preserve">summary </w:t>
      </w:r>
      <w:r>
        <w:rPr>
          <w:rFonts w:ascii="Times New Roman" w:hAnsi="Times New Roman" w:cs="Times New Roman"/>
          <w:bCs/>
          <w:iCs/>
        </w:rPr>
        <w:t>judgment</w:t>
      </w:r>
      <w:r w:rsidR="00C90B5C">
        <w:rPr>
          <w:rFonts w:ascii="Times New Roman" w:hAnsi="Times New Roman" w:cs="Times New Roman"/>
          <w:bCs/>
          <w:iCs/>
        </w:rPr>
        <w:t>s/</w:t>
      </w:r>
      <w:r>
        <w:rPr>
          <w:rFonts w:ascii="Times New Roman" w:hAnsi="Times New Roman" w:cs="Times New Roman"/>
          <w:bCs/>
          <w:iCs/>
        </w:rPr>
        <w:t xml:space="preserve">default </w:t>
      </w:r>
      <w:r w:rsidR="00C90B5C">
        <w:rPr>
          <w:rFonts w:ascii="Times New Roman" w:hAnsi="Times New Roman" w:cs="Times New Roman"/>
          <w:bCs/>
          <w:iCs/>
        </w:rPr>
        <w:t xml:space="preserve">judgments </w:t>
      </w:r>
      <w:r>
        <w:rPr>
          <w:rFonts w:ascii="Times New Roman" w:hAnsi="Times New Roman" w:cs="Times New Roman"/>
          <w:bCs/>
          <w:iCs/>
        </w:rPr>
        <w:t>w</w:t>
      </w:r>
      <w:r w:rsidR="00C90B5C">
        <w:rPr>
          <w:rFonts w:ascii="Times New Roman" w:hAnsi="Times New Roman" w:cs="Times New Roman"/>
          <w:bCs/>
          <w:iCs/>
        </w:rPr>
        <w:t xml:space="preserve">ere </w:t>
      </w:r>
      <w:r>
        <w:rPr>
          <w:rFonts w:ascii="Times New Roman" w:hAnsi="Times New Roman" w:cs="Times New Roman"/>
          <w:bCs/>
          <w:iCs/>
        </w:rPr>
        <w:t xml:space="preserve">granted for the </w:t>
      </w:r>
      <w:r w:rsidR="002A7B0A">
        <w:rPr>
          <w:rFonts w:ascii="Times New Roman" w:hAnsi="Times New Roman" w:cs="Times New Roman"/>
          <w:bCs/>
          <w:iCs/>
        </w:rPr>
        <w:t>arrear levies and related charges</w:t>
      </w:r>
      <w:r>
        <w:rPr>
          <w:rFonts w:ascii="Times New Roman" w:hAnsi="Times New Roman" w:cs="Times New Roman"/>
          <w:bCs/>
          <w:iCs/>
        </w:rPr>
        <w:t xml:space="preserve"> as set out</w:t>
      </w:r>
      <w:r w:rsidR="002A7B0A">
        <w:rPr>
          <w:rFonts w:ascii="Times New Roman" w:hAnsi="Times New Roman" w:cs="Times New Roman"/>
          <w:bCs/>
          <w:iCs/>
        </w:rPr>
        <w:t xml:space="preserve"> in the particular</w:t>
      </w:r>
      <w:r w:rsidR="00E12423">
        <w:rPr>
          <w:rFonts w:ascii="Times New Roman" w:hAnsi="Times New Roman" w:cs="Times New Roman"/>
          <w:bCs/>
          <w:iCs/>
        </w:rPr>
        <w:t>s</w:t>
      </w:r>
      <w:r w:rsidR="002A7B0A">
        <w:rPr>
          <w:rFonts w:ascii="Times New Roman" w:hAnsi="Times New Roman" w:cs="Times New Roman"/>
          <w:bCs/>
          <w:iCs/>
        </w:rPr>
        <w:t xml:space="preserve"> of claim</w:t>
      </w:r>
      <w:r w:rsidR="00FA3642">
        <w:rPr>
          <w:rFonts w:ascii="Times New Roman" w:hAnsi="Times New Roman" w:cs="Times New Roman"/>
          <w:bCs/>
          <w:iCs/>
        </w:rPr>
        <w:t>s</w:t>
      </w:r>
      <w:r w:rsidR="002A7B0A">
        <w:rPr>
          <w:rFonts w:ascii="Times New Roman" w:hAnsi="Times New Roman" w:cs="Times New Roman"/>
          <w:bCs/>
          <w:iCs/>
        </w:rPr>
        <w:t>.</w:t>
      </w:r>
      <w:r>
        <w:rPr>
          <w:rFonts w:ascii="Times New Roman" w:hAnsi="Times New Roman" w:cs="Times New Roman"/>
          <w:bCs/>
          <w:iCs/>
        </w:rPr>
        <w:t xml:space="preserve"> </w:t>
      </w:r>
    </w:p>
    <w:p w14:paraId="5E1D8959" w14:textId="77777777" w:rsidR="002A7B0A" w:rsidRPr="002A7B0A" w:rsidRDefault="002A7B0A" w:rsidP="002A7B0A">
      <w:pPr>
        <w:pStyle w:val="ListParagraph"/>
        <w:rPr>
          <w:rFonts w:ascii="Times New Roman" w:hAnsi="Times New Roman" w:cs="Times New Roman"/>
          <w:bCs/>
          <w:iCs/>
        </w:rPr>
      </w:pPr>
    </w:p>
    <w:p w14:paraId="42F7E4F7" w14:textId="2B047E8A" w:rsidR="003C28C7" w:rsidRPr="003C28C7" w:rsidRDefault="002A7B0A">
      <w:pPr>
        <w:pStyle w:val="ListParagraph"/>
        <w:numPr>
          <w:ilvl w:val="0"/>
          <w:numId w:val="2"/>
        </w:numPr>
        <w:spacing w:line="360" w:lineRule="auto"/>
        <w:ind w:left="567" w:hanging="567"/>
        <w:jc w:val="both"/>
        <w:rPr>
          <w:rFonts w:ascii="Times New Roman" w:hAnsi="Times New Roman" w:cs="Times New Roman"/>
          <w:bCs/>
          <w:iCs/>
        </w:rPr>
      </w:pPr>
      <w:r w:rsidRPr="002A7B0A">
        <w:rPr>
          <w:rFonts w:ascii="Times New Roman" w:hAnsi="Times New Roman" w:cs="Times New Roman"/>
          <w:bCs/>
          <w:iCs/>
        </w:rPr>
        <w:t>Subsequent to the</w:t>
      </w:r>
      <w:r w:rsidR="00C90B5C">
        <w:rPr>
          <w:rFonts w:ascii="Times New Roman" w:hAnsi="Times New Roman" w:cs="Times New Roman"/>
          <w:bCs/>
          <w:iCs/>
        </w:rPr>
        <w:t xml:space="preserve"> </w:t>
      </w:r>
      <w:r w:rsidRPr="002A7B0A">
        <w:rPr>
          <w:rFonts w:ascii="Times New Roman" w:hAnsi="Times New Roman" w:cs="Times New Roman"/>
          <w:bCs/>
          <w:iCs/>
        </w:rPr>
        <w:t>judgment</w:t>
      </w:r>
      <w:r w:rsidR="00C90B5C">
        <w:rPr>
          <w:rFonts w:ascii="Times New Roman" w:hAnsi="Times New Roman" w:cs="Times New Roman"/>
          <w:bCs/>
          <w:iCs/>
        </w:rPr>
        <w:t>s</w:t>
      </w:r>
      <w:r w:rsidRPr="002A7B0A">
        <w:rPr>
          <w:rFonts w:ascii="Times New Roman" w:hAnsi="Times New Roman" w:cs="Times New Roman"/>
          <w:bCs/>
          <w:iCs/>
        </w:rPr>
        <w:t xml:space="preserve"> being granted the </w:t>
      </w:r>
      <w:r w:rsidRPr="002A7B0A">
        <w:rPr>
          <w:rFonts w:ascii="Times New Roman" w:eastAsia="Times New Roman" w:hAnsi="Times New Roman" w:cs="Times New Roman"/>
          <w:bCs/>
          <w:lang w:val="en-ZA"/>
        </w:rPr>
        <w:t xml:space="preserve">Sheriff of Johannesburg Central </w:t>
      </w:r>
      <w:r w:rsidRPr="00DE5671">
        <w:rPr>
          <w:rFonts w:ascii="Times New Roman" w:eastAsia="Times New Roman" w:hAnsi="Times New Roman" w:cs="Times New Roman"/>
          <w:bCs/>
          <w:lang w:val="en-ZA"/>
        </w:rPr>
        <w:t>(</w:t>
      </w:r>
      <w:r w:rsidRPr="00C738B1">
        <w:rPr>
          <w:rFonts w:ascii="Times New Roman" w:eastAsia="Times New Roman" w:hAnsi="Times New Roman" w:cs="Times New Roman"/>
          <w:lang w:val="en-ZA"/>
        </w:rPr>
        <w:t>“the second respondent”</w:t>
      </w:r>
      <w:r w:rsidRPr="00DE5671">
        <w:rPr>
          <w:rFonts w:ascii="Times New Roman" w:eastAsia="Times New Roman" w:hAnsi="Times New Roman" w:cs="Times New Roman"/>
          <w:bCs/>
          <w:lang w:val="en-ZA"/>
        </w:rPr>
        <w:t>)</w:t>
      </w:r>
      <w:r w:rsidRPr="002A7B0A">
        <w:rPr>
          <w:rFonts w:ascii="Times New Roman" w:eastAsia="Times New Roman" w:hAnsi="Times New Roman" w:cs="Times New Roman"/>
          <w:bCs/>
          <w:lang w:val="en-ZA"/>
        </w:rPr>
        <w:t xml:space="preserve"> </w:t>
      </w:r>
      <w:r w:rsidR="003C28C7">
        <w:rPr>
          <w:rFonts w:ascii="Times New Roman" w:eastAsia="Times New Roman" w:hAnsi="Times New Roman" w:cs="Times New Roman"/>
          <w:bCs/>
          <w:lang w:val="en-ZA"/>
        </w:rPr>
        <w:t>served</w:t>
      </w:r>
      <w:r w:rsidR="00E12423">
        <w:rPr>
          <w:rFonts w:ascii="Times New Roman" w:eastAsia="Times New Roman" w:hAnsi="Times New Roman" w:cs="Times New Roman"/>
          <w:bCs/>
          <w:lang w:val="en-ZA"/>
        </w:rPr>
        <w:t xml:space="preserve"> w</w:t>
      </w:r>
      <w:r w:rsidR="003C28C7">
        <w:rPr>
          <w:rFonts w:ascii="Times New Roman" w:eastAsia="Times New Roman" w:hAnsi="Times New Roman" w:cs="Times New Roman"/>
          <w:bCs/>
          <w:lang w:val="en-ZA"/>
        </w:rPr>
        <w:t>rits of execution against the appellants</w:t>
      </w:r>
      <w:r w:rsidR="00DE5671">
        <w:rPr>
          <w:rFonts w:ascii="Times New Roman" w:eastAsia="Times New Roman" w:hAnsi="Times New Roman" w:cs="Times New Roman"/>
          <w:bCs/>
          <w:lang w:val="en-ZA"/>
        </w:rPr>
        <w:t>’</w:t>
      </w:r>
      <w:r w:rsidR="003C28C7">
        <w:rPr>
          <w:rFonts w:ascii="Times New Roman" w:eastAsia="Times New Roman" w:hAnsi="Times New Roman" w:cs="Times New Roman"/>
          <w:bCs/>
          <w:lang w:val="en-ZA"/>
        </w:rPr>
        <w:t xml:space="preserve"> properties.</w:t>
      </w:r>
      <w:r w:rsidRPr="002A7B0A">
        <w:rPr>
          <w:rFonts w:ascii="Times New Roman" w:eastAsia="Times New Roman" w:hAnsi="Times New Roman" w:cs="Times New Roman"/>
          <w:bCs/>
          <w:lang w:val="en-ZA"/>
        </w:rPr>
        <w:t xml:space="preserve">  </w:t>
      </w:r>
    </w:p>
    <w:p w14:paraId="3B17A954" w14:textId="77777777" w:rsidR="003C28C7" w:rsidRPr="003C28C7" w:rsidRDefault="003C28C7" w:rsidP="003C28C7">
      <w:pPr>
        <w:pStyle w:val="ListParagraph"/>
        <w:rPr>
          <w:rFonts w:ascii="Times New Roman" w:eastAsia="Times New Roman" w:hAnsi="Times New Roman" w:cs="Times New Roman"/>
          <w:bCs/>
          <w:lang w:val="en-ZA"/>
        </w:rPr>
      </w:pPr>
    </w:p>
    <w:p w14:paraId="4EB048C7" w14:textId="7BA42751" w:rsidR="00015F84" w:rsidRPr="00015F84" w:rsidRDefault="002A7B0A">
      <w:pPr>
        <w:pStyle w:val="ListParagraph"/>
        <w:numPr>
          <w:ilvl w:val="0"/>
          <w:numId w:val="2"/>
        </w:numPr>
        <w:spacing w:line="360" w:lineRule="auto"/>
        <w:ind w:left="567" w:hanging="567"/>
        <w:jc w:val="both"/>
        <w:rPr>
          <w:rFonts w:ascii="Times New Roman" w:hAnsi="Times New Roman" w:cs="Times New Roman"/>
          <w:bCs/>
          <w:iCs/>
        </w:rPr>
      </w:pPr>
      <w:r w:rsidRPr="002A7B0A">
        <w:rPr>
          <w:rFonts w:ascii="Times New Roman" w:eastAsia="Times New Roman" w:hAnsi="Times New Roman" w:cs="Times New Roman"/>
          <w:bCs/>
          <w:lang w:val="en-ZA"/>
        </w:rPr>
        <w:t xml:space="preserve"> </w:t>
      </w:r>
      <w:r w:rsidR="003C28C7">
        <w:rPr>
          <w:rFonts w:ascii="Times New Roman" w:eastAsia="Times New Roman" w:hAnsi="Times New Roman" w:cs="Times New Roman"/>
          <w:bCs/>
          <w:lang w:val="en-ZA"/>
        </w:rPr>
        <w:t xml:space="preserve">As a result the appellants approached the court </w:t>
      </w:r>
      <w:r w:rsidR="003C28C7">
        <w:rPr>
          <w:rFonts w:ascii="Times New Roman" w:eastAsia="Times New Roman" w:hAnsi="Times New Roman" w:cs="Times New Roman"/>
          <w:bCs/>
          <w:i/>
          <w:iCs/>
          <w:lang w:val="en-ZA"/>
        </w:rPr>
        <w:t xml:space="preserve">a quo </w:t>
      </w:r>
      <w:r w:rsidR="00015F84" w:rsidRPr="00015F84">
        <w:rPr>
          <w:rFonts w:ascii="Times New Roman" w:eastAsia="Times New Roman" w:hAnsi="Times New Roman" w:cs="Times New Roman"/>
          <w:bCs/>
          <w:lang w:val="en-ZA"/>
        </w:rPr>
        <w:t>for an order</w:t>
      </w:r>
      <w:r w:rsidR="00015F84">
        <w:rPr>
          <w:rFonts w:ascii="Times New Roman" w:eastAsia="Times New Roman" w:hAnsi="Times New Roman" w:cs="Times New Roman"/>
          <w:bCs/>
          <w:i/>
          <w:iCs/>
          <w:lang w:val="en-ZA"/>
        </w:rPr>
        <w:t xml:space="preserve"> </w:t>
      </w:r>
      <w:r w:rsidR="003C28C7">
        <w:rPr>
          <w:rFonts w:ascii="Times New Roman" w:eastAsia="Times New Roman" w:hAnsi="Times New Roman" w:cs="Times New Roman"/>
          <w:bCs/>
          <w:lang w:val="en-ZA"/>
        </w:rPr>
        <w:t>to rescind the judgment</w:t>
      </w:r>
      <w:r w:rsidR="00015F84">
        <w:rPr>
          <w:rFonts w:ascii="Times New Roman" w:eastAsia="Times New Roman" w:hAnsi="Times New Roman" w:cs="Times New Roman"/>
          <w:bCs/>
          <w:lang w:val="en-ZA"/>
        </w:rPr>
        <w:t>s</w:t>
      </w:r>
      <w:r w:rsidR="003C28C7">
        <w:rPr>
          <w:rFonts w:ascii="Times New Roman" w:eastAsia="Times New Roman" w:hAnsi="Times New Roman" w:cs="Times New Roman"/>
          <w:bCs/>
          <w:lang w:val="en-ZA"/>
        </w:rPr>
        <w:t xml:space="preserve"> </w:t>
      </w:r>
      <w:r w:rsidR="00015F84">
        <w:rPr>
          <w:rFonts w:ascii="Times New Roman" w:eastAsia="Times New Roman" w:hAnsi="Times New Roman" w:cs="Times New Roman"/>
          <w:bCs/>
          <w:lang w:val="en-ZA"/>
        </w:rPr>
        <w:t xml:space="preserve">obtained.  The application was opposed by the first respondent.  </w:t>
      </w:r>
    </w:p>
    <w:p w14:paraId="5BE4D8ED" w14:textId="77777777" w:rsidR="00015F84" w:rsidRPr="00015F84" w:rsidRDefault="00015F84" w:rsidP="00015F84">
      <w:pPr>
        <w:pStyle w:val="ListParagraph"/>
        <w:rPr>
          <w:rFonts w:ascii="Times New Roman" w:eastAsia="Times New Roman" w:hAnsi="Times New Roman" w:cs="Times New Roman"/>
          <w:bCs/>
          <w:lang w:val="en-ZA"/>
        </w:rPr>
      </w:pPr>
    </w:p>
    <w:p w14:paraId="5C4CF70D" w14:textId="4A426BAE" w:rsidR="00632C78" w:rsidRPr="00632C78" w:rsidRDefault="00015F84">
      <w:pPr>
        <w:pStyle w:val="ListParagraph"/>
        <w:numPr>
          <w:ilvl w:val="0"/>
          <w:numId w:val="2"/>
        </w:numPr>
        <w:spacing w:line="360" w:lineRule="auto"/>
        <w:ind w:left="567" w:hanging="567"/>
        <w:jc w:val="both"/>
        <w:rPr>
          <w:rFonts w:ascii="Times New Roman" w:hAnsi="Times New Roman" w:cs="Times New Roman"/>
          <w:bCs/>
          <w:iCs/>
        </w:rPr>
      </w:pPr>
      <w:r>
        <w:rPr>
          <w:rFonts w:ascii="Times New Roman" w:eastAsia="Times New Roman" w:hAnsi="Times New Roman" w:cs="Times New Roman"/>
          <w:bCs/>
          <w:lang w:val="en-ZA"/>
        </w:rPr>
        <w:t xml:space="preserve">After hearing argument on behalf of the parties, the magistrate handed </w:t>
      </w:r>
      <w:r w:rsidR="00E12423">
        <w:rPr>
          <w:rFonts w:ascii="Times New Roman" w:eastAsia="Times New Roman" w:hAnsi="Times New Roman" w:cs="Times New Roman"/>
          <w:bCs/>
          <w:lang w:val="en-ZA"/>
        </w:rPr>
        <w:t>d</w:t>
      </w:r>
      <w:r>
        <w:rPr>
          <w:rFonts w:ascii="Times New Roman" w:eastAsia="Times New Roman" w:hAnsi="Times New Roman" w:cs="Times New Roman"/>
          <w:bCs/>
          <w:lang w:val="en-ZA"/>
        </w:rPr>
        <w:t>own a written judgment wherein she dismissed the application</w:t>
      </w:r>
      <w:r w:rsidR="00E12423">
        <w:rPr>
          <w:rFonts w:ascii="Times New Roman" w:eastAsia="Times New Roman" w:hAnsi="Times New Roman" w:cs="Times New Roman"/>
          <w:bCs/>
          <w:lang w:val="en-ZA"/>
        </w:rPr>
        <w:t>s</w:t>
      </w:r>
      <w:r>
        <w:rPr>
          <w:rFonts w:ascii="Times New Roman" w:eastAsia="Times New Roman" w:hAnsi="Times New Roman" w:cs="Times New Roman"/>
          <w:bCs/>
          <w:lang w:val="en-ZA"/>
        </w:rPr>
        <w:t xml:space="preserve"> </w:t>
      </w:r>
      <w:r w:rsidR="00E12423">
        <w:rPr>
          <w:rFonts w:ascii="Times New Roman" w:eastAsia="Times New Roman" w:hAnsi="Times New Roman" w:cs="Times New Roman"/>
          <w:bCs/>
          <w:lang w:val="en-ZA"/>
        </w:rPr>
        <w:t xml:space="preserve">for </w:t>
      </w:r>
      <w:r>
        <w:rPr>
          <w:rFonts w:ascii="Times New Roman" w:eastAsia="Times New Roman" w:hAnsi="Times New Roman" w:cs="Times New Roman"/>
          <w:bCs/>
          <w:lang w:val="en-ZA"/>
        </w:rPr>
        <w:t>rescission</w:t>
      </w:r>
      <w:r w:rsidR="003E4B4E">
        <w:rPr>
          <w:rFonts w:ascii="Times New Roman" w:eastAsia="Times New Roman" w:hAnsi="Times New Roman" w:cs="Times New Roman"/>
          <w:bCs/>
          <w:lang w:val="en-ZA"/>
        </w:rPr>
        <w:t>.</w:t>
      </w:r>
    </w:p>
    <w:p w14:paraId="7FFE6960" w14:textId="3BD7AE78" w:rsidR="002A7B0A" w:rsidRPr="00632C78" w:rsidRDefault="00015F84" w:rsidP="00632C78">
      <w:pPr>
        <w:spacing w:line="360" w:lineRule="auto"/>
        <w:jc w:val="both"/>
        <w:rPr>
          <w:rFonts w:ascii="Times New Roman" w:hAnsi="Times New Roman" w:cs="Times New Roman"/>
          <w:bCs/>
          <w:iCs/>
        </w:rPr>
      </w:pPr>
      <w:r w:rsidRPr="00632C78">
        <w:rPr>
          <w:rFonts w:ascii="Times New Roman" w:eastAsia="Times New Roman" w:hAnsi="Times New Roman" w:cs="Times New Roman"/>
          <w:bCs/>
          <w:lang w:val="en-ZA"/>
        </w:rPr>
        <w:t xml:space="preserve"> </w:t>
      </w:r>
      <w:r w:rsidR="002A7B0A" w:rsidRPr="00632C78">
        <w:rPr>
          <w:rFonts w:ascii="Times New Roman" w:eastAsia="Times New Roman" w:hAnsi="Times New Roman" w:cs="Times New Roman"/>
          <w:bCs/>
          <w:lang w:val="en-ZA"/>
        </w:rPr>
        <w:t xml:space="preserve">                                   </w:t>
      </w:r>
    </w:p>
    <w:p w14:paraId="4465B27F" w14:textId="70D71192" w:rsidR="0065517A" w:rsidRDefault="00C90B5C">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On 21 December 2020 the appellants requested reason</w:t>
      </w:r>
      <w:r w:rsidR="003E4B4E">
        <w:rPr>
          <w:rFonts w:ascii="Times New Roman" w:hAnsi="Times New Roman" w:cs="Times New Roman"/>
          <w:bCs/>
          <w:iCs/>
        </w:rPr>
        <w:t>s</w:t>
      </w:r>
      <w:r>
        <w:rPr>
          <w:rFonts w:ascii="Times New Roman" w:hAnsi="Times New Roman" w:cs="Times New Roman"/>
          <w:bCs/>
          <w:iCs/>
        </w:rPr>
        <w:t xml:space="preserve"> for the judgment delivered by </w:t>
      </w:r>
      <w:r w:rsidR="00FA3642">
        <w:rPr>
          <w:rFonts w:ascii="Times New Roman" w:hAnsi="Times New Roman" w:cs="Times New Roman"/>
          <w:bCs/>
          <w:iCs/>
        </w:rPr>
        <w:t>the second respondent</w:t>
      </w:r>
      <w:r>
        <w:rPr>
          <w:rFonts w:ascii="Times New Roman" w:hAnsi="Times New Roman" w:cs="Times New Roman"/>
          <w:bCs/>
          <w:iCs/>
        </w:rPr>
        <w:t xml:space="preserve"> in terms of Rule 51(1) of the </w:t>
      </w:r>
      <w:r w:rsidR="00C7029B">
        <w:rPr>
          <w:rFonts w:ascii="Times New Roman" w:hAnsi="Times New Roman" w:cs="Times New Roman"/>
          <w:bCs/>
          <w:iCs/>
        </w:rPr>
        <w:t>Magistrates’ Act</w:t>
      </w:r>
      <w:r>
        <w:rPr>
          <w:rFonts w:ascii="Times New Roman" w:hAnsi="Times New Roman" w:cs="Times New Roman"/>
          <w:bCs/>
          <w:iCs/>
        </w:rPr>
        <w:t xml:space="preserve">, Act 32 of 1944. </w:t>
      </w:r>
      <w:r w:rsidR="00FA3642">
        <w:rPr>
          <w:rFonts w:ascii="Times New Roman" w:hAnsi="Times New Roman" w:cs="Times New Roman"/>
          <w:bCs/>
          <w:iCs/>
        </w:rPr>
        <w:lastRenderedPageBreak/>
        <w:t>The second respondent</w:t>
      </w:r>
      <w:r w:rsidR="003E4B4E">
        <w:rPr>
          <w:rFonts w:ascii="Times New Roman" w:hAnsi="Times New Roman" w:cs="Times New Roman"/>
          <w:bCs/>
          <w:iCs/>
        </w:rPr>
        <w:t xml:space="preserve"> replied to the request on 14 January 2021 </w:t>
      </w:r>
      <w:r w:rsidR="00FA3642">
        <w:rPr>
          <w:rFonts w:ascii="Times New Roman" w:hAnsi="Times New Roman" w:cs="Times New Roman"/>
          <w:bCs/>
          <w:iCs/>
        </w:rPr>
        <w:t>wherein she r</w:t>
      </w:r>
      <w:r w:rsidR="003E4B4E">
        <w:rPr>
          <w:rFonts w:ascii="Times New Roman" w:hAnsi="Times New Roman" w:cs="Times New Roman"/>
          <w:bCs/>
          <w:iCs/>
        </w:rPr>
        <w:t xml:space="preserve">eferred the appellants to her written judgment delivered on 8 December 2020.  </w:t>
      </w:r>
    </w:p>
    <w:p w14:paraId="737694C9" w14:textId="77777777" w:rsidR="003E4B4E" w:rsidRPr="003E4B4E" w:rsidRDefault="003E4B4E" w:rsidP="003E4B4E">
      <w:pPr>
        <w:pStyle w:val="ListParagraph"/>
        <w:rPr>
          <w:rFonts w:ascii="Times New Roman" w:hAnsi="Times New Roman" w:cs="Times New Roman"/>
          <w:bCs/>
          <w:iCs/>
        </w:rPr>
      </w:pPr>
    </w:p>
    <w:p w14:paraId="6C9A3881" w14:textId="6DF9AC24" w:rsidR="003E4B4E" w:rsidRDefault="003E4B4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However, on 23 February 2021 the appellants again requested reasons for the judgment, </w:t>
      </w:r>
      <w:r w:rsidR="00FA3642">
        <w:rPr>
          <w:rFonts w:ascii="Times New Roman" w:hAnsi="Times New Roman" w:cs="Times New Roman"/>
          <w:bCs/>
          <w:iCs/>
        </w:rPr>
        <w:t xml:space="preserve">the second respondent </w:t>
      </w:r>
      <w:r>
        <w:rPr>
          <w:rFonts w:ascii="Times New Roman" w:hAnsi="Times New Roman" w:cs="Times New Roman"/>
          <w:bCs/>
          <w:iCs/>
        </w:rPr>
        <w:t>responded to the request on 24 February 2021 and again referred the appellants to her judgmen</w:t>
      </w:r>
      <w:r w:rsidR="00C7029B">
        <w:rPr>
          <w:rFonts w:ascii="Times New Roman" w:hAnsi="Times New Roman" w:cs="Times New Roman"/>
          <w:bCs/>
          <w:iCs/>
        </w:rPr>
        <w:t>t.</w:t>
      </w:r>
    </w:p>
    <w:p w14:paraId="78937F9A" w14:textId="77777777" w:rsidR="003E4B4E" w:rsidRPr="003E4B4E" w:rsidRDefault="003E4B4E" w:rsidP="003E4B4E">
      <w:pPr>
        <w:pStyle w:val="ListParagraph"/>
        <w:rPr>
          <w:rFonts w:ascii="Times New Roman" w:hAnsi="Times New Roman" w:cs="Times New Roman"/>
          <w:bCs/>
          <w:iCs/>
        </w:rPr>
      </w:pPr>
    </w:p>
    <w:p w14:paraId="7984D95B" w14:textId="25DECCB4" w:rsidR="003E4B4E" w:rsidRDefault="00D72EDF">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On 31 May 2021 the appellants delivered their Notice of Appeal to the respondents.  </w:t>
      </w:r>
    </w:p>
    <w:p w14:paraId="10CA5C2C" w14:textId="77777777" w:rsidR="00632C78" w:rsidRPr="00632C78" w:rsidRDefault="00632C78" w:rsidP="00632C78">
      <w:pPr>
        <w:pStyle w:val="ListParagraph"/>
        <w:rPr>
          <w:rFonts w:ascii="Times New Roman" w:hAnsi="Times New Roman" w:cs="Times New Roman"/>
          <w:bCs/>
          <w:iCs/>
        </w:rPr>
      </w:pPr>
    </w:p>
    <w:p w14:paraId="02DDC48F" w14:textId="6F5FECD4" w:rsidR="00632C78" w:rsidRPr="00632C78" w:rsidRDefault="00632C78" w:rsidP="00632C78">
      <w:pPr>
        <w:spacing w:line="360" w:lineRule="auto"/>
        <w:jc w:val="both"/>
        <w:rPr>
          <w:rFonts w:ascii="Times New Roman" w:hAnsi="Times New Roman" w:cs="Times New Roman"/>
          <w:b/>
          <w:i/>
        </w:rPr>
      </w:pPr>
      <w:r>
        <w:rPr>
          <w:rFonts w:ascii="Times New Roman" w:hAnsi="Times New Roman" w:cs="Times New Roman"/>
          <w:b/>
          <w:i/>
        </w:rPr>
        <w:t>Ground</w:t>
      </w:r>
      <w:r w:rsidR="00D72EDF">
        <w:rPr>
          <w:rFonts w:ascii="Times New Roman" w:hAnsi="Times New Roman" w:cs="Times New Roman"/>
          <w:b/>
          <w:i/>
        </w:rPr>
        <w:t>s</w:t>
      </w:r>
      <w:r>
        <w:rPr>
          <w:rFonts w:ascii="Times New Roman" w:hAnsi="Times New Roman" w:cs="Times New Roman"/>
          <w:b/>
          <w:i/>
        </w:rPr>
        <w:t xml:space="preserve"> of appeal</w:t>
      </w:r>
    </w:p>
    <w:p w14:paraId="778EE386" w14:textId="23F223F1" w:rsidR="0065517A" w:rsidRPr="0072332E" w:rsidRDefault="00DE5AF7">
      <w:pPr>
        <w:pStyle w:val="ListParagraph"/>
        <w:numPr>
          <w:ilvl w:val="0"/>
          <w:numId w:val="2"/>
        </w:numPr>
        <w:spacing w:line="360" w:lineRule="auto"/>
        <w:ind w:left="567" w:hanging="567"/>
        <w:jc w:val="both"/>
        <w:rPr>
          <w:rFonts w:ascii="Times New Roman" w:hAnsi="Times New Roman" w:cs="Times New Roman"/>
          <w:bCs/>
          <w:iCs/>
        </w:rPr>
      </w:pPr>
      <w:r w:rsidRPr="0072332E">
        <w:rPr>
          <w:rFonts w:ascii="Times New Roman" w:hAnsi="Times New Roman" w:cs="Times New Roman"/>
          <w:bCs/>
          <w:iCs/>
        </w:rPr>
        <w:t xml:space="preserve">The appellants </w:t>
      </w:r>
      <w:r w:rsidR="0072332E">
        <w:rPr>
          <w:rFonts w:ascii="Times New Roman" w:hAnsi="Times New Roman" w:cs="Times New Roman"/>
          <w:bCs/>
          <w:iCs/>
        </w:rPr>
        <w:t>a</w:t>
      </w:r>
      <w:r w:rsidR="00F61992">
        <w:rPr>
          <w:rFonts w:ascii="Times New Roman" w:hAnsi="Times New Roman" w:cs="Times New Roman"/>
          <w:bCs/>
          <w:iCs/>
        </w:rPr>
        <w:t>ssert</w:t>
      </w:r>
      <w:r w:rsidRPr="0072332E">
        <w:rPr>
          <w:rFonts w:ascii="Times New Roman" w:hAnsi="Times New Roman" w:cs="Times New Roman"/>
          <w:bCs/>
          <w:iCs/>
        </w:rPr>
        <w:t xml:space="preserve"> that the court </w:t>
      </w:r>
      <w:r w:rsidRPr="0072332E">
        <w:rPr>
          <w:rFonts w:ascii="Times New Roman" w:hAnsi="Times New Roman" w:cs="Times New Roman"/>
          <w:bCs/>
          <w:i/>
        </w:rPr>
        <w:t xml:space="preserve">a quo </w:t>
      </w:r>
      <w:r w:rsidRPr="0072332E">
        <w:rPr>
          <w:rFonts w:ascii="Times New Roman" w:hAnsi="Times New Roman" w:cs="Times New Roman"/>
          <w:bCs/>
          <w:iCs/>
        </w:rPr>
        <w:t>erred in</w:t>
      </w:r>
      <w:r w:rsidR="00DE5671">
        <w:rPr>
          <w:rFonts w:ascii="Times New Roman" w:hAnsi="Times New Roman" w:cs="Times New Roman"/>
          <w:bCs/>
          <w:iCs/>
        </w:rPr>
        <w:t xml:space="preserve"> finding</w:t>
      </w:r>
      <w:r w:rsidRPr="0072332E">
        <w:rPr>
          <w:rFonts w:ascii="Times New Roman" w:hAnsi="Times New Roman" w:cs="Times New Roman"/>
          <w:bCs/>
          <w:iCs/>
        </w:rPr>
        <w:t>:</w:t>
      </w:r>
    </w:p>
    <w:p w14:paraId="1AC29D61" w14:textId="22704570" w:rsidR="00DE5AF7" w:rsidRDefault="00DE5AF7">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Pr="00DE5AF7">
        <w:rPr>
          <w:rFonts w:ascii="Times New Roman" w:hAnsi="Times New Roman" w:cs="Times New Roman"/>
          <w:bCs/>
          <w:iCs/>
        </w:rPr>
        <w:t xml:space="preserve">hat the </w:t>
      </w:r>
      <w:r>
        <w:rPr>
          <w:rFonts w:ascii="Times New Roman" w:hAnsi="Times New Roman" w:cs="Times New Roman"/>
          <w:bCs/>
          <w:iCs/>
        </w:rPr>
        <w:t>f</w:t>
      </w:r>
      <w:r w:rsidRPr="00DE5AF7">
        <w:rPr>
          <w:rFonts w:ascii="Times New Roman" w:hAnsi="Times New Roman" w:cs="Times New Roman"/>
          <w:bCs/>
          <w:iCs/>
        </w:rPr>
        <w:t xml:space="preserve">irst to </w:t>
      </w:r>
      <w:r>
        <w:rPr>
          <w:rFonts w:ascii="Times New Roman" w:hAnsi="Times New Roman" w:cs="Times New Roman"/>
          <w:bCs/>
          <w:iCs/>
        </w:rPr>
        <w:t>s</w:t>
      </w:r>
      <w:r w:rsidRPr="00DE5AF7">
        <w:rPr>
          <w:rFonts w:ascii="Times New Roman" w:hAnsi="Times New Roman" w:cs="Times New Roman"/>
          <w:bCs/>
          <w:iCs/>
        </w:rPr>
        <w:t xml:space="preserve">ixth </w:t>
      </w:r>
      <w:r>
        <w:rPr>
          <w:rFonts w:ascii="Times New Roman" w:hAnsi="Times New Roman" w:cs="Times New Roman"/>
          <w:bCs/>
          <w:iCs/>
        </w:rPr>
        <w:t>a</w:t>
      </w:r>
      <w:r w:rsidRPr="00DE5AF7">
        <w:rPr>
          <w:rFonts w:ascii="Times New Roman" w:hAnsi="Times New Roman" w:cs="Times New Roman"/>
          <w:bCs/>
          <w:iCs/>
        </w:rPr>
        <w:t xml:space="preserve">ppellants do not have </w:t>
      </w:r>
      <w:r w:rsidRPr="00DE5AF7">
        <w:rPr>
          <w:rFonts w:ascii="Times New Roman" w:hAnsi="Times New Roman" w:cs="Times New Roman"/>
          <w:bCs/>
          <w:i/>
        </w:rPr>
        <w:t>bona fide</w:t>
      </w:r>
      <w:r w:rsidRPr="00DE5AF7">
        <w:rPr>
          <w:rFonts w:ascii="Times New Roman" w:hAnsi="Times New Roman" w:cs="Times New Roman"/>
          <w:bCs/>
          <w:iCs/>
        </w:rPr>
        <w:t xml:space="preserve"> defence by finding that the </w:t>
      </w:r>
      <w:r>
        <w:rPr>
          <w:rFonts w:ascii="Times New Roman" w:hAnsi="Times New Roman" w:cs="Times New Roman"/>
          <w:bCs/>
          <w:iCs/>
        </w:rPr>
        <w:t>f</w:t>
      </w:r>
      <w:r w:rsidRPr="00DE5AF7">
        <w:rPr>
          <w:rFonts w:ascii="Times New Roman" w:hAnsi="Times New Roman" w:cs="Times New Roman"/>
          <w:bCs/>
          <w:iCs/>
        </w:rPr>
        <w:t xml:space="preserve">irst </w:t>
      </w:r>
      <w:r>
        <w:rPr>
          <w:rFonts w:ascii="Times New Roman" w:hAnsi="Times New Roman" w:cs="Times New Roman"/>
          <w:bCs/>
          <w:iCs/>
        </w:rPr>
        <w:t>a</w:t>
      </w:r>
      <w:r w:rsidRPr="00DE5AF7">
        <w:rPr>
          <w:rFonts w:ascii="Times New Roman" w:hAnsi="Times New Roman" w:cs="Times New Roman"/>
          <w:bCs/>
          <w:iCs/>
        </w:rPr>
        <w:t xml:space="preserve">ppellant has occasionally made payment </w:t>
      </w:r>
      <w:r w:rsidR="00F61992">
        <w:rPr>
          <w:rFonts w:ascii="Times New Roman" w:hAnsi="Times New Roman" w:cs="Times New Roman"/>
          <w:bCs/>
          <w:iCs/>
        </w:rPr>
        <w:t>toward the levy account</w:t>
      </w:r>
      <w:r w:rsidR="00DB1B17">
        <w:rPr>
          <w:rFonts w:ascii="Times New Roman" w:hAnsi="Times New Roman" w:cs="Times New Roman"/>
          <w:bCs/>
          <w:iCs/>
        </w:rPr>
        <w:t>,</w:t>
      </w:r>
      <w:r w:rsidR="00F61992">
        <w:rPr>
          <w:rFonts w:ascii="Times New Roman" w:hAnsi="Times New Roman" w:cs="Times New Roman"/>
          <w:bCs/>
          <w:iCs/>
        </w:rPr>
        <w:t xml:space="preserve"> thereby acknowledging the debt</w:t>
      </w:r>
      <w:r w:rsidR="00DE5671">
        <w:rPr>
          <w:rFonts w:ascii="Times New Roman" w:hAnsi="Times New Roman" w:cs="Times New Roman"/>
          <w:bCs/>
          <w:iCs/>
        </w:rPr>
        <w:t>;</w:t>
      </w:r>
    </w:p>
    <w:p w14:paraId="260EA0B8" w14:textId="78F890C3" w:rsidR="00F61992"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00F61992" w:rsidRPr="00F61992">
        <w:rPr>
          <w:rFonts w:ascii="Times New Roman" w:hAnsi="Times New Roman" w:cs="Times New Roman"/>
          <w:bCs/>
          <w:iCs/>
        </w:rPr>
        <w:t xml:space="preserve">hat the last payment by the </w:t>
      </w:r>
      <w:r w:rsidR="00F61992">
        <w:rPr>
          <w:rFonts w:ascii="Times New Roman" w:hAnsi="Times New Roman" w:cs="Times New Roman"/>
          <w:bCs/>
          <w:iCs/>
        </w:rPr>
        <w:t>f</w:t>
      </w:r>
      <w:r w:rsidR="00F61992" w:rsidRPr="00F61992">
        <w:rPr>
          <w:rFonts w:ascii="Times New Roman" w:hAnsi="Times New Roman" w:cs="Times New Roman"/>
          <w:bCs/>
          <w:iCs/>
        </w:rPr>
        <w:t xml:space="preserve">irst </w:t>
      </w:r>
      <w:r w:rsidR="00DB1B17">
        <w:rPr>
          <w:rFonts w:ascii="Times New Roman" w:hAnsi="Times New Roman" w:cs="Times New Roman"/>
          <w:bCs/>
          <w:iCs/>
        </w:rPr>
        <w:t>a</w:t>
      </w:r>
      <w:r w:rsidR="00F61992" w:rsidRPr="00F61992">
        <w:rPr>
          <w:rFonts w:ascii="Times New Roman" w:hAnsi="Times New Roman" w:cs="Times New Roman"/>
          <w:bCs/>
          <w:iCs/>
        </w:rPr>
        <w:t xml:space="preserve">ppellant applies to the </w:t>
      </w:r>
      <w:r w:rsidR="00F61992">
        <w:rPr>
          <w:rFonts w:ascii="Times New Roman" w:hAnsi="Times New Roman" w:cs="Times New Roman"/>
          <w:bCs/>
          <w:iCs/>
        </w:rPr>
        <w:t>s</w:t>
      </w:r>
      <w:r w:rsidR="00F61992" w:rsidRPr="00F61992">
        <w:rPr>
          <w:rFonts w:ascii="Times New Roman" w:hAnsi="Times New Roman" w:cs="Times New Roman"/>
          <w:bCs/>
          <w:iCs/>
        </w:rPr>
        <w:t xml:space="preserve">econd to </w:t>
      </w:r>
      <w:r w:rsidR="00DB1B17">
        <w:rPr>
          <w:rFonts w:ascii="Times New Roman" w:hAnsi="Times New Roman" w:cs="Times New Roman"/>
          <w:bCs/>
          <w:iCs/>
        </w:rPr>
        <w:t>si</w:t>
      </w:r>
      <w:r w:rsidR="00F61992" w:rsidRPr="00F61992">
        <w:rPr>
          <w:rFonts w:ascii="Times New Roman" w:hAnsi="Times New Roman" w:cs="Times New Roman"/>
          <w:bCs/>
          <w:iCs/>
        </w:rPr>
        <w:t xml:space="preserve">xth </w:t>
      </w:r>
      <w:r w:rsidR="00F61992">
        <w:rPr>
          <w:rFonts w:ascii="Times New Roman" w:hAnsi="Times New Roman" w:cs="Times New Roman"/>
          <w:bCs/>
          <w:iCs/>
        </w:rPr>
        <w:t>a</w:t>
      </w:r>
      <w:r w:rsidR="00F61992" w:rsidRPr="00F61992">
        <w:rPr>
          <w:rFonts w:ascii="Times New Roman" w:hAnsi="Times New Roman" w:cs="Times New Roman"/>
          <w:bCs/>
          <w:iCs/>
        </w:rPr>
        <w:t xml:space="preserve">ppellants, without considering when the aforesaid </w:t>
      </w:r>
      <w:r w:rsidR="00F61992">
        <w:rPr>
          <w:rFonts w:ascii="Times New Roman" w:hAnsi="Times New Roman" w:cs="Times New Roman"/>
          <w:bCs/>
          <w:iCs/>
        </w:rPr>
        <w:t>s</w:t>
      </w:r>
      <w:r w:rsidR="00F61992" w:rsidRPr="00F61992">
        <w:rPr>
          <w:rFonts w:ascii="Times New Roman" w:hAnsi="Times New Roman" w:cs="Times New Roman"/>
          <w:bCs/>
          <w:iCs/>
        </w:rPr>
        <w:t xml:space="preserve">econd to </w:t>
      </w:r>
      <w:r w:rsidR="00F61992">
        <w:rPr>
          <w:rFonts w:ascii="Times New Roman" w:hAnsi="Times New Roman" w:cs="Times New Roman"/>
          <w:bCs/>
          <w:iCs/>
        </w:rPr>
        <w:t>s</w:t>
      </w:r>
      <w:r w:rsidR="00F61992" w:rsidRPr="00F61992">
        <w:rPr>
          <w:rFonts w:ascii="Times New Roman" w:hAnsi="Times New Roman" w:cs="Times New Roman"/>
          <w:bCs/>
          <w:iCs/>
        </w:rPr>
        <w:t xml:space="preserve">ixth </w:t>
      </w:r>
      <w:r w:rsidR="00F61992">
        <w:rPr>
          <w:rFonts w:ascii="Times New Roman" w:hAnsi="Times New Roman" w:cs="Times New Roman"/>
          <w:bCs/>
          <w:iCs/>
        </w:rPr>
        <w:t>a</w:t>
      </w:r>
      <w:r w:rsidR="00F61992" w:rsidRPr="00F61992">
        <w:rPr>
          <w:rFonts w:ascii="Times New Roman" w:hAnsi="Times New Roman" w:cs="Times New Roman"/>
          <w:bCs/>
          <w:iCs/>
        </w:rPr>
        <w:t>ppellants last paid their rates and taxes</w:t>
      </w:r>
      <w:r>
        <w:rPr>
          <w:rFonts w:ascii="Times New Roman" w:hAnsi="Times New Roman" w:cs="Times New Roman"/>
          <w:bCs/>
          <w:iCs/>
        </w:rPr>
        <w:t>;</w:t>
      </w:r>
    </w:p>
    <w:p w14:paraId="79018ED8" w14:textId="633F820D" w:rsidR="00F61992"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00F61992" w:rsidRPr="00F61992">
        <w:rPr>
          <w:rFonts w:ascii="Times New Roman" w:hAnsi="Times New Roman" w:cs="Times New Roman"/>
          <w:bCs/>
          <w:iCs/>
        </w:rPr>
        <w:t>hat prescription was interrupted, whilst no arguments or averments were contained in the papers support such a finding</w:t>
      </w:r>
      <w:r>
        <w:rPr>
          <w:rFonts w:ascii="Times New Roman" w:hAnsi="Times New Roman" w:cs="Times New Roman"/>
          <w:bCs/>
          <w:iCs/>
        </w:rPr>
        <w:t>;</w:t>
      </w:r>
    </w:p>
    <w:p w14:paraId="07B5434E" w14:textId="52CA269D" w:rsidR="00F61992"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00F61992" w:rsidRPr="00F61992">
        <w:rPr>
          <w:rFonts w:ascii="Times New Roman" w:hAnsi="Times New Roman" w:cs="Times New Roman"/>
          <w:bCs/>
          <w:iCs/>
        </w:rPr>
        <w:t>hat prescription was interrupted, without taking into account that the payment which it was alleged had been made, was not made in respect of the reconciliation complied by Compurent, but on a statement which did not reflect the amount dating back to 2001</w:t>
      </w:r>
      <w:r w:rsidR="00F61992">
        <w:rPr>
          <w:rFonts w:ascii="Times New Roman" w:hAnsi="Times New Roman" w:cs="Times New Roman"/>
          <w:bCs/>
          <w:iCs/>
        </w:rPr>
        <w:t>,</w:t>
      </w:r>
    </w:p>
    <w:p w14:paraId="55BFDABE" w14:textId="3002150A" w:rsidR="00F61992" w:rsidRDefault="00F61992">
      <w:pPr>
        <w:pStyle w:val="ListParagraph"/>
        <w:numPr>
          <w:ilvl w:val="0"/>
          <w:numId w:val="3"/>
        </w:numPr>
        <w:spacing w:line="360" w:lineRule="auto"/>
        <w:jc w:val="both"/>
        <w:rPr>
          <w:rFonts w:ascii="Times New Roman" w:hAnsi="Times New Roman" w:cs="Times New Roman"/>
          <w:bCs/>
          <w:iCs/>
        </w:rPr>
      </w:pPr>
      <w:r w:rsidRPr="00F61992">
        <w:rPr>
          <w:rFonts w:ascii="Times New Roman" w:hAnsi="Times New Roman" w:cs="Times New Roman"/>
          <w:bCs/>
          <w:iCs/>
        </w:rPr>
        <w:t xml:space="preserve"> </w:t>
      </w:r>
      <w:r w:rsidR="00DE5671">
        <w:rPr>
          <w:rFonts w:ascii="Times New Roman" w:hAnsi="Times New Roman" w:cs="Times New Roman"/>
          <w:bCs/>
          <w:iCs/>
        </w:rPr>
        <w:t>T</w:t>
      </w:r>
      <w:r w:rsidRPr="00F61992">
        <w:rPr>
          <w:rFonts w:ascii="Times New Roman" w:hAnsi="Times New Roman" w:cs="Times New Roman"/>
          <w:bCs/>
          <w:iCs/>
        </w:rPr>
        <w:t>hat the Compurent reconciliation was accurate and reliable, while ignoring the fact that such reconciliation could not be produced in 2008 until 2017, when the First Respondent was still the Administrator of Panarama Sectional Title Scheme and that Compurent failed to hand in the books when ordered to do so by CSOS</w:t>
      </w:r>
      <w:r>
        <w:rPr>
          <w:rFonts w:ascii="Times New Roman" w:hAnsi="Times New Roman" w:cs="Times New Roman"/>
          <w:bCs/>
          <w:iCs/>
        </w:rPr>
        <w:t>,</w:t>
      </w:r>
    </w:p>
    <w:p w14:paraId="58CC78A7" w14:textId="3AD50342" w:rsidR="00F61992"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00F61992" w:rsidRPr="00F61992">
        <w:rPr>
          <w:rFonts w:ascii="Times New Roman" w:hAnsi="Times New Roman" w:cs="Times New Roman"/>
          <w:bCs/>
          <w:iCs/>
        </w:rPr>
        <w:t xml:space="preserve">hat in disregarding the facts, that Mr Zacharia Matsela </w:t>
      </w:r>
      <w:r w:rsidR="00F61992">
        <w:rPr>
          <w:rFonts w:ascii="Times New Roman" w:hAnsi="Times New Roman" w:cs="Times New Roman"/>
          <w:bCs/>
          <w:iCs/>
        </w:rPr>
        <w:t>(</w:t>
      </w:r>
      <w:r w:rsidR="00F61992" w:rsidRPr="00F61992">
        <w:rPr>
          <w:rFonts w:ascii="Times New Roman" w:hAnsi="Times New Roman" w:cs="Times New Roman"/>
          <w:b/>
          <w:iCs/>
        </w:rPr>
        <w:t>“Matsela"</w:t>
      </w:r>
      <w:r w:rsidR="00F61992">
        <w:rPr>
          <w:rFonts w:ascii="Times New Roman" w:hAnsi="Times New Roman" w:cs="Times New Roman"/>
          <w:bCs/>
          <w:iCs/>
        </w:rPr>
        <w:t xml:space="preserve">) </w:t>
      </w:r>
      <w:r w:rsidR="00F61992" w:rsidRPr="00F61992">
        <w:rPr>
          <w:rFonts w:ascii="Times New Roman" w:hAnsi="Times New Roman" w:cs="Times New Roman"/>
          <w:bCs/>
          <w:iCs/>
        </w:rPr>
        <w:t xml:space="preserve">was never authorised to act on behalf of the </w:t>
      </w:r>
      <w:r w:rsidR="00F61992">
        <w:rPr>
          <w:rFonts w:ascii="Times New Roman" w:hAnsi="Times New Roman" w:cs="Times New Roman"/>
          <w:bCs/>
          <w:iCs/>
        </w:rPr>
        <w:t>a</w:t>
      </w:r>
      <w:r w:rsidR="00F61992" w:rsidRPr="00F61992">
        <w:rPr>
          <w:rFonts w:ascii="Times New Roman" w:hAnsi="Times New Roman" w:cs="Times New Roman"/>
          <w:bCs/>
          <w:iCs/>
        </w:rPr>
        <w:t>ppellants and therefore his affidavit cannot be relied on to show whether reasons for postponement were fully canvassed, and wilful default cannot be measured through Matsela</w:t>
      </w:r>
      <w:r w:rsidR="00F61992">
        <w:rPr>
          <w:rFonts w:ascii="Times New Roman" w:hAnsi="Times New Roman" w:cs="Times New Roman"/>
          <w:bCs/>
          <w:iCs/>
        </w:rPr>
        <w:t>’</w:t>
      </w:r>
      <w:r w:rsidR="00F61992" w:rsidRPr="00F61992">
        <w:rPr>
          <w:rFonts w:ascii="Times New Roman" w:hAnsi="Times New Roman" w:cs="Times New Roman"/>
          <w:bCs/>
          <w:iCs/>
        </w:rPr>
        <w:t>s affidavit</w:t>
      </w:r>
      <w:r w:rsidR="00D50645">
        <w:rPr>
          <w:rFonts w:ascii="Times New Roman" w:hAnsi="Times New Roman" w:cs="Times New Roman"/>
          <w:bCs/>
          <w:iCs/>
        </w:rPr>
        <w:t>,</w:t>
      </w:r>
    </w:p>
    <w:p w14:paraId="31C3D714" w14:textId="206FB184" w:rsidR="00D50645"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t>T</w:t>
      </w:r>
      <w:r w:rsidR="00D50645" w:rsidRPr="00D50645">
        <w:rPr>
          <w:rFonts w:ascii="Times New Roman" w:hAnsi="Times New Roman" w:cs="Times New Roman"/>
          <w:bCs/>
          <w:iCs/>
        </w:rPr>
        <w:t xml:space="preserve">hat the </w:t>
      </w:r>
      <w:r w:rsidR="00D50645">
        <w:rPr>
          <w:rFonts w:ascii="Times New Roman" w:hAnsi="Times New Roman" w:cs="Times New Roman"/>
          <w:bCs/>
          <w:iCs/>
        </w:rPr>
        <w:t>a</w:t>
      </w:r>
      <w:r w:rsidR="00D50645" w:rsidRPr="00D50645">
        <w:rPr>
          <w:rFonts w:ascii="Times New Roman" w:hAnsi="Times New Roman" w:cs="Times New Roman"/>
          <w:bCs/>
          <w:iCs/>
        </w:rPr>
        <w:t xml:space="preserve">ppellants make bald, unsubstantiated statements, while failing to consider that the payments which are claimed date back to 2001, while the </w:t>
      </w:r>
      <w:r w:rsidR="00D50645">
        <w:rPr>
          <w:rFonts w:ascii="Times New Roman" w:hAnsi="Times New Roman" w:cs="Times New Roman"/>
          <w:bCs/>
          <w:iCs/>
        </w:rPr>
        <w:t>f</w:t>
      </w:r>
      <w:r w:rsidR="00D50645" w:rsidRPr="00D50645">
        <w:rPr>
          <w:rFonts w:ascii="Times New Roman" w:hAnsi="Times New Roman" w:cs="Times New Roman"/>
          <w:bCs/>
          <w:iCs/>
        </w:rPr>
        <w:t xml:space="preserve">irst </w:t>
      </w:r>
      <w:r w:rsidR="00D50645">
        <w:rPr>
          <w:rFonts w:ascii="Times New Roman" w:hAnsi="Times New Roman" w:cs="Times New Roman"/>
          <w:bCs/>
          <w:iCs/>
        </w:rPr>
        <w:t>r</w:t>
      </w:r>
      <w:r w:rsidR="00D50645" w:rsidRPr="00D50645">
        <w:rPr>
          <w:rFonts w:ascii="Times New Roman" w:hAnsi="Times New Roman" w:cs="Times New Roman"/>
          <w:bCs/>
          <w:iCs/>
        </w:rPr>
        <w:t>espondent was appointed as administrator in 2008 bu</w:t>
      </w:r>
      <w:r w:rsidR="00D50645">
        <w:rPr>
          <w:rFonts w:ascii="Times New Roman" w:hAnsi="Times New Roman" w:cs="Times New Roman"/>
          <w:bCs/>
          <w:iCs/>
        </w:rPr>
        <w:t xml:space="preserve">t </w:t>
      </w:r>
      <w:r w:rsidR="00D50645" w:rsidRPr="00D50645">
        <w:rPr>
          <w:rFonts w:ascii="Times New Roman" w:hAnsi="Times New Roman" w:cs="Times New Roman"/>
          <w:bCs/>
          <w:iCs/>
        </w:rPr>
        <w:t xml:space="preserve">only claimed </w:t>
      </w:r>
      <w:r w:rsidR="00D50645">
        <w:rPr>
          <w:rFonts w:ascii="Times New Roman" w:hAnsi="Times New Roman" w:cs="Times New Roman"/>
          <w:bCs/>
          <w:iCs/>
        </w:rPr>
        <w:t>t</w:t>
      </w:r>
      <w:r w:rsidR="00D50645" w:rsidRPr="00D50645">
        <w:rPr>
          <w:rFonts w:ascii="Times New Roman" w:hAnsi="Times New Roman" w:cs="Times New Roman"/>
          <w:bCs/>
          <w:iCs/>
        </w:rPr>
        <w:t>he amount owed in 2019, being 18</w:t>
      </w:r>
      <w:r w:rsidR="00D50645">
        <w:rPr>
          <w:rFonts w:ascii="Times New Roman" w:hAnsi="Times New Roman" w:cs="Times New Roman"/>
          <w:bCs/>
          <w:iCs/>
        </w:rPr>
        <w:t>n</w:t>
      </w:r>
      <w:r w:rsidR="00D50645" w:rsidRPr="00D50645">
        <w:rPr>
          <w:rFonts w:ascii="Times New Roman" w:hAnsi="Times New Roman" w:cs="Times New Roman"/>
          <w:bCs/>
          <w:iCs/>
        </w:rPr>
        <w:t xml:space="preserve">years later; and </w:t>
      </w:r>
    </w:p>
    <w:p w14:paraId="10E77F61" w14:textId="207D2ACB" w:rsidR="000A208C" w:rsidRPr="00DB1B17" w:rsidRDefault="00DE5671">
      <w:pPr>
        <w:pStyle w:val="ListParagraph"/>
        <w:numPr>
          <w:ilvl w:val="0"/>
          <w:numId w:val="3"/>
        </w:numPr>
        <w:spacing w:line="360" w:lineRule="auto"/>
        <w:jc w:val="both"/>
        <w:rPr>
          <w:rFonts w:ascii="Times New Roman" w:hAnsi="Times New Roman" w:cs="Times New Roman"/>
          <w:bCs/>
          <w:iCs/>
        </w:rPr>
      </w:pPr>
      <w:r>
        <w:rPr>
          <w:rFonts w:ascii="Times New Roman" w:hAnsi="Times New Roman" w:cs="Times New Roman"/>
          <w:bCs/>
          <w:iCs/>
        </w:rPr>
        <w:lastRenderedPageBreak/>
        <w:t xml:space="preserve">That </w:t>
      </w:r>
      <w:r w:rsidR="00D50645" w:rsidRPr="00D50645">
        <w:rPr>
          <w:rFonts w:ascii="Times New Roman" w:hAnsi="Times New Roman" w:cs="Times New Roman"/>
          <w:bCs/>
          <w:iCs/>
        </w:rPr>
        <w:t xml:space="preserve">the rescission applications </w:t>
      </w:r>
      <w:r>
        <w:rPr>
          <w:rFonts w:ascii="Times New Roman" w:hAnsi="Times New Roman" w:cs="Times New Roman"/>
          <w:bCs/>
          <w:iCs/>
        </w:rPr>
        <w:t xml:space="preserve">should be dismissed </w:t>
      </w:r>
      <w:r w:rsidR="00D50645" w:rsidRPr="00D50645">
        <w:rPr>
          <w:rFonts w:ascii="Times New Roman" w:hAnsi="Times New Roman" w:cs="Times New Roman"/>
          <w:bCs/>
          <w:iCs/>
        </w:rPr>
        <w:t>and ordering the Appellants to pay the costs of the applications, in circumstances where they have a bona fide defence</w:t>
      </w:r>
      <w:r w:rsidR="00D50645">
        <w:rPr>
          <w:rFonts w:ascii="Times New Roman" w:hAnsi="Times New Roman" w:cs="Times New Roman"/>
          <w:bCs/>
          <w:iCs/>
        </w:rPr>
        <w:t>.</w:t>
      </w:r>
    </w:p>
    <w:p w14:paraId="58520DE8" w14:textId="77777777" w:rsidR="00DE5671" w:rsidRDefault="00DE5671" w:rsidP="000A208C">
      <w:pPr>
        <w:pStyle w:val="ListParagraph"/>
        <w:spacing w:line="360" w:lineRule="auto"/>
        <w:ind w:left="0"/>
        <w:jc w:val="both"/>
        <w:rPr>
          <w:rFonts w:ascii="Times New Roman" w:hAnsi="Times New Roman" w:cs="Times New Roman"/>
          <w:b/>
          <w:i/>
        </w:rPr>
      </w:pPr>
    </w:p>
    <w:p w14:paraId="3F7EE241" w14:textId="0977E9D4" w:rsidR="000A208C" w:rsidRPr="000A208C" w:rsidRDefault="000A208C" w:rsidP="000A208C">
      <w:pPr>
        <w:pStyle w:val="ListParagraph"/>
        <w:spacing w:line="360" w:lineRule="auto"/>
        <w:ind w:left="0"/>
        <w:jc w:val="both"/>
        <w:rPr>
          <w:rFonts w:ascii="Times New Roman" w:hAnsi="Times New Roman" w:cs="Times New Roman"/>
          <w:b/>
          <w:i/>
        </w:rPr>
      </w:pPr>
      <w:r w:rsidRPr="000A208C">
        <w:rPr>
          <w:rFonts w:ascii="Times New Roman" w:hAnsi="Times New Roman" w:cs="Times New Roman"/>
          <w:b/>
          <w:i/>
        </w:rPr>
        <w:t xml:space="preserve">Condonation for late filing of </w:t>
      </w:r>
      <w:r>
        <w:rPr>
          <w:rFonts w:ascii="Times New Roman" w:hAnsi="Times New Roman" w:cs="Times New Roman"/>
          <w:b/>
          <w:i/>
        </w:rPr>
        <w:t>Appeal</w:t>
      </w:r>
    </w:p>
    <w:p w14:paraId="443130E9" w14:textId="66E98B9D" w:rsidR="0065517A" w:rsidRPr="00A71420" w:rsidRDefault="00D50645">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Counsel on behalf of the first respondent argued </w:t>
      </w:r>
      <w:r w:rsidR="00C7029B">
        <w:rPr>
          <w:rFonts w:ascii="Times New Roman" w:hAnsi="Times New Roman" w:cs="Times New Roman"/>
          <w:bCs/>
          <w:iCs/>
        </w:rPr>
        <w:t>for</w:t>
      </w:r>
      <w:r>
        <w:rPr>
          <w:rFonts w:ascii="Times New Roman" w:hAnsi="Times New Roman" w:cs="Times New Roman"/>
          <w:bCs/>
          <w:iCs/>
        </w:rPr>
        <w:t xml:space="preserve"> the dismissal of the appeal with costs.  The argument is </w:t>
      </w:r>
      <w:r w:rsidR="00AC1BD3">
        <w:rPr>
          <w:rFonts w:ascii="Times New Roman" w:hAnsi="Times New Roman" w:cs="Times New Roman"/>
          <w:bCs/>
          <w:iCs/>
        </w:rPr>
        <w:t xml:space="preserve">based </w:t>
      </w:r>
      <w:r>
        <w:rPr>
          <w:rFonts w:ascii="Times New Roman" w:hAnsi="Times New Roman" w:cs="Times New Roman"/>
          <w:bCs/>
          <w:iCs/>
        </w:rPr>
        <w:t xml:space="preserve">on the fact that the application for leave to appeal </w:t>
      </w:r>
      <w:r w:rsidR="00AC1BD3">
        <w:rPr>
          <w:rFonts w:ascii="Times New Roman" w:hAnsi="Times New Roman" w:cs="Times New Roman"/>
          <w:bCs/>
          <w:iCs/>
        </w:rPr>
        <w:t>was not brought within the time period as provided for in section 8</w:t>
      </w:r>
      <w:r w:rsidR="00650573">
        <w:rPr>
          <w:rFonts w:ascii="Times New Roman" w:hAnsi="Times New Roman" w:cs="Times New Roman"/>
          <w:bCs/>
          <w:iCs/>
        </w:rPr>
        <w:t>3</w:t>
      </w:r>
      <w:r w:rsidR="00DB1B17">
        <w:rPr>
          <w:rStyle w:val="FootnoteReference"/>
          <w:rFonts w:ascii="Times New Roman" w:hAnsi="Times New Roman" w:cs="Times New Roman"/>
          <w:bCs/>
          <w:iCs/>
        </w:rPr>
        <w:footnoteReference w:id="1"/>
      </w:r>
      <w:r w:rsidR="00650573">
        <w:rPr>
          <w:rFonts w:ascii="Times New Roman" w:hAnsi="Times New Roman" w:cs="Times New Roman"/>
          <w:bCs/>
          <w:iCs/>
        </w:rPr>
        <w:t xml:space="preserve"> </w:t>
      </w:r>
      <w:r w:rsidR="00AC1BD3">
        <w:rPr>
          <w:rFonts w:ascii="Times New Roman" w:hAnsi="Times New Roman" w:cs="Times New Roman"/>
          <w:bCs/>
          <w:iCs/>
        </w:rPr>
        <w:t xml:space="preserve">of the </w:t>
      </w:r>
      <w:r w:rsidR="00F84CDA">
        <w:rPr>
          <w:rFonts w:ascii="Times New Roman" w:hAnsi="Times New Roman" w:cs="Times New Roman"/>
          <w:bCs/>
          <w:iCs/>
        </w:rPr>
        <w:t>Magistrate</w:t>
      </w:r>
      <w:r w:rsidR="003E487B">
        <w:rPr>
          <w:rFonts w:ascii="Times New Roman" w:hAnsi="Times New Roman" w:cs="Times New Roman"/>
          <w:bCs/>
          <w:iCs/>
        </w:rPr>
        <w:t>s’</w:t>
      </w:r>
      <w:r w:rsidR="00F84CDA">
        <w:rPr>
          <w:rFonts w:ascii="Times New Roman" w:hAnsi="Times New Roman" w:cs="Times New Roman"/>
          <w:bCs/>
          <w:iCs/>
        </w:rPr>
        <w:t xml:space="preserve"> </w:t>
      </w:r>
      <w:r w:rsidR="00DB1B17">
        <w:rPr>
          <w:rFonts w:ascii="Times New Roman" w:hAnsi="Times New Roman" w:cs="Times New Roman"/>
          <w:bCs/>
          <w:iCs/>
        </w:rPr>
        <w:t>Act</w:t>
      </w:r>
      <w:r w:rsidR="00AC1BD3">
        <w:rPr>
          <w:rFonts w:ascii="Times New Roman" w:hAnsi="Times New Roman" w:cs="Times New Roman"/>
          <w:bCs/>
          <w:iCs/>
        </w:rPr>
        <w:t xml:space="preserve">.  Furthermore, that the appellants </w:t>
      </w:r>
      <w:r w:rsidR="002816B5">
        <w:rPr>
          <w:rFonts w:ascii="Times New Roman" w:hAnsi="Times New Roman" w:cs="Times New Roman"/>
          <w:bCs/>
          <w:iCs/>
        </w:rPr>
        <w:t xml:space="preserve">did not prosecute the appeal in accordance of </w:t>
      </w:r>
      <w:r w:rsidR="00AC1BD3">
        <w:rPr>
          <w:rFonts w:ascii="Times New Roman" w:hAnsi="Times New Roman" w:cs="Times New Roman"/>
          <w:bCs/>
          <w:iCs/>
        </w:rPr>
        <w:t>Rule 51of the Rules regulating procedures in the Magistrate</w:t>
      </w:r>
      <w:r w:rsidR="003E487B">
        <w:rPr>
          <w:rFonts w:ascii="Times New Roman" w:hAnsi="Times New Roman" w:cs="Times New Roman"/>
          <w:bCs/>
          <w:iCs/>
        </w:rPr>
        <w:t xml:space="preserve">s’ </w:t>
      </w:r>
      <w:r w:rsidR="00AC1BD3">
        <w:rPr>
          <w:rFonts w:ascii="Times New Roman" w:hAnsi="Times New Roman" w:cs="Times New Roman"/>
          <w:bCs/>
          <w:iCs/>
        </w:rPr>
        <w:t>Court.</w:t>
      </w:r>
      <w:r w:rsidR="00DB1B17">
        <w:rPr>
          <w:rFonts w:ascii="Times New Roman" w:hAnsi="Times New Roman" w:cs="Times New Roman"/>
          <w:bCs/>
          <w:iCs/>
        </w:rPr>
        <w:t xml:space="preserve"> </w:t>
      </w:r>
      <w:r w:rsidR="00DB1B17" w:rsidRPr="00A71420">
        <w:rPr>
          <w:rFonts w:ascii="Times New Roman" w:hAnsi="Times New Roman" w:cs="Times New Roman"/>
          <w:bCs/>
          <w:iCs/>
        </w:rPr>
        <w:t>(</w:t>
      </w:r>
      <w:r w:rsidR="00DB1B17" w:rsidRPr="00A71420">
        <w:rPr>
          <w:rFonts w:ascii="Times New Roman" w:hAnsi="Times New Roman" w:cs="Times New Roman"/>
          <w:iCs/>
        </w:rPr>
        <w:t>“the Rules”</w:t>
      </w:r>
      <w:r w:rsidR="00DB1B17" w:rsidRPr="00A71420">
        <w:rPr>
          <w:rFonts w:ascii="Times New Roman" w:hAnsi="Times New Roman" w:cs="Times New Roman"/>
          <w:bCs/>
          <w:iCs/>
        </w:rPr>
        <w:t>)</w:t>
      </w:r>
    </w:p>
    <w:p w14:paraId="53D67F07" w14:textId="77777777" w:rsidR="002816B5" w:rsidRPr="002816B5" w:rsidRDefault="002816B5" w:rsidP="002816B5">
      <w:pPr>
        <w:spacing w:line="360" w:lineRule="auto"/>
        <w:jc w:val="both"/>
        <w:rPr>
          <w:rFonts w:ascii="Times New Roman" w:hAnsi="Times New Roman" w:cs="Times New Roman"/>
          <w:bCs/>
          <w:iCs/>
        </w:rPr>
      </w:pPr>
    </w:p>
    <w:p w14:paraId="1F1D31B0" w14:textId="657FB221" w:rsidR="002816B5" w:rsidRDefault="002816B5">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first respondent argued that in compounding their difficulties, the appellants failed to seek condonation for the late filing of the appeal.</w:t>
      </w:r>
    </w:p>
    <w:p w14:paraId="5AEAD241" w14:textId="77777777" w:rsidR="000F0E1B" w:rsidRPr="000F0E1B" w:rsidRDefault="000F0E1B" w:rsidP="000F0E1B">
      <w:pPr>
        <w:pStyle w:val="ListParagraph"/>
        <w:rPr>
          <w:rFonts w:ascii="Times New Roman" w:hAnsi="Times New Roman" w:cs="Times New Roman"/>
          <w:bCs/>
          <w:iCs/>
        </w:rPr>
      </w:pPr>
    </w:p>
    <w:p w14:paraId="6EE178F9" w14:textId="0D85C1AA" w:rsidR="000F0E1B" w:rsidRDefault="000F0E1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Counsel for the appellants conceded that the noting of the appeal in the matter was filed late and therefore requested the court to condone the delay.  </w:t>
      </w:r>
      <w:r w:rsidR="003922F6">
        <w:rPr>
          <w:rFonts w:ascii="Times New Roman" w:hAnsi="Times New Roman" w:cs="Times New Roman"/>
          <w:bCs/>
          <w:iCs/>
        </w:rPr>
        <w:t>The appellants argued that due to financial constraints experienced</w:t>
      </w:r>
      <w:r w:rsidR="003E487B">
        <w:rPr>
          <w:rFonts w:ascii="Times New Roman" w:hAnsi="Times New Roman" w:cs="Times New Roman"/>
          <w:bCs/>
          <w:iCs/>
        </w:rPr>
        <w:t xml:space="preserve"> by the</w:t>
      </w:r>
      <w:r w:rsidR="00C15114">
        <w:rPr>
          <w:rFonts w:ascii="Times New Roman" w:hAnsi="Times New Roman" w:cs="Times New Roman"/>
          <w:bCs/>
          <w:iCs/>
        </w:rPr>
        <w:t>m</w:t>
      </w:r>
      <w:r w:rsidR="003E487B">
        <w:rPr>
          <w:rFonts w:ascii="Times New Roman" w:hAnsi="Times New Roman" w:cs="Times New Roman"/>
          <w:bCs/>
          <w:iCs/>
        </w:rPr>
        <w:t>,</w:t>
      </w:r>
      <w:r w:rsidR="003922F6">
        <w:rPr>
          <w:rFonts w:ascii="Times New Roman" w:hAnsi="Times New Roman" w:cs="Times New Roman"/>
          <w:bCs/>
          <w:iCs/>
        </w:rPr>
        <w:t xml:space="preserve"> which w</w:t>
      </w:r>
      <w:r w:rsidR="00C15114">
        <w:rPr>
          <w:rFonts w:ascii="Times New Roman" w:hAnsi="Times New Roman" w:cs="Times New Roman"/>
          <w:bCs/>
          <w:iCs/>
        </w:rPr>
        <w:t>as</w:t>
      </w:r>
      <w:r w:rsidR="003922F6">
        <w:rPr>
          <w:rFonts w:ascii="Times New Roman" w:hAnsi="Times New Roman" w:cs="Times New Roman"/>
          <w:bCs/>
          <w:iCs/>
        </w:rPr>
        <w:t xml:space="preserve"> further exacerbated by the Covid 19 pandemic</w:t>
      </w:r>
      <w:r w:rsidR="003E487B">
        <w:rPr>
          <w:rFonts w:ascii="Times New Roman" w:hAnsi="Times New Roman" w:cs="Times New Roman"/>
          <w:bCs/>
          <w:iCs/>
        </w:rPr>
        <w:t>,</w:t>
      </w:r>
      <w:r w:rsidR="003922F6">
        <w:rPr>
          <w:rFonts w:ascii="Times New Roman" w:hAnsi="Times New Roman" w:cs="Times New Roman"/>
          <w:bCs/>
          <w:iCs/>
        </w:rPr>
        <w:t xml:space="preserve"> impacted </w:t>
      </w:r>
      <w:r w:rsidR="003E487B">
        <w:rPr>
          <w:rFonts w:ascii="Times New Roman" w:hAnsi="Times New Roman" w:cs="Times New Roman"/>
          <w:bCs/>
          <w:iCs/>
        </w:rPr>
        <w:t>on the</w:t>
      </w:r>
      <w:r w:rsidR="00C15114">
        <w:rPr>
          <w:rFonts w:ascii="Times New Roman" w:hAnsi="Times New Roman" w:cs="Times New Roman"/>
          <w:bCs/>
          <w:iCs/>
        </w:rPr>
        <w:t>m</w:t>
      </w:r>
      <w:r w:rsidR="003E487B">
        <w:rPr>
          <w:rFonts w:ascii="Times New Roman" w:hAnsi="Times New Roman" w:cs="Times New Roman"/>
          <w:bCs/>
          <w:iCs/>
        </w:rPr>
        <w:t xml:space="preserve"> in not delivering the </w:t>
      </w:r>
      <w:r w:rsidR="003922F6">
        <w:rPr>
          <w:rFonts w:ascii="Times New Roman" w:hAnsi="Times New Roman" w:cs="Times New Roman"/>
          <w:bCs/>
          <w:iCs/>
        </w:rPr>
        <w:t>Notice of Appeal</w:t>
      </w:r>
      <w:r w:rsidR="003E487B">
        <w:rPr>
          <w:rFonts w:ascii="Times New Roman" w:hAnsi="Times New Roman" w:cs="Times New Roman"/>
          <w:bCs/>
          <w:iCs/>
        </w:rPr>
        <w:t xml:space="preserve"> </w:t>
      </w:r>
      <w:r w:rsidR="003922F6">
        <w:rPr>
          <w:rFonts w:ascii="Times New Roman" w:hAnsi="Times New Roman" w:cs="Times New Roman"/>
          <w:bCs/>
          <w:iCs/>
        </w:rPr>
        <w:t xml:space="preserve">timeously.  </w:t>
      </w:r>
    </w:p>
    <w:p w14:paraId="560C54C0" w14:textId="77777777" w:rsidR="003922F6" w:rsidRPr="003922F6" w:rsidRDefault="003922F6" w:rsidP="003922F6">
      <w:pPr>
        <w:pStyle w:val="ListParagraph"/>
        <w:rPr>
          <w:rFonts w:ascii="Times New Roman" w:hAnsi="Times New Roman" w:cs="Times New Roman"/>
          <w:bCs/>
          <w:iCs/>
        </w:rPr>
      </w:pPr>
    </w:p>
    <w:p w14:paraId="61535C64" w14:textId="07C7B283" w:rsidR="003922F6" w:rsidRDefault="003922F6">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appellants assert that if condonation is not granted </w:t>
      </w:r>
      <w:r w:rsidR="00BC7E3B">
        <w:rPr>
          <w:rFonts w:ascii="Times New Roman" w:hAnsi="Times New Roman" w:cs="Times New Roman"/>
          <w:bCs/>
          <w:iCs/>
        </w:rPr>
        <w:t xml:space="preserve">in the matter </w:t>
      </w:r>
      <w:r>
        <w:rPr>
          <w:rFonts w:ascii="Times New Roman" w:hAnsi="Times New Roman" w:cs="Times New Roman"/>
          <w:bCs/>
          <w:iCs/>
        </w:rPr>
        <w:t>the</w:t>
      </w:r>
      <w:r w:rsidR="00C15114">
        <w:rPr>
          <w:rFonts w:ascii="Times New Roman" w:hAnsi="Times New Roman" w:cs="Times New Roman"/>
          <w:bCs/>
          <w:iCs/>
        </w:rPr>
        <w:t>y</w:t>
      </w:r>
      <w:r>
        <w:rPr>
          <w:rFonts w:ascii="Times New Roman" w:hAnsi="Times New Roman" w:cs="Times New Roman"/>
          <w:bCs/>
          <w:iCs/>
        </w:rPr>
        <w:t xml:space="preserve"> will be </w:t>
      </w:r>
      <w:r w:rsidR="00887A86">
        <w:rPr>
          <w:rFonts w:ascii="Times New Roman" w:hAnsi="Times New Roman" w:cs="Times New Roman"/>
          <w:bCs/>
          <w:iCs/>
        </w:rPr>
        <w:t xml:space="preserve">denied their Constitutional </w:t>
      </w:r>
      <w:r w:rsidR="00C15114">
        <w:rPr>
          <w:rFonts w:ascii="Times New Roman" w:hAnsi="Times New Roman" w:cs="Times New Roman"/>
          <w:bCs/>
          <w:iCs/>
        </w:rPr>
        <w:t>r</w:t>
      </w:r>
      <w:r w:rsidR="00887A86">
        <w:rPr>
          <w:rFonts w:ascii="Times New Roman" w:hAnsi="Times New Roman" w:cs="Times New Roman"/>
          <w:bCs/>
          <w:iCs/>
        </w:rPr>
        <w:t xml:space="preserve">ight to approach the court for recourse </w:t>
      </w:r>
      <w:r w:rsidR="00BC7E3B">
        <w:rPr>
          <w:rFonts w:ascii="Times New Roman" w:hAnsi="Times New Roman" w:cs="Times New Roman"/>
          <w:bCs/>
          <w:iCs/>
        </w:rPr>
        <w:t>as the</w:t>
      </w:r>
      <w:r w:rsidR="00C15114">
        <w:rPr>
          <w:rFonts w:ascii="Times New Roman" w:hAnsi="Times New Roman" w:cs="Times New Roman"/>
          <w:bCs/>
          <w:iCs/>
        </w:rPr>
        <w:t>y</w:t>
      </w:r>
      <w:r w:rsidR="00BC7E3B">
        <w:rPr>
          <w:rFonts w:ascii="Times New Roman" w:hAnsi="Times New Roman" w:cs="Times New Roman"/>
          <w:bCs/>
          <w:iCs/>
        </w:rPr>
        <w:t xml:space="preserve"> have</w:t>
      </w:r>
      <w:r w:rsidR="00887A86">
        <w:rPr>
          <w:rFonts w:ascii="Times New Roman" w:hAnsi="Times New Roman" w:cs="Times New Roman"/>
          <w:bCs/>
          <w:iCs/>
        </w:rPr>
        <w:t xml:space="preserve"> a clear prospect of success if the appeal </w:t>
      </w:r>
      <w:r w:rsidR="00BC7E3B">
        <w:rPr>
          <w:rFonts w:ascii="Times New Roman" w:hAnsi="Times New Roman" w:cs="Times New Roman"/>
          <w:bCs/>
          <w:iCs/>
        </w:rPr>
        <w:t>succeed</w:t>
      </w:r>
      <w:r w:rsidR="00A71420">
        <w:rPr>
          <w:rFonts w:ascii="Times New Roman" w:hAnsi="Times New Roman" w:cs="Times New Roman"/>
          <w:bCs/>
          <w:iCs/>
        </w:rPr>
        <w:t>s</w:t>
      </w:r>
      <w:r w:rsidR="00887A86">
        <w:rPr>
          <w:rFonts w:ascii="Times New Roman" w:hAnsi="Times New Roman" w:cs="Times New Roman"/>
          <w:bCs/>
          <w:iCs/>
        </w:rPr>
        <w:t xml:space="preserve">.  Counsel therefore, </w:t>
      </w:r>
      <w:r w:rsidR="005A2C33">
        <w:rPr>
          <w:rFonts w:ascii="Times New Roman" w:hAnsi="Times New Roman" w:cs="Times New Roman"/>
          <w:bCs/>
          <w:iCs/>
        </w:rPr>
        <w:t xml:space="preserve">argued that condonation should be granted. </w:t>
      </w:r>
    </w:p>
    <w:p w14:paraId="6EFBF0DA" w14:textId="77777777" w:rsidR="002816B5" w:rsidRPr="002816B5" w:rsidRDefault="002816B5" w:rsidP="002816B5">
      <w:pPr>
        <w:pStyle w:val="ListParagraph"/>
        <w:rPr>
          <w:rFonts w:ascii="Times New Roman" w:hAnsi="Times New Roman" w:cs="Times New Roman"/>
          <w:bCs/>
          <w:iCs/>
        </w:rPr>
      </w:pPr>
    </w:p>
    <w:p w14:paraId="50A898D5" w14:textId="7BCB12EF" w:rsidR="002816B5" w:rsidRDefault="009A542D">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In </w:t>
      </w:r>
      <w:r>
        <w:rPr>
          <w:rFonts w:ascii="Times New Roman" w:hAnsi="Times New Roman" w:cs="Times New Roman"/>
          <w:bCs/>
          <w:i/>
        </w:rPr>
        <w:t>Dengetenge Holdings</w:t>
      </w:r>
      <w:r>
        <w:rPr>
          <w:rStyle w:val="FootnoteReference"/>
          <w:rFonts w:ascii="Times New Roman" w:hAnsi="Times New Roman" w:cs="Times New Roman"/>
          <w:bCs/>
          <w:i/>
        </w:rPr>
        <w:footnoteReference w:id="2"/>
      </w:r>
      <w:r>
        <w:rPr>
          <w:rFonts w:ascii="Times New Roman" w:hAnsi="Times New Roman" w:cs="Times New Roman"/>
          <w:bCs/>
          <w:iCs/>
        </w:rPr>
        <w:t xml:space="preserve"> Ponnan AJ held that factors relevant to the discretion to grant or refuse 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p>
    <w:p w14:paraId="453AC7EE" w14:textId="77777777" w:rsidR="005543AE" w:rsidRPr="005543AE" w:rsidRDefault="005543AE" w:rsidP="005543AE">
      <w:pPr>
        <w:pStyle w:val="ListParagraph"/>
        <w:rPr>
          <w:rFonts w:ascii="Times New Roman" w:hAnsi="Times New Roman" w:cs="Times New Roman"/>
          <w:bCs/>
          <w:iCs/>
        </w:rPr>
      </w:pPr>
    </w:p>
    <w:p w14:paraId="4841355C" w14:textId="027A78E6" w:rsidR="005543AE" w:rsidRPr="005543AE" w:rsidRDefault="005543A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 xml:space="preserve">Plewman JA in </w:t>
      </w:r>
      <w:r>
        <w:rPr>
          <w:rFonts w:ascii="Times New Roman" w:hAnsi="Times New Roman" w:cs="Times New Roman"/>
          <w:bCs/>
          <w:i/>
        </w:rPr>
        <w:t>Daries v Sheriff Magistrate’s Court, Wynberg and Another</w:t>
      </w:r>
      <w:r>
        <w:rPr>
          <w:rStyle w:val="FootnoteReference"/>
          <w:rFonts w:ascii="Times New Roman" w:hAnsi="Times New Roman" w:cs="Times New Roman"/>
          <w:bCs/>
          <w:i/>
        </w:rPr>
        <w:footnoteReference w:id="3"/>
      </w:r>
      <w:r>
        <w:rPr>
          <w:rFonts w:ascii="Times New Roman" w:hAnsi="Times New Roman" w:cs="Times New Roman"/>
          <w:bCs/>
          <w:i/>
        </w:rPr>
        <w:t xml:space="preserve"> </w:t>
      </w:r>
      <w:r>
        <w:rPr>
          <w:rFonts w:ascii="Times New Roman" w:hAnsi="Times New Roman" w:cs="Times New Roman"/>
          <w:bCs/>
          <w:iCs/>
        </w:rPr>
        <w:t>stated the following:</w:t>
      </w:r>
    </w:p>
    <w:p w14:paraId="18CE9545" w14:textId="333004B1" w:rsidR="005543AE" w:rsidRPr="005A2C33" w:rsidRDefault="005543AE" w:rsidP="005A2C33">
      <w:pPr>
        <w:spacing w:before="100" w:beforeAutospacing="1" w:after="100" w:afterAutospacing="1" w:line="360" w:lineRule="auto"/>
        <w:ind w:left="567"/>
        <w:jc w:val="both"/>
        <w:rPr>
          <w:rFonts w:ascii="Times New Roman" w:eastAsia="Times New Roman" w:hAnsi="Times New Roman" w:cs="Times New Roman"/>
          <w:lang w:val="en-ZA" w:eastAsia="en-GB"/>
        </w:rPr>
      </w:pPr>
      <w:r>
        <w:rPr>
          <w:rFonts w:ascii="Times New Roman" w:eastAsia="Times New Roman" w:hAnsi="Times New Roman" w:cs="Times New Roman"/>
          <w:sz w:val="22"/>
          <w:szCs w:val="22"/>
          <w:lang w:val="en-ZA" w:eastAsia="en-GB"/>
        </w:rPr>
        <w:t>“</w:t>
      </w:r>
      <w:r w:rsidRPr="005543AE">
        <w:rPr>
          <w:rFonts w:ascii="Times New Roman" w:eastAsia="Times New Roman" w:hAnsi="Times New Roman" w:cs="Times New Roman"/>
          <w:sz w:val="22"/>
          <w:szCs w:val="22"/>
          <w:lang w:val="en-ZA" w:eastAsia="en-GB"/>
        </w:rPr>
        <w:t>Condonation of the non-observance of the rules of this court is not a mere formality. In all cases, some acceptable explanation, not only of, for example, the delay in noting the appeal, but also, where this is the case, any delay in seeking condonation, must be given. An appellant should whenever he realises that he has not complied with a rule of court apply for condonation as soon as possible. Nor should it simply be assumed that, where non-compliance was due entirely to the neglect of the appellants’ attorney that condonation will be granted. In applications of this sort the applicants’ prospects of success are in general an important though not decisive consideration. When application is made for condonation it is advisable that the petition should set forth briefly and succinctly such essential information as may enable the Court to assess the appellant’s prospects of success. But appellant’s prospect of success is but one of the factors relevant to the exercise of the court’s discretion, unless the cumulative effect of the other relevant factors in the case is such as to render the application for condonation obviously unworthy of consideration. Where non-observance of the Rules has been flagrant and gross an application for condonation should not be granted, whatever the prospects of success might be</w:t>
      </w:r>
      <w:r>
        <w:rPr>
          <w:rFonts w:ascii="Times New Roman" w:eastAsia="Times New Roman" w:hAnsi="Times New Roman" w:cs="Times New Roman"/>
          <w:sz w:val="22"/>
          <w:szCs w:val="22"/>
          <w:lang w:val="en-ZA" w:eastAsia="en-GB"/>
        </w:rPr>
        <w:t>.”</w:t>
      </w:r>
      <w:r>
        <w:rPr>
          <w:rStyle w:val="FootnoteReference"/>
          <w:rFonts w:ascii="Times New Roman" w:eastAsia="Times New Roman" w:hAnsi="Times New Roman" w:cs="Times New Roman"/>
          <w:sz w:val="22"/>
          <w:szCs w:val="22"/>
          <w:lang w:val="en-ZA" w:eastAsia="en-GB"/>
        </w:rPr>
        <w:footnoteReference w:id="4"/>
      </w:r>
      <w:r w:rsidRPr="005543AE">
        <w:rPr>
          <w:rFonts w:ascii="Times New Roman" w:eastAsia="Times New Roman" w:hAnsi="Times New Roman" w:cs="Times New Roman"/>
          <w:sz w:val="22"/>
          <w:szCs w:val="22"/>
          <w:lang w:val="en-ZA" w:eastAsia="en-GB"/>
        </w:rPr>
        <w:t xml:space="preserve"> </w:t>
      </w:r>
    </w:p>
    <w:p w14:paraId="6C9808A7" w14:textId="77777777" w:rsidR="005543AE" w:rsidRPr="005543AE" w:rsidRDefault="005543AE" w:rsidP="005543AE">
      <w:pPr>
        <w:pStyle w:val="ListParagraph"/>
        <w:rPr>
          <w:rFonts w:ascii="Times New Roman" w:hAnsi="Times New Roman" w:cs="Times New Roman"/>
          <w:bCs/>
          <w:iCs/>
        </w:rPr>
      </w:pPr>
    </w:p>
    <w:p w14:paraId="5F5F7854" w14:textId="2AF38881" w:rsidR="005543AE" w:rsidRDefault="009829A0">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Constitutional Court in </w:t>
      </w:r>
      <w:r>
        <w:rPr>
          <w:rFonts w:ascii="Times New Roman" w:hAnsi="Times New Roman" w:cs="Times New Roman"/>
          <w:bCs/>
          <w:i/>
        </w:rPr>
        <w:t>Brummer v Gorfil Brothers Investments (Pty) Ltd</w:t>
      </w:r>
      <w:r>
        <w:rPr>
          <w:rStyle w:val="FootnoteReference"/>
          <w:rFonts w:ascii="Times New Roman" w:hAnsi="Times New Roman" w:cs="Times New Roman"/>
          <w:bCs/>
          <w:i/>
        </w:rPr>
        <w:footnoteReference w:id="5"/>
      </w:r>
      <w:r w:rsidR="009A3741">
        <w:rPr>
          <w:rFonts w:ascii="Times New Roman" w:hAnsi="Times New Roman" w:cs="Times New Roman"/>
          <w:bCs/>
          <w:i/>
        </w:rPr>
        <w:t xml:space="preserve"> </w:t>
      </w:r>
      <w:r>
        <w:rPr>
          <w:rFonts w:ascii="Times New Roman" w:hAnsi="Times New Roman" w:cs="Times New Roman"/>
          <w:bCs/>
          <w:iCs/>
        </w:rPr>
        <w:t xml:space="preserve">pointed out that an application for condonation should be granted if it is in the interests of justice and refused if it is not.  </w:t>
      </w:r>
      <w:r w:rsidR="00C15114">
        <w:rPr>
          <w:rFonts w:ascii="Times New Roman" w:hAnsi="Times New Roman" w:cs="Times New Roman"/>
          <w:bCs/>
          <w:iCs/>
        </w:rPr>
        <w:t xml:space="preserve">It also held </w:t>
      </w:r>
      <w:r>
        <w:rPr>
          <w:rFonts w:ascii="Times New Roman" w:hAnsi="Times New Roman" w:cs="Times New Roman"/>
          <w:bCs/>
          <w:iCs/>
        </w:rPr>
        <w:t>that the interest</w:t>
      </w:r>
      <w:r w:rsidR="00C15114">
        <w:rPr>
          <w:rFonts w:ascii="Times New Roman" w:hAnsi="Times New Roman" w:cs="Times New Roman"/>
          <w:bCs/>
          <w:iCs/>
        </w:rPr>
        <w:t>s</w:t>
      </w:r>
      <w:r>
        <w:rPr>
          <w:rFonts w:ascii="Times New Roman" w:hAnsi="Times New Roman" w:cs="Times New Roman"/>
          <w:bCs/>
          <w:iCs/>
        </w:rPr>
        <w:t xml:space="preserve"> of justice must be determined by reference to all relevant factors</w:t>
      </w:r>
      <w:r w:rsidR="00C15114">
        <w:rPr>
          <w:rFonts w:ascii="Times New Roman" w:hAnsi="Times New Roman" w:cs="Times New Roman"/>
          <w:bCs/>
          <w:iCs/>
        </w:rPr>
        <w:t xml:space="preserve"> as</w:t>
      </w:r>
      <w:r>
        <w:rPr>
          <w:rFonts w:ascii="Times New Roman" w:hAnsi="Times New Roman" w:cs="Times New Roman"/>
          <w:bCs/>
          <w:iCs/>
        </w:rPr>
        <w:t xml:space="preserve"> outlined in </w:t>
      </w:r>
      <w:r>
        <w:rPr>
          <w:rFonts w:ascii="Times New Roman" w:hAnsi="Times New Roman" w:cs="Times New Roman"/>
          <w:bCs/>
          <w:i/>
        </w:rPr>
        <w:t>Melane</w:t>
      </w:r>
      <w:r>
        <w:rPr>
          <w:rFonts w:ascii="Times New Roman" w:hAnsi="Times New Roman" w:cs="Times New Roman"/>
          <w:bCs/>
          <w:iCs/>
        </w:rPr>
        <w:t>,</w:t>
      </w:r>
      <w:r w:rsidR="00F5509D">
        <w:rPr>
          <w:rStyle w:val="FootnoteReference"/>
          <w:rFonts w:ascii="Times New Roman" w:hAnsi="Times New Roman" w:cs="Times New Roman"/>
          <w:bCs/>
          <w:iCs/>
        </w:rPr>
        <w:footnoteReference w:id="6"/>
      </w:r>
      <w:r w:rsidR="00150163">
        <w:rPr>
          <w:rFonts w:ascii="Times New Roman" w:hAnsi="Times New Roman" w:cs="Times New Roman"/>
          <w:bCs/>
          <w:iCs/>
        </w:rPr>
        <w:t xml:space="preserve"> i</w:t>
      </w:r>
      <w:r>
        <w:rPr>
          <w:rFonts w:ascii="Times New Roman" w:hAnsi="Times New Roman" w:cs="Times New Roman"/>
          <w:bCs/>
          <w:iCs/>
        </w:rPr>
        <w:t>ncluding the nature of the relief sought, the nature and cause of any other defect in respect of which condonation is sought, and the effect of the delay on the administration of justice.</w:t>
      </w:r>
      <w:r>
        <w:rPr>
          <w:rStyle w:val="FootnoteReference"/>
          <w:rFonts w:ascii="Times New Roman" w:hAnsi="Times New Roman" w:cs="Times New Roman"/>
          <w:bCs/>
          <w:iCs/>
        </w:rPr>
        <w:footnoteReference w:id="7"/>
      </w:r>
    </w:p>
    <w:p w14:paraId="6191D4BE" w14:textId="77777777" w:rsidR="00263E93" w:rsidRDefault="00263E93" w:rsidP="00263E93">
      <w:pPr>
        <w:pStyle w:val="ListParagraph"/>
        <w:spacing w:line="360" w:lineRule="auto"/>
        <w:ind w:left="567"/>
        <w:jc w:val="both"/>
        <w:rPr>
          <w:rFonts w:ascii="Times New Roman" w:hAnsi="Times New Roman" w:cs="Times New Roman"/>
          <w:bCs/>
          <w:iCs/>
        </w:rPr>
      </w:pPr>
    </w:p>
    <w:p w14:paraId="3B50CAE4" w14:textId="0EBA0A68" w:rsidR="00263E93" w:rsidRDefault="00263E93">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appellants did not file an application for condonation in the matter.  The issue was canvassed during argument in court.  A proper case must be made out for condonation.  On an overall conspectus of all the fact</w:t>
      </w:r>
      <w:r w:rsidR="00FD4B02">
        <w:rPr>
          <w:rFonts w:ascii="Times New Roman" w:hAnsi="Times New Roman" w:cs="Times New Roman"/>
          <w:bCs/>
          <w:iCs/>
        </w:rPr>
        <w:t>s, good cause has been shown for the granting of condonation and it would be in the interest</w:t>
      </w:r>
      <w:r w:rsidR="00C15114">
        <w:rPr>
          <w:rFonts w:ascii="Times New Roman" w:hAnsi="Times New Roman" w:cs="Times New Roman"/>
          <w:bCs/>
          <w:iCs/>
        </w:rPr>
        <w:t>s</w:t>
      </w:r>
      <w:r w:rsidR="00FD4B02">
        <w:rPr>
          <w:rFonts w:ascii="Times New Roman" w:hAnsi="Times New Roman" w:cs="Times New Roman"/>
          <w:bCs/>
          <w:iCs/>
        </w:rPr>
        <w:t xml:space="preserve"> of justice to grant condonation.  It is evident in the matter that the appellants had the intention to appeal against the judgment of </w:t>
      </w:r>
      <w:r w:rsidR="00FD4B02">
        <w:rPr>
          <w:rFonts w:ascii="Times New Roman" w:hAnsi="Times New Roman" w:cs="Times New Roman"/>
          <w:bCs/>
          <w:iCs/>
        </w:rPr>
        <w:lastRenderedPageBreak/>
        <w:t>Magistrate Graf as early as 21 December 2020.  The reasons provided by the appellants for the delay a</w:t>
      </w:r>
      <w:r w:rsidR="00C15114">
        <w:rPr>
          <w:rFonts w:ascii="Times New Roman" w:hAnsi="Times New Roman" w:cs="Times New Roman"/>
          <w:bCs/>
          <w:iCs/>
        </w:rPr>
        <w:t xml:space="preserve">re </w:t>
      </w:r>
      <w:r w:rsidR="00FD4B02">
        <w:rPr>
          <w:rFonts w:ascii="Times New Roman" w:hAnsi="Times New Roman" w:cs="Times New Roman"/>
          <w:bCs/>
          <w:iCs/>
        </w:rPr>
        <w:t>reasonable in the circumstances.</w:t>
      </w:r>
    </w:p>
    <w:p w14:paraId="10A9563D" w14:textId="77777777" w:rsidR="00FD4B02" w:rsidRPr="00FD4B02" w:rsidRDefault="00FD4B02" w:rsidP="00FD4B02">
      <w:pPr>
        <w:pStyle w:val="ListParagraph"/>
        <w:rPr>
          <w:rFonts w:ascii="Times New Roman" w:hAnsi="Times New Roman" w:cs="Times New Roman"/>
          <w:bCs/>
          <w:iCs/>
        </w:rPr>
      </w:pPr>
    </w:p>
    <w:p w14:paraId="500FFEA8" w14:textId="68AF36FD" w:rsidR="00FD4B02" w:rsidRDefault="00FD4B02">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Therefore, condonation for the late filing of the appeal is granted.</w:t>
      </w:r>
    </w:p>
    <w:p w14:paraId="2C8F3BD3" w14:textId="5F688CFA" w:rsidR="00C54FAE" w:rsidRDefault="00C54FAE" w:rsidP="00FD4B02">
      <w:pPr>
        <w:pStyle w:val="ListParagraph"/>
        <w:spacing w:line="360" w:lineRule="auto"/>
        <w:ind w:left="567"/>
        <w:jc w:val="both"/>
        <w:rPr>
          <w:rFonts w:ascii="Times New Roman" w:hAnsi="Times New Roman" w:cs="Times New Roman"/>
          <w:bCs/>
          <w:iCs/>
        </w:rPr>
      </w:pPr>
    </w:p>
    <w:p w14:paraId="3E11AFDC" w14:textId="39CE6DBA" w:rsidR="000A208C" w:rsidRPr="000A208C" w:rsidRDefault="00F42D68" w:rsidP="000A208C">
      <w:pPr>
        <w:spacing w:line="360" w:lineRule="auto"/>
        <w:jc w:val="both"/>
        <w:rPr>
          <w:rFonts w:ascii="Times New Roman" w:hAnsi="Times New Roman" w:cs="Times New Roman"/>
          <w:b/>
          <w:i/>
        </w:rPr>
      </w:pPr>
      <w:r>
        <w:rPr>
          <w:rFonts w:ascii="Times New Roman" w:hAnsi="Times New Roman" w:cs="Times New Roman"/>
          <w:b/>
          <w:i/>
        </w:rPr>
        <w:t>Evaluation</w:t>
      </w:r>
    </w:p>
    <w:p w14:paraId="20A9E008" w14:textId="11ABB89A" w:rsidR="00C54FAE" w:rsidRDefault="000022F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crux of the matter pertains to the question as to whether the court </w:t>
      </w:r>
      <w:r>
        <w:rPr>
          <w:rFonts w:ascii="Times New Roman" w:hAnsi="Times New Roman" w:cs="Times New Roman"/>
          <w:bCs/>
          <w:i/>
        </w:rPr>
        <w:t>a quo</w:t>
      </w:r>
      <w:r>
        <w:rPr>
          <w:rFonts w:ascii="Times New Roman" w:hAnsi="Times New Roman" w:cs="Times New Roman"/>
          <w:bCs/>
          <w:iCs/>
        </w:rPr>
        <w:t xml:space="preserve"> erred in</w:t>
      </w:r>
      <w:r>
        <w:rPr>
          <w:rFonts w:ascii="Times New Roman" w:hAnsi="Times New Roman" w:cs="Times New Roman"/>
          <w:bCs/>
          <w:i/>
        </w:rPr>
        <w:t xml:space="preserve"> </w:t>
      </w:r>
      <w:r>
        <w:rPr>
          <w:rFonts w:ascii="Times New Roman" w:hAnsi="Times New Roman" w:cs="Times New Roman"/>
          <w:bCs/>
          <w:iCs/>
        </w:rPr>
        <w:t xml:space="preserve">its application </w:t>
      </w:r>
      <w:r w:rsidR="00CD191A">
        <w:rPr>
          <w:rFonts w:ascii="Times New Roman" w:hAnsi="Times New Roman" w:cs="Times New Roman"/>
          <w:bCs/>
          <w:iCs/>
        </w:rPr>
        <w:t>of the principles to rescind the judgments granted against the appellants.</w:t>
      </w:r>
    </w:p>
    <w:p w14:paraId="03D5984F" w14:textId="77777777" w:rsidR="00CD191A" w:rsidRPr="00CD191A" w:rsidRDefault="00CD191A" w:rsidP="00CD191A">
      <w:pPr>
        <w:spacing w:line="360" w:lineRule="auto"/>
        <w:jc w:val="both"/>
        <w:rPr>
          <w:rFonts w:ascii="Times New Roman" w:hAnsi="Times New Roman" w:cs="Times New Roman"/>
          <w:bCs/>
          <w:iCs/>
        </w:rPr>
      </w:pPr>
    </w:p>
    <w:p w14:paraId="78F76D37" w14:textId="3ADF41DE" w:rsidR="00CD191A" w:rsidRDefault="00CD191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In order to succeed in rescinding a judgment, an applicant is required to show good and sufficient cause.</w:t>
      </w:r>
      <w:r>
        <w:rPr>
          <w:rStyle w:val="FootnoteReference"/>
          <w:rFonts w:ascii="Times New Roman" w:hAnsi="Times New Roman" w:cs="Times New Roman"/>
          <w:bCs/>
          <w:iCs/>
        </w:rPr>
        <w:footnoteReference w:id="8"/>
      </w:r>
    </w:p>
    <w:p w14:paraId="21EEA29D" w14:textId="609DADFE" w:rsidR="00CD191A" w:rsidRPr="0076243E" w:rsidRDefault="00CD191A" w:rsidP="0076243E">
      <w:pPr>
        <w:spacing w:line="360" w:lineRule="auto"/>
        <w:jc w:val="both"/>
        <w:rPr>
          <w:rFonts w:ascii="Times New Roman" w:hAnsi="Times New Roman" w:cs="Times New Roman"/>
          <w:bCs/>
          <w:iCs/>
        </w:rPr>
      </w:pPr>
    </w:p>
    <w:p w14:paraId="488AF565" w14:textId="77777777" w:rsidR="00F5509D" w:rsidRDefault="0076243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requirements for rescission of a default judgment are twofold.  First, the applicant must furnish a reasonable and satisfactory explanation for his</w:t>
      </w:r>
      <w:r w:rsidR="0036176E">
        <w:rPr>
          <w:rFonts w:ascii="Times New Roman" w:hAnsi="Times New Roman" w:cs="Times New Roman"/>
          <w:bCs/>
          <w:iCs/>
        </w:rPr>
        <w:t xml:space="preserve"> </w:t>
      </w:r>
      <w:r>
        <w:rPr>
          <w:rFonts w:ascii="Times New Roman" w:hAnsi="Times New Roman" w:cs="Times New Roman"/>
          <w:bCs/>
          <w:iCs/>
        </w:rPr>
        <w:t xml:space="preserve">default.  Second, he must show on the merits </w:t>
      </w:r>
      <w:r w:rsidR="0036176E">
        <w:rPr>
          <w:rFonts w:ascii="Times New Roman" w:hAnsi="Times New Roman" w:cs="Times New Roman"/>
          <w:bCs/>
          <w:iCs/>
        </w:rPr>
        <w:t>he</w:t>
      </w:r>
      <w:r>
        <w:rPr>
          <w:rFonts w:ascii="Times New Roman" w:hAnsi="Times New Roman" w:cs="Times New Roman"/>
          <w:bCs/>
          <w:iCs/>
        </w:rPr>
        <w:t xml:space="preserve"> has a </w:t>
      </w:r>
      <w:r>
        <w:rPr>
          <w:rFonts w:ascii="Times New Roman" w:hAnsi="Times New Roman" w:cs="Times New Roman"/>
          <w:bCs/>
          <w:i/>
        </w:rPr>
        <w:t>bona fide</w:t>
      </w:r>
      <w:r>
        <w:rPr>
          <w:rFonts w:ascii="Times New Roman" w:hAnsi="Times New Roman" w:cs="Times New Roman"/>
          <w:bCs/>
          <w:iCs/>
        </w:rPr>
        <w:t xml:space="preserve"> defence which </w:t>
      </w:r>
      <w:r w:rsidRPr="0076243E">
        <w:rPr>
          <w:rFonts w:ascii="Times New Roman" w:hAnsi="Times New Roman" w:cs="Times New Roman"/>
          <w:bCs/>
          <w:i/>
        </w:rPr>
        <w:t>prima facie</w:t>
      </w:r>
      <w:r>
        <w:rPr>
          <w:rFonts w:ascii="Times New Roman" w:hAnsi="Times New Roman" w:cs="Times New Roman"/>
          <w:bCs/>
          <w:iCs/>
        </w:rPr>
        <w:t xml:space="preserve"> carries some prospect of success.  Proof of these requirements is taken as showing that there is sufficient cause for an order to be rescinded.  </w:t>
      </w:r>
      <w:r w:rsidR="0036176E">
        <w:rPr>
          <w:rFonts w:ascii="Times New Roman" w:hAnsi="Times New Roman" w:cs="Times New Roman"/>
          <w:bCs/>
          <w:iCs/>
        </w:rPr>
        <w:t>A failure to meet one of them may result in refusal of the request to rescind.</w:t>
      </w:r>
      <w:r w:rsidR="00F5509D">
        <w:rPr>
          <w:rStyle w:val="FootnoteReference"/>
          <w:rFonts w:ascii="Times New Roman" w:hAnsi="Times New Roman" w:cs="Times New Roman"/>
          <w:bCs/>
          <w:iCs/>
        </w:rPr>
        <w:footnoteReference w:id="9"/>
      </w:r>
      <w:r w:rsidR="0036176E">
        <w:rPr>
          <w:rFonts w:ascii="Times New Roman" w:hAnsi="Times New Roman" w:cs="Times New Roman"/>
          <w:bCs/>
          <w:iCs/>
        </w:rPr>
        <w:t xml:space="preserve"> </w:t>
      </w:r>
      <w:r w:rsidR="00F5509D">
        <w:rPr>
          <w:rFonts w:ascii="Times New Roman" w:hAnsi="Times New Roman" w:cs="Times New Roman"/>
          <w:bCs/>
          <w:iCs/>
        </w:rPr>
        <w:t xml:space="preserve"> </w:t>
      </w:r>
    </w:p>
    <w:p w14:paraId="15F4F272" w14:textId="77777777" w:rsidR="00F5509D" w:rsidRPr="00F5509D" w:rsidRDefault="00F5509D" w:rsidP="00F5509D">
      <w:pPr>
        <w:pStyle w:val="ListParagraph"/>
        <w:rPr>
          <w:rFonts w:ascii="Times New Roman" w:hAnsi="Times New Roman" w:cs="Times New Roman"/>
          <w:bCs/>
          <w:iCs/>
        </w:rPr>
      </w:pPr>
    </w:p>
    <w:p w14:paraId="55FF2159" w14:textId="2D4D8C7D" w:rsidR="00C54FAE" w:rsidRDefault="0036176E">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However, it is not sufficient if only one of these two requirements is met, for oblivious reasons a party showing no prospect of success on the merits will fail in an application for rescission of a default judgment against him, no matter how reasonable and convincing the explanation of his default.</w:t>
      </w:r>
      <w:r w:rsidR="00F5509D">
        <w:rPr>
          <w:rStyle w:val="FootnoteReference"/>
          <w:rFonts w:ascii="Times New Roman" w:hAnsi="Times New Roman" w:cs="Times New Roman"/>
          <w:bCs/>
          <w:iCs/>
        </w:rPr>
        <w:footnoteReference w:id="10"/>
      </w:r>
    </w:p>
    <w:p w14:paraId="57FA5C67" w14:textId="77777777" w:rsidR="00150163" w:rsidRPr="00150163" w:rsidRDefault="00150163" w:rsidP="00150163">
      <w:pPr>
        <w:rPr>
          <w:rFonts w:ascii="Times New Roman" w:eastAsia="Times New Roman" w:hAnsi="Times New Roman" w:cs="Times New Roman"/>
          <w:lang w:val="en-ZA" w:eastAsia="en-GB"/>
        </w:rPr>
      </w:pPr>
    </w:p>
    <w:p w14:paraId="19D1220E" w14:textId="41B561D2" w:rsidR="00150163" w:rsidRPr="00150163" w:rsidRDefault="00150163">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In </w:t>
      </w:r>
      <w:r>
        <w:rPr>
          <w:rFonts w:ascii="Times New Roman" w:hAnsi="Times New Roman" w:cs="Times New Roman"/>
          <w:bCs/>
          <w:i/>
        </w:rPr>
        <w:t>Colyn</w:t>
      </w:r>
      <w:r w:rsidR="00C15114" w:rsidRPr="00C15114">
        <w:rPr>
          <w:rStyle w:val="FootnoteReference"/>
          <w:rFonts w:ascii="Times New Roman" w:hAnsi="Times New Roman" w:cs="Times New Roman"/>
          <w:bCs/>
          <w:iCs/>
        </w:rPr>
        <w:footnoteReference w:id="11"/>
      </w:r>
      <w:r w:rsidRPr="00C15114">
        <w:rPr>
          <w:rFonts w:ascii="Times New Roman" w:hAnsi="Times New Roman" w:cs="Times New Roman"/>
          <w:bCs/>
          <w:iCs/>
        </w:rPr>
        <w:t xml:space="preserve"> t</w:t>
      </w:r>
      <w:r>
        <w:rPr>
          <w:rFonts w:ascii="Times New Roman" w:hAnsi="Times New Roman" w:cs="Times New Roman"/>
          <w:bCs/>
          <w:iCs/>
        </w:rPr>
        <w:t>he court held as follows:</w:t>
      </w:r>
    </w:p>
    <w:p w14:paraId="4AAEBA3C" w14:textId="7A249845" w:rsidR="00150163" w:rsidRDefault="00150163" w:rsidP="00D50ECC">
      <w:pPr>
        <w:pStyle w:val="ListParagraph"/>
        <w:spacing w:after="165" w:line="360" w:lineRule="auto"/>
        <w:jc w:val="both"/>
        <w:rPr>
          <w:rFonts w:ascii="Times New Roman" w:eastAsia="Times New Roman" w:hAnsi="Times New Roman" w:cs="Times New Roman"/>
          <w:color w:val="4A4A4A"/>
          <w:sz w:val="22"/>
          <w:szCs w:val="22"/>
          <w:lang w:val="en-ZA" w:eastAsia="en-GB"/>
        </w:rPr>
      </w:pPr>
      <w:r w:rsidRPr="00150163">
        <w:rPr>
          <w:rFonts w:ascii="Times New Roman" w:eastAsia="Times New Roman" w:hAnsi="Times New Roman" w:cs="Times New Roman"/>
          <w:color w:val="4A4A4A"/>
          <w:sz w:val="22"/>
          <w:szCs w:val="22"/>
          <w:lang w:val="en-ZA" w:eastAsia="en-GB"/>
        </w:rPr>
        <w:t xml:space="preserve">“[12] </w:t>
      </w:r>
      <w:r>
        <w:rPr>
          <w:rFonts w:ascii="Times New Roman" w:eastAsia="Times New Roman" w:hAnsi="Times New Roman" w:cs="Times New Roman"/>
          <w:color w:val="4A4A4A"/>
          <w:sz w:val="22"/>
          <w:szCs w:val="22"/>
          <w:lang w:val="en-ZA" w:eastAsia="en-GB"/>
        </w:rPr>
        <w:t>…</w:t>
      </w:r>
      <w:r w:rsidRPr="00150163">
        <w:rPr>
          <w:rFonts w:ascii="Times New Roman" w:eastAsia="Times New Roman" w:hAnsi="Times New Roman" w:cs="Times New Roman"/>
          <w:color w:val="4A4A4A"/>
          <w:sz w:val="22"/>
          <w:szCs w:val="22"/>
          <w:lang w:val="en-ZA" w:eastAsia="en-GB"/>
        </w:rPr>
        <w:t xml:space="preserve"> Even if one takes a benign view, the inadequacy of this explanation may well justify a refusal of rescission on that account unless, perhaps, the weak explanation is cancelled out by the defendant being able to put up a bona fide defence which has not merely some prospect, but a good prospect of success (</w:t>
      </w:r>
      <w:r w:rsidRPr="00150163">
        <w:rPr>
          <w:rFonts w:ascii="Times New Roman" w:eastAsia="Times New Roman" w:hAnsi="Times New Roman" w:cs="Times New Roman"/>
          <w:i/>
          <w:iCs/>
          <w:color w:val="4A4A4A"/>
          <w:sz w:val="22"/>
          <w:szCs w:val="22"/>
          <w:lang w:val="en-ZA" w:eastAsia="en-GB"/>
        </w:rPr>
        <w:t>Melane v Santam Insurance Co Ltd</w:t>
      </w:r>
      <w:r w:rsidRPr="00150163">
        <w:rPr>
          <w:rFonts w:ascii="Times New Roman" w:eastAsia="Times New Roman" w:hAnsi="Times New Roman" w:cs="Times New Roman"/>
          <w:color w:val="4A4A4A"/>
          <w:sz w:val="22"/>
          <w:szCs w:val="22"/>
          <w:lang w:val="en-ZA" w:eastAsia="en-GB"/>
        </w:rPr>
        <w:t>).” </w:t>
      </w:r>
    </w:p>
    <w:p w14:paraId="68F28321" w14:textId="77777777" w:rsidR="00D50ECC" w:rsidRPr="00D50ECC" w:rsidRDefault="00D50ECC" w:rsidP="00D50ECC">
      <w:pPr>
        <w:pStyle w:val="ListParagraph"/>
        <w:spacing w:after="165" w:line="360" w:lineRule="auto"/>
        <w:jc w:val="both"/>
        <w:rPr>
          <w:rFonts w:ascii="Times New Roman" w:eastAsia="Times New Roman" w:hAnsi="Times New Roman" w:cs="Times New Roman"/>
          <w:color w:val="4A4A4A"/>
          <w:sz w:val="21"/>
          <w:szCs w:val="21"/>
          <w:lang w:val="en-ZA" w:eastAsia="en-GB"/>
        </w:rPr>
      </w:pPr>
    </w:p>
    <w:p w14:paraId="34FE0AEC" w14:textId="5A3955D6" w:rsidR="000D4AF6" w:rsidRPr="00DA4C0B" w:rsidRDefault="00FB38ED">
      <w:pPr>
        <w:pStyle w:val="ListParagraph"/>
        <w:numPr>
          <w:ilvl w:val="0"/>
          <w:numId w:val="2"/>
        </w:numPr>
        <w:spacing w:line="360" w:lineRule="auto"/>
        <w:ind w:left="567" w:hanging="567"/>
        <w:jc w:val="both"/>
        <w:rPr>
          <w:rFonts w:ascii="Times New Roman" w:eastAsia="Times New Roman" w:hAnsi="Times New Roman" w:cs="Times New Roman"/>
          <w:lang w:val="en-ZA" w:eastAsia="en-GB"/>
        </w:rPr>
      </w:pPr>
      <w:r>
        <w:rPr>
          <w:rFonts w:ascii="Times New Roman" w:hAnsi="Times New Roman" w:cs="Times New Roman"/>
          <w:bCs/>
          <w:iCs/>
        </w:rPr>
        <w:t xml:space="preserve">Undoubtedly, the appellants failed to maintain contact with their </w:t>
      </w:r>
      <w:r w:rsidR="000D4AF6">
        <w:rPr>
          <w:rFonts w:ascii="Times New Roman" w:hAnsi="Times New Roman" w:cs="Times New Roman"/>
          <w:bCs/>
          <w:iCs/>
        </w:rPr>
        <w:t xml:space="preserve">previous </w:t>
      </w:r>
      <w:r>
        <w:rPr>
          <w:rFonts w:ascii="Times New Roman" w:hAnsi="Times New Roman" w:cs="Times New Roman"/>
          <w:bCs/>
          <w:iCs/>
        </w:rPr>
        <w:t xml:space="preserve">attorney appointed to defend the summonses issued by the first respondent and served on them by </w:t>
      </w:r>
      <w:r>
        <w:rPr>
          <w:rFonts w:ascii="Times New Roman" w:hAnsi="Times New Roman" w:cs="Times New Roman"/>
          <w:bCs/>
          <w:iCs/>
        </w:rPr>
        <w:lastRenderedPageBreak/>
        <w:t xml:space="preserve">the second respondent </w:t>
      </w:r>
      <w:r w:rsidR="007F337F">
        <w:rPr>
          <w:rFonts w:ascii="Times New Roman" w:hAnsi="Times New Roman" w:cs="Times New Roman"/>
          <w:bCs/>
          <w:iCs/>
        </w:rPr>
        <w:t xml:space="preserve">during 2019.  </w:t>
      </w:r>
      <w:r w:rsidR="000D4AF6">
        <w:rPr>
          <w:rFonts w:ascii="Times New Roman" w:hAnsi="Times New Roman" w:cs="Times New Roman"/>
          <w:bCs/>
          <w:iCs/>
        </w:rPr>
        <w:t>We are alive to case law in this regard.</w:t>
      </w:r>
      <w:r w:rsidR="000D4AF6" w:rsidRPr="000D4AF6">
        <w:rPr>
          <w:rFonts w:ascii="Times New Roman" w:hAnsi="Times New Roman" w:cs="Times New Roman"/>
          <w:color w:val="242121"/>
          <w:lang w:val="en-US"/>
        </w:rPr>
        <w:t xml:space="preserve"> </w:t>
      </w:r>
      <w:r w:rsidR="007207BF">
        <w:rPr>
          <w:rFonts w:ascii="Times New Roman" w:hAnsi="Times New Roman" w:cs="Times New Roman"/>
          <w:color w:val="242121"/>
          <w:lang w:val="en-US"/>
        </w:rPr>
        <w:t xml:space="preserve">The case law is clear and </w:t>
      </w:r>
      <w:r w:rsidR="000D4AF6" w:rsidRPr="00DA4C0B">
        <w:rPr>
          <w:rFonts w:ascii="Times New Roman" w:hAnsi="Times New Roman" w:cs="Times New Roman"/>
          <w:color w:val="242121"/>
          <w:lang w:val="en-US"/>
        </w:rPr>
        <w:t>in the</w:t>
      </w:r>
      <w:r w:rsidR="000D4AF6" w:rsidRPr="00DA4C0B">
        <w:rPr>
          <w:rStyle w:val="apple-converted-space"/>
          <w:rFonts w:ascii="Times New Roman" w:hAnsi="Times New Roman" w:cs="Times New Roman"/>
          <w:color w:val="242121"/>
          <w:lang w:val="en-US"/>
        </w:rPr>
        <w:t> </w:t>
      </w:r>
      <w:r w:rsidR="000D4AF6" w:rsidRPr="00DA4C0B">
        <w:rPr>
          <w:rFonts w:ascii="Times New Roman" w:hAnsi="Times New Roman" w:cs="Times New Roman"/>
          <w:i/>
          <w:iCs/>
          <w:color w:val="242121"/>
          <w:lang w:val="en-US"/>
        </w:rPr>
        <w:t>Superb Meat Supplies CC v Maritz</w:t>
      </w:r>
      <w:r w:rsidR="000D4AF6">
        <w:rPr>
          <w:rStyle w:val="FootnoteReference"/>
          <w:rFonts w:ascii="Times New Roman" w:hAnsi="Times New Roman" w:cs="Times New Roman"/>
          <w:i/>
          <w:iCs/>
          <w:color w:val="242121"/>
          <w:lang w:val="en-US"/>
        </w:rPr>
        <w:footnoteReference w:id="12"/>
      </w:r>
      <w:r w:rsidR="000D4AF6">
        <w:rPr>
          <w:rFonts w:ascii="Times New Roman" w:hAnsi="Times New Roman" w:cs="Times New Roman"/>
          <w:color w:val="242121"/>
          <w:lang w:val="en-US"/>
        </w:rPr>
        <w:t xml:space="preserve">  said the following:</w:t>
      </w:r>
    </w:p>
    <w:p w14:paraId="442868B9" w14:textId="5FDF1874" w:rsidR="00743D10" w:rsidRPr="00670541" w:rsidRDefault="000D4AF6" w:rsidP="00670541">
      <w:pPr>
        <w:pStyle w:val="NormalWeb"/>
        <w:spacing w:before="144" w:beforeAutospacing="0" w:after="119" w:afterAutospacing="0" w:line="360" w:lineRule="auto"/>
        <w:ind w:left="539"/>
        <w:jc w:val="both"/>
        <w:rPr>
          <w:color w:val="242121"/>
          <w:sz w:val="22"/>
          <w:szCs w:val="22"/>
          <w:lang w:val="en-US"/>
        </w:rPr>
      </w:pPr>
      <w:r w:rsidRPr="00042684">
        <w:rPr>
          <w:color w:val="242121"/>
          <w:sz w:val="22"/>
          <w:szCs w:val="22"/>
        </w:rPr>
        <w:t>“</w:t>
      </w:r>
      <w:r w:rsidRPr="00042684">
        <w:rPr>
          <w:color w:val="242121"/>
          <w:sz w:val="22"/>
          <w:szCs w:val="22"/>
          <w:lang w:val="en-US"/>
        </w:rPr>
        <w:t>In this court and the Supreme Court of Appeal there have been frequently repeated judicial warnings that there is a limit beyond which a litigant cannot escape the results of his attorney’s lack of diligence of the insufficiency of the explanation tendered. It has never been the law that invariably a litigant will be excused if the blame lies with the attorney. To hold otherwise might have a disastrous effect upon the observance of the rules of this court and set a dangerous precedent. It would invite and encourage laxity on the part of practitioners.”</w:t>
      </w:r>
      <w:r w:rsidRPr="00042684">
        <w:rPr>
          <w:rStyle w:val="apple-converted-space"/>
          <w:color w:val="242121"/>
          <w:sz w:val="22"/>
          <w:szCs w:val="22"/>
          <w:lang w:val="en-US"/>
        </w:rPr>
        <w:t> </w:t>
      </w:r>
    </w:p>
    <w:p w14:paraId="00E0D405" w14:textId="77777777" w:rsidR="007F337F" w:rsidRDefault="007F337F" w:rsidP="007F337F">
      <w:pPr>
        <w:pStyle w:val="ListParagraph"/>
        <w:spacing w:line="360" w:lineRule="auto"/>
        <w:ind w:left="567"/>
        <w:jc w:val="both"/>
        <w:rPr>
          <w:rFonts w:ascii="Times New Roman" w:hAnsi="Times New Roman" w:cs="Times New Roman"/>
          <w:bCs/>
          <w:iCs/>
        </w:rPr>
      </w:pPr>
    </w:p>
    <w:p w14:paraId="59B3E090" w14:textId="10D229ED" w:rsidR="00B006E8" w:rsidRDefault="007F337F">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Be that as it </w:t>
      </w:r>
      <w:r w:rsidR="007207BF">
        <w:rPr>
          <w:rFonts w:ascii="Times New Roman" w:hAnsi="Times New Roman" w:cs="Times New Roman"/>
          <w:bCs/>
          <w:iCs/>
        </w:rPr>
        <w:t>may, in</w:t>
      </w:r>
      <w:r w:rsidR="00670541">
        <w:rPr>
          <w:rFonts w:ascii="Times New Roman" w:hAnsi="Times New Roman" w:cs="Times New Roman"/>
          <w:bCs/>
          <w:iCs/>
        </w:rPr>
        <w:t xml:space="preserve"> this matter </w:t>
      </w:r>
      <w:r w:rsidR="005352F1">
        <w:rPr>
          <w:rFonts w:ascii="Times New Roman" w:hAnsi="Times New Roman" w:cs="Times New Roman"/>
          <w:bCs/>
          <w:iCs/>
        </w:rPr>
        <w:t xml:space="preserve">the appellants </w:t>
      </w:r>
      <w:r w:rsidR="00670541">
        <w:rPr>
          <w:rFonts w:ascii="Times New Roman" w:hAnsi="Times New Roman" w:cs="Times New Roman"/>
          <w:bCs/>
          <w:iCs/>
        </w:rPr>
        <w:t>based the</w:t>
      </w:r>
      <w:r w:rsidR="007207BF">
        <w:rPr>
          <w:rFonts w:ascii="Times New Roman" w:hAnsi="Times New Roman" w:cs="Times New Roman"/>
          <w:bCs/>
          <w:iCs/>
        </w:rPr>
        <w:t>ir</w:t>
      </w:r>
      <w:r w:rsidR="00670541">
        <w:rPr>
          <w:rFonts w:ascii="Times New Roman" w:hAnsi="Times New Roman" w:cs="Times New Roman"/>
          <w:bCs/>
          <w:iCs/>
        </w:rPr>
        <w:t xml:space="preserve"> application squarely on the fact </w:t>
      </w:r>
      <w:r w:rsidR="005352F1">
        <w:rPr>
          <w:rFonts w:ascii="Times New Roman" w:hAnsi="Times New Roman" w:cs="Times New Roman"/>
          <w:bCs/>
          <w:iCs/>
        </w:rPr>
        <w:t xml:space="preserve">that the amounts set out in the levy statements provided by the first respondent on which the default judgments were granted are </w:t>
      </w:r>
      <w:r w:rsidR="007207BF">
        <w:rPr>
          <w:rFonts w:ascii="Times New Roman" w:hAnsi="Times New Roman" w:cs="Times New Roman"/>
          <w:bCs/>
          <w:iCs/>
        </w:rPr>
        <w:t>wrong</w:t>
      </w:r>
      <w:r w:rsidR="005352F1">
        <w:rPr>
          <w:rFonts w:ascii="Times New Roman" w:hAnsi="Times New Roman" w:cs="Times New Roman"/>
          <w:bCs/>
          <w:iCs/>
        </w:rPr>
        <w:t>.  Counsel on their behalf</w:t>
      </w:r>
      <w:r w:rsidR="007207BF">
        <w:rPr>
          <w:rFonts w:ascii="Times New Roman" w:hAnsi="Times New Roman" w:cs="Times New Roman"/>
          <w:bCs/>
          <w:iCs/>
        </w:rPr>
        <w:t xml:space="preserve"> submitted</w:t>
      </w:r>
      <w:r w:rsidR="005352F1">
        <w:rPr>
          <w:rFonts w:ascii="Times New Roman" w:hAnsi="Times New Roman" w:cs="Times New Roman"/>
          <w:bCs/>
          <w:iCs/>
        </w:rPr>
        <w:t xml:space="preserve"> further </w:t>
      </w:r>
      <w:r w:rsidR="007207BF">
        <w:rPr>
          <w:rFonts w:ascii="Times New Roman" w:hAnsi="Times New Roman" w:cs="Times New Roman"/>
          <w:bCs/>
          <w:iCs/>
        </w:rPr>
        <w:t xml:space="preserve">that there was </w:t>
      </w:r>
      <w:r w:rsidR="005352F1">
        <w:rPr>
          <w:rFonts w:ascii="Times New Roman" w:hAnsi="Times New Roman" w:cs="Times New Roman"/>
          <w:bCs/>
          <w:iCs/>
        </w:rPr>
        <w:t>mis</w:t>
      </w:r>
      <w:r w:rsidR="00B006E8">
        <w:rPr>
          <w:rFonts w:ascii="Times New Roman" w:hAnsi="Times New Roman" w:cs="Times New Roman"/>
          <w:bCs/>
          <w:iCs/>
        </w:rPr>
        <w:t xml:space="preserve">conduct on part of the managing agent, the first respondent.  </w:t>
      </w:r>
      <w:r w:rsidR="007207BF">
        <w:rPr>
          <w:rFonts w:ascii="Times New Roman" w:hAnsi="Times New Roman" w:cs="Times New Roman"/>
          <w:bCs/>
          <w:iCs/>
        </w:rPr>
        <w:t xml:space="preserve">The allegations of misconduct </w:t>
      </w:r>
      <w:r w:rsidR="0083132F">
        <w:rPr>
          <w:rFonts w:ascii="Times New Roman" w:hAnsi="Times New Roman" w:cs="Times New Roman"/>
          <w:bCs/>
          <w:iCs/>
        </w:rPr>
        <w:t>are</w:t>
      </w:r>
      <w:r w:rsidR="007207BF">
        <w:rPr>
          <w:rFonts w:ascii="Times New Roman" w:hAnsi="Times New Roman" w:cs="Times New Roman"/>
          <w:bCs/>
          <w:iCs/>
        </w:rPr>
        <w:t xml:space="preserve"> a foundational </w:t>
      </w:r>
      <w:r w:rsidR="008B0724">
        <w:rPr>
          <w:rFonts w:ascii="Times New Roman" w:hAnsi="Times New Roman" w:cs="Times New Roman"/>
          <w:bCs/>
          <w:iCs/>
        </w:rPr>
        <w:t>consideration</w:t>
      </w:r>
      <w:r w:rsidR="007207BF">
        <w:rPr>
          <w:rFonts w:ascii="Times New Roman" w:hAnsi="Times New Roman" w:cs="Times New Roman"/>
          <w:bCs/>
          <w:iCs/>
        </w:rPr>
        <w:t xml:space="preserve"> in this </w:t>
      </w:r>
      <w:r w:rsidR="008B0724">
        <w:rPr>
          <w:rFonts w:ascii="Times New Roman" w:hAnsi="Times New Roman" w:cs="Times New Roman"/>
          <w:bCs/>
          <w:iCs/>
        </w:rPr>
        <w:t>judgment.</w:t>
      </w:r>
    </w:p>
    <w:p w14:paraId="78B74E46" w14:textId="77777777" w:rsidR="000454A5" w:rsidRDefault="000454A5" w:rsidP="000454A5">
      <w:pPr>
        <w:pStyle w:val="ListParagraph"/>
        <w:spacing w:line="360" w:lineRule="auto"/>
        <w:ind w:left="567"/>
        <w:jc w:val="both"/>
        <w:rPr>
          <w:rFonts w:ascii="Times New Roman" w:hAnsi="Times New Roman" w:cs="Times New Roman"/>
          <w:bCs/>
          <w:iCs/>
        </w:rPr>
      </w:pPr>
    </w:p>
    <w:p w14:paraId="05295B60" w14:textId="2FDA47E5" w:rsidR="000454A5" w:rsidRDefault="000454A5">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appellants further alleged that the first respondent since his appointment as administrator of the </w:t>
      </w:r>
      <w:r w:rsidR="0083132F">
        <w:rPr>
          <w:rFonts w:ascii="Times New Roman" w:hAnsi="Times New Roman" w:cs="Times New Roman"/>
          <w:bCs/>
          <w:iCs/>
        </w:rPr>
        <w:t>B</w:t>
      </w:r>
      <w:r>
        <w:rPr>
          <w:rFonts w:ascii="Times New Roman" w:hAnsi="Times New Roman" w:cs="Times New Roman"/>
          <w:bCs/>
          <w:iCs/>
        </w:rPr>
        <w:t xml:space="preserve">ody </w:t>
      </w:r>
      <w:r w:rsidR="0083132F">
        <w:rPr>
          <w:rFonts w:ascii="Times New Roman" w:hAnsi="Times New Roman" w:cs="Times New Roman"/>
          <w:bCs/>
          <w:iCs/>
        </w:rPr>
        <w:t>C</w:t>
      </w:r>
      <w:r>
        <w:rPr>
          <w:rFonts w:ascii="Times New Roman" w:hAnsi="Times New Roman" w:cs="Times New Roman"/>
          <w:bCs/>
          <w:iCs/>
        </w:rPr>
        <w:t>orporate never demanded outstanding levies</w:t>
      </w:r>
      <w:r w:rsidR="00800500">
        <w:rPr>
          <w:rFonts w:ascii="Times New Roman" w:hAnsi="Times New Roman" w:cs="Times New Roman"/>
          <w:bCs/>
          <w:iCs/>
        </w:rPr>
        <w:t>, such w</w:t>
      </w:r>
      <w:r w:rsidR="0083132F">
        <w:rPr>
          <w:rFonts w:ascii="Times New Roman" w:hAnsi="Times New Roman" w:cs="Times New Roman"/>
          <w:bCs/>
          <w:iCs/>
        </w:rPr>
        <w:t>ere</w:t>
      </w:r>
      <w:r w:rsidR="00800500">
        <w:rPr>
          <w:rFonts w:ascii="Times New Roman" w:hAnsi="Times New Roman" w:cs="Times New Roman"/>
          <w:bCs/>
          <w:iCs/>
        </w:rPr>
        <w:t xml:space="preserve"> only demanded in 2019 after his third appointment as administrator.  The appellants assert the outstanding amounts were created to punish those who opposed his appointment.</w:t>
      </w:r>
    </w:p>
    <w:p w14:paraId="08ED33B5" w14:textId="77777777" w:rsidR="00800500" w:rsidRPr="00800500" w:rsidRDefault="00800500" w:rsidP="00800500">
      <w:pPr>
        <w:pStyle w:val="ListParagraph"/>
        <w:rPr>
          <w:rFonts w:ascii="Times New Roman" w:hAnsi="Times New Roman" w:cs="Times New Roman"/>
          <w:bCs/>
          <w:iCs/>
        </w:rPr>
      </w:pPr>
    </w:p>
    <w:p w14:paraId="4F3A80A1" w14:textId="020FA79D" w:rsidR="009F2BEC" w:rsidRDefault="00800500">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allegation that the first respondent appointed his own companies to run the affairs of the Body Corporate</w:t>
      </w:r>
      <w:r w:rsidR="009F2BEC">
        <w:rPr>
          <w:rFonts w:ascii="Times New Roman" w:hAnsi="Times New Roman" w:cs="Times New Roman"/>
          <w:bCs/>
          <w:iCs/>
        </w:rPr>
        <w:t xml:space="preserve"> and therefore indicate a conflict of interest is of concern to this court.</w:t>
      </w:r>
    </w:p>
    <w:p w14:paraId="126571DD" w14:textId="77777777" w:rsidR="009F2BEC" w:rsidRPr="009F2BEC" w:rsidRDefault="009F2BEC" w:rsidP="009F2BEC">
      <w:pPr>
        <w:pStyle w:val="ListParagraph"/>
        <w:rPr>
          <w:rFonts w:ascii="Times New Roman" w:hAnsi="Times New Roman" w:cs="Times New Roman"/>
          <w:bCs/>
          <w:iCs/>
        </w:rPr>
      </w:pPr>
    </w:p>
    <w:p w14:paraId="6A98F49E" w14:textId="7A1889BF" w:rsidR="00800500" w:rsidRDefault="009F2BEC">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Counsel for the appellants during argument referred the court to the judgment </w:t>
      </w:r>
      <w:r w:rsidR="0083132F">
        <w:rPr>
          <w:rFonts w:ascii="Times New Roman" w:hAnsi="Times New Roman" w:cs="Times New Roman"/>
          <w:bCs/>
          <w:iCs/>
        </w:rPr>
        <w:t>o</w:t>
      </w:r>
      <w:r>
        <w:rPr>
          <w:rFonts w:ascii="Times New Roman" w:hAnsi="Times New Roman" w:cs="Times New Roman"/>
          <w:bCs/>
          <w:iCs/>
        </w:rPr>
        <w:t>f Mia J in case number 30565/2020 where it was ordered that the first respondent</w:t>
      </w:r>
      <w:r w:rsidR="00017D90">
        <w:rPr>
          <w:rFonts w:ascii="Times New Roman" w:hAnsi="Times New Roman" w:cs="Times New Roman"/>
          <w:bCs/>
          <w:iCs/>
        </w:rPr>
        <w:t>’</w:t>
      </w:r>
      <w:r>
        <w:rPr>
          <w:rFonts w:ascii="Times New Roman" w:hAnsi="Times New Roman" w:cs="Times New Roman"/>
          <w:bCs/>
          <w:iCs/>
        </w:rPr>
        <w:t>s conduct should be investigated.</w:t>
      </w:r>
      <w:r w:rsidR="00800500">
        <w:rPr>
          <w:rFonts w:ascii="Times New Roman" w:hAnsi="Times New Roman" w:cs="Times New Roman"/>
          <w:bCs/>
          <w:iCs/>
        </w:rPr>
        <w:t xml:space="preserve"> </w:t>
      </w:r>
    </w:p>
    <w:p w14:paraId="64BAE959" w14:textId="77777777" w:rsidR="00B006E8" w:rsidRPr="00B006E8" w:rsidRDefault="00B006E8" w:rsidP="00B006E8">
      <w:pPr>
        <w:pStyle w:val="ListParagraph"/>
        <w:rPr>
          <w:rFonts w:ascii="Times New Roman" w:hAnsi="Times New Roman" w:cs="Times New Roman"/>
          <w:bCs/>
          <w:iCs/>
        </w:rPr>
      </w:pPr>
    </w:p>
    <w:p w14:paraId="215B8636" w14:textId="73239F8C" w:rsidR="00D50ECC" w:rsidRDefault="00B006E8">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During argument on behalf of the first respondent counsel conceded that the statements provided are lacking </w:t>
      </w:r>
      <w:r w:rsidR="008B0724">
        <w:rPr>
          <w:rFonts w:ascii="Times New Roman" w:hAnsi="Times New Roman" w:cs="Times New Roman"/>
          <w:bCs/>
          <w:iCs/>
        </w:rPr>
        <w:t xml:space="preserve">in detail </w:t>
      </w:r>
      <w:r>
        <w:rPr>
          <w:rFonts w:ascii="Times New Roman" w:hAnsi="Times New Roman" w:cs="Times New Roman"/>
          <w:bCs/>
          <w:iCs/>
        </w:rPr>
        <w:t>with regard to the period wherein it was alleged that the appellants defaulted on the</w:t>
      </w:r>
      <w:r w:rsidR="00EF1D7B">
        <w:rPr>
          <w:rFonts w:ascii="Times New Roman" w:hAnsi="Times New Roman" w:cs="Times New Roman"/>
          <w:bCs/>
          <w:iCs/>
        </w:rPr>
        <w:t>ir</w:t>
      </w:r>
      <w:r>
        <w:rPr>
          <w:rFonts w:ascii="Times New Roman" w:hAnsi="Times New Roman" w:cs="Times New Roman"/>
          <w:bCs/>
          <w:iCs/>
        </w:rPr>
        <w:t xml:space="preserve"> obligations.  However, the first respondent argued that </w:t>
      </w:r>
      <w:r w:rsidR="00EF1D7B">
        <w:rPr>
          <w:rFonts w:ascii="Times New Roman" w:hAnsi="Times New Roman" w:cs="Times New Roman"/>
          <w:bCs/>
          <w:iCs/>
        </w:rPr>
        <w:t>the appellants</w:t>
      </w:r>
      <w:r>
        <w:rPr>
          <w:rFonts w:ascii="Times New Roman" w:hAnsi="Times New Roman" w:cs="Times New Roman"/>
          <w:bCs/>
          <w:iCs/>
        </w:rPr>
        <w:t xml:space="preserve"> </w:t>
      </w:r>
      <w:r w:rsidR="00EF1D7B">
        <w:rPr>
          <w:rFonts w:ascii="Times New Roman" w:hAnsi="Times New Roman" w:cs="Times New Roman"/>
          <w:bCs/>
          <w:iCs/>
        </w:rPr>
        <w:t>were under</w:t>
      </w:r>
      <w:r w:rsidR="008B0724">
        <w:rPr>
          <w:rFonts w:ascii="Times New Roman" w:hAnsi="Times New Roman" w:cs="Times New Roman"/>
          <w:bCs/>
          <w:iCs/>
        </w:rPr>
        <w:t xml:space="preserve"> an</w:t>
      </w:r>
      <w:r w:rsidR="00EF1D7B">
        <w:rPr>
          <w:rFonts w:ascii="Times New Roman" w:hAnsi="Times New Roman" w:cs="Times New Roman"/>
          <w:bCs/>
          <w:iCs/>
        </w:rPr>
        <w:t xml:space="preserve"> obligation to clearly state on which dates or periods payments were made in order for the first respondent to supplement their papers.  Therefore, the </w:t>
      </w:r>
      <w:r w:rsidR="00EF1D7B">
        <w:rPr>
          <w:rFonts w:ascii="Times New Roman" w:hAnsi="Times New Roman" w:cs="Times New Roman"/>
          <w:bCs/>
          <w:iCs/>
        </w:rPr>
        <w:lastRenderedPageBreak/>
        <w:t>first respondent asserts that the averment by the appellants is a bare denial which is unsubstantiated and unparticularised.</w:t>
      </w:r>
    </w:p>
    <w:p w14:paraId="01DC9C53" w14:textId="77777777" w:rsidR="00EF1D7B" w:rsidRPr="00EF1D7B" w:rsidRDefault="00EF1D7B" w:rsidP="00EF1D7B">
      <w:pPr>
        <w:pStyle w:val="ListParagraph"/>
        <w:rPr>
          <w:rFonts w:ascii="Times New Roman" w:hAnsi="Times New Roman" w:cs="Times New Roman"/>
          <w:bCs/>
          <w:iCs/>
        </w:rPr>
      </w:pPr>
    </w:p>
    <w:p w14:paraId="4CC021C7" w14:textId="0624538C" w:rsidR="00EF1D7B" w:rsidRDefault="00535BC5">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This is not a tr</w:t>
      </w:r>
      <w:r w:rsidR="008B0724">
        <w:rPr>
          <w:rFonts w:ascii="Times New Roman" w:hAnsi="Times New Roman" w:cs="Times New Roman"/>
          <w:bCs/>
          <w:iCs/>
        </w:rPr>
        <w:t>ial</w:t>
      </w:r>
      <w:r>
        <w:rPr>
          <w:rFonts w:ascii="Times New Roman" w:hAnsi="Times New Roman" w:cs="Times New Roman"/>
          <w:bCs/>
          <w:iCs/>
        </w:rPr>
        <w:t xml:space="preserve"> court and it is therefore difficult to determine matters relating to outstanding amounts due to the first respondent.  It must be noted, that the appellants have to establish that they have a potential or arguable defence on the merits of the matter.</w:t>
      </w:r>
    </w:p>
    <w:p w14:paraId="6A314075" w14:textId="77777777" w:rsidR="00D011EF" w:rsidRPr="00D011EF" w:rsidRDefault="00D011EF" w:rsidP="00D011EF">
      <w:pPr>
        <w:pStyle w:val="ListParagraph"/>
        <w:rPr>
          <w:rFonts w:ascii="Times New Roman" w:hAnsi="Times New Roman" w:cs="Times New Roman"/>
          <w:bCs/>
          <w:iCs/>
        </w:rPr>
      </w:pPr>
    </w:p>
    <w:p w14:paraId="30F2B5B2" w14:textId="2727F952" w:rsidR="00D011EF" w:rsidRDefault="00D011EF">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overarching purpose of</w:t>
      </w:r>
      <w:r w:rsidR="008B0724">
        <w:rPr>
          <w:rFonts w:ascii="Times New Roman" w:hAnsi="Times New Roman" w:cs="Times New Roman"/>
          <w:bCs/>
          <w:iCs/>
        </w:rPr>
        <w:t xml:space="preserve"> a</w:t>
      </w:r>
      <w:r>
        <w:rPr>
          <w:rFonts w:ascii="Times New Roman" w:hAnsi="Times New Roman" w:cs="Times New Roman"/>
          <w:bCs/>
          <w:iCs/>
        </w:rPr>
        <w:t xml:space="preserve"> rescission</w:t>
      </w:r>
      <w:r w:rsidR="008B0724">
        <w:rPr>
          <w:rFonts w:ascii="Times New Roman" w:hAnsi="Times New Roman" w:cs="Times New Roman"/>
          <w:bCs/>
          <w:iCs/>
        </w:rPr>
        <w:t xml:space="preserve"> application</w:t>
      </w:r>
      <w:r>
        <w:rPr>
          <w:rFonts w:ascii="Times New Roman" w:hAnsi="Times New Roman" w:cs="Times New Roman"/>
          <w:bCs/>
          <w:iCs/>
        </w:rPr>
        <w:t xml:space="preserve"> is to allow trailable issues with a prospect of success to be ventilated in action proceedings.</w:t>
      </w:r>
      <w:r>
        <w:rPr>
          <w:rStyle w:val="FootnoteReference"/>
          <w:rFonts w:ascii="Times New Roman" w:hAnsi="Times New Roman" w:cs="Times New Roman"/>
          <w:bCs/>
          <w:iCs/>
        </w:rPr>
        <w:footnoteReference w:id="13"/>
      </w:r>
    </w:p>
    <w:p w14:paraId="77978A59" w14:textId="77777777" w:rsidR="00C9383A" w:rsidRPr="00C9383A" w:rsidRDefault="00C9383A" w:rsidP="00C9383A">
      <w:pPr>
        <w:pStyle w:val="ListParagraph"/>
        <w:rPr>
          <w:rFonts w:ascii="Times New Roman" w:hAnsi="Times New Roman" w:cs="Times New Roman"/>
          <w:bCs/>
          <w:iCs/>
        </w:rPr>
      </w:pPr>
    </w:p>
    <w:p w14:paraId="5BAF86C1" w14:textId="46F29D94" w:rsidR="003A1569" w:rsidRDefault="00670541">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This court</w:t>
      </w:r>
      <w:r w:rsidR="00C9383A">
        <w:rPr>
          <w:rFonts w:ascii="Times New Roman" w:hAnsi="Times New Roman" w:cs="Times New Roman"/>
          <w:bCs/>
          <w:iCs/>
        </w:rPr>
        <w:t xml:space="preserve"> cannot find that the appellants defence is designed to or have the effect of unduly delay</w:t>
      </w:r>
      <w:r w:rsidR="008B0724">
        <w:rPr>
          <w:rFonts w:ascii="Times New Roman" w:hAnsi="Times New Roman" w:cs="Times New Roman"/>
          <w:bCs/>
          <w:iCs/>
        </w:rPr>
        <w:t>ing</w:t>
      </w:r>
      <w:r w:rsidR="00C9383A">
        <w:rPr>
          <w:rFonts w:ascii="Times New Roman" w:hAnsi="Times New Roman" w:cs="Times New Roman"/>
          <w:bCs/>
          <w:iCs/>
        </w:rPr>
        <w:t xml:space="preserve"> the enforcement and final adjudication of the first respondent’s claims.  The amounts in arrear </w:t>
      </w:r>
      <w:r w:rsidR="008B0724">
        <w:rPr>
          <w:rFonts w:ascii="Times New Roman" w:hAnsi="Times New Roman" w:cs="Times New Roman"/>
          <w:bCs/>
          <w:iCs/>
        </w:rPr>
        <w:t xml:space="preserve">referred to </w:t>
      </w:r>
      <w:r w:rsidR="00C9383A">
        <w:rPr>
          <w:rFonts w:ascii="Times New Roman" w:hAnsi="Times New Roman" w:cs="Times New Roman"/>
          <w:bCs/>
          <w:iCs/>
        </w:rPr>
        <w:t xml:space="preserve">in this appeal, in some cases, </w:t>
      </w:r>
      <w:r w:rsidR="008B0724">
        <w:rPr>
          <w:rFonts w:ascii="Times New Roman" w:hAnsi="Times New Roman" w:cs="Times New Roman"/>
          <w:bCs/>
          <w:iCs/>
        </w:rPr>
        <w:t xml:space="preserve">go </w:t>
      </w:r>
      <w:r w:rsidR="00C9383A">
        <w:rPr>
          <w:rFonts w:ascii="Times New Roman" w:hAnsi="Times New Roman" w:cs="Times New Roman"/>
          <w:bCs/>
          <w:iCs/>
        </w:rPr>
        <w:t>back as</w:t>
      </w:r>
      <w:r w:rsidR="008B0724">
        <w:rPr>
          <w:rFonts w:ascii="Times New Roman" w:hAnsi="Times New Roman" w:cs="Times New Roman"/>
          <w:bCs/>
          <w:iCs/>
        </w:rPr>
        <w:t xml:space="preserve"> far as</w:t>
      </w:r>
      <w:r w:rsidR="00C9383A">
        <w:rPr>
          <w:rFonts w:ascii="Times New Roman" w:hAnsi="Times New Roman" w:cs="Times New Roman"/>
          <w:bCs/>
          <w:iCs/>
        </w:rPr>
        <w:t xml:space="preserve"> 2003.  </w:t>
      </w:r>
      <w:r w:rsidR="003A1569">
        <w:rPr>
          <w:rFonts w:ascii="Times New Roman" w:hAnsi="Times New Roman" w:cs="Times New Roman"/>
          <w:bCs/>
          <w:iCs/>
        </w:rPr>
        <w:t>Tak</w:t>
      </w:r>
      <w:r w:rsidR="008B0724">
        <w:rPr>
          <w:rFonts w:ascii="Times New Roman" w:hAnsi="Times New Roman" w:cs="Times New Roman"/>
          <w:bCs/>
          <w:iCs/>
        </w:rPr>
        <w:t>ing</w:t>
      </w:r>
      <w:r w:rsidR="003A1569">
        <w:rPr>
          <w:rFonts w:ascii="Times New Roman" w:hAnsi="Times New Roman" w:cs="Times New Roman"/>
          <w:bCs/>
          <w:iCs/>
        </w:rPr>
        <w:t xml:space="preserve"> in</w:t>
      </w:r>
      <w:r w:rsidR="008B0724">
        <w:rPr>
          <w:rFonts w:ascii="Times New Roman" w:hAnsi="Times New Roman" w:cs="Times New Roman"/>
          <w:bCs/>
          <w:iCs/>
        </w:rPr>
        <w:t>to</w:t>
      </w:r>
      <w:r w:rsidR="003A1569">
        <w:rPr>
          <w:rFonts w:ascii="Times New Roman" w:hAnsi="Times New Roman" w:cs="Times New Roman"/>
          <w:bCs/>
          <w:iCs/>
        </w:rPr>
        <w:t xml:space="preserve"> consideration the extensive period alleged of accumulated amounts due</w:t>
      </w:r>
      <w:r w:rsidR="008B0724">
        <w:rPr>
          <w:rFonts w:ascii="Times New Roman" w:hAnsi="Times New Roman" w:cs="Times New Roman"/>
          <w:bCs/>
          <w:iCs/>
        </w:rPr>
        <w:t>,</w:t>
      </w:r>
      <w:r w:rsidR="003A1569">
        <w:rPr>
          <w:rFonts w:ascii="Times New Roman" w:hAnsi="Times New Roman" w:cs="Times New Roman"/>
          <w:bCs/>
          <w:iCs/>
        </w:rPr>
        <w:t xml:space="preserve"> it is in the interest</w:t>
      </w:r>
      <w:r w:rsidR="008B0724">
        <w:rPr>
          <w:rFonts w:ascii="Times New Roman" w:hAnsi="Times New Roman" w:cs="Times New Roman"/>
          <w:bCs/>
          <w:iCs/>
        </w:rPr>
        <w:t>s</w:t>
      </w:r>
      <w:r w:rsidR="003A1569">
        <w:rPr>
          <w:rFonts w:ascii="Times New Roman" w:hAnsi="Times New Roman" w:cs="Times New Roman"/>
          <w:bCs/>
          <w:iCs/>
        </w:rPr>
        <w:t xml:space="preserve"> of justice that the appellants be afforded the opportunity to ventilate the issue</w:t>
      </w:r>
      <w:r w:rsidR="008B0724">
        <w:rPr>
          <w:rFonts w:ascii="Times New Roman" w:hAnsi="Times New Roman" w:cs="Times New Roman"/>
          <w:bCs/>
          <w:iCs/>
        </w:rPr>
        <w:t>s</w:t>
      </w:r>
      <w:r w:rsidR="003A1569">
        <w:rPr>
          <w:rFonts w:ascii="Times New Roman" w:hAnsi="Times New Roman" w:cs="Times New Roman"/>
          <w:bCs/>
          <w:iCs/>
        </w:rPr>
        <w:t xml:space="preserve"> </w:t>
      </w:r>
      <w:r w:rsidR="008B0724">
        <w:rPr>
          <w:rFonts w:ascii="Times New Roman" w:hAnsi="Times New Roman" w:cs="Times New Roman"/>
          <w:bCs/>
          <w:iCs/>
        </w:rPr>
        <w:t xml:space="preserve">in a </w:t>
      </w:r>
      <w:r w:rsidR="003A1569">
        <w:rPr>
          <w:rFonts w:ascii="Times New Roman" w:hAnsi="Times New Roman" w:cs="Times New Roman"/>
          <w:bCs/>
          <w:iCs/>
        </w:rPr>
        <w:t>trial</w:t>
      </w:r>
      <w:r w:rsidR="00017D90">
        <w:rPr>
          <w:rFonts w:ascii="Times New Roman" w:hAnsi="Times New Roman" w:cs="Times New Roman"/>
          <w:bCs/>
          <w:iCs/>
        </w:rPr>
        <w:t>, considering the defence of prescription raised</w:t>
      </w:r>
      <w:r w:rsidR="003A1569">
        <w:rPr>
          <w:rFonts w:ascii="Times New Roman" w:hAnsi="Times New Roman" w:cs="Times New Roman"/>
          <w:bCs/>
          <w:iCs/>
        </w:rPr>
        <w:t xml:space="preserve">. </w:t>
      </w:r>
      <w:r w:rsidR="00C9383A">
        <w:rPr>
          <w:rFonts w:ascii="Times New Roman" w:hAnsi="Times New Roman" w:cs="Times New Roman"/>
          <w:bCs/>
          <w:iCs/>
        </w:rPr>
        <w:t xml:space="preserve"> </w:t>
      </w:r>
    </w:p>
    <w:p w14:paraId="77D17992" w14:textId="77777777" w:rsidR="003A1569" w:rsidRPr="003A1569" w:rsidRDefault="003A1569" w:rsidP="003A1569">
      <w:pPr>
        <w:pStyle w:val="ListParagraph"/>
        <w:rPr>
          <w:rFonts w:ascii="Times New Roman" w:hAnsi="Times New Roman" w:cs="Times New Roman"/>
          <w:bCs/>
          <w:iCs/>
        </w:rPr>
      </w:pPr>
    </w:p>
    <w:p w14:paraId="427402AD" w14:textId="12B18178" w:rsidR="00C9383A" w:rsidRDefault="00C9383A">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Furthermore</w:t>
      </w:r>
      <w:r w:rsidR="000E0FE0">
        <w:rPr>
          <w:rFonts w:ascii="Times New Roman" w:hAnsi="Times New Roman" w:cs="Times New Roman"/>
          <w:bCs/>
          <w:iCs/>
        </w:rPr>
        <w:t xml:space="preserve">, prescription was also raised by the appellants during the hearing in the court </w:t>
      </w:r>
      <w:r w:rsidR="000E0FE0">
        <w:rPr>
          <w:rFonts w:ascii="Times New Roman" w:hAnsi="Times New Roman" w:cs="Times New Roman"/>
          <w:bCs/>
          <w:i/>
        </w:rPr>
        <w:t xml:space="preserve">a quo. </w:t>
      </w:r>
      <w:r w:rsidR="00863B53">
        <w:rPr>
          <w:rFonts w:ascii="Times New Roman" w:hAnsi="Times New Roman" w:cs="Times New Roman"/>
          <w:bCs/>
          <w:iCs/>
        </w:rPr>
        <w:t xml:space="preserve"> The first respondent as managing agent of the Body Corporate had all the means available to provide the appellants with the necessary statements in regard to their outstanding levies and related charges</w:t>
      </w:r>
      <w:r w:rsidR="007B64B8">
        <w:rPr>
          <w:rFonts w:ascii="Times New Roman" w:hAnsi="Times New Roman" w:cs="Times New Roman"/>
          <w:bCs/>
          <w:iCs/>
        </w:rPr>
        <w:t xml:space="preserve"> since 2003</w:t>
      </w:r>
      <w:r w:rsidR="00863B53">
        <w:rPr>
          <w:rFonts w:ascii="Times New Roman" w:hAnsi="Times New Roman" w:cs="Times New Roman"/>
          <w:bCs/>
          <w:iCs/>
        </w:rPr>
        <w:t xml:space="preserve">.  </w:t>
      </w:r>
      <w:r w:rsidR="008B0724">
        <w:rPr>
          <w:rFonts w:ascii="Times New Roman" w:hAnsi="Times New Roman" w:cs="Times New Roman"/>
          <w:bCs/>
          <w:iCs/>
        </w:rPr>
        <w:t>This</w:t>
      </w:r>
      <w:r w:rsidR="007B64B8">
        <w:rPr>
          <w:rFonts w:ascii="Times New Roman" w:hAnsi="Times New Roman" w:cs="Times New Roman"/>
          <w:bCs/>
          <w:iCs/>
        </w:rPr>
        <w:t xml:space="preserve"> was not done and as such the question of prescription is relevant and can be ventilated during trial.</w:t>
      </w:r>
    </w:p>
    <w:p w14:paraId="4D75D65E" w14:textId="77777777" w:rsidR="000E0FE0" w:rsidRPr="000E0FE0" w:rsidRDefault="000E0FE0" w:rsidP="000E0FE0">
      <w:pPr>
        <w:pStyle w:val="ListParagraph"/>
        <w:rPr>
          <w:rFonts w:ascii="Times New Roman" w:hAnsi="Times New Roman" w:cs="Times New Roman"/>
          <w:bCs/>
          <w:iCs/>
        </w:rPr>
      </w:pPr>
    </w:p>
    <w:p w14:paraId="25DDEA64" w14:textId="62CB2D3F" w:rsidR="000E0FE0" w:rsidRDefault="000E0FE0">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Although the papers in the summary and default judgments are not before us, it is not without significance that the appellants filed notice</w:t>
      </w:r>
      <w:r w:rsidR="00017D90">
        <w:rPr>
          <w:rFonts w:ascii="Times New Roman" w:hAnsi="Times New Roman" w:cs="Times New Roman"/>
          <w:bCs/>
          <w:iCs/>
        </w:rPr>
        <w:t>s</w:t>
      </w:r>
      <w:r>
        <w:rPr>
          <w:rFonts w:ascii="Times New Roman" w:hAnsi="Times New Roman" w:cs="Times New Roman"/>
          <w:bCs/>
          <w:iCs/>
        </w:rPr>
        <w:t xml:space="preserve"> to oppose the applications.  The case presented by the appellants may, if successful, constitute a defence </w:t>
      </w:r>
      <w:r w:rsidR="00B55F87">
        <w:rPr>
          <w:rFonts w:ascii="Times New Roman" w:hAnsi="Times New Roman" w:cs="Times New Roman"/>
          <w:bCs/>
          <w:iCs/>
        </w:rPr>
        <w:t xml:space="preserve">to the first respondent’s claim against them. </w:t>
      </w:r>
    </w:p>
    <w:p w14:paraId="77A0DAAE" w14:textId="77777777" w:rsidR="008B0724" w:rsidRPr="008B0724" w:rsidRDefault="008B0724" w:rsidP="008B0724">
      <w:pPr>
        <w:pStyle w:val="ListParagraph"/>
        <w:rPr>
          <w:rFonts w:ascii="Times New Roman" w:hAnsi="Times New Roman" w:cs="Times New Roman"/>
          <w:bCs/>
          <w:iCs/>
        </w:rPr>
      </w:pPr>
    </w:p>
    <w:p w14:paraId="2EE56A91" w14:textId="208A8464" w:rsidR="009F2BEC" w:rsidRPr="00293BA8" w:rsidRDefault="008B0724" w:rsidP="00293BA8">
      <w:pPr>
        <w:pStyle w:val="ListParagraph"/>
        <w:spacing w:line="360" w:lineRule="auto"/>
        <w:ind w:left="567"/>
        <w:jc w:val="both"/>
        <w:rPr>
          <w:rFonts w:ascii="Times New Roman" w:hAnsi="Times New Roman" w:cs="Times New Roman"/>
          <w:b/>
          <w:i/>
        </w:rPr>
      </w:pPr>
      <w:r>
        <w:rPr>
          <w:rFonts w:ascii="Times New Roman" w:hAnsi="Times New Roman" w:cs="Times New Roman"/>
          <w:b/>
          <w:i/>
        </w:rPr>
        <w:t>Conclusion</w:t>
      </w:r>
    </w:p>
    <w:p w14:paraId="6A0910F4" w14:textId="4914989F" w:rsidR="00B55F87" w:rsidRDefault="00B55F87">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On balance, and while there is merit in the first respondent’s submissions that the appellants defence is doubtful and has not been set forth with clarity that one would have expect, this </w:t>
      </w:r>
      <w:r w:rsidR="00904D0A">
        <w:rPr>
          <w:rFonts w:ascii="Times New Roman" w:hAnsi="Times New Roman" w:cs="Times New Roman"/>
          <w:bCs/>
          <w:iCs/>
        </w:rPr>
        <w:t>C</w:t>
      </w:r>
      <w:r>
        <w:rPr>
          <w:rFonts w:ascii="Times New Roman" w:hAnsi="Times New Roman" w:cs="Times New Roman"/>
          <w:bCs/>
          <w:iCs/>
        </w:rPr>
        <w:t>ourt is not inclined to shut the door on the appellants, given that their defence has some prospect</w:t>
      </w:r>
      <w:r w:rsidR="00904D0A">
        <w:rPr>
          <w:rFonts w:ascii="Times New Roman" w:hAnsi="Times New Roman" w:cs="Times New Roman"/>
          <w:bCs/>
          <w:iCs/>
        </w:rPr>
        <w:t>s</w:t>
      </w:r>
      <w:r>
        <w:rPr>
          <w:rFonts w:ascii="Times New Roman" w:hAnsi="Times New Roman" w:cs="Times New Roman"/>
          <w:bCs/>
          <w:iCs/>
        </w:rPr>
        <w:t xml:space="preserve"> of success.</w:t>
      </w:r>
    </w:p>
    <w:p w14:paraId="678DAAD9" w14:textId="77777777" w:rsidR="00293BA8" w:rsidRPr="00293BA8" w:rsidRDefault="00293BA8" w:rsidP="00293BA8">
      <w:pPr>
        <w:pStyle w:val="ListParagraph"/>
        <w:rPr>
          <w:rFonts w:ascii="Times New Roman" w:hAnsi="Times New Roman" w:cs="Times New Roman"/>
          <w:bCs/>
          <w:iCs/>
        </w:rPr>
      </w:pPr>
    </w:p>
    <w:p w14:paraId="3EA28F13" w14:textId="1926A4C3" w:rsidR="00293BA8" w:rsidRDefault="00293BA8" w:rsidP="00293BA8">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Due to the plethora of allegations made by the appellants this court is of the view that the appeal should be upheld.</w:t>
      </w:r>
    </w:p>
    <w:p w14:paraId="52F46CF2" w14:textId="77777777" w:rsidR="00017D90" w:rsidRPr="00017D90" w:rsidRDefault="00017D90" w:rsidP="00017D90">
      <w:pPr>
        <w:pStyle w:val="ListParagraph"/>
        <w:rPr>
          <w:rFonts w:ascii="Times New Roman" w:hAnsi="Times New Roman" w:cs="Times New Roman"/>
          <w:bCs/>
          <w:iCs/>
        </w:rPr>
      </w:pPr>
    </w:p>
    <w:p w14:paraId="7A8B7BD1" w14:textId="582165AB" w:rsidR="00017D90" w:rsidRDefault="00017D90" w:rsidP="00293BA8">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There is no reason to deviate from the normal principle that the costs follow the result.</w:t>
      </w:r>
    </w:p>
    <w:p w14:paraId="0ED735C6" w14:textId="3A73E24E" w:rsidR="00B55F87" w:rsidRPr="00B55F87" w:rsidRDefault="00B55F87" w:rsidP="00B55F87">
      <w:pPr>
        <w:spacing w:line="360" w:lineRule="auto"/>
        <w:jc w:val="both"/>
        <w:rPr>
          <w:rFonts w:ascii="Times New Roman" w:hAnsi="Times New Roman" w:cs="Times New Roman"/>
          <w:b/>
          <w:i/>
        </w:rPr>
      </w:pPr>
    </w:p>
    <w:p w14:paraId="07A98EC8" w14:textId="735780EB" w:rsidR="00B55F87" w:rsidRDefault="003E2293">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In </w:t>
      </w:r>
      <w:r w:rsidR="00796556">
        <w:rPr>
          <w:rFonts w:ascii="Times New Roman" w:hAnsi="Times New Roman" w:cs="Times New Roman"/>
          <w:bCs/>
          <w:iCs/>
        </w:rPr>
        <w:t>the result the following order is made:</w:t>
      </w:r>
    </w:p>
    <w:p w14:paraId="4A46F3B4" w14:textId="77777777" w:rsidR="00796556" w:rsidRPr="00796556" w:rsidRDefault="00796556" w:rsidP="00796556">
      <w:pPr>
        <w:pStyle w:val="ListParagraph"/>
        <w:rPr>
          <w:rFonts w:ascii="Times New Roman" w:hAnsi="Times New Roman" w:cs="Times New Roman"/>
          <w:bCs/>
          <w:iCs/>
        </w:rPr>
      </w:pPr>
    </w:p>
    <w:p w14:paraId="7EF9A54A" w14:textId="40E8C0D2" w:rsidR="00796556" w:rsidRDefault="00796556">
      <w:pPr>
        <w:pStyle w:val="ListParagraph"/>
        <w:numPr>
          <w:ilvl w:val="0"/>
          <w:numId w:val="4"/>
        </w:numPr>
        <w:spacing w:line="360" w:lineRule="auto"/>
        <w:jc w:val="both"/>
        <w:rPr>
          <w:rFonts w:ascii="Times New Roman" w:hAnsi="Times New Roman" w:cs="Times New Roman"/>
          <w:bCs/>
          <w:iCs/>
        </w:rPr>
      </w:pPr>
      <w:r>
        <w:rPr>
          <w:rFonts w:ascii="Times New Roman" w:hAnsi="Times New Roman" w:cs="Times New Roman"/>
          <w:bCs/>
          <w:iCs/>
        </w:rPr>
        <w:t>The appeal is upheld</w:t>
      </w:r>
      <w:r w:rsidR="00017D90">
        <w:rPr>
          <w:rFonts w:ascii="Times New Roman" w:hAnsi="Times New Roman" w:cs="Times New Roman"/>
          <w:bCs/>
          <w:iCs/>
        </w:rPr>
        <w:t xml:space="preserve"> with costs</w:t>
      </w:r>
      <w:r>
        <w:rPr>
          <w:rFonts w:ascii="Times New Roman" w:hAnsi="Times New Roman" w:cs="Times New Roman"/>
          <w:bCs/>
          <w:iCs/>
        </w:rPr>
        <w:t>.</w:t>
      </w:r>
    </w:p>
    <w:p w14:paraId="63E030BD" w14:textId="4CFF0D0D" w:rsidR="0030138D" w:rsidRPr="007B64B8" w:rsidRDefault="004B3B73">
      <w:pPr>
        <w:pStyle w:val="ListParagraph"/>
        <w:numPr>
          <w:ilvl w:val="0"/>
          <w:numId w:val="4"/>
        </w:numPr>
        <w:spacing w:line="360" w:lineRule="auto"/>
        <w:jc w:val="both"/>
        <w:rPr>
          <w:rFonts w:ascii="Times New Roman" w:hAnsi="Times New Roman" w:cs="Times New Roman"/>
          <w:bCs/>
          <w:iCs/>
        </w:rPr>
      </w:pPr>
      <w:r>
        <w:rPr>
          <w:rFonts w:ascii="Times New Roman" w:hAnsi="Times New Roman" w:cs="Times New Roman"/>
          <w:bCs/>
          <w:iCs/>
        </w:rPr>
        <w:t>The judgment of Magistrate A. Graf delivered on 8 December 2020 is set aside</w:t>
      </w:r>
      <w:r w:rsidR="0030138D">
        <w:rPr>
          <w:rFonts w:ascii="Times New Roman" w:hAnsi="Times New Roman" w:cs="Times New Roman"/>
          <w:bCs/>
          <w:iCs/>
        </w:rPr>
        <w:t xml:space="preserve"> and substituted with the following order:</w:t>
      </w:r>
    </w:p>
    <w:p w14:paraId="0900A28D" w14:textId="08AB4A9C" w:rsidR="0030138D" w:rsidRPr="007B64B8" w:rsidRDefault="0030138D">
      <w:pPr>
        <w:pStyle w:val="ListParagraph"/>
        <w:numPr>
          <w:ilvl w:val="1"/>
          <w:numId w:val="4"/>
        </w:numPr>
        <w:spacing w:line="360" w:lineRule="auto"/>
        <w:jc w:val="both"/>
        <w:rPr>
          <w:rFonts w:ascii="Times New Roman" w:hAnsi="Times New Roman" w:cs="Times New Roman"/>
          <w:bCs/>
          <w:iCs/>
        </w:rPr>
      </w:pPr>
      <w:r>
        <w:rPr>
          <w:rFonts w:ascii="Times New Roman" w:hAnsi="Times New Roman" w:cs="Times New Roman"/>
          <w:bCs/>
          <w:iCs/>
        </w:rPr>
        <w:t>Recission is granted.</w:t>
      </w:r>
    </w:p>
    <w:p w14:paraId="1D513A8C" w14:textId="503FDBAF" w:rsidR="0030138D" w:rsidRPr="0030138D" w:rsidRDefault="0030138D">
      <w:pPr>
        <w:pStyle w:val="ListParagraph"/>
        <w:numPr>
          <w:ilvl w:val="1"/>
          <w:numId w:val="4"/>
        </w:numPr>
        <w:spacing w:line="360" w:lineRule="auto"/>
        <w:jc w:val="both"/>
        <w:rPr>
          <w:rFonts w:ascii="Times New Roman" w:hAnsi="Times New Roman" w:cs="Times New Roman"/>
          <w:bCs/>
          <w:iCs/>
        </w:rPr>
      </w:pPr>
      <w:r w:rsidRPr="0030138D">
        <w:rPr>
          <w:rFonts w:ascii="Times New Roman" w:hAnsi="Times New Roman" w:cs="Times New Roman"/>
          <w:bCs/>
          <w:iCs/>
        </w:rPr>
        <w:t xml:space="preserve">The appellants are granted leave to defend the summonses issued under the </w:t>
      </w:r>
    </w:p>
    <w:p w14:paraId="4EE73D38" w14:textId="45D14FBD" w:rsidR="0030138D" w:rsidRPr="0030138D" w:rsidRDefault="0030138D" w:rsidP="0030138D">
      <w:pPr>
        <w:pStyle w:val="ListParagraph"/>
        <w:spacing w:line="360" w:lineRule="auto"/>
        <w:ind w:left="1287"/>
        <w:jc w:val="both"/>
        <w:rPr>
          <w:rFonts w:ascii="Times New Roman" w:hAnsi="Times New Roman" w:cs="Times New Roman"/>
          <w:bCs/>
          <w:iCs/>
        </w:rPr>
      </w:pPr>
      <w:r w:rsidRPr="0030138D">
        <w:rPr>
          <w:rFonts w:ascii="Times New Roman" w:hAnsi="Times New Roman" w:cs="Times New Roman"/>
          <w:bCs/>
          <w:iCs/>
        </w:rPr>
        <w:t>following case numbers;</w:t>
      </w:r>
    </w:p>
    <w:p w14:paraId="23AAFE0E" w14:textId="3DF0F72E"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19407/19,</w:t>
      </w:r>
    </w:p>
    <w:p w14:paraId="7FA6D2C6" w14:textId="30BE02B7"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19403/19,</w:t>
      </w:r>
    </w:p>
    <w:p w14:paraId="047B026C" w14:textId="57C1AB90"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19405/19,</w:t>
      </w:r>
    </w:p>
    <w:p w14:paraId="3BDF9FE2" w14:textId="550E1CCD"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19406/19,</w:t>
      </w:r>
    </w:p>
    <w:p w14:paraId="1973C68E" w14:textId="796D701A"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19417/19, and</w:t>
      </w:r>
    </w:p>
    <w:p w14:paraId="76729040" w14:textId="2ABAB813" w:rsidR="00C65F71" w:rsidRDefault="00C65F71">
      <w:pPr>
        <w:pStyle w:val="ListParagraph"/>
        <w:numPr>
          <w:ilvl w:val="1"/>
          <w:numId w:val="6"/>
        </w:numPr>
        <w:spacing w:line="360" w:lineRule="auto"/>
        <w:jc w:val="both"/>
        <w:rPr>
          <w:rFonts w:ascii="Times New Roman" w:hAnsi="Times New Roman" w:cs="Times New Roman"/>
          <w:bCs/>
          <w:iCs/>
        </w:rPr>
      </w:pPr>
      <w:r>
        <w:rPr>
          <w:rFonts w:ascii="Times New Roman" w:hAnsi="Times New Roman" w:cs="Times New Roman"/>
          <w:bCs/>
          <w:iCs/>
        </w:rPr>
        <w:t>19419/19.</w:t>
      </w:r>
    </w:p>
    <w:p w14:paraId="58347C94" w14:textId="77777777" w:rsidR="0030138D" w:rsidRDefault="0030138D" w:rsidP="0030138D">
      <w:pPr>
        <w:pStyle w:val="ListParagraph"/>
        <w:spacing w:line="360" w:lineRule="auto"/>
        <w:ind w:left="1287"/>
        <w:jc w:val="both"/>
        <w:rPr>
          <w:rFonts w:ascii="Times New Roman" w:hAnsi="Times New Roman" w:cs="Times New Roman"/>
          <w:bCs/>
          <w:iCs/>
        </w:rPr>
      </w:pPr>
    </w:p>
    <w:p w14:paraId="72F96EC5" w14:textId="578965F5" w:rsidR="00B55F87" w:rsidRPr="00C65F71" w:rsidRDefault="00B55F87" w:rsidP="00C65F71">
      <w:pPr>
        <w:spacing w:line="360" w:lineRule="auto"/>
        <w:jc w:val="both"/>
        <w:rPr>
          <w:rFonts w:ascii="Times New Roman" w:hAnsi="Times New Roman" w:cs="Times New Roman"/>
          <w:bCs/>
          <w:iCs/>
        </w:rPr>
      </w:pPr>
    </w:p>
    <w:p w14:paraId="2F249C03" w14:textId="77777777" w:rsidR="00AB0360" w:rsidRPr="00AB0360" w:rsidRDefault="00AB0360" w:rsidP="00B51251">
      <w:pPr>
        <w:spacing w:line="360" w:lineRule="auto"/>
        <w:jc w:val="both"/>
        <w:rPr>
          <w:rFonts w:ascii="Times New Roman" w:hAnsi="Times New Roman" w:cs="Times New Roman"/>
          <w:bCs/>
        </w:rPr>
      </w:pPr>
    </w:p>
    <w:p w14:paraId="6E75C649" w14:textId="63ACCEF0" w:rsidR="00385311" w:rsidRPr="007A6503" w:rsidRDefault="00385311"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76A15359" w:rsidR="00385311"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6412F168" w14:textId="45C41918" w:rsidR="00390569" w:rsidRDefault="00390569" w:rsidP="00390569">
      <w:pPr>
        <w:jc w:val="right"/>
        <w:rPr>
          <w:rFonts w:ascii="Times New Roman" w:hAnsi="Times New Roman" w:cs="Times New Roman"/>
          <w:b/>
          <w:bCs/>
        </w:rPr>
      </w:pPr>
      <w:r>
        <w:rPr>
          <w:rFonts w:ascii="Times New Roman" w:hAnsi="Times New Roman" w:cs="Times New Roman"/>
          <w:b/>
          <w:bCs/>
        </w:rPr>
        <w:t>GAUTENG LOCAL DIVISION, JOHANNESBURG</w:t>
      </w:r>
    </w:p>
    <w:p w14:paraId="0F03804B" w14:textId="77777777" w:rsidR="00390569" w:rsidRPr="00390569" w:rsidRDefault="00390569" w:rsidP="00390569">
      <w:pPr>
        <w:jc w:val="right"/>
        <w:rPr>
          <w:rFonts w:ascii="Times New Roman" w:hAnsi="Times New Roman" w:cs="Times New Roman"/>
          <w:b/>
          <w:bCs/>
        </w:rPr>
      </w:pPr>
    </w:p>
    <w:p w14:paraId="26078661" w14:textId="77777777" w:rsidR="00390569" w:rsidRDefault="00390569" w:rsidP="00385311">
      <w:pPr>
        <w:jc w:val="right"/>
        <w:rPr>
          <w:rFonts w:ascii="Times New Roman" w:hAnsi="Times New Roman" w:cs="Times New Roman"/>
          <w:b/>
          <w:bCs/>
        </w:rPr>
      </w:pPr>
    </w:p>
    <w:p w14:paraId="38C332C9" w14:textId="338015E6" w:rsidR="00390569" w:rsidRDefault="00390569" w:rsidP="00385311">
      <w:pPr>
        <w:jc w:val="right"/>
        <w:rPr>
          <w:rFonts w:ascii="Times New Roman" w:hAnsi="Times New Roman" w:cs="Times New Roman"/>
          <w:b/>
          <w:bCs/>
        </w:rPr>
      </w:pPr>
    </w:p>
    <w:p w14:paraId="47D51A5F" w14:textId="556188F3" w:rsidR="00390569" w:rsidRDefault="00390569" w:rsidP="00385311">
      <w:pPr>
        <w:jc w:val="right"/>
        <w:rPr>
          <w:rFonts w:ascii="Times New Roman" w:hAnsi="Times New Roman" w:cs="Times New Roman"/>
        </w:rPr>
      </w:pPr>
    </w:p>
    <w:p w14:paraId="1D6CBDAB" w14:textId="0651D34F" w:rsidR="00837EA0" w:rsidRPr="007A6503" w:rsidRDefault="00017D90" w:rsidP="00837EA0">
      <w:pPr>
        <w:pStyle w:val="NormalWeb"/>
        <w:spacing w:line="480" w:lineRule="auto"/>
        <w:contextualSpacing/>
        <w:jc w:val="both"/>
        <w:rPr>
          <w:b/>
          <w:bCs/>
        </w:rPr>
      </w:pPr>
      <w:r>
        <w:rPr>
          <w:b/>
          <w:bCs/>
        </w:rPr>
        <w:t>D</w:t>
      </w:r>
      <w:r w:rsidR="00837EA0" w:rsidRPr="007A6503">
        <w:rPr>
          <w:b/>
          <w:bCs/>
        </w:rPr>
        <w:t>ATE OF HEARING:</w:t>
      </w:r>
      <w:r w:rsidR="0003596B">
        <w:rPr>
          <w:b/>
          <w:bCs/>
        </w:rPr>
        <w:tab/>
      </w:r>
      <w:r w:rsidR="0003596B">
        <w:rPr>
          <w:b/>
          <w:bCs/>
        </w:rPr>
        <w:tab/>
      </w:r>
      <w:r w:rsidR="0003596B">
        <w:rPr>
          <w:b/>
          <w:bCs/>
        </w:rPr>
        <w:tab/>
      </w:r>
      <w:r w:rsidR="0003596B">
        <w:rPr>
          <w:b/>
          <w:bCs/>
        </w:rPr>
        <w:tab/>
      </w:r>
      <w:r w:rsidR="00390569">
        <w:rPr>
          <w:b/>
          <w:bCs/>
        </w:rPr>
        <w:t xml:space="preserve">30 August </w:t>
      </w:r>
      <w:r w:rsidR="00DC3902" w:rsidRPr="007A6503">
        <w:rPr>
          <w:b/>
          <w:bCs/>
        </w:rPr>
        <w:t>2022</w:t>
      </w:r>
    </w:p>
    <w:p w14:paraId="5C9761C6" w14:textId="4799C7D7"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390569">
        <w:rPr>
          <w:b/>
          <w:bCs/>
        </w:rPr>
        <w:t xml:space="preserve">  </w:t>
      </w:r>
      <w:r w:rsidR="00017D90">
        <w:rPr>
          <w:b/>
          <w:bCs/>
        </w:rPr>
        <w:t>13</w:t>
      </w:r>
      <w:r w:rsidR="00390569">
        <w:rPr>
          <w:b/>
          <w:bCs/>
        </w:rPr>
        <w:t xml:space="preserve"> September 2</w:t>
      </w:r>
      <w:r w:rsidR="008036CB" w:rsidRPr="007A6503">
        <w:rPr>
          <w:b/>
          <w:bCs/>
        </w:rPr>
        <w:t>022</w:t>
      </w:r>
    </w:p>
    <w:p w14:paraId="7DA16B00" w14:textId="77777777" w:rsidR="00454A4F" w:rsidRDefault="00454A4F" w:rsidP="000A6B58">
      <w:pPr>
        <w:rPr>
          <w:rFonts w:ascii="Times New Roman" w:hAnsi="Times New Roman" w:cs="Times New Roman"/>
          <w:b/>
          <w:bCs/>
          <w:u w:val="single"/>
        </w:rPr>
      </w:pPr>
    </w:p>
    <w:p w14:paraId="6FF3B06E" w14:textId="77777777" w:rsidR="00454A4F" w:rsidRDefault="00454A4F" w:rsidP="000A6B58">
      <w:pPr>
        <w:rPr>
          <w:rFonts w:ascii="Times New Roman" w:hAnsi="Times New Roman" w:cs="Times New Roman"/>
          <w:b/>
          <w:bCs/>
          <w:u w:val="single"/>
        </w:rPr>
      </w:pPr>
    </w:p>
    <w:p w14:paraId="4D30B4EA" w14:textId="78550026"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lastRenderedPageBreak/>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7E7BFB69" w14:textId="4AC15154" w:rsidR="000A6B58" w:rsidRDefault="000A6B58" w:rsidP="000A6B58">
      <w:pPr>
        <w:rPr>
          <w:rFonts w:ascii="Times New Roman" w:hAnsi="Times New Roman" w:cs="Times New Roman"/>
          <w:bCs/>
        </w:rPr>
      </w:pPr>
      <w:r w:rsidRPr="007A6503">
        <w:rPr>
          <w:rFonts w:ascii="Times New Roman" w:hAnsi="Times New Roman" w:cs="Times New Roman"/>
          <w:b/>
          <w:bCs/>
        </w:rPr>
        <w:t>Attorney for the App</w:t>
      </w:r>
      <w:r w:rsidR="00390569">
        <w:rPr>
          <w:rFonts w:ascii="Times New Roman" w:hAnsi="Times New Roman" w:cs="Times New Roman"/>
          <w:b/>
          <w:bCs/>
        </w:rPr>
        <w:t>ellant</w:t>
      </w:r>
      <w:r w:rsidRPr="007A6503">
        <w:rPr>
          <w:rFonts w:ascii="Times New Roman" w:hAnsi="Times New Roman" w:cs="Times New Roman"/>
          <w:b/>
          <w:bCs/>
        </w:rPr>
        <w:t>:</w:t>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0003596B">
        <w:rPr>
          <w:rFonts w:ascii="Times New Roman" w:hAnsi="Times New Roman" w:cs="Times New Roman"/>
          <w:b/>
          <w:bCs/>
        </w:rPr>
        <w:tab/>
      </w:r>
      <w:r w:rsidR="005F5BC0">
        <w:rPr>
          <w:rFonts w:ascii="Times New Roman" w:hAnsi="Times New Roman" w:cs="Times New Roman"/>
          <w:bCs/>
        </w:rPr>
        <w:t>Noveni Eddy Kubayi</w:t>
      </w:r>
    </w:p>
    <w:p w14:paraId="7559D110" w14:textId="255E03E8" w:rsidR="005F5BC0" w:rsidRPr="005F5BC0" w:rsidRDefault="005F5BC0" w:rsidP="000A6B58">
      <w:pPr>
        <w:rPr>
          <w:rFonts w:ascii="Times New Roman" w:hAnsi="Times New Roman" w:cs="Times New Roman"/>
          <w:bCs/>
          <w:color w:val="0070C0"/>
          <w:u w:val="single"/>
        </w:rPr>
      </w:pPr>
      <w:r>
        <w:rPr>
          <w:rFonts w:ascii="Times New Roman" w:hAnsi="Times New Roman" w:cs="Times New Roman"/>
          <w:bCs/>
        </w:rPr>
        <w:t xml:space="preserve">                                                                                    </w:t>
      </w:r>
      <w:r w:rsidRPr="005F5BC0">
        <w:rPr>
          <w:rFonts w:ascii="Times New Roman" w:hAnsi="Times New Roman" w:cs="Times New Roman"/>
          <w:bCs/>
          <w:color w:val="0070C0"/>
          <w:u w:val="single"/>
        </w:rPr>
        <w:t>info@nekinc.co.za</w:t>
      </w:r>
    </w:p>
    <w:p w14:paraId="72EC44B1" w14:textId="5478F91F" w:rsidR="000A6B58" w:rsidRPr="007A6503" w:rsidRDefault="000A6B58" w:rsidP="000A6B58">
      <w:pPr>
        <w:tabs>
          <w:tab w:val="left" w:pos="4980"/>
        </w:tabs>
        <w:rPr>
          <w:rFonts w:ascii="Times New Roman" w:hAnsi="Times New Roman" w:cs="Times New Roman"/>
          <w:bCs/>
        </w:rPr>
      </w:pPr>
    </w:p>
    <w:p w14:paraId="1219AB2C" w14:textId="6EA86085" w:rsidR="000A6B58" w:rsidRPr="007A6503" w:rsidRDefault="000A6B58" w:rsidP="000A6B58">
      <w:pPr>
        <w:tabs>
          <w:tab w:val="left" w:pos="4980"/>
        </w:tabs>
        <w:rPr>
          <w:rFonts w:ascii="Times New Roman" w:hAnsi="Times New Roman" w:cs="Times New Roman"/>
          <w:bCs/>
        </w:rPr>
      </w:pPr>
    </w:p>
    <w:p w14:paraId="2FDD7179" w14:textId="62910CF7" w:rsidR="000A6B58" w:rsidRDefault="000A6B58" w:rsidP="000A6B58">
      <w:pPr>
        <w:tabs>
          <w:tab w:val="left" w:pos="4980"/>
        </w:tabs>
        <w:rPr>
          <w:rFonts w:ascii="Times New Roman" w:hAnsi="Times New Roman" w:cs="Times New Roman"/>
          <w:bCs/>
        </w:rPr>
      </w:pPr>
      <w:r w:rsidRPr="00AB0360">
        <w:rPr>
          <w:rFonts w:ascii="Times New Roman" w:hAnsi="Times New Roman" w:cs="Times New Roman"/>
          <w:b/>
          <w:bCs/>
        </w:rPr>
        <w:t xml:space="preserve">Attorney for the </w:t>
      </w:r>
      <w:r w:rsidR="00390569">
        <w:rPr>
          <w:rFonts w:ascii="Times New Roman" w:hAnsi="Times New Roman" w:cs="Times New Roman"/>
          <w:b/>
          <w:bCs/>
        </w:rPr>
        <w:t>F</w:t>
      </w:r>
      <w:r w:rsidRPr="00AB0360">
        <w:rPr>
          <w:rFonts w:ascii="Times New Roman" w:hAnsi="Times New Roman" w:cs="Times New Roman"/>
          <w:b/>
          <w:bCs/>
        </w:rPr>
        <w:t>irst Respondent:</w:t>
      </w:r>
      <w:r w:rsidR="0003596B">
        <w:rPr>
          <w:rFonts w:ascii="Times New Roman" w:hAnsi="Times New Roman" w:cs="Times New Roman"/>
          <w:bCs/>
        </w:rPr>
        <w:tab/>
      </w:r>
      <w:r w:rsidR="0003596B">
        <w:rPr>
          <w:rFonts w:ascii="Times New Roman" w:hAnsi="Times New Roman" w:cs="Times New Roman"/>
          <w:bCs/>
        </w:rPr>
        <w:tab/>
      </w:r>
      <w:r w:rsidR="005F5BC0">
        <w:rPr>
          <w:rFonts w:ascii="Times New Roman" w:hAnsi="Times New Roman" w:cs="Times New Roman"/>
          <w:bCs/>
        </w:rPr>
        <w:t>H Gouws</w:t>
      </w:r>
    </w:p>
    <w:p w14:paraId="71AB476E" w14:textId="42A721D0" w:rsidR="005F5BC0" w:rsidRPr="005F5BC0" w:rsidRDefault="005F5BC0" w:rsidP="000A6B58">
      <w:pPr>
        <w:tabs>
          <w:tab w:val="left" w:pos="4980"/>
        </w:tabs>
        <w:rPr>
          <w:rFonts w:ascii="Times New Roman" w:hAnsi="Times New Roman" w:cs="Times New Roman"/>
          <w:bCs/>
          <w:color w:val="4472C4" w:themeColor="accent1"/>
          <w:u w:val="single"/>
        </w:rPr>
      </w:pPr>
      <w:r w:rsidRPr="005F5BC0">
        <w:rPr>
          <w:rFonts w:ascii="Times New Roman" w:hAnsi="Times New Roman" w:cs="Times New Roman"/>
          <w:bCs/>
        </w:rPr>
        <w:t xml:space="preserve">                                                                                    </w:t>
      </w:r>
      <w:hyperlink r:id="rId10" w:history="1">
        <w:r w:rsidRPr="005F5BC0">
          <w:rPr>
            <w:rStyle w:val="Hyperlink"/>
            <w:rFonts w:ascii="Times New Roman" w:hAnsi="Times New Roman" w:cs="Times New Roman"/>
            <w:bCs/>
            <w:color w:val="4472C4" w:themeColor="accent1"/>
          </w:rPr>
          <w:t>hein@shplaw.co.za</w:t>
        </w:r>
      </w:hyperlink>
    </w:p>
    <w:p w14:paraId="03CC79A1" w14:textId="77777777" w:rsidR="005F5BC0" w:rsidRPr="005F5BC0" w:rsidRDefault="005F5BC0" w:rsidP="000A6B58">
      <w:pPr>
        <w:tabs>
          <w:tab w:val="left" w:pos="4980"/>
        </w:tabs>
        <w:rPr>
          <w:rFonts w:ascii="Times New Roman" w:hAnsi="Times New Roman" w:cs="Times New Roman"/>
          <w:bCs/>
          <w:color w:val="4472C4" w:themeColor="accent1"/>
          <w:u w:val="single"/>
        </w:rPr>
      </w:pPr>
    </w:p>
    <w:p w14:paraId="11D56045" w14:textId="20C90B52" w:rsidR="003E4FEB" w:rsidRPr="007A6503" w:rsidRDefault="000A6B58" w:rsidP="000A6B58">
      <w:pPr>
        <w:tabs>
          <w:tab w:val="left" w:pos="4980"/>
        </w:tabs>
        <w:rPr>
          <w:rFonts w:ascii="Times New Roman" w:hAnsi="Times New Roman" w:cs="Times New Roman"/>
          <w:bCs/>
        </w:rPr>
      </w:pPr>
      <w:r w:rsidRPr="00AB0360">
        <w:rPr>
          <w:rFonts w:ascii="Times New Roman" w:hAnsi="Times New Roman" w:cs="Times New Roman"/>
          <w:b/>
          <w:bCs/>
        </w:rPr>
        <w:t xml:space="preserve">Counsel for the </w:t>
      </w:r>
      <w:r w:rsidR="00390569">
        <w:rPr>
          <w:rFonts w:ascii="Times New Roman" w:hAnsi="Times New Roman" w:cs="Times New Roman"/>
          <w:b/>
          <w:bCs/>
        </w:rPr>
        <w:t>F</w:t>
      </w:r>
      <w:r w:rsidRPr="00AB0360">
        <w:rPr>
          <w:rFonts w:ascii="Times New Roman" w:hAnsi="Times New Roman" w:cs="Times New Roman"/>
          <w:b/>
          <w:bCs/>
        </w:rPr>
        <w:t>irst Re</w:t>
      </w:r>
      <w:r w:rsidR="003E4FEB" w:rsidRPr="00AB0360">
        <w:rPr>
          <w:rFonts w:ascii="Times New Roman" w:hAnsi="Times New Roman" w:cs="Times New Roman"/>
          <w:b/>
          <w:bCs/>
        </w:rPr>
        <w:t>spondent:</w:t>
      </w:r>
      <w:r w:rsidR="0003596B">
        <w:rPr>
          <w:rFonts w:ascii="Times New Roman" w:hAnsi="Times New Roman" w:cs="Times New Roman"/>
          <w:bCs/>
        </w:rPr>
        <w:tab/>
      </w:r>
      <w:r w:rsidR="0003596B">
        <w:rPr>
          <w:rFonts w:ascii="Times New Roman" w:hAnsi="Times New Roman" w:cs="Times New Roman"/>
          <w:bCs/>
        </w:rPr>
        <w:tab/>
      </w:r>
      <w:r w:rsidR="005F5BC0">
        <w:rPr>
          <w:rFonts w:ascii="Times New Roman" w:hAnsi="Times New Roman" w:cs="Times New Roman"/>
          <w:bCs/>
        </w:rPr>
        <w:t>N Lombard</w:t>
      </w:r>
    </w:p>
    <w:p w14:paraId="67603433" w14:textId="380368AC" w:rsidR="00AB3DE4" w:rsidRPr="005F5BC0" w:rsidRDefault="005F5BC0" w:rsidP="00AB0360">
      <w:pPr>
        <w:tabs>
          <w:tab w:val="left" w:pos="4980"/>
        </w:tabs>
        <w:rPr>
          <w:rFonts w:ascii="Times New Roman" w:hAnsi="Times New Roman" w:cs="Times New Roman"/>
          <w:bCs/>
          <w:color w:val="4472C4" w:themeColor="accent1"/>
          <w:u w:val="single"/>
        </w:rPr>
      </w:pPr>
      <w:r>
        <w:rPr>
          <w:rFonts w:ascii="Times New Roman" w:hAnsi="Times New Roman" w:cs="Times New Roman"/>
          <w:bCs/>
        </w:rPr>
        <w:t xml:space="preserve">                                                                                    </w:t>
      </w:r>
      <w:r w:rsidRPr="005F5BC0">
        <w:rPr>
          <w:rFonts w:ascii="Times New Roman" w:hAnsi="Times New Roman" w:cs="Times New Roman"/>
          <w:bCs/>
          <w:color w:val="4472C4" w:themeColor="accent1"/>
          <w:u w:val="single"/>
        </w:rPr>
        <w:t>advnicole@mweb.co.za</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B048" w14:textId="77777777" w:rsidR="00B012CD" w:rsidRDefault="00B012CD" w:rsidP="003914A2">
      <w:r>
        <w:separator/>
      </w:r>
    </w:p>
  </w:endnote>
  <w:endnote w:type="continuationSeparator" w:id="0">
    <w:p w14:paraId="4D6E8E59" w14:textId="77777777" w:rsidR="00B012CD" w:rsidRDefault="00B012CD"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483B9D71"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A629E1">
          <w:rPr>
            <w:rStyle w:val="PageNumber"/>
            <w:rFonts w:ascii="Times New Roman" w:hAnsi="Times New Roman" w:cs="Times New Roman"/>
            <w:noProof/>
          </w:rPr>
          <w:t>11</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AFF8" w14:textId="77777777" w:rsidR="00B012CD" w:rsidRDefault="00B012CD" w:rsidP="003914A2">
      <w:r>
        <w:separator/>
      </w:r>
    </w:p>
  </w:footnote>
  <w:footnote w:type="continuationSeparator" w:id="0">
    <w:p w14:paraId="7F302580" w14:textId="77777777" w:rsidR="00B012CD" w:rsidRDefault="00B012CD" w:rsidP="003914A2">
      <w:r>
        <w:continuationSeparator/>
      </w:r>
    </w:p>
  </w:footnote>
  <w:footnote w:id="1">
    <w:p w14:paraId="7EF86574" w14:textId="6C85AAC3" w:rsidR="00DB1B17" w:rsidRDefault="00DB1B17">
      <w:pPr>
        <w:pStyle w:val="FootnoteText"/>
        <w:rPr>
          <w:rFonts w:ascii="Times New Roman" w:hAnsi="Times New Roman" w:cs="Times New Roman"/>
        </w:rPr>
      </w:pPr>
      <w:r>
        <w:rPr>
          <w:rStyle w:val="FootnoteReference"/>
        </w:rPr>
        <w:footnoteRef/>
      </w:r>
      <w:r>
        <w:t xml:space="preserve"> </w:t>
      </w:r>
      <w:r w:rsidR="00650573">
        <w:rPr>
          <w:rFonts w:ascii="Times New Roman" w:hAnsi="Times New Roman" w:cs="Times New Roman"/>
        </w:rPr>
        <w:t>Section 83 of the Magistrates’ Court Act states that a party to any “civil suit</w:t>
      </w:r>
      <w:r w:rsidR="0013442F">
        <w:rPr>
          <w:rFonts w:ascii="Times New Roman" w:hAnsi="Times New Roman" w:cs="Times New Roman"/>
        </w:rPr>
        <w:t xml:space="preserve"> or proceeding” in a Magistrates’ Court may appeal to the division of the High Court having jurisdiction to hear the appeal against:</w:t>
      </w:r>
    </w:p>
    <w:p w14:paraId="04C76523" w14:textId="74A38585" w:rsidR="0013442F" w:rsidRDefault="0013442F">
      <w:pPr>
        <w:pStyle w:val="FootnoteText"/>
        <w:numPr>
          <w:ilvl w:val="0"/>
          <w:numId w:val="7"/>
        </w:numPr>
        <w:rPr>
          <w:rFonts w:ascii="Times New Roman" w:hAnsi="Times New Roman" w:cs="Times New Roman"/>
          <w:lang w:val="en-US"/>
        </w:rPr>
      </w:pPr>
      <w:r>
        <w:rPr>
          <w:rFonts w:ascii="Times New Roman" w:hAnsi="Times New Roman" w:cs="Times New Roman"/>
          <w:lang w:val="en-US"/>
        </w:rPr>
        <w:t>a judgment of the nature described in section 48;</w:t>
      </w:r>
    </w:p>
    <w:p w14:paraId="2CF2DBB8" w14:textId="607B9472" w:rsidR="0013442F" w:rsidRDefault="0013442F">
      <w:pPr>
        <w:pStyle w:val="FootnoteText"/>
        <w:numPr>
          <w:ilvl w:val="0"/>
          <w:numId w:val="7"/>
        </w:numPr>
        <w:rPr>
          <w:rFonts w:ascii="Times New Roman" w:hAnsi="Times New Roman" w:cs="Times New Roman"/>
          <w:lang w:val="en-US"/>
        </w:rPr>
      </w:pPr>
      <w:r>
        <w:rPr>
          <w:rFonts w:ascii="Times New Roman" w:hAnsi="Times New Roman" w:cs="Times New Roman"/>
          <w:lang w:val="en-US"/>
        </w:rPr>
        <w:t>a ‘rule of order made in such suit or proceeding and having the effect of a final judgment’</w:t>
      </w:r>
    </w:p>
    <w:p w14:paraId="621951B7" w14:textId="528D15D3" w:rsidR="0013442F" w:rsidRDefault="0013442F">
      <w:pPr>
        <w:pStyle w:val="FootnoteText"/>
        <w:numPr>
          <w:ilvl w:val="0"/>
          <w:numId w:val="7"/>
        </w:numPr>
        <w:rPr>
          <w:rFonts w:ascii="Times New Roman" w:hAnsi="Times New Roman" w:cs="Times New Roman"/>
          <w:lang w:val="en-US"/>
        </w:rPr>
      </w:pPr>
      <w:r>
        <w:rPr>
          <w:rFonts w:ascii="Times New Roman" w:hAnsi="Times New Roman" w:cs="Times New Roman"/>
          <w:lang w:val="en-US"/>
        </w:rPr>
        <w:t>a decision over ruling an exception when,</w:t>
      </w:r>
    </w:p>
    <w:p w14:paraId="359878BD" w14:textId="40501EE1" w:rsidR="0013442F" w:rsidRDefault="0013442F">
      <w:pPr>
        <w:pStyle w:val="FootnoteText"/>
        <w:numPr>
          <w:ilvl w:val="0"/>
          <w:numId w:val="8"/>
        </w:numPr>
        <w:rPr>
          <w:rFonts w:ascii="Times New Roman" w:hAnsi="Times New Roman" w:cs="Times New Roman"/>
          <w:lang w:val="en-US"/>
        </w:rPr>
      </w:pPr>
      <w:r>
        <w:rPr>
          <w:rFonts w:ascii="Times New Roman" w:hAnsi="Times New Roman" w:cs="Times New Roman"/>
          <w:lang w:val="en-US"/>
        </w:rPr>
        <w:t>…</w:t>
      </w:r>
    </w:p>
    <w:p w14:paraId="5CBD6BD0" w14:textId="431895BF" w:rsidR="0013442F" w:rsidRDefault="0013442F">
      <w:pPr>
        <w:pStyle w:val="FootnoteText"/>
        <w:numPr>
          <w:ilvl w:val="0"/>
          <w:numId w:val="8"/>
        </w:numPr>
        <w:rPr>
          <w:rFonts w:ascii="Times New Roman" w:hAnsi="Times New Roman" w:cs="Times New Roman"/>
          <w:lang w:val="en-US"/>
        </w:rPr>
      </w:pPr>
      <w:r>
        <w:rPr>
          <w:rFonts w:ascii="Times New Roman" w:hAnsi="Times New Roman" w:cs="Times New Roman"/>
          <w:lang w:val="en-US"/>
        </w:rPr>
        <w:t>…</w:t>
      </w:r>
    </w:p>
    <w:p w14:paraId="2135980E" w14:textId="5E26736E" w:rsidR="0013442F" w:rsidRPr="00650573" w:rsidRDefault="0013442F">
      <w:pPr>
        <w:pStyle w:val="FootnoteText"/>
        <w:numPr>
          <w:ilvl w:val="0"/>
          <w:numId w:val="8"/>
        </w:numPr>
        <w:rPr>
          <w:rFonts w:ascii="Times New Roman" w:hAnsi="Times New Roman" w:cs="Times New Roman"/>
          <w:lang w:val="en-US"/>
        </w:rPr>
      </w:pPr>
      <w:r>
        <w:rPr>
          <w:rFonts w:ascii="Times New Roman" w:hAnsi="Times New Roman" w:cs="Times New Roman"/>
          <w:lang w:val="en-US"/>
        </w:rPr>
        <w:t>….</w:t>
      </w:r>
    </w:p>
  </w:footnote>
  <w:footnote w:id="2">
    <w:p w14:paraId="081BD100" w14:textId="4D9356E0" w:rsidR="009A542D" w:rsidRPr="009A542D" w:rsidRDefault="009A542D">
      <w:pPr>
        <w:pStyle w:val="FootnoteText"/>
        <w:rPr>
          <w:rFonts w:ascii="Times New Roman" w:hAnsi="Times New Roman" w:cs="Times New Roman"/>
          <w:lang w:val="en-US"/>
        </w:rPr>
      </w:pPr>
      <w:r w:rsidRPr="009A542D">
        <w:rPr>
          <w:rStyle w:val="FootnoteReference"/>
          <w:rFonts w:ascii="Times New Roman" w:hAnsi="Times New Roman" w:cs="Times New Roman"/>
        </w:rPr>
        <w:footnoteRef/>
      </w:r>
      <w:r w:rsidRPr="009A542D">
        <w:rPr>
          <w:rFonts w:ascii="Times New Roman" w:hAnsi="Times New Roman" w:cs="Times New Roman"/>
        </w:rPr>
        <w:t xml:space="preserve"> [2013] ZASCA </w:t>
      </w:r>
      <w:r>
        <w:rPr>
          <w:rFonts w:ascii="Times New Roman" w:hAnsi="Times New Roman" w:cs="Times New Roman"/>
        </w:rPr>
        <w:t>5, [2013] 2 All SA 251 (SCA) at paragrap</w:t>
      </w:r>
      <w:r w:rsidR="005543AE">
        <w:rPr>
          <w:rFonts w:ascii="Times New Roman" w:hAnsi="Times New Roman" w:cs="Times New Roman"/>
        </w:rPr>
        <w:t>h [11].</w:t>
      </w:r>
    </w:p>
  </w:footnote>
  <w:footnote w:id="3">
    <w:p w14:paraId="2BBF4451" w14:textId="64665DAD" w:rsidR="005543AE" w:rsidRPr="005543AE" w:rsidRDefault="005543A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[1998] ZASCA 18, 1998 (3) SA 34 (SCA) at 40H-41E.</w:t>
      </w:r>
    </w:p>
  </w:footnote>
  <w:footnote w:id="4">
    <w:p w14:paraId="405BB9CD" w14:textId="6B78D254" w:rsidR="005543AE" w:rsidRPr="009A3741" w:rsidRDefault="005543AE">
      <w:pPr>
        <w:pStyle w:val="FootnoteText"/>
        <w:rPr>
          <w:rFonts w:ascii="Times New Roman" w:hAnsi="Times New Roman" w:cs="Times New Roman"/>
          <w:lang w:val="en-US"/>
        </w:rPr>
      </w:pPr>
      <w:r>
        <w:rPr>
          <w:rStyle w:val="FootnoteReference"/>
        </w:rPr>
        <w:footnoteRef/>
      </w:r>
      <w:r>
        <w:t xml:space="preserve"> </w:t>
      </w:r>
      <w:r w:rsidRPr="009A3741">
        <w:rPr>
          <w:rFonts w:ascii="Times New Roman" w:hAnsi="Times New Roman" w:cs="Times New Roman"/>
          <w:i/>
          <w:iCs/>
          <w:lang w:val="en-US"/>
        </w:rPr>
        <w:t>Saloojee and Another NNO v Minister of Community Development</w:t>
      </w:r>
      <w:r w:rsidRPr="009A3741">
        <w:rPr>
          <w:rFonts w:ascii="Times New Roman" w:hAnsi="Times New Roman" w:cs="Times New Roman"/>
          <w:lang w:val="en-US"/>
        </w:rPr>
        <w:t xml:space="preserve"> 1965 (2) SA 135 (A).</w:t>
      </w:r>
    </w:p>
  </w:footnote>
  <w:footnote w:id="5">
    <w:p w14:paraId="69EDE397" w14:textId="1FE00C4A" w:rsidR="009829A0" w:rsidRPr="009A3741" w:rsidRDefault="009829A0">
      <w:pPr>
        <w:pStyle w:val="FootnoteText"/>
        <w:rPr>
          <w:rFonts w:ascii="Times New Roman" w:hAnsi="Times New Roman" w:cs="Times New Roman"/>
          <w:lang w:val="en-US"/>
        </w:rPr>
      </w:pPr>
      <w:r w:rsidRPr="009A3741">
        <w:rPr>
          <w:rStyle w:val="FootnoteReference"/>
          <w:rFonts w:ascii="Times New Roman" w:hAnsi="Times New Roman" w:cs="Times New Roman"/>
        </w:rPr>
        <w:footnoteRef/>
      </w:r>
      <w:r w:rsidRPr="009A3741">
        <w:rPr>
          <w:rFonts w:ascii="Times New Roman" w:hAnsi="Times New Roman" w:cs="Times New Roman"/>
        </w:rPr>
        <w:t xml:space="preserve"> </w:t>
      </w:r>
      <w:r w:rsidR="009A3741" w:rsidRPr="009A3741">
        <w:rPr>
          <w:rFonts w:ascii="Times New Roman" w:hAnsi="Times New Roman" w:cs="Times New Roman"/>
        </w:rPr>
        <w:t>2000 (2) SA 837 (CC)</w:t>
      </w:r>
    </w:p>
  </w:footnote>
  <w:footnote w:id="6">
    <w:p w14:paraId="0A92239C" w14:textId="470514AA" w:rsidR="00F5509D" w:rsidRPr="00150163" w:rsidRDefault="00F5509D">
      <w:pPr>
        <w:pStyle w:val="FootnoteText"/>
        <w:rPr>
          <w:lang w:val="en-US"/>
        </w:rPr>
      </w:pPr>
      <w:r>
        <w:rPr>
          <w:rStyle w:val="FootnoteReference"/>
        </w:rPr>
        <w:footnoteRef/>
      </w:r>
      <w:r>
        <w:t xml:space="preserve"> </w:t>
      </w:r>
      <w:r w:rsidRPr="00150163">
        <w:rPr>
          <w:rFonts w:ascii="Times New Roman" w:hAnsi="Times New Roman" w:cs="Times New Roman"/>
          <w:i/>
          <w:iCs/>
          <w:lang w:val="en-US"/>
        </w:rPr>
        <w:t xml:space="preserve">Melane v Santam </w:t>
      </w:r>
      <w:r w:rsidR="00150163" w:rsidRPr="00150163">
        <w:rPr>
          <w:rFonts w:ascii="Times New Roman" w:hAnsi="Times New Roman" w:cs="Times New Roman"/>
          <w:i/>
          <w:iCs/>
          <w:lang w:val="en-US"/>
        </w:rPr>
        <w:t xml:space="preserve">Insurance Co Ltd </w:t>
      </w:r>
      <w:r w:rsidR="00150163">
        <w:rPr>
          <w:rFonts w:ascii="Times New Roman" w:hAnsi="Times New Roman" w:cs="Times New Roman"/>
          <w:lang w:val="en-US"/>
        </w:rPr>
        <w:t>1962 (4) SA 531 (A).</w:t>
      </w:r>
    </w:p>
  </w:footnote>
  <w:footnote w:id="7">
    <w:p w14:paraId="51F0DD0A" w14:textId="43125B3D" w:rsidR="009829A0" w:rsidRPr="009829A0" w:rsidRDefault="009829A0">
      <w:pPr>
        <w:pStyle w:val="FootnoteText"/>
        <w:rPr>
          <w:lang w:val="en-US"/>
        </w:rPr>
      </w:pPr>
      <w:r>
        <w:rPr>
          <w:rStyle w:val="FootnoteReference"/>
        </w:rPr>
        <w:footnoteRef/>
      </w:r>
      <w:r>
        <w:t xml:space="preserve"> </w:t>
      </w:r>
      <w:r w:rsidR="009A3741" w:rsidRPr="009A3741">
        <w:rPr>
          <w:rFonts w:ascii="Times New Roman" w:hAnsi="Times New Roman" w:cs="Times New Roman"/>
        </w:rPr>
        <w:t>[2000] ZACC 3, 2000 (5) BCLR 465, 2000 (2) SA 837 (CC) at paragraph [3]</w:t>
      </w:r>
    </w:p>
  </w:footnote>
  <w:footnote w:id="8">
    <w:p w14:paraId="65AEBBA9" w14:textId="29C9B987" w:rsidR="00CD191A" w:rsidRPr="00CD191A" w:rsidRDefault="00CD191A">
      <w:pPr>
        <w:pStyle w:val="FootnoteText"/>
        <w:rPr>
          <w:rFonts w:ascii="Times New Roman" w:hAnsi="Times New Roman" w:cs="Times New Roman"/>
          <w:i/>
          <w:iCs/>
          <w:lang w:val="en-US"/>
        </w:rPr>
      </w:pPr>
      <w:r>
        <w:rPr>
          <w:rStyle w:val="FootnoteReference"/>
        </w:rPr>
        <w:footnoteRef/>
      </w:r>
      <w:r>
        <w:t xml:space="preserve"> </w:t>
      </w:r>
      <w:r>
        <w:rPr>
          <w:rFonts w:ascii="Times New Roman" w:hAnsi="Times New Roman" w:cs="Times New Roman"/>
          <w:i/>
          <w:iCs/>
          <w:lang w:val="en-US"/>
        </w:rPr>
        <w:t xml:space="preserve">Colyn v Tiger Food Industries Ltd t/a Meadow Feed Mills (Cape) </w:t>
      </w:r>
      <w:r w:rsidRPr="00CD191A">
        <w:rPr>
          <w:rFonts w:ascii="Times New Roman" w:hAnsi="Times New Roman" w:cs="Times New Roman"/>
          <w:lang w:val="en-US"/>
        </w:rPr>
        <w:t>2003 (6) SA 1 (SCA).</w:t>
      </w:r>
    </w:p>
  </w:footnote>
  <w:footnote w:id="9">
    <w:p w14:paraId="5957CC80" w14:textId="250D56EF" w:rsidR="00F5509D" w:rsidRPr="00F5509D" w:rsidRDefault="00F5509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Government of the Republic of Zimbabwe v Fick</w:t>
      </w:r>
      <w:r>
        <w:rPr>
          <w:rFonts w:ascii="Times New Roman" w:hAnsi="Times New Roman" w:cs="Times New Roman"/>
          <w:lang w:val="en-US"/>
        </w:rPr>
        <w:t xml:space="preserve"> 2013 (5) SA 325 (CC) at paragraph [85].</w:t>
      </w:r>
    </w:p>
  </w:footnote>
  <w:footnote w:id="10">
    <w:p w14:paraId="131361D1" w14:textId="257EC7E5" w:rsidR="00F5509D" w:rsidRPr="00F5509D" w:rsidRDefault="00F5509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Chetty v Law Soc, Tvl </w:t>
      </w:r>
      <w:r>
        <w:rPr>
          <w:rFonts w:ascii="Times New Roman" w:hAnsi="Times New Roman" w:cs="Times New Roman"/>
          <w:lang w:val="en-US"/>
        </w:rPr>
        <w:t>1985 (2) SA 756 (A) at 765, 767J-768B.</w:t>
      </w:r>
    </w:p>
  </w:footnote>
  <w:footnote w:id="11">
    <w:p w14:paraId="6676993E" w14:textId="4133B8F9" w:rsidR="00C15114" w:rsidRPr="00C15114" w:rsidRDefault="00C1511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See footnote 8.</w:t>
      </w:r>
    </w:p>
  </w:footnote>
  <w:footnote w:id="12">
    <w:p w14:paraId="33D07C52" w14:textId="6B8E9D84" w:rsidR="000D4AF6" w:rsidRPr="000D4AF6" w:rsidRDefault="000D4AF6">
      <w:pPr>
        <w:pStyle w:val="FootnoteText"/>
        <w:rPr>
          <w:lang w:val="en-US"/>
        </w:rPr>
      </w:pPr>
      <w:r>
        <w:rPr>
          <w:rStyle w:val="FootnoteReference"/>
        </w:rPr>
        <w:footnoteRef/>
      </w:r>
      <w:r>
        <w:t xml:space="preserve"> (</w:t>
      </w:r>
      <w:r w:rsidRPr="00DA4C0B">
        <w:rPr>
          <w:rFonts w:ascii="Times New Roman" w:eastAsia="Times New Roman" w:hAnsi="Times New Roman" w:cs="Times New Roman"/>
          <w:color w:val="242121"/>
          <w:shd w:val="clear" w:color="auto" w:fill="FFFFFF"/>
          <w:lang w:val="en-ZA" w:eastAsia="en-GB"/>
        </w:rPr>
        <w:t>2004) 25 ILJ 96 (LAC) at 100H</w:t>
      </w:r>
      <w:r>
        <w:rPr>
          <w:rFonts w:ascii="Times New Roman" w:eastAsia="Times New Roman" w:hAnsi="Times New Roman" w:cs="Times New Roman"/>
          <w:color w:val="242121"/>
          <w:shd w:val="clear" w:color="auto" w:fill="FFFFFF"/>
          <w:lang w:val="en-ZA" w:eastAsia="en-GB"/>
        </w:rPr>
        <w:t>.</w:t>
      </w:r>
    </w:p>
  </w:footnote>
  <w:footnote w:id="13">
    <w:p w14:paraId="61345838" w14:textId="197DCF09" w:rsidR="00D011EF" w:rsidRPr="00D011EF" w:rsidRDefault="00D011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EH Hassim Hardware (Pty) Ltd v FAB Tanks CC</w:t>
      </w:r>
      <w:r>
        <w:rPr>
          <w:rFonts w:ascii="Times New Roman" w:hAnsi="Times New Roman" w:cs="Times New Roman"/>
          <w:lang w:val="en-US"/>
        </w:rPr>
        <w:t xml:space="preserve"> [2017] ZASCA 145 (13 October 2017) at paragraph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5CE"/>
    <w:multiLevelType w:val="hybridMultilevel"/>
    <w:tmpl w:val="E69EB886"/>
    <w:lvl w:ilvl="0" w:tplc="357AE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2805DD5"/>
    <w:multiLevelType w:val="hybridMultilevel"/>
    <w:tmpl w:val="065AF1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2C404F"/>
    <w:multiLevelType w:val="hybridMultilevel"/>
    <w:tmpl w:val="8C7AA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F1456"/>
    <w:multiLevelType w:val="multilevel"/>
    <w:tmpl w:val="0A18AB00"/>
    <w:lvl w:ilvl="0">
      <w:start w:val="1"/>
      <w:numFmt w:val="decimal"/>
      <w:lvlText w:val="%1."/>
      <w:lvlJc w:val="left"/>
      <w:pPr>
        <w:ind w:left="927" w:hanging="360"/>
      </w:pPr>
      <w:rPr>
        <w:rFonts w:hint="default"/>
      </w:rPr>
    </w:lvl>
    <w:lvl w:ilvl="1">
      <w:start w:val="1"/>
      <w:numFmt w:val="decimal"/>
      <w:lvlText w:val="%2."/>
      <w:lvlJc w:val="left"/>
      <w:pPr>
        <w:ind w:left="1287" w:hanging="360"/>
      </w:p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2F4403F1"/>
    <w:multiLevelType w:val="hybridMultilevel"/>
    <w:tmpl w:val="C3C2971C"/>
    <w:lvl w:ilvl="0" w:tplc="0809000F">
      <w:start w:val="1"/>
      <w:numFmt w:val="decimal"/>
      <w:lvlText w:val="%1."/>
      <w:lvlJc w:val="left"/>
      <w:pPr>
        <w:ind w:left="1287" w:hanging="360"/>
      </w:pPr>
      <w:rPr>
        <w:rFonts w:hint="default"/>
        <w:sz w:val="22"/>
        <w:szCs w:val="22"/>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D790957"/>
    <w:multiLevelType w:val="multilevel"/>
    <w:tmpl w:val="83E4472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7ADE5C00"/>
    <w:multiLevelType w:val="hybridMultilevel"/>
    <w:tmpl w:val="B52A931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22FB"/>
    <w:rsid w:val="000044AA"/>
    <w:rsid w:val="00005B9B"/>
    <w:rsid w:val="00015F84"/>
    <w:rsid w:val="00016C81"/>
    <w:rsid w:val="00017D90"/>
    <w:rsid w:val="00033857"/>
    <w:rsid w:val="0003589D"/>
    <w:rsid w:val="0003596B"/>
    <w:rsid w:val="0003713B"/>
    <w:rsid w:val="000454A5"/>
    <w:rsid w:val="000546E2"/>
    <w:rsid w:val="000745D4"/>
    <w:rsid w:val="0007495F"/>
    <w:rsid w:val="000879A0"/>
    <w:rsid w:val="00090D4E"/>
    <w:rsid w:val="00097058"/>
    <w:rsid w:val="0009792A"/>
    <w:rsid w:val="000A0CF8"/>
    <w:rsid w:val="000A208C"/>
    <w:rsid w:val="000A2D18"/>
    <w:rsid w:val="000A373B"/>
    <w:rsid w:val="000A6757"/>
    <w:rsid w:val="000A6B58"/>
    <w:rsid w:val="000C27D0"/>
    <w:rsid w:val="000D09B8"/>
    <w:rsid w:val="000D0F97"/>
    <w:rsid w:val="000D4AF6"/>
    <w:rsid w:val="000E018F"/>
    <w:rsid w:val="000E0FE0"/>
    <w:rsid w:val="000E1435"/>
    <w:rsid w:val="000F0E1B"/>
    <w:rsid w:val="000F2890"/>
    <w:rsid w:val="000F4570"/>
    <w:rsid w:val="000F63AD"/>
    <w:rsid w:val="000F760F"/>
    <w:rsid w:val="0010104C"/>
    <w:rsid w:val="001034AD"/>
    <w:rsid w:val="001147C7"/>
    <w:rsid w:val="00115A48"/>
    <w:rsid w:val="00117D1F"/>
    <w:rsid w:val="00120828"/>
    <w:rsid w:val="001245EF"/>
    <w:rsid w:val="00132AA7"/>
    <w:rsid w:val="0013442F"/>
    <w:rsid w:val="001356B3"/>
    <w:rsid w:val="0014035A"/>
    <w:rsid w:val="00141137"/>
    <w:rsid w:val="00150163"/>
    <w:rsid w:val="0015206F"/>
    <w:rsid w:val="001541C5"/>
    <w:rsid w:val="001618A8"/>
    <w:rsid w:val="00162D98"/>
    <w:rsid w:val="00163376"/>
    <w:rsid w:val="00167E8C"/>
    <w:rsid w:val="0018163C"/>
    <w:rsid w:val="00181917"/>
    <w:rsid w:val="00194608"/>
    <w:rsid w:val="001A12F4"/>
    <w:rsid w:val="001A4515"/>
    <w:rsid w:val="001A4E24"/>
    <w:rsid w:val="001B1FC2"/>
    <w:rsid w:val="001B2D3D"/>
    <w:rsid w:val="001B7F1F"/>
    <w:rsid w:val="001C4B45"/>
    <w:rsid w:val="001C5D4F"/>
    <w:rsid w:val="001C5D8E"/>
    <w:rsid w:val="001C67A5"/>
    <w:rsid w:val="001C7CCD"/>
    <w:rsid w:val="001D5E23"/>
    <w:rsid w:val="001F02D0"/>
    <w:rsid w:val="001F1BF7"/>
    <w:rsid w:val="001F40CC"/>
    <w:rsid w:val="001F5A51"/>
    <w:rsid w:val="0020162A"/>
    <w:rsid w:val="00204926"/>
    <w:rsid w:val="00211BB0"/>
    <w:rsid w:val="0021409B"/>
    <w:rsid w:val="002161F1"/>
    <w:rsid w:val="00216BAC"/>
    <w:rsid w:val="00225920"/>
    <w:rsid w:val="00233530"/>
    <w:rsid w:val="00250483"/>
    <w:rsid w:val="00256CBB"/>
    <w:rsid w:val="0026051E"/>
    <w:rsid w:val="002629B9"/>
    <w:rsid w:val="00263B72"/>
    <w:rsid w:val="00263E93"/>
    <w:rsid w:val="002659CF"/>
    <w:rsid w:val="00266778"/>
    <w:rsid w:val="00273C53"/>
    <w:rsid w:val="002754A3"/>
    <w:rsid w:val="00281286"/>
    <w:rsid w:val="002816B5"/>
    <w:rsid w:val="002828B5"/>
    <w:rsid w:val="002837B6"/>
    <w:rsid w:val="002846A0"/>
    <w:rsid w:val="002859FC"/>
    <w:rsid w:val="002876F6"/>
    <w:rsid w:val="00293157"/>
    <w:rsid w:val="00293BA8"/>
    <w:rsid w:val="00297BD6"/>
    <w:rsid w:val="002A1BD6"/>
    <w:rsid w:val="002A7B0A"/>
    <w:rsid w:val="002B6E5B"/>
    <w:rsid w:val="002B700F"/>
    <w:rsid w:val="002C08F8"/>
    <w:rsid w:val="002D57B5"/>
    <w:rsid w:val="002D7BC3"/>
    <w:rsid w:val="002E3CB4"/>
    <w:rsid w:val="002F1C92"/>
    <w:rsid w:val="002F36DE"/>
    <w:rsid w:val="002F3B9D"/>
    <w:rsid w:val="002F7B5A"/>
    <w:rsid w:val="00300474"/>
    <w:rsid w:val="0030138D"/>
    <w:rsid w:val="003040C6"/>
    <w:rsid w:val="00304E7C"/>
    <w:rsid w:val="003076C2"/>
    <w:rsid w:val="003112B4"/>
    <w:rsid w:val="003147A5"/>
    <w:rsid w:val="0031591A"/>
    <w:rsid w:val="00322924"/>
    <w:rsid w:val="00333AD9"/>
    <w:rsid w:val="00341FE6"/>
    <w:rsid w:val="00343C0C"/>
    <w:rsid w:val="00352B22"/>
    <w:rsid w:val="003577FC"/>
    <w:rsid w:val="0036176E"/>
    <w:rsid w:val="00367651"/>
    <w:rsid w:val="003704C6"/>
    <w:rsid w:val="00370EE5"/>
    <w:rsid w:val="00373785"/>
    <w:rsid w:val="0037516C"/>
    <w:rsid w:val="00383AF4"/>
    <w:rsid w:val="00385311"/>
    <w:rsid w:val="00390567"/>
    <w:rsid w:val="00390569"/>
    <w:rsid w:val="00390934"/>
    <w:rsid w:val="00390E48"/>
    <w:rsid w:val="003914A2"/>
    <w:rsid w:val="003915FF"/>
    <w:rsid w:val="003922F6"/>
    <w:rsid w:val="00392A31"/>
    <w:rsid w:val="00393C1E"/>
    <w:rsid w:val="003A1569"/>
    <w:rsid w:val="003A1E6A"/>
    <w:rsid w:val="003A516E"/>
    <w:rsid w:val="003A74C1"/>
    <w:rsid w:val="003B2AD5"/>
    <w:rsid w:val="003B3865"/>
    <w:rsid w:val="003B4FB8"/>
    <w:rsid w:val="003C28C7"/>
    <w:rsid w:val="003D0E50"/>
    <w:rsid w:val="003D2706"/>
    <w:rsid w:val="003E2293"/>
    <w:rsid w:val="003E39DB"/>
    <w:rsid w:val="003E3BFE"/>
    <w:rsid w:val="003E487B"/>
    <w:rsid w:val="003E4B4E"/>
    <w:rsid w:val="003E4FEB"/>
    <w:rsid w:val="004138C0"/>
    <w:rsid w:val="0041503A"/>
    <w:rsid w:val="00436B20"/>
    <w:rsid w:val="00443E36"/>
    <w:rsid w:val="004501AF"/>
    <w:rsid w:val="00450F49"/>
    <w:rsid w:val="00453D3E"/>
    <w:rsid w:val="00454A4F"/>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7D9A"/>
    <w:rsid w:val="004B3B73"/>
    <w:rsid w:val="004B474D"/>
    <w:rsid w:val="004B77F0"/>
    <w:rsid w:val="004C3507"/>
    <w:rsid w:val="004D101A"/>
    <w:rsid w:val="004E190E"/>
    <w:rsid w:val="0050373E"/>
    <w:rsid w:val="00504228"/>
    <w:rsid w:val="00520BC6"/>
    <w:rsid w:val="00520FB1"/>
    <w:rsid w:val="00523ABD"/>
    <w:rsid w:val="00525B14"/>
    <w:rsid w:val="00530400"/>
    <w:rsid w:val="005325BD"/>
    <w:rsid w:val="005352F1"/>
    <w:rsid w:val="00535BC5"/>
    <w:rsid w:val="0054010B"/>
    <w:rsid w:val="00542A1A"/>
    <w:rsid w:val="005447A9"/>
    <w:rsid w:val="005537EE"/>
    <w:rsid w:val="0055391D"/>
    <w:rsid w:val="005543AE"/>
    <w:rsid w:val="00554446"/>
    <w:rsid w:val="00560DC3"/>
    <w:rsid w:val="00571ED6"/>
    <w:rsid w:val="005742F8"/>
    <w:rsid w:val="005853D7"/>
    <w:rsid w:val="00595064"/>
    <w:rsid w:val="0059557C"/>
    <w:rsid w:val="00595A1F"/>
    <w:rsid w:val="00596DF5"/>
    <w:rsid w:val="00597C65"/>
    <w:rsid w:val="005A0656"/>
    <w:rsid w:val="005A2C33"/>
    <w:rsid w:val="005A6DA1"/>
    <w:rsid w:val="005A7E78"/>
    <w:rsid w:val="005B26BB"/>
    <w:rsid w:val="005B29F7"/>
    <w:rsid w:val="005B6863"/>
    <w:rsid w:val="005C58CB"/>
    <w:rsid w:val="005C62CE"/>
    <w:rsid w:val="005E39BE"/>
    <w:rsid w:val="005F4262"/>
    <w:rsid w:val="005F42C7"/>
    <w:rsid w:val="005F5BC0"/>
    <w:rsid w:val="00605715"/>
    <w:rsid w:val="00612E7D"/>
    <w:rsid w:val="00615DD8"/>
    <w:rsid w:val="00621F3E"/>
    <w:rsid w:val="006236D3"/>
    <w:rsid w:val="00624683"/>
    <w:rsid w:val="00630E3B"/>
    <w:rsid w:val="00632C78"/>
    <w:rsid w:val="00637593"/>
    <w:rsid w:val="00644C0D"/>
    <w:rsid w:val="00645669"/>
    <w:rsid w:val="00645C84"/>
    <w:rsid w:val="00646B3D"/>
    <w:rsid w:val="00650573"/>
    <w:rsid w:val="0065517A"/>
    <w:rsid w:val="00662EA5"/>
    <w:rsid w:val="00665FF8"/>
    <w:rsid w:val="00667E38"/>
    <w:rsid w:val="00670541"/>
    <w:rsid w:val="0067476B"/>
    <w:rsid w:val="00676784"/>
    <w:rsid w:val="00676869"/>
    <w:rsid w:val="00677983"/>
    <w:rsid w:val="0068111A"/>
    <w:rsid w:val="0068118D"/>
    <w:rsid w:val="006815C4"/>
    <w:rsid w:val="00681FD2"/>
    <w:rsid w:val="0068216D"/>
    <w:rsid w:val="006851CA"/>
    <w:rsid w:val="0068740F"/>
    <w:rsid w:val="00687C3F"/>
    <w:rsid w:val="00694567"/>
    <w:rsid w:val="006975CF"/>
    <w:rsid w:val="006A0219"/>
    <w:rsid w:val="006A2D52"/>
    <w:rsid w:val="006A4401"/>
    <w:rsid w:val="006A7D3B"/>
    <w:rsid w:val="006B6129"/>
    <w:rsid w:val="006B6864"/>
    <w:rsid w:val="006C3ABC"/>
    <w:rsid w:val="006C7A40"/>
    <w:rsid w:val="006D4644"/>
    <w:rsid w:val="006D5AE0"/>
    <w:rsid w:val="006D5D68"/>
    <w:rsid w:val="006E1CB5"/>
    <w:rsid w:val="006E59AA"/>
    <w:rsid w:val="006F5228"/>
    <w:rsid w:val="006F5878"/>
    <w:rsid w:val="007003D8"/>
    <w:rsid w:val="0071560D"/>
    <w:rsid w:val="0071594C"/>
    <w:rsid w:val="00716533"/>
    <w:rsid w:val="007176A8"/>
    <w:rsid w:val="007207BF"/>
    <w:rsid w:val="00721FA9"/>
    <w:rsid w:val="0072332E"/>
    <w:rsid w:val="00723CE4"/>
    <w:rsid w:val="007341E3"/>
    <w:rsid w:val="00736AE7"/>
    <w:rsid w:val="00743D10"/>
    <w:rsid w:val="00746330"/>
    <w:rsid w:val="00750076"/>
    <w:rsid w:val="00753ABC"/>
    <w:rsid w:val="0075712C"/>
    <w:rsid w:val="0076243E"/>
    <w:rsid w:val="007770A1"/>
    <w:rsid w:val="00791408"/>
    <w:rsid w:val="00791AA7"/>
    <w:rsid w:val="007926D7"/>
    <w:rsid w:val="00794418"/>
    <w:rsid w:val="00795AEA"/>
    <w:rsid w:val="00796556"/>
    <w:rsid w:val="00796DAB"/>
    <w:rsid w:val="007A534F"/>
    <w:rsid w:val="007A6503"/>
    <w:rsid w:val="007B108D"/>
    <w:rsid w:val="007B19F8"/>
    <w:rsid w:val="007B286C"/>
    <w:rsid w:val="007B58F9"/>
    <w:rsid w:val="007B64B8"/>
    <w:rsid w:val="007B7B6D"/>
    <w:rsid w:val="007C0ED7"/>
    <w:rsid w:val="007C2859"/>
    <w:rsid w:val="007C302F"/>
    <w:rsid w:val="007C4B28"/>
    <w:rsid w:val="007C6575"/>
    <w:rsid w:val="007C6B2C"/>
    <w:rsid w:val="007D3122"/>
    <w:rsid w:val="007E12A5"/>
    <w:rsid w:val="007F276F"/>
    <w:rsid w:val="007F337F"/>
    <w:rsid w:val="007F3F20"/>
    <w:rsid w:val="007F5A37"/>
    <w:rsid w:val="00800364"/>
    <w:rsid w:val="00800500"/>
    <w:rsid w:val="00800A28"/>
    <w:rsid w:val="008015A5"/>
    <w:rsid w:val="00803426"/>
    <w:rsid w:val="008036CB"/>
    <w:rsid w:val="008045A5"/>
    <w:rsid w:val="00805A8C"/>
    <w:rsid w:val="00812E76"/>
    <w:rsid w:val="00814A96"/>
    <w:rsid w:val="00822463"/>
    <w:rsid w:val="0083132F"/>
    <w:rsid w:val="008362C6"/>
    <w:rsid w:val="00837EA0"/>
    <w:rsid w:val="00843E22"/>
    <w:rsid w:val="00846D7B"/>
    <w:rsid w:val="0085196E"/>
    <w:rsid w:val="00855655"/>
    <w:rsid w:val="00860B08"/>
    <w:rsid w:val="00861029"/>
    <w:rsid w:val="00863B53"/>
    <w:rsid w:val="0087291C"/>
    <w:rsid w:val="00872D39"/>
    <w:rsid w:val="0087306E"/>
    <w:rsid w:val="00876825"/>
    <w:rsid w:val="00885459"/>
    <w:rsid w:val="00887A86"/>
    <w:rsid w:val="00887CE2"/>
    <w:rsid w:val="008909FB"/>
    <w:rsid w:val="008947B8"/>
    <w:rsid w:val="008A1164"/>
    <w:rsid w:val="008A3B73"/>
    <w:rsid w:val="008B0724"/>
    <w:rsid w:val="008B6C59"/>
    <w:rsid w:val="008C2AA4"/>
    <w:rsid w:val="008C2AFA"/>
    <w:rsid w:val="008C2F3E"/>
    <w:rsid w:val="008C422A"/>
    <w:rsid w:val="008C676D"/>
    <w:rsid w:val="008D23AB"/>
    <w:rsid w:val="008D2936"/>
    <w:rsid w:val="008D5618"/>
    <w:rsid w:val="008E674B"/>
    <w:rsid w:val="008F0180"/>
    <w:rsid w:val="008F15EB"/>
    <w:rsid w:val="008F1DEB"/>
    <w:rsid w:val="008F4B8E"/>
    <w:rsid w:val="0090056A"/>
    <w:rsid w:val="0090311C"/>
    <w:rsid w:val="00904D0A"/>
    <w:rsid w:val="0090502C"/>
    <w:rsid w:val="00905369"/>
    <w:rsid w:val="00911482"/>
    <w:rsid w:val="0091374A"/>
    <w:rsid w:val="0091707E"/>
    <w:rsid w:val="009220D4"/>
    <w:rsid w:val="00922DDA"/>
    <w:rsid w:val="0092687A"/>
    <w:rsid w:val="00926DF5"/>
    <w:rsid w:val="00935848"/>
    <w:rsid w:val="00935FB7"/>
    <w:rsid w:val="009400DF"/>
    <w:rsid w:val="0094030F"/>
    <w:rsid w:val="0094783D"/>
    <w:rsid w:val="0095021D"/>
    <w:rsid w:val="009528C4"/>
    <w:rsid w:val="00955E72"/>
    <w:rsid w:val="0095642C"/>
    <w:rsid w:val="009617ED"/>
    <w:rsid w:val="00961C13"/>
    <w:rsid w:val="009640C9"/>
    <w:rsid w:val="00966097"/>
    <w:rsid w:val="009715E9"/>
    <w:rsid w:val="009761D7"/>
    <w:rsid w:val="009820AE"/>
    <w:rsid w:val="009829A0"/>
    <w:rsid w:val="009866B2"/>
    <w:rsid w:val="00991EC9"/>
    <w:rsid w:val="009936F1"/>
    <w:rsid w:val="009A0308"/>
    <w:rsid w:val="009A3741"/>
    <w:rsid w:val="009A48D8"/>
    <w:rsid w:val="009A542D"/>
    <w:rsid w:val="009A78C7"/>
    <w:rsid w:val="009E01B4"/>
    <w:rsid w:val="009F1703"/>
    <w:rsid w:val="009F1F63"/>
    <w:rsid w:val="009F2BEC"/>
    <w:rsid w:val="009F388F"/>
    <w:rsid w:val="009F3C31"/>
    <w:rsid w:val="00A029F9"/>
    <w:rsid w:val="00A120CD"/>
    <w:rsid w:val="00A14AE4"/>
    <w:rsid w:val="00A15677"/>
    <w:rsid w:val="00A2092C"/>
    <w:rsid w:val="00A22B7C"/>
    <w:rsid w:val="00A245DA"/>
    <w:rsid w:val="00A27490"/>
    <w:rsid w:val="00A32396"/>
    <w:rsid w:val="00A3309D"/>
    <w:rsid w:val="00A4175C"/>
    <w:rsid w:val="00A46E2F"/>
    <w:rsid w:val="00A50B5B"/>
    <w:rsid w:val="00A629E1"/>
    <w:rsid w:val="00A71420"/>
    <w:rsid w:val="00A72D0E"/>
    <w:rsid w:val="00A758EF"/>
    <w:rsid w:val="00A81815"/>
    <w:rsid w:val="00A83A9A"/>
    <w:rsid w:val="00A9748A"/>
    <w:rsid w:val="00AB0360"/>
    <w:rsid w:val="00AB1D2E"/>
    <w:rsid w:val="00AB3DE4"/>
    <w:rsid w:val="00AB404E"/>
    <w:rsid w:val="00AC0B6E"/>
    <w:rsid w:val="00AC1BD3"/>
    <w:rsid w:val="00AC3308"/>
    <w:rsid w:val="00AC591D"/>
    <w:rsid w:val="00AC5F3D"/>
    <w:rsid w:val="00AC6F67"/>
    <w:rsid w:val="00AD3C12"/>
    <w:rsid w:val="00AE2164"/>
    <w:rsid w:val="00AE4DDA"/>
    <w:rsid w:val="00AE4F57"/>
    <w:rsid w:val="00AF61D0"/>
    <w:rsid w:val="00B006E8"/>
    <w:rsid w:val="00B012CD"/>
    <w:rsid w:val="00B059B8"/>
    <w:rsid w:val="00B0633C"/>
    <w:rsid w:val="00B10264"/>
    <w:rsid w:val="00B1246A"/>
    <w:rsid w:val="00B16FBA"/>
    <w:rsid w:val="00B173D3"/>
    <w:rsid w:val="00B2060F"/>
    <w:rsid w:val="00B24158"/>
    <w:rsid w:val="00B368FB"/>
    <w:rsid w:val="00B42CB3"/>
    <w:rsid w:val="00B46E31"/>
    <w:rsid w:val="00B51251"/>
    <w:rsid w:val="00B52B5A"/>
    <w:rsid w:val="00B55F87"/>
    <w:rsid w:val="00B575B8"/>
    <w:rsid w:val="00B65704"/>
    <w:rsid w:val="00B67D30"/>
    <w:rsid w:val="00B81E83"/>
    <w:rsid w:val="00B84B15"/>
    <w:rsid w:val="00B96804"/>
    <w:rsid w:val="00BA4274"/>
    <w:rsid w:val="00BA5070"/>
    <w:rsid w:val="00BB6D88"/>
    <w:rsid w:val="00BC0D1A"/>
    <w:rsid w:val="00BC121C"/>
    <w:rsid w:val="00BC170B"/>
    <w:rsid w:val="00BC2076"/>
    <w:rsid w:val="00BC6AB5"/>
    <w:rsid w:val="00BC70F4"/>
    <w:rsid w:val="00BC7E3B"/>
    <w:rsid w:val="00BC7E99"/>
    <w:rsid w:val="00BD7646"/>
    <w:rsid w:val="00BD7798"/>
    <w:rsid w:val="00BE06C3"/>
    <w:rsid w:val="00BE62BA"/>
    <w:rsid w:val="00BE6C0B"/>
    <w:rsid w:val="00BF07C2"/>
    <w:rsid w:val="00BF5CBB"/>
    <w:rsid w:val="00C002B8"/>
    <w:rsid w:val="00C004AA"/>
    <w:rsid w:val="00C06CB1"/>
    <w:rsid w:val="00C15114"/>
    <w:rsid w:val="00C21518"/>
    <w:rsid w:val="00C216D3"/>
    <w:rsid w:val="00C2405E"/>
    <w:rsid w:val="00C27D20"/>
    <w:rsid w:val="00C27D35"/>
    <w:rsid w:val="00C33885"/>
    <w:rsid w:val="00C33A8B"/>
    <w:rsid w:val="00C36661"/>
    <w:rsid w:val="00C371A2"/>
    <w:rsid w:val="00C40314"/>
    <w:rsid w:val="00C434C2"/>
    <w:rsid w:val="00C5475F"/>
    <w:rsid w:val="00C54FAE"/>
    <w:rsid w:val="00C65F71"/>
    <w:rsid w:val="00C67D4E"/>
    <w:rsid w:val="00C67D84"/>
    <w:rsid w:val="00C7029B"/>
    <w:rsid w:val="00C738B1"/>
    <w:rsid w:val="00C73C12"/>
    <w:rsid w:val="00C74CF4"/>
    <w:rsid w:val="00C82217"/>
    <w:rsid w:val="00C85362"/>
    <w:rsid w:val="00C86419"/>
    <w:rsid w:val="00C87059"/>
    <w:rsid w:val="00C8778C"/>
    <w:rsid w:val="00C90B5C"/>
    <w:rsid w:val="00C9383A"/>
    <w:rsid w:val="00C9430B"/>
    <w:rsid w:val="00C95D97"/>
    <w:rsid w:val="00C96D24"/>
    <w:rsid w:val="00CA3C9C"/>
    <w:rsid w:val="00CA6226"/>
    <w:rsid w:val="00CB1B38"/>
    <w:rsid w:val="00CB1E27"/>
    <w:rsid w:val="00CB37AE"/>
    <w:rsid w:val="00CB6B29"/>
    <w:rsid w:val="00CB7831"/>
    <w:rsid w:val="00CC076D"/>
    <w:rsid w:val="00CC60E4"/>
    <w:rsid w:val="00CD191A"/>
    <w:rsid w:val="00CD2D36"/>
    <w:rsid w:val="00CE4813"/>
    <w:rsid w:val="00CF2D86"/>
    <w:rsid w:val="00CF330B"/>
    <w:rsid w:val="00CF4D0E"/>
    <w:rsid w:val="00D011EF"/>
    <w:rsid w:val="00D0240D"/>
    <w:rsid w:val="00D040D5"/>
    <w:rsid w:val="00D05004"/>
    <w:rsid w:val="00D07C0B"/>
    <w:rsid w:val="00D204AB"/>
    <w:rsid w:val="00D20A7C"/>
    <w:rsid w:val="00D23B9A"/>
    <w:rsid w:val="00D24B52"/>
    <w:rsid w:val="00D270CF"/>
    <w:rsid w:val="00D32FCF"/>
    <w:rsid w:val="00D35987"/>
    <w:rsid w:val="00D44AC3"/>
    <w:rsid w:val="00D50645"/>
    <w:rsid w:val="00D50ECC"/>
    <w:rsid w:val="00D52C8C"/>
    <w:rsid w:val="00D54C9E"/>
    <w:rsid w:val="00D64901"/>
    <w:rsid w:val="00D6548E"/>
    <w:rsid w:val="00D724F4"/>
    <w:rsid w:val="00D72EDF"/>
    <w:rsid w:val="00D80074"/>
    <w:rsid w:val="00D818C8"/>
    <w:rsid w:val="00D82649"/>
    <w:rsid w:val="00D94228"/>
    <w:rsid w:val="00DA1DAC"/>
    <w:rsid w:val="00DA69DA"/>
    <w:rsid w:val="00DB066F"/>
    <w:rsid w:val="00DB1B17"/>
    <w:rsid w:val="00DB5469"/>
    <w:rsid w:val="00DB73DD"/>
    <w:rsid w:val="00DC22D2"/>
    <w:rsid w:val="00DC3902"/>
    <w:rsid w:val="00DC6E5F"/>
    <w:rsid w:val="00DD2B66"/>
    <w:rsid w:val="00DE30EA"/>
    <w:rsid w:val="00DE323F"/>
    <w:rsid w:val="00DE5671"/>
    <w:rsid w:val="00DE5AF7"/>
    <w:rsid w:val="00DE75C0"/>
    <w:rsid w:val="00DE7983"/>
    <w:rsid w:val="00DF0D13"/>
    <w:rsid w:val="00DF2F5D"/>
    <w:rsid w:val="00DF3644"/>
    <w:rsid w:val="00DF7889"/>
    <w:rsid w:val="00E000E1"/>
    <w:rsid w:val="00E02CD0"/>
    <w:rsid w:val="00E04BF6"/>
    <w:rsid w:val="00E056EE"/>
    <w:rsid w:val="00E12423"/>
    <w:rsid w:val="00E12AF1"/>
    <w:rsid w:val="00E13982"/>
    <w:rsid w:val="00E15266"/>
    <w:rsid w:val="00E165D4"/>
    <w:rsid w:val="00E25FB8"/>
    <w:rsid w:val="00E2662B"/>
    <w:rsid w:val="00E335F8"/>
    <w:rsid w:val="00E3481F"/>
    <w:rsid w:val="00E477C2"/>
    <w:rsid w:val="00E51D4A"/>
    <w:rsid w:val="00E556F8"/>
    <w:rsid w:val="00E57323"/>
    <w:rsid w:val="00E5770E"/>
    <w:rsid w:val="00E65E37"/>
    <w:rsid w:val="00E67EB6"/>
    <w:rsid w:val="00E8025F"/>
    <w:rsid w:val="00E90C93"/>
    <w:rsid w:val="00E93717"/>
    <w:rsid w:val="00E94514"/>
    <w:rsid w:val="00E96002"/>
    <w:rsid w:val="00E9669E"/>
    <w:rsid w:val="00EA543B"/>
    <w:rsid w:val="00EB2598"/>
    <w:rsid w:val="00EC25F7"/>
    <w:rsid w:val="00EC335E"/>
    <w:rsid w:val="00EC48BF"/>
    <w:rsid w:val="00ED3656"/>
    <w:rsid w:val="00EE3501"/>
    <w:rsid w:val="00EE3616"/>
    <w:rsid w:val="00EE7933"/>
    <w:rsid w:val="00EF1D7B"/>
    <w:rsid w:val="00EF78A1"/>
    <w:rsid w:val="00F01FBD"/>
    <w:rsid w:val="00F11DCC"/>
    <w:rsid w:val="00F12349"/>
    <w:rsid w:val="00F12C19"/>
    <w:rsid w:val="00F17EA7"/>
    <w:rsid w:val="00F23F22"/>
    <w:rsid w:val="00F25216"/>
    <w:rsid w:val="00F30712"/>
    <w:rsid w:val="00F3082F"/>
    <w:rsid w:val="00F36F8D"/>
    <w:rsid w:val="00F42D68"/>
    <w:rsid w:val="00F440B6"/>
    <w:rsid w:val="00F44BDF"/>
    <w:rsid w:val="00F5509D"/>
    <w:rsid w:val="00F5576D"/>
    <w:rsid w:val="00F61992"/>
    <w:rsid w:val="00F64F77"/>
    <w:rsid w:val="00F70E76"/>
    <w:rsid w:val="00F72722"/>
    <w:rsid w:val="00F75680"/>
    <w:rsid w:val="00F84201"/>
    <w:rsid w:val="00F84CDA"/>
    <w:rsid w:val="00FA3642"/>
    <w:rsid w:val="00FA5286"/>
    <w:rsid w:val="00FB3669"/>
    <w:rsid w:val="00FB38ED"/>
    <w:rsid w:val="00FC1AE9"/>
    <w:rsid w:val="00FC1D75"/>
    <w:rsid w:val="00FC2B72"/>
    <w:rsid w:val="00FC61F2"/>
    <w:rsid w:val="00FD0B21"/>
    <w:rsid w:val="00FD4B0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5F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951">
      <w:bodyDiv w:val="1"/>
      <w:marLeft w:val="0"/>
      <w:marRight w:val="0"/>
      <w:marTop w:val="0"/>
      <w:marBottom w:val="0"/>
      <w:divBdr>
        <w:top w:val="none" w:sz="0" w:space="0" w:color="auto"/>
        <w:left w:val="none" w:sz="0" w:space="0" w:color="auto"/>
        <w:bottom w:val="none" w:sz="0" w:space="0" w:color="auto"/>
        <w:right w:val="none" w:sz="0" w:space="0" w:color="auto"/>
      </w:divBdr>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4">
      <w:bodyDiv w:val="1"/>
      <w:marLeft w:val="0"/>
      <w:marRight w:val="0"/>
      <w:marTop w:val="0"/>
      <w:marBottom w:val="0"/>
      <w:divBdr>
        <w:top w:val="none" w:sz="0" w:space="0" w:color="auto"/>
        <w:left w:val="none" w:sz="0" w:space="0" w:color="auto"/>
        <w:bottom w:val="none" w:sz="0" w:space="0" w:color="auto"/>
        <w:right w:val="none" w:sz="0" w:space="0" w:color="auto"/>
      </w:divBdr>
    </w:div>
    <w:div w:id="580411012">
      <w:bodyDiv w:val="1"/>
      <w:marLeft w:val="0"/>
      <w:marRight w:val="0"/>
      <w:marTop w:val="0"/>
      <w:marBottom w:val="0"/>
      <w:divBdr>
        <w:top w:val="none" w:sz="0" w:space="0" w:color="auto"/>
        <w:left w:val="none" w:sz="0" w:space="0" w:color="auto"/>
        <w:bottom w:val="none" w:sz="0" w:space="0" w:color="auto"/>
        <w:right w:val="none" w:sz="0" w:space="0" w:color="auto"/>
      </w:divBdr>
      <w:divsChild>
        <w:div w:id="778842303">
          <w:marLeft w:val="0"/>
          <w:marRight w:val="0"/>
          <w:marTop w:val="0"/>
          <w:marBottom w:val="0"/>
          <w:divBdr>
            <w:top w:val="none" w:sz="0" w:space="0" w:color="auto"/>
            <w:left w:val="none" w:sz="0" w:space="0" w:color="auto"/>
            <w:bottom w:val="none" w:sz="0" w:space="0" w:color="auto"/>
            <w:right w:val="none" w:sz="0" w:space="0" w:color="auto"/>
          </w:divBdr>
          <w:divsChild>
            <w:div w:id="2097481479">
              <w:marLeft w:val="0"/>
              <w:marRight w:val="0"/>
              <w:marTop w:val="0"/>
              <w:marBottom w:val="0"/>
              <w:divBdr>
                <w:top w:val="none" w:sz="0" w:space="0" w:color="auto"/>
                <w:left w:val="none" w:sz="0" w:space="0" w:color="auto"/>
                <w:bottom w:val="none" w:sz="0" w:space="0" w:color="auto"/>
                <w:right w:val="none" w:sz="0" w:space="0" w:color="auto"/>
              </w:divBdr>
              <w:divsChild>
                <w:div w:id="6901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in@shplaw.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D220-2936-4E02-9C02-A409059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2022-05-01T10:36:00Z</cp:lastPrinted>
  <dcterms:created xsi:type="dcterms:W3CDTF">2022-09-16T07:39:00Z</dcterms:created>
  <dcterms:modified xsi:type="dcterms:W3CDTF">2022-09-16T07:39:00Z</dcterms:modified>
</cp:coreProperties>
</file>