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0984" w14:textId="5D655B53" w:rsidR="00542061" w:rsidRPr="007803A6" w:rsidRDefault="00C30326">
      <w:pPr>
        <w:rPr>
          <w:rFonts w:ascii="Arial" w:eastAsia="Arial" w:hAnsi="Arial" w:cs="Arial"/>
          <w:b/>
          <w:sz w:val="24"/>
          <w:szCs w:val="24"/>
        </w:rPr>
      </w:pPr>
      <w:bookmarkStart w:id="0" w:name="_GoBack"/>
      <w:bookmarkEnd w:id="0"/>
      <w:r w:rsidRPr="007803A6">
        <w:rPr>
          <w:rFonts w:ascii="Arial" w:eastAsia="Arial" w:hAnsi="Arial" w:cs="Arial"/>
          <w:b/>
          <w:sz w:val="24"/>
          <w:szCs w:val="24"/>
        </w:rPr>
        <w:t xml:space="preserve">               </w:t>
      </w:r>
      <w:r w:rsidR="00FF7840" w:rsidRPr="007803A6">
        <w:rPr>
          <w:rFonts w:ascii="Arial" w:eastAsia="Arial" w:hAnsi="Arial" w:cs="Arial"/>
          <w:b/>
          <w:sz w:val="24"/>
          <w:szCs w:val="24"/>
        </w:rPr>
        <w:t xml:space="preserve">                           </w:t>
      </w:r>
      <w:r w:rsidRPr="007803A6">
        <w:rPr>
          <w:rFonts w:ascii="Arial" w:eastAsia="Arial" w:hAnsi="Arial" w:cs="Arial"/>
          <w:b/>
          <w:sz w:val="24"/>
          <w:szCs w:val="24"/>
        </w:rPr>
        <w:t>REPUBLIC OF SOUTH AFRICA</w:t>
      </w:r>
    </w:p>
    <w:p w14:paraId="5022F9AC" w14:textId="77777777" w:rsidR="00542061" w:rsidRPr="007803A6" w:rsidRDefault="00C30326">
      <w:pPr>
        <w:jc w:val="center"/>
        <w:rPr>
          <w:rFonts w:ascii="Arial" w:eastAsia="Arial Black" w:hAnsi="Arial" w:cs="Arial"/>
          <w:b/>
          <w:sz w:val="24"/>
          <w:szCs w:val="24"/>
        </w:rPr>
      </w:pPr>
      <w:r w:rsidRPr="007803A6">
        <w:rPr>
          <w:rFonts w:ascii="Arial" w:eastAsia="Arial Black" w:hAnsi="Arial" w:cs="Arial"/>
          <w:b/>
          <w:noProof/>
          <w:sz w:val="24"/>
          <w:szCs w:val="24"/>
          <w:lang w:eastAsia="en-ZA"/>
        </w:rPr>
        <w:drawing>
          <wp:inline distT="0" distB="0" distL="0" distR="0" wp14:anchorId="0DF4FACF" wp14:editId="0A468B6E">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62075" cy="1362075"/>
                    </a:xfrm>
                    <a:prstGeom prst="rect">
                      <a:avLst/>
                    </a:prstGeom>
                    <a:ln/>
                  </pic:spPr>
                </pic:pic>
              </a:graphicData>
            </a:graphic>
          </wp:inline>
        </w:drawing>
      </w:r>
    </w:p>
    <w:p w14:paraId="68D12AD3" w14:textId="77777777" w:rsidR="00542061" w:rsidRPr="007803A6" w:rsidRDefault="00C30326">
      <w:pPr>
        <w:jc w:val="center"/>
        <w:rPr>
          <w:rFonts w:ascii="Arial" w:eastAsia="Arial" w:hAnsi="Arial" w:cs="Arial"/>
          <w:b/>
          <w:sz w:val="24"/>
          <w:szCs w:val="24"/>
        </w:rPr>
      </w:pPr>
      <w:r w:rsidRPr="007803A6">
        <w:rPr>
          <w:rFonts w:ascii="Arial" w:eastAsia="Arial" w:hAnsi="Arial" w:cs="Arial"/>
          <w:b/>
          <w:sz w:val="24"/>
          <w:szCs w:val="24"/>
        </w:rPr>
        <w:t xml:space="preserve">IN THE HIGH COURT OF SOUTH AFRICA, </w:t>
      </w:r>
    </w:p>
    <w:p w14:paraId="3B64DDB5" w14:textId="77777777" w:rsidR="00542061" w:rsidRPr="007803A6" w:rsidRDefault="00C30326">
      <w:pPr>
        <w:rPr>
          <w:rFonts w:ascii="Arial" w:eastAsia="Arial" w:hAnsi="Arial" w:cs="Arial"/>
          <w:b/>
          <w:sz w:val="24"/>
          <w:szCs w:val="24"/>
        </w:rPr>
      </w:pPr>
      <w:r w:rsidRPr="007803A6">
        <w:rPr>
          <w:rFonts w:ascii="Arial" w:eastAsia="Arial" w:hAnsi="Arial" w:cs="Arial"/>
          <w:b/>
          <w:sz w:val="24"/>
          <w:szCs w:val="24"/>
        </w:rPr>
        <w:t xml:space="preserve">                                 GAUTENG DIVISION, JOHANNESBURG                                              </w:t>
      </w:r>
    </w:p>
    <w:p w14:paraId="279A48AA" w14:textId="379A34BC" w:rsidR="00542061" w:rsidRPr="007803A6" w:rsidRDefault="00C30326">
      <w:pPr>
        <w:spacing w:after="0" w:line="240" w:lineRule="auto"/>
        <w:jc w:val="right"/>
        <w:rPr>
          <w:rFonts w:ascii="Arial" w:eastAsia="Arial" w:hAnsi="Arial" w:cs="Arial"/>
          <w:b/>
          <w:smallCaps/>
          <w:sz w:val="24"/>
          <w:szCs w:val="24"/>
        </w:rPr>
      </w:pPr>
      <w:r w:rsidRPr="007803A6">
        <w:rPr>
          <w:rFonts w:ascii="Arial" w:eastAsia="Arial Black" w:hAnsi="Arial" w:cs="Arial"/>
          <w:b/>
          <w:sz w:val="24"/>
          <w:szCs w:val="24"/>
        </w:rPr>
        <w:t xml:space="preserve">                                                                                                     </w:t>
      </w:r>
      <w:r w:rsidRPr="007803A6">
        <w:rPr>
          <w:rFonts w:ascii="Arial" w:eastAsia="Arial" w:hAnsi="Arial" w:cs="Arial"/>
          <w:b/>
          <w:sz w:val="24"/>
          <w:szCs w:val="24"/>
        </w:rPr>
        <w:t>CASE NO:</w:t>
      </w:r>
      <w:r w:rsidRPr="007803A6">
        <w:rPr>
          <w:rFonts w:ascii="Arial" w:eastAsia="Arial" w:hAnsi="Arial" w:cs="Arial"/>
          <w:b/>
          <w:smallCaps/>
          <w:sz w:val="24"/>
          <w:szCs w:val="24"/>
        </w:rPr>
        <w:t xml:space="preserve"> </w:t>
      </w:r>
      <w:r w:rsidR="006F57E8">
        <w:rPr>
          <w:rFonts w:ascii="Arial" w:eastAsia="Arial" w:hAnsi="Arial" w:cs="Arial"/>
          <w:b/>
          <w:smallCaps/>
          <w:sz w:val="24"/>
          <w:szCs w:val="24"/>
        </w:rPr>
        <w:t>2018/179</w:t>
      </w:r>
    </w:p>
    <w:p w14:paraId="64E2686A" w14:textId="77777777" w:rsidR="00542061" w:rsidRPr="007803A6" w:rsidRDefault="00C30326">
      <w:pPr>
        <w:spacing w:after="0" w:line="240" w:lineRule="auto"/>
        <w:jc w:val="right"/>
        <w:rPr>
          <w:rFonts w:ascii="Arial" w:eastAsia="Arial" w:hAnsi="Arial" w:cs="Arial"/>
          <w:b/>
          <w:smallCaps/>
          <w:sz w:val="24"/>
          <w:szCs w:val="24"/>
        </w:rPr>
      </w:pPr>
      <w:r w:rsidRPr="007803A6">
        <w:rPr>
          <w:rFonts w:ascii="Arial" w:eastAsia="Arial" w:hAnsi="Arial" w:cs="Arial"/>
          <w:b/>
          <w:smallCaps/>
          <w:sz w:val="24"/>
          <w:szCs w:val="24"/>
        </w:rPr>
        <w:t xml:space="preserve"> </w:t>
      </w:r>
    </w:p>
    <w:p w14:paraId="5CCC8F5C" w14:textId="0520CC49" w:rsidR="00542061" w:rsidRPr="007803A6" w:rsidRDefault="00AA7A73">
      <w:pPr>
        <w:jc w:val="both"/>
        <w:rPr>
          <w:rFonts w:ascii="Arial" w:eastAsia="Arial" w:hAnsi="Arial" w:cs="Arial"/>
          <w:b/>
          <w:sz w:val="24"/>
          <w:szCs w:val="24"/>
        </w:rPr>
      </w:pPr>
      <w:r>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1AF55629" wp14:editId="155B380C">
                <wp:simplePos x="0" y="0"/>
                <wp:positionH relativeFrom="column">
                  <wp:posOffset>0</wp:posOffset>
                </wp:positionH>
                <wp:positionV relativeFrom="paragraph">
                  <wp:posOffset>36830</wp:posOffset>
                </wp:positionV>
                <wp:extent cx="2870200" cy="1409700"/>
                <wp:effectExtent l="0" t="0" r="254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409700"/>
                        </a:xfrm>
                        <a:prstGeom prst="rect">
                          <a:avLst/>
                        </a:prstGeom>
                        <a:solidFill>
                          <a:srgbClr val="FFFFFF"/>
                        </a:solidFill>
                        <a:ln w="9525">
                          <a:solidFill>
                            <a:srgbClr val="000000"/>
                          </a:solidFill>
                          <a:miter lim="800000"/>
                          <a:headEnd/>
                          <a:tailEnd/>
                        </a:ln>
                      </wps:spPr>
                      <wps:txbx>
                        <w:txbxContent>
                          <w:p w14:paraId="68560424" w14:textId="77777777" w:rsidR="0035088B" w:rsidRPr="002A7321" w:rsidRDefault="0035088B" w:rsidP="00956335">
                            <w:pPr>
                              <w:jc w:val="center"/>
                              <w:rPr>
                                <w:rFonts w:ascii="Arial Black" w:hAnsi="Arial Black"/>
                                <w:b/>
                                <w:sz w:val="24"/>
                                <w:szCs w:val="24"/>
                              </w:rPr>
                            </w:pPr>
                          </w:p>
                          <w:p w14:paraId="46E9B670" w14:textId="77777777" w:rsidR="0035088B" w:rsidRDefault="0035088B" w:rsidP="00956335">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0F08CCF8" w14:textId="77777777" w:rsidR="0035088B" w:rsidRPr="00913F95" w:rsidRDefault="0035088B" w:rsidP="00956335">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5FABF73F" w14:textId="77777777" w:rsidR="0035088B" w:rsidRDefault="0035088B" w:rsidP="00956335">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63390BB8" w14:textId="1F8D8EE8" w:rsidR="0035088B" w:rsidRPr="00913F95" w:rsidRDefault="0035088B" w:rsidP="00956335">
                            <w:pPr>
                              <w:spacing w:after="0" w:line="240" w:lineRule="auto"/>
                              <w:ind w:left="900"/>
                              <w:rPr>
                                <w:rFonts w:ascii="Century Gothic" w:hAnsi="Century Gothic"/>
                                <w:sz w:val="20"/>
                                <w:szCs w:val="20"/>
                              </w:rPr>
                            </w:pPr>
                          </w:p>
                          <w:p w14:paraId="1E8377E6" w14:textId="50702CBB" w:rsidR="0035088B" w:rsidRDefault="0035088B" w:rsidP="00956335">
                            <w:pPr>
                              <w:rPr>
                                <w:rFonts w:ascii="Century Gothic" w:hAnsi="Century Gothic"/>
                                <w:b/>
                                <w:sz w:val="18"/>
                                <w:szCs w:val="18"/>
                              </w:rPr>
                            </w:pPr>
                            <w:r>
                              <w:rPr>
                                <w:rFonts w:ascii="Century Gothic" w:hAnsi="Century Gothic"/>
                                <w:b/>
                                <w:sz w:val="18"/>
                                <w:szCs w:val="18"/>
                              </w:rPr>
                              <w:t xml:space="preserve">                            _______________________</w:t>
                            </w:r>
                          </w:p>
                          <w:p w14:paraId="349B752B" w14:textId="77777777" w:rsidR="0035088B" w:rsidRDefault="0035088B" w:rsidP="00956335">
                            <w:pPr>
                              <w:rPr>
                                <w:rFonts w:ascii="Century Gothic" w:hAnsi="Century Gothic"/>
                                <w:b/>
                                <w:sz w:val="18"/>
                                <w:szCs w:val="18"/>
                              </w:rPr>
                            </w:pPr>
                            <w:r>
                              <w:rPr>
                                <w:rFonts w:ascii="Century Gothic" w:hAnsi="Century Gothic"/>
                                <w:b/>
                                <w:sz w:val="18"/>
                                <w:szCs w:val="18"/>
                              </w:rPr>
                              <w:t xml:space="preserve">                                                        </w:t>
                            </w:r>
                          </w:p>
                          <w:p w14:paraId="4AEAB874" w14:textId="77777777" w:rsidR="0035088B" w:rsidRDefault="0035088B" w:rsidP="00956335">
                            <w:pPr>
                              <w:rPr>
                                <w:rFonts w:ascii="Century Gothic" w:hAnsi="Century Gothic"/>
                                <w:b/>
                                <w:sz w:val="18"/>
                                <w:szCs w:val="18"/>
                              </w:rPr>
                            </w:pPr>
                          </w:p>
                          <w:p w14:paraId="29B31F12" w14:textId="77777777" w:rsidR="0035088B" w:rsidRDefault="0035088B" w:rsidP="00956335">
                            <w:pPr>
                              <w:rPr>
                                <w:rFonts w:ascii="Century Gothic" w:hAnsi="Century Gothic"/>
                                <w:b/>
                                <w:sz w:val="18"/>
                                <w:szCs w:val="18"/>
                              </w:rPr>
                            </w:pPr>
                          </w:p>
                          <w:p w14:paraId="57BBC2B7" w14:textId="77777777" w:rsidR="0035088B" w:rsidRDefault="0035088B" w:rsidP="00956335">
                            <w:pPr>
                              <w:rPr>
                                <w:rFonts w:ascii="Century Gothic" w:hAnsi="Century Gothic"/>
                                <w:b/>
                                <w:sz w:val="18"/>
                                <w:szCs w:val="18"/>
                              </w:rPr>
                            </w:pPr>
                          </w:p>
                          <w:p w14:paraId="5929C3C4" w14:textId="77777777" w:rsidR="0035088B" w:rsidRDefault="0035088B" w:rsidP="00956335">
                            <w:pPr>
                              <w:rPr>
                                <w:rFonts w:ascii="Century Gothic" w:hAnsi="Century Gothic"/>
                                <w:b/>
                                <w:sz w:val="18"/>
                                <w:szCs w:val="18"/>
                              </w:rPr>
                            </w:pPr>
                          </w:p>
                          <w:p w14:paraId="32481583" w14:textId="77777777" w:rsidR="0035088B" w:rsidRDefault="0035088B" w:rsidP="00956335">
                            <w:pPr>
                              <w:rPr>
                                <w:rFonts w:ascii="Century Gothic" w:hAnsi="Century Gothic"/>
                                <w:b/>
                                <w:sz w:val="18"/>
                                <w:szCs w:val="18"/>
                              </w:rPr>
                            </w:pPr>
                            <w:r>
                              <w:rPr>
                                <w:rFonts w:ascii="Century Gothic" w:hAnsi="Century Gothic"/>
                                <w:b/>
                                <w:sz w:val="18"/>
                                <w:szCs w:val="18"/>
                              </w:rPr>
                              <w:t>______________                                _____________________</w:t>
                            </w:r>
                          </w:p>
                          <w:p w14:paraId="126E1E3B" w14:textId="77777777" w:rsidR="0035088B" w:rsidRDefault="0035088B" w:rsidP="00956335">
                            <w:pPr>
                              <w:rPr>
                                <w:rFonts w:ascii="Century Gothic" w:hAnsi="Century Gothic"/>
                                <w:b/>
                                <w:sz w:val="18"/>
                                <w:szCs w:val="18"/>
                              </w:rPr>
                            </w:pPr>
                          </w:p>
                          <w:p w14:paraId="258A7688" w14:textId="77777777" w:rsidR="0035088B" w:rsidRDefault="0035088B" w:rsidP="00956335">
                            <w:pPr>
                              <w:rPr>
                                <w:rFonts w:ascii="Century Gothic" w:hAnsi="Century Gothic"/>
                                <w:b/>
                                <w:sz w:val="18"/>
                                <w:szCs w:val="18"/>
                              </w:rPr>
                            </w:pPr>
                          </w:p>
                          <w:p w14:paraId="4BF2029E" w14:textId="77777777" w:rsidR="0035088B" w:rsidRPr="00084341" w:rsidRDefault="0035088B" w:rsidP="00956335">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1E5B3E9E" w14:textId="77777777" w:rsidR="0035088B" w:rsidRPr="00084341" w:rsidRDefault="0035088B" w:rsidP="00956335">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5629" id="_x0000_t202" coordsize="21600,21600" o:spt="202" path="m,l,21600r21600,l21600,xe">
                <v:stroke joinstyle="miter"/>
                <v:path gradientshapeok="t" o:connecttype="rect"/>
              </v:shapetype>
              <v:shape id="Text Box 1" o:spid="_x0000_s1026" type="#_x0000_t202" style="position:absolute;left:0;text-align:left;margin-left:0;margin-top:2.9pt;width:226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">
                <v:textbox>
                  <w:txbxContent>
                    <w:p w14:paraId="68560424" w14:textId="77777777" w:rsidR="0035088B" w:rsidRPr="002A7321" w:rsidRDefault="0035088B" w:rsidP="00956335">
                      <w:pPr>
                        <w:jc w:val="center"/>
                        <w:rPr>
                          <w:rFonts w:ascii="Arial Black" w:hAnsi="Arial Black"/>
                          <w:b/>
                          <w:sz w:val="24"/>
                          <w:szCs w:val="24"/>
                        </w:rPr>
                      </w:pPr>
                    </w:p>
                    <w:p w14:paraId="46E9B670" w14:textId="77777777" w:rsidR="0035088B" w:rsidRDefault="0035088B" w:rsidP="00956335">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0F08CCF8" w14:textId="77777777" w:rsidR="0035088B" w:rsidRPr="00913F95" w:rsidRDefault="0035088B" w:rsidP="00956335">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5FABF73F" w14:textId="77777777" w:rsidR="0035088B" w:rsidRDefault="0035088B" w:rsidP="00956335">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63390BB8" w14:textId="1F8D8EE8" w:rsidR="0035088B" w:rsidRPr="00913F95" w:rsidRDefault="0035088B" w:rsidP="00956335">
                      <w:pPr>
                        <w:spacing w:after="0" w:line="240" w:lineRule="auto"/>
                        <w:ind w:left="900"/>
                        <w:rPr>
                          <w:rFonts w:ascii="Century Gothic" w:hAnsi="Century Gothic"/>
                          <w:sz w:val="20"/>
                          <w:szCs w:val="20"/>
                        </w:rPr>
                      </w:pPr>
                    </w:p>
                    <w:p w14:paraId="1E8377E6" w14:textId="50702CBB" w:rsidR="0035088B" w:rsidRDefault="0035088B" w:rsidP="00956335">
                      <w:pPr>
                        <w:rPr>
                          <w:rFonts w:ascii="Century Gothic" w:hAnsi="Century Gothic"/>
                          <w:b/>
                          <w:sz w:val="18"/>
                          <w:szCs w:val="18"/>
                        </w:rPr>
                      </w:pPr>
                      <w:r>
                        <w:rPr>
                          <w:rFonts w:ascii="Century Gothic" w:hAnsi="Century Gothic"/>
                          <w:b/>
                          <w:sz w:val="18"/>
                          <w:szCs w:val="18"/>
                        </w:rPr>
                        <w:t xml:space="preserve">                            _______________________</w:t>
                      </w:r>
                    </w:p>
                    <w:p w14:paraId="349B752B" w14:textId="77777777" w:rsidR="0035088B" w:rsidRDefault="0035088B" w:rsidP="00956335">
                      <w:pPr>
                        <w:rPr>
                          <w:rFonts w:ascii="Century Gothic" w:hAnsi="Century Gothic"/>
                          <w:b/>
                          <w:sz w:val="18"/>
                          <w:szCs w:val="18"/>
                        </w:rPr>
                      </w:pPr>
                      <w:r>
                        <w:rPr>
                          <w:rFonts w:ascii="Century Gothic" w:hAnsi="Century Gothic"/>
                          <w:b/>
                          <w:sz w:val="18"/>
                          <w:szCs w:val="18"/>
                        </w:rPr>
                        <w:t xml:space="preserve">                                                        </w:t>
                      </w:r>
                    </w:p>
                    <w:p w14:paraId="4AEAB874" w14:textId="77777777" w:rsidR="0035088B" w:rsidRDefault="0035088B" w:rsidP="00956335">
                      <w:pPr>
                        <w:rPr>
                          <w:rFonts w:ascii="Century Gothic" w:hAnsi="Century Gothic"/>
                          <w:b/>
                          <w:sz w:val="18"/>
                          <w:szCs w:val="18"/>
                        </w:rPr>
                      </w:pPr>
                    </w:p>
                    <w:p w14:paraId="29B31F12" w14:textId="77777777" w:rsidR="0035088B" w:rsidRDefault="0035088B" w:rsidP="00956335">
                      <w:pPr>
                        <w:rPr>
                          <w:rFonts w:ascii="Century Gothic" w:hAnsi="Century Gothic"/>
                          <w:b/>
                          <w:sz w:val="18"/>
                          <w:szCs w:val="18"/>
                        </w:rPr>
                      </w:pPr>
                    </w:p>
                    <w:p w14:paraId="57BBC2B7" w14:textId="77777777" w:rsidR="0035088B" w:rsidRDefault="0035088B" w:rsidP="00956335">
                      <w:pPr>
                        <w:rPr>
                          <w:rFonts w:ascii="Century Gothic" w:hAnsi="Century Gothic"/>
                          <w:b/>
                          <w:sz w:val="18"/>
                          <w:szCs w:val="18"/>
                        </w:rPr>
                      </w:pPr>
                    </w:p>
                    <w:p w14:paraId="5929C3C4" w14:textId="77777777" w:rsidR="0035088B" w:rsidRDefault="0035088B" w:rsidP="00956335">
                      <w:pPr>
                        <w:rPr>
                          <w:rFonts w:ascii="Century Gothic" w:hAnsi="Century Gothic"/>
                          <w:b/>
                          <w:sz w:val="18"/>
                          <w:szCs w:val="18"/>
                        </w:rPr>
                      </w:pPr>
                    </w:p>
                    <w:p w14:paraId="32481583" w14:textId="77777777" w:rsidR="0035088B" w:rsidRDefault="0035088B" w:rsidP="00956335">
                      <w:pPr>
                        <w:rPr>
                          <w:rFonts w:ascii="Century Gothic" w:hAnsi="Century Gothic"/>
                          <w:b/>
                          <w:sz w:val="18"/>
                          <w:szCs w:val="18"/>
                        </w:rPr>
                      </w:pPr>
                      <w:r>
                        <w:rPr>
                          <w:rFonts w:ascii="Century Gothic" w:hAnsi="Century Gothic"/>
                          <w:b/>
                          <w:sz w:val="18"/>
                          <w:szCs w:val="18"/>
                        </w:rPr>
                        <w:t>______________                                _____________________</w:t>
                      </w:r>
                    </w:p>
                    <w:p w14:paraId="126E1E3B" w14:textId="77777777" w:rsidR="0035088B" w:rsidRDefault="0035088B" w:rsidP="00956335">
                      <w:pPr>
                        <w:rPr>
                          <w:rFonts w:ascii="Century Gothic" w:hAnsi="Century Gothic"/>
                          <w:b/>
                          <w:sz w:val="18"/>
                          <w:szCs w:val="18"/>
                        </w:rPr>
                      </w:pPr>
                    </w:p>
                    <w:p w14:paraId="258A7688" w14:textId="77777777" w:rsidR="0035088B" w:rsidRDefault="0035088B" w:rsidP="00956335">
                      <w:pPr>
                        <w:rPr>
                          <w:rFonts w:ascii="Century Gothic" w:hAnsi="Century Gothic"/>
                          <w:b/>
                          <w:sz w:val="18"/>
                          <w:szCs w:val="18"/>
                        </w:rPr>
                      </w:pPr>
                    </w:p>
                    <w:p w14:paraId="4BF2029E" w14:textId="77777777" w:rsidR="0035088B" w:rsidRPr="00084341" w:rsidRDefault="0035088B" w:rsidP="00956335">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1E5B3E9E" w14:textId="77777777" w:rsidR="0035088B" w:rsidRPr="00084341" w:rsidRDefault="0035088B" w:rsidP="00956335">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2EA4A8FF" w14:textId="77777777" w:rsidR="00542061" w:rsidRPr="007803A6" w:rsidRDefault="00542061">
      <w:pPr>
        <w:spacing w:after="0"/>
        <w:jc w:val="center"/>
        <w:rPr>
          <w:rFonts w:ascii="Arial" w:eastAsia="Arial" w:hAnsi="Arial" w:cs="Arial"/>
          <w:b/>
          <w:sz w:val="24"/>
          <w:szCs w:val="24"/>
        </w:rPr>
      </w:pPr>
    </w:p>
    <w:p w14:paraId="7DF3F9AD" w14:textId="77777777" w:rsidR="00542061" w:rsidRPr="007803A6" w:rsidRDefault="00542061">
      <w:pPr>
        <w:spacing w:after="0"/>
        <w:jc w:val="center"/>
        <w:rPr>
          <w:rFonts w:ascii="Arial" w:eastAsia="Arial" w:hAnsi="Arial" w:cs="Arial"/>
          <w:b/>
          <w:sz w:val="24"/>
          <w:szCs w:val="24"/>
        </w:rPr>
      </w:pPr>
    </w:p>
    <w:p w14:paraId="13BE6726" w14:textId="77777777" w:rsidR="00542061" w:rsidRPr="007803A6" w:rsidRDefault="00542061">
      <w:pPr>
        <w:spacing w:after="0"/>
        <w:jc w:val="center"/>
        <w:rPr>
          <w:rFonts w:ascii="Arial" w:eastAsia="Arial" w:hAnsi="Arial" w:cs="Arial"/>
          <w:b/>
          <w:sz w:val="24"/>
          <w:szCs w:val="24"/>
        </w:rPr>
      </w:pPr>
    </w:p>
    <w:p w14:paraId="0A87D5AE" w14:textId="77777777" w:rsidR="00542061" w:rsidRPr="007803A6" w:rsidRDefault="00542061">
      <w:pPr>
        <w:spacing w:after="0"/>
        <w:jc w:val="center"/>
        <w:rPr>
          <w:rFonts w:ascii="Arial" w:eastAsia="Arial" w:hAnsi="Arial" w:cs="Arial"/>
          <w:b/>
          <w:sz w:val="24"/>
          <w:szCs w:val="24"/>
        </w:rPr>
      </w:pPr>
    </w:p>
    <w:p w14:paraId="181D2285" w14:textId="77777777" w:rsidR="00542061" w:rsidRPr="007803A6" w:rsidRDefault="00542061">
      <w:pPr>
        <w:spacing w:after="0"/>
        <w:jc w:val="center"/>
        <w:rPr>
          <w:rFonts w:ascii="Arial" w:eastAsia="Arial" w:hAnsi="Arial" w:cs="Arial"/>
          <w:b/>
          <w:sz w:val="24"/>
          <w:szCs w:val="24"/>
        </w:rPr>
      </w:pPr>
    </w:p>
    <w:p w14:paraId="30C20589" w14:textId="77777777" w:rsidR="00542061" w:rsidRPr="007803A6" w:rsidRDefault="00542061">
      <w:pPr>
        <w:spacing w:after="0" w:line="240" w:lineRule="auto"/>
        <w:rPr>
          <w:rFonts w:ascii="Arial" w:eastAsia="Arial" w:hAnsi="Arial" w:cs="Arial"/>
          <w:b/>
          <w:smallCaps/>
          <w:sz w:val="24"/>
          <w:szCs w:val="24"/>
        </w:rPr>
      </w:pPr>
    </w:p>
    <w:p w14:paraId="1E5B1B9C" w14:textId="1E166CF6" w:rsidR="00542061" w:rsidRPr="00E56FCF" w:rsidRDefault="00542061">
      <w:pPr>
        <w:spacing w:after="0" w:line="240" w:lineRule="auto"/>
        <w:jc w:val="center"/>
        <w:rPr>
          <w:rFonts w:ascii="Arial" w:eastAsia="Arial" w:hAnsi="Arial" w:cs="Arial"/>
          <w:b/>
          <w:smallCaps/>
          <w:sz w:val="24"/>
          <w:szCs w:val="24"/>
        </w:rPr>
      </w:pPr>
    </w:p>
    <w:p w14:paraId="283EE40C" w14:textId="5B52D8F3" w:rsidR="00542061" w:rsidRPr="00E56FCF" w:rsidRDefault="005031BD" w:rsidP="00E56FCF">
      <w:pPr>
        <w:spacing w:after="0" w:line="240" w:lineRule="auto"/>
        <w:jc w:val="right"/>
        <w:rPr>
          <w:rFonts w:ascii="Arial" w:eastAsia="Arial" w:hAnsi="Arial" w:cs="Arial"/>
          <w:smallCaps/>
          <w:sz w:val="24"/>
          <w:szCs w:val="24"/>
        </w:rPr>
      </w:pPr>
      <w:r>
        <w:rPr>
          <w:rFonts w:ascii="Arial" w:eastAsia="Arial" w:hAnsi="Arial" w:cs="Arial"/>
          <w:smallCaps/>
          <w:sz w:val="24"/>
          <w:szCs w:val="24"/>
        </w:rPr>
        <w:t>9</w:t>
      </w:r>
      <w:r w:rsidR="00E56FCF" w:rsidRPr="00E56FCF">
        <w:rPr>
          <w:rFonts w:ascii="Arial" w:eastAsia="Arial" w:hAnsi="Arial" w:cs="Arial"/>
          <w:smallCaps/>
          <w:sz w:val="24"/>
          <w:szCs w:val="24"/>
        </w:rPr>
        <w:t xml:space="preserve"> September 2022</w:t>
      </w:r>
    </w:p>
    <w:p w14:paraId="0FBF78EE" w14:textId="77777777" w:rsidR="00542061" w:rsidRPr="007803A6" w:rsidRDefault="00542061">
      <w:pPr>
        <w:spacing w:after="0" w:line="240" w:lineRule="auto"/>
        <w:jc w:val="center"/>
        <w:rPr>
          <w:rFonts w:ascii="Arial" w:eastAsia="Arial" w:hAnsi="Arial" w:cs="Arial"/>
          <w:b/>
          <w:smallCaps/>
          <w:sz w:val="24"/>
          <w:szCs w:val="24"/>
        </w:rPr>
      </w:pPr>
    </w:p>
    <w:p w14:paraId="3F8EEA66" w14:textId="77777777" w:rsidR="00542061" w:rsidRPr="007803A6" w:rsidRDefault="00542061">
      <w:pPr>
        <w:spacing w:after="0" w:line="240" w:lineRule="auto"/>
        <w:jc w:val="center"/>
        <w:rPr>
          <w:rFonts w:ascii="Arial" w:eastAsia="Arial" w:hAnsi="Arial" w:cs="Arial"/>
          <w:b/>
          <w:smallCaps/>
          <w:sz w:val="24"/>
          <w:szCs w:val="24"/>
        </w:rPr>
      </w:pPr>
    </w:p>
    <w:p w14:paraId="68C31DC6" w14:textId="77777777" w:rsidR="00542061" w:rsidRPr="007803A6" w:rsidRDefault="00C30326">
      <w:pPr>
        <w:spacing w:after="0" w:line="240" w:lineRule="auto"/>
        <w:rPr>
          <w:rFonts w:ascii="Arial" w:eastAsia="Arial" w:hAnsi="Arial" w:cs="Arial"/>
          <w:sz w:val="24"/>
          <w:szCs w:val="24"/>
        </w:rPr>
      </w:pPr>
      <w:r w:rsidRPr="007803A6">
        <w:rPr>
          <w:rFonts w:ascii="Arial" w:eastAsia="Arial" w:hAnsi="Arial" w:cs="Arial"/>
          <w:sz w:val="24"/>
          <w:szCs w:val="24"/>
        </w:rPr>
        <w:t>In the matter between:</w:t>
      </w:r>
    </w:p>
    <w:p w14:paraId="205A2327" w14:textId="77777777" w:rsidR="00542061" w:rsidRPr="007803A6" w:rsidRDefault="00542061">
      <w:pPr>
        <w:spacing w:after="0" w:line="240" w:lineRule="auto"/>
        <w:rPr>
          <w:rFonts w:ascii="Arial" w:eastAsia="Arial" w:hAnsi="Arial" w:cs="Arial"/>
          <w:sz w:val="24"/>
          <w:szCs w:val="24"/>
        </w:rPr>
      </w:pPr>
    </w:p>
    <w:p w14:paraId="6812B168" w14:textId="213883CE" w:rsidR="005A290E" w:rsidRPr="007803A6" w:rsidRDefault="00EB6AE2" w:rsidP="005A290E">
      <w:pPr>
        <w:spacing w:after="0" w:line="240" w:lineRule="auto"/>
        <w:rPr>
          <w:rFonts w:ascii="Arial" w:eastAsia="Arial" w:hAnsi="Arial" w:cs="Arial"/>
          <w:sz w:val="24"/>
          <w:szCs w:val="24"/>
        </w:rPr>
      </w:pPr>
      <w:r w:rsidRPr="00EB6AE2">
        <w:rPr>
          <w:rFonts w:ascii="Arial" w:eastAsia="Arial" w:hAnsi="Arial" w:cs="Arial"/>
          <w:b/>
          <w:sz w:val="24"/>
          <w:szCs w:val="24"/>
        </w:rPr>
        <w:t>WILLEMINA DANIELA JOHANITA VAN VUUREN</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P</w:t>
      </w:r>
      <w:r w:rsidRPr="007803A6">
        <w:rPr>
          <w:rFonts w:ascii="Arial" w:eastAsia="Arial" w:hAnsi="Arial" w:cs="Arial"/>
          <w:sz w:val="24"/>
          <w:szCs w:val="24"/>
        </w:rPr>
        <w:t>laintiff</w:t>
      </w:r>
    </w:p>
    <w:p w14:paraId="129D2837" w14:textId="77777777" w:rsidR="00002779" w:rsidRPr="007803A6" w:rsidRDefault="00002779" w:rsidP="005A290E">
      <w:pPr>
        <w:spacing w:after="0" w:line="240" w:lineRule="auto"/>
        <w:rPr>
          <w:rFonts w:ascii="Arial" w:eastAsia="Arial" w:hAnsi="Arial" w:cs="Arial"/>
          <w:sz w:val="24"/>
          <w:szCs w:val="24"/>
        </w:rPr>
      </w:pPr>
    </w:p>
    <w:p w14:paraId="302CD114" w14:textId="3A776CFE" w:rsidR="005A290E" w:rsidRPr="007803A6" w:rsidRDefault="005A290E" w:rsidP="005A290E">
      <w:pPr>
        <w:spacing w:after="0" w:line="240" w:lineRule="auto"/>
        <w:rPr>
          <w:rFonts w:ascii="Arial" w:eastAsia="Arial" w:hAnsi="Arial" w:cs="Arial"/>
          <w:sz w:val="24"/>
          <w:szCs w:val="24"/>
        </w:rPr>
      </w:pPr>
      <w:r w:rsidRPr="007803A6">
        <w:rPr>
          <w:rFonts w:ascii="Arial" w:eastAsia="Arial" w:hAnsi="Arial" w:cs="Arial"/>
          <w:sz w:val="24"/>
          <w:szCs w:val="24"/>
        </w:rPr>
        <w:t>and</w:t>
      </w:r>
    </w:p>
    <w:p w14:paraId="08B17796" w14:textId="77777777" w:rsidR="00002779" w:rsidRPr="007803A6" w:rsidRDefault="00002779" w:rsidP="005A290E">
      <w:pPr>
        <w:spacing w:after="0" w:line="240" w:lineRule="auto"/>
        <w:rPr>
          <w:rFonts w:ascii="Arial" w:eastAsia="Arial" w:hAnsi="Arial" w:cs="Arial"/>
          <w:sz w:val="24"/>
          <w:szCs w:val="24"/>
        </w:rPr>
      </w:pPr>
    </w:p>
    <w:p w14:paraId="423D18CF" w14:textId="457E77BF" w:rsidR="00542061" w:rsidRPr="007803A6" w:rsidRDefault="005A290E" w:rsidP="005A290E">
      <w:pPr>
        <w:spacing w:after="0" w:line="240" w:lineRule="auto"/>
        <w:rPr>
          <w:rFonts w:ascii="Arial" w:eastAsia="Arial" w:hAnsi="Arial" w:cs="Arial"/>
          <w:sz w:val="24"/>
          <w:szCs w:val="24"/>
        </w:rPr>
      </w:pPr>
      <w:r w:rsidRPr="00EB6AE2">
        <w:rPr>
          <w:rFonts w:ascii="Arial" w:eastAsia="Arial" w:hAnsi="Arial" w:cs="Arial"/>
          <w:b/>
          <w:sz w:val="24"/>
          <w:szCs w:val="24"/>
        </w:rPr>
        <w:t xml:space="preserve">ROAD ACCIDENT FUND </w:t>
      </w:r>
      <w:r w:rsidR="00002779" w:rsidRPr="007803A6">
        <w:rPr>
          <w:rFonts w:ascii="Arial" w:eastAsia="Arial" w:hAnsi="Arial" w:cs="Arial"/>
          <w:sz w:val="24"/>
          <w:szCs w:val="24"/>
        </w:rPr>
        <w:tab/>
      </w:r>
      <w:r w:rsidR="00002779" w:rsidRPr="007803A6">
        <w:rPr>
          <w:rFonts w:ascii="Arial" w:eastAsia="Arial" w:hAnsi="Arial" w:cs="Arial"/>
          <w:sz w:val="24"/>
          <w:szCs w:val="24"/>
        </w:rPr>
        <w:tab/>
      </w:r>
      <w:r w:rsidR="00002779" w:rsidRPr="007803A6">
        <w:rPr>
          <w:rFonts w:ascii="Arial" w:eastAsia="Arial" w:hAnsi="Arial" w:cs="Arial"/>
          <w:sz w:val="24"/>
          <w:szCs w:val="24"/>
        </w:rPr>
        <w:tab/>
      </w:r>
      <w:r w:rsidR="00002779" w:rsidRPr="007803A6">
        <w:rPr>
          <w:rFonts w:ascii="Arial" w:eastAsia="Arial" w:hAnsi="Arial" w:cs="Arial"/>
          <w:sz w:val="24"/>
          <w:szCs w:val="24"/>
        </w:rPr>
        <w:tab/>
      </w:r>
      <w:r w:rsidR="00002779" w:rsidRPr="007803A6">
        <w:rPr>
          <w:rFonts w:ascii="Arial" w:eastAsia="Arial" w:hAnsi="Arial" w:cs="Arial"/>
          <w:sz w:val="24"/>
          <w:szCs w:val="24"/>
        </w:rPr>
        <w:tab/>
      </w:r>
      <w:r w:rsidR="00002779" w:rsidRPr="007803A6">
        <w:rPr>
          <w:rFonts w:ascii="Arial" w:eastAsia="Arial" w:hAnsi="Arial" w:cs="Arial"/>
          <w:sz w:val="24"/>
          <w:szCs w:val="24"/>
        </w:rPr>
        <w:tab/>
      </w:r>
      <w:r w:rsidR="00002779" w:rsidRPr="007803A6">
        <w:rPr>
          <w:rFonts w:ascii="Arial" w:eastAsia="Arial" w:hAnsi="Arial" w:cs="Arial"/>
          <w:sz w:val="24"/>
          <w:szCs w:val="24"/>
        </w:rPr>
        <w:tab/>
        <w:t xml:space="preserve">     </w:t>
      </w:r>
      <w:r w:rsidR="00EB6AE2">
        <w:rPr>
          <w:rFonts w:ascii="Arial" w:eastAsia="Arial" w:hAnsi="Arial" w:cs="Arial"/>
          <w:sz w:val="24"/>
          <w:szCs w:val="24"/>
        </w:rPr>
        <w:t xml:space="preserve">     D</w:t>
      </w:r>
      <w:r w:rsidR="00EB6AE2" w:rsidRPr="007803A6">
        <w:rPr>
          <w:rFonts w:ascii="Arial" w:eastAsia="Arial" w:hAnsi="Arial" w:cs="Arial"/>
          <w:sz w:val="24"/>
          <w:szCs w:val="24"/>
        </w:rPr>
        <w:t>efendant</w:t>
      </w:r>
    </w:p>
    <w:p w14:paraId="4DB48445" w14:textId="77777777" w:rsidR="00542061" w:rsidRPr="007803A6" w:rsidRDefault="00542061">
      <w:pPr>
        <w:spacing w:after="0" w:line="240" w:lineRule="auto"/>
        <w:rPr>
          <w:rFonts w:ascii="Arial" w:eastAsia="Arial" w:hAnsi="Arial" w:cs="Arial"/>
          <w:b/>
          <w:sz w:val="24"/>
          <w:szCs w:val="24"/>
        </w:rPr>
      </w:pPr>
    </w:p>
    <w:p w14:paraId="21433C96" w14:textId="77777777" w:rsidR="00542061" w:rsidRPr="007803A6" w:rsidRDefault="00C30326">
      <w:pPr>
        <w:spacing w:after="0" w:line="240" w:lineRule="auto"/>
        <w:rPr>
          <w:rFonts w:ascii="Arial" w:eastAsia="Arial" w:hAnsi="Arial" w:cs="Arial"/>
          <w:sz w:val="24"/>
          <w:szCs w:val="24"/>
        </w:rPr>
      </w:pPr>
      <w:r w:rsidRPr="007803A6">
        <w:rPr>
          <w:rFonts w:ascii="Arial" w:eastAsia="Arial" w:hAnsi="Arial" w:cs="Arial"/>
          <w:sz w:val="24"/>
          <w:szCs w:val="24"/>
        </w:rPr>
        <w:t>___________________________________________________________________</w:t>
      </w:r>
    </w:p>
    <w:p w14:paraId="2B780116" w14:textId="77777777" w:rsidR="00542061" w:rsidRPr="007803A6" w:rsidRDefault="00542061">
      <w:pPr>
        <w:spacing w:after="0" w:line="240" w:lineRule="auto"/>
        <w:rPr>
          <w:rFonts w:ascii="Arial" w:eastAsia="Arial" w:hAnsi="Arial" w:cs="Arial"/>
          <w:sz w:val="24"/>
          <w:szCs w:val="24"/>
        </w:rPr>
      </w:pPr>
    </w:p>
    <w:p w14:paraId="35CE847B" w14:textId="77777777" w:rsidR="00542061" w:rsidRPr="007803A6" w:rsidRDefault="00C30326">
      <w:pPr>
        <w:spacing w:after="0" w:line="240" w:lineRule="auto"/>
        <w:jc w:val="center"/>
        <w:rPr>
          <w:rFonts w:ascii="Arial" w:eastAsia="Arial" w:hAnsi="Arial" w:cs="Arial"/>
          <w:b/>
          <w:smallCaps/>
          <w:sz w:val="24"/>
          <w:szCs w:val="24"/>
        </w:rPr>
      </w:pPr>
      <w:r w:rsidRPr="007803A6">
        <w:rPr>
          <w:rFonts w:ascii="Arial" w:eastAsia="Arial" w:hAnsi="Arial" w:cs="Arial"/>
          <w:b/>
          <w:smallCaps/>
          <w:sz w:val="24"/>
          <w:szCs w:val="24"/>
        </w:rPr>
        <w:t>JUDGMENT</w:t>
      </w:r>
    </w:p>
    <w:p w14:paraId="4EBD3434" w14:textId="77777777" w:rsidR="00542061" w:rsidRPr="007803A6" w:rsidRDefault="00C30326">
      <w:pPr>
        <w:spacing w:after="0" w:line="240" w:lineRule="auto"/>
        <w:rPr>
          <w:rFonts w:ascii="Arial" w:eastAsia="Arial" w:hAnsi="Arial" w:cs="Arial"/>
          <w:sz w:val="24"/>
          <w:szCs w:val="24"/>
        </w:rPr>
      </w:pPr>
      <w:r w:rsidRPr="007803A6">
        <w:rPr>
          <w:rFonts w:ascii="Arial" w:eastAsia="Arial" w:hAnsi="Arial" w:cs="Arial"/>
          <w:sz w:val="24"/>
          <w:szCs w:val="24"/>
        </w:rPr>
        <w:t>___________________________________________________________________</w:t>
      </w:r>
    </w:p>
    <w:p w14:paraId="4B88A0B5" w14:textId="77777777" w:rsidR="00542061" w:rsidRPr="007803A6" w:rsidRDefault="00542061">
      <w:pPr>
        <w:spacing w:after="0" w:line="240" w:lineRule="auto"/>
        <w:rPr>
          <w:rFonts w:ascii="Arial" w:eastAsia="Arial" w:hAnsi="Arial" w:cs="Arial"/>
          <w:sz w:val="24"/>
          <w:szCs w:val="24"/>
        </w:rPr>
      </w:pPr>
    </w:p>
    <w:p w14:paraId="738353B5" w14:textId="002BA4BC" w:rsidR="00542061" w:rsidRPr="007803A6" w:rsidRDefault="00002779">
      <w:pPr>
        <w:spacing w:after="0" w:line="240" w:lineRule="auto"/>
        <w:rPr>
          <w:rFonts w:ascii="Arial" w:eastAsia="Arial" w:hAnsi="Arial" w:cs="Arial"/>
          <w:b/>
          <w:sz w:val="24"/>
          <w:szCs w:val="24"/>
        </w:rPr>
      </w:pPr>
      <w:r w:rsidRPr="007803A6">
        <w:rPr>
          <w:rFonts w:ascii="Arial" w:eastAsia="Arial" w:hAnsi="Arial" w:cs="Arial"/>
          <w:b/>
          <w:sz w:val="24"/>
          <w:szCs w:val="24"/>
        </w:rPr>
        <w:t>Olivier</w:t>
      </w:r>
      <w:r w:rsidR="00C30326" w:rsidRPr="007803A6">
        <w:rPr>
          <w:rFonts w:ascii="Arial" w:eastAsia="Arial" w:hAnsi="Arial" w:cs="Arial"/>
          <w:b/>
          <w:sz w:val="24"/>
          <w:szCs w:val="24"/>
        </w:rPr>
        <w:t xml:space="preserve"> </w:t>
      </w:r>
      <w:r w:rsidRPr="007803A6">
        <w:rPr>
          <w:rFonts w:ascii="Arial" w:eastAsia="Arial" w:hAnsi="Arial" w:cs="Arial"/>
          <w:b/>
          <w:sz w:val="24"/>
          <w:szCs w:val="24"/>
        </w:rPr>
        <w:t>A</w:t>
      </w:r>
      <w:r w:rsidR="00C30326" w:rsidRPr="007803A6">
        <w:rPr>
          <w:rFonts w:ascii="Arial" w:eastAsia="Arial" w:hAnsi="Arial" w:cs="Arial"/>
          <w:b/>
          <w:sz w:val="24"/>
          <w:szCs w:val="24"/>
        </w:rPr>
        <w:t>J</w:t>
      </w:r>
      <w:r w:rsidR="000246AC" w:rsidRPr="007803A6">
        <w:rPr>
          <w:rFonts w:ascii="Arial" w:eastAsia="Arial" w:hAnsi="Arial" w:cs="Arial"/>
          <w:b/>
          <w:sz w:val="24"/>
          <w:szCs w:val="24"/>
        </w:rPr>
        <w:t>:</w:t>
      </w:r>
      <w:r w:rsidR="00C30326" w:rsidRPr="007803A6">
        <w:rPr>
          <w:rFonts w:ascii="Arial" w:eastAsia="Arial" w:hAnsi="Arial" w:cs="Arial"/>
          <w:b/>
          <w:sz w:val="24"/>
          <w:szCs w:val="24"/>
        </w:rPr>
        <w:t xml:space="preserve"> </w:t>
      </w:r>
    </w:p>
    <w:p w14:paraId="210A93FF" w14:textId="77777777" w:rsidR="006A2B0C" w:rsidRPr="007803A6" w:rsidRDefault="006A2B0C">
      <w:pPr>
        <w:spacing w:after="0" w:line="240" w:lineRule="auto"/>
        <w:rPr>
          <w:rFonts w:ascii="Arial" w:eastAsia="Arial" w:hAnsi="Arial" w:cs="Arial"/>
          <w:b/>
          <w:sz w:val="24"/>
          <w:szCs w:val="24"/>
        </w:rPr>
      </w:pPr>
    </w:p>
    <w:p w14:paraId="2965868C" w14:textId="77777777" w:rsidR="006A2B0C" w:rsidRPr="007803A6" w:rsidRDefault="006A2B0C">
      <w:pPr>
        <w:spacing w:after="0" w:line="240" w:lineRule="auto"/>
        <w:rPr>
          <w:rFonts w:ascii="Arial" w:eastAsia="Arial" w:hAnsi="Arial" w:cs="Arial"/>
          <w:b/>
          <w:sz w:val="24"/>
          <w:szCs w:val="24"/>
        </w:rPr>
      </w:pPr>
    </w:p>
    <w:p w14:paraId="2DDC614C" w14:textId="41480754" w:rsidR="006A2B0C" w:rsidRPr="007803A6" w:rsidRDefault="006A2B0C">
      <w:pPr>
        <w:spacing w:after="0" w:line="240" w:lineRule="auto"/>
        <w:rPr>
          <w:rFonts w:ascii="Arial" w:eastAsia="Arial" w:hAnsi="Arial" w:cs="Arial"/>
          <w:b/>
          <w:sz w:val="24"/>
          <w:szCs w:val="24"/>
        </w:rPr>
      </w:pPr>
      <w:r w:rsidRPr="007803A6">
        <w:rPr>
          <w:rFonts w:ascii="Arial" w:eastAsia="Arial" w:hAnsi="Arial" w:cs="Arial"/>
          <w:b/>
          <w:sz w:val="24"/>
          <w:szCs w:val="24"/>
        </w:rPr>
        <w:t>Introduction</w:t>
      </w:r>
      <w:r w:rsidR="00D3304C">
        <w:rPr>
          <w:rFonts w:ascii="Arial" w:eastAsia="Arial" w:hAnsi="Arial" w:cs="Arial"/>
          <w:b/>
          <w:sz w:val="24"/>
          <w:szCs w:val="24"/>
        </w:rPr>
        <w:t xml:space="preserve"> &amp; background</w:t>
      </w:r>
    </w:p>
    <w:p w14:paraId="102F4024" w14:textId="77777777" w:rsidR="00542061" w:rsidRPr="007803A6" w:rsidRDefault="00542061">
      <w:pPr>
        <w:spacing w:after="0" w:line="240" w:lineRule="auto"/>
        <w:rPr>
          <w:rFonts w:ascii="Arial" w:eastAsia="Arial" w:hAnsi="Arial" w:cs="Arial"/>
          <w:b/>
          <w:sz w:val="24"/>
          <w:szCs w:val="24"/>
        </w:rPr>
      </w:pPr>
    </w:p>
    <w:p w14:paraId="7FBC6271" w14:textId="77777777" w:rsidR="00542061" w:rsidRPr="007803A6" w:rsidRDefault="00542061">
      <w:pPr>
        <w:spacing w:after="0" w:line="240" w:lineRule="auto"/>
        <w:rPr>
          <w:rFonts w:ascii="Arial" w:eastAsia="Arial" w:hAnsi="Arial" w:cs="Arial"/>
          <w:sz w:val="24"/>
          <w:szCs w:val="24"/>
        </w:rPr>
      </w:pPr>
    </w:p>
    <w:p w14:paraId="1F9324A8" w14:textId="46E64586" w:rsidR="00D3304C" w:rsidRDefault="00F369FA" w:rsidP="00197B9A">
      <w:pPr>
        <w:pStyle w:val="ListParagraph"/>
        <w:numPr>
          <w:ilvl w:val="0"/>
          <w:numId w:val="10"/>
        </w:numPr>
        <w:spacing w:after="240" w:line="360" w:lineRule="auto"/>
        <w:jc w:val="both"/>
        <w:rPr>
          <w:rFonts w:ascii="Arial" w:hAnsi="Arial" w:cs="Arial"/>
          <w:sz w:val="24"/>
          <w:szCs w:val="24"/>
        </w:rPr>
      </w:pPr>
      <w:r w:rsidRPr="007803A6">
        <w:rPr>
          <w:rFonts w:ascii="Arial" w:hAnsi="Arial" w:cs="Arial"/>
          <w:sz w:val="24"/>
          <w:szCs w:val="24"/>
        </w:rPr>
        <w:t>This is an action for damages in terms of the Road Accident Fund Act 56 of 1996 (‘Act 56 of 1996’</w:t>
      </w:r>
      <w:r w:rsidRPr="00574BAA">
        <w:rPr>
          <w:rFonts w:ascii="Arial" w:hAnsi="Arial" w:cs="Arial"/>
          <w:sz w:val="24"/>
          <w:szCs w:val="24"/>
        </w:rPr>
        <w:t>).</w:t>
      </w:r>
      <w:r w:rsidR="00296A4E" w:rsidRPr="00574BAA">
        <w:rPr>
          <w:rFonts w:ascii="Arial" w:hAnsi="Arial" w:cs="Arial"/>
          <w:sz w:val="24"/>
          <w:szCs w:val="24"/>
        </w:rPr>
        <w:t xml:space="preserve"> It proceeded on a default judgment basis, </w:t>
      </w:r>
      <w:r w:rsidR="003910C2">
        <w:rPr>
          <w:rFonts w:ascii="Arial" w:hAnsi="Arial" w:cs="Arial"/>
          <w:sz w:val="24"/>
          <w:szCs w:val="24"/>
        </w:rPr>
        <w:t xml:space="preserve">following dismissal of </w:t>
      </w:r>
      <w:r w:rsidR="00296A4E" w:rsidRPr="00574BAA">
        <w:rPr>
          <w:rFonts w:ascii="Arial" w:hAnsi="Arial" w:cs="Arial"/>
          <w:sz w:val="24"/>
          <w:szCs w:val="24"/>
        </w:rPr>
        <w:t>the defendant’s defence on 8 October 2021.</w:t>
      </w:r>
      <w:r w:rsidR="00D3304C">
        <w:rPr>
          <w:rFonts w:ascii="Arial" w:hAnsi="Arial" w:cs="Arial"/>
          <w:sz w:val="24"/>
          <w:szCs w:val="24"/>
        </w:rPr>
        <w:t xml:space="preserve"> </w:t>
      </w:r>
      <w:r w:rsidRPr="007803A6">
        <w:rPr>
          <w:rFonts w:ascii="Arial" w:hAnsi="Arial" w:cs="Arial"/>
          <w:sz w:val="24"/>
          <w:szCs w:val="24"/>
        </w:rPr>
        <w:t xml:space="preserve"> </w:t>
      </w:r>
    </w:p>
    <w:p w14:paraId="2F870AE4" w14:textId="3954ABA9" w:rsidR="00AE7B59" w:rsidRPr="007803A6" w:rsidRDefault="00EB6AE2" w:rsidP="006A2B0C">
      <w:pPr>
        <w:pStyle w:val="ListParagraph"/>
        <w:numPr>
          <w:ilvl w:val="0"/>
          <w:numId w:val="10"/>
        </w:numPr>
        <w:spacing w:after="240" w:line="360" w:lineRule="auto"/>
        <w:jc w:val="both"/>
        <w:rPr>
          <w:rFonts w:ascii="Arial" w:hAnsi="Arial" w:cs="Arial"/>
          <w:sz w:val="24"/>
          <w:szCs w:val="24"/>
        </w:rPr>
      </w:pPr>
      <w:r>
        <w:rPr>
          <w:rFonts w:ascii="Arial" w:hAnsi="Arial" w:cs="Arial"/>
          <w:sz w:val="24"/>
          <w:szCs w:val="24"/>
        </w:rPr>
        <w:lastRenderedPageBreak/>
        <w:t xml:space="preserve">Willemina Daniela Johanita </w:t>
      </w:r>
      <w:r w:rsidR="00296A4E">
        <w:rPr>
          <w:rFonts w:ascii="Arial" w:hAnsi="Arial" w:cs="Arial"/>
          <w:sz w:val="24"/>
          <w:szCs w:val="24"/>
        </w:rPr>
        <w:t>Van Vuuren</w:t>
      </w:r>
      <w:r w:rsidR="00F369FA" w:rsidRPr="007803A6">
        <w:rPr>
          <w:rFonts w:ascii="Arial" w:hAnsi="Arial" w:cs="Arial"/>
          <w:sz w:val="24"/>
          <w:szCs w:val="24"/>
        </w:rPr>
        <w:t xml:space="preserve"> (the </w:t>
      </w:r>
      <w:r w:rsidR="007534CD">
        <w:rPr>
          <w:rFonts w:ascii="Arial" w:hAnsi="Arial" w:cs="Arial"/>
          <w:sz w:val="24"/>
          <w:szCs w:val="24"/>
        </w:rPr>
        <w:t>“</w:t>
      </w:r>
      <w:r w:rsidR="003910C2">
        <w:rPr>
          <w:rFonts w:ascii="Arial" w:hAnsi="Arial" w:cs="Arial"/>
          <w:sz w:val="24"/>
          <w:szCs w:val="24"/>
        </w:rPr>
        <w:t>p</w:t>
      </w:r>
      <w:r w:rsidR="00D00B5E" w:rsidRPr="007803A6">
        <w:rPr>
          <w:rFonts w:ascii="Arial" w:hAnsi="Arial" w:cs="Arial"/>
          <w:sz w:val="24"/>
          <w:szCs w:val="24"/>
        </w:rPr>
        <w:t>laintiff</w:t>
      </w:r>
      <w:r w:rsidR="007534CD">
        <w:rPr>
          <w:rFonts w:ascii="Arial" w:hAnsi="Arial" w:cs="Arial"/>
          <w:sz w:val="24"/>
          <w:szCs w:val="24"/>
        </w:rPr>
        <w:t>”</w:t>
      </w:r>
      <w:r w:rsidR="00F369FA" w:rsidRPr="007803A6">
        <w:rPr>
          <w:rFonts w:ascii="Arial" w:hAnsi="Arial" w:cs="Arial"/>
          <w:sz w:val="24"/>
          <w:szCs w:val="24"/>
        </w:rPr>
        <w:t>)</w:t>
      </w:r>
      <w:r w:rsidR="006F57E8">
        <w:rPr>
          <w:rFonts w:ascii="Arial" w:hAnsi="Arial" w:cs="Arial"/>
          <w:sz w:val="24"/>
          <w:szCs w:val="24"/>
        </w:rPr>
        <w:t>, an adult female born 5 September 1989,</w:t>
      </w:r>
      <w:r w:rsidR="00F369FA" w:rsidRPr="007803A6">
        <w:rPr>
          <w:rFonts w:ascii="Arial" w:hAnsi="Arial" w:cs="Arial"/>
          <w:sz w:val="24"/>
          <w:szCs w:val="24"/>
        </w:rPr>
        <w:t xml:space="preserve"> sustained bodily injuries as a result of a collision</w:t>
      </w:r>
      <w:r w:rsidR="001B7C49">
        <w:rPr>
          <w:rFonts w:ascii="Arial" w:hAnsi="Arial" w:cs="Arial"/>
          <w:sz w:val="24"/>
          <w:szCs w:val="24"/>
        </w:rPr>
        <w:t xml:space="preserve"> between two vehicles</w:t>
      </w:r>
      <w:r w:rsidR="006F57E8">
        <w:rPr>
          <w:rFonts w:ascii="Arial" w:hAnsi="Arial" w:cs="Arial"/>
          <w:sz w:val="24"/>
          <w:szCs w:val="24"/>
        </w:rPr>
        <w:t xml:space="preserve"> </w:t>
      </w:r>
      <w:r w:rsidR="00F369FA" w:rsidRPr="007803A6">
        <w:rPr>
          <w:rFonts w:ascii="Arial" w:hAnsi="Arial" w:cs="Arial"/>
          <w:sz w:val="24"/>
          <w:szCs w:val="24"/>
        </w:rPr>
        <w:t xml:space="preserve">on </w:t>
      </w:r>
      <w:r w:rsidR="00197B9A">
        <w:rPr>
          <w:rFonts w:ascii="Arial" w:eastAsia="Arial" w:hAnsi="Arial" w:cs="Arial"/>
          <w:sz w:val="24"/>
          <w:szCs w:val="24"/>
        </w:rPr>
        <w:t xml:space="preserve">27 May 2016 at approximately </w:t>
      </w:r>
      <w:r w:rsidR="006F57E8">
        <w:rPr>
          <w:rFonts w:ascii="Arial" w:eastAsia="Arial" w:hAnsi="Arial" w:cs="Arial"/>
          <w:sz w:val="24"/>
          <w:szCs w:val="24"/>
        </w:rPr>
        <w:t>11h36</w:t>
      </w:r>
      <w:r w:rsidR="007534CD">
        <w:rPr>
          <w:rFonts w:ascii="Arial" w:eastAsia="Arial" w:hAnsi="Arial" w:cs="Arial"/>
          <w:sz w:val="24"/>
          <w:szCs w:val="24"/>
        </w:rPr>
        <w:t>,</w:t>
      </w:r>
      <w:r w:rsidR="006F57E8">
        <w:rPr>
          <w:rFonts w:ascii="Arial" w:eastAsia="Arial" w:hAnsi="Arial" w:cs="Arial"/>
          <w:sz w:val="24"/>
          <w:szCs w:val="24"/>
        </w:rPr>
        <w:t xml:space="preserve"> at or near the intersection of Versveld an</w:t>
      </w:r>
      <w:r w:rsidR="007534CD">
        <w:rPr>
          <w:rFonts w:ascii="Arial" w:eastAsia="Arial" w:hAnsi="Arial" w:cs="Arial"/>
          <w:sz w:val="24"/>
          <w:szCs w:val="24"/>
        </w:rPr>
        <w:t>d</w:t>
      </w:r>
      <w:r w:rsidR="006F57E8">
        <w:rPr>
          <w:rFonts w:ascii="Arial" w:eastAsia="Arial" w:hAnsi="Arial" w:cs="Arial"/>
          <w:sz w:val="24"/>
          <w:szCs w:val="24"/>
        </w:rPr>
        <w:t xml:space="preserve"> Bowker Streets, Vanderbijlpark</w:t>
      </w:r>
      <w:r w:rsidR="00F369FA" w:rsidRPr="007803A6">
        <w:rPr>
          <w:rFonts w:ascii="Arial" w:hAnsi="Arial" w:cs="Arial"/>
          <w:sz w:val="24"/>
          <w:szCs w:val="24"/>
        </w:rPr>
        <w:t xml:space="preserve">. The </w:t>
      </w:r>
      <w:r w:rsidR="00197B9A">
        <w:rPr>
          <w:rFonts w:ascii="Arial" w:hAnsi="Arial" w:cs="Arial"/>
          <w:sz w:val="24"/>
          <w:szCs w:val="24"/>
        </w:rPr>
        <w:t>p</w:t>
      </w:r>
      <w:r w:rsidR="00D00B5E" w:rsidRPr="007803A6">
        <w:rPr>
          <w:rFonts w:ascii="Arial" w:hAnsi="Arial" w:cs="Arial"/>
          <w:sz w:val="24"/>
          <w:szCs w:val="24"/>
        </w:rPr>
        <w:t>laintiff</w:t>
      </w:r>
      <w:r w:rsidR="00F369FA" w:rsidRPr="007803A6">
        <w:rPr>
          <w:rFonts w:ascii="Arial" w:hAnsi="Arial" w:cs="Arial"/>
          <w:sz w:val="24"/>
          <w:szCs w:val="24"/>
        </w:rPr>
        <w:t xml:space="preserve"> was a passenger</w:t>
      </w:r>
      <w:r w:rsidR="007662ED">
        <w:rPr>
          <w:rFonts w:ascii="Arial" w:hAnsi="Arial" w:cs="Arial"/>
          <w:sz w:val="24"/>
          <w:szCs w:val="24"/>
        </w:rPr>
        <w:t xml:space="preserve"> in one of the vehicles</w:t>
      </w:r>
      <w:r w:rsidR="00F369FA" w:rsidRPr="007803A6">
        <w:rPr>
          <w:rFonts w:ascii="Arial" w:hAnsi="Arial" w:cs="Arial"/>
          <w:sz w:val="24"/>
          <w:szCs w:val="24"/>
        </w:rPr>
        <w:t xml:space="preserve"> at the time of the collision.</w:t>
      </w:r>
    </w:p>
    <w:p w14:paraId="776D5809" w14:textId="77777777" w:rsidR="00AE7B59" w:rsidRPr="007803A6" w:rsidRDefault="00AE7B59" w:rsidP="00AE7B59">
      <w:pPr>
        <w:pStyle w:val="ListParagraph"/>
        <w:spacing w:after="240" w:line="360" w:lineRule="auto"/>
        <w:jc w:val="both"/>
        <w:rPr>
          <w:rFonts w:ascii="Arial" w:hAnsi="Arial" w:cs="Arial"/>
          <w:sz w:val="24"/>
          <w:szCs w:val="24"/>
        </w:rPr>
      </w:pPr>
    </w:p>
    <w:p w14:paraId="2E3D748E" w14:textId="5CDED66E" w:rsidR="00AE7B59" w:rsidRPr="007803A6" w:rsidRDefault="006A2B0C" w:rsidP="00574BAA">
      <w:pPr>
        <w:pStyle w:val="ListParagraph"/>
        <w:numPr>
          <w:ilvl w:val="0"/>
          <w:numId w:val="10"/>
        </w:numPr>
        <w:spacing w:after="0" w:line="360" w:lineRule="auto"/>
        <w:jc w:val="both"/>
        <w:rPr>
          <w:rFonts w:ascii="Arial" w:hAnsi="Arial" w:cs="Arial"/>
          <w:sz w:val="24"/>
          <w:szCs w:val="24"/>
        </w:rPr>
      </w:pPr>
      <w:r w:rsidRPr="007803A6">
        <w:rPr>
          <w:rFonts w:ascii="Arial" w:hAnsi="Arial" w:cs="Arial"/>
          <w:sz w:val="24"/>
          <w:szCs w:val="24"/>
        </w:rPr>
        <w:t xml:space="preserve">Following the collision the </w:t>
      </w:r>
      <w:r w:rsidR="00197B9A">
        <w:rPr>
          <w:rFonts w:ascii="Arial" w:hAnsi="Arial" w:cs="Arial"/>
          <w:sz w:val="24"/>
          <w:szCs w:val="24"/>
        </w:rPr>
        <w:t>p</w:t>
      </w:r>
      <w:r w:rsidR="00D00B5E" w:rsidRPr="007803A6">
        <w:rPr>
          <w:rFonts w:ascii="Arial" w:hAnsi="Arial" w:cs="Arial"/>
          <w:sz w:val="24"/>
          <w:szCs w:val="24"/>
        </w:rPr>
        <w:t>laintiff</w:t>
      </w:r>
      <w:r w:rsidRPr="007803A6">
        <w:rPr>
          <w:rFonts w:ascii="Arial" w:hAnsi="Arial" w:cs="Arial"/>
          <w:sz w:val="24"/>
          <w:szCs w:val="24"/>
        </w:rPr>
        <w:t xml:space="preserve"> lost consciousness and was taken by ambulance to </w:t>
      </w:r>
      <w:r w:rsidR="006F57E8">
        <w:rPr>
          <w:rFonts w:ascii="Arial" w:hAnsi="Arial" w:cs="Arial"/>
          <w:sz w:val="24"/>
          <w:szCs w:val="24"/>
        </w:rPr>
        <w:t>the Emfuleni MediClinic</w:t>
      </w:r>
      <w:r w:rsidR="007534CD">
        <w:rPr>
          <w:rFonts w:ascii="Arial" w:hAnsi="Arial" w:cs="Arial"/>
          <w:sz w:val="24"/>
          <w:szCs w:val="24"/>
        </w:rPr>
        <w:t>,</w:t>
      </w:r>
      <w:r w:rsidR="006F57E8">
        <w:rPr>
          <w:rFonts w:ascii="Arial" w:hAnsi="Arial" w:cs="Arial"/>
          <w:sz w:val="24"/>
          <w:szCs w:val="24"/>
        </w:rPr>
        <w:t xml:space="preserve"> where she was admitted</w:t>
      </w:r>
      <w:r w:rsidR="000246AC" w:rsidRPr="007803A6">
        <w:rPr>
          <w:rFonts w:ascii="Arial" w:hAnsi="Arial" w:cs="Arial"/>
          <w:sz w:val="24"/>
          <w:szCs w:val="24"/>
        </w:rPr>
        <w:t xml:space="preserve">. </w:t>
      </w:r>
      <w:r w:rsidR="00DB2FAA">
        <w:rPr>
          <w:rFonts w:ascii="Arial" w:hAnsi="Arial" w:cs="Arial"/>
          <w:sz w:val="24"/>
          <w:szCs w:val="24"/>
        </w:rPr>
        <w:t xml:space="preserve">She was hospitalised for two weeks – one </w:t>
      </w:r>
      <w:r w:rsidR="006F57E8">
        <w:rPr>
          <w:rFonts w:ascii="Arial" w:hAnsi="Arial" w:cs="Arial"/>
          <w:sz w:val="24"/>
          <w:szCs w:val="24"/>
        </w:rPr>
        <w:t xml:space="preserve">week </w:t>
      </w:r>
      <w:r w:rsidR="00DB2FAA">
        <w:rPr>
          <w:rFonts w:ascii="Arial" w:hAnsi="Arial" w:cs="Arial"/>
          <w:sz w:val="24"/>
          <w:szCs w:val="24"/>
        </w:rPr>
        <w:t xml:space="preserve">in the </w:t>
      </w:r>
      <w:r w:rsidR="006F57E8">
        <w:rPr>
          <w:rFonts w:ascii="Arial" w:hAnsi="Arial" w:cs="Arial"/>
          <w:sz w:val="24"/>
          <w:szCs w:val="24"/>
        </w:rPr>
        <w:t>I</w:t>
      </w:r>
      <w:r w:rsidR="00DB2FAA">
        <w:rPr>
          <w:rFonts w:ascii="Arial" w:hAnsi="Arial" w:cs="Arial"/>
          <w:sz w:val="24"/>
          <w:szCs w:val="24"/>
        </w:rPr>
        <w:t xml:space="preserve">ntensive </w:t>
      </w:r>
      <w:r w:rsidR="006F57E8">
        <w:rPr>
          <w:rFonts w:ascii="Arial" w:hAnsi="Arial" w:cs="Arial"/>
          <w:sz w:val="24"/>
          <w:szCs w:val="24"/>
        </w:rPr>
        <w:t>C</w:t>
      </w:r>
      <w:r w:rsidR="00DB2FAA">
        <w:rPr>
          <w:rFonts w:ascii="Arial" w:hAnsi="Arial" w:cs="Arial"/>
          <w:sz w:val="24"/>
          <w:szCs w:val="24"/>
        </w:rPr>
        <w:t xml:space="preserve">are </w:t>
      </w:r>
      <w:r w:rsidR="006F57E8">
        <w:rPr>
          <w:rFonts w:ascii="Arial" w:hAnsi="Arial" w:cs="Arial"/>
          <w:sz w:val="24"/>
          <w:szCs w:val="24"/>
        </w:rPr>
        <w:t>U</w:t>
      </w:r>
      <w:r w:rsidR="00DB2FAA">
        <w:rPr>
          <w:rFonts w:ascii="Arial" w:hAnsi="Arial" w:cs="Arial"/>
          <w:sz w:val="24"/>
          <w:szCs w:val="24"/>
        </w:rPr>
        <w:t>nit</w:t>
      </w:r>
      <w:r w:rsidR="006F57E8">
        <w:rPr>
          <w:rFonts w:ascii="Arial" w:hAnsi="Arial" w:cs="Arial"/>
          <w:sz w:val="24"/>
          <w:szCs w:val="24"/>
        </w:rPr>
        <w:t>,</w:t>
      </w:r>
      <w:r w:rsidR="00DB2FAA">
        <w:rPr>
          <w:rFonts w:ascii="Arial" w:hAnsi="Arial" w:cs="Arial"/>
          <w:sz w:val="24"/>
          <w:szCs w:val="24"/>
        </w:rPr>
        <w:t xml:space="preserve"> and</w:t>
      </w:r>
      <w:r w:rsidR="006F57E8">
        <w:rPr>
          <w:rFonts w:ascii="Arial" w:hAnsi="Arial" w:cs="Arial"/>
          <w:sz w:val="24"/>
          <w:szCs w:val="24"/>
        </w:rPr>
        <w:t xml:space="preserve"> one week </w:t>
      </w:r>
      <w:r w:rsidR="00DB2FAA">
        <w:rPr>
          <w:rFonts w:ascii="Arial" w:hAnsi="Arial" w:cs="Arial"/>
          <w:sz w:val="24"/>
          <w:szCs w:val="24"/>
        </w:rPr>
        <w:t xml:space="preserve">in the general ward. She remained bedridden for seven weeks </w:t>
      </w:r>
      <w:r w:rsidR="00FA27C8">
        <w:rPr>
          <w:rFonts w:ascii="Arial" w:hAnsi="Arial" w:cs="Arial"/>
          <w:sz w:val="24"/>
          <w:szCs w:val="24"/>
        </w:rPr>
        <w:t>following</w:t>
      </w:r>
      <w:r w:rsidR="00C902E0">
        <w:rPr>
          <w:rFonts w:ascii="Arial" w:hAnsi="Arial" w:cs="Arial"/>
          <w:sz w:val="24"/>
          <w:szCs w:val="24"/>
        </w:rPr>
        <w:t xml:space="preserve"> her discharge from hospital. </w:t>
      </w:r>
      <w:r w:rsidR="00C902E0">
        <w:rPr>
          <w:rFonts w:ascii="Arial" w:eastAsia="Arial" w:hAnsi="Arial" w:cs="Arial"/>
          <w:sz w:val="24"/>
          <w:szCs w:val="24"/>
          <w:lang w:val="en-US"/>
        </w:rPr>
        <w:t>The plaintiff was 26 years old at the time of the accident.</w:t>
      </w:r>
    </w:p>
    <w:p w14:paraId="38D75778" w14:textId="77777777" w:rsidR="00AE7B59" w:rsidRPr="007803A6" w:rsidRDefault="00AE7B59" w:rsidP="00574BAA">
      <w:pPr>
        <w:pStyle w:val="ListParagraph"/>
        <w:spacing w:after="0" w:line="360" w:lineRule="auto"/>
        <w:rPr>
          <w:rFonts w:ascii="Arial" w:hAnsi="Arial" w:cs="Arial"/>
          <w:sz w:val="24"/>
          <w:szCs w:val="24"/>
        </w:rPr>
      </w:pPr>
    </w:p>
    <w:p w14:paraId="2D032780" w14:textId="17A19D1A" w:rsidR="00AE7B59" w:rsidRPr="007803A6" w:rsidRDefault="000246AC" w:rsidP="00574BAA">
      <w:pPr>
        <w:pStyle w:val="ListParagraph"/>
        <w:numPr>
          <w:ilvl w:val="0"/>
          <w:numId w:val="10"/>
        </w:numPr>
        <w:spacing w:after="0" w:line="360" w:lineRule="auto"/>
        <w:jc w:val="both"/>
        <w:rPr>
          <w:rFonts w:ascii="Arial" w:hAnsi="Arial" w:cs="Arial"/>
          <w:sz w:val="24"/>
          <w:szCs w:val="24"/>
        </w:rPr>
      </w:pPr>
      <w:r w:rsidRPr="007803A6">
        <w:rPr>
          <w:rFonts w:ascii="Arial" w:eastAsia="Arial" w:hAnsi="Arial" w:cs="Arial"/>
          <w:sz w:val="24"/>
          <w:szCs w:val="24"/>
          <w:lang w:val="en-US"/>
        </w:rPr>
        <w:t xml:space="preserve">The </w:t>
      </w:r>
      <w:r w:rsidR="00D00B5E" w:rsidRPr="007803A6">
        <w:rPr>
          <w:rFonts w:ascii="Arial" w:eastAsia="Arial" w:hAnsi="Arial" w:cs="Arial"/>
          <w:sz w:val="24"/>
          <w:szCs w:val="24"/>
          <w:lang w:val="en-US"/>
        </w:rPr>
        <w:t>Plaintiff</w:t>
      </w:r>
      <w:r w:rsidRPr="007803A6">
        <w:rPr>
          <w:rFonts w:ascii="Arial" w:eastAsia="Arial" w:hAnsi="Arial" w:cs="Arial"/>
          <w:sz w:val="24"/>
          <w:szCs w:val="24"/>
          <w:lang w:val="en-US"/>
        </w:rPr>
        <w:t xml:space="preserve"> suffered </w:t>
      </w:r>
      <w:r w:rsidRPr="007803A6">
        <w:rPr>
          <w:rFonts w:ascii="Arial" w:eastAsia="Arial" w:hAnsi="Arial" w:cs="Arial"/>
          <w:sz w:val="24"/>
          <w:szCs w:val="24"/>
        </w:rPr>
        <w:t xml:space="preserve">a </w:t>
      </w:r>
      <w:r w:rsidR="00F51C4D">
        <w:rPr>
          <w:rFonts w:ascii="Arial" w:eastAsia="Arial" w:hAnsi="Arial" w:cs="Arial"/>
          <w:sz w:val="24"/>
          <w:szCs w:val="24"/>
        </w:rPr>
        <w:t xml:space="preserve">laceration to the head, multiple rib fractures, liver laceration, severe pelvic fracture, kidney laceration, head injury, teeth fracture, back injury, and sternum fracture. </w:t>
      </w:r>
    </w:p>
    <w:p w14:paraId="77770D36" w14:textId="77777777" w:rsidR="00AE7B59" w:rsidRPr="007803A6" w:rsidRDefault="00AE7B59" w:rsidP="00AE7B59">
      <w:pPr>
        <w:pStyle w:val="ListParagraph"/>
        <w:rPr>
          <w:rFonts w:ascii="Arial" w:hAnsi="Arial" w:cs="Arial"/>
          <w:sz w:val="24"/>
          <w:szCs w:val="24"/>
        </w:rPr>
      </w:pPr>
    </w:p>
    <w:p w14:paraId="3032B477" w14:textId="72EAD761" w:rsidR="00AE7B59" w:rsidRPr="007803A6" w:rsidRDefault="00F369FA" w:rsidP="00AE7B59">
      <w:pPr>
        <w:pStyle w:val="ListParagraph"/>
        <w:numPr>
          <w:ilvl w:val="0"/>
          <w:numId w:val="10"/>
        </w:numPr>
        <w:spacing w:after="240" w:line="360" w:lineRule="auto"/>
        <w:jc w:val="both"/>
        <w:rPr>
          <w:rFonts w:ascii="Arial" w:hAnsi="Arial" w:cs="Arial"/>
          <w:sz w:val="24"/>
          <w:szCs w:val="24"/>
        </w:rPr>
      </w:pPr>
      <w:r w:rsidRPr="007803A6">
        <w:rPr>
          <w:rFonts w:ascii="Arial" w:hAnsi="Arial" w:cs="Arial"/>
          <w:sz w:val="24"/>
          <w:szCs w:val="24"/>
        </w:rPr>
        <w:t xml:space="preserve">The merits have become </w:t>
      </w:r>
      <w:r w:rsidR="00A36253" w:rsidRPr="007803A6">
        <w:rPr>
          <w:rFonts w:ascii="Arial" w:hAnsi="Arial" w:cs="Arial"/>
          <w:sz w:val="24"/>
          <w:szCs w:val="24"/>
        </w:rPr>
        <w:t>settled,</w:t>
      </w:r>
      <w:r w:rsidRPr="007803A6">
        <w:rPr>
          <w:rFonts w:ascii="Arial" w:hAnsi="Arial" w:cs="Arial"/>
          <w:sz w:val="24"/>
          <w:szCs w:val="24"/>
        </w:rPr>
        <w:t xml:space="preserve"> and the </w:t>
      </w:r>
      <w:r w:rsidR="00197B9A">
        <w:rPr>
          <w:rFonts w:ascii="Arial" w:hAnsi="Arial" w:cs="Arial"/>
          <w:sz w:val="24"/>
          <w:szCs w:val="24"/>
        </w:rPr>
        <w:t xml:space="preserve">defendant </w:t>
      </w:r>
      <w:r w:rsidRPr="007803A6">
        <w:rPr>
          <w:rFonts w:ascii="Arial" w:hAnsi="Arial" w:cs="Arial"/>
          <w:sz w:val="24"/>
          <w:szCs w:val="24"/>
        </w:rPr>
        <w:t xml:space="preserve">has conceded liability for 100 per cent of the </w:t>
      </w:r>
      <w:r w:rsidR="00A36253">
        <w:rPr>
          <w:rFonts w:ascii="Arial" w:hAnsi="Arial" w:cs="Arial"/>
          <w:sz w:val="24"/>
          <w:szCs w:val="24"/>
        </w:rPr>
        <w:t>p</w:t>
      </w:r>
      <w:r w:rsidR="00D00B5E" w:rsidRPr="007803A6">
        <w:rPr>
          <w:rFonts w:ascii="Arial" w:hAnsi="Arial" w:cs="Arial"/>
          <w:sz w:val="24"/>
          <w:szCs w:val="24"/>
        </w:rPr>
        <w:t>laintiff</w:t>
      </w:r>
      <w:r w:rsidRPr="007803A6">
        <w:rPr>
          <w:rFonts w:ascii="Arial" w:hAnsi="Arial" w:cs="Arial"/>
          <w:sz w:val="24"/>
          <w:szCs w:val="24"/>
        </w:rPr>
        <w:t xml:space="preserve">’s proved damages. The defendant </w:t>
      </w:r>
      <w:r w:rsidR="00934070" w:rsidRPr="007803A6">
        <w:rPr>
          <w:rFonts w:ascii="Arial" w:hAnsi="Arial" w:cs="Arial"/>
          <w:sz w:val="24"/>
          <w:szCs w:val="24"/>
        </w:rPr>
        <w:t xml:space="preserve">has agreed to </w:t>
      </w:r>
      <w:r w:rsidRPr="007803A6">
        <w:rPr>
          <w:rFonts w:ascii="Arial" w:hAnsi="Arial" w:cs="Arial"/>
          <w:sz w:val="24"/>
          <w:szCs w:val="24"/>
        </w:rPr>
        <w:t>provid</w:t>
      </w:r>
      <w:r w:rsidR="00934070" w:rsidRPr="007803A6">
        <w:rPr>
          <w:rFonts w:ascii="Arial" w:hAnsi="Arial" w:cs="Arial"/>
          <w:sz w:val="24"/>
          <w:szCs w:val="24"/>
        </w:rPr>
        <w:t>e</w:t>
      </w:r>
      <w:r w:rsidRPr="007803A6">
        <w:rPr>
          <w:rFonts w:ascii="Arial" w:hAnsi="Arial" w:cs="Arial"/>
          <w:sz w:val="24"/>
          <w:szCs w:val="24"/>
        </w:rPr>
        <w:t xml:space="preserve"> the </w:t>
      </w:r>
      <w:r w:rsidR="00A36253">
        <w:rPr>
          <w:rFonts w:ascii="Arial" w:hAnsi="Arial" w:cs="Arial"/>
          <w:sz w:val="24"/>
          <w:szCs w:val="24"/>
        </w:rPr>
        <w:t>p</w:t>
      </w:r>
      <w:r w:rsidR="00D00B5E" w:rsidRPr="007803A6">
        <w:rPr>
          <w:rFonts w:ascii="Arial" w:hAnsi="Arial" w:cs="Arial"/>
          <w:sz w:val="24"/>
          <w:szCs w:val="24"/>
        </w:rPr>
        <w:t>laintiff</w:t>
      </w:r>
      <w:r w:rsidRPr="007803A6">
        <w:rPr>
          <w:rFonts w:ascii="Arial" w:hAnsi="Arial" w:cs="Arial"/>
          <w:sz w:val="24"/>
          <w:szCs w:val="24"/>
        </w:rPr>
        <w:t xml:space="preserve"> with an undertaking in terms of s 17(4)(a) of Act 56 of 1996</w:t>
      </w:r>
      <w:r w:rsidR="00A36253">
        <w:rPr>
          <w:rFonts w:ascii="Arial" w:hAnsi="Arial" w:cs="Arial"/>
          <w:sz w:val="24"/>
          <w:szCs w:val="24"/>
        </w:rPr>
        <w:t>.</w:t>
      </w:r>
    </w:p>
    <w:p w14:paraId="15D40BDC" w14:textId="77777777" w:rsidR="00AE7B59" w:rsidRPr="007803A6" w:rsidRDefault="00AE7B59" w:rsidP="00AE7B59">
      <w:pPr>
        <w:pStyle w:val="ListParagraph"/>
        <w:rPr>
          <w:rFonts w:ascii="Arial" w:hAnsi="Arial" w:cs="Arial"/>
          <w:sz w:val="24"/>
          <w:szCs w:val="24"/>
        </w:rPr>
      </w:pPr>
    </w:p>
    <w:p w14:paraId="095F0551" w14:textId="1F8D24C5" w:rsidR="00A36253" w:rsidRPr="00A36253" w:rsidRDefault="004F77B8" w:rsidP="00A36253">
      <w:pPr>
        <w:pStyle w:val="ListParagraph"/>
        <w:numPr>
          <w:ilvl w:val="0"/>
          <w:numId w:val="10"/>
        </w:numPr>
        <w:spacing w:after="0" w:line="360" w:lineRule="auto"/>
        <w:jc w:val="both"/>
        <w:rPr>
          <w:rFonts w:ascii="Arial" w:hAnsi="Arial" w:cs="Arial"/>
          <w:sz w:val="24"/>
          <w:szCs w:val="24"/>
        </w:rPr>
      </w:pPr>
      <w:r w:rsidRPr="007803A6">
        <w:rPr>
          <w:rFonts w:ascii="Arial" w:hAnsi="Arial" w:cs="Arial"/>
          <w:sz w:val="24"/>
          <w:szCs w:val="24"/>
        </w:rPr>
        <w:t>The</w:t>
      </w:r>
      <w:r w:rsidR="00296A4E">
        <w:rPr>
          <w:rFonts w:ascii="Arial" w:hAnsi="Arial" w:cs="Arial"/>
          <w:sz w:val="24"/>
          <w:szCs w:val="24"/>
        </w:rPr>
        <w:t xml:space="preserve"> plaintiff accepted the defendant’s offer of R 500 000 in respect of the general damages claim</w:t>
      </w:r>
      <w:r w:rsidR="00197B9A">
        <w:rPr>
          <w:rFonts w:ascii="Arial" w:hAnsi="Arial" w:cs="Arial"/>
          <w:sz w:val="24"/>
          <w:szCs w:val="24"/>
        </w:rPr>
        <w:t>,</w:t>
      </w:r>
      <w:r w:rsidR="00296A4E">
        <w:rPr>
          <w:rFonts w:ascii="Arial" w:hAnsi="Arial" w:cs="Arial"/>
          <w:sz w:val="24"/>
          <w:szCs w:val="24"/>
        </w:rPr>
        <w:t xml:space="preserve"> on the day of the trial. The only </w:t>
      </w:r>
      <w:r w:rsidR="00165F24" w:rsidRPr="007803A6">
        <w:rPr>
          <w:rFonts w:ascii="Arial" w:hAnsi="Arial" w:cs="Arial"/>
          <w:sz w:val="24"/>
          <w:szCs w:val="24"/>
        </w:rPr>
        <w:t xml:space="preserve">remaining </w:t>
      </w:r>
      <w:r w:rsidRPr="007803A6">
        <w:rPr>
          <w:rFonts w:ascii="Arial" w:hAnsi="Arial" w:cs="Arial"/>
          <w:sz w:val="24"/>
          <w:szCs w:val="24"/>
        </w:rPr>
        <w:t>issue is the quantum of loss of earnings</w:t>
      </w:r>
      <w:r w:rsidR="00296A4E">
        <w:rPr>
          <w:rFonts w:ascii="Arial" w:hAnsi="Arial" w:cs="Arial"/>
          <w:sz w:val="24"/>
          <w:szCs w:val="24"/>
        </w:rPr>
        <w:t>.</w:t>
      </w:r>
      <w:r w:rsidR="00F1085D" w:rsidRPr="007803A6">
        <w:rPr>
          <w:rFonts w:ascii="Arial" w:eastAsia="Arial" w:hAnsi="Arial" w:cs="Arial"/>
          <w:sz w:val="24"/>
          <w:szCs w:val="24"/>
          <w:lang w:val="en-GB"/>
        </w:rPr>
        <w:t xml:space="preserve"> </w:t>
      </w:r>
    </w:p>
    <w:p w14:paraId="04C859DC" w14:textId="77777777" w:rsidR="00A36253" w:rsidRPr="00A36253" w:rsidRDefault="00A36253" w:rsidP="00A36253">
      <w:pPr>
        <w:spacing w:after="0" w:line="360" w:lineRule="auto"/>
        <w:jc w:val="both"/>
        <w:rPr>
          <w:rFonts w:ascii="Arial" w:hAnsi="Arial" w:cs="Arial"/>
          <w:sz w:val="24"/>
          <w:szCs w:val="24"/>
        </w:rPr>
      </w:pPr>
    </w:p>
    <w:p w14:paraId="75E40C24" w14:textId="196FD0F1" w:rsidR="00934070" w:rsidRPr="007803A6" w:rsidRDefault="00934070" w:rsidP="00934070">
      <w:pPr>
        <w:pStyle w:val="ListParagraph"/>
        <w:rPr>
          <w:rFonts w:ascii="Arial" w:hAnsi="Arial" w:cs="Arial"/>
          <w:b/>
          <w:sz w:val="24"/>
          <w:szCs w:val="24"/>
        </w:rPr>
      </w:pPr>
      <w:r w:rsidRPr="007803A6">
        <w:rPr>
          <w:rFonts w:ascii="Arial" w:hAnsi="Arial" w:cs="Arial"/>
          <w:b/>
          <w:sz w:val="24"/>
          <w:szCs w:val="24"/>
        </w:rPr>
        <w:t>Expert reports</w:t>
      </w:r>
    </w:p>
    <w:p w14:paraId="0B5D681D" w14:textId="77777777" w:rsidR="00934070" w:rsidRPr="007803A6" w:rsidRDefault="00934070" w:rsidP="00934070">
      <w:pPr>
        <w:pStyle w:val="ListParagraph"/>
        <w:rPr>
          <w:rFonts w:ascii="Arial" w:hAnsi="Arial" w:cs="Arial"/>
          <w:sz w:val="24"/>
          <w:szCs w:val="24"/>
        </w:rPr>
      </w:pPr>
    </w:p>
    <w:p w14:paraId="24B1B0BA" w14:textId="7EA89DFE" w:rsidR="00934070" w:rsidRDefault="006A2B0C" w:rsidP="00934070">
      <w:pPr>
        <w:pStyle w:val="ListParagraph"/>
        <w:numPr>
          <w:ilvl w:val="0"/>
          <w:numId w:val="10"/>
        </w:numPr>
        <w:spacing w:before="240" w:after="240" w:line="360" w:lineRule="auto"/>
        <w:jc w:val="both"/>
        <w:rPr>
          <w:rFonts w:ascii="Arial" w:hAnsi="Arial" w:cs="Arial"/>
          <w:sz w:val="24"/>
          <w:szCs w:val="24"/>
        </w:rPr>
      </w:pPr>
      <w:r w:rsidRPr="007803A6">
        <w:rPr>
          <w:rFonts w:ascii="Arial" w:hAnsi="Arial" w:cs="Arial"/>
          <w:sz w:val="24"/>
          <w:szCs w:val="24"/>
        </w:rPr>
        <w:t xml:space="preserve">The </w:t>
      </w:r>
      <w:r w:rsidR="00D00B5E" w:rsidRPr="007803A6">
        <w:rPr>
          <w:rFonts w:ascii="Arial" w:hAnsi="Arial" w:cs="Arial"/>
          <w:sz w:val="24"/>
          <w:szCs w:val="24"/>
        </w:rPr>
        <w:t>Plaintiff</w:t>
      </w:r>
      <w:r w:rsidRPr="007803A6">
        <w:rPr>
          <w:rFonts w:ascii="Arial" w:hAnsi="Arial" w:cs="Arial"/>
          <w:sz w:val="24"/>
          <w:szCs w:val="24"/>
        </w:rPr>
        <w:t xml:space="preserve"> relies on the reports</w:t>
      </w:r>
      <w:r w:rsidR="00F51C4D">
        <w:rPr>
          <w:rFonts w:ascii="Arial" w:hAnsi="Arial" w:cs="Arial"/>
          <w:sz w:val="24"/>
          <w:szCs w:val="24"/>
        </w:rPr>
        <w:t xml:space="preserve"> of the following experts</w:t>
      </w:r>
      <w:r w:rsidR="00197B9A">
        <w:rPr>
          <w:rFonts w:ascii="Arial" w:hAnsi="Arial" w:cs="Arial"/>
          <w:sz w:val="24"/>
          <w:szCs w:val="24"/>
        </w:rPr>
        <w:t>: Dr</w:t>
      </w:r>
      <w:r w:rsidRPr="007803A6">
        <w:rPr>
          <w:rFonts w:ascii="Arial" w:hAnsi="Arial" w:cs="Arial"/>
          <w:sz w:val="24"/>
          <w:szCs w:val="24"/>
        </w:rPr>
        <w:t xml:space="preserve"> </w:t>
      </w:r>
      <w:r w:rsidR="00CD1426">
        <w:rPr>
          <w:rFonts w:ascii="Arial" w:hAnsi="Arial" w:cs="Arial"/>
          <w:sz w:val="24"/>
          <w:szCs w:val="24"/>
        </w:rPr>
        <w:t>C</w:t>
      </w:r>
      <w:r w:rsidRPr="007803A6">
        <w:rPr>
          <w:rFonts w:ascii="Arial" w:hAnsi="Arial" w:cs="Arial"/>
          <w:sz w:val="24"/>
          <w:szCs w:val="24"/>
        </w:rPr>
        <w:t xml:space="preserve">. E. </w:t>
      </w:r>
      <w:r w:rsidR="00CD1426">
        <w:rPr>
          <w:rFonts w:ascii="Arial" w:hAnsi="Arial" w:cs="Arial"/>
          <w:sz w:val="24"/>
          <w:szCs w:val="24"/>
        </w:rPr>
        <w:t>Barlin</w:t>
      </w:r>
      <w:r w:rsidRPr="007803A6">
        <w:rPr>
          <w:rFonts w:ascii="Arial" w:hAnsi="Arial" w:cs="Arial"/>
          <w:sz w:val="24"/>
          <w:szCs w:val="24"/>
        </w:rPr>
        <w:t xml:space="preserve"> (</w:t>
      </w:r>
      <w:r w:rsidR="00934070" w:rsidRPr="007803A6">
        <w:rPr>
          <w:rFonts w:ascii="Arial" w:hAnsi="Arial" w:cs="Arial"/>
          <w:sz w:val="24"/>
          <w:szCs w:val="24"/>
        </w:rPr>
        <w:t>Orthopaedic</w:t>
      </w:r>
      <w:r w:rsidR="00197B9A">
        <w:rPr>
          <w:rFonts w:ascii="Arial" w:hAnsi="Arial" w:cs="Arial"/>
          <w:sz w:val="24"/>
          <w:szCs w:val="24"/>
        </w:rPr>
        <w:t xml:space="preserve"> Surgeon); Dr</w:t>
      </w:r>
      <w:r w:rsidRPr="007803A6">
        <w:rPr>
          <w:rFonts w:ascii="Arial" w:hAnsi="Arial" w:cs="Arial"/>
          <w:sz w:val="24"/>
          <w:szCs w:val="24"/>
        </w:rPr>
        <w:t xml:space="preserve"> J. H. Kruger (Neurosurgeon); </w:t>
      </w:r>
      <w:r w:rsidR="00CD1426">
        <w:rPr>
          <w:rFonts w:ascii="Arial" w:hAnsi="Arial" w:cs="Arial"/>
          <w:sz w:val="24"/>
          <w:szCs w:val="24"/>
        </w:rPr>
        <w:t>Mr</w:t>
      </w:r>
      <w:r w:rsidRPr="007803A6">
        <w:rPr>
          <w:rFonts w:ascii="Arial" w:hAnsi="Arial" w:cs="Arial"/>
          <w:sz w:val="24"/>
          <w:szCs w:val="24"/>
        </w:rPr>
        <w:t xml:space="preserve"> </w:t>
      </w:r>
      <w:r w:rsidR="00CD1426">
        <w:rPr>
          <w:rFonts w:ascii="Arial" w:hAnsi="Arial" w:cs="Arial"/>
          <w:sz w:val="24"/>
          <w:szCs w:val="24"/>
        </w:rPr>
        <w:t>T</w:t>
      </w:r>
      <w:r w:rsidRPr="007803A6">
        <w:rPr>
          <w:rFonts w:ascii="Arial" w:hAnsi="Arial" w:cs="Arial"/>
          <w:sz w:val="24"/>
          <w:szCs w:val="24"/>
        </w:rPr>
        <w:t xml:space="preserve">. </w:t>
      </w:r>
      <w:r w:rsidR="00CD1426">
        <w:rPr>
          <w:rFonts w:ascii="Arial" w:hAnsi="Arial" w:cs="Arial"/>
          <w:sz w:val="24"/>
          <w:szCs w:val="24"/>
        </w:rPr>
        <w:t>Reynolds</w:t>
      </w:r>
      <w:r w:rsidRPr="007803A6">
        <w:rPr>
          <w:rFonts w:ascii="Arial" w:hAnsi="Arial" w:cs="Arial"/>
          <w:sz w:val="24"/>
          <w:szCs w:val="24"/>
        </w:rPr>
        <w:t xml:space="preserve"> (</w:t>
      </w:r>
      <w:r w:rsidR="007534CD">
        <w:rPr>
          <w:rFonts w:ascii="Arial" w:hAnsi="Arial" w:cs="Arial"/>
          <w:sz w:val="24"/>
          <w:szCs w:val="24"/>
        </w:rPr>
        <w:t>Cli</w:t>
      </w:r>
      <w:r w:rsidR="00CD1426">
        <w:rPr>
          <w:rFonts w:ascii="Arial" w:hAnsi="Arial" w:cs="Arial"/>
          <w:sz w:val="24"/>
          <w:szCs w:val="24"/>
        </w:rPr>
        <w:t>nical Psychologist</w:t>
      </w:r>
      <w:r w:rsidRPr="007803A6">
        <w:rPr>
          <w:rFonts w:ascii="Arial" w:hAnsi="Arial" w:cs="Arial"/>
          <w:sz w:val="24"/>
          <w:szCs w:val="24"/>
        </w:rPr>
        <w:t>); Dr</w:t>
      </w:r>
      <w:r w:rsidR="00CD1426">
        <w:rPr>
          <w:rFonts w:ascii="Arial" w:hAnsi="Arial" w:cs="Arial"/>
          <w:sz w:val="24"/>
          <w:szCs w:val="24"/>
        </w:rPr>
        <w:t xml:space="preserve"> M. Close (Specialist Psychiatrist</w:t>
      </w:r>
      <w:r w:rsidRPr="007803A6">
        <w:rPr>
          <w:rFonts w:ascii="Arial" w:hAnsi="Arial" w:cs="Arial"/>
          <w:sz w:val="24"/>
          <w:szCs w:val="24"/>
        </w:rPr>
        <w:t>); M</w:t>
      </w:r>
      <w:r w:rsidR="00E0420D">
        <w:rPr>
          <w:rFonts w:ascii="Arial" w:hAnsi="Arial" w:cs="Arial"/>
          <w:sz w:val="24"/>
          <w:szCs w:val="24"/>
        </w:rPr>
        <w:t>s</w:t>
      </w:r>
      <w:r w:rsidRPr="007803A6">
        <w:rPr>
          <w:rFonts w:ascii="Arial" w:hAnsi="Arial" w:cs="Arial"/>
          <w:sz w:val="24"/>
          <w:szCs w:val="24"/>
        </w:rPr>
        <w:t xml:space="preserve"> </w:t>
      </w:r>
      <w:r w:rsidR="00CD1426">
        <w:rPr>
          <w:rFonts w:ascii="Arial" w:hAnsi="Arial" w:cs="Arial"/>
          <w:sz w:val="24"/>
          <w:szCs w:val="24"/>
        </w:rPr>
        <w:t>F</w:t>
      </w:r>
      <w:r w:rsidR="00197B9A">
        <w:rPr>
          <w:rFonts w:ascii="Arial" w:hAnsi="Arial" w:cs="Arial"/>
          <w:sz w:val="24"/>
          <w:szCs w:val="24"/>
        </w:rPr>
        <w:t xml:space="preserve">. </w:t>
      </w:r>
      <w:r w:rsidR="00CD1426">
        <w:rPr>
          <w:rFonts w:ascii="Arial" w:hAnsi="Arial" w:cs="Arial"/>
          <w:sz w:val="24"/>
          <w:szCs w:val="24"/>
        </w:rPr>
        <w:t>Burger (Occupational Therapist); Mr</w:t>
      </w:r>
      <w:r w:rsidRPr="007803A6">
        <w:rPr>
          <w:rFonts w:ascii="Arial" w:hAnsi="Arial" w:cs="Arial"/>
          <w:sz w:val="24"/>
          <w:szCs w:val="24"/>
        </w:rPr>
        <w:t xml:space="preserve"> L. </w:t>
      </w:r>
      <w:r w:rsidR="00CD1426">
        <w:rPr>
          <w:rFonts w:ascii="Arial" w:hAnsi="Arial" w:cs="Arial"/>
          <w:sz w:val="24"/>
          <w:szCs w:val="24"/>
        </w:rPr>
        <w:t xml:space="preserve">Linde &amp; Dr J. Bosman </w:t>
      </w:r>
      <w:r w:rsidRPr="007803A6">
        <w:rPr>
          <w:rFonts w:ascii="Arial" w:hAnsi="Arial" w:cs="Arial"/>
          <w:sz w:val="24"/>
          <w:szCs w:val="24"/>
        </w:rPr>
        <w:t>(Industrial Psychologist</w:t>
      </w:r>
      <w:r w:rsidR="00CD1426">
        <w:rPr>
          <w:rFonts w:ascii="Arial" w:hAnsi="Arial" w:cs="Arial"/>
          <w:sz w:val="24"/>
          <w:szCs w:val="24"/>
        </w:rPr>
        <w:t>s</w:t>
      </w:r>
      <w:r w:rsidR="00197B9A">
        <w:rPr>
          <w:rFonts w:ascii="Arial" w:hAnsi="Arial" w:cs="Arial"/>
          <w:sz w:val="24"/>
          <w:szCs w:val="24"/>
        </w:rPr>
        <w:t>); and Mr</w:t>
      </w:r>
      <w:r w:rsidRPr="007803A6">
        <w:rPr>
          <w:rFonts w:ascii="Arial" w:hAnsi="Arial" w:cs="Arial"/>
          <w:sz w:val="24"/>
          <w:szCs w:val="24"/>
        </w:rPr>
        <w:t xml:space="preserve"> G. </w:t>
      </w:r>
      <w:r w:rsidR="006F57E8">
        <w:rPr>
          <w:rFonts w:ascii="Arial" w:hAnsi="Arial" w:cs="Arial"/>
          <w:sz w:val="24"/>
          <w:szCs w:val="24"/>
        </w:rPr>
        <w:t xml:space="preserve">A. Whittaker </w:t>
      </w:r>
      <w:r w:rsidRPr="007803A6">
        <w:rPr>
          <w:rFonts w:ascii="Arial" w:hAnsi="Arial" w:cs="Arial"/>
          <w:sz w:val="24"/>
          <w:szCs w:val="24"/>
        </w:rPr>
        <w:t>(Consulting Actuary).</w:t>
      </w:r>
    </w:p>
    <w:p w14:paraId="1B1B18F6" w14:textId="77777777" w:rsidR="00DB2FAA" w:rsidRDefault="00DB2FAA" w:rsidP="00DB2FAA">
      <w:pPr>
        <w:pStyle w:val="ListParagraph"/>
        <w:spacing w:before="240" w:after="240" w:line="360" w:lineRule="auto"/>
        <w:jc w:val="both"/>
        <w:rPr>
          <w:rFonts w:ascii="Arial" w:hAnsi="Arial" w:cs="Arial"/>
          <w:sz w:val="24"/>
          <w:szCs w:val="24"/>
        </w:rPr>
      </w:pPr>
    </w:p>
    <w:p w14:paraId="431DB518" w14:textId="528341BA" w:rsidR="00EB6AE2" w:rsidRPr="007803A6" w:rsidRDefault="00EB6AE2" w:rsidP="00934070">
      <w:pPr>
        <w:pStyle w:val="ListParagraph"/>
        <w:numPr>
          <w:ilvl w:val="0"/>
          <w:numId w:val="10"/>
        </w:numPr>
        <w:spacing w:before="240" w:after="240" w:line="360" w:lineRule="auto"/>
        <w:jc w:val="both"/>
        <w:rPr>
          <w:rFonts w:ascii="Arial" w:hAnsi="Arial" w:cs="Arial"/>
          <w:sz w:val="24"/>
          <w:szCs w:val="24"/>
        </w:rPr>
      </w:pPr>
      <w:r>
        <w:rPr>
          <w:rFonts w:ascii="Arial" w:hAnsi="Arial" w:cs="Arial"/>
          <w:sz w:val="24"/>
          <w:szCs w:val="24"/>
        </w:rPr>
        <w:lastRenderedPageBreak/>
        <w:t>The Defendant procured reports from the following experts: Dr</w:t>
      </w:r>
      <w:r w:rsidR="00197B9A">
        <w:rPr>
          <w:rFonts w:ascii="Arial" w:hAnsi="Arial" w:cs="Arial"/>
          <w:sz w:val="24"/>
          <w:szCs w:val="24"/>
        </w:rPr>
        <w:t xml:space="preserve"> A.J. </w:t>
      </w:r>
      <w:r>
        <w:rPr>
          <w:rFonts w:ascii="Arial" w:hAnsi="Arial" w:cs="Arial"/>
          <w:sz w:val="24"/>
          <w:szCs w:val="24"/>
        </w:rPr>
        <w:t xml:space="preserve">Dybala (Orthopaedic </w:t>
      </w:r>
      <w:r w:rsidR="00892A5F">
        <w:rPr>
          <w:rFonts w:ascii="Arial" w:hAnsi="Arial" w:cs="Arial"/>
          <w:sz w:val="24"/>
          <w:szCs w:val="24"/>
        </w:rPr>
        <w:t>S</w:t>
      </w:r>
      <w:r>
        <w:rPr>
          <w:rFonts w:ascii="Arial" w:hAnsi="Arial" w:cs="Arial"/>
          <w:sz w:val="24"/>
          <w:szCs w:val="24"/>
        </w:rPr>
        <w:t>urgeon),</w:t>
      </w:r>
      <w:r w:rsidR="00197B9A">
        <w:rPr>
          <w:rFonts w:ascii="Arial" w:hAnsi="Arial" w:cs="Arial"/>
          <w:sz w:val="24"/>
          <w:szCs w:val="24"/>
        </w:rPr>
        <w:t xml:space="preserve"> Ms</w:t>
      </w:r>
      <w:r>
        <w:rPr>
          <w:rFonts w:ascii="Arial" w:hAnsi="Arial" w:cs="Arial"/>
          <w:sz w:val="24"/>
          <w:szCs w:val="24"/>
        </w:rPr>
        <w:t xml:space="preserve"> L</w:t>
      </w:r>
      <w:r w:rsidR="0074525C">
        <w:rPr>
          <w:rFonts w:ascii="Arial" w:hAnsi="Arial" w:cs="Arial"/>
          <w:sz w:val="24"/>
          <w:szCs w:val="24"/>
        </w:rPr>
        <w:t>.</w:t>
      </w:r>
      <w:r>
        <w:rPr>
          <w:rFonts w:ascii="Arial" w:hAnsi="Arial" w:cs="Arial"/>
          <w:sz w:val="24"/>
          <w:szCs w:val="24"/>
        </w:rPr>
        <w:t xml:space="preserve"> Khasu</w:t>
      </w:r>
      <w:r w:rsidR="0074525C">
        <w:rPr>
          <w:rFonts w:ascii="Arial" w:hAnsi="Arial" w:cs="Arial"/>
          <w:sz w:val="24"/>
          <w:szCs w:val="24"/>
        </w:rPr>
        <w:t xml:space="preserve"> (Clinical </w:t>
      </w:r>
      <w:r w:rsidR="00197B9A">
        <w:rPr>
          <w:rFonts w:ascii="Arial" w:hAnsi="Arial" w:cs="Arial"/>
          <w:sz w:val="24"/>
          <w:szCs w:val="24"/>
        </w:rPr>
        <w:t>P</w:t>
      </w:r>
      <w:r w:rsidR="0074525C">
        <w:rPr>
          <w:rFonts w:ascii="Arial" w:hAnsi="Arial" w:cs="Arial"/>
          <w:sz w:val="24"/>
          <w:szCs w:val="24"/>
        </w:rPr>
        <w:t>sychologist)</w:t>
      </w:r>
      <w:r>
        <w:rPr>
          <w:rFonts w:ascii="Arial" w:hAnsi="Arial" w:cs="Arial"/>
          <w:sz w:val="24"/>
          <w:szCs w:val="24"/>
        </w:rPr>
        <w:t xml:space="preserve">, Dr </w:t>
      </w:r>
      <w:r w:rsidR="0074525C">
        <w:rPr>
          <w:rFonts w:ascii="Arial" w:hAnsi="Arial" w:cs="Arial"/>
          <w:sz w:val="24"/>
          <w:szCs w:val="24"/>
        </w:rPr>
        <w:t xml:space="preserve">B. </w:t>
      </w:r>
      <w:r>
        <w:rPr>
          <w:rFonts w:ascii="Arial" w:hAnsi="Arial" w:cs="Arial"/>
          <w:sz w:val="24"/>
          <w:szCs w:val="24"/>
        </w:rPr>
        <w:t>Mosadi</w:t>
      </w:r>
      <w:r w:rsidR="00892A5F">
        <w:rPr>
          <w:rFonts w:ascii="Arial" w:hAnsi="Arial" w:cs="Arial"/>
          <w:sz w:val="24"/>
          <w:szCs w:val="24"/>
        </w:rPr>
        <w:t xml:space="preserve"> (N</w:t>
      </w:r>
      <w:r w:rsidR="0074525C">
        <w:rPr>
          <w:rFonts w:ascii="Arial" w:hAnsi="Arial" w:cs="Arial"/>
          <w:sz w:val="24"/>
          <w:szCs w:val="24"/>
        </w:rPr>
        <w:t>eurosurgeon)</w:t>
      </w:r>
      <w:r>
        <w:rPr>
          <w:rFonts w:ascii="Arial" w:hAnsi="Arial" w:cs="Arial"/>
          <w:sz w:val="24"/>
          <w:szCs w:val="24"/>
        </w:rPr>
        <w:t xml:space="preserve">, </w:t>
      </w:r>
      <w:r w:rsidR="00197B9A">
        <w:rPr>
          <w:rFonts w:ascii="Arial" w:hAnsi="Arial" w:cs="Arial"/>
          <w:sz w:val="24"/>
          <w:szCs w:val="24"/>
        </w:rPr>
        <w:t>Ms</w:t>
      </w:r>
      <w:r w:rsidR="00CD1426">
        <w:rPr>
          <w:rFonts w:ascii="Arial" w:hAnsi="Arial" w:cs="Arial"/>
          <w:sz w:val="24"/>
          <w:szCs w:val="24"/>
        </w:rPr>
        <w:t xml:space="preserve"> </w:t>
      </w:r>
      <w:r>
        <w:rPr>
          <w:rFonts w:ascii="Arial" w:hAnsi="Arial" w:cs="Arial"/>
          <w:sz w:val="24"/>
          <w:szCs w:val="24"/>
        </w:rPr>
        <w:t>M</w:t>
      </w:r>
      <w:r w:rsidR="0074525C">
        <w:rPr>
          <w:rFonts w:ascii="Arial" w:hAnsi="Arial" w:cs="Arial"/>
          <w:sz w:val="24"/>
          <w:szCs w:val="24"/>
        </w:rPr>
        <w:t>.</w:t>
      </w:r>
      <w:r>
        <w:rPr>
          <w:rFonts w:ascii="Arial" w:hAnsi="Arial" w:cs="Arial"/>
          <w:sz w:val="24"/>
          <w:szCs w:val="24"/>
        </w:rPr>
        <w:t xml:space="preserve"> Magoele</w:t>
      </w:r>
      <w:r w:rsidR="0074525C">
        <w:rPr>
          <w:rFonts w:ascii="Arial" w:hAnsi="Arial" w:cs="Arial"/>
          <w:sz w:val="24"/>
          <w:szCs w:val="24"/>
        </w:rPr>
        <w:t xml:space="preserve"> (</w:t>
      </w:r>
      <w:r w:rsidR="00892A5F">
        <w:rPr>
          <w:rFonts w:ascii="Arial" w:hAnsi="Arial" w:cs="Arial"/>
          <w:sz w:val="24"/>
          <w:szCs w:val="24"/>
        </w:rPr>
        <w:t>Occupational T</w:t>
      </w:r>
      <w:r w:rsidR="0074525C">
        <w:rPr>
          <w:rFonts w:ascii="Arial" w:hAnsi="Arial" w:cs="Arial"/>
          <w:sz w:val="24"/>
          <w:szCs w:val="24"/>
        </w:rPr>
        <w:t>herapist)</w:t>
      </w:r>
      <w:r>
        <w:rPr>
          <w:rFonts w:ascii="Arial" w:hAnsi="Arial" w:cs="Arial"/>
          <w:sz w:val="24"/>
          <w:szCs w:val="24"/>
        </w:rPr>
        <w:t xml:space="preserve">, </w:t>
      </w:r>
      <w:r w:rsidR="00197B9A">
        <w:rPr>
          <w:rFonts w:ascii="Arial" w:hAnsi="Arial" w:cs="Arial"/>
          <w:sz w:val="24"/>
          <w:szCs w:val="24"/>
        </w:rPr>
        <w:t>and Mr</w:t>
      </w:r>
      <w:r w:rsidR="00CD1426">
        <w:rPr>
          <w:rFonts w:ascii="Arial" w:hAnsi="Arial" w:cs="Arial"/>
          <w:sz w:val="24"/>
          <w:szCs w:val="24"/>
        </w:rPr>
        <w:t xml:space="preserve"> </w:t>
      </w:r>
      <w:r>
        <w:rPr>
          <w:rFonts w:ascii="Arial" w:hAnsi="Arial" w:cs="Arial"/>
          <w:sz w:val="24"/>
          <w:szCs w:val="24"/>
        </w:rPr>
        <w:t>T</w:t>
      </w:r>
      <w:r w:rsidR="0074525C">
        <w:rPr>
          <w:rFonts w:ascii="Arial" w:hAnsi="Arial" w:cs="Arial"/>
          <w:sz w:val="24"/>
          <w:szCs w:val="24"/>
        </w:rPr>
        <w:t>.</w:t>
      </w:r>
      <w:r>
        <w:rPr>
          <w:rFonts w:ascii="Arial" w:hAnsi="Arial" w:cs="Arial"/>
          <w:sz w:val="24"/>
          <w:szCs w:val="24"/>
        </w:rPr>
        <w:t xml:space="preserve"> Kalanko</w:t>
      </w:r>
      <w:r w:rsidR="0074525C">
        <w:rPr>
          <w:rFonts w:ascii="Arial" w:hAnsi="Arial" w:cs="Arial"/>
          <w:sz w:val="24"/>
          <w:szCs w:val="24"/>
        </w:rPr>
        <w:t xml:space="preserve"> (Industrial Psychologist)</w:t>
      </w:r>
    </w:p>
    <w:p w14:paraId="13E5F36F" w14:textId="77777777" w:rsidR="00934070" w:rsidRPr="007803A6" w:rsidRDefault="00934070" w:rsidP="00934070">
      <w:pPr>
        <w:pStyle w:val="ListParagraph"/>
        <w:spacing w:before="240" w:after="240" w:line="360" w:lineRule="auto"/>
        <w:jc w:val="both"/>
        <w:rPr>
          <w:rFonts w:ascii="Arial" w:hAnsi="Arial" w:cs="Arial"/>
          <w:sz w:val="24"/>
          <w:szCs w:val="24"/>
        </w:rPr>
      </w:pPr>
    </w:p>
    <w:p w14:paraId="7553EF60" w14:textId="7A252BBC" w:rsidR="007803A6" w:rsidRDefault="00F51C4D" w:rsidP="007803A6">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 xml:space="preserve">The experts deposed to affidavits. </w:t>
      </w:r>
      <w:r w:rsidR="006A2B0C" w:rsidRPr="007803A6">
        <w:rPr>
          <w:rFonts w:ascii="Arial" w:hAnsi="Arial" w:cs="Arial"/>
          <w:sz w:val="24"/>
          <w:szCs w:val="24"/>
        </w:rPr>
        <w:t>I am satisfied that the evidence to be adduced, be given on affidavit in terms of Uniform Rule 38(2).</w:t>
      </w:r>
    </w:p>
    <w:p w14:paraId="69510E91" w14:textId="77777777" w:rsidR="007803A6" w:rsidRPr="007803A6" w:rsidRDefault="007803A6" w:rsidP="007803A6">
      <w:pPr>
        <w:pStyle w:val="ListParagraph"/>
        <w:rPr>
          <w:rFonts w:ascii="Arial" w:eastAsia="Arial" w:hAnsi="Arial" w:cs="Arial"/>
          <w:sz w:val="24"/>
          <w:szCs w:val="24"/>
          <w:lang w:val="en-US"/>
        </w:rPr>
      </w:pPr>
    </w:p>
    <w:p w14:paraId="27447ACC" w14:textId="00375543" w:rsidR="00F51C4D" w:rsidRPr="00FD5EBD" w:rsidRDefault="00D3304C" w:rsidP="00F51C4D">
      <w:pPr>
        <w:pStyle w:val="ListParagraph"/>
        <w:numPr>
          <w:ilvl w:val="0"/>
          <w:numId w:val="10"/>
        </w:numPr>
        <w:spacing w:after="0" w:line="360" w:lineRule="auto"/>
        <w:jc w:val="both"/>
        <w:rPr>
          <w:rFonts w:ascii="Arial" w:hAnsi="Arial" w:cs="Arial"/>
          <w:sz w:val="24"/>
          <w:szCs w:val="24"/>
        </w:rPr>
      </w:pPr>
      <w:r>
        <w:rPr>
          <w:rFonts w:ascii="Arial" w:eastAsia="Arial" w:hAnsi="Arial" w:cs="Arial"/>
          <w:sz w:val="24"/>
          <w:szCs w:val="24"/>
          <w:lang w:val="en-US"/>
        </w:rPr>
        <w:t xml:space="preserve">Joint minutes were prepared by the orthopaedic surgeons, </w:t>
      </w:r>
      <w:r w:rsidR="00892A5F">
        <w:rPr>
          <w:rFonts w:ascii="Arial" w:eastAsia="Arial" w:hAnsi="Arial" w:cs="Arial"/>
          <w:sz w:val="24"/>
          <w:szCs w:val="24"/>
          <w:lang w:val="en-US"/>
        </w:rPr>
        <w:t xml:space="preserve">the neurosurgeons, </w:t>
      </w:r>
      <w:r>
        <w:rPr>
          <w:rFonts w:ascii="Arial" w:eastAsia="Arial" w:hAnsi="Arial" w:cs="Arial"/>
          <w:sz w:val="24"/>
          <w:szCs w:val="24"/>
          <w:lang w:val="en-US"/>
        </w:rPr>
        <w:t>the industrial psychologists (</w:t>
      </w:r>
      <w:r w:rsidR="00892A5F">
        <w:rPr>
          <w:rFonts w:ascii="Arial" w:eastAsia="Arial" w:hAnsi="Arial" w:cs="Arial"/>
          <w:sz w:val="24"/>
          <w:szCs w:val="24"/>
          <w:lang w:val="en-US"/>
        </w:rPr>
        <w:t>Dr Bosman and Mr Linde subsequently prepared an addendum following a change in the plaintiff’s employment circumstances</w:t>
      </w:r>
      <w:r w:rsidR="00EB6AE2">
        <w:rPr>
          <w:rFonts w:ascii="Arial" w:eastAsia="Arial" w:hAnsi="Arial" w:cs="Arial"/>
          <w:sz w:val="24"/>
          <w:szCs w:val="24"/>
          <w:lang w:val="en-US"/>
        </w:rPr>
        <w:t>)</w:t>
      </w:r>
      <w:r>
        <w:rPr>
          <w:rFonts w:ascii="Arial" w:eastAsia="Arial" w:hAnsi="Arial" w:cs="Arial"/>
          <w:sz w:val="24"/>
          <w:szCs w:val="24"/>
          <w:lang w:val="en-US"/>
        </w:rPr>
        <w:t>, and the occupational therapists.</w:t>
      </w:r>
    </w:p>
    <w:p w14:paraId="1AB084A6" w14:textId="77777777" w:rsidR="00FD5EBD" w:rsidRPr="00FD5EBD" w:rsidRDefault="00FD5EBD" w:rsidP="00FD5EBD">
      <w:pPr>
        <w:pStyle w:val="ListParagraph"/>
        <w:rPr>
          <w:rFonts w:ascii="Arial" w:hAnsi="Arial" w:cs="Arial"/>
          <w:sz w:val="24"/>
          <w:szCs w:val="24"/>
        </w:rPr>
      </w:pPr>
    </w:p>
    <w:p w14:paraId="4F9E7F46" w14:textId="77777777" w:rsidR="00F51C4D" w:rsidRPr="00F51C4D" w:rsidRDefault="00F51C4D" w:rsidP="00F51C4D">
      <w:pPr>
        <w:pStyle w:val="ListParagraph"/>
        <w:rPr>
          <w:rFonts w:ascii="Arial" w:eastAsia="Arial" w:hAnsi="Arial" w:cs="Arial"/>
          <w:sz w:val="24"/>
          <w:szCs w:val="24"/>
        </w:rPr>
      </w:pPr>
    </w:p>
    <w:p w14:paraId="2209877A" w14:textId="27410ED8" w:rsidR="00346D3F" w:rsidRPr="003910C2" w:rsidRDefault="00006B29" w:rsidP="003910C2">
      <w:pPr>
        <w:pStyle w:val="ListParagraph"/>
        <w:numPr>
          <w:ilvl w:val="0"/>
          <w:numId w:val="10"/>
        </w:numPr>
        <w:spacing w:after="0" w:line="360" w:lineRule="auto"/>
        <w:jc w:val="both"/>
        <w:rPr>
          <w:rFonts w:ascii="Arial" w:hAnsi="Arial" w:cs="Arial"/>
          <w:sz w:val="24"/>
          <w:szCs w:val="24"/>
        </w:rPr>
      </w:pPr>
      <w:r w:rsidRPr="003910C2">
        <w:rPr>
          <w:rFonts w:ascii="Arial" w:eastAsia="Arial" w:hAnsi="Arial" w:cs="Arial"/>
          <w:sz w:val="24"/>
          <w:szCs w:val="24"/>
        </w:rPr>
        <w:t xml:space="preserve">The </w:t>
      </w:r>
      <w:r w:rsidRPr="003910C2">
        <w:rPr>
          <w:rFonts w:ascii="Arial" w:eastAsia="Arial" w:hAnsi="Arial" w:cs="Arial"/>
          <w:i/>
          <w:sz w:val="24"/>
          <w:szCs w:val="24"/>
        </w:rPr>
        <w:t>sequelae</w:t>
      </w:r>
      <w:r w:rsidRPr="003910C2">
        <w:rPr>
          <w:rFonts w:ascii="Arial" w:eastAsia="Arial" w:hAnsi="Arial" w:cs="Arial"/>
          <w:sz w:val="24"/>
          <w:szCs w:val="24"/>
        </w:rPr>
        <w:t xml:space="preserve"> are gleaned from the joint minutes of the various experts. T</w:t>
      </w:r>
      <w:r w:rsidR="000E5138" w:rsidRPr="003910C2">
        <w:rPr>
          <w:rFonts w:ascii="Arial" w:eastAsia="Arial" w:hAnsi="Arial" w:cs="Arial"/>
          <w:sz w:val="24"/>
          <w:szCs w:val="24"/>
        </w:rPr>
        <w:t xml:space="preserve">he </w:t>
      </w:r>
      <w:r w:rsidR="003910C2">
        <w:rPr>
          <w:rFonts w:ascii="Arial" w:eastAsia="Arial" w:hAnsi="Arial" w:cs="Arial"/>
          <w:sz w:val="24"/>
          <w:szCs w:val="24"/>
        </w:rPr>
        <w:t>p</w:t>
      </w:r>
      <w:r w:rsidR="00D00B5E" w:rsidRPr="003910C2">
        <w:rPr>
          <w:rFonts w:ascii="Arial" w:eastAsia="Arial" w:hAnsi="Arial" w:cs="Arial"/>
          <w:sz w:val="24"/>
          <w:szCs w:val="24"/>
        </w:rPr>
        <w:t>laintiff</w:t>
      </w:r>
      <w:r w:rsidR="00F51C4D" w:rsidRPr="003910C2">
        <w:rPr>
          <w:rFonts w:ascii="Arial" w:eastAsia="Arial" w:hAnsi="Arial" w:cs="Arial"/>
          <w:sz w:val="24"/>
          <w:szCs w:val="24"/>
        </w:rPr>
        <w:t xml:space="preserve"> has</w:t>
      </w:r>
      <w:r w:rsidR="007534CD" w:rsidRPr="003910C2">
        <w:rPr>
          <w:rFonts w:ascii="Arial" w:eastAsia="Arial" w:hAnsi="Arial" w:cs="Arial"/>
          <w:sz w:val="24"/>
          <w:szCs w:val="24"/>
        </w:rPr>
        <w:t>,</w:t>
      </w:r>
      <w:r w:rsidR="00F51C4D" w:rsidRPr="003910C2">
        <w:rPr>
          <w:rFonts w:ascii="Arial" w:eastAsia="Arial" w:hAnsi="Arial" w:cs="Arial"/>
          <w:sz w:val="24"/>
          <w:szCs w:val="24"/>
        </w:rPr>
        <w:t xml:space="preserve"> or suffers from</w:t>
      </w:r>
      <w:r w:rsidR="007534CD" w:rsidRPr="003910C2">
        <w:rPr>
          <w:rFonts w:ascii="Arial" w:eastAsia="Arial" w:hAnsi="Arial" w:cs="Arial"/>
          <w:sz w:val="24"/>
          <w:szCs w:val="24"/>
        </w:rPr>
        <w:t>,</w:t>
      </w:r>
      <w:r w:rsidR="00F51C4D" w:rsidRPr="003910C2">
        <w:rPr>
          <w:rFonts w:ascii="Arial" w:eastAsia="Arial" w:hAnsi="Arial" w:cs="Arial"/>
          <w:sz w:val="24"/>
          <w:szCs w:val="24"/>
        </w:rPr>
        <w:t xml:space="preserve"> severe to very severe major depressive mood disorder</w:t>
      </w:r>
      <w:r w:rsidR="007534CD" w:rsidRPr="003910C2">
        <w:rPr>
          <w:rFonts w:ascii="Arial" w:eastAsia="Arial" w:hAnsi="Arial" w:cs="Arial"/>
          <w:sz w:val="24"/>
          <w:szCs w:val="24"/>
        </w:rPr>
        <w:t>,</w:t>
      </w:r>
      <w:r w:rsidR="00F51C4D" w:rsidRPr="003910C2">
        <w:rPr>
          <w:rFonts w:ascii="Arial" w:eastAsia="Arial" w:hAnsi="Arial" w:cs="Arial"/>
          <w:sz w:val="24"/>
          <w:szCs w:val="24"/>
        </w:rPr>
        <w:t xml:space="preserve"> some relative </w:t>
      </w:r>
      <w:r w:rsidR="007534CD" w:rsidRPr="003910C2">
        <w:rPr>
          <w:rFonts w:ascii="Arial" w:eastAsia="Arial" w:hAnsi="Arial" w:cs="Arial"/>
          <w:sz w:val="24"/>
          <w:szCs w:val="24"/>
        </w:rPr>
        <w:t>neuro</w:t>
      </w:r>
      <w:r w:rsidR="00892A5F" w:rsidRPr="003910C2">
        <w:rPr>
          <w:rFonts w:ascii="Arial" w:eastAsia="Arial" w:hAnsi="Arial" w:cs="Arial"/>
          <w:sz w:val="24"/>
          <w:szCs w:val="24"/>
        </w:rPr>
        <w:t>cognitive weaknesses</w:t>
      </w:r>
      <w:r w:rsidR="00346D3F" w:rsidRPr="003910C2">
        <w:rPr>
          <w:rFonts w:ascii="Arial" w:eastAsia="Arial" w:hAnsi="Arial" w:cs="Arial"/>
          <w:sz w:val="24"/>
          <w:szCs w:val="24"/>
        </w:rPr>
        <w:t>,</w:t>
      </w:r>
      <w:r w:rsidR="007534CD" w:rsidRPr="003910C2">
        <w:rPr>
          <w:rFonts w:ascii="Arial" w:eastAsia="Arial" w:hAnsi="Arial" w:cs="Arial"/>
          <w:sz w:val="24"/>
          <w:szCs w:val="24"/>
        </w:rPr>
        <w:t xml:space="preserve"> neck pain and headaches,</w:t>
      </w:r>
      <w:r w:rsidR="00F51C4D" w:rsidRPr="003910C2">
        <w:rPr>
          <w:rFonts w:ascii="Arial" w:eastAsia="Arial" w:hAnsi="Arial" w:cs="Arial"/>
          <w:sz w:val="24"/>
          <w:szCs w:val="24"/>
        </w:rPr>
        <w:t xml:space="preserve"> </w:t>
      </w:r>
      <w:r w:rsidR="00892A5F" w:rsidRPr="003910C2">
        <w:rPr>
          <w:rFonts w:ascii="Arial" w:eastAsia="Arial" w:hAnsi="Arial" w:cs="Arial"/>
          <w:sz w:val="24"/>
          <w:szCs w:val="24"/>
        </w:rPr>
        <w:t xml:space="preserve">and </w:t>
      </w:r>
      <w:r w:rsidR="00F51C4D" w:rsidRPr="003910C2">
        <w:rPr>
          <w:rFonts w:ascii="Arial" w:eastAsia="Arial" w:hAnsi="Arial" w:cs="Arial"/>
          <w:sz w:val="24"/>
          <w:szCs w:val="24"/>
        </w:rPr>
        <w:t>severe left groin pain aggravated by acti</w:t>
      </w:r>
      <w:r w:rsidR="00892A5F" w:rsidRPr="003910C2">
        <w:rPr>
          <w:rFonts w:ascii="Arial" w:eastAsia="Arial" w:hAnsi="Arial" w:cs="Arial"/>
          <w:sz w:val="24"/>
          <w:szCs w:val="24"/>
        </w:rPr>
        <w:t>vity and lying on her left side, which affects her ability to sleep. She has become</w:t>
      </w:r>
      <w:r w:rsidR="007534CD" w:rsidRPr="003910C2">
        <w:rPr>
          <w:rFonts w:ascii="Arial" w:eastAsia="Arial" w:hAnsi="Arial" w:cs="Arial"/>
          <w:sz w:val="24"/>
          <w:szCs w:val="24"/>
        </w:rPr>
        <w:t xml:space="preserve"> socially </w:t>
      </w:r>
      <w:r w:rsidR="00F51C4D" w:rsidRPr="003910C2">
        <w:rPr>
          <w:rFonts w:ascii="Arial" w:eastAsia="Arial" w:hAnsi="Arial" w:cs="Arial"/>
          <w:sz w:val="24"/>
          <w:szCs w:val="24"/>
        </w:rPr>
        <w:t xml:space="preserve">isolated and withdrawn, </w:t>
      </w:r>
      <w:r w:rsidR="00892A5F" w:rsidRPr="003910C2">
        <w:rPr>
          <w:rFonts w:ascii="Arial" w:eastAsia="Arial" w:hAnsi="Arial" w:cs="Arial"/>
          <w:sz w:val="24"/>
          <w:szCs w:val="24"/>
        </w:rPr>
        <w:t xml:space="preserve">and is unable </w:t>
      </w:r>
      <w:r w:rsidR="00F51C4D" w:rsidRPr="003910C2">
        <w:rPr>
          <w:rFonts w:ascii="Arial" w:eastAsia="Arial" w:hAnsi="Arial" w:cs="Arial"/>
          <w:sz w:val="24"/>
          <w:szCs w:val="24"/>
        </w:rPr>
        <w:t xml:space="preserve">to participate in the physical activities from which </w:t>
      </w:r>
      <w:r w:rsidR="00892A5F" w:rsidRPr="003910C2">
        <w:rPr>
          <w:rFonts w:ascii="Arial" w:eastAsia="Arial" w:hAnsi="Arial" w:cs="Arial"/>
          <w:sz w:val="24"/>
          <w:szCs w:val="24"/>
        </w:rPr>
        <w:t>she derived joy and affirmation.</w:t>
      </w:r>
      <w:r w:rsidR="00F51C4D" w:rsidRPr="003910C2">
        <w:rPr>
          <w:rFonts w:ascii="Arial" w:eastAsia="Arial" w:hAnsi="Arial" w:cs="Arial"/>
          <w:sz w:val="24"/>
          <w:szCs w:val="24"/>
        </w:rPr>
        <w:t xml:space="preserve"> </w:t>
      </w:r>
      <w:r w:rsidR="00346D3F" w:rsidRPr="003910C2">
        <w:rPr>
          <w:rFonts w:ascii="Arial" w:eastAsia="Arial" w:hAnsi="Arial" w:cs="Arial"/>
          <w:sz w:val="24"/>
          <w:szCs w:val="24"/>
        </w:rPr>
        <w:t xml:space="preserve">She has become tearful, irritable, short </w:t>
      </w:r>
      <w:r w:rsidR="00073225" w:rsidRPr="003910C2">
        <w:rPr>
          <w:rFonts w:ascii="Arial" w:eastAsia="Arial" w:hAnsi="Arial" w:cs="Arial"/>
          <w:sz w:val="24"/>
          <w:szCs w:val="24"/>
        </w:rPr>
        <w:t>tempered and has feelings of worthlessness</w:t>
      </w:r>
      <w:r w:rsidR="00346D3F" w:rsidRPr="003910C2">
        <w:rPr>
          <w:rFonts w:ascii="Arial" w:eastAsia="Arial" w:hAnsi="Arial" w:cs="Arial"/>
          <w:sz w:val="24"/>
          <w:szCs w:val="24"/>
        </w:rPr>
        <w:t>.</w:t>
      </w:r>
      <w:r w:rsidR="00073225" w:rsidRPr="003910C2">
        <w:rPr>
          <w:rFonts w:ascii="Arial" w:eastAsia="Arial" w:hAnsi="Arial" w:cs="Arial"/>
          <w:sz w:val="24"/>
          <w:szCs w:val="24"/>
        </w:rPr>
        <w:t xml:space="preserve"> </w:t>
      </w:r>
      <w:r w:rsidR="00346D3F" w:rsidRPr="003910C2">
        <w:rPr>
          <w:rFonts w:ascii="Arial" w:eastAsia="Arial" w:hAnsi="Arial" w:cs="Arial"/>
          <w:sz w:val="24"/>
          <w:szCs w:val="24"/>
        </w:rPr>
        <w:t>She experiences i</w:t>
      </w:r>
      <w:r w:rsidR="00073225" w:rsidRPr="003910C2">
        <w:rPr>
          <w:rFonts w:ascii="Arial" w:eastAsia="Arial" w:hAnsi="Arial" w:cs="Arial"/>
          <w:sz w:val="24"/>
          <w:szCs w:val="24"/>
        </w:rPr>
        <w:t>nsomnia</w:t>
      </w:r>
      <w:r w:rsidR="00346D3F" w:rsidRPr="003910C2">
        <w:rPr>
          <w:rFonts w:ascii="Arial" w:eastAsia="Arial" w:hAnsi="Arial" w:cs="Arial"/>
          <w:sz w:val="24"/>
          <w:szCs w:val="24"/>
        </w:rPr>
        <w:t>, fatigue and</w:t>
      </w:r>
      <w:r w:rsidR="00073225" w:rsidRPr="003910C2">
        <w:rPr>
          <w:rFonts w:ascii="Arial" w:eastAsia="Arial" w:hAnsi="Arial" w:cs="Arial"/>
          <w:sz w:val="24"/>
          <w:szCs w:val="24"/>
        </w:rPr>
        <w:t xml:space="preserve"> forgetful</w:t>
      </w:r>
      <w:r w:rsidR="00346D3F" w:rsidRPr="003910C2">
        <w:rPr>
          <w:rFonts w:ascii="Arial" w:eastAsia="Arial" w:hAnsi="Arial" w:cs="Arial"/>
          <w:sz w:val="24"/>
          <w:szCs w:val="24"/>
        </w:rPr>
        <w:t xml:space="preserve">ness. </w:t>
      </w:r>
    </w:p>
    <w:p w14:paraId="04059F9B" w14:textId="49D92006" w:rsidR="003B25FD" w:rsidRPr="0034777D" w:rsidRDefault="003B25FD" w:rsidP="0034777D">
      <w:pPr>
        <w:rPr>
          <w:rFonts w:ascii="Arial" w:hAnsi="Arial" w:cs="Arial"/>
          <w:sz w:val="24"/>
          <w:szCs w:val="24"/>
        </w:rPr>
      </w:pPr>
    </w:p>
    <w:p w14:paraId="27242613" w14:textId="58A20DBA" w:rsidR="003910C2" w:rsidRPr="003910C2" w:rsidRDefault="003910C2" w:rsidP="003910C2">
      <w:pPr>
        <w:pStyle w:val="ListParagraph"/>
        <w:numPr>
          <w:ilvl w:val="0"/>
          <w:numId w:val="10"/>
        </w:numPr>
        <w:spacing w:after="0" w:line="360" w:lineRule="auto"/>
        <w:jc w:val="both"/>
        <w:rPr>
          <w:rFonts w:ascii="Arial" w:hAnsi="Arial" w:cs="Arial"/>
          <w:sz w:val="24"/>
          <w:szCs w:val="24"/>
        </w:rPr>
      </w:pPr>
      <w:r>
        <w:rPr>
          <w:rFonts w:ascii="Arial" w:eastAsia="Arial" w:hAnsi="Arial" w:cs="Arial"/>
          <w:sz w:val="24"/>
          <w:szCs w:val="24"/>
        </w:rPr>
        <w:t>The physical injuries sustained by the plaintiff are more or less common cause. The orthopaedic surgeons agree that she sustained fractures of the left superior rami and multiple rib fractures. They</w:t>
      </w:r>
      <w:r w:rsidR="00B62998">
        <w:rPr>
          <w:rFonts w:ascii="Arial" w:eastAsia="Arial" w:hAnsi="Arial" w:cs="Arial"/>
          <w:sz w:val="24"/>
          <w:szCs w:val="24"/>
        </w:rPr>
        <w:t xml:space="preserve"> agree</w:t>
      </w:r>
      <w:r>
        <w:rPr>
          <w:rFonts w:ascii="Arial" w:eastAsia="Arial" w:hAnsi="Arial" w:cs="Arial"/>
          <w:sz w:val="24"/>
          <w:szCs w:val="24"/>
        </w:rPr>
        <w:t xml:space="preserve"> that with adequate treatment she should be able to continue working in her current capacity until retirement age but defer to the opinions of the occupational therapists and the industrial psychologists in this regard.  </w:t>
      </w:r>
    </w:p>
    <w:p w14:paraId="04636821" w14:textId="77777777" w:rsidR="003910C2" w:rsidRPr="003910C2" w:rsidRDefault="003910C2" w:rsidP="003910C2">
      <w:pPr>
        <w:pStyle w:val="ListParagraph"/>
        <w:rPr>
          <w:rFonts w:ascii="Arial" w:hAnsi="Arial" w:cs="Arial"/>
          <w:sz w:val="24"/>
          <w:szCs w:val="24"/>
        </w:rPr>
      </w:pPr>
    </w:p>
    <w:p w14:paraId="1605FA44" w14:textId="63851AF4" w:rsidR="003910C2" w:rsidRPr="000D2D0A" w:rsidRDefault="003910C2" w:rsidP="003910C2">
      <w:pPr>
        <w:pStyle w:val="ListParagraph"/>
        <w:numPr>
          <w:ilvl w:val="0"/>
          <w:numId w:val="10"/>
        </w:numPr>
        <w:spacing w:after="0" w:line="360" w:lineRule="auto"/>
        <w:jc w:val="both"/>
        <w:rPr>
          <w:rFonts w:ascii="Arial" w:hAnsi="Arial" w:cs="Arial"/>
          <w:sz w:val="24"/>
          <w:szCs w:val="24"/>
        </w:rPr>
      </w:pPr>
      <w:r w:rsidRPr="000D2D0A">
        <w:rPr>
          <w:rFonts w:ascii="Arial" w:hAnsi="Arial" w:cs="Arial"/>
          <w:sz w:val="24"/>
          <w:szCs w:val="24"/>
        </w:rPr>
        <w:t xml:space="preserve">The neurosurgeons </w:t>
      </w:r>
      <w:r w:rsidR="00FE317A" w:rsidRPr="000D2D0A">
        <w:rPr>
          <w:rFonts w:ascii="Arial" w:hAnsi="Arial" w:cs="Arial"/>
          <w:sz w:val="24"/>
          <w:szCs w:val="24"/>
        </w:rPr>
        <w:t>agree that the plaintiff suffered a mild traumatic brain injury in the accident, chest trauma and fractured ribs.</w:t>
      </w:r>
      <w:r w:rsidR="000D2D0A">
        <w:rPr>
          <w:rFonts w:ascii="Arial" w:hAnsi="Arial" w:cs="Arial"/>
          <w:sz w:val="24"/>
          <w:szCs w:val="24"/>
        </w:rPr>
        <w:t xml:space="preserve"> </w:t>
      </w:r>
      <w:r w:rsidR="000D2D0A" w:rsidRPr="000D2D0A">
        <w:rPr>
          <w:rFonts w:ascii="Arial" w:hAnsi="Arial" w:cs="Arial"/>
          <w:sz w:val="24"/>
          <w:szCs w:val="24"/>
        </w:rPr>
        <w:t>Dr K</w:t>
      </w:r>
      <w:r w:rsidR="000D2D0A">
        <w:rPr>
          <w:rFonts w:ascii="Arial" w:hAnsi="Arial" w:cs="Arial"/>
          <w:sz w:val="24"/>
          <w:szCs w:val="24"/>
        </w:rPr>
        <w:t>ruger suggests</w:t>
      </w:r>
      <w:r w:rsidR="000D2D0A" w:rsidRPr="000D2D0A">
        <w:rPr>
          <w:rFonts w:ascii="Arial" w:hAnsi="Arial" w:cs="Arial"/>
          <w:sz w:val="24"/>
          <w:szCs w:val="24"/>
        </w:rPr>
        <w:t xml:space="preserve"> that due to the severity of the plaintiff’s lumbar back injury, she has a 10% chance of future lumbar spine injury.</w:t>
      </w:r>
    </w:p>
    <w:p w14:paraId="15B8CF45" w14:textId="77777777" w:rsidR="003910C2" w:rsidRPr="003910C2" w:rsidRDefault="003910C2" w:rsidP="003910C2">
      <w:pPr>
        <w:pStyle w:val="ListParagraph"/>
        <w:rPr>
          <w:rFonts w:ascii="Arial" w:hAnsi="Arial" w:cs="Arial"/>
          <w:sz w:val="24"/>
          <w:szCs w:val="24"/>
        </w:rPr>
      </w:pPr>
    </w:p>
    <w:p w14:paraId="38008914" w14:textId="3C921483" w:rsidR="003910C2" w:rsidRPr="00F51C4D" w:rsidRDefault="003910C2" w:rsidP="003910C2">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 xml:space="preserve">The clinical psychologists highlight the </w:t>
      </w:r>
      <w:r w:rsidR="00010EDE">
        <w:rPr>
          <w:rFonts w:ascii="Arial" w:hAnsi="Arial" w:cs="Arial"/>
          <w:sz w:val="24"/>
          <w:szCs w:val="24"/>
        </w:rPr>
        <w:t xml:space="preserve">potential </w:t>
      </w:r>
      <w:r>
        <w:rPr>
          <w:rFonts w:ascii="Arial" w:hAnsi="Arial" w:cs="Arial"/>
          <w:sz w:val="24"/>
          <w:szCs w:val="24"/>
        </w:rPr>
        <w:t xml:space="preserve">significance of the plaintiff’s </w:t>
      </w:r>
      <w:r w:rsidR="00B62998">
        <w:rPr>
          <w:rFonts w:ascii="Arial" w:hAnsi="Arial" w:cs="Arial"/>
          <w:sz w:val="24"/>
          <w:szCs w:val="24"/>
        </w:rPr>
        <w:t>present</w:t>
      </w:r>
      <w:r>
        <w:rPr>
          <w:rFonts w:ascii="Arial" w:hAnsi="Arial" w:cs="Arial"/>
          <w:sz w:val="24"/>
          <w:szCs w:val="24"/>
        </w:rPr>
        <w:t xml:space="preserve"> clinical and neuropsychological status on her earning capacity. She has suffered a profound diminution of quality of life. The accident has resulted in the plaintiff suffering severe long-term mental or behavioural disturb</w:t>
      </w:r>
      <w:r w:rsidR="00B62998">
        <w:rPr>
          <w:rFonts w:ascii="Arial" w:hAnsi="Arial" w:cs="Arial"/>
          <w:sz w:val="24"/>
          <w:szCs w:val="24"/>
        </w:rPr>
        <w:t>ance or disorder. They disagree</w:t>
      </w:r>
      <w:r>
        <w:rPr>
          <w:rFonts w:ascii="Arial" w:hAnsi="Arial" w:cs="Arial"/>
          <w:sz w:val="24"/>
          <w:szCs w:val="24"/>
        </w:rPr>
        <w:t xml:space="preserve"> o</w:t>
      </w:r>
      <w:r w:rsidR="00713BA6">
        <w:rPr>
          <w:rFonts w:ascii="Arial" w:hAnsi="Arial" w:cs="Arial"/>
          <w:sz w:val="24"/>
          <w:szCs w:val="24"/>
        </w:rPr>
        <w:t>n whether the plaintiff suffers</w:t>
      </w:r>
      <w:r>
        <w:rPr>
          <w:rFonts w:ascii="Arial" w:hAnsi="Arial" w:cs="Arial"/>
          <w:sz w:val="24"/>
          <w:szCs w:val="24"/>
        </w:rPr>
        <w:t xml:space="preserve"> from post-traumatic stress disorder. </w:t>
      </w:r>
    </w:p>
    <w:p w14:paraId="317FFE08" w14:textId="77777777" w:rsidR="003910C2" w:rsidRPr="003910C2" w:rsidRDefault="003910C2" w:rsidP="003910C2">
      <w:pPr>
        <w:rPr>
          <w:rFonts w:ascii="Arial" w:hAnsi="Arial" w:cs="Arial"/>
          <w:sz w:val="24"/>
          <w:szCs w:val="24"/>
        </w:rPr>
      </w:pPr>
    </w:p>
    <w:p w14:paraId="40B2D7CD" w14:textId="5FFFFE1C" w:rsidR="0034777D" w:rsidRDefault="00006B29" w:rsidP="0034777D">
      <w:pPr>
        <w:pStyle w:val="ListParagraph"/>
        <w:numPr>
          <w:ilvl w:val="0"/>
          <w:numId w:val="10"/>
        </w:numPr>
        <w:spacing w:after="0" w:line="360" w:lineRule="auto"/>
        <w:jc w:val="both"/>
        <w:rPr>
          <w:rFonts w:ascii="Arial" w:hAnsi="Arial" w:cs="Arial"/>
          <w:sz w:val="24"/>
          <w:szCs w:val="24"/>
        </w:rPr>
      </w:pPr>
      <w:r w:rsidRPr="0034777D">
        <w:rPr>
          <w:rFonts w:ascii="Arial" w:hAnsi="Arial" w:cs="Arial"/>
          <w:sz w:val="24"/>
          <w:szCs w:val="24"/>
        </w:rPr>
        <w:t xml:space="preserve">The </w:t>
      </w:r>
      <w:r w:rsidR="00B62998">
        <w:rPr>
          <w:rFonts w:ascii="Arial" w:hAnsi="Arial" w:cs="Arial"/>
          <w:sz w:val="24"/>
          <w:szCs w:val="24"/>
        </w:rPr>
        <w:t>o</w:t>
      </w:r>
      <w:r w:rsidRPr="0034777D">
        <w:rPr>
          <w:rFonts w:ascii="Arial" w:hAnsi="Arial" w:cs="Arial"/>
          <w:sz w:val="24"/>
          <w:szCs w:val="24"/>
        </w:rPr>
        <w:t>ccupa</w:t>
      </w:r>
      <w:r w:rsidR="00B62998">
        <w:rPr>
          <w:rFonts w:ascii="Arial" w:hAnsi="Arial" w:cs="Arial"/>
          <w:sz w:val="24"/>
          <w:szCs w:val="24"/>
        </w:rPr>
        <w:t>tional t</w:t>
      </w:r>
      <w:r w:rsidR="00346D3F" w:rsidRPr="0034777D">
        <w:rPr>
          <w:rFonts w:ascii="Arial" w:hAnsi="Arial" w:cs="Arial"/>
          <w:sz w:val="24"/>
          <w:szCs w:val="24"/>
        </w:rPr>
        <w:t>herap</w:t>
      </w:r>
      <w:r w:rsidRPr="0034777D">
        <w:rPr>
          <w:rFonts w:ascii="Arial" w:hAnsi="Arial" w:cs="Arial"/>
          <w:sz w:val="24"/>
          <w:szCs w:val="24"/>
        </w:rPr>
        <w:t xml:space="preserve">ists agree that </w:t>
      </w:r>
      <w:r w:rsidR="00346D3F" w:rsidRPr="0034777D">
        <w:rPr>
          <w:rFonts w:ascii="Arial" w:hAnsi="Arial" w:cs="Arial"/>
          <w:sz w:val="24"/>
          <w:szCs w:val="24"/>
        </w:rPr>
        <w:t xml:space="preserve">the </w:t>
      </w:r>
      <w:r w:rsidRPr="0034777D">
        <w:rPr>
          <w:rFonts w:ascii="Arial" w:hAnsi="Arial" w:cs="Arial"/>
          <w:sz w:val="24"/>
          <w:szCs w:val="24"/>
        </w:rPr>
        <w:t xml:space="preserve">plaintiff has a reduced work capacity and that she is a vulnerable employee due to a combination of her physical and neurocognitive </w:t>
      </w:r>
      <w:r w:rsidR="00346D3F" w:rsidRPr="0034777D">
        <w:rPr>
          <w:rFonts w:ascii="Arial" w:hAnsi="Arial" w:cs="Arial"/>
          <w:sz w:val="24"/>
          <w:szCs w:val="24"/>
        </w:rPr>
        <w:t xml:space="preserve">difficulties; </w:t>
      </w:r>
      <w:r w:rsidRPr="0034777D">
        <w:rPr>
          <w:rFonts w:ascii="Arial" w:hAnsi="Arial" w:cs="Arial"/>
          <w:sz w:val="24"/>
          <w:szCs w:val="24"/>
        </w:rPr>
        <w:t xml:space="preserve">that </w:t>
      </w:r>
      <w:r w:rsidR="00346D3F" w:rsidRPr="0034777D">
        <w:rPr>
          <w:rFonts w:ascii="Arial" w:hAnsi="Arial" w:cs="Arial"/>
          <w:sz w:val="24"/>
          <w:szCs w:val="24"/>
        </w:rPr>
        <w:t xml:space="preserve">the </w:t>
      </w:r>
      <w:r w:rsidRPr="0034777D">
        <w:rPr>
          <w:rFonts w:ascii="Arial" w:hAnsi="Arial" w:cs="Arial"/>
          <w:sz w:val="24"/>
          <w:szCs w:val="24"/>
        </w:rPr>
        <w:t>plaintiff is likely to have difficulties succeeding in occupations requiring higher cognitive abilities due to the nature of her neurocognitive impairments, as these deficits may result in error proneness</w:t>
      </w:r>
      <w:r w:rsidR="00346D3F" w:rsidRPr="0034777D">
        <w:rPr>
          <w:rFonts w:ascii="Arial" w:hAnsi="Arial" w:cs="Arial"/>
          <w:sz w:val="24"/>
          <w:szCs w:val="24"/>
        </w:rPr>
        <w:t xml:space="preserve">; and that the </w:t>
      </w:r>
      <w:r w:rsidR="005708B5" w:rsidRPr="0034777D">
        <w:rPr>
          <w:rFonts w:ascii="Arial" w:hAnsi="Arial" w:cs="Arial"/>
          <w:sz w:val="24"/>
          <w:szCs w:val="24"/>
        </w:rPr>
        <w:t>plaintiff would be suited for sedentary to light work</w:t>
      </w:r>
      <w:r w:rsidR="0034777D">
        <w:rPr>
          <w:rFonts w:ascii="Arial" w:hAnsi="Arial" w:cs="Arial"/>
          <w:sz w:val="24"/>
          <w:szCs w:val="24"/>
        </w:rPr>
        <w:t xml:space="preserve">, such as </w:t>
      </w:r>
      <w:r w:rsidR="005708B5" w:rsidRPr="0034777D">
        <w:rPr>
          <w:rFonts w:ascii="Arial" w:hAnsi="Arial" w:cs="Arial"/>
          <w:sz w:val="24"/>
          <w:szCs w:val="24"/>
        </w:rPr>
        <w:t xml:space="preserve">her current occupation as a personal assistant. </w:t>
      </w:r>
    </w:p>
    <w:p w14:paraId="2E96950E" w14:textId="77777777" w:rsidR="0034777D" w:rsidRPr="0034777D" w:rsidRDefault="0034777D" w:rsidP="0034777D">
      <w:pPr>
        <w:pStyle w:val="ListParagraph"/>
        <w:rPr>
          <w:rFonts w:ascii="Arial" w:hAnsi="Arial" w:cs="Arial"/>
          <w:sz w:val="24"/>
          <w:szCs w:val="24"/>
        </w:rPr>
      </w:pPr>
    </w:p>
    <w:p w14:paraId="0BC2F3EB" w14:textId="3D3E852E" w:rsidR="0034777D" w:rsidRDefault="0034777D" w:rsidP="0034777D">
      <w:pPr>
        <w:pStyle w:val="ListParagraph"/>
        <w:numPr>
          <w:ilvl w:val="0"/>
          <w:numId w:val="10"/>
        </w:numPr>
        <w:spacing w:after="0" w:line="360" w:lineRule="auto"/>
        <w:jc w:val="both"/>
        <w:rPr>
          <w:rFonts w:ascii="Arial" w:hAnsi="Arial" w:cs="Arial"/>
          <w:sz w:val="24"/>
          <w:szCs w:val="24"/>
        </w:rPr>
      </w:pPr>
      <w:r w:rsidRPr="0034777D">
        <w:rPr>
          <w:rFonts w:ascii="Arial" w:hAnsi="Arial" w:cs="Arial"/>
          <w:sz w:val="24"/>
          <w:szCs w:val="24"/>
        </w:rPr>
        <w:t>Both agree t</w:t>
      </w:r>
      <w:r w:rsidR="00150829">
        <w:rPr>
          <w:rFonts w:ascii="Arial" w:hAnsi="Arial" w:cs="Arial"/>
          <w:sz w:val="24"/>
          <w:szCs w:val="24"/>
        </w:rPr>
        <w:t>hat she will have less efficienc</w:t>
      </w:r>
      <w:r w:rsidRPr="0034777D">
        <w:rPr>
          <w:rFonts w:ascii="Arial" w:hAnsi="Arial" w:cs="Arial"/>
          <w:sz w:val="24"/>
          <w:szCs w:val="24"/>
        </w:rPr>
        <w:t xml:space="preserve">y as far as standing, walking, climbing, lifting and carrying is </w:t>
      </w:r>
      <w:r w:rsidR="00AA5FC2">
        <w:rPr>
          <w:rFonts w:ascii="Arial" w:hAnsi="Arial" w:cs="Arial"/>
          <w:sz w:val="24"/>
          <w:szCs w:val="24"/>
        </w:rPr>
        <w:t>concerned</w:t>
      </w:r>
      <w:r w:rsidRPr="0034777D">
        <w:rPr>
          <w:rFonts w:ascii="Arial" w:hAnsi="Arial" w:cs="Arial"/>
          <w:sz w:val="24"/>
          <w:szCs w:val="24"/>
        </w:rPr>
        <w:t xml:space="preserve">. </w:t>
      </w:r>
      <w:r w:rsidR="00006B29" w:rsidRPr="0034777D">
        <w:rPr>
          <w:rFonts w:ascii="Arial" w:hAnsi="Arial" w:cs="Arial"/>
          <w:sz w:val="24"/>
          <w:szCs w:val="24"/>
        </w:rPr>
        <w:t xml:space="preserve">Ms </w:t>
      </w:r>
      <w:r w:rsidRPr="0034777D">
        <w:rPr>
          <w:rFonts w:ascii="Arial" w:hAnsi="Arial" w:cs="Arial"/>
          <w:sz w:val="24"/>
          <w:szCs w:val="24"/>
        </w:rPr>
        <w:t>Magoe</w:t>
      </w:r>
      <w:r w:rsidR="005708B5" w:rsidRPr="0034777D">
        <w:rPr>
          <w:rFonts w:ascii="Arial" w:hAnsi="Arial" w:cs="Arial"/>
          <w:sz w:val="24"/>
          <w:szCs w:val="24"/>
        </w:rPr>
        <w:t xml:space="preserve">le </w:t>
      </w:r>
      <w:r w:rsidRPr="0034777D">
        <w:rPr>
          <w:rFonts w:ascii="Arial" w:hAnsi="Arial" w:cs="Arial"/>
          <w:sz w:val="24"/>
          <w:szCs w:val="24"/>
        </w:rPr>
        <w:t xml:space="preserve">opines that </w:t>
      </w:r>
      <w:r w:rsidR="005708B5" w:rsidRPr="0034777D">
        <w:rPr>
          <w:rFonts w:ascii="Arial" w:hAnsi="Arial" w:cs="Arial"/>
          <w:sz w:val="24"/>
          <w:szCs w:val="24"/>
        </w:rPr>
        <w:t xml:space="preserve">the plaintiff would be suited for low to medium </w:t>
      </w:r>
      <w:r w:rsidR="00150829">
        <w:rPr>
          <w:rFonts w:ascii="Arial" w:hAnsi="Arial" w:cs="Arial"/>
          <w:sz w:val="24"/>
          <w:szCs w:val="24"/>
        </w:rPr>
        <w:t xml:space="preserve">type </w:t>
      </w:r>
      <w:r w:rsidR="005708B5" w:rsidRPr="0034777D">
        <w:rPr>
          <w:rFonts w:ascii="Arial" w:hAnsi="Arial" w:cs="Arial"/>
          <w:sz w:val="24"/>
          <w:szCs w:val="24"/>
        </w:rPr>
        <w:t xml:space="preserve">work, </w:t>
      </w:r>
      <w:r>
        <w:rPr>
          <w:rFonts w:ascii="Arial" w:hAnsi="Arial" w:cs="Arial"/>
          <w:sz w:val="24"/>
          <w:szCs w:val="24"/>
        </w:rPr>
        <w:t xml:space="preserve">subject to </w:t>
      </w:r>
      <w:r w:rsidR="005708B5" w:rsidRPr="0034777D">
        <w:rPr>
          <w:rFonts w:ascii="Arial" w:hAnsi="Arial" w:cs="Arial"/>
          <w:sz w:val="24"/>
          <w:szCs w:val="24"/>
        </w:rPr>
        <w:t>adequate rest breaks when in pain. M</w:t>
      </w:r>
      <w:r w:rsidRPr="0034777D">
        <w:rPr>
          <w:rFonts w:ascii="Arial" w:hAnsi="Arial" w:cs="Arial"/>
          <w:sz w:val="24"/>
          <w:szCs w:val="24"/>
        </w:rPr>
        <w:t>s B</w:t>
      </w:r>
      <w:r w:rsidR="005708B5" w:rsidRPr="0034777D">
        <w:rPr>
          <w:rFonts w:ascii="Arial" w:hAnsi="Arial" w:cs="Arial"/>
          <w:sz w:val="24"/>
          <w:szCs w:val="24"/>
        </w:rPr>
        <w:t xml:space="preserve">urger </w:t>
      </w:r>
      <w:r w:rsidRPr="0034777D">
        <w:rPr>
          <w:rFonts w:ascii="Arial" w:hAnsi="Arial" w:cs="Arial"/>
          <w:sz w:val="24"/>
          <w:szCs w:val="24"/>
        </w:rPr>
        <w:t>is of the view that the plaintiff</w:t>
      </w:r>
      <w:r w:rsidR="005708B5" w:rsidRPr="0034777D">
        <w:rPr>
          <w:rFonts w:ascii="Arial" w:hAnsi="Arial" w:cs="Arial"/>
          <w:sz w:val="24"/>
          <w:szCs w:val="24"/>
        </w:rPr>
        <w:t xml:space="preserve"> is suited to light work but with certain </w:t>
      </w:r>
      <w:r w:rsidRPr="0034777D">
        <w:rPr>
          <w:rFonts w:ascii="Arial" w:hAnsi="Arial" w:cs="Arial"/>
          <w:sz w:val="24"/>
          <w:szCs w:val="24"/>
        </w:rPr>
        <w:t xml:space="preserve">specific </w:t>
      </w:r>
      <w:r w:rsidR="005708B5" w:rsidRPr="0034777D">
        <w:rPr>
          <w:rFonts w:ascii="Arial" w:hAnsi="Arial" w:cs="Arial"/>
          <w:sz w:val="24"/>
          <w:szCs w:val="24"/>
        </w:rPr>
        <w:t>limi</w:t>
      </w:r>
      <w:r w:rsidRPr="0034777D">
        <w:rPr>
          <w:rFonts w:ascii="Arial" w:hAnsi="Arial" w:cs="Arial"/>
          <w:sz w:val="24"/>
          <w:szCs w:val="24"/>
        </w:rPr>
        <w:t>t</w:t>
      </w:r>
      <w:r w:rsidR="005708B5" w:rsidRPr="0034777D">
        <w:rPr>
          <w:rFonts w:ascii="Arial" w:hAnsi="Arial" w:cs="Arial"/>
          <w:sz w:val="24"/>
          <w:szCs w:val="24"/>
        </w:rPr>
        <w:t>ations</w:t>
      </w:r>
      <w:r w:rsidRPr="0034777D">
        <w:rPr>
          <w:rFonts w:ascii="Arial" w:hAnsi="Arial" w:cs="Arial"/>
          <w:sz w:val="24"/>
          <w:szCs w:val="24"/>
        </w:rPr>
        <w:t xml:space="preserve">, including that </w:t>
      </w:r>
      <w:r w:rsidR="005708B5" w:rsidRPr="0034777D">
        <w:rPr>
          <w:rFonts w:ascii="Arial" w:hAnsi="Arial" w:cs="Arial"/>
          <w:sz w:val="24"/>
          <w:szCs w:val="24"/>
        </w:rPr>
        <w:t xml:space="preserve">she will only be able </w:t>
      </w:r>
      <w:r>
        <w:rPr>
          <w:rFonts w:ascii="Arial" w:hAnsi="Arial" w:cs="Arial"/>
          <w:sz w:val="24"/>
          <w:szCs w:val="24"/>
        </w:rPr>
        <w:t>to do standing work and forward-</w:t>
      </w:r>
      <w:r w:rsidR="005708B5" w:rsidRPr="0034777D">
        <w:rPr>
          <w:rFonts w:ascii="Arial" w:hAnsi="Arial" w:cs="Arial"/>
          <w:sz w:val="24"/>
          <w:szCs w:val="24"/>
        </w:rPr>
        <w:t xml:space="preserve">bending standing work </w:t>
      </w:r>
      <w:r w:rsidRPr="0034777D">
        <w:rPr>
          <w:rFonts w:ascii="Arial" w:hAnsi="Arial" w:cs="Arial"/>
          <w:sz w:val="24"/>
          <w:szCs w:val="24"/>
        </w:rPr>
        <w:t xml:space="preserve">for 2 hours </w:t>
      </w:r>
      <w:r w:rsidR="005708B5" w:rsidRPr="0034777D">
        <w:rPr>
          <w:rFonts w:ascii="Arial" w:hAnsi="Arial" w:cs="Arial"/>
          <w:sz w:val="24"/>
          <w:szCs w:val="24"/>
        </w:rPr>
        <w:t>during an 8 hour day</w:t>
      </w:r>
      <w:r>
        <w:rPr>
          <w:rFonts w:ascii="Arial" w:hAnsi="Arial" w:cs="Arial"/>
          <w:sz w:val="24"/>
          <w:szCs w:val="24"/>
        </w:rPr>
        <w:t>.</w:t>
      </w:r>
    </w:p>
    <w:p w14:paraId="0EB7E448" w14:textId="77777777" w:rsidR="0034777D" w:rsidRPr="0034777D" w:rsidRDefault="0034777D" w:rsidP="0034777D">
      <w:pPr>
        <w:pStyle w:val="ListParagraph"/>
        <w:rPr>
          <w:rFonts w:ascii="Arial" w:hAnsi="Arial" w:cs="Arial"/>
          <w:sz w:val="24"/>
          <w:szCs w:val="24"/>
        </w:rPr>
      </w:pPr>
    </w:p>
    <w:p w14:paraId="66407011" w14:textId="3C3DB28F" w:rsidR="00344D6C" w:rsidRPr="007534CD" w:rsidRDefault="005708B5" w:rsidP="007534CD">
      <w:pPr>
        <w:pStyle w:val="ListParagraph"/>
        <w:numPr>
          <w:ilvl w:val="0"/>
          <w:numId w:val="10"/>
        </w:numPr>
        <w:spacing w:after="240" w:line="360" w:lineRule="auto"/>
        <w:jc w:val="both"/>
        <w:rPr>
          <w:rFonts w:ascii="Arial" w:hAnsi="Arial" w:cs="Arial"/>
          <w:sz w:val="24"/>
          <w:szCs w:val="24"/>
        </w:rPr>
      </w:pPr>
      <w:r w:rsidRPr="00150829">
        <w:rPr>
          <w:rFonts w:ascii="Arial" w:hAnsi="Arial" w:cs="Arial"/>
          <w:sz w:val="24"/>
          <w:szCs w:val="24"/>
        </w:rPr>
        <w:t xml:space="preserve">They </w:t>
      </w:r>
      <w:r w:rsidR="0034777D" w:rsidRPr="00150829">
        <w:rPr>
          <w:rFonts w:ascii="Arial" w:hAnsi="Arial" w:cs="Arial"/>
          <w:sz w:val="24"/>
          <w:szCs w:val="24"/>
        </w:rPr>
        <w:t>agree on loss of amen</w:t>
      </w:r>
      <w:r w:rsidRPr="00150829">
        <w:rPr>
          <w:rFonts w:ascii="Arial" w:hAnsi="Arial" w:cs="Arial"/>
          <w:sz w:val="24"/>
          <w:szCs w:val="24"/>
        </w:rPr>
        <w:t>ities, red</w:t>
      </w:r>
      <w:r w:rsidR="0034777D" w:rsidRPr="00150829">
        <w:rPr>
          <w:rFonts w:ascii="Arial" w:hAnsi="Arial" w:cs="Arial"/>
          <w:sz w:val="24"/>
          <w:szCs w:val="24"/>
        </w:rPr>
        <w:t>uced lei</w:t>
      </w:r>
      <w:r w:rsidRPr="00150829">
        <w:rPr>
          <w:rFonts w:ascii="Arial" w:hAnsi="Arial" w:cs="Arial"/>
          <w:sz w:val="24"/>
          <w:szCs w:val="24"/>
        </w:rPr>
        <w:t>sure activities with children</w:t>
      </w:r>
      <w:r w:rsidR="0034777D" w:rsidRPr="00150829">
        <w:rPr>
          <w:rFonts w:ascii="Arial" w:hAnsi="Arial" w:cs="Arial"/>
          <w:sz w:val="24"/>
          <w:szCs w:val="24"/>
        </w:rPr>
        <w:t>, and that the plaintiff’s a</w:t>
      </w:r>
      <w:r w:rsidRPr="00150829">
        <w:rPr>
          <w:rFonts w:ascii="Arial" w:hAnsi="Arial" w:cs="Arial"/>
          <w:sz w:val="24"/>
          <w:szCs w:val="24"/>
        </w:rPr>
        <w:t>bility to perform household task</w:t>
      </w:r>
      <w:r w:rsidR="0034777D" w:rsidRPr="00150829">
        <w:rPr>
          <w:rFonts w:ascii="Arial" w:hAnsi="Arial" w:cs="Arial"/>
          <w:sz w:val="24"/>
          <w:szCs w:val="24"/>
        </w:rPr>
        <w:t>s has been affected.</w:t>
      </w:r>
      <w:r w:rsidR="00150829" w:rsidRPr="00150829">
        <w:rPr>
          <w:rFonts w:ascii="Arial" w:hAnsi="Arial" w:cs="Arial"/>
          <w:sz w:val="24"/>
          <w:szCs w:val="24"/>
        </w:rPr>
        <w:t xml:space="preserve"> </w:t>
      </w:r>
      <w:r w:rsidR="007534CD">
        <w:rPr>
          <w:rFonts w:ascii="Arial" w:hAnsi="Arial" w:cs="Arial"/>
          <w:sz w:val="24"/>
          <w:szCs w:val="24"/>
        </w:rPr>
        <w:t>T</w:t>
      </w:r>
      <w:r w:rsidR="0034777D" w:rsidRPr="00150829">
        <w:rPr>
          <w:rFonts w:ascii="Arial" w:hAnsi="Arial" w:cs="Arial"/>
          <w:sz w:val="24"/>
          <w:szCs w:val="24"/>
        </w:rPr>
        <w:t>hey agree that the plaintiff has become an emo</w:t>
      </w:r>
      <w:r w:rsidRPr="00150829">
        <w:rPr>
          <w:rFonts w:ascii="Arial" w:hAnsi="Arial" w:cs="Arial"/>
          <w:sz w:val="24"/>
          <w:szCs w:val="24"/>
        </w:rPr>
        <w:t xml:space="preserve">tionally vulnerable employee in the open labour market as a result of </w:t>
      </w:r>
      <w:r w:rsidR="0034777D" w:rsidRPr="00150829">
        <w:rPr>
          <w:rFonts w:ascii="Arial" w:hAnsi="Arial" w:cs="Arial"/>
          <w:sz w:val="24"/>
          <w:szCs w:val="24"/>
        </w:rPr>
        <w:t xml:space="preserve">the </w:t>
      </w:r>
      <w:r w:rsidRPr="00150829">
        <w:rPr>
          <w:rFonts w:ascii="Arial" w:hAnsi="Arial" w:cs="Arial"/>
          <w:sz w:val="24"/>
          <w:szCs w:val="24"/>
        </w:rPr>
        <w:t>psycho</w:t>
      </w:r>
      <w:r w:rsidR="0034777D" w:rsidRPr="00150829">
        <w:rPr>
          <w:rFonts w:ascii="Arial" w:hAnsi="Arial" w:cs="Arial"/>
          <w:sz w:val="24"/>
          <w:szCs w:val="24"/>
        </w:rPr>
        <w:t>-</w:t>
      </w:r>
      <w:r w:rsidRPr="00150829">
        <w:rPr>
          <w:rFonts w:ascii="Arial" w:hAnsi="Arial" w:cs="Arial"/>
          <w:sz w:val="24"/>
          <w:szCs w:val="24"/>
        </w:rPr>
        <w:t xml:space="preserve">social </w:t>
      </w:r>
      <w:r w:rsidRPr="00150829">
        <w:rPr>
          <w:rFonts w:ascii="Arial" w:hAnsi="Arial" w:cs="Arial"/>
          <w:i/>
          <w:sz w:val="24"/>
          <w:szCs w:val="24"/>
        </w:rPr>
        <w:t>sequelae</w:t>
      </w:r>
      <w:r w:rsidR="003B25FD">
        <w:rPr>
          <w:rFonts w:ascii="Arial" w:hAnsi="Arial" w:cs="Arial"/>
          <w:sz w:val="24"/>
          <w:szCs w:val="24"/>
        </w:rPr>
        <w:t xml:space="preserve"> of the accident.</w:t>
      </w:r>
    </w:p>
    <w:p w14:paraId="23F49D2D" w14:textId="77777777" w:rsidR="007803A6" w:rsidRDefault="007803A6" w:rsidP="00344D6C">
      <w:pPr>
        <w:spacing w:after="0" w:line="360" w:lineRule="auto"/>
        <w:jc w:val="both"/>
        <w:rPr>
          <w:rFonts w:ascii="Arial" w:eastAsia="Arial" w:hAnsi="Arial" w:cs="Arial"/>
          <w:b/>
          <w:sz w:val="24"/>
          <w:szCs w:val="24"/>
          <w:lang w:val="en-US"/>
        </w:rPr>
      </w:pPr>
    </w:p>
    <w:p w14:paraId="7E51E8E1" w14:textId="2A668EA4" w:rsidR="001D4F19" w:rsidRPr="00574BAA" w:rsidRDefault="00344D6C" w:rsidP="00713BA6">
      <w:pPr>
        <w:spacing w:after="0" w:line="360" w:lineRule="auto"/>
        <w:ind w:firstLine="709"/>
        <w:jc w:val="both"/>
        <w:rPr>
          <w:rFonts w:ascii="Arial" w:eastAsia="Arial" w:hAnsi="Arial" w:cs="Arial"/>
          <w:b/>
          <w:sz w:val="24"/>
          <w:szCs w:val="24"/>
          <w:lang w:val="en-US"/>
        </w:rPr>
      </w:pPr>
      <w:r w:rsidRPr="007803A6">
        <w:rPr>
          <w:rFonts w:ascii="Arial" w:eastAsia="Arial" w:hAnsi="Arial" w:cs="Arial"/>
          <w:b/>
          <w:sz w:val="24"/>
          <w:szCs w:val="24"/>
          <w:lang w:val="en-US"/>
        </w:rPr>
        <w:t xml:space="preserve">Career path </w:t>
      </w:r>
      <w:r w:rsidR="00AA4384">
        <w:rPr>
          <w:rFonts w:ascii="Arial" w:eastAsia="Arial" w:hAnsi="Arial" w:cs="Arial"/>
          <w:b/>
          <w:sz w:val="24"/>
          <w:szCs w:val="24"/>
          <w:lang w:val="en-US"/>
        </w:rPr>
        <w:t xml:space="preserve">development, employment prospects, </w:t>
      </w:r>
      <w:r w:rsidRPr="007803A6">
        <w:rPr>
          <w:rFonts w:ascii="Arial" w:eastAsia="Arial" w:hAnsi="Arial" w:cs="Arial"/>
          <w:b/>
          <w:sz w:val="24"/>
          <w:szCs w:val="24"/>
          <w:lang w:val="en-US"/>
        </w:rPr>
        <w:t xml:space="preserve">and earning </w:t>
      </w:r>
      <w:r w:rsidR="00250F75">
        <w:rPr>
          <w:rFonts w:ascii="Arial" w:eastAsia="Arial" w:hAnsi="Arial" w:cs="Arial"/>
          <w:b/>
          <w:sz w:val="24"/>
          <w:szCs w:val="24"/>
          <w:lang w:val="en-US"/>
        </w:rPr>
        <w:t>capacity</w:t>
      </w:r>
    </w:p>
    <w:p w14:paraId="26FF0857" w14:textId="77777777" w:rsidR="001D4F19" w:rsidRDefault="001D4F19" w:rsidP="001D4F19">
      <w:pPr>
        <w:pStyle w:val="ListParagraph"/>
        <w:spacing w:after="0" w:line="360" w:lineRule="auto"/>
        <w:jc w:val="both"/>
        <w:rPr>
          <w:rFonts w:ascii="Arial" w:eastAsia="Arial" w:hAnsi="Arial" w:cs="Arial"/>
          <w:sz w:val="24"/>
          <w:szCs w:val="24"/>
          <w:lang w:val="en-GB"/>
        </w:rPr>
      </w:pPr>
    </w:p>
    <w:p w14:paraId="467BB76F" w14:textId="275FF321" w:rsidR="00235652" w:rsidRDefault="003B25FD" w:rsidP="00AA4384">
      <w:pPr>
        <w:pStyle w:val="ListParagraph"/>
        <w:numPr>
          <w:ilvl w:val="0"/>
          <w:numId w:val="10"/>
        </w:numPr>
        <w:spacing w:after="0" w:line="360" w:lineRule="auto"/>
        <w:jc w:val="both"/>
        <w:rPr>
          <w:rFonts w:ascii="Arial" w:eastAsia="Arial" w:hAnsi="Arial" w:cs="Arial"/>
          <w:sz w:val="24"/>
          <w:szCs w:val="24"/>
          <w:lang w:val="en-GB"/>
        </w:rPr>
      </w:pPr>
      <w:r w:rsidRPr="00B95186">
        <w:rPr>
          <w:rFonts w:ascii="Arial" w:eastAsia="Arial" w:hAnsi="Arial" w:cs="Arial"/>
          <w:sz w:val="24"/>
          <w:szCs w:val="24"/>
          <w:lang w:val="en-GB"/>
        </w:rPr>
        <w:t xml:space="preserve">The </w:t>
      </w:r>
      <w:r>
        <w:rPr>
          <w:rFonts w:ascii="Arial" w:eastAsia="Arial" w:hAnsi="Arial" w:cs="Arial"/>
          <w:sz w:val="24"/>
          <w:szCs w:val="24"/>
          <w:lang w:val="en-GB"/>
        </w:rPr>
        <w:t>p</w:t>
      </w:r>
      <w:r w:rsidRPr="00B95186">
        <w:rPr>
          <w:rFonts w:ascii="Arial" w:eastAsia="Arial" w:hAnsi="Arial" w:cs="Arial"/>
          <w:sz w:val="24"/>
          <w:szCs w:val="24"/>
          <w:lang w:val="en-GB"/>
        </w:rPr>
        <w:t xml:space="preserve">laintiff </w:t>
      </w:r>
      <w:r>
        <w:rPr>
          <w:rFonts w:ascii="Arial" w:eastAsia="Arial" w:hAnsi="Arial" w:cs="Arial"/>
          <w:sz w:val="24"/>
          <w:szCs w:val="24"/>
          <w:lang w:val="en-GB"/>
        </w:rPr>
        <w:t xml:space="preserve">is married with two minor children. She </w:t>
      </w:r>
      <w:r w:rsidRPr="00B95186">
        <w:rPr>
          <w:rFonts w:ascii="Arial" w:eastAsia="Arial" w:hAnsi="Arial" w:cs="Arial"/>
          <w:sz w:val="24"/>
          <w:szCs w:val="24"/>
          <w:lang w:val="en-GB"/>
        </w:rPr>
        <w:t>holds a grade 12 level</w:t>
      </w:r>
      <w:r>
        <w:rPr>
          <w:rFonts w:ascii="Arial" w:eastAsia="Arial" w:hAnsi="Arial" w:cs="Arial"/>
          <w:sz w:val="24"/>
          <w:szCs w:val="24"/>
          <w:lang w:val="en-GB"/>
        </w:rPr>
        <w:t xml:space="preserve"> of education.</w:t>
      </w:r>
      <w:r w:rsidRPr="00B95186">
        <w:rPr>
          <w:rFonts w:ascii="Arial" w:eastAsia="Arial" w:hAnsi="Arial" w:cs="Arial"/>
          <w:sz w:val="24"/>
          <w:szCs w:val="24"/>
          <w:lang w:val="en-GB"/>
        </w:rPr>
        <w:t xml:space="preserve"> She worked as a waitron between December 2007 and May 2010, </w:t>
      </w:r>
      <w:r>
        <w:rPr>
          <w:rFonts w:ascii="Arial" w:eastAsia="Arial" w:hAnsi="Arial" w:cs="Arial"/>
          <w:sz w:val="24"/>
          <w:szCs w:val="24"/>
          <w:lang w:val="en-GB"/>
        </w:rPr>
        <w:t xml:space="preserve">then as </w:t>
      </w:r>
      <w:r w:rsidRPr="00B95186">
        <w:rPr>
          <w:rFonts w:ascii="Arial" w:eastAsia="Arial" w:hAnsi="Arial" w:cs="Arial"/>
          <w:sz w:val="24"/>
          <w:szCs w:val="24"/>
          <w:lang w:val="en-GB"/>
        </w:rPr>
        <w:t>Senior Manager</w:t>
      </w:r>
      <w:r w:rsidR="00B525BC">
        <w:rPr>
          <w:rFonts w:ascii="Arial" w:eastAsia="Arial" w:hAnsi="Arial" w:cs="Arial"/>
          <w:sz w:val="24"/>
          <w:szCs w:val="24"/>
          <w:lang w:val="en-GB"/>
        </w:rPr>
        <w:t xml:space="preserve"> at the </w:t>
      </w:r>
      <w:r w:rsidRPr="00B95186">
        <w:rPr>
          <w:rFonts w:ascii="Arial" w:eastAsia="Arial" w:hAnsi="Arial" w:cs="Arial"/>
          <w:sz w:val="24"/>
          <w:szCs w:val="24"/>
          <w:lang w:val="en-GB"/>
        </w:rPr>
        <w:t xml:space="preserve">Amigo Spur, Vanderbijlpark, </w:t>
      </w:r>
      <w:r>
        <w:rPr>
          <w:rFonts w:ascii="Arial" w:eastAsia="Arial" w:hAnsi="Arial" w:cs="Arial"/>
          <w:sz w:val="24"/>
          <w:szCs w:val="24"/>
          <w:lang w:val="en-GB"/>
        </w:rPr>
        <w:t xml:space="preserve">before joining </w:t>
      </w:r>
      <w:r w:rsidRPr="00B95186">
        <w:rPr>
          <w:rFonts w:ascii="Arial" w:eastAsia="Arial" w:hAnsi="Arial" w:cs="Arial"/>
          <w:sz w:val="24"/>
          <w:szCs w:val="24"/>
          <w:lang w:val="en-GB"/>
        </w:rPr>
        <w:t>Occupational Care South Africa</w:t>
      </w:r>
      <w:r>
        <w:rPr>
          <w:rFonts w:ascii="Arial" w:eastAsia="Arial" w:hAnsi="Arial" w:cs="Arial"/>
          <w:sz w:val="24"/>
          <w:szCs w:val="24"/>
          <w:lang w:val="en-GB"/>
        </w:rPr>
        <w:t xml:space="preserve"> (</w:t>
      </w:r>
      <w:r w:rsidRPr="00B95186">
        <w:rPr>
          <w:rFonts w:ascii="Arial" w:eastAsia="Arial" w:hAnsi="Arial" w:cs="Arial"/>
          <w:sz w:val="24"/>
          <w:szCs w:val="24"/>
          <w:lang w:val="en-GB"/>
        </w:rPr>
        <w:t>OCSA</w:t>
      </w:r>
      <w:r>
        <w:rPr>
          <w:rFonts w:ascii="Arial" w:eastAsia="Arial" w:hAnsi="Arial" w:cs="Arial"/>
          <w:sz w:val="24"/>
          <w:szCs w:val="24"/>
          <w:lang w:val="en-GB"/>
        </w:rPr>
        <w:t>)</w:t>
      </w:r>
      <w:r w:rsidRPr="00B95186">
        <w:rPr>
          <w:rFonts w:ascii="Arial" w:eastAsia="Arial" w:hAnsi="Arial" w:cs="Arial"/>
          <w:sz w:val="24"/>
          <w:szCs w:val="24"/>
          <w:lang w:val="en-GB"/>
        </w:rPr>
        <w:t xml:space="preserve"> at the end of September 2014</w:t>
      </w:r>
      <w:r>
        <w:rPr>
          <w:rFonts w:ascii="Arial" w:eastAsia="Arial" w:hAnsi="Arial" w:cs="Arial"/>
          <w:sz w:val="24"/>
          <w:szCs w:val="24"/>
          <w:lang w:val="en-GB"/>
        </w:rPr>
        <w:t>, as a personal assistant</w:t>
      </w:r>
      <w:r w:rsidR="00DC13FA">
        <w:rPr>
          <w:rFonts w:ascii="Arial" w:eastAsia="Arial" w:hAnsi="Arial" w:cs="Arial"/>
          <w:sz w:val="24"/>
          <w:szCs w:val="24"/>
          <w:lang w:val="en-GB"/>
        </w:rPr>
        <w:t xml:space="preserve">, where she still </w:t>
      </w:r>
      <w:r w:rsidR="00F2363B">
        <w:rPr>
          <w:rFonts w:ascii="Arial" w:eastAsia="Arial" w:hAnsi="Arial" w:cs="Arial"/>
          <w:sz w:val="24"/>
          <w:szCs w:val="24"/>
          <w:lang w:val="en-GB"/>
        </w:rPr>
        <w:t xml:space="preserve">worked at </w:t>
      </w:r>
      <w:r w:rsidR="00B525BC">
        <w:rPr>
          <w:rFonts w:ascii="Arial" w:eastAsia="Arial" w:hAnsi="Arial" w:cs="Arial"/>
          <w:sz w:val="24"/>
          <w:szCs w:val="24"/>
          <w:lang w:val="en-GB"/>
        </w:rPr>
        <w:t xml:space="preserve">the </w:t>
      </w:r>
      <w:r w:rsidR="00F2363B">
        <w:rPr>
          <w:rFonts w:ascii="Arial" w:eastAsia="Arial" w:hAnsi="Arial" w:cs="Arial"/>
          <w:sz w:val="24"/>
          <w:szCs w:val="24"/>
          <w:lang w:val="en-GB"/>
        </w:rPr>
        <w:t>time of the accident</w:t>
      </w:r>
      <w:r w:rsidR="00B525BC">
        <w:rPr>
          <w:rFonts w:ascii="Arial" w:eastAsia="Arial" w:hAnsi="Arial" w:cs="Arial"/>
          <w:sz w:val="24"/>
          <w:szCs w:val="24"/>
          <w:lang w:val="en-GB"/>
        </w:rPr>
        <w:t>.</w:t>
      </w:r>
    </w:p>
    <w:p w14:paraId="4E6E4520" w14:textId="77777777" w:rsidR="00F2363B" w:rsidRPr="00235652" w:rsidRDefault="00F2363B" w:rsidP="00F2363B">
      <w:pPr>
        <w:pStyle w:val="ListParagraph"/>
        <w:spacing w:after="0" w:line="360" w:lineRule="auto"/>
        <w:jc w:val="both"/>
        <w:rPr>
          <w:rFonts w:ascii="Arial" w:eastAsia="Arial" w:hAnsi="Arial" w:cs="Arial"/>
          <w:sz w:val="24"/>
          <w:szCs w:val="24"/>
          <w:lang w:val="en-GB"/>
        </w:rPr>
      </w:pPr>
    </w:p>
    <w:p w14:paraId="452C9AC5" w14:textId="697DA7CE" w:rsidR="00F2363B" w:rsidRPr="00F2363B" w:rsidRDefault="00235652" w:rsidP="00AA4384">
      <w:pPr>
        <w:pStyle w:val="ListParagraph"/>
        <w:numPr>
          <w:ilvl w:val="0"/>
          <w:numId w:val="10"/>
        </w:numPr>
        <w:spacing w:after="0" w:line="360" w:lineRule="auto"/>
        <w:jc w:val="both"/>
        <w:rPr>
          <w:rFonts w:ascii="Arial" w:eastAsia="Arial" w:hAnsi="Arial" w:cs="Arial"/>
          <w:sz w:val="24"/>
          <w:szCs w:val="24"/>
          <w:lang w:val="en-GB"/>
        </w:rPr>
      </w:pPr>
      <w:r>
        <w:rPr>
          <w:rFonts w:ascii="Arial" w:eastAsia="Arial" w:hAnsi="Arial" w:cs="Arial"/>
          <w:sz w:val="24"/>
          <w:szCs w:val="24"/>
          <w:lang w:val="en-US"/>
        </w:rPr>
        <w:t xml:space="preserve">The </w:t>
      </w:r>
      <w:r w:rsidR="00713BA6">
        <w:rPr>
          <w:rFonts w:ascii="Arial" w:eastAsia="Arial" w:hAnsi="Arial" w:cs="Arial"/>
          <w:sz w:val="24"/>
          <w:szCs w:val="24"/>
          <w:lang w:val="en-US"/>
        </w:rPr>
        <w:t>industrial p</w:t>
      </w:r>
      <w:r>
        <w:rPr>
          <w:rFonts w:ascii="Arial" w:eastAsia="Arial" w:hAnsi="Arial" w:cs="Arial"/>
          <w:sz w:val="24"/>
          <w:szCs w:val="24"/>
          <w:lang w:val="en-US"/>
        </w:rPr>
        <w:t xml:space="preserve">sychologists agree that but for the accident, </w:t>
      </w:r>
      <w:r w:rsidR="00AA4384" w:rsidRPr="00AA4384">
        <w:rPr>
          <w:rFonts w:ascii="Arial" w:eastAsia="Arial" w:hAnsi="Arial" w:cs="Arial"/>
          <w:sz w:val="24"/>
          <w:szCs w:val="24"/>
          <w:lang w:val="en-US"/>
        </w:rPr>
        <w:t xml:space="preserve">the </w:t>
      </w:r>
      <w:r w:rsidR="00F2363B">
        <w:rPr>
          <w:rFonts w:ascii="Arial" w:eastAsia="Arial" w:hAnsi="Arial" w:cs="Arial"/>
          <w:sz w:val="24"/>
          <w:szCs w:val="24"/>
          <w:lang w:val="en-US"/>
        </w:rPr>
        <w:t>p</w:t>
      </w:r>
      <w:r w:rsidR="00AA4384" w:rsidRPr="00AA4384">
        <w:rPr>
          <w:rFonts w:ascii="Arial" w:eastAsia="Arial" w:hAnsi="Arial" w:cs="Arial"/>
          <w:sz w:val="24"/>
          <w:szCs w:val="24"/>
          <w:lang w:val="en-US"/>
        </w:rPr>
        <w:t xml:space="preserve">laintiff would </w:t>
      </w:r>
      <w:r>
        <w:rPr>
          <w:rFonts w:ascii="Arial" w:eastAsia="Arial" w:hAnsi="Arial" w:cs="Arial"/>
          <w:sz w:val="24"/>
          <w:szCs w:val="24"/>
          <w:lang w:val="en-US"/>
        </w:rPr>
        <w:t xml:space="preserve">probably </w:t>
      </w:r>
      <w:r w:rsidR="00AA4384" w:rsidRPr="00AA4384">
        <w:rPr>
          <w:rFonts w:ascii="Arial" w:eastAsia="Arial" w:hAnsi="Arial" w:cs="Arial"/>
          <w:sz w:val="24"/>
          <w:szCs w:val="24"/>
          <w:lang w:val="en-US"/>
        </w:rPr>
        <w:t xml:space="preserve">have continued working as a </w:t>
      </w:r>
      <w:r w:rsidR="00B525BC">
        <w:rPr>
          <w:rFonts w:ascii="Arial" w:eastAsia="Arial" w:hAnsi="Arial" w:cs="Arial"/>
          <w:sz w:val="24"/>
          <w:szCs w:val="24"/>
          <w:lang w:val="en-US"/>
        </w:rPr>
        <w:t>personal a</w:t>
      </w:r>
      <w:r w:rsidR="00AA4384" w:rsidRPr="00AA4384">
        <w:rPr>
          <w:rFonts w:ascii="Arial" w:eastAsia="Arial" w:hAnsi="Arial" w:cs="Arial"/>
          <w:sz w:val="24"/>
          <w:szCs w:val="24"/>
          <w:lang w:val="en-US"/>
        </w:rPr>
        <w:t>ssistant, earning within the Paterson Level B2 scale</w:t>
      </w:r>
      <w:r>
        <w:rPr>
          <w:rFonts w:ascii="Arial" w:eastAsia="Arial" w:hAnsi="Arial" w:cs="Arial"/>
          <w:sz w:val="24"/>
          <w:szCs w:val="24"/>
          <w:lang w:val="en-US"/>
        </w:rPr>
        <w:t>. S</w:t>
      </w:r>
      <w:r w:rsidR="00F2363B">
        <w:rPr>
          <w:rFonts w:ascii="Arial" w:eastAsia="Arial" w:hAnsi="Arial" w:cs="Arial"/>
          <w:sz w:val="24"/>
          <w:szCs w:val="24"/>
          <w:lang w:val="en-US"/>
        </w:rPr>
        <w:t xml:space="preserve">he would have been capable of increasing her </w:t>
      </w:r>
      <w:r>
        <w:rPr>
          <w:rFonts w:ascii="Arial" w:eastAsia="Arial" w:hAnsi="Arial" w:cs="Arial"/>
          <w:sz w:val="24"/>
          <w:szCs w:val="24"/>
          <w:lang w:val="en-US"/>
        </w:rPr>
        <w:t xml:space="preserve">earnings after gaining workplace experience, knowledge, skills, </w:t>
      </w:r>
      <w:r w:rsidR="00F2363B">
        <w:rPr>
          <w:rFonts w:ascii="Arial" w:eastAsia="Arial" w:hAnsi="Arial" w:cs="Arial"/>
          <w:sz w:val="24"/>
          <w:szCs w:val="24"/>
          <w:lang w:val="en-US"/>
        </w:rPr>
        <w:t xml:space="preserve">and </w:t>
      </w:r>
      <w:r>
        <w:rPr>
          <w:rFonts w:ascii="Arial" w:eastAsia="Arial" w:hAnsi="Arial" w:cs="Arial"/>
          <w:sz w:val="24"/>
          <w:szCs w:val="24"/>
          <w:lang w:val="en-US"/>
        </w:rPr>
        <w:t>qualifications</w:t>
      </w:r>
      <w:r w:rsidR="00F2363B">
        <w:rPr>
          <w:rFonts w:ascii="Arial" w:eastAsia="Arial" w:hAnsi="Arial" w:cs="Arial"/>
          <w:sz w:val="24"/>
          <w:szCs w:val="24"/>
          <w:lang w:val="en-US"/>
        </w:rPr>
        <w:t>,</w:t>
      </w:r>
      <w:r w:rsidR="00B525BC">
        <w:rPr>
          <w:rFonts w:ascii="Arial" w:eastAsia="Arial" w:hAnsi="Arial" w:cs="Arial"/>
          <w:sz w:val="24"/>
          <w:szCs w:val="24"/>
          <w:lang w:val="en-US"/>
        </w:rPr>
        <w:t xml:space="preserve"> and as such would have become</w:t>
      </w:r>
      <w:r>
        <w:rPr>
          <w:rFonts w:ascii="Arial" w:eastAsia="Arial" w:hAnsi="Arial" w:cs="Arial"/>
          <w:sz w:val="24"/>
          <w:szCs w:val="24"/>
          <w:lang w:val="en-US"/>
        </w:rPr>
        <w:t xml:space="preserve"> eligible to apply for </w:t>
      </w:r>
      <w:r w:rsidR="00B525BC">
        <w:rPr>
          <w:rFonts w:ascii="Arial" w:eastAsia="Arial" w:hAnsi="Arial" w:cs="Arial"/>
          <w:sz w:val="24"/>
          <w:szCs w:val="24"/>
          <w:lang w:val="en-US"/>
        </w:rPr>
        <w:t xml:space="preserve">similar </w:t>
      </w:r>
      <w:r>
        <w:rPr>
          <w:rFonts w:ascii="Arial" w:eastAsia="Arial" w:hAnsi="Arial" w:cs="Arial"/>
          <w:sz w:val="24"/>
          <w:szCs w:val="24"/>
          <w:lang w:val="en-US"/>
        </w:rPr>
        <w:t xml:space="preserve">positions </w:t>
      </w:r>
      <w:r w:rsidR="00B525BC">
        <w:rPr>
          <w:rFonts w:ascii="Arial" w:eastAsia="Arial" w:hAnsi="Arial" w:cs="Arial"/>
          <w:sz w:val="24"/>
          <w:szCs w:val="24"/>
          <w:lang w:val="en-US"/>
        </w:rPr>
        <w:t>at a more senior level</w:t>
      </w:r>
      <w:r>
        <w:rPr>
          <w:rFonts w:ascii="Arial" w:eastAsia="Arial" w:hAnsi="Arial" w:cs="Arial"/>
          <w:sz w:val="24"/>
          <w:szCs w:val="24"/>
          <w:lang w:val="en-US"/>
        </w:rPr>
        <w:t xml:space="preserve"> in larger organ</w:t>
      </w:r>
      <w:r w:rsidR="00F2363B">
        <w:rPr>
          <w:rFonts w:ascii="Arial" w:eastAsia="Arial" w:hAnsi="Arial" w:cs="Arial"/>
          <w:sz w:val="24"/>
          <w:szCs w:val="24"/>
          <w:lang w:val="en-US"/>
        </w:rPr>
        <w:t>i</w:t>
      </w:r>
      <w:r>
        <w:rPr>
          <w:rFonts w:ascii="Arial" w:eastAsia="Arial" w:hAnsi="Arial" w:cs="Arial"/>
          <w:sz w:val="24"/>
          <w:szCs w:val="24"/>
          <w:lang w:val="en-US"/>
        </w:rPr>
        <w:t>sations.</w:t>
      </w:r>
      <w:r w:rsidR="00F2363B">
        <w:rPr>
          <w:rFonts w:ascii="Arial" w:eastAsia="Arial" w:hAnsi="Arial" w:cs="Arial"/>
          <w:sz w:val="24"/>
          <w:szCs w:val="24"/>
          <w:lang w:val="en-US"/>
        </w:rPr>
        <w:t xml:space="preserve"> </w:t>
      </w:r>
    </w:p>
    <w:p w14:paraId="64BCB232" w14:textId="77777777" w:rsidR="00F2363B" w:rsidRPr="00574BAA" w:rsidRDefault="00F2363B" w:rsidP="00574BAA">
      <w:pPr>
        <w:ind w:left="720"/>
        <w:rPr>
          <w:rFonts w:ascii="Arial" w:eastAsia="Arial" w:hAnsi="Arial" w:cs="Arial"/>
          <w:sz w:val="24"/>
          <w:szCs w:val="24"/>
          <w:lang w:val="en-US"/>
        </w:rPr>
      </w:pPr>
    </w:p>
    <w:p w14:paraId="037603AC" w14:textId="6FA5F5A4" w:rsidR="00235652" w:rsidRPr="0035088B" w:rsidRDefault="00F2363B" w:rsidP="0035088B">
      <w:pPr>
        <w:pStyle w:val="ListParagraph"/>
        <w:numPr>
          <w:ilvl w:val="0"/>
          <w:numId w:val="10"/>
        </w:numPr>
        <w:spacing w:after="0" w:line="360" w:lineRule="auto"/>
        <w:jc w:val="both"/>
        <w:rPr>
          <w:rFonts w:ascii="Arial" w:eastAsia="Arial" w:hAnsi="Arial" w:cs="Arial"/>
          <w:sz w:val="24"/>
          <w:szCs w:val="24"/>
          <w:lang w:val="en-GB"/>
        </w:rPr>
      </w:pPr>
      <w:r w:rsidRPr="00F2363B">
        <w:rPr>
          <w:rFonts w:ascii="Arial" w:eastAsia="Arial" w:hAnsi="Arial" w:cs="Arial"/>
          <w:sz w:val="24"/>
          <w:szCs w:val="24"/>
          <w:lang w:val="en-US"/>
        </w:rPr>
        <w:t>According to the plaintiff’s experts, s</w:t>
      </w:r>
      <w:r w:rsidR="00235652" w:rsidRPr="00F2363B">
        <w:rPr>
          <w:rFonts w:ascii="Arial" w:eastAsia="Arial" w:hAnsi="Arial" w:cs="Arial"/>
          <w:sz w:val="24"/>
          <w:szCs w:val="24"/>
          <w:lang w:val="en-US"/>
        </w:rPr>
        <w:t xml:space="preserve">he would have been able to progress from </w:t>
      </w:r>
      <w:r w:rsidR="00193540">
        <w:rPr>
          <w:rFonts w:ascii="Arial" w:eastAsia="Arial" w:hAnsi="Arial" w:cs="Arial"/>
          <w:sz w:val="24"/>
          <w:szCs w:val="24"/>
          <w:lang w:val="en-US"/>
        </w:rPr>
        <w:t xml:space="preserve">Paterson </w:t>
      </w:r>
      <w:r w:rsidR="00235652" w:rsidRPr="00F2363B">
        <w:rPr>
          <w:rFonts w:ascii="Arial" w:eastAsia="Arial" w:hAnsi="Arial" w:cs="Arial"/>
          <w:sz w:val="24"/>
          <w:szCs w:val="24"/>
          <w:lang w:val="en-US"/>
        </w:rPr>
        <w:t xml:space="preserve">B2 level to C1 level by the age of 40—45 years, reaching her ceiling at the C1 </w:t>
      </w:r>
      <w:r w:rsidRPr="00F2363B">
        <w:rPr>
          <w:rFonts w:ascii="Arial" w:eastAsia="Arial" w:hAnsi="Arial" w:cs="Arial"/>
          <w:sz w:val="24"/>
          <w:szCs w:val="24"/>
          <w:lang w:val="en-US"/>
        </w:rPr>
        <w:t>level.</w:t>
      </w:r>
      <w:r w:rsidR="00235652" w:rsidRPr="00F2363B">
        <w:rPr>
          <w:rFonts w:ascii="Arial" w:eastAsia="Arial" w:hAnsi="Arial" w:cs="Arial"/>
          <w:sz w:val="24"/>
          <w:szCs w:val="24"/>
          <w:lang w:val="en-US"/>
        </w:rPr>
        <w:t xml:space="preserve"> </w:t>
      </w:r>
      <w:r>
        <w:rPr>
          <w:rFonts w:ascii="Arial" w:eastAsia="Arial" w:hAnsi="Arial" w:cs="Arial"/>
          <w:sz w:val="24"/>
          <w:szCs w:val="24"/>
          <w:lang w:val="en-US"/>
        </w:rPr>
        <w:t xml:space="preserve">She would </w:t>
      </w:r>
      <w:r w:rsidR="00241795">
        <w:rPr>
          <w:rFonts w:ascii="Arial" w:eastAsia="Arial" w:hAnsi="Arial" w:cs="Arial"/>
          <w:sz w:val="24"/>
          <w:szCs w:val="24"/>
          <w:lang w:val="en-US"/>
        </w:rPr>
        <w:t>thereafter receive</w:t>
      </w:r>
      <w:r w:rsidRPr="00F2363B">
        <w:rPr>
          <w:rFonts w:ascii="Arial" w:eastAsia="Arial" w:hAnsi="Arial" w:cs="Arial"/>
          <w:sz w:val="24"/>
          <w:szCs w:val="24"/>
          <w:lang w:val="en-US"/>
        </w:rPr>
        <w:t xml:space="preserve"> inflationary increases until retirement at age 65.</w:t>
      </w:r>
      <w:r>
        <w:rPr>
          <w:rFonts w:ascii="Arial" w:eastAsia="Arial" w:hAnsi="Arial" w:cs="Arial"/>
          <w:sz w:val="24"/>
          <w:szCs w:val="24"/>
          <w:lang w:val="en-US"/>
        </w:rPr>
        <w:t xml:space="preserve"> </w:t>
      </w:r>
      <w:r w:rsidRPr="00F2363B">
        <w:rPr>
          <w:rFonts w:ascii="Arial" w:eastAsia="Arial" w:hAnsi="Arial" w:cs="Arial"/>
          <w:sz w:val="24"/>
          <w:szCs w:val="24"/>
          <w:lang w:val="en-US"/>
        </w:rPr>
        <w:t xml:space="preserve">The defendant’s expert suggests </w:t>
      </w:r>
      <w:r>
        <w:rPr>
          <w:rFonts w:ascii="Arial" w:eastAsia="Arial" w:hAnsi="Arial" w:cs="Arial"/>
          <w:sz w:val="24"/>
          <w:szCs w:val="24"/>
          <w:lang w:val="en-US"/>
        </w:rPr>
        <w:t>a ca</w:t>
      </w:r>
      <w:r w:rsidR="00235652" w:rsidRPr="00F2363B">
        <w:rPr>
          <w:rFonts w:ascii="Arial" w:eastAsia="Arial" w:hAnsi="Arial" w:cs="Arial"/>
          <w:sz w:val="24"/>
          <w:szCs w:val="24"/>
          <w:lang w:val="en-US"/>
        </w:rPr>
        <w:t>reer ceiling at 40—45</w:t>
      </w:r>
      <w:r>
        <w:rPr>
          <w:rFonts w:ascii="Arial" w:eastAsia="Arial" w:hAnsi="Arial" w:cs="Arial"/>
          <w:sz w:val="24"/>
          <w:szCs w:val="24"/>
          <w:lang w:val="en-US"/>
        </w:rPr>
        <w:t xml:space="preserve"> years</w:t>
      </w:r>
      <w:r w:rsidR="00235652" w:rsidRPr="00F2363B">
        <w:rPr>
          <w:rFonts w:ascii="Arial" w:eastAsia="Arial" w:hAnsi="Arial" w:cs="Arial"/>
          <w:sz w:val="24"/>
          <w:szCs w:val="24"/>
          <w:lang w:val="en-US"/>
        </w:rPr>
        <w:t xml:space="preserve"> at Paterson B5/C1</w:t>
      </w:r>
      <w:r>
        <w:rPr>
          <w:rFonts w:ascii="Arial" w:eastAsia="Arial" w:hAnsi="Arial" w:cs="Arial"/>
          <w:sz w:val="24"/>
          <w:szCs w:val="24"/>
          <w:lang w:val="en-US"/>
        </w:rPr>
        <w:t>,</w:t>
      </w:r>
      <w:r w:rsidR="00235652" w:rsidRPr="00F2363B">
        <w:rPr>
          <w:rFonts w:ascii="Arial" w:eastAsia="Arial" w:hAnsi="Arial" w:cs="Arial"/>
          <w:sz w:val="24"/>
          <w:szCs w:val="24"/>
          <w:lang w:val="en-US"/>
        </w:rPr>
        <w:t xml:space="preserve"> and that the a</w:t>
      </w:r>
      <w:r>
        <w:rPr>
          <w:rFonts w:ascii="Arial" w:eastAsia="Arial" w:hAnsi="Arial" w:cs="Arial"/>
          <w:sz w:val="24"/>
          <w:szCs w:val="24"/>
          <w:lang w:val="en-US"/>
        </w:rPr>
        <w:t>verage between the two career c</w:t>
      </w:r>
      <w:r w:rsidR="00235652" w:rsidRPr="00F2363B">
        <w:rPr>
          <w:rFonts w:ascii="Arial" w:eastAsia="Arial" w:hAnsi="Arial" w:cs="Arial"/>
          <w:sz w:val="24"/>
          <w:szCs w:val="24"/>
          <w:lang w:val="en-US"/>
        </w:rPr>
        <w:t xml:space="preserve">eilings </w:t>
      </w:r>
      <w:r w:rsidR="00B525BC">
        <w:rPr>
          <w:rFonts w:ascii="Arial" w:eastAsia="Arial" w:hAnsi="Arial" w:cs="Arial"/>
          <w:sz w:val="24"/>
          <w:szCs w:val="24"/>
          <w:lang w:val="en-US"/>
        </w:rPr>
        <w:t>should be</w:t>
      </w:r>
      <w:r w:rsidR="00235652" w:rsidRPr="00F2363B">
        <w:rPr>
          <w:rFonts w:ascii="Arial" w:eastAsia="Arial" w:hAnsi="Arial" w:cs="Arial"/>
          <w:sz w:val="24"/>
          <w:szCs w:val="24"/>
          <w:lang w:val="en-US"/>
        </w:rPr>
        <w:t xml:space="preserve"> used</w:t>
      </w:r>
      <w:r w:rsidR="00193540">
        <w:rPr>
          <w:rFonts w:ascii="Arial" w:eastAsia="Arial" w:hAnsi="Arial" w:cs="Arial"/>
          <w:sz w:val="24"/>
          <w:szCs w:val="24"/>
          <w:lang w:val="en-US"/>
        </w:rPr>
        <w:t xml:space="preserve"> for calculations.</w:t>
      </w:r>
    </w:p>
    <w:p w14:paraId="577AF636" w14:textId="77777777" w:rsidR="0035088B" w:rsidRPr="0035088B" w:rsidRDefault="0035088B" w:rsidP="0035088B">
      <w:pPr>
        <w:spacing w:after="0" w:line="360" w:lineRule="auto"/>
        <w:jc w:val="both"/>
        <w:rPr>
          <w:rFonts w:ascii="Arial" w:eastAsia="Arial" w:hAnsi="Arial" w:cs="Arial"/>
          <w:sz w:val="24"/>
          <w:szCs w:val="24"/>
          <w:lang w:val="en-GB"/>
        </w:rPr>
      </w:pPr>
    </w:p>
    <w:p w14:paraId="3323B2EA" w14:textId="5EFA8B30" w:rsidR="001D3ECD" w:rsidRPr="001D3ECD" w:rsidRDefault="00897ABD" w:rsidP="001D3ECD">
      <w:pPr>
        <w:pStyle w:val="ListParagraph"/>
        <w:numPr>
          <w:ilvl w:val="0"/>
          <w:numId w:val="10"/>
        </w:numPr>
        <w:spacing w:after="0" w:line="360" w:lineRule="auto"/>
        <w:jc w:val="both"/>
        <w:rPr>
          <w:rFonts w:ascii="Arial" w:eastAsia="Arial" w:hAnsi="Arial" w:cs="Arial"/>
          <w:sz w:val="24"/>
          <w:szCs w:val="24"/>
          <w:lang w:val="en-GB"/>
        </w:rPr>
      </w:pPr>
      <w:r>
        <w:rPr>
          <w:rFonts w:ascii="Arial" w:eastAsia="Arial" w:hAnsi="Arial" w:cs="Arial"/>
          <w:sz w:val="24"/>
          <w:szCs w:val="24"/>
          <w:lang w:val="en-US"/>
        </w:rPr>
        <w:t>In respect of her post-</w:t>
      </w:r>
      <w:r w:rsidR="00235652">
        <w:rPr>
          <w:rFonts w:ascii="Arial" w:eastAsia="Arial" w:hAnsi="Arial" w:cs="Arial"/>
          <w:sz w:val="24"/>
          <w:szCs w:val="24"/>
          <w:lang w:val="en-US"/>
        </w:rPr>
        <w:t>accident</w:t>
      </w:r>
      <w:r>
        <w:rPr>
          <w:rFonts w:ascii="Arial" w:eastAsia="Arial" w:hAnsi="Arial" w:cs="Arial"/>
          <w:sz w:val="24"/>
          <w:szCs w:val="24"/>
          <w:lang w:val="en-US"/>
        </w:rPr>
        <w:t xml:space="preserve"> work situation</w:t>
      </w:r>
      <w:r w:rsidR="0035088B">
        <w:rPr>
          <w:rFonts w:ascii="Arial" w:eastAsia="Arial" w:hAnsi="Arial" w:cs="Arial"/>
          <w:sz w:val="24"/>
          <w:szCs w:val="24"/>
          <w:lang w:val="en-US"/>
        </w:rPr>
        <w:t xml:space="preserve">, </w:t>
      </w:r>
      <w:r w:rsidR="00AB1DDB">
        <w:rPr>
          <w:rFonts w:ascii="Arial" w:eastAsia="Arial" w:hAnsi="Arial" w:cs="Arial"/>
          <w:sz w:val="24"/>
          <w:szCs w:val="24"/>
          <w:lang w:val="en-US"/>
        </w:rPr>
        <w:t>the industrial psychologists</w:t>
      </w:r>
      <w:r>
        <w:rPr>
          <w:rFonts w:ascii="Arial" w:eastAsia="Arial" w:hAnsi="Arial" w:cs="Arial"/>
          <w:sz w:val="24"/>
          <w:szCs w:val="24"/>
          <w:lang w:val="en-US"/>
        </w:rPr>
        <w:t xml:space="preserve"> agree that the </w:t>
      </w:r>
      <w:r w:rsidR="00E0420D">
        <w:rPr>
          <w:rFonts w:ascii="Arial" w:eastAsia="Arial" w:hAnsi="Arial" w:cs="Arial"/>
          <w:sz w:val="24"/>
          <w:szCs w:val="24"/>
          <w:lang w:val="en-US"/>
        </w:rPr>
        <w:t>plaintiff is a</w:t>
      </w:r>
      <w:r>
        <w:rPr>
          <w:rFonts w:ascii="Arial" w:eastAsia="Arial" w:hAnsi="Arial" w:cs="Arial"/>
          <w:sz w:val="24"/>
          <w:szCs w:val="24"/>
          <w:lang w:val="en-US"/>
        </w:rPr>
        <w:t xml:space="preserve"> vulnerable employ</w:t>
      </w:r>
      <w:r w:rsidR="001D3ECD">
        <w:rPr>
          <w:rFonts w:ascii="Arial" w:eastAsia="Arial" w:hAnsi="Arial" w:cs="Arial"/>
          <w:sz w:val="24"/>
          <w:szCs w:val="24"/>
          <w:lang w:val="en-US"/>
        </w:rPr>
        <w:t>ee. Should she lose her current employment</w:t>
      </w:r>
      <w:r w:rsidR="005F3F97">
        <w:rPr>
          <w:rFonts w:ascii="Arial" w:eastAsia="Arial" w:hAnsi="Arial" w:cs="Arial"/>
          <w:sz w:val="24"/>
          <w:szCs w:val="24"/>
          <w:lang w:val="en-US"/>
        </w:rPr>
        <w:t xml:space="preserve"> (at </w:t>
      </w:r>
      <w:r w:rsidR="00B525BC">
        <w:rPr>
          <w:rFonts w:ascii="Arial" w:eastAsia="Arial" w:hAnsi="Arial" w:cs="Arial"/>
          <w:sz w:val="24"/>
          <w:szCs w:val="24"/>
          <w:lang w:val="en-US"/>
        </w:rPr>
        <w:t xml:space="preserve">OCSA at </w:t>
      </w:r>
      <w:r w:rsidR="005F3F97">
        <w:rPr>
          <w:rFonts w:ascii="Arial" w:eastAsia="Arial" w:hAnsi="Arial" w:cs="Arial"/>
          <w:sz w:val="24"/>
          <w:szCs w:val="24"/>
          <w:lang w:val="en-US"/>
        </w:rPr>
        <w:t>the time of the joint minute)</w:t>
      </w:r>
      <w:r w:rsidR="00E0420D">
        <w:rPr>
          <w:rFonts w:ascii="Arial" w:eastAsia="Arial" w:hAnsi="Arial" w:cs="Arial"/>
          <w:sz w:val="24"/>
          <w:szCs w:val="24"/>
          <w:lang w:val="en-US"/>
        </w:rPr>
        <w:t xml:space="preserve">, </w:t>
      </w:r>
      <w:r>
        <w:rPr>
          <w:rFonts w:ascii="Arial" w:eastAsia="Arial" w:hAnsi="Arial" w:cs="Arial"/>
          <w:sz w:val="24"/>
          <w:szCs w:val="24"/>
          <w:lang w:val="en-US"/>
        </w:rPr>
        <w:t>given her medical histor</w:t>
      </w:r>
      <w:r w:rsidR="00E0420D">
        <w:rPr>
          <w:rFonts w:ascii="Arial" w:eastAsia="Arial" w:hAnsi="Arial" w:cs="Arial"/>
          <w:sz w:val="24"/>
          <w:szCs w:val="24"/>
          <w:lang w:val="en-US"/>
        </w:rPr>
        <w:t>y</w:t>
      </w:r>
      <w:r>
        <w:rPr>
          <w:rFonts w:ascii="Arial" w:eastAsia="Arial" w:hAnsi="Arial" w:cs="Arial"/>
          <w:sz w:val="24"/>
          <w:szCs w:val="24"/>
          <w:lang w:val="en-US"/>
        </w:rPr>
        <w:t>,</w:t>
      </w:r>
      <w:r w:rsidR="00E0420D">
        <w:rPr>
          <w:rFonts w:ascii="Arial" w:eastAsia="Arial" w:hAnsi="Arial" w:cs="Arial"/>
          <w:sz w:val="24"/>
          <w:szCs w:val="24"/>
          <w:lang w:val="en-US"/>
        </w:rPr>
        <w:t xml:space="preserve"> cognitive and psychological difficulties and </w:t>
      </w:r>
      <w:r>
        <w:rPr>
          <w:rFonts w:ascii="Arial" w:eastAsia="Arial" w:hAnsi="Arial" w:cs="Arial"/>
          <w:sz w:val="24"/>
          <w:szCs w:val="24"/>
          <w:lang w:val="en-US"/>
        </w:rPr>
        <w:t xml:space="preserve">resulting </w:t>
      </w:r>
      <w:r w:rsidR="00E0420D">
        <w:rPr>
          <w:rFonts w:ascii="Arial" w:eastAsia="Arial" w:hAnsi="Arial" w:cs="Arial"/>
          <w:sz w:val="24"/>
          <w:szCs w:val="24"/>
          <w:lang w:val="en-US"/>
        </w:rPr>
        <w:t>impact thereof on her performance and ef</w:t>
      </w:r>
      <w:r>
        <w:rPr>
          <w:rFonts w:ascii="Arial" w:eastAsia="Arial" w:hAnsi="Arial" w:cs="Arial"/>
          <w:sz w:val="24"/>
          <w:szCs w:val="24"/>
          <w:lang w:val="en-US"/>
        </w:rPr>
        <w:t>ficiency, she would find it difficult</w:t>
      </w:r>
      <w:r w:rsidR="00E0420D">
        <w:rPr>
          <w:rFonts w:ascii="Arial" w:eastAsia="Arial" w:hAnsi="Arial" w:cs="Arial"/>
          <w:sz w:val="24"/>
          <w:szCs w:val="24"/>
          <w:lang w:val="en-US"/>
        </w:rPr>
        <w:t xml:space="preserve"> to secure and sustain similar employment elsewhere.</w:t>
      </w:r>
    </w:p>
    <w:p w14:paraId="684094D0" w14:textId="77777777" w:rsidR="001D3ECD" w:rsidRPr="001D3ECD" w:rsidRDefault="001D3ECD" w:rsidP="001D3ECD">
      <w:pPr>
        <w:pStyle w:val="ListParagraph"/>
        <w:rPr>
          <w:rFonts w:ascii="Arial" w:eastAsia="Arial" w:hAnsi="Arial" w:cs="Arial"/>
          <w:sz w:val="24"/>
          <w:szCs w:val="24"/>
          <w:lang w:val="en-US"/>
        </w:rPr>
      </w:pPr>
    </w:p>
    <w:p w14:paraId="3F6DB846" w14:textId="087779D9" w:rsidR="00E0420D" w:rsidRPr="005F3F97" w:rsidRDefault="001D3ECD" w:rsidP="001D3ECD">
      <w:pPr>
        <w:pStyle w:val="ListParagraph"/>
        <w:numPr>
          <w:ilvl w:val="0"/>
          <w:numId w:val="10"/>
        </w:numPr>
        <w:spacing w:after="0" w:line="360" w:lineRule="auto"/>
        <w:jc w:val="both"/>
        <w:rPr>
          <w:rFonts w:ascii="Arial" w:eastAsia="Arial" w:hAnsi="Arial" w:cs="Arial"/>
          <w:sz w:val="24"/>
          <w:szCs w:val="24"/>
          <w:lang w:val="en-GB"/>
        </w:rPr>
      </w:pPr>
      <w:r>
        <w:rPr>
          <w:rFonts w:ascii="Arial" w:eastAsia="Arial" w:hAnsi="Arial" w:cs="Arial"/>
          <w:sz w:val="24"/>
          <w:szCs w:val="24"/>
          <w:lang w:val="en-US"/>
        </w:rPr>
        <w:t>The</w:t>
      </w:r>
      <w:r w:rsidR="005F3F97">
        <w:rPr>
          <w:rFonts w:ascii="Arial" w:eastAsia="Arial" w:hAnsi="Arial" w:cs="Arial"/>
          <w:sz w:val="24"/>
          <w:szCs w:val="24"/>
          <w:lang w:val="en-US"/>
        </w:rPr>
        <w:t>y</w:t>
      </w:r>
      <w:r>
        <w:rPr>
          <w:rFonts w:ascii="Arial" w:eastAsia="Arial" w:hAnsi="Arial" w:cs="Arial"/>
          <w:sz w:val="24"/>
          <w:szCs w:val="24"/>
          <w:lang w:val="en-US"/>
        </w:rPr>
        <w:t xml:space="preserve"> agree that </w:t>
      </w:r>
      <w:r w:rsidR="00E0420D" w:rsidRPr="001D3ECD">
        <w:rPr>
          <w:rFonts w:ascii="Arial" w:eastAsia="Arial" w:hAnsi="Arial" w:cs="Arial"/>
          <w:sz w:val="24"/>
          <w:szCs w:val="24"/>
          <w:lang w:val="en-US"/>
        </w:rPr>
        <w:t>at b</w:t>
      </w:r>
      <w:r w:rsidRPr="001D3ECD">
        <w:rPr>
          <w:rFonts w:ascii="Arial" w:eastAsia="Arial" w:hAnsi="Arial" w:cs="Arial"/>
          <w:sz w:val="24"/>
          <w:szCs w:val="24"/>
          <w:lang w:val="en-US"/>
        </w:rPr>
        <w:t>e</w:t>
      </w:r>
      <w:r w:rsidR="00E0420D" w:rsidRPr="001D3ECD">
        <w:rPr>
          <w:rFonts w:ascii="Arial" w:eastAsia="Arial" w:hAnsi="Arial" w:cs="Arial"/>
          <w:sz w:val="24"/>
          <w:szCs w:val="24"/>
          <w:lang w:val="en-US"/>
        </w:rPr>
        <w:t xml:space="preserve">st she will continue to earn within the Paterson B2 level taking into account her poor prognosis. She </w:t>
      </w:r>
      <w:r>
        <w:rPr>
          <w:rFonts w:ascii="Arial" w:eastAsia="Arial" w:hAnsi="Arial" w:cs="Arial"/>
          <w:sz w:val="24"/>
          <w:szCs w:val="24"/>
          <w:lang w:val="en-US"/>
        </w:rPr>
        <w:t xml:space="preserve">is </w:t>
      </w:r>
      <w:r w:rsidR="00E0420D" w:rsidRPr="001D3ECD">
        <w:rPr>
          <w:rFonts w:ascii="Arial" w:eastAsia="Arial" w:hAnsi="Arial" w:cs="Arial"/>
          <w:sz w:val="24"/>
          <w:szCs w:val="24"/>
          <w:lang w:val="en-US"/>
        </w:rPr>
        <w:t xml:space="preserve">no longer seen as a candidate for career progression to Paterson C1 level. </w:t>
      </w:r>
      <w:r>
        <w:rPr>
          <w:rFonts w:ascii="Arial" w:eastAsia="Arial" w:hAnsi="Arial" w:cs="Arial"/>
          <w:sz w:val="24"/>
          <w:szCs w:val="24"/>
          <w:lang w:val="en-US"/>
        </w:rPr>
        <w:t xml:space="preserve">The plaintiff’s experts recommend that a </w:t>
      </w:r>
      <w:r w:rsidRPr="00193540">
        <w:rPr>
          <w:rFonts w:ascii="Arial" w:eastAsia="Arial" w:hAnsi="Arial" w:cs="Arial"/>
          <w:sz w:val="24"/>
          <w:szCs w:val="24"/>
          <w:lang w:val="en-US"/>
        </w:rPr>
        <w:t>higher contin</w:t>
      </w:r>
      <w:r w:rsidR="00E0420D" w:rsidRPr="00193540">
        <w:rPr>
          <w:rFonts w:ascii="Arial" w:eastAsia="Arial" w:hAnsi="Arial" w:cs="Arial"/>
          <w:sz w:val="24"/>
          <w:szCs w:val="24"/>
          <w:lang w:val="en-US"/>
        </w:rPr>
        <w:t>gency deduction be considered in relation to the likelihood</w:t>
      </w:r>
      <w:r w:rsidRPr="00193540">
        <w:rPr>
          <w:rFonts w:ascii="Arial" w:eastAsia="Arial" w:hAnsi="Arial" w:cs="Arial"/>
          <w:sz w:val="24"/>
          <w:szCs w:val="24"/>
          <w:lang w:val="en-US"/>
        </w:rPr>
        <w:t xml:space="preserve"> of the plaintiff</w:t>
      </w:r>
      <w:r w:rsidR="00E0420D" w:rsidRPr="00193540">
        <w:rPr>
          <w:rFonts w:ascii="Arial" w:eastAsia="Arial" w:hAnsi="Arial" w:cs="Arial"/>
          <w:sz w:val="24"/>
          <w:szCs w:val="24"/>
          <w:lang w:val="en-US"/>
        </w:rPr>
        <w:t xml:space="preserve"> losing her present</w:t>
      </w:r>
      <w:r w:rsidRPr="00193540">
        <w:rPr>
          <w:rFonts w:ascii="Arial" w:eastAsia="Arial" w:hAnsi="Arial" w:cs="Arial"/>
          <w:sz w:val="24"/>
          <w:szCs w:val="24"/>
          <w:lang w:val="en-US"/>
        </w:rPr>
        <w:t xml:space="preserve"> employment and her significa</w:t>
      </w:r>
      <w:r w:rsidR="00E0420D" w:rsidRPr="00193540">
        <w:rPr>
          <w:rFonts w:ascii="Arial" w:eastAsia="Arial" w:hAnsi="Arial" w:cs="Arial"/>
          <w:sz w:val="24"/>
          <w:szCs w:val="24"/>
          <w:lang w:val="en-US"/>
        </w:rPr>
        <w:t>n</w:t>
      </w:r>
      <w:r w:rsidRPr="00193540">
        <w:rPr>
          <w:rFonts w:ascii="Arial" w:eastAsia="Arial" w:hAnsi="Arial" w:cs="Arial"/>
          <w:sz w:val="24"/>
          <w:szCs w:val="24"/>
          <w:lang w:val="en-US"/>
        </w:rPr>
        <w:t>t</w:t>
      </w:r>
      <w:r w:rsidR="00E0420D" w:rsidRPr="00193540">
        <w:rPr>
          <w:rFonts w:ascii="Arial" w:eastAsia="Arial" w:hAnsi="Arial" w:cs="Arial"/>
          <w:sz w:val="24"/>
          <w:szCs w:val="24"/>
          <w:lang w:val="en-US"/>
        </w:rPr>
        <w:t>ly reduced employability outside a sympathetic work environment.</w:t>
      </w:r>
      <w:r w:rsidR="00E0420D" w:rsidRPr="001D3ECD">
        <w:rPr>
          <w:rFonts w:ascii="Arial" w:eastAsia="Arial" w:hAnsi="Arial" w:cs="Arial"/>
          <w:sz w:val="24"/>
          <w:szCs w:val="24"/>
          <w:lang w:val="en-US"/>
        </w:rPr>
        <w:t xml:space="preserve"> </w:t>
      </w:r>
    </w:p>
    <w:p w14:paraId="6A8A2A88" w14:textId="77777777" w:rsidR="005F3F97" w:rsidRPr="005F3F97" w:rsidRDefault="005F3F97" w:rsidP="005F3F97">
      <w:pPr>
        <w:spacing w:after="0" w:line="360" w:lineRule="auto"/>
        <w:jc w:val="both"/>
        <w:rPr>
          <w:rFonts w:ascii="Arial" w:eastAsia="Arial" w:hAnsi="Arial" w:cs="Arial"/>
          <w:sz w:val="24"/>
          <w:szCs w:val="24"/>
          <w:lang w:val="en-GB"/>
        </w:rPr>
      </w:pPr>
    </w:p>
    <w:p w14:paraId="519BCCA3" w14:textId="239BB831" w:rsidR="00F3246F" w:rsidRDefault="00F3246F" w:rsidP="005F3F97">
      <w:pPr>
        <w:pStyle w:val="ListParagraph"/>
        <w:numPr>
          <w:ilvl w:val="0"/>
          <w:numId w:val="10"/>
        </w:numPr>
        <w:spacing w:after="0" w:line="360" w:lineRule="auto"/>
        <w:jc w:val="both"/>
        <w:rPr>
          <w:rFonts w:ascii="Arial" w:eastAsia="Arial" w:hAnsi="Arial" w:cs="Arial"/>
          <w:sz w:val="24"/>
          <w:szCs w:val="24"/>
          <w:lang w:val="en-GB"/>
        </w:rPr>
      </w:pPr>
      <w:r>
        <w:rPr>
          <w:rFonts w:ascii="Arial" w:eastAsia="Arial" w:hAnsi="Arial" w:cs="Arial"/>
          <w:sz w:val="24"/>
          <w:szCs w:val="24"/>
          <w:lang w:val="en-GB"/>
        </w:rPr>
        <w:t>The defendant’s expert notes that the accident has reduced her optimal competitiveness and thus she will experience some challenges performing on par with her healthier and uninjured counterparts in the open labour market. She will likely no longer be able to perform in her pre-accident capacity.  He notes the challenges she currently experiences due to the accident and recommends</w:t>
      </w:r>
      <w:r w:rsidR="00B525BC">
        <w:rPr>
          <w:rFonts w:ascii="Arial" w:eastAsia="Arial" w:hAnsi="Arial" w:cs="Arial"/>
          <w:sz w:val="24"/>
          <w:szCs w:val="24"/>
          <w:lang w:val="en-GB"/>
        </w:rPr>
        <w:t xml:space="preserve"> </w:t>
      </w:r>
      <w:r>
        <w:rPr>
          <w:rFonts w:ascii="Arial" w:eastAsia="Arial" w:hAnsi="Arial" w:cs="Arial"/>
          <w:sz w:val="24"/>
          <w:szCs w:val="24"/>
          <w:lang w:val="en-GB"/>
        </w:rPr>
        <w:t xml:space="preserve">that a relevant post-accident contingency percentage be applied, </w:t>
      </w:r>
      <w:r w:rsidR="00B525BC">
        <w:rPr>
          <w:rFonts w:ascii="Arial" w:eastAsia="Arial" w:hAnsi="Arial" w:cs="Arial"/>
          <w:sz w:val="24"/>
          <w:szCs w:val="24"/>
          <w:lang w:val="en-GB"/>
        </w:rPr>
        <w:t xml:space="preserve">which he </w:t>
      </w:r>
      <w:r>
        <w:rPr>
          <w:rFonts w:ascii="Arial" w:eastAsia="Arial" w:hAnsi="Arial" w:cs="Arial"/>
          <w:sz w:val="24"/>
          <w:szCs w:val="24"/>
          <w:lang w:val="en-GB"/>
        </w:rPr>
        <w:t xml:space="preserve">leaves in the hands of the court. </w:t>
      </w:r>
    </w:p>
    <w:p w14:paraId="5103D45D" w14:textId="77777777" w:rsidR="00F3246F" w:rsidRPr="00F3246F" w:rsidRDefault="00F3246F" w:rsidP="00F3246F">
      <w:pPr>
        <w:pStyle w:val="ListParagraph"/>
        <w:rPr>
          <w:rFonts w:ascii="Arial" w:eastAsia="Arial" w:hAnsi="Arial" w:cs="Arial"/>
          <w:sz w:val="24"/>
          <w:szCs w:val="24"/>
          <w:lang w:val="en-GB"/>
        </w:rPr>
      </w:pPr>
    </w:p>
    <w:p w14:paraId="1020818C" w14:textId="295A3605" w:rsidR="005F3F97" w:rsidRDefault="00F3246F" w:rsidP="00353DB8">
      <w:pPr>
        <w:pStyle w:val="ListParagraph"/>
        <w:numPr>
          <w:ilvl w:val="0"/>
          <w:numId w:val="10"/>
        </w:numPr>
        <w:spacing w:after="0" w:line="360" w:lineRule="auto"/>
        <w:jc w:val="both"/>
        <w:rPr>
          <w:rFonts w:ascii="Arial" w:eastAsia="Arial" w:hAnsi="Arial" w:cs="Arial"/>
          <w:sz w:val="24"/>
          <w:szCs w:val="24"/>
          <w:lang w:val="en-GB"/>
        </w:rPr>
      </w:pPr>
      <w:r w:rsidRPr="00201431">
        <w:rPr>
          <w:rFonts w:ascii="Arial" w:eastAsia="Arial" w:hAnsi="Arial" w:cs="Arial"/>
          <w:sz w:val="24"/>
          <w:szCs w:val="24"/>
          <w:lang w:val="en-GB"/>
        </w:rPr>
        <w:t xml:space="preserve">At the time of the joint minute, </w:t>
      </w:r>
      <w:r w:rsidR="00B525BC" w:rsidRPr="00201431">
        <w:rPr>
          <w:rFonts w:ascii="Arial" w:eastAsia="Arial" w:hAnsi="Arial" w:cs="Arial"/>
          <w:sz w:val="24"/>
          <w:szCs w:val="24"/>
          <w:lang w:val="en-GB"/>
        </w:rPr>
        <w:t xml:space="preserve">the </w:t>
      </w:r>
      <w:r w:rsidRPr="00201431">
        <w:rPr>
          <w:rFonts w:ascii="Arial" w:eastAsia="Arial" w:hAnsi="Arial" w:cs="Arial"/>
          <w:sz w:val="24"/>
          <w:szCs w:val="24"/>
          <w:lang w:val="en-GB"/>
        </w:rPr>
        <w:t>p</w:t>
      </w:r>
      <w:r w:rsidR="005F3F97" w:rsidRPr="00201431">
        <w:rPr>
          <w:rFonts w:ascii="Arial" w:eastAsia="Arial" w:hAnsi="Arial" w:cs="Arial"/>
          <w:sz w:val="24"/>
          <w:szCs w:val="24"/>
          <w:lang w:val="en-GB"/>
        </w:rPr>
        <w:t>laintiff’s experts recommend</w:t>
      </w:r>
      <w:r w:rsidR="00B525BC" w:rsidRPr="00201431">
        <w:rPr>
          <w:rFonts w:ascii="Arial" w:eastAsia="Arial" w:hAnsi="Arial" w:cs="Arial"/>
          <w:sz w:val="24"/>
          <w:szCs w:val="24"/>
          <w:lang w:val="en-GB"/>
        </w:rPr>
        <w:t>ed</w:t>
      </w:r>
      <w:r w:rsidR="00E0420D" w:rsidRPr="00201431">
        <w:rPr>
          <w:rFonts w:ascii="Arial" w:eastAsia="Arial" w:hAnsi="Arial" w:cs="Arial"/>
          <w:sz w:val="24"/>
          <w:szCs w:val="24"/>
          <w:lang w:val="en-GB"/>
        </w:rPr>
        <w:t xml:space="preserve"> for th</w:t>
      </w:r>
      <w:r w:rsidR="005F3F97" w:rsidRPr="00201431">
        <w:rPr>
          <w:rFonts w:ascii="Arial" w:eastAsia="Arial" w:hAnsi="Arial" w:cs="Arial"/>
          <w:sz w:val="24"/>
          <w:szCs w:val="24"/>
          <w:lang w:val="en-GB"/>
        </w:rPr>
        <w:t>e pur</w:t>
      </w:r>
      <w:r w:rsidR="00E0420D" w:rsidRPr="00201431">
        <w:rPr>
          <w:rFonts w:ascii="Arial" w:eastAsia="Arial" w:hAnsi="Arial" w:cs="Arial"/>
          <w:sz w:val="24"/>
          <w:szCs w:val="24"/>
          <w:lang w:val="en-GB"/>
        </w:rPr>
        <w:t xml:space="preserve">poses of quantification that </w:t>
      </w:r>
      <w:r w:rsidR="005F3F97" w:rsidRPr="00201431">
        <w:rPr>
          <w:rFonts w:ascii="Arial" w:eastAsia="Arial" w:hAnsi="Arial" w:cs="Arial"/>
          <w:sz w:val="24"/>
          <w:szCs w:val="24"/>
          <w:lang w:val="en-GB"/>
        </w:rPr>
        <w:t xml:space="preserve">the </w:t>
      </w:r>
      <w:r w:rsidR="00E0420D" w:rsidRPr="00201431">
        <w:rPr>
          <w:rFonts w:ascii="Arial" w:eastAsia="Arial" w:hAnsi="Arial" w:cs="Arial"/>
          <w:sz w:val="24"/>
          <w:szCs w:val="24"/>
          <w:lang w:val="en-GB"/>
        </w:rPr>
        <w:t>plaintiff</w:t>
      </w:r>
      <w:r w:rsidR="005F3F97" w:rsidRPr="00201431">
        <w:rPr>
          <w:rFonts w:ascii="Arial" w:eastAsia="Arial" w:hAnsi="Arial" w:cs="Arial"/>
          <w:sz w:val="24"/>
          <w:szCs w:val="24"/>
          <w:lang w:val="en-GB"/>
        </w:rPr>
        <w:t>’</w:t>
      </w:r>
      <w:r w:rsidR="00E0420D" w:rsidRPr="00201431">
        <w:rPr>
          <w:rFonts w:ascii="Arial" w:eastAsia="Arial" w:hAnsi="Arial" w:cs="Arial"/>
          <w:sz w:val="24"/>
          <w:szCs w:val="24"/>
          <w:lang w:val="en-GB"/>
        </w:rPr>
        <w:t xml:space="preserve">s </w:t>
      </w:r>
      <w:r w:rsidR="00E0420D" w:rsidRPr="00193540">
        <w:rPr>
          <w:rFonts w:ascii="Arial" w:eastAsia="Arial" w:hAnsi="Arial" w:cs="Arial"/>
          <w:sz w:val="24"/>
          <w:szCs w:val="24"/>
          <w:lang w:val="en-GB"/>
        </w:rPr>
        <w:t>earning potential is 5/8ths of the Paterson B2 level</w:t>
      </w:r>
      <w:r w:rsidR="005F3F97" w:rsidRPr="00193540">
        <w:rPr>
          <w:rFonts w:ascii="Arial" w:eastAsia="Arial" w:hAnsi="Arial" w:cs="Arial"/>
          <w:sz w:val="24"/>
          <w:szCs w:val="24"/>
          <w:lang w:val="en-GB"/>
        </w:rPr>
        <w:t xml:space="preserve"> (</w:t>
      </w:r>
      <w:r w:rsidR="00B525BC" w:rsidRPr="00193540">
        <w:rPr>
          <w:rFonts w:ascii="Arial" w:eastAsia="Arial" w:hAnsi="Arial" w:cs="Arial"/>
          <w:sz w:val="24"/>
          <w:szCs w:val="24"/>
          <w:lang w:val="en-GB"/>
        </w:rPr>
        <w:t xml:space="preserve">meaning that </w:t>
      </w:r>
      <w:r w:rsidR="005F3F97" w:rsidRPr="00193540">
        <w:rPr>
          <w:rFonts w:ascii="Arial" w:eastAsia="Arial" w:hAnsi="Arial" w:cs="Arial"/>
          <w:sz w:val="24"/>
          <w:szCs w:val="24"/>
          <w:lang w:val="en-GB"/>
        </w:rPr>
        <w:t>she is better suited to reduced working hours offered by a 5/8th position)</w:t>
      </w:r>
      <w:r w:rsidR="00E0420D" w:rsidRPr="00193540">
        <w:rPr>
          <w:rFonts w:ascii="Arial" w:eastAsia="Arial" w:hAnsi="Arial" w:cs="Arial"/>
          <w:sz w:val="24"/>
          <w:szCs w:val="24"/>
          <w:lang w:val="en-GB"/>
        </w:rPr>
        <w:t xml:space="preserve"> and</w:t>
      </w:r>
      <w:r w:rsidR="005F3F97" w:rsidRPr="00193540">
        <w:rPr>
          <w:rFonts w:ascii="Arial" w:eastAsia="Arial" w:hAnsi="Arial" w:cs="Arial"/>
          <w:sz w:val="24"/>
          <w:szCs w:val="24"/>
          <w:lang w:val="en-GB"/>
        </w:rPr>
        <w:t>,</w:t>
      </w:r>
      <w:r w:rsidR="00E0420D" w:rsidRPr="00193540">
        <w:rPr>
          <w:rFonts w:ascii="Arial" w:eastAsia="Arial" w:hAnsi="Arial" w:cs="Arial"/>
          <w:sz w:val="24"/>
          <w:szCs w:val="24"/>
          <w:lang w:val="en-GB"/>
        </w:rPr>
        <w:t xml:space="preserve"> in addition</w:t>
      </w:r>
      <w:r w:rsidR="005F3F97" w:rsidRPr="00193540">
        <w:rPr>
          <w:rFonts w:ascii="Arial" w:eastAsia="Arial" w:hAnsi="Arial" w:cs="Arial"/>
          <w:sz w:val="24"/>
          <w:szCs w:val="24"/>
          <w:lang w:val="en-GB"/>
        </w:rPr>
        <w:t xml:space="preserve">, </w:t>
      </w:r>
      <w:r w:rsidR="00E0420D" w:rsidRPr="00193540">
        <w:rPr>
          <w:rFonts w:ascii="Arial" w:eastAsia="Arial" w:hAnsi="Arial" w:cs="Arial"/>
          <w:sz w:val="24"/>
          <w:szCs w:val="24"/>
          <w:lang w:val="en-GB"/>
        </w:rPr>
        <w:t>a hig</w:t>
      </w:r>
      <w:r w:rsidR="005F3F97" w:rsidRPr="00193540">
        <w:rPr>
          <w:rFonts w:ascii="Arial" w:eastAsia="Arial" w:hAnsi="Arial" w:cs="Arial"/>
          <w:sz w:val="24"/>
          <w:szCs w:val="24"/>
          <w:lang w:val="en-GB"/>
        </w:rPr>
        <w:t>h</w:t>
      </w:r>
      <w:r w:rsidR="00E0420D" w:rsidRPr="00193540">
        <w:rPr>
          <w:rFonts w:ascii="Arial" w:eastAsia="Arial" w:hAnsi="Arial" w:cs="Arial"/>
          <w:sz w:val="24"/>
          <w:szCs w:val="24"/>
          <w:lang w:val="en-GB"/>
        </w:rPr>
        <w:t>er than usual contingency deduction</w:t>
      </w:r>
      <w:r w:rsidR="00850044">
        <w:rPr>
          <w:rFonts w:ascii="Arial" w:eastAsia="Arial" w:hAnsi="Arial" w:cs="Arial"/>
          <w:sz w:val="24"/>
          <w:szCs w:val="24"/>
          <w:lang w:val="en-GB"/>
        </w:rPr>
        <w:t xml:space="preserve"> in respect of </w:t>
      </w:r>
      <w:r w:rsidR="00EE7B30">
        <w:rPr>
          <w:rFonts w:ascii="Arial" w:eastAsia="Arial" w:hAnsi="Arial" w:cs="Arial"/>
          <w:sz w:val="24"/>
          <w:szCs w:val="24"/>
          <w:lang w:val="en-GB"/>
        </w:rPr>
        <w:t>future injured earnings</w:t>
      </w:r>
      <w:r w:rsidR="00193540">
        <w:rPr>
          <w:rFonts w:ascii="Arial" w:eastAsia="Arial" w:hAnsi="Arial" w:cs="Arial"/>
          <w:sz w:val="24"/>
          <w:szCs w:val="24"/>
          <w:lang w:val="en-GB"/>
        </w:rPr>
        <w:t>.</w:t>
      </w:r>
      <w:r w:rsidR="00E0420D" w:rsidRPr="00201431">
        <w:rPr>
          <w:rFonts w:ascii="Arial" w:eastAsia="Arial" w:hAnsi="Arial" w:cs="Arial"/>
          <w:sz w:val="24"/>
          <w:szCs w:val="24"/>
          <w:lang w:val="en-GB"/>
        </w:rPr>
        <w:t xml:space="preserve"> </w:t>
      </w:r>
      <w:r w:rsidR="005F3F97" w:rsidRPr="00201431">
        <w:rPr>
          <w:rFonts w:ascii="Arial" w:eastAsia="Arial" w:hAnsi="Arial" w:cs="Arial"/>
          <w:sz w:val="24"/>
          <w:szCs w:val="24"/>
          <w:lang w:val="en-GB"/>
        </w:rPr>
        <w:t xml:space="preserve"> </w:t>
      </w:r>
    </w:p>
    <w:p w14:paraId="784463BD" w14:textId="77777777" w:rsidR="00201431" w:rsidRPr="00201431" w:rsidRDefault="00201431" w:rsidP="00201431">
      <w:pPr>
        <w:spacing w:after="0" w:line="360" w:lineRule="auto"/>
        <w:jc w:val="both"/>
        <w:rPr>
          <w:rFonts w:ascii="Arial" w:eastAsia="Arial" w:hAnsi="Arial" w:cs="Arial"/>
          <w:sz w:val="24"/>
          <w:szCs w:val="24"/>
          <w:lang w:val="en-GB"/>
        </w:rPr>
      </w:pPr>
    </w:p>
    <w:p w14:paraId="6AA896BE" w14:textId="77777777" w:rsidR="000D2D0A" w:rsidRPr="000D2D0A" w:rsidRDefault="003E4E51" w:rsidP="000D2D0A">
      <w:pPr>
        <w:pStyle w:val="ListParagraph"/>
        <w:numPr>
          <w:ilvl w:val="0"/>
          <w:numId w:val="10"/>
        </w:numPr>
        <w:spacing w:after="0" w:line="360" w:lineRule="auto"/>
        <w:jc w:val="both"/>
        <w:rPr>
          <w:rFonts w:ascii="Arial" w:eastAsia="Arial" w:hAnsi="Arial" w:cs="Arial"/>
          <w:sz w:val="24"/>
          <w:szCs w:val="24"/>
          <w:lang w:val="en-GB"/>
        </w:rPr>
      </w:pPr>
      <w:r>
        <w:rPr>
          <w:rFonts w:ascii="Arial" w:hAnsi="Arial" w:cs="Times New Roman"/>
          <w:sz w:val="24"/>
          <w:szCs w:val="24"/>
          <w:lang w:val="en-GB"/>
        </w:rPr>
        <w:t xml:space="preserve">The plaintiff </w:t>
      </w:r>
      <w:r w:rsidR="00876839" w:rsidRPr="00F3246F">
        <w:rPr>
          <w:rFonts w:ascii="Arial" w:hAnsi="Arial" w:cs="Times New Roman"/>
          <w:sz w:val="24"/>
          <w:szCs w:val="24"/>
          <w:lang w:val="en-GB"/>
        </w:rPr>
        <w:t>was retrenched from her employment at OCSA in September 2020</w:t>
      </w:r>
      <w:r w:rsidR="00F3246F" w:rsidRPr="00F3246F">
        <w:rPr>
          <w:rFonts w:ascii="Arial" w:hAnsi="Arial" w:cs="Times New Roman"/>
          <w:sz w:val="24"/>
          <w:szCs w:val="24"/>
          <w:lang w:val="en-GB"/>
        </w:rPr>
        <w:t>, and so lost her “sympathetic” employment, as forecasted by the industrial psychologists</w:t>
      </w:r>
      <w:r w:rsidR="00876839" w:rsidRPr="00F3246F">
        <w:rPr>
          <w:rFonts w:ascii="Arial" w:hAnsi="Arial" w:cs="Times New Roman"/>
          <w:sz w:val="24"/>
          <w:szCs w:val="24"/>
          <w:lang w:val="en-GB"/>
        </w:rPr>
        <w:t xml:space="preserve">. She gained employment at SPUR Vaal Mall, but left </w:t>
      </w:r>
      <w:r>
        <w:rPr>
          <w:rFonts w:ascii="Arial" w:hAnsi="Arial" w:cs="Times New Roman"/>
          <w:sz w:val="24"/>
          <w:szCs w:val="24"/>
          <w:lang w:val="en-GB"/>
        </w:rPr>
        <w:t xml:space="preserve">after less than a year </w:t>
      </w:r>
      <w:r w:rsidR="00876839" w:rsidRPr="00F3246F">
        <w:rPr>
          <w:rFonts w:ascii="Arial" w:hAnsi="Arial" w:cs="Times New Roman"/>
          <w:sz w:val="24"/>
          <w:szCs w:val="24"/>
          <w:lang w:val="en-GB"/>
        </w:rPr>
        <w:t xml:space="preserve">as she could not cope with the physical demands of </w:t>
      </w:r>
      <w:r w:rsidR="00F3246F" w:rsidRPr="00F3246F">
        <w:rPr>
          <w:rFonts w:ascii="Arial" w:hAnsi="Arial" w:cs="Times New Roman"/>
          <w:sz w:val="24"/>
          <w:szCs w:val="24"/>
          <w:lang w:val="en-GB"/>
        </w:rPr>
        <w:t>the position</w:t>
      </w:r>
      <w:r>
        <w:rPr>
          <w:rFonts w:ascii="Arial" w:hAnsi="Arial" w:cs="Times New Roman"/>
          <w:sz w:val="24"/>
          <w:szCs w:val="24"/>
          <w:lang w:val="en-GB"/>
        </w:rPr>
        <w:t xml:space="preserve"> (she was required to be on her feet permanently)</w:t>
      </w:r>
      <w:r w:rsidR="00876839" w:rsidRPr="00F3246F">
        <w:rPr>
          <w:rFonts w:ascii="Arial" w:hAnsi="Arial" w:cs="Times New Roman"/>
          <w:sz w:val="24"/>
          <w:szCs w:val="24"/>
          <w:lang w:val="en-GB"/>
        </w:rPr>
        <w:t xml:space="preserve">. </w:t>
      </w:r>
      <w:r w:rsidR="00C763BC" w:rsidRPr="00F3246F">
        <w:rPr>
          <w:rFonts w:ascii="Arial" w:hAnsi="Arial" w:cs="Times New Roman"/>
          <w:sz w:val="24"/>
          <w:szCs w:val="24"/>
          <w:lang w:val="en-GB"/>
        </w:rPr>
        <w:t>She found</w:t>
      </w:r>
      <w:r w:rsidR="00876839" w:rsidRPr="00F3246F">
        <w:rPr>
          <w:rFonts w:ascii="Arial" w:hAnsi="Arial" w:cs="Times New Roman"/>
          <w:sz w:val="24"/>
          <w:szCs w:val="24"/>
          <w:lang w:val="en-GB"/>
        </w:rPr>
        <w:t xml:space="preserve"> alternative employment as a Trainee Clinical Technician at </w:t>
      </w:r>
      <w:r w:rsidR="00876839" w:rsidRPr="00201431">
        <w:rPr>
          <w:rFonts w:ascii="Arial" w:hAnsi="Arial" w:cs="Times New Roman"/>
          <w:sz w:val="24"/>
          <w:szCs w:val="24"/>
          <w:lang w:val="en-GB"/>
        </w:rPr>
        <w:t>LLM</w:t>
      </w:r>
      <w:r>
        <w:rPr>
          <w:rFonts w:ascii="Arial" w:hAnsi="Arial" w:cs="Times New Roman"/>
          <w:sz w:val="24"/>
          <w:szCs w:val="24"/>
          <w:lang w:val="en-GB"/>
        </w:rPr>
        <w:t xml:space="preserve"> (Labour M</w:t>
      </w:r>
      <w:r w:rsidRPr="00150829">
        <w:rPr>
          <w:rFonts w:ascii="Arial" w:hAnsi="Arial" w:cs="Arial"/>
          <w:sz w:val="24"/>
          <w:szCs w:val="24"/>
        </w:rPr>
        <w:t xml:space="preserve">edical </w:t>
      </w:r>
      <w:r>
        <w:rPr>
          <w:rFonts w:ascii="Arial" w:hAnsi="Arial" w:cs="Arial"/>
          <w:sz w:val="24"/>
          <w:szCs w:val="24"/>
        </w:rPr>
        <w:t>M</w:t>
      </w:r>
      <w:r w:rsidRPr="00150829">
        <w:rPr>
          <w:rFonts w:ascii="Arial" w:hAnsi="Arial" w:cs="Arial"/>
          <w:sz w:val="24"/>
          <w:szCs w:val="24"/>
        </w:rPr>
        <w:t xml:space="preserve">onitoring) </w:t>
      </w:r>
      <w:r>
        <w:rPr>
          <w:rFonts w:ascii="Arial" w:hAnsi="Arial" w:cs="Arial"/>
          <w:sz w:val="24"/>
          <w:szCs w:val="24"/>
        </w:rPr>
        <w:t>O</w:t>
      </w:r>
      <w:r w:rsidRPr="00150829">
        <w:rPr>
          <w:rFonts w:ascii="Arial" w:hAnsi="Arial" w:cs="Arial"/>
          <w:sz w:val="24"/>
          <w:szCs w:val="24"/>
        </w:rPr>
        <w:t>ccupational Health Service</w:t>
      </w:r>
      <w:r w:rsidRPr="00F3246F">
        <w:rPr>
          <w:rFonts w:ascii="Arial" w:hAnsi="Arial" w:cs="Times New Roman"/>
          <w:sz w:val="24"/>
          <w:szCs w:val="24"/>
          <w:lang w:val="en-GB"/>
        </w:rPr>
        <w:t xml:space="preserve"> </w:t>
      </w:r>
      <w:r w:rsidR="00876839" w:rsidRPr="00F3246F">
        <w:rPr>
          <w:rFonts w:ascii="Arial" w:hAnsi="Arial" w:cs="Times New Roman"/>
          <w:sz w:val="24"/>
          <w:szCs w:val="24"/>
          <w:lang w:val="en-GB"/>
        </w:rPr>
        <w:t>where she currently earns R 14</w:t>
      </w:r>
      <w:r w:rsidR="00193540">
        <w:rPr>
          <w:rFonts w:ascii="Arial" w:hAnsi="Arial" w:cs="Times New Roman"/>
          <w:sz w:val="24"/>
          <w:szCs w:val="24"/>
          <w:lang w:val="en-GB"/>
        </w:rPr>
        <w:t>,000</w:t>
      </w:r>
      <w:r w:rsidR="00876839" w:rsidRPr="00F3246F">
        <w:rPr>
          <w:rFonts w:ascii="Arial" w:hAnsi="Arial" w:cs="Times New Roman"/>
          <w:sz w:val="24"/>
          <w:szCs w:val="24"/>
          <w:lang w:val="en-GB"/>
        </w:rPr>
        <w:t xml:space="preserve"> per month</w:t>
      </w:r>
      <w:r w:rsidR="001A0B79">
        <w:rPr>
          <w:rFonts w:ascii="Arial" w:hAnsi="Arial" w:cs="Times New Roman"/>
          <w:sz w:val="24"/>
          <w:szCs w:val="24"/>
          <w:lang w:val="en-GB"/>
        </w:rPr>
        <w:t>, with no benefits</w:t>
      </w:r>
      <w:r w:rsidR="00876839" w:rsidRPr="00F3246F">
        <w:rPr>
          <w:rFonts w:ascii="Arial" w:hAnsi="Arial" w:cs="Times New Roman"/>
          <w:sz w:val="24"/>
          <w:szCs w:val="24"/>
          <w:lang w:val="en-GB"/>
        </w:rPr>
        <w:t>. It is predicted she will receive only inflationary increases until retirement at age 65.</w:t>
      </w:r>
      <w:r w:rsidRPr="003E4E51">
        <w:rPr>
          <w:rFonts w:ascii="Arial" w:hAnsi="Arial" w:cs="Arial"/>
          <w:sz w:val="24"/>
          <w:szCs w:val="24"/>
        </w:rPr>
        <w:t xml:space="preserve"> </w:t>
      </w:r>
      <w:r>
        <w:rPr>
          <w:rFonts w:ascii="Arial" w:hAnsi="Arial" w:cs="Arial"/>
          <w:sz w:val="24"/>
          <w:szCs w:val="24"/>
        </w:rPr>
        <w:t>Du</w:t>
      </w:r>
      <w:r w:rsidRPr="00150829">
        <w:rPr>
          <w:rFonts w:ascii="Arial" w:hAnsi="Arial" w:cs="Arial"/>
          <w:sz w:val="24"/>
          <w:szCs w:val="24"/>
        </w:rPr>
        <w:t xml:space="preserve">e to </w:t>
      </w:r>
      <w:r>
        <w:rPr>
          <w:rFonts w:ascii="Arial" w:hAnsi="Arial" w:cs="Arial"/>
          <w:sz w:val="24"/>
          <w:szCs w:val="24"/>
        </w:rPr>
        <w:t xml:space="preserve">the </w:t>
      </w:r>
      <w:r w:rsidRPr="00150829">
        <w:rPr>
          <w:rFonts w:ascii="Arial" w:hAnsi="Arial" w:cs="Arial"/>
          <w:sz w:val="24"/>
          <w:szCs w:val="24"/>
        </w:rPr>
        <w:t>nature of work she is still required to move around and she suffers from hip pa</w:t>
      </w:r>
      <w:r>
        <w:rPr>
          <w:rFonts w:ascii="Arial" w:hAnsi="Arial" w:cs="Arial"/>
          <w:sz w:val="24"/>
          <w:szCs w:val="24"/>
        </w:rPr>
        <w:t>i</w:t>
      </w:r>
      <w:r w:rsidRPr="00150829">
        <w:rPr>
          <w:rFonts w:ascii="Arial" w:hAnsi="Arial" w:cs="Arial"/>
          <w:sz w:val="24"/>
          <w:szCs w:val="24"/>
        </w:rPr>
        <w:t>n and discomfo</w:t>
      </w:r>
      <w:r>
        <w:rPr>
          <w:rFonts w:ascii="Arial" w:hAnsi="Arial" w:cs="Arial"/>
          <w:sz w:val="24"/>
          <w:szCs w:val="24"/>
        </w:rPr>
        <w:t>r</w:t>
      </w:r>
      <w:r w:rsidRPr="00150829">
        <w:rPr>
          <w:rFonts w:ascii="Arial" w:hAnsi="Arial" w:cs="Arial"/>
          <w:sz w:val="24"/>
          <w:szCs w:val="24"/>
        </w:rPr>
        <w:t>t.</w:t>
      </w:r>
    </w:p>
    <w:p w14:paraId="403DFD7C" w14:textId="77777777" w:rsidR="000D2D0A" w:rsidRPr="000D2D0A" w:rsidRDefault="000D2D0A" w:rsidP="000D2D0A">
      <w:pPr>
        <w:pStyle w:val="ListParagraph"/>
        <w:rPr>
          <w:rFonts w:ascii="Arial" w:hAnsi="Arial" w:cs="Arial"/>
          <w:sz w:val="24"/>
          <w:szCs w:val="24"/>
        </w:rPr>
      </w:pPr>
    </w:p>
    <w:p w14:paraId="280319DD" w14:textId="5F6916B7" w:rsidR="000D2D0A" w:rsidRPr="000D2D0A" w:rsidRDefault="003E4E51" w:rsidP="000D2D0A">
      <w:pPr>
        <w:pStyle w:val="ListParagraph"/>
        <w:numPr>
          <w:ilvl w:val="0"/>
          <w:numId w:val="10"/>
        </w:numPr>
        <w:spacing w:after="0" w:line="360" w:lineRule="auto"/>
        <w:jc w:val="both"/>
        <w:rPr>
          <w:rFonts w:ascii="Arial" w:eastAsia="Arial" w:hAnsi="Arial" w:cs="Arial"/>
          <w:sz w:val="24"/>
          <w:szCs w:val="24"/>
          <w:lang w:val="en-GB"/>
        </w:rPr>
      </w:pPr>
      <w:r w:rsidRPr="000D2D0A">
        <w:rPr>
          <w:rFonts w:ascii="Arial" w:hAnsi="Arial" w:cs="Arial"/>
          <w:sz w:val="24"/>
          <w:szCs w:val="24"/>
        </w:rPr>
        <w:t>The plaintiff’s industrial psychologists prepared a su</w:t>
      </w:r>
      <w:r w:rsidR="007534CD" w:rsidRPr="000D2D0A">
        <w:rPr>
          <w:rFonts w:ascii="Arial" w:hAnsi="Arial" w:cs="Arial"/>
          <w:sz w:val="24"/>
          <w:szCs w:val="24"/>
        </w:rPr>
        <w:t xml:space="preserve">pplementary </w:t>
      </w:r>
      <w:r w:rsidRPr="000D2D0A">
        <w:rPr>
          <w:rFonts w:ascii="Arial" w:hAnsi="Arial" w:cs="Arial"/>
          <w:sz w:val="24"/>
          <w:szCs w:val="24"/>
        </w:rPr>
        <w:t>report following the change in her employment circumstances.</w:t>
      </w:r>
      <w:r w:rsidR="007534CD" w:rsidRPr="000D2D0A">
        <w:rPr>
          <w:rFonts w:ascii="Arial" w:hAnsi="Arial" w:cs="Arial"/>
          <w:sz w:val="24"/>
          <w:szCs w:val="24"/>
        </w:rPr>
        <w:t xml:space="preserve">  When asked</w:t>
      </w:r>
      <w:r w:rsidR="005C0A10">
        <w:rPr>
          <w:rFonts w:ascii="Arial" w:hAnsi="Arial" w:cs="Arial"/>
          <w:sz w:val="24"/>
          <w:szCs w:val="24"/>
        </w:rPr>
        <w:t xml:space="preserve"> about her prospects</w:t>
      </w:r>
      <w:r w:rsidR="007534CD" w:rsidRPr="000D2D0A">
        <w:rPr>
          <w:rFonts w:ascii="Arial" w:hAnsi="Arial" w:cs="Arial"/>
          <w:sz w:val="24"/>
          <w:szCs w:val="24"/>
        </w:rPr>
        <w:t xml:space="preserve">, </w:t>
      </w:r>
      <w:r w:rsidR="005C0A10">
        <w:rPr>
          <w:rFonts w:ascii="Arial" w:hAnsi="Arial" w:cs="Arial"/>
          <w:sz w:val="24"/>
          <w:szCs w:val="24"/>
        </w:rPr>
        <w:t>the plaintiff</w:t>
      </w:r>
      <w:r w:rsidR="007534CD" w:rsidRPr="000D2D0A">
        <w:rPr>
          <w:rFonts w:ascii="Arial" w:hAnsi="Arial" w:cs="Arial"/>
          <w:sz w:val="24"/>
          <w:szCs w:val="24"/>
        </w:rPr>
        <w:t xml:space="preserve"> </w:t>
      </w:r>
      <w:r w:rsidR="001A0B79" w:rsidRPr="000D2D0A">
        <w:rPr>
          <w:rFonts w:ascii="Arial" w:hAnsi="Arial" w:cs="Arial"/>
          <w:sz w:val="24"/>
          <w:szCs w:val="24"/>
        </w:rPr>
        <w:t>answered</w:t>
      </w:r>
      <w:r w:rsidR="007534CD" w:rsidRPr="000D2D0A">
        <w:rPr>
          <w:rFonts w:ascii="Arial" w:hAnsi="Arial" w:cs="Arial"/>
          <w:sz w:val="24"/>
          <w:szCs w:val="24"/>
        </w:rPr>
        <w:t xml:space="preserve"> that she believes that she will work in </w:t>
      </w:r>
      <w:r w:rsidR="001A0B79" w:rsidRPr="000D2D0A">
        <w:rPr>
          <w:rFonts w:ascii="Arial" w:hAnsi="Arial" w:cs="Arial"/>
          <w:sz w:val="24"/>
          <w:szCs w:val="24"/>
        </w:rPr>
        <w:t xml:space="preserve">her </w:t>
      </w:r>
      <w:r w:rsidR="007534CD" w:rsidRPr="000D2D0A">
        <w:rPr>
          <w:rFonts w:ascii="Arial" w:hAnsi="Arial" w:cs="Arial"/>
          <w:sz w:val="24"/>
          <w:szCs w:val="24"/>
        </w:rPr>
        <w:t>current capacity until retirement</w:t>
      </w:r>
      <w:r w:rsidR="001A0B79" w:rsidRPr="000D2D0A">
        <w:rPr>
          <w:rFonts w:ascii="Arial" w:hAnsi="Arial" w:cs="Arial"/>
          <w:sz w:val="24"/>
          <w:szCs w:val="24"/>
        </w:rPr>
        <w:t xml:space="preserve">. Her </w:t>
      </w:r>
      <w:r w:rsidR="007534CD" w:rsidRPr="000D2D0A">
        <w:rPr>
          <w:rFonts w:ascii="Arial" w:hAnsi="Arial" w:cs="Arial"/>
          <w:sz w:val="24"/>
          <w:szCs w:val="24"/>
        </w:rPr>
        <w:t>salary is unlikely to increase</w:t>
      </w:r>
      <w:r w:rsidR="00193540" w:rsidRPr="000D2D0A">
        <w:rPr>
          <w:rFonts w:ascii="Arial" w:hAnsi="Arial" w:cs="Arial"/>
          <w:sz w:val="24"/>
          <w:szCs w:val="24"/>
        </w:rPr>
        <w:t xml:space="preserve">. </w:t>
      </w:r>
      <w:r w:rsidR="007534CD" w:rsidRPr="000D2D0A">
        <w:rPr>
          <w:rFonts w:ascii="Arial" w:hAnsi="Arial" w:cs="Arial"/>
          <w:sz w:val="24"/>
          <w:szCs w:val="24"/>
        </w:rPr>
        <w:t xml:space="preserve">Sister Marx, Director at LMM, says that in terms of career path </w:t>
      </w:r>
      <w:r w:rsidR="00655AA9" w:rsidRPr="000D2D0A">
        <w:rPr>
          <w:rFonts w:ascii="Arial" w:hAnsi="Arial" w:cs="Arial"/>
          <w:sz w:val="24"/>
          <w:szCs w:val="24"/>
        </w:rPr>
        <w:t xml:space="preserve">the </w:t>
      </w:r>
      <w:r w:rsidR="007534CD" w:rsidRPr="000D2D0A">
        <w:rPr>
          <w:rFonts w:ascii="Arial" w:hAnsi="Arial" w:cs="Arial"/>
          <w:sz w:val="24"/>
          <w:szCs w:val="24"/>
        </w:rPr>
        <w:t xml:space="preserve">plaintiff will continue working as </w:t>
      </w:r>
      <w:r w:rsidR="00655AA9" w:rsidRPr="000D2D0A">
        <w:rPr>
          <w:rFonts w:ascii="Arial" w:hAnsi="Arial" w:cs="Arial"/>
          <w:sz w:val="24"/>
          <w:szCs w:val="24"/>
        </w:rPr>
        <w:t xml:space="preserve">a </w:t>
      </w:r>
      <w:r w:rsidR="007534CD" w:rsidRPr="000D2D0A">
        <w:rPr>
          <w:rFonts w:ascii="Arial" w:hAnsi="Arial" w:cs="Arial"/>
          <w:sz w:val="24"/>
          <w:szCs w:val="24"/>
        </w:rPr>
        <w:t xml:space="preserve">technician until retirement, with annual inflationary salary adjustments. </w:t>
      </w:r>
    </w:p>
    <w:p w14:paraId="267B8D30" w14:textId="77777777" w:rsidR="000D2D0A" w:rsidRPr="000D2D0A" w:rsidRDefault="000D2D0A" w:rsidP="000D2D0A">
      <w:pPr>
        <w:pStyle w:val="ListParagraph"/>
        <w:rPr>
          <w:rFonts w:ascii="Arial" w:eastAsia="Arial" w:hAnsi="Arial" w:cs="Arial"/>
          <w:sz w:val="24"/>
          <w:szCs w:val="24"/>
          <w:lang w:val="en-GB"/>
        </w:rPr>
      </w:pPr>
    </w:p>
    <w:p w14:paraId="141FB75F" w14:textId="4D135675" w:rsidR="00925832" w:rsidRPr="000D2D0A" w:rsidRDefault="00F3246F" w:rsidP="000D2D0A">
      <w:pPr>
        <w:pStyle w:val="ListParagraph"/>
        <w:numPr>
          <w:ilvl w:val="0"/>
          <w:numId w:val="10"/>
        </w:numPr>
        <w:spacing w:after="0" w:line="360" w:lineRule="auto"/>
        <w:jc w:val="both"/>
        <w:rPr>
          <w:rFonts w:ascii="Arial" w:eastAsia="Arial" w:hAnsi="Arial" w:cs="Arial"/>
          <w:sz w:val="24"/>
          <w:szCs w:val="24"/>
          <w:lang w:val="en-GB"/>
        </w:rPr>
      </w:pPr>
      <w:r w:rsidRPr="000D2D0A">
        <w:rPr>
          <w:rFonts w:ascii="Arial" w:eastAsia="Arial" w:hAnsi="Arial" w:cs="Arial"/>
          <w:sz w:val="24"/>
          <w:szCs w:val="24"/>
          <w:lang w:val="en-GB"/>
        </w:rPr>
        <w:t xml:space="preserve">During her time at Spur, the plaintiff’s </w:t>
      </w:r>
      <w:r w:rsidR="007418D3" w:rsidRPr="000D2D0A">
        <w:rPr>
          <w:rFonts w:ascii="Arial" w:eastAsia="Arial" w:hAnsi="Arial" w:cs="Arial"/>
          <w:sz w:val="24"/>
          <w:szCs w:val="24"/>
          <w:lang w:val="en-GB"/>
        </w:rPr>
        <w:t xml:space="preserve">earnings fell within </w:t>
      </w:r>
      <w:r w:rsidRPr="000D2D0A">
        <w:rPr>
          <w:rFonts w:ascii="Arial" w:eastAsia="Arial" w:hAnsi="Arial" w:cs="Arial"/>
          <w:sz w:val="24"/>
          <w:szCs w:val="24"/>
          <w:lang w:val="en-GB"/>
        </w:rPr>
        <w:t xml:space="preserve">the Paterson </w:t>
      </w:r>
      <w:r w:rsidR="007418D3" w:rsidRPr="000D2D0A">
        <w:rPr>
          <w:rFonts w:ascii="Arial" w:eastAsia="Arial" w:hAnsi="Arial" w:cs="Arial"/>
          <w:sz w:val="24"/>
          <w:szCs w:val="24"/>
          <w:lang w:val="en-GB"/>
        </w:rPr>
        <w:t xml:space="preserve">A3 level. </w:t>
      </w:r>
      <w:r w:rsidRPr="000D2D0A">
        <w:rPr>
          <w:rFonts w:ascii="Arial" w:eastAsia="Arial" w:hAnsi="Arial" w:cs="Arial"/>
          <w:sz w:val="24"/>
          <w:szCs w:val="24"/>
          <w:lang w:val="en-GB"/>
        </w:rPr>
        <w:t>Her c</w:t>
      </w:r>
      <w:r w:rsidR="00241795" w:rsidRPr="000D2D0A">
        <w:rPr>
          <w:rFonts w:ascii="Arial" w:eastAsia="Arial" w:hAnsi="Arial" w:cs="Arial"/>
          <w:sz w:val="24"/>
          <w:szCs w:val="24"/>
          <w:lang w:val="en-GB"/>
        </w:rPr>
        <w:t>urrent earnings at LMM amount</w:t>
      </w:r>
      <w:r w:rsidR="007418D3" w:rsidRPr="000D2D0A">
        <w:rPr>
          <w:rFonts w:ascii="Arial" w:eastAsia="Arial" w:hAnsi="Arial" w:cs="Arial"/>
          <w:sz w:val="24"/>
          <w:szCs w:val="24"/>
          <w:lang w:val="en-GB"/>
        </w:rPr>
        <w:t xml:space="preserve"> to </w:t>
      </w:r>
      <w:r w:rsidRPr="000D2D0A">
        <w:rPr>
          <w:rFonts w:ascii="Arial" w:eastAsia="Arial" w:hAnsi="Arial" w:cs="Arial"/>
          <w:sz w:val="24"/>
          <w:szCs w:val="24"/>
          <w:lang w:val="en-GB"/>
        </w:rPr>
        <w:t xml:space="preserve">R </w:t>
      </w:r>
      <w:r w:rsidR="007418D3" w:rsidRPr="000D2D0A">
        <w:rPr>
          <w:rFonts w:ascii="Arial" w:eastAsia="Arial" w:hAnsi="Arial" w:cs="Arial"/>
          <w:sz w:val="24"/>
          <w:szCs w:val="24"/>
          <w:lang w:val="en-GB"/>
        </w:rPr>
        <w:t xml:space="preserve">168 000 per year which falls within the median of the Paterson </w:t>
      </w:r>
      <w:r w:rsidR="00655AA9" w:rsidRPr="000D2D0A">
        <w:rPr>
          <w:rFonts w:ascii="Arial" w:eastAsia="Arial" w:hAnsi="Arial" w:cs="Arial"/>
          <w:sz w:val="24"/>
          <w:szCs w:val="24"/>
          <w:lang w:val="en-GB"/>
        </w:rPr>
        <w:t xml:space="preserve">A2 </w:t>
      </w:r>
      <w:r w:rsidR="007418D3" w:rsidRPr="000D2D0A">
        <w:rPr>
          <w:rFonts w:ascii="Arial" w:eastAsia="Arial" w:hAnsi="Arial" w:cs="Arial"/>
          <w:sz w:val="24"/>
          <w:szCs w:val="24"/>
          <w:lang w:val="en-GB"/>
        </w:rPr>
        <w:t xml:space="preserve">level. </w:t>
      </w:r>
      <w:r w:rsidR="00655AA9" w:rsidRPr="000D2D0A">
        <w:rPr>
          <w:rFonts w:ascii="Arial" w:eastAsia="Arial" w:hAnsi="Arial" w:cs="Arial"/>
          <w:sz w:val="24"/>
          <w:szCs w:val="24"/>
          <w:lang w:val="en-GB"/>
        </w:rPr>
        <w:t xml:space="preserve">They </w:t>
      </w:r>
      <w:r w:rsidR="00193540" w:rsidRPr="000D2D0A">
        <w:rPr>
          <w:rFonts w:ascii="Arial" w:eastAsia="Arial" w:hAnsi="Arial" w:cs="Arial"/>
          <w:sz w:val="24"/>
          <w:szCs w:val="24"/>
          <w:lang w:val="en-GB"/>
        </w:rPr>
        <w:t>submit</w:t>
      </w:r>
      <w:r w:rsidR="00655AA9" w:rsidRPr="000D2D0A">
        <w:rPr>
          <w:rFonts w:ascii="Arial" w:eastAsia="Arial" w:hAnsi="Arial" w:cs="Arial"/>
          <w:sz w:val="24"/>
          <w:szCs w:val="24"/>
          <w:lang w:val="en-GB"/>
        </w:rPr>
        <w:t xml:space="preserve"> that her earnings will remain at 5/8 of Paterson B2 in a half-day position, or within Paterson A2 level in a full-time position, such as her current position. T</w:t>
      </w:r>
      <w:r w:rsidRPr="000D2D0A">
        <w:rPr>
          <w:rFonts w:ascii="Arial" w:eastAsia="Arial" w:hAnsi="Arial" w:cs="Arial"/>
          <w:sz w:val="24"/>
          <w:szCs w:val="24"/>
          <w:lang w:val="en-GB"/>
        </w:rPr>
        <w:t xml:space="preserve">hey </w:t>
      </w:r>
      <w:r w:rsidR="007418D3" w:rsidRPr="000D2D0A">
        <w:rPr>
          <w:rFonts w:ascii="Arial" w:eastAsia="Arial" w:hAnsi="Arial" w:cs="Arial"/>
          <w:sz w:val="24"/>
          <w:szCs w:val="24"/>
          <w:lang w:val="en-GB"/>
        </w:rPr>
        <w:t xml:space="preserve">suggest that </w:t>
      </w:r>
      <w:r w:rsidRPr="000D2D0A">
        <w:rPr>
          <w:rFonts w:ascii="Arial" w:eastAsia="Arial" w:hAnsi="Arial" w:cs="Arial"/>
          <w:sz w:val="24"/>
          <w:szCs w:val="24"/>
          <w:lang w:val="en-GB"/>
        </w:rPr>
        <w:t xml:space="preserve">the </w:t>
      </w:r>
      <w:r w:rsidR="007418D3" w:rsidRPr="000D2D0A">
        <w:rPr>
          <w:rFonts w:ascii="Arial" w:eastAsia="Arial" w:hAnsi="Arial" w:cs="Arial"/>
          <w:sz w:val="24"/>
          <w:szCs w:val="24"/>
          <w:lang w:val="en-GB"/>
        </w:rPr>
        <w:t>plaintiff</w:t>
      </w:r>
      <w:r w:rsidRPr="000D2D0A">
        <w:rPr>
          <w:rFonts w:ascii="Arial" w:eastAsia="Arial" w:hAnsi="Arial" w:cs="Arial"/>
          <w:sz w:val="24"/>
          <w:szCs w:val="24"/>
          <w:lang w:val="en-GB"/>
        </w:rPr>
        <w:t>’</w:t>
      </w:r>
      <w:r w:rsidR="007418D3" w:rsidRPr="000D2D0A">
        <w:rPr>
          <w:rFonts w:ascii="Arial" w:eastAsia="Arial" w:hAnsi="Arial" w:cs="Arial"/>
          <w:sz w:val="24"/>
          <w:szCs w:val="24"/>
          <w:lang w:val="en-GB"/>
        </w:rPr>
        <w:t xml:space="preserve">s </w:t>
      </w:r>
      <w:r w:rsidR="00FE317A" w:rsidRPr="000D2D0A">
        <w:rPr>
          <w:rFonts w:ascii="Arial" w:eastAsia="Arial" w:hAnsi="Arial" w:cs="Arial"/>
          <w:sz w:val="24"/>
          <w:szCs w:val="24"/>
          <w:lang w:val="en-GB"/>
        </w:rPr>
        <w:t>actual</w:t>
      </w:r>
      <w:r w:rsidR="007418D3" w:rsidRPr="000D2D0A">
        <w:rPr>
          <w:rFonts w:ascii="Arial" w:eastAsia="Arial" w:hAnsi="Arial" w:cs="Arial"/>
          <w:sz w:val="24"/>
          <w:szCs w:val="24"/>
          <w:lang w:val="en-GB"/>
        </w:rPr>
        <w:t xml:space="preserve"> earnings be used as </w:t>
      </w:r>
      <w:r w:rsidRPr="000D2D0A">
        <w:rPr>
          <w:rFonts w:ascii="Arial" w:eastAsia="Arial" w:hAnsi="Arial" w:cs="Arial"/>
          <w:sz w:val="24"/>
          <w:szCs w:val="24"/>
          <w:lang w:val="en-GB"/>
        </w:rPr>
        <w:t xml:space="preserve">the </w:t>
      </w:r>
      <w:r w:rsidR="007418D3" w:rsidRPr="000D2D0A">
        <w:rPr>
          <w:rFonts w:ascii="Arial" w:eastAsia="Arial" w:hAnsi="Arial" w:cs="Arial"/>
          <w:sz w:val="24"/>
          <w:szCs w:val="24"/>
          <w:lang w:val="en-GB"/>
        </w:rPr>
        <w:t>bas</w:t>
      </w:r>
      <w:r w:rsidR="00FE317A" w:rsidRPr="000D2D0A">
        <w:rPr>
          <w:rFonts w:ascii="Arial" w:eastAsia="Arial" w:hAnsi="Arial" w:cs="Arial"/>
          <w:sz w:val="24"/>
          <w:szCs w:val="24"/>
          <w:lang w:val="en-GB"/>
        </w:rPr>
        <w:t>is for future earning</w:t>
      </w:r>
      <w:r w:rsidR="005C0A10">
        <w:rPr>
          <w:rFonts w:ascii="Arial" w:eastAsia="Arial" w:hAnsi="Arial" w:cs="Arial"/>
          <w:sz w:val="24"/>
          <w:szCs w:val="24"/>
          <w:lang w:val="en-GB"/>
        </w:rPr>
        <w:t>s</w:t>
      </w:r>
      <w:r w:rsidR="00925832" w:rsidRPr="000D2D0A">
        <w:rPr>
          <w:rFonts w:ascii="Arial" w:eastAsia="Arial" w:hAnsi="Arial" w:cs="Arial"/>
          <w:sz w:val="24"/>
          <w:szCs w:val="24"/>
          <w:lang w:val="en-GB"/>
        </w:rPr>
        <w:t xml:space="preserve"> </w:t>
      </w:r>
      <w:r w:rsidR="00850044">
        <w:rPr>
          <w:rFonts w:ascii="Arial" w:eastAsia="Arial" w:hAnsi="Arial" w:cs="Arial"/>
          <w:sz w:val="24"/>
          <w:szCs w:val="24"/>
          <w:lang w:val="en-GB"/>
        </w:rPr>
        <w:t>calculations</w:t>
      </w:r>
      <w:r w:rsidR="00FE317A" w:rsidRPr="00850044">
        <w:rPr>
          <w:rFonts w:ascii="Arial" w:eastAsia="Arial" w:hAnsi="Arial" w:cs="Arial"/>
          <w:sz w:val="24"/>
          <w:szCs w:val="24"/>
          <w:lang w:val="en-GB"/>
        </w:rPr>
        <w:t>.</w:t>
      </w:r>
      <w:r w:rsidR="007418D3" w:rsidRPr="000D2D0A">
        <w:rPr>
          <w:rFonts w:ascii="Arial" w:eastAsia="Arial" w:hAnsi="Arial" w:cs="Arial"/>
          <w:sz w:val="24"/>
          <w:szCs w:val="24"/>
          <w:lang w:val="en-GB"/>
        </w:rPr>
        <w:t xml:space="preserve"> </w:t>
      </w:r>
      <w:r w:rsidR="00656BF3" w:rsidRPr="000D2D0A">
        <w:rPr>
          <w:rFonts w:ascii="Arial" w:eastAsia="Arial" w:hAnsi="Arial" w:cs="Arial"/>
          <w:sz w:val="24"/>
          <w:szCs w:val="24"/>
          <w:lang w:val="en-GB"/>
        </w:rPr>
        <w:t>Her current earnings of R 14 000 is more or less 5/8ths of the Paterson B2 level.</w:t>
      </w:r>
      <w:r w:rsidR="00656BF3" w:rsidRPr="000D2D0A">
        <w:rPr>
          <w:rFonts w:ascii="Arial" w:eastAsia="Arial" w:hAnsi="Arial" w:cs="Arial"/>
          <w:sz w:val="24"/>
          <w:szCs w:val="24"/>
          <w:highlight w:val="cyan"/>
          <w:lang w:val="en-GB"/>
        </w:rPr>
        <w:t xml:space="preserve"> </w:t>
      </w:r>
    </w:p>
    <w:p w14:paraId="568D5B9E" w14:textId="77777777" w:rsidR="00925832" w:rsidRPr="00925832" w:rsidRDefault="00925832" w:rsidP="00925832">
      <w:pPr>
        <w:spacing w:after="0" w:line="360" w:lineRule="auto"/>
        <w:jc w:val="both"/>
        <w:rPr>
          <w:rFonts w:ascii="Arial" w:hAnsi="Arial" w:cs="Arial"/>
          <w:sz w:val="24"/>
          <w:szCs w:val="24"/>
          <w:highlight w:val="cyan"/>
        </w:rPr>
      </w:pPr>
    </w:p>
    <w:p w14:paraId="0F72AED2" w14:textId="6307C49B" w:rsidR="00DB2FAA" w:rsidRPr="00DB2FAA" w:rsidRDefault="00DB2FAA" w:rsidP="00DB2FAA">
      <w:pPr>
        <w:pStyle w:val="ListParagraph"/>
        <w:numPr>
          <w:ilvl w:val="0"/>
          <w:numId w:val="10"/>
        </w:numPr>
        <w:spacing w:after="0" w:line="360" w:lineRule="auto"/>
        <w:ind w:hanging="11"/>
        <w:jc w:val="both"/>
        <w:rPr>
          <w:rFonts w:ascii="Arial" w:eastAsia="Arial" w:hAnsi="Arial" w:cs="Arial"/>
          <w:b/>
          <w:sz w:val="24"/>
          <w:szCs w:val="24"/>
          <w:lang w:val="en-GB"/>
        </w:rPr>
      </w:pPr>
      <w:r w:rsidRPr="00DB2FAA">
        <w:rPr>
          <w:rFonts w:ascii="Arial" w:hAnsi="Arial" w:cs="Arial"/>
          <w:sz w:val="24"/>
          <w:szCs w:val="24"/>
        </w:rPr>
        <w:t xml:space="preserve">The approach to determining loss of </w:t>
      </w:r>
      <w:r w:rsidR="00F3246F">
        <w:rPr>
          <w:rFonts w:ascii="Arial" w:hAnsi="Arial" w:cs="Arial"/>
          <w:sz w:val="24"/>
          <w:szCs w:val="24"/>
        </w:rPr>
        <w:t>earnings</w:t>
      </w:r>
      <w:r w:rsidRPr="00DB2FAA">
        <w:rPr>
          <w:rFonts w:ascii="Arial" w:hAnsi="Arial" w:cs="Arial"/>
          <w:sz w:val="24"/>
          <w:szCs w:val="24"/>
        </w:rPr>
        <w:t xml:space="preserve"> and applicable contingencies, was recently explained </w:t>
      </w:r>
      <w:r w:rsidR="00F3246F">
        <w:rPr>
          <w:rFonts w:ascii="Arial" w:hAnsi="Arial" w:cs="Arial"/>
          <w:sz w:val="24"/>
          <w:szCs w:val="24"/>
        </w:rPr>
        <w:t xml:space="preserve">by the Supreme Court of Appeal </w:t>
      </w:r>
      <w:r w:rsidRPr="00DB2FAA">
        <w:rPr>
          <w:rFonts w:ascii="Arial" w:hAnsi="Arial" w:cs="Arial"/>
          <w:sz w:val="24"/>
          <w:szCs w:val="24"/>
        </w:rPr>
        <w:t xml:space="preserve">in </w:t>
      </w:r>
      <w:r w:rsidRPr="00DB2FAA">
        <w:rPr>
          <w:rFonts w:ascii="Arial" w:hAnsi="Arial" w:cs="Arial"/>
          <w:i/>
          <w:sz w:val="24"/>
          <w:szCs w:val="24"/>
        </w:rPr>
        <w:t>Road Accident Fund v Kerridge</w:t>
      </w:r>
      <w:r w:rsidRPr="00DB2FAA">
        <w:rPr>
          <w:rFonts w:ascii="Arial" w:hAnsi="Arial" w:cs="Arial"/>
          <w:sz w:val="24"/>
          <w:szCs w:val="24"/>
        </w:rPr>
        <w:t>:</w:t>
      </w:r>
      <w:r>
        <w:rPr>
          <w:rStyle w:val="FootnoteReference"/>
          <w:rFonts w:ascii="Arial" w:hAnsi="Arial" w:cs="Arial"/>
          <w:sz w:val="24"/>
          <w:szCs w:val="24"/>
        </w:rPr>
        <w:footnoteReference w:id="1"/>
      </w:r>
    </w:p>
    <w:p w14:paraId="3DA95E3E" w14:textId="77777777" w:rsidR="00DB2FAA" w:rsidRPr="007803A6" w:rsidRDefault="00DB2FAA" w:rsidP="00DB2FAA">
      <w:pPr>
        <w:pStyle w:val="ListParagraph"/>
        <w:widowControl w:val="0"/>
        <w:rPr>
          <w:rFonts w:ascii="Arial" w:hAnsi="Arial" w:cs="Arial"/>
          <w:sz w:val="24"/>
          <w:szCs w:val="24"/>
        </w:rPr>
      </w:pPr>
    </w:p>
    <w:p w14:paraId="259153F5" w14:textId="7FB088B0" w:rsidR="00DB2FAA" w:rsidRPr="00A9727A" w:rsidRDefault="00DB2FAA" w:rsidP="00DB2FAA">
      <w:pPr>
        <w:pStyle w:val="Level1"/>
        <w:tabs>
          <w:tab w:val="left" w:pos="720"/>
        </w:tabs>
        <w:spacing w:line="360" w:lineRule="auto"/>
        <w:ind w:left="1440"/>
        <w:rPr>
          <w:rFonts w:ascii="Arial" w:hAnsi="Arial" w:cs="Arial"/>
          <w:color w:val="808080"/>
          <w:sz w:val="22"/>
          <w:szCs w:val="22"/>
          <w:u w:val="single"/>
        </w:rPr>
      </w:pPr>
      <w:r w:rsidRPr="00A9727A">
        <w:rPr>
          <w:rFonts w:ascii="Arial" w:hAnsi="Arial" w:cs="Arial"/>
          <w:color w:val="000000"/>
          <w:sz w:val="22"/>
          <w:szCs w:val="22"/>
        </w:rPr>
        <w:t>[40] Any claim for future loss of earning capacity requires a comparison of what a claimant would have earned had the accident not occurred, with what a claimant is likely to earn thereafter. The loss is the difference between the monetary value of the earning capacity immediately prior to the injury and immediately thereafter. This can never be a matter of exact mathematical calculation and is, of its nature, a highly speculative inquiry. All the court can do is make an estimate, which is often a very rough estimate, of the present value of the loss.</w:t>
      </w:r>
      <w:bookmarkStart w:id="1" w:name="0-0-0-7689"/>
      <w:bookmarkEnd w:id="1"/>
    </w:p>
    <w:p w14:paraId="386CAD97" w14:textId="77777777" w:rsidR="00DB2FAA" w:rsidRDefault="00DB2FAA" w:rsidP="00DB2FAA">
      <w:pPr>
        <w:pStyle w:val="Level1"/>
        <w:tabs>
          <w:tab w:val="left" w:pos="720"/>
        </w:tabs>
        <w:spacing w:line="360" w:lineRule="auto"/>
        <w:ind w:left="1440"/>
        <w:rPr>
          <w:rFonts w:ascii="Arial" w:hAnsi="Arial" w:cs="Arial"/>
          <w:color w:val="000000"/>
          <w:sz w:val="22"/>
          <w:szCs w:val="22"/>
        </w:rPr>
      </w:pPr>
    </w:p>
    <w:p w14:paraId="534E92E7" w14:textId="16614519" w:rsidR="00DB2FAA" w:rsidRPr="00A9727A" w:rsidRDefault="00DB2FAA" w:rsidP="00DB2FAA">
      <w:pPr>
        <w:pStyle w:val="Level1"/>
        <w:tabs>
          <w:tab w:val="left" w:pos="720"/>
        </w:tabs>
        <w:spacing w:line="360" w:lineRule="auto"/>
        <w:ind w:left="1440"/>
        <w:rPr>
          <w:rFonts w:ascii="Arial" w:hAnsi="Arial" w:cs="Arial"/>
          <w:color w:val="000000"/>
          <w:sz w:val="22"/>
          <w:szCs w:val="22"/>
        </w:rPr>
      </w:pPr>
      <w:r w:rsidRPr="00A9727A">
        <w:rPr>
          <w:rFonts w:ascii="Arial" w:hAnsi="Arial" w:cs="Arial"/>
          <w:color w:val="000000"/>
          <w:sz w:val="22"/>
          <w:szCs w:val="22"/>
        </w:rPr>
        <w:t>[41] Courts have used actuarial calculations in an attempt to estimate the monetary value of the loss. These calculations are obviously dependent on the accuracy of the factual information provided by the various witnesses. In order to address life's unknown future hazards, an actuary will usually suggest that a court should determine the appropriate contingency deduction. Often a claimant, as a result of the injury, has to engage in less lucrative employment. The nature of the risks associated with the two career paths may differ widely. It is therefore appropriate to make different contingency deductions in respect of the pre-morbid and the post-morbid scenarios. The future loss will therefore be the shortfall between the two, once the appropriate contingencies have been applied.</w:t>
      </w:r>
    </w:p>
    <w:p w14:paraId="75B1934B" w14:textId="77777777" w:rsidR="00DB2FAA" w:rsidRDefault="00DB2FAA" w:rsidP="00DB2FAA">
      <w:pPr>
        <w:pStyle w:val="Level1"/>
        <w:tabs>
          <w:tab w:val="left" w:pos="720"/>
        </w:tabs>
        <w:spacing w:line="360" w:lineRule="auto"/>
        <w:ind w:left="1440"/>
        <w:rPr>
          <w:rFonts w:ascii="Arial" w:hAnsi="Arial" w:cs="Arial"/>
          <w:color w:val="000000"/>
          <w:sz w:val="22"/>
          <w:szCs w:val="22"/>
        </w:rPr>
      </w:pPr>
    </w:p>
    <w:p w14:paraId="08668AE7" w14:textId="1D6CE59E" w:rsidR="00DB2FAA" w:rsidRPr="00A9727A" w:rsidRDefault="00DB2FAA" w:rsidP="00DB2FAA">
      <w:pPr>
        <w:pStyle w:val="Level1"/>
        <w:tabs>
          <w:tab w:val="left" w:pos="720"/>
        </w:tabs>
        <w:spacing w:line="360" w:lineRule="auto"/>
        <w:ind w:left="1440"/>
        <w:rPr>
          <w:rFonts w:ascii="Arial" w:hAnsi="Arial" w:cs="Arial"/>
          <w:color w:val="000000"/>
          <w:sz w:val="22"/>
          <w:szCs w:val="22"/>
        </w:rPr>
      </w:pPr>
      <w:r w:rsidRPr="00A9727A">
        <w:rPr>
          <w:rFonts w:ascii="Arial" w:hAnsi="Arial" w:cs="Arial"/>
          <w:color w:val="000000"/>
          <w:sz w:val="22"/>
          <w:szCs w:val="22"/>
        </w:rPr>
        <w:t>[42] Contingencies are arbitrary and also highly subjective. It can be described no better than the oft-quoted passage in</w:t>
      </w:r>
      <w:r w:rsidRPr="00A9727A">
        <w:rPr>
          <w:rStyle w:val="apple-converted-space"/>
          <w:rFonts w:ascii="Arial" w:hAnsi="Arial" w:cs="Arial"/>
          <w:color w:val="000000"/>
          <w:sz w:val="22"/>
          <w:szCs w:val="22"/>
        </w:rPr>
        <w:t> </w:t>
      </w:r>
      <w:r w:rsidRPr="00A9727A">
        <w:rPr>
          <w:rFonts w:ascii="Arial" w:hAnsi="Arial" w:cs="Arial"/>
          <w:iCs/>
          <w:color w:val="000000"/>
          <w:sz w:val="22"/>
          <w:szCs w:val="22"/>
        </w:rPr>
        <w:t>Goodall v President Insurance Co Ltd</w:t>
      </w:r>
      <w:bookmarkStart w:id="2" w:name="0-0-0-7693"/>
      <w:bookmarkEnd w:id="2"/>
      <w:r w:rsidRPr="00A9727A">
        <w:rPr>
          <w:rStyle w:val="apple-converted-space"/>
          <w:rFonts w:ascii="Arial" w:hAnsi="Arial" w:cs="Arial"/>
          <w:color w:val="000000"/>
          <w:sz w:val="22"/>
          <w:szCs w:val="22"/>
        </w:rPr>
        <w:t> </w:t>
      </w:r>
      <w:r w:rsidRPr="00A9727A">
        <w:rPr>
          <w:rFonts w:ascii="Arial" w:hAnsi="Arial" w:cs="Arial"/>
          <w:color w:val="000000"/>
          <w:sz w:val="22"/>
          <w:szCs w:val="22"/>
        </w:rPr>
        <w:t>where the court said:   'In the assessment of a proper allowance for contingencies, arbitrary considerations must inevitably play a part, for the art or science of foretelling the future, so confidently practiced by ancient prophets and soothsayers, and by authors of a certain type of almanack, is not numbered among the qualifications for judicial office.'</w:t>
      </w:r>
    </w:p>
    <w:p w14:paraId="3C4C51BF" w14:textId="77777777" w:rsidR="00DB2FAA" w:rsidRDefault="00DB2FAA" w:rsidP="00DB2FAA">
      <w:pPr>
        <w:pStyle w:val="Level1"/>
        <w:tabs>
          <w:tab w:val="left" w:pos="720"/>
        </w:tabs>
        <w:spacing w:line="360" w:lineRule="auto"/>
        <w:rPr>
          <w:rFonts w:ascii="Arial" w:hAnsi="Arial" w:cs="Arial"/>
          <w:color w:val="000000"/>
          <w:sz w:val="22"/>
          <w:szCs w:val="22"/>
        </w:rPr>
      </w:pPr>
    </w:p>
    <w:p w14:paraId="60EB715E" w14:textId="4033EC7A" w:rsidR="00DB2FAA" w:rsidRPr="00A9727A" w:rsidRDefault="00DB2FAA" w:rsidP="00DB2FAA">
      <w:pPr>
        <w:pStyle w:val="Level1"/>
        <w:tabs>
          <w:tab w:val="left" w:pos="720"/>
        </w:tabs>
        <w:spacing w:line="360" w:lineRule="auto"/>
        <w:ind w:left="1440"/>
        <w:rPr>
          <w:rStyle w:val="apple-converted-space"/>
          <w:rFonts w:ascii="Arial" w:hAnsi="Arial" w:cs="Arial"/>
          <w:color w:val="000000"/>
          <w:sz w:val="22"/>
          <w:szCs w:val="22"/>
          <w:shd w:val="clear" w:color="auto" w:fill="C0C0C0"/>
        </w:rPr>
      </w:pPr>
      <w:r w:rsidRPr="00A9727A">
        <w:rPr>
          <w:rFonts w:ascii="Arial" w:hAnsi="Arial" w:cs="Arial"/>
          <w:color w:val="000000"/>
          <w:sz w:val="22"/>
          <w:szCs w:val="22"/>
        </w:rPr>
        <w:t>[43] It is for this reason that a trial court has a wide discretion when it comes to determining contingencies. An appeal court will therefore be slow to interfere with a contingency award of a trial court and impose its own subjective estimates.</w:t>
      </w:r>
      <w:r>
        <w:rPr>
          <w:rFonts w:ascii="Arial" w:hAnsi="Arial" w:cs="Arial"/>
          <w:color w:val="000000"/>
          <w:sz w:val="22"/>
          <w:szCs w:val="22"/>
        </w:rPr>
        <w:t xml:space="preserve"> …</w:t>
      </w:r>
      <w:r w:rsidRPr="00A9727A">
        <w:rPr>
          <w:rFonts w:ascii="Arial" w:hAnsi="Arial" w:cs="Arial"/>
          <w:color w:val="000000"/>
          <w:sz w:val="22"/>
          <w:szCs w:val="22"/>
        </w:rPr>
        <w:t> </w:t>
      </w:r>
      <w:r w:rsidRPr="00A9727A">
        <w:rPr>
          <w:rStyle w:val="apple-converted-space"/>
          <w:rFonts w:ascii="Arial" w:hAnsi="Arial" w:cs="Arial"/>
          <w:color w:val="000000"/>
          <w:sz w:val="22"/>
          <w:szCs w:val="22"/>
        </w:rPr>
        <w:t> </w:t>
      </w:r>
    </w:p>
    <w:p w14:paraId="2303C8CF" w14:textId="77777777" w:rsidR="00DB2FAA" w:rsidRDefault="00DB2FAA" w:rsidP="00DB2FAA">
      <w:pPr>
        <w:pStyle w:val="ListParagraph"/>
        <w:spacing w:after="0" w:line="360" w:lineRule="auto"/>
        <w:jc w:val="both"/>
        <w:rPr>
          <w:rFonts w:ascii="Arial" w:hAnsi="Arial" w:cs="Arial"/>
          <w:color w:val="000000"/>
        </w:rPr>
      </w:pPr>
    </w:p>
    <w:p w14:paraId="325E3F20" w14:textId="43691EDB" w:rsidR="00DB2FAA" w:rsidRPr="00250F75" w:rsidRDefault="00DB2FAA" w:rsidP="00DB2FAA">
      <w:pPr>
        <w:pStyle w:val="ListParagraph"/>
        <w:spacing w:after="0" w:line="360" w:lineRule="auto"/>
        <w:ind w:left="1440"/>
        <w:jc w:val="both"/>
        <w:rPr>
          <w:rFonts w:ascii="Arial" w:eastAsia="Arial" w:hAnsi="Arial" w:cs="Arial"/>
          <w:b/>
          <w:sz w:val="24"/>
          <w:szCs w:val="24"/>
          <w:lang w:val="en-GB"/>
        </w:rPr>
      </w:pPr>
      <w:r w:rsidRPr="00A9727A">
        <w:rPr>
          <w:rFonts w:ascii="Arial" w:hAnsi="Arial" w:cs="Arial"/>
          <w:color w:val="000000"/>
        </w:rPr>
        <w:t>[44] Some general rules have been established in regard to contingency deductions, one being the age of a claimant. The younger a claimant, the more time he or she has to fall prey to vicissitudes and imponderables of life. These are impossible to enumerate but as regards future loss of earnings they include, inter alia, a downturn in the economy leading to reduction in salary, retrenchment, unemployment, ill health, death, and the myriad of events that may occur in one's everyday life. The longer the remaining working life of a claimant, the more likely the possibility of an unforeseen event impacting on the assumed trajectory of his or her remaining career. Bearing this in mind, courts have, in a pre-morbid scenario, generally awarded higher contingencies, the younger the age of the claimant. This court, in</w:t>
      </w:r>
      <w:r w:rsidRPr="00A9727A">
        <w:rPr>
          <w:rStyle w:val="apple-converted-space"/>
          <w:rFonts w:ascii="Arial" w:hAnsi="Arial" w:cs="Arial"/>
          <w:color w:val="000000"/>
        </w:rPr>
        <w:t> </w:t>
      </w:r>
      <w:r w:rsidRPr="00A9727A">
        <w:rPr>
          <w:rFonts w:ascii="Arial" w:hAnsi="Arial" w:cs="Arial"/>
          <w:iCs/>
          <w:color w:val="000000"/>
        </w:rPr>
        <w:t>Guedes</w:t>
      </w:r>
      <w:r w:rsidRPr="00A9727A">
        <w:rPr>
          <w:rFonts w:ascii="Arial" w:hAnsi="Arial" w:cs="Arial"/>
          <w:color w:val="000000"/>
        </w:rPr>
        <w:t>, relying on Koch's</w:t>
      </w:r>
      <w:r w:rsidRPr="00A9727A">
        <w:rPr>
          <w:rStyle w:val="apple-converted-space"/>
          <w:rFonts w:ascii="Arial" w:hAnsi="Arial" w:cs="Arial"/>
          <w:color w:val="000000"/>
        </w:rPr>
        <w:t> </w:t>
      </w:r>
      <w:r w:rsidRPr="00A9727A">
        <w:rPr>
          <w:rFonts w:ascii="Arial" w:hAnsi="Arial" w:cs="Arial"/>
          <w:iCs/>
          <w:color w:val="000000"/>
        </w:rPr>
        <w:t>Quantum Yearbook</w:t>
      </w:r>
      <w:r w:rsidRPr="00A9727A">
        <w:rPr>
          <w:rStyle w:val="apple-converted-space"/>
          <w:rFonts w:ascii="Arial" w:hAnsi="Arial" w:cs="Arial"/>
          <w:color w:val="000000"/>
        </w:rPr>
        <w:t> </w:t>
      </w:r>
      <w:r w:rsidRPr="00A9727A">
        <w:rPr>
          <w:rFonts w:ascii="Arial" w:hAnsi="Arial" w:cs="Arial"/>
          <w:color w:val="000000"/>
        </w:rPr>
        <w:t>2004, found the appropriate pre-morbid contingency for a young man of 26 years was 20% which would decrease on a sliding scale as the claimant got older.</w:t>
      </w:r>
      <w:bookmarkStart w:id="3" w:name="0-0-0-7701"/>
      <w:bookmarkEnd w:id="3"/>
      <w:r w:rsidRPr="00A9727A">
        <w:rPr>
          <w:rFonts w:ascii="Arial" w:hAnsi="Arial" w:cs="Arial"/>
          <w:color w:val="000000"/>
        </w:rPr>
        <w:t>  This, of course, depends on the specific circumstances of each case but is a convenient starting point.</w:t>
      </w:r>
    </w:p>
    <w:p w14:paraId="19F3BF03" w14:textId="78155D39" w:rsidR="000C73E8" w:rsidRPr="00DB2FAA" w:rsidRDefault="000C73E8" w:rsidP="00DB2FAA">
      <w:pPr>
        <w:spacing w:after="0" w:line="360" w:lineRule="auto"/>
        <w:jc w:val="both"/>
        <w:rPr>
          <w:rFonts w:ascii="Arial" w:eastAsia="Arial" w:hAnsi="Arial" w:cs="Arial"/>
          <w:b/>
          <w:sz w:val="24"/>
          <w:szCs w:val="24"/>
          <w:lang w:val="en-GB"/>
        </w:rPr>
      </w:pPr>
    </w:p>
    <w:p w14:paraId="254E0054" w14:textId="77777777" w:rsidR="000C73E8" w:rsidRPr="000C73E8" w:rsidRDefault="000C73E8" w:rsidP="000C73E8">
      <w:pPr>
        <w:pStyle w:val="ListParagraph"/>
        <w:rPr>
          <w:rFonts w:ascii="Arial" w:hAnsi="Arial" w:cs="Arial"/>
          <w:sz w:val="24"/>
          <w:szCs w:val="24"/>
        </w:rPr>
      </w:pPr>
    </w:p>
    <w:p w14:paraId="56C737CC" w14:textId="77777777" w:rsidR="00594661" w:rsidRPr="007B67C0" w:rsidRDefault="000340F8" w:rsidP="00430CE5">
      <w:pPr>
        <w:pStyle w:val="ListParagraph"/>
        <w:numPr>
          <w:ilvl w:val="0"/>
          <w:numId w:val="10"/>
        </w:numPr>
        <w:spacing w:after="0" w:line="360" w:lineRule="auto"/>
        <w:ind w:left="851"/>
        <w:jc w:val="both"/>
        <w:rPr>
          <w:rFonts w:ascii="Arial" w:eastAsia="Arial" w:hAnsi="Arial" w:cs="Arial"/>
          <w:b/>
          <w:sz w:val="24"/>
          <w:szCs w:val="24"/>
          <w:lang w:val="en-GB"/>
        </w:rPr>
      </w:pPr>
      <w:r w:rsidRPr="000C73E8">
        <w:rPr>
          <w:rFonts w:ascii="Arial" w:hAnsi="Arial" w:cs="Arial"/>
          <w:sz w:val="24"/>
          <w:szCs w:val="24"/>
        </w:rPr>
        <w:t>In</w:t>
      </w:r>
      <w:r w:rsidR="00C763BC">
        <w:rPr>
          <w:rFonts w:ascii="Arial" w:hAnsi="Arial" w:cs="Arial"/>
          <w:sz w:val="24"/>
          <w:szCs w:val="24"/>
        </w:rPr>
        <w:t xml:space="preserve"> quantifying the monetary value of the loss of earning capacity, the court must remember that the case depends on its own facts and circumstances, as well as the evidence placed before the court by the plaintiff.</w:t>
      </w:r>
      <w:r w:rsidR="00C763BC">
        <w:rPr>
          <w:rStyle w:val="FootnoteReference"/>
          <w:rFonts w:ascii="Arial" w:hAnsi="Arial" w:cs="Arial"/>
          <w:sz w:val="24"/>
          <w:szCs w:val="24"/>
        </w:rPr>
        <w:footnoteReference w:id="2"/>
      </w:r>
      <w:r w:rsidR="00C763BC">
        <w:rPr>
          <w:rFonts w:ascii="Arial" w:hAnsi="Arial" w:cs="Arial"/>
          <w:sz w:val="24"/>
          <w:szCs w:val="24"/>
        </w:rPr>
        <w:t xml:space="preserve"> </w:t>
      </w:r>
    </w:p>
    <w:p w14:paraId="0FEFFF5E" w14:textId="788B1903" w:rsidR="007B67C0" w:rsidRDefault="007B67C0" w:rsidP="00201431">
      <w:pPr>
        <w:pStyle w:val="ListParagraph"/>
        <w:spacing w:after="0" w:line="360" w:lineRule="auto"/>
        <w:ind w:left="851"/>
        <w:jc w:val="both"/>
        <w:rPr>
          <w:rFonts w:ascii="Arial" w:hAnsi="Arial" w:cs="Arial"/>
          <w:b/>
          <w:sz w:val="24"/>
          <w:szCs w:val="24"/>
        </w:rPr>
      </w:pPr>
      <w:r w:rsidRPr="007B67C0">
        <w:rPr>
          <w:rFonts w:ascii="Arial" w:hAnsi="Arial" w:cs="Arial"/>
          <w:b/>
          <w:sz w:val="24"/>
          <w:szCs w:val="24"/>
        </w:rPr>
        <w:t>Past loss of earnings</w:t>
      </w:r>
    </w:p>
    <w:p w14:paraId="0B4B81B4" w14:textId="77777777" w:rsidR="007B67C0" w:rsidRPr="007B67C0" w:rsidRDefault="007B67C0" w:rsidP="007B67C0">
      <w:pPr>
        <w:pStyle w:val="ListParagraph"/>
        <w:spacing w:after="0" w:line="360" w:lineRule="auto"/>
        <w:jc w:val="both"/>
        <w:rPr>
          <w:rFonts w:ascii="Arial" w:hAnsi="Arial" w:cs="Arial"/>
          <w:b/>
          <w:sz w:val="24"/>
          <w:szCs w:val="24"/>
        </w:rPr>
      </w:pPr>
    </w:p>
    <w:p w14:paraId="21F52FD3" w14:textId="3346C29A" w:rsidR="00574BAA" w:rsidRDefault="007B67C0" w:rsidP="00430CE5">
      <w:pPr>
        <w:pStyle w:val="ListParagraph"/>
        <w:numPr>
          <w:ilvl w:val="0"/>
          <w:numId w:val="10"/>
        </w:numPr>
        <w:spacing w:after="0" w:line="360" w:lineRule="auto"/>
        <w:ind w:left="851"/>
        <w:jc w:val="both"/>
        <w:rPr>
          <w:rFonts w:ascii="Arial" w:hAnsi="Arial" w:cs="Arial"/>
          <w:sz w:val="24"/>
          <w:szCs w:val="24"/>
        </w:rPr>
      </w:pPr>
      <w:r w:rsidRPr="007B67C0">
        <w:rPr>
          <w:rFonts w:ascii="Arial" w:hAnsi="Arial" w:cs="Arial"/>
          <w:sz w:val="24"/>
          <w:szCs w:val="24"/>
        </w:rPr>
        <w:t>The plaintiff’s gross past uninjured earnings was calcula</w:t>
      </w:r>
      <w:r w:rsidR="00925832">
        <w:rPr>
          <w:rFonts w:ascii="Arial" w:hAnsi="Arial" w:cs="Arial"/>
          <w:sz w:val="24"/>
          <w:szCs w:val="24"/>
        </w:rPr>
        <w:t>ted by Mr Whittaker to be R 370,</w:t>
      </w:r>
      <w:r w:rsidRPr="007B67C0">
        <w:rPr>
          <w:rFonts w:ascii="Arial" w:hAnsi="Arial" w:cs="Arial"/>
          <w:sz w:val="24"/>
          <w:szCs w:val="24"/>
        </w:rPr>
        <w:t xml:space="preserve">814. He applied a contingency deduction of 5%, resulting in the net past uninjured earnings of R 352,273. </w:t>
      </w:r>
    </w:p>
    <w:p w14:paraId="3965680A" w14:textId="77777777" w:rsidR="00574BAA" w:rsidRDefault="00574BAA" w:rsidP="00574BAA">
      <w:pPr>
        <w:pStyle w:val="ListParagraph"/>
        <w:spacing w:after="0" w:line="360" w:lineRule="auto"/>
        <w:ind w:left="851"/>
        <w:jc w:val="both"/>
        <w:rPr>
          <w:rFonts w:ascii="Arial" w:hAnsi="Arial" w:cs="Arial"/>
          <w:sz w:val="24"/>
          <w:szCs w:val="24"/>
        </w:rPr>
      </w:pPr>
    </w:p>
    <w:p w14:paraId="540B4D03" w14:textId="3369136F" w:rsidR="00685D27" w:rsidRDefault="007B67C0" w:rsidP="00430CE5">
      <w:pPr>
        <w:pStyle w:val="ListParagraph"/>
        <w:numPr>
          <w:ilvl w:val="0"/>
          <w:numId w:val="10"/>
        </w:numPr>
        <w:spacing w:after="0" w:line="360" w:lineRule="auto"/>
        <w:ind w:left="851"/>
        <w:jc w:val="both"/>
        <w:rPr>
          <w:rFonts w:ascii="Arial" w:hAnsi="Arial" w:cs="Arial"/>
          <w:sz w:val="24"/>
          <w:szCs w:val="24"/>
        </w:rPr>
      </w:pPr>
      <w:r w:rsidRPr="00574BAA">
        <w:rPr>
          <w:rFonts w:ascii="Arial" w:hAnsi="Arial" w:cs="Arial"/>
          <w:sz w:val="24"/>
          <w:szCs w:val="24"/>
        </w:rPr>
        <w:t>The plaintiff’s injured earnings were calculated at R209 556, minus a contingency deduction of 5%, resulting in a net va</w:t>
      </w:r>
      <w:r w:rsidR="00925832">
        <w:rPr>
          <w:rFonts w:ascii="Arial" w:hAnsi="Arial" w:cs="Arial"/>
          <w:sz w:val="24"/>
          <w:szCs w:val="24"/>
        </w:rPr>
        <w:t>lue of income injured of R 199,</w:t>
      </w:r>
      <w:r w:rsidRPr="00574BAA">
        <w:rPr>
          <w:rFonts w:ascii="Arial" w:hAnsi="Arial" w:cs="Arial"/>
          <w:sz w:val="24"/>
          <w:szCs w:val="24"/>
        </w:rPr>
        <w:t xml:space="preserve">078. This </w:t>
      </w:r>
      <w:r w:rsidR="00925832">
        <w:rPr>
          <w:rFonts w:ascii="Arial" w:hAnsi="Arial" w:cs="Arial"/>
          <w:sz w:val="24"/>
          <w:szCs w:val="24"/>
        </w:rPr>
        <w:t>makes</w:t>
      </w:r>
      <w:r w:rsidRPr="00574BAA">
        <w:rPr>
          <w:rFonts w:ascii="Arial" w:hAnsi="Arial" w:cs="Arial"/>
          <w:sz w:val="24"/>
          <w:szCs w:val="24"/>
        </w:rPr>
        <w:t xml:space="preserve"> a total net pas</w:t>
      </w:r>
      <w:r w:rsidR="005C0A10">
        <w:rPr>
          <w:rFonts w:ascii="Arial" w:hAnsi="Arial" w:cs="Arial"/>
          <w:sz w:val="24"/>
          <w:szCs w:val="24"/>
        </w:rPr>
        <w:t>t</w:t>
      </w:r>
      <w:r w:rsidRPr="00574BAA">
        <w:rPr>
          <w:rFonts w:ascii="Arial" w:hAnsi="Arial" w:cs="Arial"/>
          <w:sz w:val="24"/>
          <w:szCs w:val="24"/>
        </w:rPr>
        <w:t xml:space="preserve"> loss of R 153 195. A contingency deduction of 5 % in respect of both injured and uninjured income is acceptable under the circumstances.  </w:t>
      </w:r>
    </w:p>
    <w:p w14:paraId="31F9B6A2" w14:textId="77777777" w:rsidR="00685D27" w:rsidRDefault="00685D27" w:rsidP="00685D27">
      <w:pPr>
        <w:pStyle w:val="ListParagraph"/>
        <w:rPr>
          <w:rFonts w:ascii="Arial" w:eastAsia="Arial" w:hAnsi="Arial" w:cs="Arial"/>
          <w:sz w:val="24"/>
          <w:szCs w:val="24"/>
          <w:lang w:val="en-GB"/>
        </w:rPr>
      </w:pPr>
    </w:p>
    <w:p w14:paraId="02F08795" w14:textId="77777777" w:rsidR="00925832" w:rsidRDefault="00925832" w:rsidP="00685D27">
      <w:pPr>
        <w:pStyle w:val="ListParagraph"/>
        <w:ind w:left="851"/>
        <w:rPr>
          <w:rFonts w:ascii="Arial" w:eastAsia="Arial" w:hAnsi="Arial" w:cs="Arial"/>
          <w:b/>
          <w:sz w:val="24"/>
          <w:szCs w:val="24"/>
          <w:lang w:val="en-GB"/>
        </w:rPr>
      </w:pPr>
    </w:p>
    <w:p w14:paraId="6F7FE49F" w14:textId="5E2F7277" w:rsidR="00685D27" w:rsidRPr="00685D27" w:rsidRDefault="00685D27" w:rsidP="00685D27">
      <w:pPr>
        <w:pStyle w:val="ListParagraph"/>
        <w:ind w:left="851"/>
        <w:rPr>
          <w:rFonts w:ascii="Arial" w:eastAsia="Arial" w:hAnsi="Arial" w:cs="Arial"/>
          <w:b/>
          <w:sz w:val="24"/>
          <w:szCs w:val="24"/>
          <w:lang w:val="en-GB"/>
        </w:rPr>
      </w:pPr>
      <w:r w:rsidRPr="00685D27">
        <w:rPr>
          <w:rFonts w:ascii="Arial" w:eastAsia="Arial" w:hAnsi="Arial" w:cs="Arial"/>
          <w:b/>
          <w:sz w:val="24"/>
          <w:szCs w:val="24"/>
          <w:lang w:val="en-GB"/>
        </w:rPr>
        <w:t>Future loss of earnings</w:t>
      </w:r>
    </w:p>
    <w:p w14:paraId="00692EA7" w14:textId="77777777" w:rsidR="00685D27" w:rsidRPr="00685D27" w:rsidRDefault="00685D27" w:rsidP="00685D27">
      <w:pPr>
        <w:pStyle w:val="ListParagraph"/>
        <w:rPr>
          <w:rFonts w:ascii="Arial" w:eastAsia="Arial" w:hAnsi="Arial" w:cs="Arial"/>
          <w:sz w:val="24"/>
          <w:szCs w:val="24"/>
          <w:lang w:val="en-GB"/>
        </w:rPr>
      </w:pPr>
    </w:p>
    <w:p w14:paraId="4289CFD2" w14:textId="43DD967F" w:rsidR="004352F1" w:rsidRPr="00685D27" w:rsidRDefault="00E1352B" w:rsidP="00430CE5">
      <w:pPr>
        <w:pStyle w:val="ListParagraph"/>
        <w:numPr>
          <w:ilvl w:val="0"/>
          <w:numId w:val="10"/>
        </w:numPr>
        <w:spacing w:after="0" w:line="360" w:lineRule="auto"/>
        <w:ind w:left="851"/>
        <w:jc w:val="both"/>
        <w:rPr>
          <w:rFonts w:ascii="Arial" w:hAnsi="Arial" w:cs="Arial"/>
          <w:sz w:val="24"/>
          <w:szCs w:val="24"/>
        </w:rPr>
      </w:pPr>
      <w:r w:rsidRPr="00685D27">
        <w:rPr>
          <w:rFonts w:ascii="Arial" w:eastAsia="Arial" w:hAnsi="Arial" w:cs="Arial"/>
          <w:sz w:val="24"/>
          <w:szCs w:val="24"/>
          <w:lang w:val="en-GB"/>
        </w:rPr>
        <w:t xml:space="preserve">Plaintiff’s counsel </w:t>
      </w:r>
      <w:r w:rsidR="003B6C64" w:rsidRPr="00685D27">
        <w:rPr>
          <w:rFonts w:ascii="Arial" w:eastAsia="Arial" w:hAnsi="Arial" w:cs="Arial"/>
          <w:sz w:val="24"/>
          <w:szCs w:val="24"/>
          <w:lang w:val="en-GB"/>
        </w:rPr>
        <w:t>presented t</w:t>
      </w:r>
      <w:r w:rsidR="00E6784E" w:rsidRPr="00685D27">
        <w:rPr>
          <w:rFonts w:ascii="Arial" w:eastAsia="Arial" w:hAnsi="Arial" w:cs="Arial"/>
          <w:sz w:val="24"/>
          <w:szCs w:val="24"/>
          <w:lang w:val="en-GB"/>
        </w:rPr>
        <w:t>hree</w:t>
      </w:r>
      <w:r w:rsidR="003B6C64" w:rsidRPr="00685D27">
        <w:rPr>
          <w:rFonts w:ascii="Arial" w:eastAsia="Arial" w:hAnsi="Arial" w:cs="Arial"/>
          <w:sz w:val="24"/>
          <w:szCs w:val="24"/>
          <w:lang w:val="en-GB"/>
        </w:rPr>
        <w:t xml:space="preserve"> scenarios</w:t>
      </w:r>
      <w:r w:rsidR="00AD392D">
        <w:rPr>
          <w:rFonts w:ascii="Arial" w:eastAsia="Arial" w:hAnsi="Arial" w:cs="Arial"/>
          <w:sz w:val="24"/>
          <w:szCs w:val="24"/>
          <w:lang w:val="en-GB"/>
        </w:rPr>
        <w:t xml:space="preserve"> (which incorporates past loss of earnings)</w:t>
      </w:r>
      <w:r w:rsidR="00594661" w:rsidRPr="00685D27">
        <w:rPr>
          <w:rFonts w:ascii="Arial" w:eastAsia="Arial" w:hAnsi="Arial" w:cs="Arial"/>
          <w:sz w:val="24"/>
          <w:szCs w:val="24"/>
          <w:lang w:val="en-GB"/>
        </w:rPr>
        <w:t xml:space="preserve">, set out in the updated actuarial report of </w:t>
      </w:r>
      <w:r w:rsidR="004352F1" w:rsidRPr="00685D27">
        <w:rPr>
          <w:rFonts w:ascii="Arial" w:eastAsia="Arial" w:hAnsi="Arial" w:cs="Arial"/>
          <w:sz w:val="24"/>
          <w:szCs w:val="24"/>
          <w:lang w:val="en-GB"/>
        </w:rPr>
        <w:t>2 May 2022</w:t>
      </w:r>
      <w:r w:rsidR="00594661" w:rsidRPr="00685D27">
        <w:rPr>
          <w:rFonts w:ascii="Arial" w:eastAsia="Arial" w:hAnsi="Arial" w:cs="Arial"/>
          <w:sz w:val="24"/>
          <w:szCs w:val="24"/>
          <w:lang w:val="en-GB"/>
        </w:rPr>
        <w:t>:</w:t>
      </w:r>
    </w:p>
    <w:p w14:paraId="1ADB7CB7" w14:textId="77777777" w:rsidR="00594661" w:rsidRDefault="00594661" w:rsidP="00594661">
      <w:pPr>
        <w:pStyle w:val="ListParagraph"/>
        <w:spacing w:after="0" w:line="360" w:lineRule="auto"/>
        <w:jc w:val="both"/>
        <w:rPr>
          <w:rFonts w:ascii="Arial" w:eastAsia="Arial" w:hAnsi="Arial" w:cs="Arial"/>
          <w:sz w:val="24"/>
          <w:szCs w:val="24"/>
          <w:lang w:val="en-GB"/>
        </w:rPr>
      </w:pPr>
    </w:p>
    <w:p w14:paraId="2214B198" w14:textId="36D64413" w:rsidR="00594661" w:rsidRDefault="00DB2FAA" w:rsidP="00685D27">
      <w:pPr>
        <w:pStyle w:val="ListParagraph"/>
        <w:numPr>
          <w:ilvl w:val="7"/>
          <w:numId w:val="10"/>
        </w:numPr>
        <w:spacing w:after="0" w:line="360" w:lineRule="auto"/>
        <w:ind w:left="1985" w:hanging="1134"/>
        <w:jc w:val="both"/>
        <w:rPr>
          <w:rFonts w:ascii="Arial" w:eastAsia="Arial" w:hAnsi="Arial" w:cs="Arial"/>
          <w:b/>
          <w:sz w:val="24"/>
          <w:szCs w:val="24"/>
          <w:lang w:val="en-GB"/>
        </w:rPr>
      </w:pPr>
      <w:r w:rsidRPr="00594661">
        <w:rPr>
          <w:rFonts w:ascii="Arial" w:eastAsia="Arial" w:hAnsi="Arial" w:cs="Arial"/>
          <w:sz w:val="24"/>
          <w:szCs w:val="24"/>
          <w:lang w:val="en-GB"/>
        </w:rPr>
        <w:t>Scenario 1</w:t>
      </w:r>
      <w:r w:rsidR="00B46292" w:rsidRPr="00594661">
        <w:rPr>
          <w:rFonts w:ascii="Arial" w:eastAsia="Arial" w:hAnsi="Arial" w:cs="Arial"/>
          <w:sz w:val="24"/>
          <w:szCs w:val="24"/>
          <w:lang w:val="en-GB"/>
        </w:rPr>
        <w:t xml:space="preserve">: Using </w:t>
      </w:r>
      <w:r w:rsidR="00EE7B30">
        <w:rPr>
          <w:rFonts w:ascii="Arial" w:eastAsia="Arial" w:hAnsi="Arial" w:cs="Arial"/>
          <w:sz w:val="24"/>
          <w:szCs w:val="24"/>
          <w:lang w:val="en-GB"/>
        </w:rPr>
        <w:t xml:space="preserve">the plaintiff’s </w:t>
      </w:r>
      <w:r w:rsidR="00B46292" w:rsidRPr="00594661">
        <w:rPr>
          <w:rFonts w:ascii="Arial" w:eastAsia="Arial" w:hAnsi="Arial" w:cs="Arial"/>
          <w:sz w:val="24"/>
          <w:szCs w:val="24"/>
          <w:lang w:val="en-GB"/>
        </w:rPr>
        <w:t>current salary with inflation in the injured state and applying a 16% contingency in respect of the Plaintiff’s future uninjured income</w:t>
      </w:r>
      <w:r w:rsidR="008B417A" w:rsidRPr="00594661">
        <w:rPr>
          <w:rFonts w:ascii="Arial" w:eastAsia="Arial" w:hAnsi="Arial" w:cs="Arial"/>
          <w:sz w:val="24"/>
          <w:szCs w:val="24"/>
          <w:lang w:val="en-GB"/>
        </w:rPr>
        <w:t>,</w:t>
      </w:r>
      <w:r w:rsidR="00B46292" w:rsidRPr="00594661">
        <w:rPr>
          <w:rFonts w:ascii="Arial" w:eastAsia="Arial" w:hAnsi="Arial" w:cs="Arial"/>
          <w:sz w:val="24"/>
          <w:szCs w:val="24"/>
          <w:lang w:val="en-GB"/>
        </w:rPr>
        <w:t xml:space="preserve"> and a 36% contingency in respect of the Plaintiff’s future i</w:t>
      </w:r>
      <w:r w:rsidR="008B417A" w:rsidRPr="00594661">
        <w:rPr>
          <w:rFonts w:ascii="Arial" w:eastAsia="Arial" w:hAnsi="Arial" w:cs="Arial"/>
          <w:sz w:val="24"/>
          <w:szCs w:val="24"/>
          <w:lang w:val="en-GB"/>
        </w:rPr>
        <w:t>njured income, results in a net</w:t>
      </w:r>
      <w:r w:rsidR="00B46292" w:rsidRPr="00594661">
        <w:rPr>
          <w:rFonts w:ascii="Arial" w:eastAsia="Arial" w:hAnsi="Arial" w:cs="Arial"/>
          <w:sz w:val="24"/>
          <w:szCs w:val="24"/>
          <w:lang w:val="en-GB"/>
        </w:rPr>
        <w:t xml:space="preserve"> loss of R</w:t>
      </w:r>
      <w:r w:rsidR="008B417A" w:rsidRPr="00594661">
        <w:rPr>
          <w:rFonts w:ascii="Arial" w:eastAsia="Arial" w:hAnsi="Arial" w:cs="Arial"/>
          <w:sz w:val="24"/>
          <w:szCs w:val="24"/>
          <w:lang w:val="en-GB"/>
        </w:rPr>
        <w:t xml:space="preserve"> 4 397 </w:t>
      </w:r>
      <w:r w:rsidR="00B46292" w:rsidRPr="00594661">
        <w:rPr>
          <w:rFonts w:ascii="Arial" w:eastAsia="Arial" w:hAnsi="Arial" w:cs="Arial"/>
          <w:sz w:val="24"/>
          <w:szCs w:val="24"/>
          <w:lang w:val="en-GB"/>
        </w:rPr>
        <w:t>222.00.</w:t>
      </w:r>
      <w:r w:rsidR="005D25BC" w:rsidRPr="00594661">
        <w:rPr>
          <w:rFonts w:ascii="Arial" w:eastAsiaTheme="minorHAnsi" w:hAnsi="Arial" w:cstheme="minorBidi"/>
          <w:b/>
          <w:sz w:val="24"/>
          <w:szCs w:val="24"/>
          <w:lang w:val="en-GB"/>
        </w:rPr>
        <w:t xml:space="preserve"> </w:t>
      </w:r>
      <w:r w:rsidR="00925832">
        <w:rPr>
          <w:rFonts w:ascii="Arial" w:eastAsiaTheme="minorHAnsi" w:hAnsi="Arial" w:cstheme="minorBidi"/>
          <w:sz w:val="24"/>
          <w:szCs w:val="24"/>
          <w:lang w:val="en-GB"/>
        </w:rPr>
        <w:t xml:space="preserve">The plaintiff’s </w:t>
      </w:r>
      <w:r w:rsidR="00925832">
        <w:rPr>
          <w:rFonts w:ascii="Arial" w:eastAsia="Arial" w:hAnsi="Arial" w:cs="Arial"/>
          <w:sz w:val="24"/>
          <w:szCs w:val="24"/>
          <w:lang w:val="en-GB"/>
        </w:rPr>
        <w:t>u</w:t>
      </w:r>
      <w:r w:rsidR="005D25BC" w:rsidRPr="00594661">
        <w:rPr>
          <w:rFonts w:ascii="Arial" w:eastAsia="Arial" w:hAnsi="Arial" w:cs="Arial"/>
          <w:sz w:val="24"/>
          <w:szCs w:val="24"/>
          <w:lang w:val="en-GB"/>
        </w:rPr>
        <w:t xml:space="preserve">ninjured ceiling </w:t>
      </w:r>
      <w:r w:rsidR="00925832">
        <w:rPr>
          <w:rFonts w:ascii="Arial" w:eastAsia="Arial" w:hAnsi="Arial" w:cs="Arial"/>
          <w:sz w:val="24"/>
          <w:szCs w:val="24"/>
          <w:lang w:val="en-GB"/>
        </w:rPr>
        <w:t xml:space="preserve">is taken as </w:t>
      </w:r>
      <w:r w:rsidR="005D25BC" w:rsidRPr="00594661">
        <w:rPr>
          <w:rFonts w:ascii="Arial" w:eastAsia="Arial" w:hAnsi="Arial" w:cs="Arial"/>
          <w:sz w:val="24"/>
          <w:szCs w:val="24"/>
          <w:lang w:val="en-GB"/>
        </w:rPr>
        <w:t>the median-guaranteed package of the Paterson C1 level.</w:t>
      </w:r>
      <w:r w:rsidR="005D25BC" w:rsidRPr="00594661">
        <w:rPr>
          <w:rFonts w:ascii="Arial" w:eastAsia="Arial" w:hAnsi="Arial" w:cs="Arial"/>
          <w:b/>
          <w:sz w:val="24"/>
          <w:szCs w:val="24"/>
          <w:lang w:val="en-GB"/>
        </w:rPr>
        <w:t xml:space="preserve"> </w:t>
      </w:r>
    </w:p>
    <w:p w14:paraId="4CB0E443" w14:textId="1E5DA42F" w:rsidR="00594661" w:rsidRPr="00925832" w:rsidRDefault="00DB2FAA" w:rsidP="00925832">
      <w:pPr>
        <w:pStyle w:val="ListParagraph"/>
        <w:numPr>
          <w:ilvl w:val="7"/>
          <w:numId w:val="10"/>
        </w:numPr>
        <w:spacing w:after="0" w:line="360" w:lineRule="auto"/>
        <w:ind w:left="1985" w:hanging="1134"/>
        <w:jc w:val="both"/>
        <w:rPr>
          <w:rFonts w:ascii="Arial" w:eastAsia="Arial" w:hAnsi="Arial" w:cs="Arial"/>
          <w:b/>
          <w:sz w:val="24"/>
          <w:szCs w:val="24"/>
          <w:lang w:val="en-GB"/>
        </w:rPr>
      </w:pPr>
      <w:r w:rsidRPr="00594661">
        <w:rPr>
          <w:rFonts w:ascii="Arial" w:eastAsia="Arial" w:hAnsi="Arial" w:cs="Arial"/>
          <w:sz w:val="24"/>
          <w:szCs w:val="24"/>
          <w:lang w:val="en-GB"/>
        </w:rPr>
        <w:t>Scenario 2</w:t>
      </w:r>
      <w:r w:rsidR="00AD392D">
        <w:rPr>
          <w:rFonts w:ascii="Arial" w:eastAsia="Arial" w:hAnsi="Arial" w:cs="Arial"/>
          <w:sz w:val="24"/>
          <w:szCs w:val="24"/>
          <w:lang w:val="en-GB"/>
        </w:rPr>
        <w:t>:</w:t>
      </w:r>
      <w:r w:rsidR="005D25BC" w:rsidRPr="005D25BC">
        <w:t xml:space="preserve"> </w:t>
      </w:r>
      <w:r w:rsidR="00925832">
        <w:rPr>
          <w:rFonts w:ascii="Arial" w:eastAsia="Arial" w:hAnsi="Arial" w:cs="Arial"/>
          <w:sz w:val="24"/>
          <w:szCs w:val="24"/>
          <w:lang w:val="en-GB"/>
        </w:rPr>
        <w:t>Again, the plaintiff’s u</w:t>
      </w:r>
      <w:r w:rsidR="005D25BC" w:rsidRPr="00925832">
        <w:rPr>
          <w:rFonts w:ascii="Arial" w:eastAsia="Arial" w:hAnsi="Arial" w:cs="Arial"/>
          <w:sz w:val="24"/>
          <w:szCs w:val="24"/>
          <w:lang w:val="en-GB"/>
        </w:rPr>
        <w:t xml:space="preserve">ninjured ceiling </w:t>
      </w:r>
      <w:r w:rsidR="00925832">
        <w:rPr>
          <w:rFonts w:ascii="Arial" w:eastAsia="Arial" w:hAnsi="Arial" w:cs="Arial"/>
          <w:sz w:val="24"/>
          <w:szCs w:val="24"/>
          <w:lang w:val="en-GB"/>
        </w:rPr>
        <w:t>is taken as the median-</w:t>
      </w:r>
      <w:r w:rsidR="005D25BC" w:rsidRPr="00925832">
        <w:rPr>
          <w:rFonts w:ascii="Arial" w:eastAsia="Arial" w:hAnsi="Arial" w:cs="Arial"/>
          <w:sz w:val="24"/>
          <w:szCs w:val="24"/>
          <w:lang w:val="en-GB"/>
        </w:rPr>
        <w:t xml:space="preserve">guaranteed package of the Paterson C1 level. </w:t>
      </w:r>
      <w:r w:rsidR="00925832">
        <w:rPr>
          <w:rFonts w:ascii="Arial" w:eastAsia="Arial" w:hAnsi="Arial" w:cs="Arial"/>
          <w:sz w:val="24"/>
          <w:szCs w:val="24"/>
          <w:lang w:val="en-GB"/>
        </w:rPr>
        <w:t>But instead of using the current salary, f</w:t>
      </w:r>
      <w:r w:rsidR="005D25BC" w:rsidRPr="00925832">
        <w:rPr>
          <w:rFonts w:ascii="Arial" w:eastAsia="Arial" w:hAnsi="Arial" w:cs="Arial"/>
          <w:sz w:val="24"/>
          <w:szCs w:val="24"/>
          <w:lang w:val="en-GB"/>
        </w:rPr>
        <w:t xml:space="preserve">uture injured earnings </w:t>
      </w:r>
      <w:r w:rsidR="00925832">
        <w:rPr>
          <w:rFonts w:ascii="Arial" w:eastAsia="Arial" w:hAnsi="Arial" w:cs="Arial"/>
          <w:sz w:val="24"/>
          <w:szCs w:val="24"/>
          <w:lang w:val="en-GB"/>
        </w:rPr>
        <w:t xml:space="preserve">are determined </w:t>
      </w:r>
      <w:r w:rsidR="005D25BC" w:rsidRPr="00925832">
        <w:rPr>
          <w:rFonts w:ascii="Arial" w:eastAsia="Arial" w:hAnsi="Arial" w:cs="Arial"/>
          <w:sz w:val="24"/>
          <w:szCs w:val="24"/>
          <w:lang w:val="en-GB"/>
        </w:rPr>
        <w:t>at 5/8ths of Paterson B2 level i.e. R 163,750 per annum (March 2022 money terms) increasing in line with inflation until retirement.</w:t>
      </w:r>
      <w:r w:rsidR="00566EDE" w:rsidRPr="00925832">
        <w:rPr>
          <w:rFonts w:ascii="Arial" w:eastAsia="Arial" w:hAnsi="Arial" w:cs="Arial"/>
          <w:sz w:val="24"/>
          <w:szCs w:val="24"/>
          <w:lang w:val="en-GB"/>
        </w:rPr>
        <w:t xml:space="preserve"> </w:t>
      </w:r>
      <w:r w:rsidR="00925832">
        <w:rPr>
          <w:rFonts w:ascii="Arial" w:eastAsia="Arial" w:hAnsi="Arial" w:cs="Arial"/>
          <w:sz w:val="24"/>
          <w:szCs w:val="24"/>
          <w:lang w:val="en-GB"/>
        </w:rPr>
        <w:t xml:space="preserve">This results in </w:t>
      </w:r>
      <w:r w:rsidR="00566EDE" w:rsidRPr="00925832">
        <w:rPr>
          <w:rFonts w:ascii="Arial" w:eastAsia="Arial" w:hAnsi="Arial" w:cs="Arial"/>
          <w:sz w:val="24"/>
          <w:szCs w:val="24"/>
          <w:lang w:val="en-GB"/>
        </w:rPr>
        <w:t>a net loss of R 4,445,580.</w:t>
      </w:r>
    </w:p>
    <w:p w14:paraId="359CFA38" w14:textId="4E071999" w:rsidR="004352F1" w:rsidRPr="00594661" w:rsidRDefault="00DB2FAA" w:rsidP="00685D27">
      <w:pPr>
        <w:pStyle w:val="ListParagraph"/>
        <w:numPr>
          <w:ilvl w:val="7"/>
          <w:numId w:val="10"/>
        </w:numPr>
        <w:spacing w:after="0" w:line="360" w:lineRule="auto"/>
        <w:ind w:left="1985" w:hanging="1134"/>
        <w:jc w:val="both"/>
        <w:rPr>
          <w:rFonts w:ascii="Arial" w:eastAsia="Arial" w:hAnsi="Arial" w:cs="Arial"/>
          <w:b/>
          <w:sz w:val="24"/>
          <w:szCs w:val="24"/>
          <w:lang w:val="en-GB"/>
        </w:rPr>
      </w:pPr>
      <w:r w:rsidRPr="00594661">
        <w:rPr>
          <w:rFonts w:ascii="Arial" w:eastAsia="Arial" w:hAnsi="Arial" w:cs="Arial"/>
          <w:sz w:val="24"/>
          <w:szCs w:val="24"/>
          <w:lang w:val="en-GB"/>
        </w:rPr>
        <w:t>Scenario 3</w:t>
      </w:r>
      <w:r w:rsidR="004352F1" w:rsidRPr="00594661">
        <w:rPr>
          <w:rFonts w:ascii="Arial" w:eastAsia="Arial" w:hAnsi="Arial" w:cs="Arial"/>
          <w:sz w:val="24"/>
          <w:szCs w:val="24"/>
          <w:lang w:val="en-GB"/>
        </w:rPr>
        <w:t xml:space="preserve">: </w:t>
      </w:r>
      <w:r w:rsidR="00925832">
        <w:rPr>
          <w:rFonts w:ascii="Arial" w:eastAsia="Arial" w:hAnsi="Arial" w:cs="Arial"/>
          <w:sz w:val="24"/>
          <w:szCs w:val="24"/>
          <w:lang w:val="en-GB"/>
        </w:rPr>
        <w:t>The u</w:t>
      </w:r>
      <w:r w:rsidR="004352F1" w:rsidRPr="00594661">
        <w:rPr>
          <w:rFonts w:ascii="Arial" w:eastAsia="Arial" w:hAnsi="Arial" w:cs="Arial"/>
          <w:sz w:val="24"/>
          <w:szCs w:val="24"/>
          <w:lang w:val="en-GB"/>
        </w:rPr>
        <w:t xml:space="preserve">ninjured ceiling </w:t>
      </w:r>
      <w:r w:rsidR="00925832">
        <w:rPr>
          <w:rFonts w:ascii="Arial" w:eastAsia="Arial" w:hAnsi="Arial" w:cs="Arial"/>
          <w:sz w:val="24"/>
          <w:szCs w:val="24"/>
          <w:lang w:val="en-GB"/>
        </w:rPr>
        <w:t xml:space="preserve">is the </w:t>
      </w:r>
      <w:r w:rsidR="004352F1" w:rsidRPr="00594661">
        <w:rPr>
          <w:rFonts w:ascii="Arial" w:eastAsia="Arial" w:hAnsi="Arial" w:cs="Arial"/>
          <w:sz w:val="24"/>
          <w:szCs w:val="24"/>
          <w:lang w:val="en-GB"/>
        </w:rPr>
        <w:t xml:space="preserve">average of the (Paterson B5 &amp; C1 levels) and (Paterson C1 level) at age 42½. Future injured earnings </w:t>
      </w:r>
      <w:r w:rsidR="00925832">
        <w:rPr>
          <w:rFonts w:ascii="Arial" w:eastAsia="Arial" w:hAnsi="Arial" w:cs="Arial"/>
          <w:sz w:val="24"/>
          <w:szCs w:val="24"/>
          <w:lang w:val="en-GB"/>
        </w:rPr>
        <w:t xml:space="preserve">of </w:t>
      </w:r>
      <w:r w:rsidR="004352F1" w:rsidRPr="00594661">
        <w:rPr>
          <w:rFonts w:ascii="Arial" w:eastAsia="Arial" w:hAnsi="Arial" w:cs="Arial"/>
          <w:sz w:val="24"/>
          <w:szCs w:val="24"/>
          <w:lang w:val="en-GB"/>
        </w:rPr>
        <w:t>R 18,565.95 per month (September 2019 money terms) increasing in line with inflation until retirement</w:t>
      </w:r>
      <w:r w:rsidR="00925832">
        <w:rPr>
          <w:rFonts w:ascii="Arial" w:eastAsia="Arial" w:hAnsi="Arial" w:cs="Arial"/>
          <w:sz w:val="24"/>
          <w:szCs w:val="24"/>
          <w:lang w:val="en-GB"/>
        </w:rPr>
        <w:t>, r</w:t>
      </w:r>
      <w:r w:rsidR="00AD392D">
        <w:rPr>
          <w:rFonts w:ascii="Arial" w:eastAsia="Arial" w:hAnsi="Arial" w:cs="Arial"/>
          <w:sz w:val="24"/>
          <w:szCs w:val="24"/>
          <w:lang w:val="en-GB"/>
        </w:rPr>
        <w:t xml:space="preserve">esulting in a net loss of </w:t>
      </w:r>
      <w:r w:rsidR="00AD392D" w:rsidRPr="00AD392D">
        <w:rPr>
          <w:rFonts w:ascii="Arial" w:eastAsia="Arial" w:hAnsi="Arial" w:cs="Arial"/>
          <w:sz w:val="24"/>
          <w:szCs w:val="24"/>
          <w:lang w:val="en-GB"/>
        </w:rPr>
        <w:t>R 3,144,561</w:t>
      </w:r>
      <w:r w:rsidR="00AD392D">
        <w:rPr>
          <w:rFonts w:ascii="Arial" w:eastAsia="Arial" w:hAnsi="Arial" w:cs="Arial"/>
          <w:sz w:val="24"/>
          <w:szCs w:val="24"/>
          <w:lang w:val="en-GB"/>
        </w:rPr>
        <w:t>.</w:t>
      </w:r>
    </w:p>
    <w:p w14:paraId="4831D5C2" w14:textId="5181D395" w:rsidR="00566EDE" w:rsidRPr="004352F1" w:rsidRDefault="00566EDE" w:rsidP="00566EDE">
      <w:pPr>
        <w:pStyle w:val="ListParagraph"/>
        <w:spacing w:after="0" w:line="360" w:lineRule="auto"/>
        <w:ind w:left="2268"/>
        <w:jc w:val="both"/>
        <w:rPr>
          <w:rFonts w:ascii="Arial" w:eastAsia="Arial" w:hAnsi="Arial" w:cs="Arial"/>
          <w:sz w:val="24"/>
          <w:szCs w:val="24"/>
          <w:lang w:val="en-GB"/>
        </w:rPr>
      </w:pPr>
    </w:p>
    <w:p w14:paraId="557F779E" w14:textId="71D4FC9F" w:rsidR="00685D27" w:rsidRPr="00685D27" w:rsidRDefault="00AD392D" w:rsidP="00397A57">
      <w:pPr>
        <w:pStyle w:val="ListParagraph"/>
        <w:numPr>
          <w:ilvl w:val="0"/>
          <w:numId w:val="10"/>
        </w:numPr>
        <w:spacing w:after="0" w:line="360" w:lineRule="auto"/>
        <w:ind w:left="851"/>
        <w:jc w:val="both"/>
        <w:rPr>
          <w:rFonts w:ascii="Arial" w:eastAsia="Arial" w:hAnsi="Arial" w:cs="Arial"/>
          <w:b/>
          <w:sz w:val="24"/>
          <w:szCs w:val="24"/>
          <w:lang w:val="en-GB"/>
        </w:rPr>
      </w:pPr>
      <w:r w:rsidRPr="00C419CB">
        <w:rPr>
          <w:rFonts w:ascii="Arial" w:hAnsi="Arial" w:cs="Arial"/>
          <w:color w:val="000000"/>
          <w:sz w:val="24"/>
          <w:szCs w:val="24"/>
          <w:shd w:val="clear" w:color="auto" w:fill="FFFFFF"/>
        </w:rPr>
        <w:t>The assessment of contingencies is largely arbitrary and depends on the court’s impression of the case. The contingencies allow for general hazards of life such as periods of unemployment, possible loss of earnings due to illness and risk of future retrenchments.</w:t>
      </w:r>
      <w:r>
        <w:rPr>
          <w:color w:val="000000"/>
          <w:shd w:val="clear" w:color="auto" w:fill="FFFFFF"/>
        </w:rPr>
        <w:t xml:space="preserve"> </w:t>
      </w:r>
      <w:r>
        <w:rPr>
          <w:rFonts w:ascii="Arial" w:hAnsi="Arial" w:cs="Arial"/>
          <w:color w:val="000000"/>
          <w:sz w:val="24"/>
          <w:szCs w:val="24"/>
        </w:rPr>
        <w:t>T</w:t>
      </w:r>
      <w:r w:rsidR="00983E62" w:rsidRPr="00685D27">
        <w:rPr>
          <w:rFonts w:ascii="Arial" w:hAnsi="Arial" w:cs="Arial"/>
          <w:color w:val="000000"/>
          <w:sz w:val="24"/>
          <w:szCs w:val="24"/>
        </w:rPr>
        <w:t xml:space="preserve">here are guidelines to assist the court. </w:t>
      </w:r>
      <w:r w:rsidR="00A21BFD" w:rsidRPr="00685D27">
        <w:rPr>
          <w:rFonts w:ascii="Arial" w:hAnsi="Arial" w:cs="Arial"/>
          <w:color w:val="000000"/>
          <w:sz w:val="24"/>
          <w:szCs w:val="24"/>
        </w:rPr>
        <w:t xml:space="preserve">Generally, the </w:t>
      </w:r>
      <w:r w:rsidR="00983E62" w:rsidRPr="00685D27">
        <w:rPr>
          <w:rFonts w:ascii="Arial" w:hAnsi="Arial" w:cs="Arial"/>
          <w:color w:val="000000"/>
          <w:sz w:val="24"/>
          <w:szCs w:val="24"/>
        </w:rPr>
        <w:t xml:space="preserve">younger a claimant, </w:t>
      </w:r>
      <w:r w:rsidR="00A21BFD" w:rsidRPr="00685D27">
        <w:rPr>
          <w:rFonts w:ascii="Arial" w:hAnsi="Arial" w:cs="Arial"/>
          <w:color w:val="000000"/>
          <w:sz w:val="24"/>
          <w:szCs w:val="24"/>
        </w:rPr>
        <w:t xml:space="preserve">and the longer the remaining working life of a claimant, there is more likely the possibility of an unforeseen event impacting on the assumed trajectory of his or her remaining career. As a result courts have, in a pre-morbid scenario, generally awarded higher contingencies, the younger the age of the claimant. </w:t>
      </w:r>
      <w:r w:rsidR="001D7EB9">
        <w:rPr>
          <w:rFonts w:ascii="Arial" w:hAnsi="Arial" w:cs="Arial"/>
          <w:color w:val="000000"/>
          <w:sz w:val="24"/>
          <w:szCs w:val="24"/>
        </w:rPr>
        <w:t>In past cases</w:t>
      </w:r>
      <w:r w:rsidR="00FE317A">
        <w:rPr>
          <w:rFonts w:ascii="Arial" w:hAnsi="Arial" w:cs="Arial"/>
          <w:color w:val="000000"/>
          <w:sz w:val="24"/>
          <w:szCs w:val="24"/>
        </w:rPr>
        <w:t>,</w:t>
      </w:r>
      <w:r w:rsidR="001D7EB9">
        <w:rPr>
          <w:rFonts w:ascii="Arial" w:hAnsi="Arial" w:cs="Arial"/>
          <w:color w:val="000000"/>
          <w:sz w:val="24"/>
          <w:szCs w:val="24"/>
        </w:rPr>
        <w:t xml:space="preserve"> the Sup</w:t>
      </w:r>
      <w:r w:rsidR="00C419CB">
        <w:rPr>
          <w:rFonts w:ascii="Arial" w:hAnsi="Arial" w:cs="Arial"/>
          <w:color w:val="000000"/>
          <w:sz w:val="24"/>
          <w:szCs w:val="24"/>
        </w:rPr>
        <w:t>r</w:t>
      </w:r>
      <w:r w:rsidR="00FE317A">
        <w:rPr>
          <w:rFonts w:ascii="Arial" w:hAnsi="Arial" w:cs="Arial"/>
          <w:color w:val="000000"/>
          <w:sz w:val="24"/>
          <w:szCs w:val="24"/>
        </w:rPr>
        <w:t>eme Court of Appeal</w:t>
      </w:r>
      <w:r w:rsidR="00A21BFD" w:rsidRPr="00685D27">
        <w:rPr>
          <w:rFonts w:ascii="Arial" w:hAnsi="Arial" w:cs="Arial"/>
          <w:color w:val="000000"/>
          <w:sz w:val="24"/>
          <w:szCs w:val="24"/>
        </w:rPr>
        <w:t xml:space="preserve"> </w:t>
      </w:r>
      <w:r w:rsidR="001D7EB9">
        <w:rPr>
          <w:rFonts w:ascii="Arial" w:hAnsi="Arial" w:cs="Arial"/>
          <w:color w:val="000000"/>
          <w:sz w:val="24"/>
          <w:szCs w:val="24"/>
        </w:rPr>
        <w:t xml:space="preserve">has </w:t>
      </w:r>
      <w:r w:rsidR="00A21BFD" w:rsidRPr="00685D27">
        <w:rPr>
          <w:rFonts w:ascii="Arial" w:hAnsi="Arial" w:cs="Arial"/>
          <w:color w:val="000000"/>
          <w:sz w:val="24"/>
          <w:szCs w:val="24"/>
        </w:rPr>
        <w:t xml:space="preserve">found the appropriate </w:t>
      </w:r>
      <w:r w:rsidR="00A21BFD" w:rsidRPr="00AD392D">
        <w:rPr>
          <w:rFonts w:ascii="Arial" w:hAnsi="Arial" w:cs="Arial"/>
          <w:color w:val="000000"/>
          <w:sz w:val="24"/>
          <w:szCs w:val="24"/>
        </w:rPr>
        <w:t>pre-morbid contingency</w:t>
      </w:r>
      <w:r w:rsidR="00A21BFD" w:rsidRPr="00685D27">
        <w:rPr>
          <w:rFonts w:ascii="Arial" w:hAnsi="Arial" w:cs="Arial"/>
          <w:color w:val="000000"/>
          <w:sz w:val="24"/>
          <w:szCs w:val="24"/>
        </w:rPr>
        <w:t xml:space="preserve"> for a young man of 26 years was 20% which would decrease on a sliding scale as the claimant got older. Although dependant on the specific circumstances of each case, it serves as a convenient starting point.</w:t>
      </w:r>
    </w:p>
    <w:p w14:paraId="697F6261" w14:textId="77777777" w:rsidR="00685D27" w:rsidRPr="00685D27" w:rsidRDefault="00685D27" w:rsidP="00685D27">
      <w:pPr>
        <w:pStyle w:val="ListParagraph"/>
        <w:spacing w:after="0" w:line="360" w:lineRule="auto"/>
        <w:ind w:left="851"/>
        <w:jc w:val="both"/>
        <w:rPr>
          <w:rFonts w:ascii="Arial" w:eastAsia="Arial" w:hAnsi="Arial" w:cs="Arial"/>
          <w:b/>
          <w:sz w:val="24"/>
          <w:szCs w:val="24"/>
          <w:lang w:val="en-GB"/>
        </w:rPr>
      </w:pPr>
    </w:p>
    <w:p w14:paraId="7227C13A" w14:textId="2162343E" w:rsidR="00685D27" w:rsidRPr="00685D27" w:rsidRDefault="003C5B28" w:rsidP="00430CE5">
      <w:pPr>
        <w:pStyle w:val="ListParagraph"/>
        <w:numPr>
          <w:ilvl w:val="0"/>
          <w:numId w:val="10"/>
        </w:numPr>
        <w:spacing w:after="0" w:line="360" w:lineRule="auto"/>
        <w:ind w:left="851" w:hanging="22"/>
        <w:jc w:val="both"/>
        <w:rPr>
          <w:rFonts w:ascii="Arial" w:eastAsia="Arial" w:hAnsi="Arial" w:cs="Arial"/>
          <w:b/>
          <w:sz w:val="24"/>
          <w:szCs w:val="24"/>
          <w:lang w:val="en-GB"/>
        </w:rPr>
      </w:pPr>
      <w:r w:rsidRPr="00AD392D">
        <w:rPr>
          <w:rFonts w:ascii="Arial" w:hAnsi="Arial" w:cs="Arial"/>
          <w:color w:val="000000"/>
          <w:sz w:val="24"/>
          <w:szCs w:val="24"/>
          <w:shd w:val="clear" w:color="auto" w:fill="FFFFFF"/>
        </w:rPr>
        <w:t xml:space="preserve">I am satisfied with the suggested 16% contingency deduction in respect of future uninjured income, which is line with </w:t>
      </w:r>
      <w:r w:rsidR="001D4F19" w:rsidRPr="00AD392D">
        <w:rPr>
          <w:rFonts w:ascii="Arial" w:hAnsi="Arial" w:cs="Arial"/>
          <w:color w:val="000000"/>
          <w:sz w:val="24"/>
          <w:szCs w:val="24"/>
          <w:shd w:val="clear" w:color="auto" w:fill="FFFFFF"/>
        </w:rPr>
        <w:t>the widely accepted sliding-scale of Dr Robert Koch, of applying 0,5% per annum for the remainder of the plaintiff’s working life</w:t>
      </w:r>
      <w:r w:rsidRPr="00AD392D">
        <w:rPr>
          <w:rFonts w:ascii="Arial" w:hAnsi="Arial" w:cs="Arial"/>
          <w:color w:val="000000"/>
          <w:sz w:val="24"/>
          <w:szCs w:val="24"/>
          <w:shd w:val="clear" w:color="auto" w:fill="FFFFFF"/>
        </w:rPr>
        <w:t xml:space="preserve">. </w:t>
      </w:r>
      <w:r w:rsidRPr="00685D27">
        <w:rPr>
          <w:rFonts w:ascii="Arial" w:eastAsia="Arial" w:hAnsi="Arial" w:cs="Arial"/>
          <w:sz w:val="24"/>
          <w:szCs w:val="24"/>
          <w:lang w:val="en-GB"/>
        </w:rPr>
        <w:t xml:space="preserve">In </w:t>
      </w:r>
      <w:r w:rsidRPr="00685D27">
        <w:rPr>
          <w:rFonts w:ascii="Arial" w:eastAsia="Arial" w:hAnsi="Arial" w:cs="Arial"/>
          <w:i/>
          <w:sz w:val="24"/>
          <w:szCs w:val="24"/>
          <w:lang w:val="en-GB"/>
        </w:rPr>
        <w:t>casu</w:t>
      </w:r>
      <w:r w:rsidRPr="00685D27">
        <w:rPr>
          <w:rFonts w:ascii="Arial" w:eastAsia="Arial" w:hAnsi="Arial" w:cs="Arial"/>
          <w:sz w:val="24"/>
          <w:szCs w:val="24"/>
          <w:lang w:val="en-GB"/>
        </w:rPr>
        <w:t xml:space="preserve"> the industrial psychologists recommended a </w:t>
      </w:r>
      <w:r w:rsidR="00397A57">
        <w:rPr>
          <w:rFonts w:ascii="Arial" w:eastAsia="Arial" w:hAnsi="Arial" w:cs="Arial"/>
          <w:sz w:val="24"/>
          <w:szCs w:val="24"/>
          <w:lang w:val="en-GB"/>
        </w:rPr>
        <w:t xml:space="preserve">future </w:t>
      </w:r>
      <w:r w:rsidR="00D51710">
        <w:rPr>
          <w:rFonts w:ascii="Arial" w:eastAsia="Arial" w:hAnsi="Arial" w:cs="Arial"/>
          <w:sz w:val="24"/>
          <w:szCs w:val="24"/>
          <w:lang w:val="en-GB"/>
        </w:rPr>
        <w:t xml:space="preserve">income </w:t>
      </w:r>
      <w:r w:rsidR="00397A57">
        <w:rPr>
          <w:rFonts w:ascii="Arial" w:eastAsia="Arial" w:hAnsi="Arial" w:cs="Arial"/>
          <w:sz w:val="24"/>
          <w:szCs w:val="24"/>
          <w:lang w:val="en-GB"/>
        </w:rPr>
        <w:t>injured</w:t>
      </w:r>
      <w:r w:rsidRPr="00685D27">
        <w:rPr>
          <w:rFonts w:ascii="Arial" w:eastAsia="Arial" w:hAnsi="Arial" w:cs="Arial"/>
          <w:sz w:val="24"/>
          <w:szCs w:val="24"/>
          <w:lang w:val="en-GB"/>
        </w:rPr>
        <w:t xml:space="preserve"> contingency deduction that is higher than usual, for the reasons already given above. I am sympathetic to the concerns raised by the experts, but under the circumstances I consider 36% to be too high. The plaintiff now seems to be in </w:t>
      </w:r>
      <w:r w:rsidR="00AD392D">
        <w:rPr>
          <w:rFonts w:ascii="Arial" w:eastAsia="Arial" w:hAnsi="Arial" w:cs="Arial"/>
          <w:sz w:val="24"/>
          <w:szCs w:val="24"/>
          <w:lang w:val="en-GB"/>
        </w:rPr>
        <w:t xml:space="preserve">more </w:t>
      </w:r>
      <w:r w:rsidR="00FE317A">
        <w:rPr>
          <w:rFonts w:ascii="Arial" w:eastAsia="Arial" w:hAnsi="Arial" w:cs="Arial"/>
          <w:sz w:val="24"/>
          <w:szCs w:val="24"/>
          <w:lang w:val="en-GB"/>
        </w:rPr>
        <w:t>stable employment</w:t>
      </w:r>
      <w:r w:rsidRPr="00685D27">
        <w:rPr>
          <w:rFonts w:ascii="Arial" w:eastAsia="Arial" w:hAnsi="Arial" w:cs="Arial"/>
          <w:sz w:val="24"/>
          <w:szCs w:val="24"/>
          <w:lang w:val="en-GB"/>
        </w:rPr>
        <w:t xml:space="preserve"> in an environment that, for the most part, accommodates her other difficulties. However, I still think a high contingency rate is called for.</w:t>
      </w:r>
      <w:r w:rsidR="00AD392D">
        <w:rPr>
          <w:rFonts w:ascii="Arial" w:eastAsia="Arial" w:hAnsi="Arial" w:cs="Arial"/>
          <w:sz w:val="24"/>
          <w:szCs w:val="24"/>
          <w:lang w:val="en-GB"/>
        </w:rPr>
        <w:t xml:space="preserve"> A contingency deduction of 30% </w:t>
      </w:r>
      <w:r w:rsidRPr="00685D27">
        <w:rPr>
          <w:rFonts w:ascii="Arial" w:eastAsia="Arial" w:hAnsi="Arial" w:cs="Arial"/>
          <w:sz w:val="24"/>
          <w:szCs w:val="24"/>
          <w:lang w:val="en-GB"/>
        </w:rPr>
        <w:t>is fair and reasonable under the circumstances.</w:t>
      </w:r>
    </w:p>
    <w:p w14:paraId="2103F266" w14:textId="77777777" w:rsidR="00685D27" w:rsidRPr="00685D27" w:rsidRDefault="00685D27" w:rsidP="00685D27">
      <w:pPr>
        <w:pStyle w:val="ListParagraph"/>
        <w:spacing w:after="0" w:line="360" w:lineRule="auto"/>
        <w:ind w:left="851"/>
        <w:jc w:val="both"/>
        <w:rPr>
          <w:rFonts w:ascii="Arial" w:eastAsia="Arial" w:hAnsi="Arial" w:cs="Arial"/>
          <w:b/>
          <w:sz w:val="24"/>
          <w:szCs w:val="24"/>
          <w:lang w:val="en-GB"/>
        </w:rPr>
      </w:pPr>
    </w:p>
    <w:p w14:paraId="4F1C02B6" w14:textId="4E0FFB5D" w:rsidR="00A21BFD" w:rsidRPr="00685D27" w:rsidRDefault="00A21BFD" w:rsidP="00430CE5">
      <w:pPr>
        <w:pStyle w:val="ListParagraph"/>
        <w:numPr>
          <w:ilvl w:val="0"/>
          <w:numId w:val="10"/>
        </w:numPr>
        <w:spacing w:after="0" w:line="360" w:lineRule="auto"/>
        <w:ind w:left="851" w:hanging="22"/>
        <w:jc w:val="both"/>
        <w:rPr>
          <w:rFonts w:ascii="Arial" w:eastAsia="Arial" w:hAnsi="Arial" w:cs="Arial"/>
          <w:b/>
          <w:sz w:val="24"/>
          <w:szCs w:val="24"/>
          <w:lang w:val="en-GB"/>
        </w:rPr>
      </w:pPr>
      <w:r w:rsidRPr="00685D27">
        <w:rPr>
          <w:rFonts w:ascii="Arial" w:eastAsia="Arial" w:hAnsi="Arial" w:cs="Arial"/>
          <w:sz w:val="24"/>
          <w:szCs w:val="24"/>
          <w:lang w:val="en-GB"/>
        </w:rPr>
        <w:t>I am inclined to reject scenario 3</w:t>
      </w:r>
      <w:r w:rsidR="00AD392D">
        <w:rPr>
          <w:rFonts w:ascii="Arial" w:eastAsia="Arial" w:hAnsi="Arial" w:cs="Arial"/>
          <w:sz w:val="24"/>
          <w:szCs w:val="24"/>
          <w:lang w:val="en-GB"/>
        </w:rPr>
        <w:t xml:space="preserve">; its approach to the </w:t>
      </w:r>
      <w:r w:rsidRPr="00685D27">
        <w:rPr>
          <w:rFonts w:ascii="Arial" w:eastAsia="Arial" w:hAnsi="Arial" w:cs="Arial"/>
          <w:sz w:val="24"/>
          <w:szCs w:val="24"/>
          <w:lang w:val="en-GB"/>
        </w:rPr>
        <w:t>determination of past and future loss</w:t>
      </w:r>
      <w:r w:rsidR="00AD392D">
        <w:rPr>
          <w:rFonts w:ascii="Arial" w:eastAsia="Arial" w:hAnsi="Arial" w:cs="Arial"/>
          <w:sz w:val="24"/>
          <w:szCs w:val="24"/>
          <w:lang w:val="en-GB"/>
        </w:rPr>
        <w:t xml:space="preserve"> do</w:t>
      </w:r>
      <w:r w:rsidR="00397A57">
        <w:rPr>
          <w:rFonts w:ascii="Arial" w:eastAsia="Arial" w:hAnsi="Arial" w:cs="Arial"/>
          <w:sz w:val="24"/>
          <w:szCs w:val="24"/>
          <w:lang w:val="en-GB"/>
        </w:rPr>
        <w:t>es</w:t>
      </w:r>
      <w:r w:rsidR="00AD392D">
        <w:rPr>
          <w:rFonts w:ascii="Arial" w:eastAsia="Arial" w:hAnsi="Arial" w:cs="Arial"/>
          <w:sz w:val="24"/>
          <w:szCs w:val="24"/>
          <w:lang w:val="en-GB"/>
        </w:rPr>
        <w:t xml:space="preserve"> not accord with the facts</w:t>
      </w:r>
      <w:r w:rsidRPr="00685D27">
        <w:rPr>
          <w:rFonts w:ascii="Arial" w:eastAsia="Arial" w:hAnsi="Arial" w:cs="Arial"/>
          <w:sz w:val="24"/>
          <w:szCs w:val="24"/>
          <w:lang w:val="en-GB"/>
        </w:rPr>
        <w:t xml:space="preserve">. I consider scenario </w:t>
      </w:r>
      <w:r w:rsidR="007B67C0" w:rsidRPr="00685D27">
        <w:rPr>
          <w:rFonts w:ascii="Arial" w:eastAsia="Arial" w:hAnsi="Arial" w:cs="Arial"/>
          <w:sz w:val="24"/>
          <w:szCs w:val="24"/>
          <w:lang w:val="en-GB"/>
        </w:rPr>
        <w:t>1</w:t>
      </w:r>
      <w:r w:rsidRPr="00685D27">
        <w:rPr>
          <w:rFonts w:ascii="Arial" w:eastAsia="Arial" w:hAnsi="Arial" w:cs="Arial"/>
          <w:sz w:val="24"/>
          <w:szCs w:val="24"/>
          <w:lang w:val="en-GB"/>
        </w:rPr>
        <w:t xml:space="preserve"> to be </w:t>
      </w:r>
      <w:r w:rsidR="000D2D0A">
        <w:rPr>
          <w:rFonts w:ascii="Arial" w:eastAsia="Arial" w:hAnsi="Arial" w:cs="Arial"/>
          <w:sz w:val="24"/>
          <w:szCs w:val="24"/>
          <w:lang w:val="en-GB"/>
        </w:rPr>
        <w:t xml:space="preserve">the most practical and fairest </w:t>
      </w:r>
      <w:r w:rsidR="00FE317A">
        <w:rPr>
          <w:rFonts w:ascii="Arial" w:eastAsia="Arial" w:hAnsi="Arial" w:cs="Arial"/>
          <w:sz w:val="24"/>
          <w:szCs w:val="24"/>
          <w:lang w:val="en-GB"/>
        </w:rPr>
        <w:t>means of determining the plaintiff’s loss</w:t>
      </w:r>
      <w:r w:rsidR="000D2D0A">
        <w:rPr>
          <w:rFonts w:ascii="Arial" w:eastAsia="Arial" w:hAnsi="Arial" w:cs="Arial"/>
          <w:sz w:val="24"/>
          <w:szCs w:val="24"/>
          <w:lang w:val="en-GB"/>
        </w:rPr>
        <w:t>, under the circumstances. Using the plaintiff’s actual income is sensible.</w:t>
      </w:r>
      <w:r w:rsidRPr="00685D27">
        <w:rPr>
          <w:rFonts w:ascii="Arial" w:eastAsia="Arial" w:hAnsi="Arial" w:cs="Arial"/>
          <w:sz w:val="24"/>
          <w:szCs w:val="24"/>
          <w:lang w:val="en-GB"/>
        </w:rPr>
        <w:t xml:space="preserve"> The detailed calculations, with the reduction of the contingency on future income injured</w:t>
      </w:r>
      <w:r w:rsidR="00FA7899" w:rsidRPr="00685D27">
        <w:rPr>
          <w:rFonts w:ascii="Arial" w:eastAsia="Arial" w:hAnsi="Arial" w:cs="Arial"/>
          <w:sz w:val="24"/>
          <w:szCs w:val="24"/>
          <w:lang w:val="en-GB"/>
        </w:rPr>
        <w:t xml:space="preserve"> from 36% to 30%, </w:t>
      </w:r>
      <w:r w:rsidRPr="00685D27">
        <w:rPr>
          <w:rFonts w:ascii="Arial" w:eastAsia="Arial" w:hAnsi="Arial" w:cs="Arial"/>
          <w:sz w:val="24"/>
          <w:szCs w:val="24"/>
          <w:lang w:val="en-GB"/>
        </w:rPr>
        <w:t>are set out in the table below.</w:t>
      </w:r>
    </w:p>
    <w:p w14:paraId="663F000E" w14:textId="77777777" w:rsidR="002E3F80" w:rsidRDefault="002E3F80" w:rsidP="002E3F80">
      <w:pPr>
        <w:pStyle w:val="ListParagraph"/>
        <w:spacing w:after="0" w:line="360" w:lineRule="auto"/>
        <w:jc w:val="both"/>
        <w:rPr>
          <w:rFonts w:ascii="Arial" w:eastAsia="Arial" w:hAnsi="Arial" w:cs="Arial"/>
          <w:b/>
          <w:sz w:val="24"/>
          <w:szCs w:val="24"/>
          <w:lang w:val="en-GB"/>
        </w:rPr>
      </w:pPr>
    </w:p>
    <w:p w14:paraId="74EDBBE8" w14:textId="4FFF67D3" w:rsidR="00955282" w:rsidRPr="00955282" w:rsidRDefault="00955282" w:rsidP="000D6E2A">
      <w:pPr>
        <w:pBdr>
          <w:top w:val="single" w:sz="4" w:space="1" w:color="auto"/>
          <w:left w:val="single" w:sz="4" w:space="0" w:color="auto"/>
          <w:bottom w:val="single" w:sz="4" w:space="1" w:color="auto"/>
          <w:right w:val="single" w:sz="4" w:space="4" w:color="auto"/>
        </w:pBdr>
        <w:ind w:left="720"/>
        <w:rPr>
          <w:rFonts w:ascii="Arial" w:hAnsi="Arial" w:cs="Arial"/>
          <w:sz w:val="24"/>
          <w:szCs w:val="24"/>
        </w:rPr>
      </w:pPr>
      <w:r w:rsidRPr="00955282">
        <w:rPr>
          <w:rFonts w:ascii="Arial" w:hAnsi="Arial" w:cs="Arial"/>
          <w:sz w:val="24"/>
          <w:szCs w:val="24"/>
        </w:rPr>
        <w:t xml:space="preserve">Uninjured ceiling at the median-guaranteed package of the Paterson C1 level. </w:t>
      </w:r>
    </w:p>
    <w:p w14:paraId="5F4EA47F" w14:textId="77777777" w:rsidR="00955282" w:rsidRPr="00955282" w:rsidRDefault="00955282" w:rsidP="000D6E2A">
      <w:pPr>
        <w:pBdr>
          <w:top w:val="single" w:sz="4" w:space="1" w:color="auto"/>
          <w:left w:val="single" w:sz="4" w:space="0" w:color="auto"/>
          <w:bottom w:val="single" w:sz="4" w:space="1" w:color="auto"/>
          <w:right w:val="single" w:sz="4" w:space="4" w:color="auto"/>
        </w:pBdr>
        <w:ind w:left="720"/>
        <w:rPr>
          <w:rFonts w:ascii="Arial" w:hAnsi="Arial" w:cs="Arial"/>
          <w:sz w:val="24"/>
          <w:szCs w:val="24"/>
        </w:rPr>
      </w:pPr>
      <w:r w:rsidRPr="00955282">
        <w:rPr>
          <w:rFonts w:ascii="Arial" w:hAnsi="Arial" w:cs="Arial"/>
          <w:sz w:val="24"/>
          <w:szCs w:val="24"/>
        </w:rPr>
        <w:t>Future injured earnings of R 14,000.00 per month (March 2022 money terms) increasing in line with inflation until retirement.</w:t>
      </w:r>
    </w:p>
    <w:tbl>
      <w:tblPr>
        <w:tblStyle w:val="TableGrid"/>
        <w:tblW w:w="0" w:type="auto"/>
        <w:tblInd w:w="817" w:type="dxa"/>
        <w:tblLook w:val="04A0" w:firstRow="1" w:lastRow="0" w:firstColumn="1" w:lastColumn="0" w:noHBand="0" w:noVBand="1"/>
      </w:tblPr>
      <w:tblGrid>
        <w:gridCol w:w="1937"/>
        <w:gridCol w:w="2506"/>
        <w:gridCol w:w="1991"/>
        <w:gridCol w:w="1991"/>
      </w:tblGrid>
      <w:tr w:rsidR="00955282" w14:paraId="68EA2250" w14:textId="77777777" w:rsidTr="000D6E2A">
        <w:tc>
          <w:tcPr>
            <w:tcW w:w="1937" w:type="dxa"/>
          </w:tcPr>
          <w:p w14:paraId="670987A8" w14:textId="77777777" w:rsidR="00955282" w:rsidRPr="008579FF" w:rsidRDefault="00955282" w:rsidP="00832212">
            <w:pPr>
              <w:rPr>
                <w:b/>
                <w:u w:val="single"/>
              </w:rPr>
            </w:pPr>
            <w:r w:rsidRPr="008579FF">
              <w:rPr>
                <w:b/>
                <w:u w:val="single"/>
              </w:rPr>
              <w:t>Past loss</w:t>
            </w:r>
          </w:p>
          <w:p w14:paraId="73A62AF8" w14:textId="77777777" w:rsidR="00955282" w:rsidRDefault="00955282" w:rsidP="00832212">
            <w:pPr>
              <w:rPr>
                <w:sz w:val="24"/>
                <w:szCs w:val="24"/>
              </w:rPr>
            </w:pPr>
          </w:p>
        </w:tc>
        <w:tc>
          <w:tcPr>
            <w:tcW w:w="2506" w:type="dxa"/>
          </w:tcPr>
          <w:p w14:paraId="48CB5E5C" w14:textId="77777777" w:rsidR="00955282" w:rsidRDefault="00955282" w:rsidP="00832212">
            <w:pPr>
              <w:ind w:firstLine="0"/>
              <w:rPr>
                <w:sz w:val="24"/>
                <w:szCs w:val="24"/>
              </w:rPr>
            </w:pPr>
          </w:p>
        </w:tc>
        <w:tc>
          <w:tcPr>
            <w:tcW w:w="1991" w:type="dxa"/>
          </w:tcPr>
          <w:p w14:paraId="3CEFC969" w14:textId="77777777" w:rsidR="00955282" w:rsidRPr="00955282" w:rsidRDefault="00955282" w:rsidP="00832212">
            <w:pPr>
              <w:ind w:firstLine="0"/>
              <w:rPr>
                <w:b/>
                <w:sz w:val="24"/>
                <w:szCs w:val="24"/>
                <w:u w:val="single"/>
              </w:rPr>
            </w:pPr>
            <w:r w:rsidRPr="00955282">
              <w:rPr>
                <w:b/>
                <w:sz w:val="24"/>
                <w:szCs w:val="24"/>
                <w:u w:val="single"/>
              </w:rPr>
              <w:t>Future loss</w:t>
            </w:r>
          </w:p>
          <w:p w14:paraId="560EA0C1" w14:textId="77777777" w:rsidR="00955282" w:rsidRDefault="00955282" w:rsidP="00832212">
            <w:pPr>
              <w:ind w:firstLine="0"/>
              <w:rPr>
                <w:sz w:val="24"/>
                <w:szCs w:val="24"/>
              </w:rPr>
            </w:pPr>
          </w:p>
        </w:tc>
        <w:tc>
          <w:tcPr>
            <w:tcW w:w="1991" w:type="dxa"/>
          </w:tcPr>
          <w:p w14:paraId="0A39DD44" w14:textId="77777777" w:rsidR="00955282" w:rsidRDefault="00955282" w:rsidP="00832212">
            <w:pPr>
              <w:ind w:firstLine="0"/>
              <w:rPr>
                <w:sz w:val="24"/>
                <w:szCs w:val="24"/>
              </w:rPr>
            </w:pPr>
          </w:p>
        </w:tc>
      </w:tr>
      <w:tr w:rsidR="00955282" w14:paraId="2A362255" w14:textId="77777777" w:rsidTr="000D6E2A">
        <w:tc>
          <w:tcPr>
            <w:tcW w:w="1937" w:type="dxa"/>
          </w:tcPr>
          <w:p w14:paraId="79334222" w14:textId="77777777" w:rsidR="00955282" w:rsidRDefault="00955282" w:rsidP="00955282">
            <w:pPr>
              <w:ind w:firstLine="0"/>
            </w:pPr>
            <w:r>
              <w:t xml:space="preserve">Value of income uninjured: </w:t>
            </w:r>
          </w:p>
          <w:p w14:paraId="3E7D01D8" w14:textId="77777777" w:rsidR="00955282" w:rsidRDefault="00955282" w:rsidP="00832212">
            <w:pPr>
              <w:rPr>
                <w:sz w:val="24"/>
                <w:szCs w:val="24"/>
              </w:rPr>
            </w:pPr>
          </w:p>
        </w:tc>
        <w:tc>
          <w:tcPr>
            <w:tcW w:w="2506" w:type="dxa"/>
          </w:tcPr>
          <w:p w14:paraId="5CBCA019" w14:textId="77777777" w:rsidR="00955282" w:rsidRDefault="00955282" w:rsidP="00832212">
            <w:pPr>
              <w:ind w:firstLine="0"/>
              <w:rPr>
                <w:sz w:val="24"/>
                <w:szCs w:val="24"/>
              </w:rPr>
            </w:pPr>
            <w:r>
              <w:t>R 370,814</w:t>
            </w:r>
          </w:p>
        </w:tc>
        <w:tc>
          <w:tcPr>
            <w:tcW w:w="1991" w:type="dxa"/>
          </w:tcPr>
          <w:p w14:paraId="58ADAB28" w14:textId="5F30A2A7" w:rsidR="00955282" w:rsidRPr="005C1038" w:rsidRDefault="00955282" w:rsidP="00EA769B">
            <w:pPr>
              <w:ind w:firstLine="0"/>
              <w:rPr>
                <w:sz w:val="24"/>
                <w:szCs w:val="24"/>
              </w:rPr>
            </w:pPr>
            <w:r w:rsidRPr="00A45AAE">
              <w:rPr>
                <w:sz w:val="24"/>
                <w:szCs w:val="24"/>
              </w:rPr>
              <w:t xml:space="preserve">Value of income uninjured: </w:t>
            </w:r>
          </w:p>
        </w:tc>
        <w:tc>
          <w:tcPr>
            <w:tcW w:w="1991" w:type="dxa"/>
          </w:tcPr>
          <w:p w14:paraId="198BFB58" w14:textId="77777777" w:rsidR="00955282" w:rsidRPr="005C1038" w:rsidRDefault="00955282" w:rsidP="00832212">
            <w:pPr>
              <w:ind w:firstLine="0"/>
              <w:rPr>
                <w:sz w:val="24"/>
                <w:szCs w:val="24"/>
              </w:rPr>
            </w:pPr>
            <w:r w:rsidRPr="00A45AAE">
              <w:rPr>
                <w:sz w:val="24"/>
                <w:szCs w:val="24"/>
              </w:rPr>
              <w:t>R 7,596,749</w:t>
            </w:r>
          </w:p>
        </w:tc>
      </w:tr>
      <w:tr w:rsidR="00955282" w14:paraId="2AACE9D3" w14:textId="77777777" w:rsidTr="000D6E2A">
        <w:tc>
          <w:tcPr>
            <w:tcW w:w="1937" w:type="dxa"/>
          </w:tcPr>
          <w:p w14:paraId="79CFD5AA" w14:textId="77777777" w:rsidR="00955282" w:rsidRDefault="00955282" w:rsidP="00955282">
            <w:pPr>
              <w:ind w:firstLine="0"/>
            </w:pPr>
            <w:r>
              <w:t xml:space="preserve">Less contingency deduction: 5.00% </w:t>
            </w:r>
          </w:p>
          <w:p w14:paraId="3544E334" w14:textId="77777777" w:rsidR="00955282" w:rsidRDefault="00955282" w:rsidP="00832212">
            <w:pPr>
              <w:rPr>
                <w:sz w:val="24"/>
                <w:szCs w:val="24"/>
              </w:rPr>
            </w:pPr>
          </w:p>
        </w:tc>
        <w:tc>
          <w:tcPr>
            <w:tcW w:w="2506" w:type="dxa"/>
          </w:tcPr>
          <w:p w14:paraId="2ECD12E4" w14:textId="77777777" w:rsidR="00955282" w:rsidRDefault="00955282" w:rsidP="00832212">
            <w:pPr>
              <w:ind w:firstLine="0"/>
              <w:rPr>
                <w:sz w:val="24"/>
                <w:szCs w:val="24"/>
              </w:rPr>
            </w:pPr>
            <w:r>
              <w:t>R 18,541</w:t>
            </w:r>
          </w:p>
        </w:tc>
        <w:tc>
          <w:tcPr>
            <w:tcW w:w="1991" w:type="dxa"/>
          </w:tcPr>
          <w:p w14:paraId="0C5A75DF" w14:textId="77777777" w:rsidR="00955282" w:rsidRPr="00A45AAE" w:rsidRDefault="00955282" w:rsidP="00832212">
            <w:pPr>
              <w:ind w:firstLine="0"/>
              <w:rPr>
                <w:sz w:val="24"/>
                <w:szCs w:val="24"/>
              </w:rPr>
            </w:pPr>
            <w:r w:rsidRPr="00A45AAE">
              <w:rPr>
                <w:sz w:val="24"/>
                <w:szCs w:val="24"/>
              </w:rPr>
              <w:t xml:space="preserve">Less contingency deduction: 16.00% </w:t>
            </w:r>
          </w:p>
          <w:p w14:paraId="0568929B" w14:textId="77777777" w:rsidR="00955282" w:rsidRPr="005C1038" w:rsidRDefault="00955282" w:rsidP="00832212">
            <w:pPr>
              <w:ind w:firstLine="0"/>
              <w:rPr>
                <w:sz w:val="24"/>
                <w:szCs w:val="24"/>
              </w:rPr>
            </w:pPr>
          </w:p>
        </w:tc>
        <w:tc>
          <w:tcPr>
            <w:tcW w:w="1991" w:type="dxa"/>
          </w:tcPr>
          <w:p w14:paraId="17CCE654" w14:textId="77777777" w:rsidR="00955282" w:rsidRPr="005C1038" w:rsidRDefault="00955282" w:rsidP="00832212">
            <w:pPr>
              <w:ind w:firstLine="0"/>
              <w:rPr>
                <w:sz w:val="24"/>
                <w:szCs w:val="24"/>
              </w:rPr>
            </w:pPr>
            <w:r w:rsidRPr="00A45AAE">
              <w:rPr>
                <w:sz w:val="24"/>
                <w:szCs w:val="24"/>
              </w:rPr>
              <w:t>R 1,215,480</w:t>
            </w:r>
          </w:p>
        </w:tc>
      </w:tr>
      <w:tr w:rsidR="00955282" w14:paraId="26580AF1" w14:textId="77777777" w:rsidTr="000D6E2A">
        <w:tc>
          <w:tcPr>
            <w:tcW w:w="1937" w:type="dxa"/>
          </w:tcPr>
          <w:p w14:paraId="46931E2A" w14:textId="77777777" w:rsidR="00955282" w:rsidRDefault="00955282" w:rsidP="00832212">
            <w:pPr>
              <w:rPr>
                <w:sz w:val="24"/>
                <w:szCs w:val="24"/>
              </w:rPr>
            </w:pPr>
          </w:p>
        </w:tc>
        <w:tc>
          <w:tcPr>
            <w:tcW w:w="2506" w:type="dxa"/>
          </w:tcPr>
          <w:p w14:paraId="14F91B49" w14:textId="77777777" w:rsidR="00955282" w:rsidRDefault="00955282" w:rsidP="00955282">
            <w:pPr>
              <w:ind w:firstLine="0"/>
            </w:pPr>
            <w:r>
              <w:t>R 352,273</w:t>
            </w:r>
          </w:p>
          <w:p w14:paraId="339873D2" w14:textId="77777777" w:rsidR="00955282" w:rsidRDefault="00955282" w:rsidP="00832212">
            <w:pPr>
              <w:ind w:firstLine="0"/>
              <w:rPr>
                <w:sz w:val="24"/>
                <w:szCs w:val="24"/>
              </w:rPr>
            </w:pPr>
          </w:p>
        </w:tc>
        <w:tc>
          <w:tcPr>
            <w:tcW w:w="1991" w:type="dxa"/>
          </w:tcPr>
          <w:p w14:paraId="7AA010E2" w14:textId="77777777" w:rsidR="00955282" w:rsidRPr="005C1038" w:rsidRDefault="00955282" w:rsidP="00832212">
            <w:pPr>
              <w:ind w:firstLine="0"/>
              <w:rPr>
                <w:sz w:val="24"/>
                <w:szCs w:val="24"/>
              </w:rPr>
            </w:pPr>
          </w:p>
        </w:tc>
        <w:tc>
          <w:tcPr>
            <w:tcW w:w="1991" w:type="dxa"/>
          </w:tcPr>
          <w:p w14:paraId="69B4A6E2" w14:textId="77777777" w:rsidR="00955282" w:rsidRPr="00A45AAE" w:rsidRDefault="00955282" w:rsidP="00832212">
            <w:pPr>
              <w:ind w:firstLine="0"/>
              <w:rPr>
                <w:sz w:val="24"/>
                <w:szCs w:val="24"/>
              </w:rPr>
            </w:pPr>
            <w:r w:rsidRPr="00A45AAE">
              <w:rPr>
                <w:sz w:val="24"/>
                <w:szCs w:val="24"/>
              </w:rPr>
              <w:t>R 6,381,269</w:t>
            </w:r>
          </w:p>
          <w:p w14:paraId="527324CF" w14:textId="77777777" w:rsidR="00955282" w:rsidRPr="005C1038" w:rsidRDefault="00955282" w:rsidP="00832212">
            <w:pPr>
              <w:ind w:firstLine="0"/>
              <w:rPr>
                <w:sz w:val="24"/>
                <w:szCs w:val="24"/>
              </w:rPr>
            </w:pPr>
          </w:p>
        </w:tc>
      </w:tr>
      <w:tr w:rsidR="00955282" w14:paraId="4AAFADB2" w14:textId="77777777" w:rsidTr="000D6E2A">
        <w:tc>
          <w:tcPr>
            <w:tcW w:w="1937" w:type="dxa"/>
          </w:tcPr>
          <w:p w14:paraId="1AA88F0D" w14:textId="77777777" w:rsidR="00955282" w:rsidRDefault="00955282" w:rsidP="00955282">
            <w:pPr>
              <w:ind w:firstLine="0"/>
            </w:pPr>
            <w:r>
              <w:t xml:space="preserve">Value of income injured: </w:t>
            </w:r>
          </w:p>
          <w:p w14:paraId="4F84B4D9" w14:textId="77777777" w:rsidR="00955282" w:rsidRDefault="00955282" w:rsidP="00832212">
            <w:pPr>
              <w:rPr>
                <w:sz w:val="24"/>
                <w:szCs w:val="24"/>
              </w:rPr>
            </w:pPr>
          </w:p>
        </w:tc>
        <w:tc>
          <w:tcPr>
            <w:tcW w:w="2506" w:type="dxa"/>
          </w:tcPr>
          <w:p w14:paraId="311ABB7B" w14:textId="77777777" w:rsidR="00955282" w:rsidRDefault="00955282" w:rsidP="00832212">
            <w:pPr>
              <w:ind w:firstLine="0"/>
              <w:rPr>
                <w:sz w:val="24"/>
                <w:szCs w:val="24"/>
              </w:rPr>
            </w:pPr>
            <w:r>
              <w:t>R 209,556</w:t>
            </w:r>
          </w:p>
        </w:tc>
        <w:tc>
          <w:tcPr>
            <w:tcW w:w="1991" w:type="dxa"/>
          </w:tcPr>
          <w:p w14:paraId="69971E92" w14:textId="67DCD960" w:rsidR="00955282" w:rsidRPr="00A45AAE" w:rsidRDefault="00955282" w:rsidP="00832212">
            <w:pPr>
              <w:ind w:firstLine="0"/>
              <w:rPr>
                <w:sz w:val="24"/>
                <w:szCs w:val="24"/>
              </w:rPr>
            </w:pPr>
            <w:r w:rsidRPr="00A45AAE">
              <w:rPr>
                <w:sz w:val="24"/>
                <w:szCs w:val="24"/>
              </w:rPr>
              <w:t xml:space="preserve">Value of income injured: </w:t>
            </w:r>
          </w:p>
          <w:p w14:paraId="657CAC6A" w14:textId="77777777" w:rsidR="00955282" w:rsidRPr="005C1038" w:rsidRDefault="00955282" w:rsidP="00832212">
            <w:pPr>
              <w:ind w:firstLine="0"/>
              <w:rPr>
                <w:sz w:val="24"/>
                <w:szCs w:val="24"/>
              </w:rPr>
            </w:pPr>
          </w:p>
        </w:tc>
        <w:tc>
          <w:tcPr>
            <w:tcW w:w="1991" w:type="dxa"/>
          </w:tcPr>
          <w:p w14:paraId="7AEF557E" w14:textId="77777777" w:rsidR="00955282" w:rsidRPr="005C1038" w:rsidRDefault="00955282" w:rsidP="00832212">
            <w:pPr>
              <w:ind w:firstLine="0"/>
              <w:rPr>
                <w:sz w:val="24"/>
                <w:szCs w:val="24"/>
              </w:rPr>
            </w:pPr>
            <w:r w:rsidRPr="00A45AAE">
              <w:rPr>
                <w:sz w:val="24"/>
                <w:szCs w:val="24"/>
              </w:rPr>
              <w:t>R 3,339,441</w:t>
            </w:r>
          </w:p>
        </w:tc>
      </w:tr>
      <w:tr w:rsidR="00955282" w14:paraId="74373BE7" w14:textId="77777777" w:rsidTr="000D6E2A">
        <w:tc>
          <w:tcPr>
            <w:tcW w:w="1937" w:type="dxa"/>
          </w:tcPr>
          <w:p w14:paraId="50A7674C" w14:textId="77777777" w:rsidR="00955282" w:rsidRDefault="00955282" w:rsidP="00955282">
            <w:pPr>
              <w:ind w:firstLine="0"/>
            </w:pPr>
            <w:r>
              <w:t xml:space="preserve">Less contingency deduction: 5.00% </w:t>
            </w:r>
          </w:p>
          <w:p w14:paraId="41329C16" w14:textId="77777777" w:rsidR="00955282" w:rsidRDefault="00955282" w:rsidP="00832212">
            <w:pPr>
              <w:rPr>
                <w:sz w:val="24"/>
                <w:szCs w:val="24"/>
              </w:rPr>
            </w:pPr>
          </w:p>
        </w:tc>
        <w:tc>
          <w:tcPr>
            <w:tcW w:w="2506" w:type="dxa"/>
          </w:tcPr>
          <w:p w14:paraId="4D9ACACA" w14:textId="77777777" w:rsidR="00955282" w:rsidRDefault="00955282" w:rsidP="00832212">
            <w:pPr>
              <w:ind w:firstLine="0"/>
              <w:rPr>
                <w:sz w:val="24"/>
                <w:szCs w:val="24"/>
              </w:rPr>
            </w:pPr>
            <w:r>
              <w:t>R 10,478</w:t>
            </w:r>
          </w:p>
        </w:tc>
        <w:tc>
          <w:tcPr>
            <w:tcW w:w="1991" w:type="dxa"/>
          </w:tcPr>
          <w:p w14:paraId="46627635" w14:textId="18353FB7" w:rsidR="00955282" w:rsidRPr="00A45AAE" w:rsidRDefault="00955282" w:rsidP="00832212">
            <w:pPr>
              <w:ind w:firstLine="0"/>
              <w:rPr>
                <w:sz w:val="24"/>
                <w:szCs w:val="24"/>
              </w:rPr>
            </w:pPr>
            <w:r w:rsidRPr="00A45AAE">
              <w:rPr>
                <w:sz w:val="24"/>
                <w:szCs w:val="24"/>
              </w:rPr>
              <w:t>Less contingency deduction: 3</w:t>
            </w:r>
            <w:r w:rsidR="00B83065">
              <w:rPr>
                <w:sz w:val="24"/>
                <w:szCs w:val="24"/>
              </w:rPr>
              <w:t>0</w:t>
            </w:r>
            <w:r w:rsidRPr="00A45AAE">
              <w:rPr>
                <w:sz w:val="24"/>
                <w:szCs w:val="24"/>
              </w:rPr>
              <w:t xml:space="preserve">.00% </w:t>
            </w:r>
          </w:p>
          <w:p w14:paraId="4A5DAC64" w14:textId="77777777" w:rsidR="00955282" w:rsidRPr="005C1038" w:rsidRDefault="00955282" w:rsidP="00832212">
            <w:pPr>
              <w:ind w:firstLine="0"/>
              <w:rPr>
                <w:sz w:val="24"/>
                <w:szCs w:val="24"/>
              </w:rPr>
            </w:pPr>
          </w:p>
        </w:tc>
        <w:tc>
          <w:tcPr>
            <w:tcW w:w="1991" w:type="dxa"/>
          </w:tcPr>
          <w:p w14:paraId="06AB49B4" w14:textId="41093328" w:rsidR="00E77A83" w:rsidRPr="005C1038" w:rsidRDefault="00E77A83" w:rsidP="00832212">
            <w:pPr>
              <w:ind w:firstLine="0"/>
              <w:rPr>
                <w:sz w:val="24"/>
                <w:szCs w:val="24"/>
              </w:rPr>
            </w:pPr>
            <w:r>
              <w:rPr>
                <w:sz w:val="24"/>
                <w:szCs w:val="24"/>
              </w:rPr>
              <w:t>R 1</w:t>
            </w:r>
            <w:r w:rsidR="00B83065">
              <w:rPr>
                <w:sz w:val="24"/>
                <w:szCs w:val="24"/>
              </w:rPr>
              <w:t>,</w:t>
            </w:r>
            <w:r>
              <w:rPr>
                <w:sz w:val="24"/>
                <w:szCs w:val="24"/>
              </w:rPr>
              <w:t>001</w:t>
            </w:r>
            <w:r w:rsidR="00B83065">
              <w:rPr>
                <w:sz w:val="24"/>
                <w:szCs w:val="24"/>
              </w:rPr>
              <w:t>,</w:t>
            </w:r>
            <w:r>
              <w:rPr>
                <w:sz w:val="24"/>
                <w:szCs w:val="24"/>
              </w:rPr>
              <w:t>832</w:t>
            </w:r>
          </w:p>
        </w:tc>
      </w:tr>
      <w:tr w:rsidR="00955282" w14:paraId="2055B435" w14:textId="77777777" w:rsidTr="000D6E2A">
        <w:tc>
          <w:tcPr>
            <w:tcW w:w="1937" w:type="dxa"/>
          </w:tcPr>
          <w:p w14:paraId="060211FF" w14:textId="77777777" w:rsidR="00955282" w:rsidRDefault="00955282" w:rsidP="00832212">
            <w:pPr>
              <w:rPr>
                <w:sz w:val="24"/>
                <w:szCs w:val="24"/>
              </w:rPr>
            </w:pPr>
          </w:p>
        </w:tc>
        <w:tc>
          <w:tcPr>
            <w:tcW w:w="2506" w:type="dxa"/>
          </w:tcPr>
          <w:p w14:paraId="18790788" w14:textId="77777777" w:rsidR="00955282" w:rsidRDefault="00955282" w:rsidP="00955282">
            <w:pPr>
              <w:ind w:firstLine="0"/>
            </w:pPr>
            <w:r>
              <w:t>R 199,078</w:t>
            </w:r>
          </w:p>
          <w:p w14:paraId="7622A01B" w14:textId="77777777" w:rsidR="00955282" w:rsidRDefault="00955282" w:rsidP="00832212">
            <w:pPr>
              <w:ind w:firstLine="0"/>
              <w:rPr>
                <w:sz w:val="24"/>
                <w:szCs w:val="24"/>
              </w:rPr>
            </w:pPr>
          </w:p>
        </w:tc>
        <w:tc>
          <w:tcPr>
            <w:tcW w:w="1991" w:type="dxa"/>
          </w:tcPr>
          <w:p w14:paraId="29651263" w14:textId="77777777" w:rsidR="00955282" w:rsidRPr="005C1038" w:rsidRDefault="00955282" w:rsidP="00832212">
            <w:pPr>
              <w:ind w:firstLine="0"/>
              <w:rPr>
                <w:sz w:val="24"/>
                <w:szCs w:val="24"/>
              </w:rPr>
            </w:pPr>
          </w:p>
        </w:tc>
        <w:tc>
          <w:tcPr>
            <w:tcW w:w="1991" w:type="dxa"/>
          </w:tcPr>
          <w:p w14:paraId="1AF0BB7F" w14:textId="014AD7B5" w:rsidR="00955282" w:rsidRPr="005C1038" w:rsidRDefault="008B3F3A" w:rsidP="008B3F3A">
            <w:pPr>
              <w:ind w:firstLine="0"/>
              <w:rPr>
                <w:sz w:val="24"/>
                <w:szCs w:val="24"/>
              </w:rPr>
            </w:pPr>
            <w:r>
              <w:rPr>
                <w:sz w:val="24"/>
                <w:szCs w:val="24"/>
              </w:rPr>
              <w:t xml:space="preserve">R </w:t>
            </w:r>
            <w:r w:rsidR="00E77A83">
              <w:rPr>
                <w:sz w:val="24"/>
                <w:szCs w:val="24"/>
              </w:rPr>
              <w:t>2,337,60</w:t>
            </w:r>
            <w:r w:rsidR="00B83065">
              <w:rPr>
                <w:sz w:val="24"/>
                <w:szCs w:val="24"/>
              </w:rPr>
              <w:t>9</w:t>
            </w:r>
          </w:p>
        </w:tc>
      </w:tr>
      <w:tr w:rsidR="00955282" w14:paraId="6BF41571" w14:textId="77777777" w:rsidTr="000D6E2A">
        <w:tc>
          <w:tcPr>
            <w:tcW w:w="1937" w:type="dxa"/>
          </w:tcPr>
          <w:p w14:paraId="12EF0A28" w14:textId="77777777" w:rsidR="00955282" w:rsidRDefault="00955282" w:rsidP="00955282">
            <w:pPr>
              <w:ind w:firstLine="0"/>
            </w:pPr>
            <w:r>
              <w:t xml:space="preserve">Net past loss: </w:t>
            </w:r>
          </w:p>
          <w:p w14:paraId="77655D25" w14:textId="77777777" w:rsidR="00955282" w:rsidRDefault="00955282" w:rsidP="00832212">
            <w:pPr>
              <w:ind w:firstLine="0"/>
              <w:rPr>
                <w:sz w:val="24"/>
                <w:szCs w:val="24"/>
              </w:rPr>
            </w:pPr>
          </w:p>
        </w:tc>
        <w:tc>
          <w:tcPr>
            <w:tcW w:w="2506" w:type="dxa"/>
          </w:tcPr>
          <w:p w14:paraId="06B352A0" w14:textId="77777777" w:rsidR="00955282" w:rsidRDefault="00955282" w:rsidP="00832212">
            <w:pPr>
              <w:ind w:firstLine="0"/>
              <w:rPr>
                <w:sz w:val="24"/>
                <w:szCs w:val="24"/>
              </w:rPr>
            </w:pPr>
            <w:r>
              <w:t>R 153,195</w:t>
            </w:r>
          </w:p>
        </w:tc>
        <w:tc>
          <w:tcPr>
            <w:tcW w:w="1991" w:type="dxa"/>
          </w:tcPr>
          <w:p w14:paraId="2875731B" w14:textId="77777777" w:rsidR="00955282" w:rsidRPr="00A45AAE" w:rsidRDefault="00955282" w:rsidP="00832212">
            <w:pPr>
              <w:ind w:firstLine="0"/>
              <w:rPr>
                <w:sz w:val="24"/>
                <w:szCs w:val="24"/>
              </w:rPr>
            </w:pPr>
            <w:r w:rsidRPr="00A45AAE">
              <w:rPr>
                <w:sz w:val="24"/>
                <w:szCs w:val="24"/>
              </w:rPr>
              <w:t xml:space="preserve">Net future loss: </w:t>
            </w:r>
          </w:p>
          <w:p w14:paraId="3CCDA861" w14:textId="77777777" w:rsidR="00955282" w:rsidRPr="005C1038" w:rsidRDefault="00955282" w:rsidP="00832212">
            <w:pPr>
              <w:ind w:firstLine="0"/>
              <w:rPr>
                <w:sz w:val="24"/>
                <w:szCs w:val="24"/>
              </w:rPr>
            </w:pPr>
          </w:p>
        </w:tc>
        <w:tc>
          <w:tcPr>
            <w:tcW w:w="1991" w:type="dxa"/>
          </w:tcPr>
          <w:p w14:paraId="38C15559" w14:textId="6A951546" w:rsidR="008B3F3A" w:rsidRPr="005C1038" w:rsidRDefault="008B3F3A" w:rsidP="00832212">
            <w:pPr>
              <w:ind w:firstLine="0"/>
              <w:rPr>
                <w:sz w:val="24"/>
                <w:szCs w:val="24"/>
              </w:rPr>
            </w:pPr>
            <w:r>
              <w:rPr>
                <w:sz w:val="24"/>
                <w:szCs w:val="24"/>
              </w:rPr>
              <w:t>R 4</w:t>
            </w:r>
            <w:r w:rsidR="00B83065">
              <w:rPr>
                <w:sz w:val="24"/>
                <w:szCs w:val="24"/>
              </w:rPr>
              <w:t>,</w:t>
            </w:r>
            <w:r>
              <w:rPr>
                <w:sz w:val="24"/>
                <w:szCs w:val="24"/>
              </w:rPr>
              <w:t>043</w:t>
            </w:r>
            <w:r w:rsidR="00B83065">
              <w:rPr>
                <w:sz w:val="24"/>
                <w:szCs w:val="24"/>
              </w:rPr>
              <w:t>,</w:t>
            </w:r>
            <w:r>
              <w:rPr>
                <w:sz w:val="24"/>
                <w:szCs w:val="24"/>
              </w:rPr>
              <w:t>660</w:t>
            </w:r>
          </w:p>
        </w:tc>
      </w:tr>
      <w:tr w:rsidR="00955282" w14:paraId="04E5779E" w14:textId="77777777" w:rsidTr="000D6E2A">
        <w:tc>
          <w:tcPr>
            <w:tcW w:w="1937" w:type="dxa"/>
          </w:tcPr>
          <w:p w14:paraId="0DE76F4A" w14:textId="77777777" w:rsidR="00955282" w:rsidRPr="005C1038" w:rsidRDefault="00955282" w:rsidP="00832212">
            <w:pPr>
              <w:rPr>
                <w:sz w:val="24"/>
                <w:szCs w:val="24"/>
              </w:rPr>
            </w:pPr>
          </w:p>
        </w:tc>
        <w:tc>
          <w:tcPr>
            <w:tcW w:w="2506" w:type="dxa"/>
          </w:tcPr>
          <w:p w14:paraId="02A51844" w14:textId="77777777" w:rsidR="00955282" w:rsidRPr="005C1038" w:rsidRDefault="00955282" w:rsidP="00832212">
            <w:pPr>
              <w:ind w:firstLine="0"/>
              <w:rPr>
                <w:sz w:val="24"/>
                <w:szCs w:val="24"/>
              </w:rPr>
            </w:pPr>
          </w:p>
        </w:tc>
        <w:tc>
          <w:tcPr>
            <w:tcW w:w="1991" w:type="dxa"/>
          </w:tcPr>
          <w:p w14:paraId="12A0ACE4" w14:textId="77777777" w:rsidR="00955282" w:rsidRPr="005C1038" w:rsidRDefault="00955282" w:rsidP="00832212">
            <w:pPr>
              <w:ind w:firstLine="0"/>
              <w:rPr>
                <w:sz w:val="24"/>
                <w:szCs w:val="24"/>
              </w:rPr>
            </w:pPr>
            <w:r w:rsidRPr="00A45AAE">
              <w:rPr>
                <w:sz w:val="24"/>
                <w:szCs w:val="24"/>
              </w:rPr>
              <w:t xml:space="preserve">Total net loss: </w:t>
            </w:r>
          </w:p>
        </w:tc>
        <w:tc>
          <w:tcPr>
            <w:tcW w:w="1991" w:type="dxa"/>
          </w:tcPr>
          <w:p w14:paraId="3915658C" w14:textId="64FFC9B9" w:rsidR="008B3F3A" w:rsidRPr="005C1038" w:rsidRDefault="00B83065" w:rsidP="00832212">
            <w:pPr>
              <w:ind w:firstLine="0"/>
              <w:rPr>
                <w:sz w:val="24"/>
                <w:szCs w:val="24"/>
              </w:rPr>
            </w:pPr>
            <w:bookmarkStart w:id="4" w:name="_Hlk113623260"/>
            <w:r>
              <w:rPr>
                <w:sz w:val="24"/>
                <w:szCs w:val="24"/>
              </w:rPr>
              <w:t xml:space="preserve">R </w:t>
            </w:r>
            <w:r w:rsidR="008B3F3A">
              <w:rPr>
                <w:sz w:val="24"/>
                <w:szCs w:val="24"/>
              </w:rPr>
              <w:t>4</w:t>
            </w:r>
            <w:r>
              <w:rPr>
                <w:sz w:val="24"/>
                <w:szCs w:val="24"/>
              </w:rPr>
              <w:t>,</w:t>
            </w:r>
            <w:r w:rsidR="008B3F3A">
              <w:rPr>
                <w:sz w:val="24"/>
                <w:szCs w:val="24"/>
              </w:rPr>
              <w:t>196</w:t>
            </w:r>
            <w:r>
              <w:rPr>
                <w:sz w:val="24"/>
                <w:szCs w:val="24"/>
              </w:rPr>
              <w:t>,</w:t>
            </w:r>
            <w:r w:rsidR="008B3F3A">
              <w:rPr>
                <w:sz w:val="24"/>
                <w:szCs w:val="24"/>
              </w:rPr>
              <w:t>855</w:t>
            </w:r>
            <w:bookmarkEnd w:id="4"/>
          </w:p>
        </w:tc>
      </w:tr>
    </w:tbl>
    <w:p w14:paraId="19F1F6D3" w14:textId="77777777" w:rsidR="002E3F80" w:rsidRDefault="002E3F80" w:rsidP="002E3F80">
      <w:pPr>
        <w:pStyle w:val="ListParagraph"/>
        <w:spacing w:after="0" w:line="360" w:lineRule="auto"/>
        <w:jc w:val="both"/>
        <w:rPr>
          <w:rFonts w:ascii="Arial" w:eastAsia="Arial" w:hAnsi="Arial" w:cs="Arial"/>
          <w:b/>
          <w:sz w:val="24"/>
          <w:szCs w:val="24"/>
          <w:lang w:val="en-GB"/>
        </w:rPr>
      </w:pPr>
    </w:p>
    <w:p w14:paraId="19498A1C" w14:textId="61BFC479" w:rsidR="00685D27" w:rsidRPr="00685D27" w:rsidRDefault="00E76688" w:rsidP="00430CE5">
      <w:pPr>
        <w:pStyle w:val="ListParagraph"/>
        <w:numPr>
          <w:ilvl w:val="0"/>
          <w:numId w:val="10"/>
        </w:numPr>
        <w:spacing w:after="0" w:line="360" w:lineRule="auto"/>
        <w:ind w:left="851"/>
        <w:jc w:val="both"/>
        <w:rPr>
          <w:rFonts w:ascii="Arial" w:eastAsia="Arial" w:hAnsi="Arial" w:cs="Arial"/>
          <w:b/>
          <w:sz w:val="24"/>
          <w:szCs w:val="24"/>
          <w:lang w:val="en-GB"/>
        </w:rPr>
      </w:pPr>
      <w:r w:rsidRPr="00685D27">
        <w:rPr>
          <w:rFonts w:ascii="Arial" w:eastAsia="Arial" w:hAnsi="Arial" w:cs="Arial"/>
          <w:sz w:val="24"/>
          <w:szCs w:val="24"/>
          <w:lang w:val="en-GB"/>
        </w:rPr>
        <w:t xml:space="preserve">In summary, the defendant is liable to </w:t>
      </w:r>
      <w:r w:rsidR="00E74DD9" w:rsidRPr="00685D27">
        <w:rPr>
          <w:rFonts w:ascii="Arial" w:eastAsia="Arial" w:hAnsi="Arial" w:cs="Arial"/>
          <w:sz w:val="24"/>
          <w:szCs w:val="24"/>
          <w:lang w:val="en-GB"/>
        </w:rPr>
        <w:t xml:space="preserve">pay </w:t>
      </w:r>
      <w:r w:rsidRPr="00685D27">
        <w:rPr>
          <w:rFonts w:ascii="Arial" w:eastAsia="Arial" w:hAnsi="Arial" w:cs="Arial"/>
          <w:sz w:val="24"/>
          <w:szCs w:val="24"/>
          <w:lang w:val="en-GB"/>
        </w:rPr>
        <w:t xml:space="preserve">the </w:t>
      </w:r>
      <w:r w:rsidR="00D00B5E" w:rsidRPr="00685D27">
        <w:rPr>
          <w:rFonts w:ascii="Arial" w:eastAsia="Arial" w:hAnsi="Arial" w:cs="Arial"/>
          <w:sz w:val="24"/>
          <w:szCs w:val="24"/>
          <w:lang w:val="en-GB"/>
        </w:rPr>
        <w:t>Plaintiff</w:t>
      </w:r>
      <w:r w:rsidR="00BC1B9E" w:rsidRPr="00685D27">
        <w:rPr>
          <w:rFonts w:ascii="Arial" w:eastAsia="Arial" w:hAnsi="Arial" w:cs="Arial"/>
          <w:sz w:val="24"/>
          <w:szCs w:val="24"/>
          <w:lang w:val="en-GB"/>
        </w:rPr>
        <w:t xml:space="preserve"> the total sum of</w:t>
      </w:r>
      <w:r w:rsidRPr="00685D27">
        <w:rPr>
          <w:rFonts w:ascii="Arial" w:eastAsia="Arial" w:hAnsi="Arial" w:cs="Arial"/>
          <w:sz w:val="24"/>
          <w:szCs w:val="24"/>
          <w:lang w:val="en-GB"/>
        </w:rPr>
        <w:t xml:space="preserve"> </w:t>
      </w:r>
      <w:bookmarkStart w:id="5" w:name="_Hlk113623613"/>
      <w:r w:rsidR="00C419CB">
        <w:rPr>
          <w:rFonts w:ascii="Arial" w:eastAsia="Arial" w:hAnsi="Arial" w:cs="Arial"/>
          <w:sz w:val="24"/>
          <w:szCs w:val="24"/>
          <w:lang w:val="en-GB"/>
        </w:rPr>
        <w:t>R 4</w:t>
      </w:r>
      <w:r w:rsidR="007D4C47">
        <w:rPr>
          <w:rFonts w:ascii="Arial" w:eastAsia="Arial" w:hAnsi="Arial" w:cs="Arial"/>
          <w:sz w:val="24"/>
          <w:szCs w:val="24"/>
          <w:lang w:val="en-GB"/>
        </w:rPr>
        <w:t>,</w:t>
      </w:r>
      <w:r w:rsidR="00C419CB">
        <w:rPr>
          <w:rFonts w:ascii="Arial" w:eastAsia="Arial" w:hAnsi="Arial" w:cs="Arial"/>
          <w:sz w:val="24"/>
          <w:szCs w:val="24"/>
          <w:lang w:val="en-GB"/>
        </w:rPr>
        <w:t>696</w:t>
      </w:r>
      <w:r w:rsidR="007D4C47">
        <w:rPr>
          <w:rFonts w:ascii="Arial" w:eastAsia="Arial" w:hAnsi="Arial" w:cs="Arial"/>
          <w:sz w:val="24"/>
          <w:szCs w:val="24"/>
          <w:lang w:val="en-GB"/>
        </w:rPr>
        <w:t>,</w:t>
      </w:r>
      <w:r w:rsidR="00C419CB">
        <w:rPr>
          <w:rFonts w:ascii="Arial" w:eastAsia="Arial" w:hAnsi="Arial" w:cs="Arial"/>
          <w:sz w:val="24"/>
          <w:szCs w:val="24"/>
          <w:lang w:val="en-GB"/>
        </w:rPr>
        <w:t>855</w:t>
      </w:r>
      <w:bookmarkEnd w:id="5"/>
      <w:r w:rsidRPr="00685D27">
        <w:rPr>
          <w:rFonts w:ascii="Arial" w:eastAsia="Arial" w:hAnsi="Arial" w:cs="Arial"/>
          <w:sz w:val="24"/>
          <w:szCs w:val="24"/>
          <w:lang w:val="en-GB"/>
        </w:rPr>
        <w:t xml:space="preserve">: </w:t>
      </w:r>
      <w:r w:rsidR="00C419CB">
        <w:rPr>
          <w:rFonts w:ascii="Arial" w:eastAsia="Arial" w:hAnsi="Arial" w:cs="Arial"/>
          <w:sz w:val="24"/>
          <w:szCs w:val="24"/>
          <w:lang w:val="en-GB"/>
        </w:rPr>
        <w:t>R</w:t>
      </w:r>
      <w:bookmarkStart w:id="6" w:name="_Hlk113623641"/>
      <w:r w:rsidR="007D4C47">
        <w:rPr>
          <w:rFonts w:ascii="Arial" w:eastAsia="Arial" w:hAnsi="Arial" w:cs="Arial"/>
          <w:sz w:val="24"/>
          <w:szCs w:val="24"/>
          <w:lang w:val="en-GB"/>
        </w:rPr>
        <w:t xml:space="preserve"> </w:t>
      </w:r>
      <w:r w:rsidR="00C419CB" w:rsidRPr="00C419CB">
        <w:rPr>
          <w:rFonts w:ascii="Arial" w:eastAsia="Arial" w:hAnsi="Arial" w:cs="Arial"/>
          <w:sz w:val="24"/>
          <w:szCs w:val="24"/>
          <w:lang w:val="en-GB"/>
        </w:rPr>
        <w:t>4</w:t>
      </w:r>
      <w:r w:rsidR="007D4C47">
        <w:rPr>
          <w:rFonts w:ascii="Arial" w:eastAsia="Arial" w:hAnsi="Arial" w:cs="Arial"/>
          <w:sz w:val="24"/>
          <w:szCs w:val="24"/>
          <w:lang w:val="en-GB"/>
        </w:rPr>
        <w:t>,</w:t>
      </w:r>
      <w:r w:rsidR="00C419CB" w:rsidRPr="00C419CB">
        <w:rPr>
          <w:rFonts w:ascii="Arial" w:eastAsia="Arial" w:hAnsi="Arial" w:cs="Arial"/>
          <w:sz w:val="24"/>
          <w:szCs w:val="24"/>
          <w:lang w:val="en-GB"/>
        </w:rPr>
        <w:t>196</w:t>
      </w:r>
      <w:r w:rsidR="007D4C47">
        <w:rPr>
          <w:rFonts w:ascii="Arial" w:eastAsia="Arial" w:hAnsi="Arial" w:cs="Arial"/>
          <w:sz w:val="24"/>
          <w:szCs w:val="24"/>
          <w:lang w:val="en-GB"/>
        </w:rPr>
        <w:t>,</w:t>
      </w:r>
      <w:r w:rsidR="00C419CB" w:rsidRPr="00C419CB">
        <w:rPr>
          <w:rFonts w:ascii="Arial" w:eastAsia="Arial" w:hAnsi="Arial" w:cs="Arial"/>
          <w:sz w:val="24"/>
          <w:szCs w:val="24"/>
          <w:lang w:val="en-GB"/>
        </w:rPr>
        <w:t>855</w:t>
      </w:r>
      <w:r w:rsidRPr="00685D27">
        <w:rPr>
          <w:rFonts w:ascii="Arial" w:eastAsia="Arial" w:hAnsi="Arial" w:cs="Arial"/>
          <w:sz w:val="24"/>
          <w:szCs w:val="24"/>
          <w:lang w:val="en-GB"/>
        </w:rPr>
        <w:t xml:space="preserve"> </w:t>
      </w:r>
      <w:bookmarkEnd w:id="6"/>
      <w:r w:rsidRPr="00685D27">
        <w:rPr>
          <w:rFonts w:ascii="Arial" w:eastAsia="Arial" w:hAnsi="Arial" w:cs="Arial"/>
          <w:sz w:val="24"/>
          <w:szCs w:val="24"/>
          <w:lang w:val="en-GB"/>
        </w:rPr>
        <w:t xml:space="preserve">for loss of earnings, and </w:t>
      </w:r>
      <w:r w:rsidR="00FB040A" w:rsidRPr="00685D27">
        <w:rPr>
          <w:rFonts w:ascii="Arial" w:eastAsia="Arial" w:hAnsi="Arial" w:cs="Arial"/>
          <w:sz w:val="24"/>
          <w:szCs w:val="24"/>
          <w:lang w:val="en-GB"/>
        </w:rPr>
        <w:t xml:space="preserve">R </w:t>
      </w:r>
      <w:r w:rsidR="00E9107E" w:rsidRPr="00685D27">
        <w:rPr>
          <w:rFonts w:ascii="Arial" w:eastAsia="Arial" w:hAnsi="Arial" w:cs="Arial"/>
          <w:sz w:val="24"/>
          <w:szCs w:val="24"/>
          <w:lang w:val="en-GB"/>
        </w:rPr>
        <w:t>5</w:t>
      </w:r>
      <w:r w:rsidR="00FB040A" w:rsidRPr="00685D27">
        <w:rPr>
          <w:rFonts w:ascii="Arial" w:eastAsia="Arial" w:hAnsi="Arial" w:cs="Arial"/>
          <w:sz w:val="24"/>
          <w:szCs w:val="24"/>
          <w:lang w:val="en-GB"/>
        </w:rPr>
        <w:t>00</w:t>
      </w:r>
      <w:r w:rsidR="007D4C47">
        <w:rPr>
          <w:rFonts w:ascii="Arial" w:eastAsia="Arial" w:hAnsi="Arial" w:cs="Arial"/>
          <w:sz w:val="24"/>
          <w:szCs w:val="24"/>
          <w:lang w:val="en-GB"/>
        </w:rPr>
        <w:t>,</w:t>
      </w:r>
      <w:r w:rsidR="00FB040A" w:rsidRPr="00685D27">
        <w:rPr>
          <w:rFonts w:ascii="Arial" w:eastAsia="Arial" w:hAnsi="Arial" w:cs="Arial"/>
          <w:sz w:val="24"/>
          <w:szCs w:val="24"/>
          <w:lang w:val="en-GB"/>
        </w:rPr>
        <w:t xml:space="preserve">000 </w:t>
      </w:r>
      <w:r w:rsidRPr="00685D27">
        <w:rPr>
          <w:rFonts w:ascii="Arial" w:eastAsia="Arial" w:hAnsi="Arial" w:cs="Arial"/>
          <w:sz w:val="24"/>
          <w:szCs w:val="24"/>
          <w:lang w:val="en-GB"/>
        </w:rPr>
        <w:t>for general damages.</w:t>
      </w:r>
    </w:p>
    <w:p w14:paraId="111F37DD" w14:textId="77777777" w:rsidR="00685D27" w:rsidRPr="00685D27" w:rsidRDefault="00685D27" w:rsidP="00685D27">
      <w:pPr>
        <w:spacing w:after="0" w:line="360" w:lineRule="auto"/>
        <w:ind w:left="851"/>
        <w:jc w:val="both"/>
        <w:rPr>
          <w:rFonts w:ascii="Arial" w:eastAsia="Arial" w:hAnsi="Arial" w:cs="Arial"/>
          <w:b/>
          <w:sz w:val="24"/>
          <w:szCs w:val="24"/>
          <w:lang w:val="en-GB"/>
        </w:rPr>
      </w:pPr>
    </w:p>
    <w:p w14:paraId="534283DA" w14:textId="4B44EE8C" w:rsidR="00685D27" w:rsidRPr="00685D27" w:rsidRDefault="00F51C4D" w:rsidP="00430CE5">
      <w:pPr>
        <w:pStyle w:val="ListParagraph"/>
        <w:numPr>
          <w:ilvl w:val="0"/>
          <w:numId w:val="10"/>
        </w:numPr>
        <w:spacing w:after="0" w:line="360" w:lineRule="auto"/>
        <w:ind w:left="851"/>
        <w:jc w:val="both"/>
        <w:rPr>
          <w:rFonts w:ascii="Arial" w:eastAsia="Arial" w:hAnsi="Arial" w:cs="Arial"/>
          <w:b/>
          <w:sz w:val="24"/>
          <w:szCs w:val="24"/>
          <w:lang w:val="en-GB"/>
        </w:rPr>
      </w:pPr>
      <w:r w:rsidRPr="00685D27">
        <w:rPr>
          <w:rFonts w:ascii="Arial" w:hAnsi="Arial" w:cs="Arial"/>
          <w:color w:val="000000"/>
          <w:sz w:val="24"/>
          <w:szCs w:val="24"/>
        </w:rPr>
        <w:t xml:space="preserve">The </w:t>
      </w:r>
      <w:r w:rsidR="007418D3" w:rsidRPr="00685D27">
        <w:rPr>
          <w:rFonts w:ascii="Arial" w:hAnsi="Arial" w:cs="Arial"/>
          <w:color w:val="000000"/>
          <w:sz w:val="24"/>
          <w:szCs w:val="24"/>
        </w:rPr>
        <w:t>psychologist</w:t>
      </w:r>
      <w:r w:rsidR="00FE317A">
        <w:rPr>
          <w:rFonts w:ascii="Arial" w:hAnsi="Arial" w:cs="Arial"/>
          <w:color w:val="000000"/>
          <w:sz w:val="24"/>
          <w:szCs w:val="24"/>
        </w:rPr>
        <w:t>s</w:t>
      </w:r>
      <w:r w:rsidR="007418D3" w:rsidRPr="00685D27">
        <w:rPr>
          <w:rFonts w:ascii="Arial" w:hAnsi="Arial" w:cs="Arial"/>
          <w:color w:val="000000"/>
          <w:sz w:val="24"/>
          <w:szCs w:val="24"/>
        </w:rPr>
        <w:t xml:space="preserve"> </w:t>
      </w:r>
      <w:r w:rsidR="00FE317A">
        <w:rPr>
          <w:rFonts w:ascii="Arial" w:hAnsi="Arial" w:cs="Arial"/>
          <w:color w:val="000000"/>
          <w:sz w:val="24"/>
          <w:szCs w:val="24"/>
        </w:rPr>
        <w:t>have</w:t>
      </w:r>
      <w:r w:rsidR="007418D3" w:rsidRPr="00685D27">
        <w:rPr>
          <w:rFonts w:ascii="Arial" w:hAnsi="Arial" w:cs="Arial"/>
          <w:color w:val="000000"/>
          <w:sz w:val="24"/>
          <w:szCs w:val="24"/>
        </w:rPr>
        <w:t xml:space="preserve"> recommen</w:t>
      </w:r>
      <w:r w:rsidR="00EC4B61" w:rsidRPr="00685D27">
        <w:rPr>
          <w:rFonts w:ascii="Arial" w:hAnsi="Arial" w:cs="Arial"/>
          <w:color w:val="000000"/>
          <w:sz w:val="24"/>
          <w:szCs w:val="24"/>
        </w:rPr>
        <w:t>d</w:t>
      </w:r>
      <w:r w:rsidR="007418D3" w:rsidRPr="00685D27">
        <w:rPr>
          <w:rFonts w:ascii="Arial" w:hAnsi="Arial" w:cs="Arial"/>
          <w:color w:val="000000"/>
          <w:sz w:val="24"/>
          <w:szCs w:val="24"/>
        </w:rPr>
        <w:t>ed th</w:t>
      </w:r>
      <w:r w:rsidR="00EC4B61" w:rsidRPr="00685D27">
        <w:rPr>
          <w:rFonts w:ascii="Arial" w:hAnsi="Arial" w:cs="Arial"/>
          <w:color w:val="000000"/>
          <w:sz w:val="24"/>
          <w:szCs w:val="24"/>
        </w:rPr>
        <w:t xml:space="preserve">e creation of a trust to protect the financial interests of the plaintiff, and to assist her in the management and </w:t>
      </w:r>
      <w:r w:rsidR="0047678D" w:rsidRPr="00685D27">
        <w:rPr>
          <w:rFonts w:ascii="Arial" w:hAnsi="Arial" w:cs="Arial"/>
          <w:color w:val="000000"/>
          <w:sz w:val="24"/>
          <w:szCs w:val="24"/>
        </w:rPr>
        <w:t>administration of the award</w:t>
      </w:r>
      <w:r w:rsidR="007418D3" w:rsidRPr="00685D27">
        <w:rPr>
          <w:rFonts w:ascii="Arial" w:hAnsi="Arial" w:cs="Arial"/>
          <w:color w:val="000000"/>
          <w:sz w:val="24"/>
          <w:szCs w:val="24"/>
        </w:rPr>
        <w:t>.</w:t>
      </w:r>
      <w:r w:rsidR="0047678D" w:rsidRPr="00685D27">
        <w:rPr>
          <w:rFonts w:ascii="Arial" w:hAnsi="Arial" w:cs="Arial"/>
          <w:color w:val="000000"/>
          <w:sz w:val="24"/>
          <w:szCs w:val="24"/>
        </w:rPr>
        <w:t xml:space="preserve"> </w:t>
      </w:r>
      <w:r w:rsidR="007418D3" w:rsidRPr="00685D27">
        <w:rPr>
          <w:rFonts w:ascii="Arial" w:hAnsi="Arial" w:cs="Arial"/>
          <w:color w:val="000000"/>
          <w:sz w:val="24"/>
          <w:szCs w:val="24"/>
        </w:rPr>
        <w:t xml:space="preserve">This </w:t>
      </w:r>
      <w:r w:rsidR="00EC4B61" w:rsidRPr="00685D27">
        <w:rPr>
          <w:rFonts w:ascii="Arial" w:hAnsi="Arial" w:cs="Arial"/>
          <w:color w:val="000000"/>
          <w:sz w:val="24"/>
          <w:szCs w:val="24"/>
        </w:rPr>
        <w:t>recommendation is based on the psychological state of the plaintiff</w:t>
      </w:r>
      <w:r w:rsidR="00FE317A">
        <w:rPr>
          <w:rFonts w:ascii="Arial" w:hAnsi="Arial" w:cs="Arial"/>
          <w:color w:val="000000"/>
          <w:sz w:val="24"/>
          <w:szCs w:val="24"/>
        </w:rPr>
        <w:t>.</w:t>
      </w:r>
      <w:r w:rsidR="00EC4B61" w:rsidRPr="00685D27">
        <w:rPr>
          <w:rFonts w:ascii="Arial" w:hAnsi="Arial" w:cs="Arial"/>
          <w:color w:val="000000"/>
          <w:sz w:val="24"/>
          <w:szCs w:val="24"/>
        </w:rPr>
        <w:t xml:space="preserve"> </w:t>
      </w:r>
    </w:p>
    <w:p w14:paraId="75E5F8AD" w14:textId="77777777" w:rsidR="00685D27" w:rsidRPr="00685D27" w:rsidRDefault="00685D27" w:rsidP="00685D27">
      <w:pPr>
        <w:pStyle w:val="ListParagraph"/>
        <w:rPr>
          <w:rFonts w:ascii="Arial" w:hAnsi="Arial" w:cs="Arial"/>
          <w:color w:val="000000"/>
          <w:sz w:val="24"/>
          <w:szCs w:val="24"/>
        </w:rPr>
      </w:pPr>
    </w:p>
    <w:p w14:paraId="44FD030C" w14:textId="77777777" w:rsidR="00685D27" w:rsidRPr="00685D27" w:rsidRDefault="007418D3" w:rsidP="00430CE5">
      <w:pPr>
        <w:pStyle w:val="ListParagraph"/>
        <w:numPr>
          <w:ilvl w:val="0"/>
          <w:numId w:val="10"/>
        </w:numPr>
        <w:spacing w:after="0" w:line="360" w:lineRule="auto"/>
        <w:ind w:left="851"/>
        <w:jc w:val="both"/>
        <w:rPr>
          <w:rFonts w:ascii="Arial" w:eastAsia="Arial" w:hAnsi="Arial" w:cs="Arial"/>
          <w:b/>
          <w:sz w:val="24"/>
          <w:szCs w:val="24"/>
          <w:lang w:val="en-GB"/>
        </w:rPr>
      </w:pPr>
      <w:r w:rsidRPr="00685D27">
        <w:rPr>
          <w:rFonts w:ascii="Arial" w:hAnsi="Arial" w:cs="Arial"/>
          <w:color w:val="000000"/>
          <w:sz w:val="24"/>
          <w:szCs w:val="24"/>
        </w:rPr>
        <w:t xml:space="preserve">The plaintiff </w:t>
      </w:r>
      <w:r w:rsidR="00E9107E" w:rsidRPr="00685D27">
        <w:rPr>
          <w:rFonts w:ascii="Arial" w:hAnsi="Arial" w:cs="Arial"/>
          <w:color w:val="000000"/>
          <w:sz w:val="24"/>
          <w:szCs w:val="24"/>
        </w:rPr>
        <w:t>accepts</w:t>
      </w:r>
      <w:r w:rsidR="00EC4B61" w:rsidRPr="00685D27">
        <w:rPr>
          <w:rFonts w:ascii="Arial" w:hAnsi="Arial" w:cs="Arial"/>
          <w:color w:val="000000"/>
          <w:sz w:val="24"/>
          <w:szCs w:val="24"/>
        </w:rPr>
        <w:t xml:space="preserve"> </w:t>
      </w:r>
      <w:r w:rsidR="00E9107E" w:rsidRPr="00685D27">
        <w:rPr>
          <w:rFonts w:ascii="Arial" w:hAnsi="Arial" w:cs="Arial"/>
          <w:color w:val="000000"/>
          <w:sz w:val="24"/>
          <w:szCs w:val="24"/>
        </w:rPr>
        <w:t>this</w:t>
      </w:r>
      <w:r w:rsidR="00EC4B61" w:rsidRPr="00685D27">
        <w:rPr>
          <w:rFonts w:ascii="Arial" w:hAnsi="Arial" w:cs="Arial"/>
          <w:color w:val="000000"/>
          <w:sz w:val="24"/>
          <w:szCs w:val="24"/>
        </w:rPr>
        <w:t xml:space="preserve"> recommendation</w:t>
      </w:r>
      <w:r w:rsidRPr="00685D27">
        <w:rPr>
          <w:rFonts w:ascii="Arial" w:hAnsi="Arial" w:cs="Arial"/>
          <w:color w:val="000000"/>
          <w:sz w:val="24"/>
          <w:szCs w:val="24"/>
        </w:rPr>
        <w:t xml:space="preserve"> and has consented to the creation of a trust.</w:t>
      </w:r>
      <w:r w:rsidR="000C32BE" w:rsidRPr="00685D27">
        <w:rPr>
          <w:rFonts w:ascii="Arial" w:hAnsi="Arial" w:cs="Arial"/>
          <w:color w:val="000000"/>
          <w:sz w:val="24"/>
          <w:szCs w:val="24"/>
        </w:rPr>
        <w:t xml:space="preserve"> She indicates her understanding of the implications thereof</w:t>
      </w:r>
      <w:r w:rsidR="00EC4B61" w:rsidRPr="00685D27">
        <w:rPr>
          <w:rFonts w:ascii="Arial" w:hAnsi="Arial" w:cs="Arial"/>
          <w:color w:val="000000"/>
          <w:sz w:val="24"/>
          <w:szCs w:val="24"/>
        </w:rPr>
        <w:t>, in particular that the award will not be paid directly to her, in a signed statement</w:t>
      </w:r>
      <w:r w:rsidR="000C32BE" w:rsidRPr="00685D27">
        <w:rPr>
          <w:rFonts w:ascii="Arial" w:hAnsi="Arial" w:cs="Arial"/>
          <w:color w:val="000000"/>
          <w:sz w:val="24"/>
          <w:szCs w:val="24"/>
        </w:rPr>
        <w:t xml:space="preserve">. </w:t>
      </w:r>
    </w:p>
    <w:p w14:paraId="4DFD69CE" w14:textId="77777777" w:rsidR="00685D27" w:rsidRPr="00685D27" w:rsidRDefault="00685D27" w:rsidP="00685D27">
      <w:pPr>
        <w:pStyle w:val="ListParagraph"/>
        <w:rPr>
          <w:rFonts w:ascii="Arial" w:hAnsi="Arial" w:cs="Arial"/>
          <w:color w:val="000000"/>
          <w:sz w:val="24"/>
          <w:szCs w:val="24"/>
        </w:rPr>
      </w:pPr>
    </w:p>
    <w:p w14:paraId="3D5B53AD" w14:textId="49B64AD7" w:rsidR="00685D27" w:rsidRPr="00685D27" w:rsidRDefault="00EC4B61" w:rsidP="00430CE5">
      <w:pPr>
        <w:pStyle w:val="ListParagraph"/>
        <w:numPr>
          <w:ilvl w:val="0"/>
          <w:numId w:val="10"/>
        </w:numPr>
        <w:spacing w:after="0" w:line="360" w:lineRule="auto"/>
        <w:ind w:left="851"/>
        <w:jc w:val="both"/>
        <w:rPr>
          <w:rFonts w:ascii="Arial" w:eastAsia="Arial" w:hAnsi="Arial" w:cs="Arial"/>
          <w:b/>
          <w:sz w:val="24"/>
          <w:szCs w:val="24"/>
          <w:lang w:val="en-GB"/>
        </w:rPr>
      </w:pPr>
      <w:r w:rsidRPr="00685D27">
        <w:rPr>
          <w:rFonts w:ascii="Arial" w:hAnsi="Arial" w:cs="Arial"/>
          <w:color w:val="000000"/>
          <w:sz w:val="24"/>
          <w:szCs w:val="24"/>
        </w:rPr>
        <w:t xml:space="preserve">Plaintiff’s attorneys recommend the </w:t>
      </w:r>
      <w:r w:rsidR="0047678D" w:rsidRPr="00685D27">
        <w:rPr>
          <w:rFonts w:ascii="Arial" w:hAnsi="Arial" w:cs="Arial"/>
          <w:color w:val="000000"/>
          <w:sz w:val="24"/>
          <w:szCs w:val="24"/>
        </w:rPr>
        <w:t>appointment of Mr. Hendrik Jacobus van Heerden, who practises at Enonix (Pty) Ltd Tr</w:t>
      </w:r>
      <w:r w:rsidR="00AD392D">
        <w:rPr>
          <w:rFonts w:ascii="Arial" w:hAnsi="Arial" w:cs="Arial"/>
          <w:color w:val="000000"/>
          <w:sz w:val="24"/>
          <w:szCs w:val="24"/>
        </w:rPr>
        <w:t>ust Administration, as trustee.</w:t>
      </w:r>
      <w:r w:rsidR="0047678D" w:rsidRPr="00685D27">
        <w:rPr>
          <w:rFonts w:ascii="Arial" w:hAnsi="Arial" w:cs="Arial"/>
          <w:color w:val="000000"/>
          <w:sz w:val="24"/>
          <w:szCs w:val="24"/>
        </w:rPr>
        <w:t xml:space="preserve"> A </w:t>
      </w:r>
      <w:r w:rsidRPr="00685D27">
        <w:rPr>
          <w:rFonts w:ascii="Arial" w:hAnsi="Arial" w:cs="Arial"/>
          <w:color w:val="000000"/>
          <w:sz w:val="24"/>
          <w:szCs w:val="24"/>
        </w:rPr>
        <w:t xml:space="preserve">purported </w:t>
      </w:r>
      <w:r w:rsidR="0047678D" w:rsidRPr="00685D27">
        <w:rPr>
          <w:rFonts w:ascii="Arial" w:hAnsi="Arial" w:cs="Arial"/>
          <w:color w:val="000000"/>
          <w:sz w:val="24"/>
          <w:szCs w:val="24"/>
        </w:rPr>
        <w:t xml:space="preserve">letter of acceptance </w:t>
      </w:r>
      <w:r w:rsidRPr="00685D27">
        <w:rPr>
          <w:rFonts w:ascii="Arial" w:hAnsi="Arial" w:cs="Arial"/>
          <w:color w:val="000000"/>
          <w:sz w:val="24"/>
          <w:szCs w:val="24"/>
        </w:rPr>
        <w:t>is</w:t>
      </w:r>
      <w:r w:rsidR="0047678D" w:rsidRPr="00685D27">
        <w:rPr>
          <w:rFonts w:ascii="Arial" w:hAnsi="Arial" w:cs="Arial"/>
          <w:color w:val="000000"/>
          <w:sz w:val="24"/>
          <w:szCs w:val="24"/>
        </w:rPr>
        <w:t xml:space="preserve"> attached to the papers, but </w:t>
      </w:r>
      <w:r w:rsidRPr="00685D27">
        <w:rPr>
          <w:rFonts w:ascii="Arial" w:hAnsi="Arial" w:cs="Arial"/>
          <w:color w:val="000000"/>
          <w:sz w:val="24"/>
          <w:szCs w:val="24"/>
        </w:rPr>
        <w:t xml:space="preserve">it is in respect of a </w:t>
      </w:r>
      <w:r w:rsidR="0047678D" w:rsidRPr="00685D27">
        <w:rPr>
          <w:rFonts w:ascii="Arial" w:hAnsi="Arial" w:cs="Arial"/>
          <w:color w:val="000000"/>
          <w:sz w:val="24"/>
          <w:szCs w:val="24"/>
        </w:rPr>
        <w:t xml:space="preserve">different person, not the plaintiff. I am prepared to sanction the appointment of Mr. van Heerden, subject to his formally accepting the appointment as trustee. </w:t>
      </w:r>
      <w:r w:rsidRPr="00685D27">
        <w:rPr>
          <w:rFonts w:ascii="Arial" w:hAnsi="Arial" w:cs="Arial"/>
          <w:color w:val="000000"/>
          <w:sz w:val="24"/>
          <w:szCs w:val="24"/>
        </w:rPr>
        <w:t>The proposed name of the trust is the</w:t>
      </w:r>
      <w:r w:rsidR="000C32BE" w:rsidRPr="00685D27">
        <w:rPr>
          <w:rFonts w:ascii="Arial" w:hAnsi="Arial" w:cs="Arial"/>
          <w:color w:val="000000"/>
          <w:sz w:val="24"/>
          <w:szCs w:val="24"/>
        </w:rPr>
        <w:t xml:space="preserve"> WDJ VAN VUUREN TRUST.</w:t>
      </w:r>
    </w:p>
    <w:p w14:paraId="412BD8A2" w14:textId="77777777" w:rsidR="00685D27" w:rsidRPr="00685D27" w:rsidRDefault="00685D27" w:rsidP="00685D27">
      <w:pPr>
        <w:pStyle w:val="ListParagraph"/>
        <w:rPr>
          <w:rFonts w:ascii="Arial" w:hAnsi="Arial" w:cs="Arial"/>
          <w:color w:val="000000"/>
          <w:sz w:val="24"/>
          <w:szCs w:val="24"/>
        </w:rPr>
      </w:pPr>
    </w:p>
    <w:p w14:paraId="2ABC6A19" w14:textId="4CE5EC6F" w:rsidR="00685D27" w:rsidRPr="00685D27" w:rsidRDefault="007418D3" w:rsidP="00430CE5">
      <w:pPr>
        <w:pStyle w:val="ListParagraph"/>
        <w:numPr>
          <w:ilvl w:val="0"/>
          <w:numId w:val="10"/>
        </w:numPr>
        <w:spacing w:after="0" w:line="360" w:lineRule="auto"/>
        <w:ind w:left="851"/>
        <w:jc w:val="both"/>
        <w:rPr>
          <w:rFonts w:ascii="Arial" w:eastAsia="Arial" w:hAnsi="Arial" w:cs="Arial"/>
          <w:b/>
          <w:sz w:val="24"/>
          <w:szCs w:val="24"/>
          <w:lang w:val="en-GB"/>
        </w:rPr>
      </w:pPr>
      <w:r w:rsidRPr="00685D27">
        <w:rPr>
          <w:rFonts w:ascii="Arial" w:hAnsi="Arial" w:cs="Arial"/>
          <w:color w:val="000000"/>
          <w:sz w:val="24"/>
          <w:szCs w:val="24"/>
        </w:rPr>
        <w:t xml:space="preserve">This litigation was conducted on a contingency basis. The appropriate affidavits </w:t>
      </w:r>
      <w:r w:rsidR="00EC4B61" w:rsidRPr="00685D27">
        <w:rPr>
          <w:rFonts w:ascii="Arial" w:hAnsi="Arial" w:cs="Arial"/>
          <w:color w:val="000000"/>
          <w:sz w:val="24"/>
          <w:szCs w:val="24"/>
        </w:rPr>
        <w:t xml:space="preserve">were </w:t>
      </w:r>
      <w:r w:rsidRPr="00685D27">
        <w:rPr>
          <w:rFonts w:ascii="Arial" w:hAnsi="Arial" w:cs="Arial"/>
          <w:color w:val="000000"/>
          <w:sz w:val="24"/>
          <w:szCs w:val="24"/>
        </w:rPr>
        <w:t>filed and I</w:t>
      </w:r>
      <w:r w:rsidR="00EC4B61" w:rsidRPr="00685D27">
        <w:rPr>
          <w:rFonts w:ascii="Arial" w:hAnsi="Arial" w:cs="Arial"/>
          <w:color w:val="000000"/>
          <w:sz w:val="24"/>
          <w:szCs w:val="24"/>
        </w:rPr>
        <w:t xml:space="preserve"> am satis</w:t>
      </w:r>
      <w:r w:rsidRPr="00685D27">
        <w:rPr>
          <w:rFonts w:ascii="Arial" w:hAnsi="Arial" w:cs="Arial"/>
          <w:color w:val="000000"/>
          <w:sz w:val="24"/>
          <w:szCs w:val="24"/>
        </w:rPr>
        <w:t>fied that there has been complianc</w:t>
      </w:r>
      <w:r w:rsidR="00430CE5">
        <w:rPr>
          <w:rFonts w:ascii="Arial" w:hAnsi="Arial" w:cs="Arial"/>
          <w:color w:val="000000"/>
          <w:sz w:val="24"/>
          <w:szCs w:val="24"/>
        </w:rPr>
        <w:t>e with the Contingency Fees Act 66 of 1997.</w:t>
      </w:r>
    </w:p>
    <w:p w14:paraId="252C5F15" w14:textId="77777777" w:rsidR="00685D27" w:rsidRPr="00685D27" w:rsidRDefault="00685D27" w:rsidP="00685D27">
      <w:pPr>
        <w:pStyle w:val="ListParagraph"/>
        <w:rPr>
          <w:rFonts w:ascii="Arial" w:hAnsi="Arial" w:cs="Arial"/>
          <w:sz w:val="24"/>
          <w:szCs w:val="24"/>
        </w:rPr>
      </w:pPr>
    </w:p>
    <w:p w14:paraId="5E261E39" w14:textId="193F1C46" w:rsidR="00EF18F1" w:rsidRPr="00685D27" w:rsidRDefault="00EF18F1" w:rsidP="00430CE5">
      <w:pPr>
        <w:pStyle w:val="ListParagraph"/>
        <w:numPr>
          <w:ilvl w:val="0"/>
          <w:numId w:val="10"/>
        </w:numPr>
        <w:spacing w:after="0" w:line="360" w:lineRule="auto"/>
        <w:ind w:left="851"/>
        <w:jc w:val="both"/>
        <w:rPr>
          <w:rFonts w:ascii="Arial" w:eastAsia="Arial" w:hAnsi="Arial" w:cs="Arial"/>
          <w:b/>
          <w:sz w:val="24"/>
          <w:szCs w:val="24"/>
          <w:lang w:val="en-GB"/>
        </w:rPr>
      </w:pPr>
      <w:r w:rsidRPr="00685D27">
        <w:rPr>
          <w:rFonts w:ascii="Arial" w:hAnsi="Arial" w:cs="Arial"/>
          <w:sz w:val="24"/>
          <w:szCs w:val="24"/>
        </w:rPr>
        <w:t>I shall grant an order along the lines proposed in the draft order</w:t>
      </w:r>
      <w:r w:rsidR="009C118B" w:rsidRPr="00685D27">
        <w:rPr>
          <w:rFonts w:ascii="Arial" w:hAnsi="Arial" w:cs="Arial"/>
          <w:sz w:val="24"/>
          <w:szCs w:val="24"/>
        </w:rPr>
        <w:t xml:space="preserve">, </w:t>
      </w:r>
      <w:r w:rsidR="00EC4B61" w:rsidRPr="00685D27">
        <w:rPr>
          <w:rFonts w:ascii="Arial" w:hAnsi="Arial" w:cs="Arial"/>
          <w:sz w:val="24"/>
          <w:szCs w:val="24"/>
        </w:rPr>
        <w:t>also</w:t>
      </w:r>
      <w:r w:rsidR="009C118B" w:rsidRPr="00685D27">
        <w:rPr>
          <w:rFonts w:ascii="Arial" w:hAnsi="Arial" w:cs="Arial"/>
          <w:sz w:val="24"/>
          <w:szCs w:val="24"/>
        </w:rPr>
        <w:t xml:space="preserve"> in respect of costs.</w:t>
      </w:r>
      <w:r w:rsidRPr="00685D27">
        <w:rPr>
          <w:rFonts w:ascii="Arial" w:hAnsi="Arial" w:cs="Arial"/>
          <w:sz w:val="24"/>
          <w:szCs w:val="24"/>
        </w:rPr>
        <w:t xml:space="preserve"> </w:t>
      </w:r>
    </w:p>
    <w:p w14:paraId="2845ED08" w14:textId="77777777" w:rsidR="00EC4B61" w:rsidRDefault="00EC4B61" w:rsidP="00EC4B61">
      <w:pPr>
        <w:pStyle w:val="ListParagraph"/>
        <w:spacing w:line="480" w:lineRule="auto"/>
        <w:jc w:val="both"/>
        <w:rPr>
          <w:rFonts w:ascii="Arial" w:hAnsi="Arial" w:cs="Arial"/>
          <w:sz w:val="24"/>
          <w:szCs w:val="24"/>
        </w:rPr>
      </w:pPr>
    </w:p>
    <w:p w14:paraId="77626943" w14:textId="5F6BE170" w:rsidR="00EF18F1" w:rsidRPr="00C1202A" w:rsidRDefault="00E969F8" w:rsidP="00685D27">
      <w:pPr>
        <w:pStyle w:val="ListParagraph"/>
        <w:spacing w:line="480" w:lineRule="auto"/>
        <w:ind w:left="851"/>
        <w:jc w:val="both"/>
        <w:rPr>
          <w:rFonts w:ascii="Arial" w:hAnsi="Arial" w:cs="Arial"/>
          <w:b/>
          <w:sz w:val="24"/>
          <w:szCs w:val="24"/>
        </w:rPr>
      </w:pPr>
      <w:r w:rsidRPr="00C1202A">
        <w:rPr>
          <w:rFonts w:ascii="Arial" w:hAnsi="Arial" w:cs="Arial"/>
          <w:b/>
          <w:sz w:val="24"/>
          <w:szCs w:val="24"/>
        </w:rPr>
        <w:t>IN THE RESULT THE FOLLOWING ORDER IS MADE:</w:t>
      </w:r>
    </w:p>
    <w:p w14:paraId="2D0F553E" w14:textId="05BF49DC" w:rsidR="00D47969" w:rsidRDefault="00D47969" w:rsidP="00FA7899">
      <w:pPr>
        <w:spacing w:after="240" w:line="360" w:lineRule="auto"/>
        <w:ind w:left="851"/>
        <w:jc w:val="both"/>
        <w:rPr>
          <w:rFonts w:ascii="Arial" w:hAnsi="Arial" w:cs="Arial"/>
          <w:sz w:val="24"/>
          <w:szCs w:val="24"/>
          <w:lang w:val="en-GB"/>
        </w:rPr>
      </w:pPr>
      <w:r>
        <w:rPr>
          <w:rFonts w:ascii="Arial" w:hAnsi="Arial" w:cs="Arial"/>
          <w:sz w:val="24"/>
          <w:szCs w:val="24"/>
          <w:lang w:val="en-GB"/>
        </w:rPr>
        <w:t xml:space="preserve">1. </w:t>
      </w:r>
      <w:r w:rsidR="00C1202A" w:rsidRPr="00C1202A">
        <w:rPr>
          <w:rFonts w:ascii="Arial" w:hAnsi="Arial" w:cs="Arial"/>
          <w:sz w:val="24"/>
          <w:szCs w:val="24"/>
          <w:lang w:val="en-GB"/>
        </w:rPr>
        <w:t>The Defendant shall pay the sum of R</w:t>
      </w:r>
      <w:r w:rsidR="00EA769B">
        <w:rPr>
          <w:rFonts w:ascii="Arial" w:eastAsia="Arial" w:hAnsi="Arial" w:cs="Arial"/>
          <w:sz w:val="24"/>
          <w:szCs w:val="24"/>
          <w:lang w:val="en-GB"/>
        </w:rPr>
        <w:t xml:space="preserve"> 4</w:t>
      </w:r>
      <w:r w:rsidR="007D4C47">
        <w:rPr>
          <w:rFonts w:ascii="Arial" w:eastAsia="Arial" w:hAnsi="Arial" w:cs="Arial"/>
          <w:sz w:val="24"/>
          <w:szCs w:val="24"/>
          <w:lang w:val="en-GB"/>
        </w:rPr>
        <w:t>,</w:t>
      </w:r>
      <w:r w:rsidR="00EA769B">
        <w:rPr>
          <w:rFonts w:ascii="Arial" w:eastAsia="Arial" w:hAnsi="Arial" w:cs="Arial"/>
          <w:sz w:val="24"/>
          <w:szCs w:val="24"/>
          <w:lang w:val="en-GB"/>
        </w:rPr>
        <w:t>696</w:t>
      </w:r>
      <w:r w:rsidR="007D4C47">
        <w:rPr>
          <w:rFonts w:ascii="Arial" w:eastAsia="Arial" w:hAnsi="Arial" w:cs="Arial"/>
          <w:sz w:val="24"/>
          <w:szCs w:val="24"/>
          <w:lang w:val="en-GB"/>
        </w:rPr>
        <w:t>,</w:t>
      </w:r>
      <w:r w:rsidR="00EA769B">
        <w:rPr>
          <w:rFonts w:ascii="Arial" w:eastAsia="Arial" w:hAnsi="Arial" w:cs="Arial"/>
          <w:sz w:val="24"/>
          <w:szCs w:val="24"/>
          <w:lang w:val="en-GB"/>
        </w:rPr>
        <w:t>855</w:t>
      </w:r>
      <w:r w:rsidR="007D4C47">
        <w:rPr>
          <w:rFonts w:ascii="Arial" w:eastAsia="Arial" w:hAnsi="Arial" w:cs="Arial"/>
          <w:sz w:val="24"/>
          <w:szCs w:val="24"/>
          <w:lang w:val="en-GB"/>
        </w:rPr>
        <w:t xml:space="preserve"> </w:t>
      </w:r>
      <w:r w:rsidR="00C1202A" w:rsidRPr="00C1202A">
        <w:rPr>
          <w:rFonts w:ascii="Arial" w:hAnsi="Arial" w:cs="Arial"/>
          <w:sz w:val="24"/>
          <w:szCs w:val="24"/>
          <w:lang w:val="en-GB"/>
        </w:rPr>
        <w:t>(</w:t>
      </w:r>
      <w:r w:rsidR="007D4C47">
        <w:rPr>
          <w:rFonts w:ascii="Arial" w:hAnsi="Arial" w:cs="Arial"/>
          <w:sz w:val="24"/>
          <w:szCs w:val="24"/>
          <w:lang w:val="en-GB"/>
        </w:rPr>
        <w:t>FOUR MILLION, SIX HUNDRED NINETY</w:t>
      </w:r>
      <w:r w:rsidR="000B53BB">
        <w:rPr>
          <w:rFonts w:ascii="Arial" w:hAnsi="Arial" w:cs="Arial"/>
          <w:sz w:val="24"/>
          <w:szCs w:val="24"/>
          <w:lang w:val="en-GB"/>
        </w:rPr>
        <w:t>-</w:t>
      </w:r>
      <w:r w:rsidR="007D4C47">
        <w:rPr>
          <w:rFonts w:ascii="Arial" w:hAnsi="Arial" w:cs="Arial"/>
          <w:sz w:val="24"/>
          <w:szCs w:val="24"/>
          <w:lang w:val="en-GB"/>
        </w:rPr>
        <w:t xml:space="preserve">SIX THOUSAND, EIGHT HUNDRED </w:t>
      </w:r>
      <w:r w:rsidR="00D97539">
        <w:rPr>
          <w:rFonts w:ascii="Arial" w:hAnsi="Arial" w:cs="Arial"/>
          <w:sz w:val="24"/>
          <w:szCs w:val="24"/>
          <w:lang w:val="en-GB"/>
        </w:rPr>
        <w:t xml:space="preserve">AND </w:t>
      </w:r>
      <w:r w:rsidR="007D4C47">
        <w:rPr>
          <w:rFonts w:ascii="Arial" w:hAnsi="Arial" w:cs="Arial"/>
          <w:sz w:val="24"/>
          <w:szCs w:val="24"/>
          <w:lang w:val="en-GB"/>
        </w:rPr>
        <w:t>FIFTY</w:t>
      </w:r>
      <w:r w:rsidR="000B53BB">
        <w:rPr>
          <w:rFonts w:ascii="Arial" w:hAnsi="Arial" w:cs="Arial"/>
          <w:sz w:val="24"/>
          <w:szCs w:val="24"/>
          <w:lang w:val="en-GB"/>
        </w:rPr>
        <w:t>-</w:t>
      </w:r>
      <w:r w:rsidR="007D4C47">
        <w:rPr>
          <w:rFonts w:ascii="Arial" w:hAnsi="Arial" w:cs="Arial"/>
          <w:sz w:val="24"/>
          <w:szCs w:val="24"/>
          <w:lang w:val="en-GB"/>
        </w:rPr>
        <w:t>FIVE RAND)</w:t>
      </w:r>
      <w:r w:rsidR="00C1202A" w:rsidRPr="00C1202A">
        <w:rPr>
          <w:rFonts w:ascii="Arial" w:hAnsi="Arial" w:cs="Arial"/>
          <w:sz w:val="24"/>
          <w:szCs w:val="24"/>
          <w:lang w:val="en-GB"/>
        </w:rPr>
        <w:t xml:space="preserve"> to the Plaintiff’s attorneys, Erasmus de Klerk Inc., in settlement of the Plaintiff’s claim, which amount is calculated as follows:</w:t>
      </w:r>
    </w:p>
    <w:p w14:paraId="77C2AEE4" w14:textId="2E804B26" w:rsidR="00C1202A" w:rsidRPr="00C1202A" w:rsidRDefault="00C1202A" w:rsidP="00FA7899">
      <w:pPr>
        <w:spacing w:after="240" w:line="360" w:lineRule="auto"/>
        <w:ind w:firstLine="851"/>
        <w:jc w:val="both"/>
        <w:rPr>
          <w:rFonts w:ascii="Arial" w:hAnsi="Arial" w:cs="Arial"/>
          <w:sz w:val="24"/>
          <w:szCs w:val="24"/>
          <w:lang w:val="en-GB"/>
        </w:rPr>
      </w:pPr>
      <w:r w:rsidRPr="00C1202A">
        <w:rPr>
          <w:rFonts w:ascii="Arial" w:hAnsi="Arial" w:cs="Arial"/>
          <w:sz w:val="24"/>
          <w:szCs w:val="24"/>
          <w:lang w:val="en-GB"/>
        </w:rPr>
        <w:t>1.1 Loss of Income: R</w:t>
      </w:r>
      <w:r w:rsidR="000B53BB">
        <w:rPr>
          <w:rFonts w:ascii="Arial" w:hAnsi="Arial" w:cs="Arial"/>
          <w:sz w:val="24"/>
          <w:szCs w:val="24"/>
          <w:lang w:val="en-GB"/>
        </w:rPr>
        <w:t xml:space="preserve"> </w:t>
      </w:r>
      <w:r w:rsidR="00EA769B" w:rsidRPr="00C419CB">
        <w:rPr>
          <w:rFonts w:ascii="Arial" w:eastAsia="Arial" w:hAnsi="Arial" w:cs="Arial"/>
          <w:sz w:val="24"/>
          <w:szCs w:val="24"/>
          <w:lang w:val="en-GB"/>
        </w:rPr>
        <w:t>4</w:t>
      </w:r>
      <w:r w:rsidR="000B53BB">
        <w:rPr>
          <w:rFonts w:ascii="Arial" w:eastAsia="Arial" w:hAnsi="Arial" w:cs="Arial"/>
          <w:sz w:val="24"/>
          <w:szCs w:val="24"/>
          <w:lang w:val="en-GB"/>
        </w:rPr>
        <w:t>,</w:t>
      </w:r>
      <w:r w:rsidR="00EA769B" w:rsidRPr="00C419CB">
        <w:rPr>
          <w:rFonts w:ascii="Arial" w:eastAsia="Arial" w:hAnsi="Arial" w:cs="Arial"/>
          <w:sz w:val="24"/>
          <w:szCs w:val="24"/>
          <w:lang w:val="en-GB"/>
        </w:rPr>
        <w:t>196</w:t>
      </w:r>
      <w:r w:rsidR="000B53BB">
        <w:rPr>
          <w:rFonts w:ascii="Arial" w:eastAsia="Arial" w:hAnsi="Arial" w:cs="Arial"/>
          <w:sz w:val="24"/>
          <w:szCs w:val="24"/>
          <w:lang w:val="en-GB"/>
        </w:rPr>
        <w:t>,</w:t>
      </w:r>
      <w:r w:rsidR="00EA769B" w:rsidRPr="00C419CB">
        <w:rPr>
          <w:rFonts w:ascii="Arial" w:eastAsia="Arial" w:hAnsi="Arial" w:cs="Arial"/>
          <w:sz w:val="24"/>
          <w:szCs w:val="24"/>
          <w:lang w:val="en-GB"/>
        </w:rPr>
        <w:t>855</w:t>
      </w:r>
      <w:r w:rsidR="000B53BB">
        <w:rPr>
          <w:rFonts w:ascii="Arial" w:eastAsia="Arial" w:hAnsi="Arial" w:cs="Arial"/>
          <w:sz w:val="24"/>
          <w:szCs w:val="24"/>
          <w:lang w:val="en-GB"/>
        </w:rPr>
        <w:t>.</w:t>
      </w:r>
      <w:r w:rsidRPr="00C1202A">
        <w:rPr>
          <w:rFonts w:ascii="Arial" w:hAnsi="Arial" w:cs="Arial"/>
          <w:sz w:val="24"/>
          <w:szCs w:val="24"/>
          <w:lang w:val="en-GB"/>
        </w:rPr>
        <w:t xml:space="preserve"> </w:t>
      </w:r>
    </w:p>
    <w:p w14:paraId="02BC5C77" w14:textId="333BE074" w:rsidR="00C1202A" w:rsidRPr="00C1202A" w:rsidRDefault="00C1202A" w:rsidP="00FA7899">
      <w:pPr>
        <w:spacing w:after="240" w:line="360" w:lineRule="auto"/>
        <w:ind w:firstLine="851"/>
        <w:jc w:val="both"/>
        <w:rPr>
          <w:rFonts w:ascii="Arial" w:hAnsi="Arial" w:cs="Arial"/>
          <w:sz w:val="24"/>
          <w:szCs w:val="24"/>
          <w:lang w:val="en-GB"/>
        </w:rPr>
      </w:pPr>
      <w:r w:rsidRPr="00C1202A">
        <w:rPr>
          <w:rFonts w:ascii="Arial" w:hAnsi="Arial" w:cs="Arial"/>
          <w:sz w:val="24"/>
          <w:szCs w:val="24"/>
          <w:lang w:val="en-GB"/>
        </w:rPr>
        <w:t>1.2 General Damages: R 500</w:t>
      </w:r>
      <w:r w:rsidR="000B53BB">
        <w:rPr>
          <w:rFonts w:ascii="Arial" w:hAnsi="Arial" w:cs="Arial"/>
          <w:sz w:val="24"/>
          <w:szCs w:val="24"/>
          <w:lang w:val="en-GB"/>
        </w:rPr>
        <w:t>,</w:t>
      </w:r>
      <w:r w:rsidRPr="00C1202A">
        <w:rPr>
          <w:rFonts w:ascii="Arial" w:hAnsi="Arial" w:cs="Arial"/>
          <w:sz w:val="24"/>
          <w:szCs w:val="24"/>
          <w:lang w:val="en-GB"/>
        </w:rPr>
        <w:t>000</w:t>
      </w:r>
      <w:r w:rsidR="000B53BB">
        <w:rPr>
          <w:rFonts w:ascii="Arial" w:hAnsi="Arial" w:cs="Arial"/>
          <w:sz w:val="24"/>
          <w:szCs w:val="24"/>
          <w:lang w:val="en-GB"/>
        </w:rPr>
        <w:t>.</w:t>
      </w:r>
    </w:p>
    <w:p w14:paraId="0F33E99F" w14:textId="77777777" w:rsidR="00C1202A" w:rsidRPr="00C1202A"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The settlement amount shall be paid by direct transfer into the trust account of Plaintiff’s Attorneys, details of which are as follows: ERASMUS DE KLERK INC ABSA Bank Account number: 406 383 9468 Branch number: 632 005 Rosebank Ref.: J Erasmus/VAN VUUREN WDJ </w:t>
      </w:r>
    </w:p>
    <w:p w14:paraId="55962891" w14:textId="77777777" w:rsidR="00C1202A" w:rsidRPr="00C1202A"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2. The capital amount referred to in paragraph 1: </w:t>
      </w:r>
    </w:p>
    <w:p w14:paraId="7C9F2F2B" w14:textId="77777777" w:rsidR="00C1202A" w:rsidRPr="00C1202A"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2.1 will be payable within 180 days from date hereof; </w:t>
      </w:r>
    </w:p>
    <w:p w14:paraId="01E1856D" w14:textId="77777777" w:rsidR="00C1202A" w:rsidRPr="00C1202A"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2.2 will bear interest at the rate of 7.25% per annum calculated from and including the 15 (FIFTEENTH) calendar day after the date of this Order to and including the date of payment thereof. </w:t>
      </w:r>
    </w:p>
    <w:p w14:paraId="43C8635D" w14:textId="77777777" w:rsidR="00C1202A" w:rsidRPr="00C1202A"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3. The Defendant shall provide the Plaintiff with an Undertaking as envisaged in Section 17 (4) (a) of Act 56 of 1996, for 100% of the costs of the future accommodation in a hospital or nursing home and such treatment, services or goods as the plaintiff may require as a result of the injuries that she sustained as a result of the accident which occurred on 27 May 2016, as set out in the medico legal reports obtained on behalf of the Plaintiff, after such costs have been incurred and upon proof thereof, which costs shall include: </w:t>
      </w:r>
    </w:p>
    <w:p w14:paraId="7998CC89" w14:textId="5DB8FA78" w:rsidR="00C1202A" w:rsidRPr="00C1202A"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3.1 </w:t>
      </w:r>
      <w:r w:rsidR="002D6C57">
        <w:rPr>
          <w:rFonts w:ascii="Arial" w:hAnsi="Arial" w:cs="Arial"/>
          <w:sz w:val="24"/>
          <w:szCs w:val="24"/>
          <w:lang w:val="en-GB"/>
        </w:rPr>
        <w:tab/>
      </w:r>
      <w:r w:rsidRPr="00C1202A">
        <w:rPr>
          <w:rFonts w:ascii="Arial" w:hAnsi="Arial" w:cs="Arial"/>
          <w:sz w:val="24"/>
          <w:szCs w:val="24"/>
          <w:lang w:val="en-GB"/>
        </w:rPr>
        <w:t xml:space="preserve">The cost to be incurred in the establishment of a trust to inter alia protect, administer and/or manage the capital amount and the proceeds thereof referred to in paragraph 1; </w:t>
      </w:r>
    </w:p>
    <w:p w14:paraId="75EBAE3C" w14:textId="59721170" w:rsidR="00C1202A" w:rsidRPr="00C1202A"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3.2 </w:t>
      </w:r>
      <w:r w:rsidR="002D6C57">
        <w:rPr>
          <w:rFonts w:ascii="Arial" w:hAnsi="Arial" w:cs="Arial"/>
          <w:sz w:val="24"/>
          <w:szCs w:val="24"/>
          <w:lang w:val="en-GB"/>
        </w:rPr>
        <w:tab/>
      </w:r>
      <w:r w:rsidRPr="00C1202A">
        <w:rPr>
          <w:rFonts w:ascii="Arial" w:hAnsi="Arial" w:cs="Arial"/>
          <w:sz w:val="24"/>
          <w:szCs w:val="24"/>
          <w:lang w:val="en-GB"/>
        </w:rPr>
        <w:t xml:space="preserve">The remuneration of the trustee in administering the capital amount, which amounts to 1% per annum on the amount held in the trust. </w:t>
      </w:r>
    </w:p>
    <w:p w14:paraId="6D882769" w14:textId="0813E93B" w:rsidR="00C1202A" w:rsidRPr="00C1202A"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3.3 </w:t>
      </w:r>
      <w:r w:rsidR="002D6C57">
        <w:rPr>
          <w:rFonts w:ascii="Arial" w:hAnsi="Arial" w:cs="Arial"/>
          <w:sz w:val="24"/>
          <w:szCs w:val="24"/>
          <w:lang w:val="en-GB"/>
        </w:rPr>
        <w:tab/>
      </w:r>
      <w:r w:rsidRPr="00C1202A">
        <w:rPr>
          <w:rFonts w:ascii="Arial" w:hAnsi="Arial" w:cs="Arial"/>
          <w:sz w:val="24"/>
          <w:szCs w:val="24"/>
          <w:lang w:val="en-GB"/>
        </w:rPr>
        <w:t xml:space="preserve">The costs of the furnishing of annual security in terms of section 77 of the Administration of Estates Act, Act 687 of 1965 (as amended). </w:t>
      </w:r>
    </w:p>
    <w:p w14:paraId="3041E1E4" w14:textId="77777777" w:rsidR="002D6C57"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4. That the attorneys for the Plaintiff, Erasmus de Klerk Incorporated, are ordered: </w:t>
      </w:r>
    </w:p>
    <w:p w14:paraId="019AB975" w14:textId="7EE7335A" w:rsidR="002D6C57"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4.1 </w:t>
      </w:r>
      <w:r w:rsidR="002D6C57">
        <w:rPr>
          <w:rFonts w:ascii="Arial" w:hAnsi="Arial" w:cs="Arial"/>
          <w:sz w:val="24"/>
          <w:szCs w:val="24"/>
          <w:lang w:val="en-GB"/>
        </w:rPr>
        <w:tab/>
      </w:r>
      <w:r w:rsidRPr="00C1202A">
        <w:rPr>
          <w:rFonts w:ascii="Arial" w:hAnsi="Arial" w:cs="Arial"/>
          <w:sz w:val="24"/>
          <w:szCs w:val="24"/>
          <w:lang w:val="en-GB"/>
        </w:rPr>
        <w:t xml:space="preserve">To cause a trust (“the trust”) to be established in accordance with the Trust Property Control Act No. 57 of 1988, within six months of date of granting of this order and shall approach the above Honourable Court for condonation and further direction should the trust not be established within the said period of six months; </w:t>
      </w:r>
    </w:p>
    <w:p w14:paraId="39B18C3B" w14:textId="77777777" w:rsidR="001B7C49"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4.2 </w:t>
      </w:r>
      <w:r w:rsidR="002D6C57">
        <w:rPr>
          <w:rFonts w:ascii="Arial" w:hAnsi="Arial" w:cs="Arial"/>
          <w:sz w:val="24"/>
          <w:szCs w:val="24"/>
          <w:lang w:val="en-GB"/>
        </w:rPr>
        <w:tab/>
      </w:r>
      <w:r w:rsidRPr="00C1202A">
        <w:rPr>
          <w:rFonts w:ascii="Arial" w:hAnsi="Arial" w:cs="Arial"/>
          <w:sz w:val="24"/>
          <w:szCs w:val="24"/>
          <w:lang w:val="en-GB"/>
        </w:rPr>
        <w:t xml:space="preserve">To deposit all proceeds in terms hereof in an interest-bearing account, for the benefit of the Plaintiff, as contemplated in the Legal Practice Act, pending the establishment of the trust; </w:t>
      </w:r>
    </w:p>
    <w:p w14:paraId="51F6C330" w14:textId="7AF23A3F" w:rsidR="00C1202A" w:rsidRPr="00C1202A"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4.3 To pay all monies held in trust by them for the benefit of the plaintiff, immediately to the trust, upon creation of the trust. </w:t>
      </w:r>
    </w:p>
    <w:p w14:paraId="76F753BB" w14:textId="77777777" w:rsidR="002D6C57"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5. The trust instrument contemplated above shall make provision for the following: </w:t>
      </w:r>
    </w:p>
    <w:p w14:paraId="443636C9" w14:textId="77777777" w:rsidR="002D6C57"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5.1</w:t>
      </w:r>
      <w:r w:rsidR="002D6C57">
        <w:rPr>
          <w:rFonts w:ascii="Arial" w:hAnsi="Arial" w:cs="Arial"/>
          <w:sz w:val="24"/>
          <w:szCs w:val="24"/>
          <w:lang w:val="en-GB"/>
        </w:rPr>
        <w:tab/>
      </w:r>
      <w:r w:rsidRPr="00C1202A">
        <w:rPr>
          <w:rFonts w:ascii="Arial" w:hAnsi="Arial" w:cs="Arial"/>
          <w:sz w:val="24"/>
          <w:szCs w:val="24"/>
          <w:lang w:val="en-GB"/>
        </w:rPr>
        <w:t xml:space="preserve">that the plaintiff is the sole beneficiary of the trust during her lifetime and after her death, her lawful descendants; </w:t>
      </w:r>
    </w:p>
    <w:p w14:paraId="151E6CFA" w14:textId="77777777" w:rsidR="002D6C57"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5.2</w:t>
      </w:r>
      <w:r w:rsidR="002D6C57">
        <w:rPr>
          <w:rFonts w:ascii="Arial" w:hAnsi="Arial" w:cs="Arial"/>
          <w:sz w:val="24"/>
          <w:szCs w:val="24"/>
          <w:lang w:val="en-GB"/>
        </w:rPr>
        <w:tab/>
      </w:r>
      <w:r w:rsidRPr="00C1202A">
        <w:rPr>
          <w:rFonts w:ascii="Arial" w:hAnsi="Arial" w:cs="Arial"/>
          <w:sz w:val="24"/>
          <w:szCs w:val="24"/>
          <w:lang w:val="en-GB"/>
        </w:rPr>
        <w:t xml:space="preserve">that the first trustees shall be HJ van Heerden as representative of Enonix (Pty) Ltd; </w:t>
      </w:r>
    </w:p>
    <w:p w14:paraId="30E85D98" w14:textId="77777777" w:rsidR="002D6C57"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5.3</w:t>
      </w:r>
      <w:r w:rsidR="002D6C57">
        <w:rPr>
          <w:rFonts w:ascii="Arial" w:hAnsi="Arial" w:cs="Arial"/>
          <w:sz w:val="24"/>
          <w:szCs w:val="24"/>
          <w:lang w:val="en-GB"/>
        </w:rPr>
        <w:tab/>
      </w:r>
      <w:r w:rsidRPr="00C1202A">
        <w:rPr>
          <w:rFonts w:ascii="Arial" w:hAnsi="Arial" w:cs="Arial"/>
          <w:sz w:val="24"/>
          <w:szCs w:val="24"/>
          <w:lang w:val="en-GB"/>
        </w:rPr>
        <w:t xml:space="preserve">that the trustee(s) are to provide security to the satisfaction of the Master during the lifetime of the plaintiff; </w:t>
      </w:r>
    </w:p>
    <w:p w14:paraId="0D72946C" w14:textId="77777777" w:rsidR="002D6C57"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5.4</w:t>
      </w:r>
      <w:r w:rsidR="002D6C57">
        <w:rPr>
          <w:rFonts w:ascii="Arial" w:hAnsi="Arial" w:cs="Arial"/>
          <w:sz w:val="24"/>
          <w:szCs w:val="24"/>
          <w:lang w:val="en-GB"/>
        </w:rPr>
        <w:tab/>
      </w:r>
      <w:r w:rsidRPr="00C1202A">
        <w:rPr>
          <w:rFonts w:ascii="Arial" w:hAnsi="Arial" w:cs="Arial"/>
          <w:sz w:val="24"/>
          <w:szCs w:val="24"/>
          <w:lang w:val="en-GB"/>
        </w:rPr>
        <w:t xml:space="preserve">that the ownership of the trust property vest in the trustees of the trust in their capacity as trustees; </w:t>
      </w:r>
    </w:p>
    <w:p w14:paraId="1BBF7025" w14:textId="77777777" w:rsidR="002D6C57"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5.5</w:t>
      </w:r>
      <w:r w:rsidR="002D6C57">
        <w:rPr>
          <w:rFonts w:ascii="Arial" w:hAnsi="Arial" w:cs="Arial"/>
          <w:sz w:val="24"/>
          <w:szCs w:val="24"/>
          <w:lang w:val="en-GB"/>
        </w:rPr>
        <w:tab/>
      </w:r>
      <w:r w:rsidRPr="00C1202A">
        <w:rPr>
          <w:rFonts w:ascii="Arial" w:hAnsi="Arial" w:cs="Arial"/>
          <w:sz w:val="24"/>
          <w:szCs w:val="24"/>
          <w:lang w:val="en-GB"/>
        </w:rPr>
        <w:t xml:space="preserve">procedures to resolve any potential disputes; </w:t>
      </w:r>
    </w:p>
    <w:p w14:paraId="55FB58EB" w14:textId="77777777" w:rsidR="002D6C57"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5.6</w:t>
      </w:r>
      <w:r w:rsidR="002D6C57">
        <w:rPr>
          <w:rFonts w:ascii="Arial" w:hAnsi="Arial" w:cs="Arial"/>
          <w:sz w:val="24"/>
          <w:szCs w:val="24"/>
          <w:lang w:val="en-GB"/>
        </w:rPr>
        <w:tab/>
      </w:r>
      <w:r w:rsidRPr="00C1202A">
        <w:rPr>
          <w:rFonts w:ascii="Arial" w:hAnsi="Arial" w:cs="Arial"/>
          <w:sz w:val="24"/>
          <w:szCs w:val="24"/>
          <w:lang w:val="en-GB"/>
        </w:rPr>
        <w:t xml:space="preserve">that the trustees be authorised to recover the remuneration of, and costs incurred by the trustees, in administering the undertaking in terms of Section 17(4)(a) of Act 56 of 1996 in accordance with the certificate of undertaking to be provided by the Defendant; </w:t>
      </w:r>
    </w:p>
    <w:p w14:paraId="3BD7F7A0" w14:textId="77777777" w:rsidR="002D6C57"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5.7</w:t>
      </w:r>
      <w:r w:rsidR="002D6C57">
        <w:rPr>
          <w:rFonts w:ascii="Arial" w:hAnsi="Arial" w:cs="Arial"/>
          <w:sz w:val="24"/>
          <w:szCs w:val="24"/>
          <w:lang w:val="en-GB"/>
        </w:rPr>
        <w:tab/>
      </w:r>
      <w:r w:rsidRPr="00C1202A">
        <w:rPr>
          <w:rFonts w:ascii="Arial" w:hAnsi="Arial" w:cs="Arial"/>
          <w:sz w:val="24"/>
          <w:szCs w:val="24"/>
          <w:lang w:val="en-GB"/>
        </w:rPr>
        <w:t>that the amendment or termination of the trust instrument be subject to the leave of this Honourable Court during the lifetime of the plaintiff;</w:t>
      </w:r>
    </w:p>
    <w:p w14:paraId="6EE605BA" w14:textId="23B123D9" w:rsidR="00C1202A" w:rsidRPr="00C1202A"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5.8</w:t>
      </w:r>
      <w:r w:rsidR="002D6C57">
        <w:rPr>
          <w:rFonts w:ascii="Arial" w:hAnsi="Arial" w:cs="Arial"/>
          <w:sz w:val="24"/>
          <w:szCs w:val="24"/>
          <w:lang w:val="en-GB"/>
        </w:rPr>
        <w:tab/>
      </w:r>
      <w:r w:rsidRPr="00C1202A">
        <w:rPr>
          <w:rFonts w:ascii="Arial" w:hAnsi="Arial" w:cs="Arial"/>
          <w:sz w:val="24"/>
          <w:szCs w:val="24"/>
          <w:lang w:val="en-GB"/>
        </w:rPr>
        <w:t xml:space="preserve">that the trust property and the administration thereof be subject to an annual audit during the lifetime of the plaintiff. </w:t>
      </w:r>
    </w:p>
    <w:p w14:paraId="09769EB8" w14:textId="6E482C77" w:rsidR="00C1202A" w:rsidRPr="00C1202A"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6</w:t>
      </w:r>
      <w:r w:rsidR="00D47969">
        <w:rPr>
          <w:rFonts w:ascii="Arial" w:hAnsi="Arial" w:cs="Arial"/>
          <w:sz w:val="24"/>
          <w:szCs w:val="24"/>
          <w:lang w:val="en-GB"/>
        </w:rPr>
        <w:t>.</w:t>
      </w:r>
      <w:r w:rsidRPr="00C1202A">
        <w:rPr>
          <w:rFonts w:ascii="Arial" w:hAnsi="Arial" w:cs="Arial"/>
          <w:sz w:val="24"/>
          <w:szCs w:val="24"/>
          <w:lang w:val="en-GB"/>
        </w:rPr>
        <w:t xml:space="preserve"> Subject to the discretion of the Taxing Master, the Defendant must make payment of the Plaintiff’s taxed or agreed party and party costs on the High Court scale, which costs include (but not limited to): </w:t>
      </w:r>
    </w:p>
    <w:p w14:paraId="3AA2669C" w14:textId="77777777" w:rsidR="002D6C57"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6.1 The costs of senior-junior counsel (which is to include, inter alia, preparation, perusal, and counsel’s fees for 2 June 2022, 3 June 2022 and 10 June 2022); </w:t>
      </w:r>
    </w:p>
    <w:p w14:paraId="4B867634" w14:textId="5EA2BFA9" w:rsidR="002D6C57" w:rsidRDefault="00D47969" w:rsidP="002D6C57">
      <w:pPr>
        <w:spacing w:after="240" w:line="360" w:lineRule="auto"/>
        <w:ind w:left="851"/>
        <w:jc w:val="both"/>
        <w:rPr>
          <w:rFonts w:ascii="Arial" w:hAnsi="Arial" w:cs="Arial"/>
          <w:sz w:val="24"/>
          <w:szCs w:val="24"/>
          <w:lang w:val="en-GB"/>
        </w:rPr>
      </w:pPr>
      <w:r>
        <w:rPr>
          <w:rFonts w:ascii="Arial" w:hAnsi="Arial" w:cs="Arial"/>
          <w:sz w:val="24"/>
          <w:szCs w:val="24"/>
          <w:lang w:val="en-GB"/>
        </w:rPr>
        <w:t>6.2 The costs of attorney</w:t>
      </w:r>
      <w:r w:rsidR="00C1202A" w:rsidRPr="00C1202A">
        <w:rPr>
          <w:rFonts w:ascii="Arial" w:hAnsi="Arial" w:cs="Arial"/>
          <w:sz w:val="24"/>
          <w:szCs w:val="24"/>
          <w:lang w:val="en-GB"/>
        </w:rPr>
        <w:t xml:space="preserve">s; </w:t>
      </w:r>
    </w:p>
    <w:p w14:paraId="7C80B261" w14:textId="007184FB" w:rsidR="00C1202A" w:rsidRPr="00C1202A" w:rsidRDefault="00C1202A" w:rsidP="002D6C57">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6.3 All the cost in obtaining all medico legal/expert and actuarial reports, as well as the Plaintiff’s travelling in attending the Plaintiff’s experts, of the following Doctors or Experts: </w:t>
      </w:r>
    </w:p>
    <w:p w14:paraId="70482AD2" w14:textId="56EA3E56" w:rsidR="00C1202A" w:rsidRPr="00C1202A" w:rsidRDefault="00C1202A" w:rsidP="00E94AC2">
      <w:pPr>
        <w:spacing w:after="240" w:line="360" w:lineRule="auto"/>
        <w:ind w:left="720" w:firstLine="720"/>
        <w:jc w:val="both"/>
        <w:rPr>
          <w:rFonts w:ascii="Arial" w:hAnsi="Arial" w:cs="Arial"/>
          <w:sz w:val="24"/>
          <w:szCs w:val="24"/>
          <w:lang w:val="en-GB"/>
        </w:rPr>
      </w:pPr>
      <w:r w:rsidRPr="00C1202A">
        <w:rPr>
          <w:rFonts w:ascii="Arial" w:hAnsi="Arial" w:cs="Arial"/>
          <w:sz w:val="24"/>
          <w:szCs w:val="24"/>
          <w:lang w:val="en-GB"/>
        </w:rPr>
        <w:t xml:space="preserve">6.3.1 Dr C. Barlin (Orthopaedic Surgeon); </w:t>
      </w:r>
      <w:r w:rsidR="00E94AC2">
        <w:rPr>
          <w:rFonts w:ascii="Arial" w:hAnsi="Arial" w:cs="Arial"/>
          <w:sz w:val="24"/>
          <w:szCs w:val="24"/>
          <w:lang w:val="en-GB"/>
        </w:rPr>
        <w:tab/>
      </w:r>
    </w:p>
    <w:p w14:paraId="1B9FB699" w14:textId="77777777" w:rsidR="00C1202A" w:rsidRPr="00C1202A" w:rsidRDefault="00C1202A" w:rsidP="00E94AC2">
      <w:pPr>
        <w:spacing w:after="240" w:line="360" w:lineRule="auto"/>
        <w:ind w:left="720" w:firstLine="720"/>
        <w:jc w:val="both"/>
        <w:rPr>
          <w:rFonts w:ascii="Arial" w:hAnsi="Arial" w:cs="Arial"/>
          <w:sz w:val="24"/>
          <w:szCs w:val="24"/>
          <w:lang w:val="en-GB"/>
        </w:rPr>
      </w:pPr>
      <w:r w:rsidRPr="00C1202A">
        <w:rPr>
          <w:rFonts w:ascii="Arial" w:hAnsi="Arial" w:cs="Arial"/>
          <w:sz w:val="24"/>
          <w:szCs w:val="24"/>
          <w:lang w:val="en-GB"/>
        </w:rPr>
        <w:t xml:space="preserve">6.3.2 Dr D Koton (Dentist); </w:t>
      </w:r>
    </w:p>
    <w:p w14:paraId="592CCC3E" w14:textId="77777777" w:rsidR="00C1202A" w:rsidRPr="00C1202A" w:rsidRDefault="00C1202A" w:rsidP="00E94AC2">
      <w:pPr>
        <w:spacing w:after="240" w:line="360" w:lineRule="auto"/>
        <w:ind w:left="720" w:firstLine="720"/>
        <w:jc w:val="both"/>
        <w:rPr>
          <w:rFonts w:ascii="Arial" w:hAnsi="Arial" w:cs="Arial"/>
          <w:sz w:val="24"/>
          <w:szCs w:val="24"/>
          <w:lang w:val="en-GB"/>
        </w:rPr>
      </w:pPr>
      <w:r w:rsidRPr="00C1202A">
        <w:rPr>
          <w:rFonts w:ascii="Arial" w:hAnsi="Arial" w:cs="Arial"/>
          <w:sz w:val="24"/>
          <w:szCs w:val="24"/>
          <w:lang w:val="en-GB"/>
        </w:rPr>
        <w:t xml:space="preserve">6.3.3 Dr JH Kruger (Neurosurgeon); </w:t>
      </w:r>
    </w:p>
    <w:p w14:paraId="26A45D5D" w14:textId="77777777" w:rsidR="00C1202A" w:rsidRPr="00C1202A" w:rsidRDefault="00C1202A" w:rsidP="00E94AC2">
      <w:pPr>
        <w:spacing w:after="240" w:line="360" w:lineRule="auto"/>
        <w:ind w:left="720" w:firstLine="720"/>
        <w:jc w:val="both"/>
        <w:rPr>
          <w:rFonts w:ascii="Arial" w:hAnsi="Arial" w:cs="Arial"/>
          <w:sz w:val="24"/>
          <w:szCs w:val="24"/>
          <w:lang w:val="en-GB"/>
        </w:rPr>
      </w:pPr>
      <w:r w:rsidRPr="00C1202A">
        <w:rPr>
          <w:rFonts w:ascii="Arial" w:hAnsi="Arial" w:cs="Arial"/>
          <w:sz w:val="24"/>
          <w:szCs w:val="24"/>
          <w:lang w:val="en-GB"/>
        </w:rPr>
        <w:t xml:space="preserve">6.3.4 Trevor Reynolds (Clinical Psychologist); </w:t>
      </w:r>
    </w:p>
    <w:p w14:paraId="0A9E6F69" w14:textId="77777777" w:rsidR="00C1202A" w:rsidRPr="00C1202A" w:rsidRDefault="00C1202A" w:rsidP="00E94AC2">
      <w:pPr>
        <w:spacing w:after="240" w:line="360" w:lineRule="auto"/>
        <w:ind w:left="720" w:firstLine="720"/>
        <w:jc w:val="both"/>
        <w:rPr>
          <w:rFonts w:ascii="Arial" w:hAnsi="Arial" w:cs="Arial"/>
          <w:sz w:val="24"/>
          <w:szCs w:val="24"/>
          <w:lang w:val="en-GB"/>
        </w:rPr>
      </w:pPr>
      <w:r w:rsidRPr="00C1202A">
        <w:rPr>
          <w:rFonts w:ascii="Arial" w:hAnsi="Arial" w:cs="Arial"/>
          <w:sz w:val="24"/>
          <w:szCs w:val="24"/>
          <w:lang w:val="en-GB"/>
        </w:rPr>
        <w:t xml:space="preserve">6.3.5 Dr M Close (Psychiatrist) </w:t>
      </w:r>
    </w:p>
    <w:p w14:paraId="21AC74DE" w14:textId="77777777" w:rsidR="00E94AC2" w:rsidRPr="00A660FB" w:rsidRDefault="00C1202A" w:rsidP="00E94AC2">
      <w:pPr>
        <w:spacing w:after="240" w:line="360" w:lineRule="auto"/>
        <w:ind w:left="720" w:firstLine="720"/>
        <w:jc w:val="both"/>
        <w:rPr>
          <w:rFonts w:ascii="Arial" w:hAnsi="Arial" w:cs="Arial"/>
          <w:sz w:val="24"/>
          <w:szCs w:val="24"/>
          <w:lang w:val="en-GB"/>
        </w:rPr>
      </w:pPr>
      <w:r w:rsidRPr="00A660FB">
        <w:rPr>
          <w:rFonts w:ascii="Arial" w:hAnsi="Arial" w:cs="Arial"/>
          <w:sz w:val="24"/>
          <w:szCs w:val="24"/>
          <w:lang w:val="en-GB"/>
        </w:rPr>
        <w:t xml:space="preserve">6.3.6 Alison Crosbie Inc – Franja Burger (Occupational Therapist); </w:t>
      </w:r>
    </w:p>
    <w:p w14:paraId="1CDBFB13" w14:textId="7E233C0F" w:rsidR="00E94AC2" w:rsidRDefault="00D47969" w:rsidP="00E94AC2">
      <w:pPr>
        <w:spacing w:after="240" w:line="360" w:lineRule="auto"/>
        <w:ind w:left="720" w:firstLine="720"/>
        <w:jc w:val="both"/>
        <w:rPr>
          <w:rFonts w:ascii="Arial" w:hAnsi="Arial" w:cs="Arial"/>
          <w:sz w:val="24"/>
          <w:szCs w:val="24"/>
          <w:lang w:val="en-GB"/>
        </w:rPr>
      </w:pPr>
      <w:r w:rsidRPr="00A660FB">
        <w:rPr>
          <w:rFonts w:ascii="Arial" w:hAnsi="Arial" w:cs="Arial"/>
          <w:sz w:val="24"/>
          <w:szCs w:val="24"/>
          <w:lang w:val="en-GB"/>
        </w:rPr>
        <w:t>6.3.7</w:t>
      </w:r>
      <w:r w:rsidR="00C1202A" w:rsidRPr="00A660FB">
        <w:rPr>
          <w:rFonts w:ascii="Arial" w:hAnsi="Arial" w:cs="Arial"/>
          <w:sz w:val="24"/>
          <w:szCs w:val="24"/>
          <w:lang w:val="en-GB"/>
        </w:rPr>
        <w:t xml:space="preserve"> Louis Linde (Industrial Psychologist);</w:t>
      </w:r>
      <w:r w:rsidR="00C1202A" w:rsidRPr="00C1202A">
        <w:rPr>
          <w:rFonts w:ascii="Arial" w:hAnsi="Arial" w:cs="Arial"/>
          <w:sz w:val="24"/>
          <w:szCs w:val="24"/>
          <w:lang w:val="en-GB"/>
        </w:rPr>
        <w:t xml:space="preserve"> </w:t>
      </w:r>
    </w:p>
    <w:p w14:paraId="158D3E88" w14:textId="58347533" w:rsidR="00E94AC2" w:rsidRDefault="00D47969" w:rsidP="00E94AC2">
      <w:pPr>
        <w:spacing w:after="240" w:line="360" w:lineRule="auto"/>
        <w:ind w:left="720" w:firstLine="720"/>
        <w:jc w:val="both"/>
        <w:rPr>
          <w:rFonts w:ascii="Arial" w:hAnsi="Arial" w:cs="Arial"/>
          <w:sz w:val="24"/>
          <w:szCs w:val="24"/>
          <w:lang w:val="en-GB"/>
        </w:rPr>
      </w:pPr>
      <w:r>
        <w:rPr>
          <w:rFonts w:ascii="Arial" w:hAnsi="Arial" w:cs="Arial"/>
          <w:sz w:val="24"/>
          <w:szCs w:val="24"/>
          <w:lang w:val="en-GB"/>
        </w:rPr>
        <w:t>6.3.8</w:t>
      </w:r>
      <w:r w:rsidR="00C1202A" w:rsidRPr="00C1202A">
        <w:rPr>
          <w:rFonts w:ascii="Arial" w:hAnsi="Arial" w:cs="Arial"/>
          <w:sz w:val="24"/>
          <w:szCs w:val="24"/>
          <w:lang w:val="en-GB"/>
        </w:rPr>
        <w:t xml:space="preserve"> Algorithm Actuaries &amp; Consultants - G.A. Whittaker (Actuary). </w:t>
      </w:r>
    </w:p>
    <w:p w14:paraId="2F1276F5" w14:textId="77777777" w:rsidR="00D47969"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6.4 The above costs will also be paid into the aforementioned trust account. </w:t>
      </w:r>
    </w:p>
    <w:p w14:paraId="3A66AFA8" w14:textId="783C655D" w:rsidR="00D47969" w:rsidRDefault="00D47969" w:rsidP="00FA7899">
      <w:pPr>
        <w:spacing w:after="240" w:line="360" w:lineRule="auto"/>
        <w:ind w:left="851"/>
        <w:jc w:val="both"/>
        <w:rPr>
          <w:rFonts w:ascii="Arial" w:hAnsi="Arial" w:cs="Arial"/>
          <w:sz w:val="24"/>
          <w:szCs w:val="24"/>
          <w:lang w:val="en-GB"/>
        </w:rPr>
      </w:pPr>
      <w:r>
        <w:rPr>
          <w:rFonts w:ascii="Arial" w:hAnsi="Arial" w:cs="Arial"/>
          <w:sz w:val="24"/>
          <w:szCs w:val="24"/>
          <w:lang w:val="en-GB"/>
        </w:rPr>
        <w:t xml:space="preserve">7. </w:t>
      </w:r>
      <w:r w:rsidR="00C1202A" w:rsidRPr="00C1202A">
        <w:rPr>
          <w:rFonts w:ascii="Arial" w:hAnsi="Arial" w:cs="Arial"/>
          <w:sz w:val="24"/>
          <w:szCs w:val="24"/>
          <w:lang w:val="en-GB"/>
        </w:rPr>
        <w:t xml:space="preserve">The Plaintiff’s attorneys shall be entitled to make payment of expenses incurred in respect of accounts rendered by: - </w:t>
      </w:r>
    </w:p>
    <w:p w14:paraId="21880FF5" w14:textId="77777777" w:rsidR="00D47969"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7.1 the expert witnesses set out in paragraph 6.3 supra; and </w:t>
      </w:r>
    </w:p>
    <w:p w14:paraId="0932AC9C" w14:textId="0CA1BBBC" w:rsidR="00D47969"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7.2 counsel employed on behalf of the Plaintiff, from the aforesaid funds held by them for the benefit of the Plaintiff</w:t>
      </w:r>
      <w:r w:rsidR="00E77A83">
        <w:rPr>
          <w:rFonts w:ascii="Arial" w:hAnsi="Arial" w:cs="Arial"/>
          <w:sz w:val="24"/>
          <w:szCs w:val="24"/>
          <w:lang w:val="en-GB"/>
        </w:rPr>
        <w:t>.</w:t>
      </w:r>
    </w:p>
    <w:p w14:paraId="478BF7BF" w14:textId="0A99A121" w:rsidR="00D47969"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8</w:t>
      </w:r>
      <w:r w:rsidR="00D47969">
        <w:rPr>
          <w:rFonts w:ascii="Arial" w:hAnsi="Arial" w:cs="Arial"/>
          <w:sz w:val="24"/>
          <w:szCs w:val="24"/>
          <w:lang w:val="en-GB"/>
        </w:rPr>
        <w:t>.</w:t>
      </w:r>
      <w:r w:rsidRPr="00C1202A">
        <w:rPr>
          <w:rFonts w:ascii="Arial" w:hAnsi="Arial" w:cs="Arial"/>
          <w:sz w:val="24"/>
          <w:szCs w:val="24"/>
          <w:lang w:val="en-GB"/>
        </w:rPr>
        <w:t xml:space="preserve"> The Plaintiff’s attorneys shall not recover their fee until such time as the party and party bill of costs has been taxed. </w:t>
      </w:r>
    </w:p>
    <w:p w14:paraId="69B04585" w14:textId="42C72E4E" w:rsidR="00D47969"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9</w:t>
      </w:r>
      <w:r w:rsidR="00D47969">
        <w:rPr>
          <w:rFonts w:ascii="Arial" w:hAnsi="Arial" w:cs="Arial"/>
          <w:sz w:val="24"/>
          <w:szCs w:val="24"/>
          <w:lang w:val="en-GB"/>
        </w:rPr>
        <w:t>.</w:t>
      </w:r>
      <w:r w:rsidRPr="00C1202A">
        <w:rPr>
          <w:rFonts w:ascii="Arial" w:hAnsi="Arial" w:cs="Arial"/>
          <w:sz w:val="24"/>
          <w:szCs w:val="24"/>
          <w:lang w:val="en-GB"/>
        </w:rPr>
        <w:t xml:space="preserve"> The following provisions will apply with regards to the determination of the aforementioned taxed or agreed costs:- </w:t>
      </w:r>
    </w:p>
    <w:p w14:paraId="70330079" w14:textId="77777777" w:rsidR="00D47969"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9.1 The Plaintiff shall serve the notice of taxation on the Defendant’s attorney of record; </w:t>
      </w:r>
    </w:p>
    <w:p w14:paraId="507CB30B" w14:textId="77777777" w:rsidR="00D47969"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 xml:space="preserve">9.2 The Plaintiff shall allow the Defendant 14 (FOURTEEN) court days to make payment of the taxed costs from date of settlement or taxation thereof; </w:t>
      </w:r>
    </w:p>
    <w:p w14:paraId="1DA30D2C" w14:textId="63E4E239" w:rsidR="00EC4B61" w:rsidRPr="00E94AC2" w:rsidRDefault="00C1202A" w:rsidP="00FA7899">
      <w:pPr>
        <w:spacing w:after="240" w:line="360" w:lineRule="auto"/>
        <w:ind w:left="851"/>
        <w:jc w:val="both"/>
        <w:rPr>
          <w:rFonts w:ascii="Arial" w:hAnsi="Arial" w:cs="Arial"/>
          <w:sz w:val="24"/>
          <w:szCs w:val="24"/>
          <w:lang w:val="en-GB"/>
        </w:rPr>
      </w:pPr>
      <w:r w:rsidRPr="00C1202A">
        <w:rPr>
          <w:rFonts w:ascii="Arial" w:hAnsi="Arial" w:cs="Arial"/>
          <w:sz w:val="24"/>
          <w:szCs w:val="24"/>
          <w:lang w:val="en-GB"/>
        </w:rPr>
        <w:t>9.3 Should payment not be affected timeously, Plaintiff will be entitled to recover interest at the prescribed rate of 7.25% on the taxed or agreed costs from date of allocator to date of final payment.</w:t>
      </w:r>
    </w:p>
    <w:p w14:paraId="19A5F712" w14:textId="77777777" w:rsidR="00542061" w:rsidRPr="007803A6" w:rsidRDefault="00C30326">
      <w:pPr>
        <w:spacing w:line="360" w:lineRule="auto"/>
        <w:jc w:val="both"/>
        <w:rPr>
          <w:rFonts w:ascii="Arial" w:hAnsi="Arial" w:cs="Arial"/>
          <w:sz w:val="24"/>
          <w:szCs w:val="24"/>
        </w:rPr>
      </w:pPr>
      <w:r w:rsidRPr="007803A6">
        <w:rPr>
          <w:rFonts w:ascii="Arial" w:eastAsia="Arial" w:hAnsi="Arial" w:cs="Arial"/>
          <w:sz w:val="24"/>
          <w:szCs w:val="24"/>
        </w:rPr>
        <w:t xml:space="preserve">                                                                                                                                                                                             </w:t>
      </w:r>
    </w:p>
    <w:p w14:paraId="0F042477" w14:textId="2FA424A9" w:rsidR="00542061" w:rsidRPr="007803A6" w:rsidRDefault="00C30326" w:rsidP="00430CE5">
      <w:pPr>
        <w:pBdr>
          <w:top w:val="nil"/>
          <w:left w:val="nil"/>
          <w:bottom w:val="nil"/>
          <w:right w:val="nil"/>
          <w:between w:val="nil"/>
        </w:pBdr>
        <w:ind w:left="720"/>
        <w:jc w:val="right"/>
        <w:rPr>
          <w:rFonts w:ascii="Arial" w:hAnsi="Arial" w:cs="Arial"/>
          <w:color w:val="000000"/>
          <w:sz w:val="24"/>
          <w:szCs w:val="24"/>
        </w:rPr>
      </w:pPr>
      <w:r w:rsidRPr="007803A6">
        <w:rPr>
          <w:rFonts w:ascii="Arial" w:hAnsi="Arial" w:cs="Arial"/>
          <w:color w:val="000000"/>
          <w:sz w:val="24"/>
          <w:szCs w:val="24"/>
        </w:rPr>
        <w:t xml:space="preserve">                                                                           </w:t>
      </w:r>
    </w:p>
    <w:p w14:paraId="2CF7A22D" w14:textId="77777777" w:rsidR="00542061" w:rsidRPr="007803A6" w:rsidRDefault="00C30326">
      <w:pPr>
        <w:spacing w:after="0"/>
        <w:jc w:val="center"/>
        <w:rPr>
          <w:rFonts w:ascii="Arial" w:eastAsia="Arial" w:hAnsi="Arial" w:cs="Arial"/>
          <w:sz w:val="24"/>
          <w:szCs w:val="24"/>
          <w:u w:val="single"/>
        </w:rPr>
      </w:pPr>
      <w:r w:rsidRPr="007803A6">
        <w:rPr>
          <w:rFonts w:ascii="Arial" w:eastAsia="Arial" w:hAnsi="Arial" w:cs="Arial"/>
          <w:sz w:val="24"/>
          <w:szCs w:val="24"/>
        </w:rPr>
        <w:t xml:space="preserve">                                                                                            _____________________</w:t>
      </w:r>
    </w:p>
    <w:p w14:paraId="331573FC" w14:textId="7E077B48" w:rsidR="00542061" w:rsidRPr="007803A6" w:rsidRDefault="00C30326">
      <w:pPr>
        <w:spacing w:after="0"/>
        <w:jc w:val="center"/>
        <w:rPr>
          <w:rFonts w:ascii="Arial" w:eastAsia="Arial" w:hAnsi="Arial" w:cs="Arial"/>
          <w:b/>
          <w:sz w:val="24"/>
          <w:szCs w:val="24"/>
        </w:rPr>
      </w:pPr>
      <w:r w:rsidRPr="007803A6">
        <w:rPr>
          <w:rFonts w:ascii="Arial" w:eastAsia="Arial" w:hAnsi="Arial" w:cs="Arial"/>
          <w:sz w:val="24"/>
          <w:szCs w:val="24"/>
        </w:rPr>
        <w:t xml:space="preserve">                                                                     </w:t>
      </w:r>
      <w:r w:rsidR="009B2A32" w:rsidRPr="007803A6">
        <w:rPr>
          <w:rFonts w:ascii="Arial" w:eastAsia="Arial" w:hAnsi="Arial" w:cs="Arial"/>
          <w:sz w:val="24"/>
          <w:szCs w:val="24"/>
        </w:rPr>
        <w:t xml:space="preserve">                                                 </w:t>
      </w:r>
      <w:r w:rsidR="009D1C71" w:rsidRPr="007803A6">
        <w:rPr>
          <w:rFonts w:ascii="Arial" w:eastAsia="Arial" w:hAnsi="Arial" w:cs="Arial"/>
          <w:sz w:val="24"/>
          <w:szCs w:val="24"/>
        </w:rPr>
        <w:t xml:space="preserve">  </w:t>
      </w:r>
      <w:r w:rsidR="009D1C71" w:rsidRPr="007803A6">
        <w:rPr>
          <w:rFonts w:ascii="Arial" w:eastAsia="Arial" w:hAnsi="Arial" w:cs="Arial"/>
          <w:b/>
          <w:bCs/>
          <w:sz w:val="24"/>
          <w:szCs w:val="24"/>
        </w:rPr>
        <w:t xml:space="preserve">M </w:t>
      </w:r>
      <w:r w:rsidR="00002779" w:rsidRPr="007803A6">
        <w:rPr>
          <w:rFonts w:ascii="Arial" w:eastAsia="Arial" w:hAnsi="Arial" w:cs="Arial"/>
          <w:b/>
          <w:sz w:val="24"/>
          <w:szCs w:val="24"/>
        </w:rPr>
        <w:t>Olivier</w:t>
      </w:r>
      <w:r w:rsidRPr="007803A6">
        <w:rPr>
          <w:rFonts w:ascii="Arial" w:eastAsia="Arial" w:hAnsi="Arial" w:cs="Arial"/>
          <w:b/>
          <w:sz w:val="24"/>
          <w:szCs w:val="24"/>
        </w:rPr>
        <w:t xml:space="preserve"> </w:t>
      </w:r>
    </w:p>
    <w:p w14:paraId="590F6A01" w14:textId="622A45B9" w:rsidR="00542061" w:rsidRPr="007803A6" w:rsidRDefault="00C30326" w:rsidP="00002779">
      <w:pPr>
        <w:spacing w:after="0"/>
        <w:rPr>
          <w:rFonts w:ascii="Arial" w:eastAsia="Arial" w:hAnsi="Arial" w:cs="Arial"/>
          <w:b/>
          <w:sz w:val="24"/>
          <w:szCs w:val="24"/>
        </w:rPr>
      </w:pPr>
      <w:r w:rsidRPr="007803A6">
        <w:rPr>
          <w:rFonts w:ascii="Arial" w:eastAsia="Arial" w:hAnsi="Arial" w:cs="Arial"/>
          <w:b/>
          <w:sz w:val="24"/>
          <w:szCs w:val="24"/>
        </w:rPr>
        <w:t xml:space="preserve">                                                                         </w:t>
      </w:r>
      <w:r w:rsidR="009B2A32" w:rsidRPr="007803A6">
        <w:rPr>
          <w:rFonts w:ascii="Arial" w:eastAsia="Arial" w:hAnsi="Arial" w:cs="Arial"/>
          <w:b/>
          <w:sz w:val="24"/>
          <w:szCs w:val="24"/>
        </w:rPr>
        <w:t xml:space="preserve">         </w:t>
      </w:r>
      <w:r w:rsidR="00002779" w:rsidRPr="007803A6">
        <w:rPr>
          <w:rFonts w:ascii="Arial" w:eastAsia="Arial" w:hAnsi="Arial" w:cs="Arial"/>
          <w:b/>
          <w:sz w:val="24"/>
          <w:szCs w:val="24"/>
        </w:rPr>
        <w:t xml:space="preserve">Acting </w:t>
      </w:r>
      <w:r w:rsidRPr="007803A6">
        <w:rPr>
          <w:rFonts w:ascii="Arial" w:eastAsia="Arial" w:hAnsi="Arial" w:cs="Arial"/>
          <w:b/>
          <w:sz w:val="24"/>
          <w:szCs w:val="24"/>
        </w:rPr>
        <w:t xml:space="preserve">Judge of the High Court             </w:t>
      </w:r>
    </w:p>
    <w:p w14:paraId="3F6291F0" w14:textId="58C85563" w:rsidR="00542061" w:rsidRPr="007803A6" w:rsidRDefault="00C30326">
      <w:pPr>
        <w:spacing w:after="0"/>
        <w:jc w:val="center"/>
        <w:rPr>
          <w:rFonts w:ascii="Arial" w:eastAsia="Arial" w:hAnsi="Arial" w:cs="Arial"/>
          <w:b/>
          <w:sz w:val="24"/>
          <w:szCs w:val="24"/>
        </w:rPr>
      </w:pPr>
      <w:r w:rsidRPr="007803A6">
        <w:rPr>
          <w:rFonts w:ascii="Arial" w:eastAsia="Arial" w:hAnsi="Arial" w:cs="Arial"/>
          <w:b/>
          <w:sz w:val="24"/>
          <w:szCs w:val="24"/>
        </w:rPr>
        <w:t xml:space="preserve">                                                   </w:t>
      </w:r>
      <w:r w:rsidR="009B2A32" w:rsidRPr="007803A6">
        <w:rPr>
          <w:rFonts w:ascii="Arial" w:eastAsia="Arial" w:hAnsi="Arial" w:cs="Arial"/>
          <w:b/>
          <w:sz w:val="24"/>
          <w:szCs w:val="24"/>
        </w:rPr>
        <w:t xml:space="preserve">                 </w:t>
      </w:r>
      <w:r w:rsidR="00A660FB">
        <w:rPr>
          <w:rFonts w:ascii="Arial" w:eastAsia="Arial" w:hAnsi="Arial" w:cs="Arial"/>
          <w:b/>
          <w:sz w:val="24"/>
          <w:szCs w:val="24"/>
        </w:rPr>
        <w:t xml:space="preserve">        </w:t>
      </w:r>
      <w:r w:rsidRPr="007803A6">
        <w:rPr>
          <w:rFonts w:ascii="Arial" w:eastAsia="Arial" w:hAnsi="Arial" w:cs="Arial"/>
          <w:b/>
          <w:sz w:val="24"/>
          <w:szCs w:val="24"/>
        </w:rPr>
        <w:t>Gauteng Division</w:t>
      </w:r>
      <w:r w:rsidR="008630B4" w:rsidRPr="007803A6">
        <w:rPr>
          <w:rFonts w:ascii="Arial" w:eastAsia="Arial" w:hAnsi="Arial" w:cs="Arial"/>
          <w:b/>
          <w:sz w:val="24"/>
          <w:szCs w:val="24"/>
        </w:rPr>
        <w:t>, Johannesburg</w:t>
      </w:r>
    </w:p>
    <w:p w14:paraId="43857B67" w14:textId="77777777" w:rsidR="00542061" w:rsidRPr="007803A6" w:rsidRDefault="00542061">
      <w:pPr>
        <w:spacing w:after="0"/>
        <w:rPr>
          <w:rFonts w:ascii="Arial" w:eastAsia="Arial" w:hAnsi="Arial" w:cs="Arial"/>
          <w:sz w:val="24"/>
          <w:szCs w:val="24"/>
        </w:rPr>
      </w:pPr>
    </w:p>
    <w:p w14:paraId="72DC08BD" w14:textId="77777777" w:rsidR="00542061" w:rsidRPr="007803A6" w:rsidRDefault="00542061">
      <w:pPr>
        <w:spacing w:after="0"/>
        <w:rPr>
          <w:rFonts w:ascii="Arial" w:eastAsia="Arial" w:hAnsi="Arial" w:cs="Arial"/>
          <w:sz w:val="24"/>
          <w:szCs w:val="24"/>
        </w:rPr>
      </w:pPr>
    </w:p>
    <w:p w14:paraId="50AD69D4" w14:textId="7D0DA6F0" w:rsidR="00B34123" w:rsidRPr="007803A6" w:rsidRDefault="00B34123" w:rsidP="00B34123">
      <w:pPr>
        <w:spacing w:line="360" w:lineRule="auto"/>
        <w:jc w:val="both"/>
        <w:rPr>
          <w:rFonts w:ascii="Arial" w:hAnsi="Arial" w:cs="Arial"/>
          <w:i/>
          <w:iCs/>
          <w:sz w:val="24"/>
          <w:szCs w:val="24"/>
        </w:rPr>
      </w:pPr>
      <w:r w:rsidRPr="007803A6">
        <w:rPr>
          <w:rFonts w:ascii="Arial" w:hAnsi="Arial" w:cs="Arial"/>
          <w:i/>
          <w:sz w:val="24"/>
          <w:szCs w:val="24"/>
        </w:rPr>
        <w:t>This judgment was handed down electronicall</w:t>
      </w:r>
      <w:r w:rsidR="001751FB">
        <w:rPr>
          <w:rFonts w:ascii="Arial" w:hAnsi="Arial" w:cs="Arial"/>
          <w:i/>
          <w:sz w:val="24"/>
          <w:szCs w:val="24"/>
        </w:rPr>
        <w:t>y by circulation to the parties</w:t>
      </w:r>
      <w:r w:rsidRPr="007803A6">
        <w:rPr>
          <w:rFonts w:ascii="Arial" w:hAnsi="Arial" w:cs="Arial"/>
          <w:i/>
          <w:sz w:val="24"/>
          <w:szCs w:val="24"/>
        </w:rPr>
        <w:t xml:space="preserve"> and/or parties’ representatives by email and by upload to CaseLines. The date and time </w:t>
      </w:r>
      <w:r w:rsidR="00E969F8">
        <w:rPr>
          <w:rFonts w:ascii="Arial" w:hAnsi="Arial" w:cs="Arial"/>
          <w:i/>
          <w:sz w:val="24"/>
          <w:szCs w:val="24"/>
        </w:rPr>
        <w:t>for hand-down is deemed to be 16</w:t>
      </w:r>
      <w:r w:rsidRPr="007803A6">
        <w:rPr>
          <w:rFonts w:ascii="Arial" w:hAnsi="Arial" w:cs="Arial"/>
          <w:i/>
          <w:sz w:val="24"/>
          <w:szCs w:val="24"/>
        </w:rPr>
        <w:t xml:space="preserve">h00 on </w:t>
      </w:r>
      <w:r w:rsidR="005031BD">
        <w:rPr>
          <w:rFonts w:ascii="Arial" w:hAnsi="Arial" w:cs="Arial"/>
          <w:i/>
          <w:iCs/>
          <w:sz w:val="24"/>
          <w:szCs w:val="24"/>
        </w:rPr>
        <w:t>9</w:t>
      </w:r>
      <w:r w:rsidR="00E969F8">
        <w:rPr>
          <w:rFonts w:ascii="Arial" w:hAnsi="Arial" w:cs="Arial"/>
          <w:i/>
          <w:iCs/>
          <w:sz w:val="24"/>
          <w:szCs w:val="24"/>
        </w:rPr>
        <w:t xml:space="preserve"> September</w:t>
      </w:r>
      <w:r w:rsidRPr="007803A6">
        <w:rPr>
          <w:rFonts w:ascii="Arial" w:hAnsi="Arial" w:cs="Arial"/>
          <w:i/>
          <w:iCs/>
          <w:sz w:val="24"/>
          <w:szCs w:val="24"/>
        </w:rPr>
        <w:t xml:space="preserve"> 2022.</w:t>
      </w:r>
    </w:p>
    <w:p w14:paraId="7E483131" w14:textId="77777777" w:rsidR="00542061" w:rsidRPr="007803A6" w:rsidRDefault="00C30326">
      <w:pPr>
        <w:spacing w:after="0"/>
        <w:jc w:val="center"/>
        <w:rPr>
          <w:rFonts w:ascii="Arial" w:eastAsia="Arial" w:hAnsi="Arial" w:cs="Arial"/>
          <w:sz w:val="24"/>
          <w:szCs w:val="24"/>
        </w:rPr>
      </w:pPr>
      <w:r w:rsidRPr="007803A6">
        <w:rPr>
          <w:rFonts w:ascii="Arial" w:eastAsia="Arial" w:hAnsi="Arial" w:cs="Arial"/>
          <w:sz w:val="24"/>
          <w:szCs w:val="24"/>
        </w:rPr>
        <w:t xml:space="preserve">                                                                                              </w:t>
      </w:r>
    </w:p>
    <w:p w14:paraId="329432CB" w14:textId="77777777" w:rsidR="00542061" w:rsidRPr="007803A6" w:rsidRDefault="00542061">
      <w:pPr>
        <w:spacing w:after="0"/>
        <w:jc w:val="right"/>
        <w:rPr>
          <w:rFonts w:ascii="Arial" w:eastAsia="Arial" w:hAnsi="Arial" w:cs="Arial"/>
          <w:sz w:val="24"/>
          <w:szCs w:val="24"/>
        </w:rPr>
      </w:pPr>
    </w:p>
    <w:p w14:paraId="4ED55369" w14:textId="77777777" w:rsidR="00542061" w:rsidRPr="007803A6" w:rsidRDefault="00542061">
      <w:pPr>
        <w:spacing w:after="0"/>
        <w:jc w:val="right"/>
        <w:rPr>
          <w:rFonts w:ascii="Arial" w:eastAsia="Arial" w:hAnsi="Arial" w:cs="Arial"/>
          <w:sz w:val="24"/>
          <w:szCs w:val="24"/>
        </w:rPr>
      </w:pPr>
    </w:p>
    <w:p w14:paraId="690B2D11" w14:textId="7FFFC69E" w:rsidR="008630B4" w:rsidRPr="007803A6" w:rsidRDefault="00E969F8" w:rsidP="008630B4">
      <w:pPr>
        <w:tabs>
          <w:tab w:val="left" w:pos="4111"/>
        </w:tabs>
        <w:spacing w:after="0"/>
        <w:rPr>
          <w:rFonts w:ascii="Arial" w:eastAsia="Arial" w:hAnsi="Arial" w:cs="Arial"/>
          <w:sz w:val="24"/>
          <w:szCs w:val="24"/>
        </w:rPr>
      </w:pPr>
      <w:r>
        <w:rPr>
          <w:rFonts w:ascii="Arial" w:eastAsia="Arial" w:hAnsi="Arial" w:cs="Arial"/>
          <w:sz w:val="24"/>
          <w:szCs w:val="24"/>
        </w:rPr>
        <w:t xml:space="preserve">Date of hearing: </w:t>
      </w:r>
      <w:r>
        <w:rPr>
          <w:rFonts w:ascii="Arial" w:eastAsia="Arial" w:hAnsi="Arial" w:cs="Arial"/>
          <w:sz w:val="24"/>
          <w:szCs w:val="24"/>
        </w:rPr>
        <w:tab/>
      </w:r>
      <w:r w:rsidR="00010FCE">
        <w:rPr>
          <w:rFonts w:ascii="Arial" w:eastAsia="Arial" w:hAnsi="Arial" w:cs="Arial"/>
          <w:sz w:val="24"/>
          <w:szCs w:val="24"/>
        </w:rPr>
        <w:tab/>
      </w:r>
      <w:r>
        <w:rPr>
          <w:rFonts w:ascii="Arial" w:eastAsia="Arial" w:hAnsi="Arial" w:cs="Arial"/>
          <w:sz w:val="24"/>
          <w:szCs w:val="24"/>
        </w:rPr>
        <w:t>10 June</w:t>
      </w:r>
      <w:r w:rsidR="008630B4" w:rsidRPr="007803A6">
        <w:rPr>
          <w:rFonts w:ascii="Arial" w:eastAsia="Arial" w:hAnsi="Arial" w:cs="Arial"/>
          <w:sz w:val="24"/>
          <w:szCs w:val="24"/>
        </w:rPr>
        <w:t xml:space="preserve"> 2022</w:t>
      </w:r>
    </w:p>
    <w:p w14:paraId="68EDCBF8" w14:textId="5F86EB9F" w:rsidR="00542061" w:rsidRPr="007803A6" w:rsidRDefault="00C30326" w:rsidP="008630B4">
      <w:pPr>
        <w:tabs>
          <w:tab w:val="left" w:pos="4111"/>
        </w:tabs>
        <w:spacing w:after="0"/>
        <w:rPr>
          <w:rFonts w:ascii="Arial" w:eastAsia="Arial" w:hAnsi="Arial" w:cs="Arial"/>
          <w:sz w:val="24"/>
          <w:szCs w:val="24"/>
        </w:rPr>
      </w:pPr>
      <w:r w:rsidRPr="007803A6">
        <w:rPr>
          <w:rFonts w:ascii="Arial" w:eastAsia="Arial" w:hAnsi="Arial" w:cs="Arial"/>
          <w:sz w:val="24"/>
          <w:szCs w:val="24"/>
        </w:rPr>
        <w:t xml:space="preserve">Date of </w:t>
      </w:r>
      <w:r w:rsidR="008630B4" w:rsidRPr="007803A6">
        <w:rPr>
          <w:rFonts w:ascii="Arial" w:eastAsia="Arial" w:hAnsi="Arial" w:cs="Arial"/>
          <w:sz w:val="24"/>
          <w:szCs w:val="24"/>
        </w:rPr>
        <w:t>judgment</w:t>
      </w:r>
      <w:r w:rsidRPr="007803A6">
        <w:rPr>
          <w:rFonts w:ascii="Arial" w:eastAsia="Arial" w:hAnsi="Arial" w:cs="Arial"/>
          <w:sz w:val="24"/>
          <w:szCs w:val="24"/>
        </w:rPr>
        <w:t>:</w:t>
      </w:r>
      <w:r w:rsidR="008630B4" w:rsidRPr="007803A6">
        <w:rPr>
          <w:rFonts w:ascii="Arial" w:eastAsia="Arial" w:hAnsi="Arial" w:cs="Arial"/>
          <w:sz w:val="24"/>
          <w:szCs w:val="24"/>
        </w:rPr>
        <w:tab/>
      </w:r>
      <w:r w:rsidR="00010FCE">
        <w:rPr>
          <w:rFonts w:ascii="Arial" w:eastAsia="Arial" w:hAnsi="Arial" w:cs="Arial"/>
          <w:sz w:val="24"/>
          <w:szCs w:val="24"/>
        </w:rPr>
        <w:tab/>
      </w:r>
      <w:r w:rsidR="005031BD">
        <w:rPr>
          <w:rFonts w:ascii="Arial" w:eastAsia="Arial" w:hAnsi="Arial" w:cs="Arial"/>
          <w:sz w:val="24"/>
          <w:szCs w:val="24"/>
        </w:rPr>
        <w:t>9</w:t>
      </w:r>
      <w:r w:rsidR="00E969F8">
        <w:rPr>
          <w:rFonts w:ascii="Arial" w:eastAsia="Arial" w:hAnsi="Arial" w:cs="Arial"/>
          <w:sz w:val="24"/>
          <w:szCs w:val="24"/>
        </w:rPr>
        <w:t xml:space="preserve"> September </w:t>
      </w:r>
      <w:r w:rsidR="008630B4" w:rsidRPr="007803A6">
        <w:rPr>
          <w:rFonts w:ascii="Arial" w:eastAsia="Arial" w:hAnsi="Arial" w:cs="Arial"/>
          <w:sz w:val="24"/>
          <w:szCs w:val="24"/>
        </w:rPr>
        <w:t>2022</w:t>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r w:rsidR="008630B4" w:rsidRPr="007803A6">
        <w:rPr>
          <w:rFonts w:ascii="Arial" w:eastAsia="Arial" w:hAnsi="Arial" w:cs="Arial"/>
          <w:sz w:val="24"/>
          <w:szCs w:val="24"/>
        </w:rPr>
        <w:tab/>
      </w:r>
    </w:p>
    <w:p w14:paraId="05B6C75C" w14:textId="77777777" w:rsidR="00542061" w:rsidRPr="007803A6" w:rsidRDefault="00542061" w:rsidP="008630B4">
      <w:pPr>
        <w:tabs>
          <w:tab w:val="left" w:pos="4111"/>
        </w:tabs>
        <w:spacing w:after="0"/>
        <w:rPr>
          <w:rFonts w:ascii="Arial" w:eastAsia="Arial" w:hAnsi="Arial" w:cs="Arial"/>
          <w:sz w:val="24"/>
          <w:szCs w:val="24"/>
        </w:rPr>
      </w:pPr>
    </w:p>
    <w:p w14:paraId="500AB4DD" w14:textId="77777777" w:rsidR="00542061" w:rsidRPr="007803A6" w:rsidRDefault="00C30326">
      <w:pPr>
        <w:spacing w:after="0"/>
        <w:rPr>
          <w:rFonts w:ascii="Arial" w:eastAsia="Arial" w:hAnsi="Arial" w:cs="Arial"/>
          <w:sz w:val="24"/>
          <w:szCs w:val="24"/>
        </w:rPr>
      </w:pPr>
      <w:r w:rsidRPr="007803A6">
        <w:rPr>
          <w:rFonts w:ascii="Arial" w:eastAsia="Arial" w:hAnsi="Arial" w:cs="Arial"/>
          <w:sz w:val="24"/>
          <w:szCs w:val="24"/>
        </w:rPr>
        <w:t>Appearances:</w:t>
      </w:r>
    </w:p>
    <w:p w14:paraId="45C97513" w14:textId="77777777" w:rsidR="00542061" w:rsidRPr="007803A6" w:rsidRDefault="00542061">
      <w:pPr>
        <w:spacing w:after="0"/>
        <w:jc w:val="right"/>
        <w:rPr>
          <w:rFonts w:ascii="Arial" w:eastAsia="Arial" w:hAnsi="Arial" w:cs="Arial"/>
          <w:sz w:val="24"/>
          <w:szCs w:val="24"/>
        </w:rPr>
      </w:pPr>
    </w:p>
    <w:p w14:paraId="5C9D3E3B" w14:textId="57C334F4" w:rsidR="00542061" w:rsidRPr="007803A6" w:rsidRDefault="00C30326">
      <w:pPr>
        <w:spacing w:after="0"/>
        <w:rPr>
          <w:rFonts w:ascii="Arial" w:eastAsia="Arial" w:hAnsi="Arial" w:cs="Arial"/>
          <w:sz w:val="24"/>
          <w:szCs w:val="24"/>
        </w:rPr>
      </w:pPr>
      <w:r w:rsidRPr="007803A6">
        <w:rPr>
          <w:rFonts w:ascii="Arial" w:eastAsia="Arial" w:hAnsi="Arial" w:cs="Arial"/>
          <w:sz w:val="24"/>
          <w:szCs w:val="24"/>
        </w:rPr>
        <w:t xml:space="preserve">On behalf of the </w:t>
      </w:r>
      <w:r w:rsidR="00D00B5E" w:rsidRPr="007803A6">
        <w:rPr>
          <w:rFonts w:ascii="Arial" w:eastAsia="Arial" w:hAnsi="Arial" w:cs="Arial"/>
          <w:sz w:val="24"/>
          <w:szCs w:val="24"/>
        </w:rPr>
        <w:t>Plaintiff</w:t>
      </w:r>
      <w:r w:rsidRPr="007803A6">
        <w:rPr>
          <w:rFonts w:ascii="Arial" w:eastAsia="Arial" w:hAnsi="Arial" w:cs="Arial"/>
          <w:sz w:val="24"/>
          <w:szCs w:val="24"/>
        </w:rPr>
        <w:t xml:space="preserve">:                  </w:t>
      </w:r>
      <w:r w:rsidR="008630B4" w:rsidRPr="007803A6">
        <w:rPr>
          <w:rFonts w:ascii="Arial" w:eastAsia="Arial" w:hAnsi="Arial" w:cs="Arial"/>
          <w:sz w:val="24"/>
          <w:szCs w:val="24"/>
        </w:rPr>
        <w:tab/>
      </w:r>
      <w:r w:rsidR="00ED3285" w:rsidRPr="007803A6">
        <w:rPr>
          <w:rFonts w:ascii="Arial" w:eastAsia="Arial" w:hAnsi="Arial" w:cs="Arial"/>
          <w:sz w:val="24"/>
          <w:szCs w:val="24"/>
        </w:rPr>
        <w:t xml:space="preserve">D. </w:t>
      </w:r>
      <w:r w:rsidR="008630B4" w:rsidRPr="007803A6">
        <w:rPr>
          <w:rFonts w:ascii="Arial" w:eastAsia="Arial" w:hAnsi="Arial" w:cs="Arial"/>
          <w:sz w:val="24"/>
          <w:szCs w:val="24"/>
        </w:rPr>
        <w:t>Combrink</w:t>
      </w:r>
    </w:p>
    <w:p w14:paraId="17693F98" w14:textId="1A5E7B4B" w:rsidR="00542061" w:rsidRPr="007803A6" w:rsidRDefault="00C30326">
      <w:pPr>
        <w:spacing w:after="0"/>
        <w:rPr>
          <w:rFonts w:ascii="Arial" w:eastAsia="Arial" w:hAnsi="Arial" w:cs="Arial"/>
          <w:sz w:val="24"/>
          <w:szCs w:val="24"/>
        </w:rPr>
      </w:pPr>
      <w:r w:rsidRPr="007803A6">
        <w:rPr>
          <w:rFonts w:ascii="Arial" w:eastAsia="Arial" w:hAnsi="Arial" w:cs="Arial"/>
          <w:sz w:val="24"/>
          <w:szCs w:val="24"/>
        </w:rPr>
        <w:t xml:space="preserve">Instructed by:                                       </w:t>
      </w:r>
      <w:r w:rsidR="008630B4" w:rsidRPr="007803A6">
        <w:rPr>
          <w:rFonts w:ascii="Arial" w:eastAsia="Arial" w:hAnsi="Arial" w:cs="Arial"/>
          <w:sz w:val="24"/>
          <w:szCs w:val="24"/>
        </w:rPr>
        <w:tab/>
      </w:r>
      <w:r w:rsidR="00E969F8">
        <w:rPr>
          <w:rFonts w:ascii="Arial" w:eastAsia="Arial" w:hAnsi="Arial" w:cs="Arial"/>
          <w:sz w:val="24"/>
          <w:szCs w:val="24"/>
        </w:rPr>
        <w:t>Erasmus De Klerk</w:t>
      </w:r>
      <w:r w:rsidR="00ED3285" w:rsidRPr="007803A6">
        <w:rPr>
          <w:rFonts w:ascii="Arial" w:eastAsia="Arial" w:hAnsi="Arial" w:cs="Arial"/>
          <w:sz w:val="24"/>
          <w:szCs w:val="24"/>
        </w:rPr>
        <w:t xml:space="preserve"> Inc </w:t>
      </w:r>
    </w:p>
    <w:p w14:paraId="3BB95BBF" w14:textId="77777777" w:rsidR="00542061" w:rsidRPr="007803A6" w:rsidRDefault="00542061">
      <w:pPr>
        <w:spacing w:after="0"/>
        <w:jc w:val="right"/>
        <w:rPr>
          <w:rFonts w:ascii="Arial" w:eastAsia="Arial" w:hAnsi="Arial" w:cs="Arial"/>
          <w:sz w:val="24"/>
          <w:szCs w:val="24"/>
        </w:rPr>
      </w:pPr>
    </w:p>
    <w:p w14:paraId="4332C679" w14:textId="0EFBDFF0" w:rsidR="00542061" w:rsidRPr="007803A6" w:rsidRDefault="00E969F8">
      <w:pPr>
        <w:spacing w:after="0"/>
        <w:rPr>
          <w:rFonts w:ascii="Arial" w:eastAsia="Arial" w:hAnsi="Arial" w:cs="Arial"/>
          <w:sz w:val="24"/>
          <w:szCs w:val="24"/>
          <w:lang w:val="en-GB"/>
        </w:rPr>
      </w:pPr>
      <w:r>
        <w:rPr>
          <w:rFonts w:ascii="Arial" w:eastAsia="Arial" w:hAnsi="Arial" w:cs="Arial"/>
          <w:sz w:val="24"/>
          <w:szCs w:val="24"/>
        </w:rPr>
        <w:t xml:space="preserve">No appearance on behalf of the </w:t>
      </w:r>
      <w:r w:rsidR="008630B4" w:rsidRPr="007803A6">
        <w:rPr>
          <w:rFonts w:ascii="Arial" w:eastAsia="Arial" w:hAnsi="Arial" w:cs="Arial"/>
          <w:sz w:val="24"/>
          <w:szCs w:val="24"/>
        </w:rPr>
        <w:t>Defendant</w:t>
      </w:r>
      <w:r>
        <w:rPr>
          <w:rFonts w:ascii="Arial" w:eastAsia="Arial" w:hAnsi="Arial" w:cs="Arial"/>
          <w:sz w:val="24"/>
          <w:szCs w:val="24"/>
        </w:rPr>
        <w:t xml:space="preserve"> </w:t>
      </w:r>
    </w:p>
    <w:sectPr w:rsidR="00542061" w:rsidRPr="007803A6" w:rsidSect="007803A6">
      <w:headerReference w:type="default" r:id="rId8"/>
      <w:footerReference w:type="default" r:id="rId9"/>
      <w:footerReference w:type="first" r:id="rId10"/>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BF78A" w14:textId="77777777" w:rsidR="00E72B42" w:rsidRDefault="00E72B42">
      <w:pPr>
        <w:spacing w:after="0" w:line="240" w:lineRule="auto"/>
      </w:pPr>
      <w:r>
        <w:separator/>
      </w:r>
    </w:p>
  </w:endnote>
  <w:endnote w:type="continuationSeparator" w:id="0">
    <w:p w14:paraId="22C8F7DD" w14:textId="77777777" w:rsidR="00E72B42" w:rsidRDefault="00E7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28844"/>
      <w:docPartObj>
        <w:docPartGallery w:val="Page Numbers (Bottom of Page)"/>
        <w:docPartUnique/>
      </w:docPartObj>
    </w:sdtPr>
    <w:sdtEndPr>
      <w:rPr>
        <w:rFonts w:ascii="Arial" w:hAnsi="Arial" w:cs="Arial"/>
        <w:noProof/>
      </w:rPr>
    </w:sdtEndPr>
    <w:sdtContent>
      <w:p w14:paraId="271B9845" w14:textId="24ADE393" w:rsidR="0035088B" w:rsidRPr="00796A0B" w:rsidRDefault="0035088B">
        <w:pPr>
          <w:pStyle w:val="Footer"/>
          <w:jc w:val="center"/>
          <w:rPr>
            <w:rFonts w:ascii="Arial" w:hAnsi="Arial" w:cs="Arial"/>
          </w:rPr>
        </w:pPr>
        <w:r w:rsidRPr="00796A0B">
          <w:rPr>
            <w:rFonts w:ascii="Arial" w:hAnsi="Arial" w:cs="Arial"/>
          </w:rPr>
          <w:fldChar w:fldCharType="begin"/>
        </w:r>
        <w:r w:rsidRPr="00796A0B">
          <w:rPr>
            <w:rFonts w:ascii="Arial" w:hAnsi="Arial" w:cs="Arial"/>
          </w:rPr>
          <w:instrText xml:space="preserve"> PAGE   \* MERGEFORMAT </w:instrText>
        </w:r>
        <w:r w:rsidRPr="00796A0B">
          <w:rPr>
            <w:rFonts w:ascii="Arial" w:hAnsi="Arial" w:cs="Arial"/>
          </w:rPr>
          <w:fldChar w:fldCharType="separate"/>
        </w:r>
        <w:r w:rsidR="00A35FD0">
          <w:rPr>
            <w:rFonts w:ascii="Arial" w:hAnsi="Arial" w:cs="Arial"/>
            <w:noProof/>
          </w:rPr>
          <w:t>2</w:t>
        </w:r>
        <w:r w:rsidRPr="00796A0B">
          <w:rPr>
            <w:rFonts w:ascii="Arial" w:hAnsi="Arial" w:cs="Arial"/>
            <w:noProof/>
          </w:rPr>
          <w:fldChar w:fldCharType="end"/>
        </w:r>
      </w:p>
    </w:sdtContent>
  </w:sdt>
  <w:p w14:paraId="157F570C" w14:textId="77777777" w:rsidR="0035088B" w:rsidRDefault="00350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DF15" w14:textId="7FA5F472" w:rsidR="0035088B" w:rsidRDefault="0035088B">
    <w:pPr>
      <w:pStyle w:val="Footer"/>
      <w:jc w:val="center"/>
    </w:pPr>
  </w:p>
  <w:p w14:paraId="2E494C1E" w14:textId="77777777" w:rsidR="0035088B" w:rsidRDefault="0035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6C1B9" w14:textId="77777777" w:rsidR="00E72B42" w:rsidRDefault="00E72B42">
      <w:pPr>
        <w:spacing w:after="0" w:line="240" w:lineRule="auto"/>
      </w:pPr>
      <w:r>
        <w:separator/>
      </w:r>
    </w:p>
  </w:footnote>
  <w:footnote w:type="continuationSeparator" w:id="0">
    <w:p w14:paraId="2526052F" w14:textId="77777777" w:rsidR="00E72B42" w:rsidRDefault="00E72B42">
      <w:pPr>
        <w:spacing w:after="0" w:line="240" w:lineRule="auto"/>
      </w:pPr>
      <w:r>
        <w:continuationSeparator/>
      </w:r>
    </w:p>
  </w:footnote>
  <w:footnote w:id="1">
    <w:p w14:paraId="32D18D21" w14:textId="10E1082C" w:rsidR="0035088B" w:rsidRPr="001D7EB9" w:rsidRDefault="0035088B" w:rsidP="00DB2FAA">
      <w:pPr>
        <w:pStyle w:val="FootnoteText"/>
        <w:rPr>
          <w:rFonts w:ascii="Arial" w:hAnsi="Arial" w:cs="Arial"/>
        </w:rPr>
      </w:pPr>
      <w:r w:rsidRPr="001D7EB9">
        <w:rPr>
          <w:rStyle w:val="FootnoteReference"/>
          <w:rFonts w:ascii="Arial" w:hAnsi="Arial" w:cs="Arial"/>
        </w:rPr>
        <w:footnoteRef/>
      </w:r>
      <w:r w:rsidRPr="001D7EB9">
        <w:rPr>
          <w:rFonts w:ascii="Arial" w:hAnsi="Arial" w:cs="Arial"/>
        </w:rPr>
        <w:t xml:space="preserve"> 2019 (2) SA 233 (SCA) at para</w:t>
      </w:r>
      <w:r w:rsidR="001D7EB9">
        <w:rPr>
          <w:rFonts w:ascii="Arial" w:hAnsi="Arial" w:cs="Arial"/>
        </w:rPr>
        <w:t>s</w:t>
      </w:r>
      <w:r w:rsidRPr="001D7EB9">
        <w:rPr>
          <w:rFonts w:ascii="Arial" w:hAnsi="Arial" w:cs="Arial"/>
        </w:rPr>
        <w:t xml:space="preserve"> </w:t>
      </w:r>
      <w:r w:rsidR="001D7EB9">
        <w:rPr>
          <w:rFonts w:ascii="Arial" w:hAnsi="Arial" w:cs="Arial"/>
        </w:rPr>
        <w:t>[</w:t>
      </w:r>
      <w:r w:rsidRPr="001D7EB9">
        <w:rPr>
          <w:rFonts w:ascii="Arial" w:hAnsi="Arial" w:cs="Arial"/>
        </w:rPr>
        <w:t>40</w:t>
      </w:r>
      <w:r w:rsidR="001D7EB9">
        <w:rPr>
          <w:rFonts w:ascii="Arial" w:hAnsi="Arial" w:cs="Arial"/>
        </w:rPr>
        <w:t>]—[</w:t>
      </w:r>
      <w:r w:rsidRPr="001D7EB9">
        <w:rPr>
          <w:rFonts w:ascii="Arial" w:hAnsi="Arial" w:cs="Arial"/>
        </w:rPr>
        <w:t>44</w:t>
      </w:r>
      <w:r w:rsidR="001D7EB9">
        <w:rPr>
          <w:rFonts w:ascii="Arial" w:hAnsi="Arial" w:cs="Arial"/>
        </w:rPr>
        <w:t>].</w:t>
      </w:r>
    </w:p>
  </w:footnote>
  <w:footnote w:id="2">
    <w:p w14:paraId="577674DD" w14:textId="1B720456" w:rsidR="0035088B" w:rsidRPr="00430CE5" w:rsidRDefault="0035088B">
      <w:pPr>
        <w:pStyle w:val="FootnoteText"/>
        <w:rPr>
          <w:rFonts w:ascii="Arial" w:hAnsi="Arial" w:cs="Arial"/>
          <w:lang w:val="en-GB"/>
        </w:rPr>
      </w:pPr>
      <w:r w:rsidRPr="00C419CB">
        <w:rPr>
          <w:rStyle w:val="FootnoteReference"/>
          <w:rFonts w:ascii="Arial" w:hAnsi="Arial" w:cs="Arial"/>
        </w:rPr>
        <w:footnoteRef/>
      </w:r>
      <w:r w:rsidRPr="00C419CB">
        <w:rPr>
          <w:rFonts w:ascii="Arial" w:hAnsi="Arial" w:cs="Arial"/>
        </w:rPr>
        <w:t xml:space="preserve"> </w:t>
      </w:r>
      <w:r w:rsidRPr="00C419CB">
        <w:rPr>
          <w:rFonts w:ascii="Arial" w:hAnsi="Arial" w:cs="Arial"/>
          <w:i/>
          <w:iCs/>
        </w:rPr>
        <w:t>Terblanche v Minister of Safety and Security</w:t>
      </w:r>
      <w:r w:rsidR="00430CE5" w:rsidRPr="00C419CB">
        <w:rPr>
          <w:rFonts w:ascii="Arial" w:hAnsi="Arial" w:cs="Arial"/>
          <w:i/>
          <w:iCs/>
        </w:rPr>
        <w:t xml:space="preserve"> </w:t>
      </w:r>
      <w:r w:rsidRPr="00C419CB">
        <w:rPr>
          <w:rFonts w:ascii="Arial" w:hAnsi="Arial" w:cs="Arial"/>
          <w:iCs/>
        </w:rPr>
        <w:t xml:space="preserve">2016 (2) SA 109 (SCA) </w:t>
      </w:r>
      <w:r w:rsidR="00430CE5" w:rsidRPr="00C419CB">
        <w:rPr>
          <w:rFonts w:ascii="Arial" w:hAnsi="Arial" w:cs="Arial"/>
          <w:iCs/>
        </w:rPr>
        <w:t xml:space="preserve">at </w:t>
      </w:r>
      <w:r w:rsidRPr="00C419CB">
        <w:rPr>
          <w:rFonts w:ascii="Arial" w:hAnsi="Arial" w:cs="Arial"/>
          <w:iCs/>
        </w:rPr>
        <w:t xml:space="preserve">par </w:t>
      </w:r>
      <w:r w:rsidR="00430CE5" w:rsidRPr="00C419CB">
        <w:rPr>
          <w:rFonts w:ascii="Arial" w:hAnsi="Arial" w:cs="Arial"/>
          <w:iCs/>
        </w:rPr>
        <w:t>[</w:t>
      </w:r>
      <w:r w:rsidRPr="00C419CB">
        <w:rPr>
          <w:rFonts w:ascii="Arial" w:hAnsi="Arial" w:cs="Arial"/>
          <w:iCs/>
        </w:rPr>
        <w:t>14</w:t>
      </w:r>
      <w:r w:rsidR="00430CE5" w:rsidRPr="00C419CB">
        <w:rPr>
          <w:rFonts w:ascii="Arial" w:hAnsi="Arial"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FC6B" w14:textId="7D662DAE" w:rsidR="0035088B" w:rsidRDefault="0035088B" w:rsidP="007803A6">
    <w:pPr>
      <w:pBdr>
        <w:top w:val="nil"/>
        <w:left w:val="nil"/>
        <w:bottom w:val="nil"/>
        <w:right w:val="nil"/>
        <w:between w:val="nil"/>
      </w:pBdr>
      <w:tabs>
        <w:tab w:val="center" w:pos="4513"/>
        <w:tab w:val="right" w:pos="9026"/>
      </w:tabs>
      <w:spacing w:after="0" w:line="240" w:lineRule="auto"/>
      <w:jc w:val="center"/>
      <w:rPr>
        <w:color w:val="000000"/>
      </w:rPr>
    </w:pPr>
  </w:p>
  <w:p w14:paraId="60D46E55" w14:textId="77777777" w:rsidR="0035088B" w:rsidRDefault="0035088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7F7"/>
    <w:multiLevelType w:val="hybridMultilevel"/>
    <w:tmpl w:val="49BC337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04061C0C"/>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662078C"/>
    <w:multiLevelType w:val="hybridMultilevel"/>
    <w:tmpl w:val="75AE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23F87"/>
    <w:multiLevelType w:val="hybridMultilevel"/>
    <w:tmpl w:val="BE22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1381E"/>
    <w:multiLevelType w:val="multilevel"/>
    <w:tmpl w:val="C1C2B46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0A71907"/>
    <w:multiLevelType w:val="hybridMultilevel"/>
    <w:tmpl w:val="3BD6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E729A"/>
    <w:multiLevelType w:val="hybridMultilevel"/>
    <w:tmpl w:val="2504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B0E6A"/>
    <w:multiLevelType w:val="hybridMultilevel"/>
    <w:tmpl w:val="74F2D81A"/>
    <w:lvl w:ilvl="0" w:tplc="753C06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0B1EC8"/>
    <w:multiLevelType w:val="hybridMultilevel"/>
    <w:tmpl w:val="2686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5092F"/>
    <w:multiLevelType w:val="hybridMultilevel"/>
    <w:tmpl w:val="BBC87588"/>
    <w:lvl w:ilvl="0" w:tplc="A38810C2">
      <w:start w:val="30"/>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2165"/>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091713E"/>
    <w:multiLevelType w:val="hybridMultilevel"/>
    <w:tmpl w:val="521E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A7DBF"/>
    <w:multiLevelType w:val="hybridMultilevel"/>
    <w:tmpl w:val="2012A8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E0D0A"/>
    <w:multiLevelType w:val="hybridMultilevel"/>
    <w:tmpl w:val="E800F8FA"/>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948A5"/>
    <w:multiLevelType w:val="multilevel"/>
    <w:tmpl w:val="ECBA1A76"/>
    <w:lvl w:ilvl="0">
      <w:start w:val="6"/>
      <w:numFmt w:val="decimal"/>
      <w:lvlRestart w:val="0"/>
      <w:lvlText w:val="%1."/>
      <w:lvlJc w:val="left"/>
      <w:pPr>
        <w:tabs>
          <w:tab w:val="num" w:pos="720"/>
        </w:tabs>
        <w:ind w:left="720" w:hanging="720"/>
      </w:pPr>
      <w:rPr>
        <w:rFonts w:cs="Times New Roman" w:hint="default"/>
        <w:b w:val="0"/>
        <w:i w:val="0"/>
      </w:rPr>
    </w:lvl>
    <w:lvl w:ilvl="1">
      <w:start w:val="13"/>
      <w:numFmt w:val="decimal"/>
      <w:lvlText w:val="%1.%2."/>
      <w:lvlJc w:val="left"/>
      <w:pPr>
        <w:tabs>
          <w:tab w:val="num" w:pos="794"/>
        </w:tabs>
      </w:pPr>
      <w:rPr>
        <w:rFonts w:ascii="Arial" w:hAnsi="Arial" w:cs="Arial" w:hint="default"/>
        <w:b w:val="0"/>
        <w:i w:val="0"/>
        <w:sz w:val="24"/>
        <w:szCs w:val="24"/>
      </w:rPr>
    </w:lvl>
    <w:lvl w:ilvl="2">
      <w:start w:val="1"/>
      <w:numFmt w:val="decimal"/>
      <w:lvlText w:val="%1.%2.%3."/>
      <w:lvlJc w:val="left"/>
      <w:pPr>
        <w:tabs>
          <w:tab w:val="num" w:pos="1701"/>
        </w:tabs>
        <w:ind w:left="1701" w:hanging="981"/>
      </w:pPr>
      <w:rPr>
        <w:rFonts w:cs="Times New Roman" w:hint="default"/>
      </w:rPr>
    </w:lvl>
    <w:lvl w:ilvl="3">
      <w:start w:val="1"/>
      <w:numFmt w:val="decimal"/>
      <w:lvlText w:val="%1.%2.%3.%4."/>
      <w:lvlJc w:val="left"/>
      <w:pPr>
        <w:tabs>
          <w:tab w:val="num" w:pos="1729"/>
        </w:tabs>
        <w:ind w:left="1729" w:hanging="28"/>
      </w:pPr>
      <w:rPr>
        <w:rFonts w:cs="Times New Roman" w:hint="default"/>
      </w:rPr>
    </w:lvl>
    <w:lvl w:ilvl="4">
      <w:start w:val="1"/>
      <w:numFmt w:val="decimal"/>
      <w:lvlText w:val="%1.%2.%3.%4.%5."/>
      <w:lvlJc w:val="left"/>
      <w:pPr>
        <w:tabs>
          <w:tab w:val="num" w:pos="2234"/>
        </w:tabs>
        <w:ind w:left="2234" w:hanging="794"/>
      </w:pPr>
      <w:rPr>
        <w:rFonts w:cs="Times New Roman" w:hint="default"/>
      </w:rPr>
    </w:lvl>
    <w:lvl w:ilvl="5">
      <w:start w:val="1"/>
      <w:numFmt w:val="decimal"/>
      <w:lvlText w:val="%1.%2.%3.%4.%5.%6."/>
      <w:lvlJc w:val="left"/>
      <w:pPr>
        <w:tabs>
          <w:tab w:val="num" w:pos="2738"/>
        </w:tabs>
        <w:ind w:left="2738" w:hanging="941"/>
      </w:pPr>
      <w:rPr>
        <w:rFonts w:cs="Times New Roman" w:hint="default"/>
      </w:rPr>
    </w:lvl>
    <w:lvl w:ilvl="6">
      <w:start w:val="1"/>
      <w:numFmt w:val="decimal"/>
      <w:lvlText w:val="%1.%2.%3.%4.%5.%6.%7."/>
      <w:lvlJc w:val="left"/>
      <w:pPr>
        <w:tabs>
          <w:tab w:val="num" w:pos="3237"/>
        </w:tabs>
        <w:ind w:left="3237" w:hanging="1077"/>
      </w:pPr>
      <w:rPr>
        <w:rFonts w:cs="Times New Roman" w:hint="default"/>
      </w:rPr>
    </w:lvl>
    <w:lvl w:ilvl="7">
      <w:start w:val="1"/>
      <w:numFmt w:val="decimal"/>
      <w:lvlText w:val="%1.%2.%3.%4.%5.%6.%7.%8."/>
      <w:lvlJc w:val="left"/>
      <w:pPr>
        <w:tabs>
          <w:tab w:val="num" w:pos="3742"/>
        </w:tabs>
        <w:ind w:left="3742" w:hanging="1225"/>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4072132A"/>
    <w:multiLevelType w:val="hybridMultilevel"/>
    <w:tmpl w:val="3FF27C90"/>
    <w:lvl w:ilvl="0" w:tplc="1C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41FF07DF"/>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462C4797"/>
    <w:multiLevelType w:val="hybridMultilevel"/>
    <w:tmpl w:val="5C5E1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D06FE"/>
    <w:multiLevelType w:val="multilevel"/>
    <w:tmpl w:val="8EE8DD6A"/>
    <w:lvl w:ilvl="0">
      <w:start w:val="1"/>
      <w:numFmt w:val="decimal"/>
      <w:lvlText w:val="%1."/>
      <w:lvlJc w:val="left"/>
      <w:pPr>
        <w:ind w:left="915" w:hanging="360"/>
      </w:pPr>
      <w:rPr>
        <w:rFonts w:cs="Times New Roman"/>
        <w:i w:val="0"/>
      </w:rPr>
    </w:lvl>
    <w:lvl w:ilvl="1">
      <w:start w:val="1"/>
      <w:numFmt w:val="decimal"/>
      <w:isLgl/>
      <w:lvlText w:val="%1.%2"/>
      <w:lvlJc w:val="left"/>
      <w:pPr>
        <w:ind w:left="915" w:hanging="360"/>
      </w:pPr>
      <w:rPr>
        <w:rFonts w:cs="Times New Roman" w:hint="default"/>
      </w:rPr>
    </w:lvl>
    <w:lvl w:ilvl="2">
      <w:start w:val="1"/>
      <w:numFmt w:val="decimal"/>
      <w:isLgl/>
      <w:lvlText w:val="%1.%2.%3"/>
      <w:lvlJc w:val="left"/>
      <w:pPr>
        <w:ind w:left="1275" w:hanging="720"/>
      </w:pPr>
      <w:rPr>
        <w:rFonts w:cs="Times New Roman" w:hint="default"/>
      </w:rPr>
    </w:lvl>
    <w:lvl w:ilvl="3">
      <w:start w:val="1"/>
      <w:numFmt w:val="decimal"/>
      <w:isLgl/>
      <w:lvlText w:val="%1.%2.%3.%4"/>
      <w:lvlJc w:val="left"/>
      <w:pPr>
        <w:ind w:left="1635" w:hanging="1080"/>
      </w:pPr>
      <w:rPr>
        <w:rFonts w:cs="Times New Roman" w:hint="default"/>
      </w:rPr>
    </w:lvl>
    <w:lvl w:ilvl="4">
      <w:start w:val="1"/>
      <w:numFmt w:val="decimal"/>
      <w:isLgl/>
      <w:lvlText w:val="%1.%2.%3.%4.%5"/>
      <w:lvlJc w:val="left"/>
      <w:pPr>
        <w:ind w:left="1635" w:hanging="1080"/>
      </w:pPr>
      <w:rPr>
        <w:rFonts w:cs="Times New Roman" w:hint="default"/>
      </w:rPr>
    </w:lvl>
    <w:lvl w:ilvl="5">
      <w:start w:val="1"/>
      <w:numFmt w:val="decimal"/>
      <w:isLgl/>
      <w:lvlText w:val="%1.%2.%3.%4.%5.%6"/>
      <w:lvlJc w:val="left"/>
      <w:pPr>
        <w:ind w:left="1995" w:hanging="1440"/>
      </w:pPr>
      <w:rPr>
        <w:rFonts w:cs="Times New Roman" w:hint="default"/>
      </w:rPr>
    </w:lvl>
    <w:lvl w:ilvl="6">
      <w:start w:val="1"/>
      <w:numFmt w:val="decimal"/>
      <w:isLgl/>
      <w:lvlText w:val="%1.%2.%3.%4.%5.%6.%7"/>
      <w:lvlJc w:val="left"/>
      <w:pPr>
        <w:ind w:left="1995" w:hanging="1440"/>
      </w:pPr>
      <w:rPr>
        <w:rFonts w:cs="Times New Roman" w:hint="default"/>
      </w:rPr>
    </w:lvl>
    <w:lvl w:ilvl="7">
      <w:start w:val="1"/>
      <w:numFmt w:val="decimal"/>
      <w:isLgl/>
      <w:lvlText w:val="%1.%2.%3.%4.%5.%6.%7.%8"/>
      <w:lvlJc w:val="left"/>
      <w:pPr>
        <w:ind w:left="2355" w:hanging="1800"/>
      </w:pPr>
      <w:rPr>
        <w:rFonts w:cs="Times New Roman" w:hint="default"/>
      </w:rPr>
    </w:lvl>
    <w:lvl w:ilvl="8">
      <w:start w:val="1"/>
      <w:numFmt w:val="decimal"/>
      <w:isLgl/>
      <w:lvlText w:val="%1.%2.%3.%4.%5.%6.%7.%8.%9"/>
      <w:lvlJc w:val="left"/>
      <w:pPr>
        <w:ind w:left="2355" w:hanging="1800"/>
      </w:pPr>
      <w:rPr>
        <w:rFonts w:cs="Times New Roman" w:hint="default"/>
      </w:rPr>
    </w:lvl>
  </w:abstractNum>
  <w:abstractNum w:abstractNumId="19" w15:restartNumberingAfterBreak="0">
    <w:nsid w:val="4E654283"/>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144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720" w:hanging="360"/>
      </w:pPr>
      <w:rPr>
        <w:rFonts w:cs="Times New Roman" w:hint="default"/>
      </w:rPr>
    </w:lvl>
    <w:lvl w:ilvl="4">
      <w:start w:val="1"/>
      <w:numFmt w:val="lowerLetter"/>
      <w:lvlText w:val="(%5)"/>
      <w:lvlJc w:val="left"/>
      <w:pPr>
        <w:ind w:left="-360" w:hanging="360"/>
      </w:pPr>
      <w:rPr>
        <w:rFonts w:cs="Times New Roman" w:hint="default"/>
      </w:rPr>
    </w:lvl>
    <w:lvl w:ilvl="5">
      <w:start w:val="1"/>
      <w:numFmt w:val="lowerRoman"/>
      <w:lvlText w:val="(%6)"/>
      <w:lvlJc w:val="left"/>
      <w:pPr>
        <w:ind w:left="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1080" w:hanging="360"/>
      </w:pPr>
      <w:rPr>
        <w:rFonts w:cs="Times New Roman" w:hint="default"/>
      </w:rPr>
    </w:lvl>
  </w:abstractNum>
  <w:abstractNum w:abstractNumId="20" w15:restartNumberingAfterBreak="0">
    <w:nsid w:val="54AE5D98"/>
    <w:multiLevelType w:val="multilevel"/>
    <w:tmpl w:val="2BD03418"/>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b w:val="0"/>
        <w:bCs/>
      </w:rPr>
    </w:lvl>
    <w:lvl w:ilvl="8">
      <w:start w:val="1"/>
      <w:numFmt w:val="lowerRoman"/>
      <w:lvlText w:val="%9."/>
      <w:lvlJc w:val="left"/>
      <w:pPr>
        <w:ind w:left="3240" w:hanging="360"/>
      </w:pPr>
      <w:rPr>
        <w:rFonts w:cs="Times New Roman" w:hint="default"/>
      </w:rPr>
    </w:lvl>
  </w:abstractNum>
  <w:abstractNum w:abstractNumId="21" w15:restartNumberingAfterBreak="0">
    <w:nsid w:val="5A6E0951"/>
    <w:multiLevelType w:val="hybridMultilevel"/>
    <w:tmpl w:val="30A696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6056F8"/>
    <w:multiLevelType w:val="hybridMultilevel"/>
    <w:tmpl w:val="499AE5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7D81253"/>
    <w:multiLevelType w:val="hybridMultilevel"/>
    <w:tmpl w:val="50DA1150"/>
    <w:lvl w:ilvl="0" w:tplc="A230A15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1A0B9E"/>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6C292374"/>
    <w:multiLevelType w:val="hybridMultilevel"/>
    <w:tmpl w:val="AB50A9AE"/>
    <w:lvl w:ilvl="0" w:tplc="753C06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C3C1102"/>
    <w:multiLevelType w:val="multilevel"/>
    <w:tmpl w:val="1C09001F"/>
    <w:lvl w:ilvl="0">
      <w:start w:val="1"/>
      <w:numFmt w:val="decimal"/>
      <w:lvlText w:val="%1."/>
      <w:lvlJc w:val="left"/>
      <w:pPr>
        <w:ind w:left="1494" w:hanging="360"/>
      </w:pPr>
      <w:rPr>
        <w:rFonts w:cs="Times New Roman"/>
      </w:rPr>
    </w:lvl>
    <w:lvl w:ilvl="1">
      <w:start w:val="1"/>
      <w:numFmt w:val="decimal"/>
      <w:lvlText w:val="%1.%2."/>
      <w:lvlJc w:val="left"/>
      <w:pPr>
        <w:ind w:left="1926" w:hanging="432"/>
      </w:pPr>
      <w:rPr>
        <w:rFonts w:cs="Times New Roman"/>
      </w:rPr>
    </w:lvl>
    <w:lvl w:ilvl="2">
      <w:start w:val="1"/>
      <w:numFmt w:val="decimal"/>
      <w:lvlText w:val="%1.%2.%3."/>
      <w:lvlJc w:val="left"/>
      <w:pPr>
        <w:ind w:left="2358" w:hanging="504"/>
      </w:pPr>
      <w:rPr>
        <w:rFonts w:cs="Times New Roman"/>
      </w:rPr>
    </w:lvl>
    <w:lvl w:ilvl="3">
      <w:start w:val="1"/>
      <w:numFmt w:val="decimal"/>
      <w:lvlText w:val="%1.%2.%3.%4."/>
      <w:lvlJc w:val="left"/>
      <w:pPr>
        <w:ind w:left="2862" w:hanging="648"/>
      </w:pPr>
      <w:rPr>
        <w:rFonts w:cs="Times New Roman"/>
      </w:rPr>
    </w:lvl>
    <w:lvl w:ilvl="4">
      <w:start w:val="1"/>
      <w:numFmt w:val="decimal"/>
      <w:lvlText w:val="%1.%2.%3.%4.%5."/>
      <w:lvlJc w:val="left"/>
      <w:pPr>
        <w:ind w:left="3366" w:hanging="792"/>
      </w:pPr>
      <w:rPr>
        <w:rFonts w:cs="Times New Roman"/>
      </w:rPr>
    </w:lvl>
    <w:lvl w:ilvl="5">
      <w:start w:val="1"/>
      <w:numFmt w:val="decimal"/>
      <w:lvlText w:val="%1.%2.%3.%4.%5.%6."/>
      <w:lvlJc w:val="left"/>
      <w:pPr>
        <w:ind w:left="3870" w:hanging="936"/>
      </w:pPr>
      <w:rPr>
        <w:rFonts w:cs="Times New Roman"/>
      </w:rPr>
    </w:lvl>
    <w:lvl w:ilvl="6">
      <w:start w:val="1"/>
      <w:numFmt w:val="decimal"/>
      <w:lvlText w:val="%1.%2.%3.%4.%5.%6.%7."/>
      <w:lvlJc w:val="left"/>
      <w:pPr>
        <w:ind w:left="4374" w:hanging="1080"/>
      </w:pPr>
      <w:rPr>
        <w:rFonts w:cs="Times New Roman"/>
      </w:rPr>
    </w:lvl>
    <w:lvl w:ilvl="7">
      <w:start w:val="1"/>
      <w:numFmt w:val="decimal"/>
      <w:lvlText w:val="%1.%2.%3.%4.%5.%6.%7.%8."/>
      <w:lvlJc w:val="left"/>
      <w:pPr>
        <w:ind w:left="4878" w:hanging="1224"/>
      </w:pPr>
      <w:rPr>
        <w:rFonts w:cs="Times New Roman"/>
      </w:rPr>
    </w:lvl>
    <w:lvl w:ilvl="8">
      <w:start w:val="1"/>
      <w:numFmt w:val="decimal"/>
      <w:lvlText w:val="%1.%2.%3.%4.%5.%6.%7.%8.%9."/>
      <w:lvlJc w:val="left"/>
      <w:pPr>
        <w:ind w:left="5454" w:hanging="1440"/>
      </w:pPr>
      <w:rPr>
        <w:rFonts w:cs="Times New Roman"/>
      </w:rPr>
    </w:lvl>
  </w:abstractNum>
  <w:abstractNum w:abstractNumId="28" w15:restartNumberingAfterBreak="0">
    <w:nsid w:val="727E1D2E"/>
    <w:multiLevelType w:val="hybridMultilevel"/>
    <w:tmpl w:val="6B3A1C1E"/>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21"/>
  </w:num>
  <w:num w:numId="4">
    <w:abstractNumId w:val="23"/>
  </w:num>
  <w:num w:numId="5">
    <w:abstractNumId w:val="15"/>
  </w:num>
  <w:num w:numId="6">
    <w:abstractNumId w:val="17"/>
  </w:num>
  <w:num w:numId="7">
    <w:abstractNumId w:val="10"/>
  </w:num>
  <w:num w:numId="8">
    <w:abstractNumId w:val="19"/>
  </w:num>
  <w:num w:numId="9">
    <w:abstractNumId w:val="1"/>
  </w:num>
  <w:num w:numId="10">
    <w:abstractNumId w:val="20"/>
  </w:num>
  <w:num w:numId="11">
    <w:abstractNumId w:val="27"/>
  </w:num>
  <w:num w:numId="12">
    <w:abstractNumId w:val="25"/>
  </w:num>
  <w:num w:numId="13">
    <w:abstractNumId w:val="18"/>
  </w:num>
  <w:num w:numId="14">
    <w:abstractNumId w:val="4"/>
  </w:num>
  <w:num w:numId="15">
    <w:abstractNumId w:val="14"/>
  </w:num>
  <w:num w:numId="16">
    <w:abstractNumId w:val="2"/>
  </w:num>
  <w:num w:numId="17">
    <w:abstractNumId w:val="11"/>
  </w:num>
  <w:num w:numId="18">
    <w:abstractNumId w:val="8"/>
  </w:num>
  <w:num w:numId="19">
    <w:abstractNumId w:val="5"/>
  </w:num>
  <w:num w:numId="20">
    <w:abstractNumId w:val="6"/>
  </w:num>
  <w:num w:numId="21">
    <w:abstractNumId w:val="0"/>
  </w:num>
  <w:num w:numId="22">
    <w:abstractNumId w:val="3"/>
  </w:num>
  <w:num w:numId="23">
    <w:abstractNumId w:val="16"/>
  </w:num>
  <w:num w:numId="24">
    <w:abstractNumId w:val="24"/>
  </w:num>
  <w:num w:numId="25">
    <w:abstractNumId w:val="7"/>
  </w:num>
  <w:num w:numId="26">
    <w:abstractNumId w:val="26"/>
  </w:num>
  <w:num w:numId="27">
    <w:abstractNumId w:val="9"/>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61"/>
    <w:rsid w:val="00002779"/>
    <w:rsid w:val="000048EF"/>
    <w:rsid w:val="00006B29"/>
    <w:rsid w:val="00010EDE"/>
    <w:rsid w:val="00010FCE"/>
    <w:rsid w:val="000246AC"/>
    <w:rsid w:val="000340F8"/>
    <w:rsid w:val="000347C5"/>
    <w:rsid w:val="000371E1"/>
    <w:rsid w:val="000449DF"/>
    <w:rsid w:val="00071BC0"/>
    <w:rsid w:val="00072363"/>
    <w:rsid w:val="00072A10"/>
    <w:rsid w:val="00073225"/>
    <w:rsid w:val="00082805"/>
    <w:rsid w:val="00083B61"/>
    <w:rsid w:val="000902F8"/>
    <w:rsid w:val="000924EB"/>
    <w:rsid w:val="00095874"/>
    <w:rsid w:val="000A3C54"/>
    <w:rsid w:val="000A7CAB"/>
    <w:rsid w:val="000B53BB"/>
    <w:rsid w:val="000C1BD4"/>
    <w:rsid w:val="000C32BE"/>
    <w:rsid w:val="000C73E8"/>
    <w:rsid w:val="000D2D0A"/>
    <w:rsid w:val="000D6E2A"/>
    <w:rsid w:val="000E02A1"/>
    <w:rsid w:val="000E1CBB"/>
    <w:rsid w:val="000E5138"/>
    <w:rsid w:val="000E7064"/>
    <w:rsid w:val="000F2C3F"/>
    <w:rsid w:val="001014D7"/>
    <w:rsid w:val="00102750"/>
    <w:rsid w:val="0010727A"/>
    <w:rsid w:val="00110CD7"/>
    <w:rsid w:val="00117E3F"/>
    <w:rsid w:val="00134957"/>
    <w:rsid w:val="00147AEE"/>
    <w:rsid w:val="00150829"/>
    <w:rsid w:val="00150D1C"/>
    <w:rsid w:val="00163AA1"/>
    <w:rsid w:val="00164372"/>
    <w:rsid w:val="00165677"/>
    <w:rsid w:val="00165F24"/>
    <w:rsid w:val="00166839"/>
    <w:rsid w:val="001751FB"/>
    <w:rsid w:val="00176E92"/>
    <w:rsid w:val="00181CAB"/>
    <w:rsid w:val="0019233D"/>
    <w:rsid w:val="00193540"/>
    <w:rsid w:val="00193AFF"/>
    <w:rsid w:val="001955A2"/>
    <w:rsid w:val="00197465"/>
    <w:rsid w:val="00197B9A"/>
    <w:rsid w:val="001A0B79"/>
    <w:rsid w:val="001A1467"/>
    <w:rsid w:val="001B4CEE"/>
    <w:rsid w:val="001B7C49"/>
    <w:rsid w:val="001D3ECD"/>
    <w:rsid w:val="001D4F19"/>
    <w:rsid w:val="001D7EB9"/>
    <w:rsid w:val="001E494A"/>
    <w:rsid w:val="001E6C42"/>
    <w:rsid w:val="001F220B"/>
    <w:rsid w:val="001F5780"/>
    <w:rsid w:val="001F6860"/>
    <w:rsid w:val="001F7088"/>
    <w:rsid w:val="00201431"/>
    <w:rsid w:val="00203BAE"/>
    <w:rsid w:val="00210892"/>
    <w:rsid w:val="00213F92"/>
    <w:rsid w:val="002213DD"/>
    <w:rsid w:val="00231489"/>
    <w:rsid w:val="00235652"/>
    <w:rsid w:val="00241795"/>
    <w:rsid w:val="00245192"/>
    <w:rsid w:val="00247DF0"/>
    <w:rsid w:val="00250F75"/>
    <w:rsid w:val="0025137A"/>
    <w:rsid w:val="00254E72"/>
    <w:rsid w:val="0028461D"/>
    <w:rsid w:val="00285CE0"/>
    <w:rsid w:val="0029071E"/>
    <w:rsid w:val="0029341F"/>
    <w:rsid w:val="0029490A"/>
    <w:rsid w:val="00296A4E"/>
    <w:rsid w:val="002A071A"/>
    <w:rsid w:val="002A1E2F"/>
    <w:rsid w:val="002A3AE7"/>
    <w:rsid w:val="002B15CF"/>
    <w:rsid w:val="002B7EC1"/>
    <w:rsid w:val="002C7C5D"/>
    <w:rsid w:val="002D252C"/>
    <w:rsid w:val="002D6C57"/>
    <w:rsid w:val="002E2129"/>
    <w:rsid w:val="002E3F80"/>
    <w:rsid w:val="002F2859"/>
    <w:rsid w:val="00307516"/>
    <w:rsid w:val="0032211D"/>
    <w:rsid w:val="00327CC8"/>
    <w:rsid w:val="0033135D"/>
    <w:rsid w:val="0033758B"/>
    <w:rsid w:val="00344D6C"/>
    <w:rsid w:val="003453F2"/>
    <w:rsid w:val="00346D3F"/>
    <w:rsid w:val="00346F95"/>
    <w:rsid w:val="0034777D"/>
    <w:rsid w:val="00350614"/>
    <w:rsid w:val="0035088B"/>
    <w:rsid w:val="00354EA4"/>
    <w:rsid w:val="003562FC"/>
    <w:rsid w:val="00364DE9"/>
    <w:rsid w:val="0036654F"/>
    <w:rsid w:val="003724AD"/>
    <w:rsid w:val="003759EF"/>
    <w:rsid w:val="00382657"/>
    <w:rsid w:val="003851FC"/>
    <w:rsid w:val="00390A73"/>
    <w:rsid w:val="003910C2"/>
    <w:rsid w:val="00391106"/>
    <w:rsid w:val="00393E57"/>
    <w:rsid w:val="00397A57"/>
    <w:rsid w:val="003A7154"/>
    <w:rsid w:val="003B25FD"/>
    <w:rsid w:val="003B3500"/>
    <w:rsid w:val="003B6C64"/>
    <w:rsid w:val="003C5B28"/>
    <w:rsid w:val="003D3347"/>
    <w:rsid w:val="003E4E51"/>
    <w:rsid w:val="003E6FD9"/>
    <w:rsid w:val="00421F38"/>
    <w:rsid w:val="00426C4E"/>
    <w:rsid w:val="00430CE5"/>
    <w:rsid w:val="0043421D"/>
    <w:rsid w:val="004352F1"/>
    <w:rsid w:val="00435C40"/>
    <w:rsid w:val="00444569"/>
    <w:rsid w:val="0045403B"/>
    <w:rsid w:val="004542A4"/>
    <w:rsid w:val="00460832"/>
    <w:rsid w:val="0047678D"/>
    <w:rsid w:val="0048328D"/>
    <w:rsid w:val="00492A67"/>
    <w:rsid w:val="004945B8"/>
    <w:rsid w:val="004A0592"/>
    <w:rsid w:val="004A24BF"/>
    <w:rsid w:val="004B6BCD"/>
    <w:rsid w:val="004C00DD"/>
    <w:rsid w:val="004D6F8D"/>
    <w:rsid w:val="004E13F0"/>
    <w:rsid w:val="004E346D"/>
    <w:rsid w:val="004F77B8"/>
    <w:rsid w:val="005001F2"/>
    <w:rsid w:val="00500F72"/>
    <w:rsid w:val="005031BD"/>
    <w:rsid w:val="0050449A"/>
    <w:rsid w:val="00514350"/>
    <w:rsid w:val="00526C4A"/>
    <w:rsid w:val="00532C02"/>
    <w:rsid w:val="00534BB7"/>
    <w:rsid w:val="00542061"/>
    <w:rsid w:val="00543A5E"/>
    <w:rsid w:val="00544645"/>
    <w:rsid w:val="00545736"/>
    <w:rsid w:val="00554E6E"/>
    <w:rsid w:val="00562161"/>
    <w:rsid w:val="005659A0"/>
    <w:rsid w:val="00565AD2"/>
    <w:rsid w:val="00566EDE"/>
    <w:rsid w:val="005679E0"/>
    <w:rsid w:val="005708B5"/>
    <w:rsid w:val="005736C6"/>
    <w:rsid w:val="005739A6"/>
    <w:rsid w:val="00574BAA"/>
    <w:rsid w:val="00590CB0"/>
    <w:rsid w:val="00594661"/>
    <w:rsid w:val="005A290E"/>
    <w:rsid w:val="005A2B11"/>
    <w:rsid w:val="005B3524"/>
    <w:rsid w:val="005B7652"/>
    <w:rsid w:val="005C0A10"/>
    <w:rsid w:val="005C0DE4"/>
    <w:rsid w:val="005C2DA9"/>
    <w:rsid w:val="005C6EB7"/>
    <w:rsid w:val="005D25BC"/>
    <w:rsid w:val="005E7A09"/>
    <w:rsid w:val="005F3F97"/>
    <w:rsid w:val="005F457D"/>
    <w:rsid w:val="00603A12"/>
    <w:rsid w:val="00624709"/>
    <w:rsid w:val="00624E74"/>
    <w:rsid w:val="00633661"/>
    <w:rsid w:val="00633D95"/>
    <w:rsid w:val="00637BC7"/>
    <w:rsid w:val="00646D30"/>
    <w:rsid w:val="006516A4"/>
    <w:rsid w:val="00654831"/>
    <w:rsid w:val="00655AA9"/>
    <w:rsid w:val="00656BF3"/>
    <w:rsid w:val="00660449"/>
    <w:rsid w:val="00684BB5"/>
    <w:rsid w:val="00685D27"/>
    <w:rsid w:val="006A2B0C"/>
    <w:rsid w:val="006B65D5"/>
    <w:rsid w:val="006C2E2A"/>
    <w:rsid w:val="006F29FD"/>
    <w:rsid w:val="006F4921"/>
    <w:rsid w:val="006F57E8"/>
    <w:rsid w:val="00713BA6"/>
    <w:rsid w:val="00727DFE"/>
    <w:rsid w:val="007318E1"/>
    <w:rsid w:val="007418D3"/>
    <w:rsid w:val="00742D97"/>
    <w:rsid w:val="0074525C"/>
    <w:rsid w:val="00746569"/>
    <w:rsid w:val="007534CD"/>
    <w:rsid w:val="00755E0C"/>
    <w:rsid w:val="007662ED"/>
    <w:rsid w:val="00771727"/>
    <w:rsid w:val="00771795"/>
    <w:rsid w:val="007803A6"/>
    <w:rsid w:val="00786E10"/>
    <w:rsid w:val="00796A0B"/>
    <w:rsid w:val="007A55AA"/>
    <w:rsid w:val="007B128D"/>
    <w:rsid w:val="007B3A7A"/>
    <w:rsid w:val="007B46A3"/>
    <w:rsid w:val="007B67C0"/>
    <w:rsid w:val="007C0CC5"/>
    <w:rsid w:val="007C27A8"/>
    <w:rsid w:val="007C3099"/>
    <w:rsid w:val="007C6550"/>
    <w:rsid w:val="007D4C47"/>
    <w:rsid w:val="007F3322"/>
    <w:rsid w:val="007F5A16"/>
    <w:rsid w:val="0080480F"/>
    <w:rsid w:val="00835910"/>
    <w:rsid w:val="00840E6B"/>
    <w:rsid w:val="00843FE4"/>
    <w:rsid w:val="00850044"/>
    <w:rsid w:val="008630B4"/>
    <w:rsid w:val="00876839"/>
    <w:rsid w:val="0088405A"/>
    <w:rsid w:val="008864BC"/>
    <w:rsid w:val="00892A5F"/>
    <w:rsid w:val="00897ABD"/>
    <w:rsid w:val="008A091A"/>
    <w:rsid w:val="008B3F3A"/>
    <w:rsid w:val="008B417A"/>
    <w:rsid w:val="008D17D6"/>
    <w:rsid w:val="008D248A"/>
    <w:rsid w:val="008D32D8"/>
    <w:rsid w:val="008E3C9D"/>
    <w:rsid w:val="00903F30"/>
    <w:rsid w:val="00911B30"/>
    <w:rsid w:val="00925832"/>
    <w:rsid w:val="00934070"/>
    <w:rsid w:val="00945160"/>
    <w:rsid w:val="00955282"/>
    <w:rsid w:val="00956335"/>
    <w:rsid w:val="00962FB2"/>
    <w:rsid w:val="0097214B"/>
    <w:rsid w:val="00983E62"/>
    <w:rsid w:val="00985C78"/>
    <w:rsid w:val="00987916"/>
    <w:rsid w:val="00992451"/>
    <w:rsid w:val="009B2A32"/>
    <w:rsid w:val="009C118B"/>
    <w:rsid w:val="009D1C71"/>
    <w:rsid w:val="009D2BB8"/>
    <w:rsid w:val="009D75FA"/>
    <w:rsid w:val="00A1792B"/>
    <w:rsid w:val="00A20011"/>
    <w:rsid w:val="00A20548"/>
    <w:rsid w:val="00A21BFD"/>
    <w:rsid w:val="00A26E44"/>
    <w:rsid w:val="00A35FD0"/>
    <w:rsid w:val="00A36253"/>
    <w:rsid w:val="00A43BC8"/>
    <w:rsid w:val="00A577D5"/>
    <w:rsid w:val="00A57BE0"/>
    <w:rsid w:val="00A65FA7"/>
    <w:rsid w:val="00A660FB"/>
    <w:rsid w:val="00A66488"/>
    <w:rsid w:val="00A92E24"/>
    <w:rsid w:val="00A9727A"/>
    <w:rsid w:val="00AA1776"/>
    <w:rsid w:val="00AA4384"/>
    <w:rsid w:val="00AA5FC2"/>
    <w:rsid w:val="00AA7A73"/>
    <w:rsid w:val="00AB1DDB"/>
    <w:rsid w:val="00AB21C1"/>
    <w:rsid w:val="00AB7012"/>
    <w:rsid w:val="00AC0270"/>
    <w:rsid w:val="00AC3C64"/>
    <w:rsid w:val="00AD2308"/>
    <w:rsid w:val="00AD2DC1"/>
    <w:rsid w:val="00AD392D"/>
    <w:rsid w:val="00AD4551"/>
    <w:rsid w:val="00AD7102"/>
    <w:rsid w:val="00AD76E2"/>
    <w:rsid w:val="00AE105D"/>
    <w:rsid w:val="00AE4051"/>
    <w:rsid w:val="00AE4E3B"/>
    <w:rsid w:val="00AE7B59"/>
    <w:rsid w:val="00AE7FC7"/>
    <w:rsid w:val="00B221D8"/>
    <w:rsid w:val="00B22291"/>
    <w:rsid w:val="00B245FD"/>
    <w:rsid w:val="00B26AFA"/>
    <w:rsid w:val="00B34123"/>
    <w:rsid w:val="00B46292"/>
    <w:rsid w:val="00B525BC"/>
    <w:rsid w:val="00B538B4"/>
    <w:rsid w:val="00B62998"/>
    <w:rsid w:val="00B67C6E"/>
    <w:rsid w:val="00B73011"/>
    <w:rsid w:val="00B83065"/>
    <w:rsid w:val="00B9069D"/>
    <w:rsid w:val="00B95186"/>
    <w:rsid w:val="00B956C7"/>
    <w:rsid w:val="00B96188"/>
    <w:rsid w:val="00BA17B9"/>
    <w:rsid w:val="00BB6198"/>
    <w:rsid w:val="00BC0CC1"/>
    <w:rsid w:val="00BC1B9E"/>
    <w:rsid w:val="00BC477E"/>
    <w:rsid w:val="00BD23EB"/>
    <w:rsid w:val="00BE41C9"/>
    <w:rsid w:val="00BE457C"/>
    <w:rsid w:val="00BE5E3D"/>
    <w:rsid w:val="00BE6297"/>
    <w:rsid w:val="00BF1541"/>
    <w:rsid w:val="00C07D34"/>
    <w:rsid w:val="00C10555"/>
    <w:rsid w:val="00C1202A"/>
    <w:rsid w:val="00C30326"/>
    <w:rsid w:val="00C33580"/>
    <w:rsid w:val="00C419CB"/>
    <w:rsid w:val="00C442EA"/>
    <w:rsid w:val="00C563E4"/>
    <w:rsid w:val="00C67AA2"/>
    <w:rsid w:val="00C763BC"/>
    <w:rsid w:val="00C769E2"/>
    <w:rsid w:val="00C83834"/>
    <w:rsid w:val="00C84334"/>
    <w:rsid w:val="00C872DB"/>
    <w:rsid w:val="00C902E0"/>
    <w:rsid w:val="00C90305"/>
    <w:rsid w:val="00C91EEA"/>
    <w:rsid w:val="00C97C52"/>
    <w:rsid w:val="00CA4E6E"/>
    <w:rsid w:val="00CB1B07"/>
    <w:rsid w:val="00CC3A46"/>
    <w:rsid w:val="00CC7A44"/>
    <w:rsid w:val="00CD1426"/>
    <w:rsid w:val="00CD75A2"/>
    <w:rsid w:val="00CF26E1"/>
    <w:rsid w:val="00D00B5E"/>
    <w:rsid w:val="00D016EA"/>
    <w:rsid w:val="00D04708"/>
    <w:rsid w:val="00D164BE"/>
    <w:rsid w:val="00D217BD"/>
    <w:rsid w:val="00D22465"/>
    <w:rsid w:val="00D22C48"/>
    <w:rsid w:val="00D3304C"/>
    <w:rsid w:val="00D339DD"/>
    <w:rsid w:val="00D35728"/>
    <w:rsid w:val="00D40629"/>
    <w:rsid w:val="00D47473"/>
    <w:rsid w:val="00D47969"/>
    <w:rsid w:val="00D51710"/>
    <w:rsid w:val="00D75615"/>
    <w:rsid w:val="00D77353"/>
    <w:rsid w:val="00D84442"/>
    <w:rsid w:val="00D87CC8"/>
    <w:rsid w:val="00D97539"/>
    <w:rsid w:val="00DA161F"/>
    <w:rsid w:val="00DA1D54"/>
    <w:rsid w:val="00DA6F81"/>
    <w:rsid w:val="00DB0D51"/>
    <w:rsid w:val="00DB2FAA"/>
    <w:rsid w:val="00DB4AF1"/>
    <w:rsid w:val="00DC13FA"/>
    <w:rsid w:val="00DC7409"/>
    <w:rsid w:val="00DD5FF8"/>
    <w:rsid w:val="00DE0E24"/>
    <w:rsid w:val="00DE68A9"/>
    <w:rsid w:val="00DF15AC"/>
    <w:rsid w:val="00DF3725"/>
    <w:rsid w:val="00DF74FB"/>
    <w:rsid w:val="00E039E6"/>
    <w:rsid w:val="00E0420D"/>
    <w:rsid w:val="00E1352B"/>
    <w:rsid w:val="00E154CB"/>
    <w:rsid w:val="00E36857"/>
    <w:rsid w:val="00E45F34"/>
    <w:rsid w:val="00E46DFA"/>
    <w:rsid w:val="00E56FCF"/>
    <w:rsid w:val="00E6784E"/>
    <w:rsid w:val="00E72B42"/>
    <w:rsid w:val="00E74DD9"/>
    <w:rsid w:val="00E76688"/>
    <w:rsid w:val="00E77A83"/>
    <w:rsid w:val="00E87B07"/>
    <w:rsid w:val="00E9107E"/>
    <w:rsid w:val="00E9359B"/>
    <w:rsid w:val="00E94AC2"/>
    <w:rsid w:val="00E969F8"/>
    <w:rsid w:val="00EA769B"/>
    <w:rsid w:val="00EB1AE7"/>
    <w:rsid w:val="00EB6AE2"/>
    <w:rsid w:val="00EB7BBA"/>
    <w:rsid w:val="00EB7EAA"/>
    <w:rsid w:val="00EC4B61"/>
    <w:rsid w:val="00ED3285"/>
    <w:rsid w:val="00ED64DC"/>
    <w:rsid w:val="00ED7C39"/>
    <w:rsid w:val="00EE7B30"/>
    <w:rsid w:val="00EF18F1"/>
    <w:rsid w:val="00EF4944"/>
    <w:rsid w:val="00F1085D"/>
    <w:rsid w:val="00F11638"/>
    <w:rsid w:val="00F2050C"/>
    <w:rsid w:val="00F20AA8"/>
    <w:rsid w:val="00F2363B"/>
    <w:rsid w:val="00F3246F"/>
    <w:rsid w:val="00F369FA"/>
    <w:rsid w:val="00F51C4D"/>
    <w:rsid w:val="00F627DB"/>
    <w:rsid w:val="00F6677A"/>
    <w:rsid w:val="00F7199C"/>
    <w:rsid w:val="00F934DA"/>
    <w:rsid w:val="00F96015"/>
    <w:rsid w:val="00FA27C8"/>
    <w:rsid w:val="00FA7899"/>
    <w:rsid w:val="00FB040A"/>
    <w:rsid w:val="00FB1D1D"/>
    <w:rsid w:val="00FB5D39"/>
    <w:rsid w:val="00FC165E"/>
    <w:rsid w:val="00FC49A9"/>
    <w:rsid w:val="00FD2E64"/>
    <w:rsid w:val="00FD4AB7"/>
    <w:rsid w:val="00FD5EBD"/>
    <w:rsid w:val="00FE317A"/>
    <w:rsid w:val="00FE4662"/>
    <w:rsid w:val="00FF148F"/>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AA96"/>
  <w15:docId w15:val="{472D69A4-AC03-4D3E-99F9-73CE8389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77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3B61"/>
    <w:pPr>
      <w:ind w:left="720"/>
      <w:contextualSpacing/>
    </w:pPr>
  </w:style>
  <w:style w:type="paragraph" w:styleId="NormalWeb">
    <w:name w:val="Normal (Web)"/>
    <w:basedOn w:val="Normal"/>
    <w:uiPriority w:val="99"/>
    <w:unhideWhenUsed/>
    <w:rsid w:val="00DF74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D7"/>
    <w:rPr>
      <w:rFonts w:ascii="Tahoma" w:hAnsi="Tahoma" w:cs="Tahoma"/>
      <w:sz w:val="16"/>
      <w:szCs w:val="16"/>
    </w:rPr>
  </w:style>
  <w:style w:type="paragraph" w:styleId="FootnoteText">
    <w:name w:val="footnote text"/>
    <w:basedOn w:val="Normal"/>
    <w:link w:val="FootnoteTextChar"/>
    <w:uiPriority w:val="99"/>
    <w:unhideWhenUsed/>
    <w:rsid w:val="00B26AFA"/>
    <w:pPr>
      <w:spacing w:after="0" w:line="240" w:lineRule="auto"/>
    </w:pPr>
    <w:rPr>
      <w:sz w:val="20"/>
      <w:szCs w:val="20"/>
    </w:rPr>
  </w:style>
  <w:style w:type="character" w:customStyle="1" w:styleId="FootnoteTextChar">
    <w:name w:val="Footnote Text Char"/>
    <w:basedOn w:val="DefaultParagraphFont"/>
    <w:link w:val="FootnoteText"/>
    <w:uiPriority w:val="99"/>
    <w:rsid w:val="00B26AFA"/>
    <w:rPr>
      <w:sz w:val="20"/>
      <w:szCs w:val="20"/>
    </w:rPr>
  </w:style>
  <w:style w:type="character" w:styleId="FootnoteReference">
    <w:name w:val="footnote reference"/>
    <w:basedOn w:val="DefaultParagraphFont"/>
    <w:uiPriority w:val="99"/>
    <w:unhideWhenUsed/>
    <w:rsid w:val="00B26AFA"/>
    <w:rPr>
      <w:vertAlign w:val="superscript"/>
    </w:rPr>
  </w:style>
  <w:style w:type="paragraph" w:styleId="EndnoteText">
    <w:name w:val="endnote text"/>
    <w:basedOn w:val="Normal"/>
    <w:link w:val="EndnoteTextChar"/>
    <w:uiPriority w:val="99"/>
    <w:semiHidden/>
    <w:unhideWhenUsed/>
    <w:rsid w:val="00F934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4DA"/>
    <w:rPr>
      <w:sz w:val="20"/>
      <w:szCs w:val="20"/>
    </w:rPr>
  </w:style>
  <w:style w:type="character" w:styleId="EndnoteReference">
    <w:name w:val="endnote reference"/>
    <w:basedOn w:val="DefaultParagraphFont"/>
    <w:uiPriority w:val="99"/>
    <w:semiHidden/>
    <w:unhideWhenUsed/>
    <w:rsid w:val="00F934DA"/>
    <w:rPr>
      <w:vertAlign w:val="superscript"/>
    </w:rPr>
  </w:style>
  <w:style w:type="paragraph" w:styleId="EnvelopeAddress">
    <w:name w:val="envelope address"/>
    <w:basedOn w:val="Normal"/>
    <w:uiPriority w:val="99"/>
    <w:rsid w:val="0080480F"/>
    <w:pPr>
      <w:framePr w:w="7920" w:h="1980" w:hRule="exact" w:hSpace="180" w:wrap="auto" w:hAnchor="page" w:xAlign="center" w:yAlign="bottom"/>
      <w:spacing w:after="0" w:line="240" w:lineRule="auto"/>
      <w:ind w:left="2880"/>
    </w:pPr>
    <w:rPr>
      <w:rFonts w:ascii="Arial" w:eastAsia="Times New Roman" w:hAnsi="Arial" w:cs="Arial"/>
      <w:sz w:val="24"/>
      <w:szCs w:val="24"/>
      <w:lang w:val="en-GB"/>
    </w:rPr>
  </w:style>
  <w:style w:type="paragraph" w:customStyle="1" w:styleId="Level1">
    <w:name w:val="Level 1"/>
    <w:rsid w:val="0080480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character" w:customStyle="1" w:styleId="apple-converted-space">
    <w:name w:val="apple-converted-space"/>
    <w:rsid w:val="0080480F"/>
  </w:style>
  <w:style w:type="character" w:customStyle="1" w:styleId="Hyperlink1">
    <w:name w:val="Hyperlink1"/>
    <w:basedOn w:val="DefaultParagraphFont"/>
    <w:uiPriority w:val="99"/>
    <w:unhideWhenUsed/>
    <w:rsid w:val="00BC0CC1"/>
    <w:rPr>
      <w:rFonts w:cs="Times New Roman"/>
      <w:color w:val="0563C1"/>
      <w:u w:val="single"/>
    </w:rPr>
  </w:style>
  <w:style w:type="paragraph" w:styleId="Header">
    <w:name w:val="header"/>
    <w:basedOn w:val="Normal"/>
    <w:link w:val="HeaderChar"/>
    <w:uiPriority w:val="99"/>
    <w:unhideWhenUsed/>
    <w:rsid w:val="00780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3A6"/>
  </w:style>
  <w:style w:type="paragraph" w:styleId="Footer">
    <w:name w:val="footer"/>
    <w:basedOn w:val="Normal"/>
    <w:link w:val="FooterChar"/>
    <w:uiPriority w:val="99"/>
    <w:unhideWhenUsed/>
    <w:rsid w:val="00780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3A6"/>
  </w:style>
  <w:style w:type="table" w:styleId="TableGrid">
    <w:name w:val="Table Grid"/>
    <w:basedOn w:val="TableNormal"/>
    <w:uiPriority w:val="59"/>
    <w:rsid w:val="00566EDE"/>
    <w:pPr>
      <w:spacing w:after="0" w:line="240" w:lineRule="auto"/>
      <w:ind w:firstLine="720"/>
      <w:jc w:val="both"/>
    </w:pPr>
    <w:rPr>
      <w:rFonts w:ascii="Arial" w:eastAsiaTheme="minorHAnsi" w:hAnsi="Arial"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4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Londiwe Sithole</dc:creator>
  <cp:lastModifiedBy>Lazarus Rakgwale</cp:lastModifiedBy>
  <cp:revision>2</cp:revision>
  <dcterms:created xsi:type="dcterms:W3CDTF">2022-09-16T10:19:00Z</dcterms:created>
  <dcterms:modified xsi:type="dcterms:W3CDTF">2022-09-16T10:19:00Z</dcterms:modified>
</cp:coreProperties>
</file>