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93F1" w14:textId="77777777" w:rsidR="005F0BF8" w:rsidRPr="005F0BF8" w:rsidRDefault="005F0BF8" w:rsidP="00371802">
      <w:pPr>
        <w:spacing w:line="240" w:lineRule="auto"/>
        <w:jc w:val="center"/>
        <w:rPr>
          <w:rFonts w:ascii="Arial" w:hAnsi="Arial" w:cs="Arial"/>
          <w:b/>
        </w:rPr>
      </w:pPr>
      <w:bookmarkStart w:id="0" w:name="_GoBack"/>
      <w:bookmarkEnd w:id="0"/>
      <w:r w:rsidRPr="005F0BF8">
        <w:rPr>
          <w:rFonts w:ascii="Arial" w:hAnsi="Arial" w:cs="Arial"/>
          <w:b/>
        </w:rPr>
        <w:t>REPUBLIC OF SOUTH AFRICA</w:t>
      </w:r>
    </w:p>
    <w:p w14:paraId="0E4947B1" w14:textId="77777777" w:rsidR="005F0BF8" w:rsidRPr="005F0BF8" w:rsidRDefault="005F0BF8" w:rsidP="00371802">
      <w:pPr>
        <w:spacing w:line="240" w:lineRule="auto"/>
        <w:jc w:val="center"/>
        <w:rPr>
          <w:rFonts w:ascii="Arial" w:hAnsi="Arial" w:cs="Arial"/>
          <w:b/>
        </w:rPr>
      </w:pPr>
      <w:r w:rsidRPr="005F0BF8">
        <w:rPr>
          <w:rFonts w:ascii="Arial" w:hAnsi="Arial" w:cs="Arial"/>
          <w:noProof/>
          <w:lang w:eastAsia="en-ZA"/>
        </w:rPr>
        <w:drawing>
          <wp:inline distT="0" distB="0" distL="0" distR="0" wp14:anchorId="616830C1" wp14:editId="5A0B1F1B">
            <wp:extent cx="989330" cy="1022350"/>
            <wp:effectExtent l="0" t="0" r="1270" b="6350"/>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9330" cy="1022350"/>
                    </a:xfrm>
                    <a:prstGeom prst="rect">
                      <a:avLst/>
                    </a:prstGeom>
                    <a:noFill/>
                    <a:ln>
                      <a:noFill/>
                    </a:ln>
                  </pic:spPr>
                </pic:pic>
              </a:graphicData>
            </a:graphic>
          </wp:inline>
        </w:drawing>
      </w:r>
    </w:p>
    <w:p w14:paraId="2C4FFB30" w14:textId="77777777" w:rsidR="005F0BF8" w:rsidRPr="005F0BF8" w:rsidRDefault="005F0BF8" w:rsidP="00371802">
      <w:pPr>
        <w:spacing w:line="240" w:lineRule="auto"/>
        <w:jc w:val="center"/>
        <w:rPr>
          <w:rFonts w:ascii="Arial" w:hAnsi="Arial" w:cs="Arial"/>
          <w:b/>
        </w:rPr>
      </w:pPr>
      <w:r w:rsidRPr="005F0BF8">
        <w:rPr>
          <w:rFonts w:ascii="Arial" w:hAnsi="Arial" w:cs="Arial"/>
          <w:b/>
        </w:rPr>
        <w:t>IN THE HIGH COURT OF SOUTH AFRICA</w:t>
      </w:r>
    </w:p>
    <w:p w14:paraId="13642886" w14:textId="77777777" w:rsidR="005F0BF8" w:rsidRPr="005F0BF8" w:rsidRDefault="005F0BF8" w:rsidP="00371802">
      <w:pPr>
        <w:spacing w:line="240" w:lineRule="auto"/>
        <w:jc w:val="center"/>
        <w:rPr>
          <w:rFonts w:ascii="Arial" w:hAnsi="Arial" w:cs="Arial"/>
          <w:b/>
        </w:rPr>
      </w:pPr>
      <w:r w:rsidRPr="005F0BF8">
        <w:rPr>
          <w:rFonts w:ascii="Arial" w:hAnsi="Arial" w:cs="Arial"/>
          <w:b/>
        </w:rPr>
        <w:t>GAUTENG DIVISION, JOHANNESBURG</w:t>
      </w:r>
    </w:p>
    <w:p w14:paraId="0473461E" w14:textId="77777777" w:rsidR="005F0BF8" w:rsidRPr="005F0BF8" w:rsidRDefault="005F0BF8" w:rsidP="005F0BF8">
      <w:pPr>
        <w:jc w:val="center"/>
        <w:rPr>
          <w:rFonts w:ascii="Arial" w:hAnsi="Arial" w:cs="Arial"/>
          <w:b/>
        </w:rPr>
      </w:pPr>
    </w:p>
    <w:p w14:paraId="5555B188" w14:textId="5D305DDB" w:rsidR="005F0BF8" w:rsidRPr="005F0BF8" w:rsidRDefault="005F0BF8" w:rsidP="005F0BF8">
      <w:pPr>
        <w:jc w:val="both"/>
        <w:rPr>
          <w:rFonts w:ascii="Arial" w:hAnsi="Arial" w:cs="Arial"/>
          <w:lang w:val="en-US"/>
        </w:rPr>
      </w:pPr>
      <w:r w:rsidRPr="005F0BF8">
        <w:rPr>
          <w:rFonts w:ascii="Arial" w:hAnsi="Arial" w:cs="Arial"/>
        </w:rPr>
        <w:t xml:space="preserve">                                                             </w:t>
      </w:r>
      <w:r w:rsidRPr="005F0BF8">
        <w:rPr>
          <w:rFonts w:ascii="Arial" w:hAnsi="Arial" w:cs="Arial"/>
        </w:rPr>
        <w:tab/>
      </w:r>
      <w:r w:rsidRPr="005F0BF8">
        <w:rPr>
          <w:rFonts w:ascii="Arial" w:hAnsi="Arial" w:cs="Arial"/>
        </w:rPr>
        <w:tab/>
      </w:r>
      <w:r w:rsidRPr="005F0BF8">
        <w:rPr>
          <w:rFonts w:ascii="Arial" w:hAnsi="Arial" w:cs="Arial"/>
        </w:rPr>
        <w:tab/>
      </w:r>
      <w:r w:rsidRPr="005F0BF8">
        <w:rPr>
          <w:rFonts w:ascii="Arial" w:hAnsi="Arial" w:cs="Arial"/>
        </w:rPr>
        <w:tab/>
        <w:t xml:space="preserve">  </w:t>
      </w:r>
      <w:r w:rsidRPr="005F0BF8">
        <w:rPr>
          <w:rFonts w:ascii="Arial" w:hAnsi="Arial" w:cs="Arial"/>
          <w:b/>
        </w:rPr>
        <w:t>Case No:</w:t>
      </w:r>
      <w:r w:rsidRPr="005F0BF8">
        <w:rPr>
          <w:rFonts w:ascii="Arial" w:hAnsi="Arial" w:cs="Arial"/>
          <w:b/>
          <w:lang w:val="en-GB"/>
        </w:rPr>
        <w:t xml:space="preserve"> </w:t>
      </w:r>
      <w:r w:rsidR="005F3AF1">
        <w:rPr>
          <w:rFonts w:ascii="Arial" w:hAnsi="Arial" w:cs="Arial"/>
          <w:lang w:val="en-US"/>
        </w:rPr>
        <w:t>19378</w:t>
      </w:r>
      <w:r w:rsidR="005F4149">
        <w:rPr>
          <w:rFonts w:ascii="Arial" w:hAnsi="Arial" w:cs="Arial"/>
          <w:lang w:val="en-US"/>
        </w:rPr>
        <w:t>/20</w:t>
      </w:r>
      <w:r w:rsidR="00E63B3F">
        <w:rPr>
          <w:rFonts w:ascii="Arial" w:hAnsi="Arial" w:cs="Arial"/>
          <w:lang w:val="en-US"/>
        </w:rPr>
        <w:t>21</w:t>
      </w:r>
    </w:p>
    <w:p w14:paraId="538896EE" w14:textId="77777777" w:rsidR="005F0BF8" w:rsidRPr="005F0BF8" w:rsidRDefault="005F0BF8" w:rsidP="005F0BF8">
      <w:pPr>
        <w:jc w:val="both"/>
        <w:rPr>
          <w:rFonts w:ascii="Arial" w:hAnsi="Arial" w:cs="Arial"/>
          <w:lang w:val="en-GB"/>
        </w:rPr>
      </w:pPr>
      <w:r w:rsidRPr="005F0BF8">
        <w:rPr>
          <w:rFonts w:ascii="Arial" w:hAnsi="Arial" w:cs="Arial"/>
          <w:noProof/>
          <w:lang w:eastAsia="en-ZA"/>
        </w:rPr>
        <mc:AlternateContent>
          <mc:Choice Requires="wps">
            <w:drawing>
              <wp:anchor distT="0" distB="0" distL="114300" distR="114300" simplePos="0" relativeHeight="251659264" behindDoc="0" locked="0" layoutInCell="1" allowOverlap="1" wp14:anchorId="65F8BF5C" wp14:editId="12D20B0F">
                <wp:simplePos x="0" y="0"/>
                <wp:positionH relativeFrom="column">
                  <wp:posOffset>0</wp:posOffset>
                </wp:positionH>
                <wp:positionV relativeFrom="paragraph">
                  <wp:posOffset>210185</wp:posOffset>
                </wp:positionV>
                <wp:extent cx="3314700" cy="1266825"/>
                <wp:effectExtent l="0" t="0"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B713AAA" w14:textId="77777777" w:rsidR="005F0BF8" w:rsidRPr="004120A8" w:rsidRDefault="005F0BF8" w:rsidP="005F0BF8">
                            <w:pPr>
                              <w:jc w:val="center"/>
                              <w:rPr>
                                <w:rFonts w:ascii="Century Gothic" w:hAnsi="Century Gothic"/>
                                <w:b/>
                                <w:sz w:val="2"/>
                                <w:szCs w:val="18"/>
                              </w:rPr>
                            </w:pPr>
                          </w:p>
                          <w:p w14:paraId="01E45BB6" w14:textId="218C2A3F" w:rsidR="005F0BF8" w:rsidRPr="004120A8" w:rsidRDefault="005F0BF8" w:rsidP="005F0BF8">
                            <w:pPr>
                              <w:numPr>
                                <w:ilvl w:val="0"/>
                                <w:numId w:val="2"/>
                              </w:numPr>
                              <w:spacing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309F0CCA" w14:textId="1E323829"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60BA79A6" w14:textId="77777777"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 xml:space="preserve">REVISED. </w:t>
                            </w:r>
                          </w:p>
                          <w:p w14:paraId="6CD9C518" w14:textId="77777777" w:rsidR="005F0BF8" w:rsidRPr="004120A8" w:rsidRDefault="005F0BF8" w:rsidP="005F0BF8">
                            <w:pPr>
                              <w:rPr>
                                <w:rFonts w:ascii="Century Gothic" w:hAnsi="Century Gothic"/>
                                <w:b/>
                                <w:sz w:val="18"/>
                                <w:szCs w:val="18"/>
                              </w:rPr>
                            </w:pPr>
                          </w:p>
                          <w:p w14:paraId="796B2A38"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F3F93F7"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C3AAD" w14:textId="77777777" w:rsidR="005F0BF8" w:rsidRPr="004120A8" w:rsidRDefault="005F0BF8" w:rsidP="005F0BF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8BF5C"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">
                <v:path arrowok="t"/>
                <v:textbox>
                  <w:txbxContent>
                    <w:p w14:paraId="3B713AAA" w14:textId="77777777" w:rsidR="005F0BF8" w:rsidRPr="004120A8" w:rsidRDefault="005F0BF8" w:rsidP="005F0BF8">
                      <w:pPr>
                        <w:jc w:val="center"/>
                        <w:rPr>
                          <w:rFonts w:ascii="Century Gothic" w:hAnsi="Century Gothic"/>
                          <w:b/>
                          <w:sz w:val="2"/>
                          <w:szCs w:val="18"/>
                        </w:rPr>
                      </w:pPr>
                    </w:p>
                    <w:p w14:paraId="01E45BB6" w14:textId="218C2A3F" w:rsidR="005F0BF8" w:rsidRPr="004120A8" w:rsidRDefault="005F0BF8" w:rsidP="005F0BF8">
                      <w:pPr>
                        <w:numPr>
                          <w:ilvl w:val="0"/>
                          <w:numId w:val="2"/>
                        </w:numPr>
                        <w:spacing w:line="240" w:lineRule="auto"/>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309F0CCA" w14:textId="1E323829"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60BA79A6" w14:textId="77777777" w:rsidR="005F0BF8" w:rsidRPr="004120A8" w:rsidRDefault="005F0BF8" w:rsidP="005F0BF8">
                      <w:pPr>
                        <w:numPr>
                          <w:ilvl w:val="0"/>
                          <w:numId w:val="2"/>
                        </w:numPr>
                        <w:spacing w:line="240" w:lineRule="auto"/>
                        <w:rPr>
                          <w:rFonts w:ascii="Century Gothic" w:hAnsi="Century Gothic"/>
                          <w:sz w:val="18"/>
                          <w:szCs w:val="18"/>
                        </w:rPr>
                      </w:pPr>
                      <w:r w:rsidRPr="004120A8">
                        <w:rPr>
                          <w:rFonts w:ascii="Century Gothic" w:hAnsi="Century Gothic"/>
                          <w:sz w:val="18"/>
                          <w:szCs w:val="18"/>
                        </w:rPr>
                        <w:t xml:space="preserve">REVISED. </w:t>
                      </w:r>
                    </w:p>
                    <w:p w14:paraId="6CD9C518" w14:textId="77777777" w:rsidR="005F0BF8" w:rsidRPr="004120A8" w:rsidRDefault="005F0BF8" w:rsidP="005F0BF8">
                      <w:pPr>
                        <w:rPr>
                          <w:rFonts w:ascii="Century Gothic" w:hAnsi="Century Gothic"/>
                          <w:b/>
                          <w:sz w:val="18"/>
                          <w:szCs w:val="18"/>
                        </w:rPr>
                      </w:pPr>
                    </w:p>
                    <w:p w14:paraId="796B2A38"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F3F93F7" w14:textId="77777777" w:rsidR="005F0BF8" w:rsidRPr="004120A8" w:rsidRDefault="005F0BF8" w:rsidP="005F0BF8">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C3AAD" w14:textId="77777777" w:rsidR="005F0BF8" w:rsidRPr="004120A8" w:rsidRDefault="005F0BF8" w:rsidP="005F0BF8">
                      <w:pPr>
                        <w:rPr>
                          <w:rFonts w:ascii="Century Gothic" w:hAnsi="Century Gothic"/>
                          <w:b/>
                          <w:sz w:val="2"/>
                          <w:szCs w:val="18"/>
                        </w:rPr>
                      </w:pPr>
                    </w:p>
                  </w:txbxContent>
                </v:textbox>
              </v:shape>
            </w:pict>
          </mc:Fallback>
        </mc:AlternateContent>
      </w:r>
    </w:p>
    <w:p w14:paraId="3A131136" w14:textId="77777777" w:rsidR="005F0BF8" w:rsidRPr="005F0BF8" w:rsidRDefault="005F0BF8" w:rsidP="005F0BF8">
      <w:pPr>
        <w:jc w:val="both"/>
        <w:rPr>
          <w:rFonts w:ascii="Arial" w:hAnsi="Arial" w:cs="Arial"/>
          <w:u w:val="single"/>
          <w:lang w:val="en-GB"/>
        </w:rPr>
      </w:pPr>
    </w:p>
    <w:p w14:paraId="08881BEA" w14:textId="77777777" w:rsidR="005F0BF8" w:rsidRPr="005F0BF8" w:rsidRDefault="005F0BF8" w:rsidP="005F0BF8">
      <w:pPr>
        <w:jc w:val="both"/>
        <w:rPr>
          <w:rFonts w:ascii="Arial" w:hAnsi="Arial" w:cs="Arial"/>
          <w:u w:val="single"/>
          <w:lang w:val="en-GB"/>
        </w:rPr>
      </w:pPr>
    </w:p>
    <w:p w14:paraId="68A38492" w14:textId="77777777" w:rsidR="005F0BF8" w:rsidRPr="005F0BF8" w:rsidRDefault="005F0BF8" w:rsidP="005F0BF8">
      <w:pPr>
        <w:jc w:val="both"/>
        <w:rPr>
          <w:rFonts w:ascii="Arial" w:hAnsi="Arial" w:cs="Arial"/>
          <w:u w:val="single"/>
          <w:lang w:val="en-GB"/>
        </w:rPr>
      </w:pPr>
    </w:p>
    <w:p w14:paraId="6421C774" w14:textId="77777777" w:rsidR="005F0BF8" w:rsidRPr="005F0BF8" w:rsidRDefault="005F0BF8" w:rsidP="005F0BF8">
      <w:pPr>
        <w:jc w:val="both"/>
        <w:rPr>
          <w:rFonts w:ascii="Arial" w:hAnsi="Arial" w:cs="Arial"/>
          <w:u w:val="single"/>
          <w:lang w:val="en-GB"/>
        </w:rPr>
      </w:pPr>
    </w:p>
    <w:p w14:paraId="7EED94FD" w14:textId="77777777" w:rsidR="005F0BF8" w:rsidRPr="005F0BF8" w:rsidRDefault="005F0BF8" w:rsidP="005F0BF8">
      <w:pPr>
        <w:jc w:val="both"/>
        <w:rPr>
          <w:rFonts w:ascii="Arial" w:hAnsi="Arial" w:cs="Arial"/>
        </w:rPr>
      </w:pPr>
    </w:p>
    <w:p w14:paraId="7B79A4AB" w14:textId="77777777" w:rsidR="005F0BF8" w:rsidRPr="005F0BF8" w:rsidRDefault="005F0BF8" w:rsidP="005F0BF8">
      <w:pPr>
        <w:jc w:val="both"/>
        <w:rPr>
          <w:rFonts w:ascii="Arial" w:hAnsi="Arial" w:cs="Arial"/>
          <w:lang w:val="en-GB"/>
        </w:rPr>
      </w:pPr>
    </w:p>
    <w:p w14:paraId="04AF3095" w14:textId="77777777" w:rsidR="005F0BF8" w:rsidRPr="005F0BF8" w:rsidRDefault="005F0BF8" w:rsidP="005F0BF8">
      <w:pPr>
        <w:jc w:val="both"/>
        <w:rPr>
          <w:rFonts w:ascii="Arial" w:hAnsi="Arial" w:cs="Arial"/>
          <w:lang w:val="en-US"/>
        </w:rPr>
      </w:pPr>
      <w:r w:rsidRPr="005F0BF8">
        <w:rPr>
          <w:rFonts w:ascii="Arial" w:hAnsi="Arial" w:cs="Arial"/>
          <w:lang w:val="en-US"/>
        </w:rPr>
        <w:t>In the matter between:</w:t>
      </w:r>
    </w:p>
    <w:p w14:paraId="7C351A60" w14:textId="77777777" w:rsidR="005F0BF8" w:rsidRPr="005F0BF8" w:rsidRDefault="005F0BF8" w:rsidP="005F0BF8">
      <w:pPr>
        <w:jc w:val="both"/>
        <w:rPr>
          <w:rFonts w:ascii="Arial" w:hAnsi="Arial" w:cs="Arial"/>
          <w:lang w:val="en-US"/>
        </w:rPr>
      </w:pPr>
    </w:p>
    <w:p w14:paraId="004947E1" w14:textId="0359A193" w:rsidR="005F4149" w:rsidRDefault="00D840B1" w:rsidP="005F0BF8">
      <w:pPr>
        <w:jc w:val="both"/>
        <w:rPr>
          <w:rFonts w:ascii="Arial" w:hAnsi="Arial" w:cs="Arial"/>
          <w:b/>
          <w:bCs/>
        </w:rPr>
      </w:pPr>
      <w:r>
        <w:rPr>
          <w:rFonts w:ascii="Arial" w:hAnsi="Arial" w:cs="Arial"/>
          <w:b/>
          <w:bCs/>
        </w:rPr>
        <w:t>TIMELINK CARGO</w:t>
      </w:r>
      <w:r w:rsidR="00E63B3F" w:rsidRPr="00E63B3F">
        <w:rPr>
          <w:rFonts w:ascii="Arial" w:hAnsi="Arial" w:cs="Arial"/>
          <w:b/>
          <w:bCs/>
        </w:rPr>
        <w:t xml:space="preserve"> (PTY) LTD</w:t>
      </w:r>
      <w:r w:rsidR="00E63B3F">
        <w:rPr>
          <w:rFonts w:ascii="Arial" w:hAnsi="Arial" w:cs="Arial"/>
          <w:b/>
          <w:bCs/>
        </w:rPr>
        <w:t xml:space="preserve"> </w:t>
      </w:r>
      <w:r w:rsidR="005F4149">
        <w:rPr>
          <w:rFonts w:ascii="Arial" w:hAnsi="Arial" w:cs="Arial"/>
          <w:b/>
          <w:bCs/>
        </w:rPr>
        <w:tab/>
      </w:r>
      <w:r w:rsidR="005F4149">
        <w:rPr>
          <w:rFonts w:ascii="Arial" w:hAnsi="Arial" w:cs="Arial"/>
          <w:b/>
          <w:bCs/>
        </w:rPr>
        <w:tab/>
      </w:r>
      <w:r w:rsidR="005F4149">
        <w:rPr>
          <w:rFonts w:ascii="Arial" w:hAnsi="Arial" w:cs="Arial"/>
          <w:b/>
          <w:bCs/>
        </w:rPr>
        <w:tab/>
      </w:r>
      <w:r w:rsidR="005F4149">
        <w:rPr>
          <w:rFonts w:ascii="Arial" w:hAnsi="Arial" w:cs="Arial"/>
          <w:b/>
          <w:bCs/>
        </w:rPr>
        <w:tab/>
      </w:r>
      <w:r w:rsidR="005F4149" w:rsidRPr="005F4149">
        <w:rPr>
          <w:rFonts w:ascii="Arial" w:hAnsi="Arial" w:cs="Arial"/>
          <w:bCs/>
        </w:rPr>
        <w:t xml:space="preserve">    </w:t>
      </w:r>
      <w:r w:rsidR="005F4149">
        <w:rPr>
          <w:rFonts w:ascii="Arial" w:hAnsi="Arial" w:cs="Arial"/>
          <w:bCs/>
        </w:rPr>
        <w:t xml:space="preserve"> </w:t>
      </w:r>
      <w:r w:rsidR="005F3AF1">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t xml:space="preserve">       </w:t>
      </w:r>
      <w:r w:rsidR="005F3AF1">
        <w:rPr>
          <w:rFonts w:ascii="Arial" w:hAnsi="Arial" w:cs="Arial"/>
          <w:bCs/>
        </w:rPr>
        <w:t xml:space="preserve">Plaintiff </w:t>
      </w:r>
    </w:p>
    <w:p w14:paraId="60F7AF85" w14:textId="77777777" w:rsidR="005F4149" w:rsidRDefault="005F4149" w:rsidP="005F0BF8">
      <w:pPr>
        <w:jc w:val="both"/>
        <w:rPr>
          <w:rFonts w:ascii="Arial" w:hAnsi="Arial" w:cs="Arial"/>
          <w:b/>
          <w:bCs/>
        </w:rPr>
      </w:pPr>
    </w:p>
    <w:p w14:paraId="74007467" w14:textId="3318FEE7" w:rsidR="005F4149" w:rsidRPr="005F4149" w:rsidRDefault="005F4149" w:rsidP="005F0BF8">
      <w:pPr>
        <w:jc w:val="both"/>
        <w:rPr>
          <w:rFonts w:ascii="Arial" w:hAnsi="Arial" w:cs="Arial"/>
          <w:bCs/>
        </w:rPr>
      </w:pPr>
      <w:r w:rsidRPr="005F4149">
        <w:rPr>
          <w:rFonts w:ascii="Arial" w:hAnsi="Arial" w:cs="Arial"/>
          <w:bCs/>
        </w:rPr>
        <w:t xml:space="preserve">And </w:t>
      </w:r>
    </w:p>
    <w:p w14:paraId="67AA3912" w14:textId="77777777" w:rsidR="005F4149" w:rsidRDefault="005F4149" w:rsidP="005F0BF8">
      <w:pPr>
        <w:jc w:val="both"/>
        <w:rPr>
          <w:rFonts w:ascii="Arial" w:hAnsi="Arial" w:cs="Arial"/>
          <w:b/>
          <w:bCs/>
        </w:rPr>
      </w:pPr>
    </w:p>
    <w:p w14:paraId="0BA6700A" w14:textId="45B24386" w:rsidR="00E63B3F" w:rsidRDefault="00D840B1" w:rsidP="005F4149">
      <w:pPr>
        <w:spacing w:line="276" w:lineRule="auto"/>
        <w:jc w:val="both"/>
        <w:rPr>
          <w:rFonts w:ascii="Arial" w:hAnsi="Arial" w:cs="Arial"/>
          <w:b/>
          <w:bCs/>
        </w:rPr>
      </w:pPr>
      <w:r>
        <w:rPr>
          <w:rFonts w:ascii="Arial" w:hAnsi="Arial" w:cs="Arial"/>
          <w:b/>
          <w:bCs/>
        </w:rPr>
        <w:t>CIBA PACKAGING (PTY) LTD</w:t>
      </w:r>
      <w:r w:rsidR="00E63B3F">
        <w:rPr>
          <w:rFonts w:ascii="Arial" w:hAnsi="Arial" w:cs="Arial"/>
          <w:b/>
          <w:bCs/>
        </w:rPr>
        <w:tab/>
      </w:r>
      <w:r w:rsidR="005F4149">
        <w:rPr>
          <w:rFonts w:ascii="Arial" w:hAnsi="Arial" w:cs="Arial"/>
          <w:b/>
          <w:bCs/>
        </w:rPr>
        <w:tab/>
      </w:r>
      <w:r w:rsidR="005F4149">
        <w:rPr>
          <w:rFonts w:ascii="Arial" w:hAnsi="Arial" w:cs="Arial"/>
          <w:b/>
          <w:bCs/>
        </w:rPr>
        <w:tab/>
      </w:r>
      <w:r w:rsidR="005F4149">
        <w:rPr>
          <w:rFonts w:ascii="Arial" w:hAnsi="Arial" w:cs="Arial"/>
          <w:b/>
          <w:bCs/>
        </w:rPr>
        <w:tab/>
      </w:r>
      <w:r w:rsidR="005F4149">
        <w:rPr>
          <w:rFonts w:ascii="Arial" w:hAnsi="Arial" w:cs="Arial"/>
          <w:b/>
          <w:bCs/>
        </w:rPr>
        <w:tab/>
        <w:t xml:space="preserve">          </w:t>
      </w:r>
      <w:r w:rsidR="00E63B3F">
        <w:rPr>
          <w:rFonts w:ascii="Arial" w:hAnsi="Arial" w:cs="Arial"/>
          <w:b/>
          <w:bCs/>
        </w:rPr>
        <w:tab/>
      </w:r>
      <w:r w:rsidR="00E63B3F">
        <w:rPr>
          <w:rFonts w:ascii="Arial" w:hAnsi="Arial" w:cs="Arial"/>
          <w:b/>
          <w:bCs/>
        </w:rPr>
        <w:tab/>
        <w:t xml:space="preserve"> </w:t>
      </w:r>
      <w:r>
        <w:rPr>
          <w:rFonts w:ascii="Arial" w:hAnsi="Arial" w:cs="Arial"/>
          <w:b/>
          <w:bCs/>
        </w:rPr>
        <w:t xml:space="preserve">  </w:t>
      </w:r>
      <w:r w:rsidR="005F3AF1">
        <w:rPr>
          <w:rFonts w:ascii="Arial" w:hAnsi="Arial" w:cs="Arial"/>
          <w:bCs/>
        </w:rPr>
        <w:t xml:space="preserve">Defendant </w:t>
      </w:r>
      <w:r w:rsidR="005F4149">
        <w:rPr>
          <w:rFonts w:ascii="Arial" w:hAnsi="Arial" w:cs="Arial"/>
          <w:b/>
          <w:bCs/>
        </w:rPr>
        <w:t xml:space="preserve"> </w:t>
      </w:r>
    </w:p>
    <w:p w14:paraId="22882B11" w14:textId="77777777" w:rsidR="00E63B3F" w:rsidRDefault="00E63B3F" w:rsidP="005F4149">
      <w:pPr>
        <w:spacing w:line="276" w:lineRule="auto"/>
        <w:jc w:val="both"/>
        <w:rPr>
          <w:rFonts w:ascii="Arial" w:hAnsi="Arial" w:cs="Arial"/>
          <w:b/>
          <w:bCs/>
        </w:rPr>
      </w:pPr>
    </w:p>
    <w:p w14:paraId="7D1D176A" w14:textId="7AEB2F17" w:rsidR="005F0BF8" w:rsidRPr="005F0BF8" w:rsidRDefault="00822A9C" w:rsidP="005F4149">
      <w:pPr>
        <w:spacing w:line="276" w:lineRule="auto"/>
        <w:jc w:val="both"/>
        <w:rPr>
          <w:rFonts w:ascii="Arial" w:hAnsi="Arial" w:cs="Arial"/>
          <w:b/>
          <w:lang w:val="en-GB"/>
        </w:rPr>
      </w:pPr>
      <w:r>
        <w:rPr>
          <w:rFonts w:ascii="Arial" w:hAnsi="Arial" w:cs="Arial"/>
          <w:b/>
          <w:noProof/>
          <w:lang w:val="en-GB"/>
        </w:rPr>
        <w:pict w14:anchorId="2B1F8EBE">
          <v:rect id="_x0000_i1025" alt="" style="width:462.85pt;height:.05pt;mso-width-percent:0;mso-height-percent:0;mso-width-percent:0;mso-height-percent:0" o:hrpct="989" o:hralign="center" o:hrstd="t" o:hr="t" fillcolor="#a0a0a0" stroked="f"/>
        </w:pict>
      </w:r>
    </w:p>
    <w:p w14:paraId="6F4FA4A0" w14:textId="77777777" w:rsidR="005F4149" w:rsidRDefault="005F4149" w:rsidP="005F4149">
      <w:pPr>
        <w:spacing w:line="276" w:lineRule="auto"/>
        <w:jc w:val="center"/>
        <w:rPr>
          <w:rFonts w:ascii="Arial" w:hAnsi="Arial" w:cs="Arial"/>
          <w:b/>
          <w:lang w:val="en-GB"/>
        </w:rPr>
      </w:pPr>
    </w:p>
    <w:p w14:paraId="0C526E11" w14:textId="549B7967" w:rsidR="00371802" w:rsidRPr="005F4149" w:rsidRDefault="005F0BF8" w:rsidP="005F4149">
      <w:pPr>
        <w:jc w:val="center"/>
        <w:rPr>
          <w:rFonts w:ascii="Arial" w:hAnsi="Arial" w:cs="Arial"/>
          <w:b/>
          <w:lang w:val="en-GB"/>
        </w:rPr>
      </w:pPr>
      <w:r w:rsidRPr="005F0BF8">
        <w:rPr>
          <w:rFonts w:ascii="Arial" w:hAnsi="Arial" w:cs="Arial"/>
          <w:b/>
          <w:lang w:val="en-GB"/>
        </w:rPr>
        <w:t xml:space="preserve">JUDGMENT </w:t>
      </w:r>
      <w:r w:rsidR="00822A9C">
        <w:rPr>
          <w:rFonts w:ascii="Arial" w:hAnsi="Arial" w:cs="Arial"/>
          <w:b/>
          <w:noProof/>
          <w:lang w:val="en-GB"/>
        </w:rPr>
        <w:pict w14:anchorId="26EF7DD8">
          <v:rect id="_x0000_i1026" alt="" style="width:462.85pt;height:.05pt;mso-width-percent:0;mso-height-percent:0;mso-width-percent:0;mso-height-percent:0" o:hrpct="989" o:hralign="center" o:hrstd="t" o:hr="t" fillcolor="#a0a0a0" stroked="f"/>
        </w:pict>
      </w:r>
    </w:p>
    <w:p w14:paraId="14C3B173" w14:textId="78FF14F2" w:rsidR="00371802" w:rsidRDefault="00371802" w:rsidP="00A20803">
      <w:pPr>
        <w:jc w:val="both"/>
        <w:rPr>
          <w:rFonts w:ascii="Arial" w:hAnsi="Arial" w:cs="Arial"/>
          <w:b/>
          <w:u w:val="single"/>
          <w:lang w:val="en-GB"/>
        </w:rPr>
      </w:pPr>
    </w:p>
    <w:p w14:paraId="7A736957" w14:textId="398DAB74" w:rsidR="009B6B81" w:rsidRPr="005F0BF8" w:rsidRDefault="005F0BF8" w:rsidP="00A20803">
      <w:pPr>
        <w:jc w:val="both"/>
        <w:rPr>
          <w:rFonts w:ascii="Arial" w:hAnsi="Arial" w:cs="Arial"/>
          <w:b/>
          <w:u w:val="single"/>
          <w:lang w:val="en-GB"/>
        </w:rPr>
      </w:pPr>
      <w:r w:rsidRPr="005F0BF8">
        <w:rPr>
          <w:rFonts w:ascii="Arial" w:hAnsi="Arial" w:cs="Arial"/>
          <w:b/>
          <w:u w:val="single"/>
          <w:lang w:val="en-GB"/>
        </w:rPr>
        <w:t>MATOJANE</w:t>
      </w:r>
      <w:r w:rsidR="00E63B3F">
        <w:rPr>
          <w:rFonts w:ascii="Arial" w:hAnsi="Arial" w:cs="Arial"/>
          <w:b/>
          <w:u w:val="single"/>
          <w:lang w:val="en-GB"/>
        </w:rPr>
        <w:t xml:space="preserve"> J</w:t>
      </w:r>
      <w:r w:rsidRPr="005F0BF8">
        <w:rPr>
          <w:rFonts w:ascii="Arial" w:hAnsi="Arial" w:cs="Arial"/>
          <w:b/>
          <w:u w:val="single"/>
          <w:lang w:val="en-GB"/>
        </w:rPr>
        <w:t xml:space="preserve"> </w:t>
      </w:r>
    </w:p>
    <w:p w14:paraId="7F929E88" w14:textId="77777777" w:rsidR="009B6B81" w:rsidRDefault="009B6B81" w:rsidP="00A20803">
      <w:pPr>
        <w:jc w:val="both"/>
        <w:rPr>
          <w:rFonts w:ascii="Arial" w:hAnsi="Arial" w:cs="Arial"/>
        </w:rPr>
      </w:pPr>
    </w:p>
    <w:p w14:paraId="5F286949" w14:textId="03EB6067" w:rsidR="00444DF1" w:rsidRDefault="005F175C" w:rsidP="00444DF1">
      <w:pPr>
        <w:ind w:left="720" w:hanging="720"/>
        <w:jc w:val="both"/>
        <w:rPr>
          <w:rFonts w:ascii="Arial" w:hAnsi="Arial"/>
          <w:lang w:val="en-US"/>
        </w:rPr>
      </w:pPr>
      <w:r w:rsidRPr="005F175C">
        <w:rPr>
          <w:rFonts w:ascii="Arial" w:hAnsi="Arial"/>
          <w:szCs w:val="22"/>
          <w:lang w:val="en-US"/>
        </w:rPr>
        <w:t>[1]</w:t>
      </w:r>
      <w:r w:rsidRPr="005F175C">
        <w:rPr>
          <w:rFonts w:ascii="Arial" w:hAnsi="Arial"/>
          <w:szCs w:val="22"/>
          <w:lang w:val="en-US"/>
        </w:rPr>
        <w:tab/>
      </w:r>
      <w:r w:rsidR="00444DF1" w:rsidRPr="00444DF1">
        <w:rPr>
          <w:rFonts w:ascii="Arial" w:hAnsi="Arial"/>
          <w:lang w:val="en-US"/>
        </w:rPr>
        <w:t xml:space="preserve">This is an exception to the plaintiff's particulars of claim. The issue for determination is whether the plaintiff's particulars of claim disclose a cause of </w:t>
      </w:r>
      <w:r w:rsidR="00444DF1" w:rsidRPr="00444DF1">
        <w:rPr>
          <w:rFonts w:ascii="Arial" w:hAnsi="Arial"/>
          <w:lang w:val="en-US"/>
        </w:rPr>
        <w:lastRenderedPageBreak/>
        <w:t>action considering the provisions of Section 154(2) of the Companies Act 71 of 2008 (the Act")</w:t>
      </w:r>
    </w:p>
    <w:p w14:paraId="77DE0AD5" w14:textId="77777777" w:rsidR="00444DF1" w:rsidRPr="00444DF1" w:rsidRDefault="00444DF1" w:rsidP="00444DF1">
      <w:pPr>
        <w:ind w:left="720" w:hanging="720"/>
        <w:jc w:val="both"/>
        <w:rPr>
          <w:rFonts w:ascii="Arial" w:hAnsi="Arial"/>
          <w:lang w:val="en-US"/>
        </w:rPr>
      </w:pPr>
    </w:p>
    <w:p w14:paraId="2C5BF967" w14:textId="51B03D8D" w:rsidR="00444DF1" w:rsidRPr="00444DF1" w:rsidRDefault="00444DF1" w:rsidP="00444DF1">
      <w:pPr>
        <w:spacing w:after="160"/>
        <w:ind w:left="720" w:hanging="720"/>
        <w:jc w:val="both"/>
        <w:rPr>
          <w:rFonts w:ascii="Arial" w:hAnsi="Arial"/>
          <w:lang w:val="en-US"/>
        </w:rPr>
      </w:pPr>
      <w:r>
        <w:rPr>
          <w:rFonts w:ascii="Arial" w:hAnsi="Arial"/>
          <w:lang w:val="en-US"/>
        </w:rPr>
        <w:t>[2]</w:t>
      </w:r>
      <w:r>
        <w:rPr>
          <w:rFonts w:ascii="Arial" w:hAnsi="Arial"/>
          <w:lang w:val="en-US"/>
        </w:rPr>
        <w:tab/>
      </w:r>
      <w:r w:rsidRPr="00444DF1">
        <w:rPr>
          <w:rFonts w:ascii="Arial" w:hAnsi="Arial"/>
          <w:lang w:val="en-US"/>
        </w:rPr>
        <w:t>In the main action, the plaintiff claims damages from the defendant arising from an alleged breach of an oral contract. The plaintiff pleads that it concluded an oral agreement with the defendant in terms of which the plaintiff supplied fright services for the defendant at the latter's special instance and request from December 2019 until March 2020. The plaintiff avers that it complied with its obligations in terms of the oral agreement and claims payment from the defendant in the sum of R1 652 678.80 as the alleged balance owing for the services rendered.</w:t>
      </w:r>
    </w:p>
    <w:p w14:paraId="5F7B9CC3" w14:textId="2282E8D1" w:rsidR="00444DF1" w:rsidRPr="00444DF1" w:rsidRDefault="00444DF1" w:rsidP="00444DF1">
      <w:pPr>
        <w:spacing w:after="160"/>
        <w:ind w:left="720" w:hanging="720"/>
        <w:jc w:val="both"/>
        <w:rPr>
          <w:rFonts w:ascii="Arial" w:hAnsi="Arial"/>
          <w:lang w:val="en-US"/>
        </w:rPr>
      </w:pPr>
      <w:r>
        <w:rPr>
          <w:rFonts w:ascii="Arial" w:hAnsi="Arial"/>
          <w:lang w:val="en-US"/>
        </w:rPr>
        <w:t>[3]</w:t>
      </w:r>
      <w:r>
        <w:rPr>
          <w:rFonts w:ascii="Arial" w:hAnsi="Arial"/>
          <w:lang w:val="en-US"/>
        </w:rPr>
        <w:tab/>
      </w:r>
      <w:r w:rsidRPr="00444DF1">
        <w:rPr>
          <w:rFonts w:ascii="Arial" w:hAnsi="Arial"/>
          <w:lang w:val="en-US"/>
        </w:rPr>
        <w:t>In paragraph 10 of the particulars of the claim, the plaintiff pleads the defendant was placed under business rescue proceedings by a resolution dated 14 May 2020. The defendant admitted its indebtedness to the plaintiff and recorded the plaintiff as a creditor in its business rescue plan. The business rescue plan was subsequently adopted on 9 September 2020, and the business rescue proceedings ended on 18 December 2020 when notice of substantial implementation was filed.</w:t>
      </w:r>
    </w:p>
    <w:p w14:paraId="2439D576" w14:textId="36F8AAB5" w:rsidR="00444DF1" w:rsidRPr="00444DF1" w:rsidRDefault="00444DF1" w:rsidP="00444DF1">
      <w:pPr>
        <w:spacing w:after="160"/>
        <w:ind w:left="720" w:hanging="720"/>
        <w:jc w:val="both"/>
        <w:rPr>
          <w:rFonts w:ascii="Arial" w:hAnsi="Arial"/>
          <w:lang w:val="en-US"/>
        </w:rPr>
      </w:pPr>
      <w:r>
        <w:rPr>
          <w:rFonts w:ascii="Arial" w:hAnsi="Arial"/>
          <w:lang w:val="en-US"/>
        </w:rPr>
        <w:t>[4]</w:t>
      </w:r>
      <w:r>
        <w:rPr>
          <w:rFonts w:ascii="Arial" w:hAnsi="Arial"/>
          <w:lang w:val="en-US"/>
        </w:rPr>
        <w:tab/>
      </w:r>
      <w:r w:rsidRPr="00444DF1">
        <w:rPr>
          <w:rFonts w:ascii="Arial" w:hAnsi="Arial"/>
          <w:lang w:val="en-US"/>
        </w:rPr>
        <w:t>The defendant has excepted to the particulars of claim, contending that the particulars of claim do not disclose a cause of action as the plaintiff seeks to enforce a debt allegedly owed by the defendant immediately before the beginning of the business rescue process. The respondent argues that as the business rescue plan does not provide for the enforcement of the plaintiff's debt, the plaintiff ought to have pleaded any facts to support a cause of action considering the explicit prohibition on a creditor to enforce any debt in terms of section 154(2) of the Act.</w:t>
      </w:r>
    </w:p>
    <w:p w14:paraId="59BEC391" w14:textId="51C8DF28" w:rsidR="00444DF1" w:rsidRPr="00444DF1" w:rsidRDefault="00444DF1" w:rsidP="00444DF1">
      <w:pPr>
        <w:spacing w:after="160"/>
        <w:ind w:left="720" w:hanging="720"/>
        <w:jc w:val="both"/>
        <w:rPr>
          <w:rFonts w:ascii="Arial" w:hAnsi="Arial"/>
          <w:lang w:val="en-US"/>
        </w:rPr>
      </w:pPr>
      <w:r>
        <w:rPr>
          <w:rFonts w:ascii="Arial" w:hAnsi="Arial"/>
          <w:lang w:val="en-US"/>
        </w:rPr>
        <w:t>[5]</w:t>
      </w:r>
      <w:r>
        <w:rPr>
          <w:rFonts w:ascii="Arial" w:hAnsi="Arial"/>
          <w:lang w:val="en-US"/>
        </w:rPr>
        <w:tab/>
      </w:r>
      <w:r w:rsidRPr="00444DF1">
        <w:rPr>
          <w:rFonts w:ascii="Arial" w:hAnsi="Arial"/>
          <w:lang w:val="en-US"/>
        </w:rPr>
        <w:t>On the other hand, the plaintiff argues that paragraphs 10 and 11 of the particulars of claim dealing with the business rescue process do not form part of the plaintiff's cause of action. Its cause of action is the breach of an oral agreement and that the defendant cannot utilize the provisions of Section 154(2) of the Act as a defense against the plaintiff's claim.</w:t>
      </w:r>
    </w:p>
    <w:p w14:paraId="06617842" w14:textId="4C5871AD" w:rsidR="00444DF1" w:rsidRPr="00444DF1" w:rsidRDefault="00444DF1" w:rsidP="00444DF1">
      <w:pPr>
        <w:spacing w:after="160"/>
        <w:ind w:left="720" w:hanging="720"/>
        <w:jc w:val="both"/>
        <w:rPr>
          <w:rFonts w:ascii="Arial" w:hAnsi="Arial"/>
          <w:lang w:val="en-US"/>
        </w:rPr>
      </w:pPr>
      <w:r>
        <w:rPr>
          <w:rFonts w:ascii="Arial" w:hAnsi="Arial"/>
          <w:lang w:val="en-US"/>
        </w:rPr>
        <w:lastRenderedPageBreak/>
        <w:t>[6]</w:t>
      </w:r>
      <w:r>
        <w:rPr>
          <w:rFonts w:ascii="Arial" w:hAnsi="Arial"/>
          <w:lang w:val="en-US"/>
        </w:rPr>
        <w:tab/>
      </w:r>
      <w:r w:rsidRPr="00444DF1">
        <w:rPr>
          <w:rFonts w:ascii="Arial" w:hAnsi="Arial"/>
          <w:lang w:val="en-US"/>
        </w:rPr>
        <w:t>Counsel argues that the provisions of Section 154(2) cannot be interpreted to invalidate a legitimate claim of a creditor who has elected not to participate in the business rescue process but who has subsequently instituted legal proceedings for the enforcement of its claim after the end of the business rescue process and the memorandum has fallen away.</w:t>
      </w:r>
    </w:p>
    <w:p w14:paraId="644F22A3" w14:textId="1FAF4F24" w:rsidR="00444DF1" w:rsidRPr="00444DF1" w:rsidRDefault="00444DF1" w:rsidP="00444DF1">
      <w:pPr>
        <w:spacing w:after="160"/>
        <w:jc w:val="both"/>
        <w:rPr>
          <w:rFonts w:ascii="Arial" w:hAnsi="Arial"/>
          <w:lang w:val="en-US"/>
        </w:rPr>
      </w:pPr>
      <w:r>
        <w:rPr>
          <w:rFonts w:ascii="Arial" w:hAnsi="Arial"/>
          <w:lang w:val="en-US"/>
        </w:rPr>
        <w:t>[7}</w:t>
      </w:r>
      <w:r>
        <w:rPr>
          <w:rFonts w:ascii="Arial" w:hAnsi="Arial"/>
          <w:lang w:val="en-US"/>
        </w:rPr>
        <w:tab/>
      </w:r>
      <w:r w:rsidRPr="00444DF1">
        <w:rPr>
          <w:rFonts w:ascii="Arial" w:hAnsi="Arial"/>
          <w:lang w:val="en-US"/>
        </w:rPr>
        <w:t>In terms of Section 154 of the company's Act 71 of 2008-</w:t>
      </w:r>
      <w:r w:rsidRPr="00444DF1">
        <w:rPr>
          <w:rFonts w:ascii="Arial" w:hAnsi="Arial"/>
          <w:lang w:val="en-US"/>
        </w:rPr>
        <w:tab/>
      </w:r>
    </w:p>
    <w:p w14:paraId="4AF0BCED" w14:textId="080C878D" w:rsidR="00444DF1" w:rsidRPr="00444DF1" w:rsidRDefault="00444DF1" w:rsidP="00444DF1">
      <w:pPr>
        <w:spacing w:after="160"/>
        <w:jc w:val="both"/>
        <w:rPr>
          <w:rFonts w:ascii="Arial" w:hAnsi="Arial"/>
          <w:sz w:val="20"/>
          <w:szCs w:val="20"/>
          <w:lang w:val="en-US"/>
        </w:rPr>
      </w:pPr>
      <w:r w:rsidRPr="00444DF1">
        <w:rPr>
          <w:rFonts w:ascii="Arial" w:hAnsi="Arial"/>
          <w:lang w:val="en-US"/>
        </w:rPr>
        <w:t xml:space="preserve"> </w:t>
      </w:r>
      <w:r>
        <w:rPr>
          <w:rFonts w:ascii="Arial" w:hAnsi="Arial"/>
          <w:lang w:val="en-US"/>
        </w:rPr>
        <w:tab/>
      </w:r>
      <w:r w:rsidRPr="00444DF1">
        <w:rPr>
          <w:rFonts w:ascii="Arial" w:hAnsi="Arial"/>
          <w:sz w:val="20"/>
          <w:szCs w:val="20"/>
          <w:lang w:val="en-US"/>
        </w:rPr>
        <w:t xml:space="preserve">A business rescue plan may provide that if it is </w:t>
      </w:r>
    </w:p>
    <w:p w14:paraId="108CB7A7" w14:textId="77777777" w:rsidR="00444DF1" w:rsidRPr="00444DF1" w:rsidRDefault="00444DF1" w:rsidP="00444DF1">
      <w:pPr>
        <w:numPr>
          <w:ilvl w:val="0"/>
          <w:numId w:val="6"/>
        </w:numPr>
        <w:spacing w:after="160"/>
        <w:contextualSpacing/>
        <w:jc w:val="both"/>
        <w:rPr>
          <w:rFonts w:ascii="Arial" w:hAnsi="Arial"/>
          <w:sz w:val="20"/>
          <w:szCs w:val="20"/>
          <w:lang w:val="en-US"/>
        </w:rPr>
      </w:pPr>
      <w:r w:rsidRPr="00444DF1">
        <w:rPr>
          <w:rFonts w:ascii="Arial" w:hAnsi="Arial"/>
          <w:sz w:val="20"/>
          <w:szCs w:val="20"/>
          <w:lang w:val="en-US"/>
        </w:rPr>
        <w:t xml:space="preserve">implemented in accordance with its terms and conditions, a creditor who has acceded to the discharge of the whole or part of a debt owing to that creditor will lose the right to enforce the relevant debt or part of it. </w:t>
      </w:r>
    </w:p>
    <w:p w14:paraId="016E3632" w14:textId="77777777" w:rsidR="00444DF1" w:rsidRPr="00444DF1" w:rsidRDefault="00444DF1" w:rsidP="00444DF1">
      <w:pPr>
        <w:spacing w:after="160"/>
        <w:contextualSpacing/>
        <w:jc w:val="both"/>
        <w:rPr>
          <w:rFonts w:ascii="Arial" w:hAnsi="Arial"/>
          <w:sz w:val="20"/>
          <w:szCs w:val="20"/>
          <w:lang w:val="en-US"/>
        </w:rPr>
      </w:pPr>
    </w:p>
    <w:p w14:paraId="7C21DC4D" w14:textId="11082ECF" w:rsidR="00444DF1" w:rsidRDefault="00444DF1" w:rsidP="00444DF1">
      <w:pPr>
        <w:numPr>
          <w:ilvl w:val="0"/>
          <w:numId w:val="6"/>
        </w:numPr>
        <w:spacing w:after="160"/>
        <w:contextualSpacing/>
        <w:jc w:val="both"/>
        <w:rPr>
          <w:rFonts w:ascii="Arial" w:hAnsi="Arial"/>
          <w:sz w:val="20"/>
          <w:szCs w:val="20"/>
          <w:lang w:val="en-US"/>
        </w:rPr>
      </w:pPr>
      <w:r w:rsidRPr="00444DF1">
        <w:rPr>
          <w:rFonts w:ascii="Arial" w:hAnsi="Arial"/>
          <w:sz w:val="20"/>
          <w:szCs w:val="20"/>
          <w:lang w:val="en-US"/>
        </w:rPr>
        <w:t xml:space="preserve"> If a business rescue plan has been approved and implemented in accordance with this Chapter, a creditor is not entitled to enforce any debt owed by the company immediately before the beginning of the business rescue plan,"</w:t>
      </w:r>
    </w:p>
    <w:p w14:paraId="01F86444" w14:textId="77974093" w:rsidR="00444DF1" w:rsidRPr="00444DF1" w:rsidRDefault="00444DF1" w:rsidP="00444DF1">
      <w:pPr>
        <w:spacing w:after="160"/>
        <w:contextualSpacing/>
        <w:jc w:val="both"/>
        <w:rPr>
          <w:rFonts w:ascii="Arial" w:hAnsi="Arial"/>
          <w:sz w:val="20"/>
          <w:szCs w:val="20"/>
          <w:lang w:val="en-US"/>
        </w:rPr>
      </w:pPr>
    </w:p>
    <w:p w14:paraId="2E849BC7" w14:textId="07D684BD" w:rsidR="00444DF1" w:rsidRPr="00444DF1" w:rsidRDefault="00444DF1" w:rsidP="00444DF1">
      <w:pPr>
        <w:spacing w:after="160"/>
        <w:ind w:left="720" w:hanging="720"/>
        <w:jc w:val="both"/>
        <w:rPr>
          <w:rFonts w:ascii="Arial" w:hAnsi="Arial"/>
          <w:lang w:val="en-US"/>
        </w:rPr>
      </w:pPr>
      <w:r>
        <w:rPr>
          <w:rFonts w:ascii="Arial" w:hAnsi="Arial"/>
          <w:lang w:val="en-US"/>
        </w:rPr>
        <w:t>[8]</w:t>
      </w:r>
      <w:r>
        <w:rPr>
          <w:rFonts w:ascii="Arial" w:hAnsi="Arial"/>
          <w:lang w:val="en-US"/>
        </w:rPr>
        <w:tab/>
      </w:r>
      <w:r w:rsidRPr="00444DF1">
        <w:rPr>
          <w:rFonts w:ascii="Arial" w:hAnsi="Arial"/>
          <w:lang w:val="en-US"/>
        </w:rPr>
        <w:t>It is now trite that a cause of action</w:t>
      </w:r>
      <w:r>
        <w:rPr>
          <w:rFonts w:ascii="Arial" w:hAnsi="Arial"/>
          <w:lang w:val="en-US"/>
        </w:rPr>
        <w:t xml:space="preserve"> which</w:t>
      </w:r>
      <w:r w:rsidRPr="00444DF1">
        <w:rPr>
          <w:rFonts w:ascii="Arial" w:hAnsi="Arial"/>
          <w:lang w:val="en-US"/>
        </w:rPr>
        <w:t xml:space="preserve"> is not disclosed by a pleading cannot succeed</w:t>
      </w:r>
      <w:r>
        <w:rPr>
          <w:rFonts w:ascii="Arial" w:hAnsi="Arial"/>
          <w:lang w:val="en-US"/>
        </w:rPr>
        <w:t>,</w:t>
      </w:r>
      <w:r w:rsidRPr="00444DF1">
        <w:rPr>
          <w:rFonts w:ascii="Arial" w:hAnsi="Arial"/>
          <w:lang w:val="en-US"/>
        </w:rPr>
        <w:t xml:space="preserve"> unless it is shown that ex facie the allegations made by a plaintiff and any document upon which his or her cause of action may be based</w:t>
      </w:r>
      <w:r>
        <w:rPr>
          <w:rFonts w:ascii="Arial" w:hAnsi="Arial"/>
          <w:lang w:val="en-US"/>
        </w:rPr>
        <w:t>,</w:t>
      </w:r>
      <w:r w:rsidRPr="00444DF1">
        <w:rPr>
          <w:rFonts w:ascii="Arial" w:hAnsi="Arial"/>
          <w:lang w:val="en-US"/>
        </w:rPr>
        <w:t xml:space="preserve"> the claim is (not may be) bad in law. The Supreme Court of Appeal in Steward v Botha 2008</w:t>
      </w:r>
      <w:r w:rsidRPr="00444DF1">
        <w:rPr>
          <w:rFonts w:ascii="Arial" w:hAnsi="Arial"/>
          <w:vertAlign w:val="superscript"/>
          <w:lang w:val="en-US"/>
        </w:rPr>
        <w:footnoteReference w:id="1"/>
      </w:r>
      <w:r w:rsidRPr="00444DF1">
        <w:rPr>
          <w:rFonts w:ascii="Arial" w:hAnsi="Arial"/>
          <w:lang w:val="en-US"/>
        </w:rPr>
        <w:t xml:space="preserve"> held that the excipient must satisfy the court that the conclusion of law pleaded by the plaintiff cannot be supported by any reasonable interpretation of the particulars of claim.</w:t>
      </w:r>
    </w:p>
    <w:p w14:paraId="3058E807" w14:textId="69C752A5" w:rsidR="00444DF1" w:rsidRPr="00444DF1" w:rsidRDefault="00444DF1" w:rsidP="00444DF1">
      <w:pPr>
        <w:spacing w:after="160"/>
        <w:ind w:left="720" w:hanging="720"/>
        <w:jc w:val="both"/>
        <w:rPr>
          <w:rFonts w:ascii="Arial" w:hAnsi="Arial"/>
          <w:lang w:val="en-US"/>
        </w:rPr>
      </w:pPr>
      <w:r>
        <w:rPr>
          <w:rFonts w:ascii="Arial" w:hAnsi="Arial"/>
          <w:lang w:val="en-US"/>
        </w:rPr>
        <w:t>[9]</w:t>
      </w:r>
      <w:r>
        <w:rPr>
          <w:rFonts w:ascii="Arial" w:hAnsi="Arial"/>
          <w:lang w:val="en-US"/>
        </w:rPr>
        <w:tab/>
      </w:r>
      <w:r w:rsidRPr="00444DF1">
        <w:rPr>
          <w:rFonts w:ascii="Arial" w:hAnsi="Arial"/>
          <w:lang w:val="en-US"/>
        </w:rPr>
        <w:t>Particulars of claim must comply with the requirements for pleading set out in rule 18 of the Uniform Rules of court. Rule 18(4) provides that every pleading shall contain a clear and concise statement of the material facts upon which the pleader relies for his claim, defence or answer to any pleading, as the case may be, with sufficient particularity to enable the opposite party to reply to it.</w:t>
      </w:r>
    </w:p>
    <w:p w14:paraId="5DCA1A00" w14:textId="001DD780" w:rsidR="00444DF1" w:rsidRPr="00444DF1" w:rsidRDefault="00444DF1" w:rsidP="00444DF1">
      <w:pPr>
        <w:spacing w:before="100" w:beforeAutospacing="1" w:after="100" w:afterAutospacing="1"/>
        <w:ind w:left="720" w:hanging="720"/>
        <w:jc w:val="both"/>
        <w:rPr>
          <w:rFonts w:ascii="Arial" w:eastAsia="Times New Roman" w:hAnsi="Arial" w:cs="Arial"/>
          <w:lang w:val="en-US"/>
        </w:rPr>
      </w:pPr>
      <w:r>
        <w:rPr>
          <w:rFonts w:ascii="Arial" w:eastAsia="Times New Roman" w:hAnsi="Arial" w:cs="Arial"/>
          <w:lang w:val="en-US"/>
        </w:rPr>
        <w:lastRenderedPageBreak/>
        <w:t>[10]</w:t>
      </w:r>
      <w:r>
        <w:rPr>
          <w:rFonts w:ascii="Arial" w:eastAsia="Times New Roman" w:hAnsi="Arial" w:cs="Arial"/>
          <w:lang w:val="en-US"/>
        </w:rPr>
        <w:tab/>
      </w:r>
      <w:r w:rsidRPr="00444DF1">
        <w:rPr>
          <w:rFonts w:ascii="Arial" w:eastAsia="Times New Roman" w:hAnsi="Arial" w:cs="Arial"/>
          <w:lang w:val="en-US"/>
        </w:rPr>
        <w:t>The Supreme Court of appeal in Van Zyl</w:t>
      </w:r>
      <w:r w:rsidRPr="00444DF1">
        <w:rPr>
          <w:rFonts w:ascii="Arial" w:eastAsia="Times New Roman" w:hAnsi="Arial" w:cs="Arial"/>
          <w:vertAlign w:val="superscript"/>
          <w:lang w:val="en-US"/>
        </w:rPr>
        <w:footnoteReference w:id="2"/>
      </w:r>
      <w:r w:rsidRPr="00444DF1">
        <w:rPr>
          <w:rFonts w:ascii="Arial" w:eastAsia="Times New Roman" w:hAnsi="Arial" w:cs="Arial"/>
          <w:lang w:val="en-US"/>
        </w:rPr>
        <w:t xml:space="preserve"> reaffirmed the rights of creditors to enforce shelter ships, notwithstanding the business rescue of the principal debtor. In that matter a business rescue plan was proposed and sanctioned by the creditors, and various dividends were paid to creditors. After substantial implementation of the business rescue plan, the business rescue proceedings were terminated, and the business returned to its shareholders. An action was instituted against the surety for over 6 million. The surety resisted the claim relying on section 154, arguing that the claim against Blue Chip Mining w</w:t>
      </w:r>
      <w:r w:rsidR="00076F01">
        <w:rPr>
          <w:rFonts w:ascii="Arial" w:eastAsia="Times New Roman" w:hAnsi="Arial" w:cs="Arial"/>
          <w:lang w:val="en-US"/>
        </w:rPr>
        <w:t>a</w:t>
      </w:r>
      <w:r w:rsidRPr="00444DF1">
        <w:rPr>
          <w:rFonts w:ascii="Arial" w:eastAsia="Times New Roman" w:hAnsi="Arial" w:cs="Arial"/>
          <w:lang w:val="en-US"/>
        </w:rPr>
        <w:t>s compromised, and so were any claims against the surety. The court held that section 154(2) only seeks to prevent creditors from pursuing claims for the balance of the debt against principal debtors and does not extinguish claims against sureties.</w:t>
      </w:r>
    </w:p>
    <w:p w14:paraId="2D545A74" w14:textId="739728DB" w:rsidR="00444DF1" w:rsidRPr="00444DF1" w:rsidRDefault="00076F01" w:rsidP="00076F01">
      <w:pPr>
        <w:spacing w:before="100" w:beforeAutospacing="1" w:after="100" w:afterAutospacing="1"/>
        <w:ind w:left="720" w:hanging="720"/>
        <w:jc w:val="both"/>
        <w:rPr>
          <w:rFonts w:ascii="Times New Roman" w:eastAsia="Times New Roman" w:hAnsi="Times New Roman" w:cs="Times New Roman"/>
          <w:lang w:val="en-US"/>
        </w:rPr>
      </w:pPr>
      <w:r>
        <w:rPr>
          <w:rFonts w:ascii="Arial" w:eastAsia="Times New Roman" w:hAnsi="Arial" w:cs="Arial"/>
          <w:lang w:val="en-US"/>
        </w:rPr>
        <w:t>[11]</w:t>
      </w:r>
      <w:r>
        <w:rPr>
          <w:rFonts w:ascii="Arial" w:eastAsia="Times New Roman" w:hAnsi="Arial" w:cs="Arial"/>
          <w:lang w:val="en-US"/>
        </w:rPr>
        <w:tab/>
      </w:r>
      <w:r w:rsidR="00444DF1" w:rsidRPr="00444DF1">
        <w:rPr>
          <w:rFonts w:ascii="Arial" w:eastAsia="Times New Roman" w:hAnsi="Arial" w:cs="Arial"/>
          <w:lang w:val="en-US"/>
        </w:rPr>
        <w:t>Although Van Zyl dealt with suretyship, it established the principle that the approval and implementation of the business rescue plan do not necessarily discharge the debt. It cannot be said that the pleadings are excipiable on every interpretation that can reasonably be attached to it.</w:t>
      </w:r>
    </w:p>
    <w:p w14:paraId="181ECF90" w14:textId="05A80D52" w:rsidR="00444DF1" w:rsidRPr="00444DF1" w:rsidRDefault="00076F01" w:rsidP="00076F01">
      <w:pPr>
        <w:spacing w:before="100" w:beforeAutospacing="1" w:after="100" w:afterAutospacing="1"/>
        <w:ind w:left="720" w:hanging="720"/>
        <w:jc w:val="both"/>
        <w:rPr>
          <w:rFonts w:ascii="Arial" w:eastAsia="Times New Roman" w:hAnsi="Arial" w:cs="Arial"/>
          <w:lang w:val="en-US"/>
        </w:rPr>
      </w:pPr>
      <w:r>
        <w:rPr>
          <w:rFonts w:ascii="Arial" w:eastAsia="Times New Roman" w:hAnsi="Arial" w:cs="Arial"/>
          <w:lang w:val="en-US"/>
        </w:rPr>
        <w:t>[12]</w:t>
      </w:r>
      <w:r>
        <w:rPr>
          <w:rFonts w:ascii="Arial" w:eastAsia="Times New Roman" w:hAnsi="Arial" w:cs="Arial"/>
          <w:lang w:val="en-US"/>
        </w:rPr>
        <w:tab/>
      </w:r>
      <w:r w:rsidR="00444DF1" w:rsidRPr="00444DF1">
        <w:rPr>
          <w:rFonts w:ascii="Arial" w:eastAsia="Times New Roman" w:hAnsi="Arial" w:cs="Arial"/>
          <w:lang w:val="en-US"/>
        </w:rPr>
        <w:t>On a reading of the particulars of claim, the claim in respect of the breach of oral contract has been set out to enable the excipient to respond to it. I find that the plaintiff's cause of action is not dependent on the allegations relating to business rescue proceedings pleaded in paragraph 10 of the particulars of claim. I, therefore, find that the excipient can respond to the claim for breach of the oral agreement, and it follows that the exception must fail.</w:t>
      </w:r>
    </w:p>
    <w:p w14:paraId="710D7C5C" w14:textId="306002F1" w:rsidR="00444DF1" w:rsidRPr="00444DF1" w:rsidRDefault="00076F01" w:rsidP="00444DF1">
      <w:pPr>
        <w:spacing w:before="100" w:beforeAutospacing="1" w:after="100" w:afterAutospacing="1"/>
        <w:jc w:val="both"/>
        <w:rPr>
          <w:rFonts w:ascii="Arial" w:eastAsia="Times New Roman" w:hAnsi="Arial" w:cs="Arial"/>
          <w:lang w:val="en-US"/>
        </w:rPr>
      </w:pPr>
      <w:r>
        <w:rPr>
          <w:rFonts w:ascii="Arial" w:eastAsia="Times New Roman" w:hAnsi="Arial" w:cs="Arial"/>
          <w:lang w:val="en-US"/>
        </w:rPr>
        <w:t xml:space="preserve">[13] </w:t>
      </w:r>
      <w:r>
        <w:rPr>
          <w:rFonts w:ascii="Arial" w:eastAsia="Times New Roman" w:hAnsi="Arial" w:cs="Arial"/>
          <w:lang w:val="en-US"/>
        </w:rPr>
        <w:tab/>
      </w:r>
      <w:r w:rsidR="00444DF1" w:rsidRPr="00444DF1">
        <w:rPr>
          <w:rFonts w:ascii="Arial" w:eastAsia="Times New Roman" w:hAnsi="Arial" w:cs="Arial"/>
          <w:lang w:val="en-US"/>
        </w:rPr>
        <w:t>In the result, the following order is made:</w:t>
      </w:r>
    </w:p>
    <w:p w14:paraId="2D68C657" w14:textId="77777777" w:rsidR="00444DF1" w:rsidRPr="00444DF1" w:rsidRDefault="00444DF1" w:rsidP="00444DF1">
      <w:pPr>
        <w:numPr>
          <w:ilvl w:val="0"/>
          <w:numId w:val="7"/>
        </w:numPr>
        <w:spacing w:before="100" w:beforeAutospacing="1" w:after="100" w:afterAutospacing="1"/>
        <w:ind w:left="720"/>
        <w:jc w:val="both"/>
        <w:rPr>
          <w:rFonts w:ascii="Arial" w:eastAsia="Times New Roman" w:hAnsi="Arial" w:cs="Arial"/>
          <w:lang w:val="en-US"/>
        </w:rPr>
      </w:pPr>
      <w:r w:rsidRPr="00444DF1">
        <w:rPr>
          <w:rFonts w:ascii="Arial" w:eastAsia="Times New Roman" w:hAnsi="Arial" w:cs="Arial"/>
          <w:lang w:val="en-US"/>
        </w:rPr>
        <w:t>The exception is dismissed</w:t>
      </w:r>
    </w:p>
    <w:p w14:paraId="278DC742" w14:textId="77777777" w:rsidR="00444DF1" w:rsidRPr="00444DF1" w:rsidRDefault="00444DF1" w:rsidP="00444DF1">
      <w:pPr>
        <w:numPr>
          <w:ilvl w:val="0"/>
          <w:numId w:val="7"/>
        </w:numPr>
        <w:spacing w:before="100" w:beforeAutospacing="1" w:after="100" w:afterAutospacing="1"/>
        <w:ind w:left="720"/>
        <w:jc w:val="both"/>
        <w:rPr>
          <w:rFonts w:ascii="Arial" w:eastAsia="Times New Roman" w:hAnsi="Arial" w:cs="Arial"/>
          <w:lang w:val="en-US"/>
        </w:rPr>
      </w:pPr>
      <w:r w:rsidRPr="00444DF1">
        <w:rPr>
          <w:rFonts w:ascii="Arial" w:eastAsia="Times New Roman" w:hAnsi="Arial" w:cs="Arial"/>
          <w:lang w:val="en-US"/>
        </w:rPr>
        <w:t>The defendant shall pay the costs of the exception.</w:t>
      </w:r>
    </w:p>
    <w:p w14:paraId="298FC264" w14:textId="2F3DABF1" w:rsidR="005F175C" w:rsidRPr="005F175C" w:rsidRDefault="005F175C" w:rsidP="005F4149">
      <w:pPr>
        <w:spacing w:after="160"/>
        <w:ind w:left="720" w:hanging="720"/>
        <w:jc w:val="both"/>
        <w:rPr>
          <w:rFonts w:ascii="Arial" w:hAnsi="Arial"/>
          <w:szCs w:val="22"/>
          <w:lang w:val="en-US"/>
        </w:rPr>
      </w:pPr>
    </w:p>
    <w:p w14:paraId="0872045B" w14:textId="1F9055FE" w:rsidR="007517E1" w:rsidRDefault="007517E1" w:rsidP="00A20803">
      <w:pPr>
        <w:jc w:val="both"/>
        <w:rPr>
          <w:rFonts w:ascii="Arial" w:hAnsi="Arial"/>
        </w:rPr>
      </w:pPr>
    </w:p>
    <w:p w14:paraId="5F2DAAFB" w14:textId="77777777" w:rsidR="009F1599" w:rsidRPr="009F1599" w:rsidRDefault="009F1599" w:rsidP="009F1599">
      <w:pPr>
        <w:jc w:val="right"/>
        <w:rPr>
          <w:rFonts w:ascii="Arial" w:hAnsi="Arial"/>
          <w:lang w:val="en-GB"/>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F1599">
        <w:rPr>
          <w:rFonts w:ascii="Arial" w:hAnsi="Arial"/>
          <w:lang w:val="en-GB"/>
        </w:rPr>
        <w:t>__________________________</w:t>
      </w:r>
    </w:p>
    <w:p w14:paraId="76054349" w14:textId="77777777" w:rsidR="009F1599" w:rsidRPr="009F1599" w:rsidRDefault="009F1599" w:rsidP="009F1599">
      <w:pPr>
        <w:ind w:left="5040" w:firstLine="720"/>
        <w:jc w:val="right"/>
        <w:rPr>
          <w:rFonts w:ascii="Arial" w:hAnsi="Arial"/>
          <w:b/>
          <w:lang w:val="en-GB"/>
        </w:rPr>
      </w:pPr>
      <w:r w:rsidRPr="009F1599">
        <w:rPr>
          <w:rFonts w:ascii="Arial" w:hAnsi="Arial"/>
          <w:lang w:val="en-GB"/>
        </w:rPr>
        <w:t xml:space="preserve"> </w:t>
      </w:r>
      <w:r w:rsidRPr="009F1599">
        <w:rPr>
          <w:rFonts w:ascii="Arial" w:hAnsi="Arial"/>
          <w:b/>
          <w:lang w:val="en-GB"/>
        </w:rPr>
        <w:t xml:space="preserve">KE MATOJANE                JUDGE OF THE HIGH COURT </w:t>
      </w:r>
    </w:p>
    <w:p w14:paraId="42F33B22" w14:textId="77777777" w:rsidR="009F1599" w:rsidRPr="009F1599" w:rsidRDefault="009F1599" w:rsidP="009F1599">
      <w:pPr>
        <w:jc w:val="right"/>
        <w:rPr>
          <w:rFonts w:ascii="Arial" w:hAnsi="Arial"/>
          <w:b/>
          <w:lang w:val="en-GB"/>
        </w:rPr>
      </w:pPr>
      <w:r w:rsidRPr="009F1599">
        <w:rPr>
          <w:rFonts w:ascii="Arial" w:hAnsi="Arial"/>
          <w:b/>
          <w:lang w:val="en-GB"/>
        </w:rPr>
        <w:t>GAUTENG DIVISION, JOHANNESBURG</w:t>
      </w:r>
    </w:p>
    <w:p w14:paraId="08306BAF" w14:textId="77777777" w:rsidR="009F1599" w:rsidRPr="009F1599" w:rsidRDefault="009F1599" w:rsidP="009F1599">
      <w:pPr>
        <w:jc w:val="right"/>
        <w:rPr>
          <w:rFonts w:ascii="Arial" w:hAnsi="Arial"/>
        </w:rPr>
      </w:pPr>
    </w:p>
    <w:p w14:paraId="449FD45E" w14:textId="77777777" w:rsidR="009F1599" w:rsidRPr="009F1599" w:rsidRDefault="009F1599" w:rsidP="009F1599">
      <w:pPr>
        <w:jc w:val="right"/>
        <w:rPr>
          <w:rFonts w:ascii="Arial" w:hAnsi="Arial"/>
          <w:b/>
        </w:rPr>
      </w:pPr>
    </w:p>
    <w:p w14:paraId="42A2F20A" w14:textId="1E4AC3BD" w:rsidR="009F1599" w:rsidRPr="009F1599" w:rsidRDefault="009F1599" w:rsidP="009F1599">
      <w:pPr>
        <w:rPr>
          <w:rFonts w:ascii="Arial" w:hAnsi="Arial"/>
          <w:b/>
        </w:rPr>
      </w:pPr>
      <w:r w:rsidRPr="009F1599">
        <w:rPr>
          <w:rFonts w:ascii="Arial" w:hAnsi="Arial"/>
          <w:b/>
        </w:rPr>
        <w:t xml:space="preserve">Heard:  </w:t>
      </w:r>
      <w:r w:rsidRPr="009F1599">
        <w:rPr>
          <w:rFonts w:ascii="Arial" w:hAnsi="Arial"/>
          <w:b/>
        </w:rPr>
        <w:tab/>
        <w:t xml:space="preserve">     </w:t>
      </w:r>
      <w:r w:rsidR="005F3AF1">
        <w:rPr>
          <w:rFonts w:ascii="Arial" w:hAnsi="Arial"/>
          <w:b/>
        </w:rPr>
        <w:t>31</w:t>
      </w:r>
      <w:r w:rsidR="00371802">
        <w:rPr>
          <w:rFonts w:ascii="Arial" w:hAnsi="Arial"/>
          <w:b/>
        </w:rPr>
        <w:t xml:space="preserve"> August</w:t>
      </w:r>
      <w:r w:rsidRPr="009F1599">
        <w:rPr>
          <w:rFonts w:ascii="Arial" w:hAnsi="Arial"/>
          <w:b/>
        </w:rPr>
        <w:t xml:space="preserve"> 2022</w:t>
      </w:r>
    </w:p>
    <w:p w14:paraId="002C45F3" w14:textId="50CC089E" w:rsidR="009F1599" w:rsidRPr="009F1599" w:rsidRDefault="00371802" w:rsidP="009F1599">
      <w:pPr>
        <w:rPr>
          <w:rFonts w:ascii="Arial" w:hAnsi="Arial"/>
          <w:b/>
        </w:rPr>
      </w:pPr>
      <w:r>
        <w:rPr>
          <w:rFonts w:ascii="Arial" w:hAnsi="Arial"/>
          <w:b/>
        </w:rPr>
        <w:t xml:space="preserve">Judgment:  </w:t>
      </w:r>
      <w:r w:rsidR="00076F01">
        <w:rPr>
          <w:rFonts w:ascii="Arial" w:hAnsi="Arial"/>
          <w:b/>
        </w:rPr>
        <w:t>15</w:t>
      </w:r>
      <w:r>
        <w:rPr>
          <w:rFonts w:ascii="Arial" w:hAnsi="Arial"/>
          <w:b/>
        </w:rPr>
        <w:t xml:space="preserve"> September</w:t>
      </w:r>
      <w:r w:rsidR="009F1599" w:rsidRPr="009F1599">
        <w:rPr>
          <w:rFonts w:ascii="Arial" w:hAnsi="Arial"/>
          <w:b/>
        </w:rPr>
        <w:t xml:space="preserve"> 2022</w:t>
      </w:r>
    </w:p>
    <w:p w14:paraId="3D84265D" w14:textId="77777777" w:rsidR="009F1599" w:rsidRPr="009F1599" w:rsidRDefault="009F1599" w:rsidP="009F1599">
      <w:pPr>
        <w:rPr>
          <w:rFonts w:ascii="Arial" w:hAnsi="Arial"/>
          <w:b/>
        </w:rPr>
      </w:pPr>
    </w:p>
    <w:p w14:paraId="11C08246" w14:textId="20385AC3" w:rsidR="009F1599" w:rsidRPr="009F1599" w:rsidRDefault="009F1599" w:rsidP="009F1599">
      <w:pPr>
        <w:rPr>
          <w:rFonts w:ascii="Arial" w:hAnsi="Arial"/>
          <w:b/>
          <w:bCs/>
        </w:rPr>
      </w:pPr>
      <w:r w:rsidRPr="009F1599">
        <w:rPr>
          <w:rFonts w:ascii="Arial" w:hAnsi="Arial"/>
          <w:b/>
        </w:rPr>
        <w:t>For the Applicant</w:t>
      </w:r>
      <w:r w:rsidRPr="009F1599">
        <w:rPr>
          <w:rFonts w:ascii="Arial" w:hAnsi="Arial"/>
          <w:b/>
          <w:bCs/>
        </w:rPr>
        <w:t>:</w:t>
      </w:r>
    </w:p>
    <w:p w14:paraId="21527A0B" w14:textId="35ABE1C2" w:rsidR="009F1599" w:rsidRDefault="009F1599" w:rsidP="009F1599">
      <w:pPr>
        <w:rPr>
          <w:rFonts w:ascii="Arial" w:hAnsi="Arial"/>
          <w:b/>
          <w:lang w:val="en-GB"/>
        </w:rPr>
      </w:pPr>
      <w:r w:rsidRPr="009F1599">
        <w:rPr>
          <w:rFonts w:ascii="Arial" w:hAnsi="Arial"/>
          <w:b/>
          <w:lang w:val="en-GB"/>
        </w:rPr>
        <w:t xml:space="preserve">Advocate </w:t>
      </w:r>
      <w:r w:rsidR="005F3AF1">
        <w:rPr>
          <w:rFonts w:ascii="Arial" w:hAnsi="Arial"/>
          <w:b/>
          <w:lang w:val="en-GB"/>
        </w:rPr>
        <w:t>K Gounden</w:t>
      </w:r>
      <w:r w:rsidR="00E63B3F">
        <w:rPr>
          <w:rFonts w:ascii="Arial" w:hAnsi="Arial"/>
          <w:b/>
          <w:lang w:val="en-GB"/>
        </w:rPr>
        <w:t xml:space="preserve"> </w:t>
      </w:r>
    </w:p>
    <w:p w14:paraId="7420BDD4" w14:textId="76D20C1A" w:rsidR="009F1599" w:rsidRDefault="009F1599" w:rsidP="009F1599">
      <w:pPr>
        <w:rPr>
          <w:rFonts w:ascii="Arial" w:hAnsi="Arial"/>
          <w:b/>
          <w:lang w:val="en-GB"/>
        </w:rPr>
      </w:pPr>
      <w:r w:rsidRPr="009F1599">
        <w:rPr>
          <w:rFonts w:ascii="Arial" w:hAnsi="Arial"/>
          <w:b/>
        </w:rPr>
        <w:t xml:space="preserve">Instructed by </w:t>
      </w:r>
      <w:r w:rsidR="005F3AF1">
        <w:rPr>
          <w:rFonts w:ascii="Arial" w:hAnsi="Arial"/>
          <w:b/>
          <w:lang w:val="en-GB"/>
        </w:rPr>
        <w:t>Larson Falconer Hassan, Parsee Inc</w:t>
      </w:r>
      <w:r w:rsidRPr="009F1599">
        <w:rPr>
          <w:rFonts w:ascii="Arial" w:hAnsi="Arial"/>
          <w:b/>
          <w:lang w:val="en-GB"/>
        </w:rPr>
        <w:t> </w:t>
      </w:r>
    </w:p>
    <w:p w14:paraId="5A0362C1" w14:textId="763C67FA" w:rsidR="00371802" w:rsidRDefault="00371802" w:rsidP="009F1599">
      <w:pPr>
        <w:rPr>
          <w:rFonts w:ascii="Arial" w:hAnsi="Arial"/>
          <w:b/>
          <w:lang w:val="en-GB"/>
        </w:rPr>
      </w:pPr>
    </w:p>
    <w:p w14:paraId="601C7D3F" w14:textId="6157D7CC" w:rsidR="00371802" w:rsidRPr="009F1599" w:rsidRDefault="00371802" w:rsidP="00371802">
      <w:pPr>
        <w:rPr>
          <w:rFonts w:ascii="Arial" w:hAnsi="Arial"/>
          <w:b/>
          <w:bCs/>
        </w:rPr>
      </w:pPr>
      <w:r w:rsidRPr="009F1599">
        <w:rPr>
          <w:rFonts w:ascii="Arial" w:hAnsi="Arial"/>
          <w:b/>
        </w:rPr>
        <w:t xml:space="preserve">For the </w:t>
      </w:r>
      <w:r>
        <w:rPr>
          <w:rFonts w:ascii="Arial" w:hAnsi="Arial"/>
          <w:b/>
        </w:rPr>
        <w:t>Respondent</w:t>
      </w:r>
      <w:r w:rsidRPr="009F1599">
        <w:rPr>
          <w:rFonts w:ascii="Arial" w:hAnsi="Arial"/>
          <w:b/>
          <w:bCs/>
        </w:rPr>
        <w:t>:</w:t>
      </w:r>
    </w:p>
    <w:p w14:paraId="3FFDB17A" w14:textId="44CE4269" w:rsidR="00371802" w:rsidRDefault="005F3AF1" w:rsidP="00371802">
      <w:pPr>
        <w:rPr>
          <w:rFonts w:ascii="Arial" w:hAnsi="Arial"/>
          <w:b/>
          <w:lang w:val="en-GB"/>
        </w:rPr>
      </w:pPr>
      <w:r>
        <w:rPr>
          <w:rFonts w:ascii="Arial" w:hAnsi="Arial"/>
          <w:b/>
          <w:lang w:val="en-GB"/>
        </w:rPr>
        <w:t>Advocate W J Pietersen</w:t>
      </w:r>
    </w:p>
    <w:p w14:paraId="70FA3810" w14:textId="6F90086C" w:rsidR="005F3AF1" w:rsidRDefault="005F3AF1" w:rsidP="005F3AF1">
      <w:pPr>
        <w:rPr>
          <w:rFonts w:ascii="Arial" w:hAnsi="Arial"/>
          <w:b/>
          <w:lang w:val="en-GB"/>
        </w:rPr>
      </w:pPr>
      <w:r w:rsidRPr="009F1599">
        <w:rPr>
          <w:rFonts w:ascii="Arial" w:hAnsi="Arial"/>
          <w:b/>
        </w:rPr>
        <w:t xml:space="preserve">Instructed by </w:t>
      </w:r>
      <w:r>
        <w:rPr>
          <w:rFonts w:ascii="Arial" w:hAnsi="Arial"/>
          <w:b/>
          <w:lang w:val="en-GB"/>
        </w:rPr>
        <w:t xml:space="preserve">Venns </w:t>
      </w:r>
      <w:r w:rsidRPr="009F1599">
        <w:rPr>
          <w:rFonts w:ascii="Arial" w:hAnsi="Arial"/>
          <w:b/>
          <w:lang w:val="en-GB"/>
        </w:rPr>
        <w:t>Attorneys </w:t>
      </w:r>
    </w:p>
    <w:p w14:paraId="37D68784" w14:textId="77777777" w:rsidR="005F3AF1" w:rsidRPr="009F1599" w:rsidRDefault="005F3AF1" w:rsidP="00371802">
      <w:pPr>
        <w:rPr>
          <w:rFonts w:ascii="Arial" w:hAnsi="Arial"/>
          <w:b/>
        </w:rPr>
      </w:pPr>
    </w:p>
    <w:p w14:paraId="066DE95F" w14:textId="77777777" w:rsidR="00371802" w:rsidRPr="009F1599" w:rsidRDefault="00371802" w:rsidP="009F1599">
      <w:pPr>
        <w:rPr>
          <w:rFonts w:ascii="Arial" w:hAnsi="Arial"/>
          <w:b/>
        </w:rPr>
      </w:pPr>
    </w:p>
    <w:sectPr w:rsidR="00371802" w:rsidRPr="009F1599" w:rsidSect="00CA3D10">
      <w:headerReference w:type="even" r:id="rId8"/>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AC0D" w14:textId="77777777" w:rsidR="00822A9C" w:rsidRDefault="00822A9C" w:rsidP="00CA3D10">
      <w:pPr>
        <w:spacing w:line="240" w:lineRule="auto"/>
      </w:pPr>
      <w:r>
        <w:separator/>
      </w:r>
    </w:p>
  </w:endnote>
  <w:endnote w:type="continuationSeparator" w:id="0">
    <w:p w14:paraId="3AD20209" w14:textId="77777777" w:rsidR="00822A9C" w:rsidRDefault="00822A9C" w:rsidP="00CA3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A6D5" w14:textId="77777777" w:rsidR="00822A9C" w:rsidRDefault="00822A9C" w:rsidP="00CA3D10">
      <w:pPr>
        <w:spacing w:line="240" w:lineRule="auto"/>
      </w:pPr>
      <w:r>
        <w:separator/>
      </w:r>
    </w:p>
  </w:footnote>
  <w:footnote w:type="continuationSeparator" w:id="0">
    <w:p w14:paraId="70F4FCE2" w14:textId="77777777" w:rsidR="00822A9C" w:rsidRDefault="00822A9C" w:rsidP="00CA3D10">
      <w:pPr>
        <w:spacing w:line="240" w:lineRule="auto"/>
      </w:pPr>
      <w:r>
        <w:continuationSeparator/>
      </w:r>
    </w:p>
  </w:footnote>
  <w:footnote w:id="1">
    <w:p w14:paraId="0521E5AE" w14:textId="77777777" w:rsidR="00444DF1" w:rsidRDefault="00444DF1" w:rsidP="00444DF1">
      <w:pPr>
        <w:pStyle w:val="FootnoteText"/>
      </w:pPr>
      <w:r>
        <w:rPr>
          <w:rStyle w:val="FootnoteReference"/>
        </w:rPr>
        <w:footnoteRef/>
      </w:r>
      <w:r>
        <w:t xml:space="preserve"> </w:t>
      </w:r>
      <w:r w:rsidRPr="003F050C">
        <w:t>2008 (6) SA 310 (SCA)</w:t>
      </w:r>
    </w:p>
  </w:footnote>
  <w:footnote w:id="2">
    <w:p w14:paraId="0074E841" w14:textId="77777777" w:rsidR="00444DF1" w:rsidRDefault="00444DF1" w:rsidP="00444DF1">
      <w:pPr>
        <w:pStyle w:val="FootnoteText"/>
      </w:pPr>
      <w:r>
        <w:rPr>
          <w:rStyle w:val="FootnoteReference"/>
        </w:rPr>
        <w:footnoteRef/>
      </w:r>
      <w:r>
        <w:t xml:space="preserve"> 2021 SCA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0541170"/>
      <w:docPartObj>
        <w:docPartGallery w:val="Page Numbers (Top of Page)"/>
        <w:docPartUnique/>
      </w:docPartObj>
    </w:sdtPr>
    <w:sdtEndPr>
      <w:rPr>
        <w:rStyle w:val="PageNumber"/>
      </w:rPr>
    </w:sdtEndPr>
    <w:sdtContent>
      <w:p w14:paraId="2A650184" w14:textId="634AB937" w:rsidR="00CA3D10" w:rsidRDefault="00CA3D10" w:rsidP="00D27D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F62FB" w14:textId="77777777" w:rsidR="00CA3D10" w:rsidRDefault="00CA3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0805216"/>
      <w:docPartObj>
        <w:docPartGallery w:val="Page Numbers (Top of Page)"/>
        <w:docPartUnique/>
      </w:docPartObj>
    </w:sdtPr>
    <w:sdtEndPr>
      <w:rPr>
        <w:rStyle w:val="PageNumber"/>
      </w:rPr>
    </w:sdtEndPr>
    <w:sdtContent>
      <w:p w14:paraId="20DB5DEF" w14:textId="58A50CDD" w:rsidR="00CA3D10" w:rsidRDefault="00CA3D10" w:rsidP="00D27D1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40E95">
          <w:rPr>
            <w:rStyle w:val="PageNumber"/>
            <w:noProof/>
          </w:rPr>
          <w:t>5</w:t>
        </w:r>
        <w:r>
          <w:rPr>
            <w:rStyle w:val="PageNumber"/>
          </w:rPr>
          <w:fldChar w:fldCharType="end"/>
        </w:r>
      </w:p>
    </w:sdtContent>
  </w:sdt>
  <w:p w14:paraId="7484AC85" w14:textId="77777777" w:rsidR="00CA3D10" w:rsidRDefault="00CA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839625"/>
      <w:docPartObj>
        <w:docPartGallery w:val="Page Numbers (Top of Page)"/>
        <w:docPartUnique/>
      </w:docPartObj>
    </w:sdtPr>
    <w:sdtEndPr>
      <w:rPr>
        <w:noProof/>
      </w:rPr>
    </w:sdtEndPr>
    <w:sdtContent>
      <w:p w14:paraId="56A0DDE8" w14:textId="3E93DACF" w:rsidR="001B2224" w:rsidRDefault="001B2224">
        <w:pPr>
          <w:pStyle w:val="Header"/>
          <w:jc w:val="center"/>
        </w:pPr>
        <w:r>
          <w:fldChar w:fldCharType="begin"/>
        </w:r>
        <w:r>
          <w:instrText xml:space="preserve"> PAGE   \* MERGEFORMAT </w:instrText>
        </w:r>
        <w:r>
          <w:fldChar w:fldCharType="separate"/>
        </w:r>
        <w:r w:rsidR="00B40E95">
          <w:rPr>
            <w:noProof/>
          </w:rPr>
          <w:t>1</w:t>
        </w:r>
        <w:r>
          <w:rPr>
            <w:noProof/>
          </w:rPr>
          <w:fldChar w:fldCharType="end"/>
        </w:r>
      </w:p>
    </w:sdtContent>
  </w:sdt>
  <w:p w14:paraId="3C96E975" w14:textId="77777777" w:rsidR="001B2224" w:rsidRDefault="001B2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67F4355"/>
    <w:multiLevelType w:val="multilevel"/>
    <w:tmpl w:val="2D20A19C"/>
    <w:lvl w:ilvl="0">
      <w:start w:val="1"/>
      <w:numFmt w:val="lowerLetter"/>
      <w:lvlText w:val="%1)"/>
      <w:lvlJc w:val="left"/>
      <w:pPr>
        <w:tabs>
          <w:tab w:val="num" w:pos="720"/>
        </w:tabs>
        <w:ind w:left="720" w:hanging="360"/>
      </w:pPr>
      <w:rPr>
        <w:rFonts w:ascii="Arial" w:eastAsiaTheme="minorHAnsi" w:hAnsi="Arial"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40671"/>
    <w:multiLevelType w:val="hybridMultilevel"/>
    <w:tmpl w:val="7E4A711C"/>
    <w:lvl w:ilvl="0" w:tplc="E034E0D8">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5D6A0844"/>
    <w:multiLevelType w:val="hybridMultilevel"/>
    <w:tmpl w:val="29CA8728"/>
    <w:lvl w:ilvl="0" w:tplc="B3FA11C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5FDE23A4"/>
    <w:multiLevelType w:val="hybridMultilevel"/>
    <w:tmpl w:val="863AEFE2"/>
    <w:lvl w:ilvl="0" w:tplc="A6D6E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64722"/>
    <w:multiLevelType w:val="hybridMultilevel"/>
    <w:tmpl w:val="7D8283FA"/>
    <w:lvl w:ilvl="0" w:tplc="40BCD40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72DA5663"/>
    <w:multiLevelType w:val="hybridMultilevel"/>
    <w:tmpl w:val="8690C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F34F86-9F66-4802-9F07-17B800FC9DDA}"/>
    <w:docVar w:name="dgnword-eventsink" w:val="1769467624992"/>
  </w:docVars>
  <w:rsids>
    <w:rsidRoot w:val="00000C22"/>
    <w:rsid w:val="00000C22"/>
    <w:rsid w:val="00002717"/>
    <w:rsid w:val="00007BA5"/>
    <w:rsid w:val="00007D5B"/>
    <w:rsid w:val="000138FA"/>
    <w:rsid w:val="00014B42"/>
    <w:rsid w:val="00016D50"/>
    <w:rsid w:val="00020CFF"/>
    <w:rsid w:val="0004128B"/>
    <w:rsid w:val="000502E4"/>
    <w:rsid w:val="0005566B"/>
    <w:rsid w:val="000606F0"/>
    <w:rsid w:val="00065829"/>
    <w:rsid w:val="00076F01"/>
    <w:rsid w:val="000844DD"/>
    <w:rsid w:val="00094845"/>
    <w:rsid w:val="000B2581"/>
    <w:rsid w:val="000B42D8"/>
    <w:rsid w:val="000B7C06"/>
    <w:rsid w:val="000C46F0"/>
    <w:rsid w:val="000E1294"/>
    <w:rsid w:val="000F0263"/>
    <w:rsid w:val="00101866"/>
    <w:rsid w:val="0012668A"/>
    <w:rsid w:val="00132288"/>
    <w:rsid w:val="00133A19"/>
    <w:rsid w:val="001603E9"/>
    <w:rsid w:val="00165C1D"/>
    <w:rsid w:val="001671D0"/>
    <w:rsid w:val="0017403A"/>
    <w:rsid w:val="001768F9"/>
    <w:rsid w:val="00176B8C"/>
    <w:rsid w:val="001B2224"/>
    <w:rsid w:val="001E11F7"/>
    <w:rsid w:val="001E1A20"/>
    <w:rsid w:val="0020307F"/>
    <w:rsid w:val="0020715B"/>
    <w:rsid w:val="002078D0"/>
    <w:rsid w:val="00224B89"/>
    <w:rsid w:val="00231888"/>
    <w:rsid w:val="00233851"/>
    <w:rsid w:val="002361D3"/>
    <w:rsid w:val="002465A3"/>
    <w:rsid w:val="0025244E"/>
    <w:rsid w:val="0027044C"/>
    <w:rsid w:val="00282A6C"/>
    <w:rsid w:val="00291821"/>
    <w:rsid w:val="002C4CD1"/>
    <w:rsid w:val="002E1B9B"/>
    <w:rsid w:val="002F4444"/>
    <w:rsid w:val="00324155"/>
    <w:rsid w:val="003431EB"/>
    <w:rsid w:val="003540E8"/>
    <w:rsid w:val="00354F9D"/>
    <w:rsid w:val="003619EC"/>
    <w:rsid w:val="00365415"/>
    <w:rsid w:val="00371802"/>
    <w:rsid w:val="00392E9D"/>
    <w:rsid w:val="003951B6"/>
    <w:rsid w:val="003A774C"/>
    <w:rsid w:val="003C4688"/>
    <w:rsid w:val="0043193B"/>
    <w:rsid w:val="004339BF"/>
    <w:rsid w:val="00442CD1"/>
    <w:rsid w:val="00444DF1"/>
    <w:rsid w:val="004612F2"/>
    <w:rsid w:val="00475B88"/>
    <w:rsid w:val="00485B9C"/>
    <w:rsid w:val="004B041F"/>
    <w:rsid w:val="004C41B2"/>
    <w:rsid w:val="004E406A"/>
    <w:rsid w:val="00501E42"/>
    <w:rsid w:val="0050262A"/>
    <w:rsid w:val="0052218B"/>
    <w:rsid w:val="00537B59"/>
    <w:rsid w:val="00554C82"/>
    <w:rsid w:val="005560A5"/>
    <w:rsid w:val="005615A2"/>
    <w:rsid w:val="00591CCB"/>
    <w:rsid w:val="0059665D"/>
    <w:rsid w:val="005B2E99"/>
    <w:rsid w:val="005B6D87"/>
    <w:rsid w:val="005C4CA1"/>
    <w:rsid w:val="005D1875"/>
    <w:rsid w:val="005D5D89"/>
    <w:rsid w:val="005E065E"/>
    <w:rsid w:val="005E13F7"/>
    <w:rsid w:val="005F0BF8"/>
    <w:rsid w:val="005F175C"/>
    <w:rsid w:val="005F3AF1"/>
    <w:rsid w:val="005F4149"/>
    <w:rsid w:val="005F6B9D"/>
    <w:rsid w:val="005F79AE"/>
    <w:rsid w:val="00644FEA"/>
    <w:rsid w:val="006617AB"/>
    <w:rsid w:val="00676EF6"/>
    <w:rsid w:val="00680FE1"/>
    <w:rsid w:val="00683DBC"/>
    <w:rsid w:val="00691E3B"/>
    <w:rsid w:val="006A2F00"/>
    <w:rsid w:val="006A4F25"/>
    <w:rsid w:val="006C10C0"/>
    <w:rsid w:val="006D574C"/>
    <w:rsid w:val="006E4739"/>
    <w:rsid w:val="006F50AA"/>
    <w:rsid w:val="00703183"/>
    <w:rsid w:val="00704BE8"/>
    <w:rsid w:val="00733422"/>
    <w:rsid w:val="00737A24"/>
    <w:rsid w:val="007425CA"/>
    <w:rsid w:val="00751788"/>
    <w:rsid w:val="007517E1"/>
    <w:rsid w:val="00757020"/>
    <w:rsid w:val="00770798"/>
    <w:rsid w:val="00780B13"/>
    <w:rsid w:val="00797081"/>
    <w:rsid w:val="007B2029"/>
    <w:rsid w:val="007C6A2B"/>
    <w:rsid w:val="00822A9C"/>
    <w:rsid w:val="0082430B"/>
    <w:rsid w:val="0082673D"/>
    <w:rsid w:val="008314C7"/>
    <w:rsid w:val="0084045E"/>
    <w:rsid w:val="00851F5B"/>
    <w:rsid w:val="0087659E"/>
    <w:rsid w:val="00897F28"/>
    <w:rsid w:val="008A5067"/>
    <w:rsid w:val="008D569B"/>
    <w:rsid w:val="009344E8"/>
    <w:rsid w:val="0093753F"/>
    <w:rsid w:val="009431D0"/>
    <w:rsid w:val="00966A0A"/>
    <w:rsid w:val="00972DCE"/>
    <w:rsid w:val="00973B6D"/>
    <w:rsid w:val="00980913"/>
    <w:rsid w:val="00994D43"/>
    <w:rsid w:val="0099606B"/>
    <w:rsid w:val="009A7948"/>
    <w:rsid w:val="009B132B"/>
    <w:rsid w:val="009B5B26"/>
    <w:rsid w:val="009B6B81"/>
    <w:rsid w:val="009C544D"/>
    <w:rsid w:val="009D1985"/>
    <w:rsid w:val="009D290C"/>
    <w:rsid w:val="009D3C95"/>
    <w:rsid w:val="009F1599"/>
    <w:rsid w:val="00A20803"/>
    <w:rsid w:val="00A2762F"/>
    <w:rsid w:val="00A31B54"/>
    <w:rsid w:val="00A34D59"/>
    <w:rsid w:val="00A40936"/>
    <w:rsid w:val="00A41B39"/>
    <w:rsid w:val="00A65724"/>
    <w:rsid w:val="00A704E9"/>
    <w:rsid w:val="00A70AA8"/>
    <w:rsid w:val="00A91F35"/>
    <w:rsid w:val="00AA7B1F"/>
    <w:rsid w:val="00AE2FFD"/>
    <w:rsid w:val="00B00688"/>
    <w:rsid w:val="00B40E95"/>
    <w:rsid w:val="00B47E93"/>
    <w:rsid w:val="00B60F10"/>
    <w:rsid w:val="00B82E95"/>
    <w:rsid w:val="00B84885"/>
    <w:rsid w:val="00B85499"/>
    <w:rsid w:val="00B965F3"/>
    <w:rsid w:val="00BA71A9"/>
    <w:rsid w:val="00BC0FF0"/>
    <w:rsid w:val="00BD5A60"/>
    <w:rsid w:val="00BE0AB7"/>
    <w:rsid w:val="00BE1AFF"/>
    <w:rsid w:val="00BF617B"/>
    <w:rsid w:val="00BF708A"/>
    <w:rsid w:val="00C1543B"/>
    <w:rsid w:val="00C46335"/>
    <w:rsid w:val="00C63473"/>
    <w:rsid w:val="00C65C81"/>
    <w:rsid w:val="00C67359"/>
    <w:rsid w:val="00C751BE"/>
    <w:rsid w:val="00C878F3"/>
    <w:rsid w:val="00CA2783"/>
    <w:rsid w:val="00CA31CF"/>
    <w:rsid w:val="00CA3283"/>
    <w:rsid w:val="00CA3D10"/>
    <w:rsid w:val="00CA66D5"/>
    <w:rsid w:val="00CE79DB"/>
    <w:rsid w:val="00D41352"/>
    <w:rsid w:val="00D64775"/>
    <w:rsid w:val="00D7175E"/>
    <w:rsid w:val="00D7286A"/>
    <w:rsid w:val="00D840B1"/>
    <w:rsid w:val="00D93322"/>
    <w:rsid w:val="00D97378"/>
    <w:rsid w:val="00DE6EE6"/>
    <w:rsid w:val="00DF0170"/>
    <w:rsid w:val="00DF04CD"/>
    <w:rsid w:val="00DF2A0E"/>
    <w:rsid w:val="00E02AC2"/>
    <w:rsid w:val="00E133FC"/>
    <w:rsid w:val="00E31484"/>
    <w:rsid w:val="00E3307A"/>
    <w:rsid w:val="00E42615"/>
    <w:rsid w:val="00E46AB0"/>
    <w:rsid w:val="00E52ACC"/>
    <w:rsid w:val="00E60C90"/>
    <w:rsid w:val="00E63059"/>
    <w:rsid w:val="00E63B3F"/>
    <w:rsid w:val="00E717A3"/>
    <w:rsid w:val="00E7671A"/>
    <w:rsid w:val="00E84995"/>
    <w:rsid w:val="00EA2CD7"/>
    <w:rsid w:val="00EC0D09"/>
    <w:rsid w:val="00ED42BE"/>
    <w:rsid w:val="00F05729"/>
    <w:rsid w:val="00F20FE0"/>
    <w:rsid w:val="00F250D5"/>
    <w:rsid w:val="00F40FCA"/>
    <w:rsid w:val="00F4707B"/>
    <w:rsid w:val="00F4757B"/>
    <w:rsid w:val="00F5010C"/>
    <w:rsid w:val="00F75E3C"/>
    <w:rsid w:val="00F9304B"/>
    <w:rsid w:val="00FC31B5"/>
    <w:rsid w:val="00FD1AF6"/>
    <w:rsid w:val="00FD1D2E"/>
    <w:rsid w:val="00FF55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5AE1"/>
  <w15:chartTrackingRefBased/>
  <w15:docId w15:val="{99D6C40D-CE81-E941-8A8B-731E2BA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73"/>
  </w:style>
  <w:style w:type="paragraph" w:styleId="Heading2">
    <w:name w:val="heading 2"/>
    <w:basedOn w:val="Normal"/>
    <w:next w:val="Normal"/>
    <w:link w:val="Heading2Char"/>
    <w:uiPriority w:val="9"/>
    <w:semiHidden/>
    <w:unhideWhenUsed/>
    <w:qFormat/>
    <w:rsid w:val="000B258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06B"/>
    <w:rPr>
      <w:color w:val="0563C1" w:themeColor="hyperlink"/>
      <w:u w:val="single"/>
    </w:rPr>
  </w:style>
  <w:style w:type="character" w:customStyle="1" w:styleId="UnresolvedMention">
    <w:name w:val="Unresolved Mention"/>
    <w:basedOn w:val="DefaultParagraphFont"/>
    <w:uiPriority w:val="99"/>
    <w:semiHidden/>
    <w:unhideWhenUsed/>
    <w:rsid w:val="0099606B"/>
    <w:rPr>
      <w:color w:val="605E5C"/>
      <w:shd w:val="clear" w:color="auto" w:fill="E1DFDD"/>
    </w:rPr>
  </w:style>
  <w:style w:type="paragraph" w:styleId="Header">
    <w:name w:val="header"/>
    <w:basedOn w:val="Normal"/>
    <w:link w:val="HeaderChar"/>
    <w:uiPriority w:val="99"/>
    <w:unhideWhenUsed/>
    <w:rsid w:val="00CA3D10"/>
    <w:pPr>
      <w:tabs>
        <w:tab w:val="center" w:pos="4680"/>
        <w:tab w:val="right" w:pos="9360"/>
      </w:tabs>
      <w:spacing w:line="240" w:lineRule="auto"/>
    </w:pPr>
  </w:style>
  <w:style w:type="character" w:customStyle="1" w:styleId="HeaderChar">
    <w:name w:val="Header Char"/>
    <w:basedOn w:val="DefaultParagraphFont"/>
    <w:link w:val="Header"/>
    <w:uiPriority w:val="99"/>
    <w:rsid w:val="00CA3D10"/>
  </w:style>
  <w:style w:type="character" w:styleId="PageNumber">
    <w:name w:val="page number"/>
    <w:basedOn w:val="DefaultParagraphFont"/>
    <w:uiPriority w:val="99"/>
    <w:semiHidden/>
    <w:unhideWhenUsed/>
    <w:rsid w:val="00CA3D10"/>
  </w:style>
  <w:style w:type="paragraph" w:styleId="NormalWeb">
    <w:name w:val="Normal (Web)"/>
    <w:basedOn w:val="Normal"/>
    <w:uiPriority w:val="99"/>
    <w:semiHidden/>
    <w:unhideWhenUsed/>
    <w:rsid w:val="00FD1AF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FD1AF6"/>
  </w:style>
  <w:style w:type="character" w:styleId="Emphasis">
    <w:name w:val="Emphasis"/>
    <w:basedOn w:val="DefaultParagraphFont"/>
    <w:uiPriority w:val="20"/>
    <w:qFormat/>
    <w:rsid w:val="00FD1AF6"/>
    <w:rPr>
      <w:i/>
      <w:iCs/>
    </w:rPr>
  </w:style>
  <w:style w:type="paragraph" w:styleId="FootnoteText">
    <w:name w:val="footnote text"/>
    <w:basedOn w:val="Normal"/>
    <w:link w:val="FootnoteTextChar"/>
    <w:uiPriority w:val="99"/>
    <w:semiHidden/>
    <w:unhideWhenUsed/>
    <w:rsid w:val="009D1985"/>
    <w:pPr>
      <w:spacing w:line="240" w:lineRule="auto"/>
    </w:pPr>
    <w:rPr>
      <w:sz w:val="20"/>
      <w:szCs w:val="20"/>
    </w:rPr>
  </w:style>
  <w:style w:type="character" w:customStyle="1" w:styleId="FootnoteTextChar">
    <w:name w:val="Footnote Text Char"/>
    <w:basedOn w:val="DefaultParagraphFont"/>
    <w:link w:val="FootnoteText"/>
    <w:uiPriority w:val="99"/>
    <w:semiHidden/>
    <w:rsid w:val="009D1985"/>
    <w:rPr>
      <w:sz w:val="20"/>
      <w:szCs w:val="20"/>
    </w:rPr>
  </w:style>
  <w:style w:type="character" w:styleId="FootnoteReference">
    <w:name w:val="footnote reference"/>
    <w:basedOn w:val="DefaultParagraphFont"/>
    <w:uiPriority w:val="99"/>
    <w:semiHidden/>
    <w:unhideWhenUsed/>
    <w:rsid w:val="009D1985"/>
    <w:rPr>
      <w:vertAlign w:val="superscript"/>
    </w:rPr>
  </w:style>
  <w:style w:type="paragraph" w:styleId="ListParagraph">
    <w:name w:val="List Paragraph"/>
    <w:basedOn w:val="Normal"/>
    <w:uiPriority w:val="34"/>
    <w:qFormat/>
    <w:rsid w:val="008A5067"/>
    <w:pPr>
      <w:ind w:left="720"/>
      <w:contextualSpacing/>
    </w:pPr>
  </w:style>
  <w:style w:type="character" w:customStyle="1" w:styleId="Heading2Char">
    <w:name w:val="Heading 2 Char"/>
    <w:basedOn w:val="DefaultParagraphFont"/>
    <w:link w:val="Heading2"/>
    <w:uiPriority w:val="9"/>
    <w:semiHidden/>
    <w:rsid w:val="000B258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B2224"/>
    <w:pPr>
      <w:tabs>
        <w:tab w:val="center" w:pos="4513"/>
        <w:tab w:val="right" w:pos="9026"/>
      </w:tabs>
      <w:spacing w:line="240" w:lineRule="auto"/>
    </w:pPr>
  </w:style>
  <w:style w:type="character" w:customStyle="1" w:styleId="FooterChar">
    <w:name w:val="Footer Char"/>
    <w:basedOn w:val="DefaultParagraphFont"/>
    <w:link w:val="Footer"/>
    <w:uiPriority w:val="99"/>
    <w:rsid w:val="001B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033">
      <w:bodyDiv w:val="1"/>
      <w:marLeft w:val="0"/>
      <w:marRight w:val="0"/>
      <w:marTop w:val="0"/>
      <w:marBottom w:val="0"/>
      <w:divBdr>
        <w:top w:val="none" w:sz="0" w:space="0" w:color="auto"/>
        <w:left w:val="none" w:sz="0" w:space="0" w:color="auto"/>
        <w:bottom w:val="none" w:sz="0" w:space="0" w:color="auto"/>
        <w:right w:val="none" w:sz="0" w:space="0" w:color="auto"/>
      </w:divBdr>
    </w:div>
    <w:div w:id="65223207">
      <w:bodyDiv w:val="1"/>
      <w:marLeft w:val="0"/>
      <w:marRight w:val="0"/>
      <w:marTop w:val="0"/>
      <w:marBottom w:val="0"/>
      <w:divBdr>
        <w:top w:val="none" w:sz="0" w:space="0" w:color="auto"/>
        <w:left w:val="none" w:sz="0" w:space="0" w:color="auto"/>
        <w:bottom w:val="none" w:sz="0" w:space="0" w:color="auto"/>
        <w:right w:val="none" w:sz="0" w:space="0" w:color="auto"/>
      </w:divBdr>
    </w:div>
    <w:div w:id="66727405">
      <w:bodyDiv w:val="1"/>
      <w:marLeft w:val="0"/>
      <w:marRight w:val="0"/>
      <w:marTop w:val="0"/>
      <w:marBottom w:val="0"/>
      <w:divBdr>
        <w:top w:val="none" w:sz="0" w:space="0" w:color="auto"/>
        <w:left w:val="none" w:sz="0" w:space="0" w:color="auto"/>
        <w:bottom w:val="none" w:sz="0" w:space="0" w:color="auto"/>
        <w:right w:val="none" w:sz="0" w:space="0" w:color="auto"/>
      </w:divBdr>
    </w:div>
    <w:div w:id="113525483">
      <w:bodyDiv w:val="1"/>
      <w:marLeft w:val="0"/>
      <w:marRight w:val="0"/>
      <w:marTop w:val="0"/>
      <w:marBottom w:val="0"/>
      <w:divBdr>
        <w:top w:val="none" w:sz="0" w:space="0" w:color="auto"/>
        <w:left w:val="none" w:sz="0" w:space="0" w:color="auto"/>
        <w:bottom w:val="none" w:sz="0" w:space="0" w:color="auto"/>
        <w:right w:val="none" w:sz="0" w:space="0" w:color="auto"/>
      </w:divBdr>
    </w:div>
    <w:div w:id="679358751">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16385366">
      <w:bodyDiv w:val="1"/>
      <w:marLeft w:val="0"/>
      <w:marRight w:val="0"/>
      <w:marTop w:val="0"/>
      <w:marBottom w:val="0"/>
      <w:divBdr>
        <w:top w:val="none" w:sz="0" w:space="0" w:color="auto"/>
        <w:left w:val="none" w:sz="0" w:space="0" w:color="auto"/>
        <w:bottom w:val="none" w:sz="0" w:space="0" w:color="auto"/>
        <w:right w:val="none" w:sz="0" w:space="0" w:color="auto"/>
      </w:divBdr>
    </w:div>
    <w:div w:id="919683449">
      <w:bodyDiv w:val="1"/>
      <w:marLeft w:val="0"/>
      <w:marRight w:val="0"/>
      <w:marTop w:val="0"/>
      <w:marBottom w:val="0"/>
      <w:divBdr>
        <w:top w:val="none" w:sz="0" w:space="0" w:color="auto"/>
        <w:left w:val="none" w:sz="0" w:space="0" w:color="auto"/>
        <w:bottom w:val="none" w:sz="0" w:space="0" w:color="auto"/>
        <w:right w:val="none" w:sz="0" w:space="0" w:color="auto"/>
      </w:divBdr>
    </w:div>
    <w:div w:id="954795536">
      <w:bodyDiv w:val="1"/>
      <w:marLeft w:val="0"/>
      <w:marRight w:val="0"/>
      <w:marTop w:val="0"/>
      <w:marBottom w:val="0"/>
      <w:divBdr>
        <w:top w:val="none" w:sz="0" w:space="0" w:color="auto"/>
        <w:left w:val="none" w:sz="0" w:space="0" w:color="auto"/>
        <w:bottom w:val="none" w:sz="0" w:space="0" w:color="auto"/>
        <w:right w:val="none" w:sz="0" w:space="0" w:color="auto"/>
      </w:divBdr>
    </w:div>
    <w:div w:id="975447561">
      <w:bodyDiv w:val="1"/>
      <w:marLeft w:val="0"/>
      <w:marRight w:val="0"/>
      <w:marTop w:val="0"/>
      <w:marBottom w:val="0"/>
      <w:divBdr>
        <w:top w:val="none" w:sz="0" w:space="0" w:color="auto"/>
        <w:left w:val="none" w:sz="0" w:space="0" w:color="auto"/>
        <w:bottom w:val="none" w:sz="0" w:space="0" w:color="auto"/>
        <w:right w:val="none" w:sz="0" w:space="0" w:color="auto"/>
      </w:divBdr>
    </w:div>
    <w:div w:id="1100375742">
      <w:bodyDiv w:val="1"/>
      <w:marLeft w:val="0"/>
      <w:marRight w:val="0"/>
      <w:marTop w:val="0"/>
      <w:marBottom w:val="0"/>
      <w:divBdr>
        <w:top w:val="none" w:sz="0" w:space="0" w:color="auto"/>
        <w:left w:val="none" w:sz="0" w:space="0" w:color="auto"/>
        <w:bottom w:val="none" w:sz="0" w:space="0" w:color="auto"/>
        <w:right w:val="none" w:sz="0" w:space="0" w:color="auto"/>
      </w:divBdr>
    </w:div>
    <w:div w:id="1159464571">
      <w:bodyDiv w:val="1"/>
      <w:marLeft w:val="0"/>
      <w:marRight w:val="0"/>
      <w:marTop w:val="0"/>
      <w:marBottom w:val="0"/>
      <w:divBdr>
        <w:top w:val="none" w:sz="0" w:space="0" w:color="auto"/>
        <w:left w:val="none" w:sz="0" w:space="0" w:color="auto"/>
        <w:bottom w:val="none" w:sz="0" w:space="0" w:color="auto"/>
        <w:right w:val="none" w:sz="0" w:space="0" w:color="auto"/>
      </w:divBdr>
    </w:div>
    <w:div w:id="1232621779">
      <w:bodyDiv w:val="1"/>
      <w:marLeft w:val="0"/>
      <w:marRight w:val="0"/>
      <w:marTop w:val="0"/>
      <w:marBottom w:val="0"/>
      <w:divBdr>
        <w:top w:val="none" w:sz="0" w:space="0" w:color="auto"/>
        <w:left w:val="none" w:sz="0" w:space="0" w:color="auto"/>
        <w:bottom w:val="none" w:sz="0" w:space="0" w:color="auto"/>
        <w:right w:val="none" w:sz="0" w:space="0" w:color="auto"/>
      </w:divBdr>
    </w:div>
    <w:div w:id="1238783009">
      <w:bodyDiv w:val="1"/>
      <w:marLeft w:val="0"/>
      <w:marRight w:val="0"/>
      <w:marTop w:val="0"/>
      <w:marBottom w:val="0"/>
      <w:divBdr>
        <w:top w:val="none" w:sz="0" w:space="0" w:color="auto"/>
        <w:left w:val="none" w:sz="0" w:space="0" w:color="auto"/>
        <w:bottom w:val="none" w:sz="0" w:space="0" w:color="auto"/>
        <w:right w:val="none" w:sz="0" w:space="0" w:color="auto"/>
      </w:divBdr>
    </w:div>
    <w:div w:id="1631091210">
      <w:bodyDiv w:val="1"/>
      <w:marLeft w:val="0"/>
      <w:marRight w:val="0"/>
      <w:marTop w:val="0"/>
      <w:marBottom w:val="0"/>
      <w:divBdr>
        <w:top w:val="none" w:sz="0" w:space="0" w:color="auto"/>
        <w:left w:val="none" w:sz="0" w:space="0" w:color="auto"/>
        <w:bottom w:val="none" w:sz="0" w:space="0" w:color="auto"/>
        <w:right w:val="none" w:sz="0" w:space="0" w:color="auto"/>
      </w:divBdr>
    </w:div>
    <w:div w:id="1660963774">
      <w:bodyDiv w:val="1"/>
      <w:marLeft w:val="0"/>
      <w:marRight w:val="0"/>
      <w:marTop w:val="0"/>
      <w:marBottom w:val="0"/>
      <w:divBdr>
        <w:top w:val="none" w:sz="0" w:space="0" w:color="auto"/>
        <w:left w:val="none" w:sz="0" w:space="0" w:color="auto"/>
        <w:bottom w:val="none" w:sz="0" w:space="0" w:color="auto"/>
        <w:right w:val="none" w:sz="0" w:space="0" w:color="auto"/>
      </w:divBdr>
    </w:div>
    <w:div w:id="1955360301">
      <w:bodyDiv w:val="1"/>
      <w:marLeft w:val="0"/>
      <w:marRight w:val="0"/>
      <w:marTop w:val="0"/>
      <w:marBottom w:val="0"/>
      <w:divBdr>
        <w:top w:val="none" w:sz="0" w:space="0" w:color="auto"/>
        <w:left w:val="none" w:sz="0" w:space="0" w:color="auto"/>
        <w:bottom w:val="none" w:sz="0" w:space="0" w:color="auto"/>
        <w:right w:val="none" w:sz="0" w:space="0" w:color="auto"/>
      </w:divBdr>
    </w:div>
    <w:div w:id="1962345497">
      <w:bodyDiv w:val="1"/>
      <w:marLeft w:val="0"/>
      <w:marRight w:val="0"/>
      <w:marTop w:val="0"/>
      <w:marBottom w:val="0"/>
      <w:divBdr>
        <w:top w:val="none" w:sz="0" w:space="0" w:color="auto"/>
        <w:left w:val="none" w:sz="0" w:space="0" w:color="auto"/>
        <w:bottom w:val="none" w:sz="0" w:space="0" w:color="auto"/>
        <w:right w:val="none" w:sz="0" w:space="0" w:color="auto"/>
      </w:divBdr>
    </w:div>
    <w:div w:id="20248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7408F1-E290-1046-A4B6-4F6FF32C2EDA}">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Keoagile Matojane</dc:creator>
  <cp:keywords/>
  <dc:description/>
  <cp:lastModifiedBy>Lazarus Rakgwale</cp:lastModifiedBy>
  <cp:revision>2</cp:revision>
  <dcterms:created xsi:type="dcterms:W3CDTF">2022-09-16T10:56:00Z</dcterms:created>
  <dcterms:modified xsi:type="dcterms:W3CDTF">2022-09-16T10:56:00Z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documentId_7136</vt:lpwstr>
  </property>
  <property fmtid="{D5CDD505-2E9C-101B-9397-08002B2CF9AE}" pid="3" name="grammarly_documentContext">
    <vt:lpwstr>{"goals":["tellStory"],"domain":"academic","emotions":["confident"],"dialect":"british","audience":"expert","style":"formal"}</vt:lpwstr>
  </property>
</Properties>
</file>