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16F5" w14:textId="77777777" w:rsidR="00972885" w:rsidRDefault="00972885" w:rsidP="00972885">
      <w:pPr>
        <w:spacing w:after="120"/>
        <w:jc w:val="center"/>
        <w:rPr>
          <w:b/>
          <w:u w:val="none"/>
          <w:lang w:val="en-ZA"/>
        </w:rPr>
      </w:pPr>
      <w:bookmarkStart w:id="0" w:name="_GoBack"/>
      <w:bookmarkEnd w:id="0"/>
      <w:r>
        <w:rPr>
          <w:b/>
          <w:u w:val="none"/>
          <w:lang w:val="en-ZA"/>
        </w:rPr>
        <w:t>REPUBLIC OF SOUTH AFRICA</w:t>
      </w:r>
    </w:p>
    <w:p w14:paraId="2BC89CA2" w14:textId="77777777" w:rsidR="00972885" w:rsidRDefault="00972885" w:rsidP="00972885">
      <w:pPr>
        <w:jc w:val="center"/>
        <w:rPr>
          <w:b/>
          <w:u w:val="none"/>
          <w:lang w:val="en-ZA"/>
        </w:rPr>
      </w:pPr>
      <w:r>
        <w:rPr>
          <w:b/>
          <w:noProof/>
          <w:u w:val="none"/>
          <w:lang w:val="en-ZA" w:eastAsia="en-ZA"/>
        </w:rPr>
        <w:drawing>
          <wp:inline distT="0" distB="0" distL="0" distR="0" wp14:anchorId="21623801" wp14:editId="500B5342">
            <wp:extent cx="1353185"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4A2DAE6B" w14:textId="77777777" w:rsidR="00972885" w:rsidRDefault="00972885" w:rsidP="00972885">
      <w:pPr>
        <w:spacing w:before="120"/>
        <w:jc w:val="center"/>
        <w:rPr>
          <w:b/>
          <w:u w:val="none"/>
          <w:lang w:val="en-ZA"/>
        </w:rPr>
      </w:pPr>
      <w:r>
        <w:rPr>
          <w:b/>
          <w:u w:val="none"/>
          <w:lang w:val="en-ZA"/>
        </w:rPr>
        <w:t>IN THE HIGH COURT OF SOUTH AFRICA</w:t>
      </w:r>
    </w:p>
    <w:p w14:paraId="55892838" w14:textId="77777777" w:rsidR="00972885" w:rsidRDefault="00972885" w:rsidP="00972885">
      <w:pPr>
        <w:jc w:val="center"/>
        <w:rPr>
          <w:b/>
          <w:u w:val="none"/>
          <w:lang w:val="en-ZA"/>
        </w:rPr>
      </w:pPr>
      <w:r>
        <w:rPr>
          <w:b/>
          <w:u w:val="none"/>
          <w:lang w:val="en-ZA"/>
        </w:rPr>
        <w:t>GAUTENG DIVISION, JOHANNEBURG</w:t>
      </w:r>
    </w:p>
    <w:p w14:paraId="09D8D506" w14:textId="77777777" w:rsidR="00972885" w:rsidRDefault="00972885" w:rsidP="00972885">
      <w:pPr>
        <w:jc w:val="center"/>
        <w:rPr>
          <w:b/>
          <w:u w:val="none"/>
          <w:lang w:val="en-ZA"/>
        </w:rPr>
      </w:pPr>
    </w:p>
    <w:p w14:paraId="5E70F123" w14:textId="77777777" w:rsidR="00972885" w:rsidRPr="007932EB" w:rsidRDefault="00972885" w:rsidP="00972885">
      <w:pPr>
        <w:jc w:val="right"/>
        <w:rPr>
          <w:b/>
          <w:u w:val="none"/>
        </w:rPr>
      </w:pPr>
      <w:r w:rsidRPr="00C03564">
        <w:rPr>
          <w:b/>
          <w:u w:val="none"/>
          <w:lang w:val="en-ZA"/>
        </w:rPr>
        <w:t xml:space="preserve">CASE </w:t>
      </w:r>
      <w:r w:rsidR="00A92197" w:rsidRPr="00C03564">
        <w:rPr>
          <w:b/>
          <w:u w:val="none"/>
          <w:lang w:val="en-ZA"/>
        </w:rPr>
        <w:t>NO</w:t>
      </w:r>
      <w:r w:rsidR="00A92197">
        <w:rPr>
          <w:b/>
          <w:u w:val="none"/>
          <w:lang w:val="en-ZA"/>
        </w:rPr>
        <w:t>:</w:t>
      </w:r>
      <w:r w:rsidR="00A92197" w:rsidRPr="00A92197">
        <w:rPr>
          <w:u w:val="none"/>
        </w:rPr>
        <w:t xml:space="preserve">   </w:t>
      </w:r>
      <w:r w:rsidR="00A92197" w:rsidRPr="00A92197">
        <w:rPr>
          <w:b/>
          <w:u w:val="none"/>
          <w:shd w:val="clear" w:color="auto" w:fill="FFFFFF"/>
        </w:rPr>
        <w:t>28966/2020</w:t>
      </w:r>
    </w:p>
    <w:p w14:paraId="2DDFC121" w14:textId="77777777" w:rsidR="007932EB" w:rsidRPr="007932EB" w:rsidRDefault="007932EB" w:rsidP="00972885">
      <w:pPr>
        <w:jc w:val="right"/>
        <w:rPr>
          <w:b/>
          <w:u w:val="none"/>
          <w:lang w:val="en-ZA"/>
        </w:rPr>
      </w:pPr>
    </w:p>
    <w:p w14:paraId="7C00DAAA" w14:textId="77777777" w:rsidR="00972885" w:rsidRPr="007932EB" w:rsidRDefault="00972885" w:rsidP="00972885">
      <w:pPr>
        <w:jc w:val="both"/>
        <w:rPr>
          <w:u w:val="none"/>
        </w:rPr>
      </w:pPr>
    </w:p>
    <w:p w14:paraId="47D19721" w14:textId="77777777" w:rsidR="00972885" w:rsidRDefault="00972885" w:rsidP="00972885">
      <w:pPr>
        <w:jc w:val="both"/>
      </w:pPr>
    </w:p>
    <w:p w14:paraId="4E9FB211" w14:textId="77777777" w:rsidR="00972885" w:rsidRPr="009B39F0" w:rsidRDefault="00972885" w:rsidP="00972885">
      <w:pPr>
        <w:jc w:val="both"/>
      </w:pPr>
      <w:r>
        <w:rPr>
          <w:noProof/>
          <w:lang w:val="en-ZA" w:eastAsia="en-ZA"/>
        </w:rPr>
        <mc:AlternateContent>
          <mc:Choice Requires="wps">
            <w:drawing>
              <wp:anchor distT="0" distB="0" distL="114300" distR="114300" simplePos="0" relativeHeight="251659264" behindDoc="0" locked="0" layoutInCell="1" allowOverlap="1" wp14:anchorId="5D85DD19" wp14:editId="737FE4EA">
                <wp:simplePos x="0" y="0"/>
                <wp:positionH relativeFrom="column">
                  <wp:posOffset>0</wp:posOffset>
                </wp:positionH>
                <wp:positionV relativeFrom="paragraph">
                  <wp:posOffset>50165</wp:posOffset>
                </wp:positionV>
                <wp:extent cx="3291840" cy="1311910"/>
                <wp:effectExtent l="0" t="0" r="2286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311910"/>
                        </a:xfrm>
                        <a:prstGeom prst="rect">
                          <a:avLst/>
                        </a:prstGeom>
                        <a:solidFill>
                          <a:srgbClr val="FFFFFF"/>
                        </a:solidFill>
                        <a:ln w="9525">
                          <a:solidFill>
                            <a:srgbClr val="000000"/>
                          </a:solidFill>
                          <a:miter lim="800000"/>
                          <a:headEnd/>
                          <a:tailEnd/>
                        </a:ln>
                      </wps:spPr>
                      <wps:txbx>
                        <w:txbxContent>
                          <w:p w14:paraId="1EEFADDF" w14:textId="77777777" w:rsidR="00950FD7" w:rsidRDefault="00950FD7" w:rsidP="00972885">
                            <w:pPr>
                              <w:rPr>
                                <w:sz w:val="20"/>
                                <w:szCs w:val="20"/>
                              </w:rPr>
                            </w:pPr>
                          </w:p>
                          <w:p w14:paraId="6BEE17DB" w14:textId="77777777"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14:paraId="28161037" w14:textId="77777777"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14:paraId="7178D7EF" w14:textId="77777777"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sidR="007932EB">
                              <w:rPr>
                                <w:sz w:val="20"/>
                                <w:szCs w:val="20"/>
                              </w:rPr>
                              <w:t>: NO</w:t>
                            </w:r>
                          </w:p>
                          <w:p w14:paraId="4400D061" w14:textId="77777777" w:rsidR="00950FD7" w:rsidRPr="004B32DC" w:rsidRDefault="00950FD7" w:rsidP="00972885">
                            <w:pPr>
                              <w:rPr>
                                <w:b/>
                                <w:sz w:val="20"/>
                                <w:szCs w:val="20"/>
                              </w:rPr>
                            </w:pPr>
                          </w:p>
                          <w:p w14:paraId="6E46EA15" w14:textId="77777777" w:rsidR="00950FD7" w:rsidRPr="004B32DC" w:rsidRDefault="00950FD7" w:rsidP="00972885">
                            <w:pPr>
                              <w:rPr>
                                <w:b/>
                                <w:sz w:val="20"/>
                                <w:szCs w:val="20"/>
                              </w:rPr>
                            </w:pPr>
                          </w:p>
                          <w:p w14:paraId="318F2775" w14:textId="77777777"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C97BF7">
                              <w:rPr>
                                <w:b/>
                                <w:sz w:val="18"/>
                                <w:szCs w:val="18"/>
                                <w:u w:val="none"/>
                              </w:rPr>
                              <w:t>[ 16</w:t>
                            </w:r>
                            <w:r>
                              <w:rPr>
                                <w:b/>
                                <w:sz w:val="18"/>
                                <w:szCs w:val="18"/>
                                <w:u w:val="none"/>
                              </w:rPr>
                              <w:t xml:space="preserve"> </w:t>
                            </w:r>
                            <w:r w:rsidR="00C97BF7">
                              <w:rPr>
                                <w:b/>
                                <w:sz w:val="18"/>
                                <w:szCs w:val="18"/>
                                <w:u w:val="none"/>
                              </w:rPr>
                              <w:t xml:space="preserve">September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14:paraId="5BE988D9" w14:textId="77777777"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1D56E" id="_x0000_t202" coordsize="21600,21600" o:spt="202" path="m,l,21600r21600,l21600,xe">
                <v:stroke joinstyle="miter"/>
                <v:path gradientshapeok="t" o:connecttype="rect"/>
              </v:shapetype>
              <v:shape id="Text Box 1" o:spid="_x0000_s1026" type="#_x0000_t202" style="position:absolute;left:0;text-align:left;margin-left:0;margin-top:3.95pt;width:259.2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">
                <v:textbox>
                  <w:txbxContent>
                    <w:p w:rsidR="00950FD7" w:rsidRDefault="00950FD7" w:rsidP="00972885">
                      <w:pPr>
                        <w:rPr>
                          <w:sz w:val="20"/>
                          <w:szCs w:val="20"/>
                        </w:rPr>
                      </w:pPr>
                    </w:p>
                    <w:p w:rsidR="00950FD7" w:rsidRPr="004B32DC" w:rsidRDefault="00950FD7" w:rsidP="00972885">
                      <w:pPr>
                        <w:numPr>
                          <w:ilvl w:val="0"/>
                          <w:numId w:val="1"/>
                        </w:numPr>
                        <w:tabs>
                          <w:tab w:val="clear" w:pos="900"/>
                        </w:tabs>
                        <w:spacing w:before="120"/>
                        <w:ind w:left="567" w:hanging="386"/>
                        <w:rPr>
                          <w:sz w:val="20"/>
                          <w:szCs w:val="20"/>
                        </w:rPr>
                      </w:pPr>
                      <w:r>
                        <w:rPr>
                          <w:sz w:val="20"/>
                          <w:szCs w:val="20"/>
                        </w:rPr>
                        <w:t xml:space="preserve">REPORTABLE: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OF INTEREST TO OTHER JU</w:t>
                      </w:r>
                      <w:r>
                        <w:rPr>
                          <w:sz w:val="20"/>
                          <w:szCs w:val="20"/>
                        </w:rPr>
                        <w:t xml:space="preserve">DGES: </w:t>
                      </w:r>
                      <w:r w:rsidRPr="004B32DC">
                        <w:rPr>
                          <w:sz w:val="20"/>
                          <w:szCs w:val="20"/>
                        </w:rPr>
                        <w:t xml:space="preserve"> NO</w:t>
                      </w:r>
                    </w:p>
                    <w:p w:rsidR="00950FD7" w:rsidRPr="004B32DC" w:rsidRDefault="00950FD7" w:rsidP="00972885">
                      <w:pPr>
                        <w:numPr>
                          <w:ilvl w:val="0"/>
                          <w:numId w:val="1"/>
                        </w:numPr>
                        <w:tabs>
                          <w:tab w:val="clear" w:pos="900"/>
                        </w:tabs>
                        <w:ind w:left="567" w:hanging="386"/>
                        <w:rPr>
                          <w:sz w:val="20"/>
                          <w:szCs w:val="20"/>
                        </w:rPr>
                      </w:pPr>
                      <w:r w:rsidRPr="004B32DC">
                        <w:rPr>
                          <w:sz w:val="20"/>
                          <w:szCs w:val="20"/>
                        </w:rPr>
                        <w:t>REVISED</w:t>
                      </w:r>
                      <w:r w:rsidR="007932EB">
                        <w:rPr>
                          <w:sz w:val="20"/>
                          <w:szCs w:val="20"/>
                        </w:rPr>
                        <w:t>: NO</w:t>
                      </w:r>
                    </w:p>
                    <w:p w:rsidR="00950FD7" w:rsidRPr="004B32DC" w:rsidRDefault="00950FD7" w:rsidP="00972885">
                      <w:pPr>
                        <w:rPr>
                          <w:b/>
                          <w:sz w:val="20"/>
                          <w:szCs w:val="20"/>
                        </w:rPr>
                      </w:pPr>
                    </w:p>
                    <w:p w:rsidR="00950FD7" w:rsidRPr="004B32DC" w:rsidRDefault="00950FD7" w:rsidP="00972885">
                      <w:pPr>
                        <w:rPr>
                          <w:b/>
                          <w:sz w:val="20"/>
                          <w:szCs w:val="20"/>
                        </w:rPr>
                      </w:pPr>
                    </w:p>
                    <w:p w:rsidR="00950FD7" w:rsidRPr="004B32DC" w:rsidRDefault="00950FD7" w:rsidP="00972885">
                      <w:pPr>
                        <w:rPr>
                          <w:b/>
                          <w:sz w:val="18"/>
                          <w:szCs w:val="18"/>
                          <w:u w:val="none"/>
                        </w:rPr>
                      </w:pPr>
                      <w:r>
                        <w:rPr>
                          <w:b/>
                          <w:sz w:val="18"/>
                          <w:szCs w:val="18"/>
                          <w:u w:val="none"/>
                        </w:rPr>
                        <w:t xml:space="preserve">     </w:t>
                      </w:r>
                      <w:r w:rsidRPr="004B32DC">
                        <w:rPr>
                          <w:b/>
                          <w:sz w:val="18"/>
                          <w:szCs w:val="18"/>
                          <w:u w:val="none"/>
                        </w:rPr>
                        <w:t xml:space="preserve"> </w:t>
                      </w:r>
                      <w:r w:rsidR="00C97BF7">
                        <w:rPr>
                          <w:b/>
                          <w:sz w:val="18"/>
                          <w:szCs w:val="18"/>
                          <w:u w:val="none"/>
                        </w:rPr>
                        <w:t>[ 16</w:t>
                      </w:r>
                      <w:r>
                        <w:rPr>
                          <w:b/>
                          <w:sz w:val="18"/>
                          <w:szCs w:val="18"/>
                          <w:u w:val="none"/>
                        </w:rPr>
                        <w:t xml:space="preserve"> </w:t>
                      </w:r>
                      <w:r w:rsidR="00C97BF7">
                        <w:rPr>
                          <w:b/>
                          <w:sz w:val="18"/>
                          <w:szCs w:val="18"/>
                          <w:u w:val="none"/>
                        </w:rPr>
                        <w:t xml:space="preserve">September </w:t>
                      </w:r>
                      <w:r>
                        <w:rPr>
                          <w:b/>
                          <w:sz w:val="18"/>
                          <w:szCs w:val="18"/>
                          <w:u w:val="none"/>
                        </w:rPr>
                        <w:t>2022</w:t>
                      </w:r>
                      <w:r w:rsidRPr="004B32DC">
                        <w:rPr>
                          <w:b/>
                          <w:sz w:val="18"/>
                          <w:szCs w:val="18"/>
                          <w:u w:val="none"/>
                        </w:rPr>
                        <w:t>]</w:t>
                      </w:r>
                      <w:r w:rsidRPr="004B32DC">
                        <w:rPr>
                          <w:b/>
                          <w:sz w:val="18"/>
                          <w:szCs w:val="18"/>
                          <w:u w:val="none"/>
                        </w:rPr>
                        <w:tab/>
                      </w:r>
                      <w:r>
                        <w:rPr>
                          <w:b/>
                          <w:sz w:val="18"/>
                          <w:szCs w:val="18"/>
                          <w:u w:val="none"/>
                        </w:rPr>
                        <w:tab/>
                      </w:r>
                      <w:r w:rsidRPr="004B32DC">
                        <w:rPr>
                          <w:b/>
                          <w:sz w:val="18"/>
                          <w:szCs w:val="18"/>
                          <w:u w:val="none"/>
                        </w:rPr>
                        <w:t>………………………...</w:t>
                      </w:r>
                    </w:p>
                    <w:p w:rsidR="00950FD7" w:rsidRPr="004B32DC" w:rsidRDefault="00950FD7" w:rsidP="00972885">
                      <w:pPr>
                        <w:rPr>
                          <w:sz w:val="18"/>
                          <w:szCs w:val="18"/>
                          <w:u w:val="none"/>
                        </w:rPr>
                      </w:pPr>
                      <w:r w:rsidRPr="004B32DC">
                        <w:rPr>
                          <w:sz w:val="18"/>
                          <w:szCs w:val="18"/>
                          <w:u w:val="none"/>
                        </w:rPr>
                        <w:tab/>
                      </w:r>
                      <w:r w:rsidRPr="004B32DC">
                        <w:rPr>
                          <w:sz w:val="18"/>
                          <w:szCs w:val="18"/>
                          <w:u w:val="none"/>
                        </w:rPr>
                        <w:tab/>
                      </w:r>
                      <w:r w:rsidRPr="004B32DC">
                        <w:rPr>
                          <w:sz w:val="18"/>
                          <w:szCs w:val="18"/>
                          <w:u w:val="none"/>
                        </w:rPr>
                        <w:tab/>
                        <w:t xml:space="preserve">       </w:t>
                      </w:r>
                      <w:r w:rsidRPr="004B32DC">
                        <w:rPr>
                          <w:sz w:val="18"/>
                          <w:szCs w:val="18"/>
                          <w:u w:val="none"/>
                        </w:rPr>
                        <w:tab/>
                        <w:t xml:space="preserve">        SIGNATURE</w:t>
                      </w:r>
                    </w:p>
                  </w:txbxContent>
                </v:textbox>
              </v:shape>
            </w:pict>
          </mc:Fallback>
        </mc:AlternateContent>
      </w:r>
    </w:p>
    <w:p w14:paraId="5F7F1149" w14:textId="77777777" w:rsidR="00972885" w:rsidRDefault="00972885" w:rsidP="00972885">
      <w:pPr>
        <w:jc w:val="both"/>
      </w:pPr>
    </w:p>
    <w:p w14:paraId="28C718EE" w14:textId="77777777" w:rsidR="00972885" w:rsidRDefault="00972885" w:rsidP="00972885">
      <w:pPr>
        <w:jc w:val="both"/>
      </w:pPr>
    </w:p>
    <w:p w14:paraId="79141C27" w14:textId="77777777" w:rsidR="00972885" w:rsidRPr="009B39F0" w:rsidRDefault="00972885" w:rsidP="00972885">
      <w:pPr>
        <w:jc w:val="both"/>
      </w:pPr>
    </w:p>
    <w:p w14:paraId="1388FF21" w14:textId="77777777" w:rsidR="00972885" w:rsidRPr="009B39F0" w:rsidRDefault="00972885" w:rsidP="00972885">
      <w:pPr>
        <w:jc w:val="both"/>
      </w:pPr>
    </w:p>
    <w:p w14:paraId="09B04B51" w14:textId="77777777" w:rsidR="00972885" w:rsidRPr="009B39F0" w:rsidRDefault="00972885" w:rsidP="00972885">
      <w:pPr>
        <w:jc w:val="both"/>
      </w:pPr>
    </w:p>
    <w:p w14:paraId="4B4609FD" w14:textId="77777777" w:rsidR="00972885" w:rsidRPr="009B39F0" w:rsidRDefault="00972885" w:rsidP="00972885">
      <w:pPr>
        <w:jc w:val="both"/>
      </w:pPr>
    </w:p>
    <w:p w14:paraId="58FA0527" w14:textId="77777777" w:rsidR="00972885" w:rsidRPr="009B39F0" w:rsidRDefault="00972885" w:rsidP="00972885">
      <w:pPr>
        <w:jc w:val="both"/>
      </w:pPr>
    </w:p>
    <w:p w14:paraId="0AA485A2" w14:textId="77777777" w:rsidR="00972885" w:rsidRDefault="00972885" w:rsidP="00972885">
      <w:pPr>
        <w:rPr>
          <w:u w:val="none"/>
        </w:rPr>
      </w:pPr>
    </w:p>
    <w:p w14:paraId="64A750DF" w14:textId="77777777" w:rsidR="00972885" w:rsidRDefault="00972885" w:rsidP="00972885">
      <w:pPr>
        <w:rPr>
          <w:u w:val="none"/>
        </w:rPr>
      </w:pPr>
      <w:r>
        <w:rPr>
          <w:u w:val="none"/>
        </w:rPr>
        <w:t>In the matter between:</w:t>
      </w:r>
    </w:p>
    <w:p w14:paraId="01D65D9F" w14:textId="77777777" w:rsidR="00972885" w:rsidRDefault="00972885" w:rsidP="00972885">
      <w:pPr>
        <w:rPr>
          <w:i/>
          <w:u w:val="none"/>
        </w:rPr>
      </w:pPr>
    </w:p>
    <w:tbl>
      <w:tblPr>
        <w:tblW w:w="8535" w:type="dxa"/>
        <w:tblLayout w:type="fixed"/>
        <w:tblLook w:val="04A0" w:firstRow="1" w:lastRow="0" w:firstColumn="1" w:lastColumn="0" w:noHBand="0" w:noVBand="1"/>
      </w:tblPr>
      <w:tblGrid>
        <w:gridCol w:w="5753"/>
        <w:gridCol w:w="2782"/>
      </w:tblGrid>
      <w:tr w:rsidR="00A92197" w:rsidRPr="00A92197" w14:paraId="52722B63" w14:textId="77777777" w:rsidTr="002001AE">
        <w:tc>
          <w:tcPr>
            <w:tcW w:w="5748" w:type="dxa"/>
            <w:hideMark/>
          </w:tcPr>
          <w:p w14:paraId="17D251BD" w14:textId="77777777" w:rsidR="00A92197" w:rsidRPr="00A92197" w:rsidRDefault="00A92197" w:rsidP="002001AE">
            <w:pPr>
              <w:widowControl w:val="0"/>
              <w:spacing w:line="276" w:lineRule="auto"/>
              <w:ind w:left="-105"/>
              <w:jc w:val="both"/>
              <w:rPr>
                <w:b/>
                <w:u w:val="none"/>
                <w:shd w:val="clear" w:color="auto" w:fill="FFFFFF"/>
              </w:rPr>
            </w:pPr>
            <w:r w:rsidRPr="00A92197">
              <w:rPr>
                <w:b/>
                <w:u w:val="none"/>
                <w:shd w:val="clear" w:color="auto" w:fill="FFFFFF"/>
              </w:rPr>
              <w:t>THE LAND AND AGRICULTURAL</w:t>
            </w:r>
          </w:p>
          <w:p w14:paraId="7A96833F" w14:textId="77777777" w:rsidR="00A92197" w:rsidRPr="00A92197" w:rsidRDefault="00A92197" w:rsidP="002001AE">
            <w:pPr>
              <w:widowControl w:val="0"/>
              <w:spacing w:line="276" w:lineRule="auto"/>
              <w:ind w:left="-105"/>
              <w:jc w:val="both"/>
              <w:rPr>
                <w:b/>
                <w:u w:val="none"/>
              </w:rPr>
            </w:pPr>
            <w:r w:rsidRPr="00A92197">
              <w:rPr>
                <w:b/>
                <w:u w:val="none"/>
                <w:shd w:val="clear" w:color="auto" w:fill="FFFFFF"/>
              </w:rPr>
              <w:t>DEVELOPMENT BANK OF SOUTH AFRICA</w:t>
            </w:r>
          </w:p>
        </w:tc>
        <w:tc>
          <w:tcPr>
            <w:tcW w:w="2780" w:type="dxa"/>
            <w:hideMark/>
          </w:tcPr>
          <w:p w14:paraId="7B35F295" w14:textId="77777777" w:rsidR="00A92197" w:rsidRPr="00A92197" w:rsidRDefault="00A92197" w:rsidP="002001AE">
            <w:pPr>
              <w:widowControl w:val="0"/>
              <w:spacing w:line="276" w:lineRule="auto"/>
              <w:jc w:val="right"/>
              <w:rPr>
                <w:u w:val="none"/>
              </w:rPr>
            </w:pPr>
            <w:r w:rsidRPr="00A92197">
              <w:rPr>
                <w:u w:val="none"/>
              </w:rPr>
              <w:t>Applicant</w:t>
            </w:r>
          </w:p>
          <w:p w14:paraId="5FA83124" w14:textId="77777777" w:rsidR="00A92197" w:rsidRPr="00A92197" w:rsidRDefault="00A92197" w:rsidP="002001AE">
            <w:pPr>
              <w:widowControl w:val="0"/>
              <w:spacing w:line="276" w:lineRule="auto"/>
              <w:jc w:val="right"/>
              <w:rPr>
                <w:u w:val="none"/>
              </w:rPr>
            </w:pPr>
          </w:p>
        </w:tc>
      </w:tr>
    </w:tbl>
    <w:p w14:paraId="00F751BB" w14:textId="77777777" w:rsidR="00A92197" w:rsidRPr="00A92197" w:rsidRDefault="00A92197" w:rsidP="00A92197">
      <w:pPr>
        <w:widowControl w:val="0"/>
        <w:spacing w:line="276" w:lineRule="auto"/>
        <w:jc w:val="both"/>
        <w:rPr>
          <w:u w:val="none"/>
        </w:rPr>
      </w:pPr>
    </w:p>
    <w:p w14:paraId="2B072177" w14:textId="77777777" w:rsidR="00A92197" w:rsidRPr="00A92197" w:rsidRDefault="00A92197" w:rsidP="00A92197">
      <w:pPr>
        <w:widowControl w:val="0"/>
        <w:spacing w:line="276" w:lineRule="auto"/>
        <w:jc w:val="both"/>
        <w:rPr>
          <w:u w:val="none"/>
        </w:rPr>
      </w:pPr>
      <w:r w:rsidRPr="00A92197">
        <w:rPr>
          <w:u w:val="none"/>
        </w:rPr>
        <w:t>and</w:t>
      </w:r>
    </w:p>
    <w:p w14:paraId="4B9BA45A" w14:textId="77777777" w:rsidR="00A92197" w:rsidRPr="00A92197" w:rsidRDefault="00A92197" w:rsidP="00A92197">
      <w:pPr>
        <w:widowControl w:val="0"/>
        <w:spacing w:line="276" w:lineRule="auto"/>
        <w:jc w:val="both"/>
        <w:rPr>
          <w:u w:val="none"/>
        </w:rPr>
      </w:pPr>
    </w:p>
    <w:p w14:paraId="2CFCF909" w14:textId="77777777" w:rsidR="00A92197" w:rsidRPr="00A92197" w:rsidRDefault="00A92197" w:rsidP="00A92197">
      <w:pPr>
        <w:widowControl w:val="0"/>
        <w:spacing w:line="276" w:lineRule="auto"/>
        <w:jc w:val="both"/>
        <w:rPr>
          <w:u w:val="none"/>
        </w:rPr>
      </w:pPr>
    </w:p>
    <w:tbl>
      <w:tblPr>
        <w:tblW w:w="8535" w:type="dxa"/>
        <w:tblLayout w:type="fixed"/>
        <w:tblLook w:val="04A0" w:firstRow="1" w:lastRow="0" w:firstColumn="1" w:lastColumn="0" w:noHBand="0" w:noVBand="1"/>
      </w:tblPr>
      <w:tblGrid>
        <w:gridCol w:w="6113"/>
        <w:gridCol w:w="2422"/>
      </w:tblGrid>
      <w:tr w:rsidR="00A92197" w:rsidRPr="00A92197" w14:paraId="0D141DB7" w14:textId="77777777" w:rsidTr="002001AE">
        <w:tc>
          <w:tcPr>
            <w:tcW w:w="6113" w:type="dxa"/>
            <w:hideMark/>
          </w:tcPr>
          <w:p w14:paraId="7FEA9273" w14:textId="77777777" w:rsidR="00A92197" w:rsidRPr="00A92197" w:rsidRDefault="00A92197" w:rsidP="002001AE">
            <w:pPr>
              <w:spacing w:line="276" w:lineRule="auto"/>
              <w:ind w:left="-105"/>
              <w:rPr>
                <w:b/>
                <w:color w:val="000000" w:themeColor="text1"/>
                <w:u w:val="none"/>
                <w:shd w:val="clear" w:color="auto" w:fill="FFFFFF"/>
              </w:rPr>
            </w:pPr>
            <w:r w:rsidRPr="00A92197">
              <w:rPr>
                <w:b/>
                <w:color w:val="000000" w:themeColor="text1"/>
                <w:u w:val="none"/>
                <w:shd w:val="clear" w:color="auto" w:fill="FFFFFF"/>
              </w:rPr>
              <w:t>PHOSFERT TRADING (PTY) LTD</w:t>
            </w:r>
          </w:p>
          <w:p w14:paraId="65015138" w14:textId="77777777" w:rsidR="00A92197" w:rsidRPr="00A92197" w:rsidRDefault="00A92197" w:rsidP="002001AE">
            <w:pPr>
              <w:spacing w:line="276" w:lineRule="auto"/>
              <w:ind w:left="-105"/>
              <w:rPr>
                <w:color w:val="000000" w:themeColor="text1"/>
                <w:u w:val="none"/>
                <w:shd w:val="clear" w:color="auto" w:fill="FFFFFF"/>
              </w:rPr>
            </w:pPr>
            <w:r w:rsidRPr="00A92197">
              <w:rPr>
                <w:color w:val="000000" w:themeColor="text1"/>
                <w:u w:val="none"/>
                <w:shd w:val="clear" w:color="auto" w:fill="FFFFFF"/>
              </w:rPr>
              <w:t>(Registration number: 2014/133513/07)</w:t>
            </w:r>
          </w:p>
          <w:p w14:paraId="7E95AC87" w14:textId="77777777" w:rsidR="00A92197" w:rsidRPr="00A92197" w:rsidRDefault="00A92197" w:rsidP="002001AE">
            <w:pPr>
              <w:spacing w:line="276" w:lineRule="auto"/>
              <w:ind w:left="-105"/>
              <w:rPr>
                <w:color w:val="000000" w:themeColor="text1"/>
                <w:u w:val="none"/>
              </w:rPr>
            </w:pPr>
          </w:p>
        </w:tc>
        <w:tc>
          <w:tcPr>
            <w:tcW w:w="2422" w:type="dxa"/>
            <w:hideMark/>
          </w:tcPr>
          <w:p w14:paraId="4F08B96B" w14:textId="77777777" w:rsidR="00A92197" w:rsidRPr="00A92197" w:rsidRDefault="00A92197" w:rsidP="002001AE">
            <w:pPr>
              <w:widowControl w:val="0"/>
              <w:spacing w:line="276" w:lineRule="auto"/>
              <w:jc w:val="right"/>
              <w:rPr>
                <w:color w:val="000000" w:themeColor="text1"/>
                <w:u w:val="none"/>
              </w:rPr>
            </w:pPr>
            <w:r w:rsidRPr="00A92197">
              <w:rPr>
                <w:color w:val="000000" w:themeColor="text1"/>
                <w:u w:val="none"/>
              </w:rPr>
              <w:t>Respondent</w:t>
            </w:r>
          </w:p>
          <w:p w14:paraId="1CBE19D0" w14:textId="77777777" w:rsidR="00A92197" w:rsidRPr="00A92197" w:rsidRDefault="00A92197" w:rsidP="002001AE">
            <w:pPr>
              <w:widowControl w:val="0"/>
              <w:spacing w:line="276" w:lineRule="auto"/>
              <w:jc w:val="right"/>
              <w:rPr>
                <w:color w:val="000000" w:themeColor="text1"/>
                <w:u w:val="none"/>
              </w:rPr>
            </w:pPr>
          </w:p>
          <w:p w14:paraId="43F0EF2B" w14:textId="77777777" w:rsidR="00A92197" w:rsidRPr="00A92197" w:rsidRDefault="00A92197" w:rsidP="002001AE">
            <w:pPr>
              <w:widowControl w:val="0"/>
              <w:spacing w:line="276" w:lineRule="auto"/>
              <w:jc w:val="right"/>
              <w:rPr>
                <w:color w:val="000000" w:themeColor="text1"/>
                <w:u w:val="none"/>
              </w:rPr>
            </w:pPr>
          </w:p>
        </w:tc>
      </w:tr>
    </w:tbl>
    <w:p w14:paraId="57C4A7D5" w14:textId="77777777" w:rsidR="00972885" w:rsidRPr="002C075C" w:rsidRDefault="00972885" w:rsidP="00972885">
      <w:pPr>
        <w:rPr>
          <w:u w:val="none"/>
        </w:rPr>
      </w:pPr>
      <w:r>
        <w:rPr>
          <w:u w:val="none"/>
          <w:lang w:val="en-ZA"/>
        </w:rPr>
        <w:t xml:space="preserve">___________________________________________________________________ </w:t>
      </w:r>
    </w:p>
    <w:p w14:paraId="2E67729E" w14:textId="77777777" w:rsidR="00972885" w:rsidRDefault="00972885" w:rsidP="00972885">
      <w:pPr>
        <w:tabs>
          <w:tab w:val="right" w:pos="8280"/>
        </w:tabs>
        <w:jc w:val="both"/>
        <w:rPr>
          <w:u w:val="none"/>
          <w:lang w:val="en-ZA"/>
        </w:rPr>
      </w:pPr>
    </w:p>
    <w:p w14:paraId="51A4E1E0" w14:textId="0CA7218F" w:rsidR="00972885" w:rsidRPr="00562DB9" w:rsidRDefault="00E46C4B" w:rsidP="00972885">
      <w:pPr>
        <w:tabs>
          <w:tab w:val="right" w:pos="8280"/>
        </w:tabs>
        <w:jc w:val="center"/>
        <w:rPr>
          <w:b/>
          <w:u w:val="none"/>
          <w:lang w:val="en-ZA"/>
        </w:rPr>
      </w:pPr>
      <w:r>
        <w:rPr>
          <w:b/>
          <w:u w:val="none"/>
          <w:lang w:val="en-ZA"/>
        </w:rPr>
        <w:t>J</w:t>
      </w:r>
      <w:r w:rsidR="00972885">
        <w:rPr>
          <w:b/>
          <w:u w:val="none"/>
          <w:lang w:val="en-ZA"/>
        </w:rPr>
        <w:t xml:space="preserve"> U D G M E N T</w:t>
      </w:r>
    </w:p>
    <w:p w14:paraId="3D7A3D58" w14:textId="77777777" w:rsidR="00972885" w:rsidRDefault="00972885" w:rsidP="00972885">
      <w:pPr>
        <w:tabs>
          <w:tab w:val="right" w:pos="8280"/>
        </w:tabs>
        <w:rPr>
          <w:u w:val="none"/>
          <w:lang w:val="en-ZA"/>
        </w:rPr>
      </w:pPr>
      <w:r>
        <w:rPr>
          <w:u w:val="none"/>
          <w:lang w:val="en-ZA"/>
        </w:rPr>
        <w:t xml:space="preserve">___________________________________________________________________ </w:t>
      </w:r>
    </w:p>
    <w:p w14:paraId="1590332F" w14:textId="77777777" w:rsidR="00972885" w:rsidRDefault="00972885" w:rsidP="00972885"/>
    <w:p w14:paraId="58086039" w14:textId="77777777" w:rsidR="00972885" w:rsidRDefault="00972885" w:rsidP="00972885">
      <w:pPr>
        <w:rPr>
          <w:b/>
          <w:u w:val="none"/>
        </w:rPr>
      </w:pPr>
      <w:r>
        <w:rPr>
          <w:b/>
          <w:u w:val="none"/>
        </w:rPr>
        <w:t>MUDAU,</w:t>
      </w:r>
      <w:r w:rsidRPr="00FC415D">
        <w:rPr>
          <w:b/>
          <w:u w:val="none"/>
        </w:rPr>
        <w:t xml:space="preserve"> J</w:t>
      </w:r>
      <w:r>
        <w:rPr>
          <w:b/>
          <w:u w:val="none"/>
        </w:rPr>
        <w:t>:</w:t>
      </w:r>
    </w:p>
    <w:p w14:paraId="546055DB" w14:textId="77777777" w:rsidR="00972885" w:rsidRDefault="00972885" w:rsidP="00972885">
      <w:pPr>
        <w:rPr>
          <w:u w:val="none"/>
        </w:rPr>
      </w:pPr>
    </w:p>
    <w:p w14:paraId="0ECA82A9" w14:textId="549E4395" w:rsidR="003C38C6" w:rsidRDefault="00A92197" w:rsidP="003C38C6">
      <w:pPr>
        <w:pStyle w:val="ListParagraph"/>
        <w:numPr>
          <w:ilvl w:val="0"/>
          <w:numId w:val="2"/>
        </w:numPr>
        <w:spacing w:line="480" w:lineRule="auto"/>
        <w:jc w:val="both"/>
        <w:rPr>
          <w:u w:val="none"/>
        </w:rPr>
      </w:pPr>
      <w:r w:rsidRPr="00032096">
        <w:rPr>
          <w:u w:val="none"/>
        </w:rPr>
        <w:t>This is an application brought for an order that the respondent be provisionally, alternatively</w:t>
      </w:r>
      <w:r w:rsidR="003C38C6">
        <w:rPr>
          <w:u w:val="none"/>
        </w:rPr>
        <w:t>,</w:t>
      </w:r>
      <w:r w:rsidRPr="00032096">
        <w:rPr>
          <w:u w:val="none"/>
        </w:rPr>
        <w:t xml:space="preserve"> finally wound up in terms of section 344(h) of the Companies Act 61 of 1973, and that its affairs be placed in the hands of the Master based on a </w:t>
      </w:r>
      <w:r w:rsidRPr="00032096">
        <w:rPr>
          <w:u w:val="none"/>
        </w:rPr>
        <w:lastRenderedPageBreak/>
        <w:t>suretyship agreement. The applicant alleges that that the respondent is unable to pay its debts, alternatively</w:t>
      </w:r>
      <w:r w:rsidR="003C38C6">
        <w:rPr>
          <w:u w:val="none"/>
        </w:rPr>
        <w:t>,</w:t>
      </w:r>
      <w:r w:rsidRPr="00032096">
        <w:rPr>
          <w:u w:val="none"/>
        </w:rPr>
        <w:t xml:space="preserve"> that it would be just and equitable to do so, alternatively</w:t>
      </w:r>
      <w:r w:rsidR="003C38C6">
        <w:rPr>
          <w:u w:val="none"/>
        </w:rPr>
        <w:t>,</w:t>
      </w:r>
      <w:r w:rsidRPr="00032096">
        <w:rPr>
          <w:u w:val="none"/>
        </w:rPr>
        <w:t xml:space="preserve"> that the respondent is not meeting the solvency and liquidity test as set forth in Section 4 of the Companies Act</w:t>
      </w:r>
      <w:r w:rsidR="003C38C6">
        <w:rPr>
          <w:u w:val="none"/>
        </w:rPr>
        <w:t xml:space="preserve"> </w:t>
      </w:r>
      <w:r w:rsidRPr="00032096">
        <w:rPr>
          <w:u w:val="none"/>
        </w:rPr>
        <w:t>71 of 2008 (“the Act”).  The applicant also alleges that several irregularities need to be investigated and transactions need to be set aside as dispositions in terms of the Insolvency Act.</w:t>
      </w:r>
    </w:p>
    <w:p w14:paraId="0A03478B" w14:textId="77777777" w:rsidR="003C38C6" w:rsidRPr="003A3869" w:rsidRDefault="003C38C6" w:rsidP="003A3869">
      <w:pPr>
        <w:pStyle w:val="ListParagraph"/>
        <w:spacing w:line="480" w:lineRule="auto"/>
        <w:ind w:left="690"/>
        <w:jc w:val="both"/>
        <w:rPr>
          <w:u w:val="none"/>
        </w:rPr>
      </w:pPr>
    </w:p>
    <w:p w14:paraId="3ADC512D" w14:textId="77777777" w:rsidR="00A92197" w:rsidRPr="003A3869" w:rsidRDefault="00A92197" w:rsidP="00032096">
      <w:pPr>
        <w:pStyle w:val="ListParagraph"/>
        <w:spacing w:line="480" w:lineRule="auto"/>
        <w:ind w:left="690"/>
        <w:jc w:val="both"/>
        <w:rPr>
          <w:b/>
          <w:u w:val="none"/>
        </w:rPr>
      </w:pPr>
      <w:r w:rsidRPr="003A3869">
        <w:rPr>
          <w:b/>
          <w:u w:val="none"/>
        </w:rPr>
        <w:t>Background facts</w:t>
      </w:r>
    </w:p>
    <w:p w14:paraId="3122EF3C" w14:textId="56938D5C" w:rsidR="00A92197" w:rsidRDefault="00A92197" w:rsidP="00A92197">
      <w:pPr>
        <w:pStyle w:val="ListParagraph"/>
        <w:numPr>
          <w:ilvl w:val="0"/>
          <w:numId w:val="2"/>
        </w:numPr>
        <w:spacing w:line="480" w:lineRule="auto"/>
        <w:jc w:val="both"/>
        <w:rPr>
          <w:u w:val="none"/>
        </w:rPr>
      </w:pPr>
      <w:r w:rsidRPr="00032096">
        <w:rPr>
          <w:u w:val="none"/>
        </w:rPr>
        <w:t xml:space="preserve">The </w:t>
      </w:r>
      <w:r w:rsidR="003C38C6">
        <w:rPr>
          <w:u w:val="none"/>
        </w:rPr>
        <w:t>A</w:t>
      </w:r>
      <w:r w:rsidRPr="00032096">
        <w:rPr>
          <w:u w:val="none"/>
        </w:rPr>
        <w:t xml:space="preserve">pplicant Is the Land and Agricultural Development Bank of South Africa, a juristic entity established in terms of the Land and Agricultural Development Bank Act 15 of 2002. The Respondent is </w:t>
      </w:r>
      <w:proofErr w:type="spellStart"/>
      <w:r w:rsidRPr="00032096">
        <w:rPr>
          <w:u w:val="none"/>
        </w:rPr>
        <w:t>Phosfert</w:t>
      </w:r>
      <w:proofErr w:type="spellEnd"/>
      <w:r w:rsidRPr="00032096">
        <w:rPr>
          <w:u w:val="none"/>
        </w:rPr>
        <w:t xml:space="preserve"> Trading (Pty) Ltd, a company with limited liability and duly registered in accordance with the laws of the Republic of South Africa.</w:t>
      </w:r>
    </w:p>
    <w:p w14:paraId="24409A01" w14:textId="77777777" w:rsidR="003C38C6" w:rsidRPr="00032096" w:rsidRDefault="003C38C6" w:rsidP="003A3869">
      <w:pPr>
        <w:pStyle w:val="ListParagraph"/>
        <w:spacing w:line="480" w:lineRule="auto"/>
        <w:ind w:left="690"/>
        <w:jc w:val="both"/>
        <w:rPr>
          <w:u w:val="none"/>
        </w:rPr>
      </w:pPr>
    </w:p>
    <w:p w14:paraId="68220A20" w14:textId="7EE725CD" w:rsidR="003C38C6" w:rsidRPr="003A3869" w:rsidRDefault="00A92197">
      <w:pPr>
        <w:pStyle w:val="ListParagraph"/>
        <w:numPr>
          <w:ilvl w:val="0"/>
          <w:numId w:val="2"/>
        </w:numPr>
        <w:spacing w:line="480" w:lineRule="auto"/>
        <w:jc w:val="both"/>
      </w:pPr>
      <w:r w:rsidRPr="00032096">
        <w:rPr>
          <w:u w:val="none"/>
        </w:rPr>
        <w:t xml:space="preserve">On 29 June 2012, the applicant and </w:t>
      </w:r>
      <w:proofErr w:type="spellStart"/>
      <w:r w:rsidRPr="00032096">
        <w:rPr>
          <w:u w:val="none"/>
        </w:rPr>
        <w:t>Grocapital</w:t>
      </w:r>
      <w:proofErr w:type="spellEnd"/>
      <w:r w:rsidRPr="00032096">
        <w:rPr>
          <w:u w:val="none"/>
        </w:rPr>
        <w:t xml:space="preserve"> Financial Services (“</w:t>
      </w:r>
      <w:proofErr w:type="spellStart"/>
      <w:r w:rsidRPr="00032096">
        <w:rPr>
          <w:u w:val="none"/>
        </w:rPr>
        <w:t>GroCap</w:t>
      </w:r>
      <w:proofErr w:type="spellEnd"/>
      <w:r w:rsidR="00C97BF7">
        <w:rPr>
          <w:u w:val="none"/>
        </w:rPr>
        <w:t>”</w:t>
      </w:r>
      <w:r w:rsidRPr="00032096">
        <w:rPr>
          <w:u w:val="none"/>
        </w:rPr>
        <w:t xml:space="preserve">) entered into a Sale Agreement and Service Level Agreement (“SLA”) whereby </w:t>
      </w:r>
      <w:proofErr w:type="spellStart"/>
      <w:r w:rsidRPr="00032096">
        <w:rPr>
          <w:u w:val="none"/>
        </w:rPr>
        <w:t>Grocap</w:t>
      </w:r>
      <w:proofErr w:type="spellEnd"/>
      <w:r w:rsidRPr="00032096">
        <w:rPr>
          <w:u w:val="none"/>
        </w:rPr>
        <w:t xml:space="preserve"> sold, ceded and delegated the rights, title and interest in and to its existing corporate debtors’ book to the applicant. The SLA makes provision</w:t>
      </w:r>
      <w:r w:rsidR="00F52A7E">
        <w:rPr>
          <w:u w:val="none"/>
        </w:rPr>
        <w:t>,</w:t>
      </w:r>
      <w:r w:rsidRPr="00032096">
        <w:rPr>
          <w:u w:val="none"/>
        </w:rPr>
        <w:t xml:space="preserve"> </w:t>
      </w:r>
      <w:r w:rsidRPr="003A3869">
        <w:rPr>
          <w:i/>
          <w:u w:val="none"/>
        </w:rPr>
        <w:t>inter alia</w:t>
      </w:r>
      <w:r w:rsidR="00F52A7E">
        <w:rPr>
          <w:i/>
          <w:u w:val="none"/>
        </w:rPr>
        <w:t>,</w:t>
      </w:r>
      <w:r w:rsidRPr="00032096">
        <w:rPr>
          <w:u w:val="none"/>
        </w:rPr>
        <w:t xml:space="preserve"> that “</w:t>
      </w:r>
      <w:r w:rsidRPr="003A3869">
        <w:rPr>
          <w:i/>
          <w:u w:val="none"/>
        </w:rPr>
        <w:t xml:space="preserve">all rights to sue on </w:t>
      </w:r>
      <w:proofErr w:type="spellStart"/>
      <w:r w:rsidRPr="003A3869">
        <w:rPr>
          <w:i/>
          <w:u w:val="none"/>
        </w:rPr>
        <w:t>alI</w:t>
      </w:r>
      <w:proofErr w:type="spellEnd"/>
      <w:r w:rsidRPr="003A3869">
        <w:rPr>
          <w:i/>
          <w:u w:val="none"/>
        </w:rPr>
        <w:t xml:space="preserve"> undertakings and obligations in favour of </w:t>
      </w:r>
      <w:proofErr w:type="spellStart"/>
      <w:r w:rsidRPr="003A3869">
        <w:rPr>
          <w:i/>
          <w:u w:val="none"/>
        </w:rPr>
        <w:t>GroCap</w:t>
      </w:r>
      <w:proofErr w:type="spellEnd"/>
      <w:r w:rsidRPr="003A3869">
        <w:rPr>
          <w:i/>
          <w:u w:val="none"/>
        </w:rPr>
        <w:t>, in relation to the Sale Boo</w:t>
      </w:r>
      <w:r w:rsidR="00FC733D" w:rsidRPr="003A3869">
        <w:rPr>
          <w:i/>
          <w:u w:val="none"/>
        </w:rPr>
        <w:t>k</w:t>
      </w:r>
      <w:r w:rsidRPr="003A3869">
        <w:rPr>
          <w:i/>
          <w:u w:val="none"/>
        </w:rPr>
        <w:t xml:space="preserve"> Deb</w:t>
      </w:r>
      <w:r w:rsidR="00FC733D" w:rsidRPr="003A3869">
        <w:rPr>
          <w:i/>
          <w:u w:val="none"/>
        </w:rPr>
        <w:t>t(</w:t>
      </w:r>
      <w:r w:rsidRPr="003A3869">
        <w:rPr>
          <w:i/>
          <w:u w:val="none"/>
        </w:rPr>
        <w:t>s) and the right to exercise al</w:t>
      </w:r>
      <w:r w:rsidR="00FC733D" w:rsidRPr="003A3869">
        <w:rPr>
          <w:i/>
          <w:u w:val="none"/>
        </w:rPr>
        <w:t>l</w:t>
      </w:r>
      <w:r w:rsidRPr="003A3869">
        <w:rPr>
          <w:i/>
          <w:u w:val="none"/>
        </w:rPr>
        <w:t xml:space="preserve"> powers of </w:t>
      </w:r>
      <w:proofErr w:type="spellStart"/>
      <w:r w:rsidRPr="003A3869">
        <w:rPr>
          <w:i/>
          <w:u w:val="none"/>
        </w:rPr>
        <w:t>GroCap</w:t>
      </w:r>
      <w:proofErr w:type="spellEnd"/>
      <w:r w:rsidRPr="003A3869">
        <w:rPr>
          <w:i/>
          <w:u w:val="none"/>
        </w:rPr>
        <w:t xml:space="preserve"> in relation to the Sale Book Debt(s)</w:t>
      </w:r>
      <w:r w:rsidRPr="00032096">
        <w:rPr>
          <w:u w:val="none"/>
        </w:rPr>
        <w:t>”</w:t>
      </w:r>
      <w:r w:rsidR="00FC733D">
        <w:rPr>
          <w:u w:val="none"/>
        </w:rPr>
        <w:t>.</w:t>
      </w:r>
      <w:r w:rsidRPr="00032096">
        <w:rPr>
          <w:rStyle w:val="FootnoteReference"/>
          <w:u w:val="none"/>
        </w:rPr>
        <w:footnoteReference w:id="1"/>
      </w:r>
      <w:r w:rsidRPr="00032096">
        <w:rPr>
          <w:u w:val="none"/>
        </w:rPr>
        <w:t xml:space="preserve"> </w:t>
      </w:r>
    </w:p>
    <w:p w14:paraId="25E0B5C4" w14:textId="001E9A6C" w:rsidR="00F52A7E" w:rsidRPr="00032096" w:rsidRDefault="00F52A7E" w:rsidP="003A3869">
      <w:pPr>
        <w:spacing w:line="480" w:lineRule="auto"/>
        <w:jc w:val="both"/>
      </w:pPr>
    </w:p>
    <w:p w14:paraId="7CEB5BC4" w14:textId="0C3A4364" w:rsidR="00A92197" w:rsidRDefault="00A92197" w:rsidP="003A3869">
      <w:pPr>
        <w:pStyle w:val="ListParagraph"/>
        <w:numPr>
          <w:ilvl w:val="0"/>
          <w:numId w:val="2"/>
        </w:numPr>
        <w:spacing w:before="240" w:line="480" w:lineRule="auto"/>
        <w:jc w:val="both"/>
        <w:rPr>
          <w:u w:val="none"/>
        </w:rPr>
      </w:pPr>
      <w:r w:rsidRPr="00032096">
        <w:rPr>
          <w:u w:val="none"/>
        </w:rPr>
        <w:t>The SLA also makes provision that “</w:t>
      </w:r>
      <w:r w:rsidRPr="003A3869">
        <w:rPr>
          <w:i/>
          <w:u w:val="none"/>
        </w:rPr>
        <w:t>all other right</w:t>
      </w:r>
      <w:r w:rsidR="00FC733D" w:rsidRPr="003A3869">
        <w:rPr>
          <w:i/>
          <w:u w:val="none"/>
        </w:rPr>
        <w:t>s</w:t>
      </w:r>
      <w:r w:rsidRPr="003A3869">
        <w:rPr>
          <w:i/>
          <w:u w:val="none"/>
        </w:rPr>
        <w:t>, title, interest and obligations (both present and future) in relation to the Sale Book Debt(s)</w:t>
      </w:r>
      <w:r w:rsidRPr="00032096">
        <w:rPr>
          <w:u w:val="none"/>
        </w:rPr>
        <w:t xml:space="preserve">” vests with the </w:t>
      </w:r>
      <w:r w:rsidRPr="00032096">
        <w:rPr>
          <w:u w:val="none"/>
        </w:rPr>
        <w:lastRenderedPageBreak/>
        <w:t>applicant</w:t>
      </w:r>
      <w:r w:rsidR="00FC733D">
        <w:rPr>
          <w:u w:val="none"/>
        </w:rPr>
        <w:t>.</w:t>
      </w:r>
      <w:r w:rsidRPr="00032096">
        <w:rPr>
          <w:rStyle w:val="FootnoteReference"/>
          <w:u w:val="none"/>
        </w:rPr>
        <w:footnoteReference w:id="2"/>
      </w:r>
      <w:r w:rsidRPr="00032096">
        <w:rPr>
          <w:u w:val="none"/>
        </w:rPr>
        <w:t xml:space="preserve"> On 19 September 2016, </w:t>
      </w:r>
      <w:proofErr w:type="spellStart"/>
      <w:r w:rsidRPr="00032096">
        <w:rPr>
          <w:u w:val="none"/>
        </w:rPr>
        <w:t>Agri</w:t>
      </w:r>
      <w:proofErr w:type="spellEnd"/>
      <w:r w:rsidRPr="00032096">
        <w:rPr>
          <w:u w:val="none"/>
        </w:rPr>
        <w:t xml:space="preserve"> Trading Services (Pty) Ltd ("ATS") entered into a facility agreement with </w:t>
      </w:r>
      <w:proofErr w:type="spellStart"/>
      <w:r w:rsidRPr="00032096">
        <w:rPr>
          <w:u w:val="none"/>
        </w:rPr>
        <w:t>Grocap</w:t>
      </w:r>
      <w:proofErr w:type="spellEnd"/>
      <w:r w:rsidR="00FC733D">
        <w:rPr>
          <w:u w:val="none"/>
        </w:rPr>
        <w:t>,</w:t>
      </w:r>
      <w:r w:rsidRPr="00032096">
        <w:rPr>
          <w:u w:val="none"/>
        </w:rPr>
        <w:t xml:space="preserve"> followed by others on 8 August 2017 and 17 November 2018, respectively. On 20 November 2018, the respondent signed a cross deed of suretyship in favour of ATS and </w:t>
      </w:r>
      <w:proofErr w:type="spellStart"/>
      <w:r w:rsidR="00DB5E11" w:rsidRPr="00032096">
        <w:rPr>
          <w:u w:val="none"/>
        </w:rPr>
        <w:t>Agri</w:t>
      </w:r>
      <w:proofErr w:type="spellEnd"/>
      <w:r w:rsidR="00DB5E11" w:rsidRPr="00032096">
        <w:rPr>
          <w:u w:val="none"/>
        </w:rPr>
        <w:t xml:space="preserve"> Oil Mills (Pty) Ltd </w:t>
      </w:r>
      <w:r w:rsidR="00DB5E11">
        <w:rPr>
          <w:u w:val="none"/>
        </w:rPr>
        <w:t>(“</w:t>
      </w:r>
      <w:r w:rsidRPr="00032096">
        <w:rPr>
          <w:u w:val="none"/>
        </w:rPr>
        <w:t>AOM</w:t>
      </w:r>
      <w:r w:rsidR="00DB5E11">
        <w:rPr>
          <w:u w:val="none"/>
        </w:rPr>
        <w:t>”)</w:t>
      </w:r>
      <w:r w:rsidR="00FC733D">
        <w:rPr>
          <w:u w:val="none"/>
        </w:rPr>
        <w:t xml:space="preserve">. </w:t>
      </w:r>
      <w:r w:rsidRPr="00032096">
        <w:rPr>
          <w:u w:val="none"/>
        </w:rPr>
        <w:t xml:space="preserve">Consequently, the applicant contends that the respondent bound itself as surety and co-principal debtors to both ATS and AOM in favour of </w:t>
      </w:r>
      <w:proofErr w:type="spellStart"/>
      <w:r w:rsidRPr="00032096">
        <w:rPr>
          <w:u w:val="none"/>
        </w:rPr>
        <w:t>Grocap</w:t>
      </w:r>
      <w:proofErr w:type="spellEnd"/>
      <w:r w:rsidR="00FC733D">
        <w:rPr>
          <w:u w:val="none"/>
        </w:rPr>
        <w:t>,</w:t>
      </w:r>
      <w:r w:rsidRPr="00032096">
        <w:rPr>
          <w:u w:val="none"/>
        </w:rPr>
        <w:t xml:space="preserve"> the full indebtedness of both parties </w:t>
      </w:r>
      <w:r w:rsidR="00FC733D">
        <w:rPr>
          <w:u w:val="none"/>
        </w:rPr>
        <w:t>being</w:t>
      </w:r>
      <w:r w:rsidRPr="00032096">
        <w:rPr>
          <w:u w:val="none"/>
        </w:rPr>
        <w:t xml:space="preserve"> now due and payable. On the same day</w:t>
      </w:r>
      <w:r w:rsidR="00FC733D">
        <w:rPr>
          <w:u w:val="none"/>
        </w:rPr>
        <w:t>,</w:t>
      </w:r>
      <w:r w:rsidRPr="00032096">
        <w:rPr>
          <w:u w:val="none"/>
        </w:rPr>
        <w:t xml:space="preserve"> ATS ceded its debtors book in favour of </w:t>
      </w:r>
      <w:proofErr w:type="spellStart"/>
      <w:r w:rsidRPr="00032096">
        <w:rPr>
          <w:u w:val="none"/>
        </w:rPr>
        <w:t>Grocap</w:t>
      </w:r>
      <w:proofErr w:type="spellEnd"/>
      <w:r w:rsidRPr="00032096">
        <w:rPr>
          <w:u w:val="none"/>
        </w:rPr>
        <w:t xml:space="preserve"> as well as its insurance policies in favour of </w:t>
      </w:r>
      <w:proofErr w:type="spellStart"/>
      <w:r w:rsidRPr="00032096">
        <w:rPr>
          <w:u w:val="none"/>
        </w:rPr>
        <w:t>Grocap</w:t>
      </w:r>
      <w:proofErr w:type="spellEnd"/>
      <w:r w:rsidRPr="00032096">
        <w:rPr>
          <w:u w:val="none"/>
        </w:rPr>
        <w:t>.</w:t>
      </w:r>
    </w:p>
    <w:p w14:paraId="6C2C6EDA" w14:textId="77777777" w:rsidR="00FC733D" w:rsidRPr="003A3869" w:rsidRDefault="00FC733D" w:rsidP="003A3869">
      <w:pPr>
        <w:spacing w:line="480" w:lineRule="auto"/>
        <w:jc w:val="both"/>
        <w:rPr>
          <w:u w:val="none"/>
        </w:rPr>
      </w:pPr>
    </w:p>
    <w:p w14:paraId="7FA59CC0" w14:textId="2CDF275F" w:rsidR="00A92197" w:rsidRDefault="00A92197" w:rsidP="00A92197">
      <w:pPr>
        <w:pStyle w:val="ListParagraph"/>
        <w:numPr>
          <w:ilvl w:val="0"/>
          <w:numId w:val="2"/>
        </w:numPr>
        <w:spacing w:line="480" w:lineRule="auto"/>
        <w:jc w:val="both"/>
        <w:rPr>
          <w:u w:val="none"/>
        </w:rPr>
      </w:pPr>
      <w:r w:rsidRPr="00032096">
        <w:rPr>
          <w:u w:val="none"/>
        </w:rPr>
        <w:t xml:space="preserve">On 22 November 2018, AOM entered into a facility agreement with </w:t>
      </w:r>
      <w:proofErr w:type="spellStart"/>
      <w:r w:rsidRPr="00032096">
        <w:rPr>
          <w:u w:val="none"/>
        </w:rPr>
        <w:t>Grocap</w:t>
      </w:r>
      <w:proofErr w:type="spellEnd"/>
      <w:r w:rsidRPr="00032096">
        <w:rPr>
          <w:u w:val="none"/>
        </w:rPr>
        <w:t>. On 8 January 2019, an application for</w:t>
      </w:r>
      <w:r w:rsidR="002F1C8E">
        <w:rPr>
          <w:u w:val="none"/>
        </w:rPr>
        <w:t xml:space="preserve"> the</w:t>
      </w:r>
      <w:r w:rsidRPr="00032096">
        <w:rPr>
          <w:u w:val="none"/>
        </w:rPr>
        <w:t xml:space="preserve"> liquidation of ATS was issued out in this </w:t>
      </w:r>
      <w:r w:rsidR="00E22474">
        <w:rPr>
          <w:u w:val="none"/>
        </w:rPr>
        <w:t>c</w:t>
      </w:r>
      <w:r w:rsidRPr="00032096">
        <w:rPr>
          <w:u w:val="none"/>
        </w:rPr>
        <w:t xml:space="preserve">ourt. A final order of liquidation of ATS was granted by this </w:t>
      </w:r>
      <w:r w:rsidR="00E22474">
        <w:rPr>
          <w:u w:val="none"/>
        </w:rPr>
        <w:t>c</w:t>
      </w:r>
      <w:r w:rsidRPr="00032096">
        <w:rPr>
          <w:u w:val="none"/>
        </w:rPr>
        <w:t xml:space="preserve">ourt on 28 November 2019. Subsequently, on 13 May 2021, Koen J granted an order for the provisional liquidation of AOM. The applicant contends that ATS and AOM are debtors of the applicant to the combined sum of R 122,308,995.58 as </w:t>
      </w:r>
      <w:r w:rsidR="002F1C8E">
        <w:rPr>
          <w:u w:val="none"/>
        </w:rPr>
        <w:t>at</w:t>
      </w:r>
      <w:r w:rsidRPr="00032096">
        <w:rPr>
          <w:u w:val="none"/>
        </w:rPr>
        <w:t xml:space="preserve"> 11 February 2019, excluding further interest and costs for which the respondent </w:t>
      </w:r>
      <w:r w:rsidR="002F1C8E">
        <w:rPr>
          <w:u w:val="none"/>
        </w:rPr>
        <w:t xml:space="preserve">is </w:t>
      </w:r>
      <w:r w:rsidRPr="00032096">
        <w:rPr>
          <w:u w:val="none"/>
        </w:rPr>
        <w:t>indebted as surety in</w:t>
      </w:r>
      <w:r w:rsidRPr="00032096">
        <w:rPr>
          <w:i/>
          <w:u w:val="none"/>
        </w:rPr>
        <w:t xml:space="preserve"> </w:t>
      </w:r>
      <w:proofErr w:type="spellStart"/>
      <w:r w:rsidRPr="00032096">
        <w:rPr>
          <w:i/>
          <w:u w:val="none"/>
        </w:rPr>
        <w:t>solidum</w:t>
      </w:r>
      <w:proofErr w:type="spellEnd"/>
      <w:r w:rsidRPr="00032096">
        <w:rPr>
          <w:i/>
          <w:u w:val="none"/>
        </w:rPr>
        <w:t xml:space="preserve"> </w:t>
      </w:r>
      <w:r w:rsidRPr="00032096">
        <w:rPr>
          <w:u w:val="none"/>
        </w:rPr>
        <w:t>for and co-principal debtor</w:t>
      </w:r>
      <w:r w:rsidR="002F1C8E">
        <w:rPr>
          <w:u w:val="none"/>
        </w:rPr>
        <w:t>,</w:t>
      </w:r>
      <w:r w:rsidRPr="00032096">
        <w:rPr>
          <w:u w:val="none"/>
        </w:rPr>
        <w:t xml:space="preserve"> jointly and severally</w:t>
      </w:r>
      <w:r w:rsidR="002F1C8E">
        <w:rPr>
          <w:u w:val="none"/>
        </w:rPr>
        <w:t>,</w:t>
      </w:r>
      <w:r w:rsidRPr="00032096">
        <w:rPr>
          <w:u w:val="none"/>
        </w:rPr>
        <w:t xml:space="preserve"> with each of the </w:t>
      </w:r>
      <w:proofErr w:type="spellStart"/>
      <w:r w:rsidRPr="00032096">
        <w:rPr>
          <w:u w:val="none"/>
        </w:rPr>
        <w:t>Agri</w:t>
      </w:r>
      <w:proofErr w:type="spellEnd"/>
      <w:r w:rsidRPr="00032096">
        <w:rPr>
          <w:u w:val="none"/>
        </w:rPr>
        <w:t xml:space="preserve"> group of companies.</w:t>
      </w:r>
    </w:p>
    <w:p w14:paraId="0F7B5FD3" w14:textId="77777777" w:rsidR="002F1C8E" w:rsidRPr="003A3869" w:rsidRDefault="002F1C8E" w:rsidP="003A3869">
      <w:pPr>
        <w:spacing w:line="480" w:lineRule="auto"/>
        <w:jc w:val="both"/>
        <w:rPr>
          <w:u w:val="none"/>
        </w:rPr>
      </w:pPr>
    </w:p>
    <w:p w14:paraId="0B17CEB0" w14:textId="47A297EB" w:rsidR="00A92197" w:rsidRDefault="00A92197" w:rsidP="00A92197">
      <w:pPr>
        <w:pStyle w:val="ListParagraph"/>
        <w:numPr>
          <w:ilvl w:val="0"/>
          <w:numId w:val="2"/>
        </w:numPr>
        <w:spacing w:line="480" w:lineRule="auto"/>
        <w:jc w:val="both"/>
        <w:rPr>
          <w:u w:val="none"/>
        </w:rPr>
      </w:pPr>
      <w:r w:rsidRPr="00032096">
        <w:rPr>
          <w:u w:val="none"/>
        </w:rPr>
        <w:t>The surety agreement made provision</w:t>
      </w:r>
      <w:r w:rsidR="00E22474">
        <w:rPr>
          <w:u w:val="none"/>
        </w:rPr>
        <w:t>,</w:t>
      </w:r>
      <w:r w:rsidRPr="00032096">
        <w:rPr>
          <w:u w:val="none"/>
        </w:rPr>
        <w:t xml:space="preserve"> in relevant part that, a certificate signed by any manager of </w:t>
      </w:r>
      <w:proofErr w:type="spellStart"/>
      <w:r w:rsidRPr="00032096">
        <w:rPr>
          <w:u w:val="none"/>
        </w:rPr>
        <w:t>GroCap</w:t>
      </w:r>
      <w:proofErr w:type="spellEnd"/>
      <w:r w:rsidRPr="00032096">
        <w:rPr>
          <w:u w:val="none"/>
        </w:rPr>
        <w:t xml:space="preserve"> would be sufficient proof of any applicable rate of interest and of the amount owing in terms of the agreement or of any other fact relating to the suretyship for the purposes of judgment, including provisional </w:t>
      </w:r>
      <w:r w:rsidRPr="00032096">
        <w:rPr>
          <w:u w:val="none"/>
        </w:rPr>
        <w:lastRenderedPageBreak/>
        <w:t>sentence and summary judgment, proof of claims against insolvent and deceased estates or otherwise</w:t>
      </w:r>
      <w:r w:rsidR="00E60552">
        <w:rPr>
          <w:u w:val="none"/>
        </w:rPr>
        <w:t>,</w:t>
      </w:r>
      <w:r w:rsidRPr="00032096">
        <w:rPr>
          <w:u w:val="none"/>
        </w:rPr>
        <w:t xml:space="preserve"> and if the sureties disputed the correctness of such certificate, they would bear the onus of proving the contrary. It would not be necessary to prove in such proceedings the appointment or capacity of the person signing such certificate. </w:t>
      </w:r>
      <w:proofErr w:type="spellStart"/>
      <w:r w:rsidRPr="00032096">
        <w:rPr>
          <w:u w:val="none"/>
        </w:rPr>
        <w:t>GroCap</w:t>
      </w:r>
      <w:proofErr w:type="spellEnd"/>
      <w:r w:rsidR="00C97BF7">
        <w:rPr>
          <w:u w:val="none"/>
        </w:rPr>
        <w:t xml:space="preserve"> </w:t>
      </w:r>
      <w:r w:rsidRPr="00032096">
        <w:rPr>
          <w:u w:val="none"/>
        </w:rPr>
        <w:t xml:space="preserve">and the </w:t>
      </w:r>
      <w:r w:rsidR="00E60552">
        <w:rPr>
          <w:u w:val="none"/>
        </w:rPr>
        <w:t>a</w:t>
      </w:r>
      <w:r w:rsidRPr="00032096">
        <w:rPr>
          <w:u w:val="none"/>
        </w:rPr>
        <w:t>pplicant have called on ATS to make payment of the total outstanding amount on 15 February 2019. ATS and AOM, and therefore the respondent as surety</w:t>
      </w:r>
      <w:r w:rsidR="00E60552">
        <w:rPr>
          <w:u w:val="none"/>
        </w:rPr>
        <w:t>,</w:t>
      </w:r>
      <w:r w:rsidRPr="00032096">
        <w:rPr>
          <w:u w:val="none"/>
        </w:rPr>
        <w:t xml:space="preserve"> have failed to pay the amounts due to </w:t>
      </w:r>
      <w:r w:rsidR="00E60552">
        <w:rPr>
          <w:u w:val="none"/>
        </w:rPr>
        <w:t xml:space="preserve">the </w:t>
      </w:r>
      <w:r w:rsidRPr="00032096">
        <w:rPr>
          <w:u w:val="none"/>
        </w:rPr>
        <w:t>applicant despite demand. The applicant alleges that the respondent evidently does not meet the solvency and liquidity test as envisaged in the Act.</w:t>
      </w:r>
    </w:p>
    <w:p w14:paraId="2B60EFC9" w14:textId="77777777" w:rsidR="00E60552" w:rsidRPr="003A3869" w:rsidRDefault="00E60552" w:rsidP="003A3869">
      <w:pPr>
        <w:spacing w:line="480" w:lineRule="auto"/>
        <w:jc w:val="both"/>
        <w:rPr>
          <w:u w:val="none"/>
        </w:rPr>
      </w:pPr>
    </w:p>
    <w:p w14:paraId="40DBAE30" w14:textId="77777777" w:rsidR="00A92197" w:rsidRDefault="00A92197" w:rsidP="00A92197">
      <w:pPr>
        <w:pStyle w:val="ListParagraph"/>
        <w:numPr>
          <w:ilvl w:val="0"/>
          <w:numId w:val="2"/>
        </w:numPr>
        <w:spacing w:line="480" w:lineRule="auto"/>
        <w:jc w:val="both"/>
        <w:rPr>
          <w:u w:val="none"/>
        </w:rPr>
      </w:pPr>
      <w:r w:rsidRPr="00032096">
        <w:rPr>
          <w:u w:val="none"/>
        </w:rPr>
        <w:t xml:space="preserve">The respondent opposes the relief </w:t>
      </w:r>
      <w:r w:rsidR="00E60552">
        <w:rPr>
          <w:u w:val="none"/>
        </w:rPr>
        <w:t xml:space="preserve">sought </w:t>
      </w:r>
      <w:r w:rsidRPr="00032096">
        <w:rPr>
          <w:u w:val="none"/>
        </w:rPr>
        <w:t xml:space="preserve">against it on a number of grounds. Properly distilled, it asserts that it is a solvent investment holding company. The respondent disputes the alleged indebtedness to the applicant. It </w:t>
      </w:r>
      <w:r w:rsidR="00E60552">
        <w:rPr>
          <w:u w:val="none"/>
        </w:rPr>
        <w:t xml:space="preserve">also </w:t>
      </w:r>
      <w:r w:rsidRPr="00032096">
        <w:rPr>
          <w:u w:val="none"/>
        </w:rPr>
        <w:t xml:space="preserve">disputes that it undertook suretyship obligations towards </w:t>
      </w:r>
      <w:proofErr w:type="spellStart"/>
      <w:r w:rsidRPr="00032096">
        <w:rPr>
          <w:u w:val="none"/>
        </w:rPr>
        <w:t>GroCap</w:t>
      </w:r>
      <w:proofErr w:type="spellEnd"/>
      <w:r w:rsidRPr="00032096">
        <w:rPr>
          <w:u w:val="none"/>
        </w:rPr>
        <w:t>. The deponent to the answering affidavit</w:t>
      </w:r>
      <w:r w:rsidR="00E60552">
        <w:rPr>
          <w:u w:val="none"/>
        </w:rPr>
        <w:t>,</w:t>
      </w:r>
      <w:r w:rsidRPr="00032096">
        <w:rPr>
          <w:u w:val="none"/>
        </w:rPr>
        <w:t xml:space="preserve"> its director, </w:t>
      </w:r>
      <w:proofErr w:type="spellStart"/>
      <w:r w:rsidRPr="00032096">
        <w:rPr>
          <w:u w:val="none"/>
        </w:rPr>
        <w:t>Rohit</w:t>
      </w:r>
      <w:proofErr w:type="spellEnd"/>
      <w:r w:rsidRPr="00032096">
        <w:rPr>
          <w:u w:val="none"/>
        </w:rPr>
        <w:t>, alleges that she was induced by fraud to sign a page “</w:t>
      </w:r>
      <w:r w:rsidRPr="00032096">
        <w:rPr>
          <w:i/>
          <w:u w:val="none"/>
        </w:rPr>
        <w:t xml:space="preserve">as shareholder of ATS authorising and consenting to Hugo renewing ATS's financial facilities with the bank”. </w:t>
      </w:r>
      <w:r w:rsidRPr="003A3869">
        <w:rPr>
          <w:u w:val="none"/>
        </w:rPr>
        <w:t>She further states that</w:t>
      </w:r>
      <w:r w:rsidRPr="00032096">
        <w:rPr>
          <w:i/>
          <w:u w:val="none"/>
        </w:rPr>
        <w:t>, “when signing the identified document, I did not give any suretyship undertaking on behalf of the respondent nor was it my intention to do so</w:t>
      </w:r>
      <w:r w:rsidRPr="00032096">
        <w:rPr>
          <w:u w:val="none"/>
        </w:rPr>
        <w:t>”.</w:t>
      </w:r>
    </w:p>
    <w:p w14:paraId="46B63BCF" w14:textId="76A2130B" w:rsidR="00E60552" w:rsidRDefault="00E60552" w:rsidP="003A3869">
      <w:pPr>
        <w:spacing w:line="480" w:lineRule="auto"/>
        <w:ind w:left="690"/>
        <w:jc w:val="both"/>
        <w:rPr>
          <w:u w:val="none"/>
        </w:rPr>
      </w:pPr>
    </w:p>
    <w:p w14:paraId="42C17AEB" w14:textId="369AD884" w:rsidR="00D52887" w:rsidRPr="003A3869" w:rsidRDefault="00D52887" w:rsidP="003A3869">
      <w:pPr>
        <w:spacing w:line="480" w:lineRule="auto"/>
        <w:ind w:left="690"/>
        <w:jc w:val="both"/>
        <w:rPr>
          <w:b/>
          <w:u w:val="none"/>
        </w:rPr>
      </w:pPr>
      <w:r w:rsidRPr="003A3869">
        <w:rPr>
          <w:b/>
          <w:u w:val="none"/>
        </w:rPr>
        <w:t>The respondent’s case</w:t>
      </w:r>
    </w:p>
    <w:p w14:paraId="58213BE8" w14:textId="558EBC6F" w:rsidR="00A92197" w:rsidRDefault="00A92197" w:rsidP="00A92197">
      <w:pPr>
        <w:pStyle w:val="ListParagraph"/>
        <w:numPr>
          <w:ilvl w:val="0"/>
          <w:numId w:val="2"/>
        </w:numPr>
        <w:spacing w:line="480" w:lineRule="auto"/>
        <w:jc w:val="both"/>
        <w:rPr>
          <w:u w:val="none"/>
        </w:rPr>
      </w:pPr>
      <w:r w:rsidRPr="00032096">
        <w:rPr>
          <w:u w:val="none"/>
        </w:rPr>
        <w:t>The respondent contends that the applicant did not make out a</w:t>
      </w:r>
      <w:r w:rsidR="00E60552">
        <w:rPr>
          <w:u w:val="none"/>
        </w:rPr>
        <w:t xml:space="preserve"> proper case</w:t>
      </w:r>
      <w:r w:rsidRPr="00032096">
        <w:rPr>
          <w:u w:val="none"/>
        </w:rPr>
        <w:t xml:space="preserve"> for a just and equitable winding-up of the respondent. The respondent contends that the applicant has not proven the underlying principal debts (one in relation to ATS and the other in relation to AGM) to which the suretyship is alleged to </w:t>
      </w:r>
      <w:r w:rsidRPr="00032096">
        <w:rPr>
          <w:u w:val="none"/>
        </w:rPr>
        <w:lastRenderedPageBreak/>
        <w:t>relate because the faci</w:t>
      </w:r>
      <w:r w:rsidR="00C97BF7">
        <w:rPr>
          <w:u w:val="none"/>
        </w:rPr>
        <w:t>lity agreements upon which the a</w:t>
      </w:r>
      <w:r w:rsidRPr="00032096">
        <w:rPr>
          <w:u w:val="none"/>
        </w:rPr>
        <w:t>pplicant relies as a foundation to the principal debts</w:t>
      </w:r>
      <w:r w:rsidR="00D52887">
        <w:rPr>
          <w:u w:val="none"/>
        </w:rPr>
        <w:t>,</w:t>
      </w:r>
      <w:r w:rsidRPr="00032096">
        <w:rPr>
          <w:u w:val="none"/>
        </w:rPr>
        <w:t xml:space="preserve"> were themselves subject to suspensive conditions. According to the respondent</w:t>
      </w:r>
      <w:r w:rsidR="00E60552">
        <w:rPr>
          <w:u w:val="none"/>
        </w:rPr>
        <w:t>,</w:t>
      </w:r>
      <w:r w:rsidRPr="00032096">
        <w:rPr>
          <w:u w:val="none"/>
        </w:rPr>
        <w:t xml:space="preserve"> the applicant has not proven that such suspensive conditions were fulfilled or waived, and so has not proven that the facility agreements came into existence.</w:t>
      </w:r>
    </w:p>
    <w:p w14:paraId="0E04069B" w14:textId="77777777" w:rsidR="00E60552" w:rsidRPr="003A3869" w:rsidRDefault="00E60552" w:rsidP="003A3869">
      <w:pPr>
        <w:spacing w:line="480" w:lineRule="auto"/>
        <w:jc w:val="both"/>
        <w:rPr>
          <w:u w:val="none"/>
        </w:rPr>
      </w:pPr>
    </w:p>
    <w:p w14:paraId="4B7E1B2F" w14:textId="43AAE82A" w:rsidR="00A92197" w:rsidRDefault="00A92197" w:rsidP="00A92197">
      <w:pPr>
        <w:pStyle w:val="ListParagraph"/>
        <w:numPr>
          <w:ilvl w:val="0"/>
          <w:numId w:val="2"/>
        </w:numPr>
        <w:spacing w:line="480" w:lineRule="auto"/>
        <w:jc w:val="both"/>
        <w:rPr>
          <w:u w:val="none"/>
        </w:rPr>
      </w:pPr>
      <w:r w:rsidRPr="00032096">
        <w:rPr>
          <w:u w:val="none"/>
        </w:rPr>
        <w:t>The respondent further contends that the applicant has not proven that it purchased and obtained cession of the principal debts because acquiring the principal debts constituted a transaction(s) that fell outside the applicant's power</w:t>
      </w:r>
      <w:r w:rsidR="00E60552">
        <w:rPr>
          <w:u w:val="none"/>
        </w:rPr>
        <w:t>s</w:t>
      </w:r>
      <w:r w:rsidRPr="00032096">
        <w:rPr>
          <w:u w:val="none"/>
        </w:rPr>
        <w:t xml:space="preserve"> to conclude and was therefore impermissible, invalid and unenforceable. </w:t>
      </w:r>
    </w:p>
    <w:p w14:paraId="59620995" w14:textId="77777777" w:rsidR="00D52887" w:rsidRPr="003A3869" w:rsidRDefault="00D52887" w:rsidP="003A3869">
      <w:pPr>
        <w:pStyle w:val="ListParagraph"/>
        <w:rPr>
          <w:u w:val="none"/>
        </w:rPr>
      </w:pPr>
    </w:p>
    <w:p w14:paraId="3FE5C0BA" w14:textId="1660FD76" w:rsidR="00E60552" w:rsidRPr="003A3869" w:rsidRDefault="00D52887" w:rsidP="003A3869">
      <w:pPr>
        <w:spacing w:line="480" w:lineRule="auto"/>
        <w:ind w:left="690"/>
        <w:jc w:val="both"/>
        <w:rPr>
          <w:b/>
          <w:u w:val="none"/>
        </w:rPr>
      </w:pPr>
      <w:r w:rsidRPr="003A3869">
        <w:rPr>
          <w:b/>
          <w:u w:val="none"/>
        </w:rPr>
        <w:t xml:space="preserve">The law </w:t>
      </w:r>
    </w:p>
    <w:p w14:paraId="6C1F7390" w14:textId="39046974" w:rsidR="00A92197" w:rsidRPr="003A3869" w:rsidRDefault="00A92197" w:rsidP="00A92197">
      <w:pPr>
        <w:pStyle w:val="ListParagraph"/>
        <w:numPr>
          <w:ilvl w:val="0"/>
          <w:numId w:val="2"/>
        </w:numPr>
        <w:spacing w:line="480" w:lineRule="auto"/>
        <w:jc w:val="both"/>
        <w:rPr>
          <w:u w:val="none"/>
        </w:rPr>
      </w:pPr>
      <w:r w:rsidRPr="00032096">
        <w:rPr>
          <w:u w:val="none"/>
          <w:lang w:val="en-ZA"/>
        </w:rPr>
        <w:t xml:space="preserve">Section </w:t>
      </w:r>
      <w:r w:rsidRPr="00032096">
        <w:rPr>
          <w:u w:val="none"/>
        </w:rPr>
        <w:t xml:space="preserve">344 </w:t>
      </w:r>
      <w:r w:rsidR="00E60552" w:rsidRPr="00032096">
        <w:rPr>
          <w:u w:val="none"/>
          <w:lang w:val="en-ZA"/>
        </w:rPr>
        <w:t>of the Companies Act</w:t>
      </w:r>
      <w:r w:rsidR="00E60552">
        <w:rPr>
          <w:u w:val="none"/>
        </w:rPr>
        <w:t xml:space="preserve"> </w:t>
      </w:r>
      <w:r w:rsidRPr="00032096">
        <w:rPr>
          <w:u w:val="none"/>
        </w:rPr>
        <w:t>61</w:t>
      </w:r>
      <w:r w:rsidRPr="00032096">
        <w:rPr>
          <w:u w:val="none"/>
          <w:lang w:val="en-ZA"/>
        </w:rPr>
        <w:t xml:space="preserve"> of 1973</w:t>
      </w:r>
      <w:r w:rsidR="00AB4B7D">
        <w:rPr>
          <w:u w:val="none"/>
          <w:lang w:val="en-ZA"/>
        </w:rPr>
        <w:t xml:space="preserve"> (“the Companies Act”)</w:t>
      </w:r>
      <w:r w:rsidR="00E60552">
        <w:rPr>
          <w:u w:val="none"/>
          <w:lang w:val="en-ZA"/>
        </w:rPr>
        <w:t>,</w:t>
      </w:r>
      <w:r w:rsidRPr="00032096">
        <w:rPr>
          <w:u w:val="none"/>
          <w:lang w:val="en-ZA"/>
        </w:rPr>
        <w:t xml:space="preserve"> </w:t>
      </w:r>
      <w:r w:rsidRPr="003A3869">
        <w:rPr>
          <w:i/>
          <w:u w:val="none"/>
          <w:lang w:val="en-ZA"/>
        </w:rPr>
        <w:t>inter alia</w:t>
      </w:r>
      <w:r w:rsidR="00D52887">
        <w:rPr>
          <w:i/>
          <w:u w:val="none"/>
          <w:lang w:val="en-ZA"/>
        </w:rPr>
        <w:t>,</w:t>
      </w:r>
      <w:r w:rsidRPr="00032096">
        <w:rPr>
          <w:u w:val="none"/>
          <w:lang w:val="en-ZA"/>
        </w:rPr>
        <w:t xml:space="preserve"> provides that a company may be wou</w:t>
      </w:r>
      <w:r w:rsidR="00E60552">
        <w:rPr>
          <w:u w:val="none"/>
          <w:lang w:val="en-ZA"/>
        </w:rPr>
        <w:t>n</w:t>
      </w:r>
      <w:r w:rsidRPr="00032096">
        <w:rPr>
          <w:u w:val="none"/>
          <w:lang w:val="en-ZA"/>
        </w:rPr>
        <w:t xml:space="preserve">d up by a Court if it is unable to pay its debts or </w:t>
      </w:r>
      <w:r w:rsidR="00E60552">
        <w:rPr>
          <w:u w:val="none"/>
          <w:lang w:val="en-ZA"/>
        </w:rPr>
        <w:t xml:space="preserve">if </w:t>
      </w:r>
      <w:r w:rsidRPr="00032096">
        <w:rPr>
          <w:u w:val="none"/>
          <w:lang w:val="en-ZA"/>
        </w:rPr>
        <w:t>it appears to the Court that it is just and equitable</w:t>
      </w:r>
      <w:r w:rsidR="00E60552">
        <w:rPr>
          <w:u w:val="none"/>
          <w:lang w:val="en-ZA"/>
        </w:rPr>
        <w:t xml:space="preserve"> </w:t>
      </w:r>
      <w:r w:rsidRPr="00032096">
        <w:rPr>
          <w:u w:val="none"/>
          <w:lang w:val="en-ZA"/>
        </w:rPr>
        <w:t>that the company should be would up</w:t>
      </w:r>
      <w:r w:rsidRPr="00032096">
        <w:rPr>
          <w:u w:val="none"/>
        </w:rPr>
        <w:t xml:space="preserve">. </w:t>
      </w:r>
      <w:r w:rsidRPr="00032096">
        <w:rPr>
          <w:u w:val="none"/>
          <w:lang w:val="en-ZA"/>
        </w:rPr>
        <w:t>Section 346</w:t>
      </w:r>
      <w:r w:rsidR="00AB4B7D">
        <w:rPr>
          <w:u w:val="none"/>
          <w:lang w:val="en-ZA"/>
        </w:rPr>
        <w:t>(1)(b)</w:t>
      </w:r>
      <w:r w:rsidRPr="00032096">
        <w:rPr>
          <w:u w:val="none"/>
          <w:lang w:val="en-ZA"/>
        </w:rPr>
        <w:t xml:space="preserve"> of the Companies Act provides that a creditor may apply to liquidate its debtor</w:t>
      </w:r>
      <w:r w:rsidRPr="00032096">
        <w:rPr>
          <w:u w:val="none"/>
        </w:rPr>
        <w:t>. It is trite that a</w:t>
      </w:r>
      <w:r w:rsidRPr="00032096">
        <w:rPr>
          <w:u w:val="none"/>
          <w:lang w:val="en-ZA"/>
        </w:rPr>
        <w:t>n application for liquidation is not a mechanism to collect debt, but a mechanism launched where a creditor is convinced</w:t>
      </w:r>
      <w:r w:rsidR="00AB4B7D">
        <w:rPr>
          <w:u w:val="none"/>
          <w:lang w:val="en-ZA"/>
        </w:rPr>
        <w:t>,</w:t>
      </w:r>
      <w:r w:rsidRPr="00032096">
        <w:rPr>
          <w:u w:val="none"/>
          <w:lang w:val="en-ZA"/>
        </w:rPr>
        <w:t xml:space="preserve"> on the available evidence</w:t>
      </w:r>
      <w:r w:rsidR="00AB4B7D">
        <w:rPr>
          <w:u w:val="none"/>
          <w:lang w:val="en-ZA"/>
        </w:rPr>
        <w:t>,</w:t>
      </w:r>
      <w:r w:rsidRPr="00032096">
        <w:rPr>
          <w:u w:val="none"/>
          <w:lang w:val="en-ZA"/>
        </w:rPr>
        <w:t xml:space="preserve"> that the company is insolvent and a </w:t>
      </w:r>
      <w:proofErr w:type="spellStart"/>
      <w:r w:rsidRPr="003A3869">
        <w:rPr>
          <w:i/>
          <w:u w:val="none"/>
          <w:lang w:val="en-ZA"/>
        </w:rPr>
        <w:t>concursus</w:t>
      </w:r>
      <w:proofErr w:type="spellEnd"/>
      <w:r w:rsidRPr="003A3869">
        <w:rPr>
          <w:i/>
          <w:u w:val="none"/>
          <w:lang w:val="en-ZA"/>
        </w:rPr>
        <w:t xml:space="preserve"> </w:t>
      </w:r>
      <w:proofErr w:type="spellStart"/>
      <w:r w:rsidRPr="003A3869">
        <w:rPr>
          <w:i/>
          <w:u w:val="none"/>
          <w:lang w:val="en-ZA"/>
        </w:rPr>
        <w:t>creditorum</w:t>
      </w:r>
      <w:proofErr w:type="spellEnd"/>
      <w:r w:rsidRPr="00032096">
        <w:rPr>
          <w:u w:val="none"/>
          <w:lang w:val="en-ZA"/>
        </w:rPr>
        <w:t xml:space="preserve"> must be established.</w:t>
      </w:r>
    </w:p>
    <w:p w14:paraId="0DA14CE8" w14:textId="77777777" w:rsidR="00AB4B7D" w:rsidRPr="003A3869" w:rsidRDefault="00AB4B7D" w:rsidP="003A3869">
      <w:pPr>
        <w:spacing w:line="480" w:lineRule="auto"/>
        <w:jc w:val="both"/>
        <w:rPr>
          <w:u w:val="none"/>
        </w:rPr>
      </w:pPr>
    </w:p>
    <w:p w14:paraId="001021D9" w14:textId="77777777" w:rsidR="003548DD" w:rsidRDefault="00A92197" w:rsidP="00A92197">
      <w:pPr>
        <w:pStyle w:val="ListParagraph"/>
        <w:numPr>
          <w:ilvl w:val="0"/>
          <w:numId w:val="2"/>
        </w:numPr>
        <w:spacing w:line="480" w:lineRule="auto"/>
        <w:jc w:val="both"/>
        <w:rPr>
          <w:u w:val="none"/>
        </w:rPr>
      </w:pPr>
      <w:r w:rsidRPr="00032096">
        <w:rPr>
          <w:u w:val="none"/>
        </w:rPr>
        <w:t xml:space="preserve"> As Berman J puts it in </w:t>
      </w:r>
      <w:r w:rsidRPr="003A3869">
        <w:rPr>
          <w:i/>
          <w:u w:val="none"/>
          <w:lang w:val="en-ZA"/>
        </w:rPr>
        <w:t xml:space="preserve">Absa Bank Ltd v </w:t>
      </w:r>
      <w:proofErr w:type="spellStart"/>
      <w:r w:rsidRPr="003A3869">
        <w:rPr>
          <w:i/>
          <w:u w:val="none"/>
          <w:lang w:val="en-ZA"/>
        </w:rPr>
        <w:t>Rhebokskloof</w:t>
      </w:r>
      <w:proofErr w:type="spellEnd"/>
      <w:r w:rsidRPr="003A3869">
        <w:rPr>
          <w:i/>
          <w:u w:val="none"/>
          <w:lang w:val="en-ZA"/>
        </w:rPr>
        <w:t xml:space="preserve"> (Pty) Ltd</w:t>
      </w:r>
      <w:r w:rsidR="003548DD">
        <w:rPr>
          <w:i/>
          <w:u w:val="none"/>
          <w:lang w:val="en-ZA"/>
        </w:rPr>
        <w:t>:</w:t>
      </w:r>
      <w:r w:rsidRPr="00032096">
        <w:rPr>
          <w:rStyle w:val="FootnoteReference"/>
          <w:u w:val="none"/>
        </w:rPr>
        <w:footnoteReference w:id="3"/>
      </w:r>
      <w:r w:rsidRPr="00032096">
        <w:rPr>
          <w:u w:val="none"/>
        </w:rPr>
        <w:t xml:space="preserve"> </w:t>
      </w:r>
    </w:p>
    <w:p w14:paraId="05EF32D7" w14:textId="77777777" w:rsidR="003548DD" w:rsidRPr="003A3869" w:rsidRDefault="003548DD" w:rsidP="003A3869">
      <w:pPr>
        <w:pStyle w:val="ListParagraph"/>
        <w:rPr>
          <w:u w:val="none"/>
        </w:rPr>
      </w:pPr>
    </w:p>
    <w:p w14:paraId="447E0DA4" w14:textId="77777777" w:rsidR="003548DD" w:rsidRDefault="00A92197" w:rsidP="003A3869">
      <w:pPr>
        <w:pStyle w:val="ListParagraph"/>
        <w:spacing w:line="480" w:lineRule="auto"/>
        <w:ind w:left="1440"/>
        <w:jc w:val="both"/>
        <w:rPr>
          <w:sz w:val="22"/>
          <w:szCs w:val="22"/>
          <w:u w:val="none"/>
        </w:rPr>
      </w:pPr>
      <w:r w:rsidRPr="003A3869">
        <w:rPr>
          <w:sz w:val="22"/>
          <w:szCs w:val="22"/>
          <w:u w:val="none"/>
        </w:rPr>
        <w:t xml:space="preserve">“The concept of commercial insolvency as a ground for winding up a company is eminently practical and commercially sensible. The primary question which </w:t>
      </w:r>
      <w:r w:rsidRPr="003A3869">
        <w:rPr>
          <w:sz w:val="22"/>
          <w:szCs w:val="22"/>
          <w:u w:val="none"/>
        </w:rPr>
        <w:lastRenderedPageBreak/>
        <w:t>a Court is called upon to answer in deciding whether or not a company carrying on business should be wound up as commercially insolvent is whether or not it has liquid assets or readily realisable assets available to meet its liabilities as they fall due to be met in the ordinary course of business and thereafter to be in a position to carry on normal trading</w:t>
      </w:r>
      <w:r w:rsidR="003548DD">
        <w:rPr>
          <w:sz w:val="22"/>
          <w:szCs w:val="22"/>
          <w:u w:val="none"/>
        </w:rPr>
        <w:t>…</w:t>
      </w:r>
      <w:r w:rsidRPr="003A3869">
        <w:rPr>
          <w:sz w:val="22"/>
          <w:szCs w:val="22"/>
          <w:u w:val="none"/>
        </w:rPr>
        <w:t>”</w:t>
      </w:r>
    </w:p>
    <w:p w14:paraId="32DE222B" w14:textId="794E591C" w:rsidR="00A92197" w:rsidRPr="003A3869" w:rsidRDefault="00A92197" w:rsidP="003A3869">
      <w:pPr>
        <w:pStyle w:val="ListParagraph"/>
        <w:spacing w:line="480" w:lineRule="auto"/>
        <w:ind w:left="1440"/>
        <w:jc w:val="both"/>
        <w:rPr>
          <w:sz w:val="22"/>
          <w:szCs w:val="22"/>
          <w:u w:val="none"/>
        </w:rPr>
      </w:pPr>
    </w:p>
    <w:p w14:paraId="0ED187DE" w14:textId="49103315" w:rsidR="00A92197" w:rsidRPr="00032096" w:rsidRDefault="00A92197" w:rsidP="00A92197">
      <w:pPr>
        <w:pStyle w:val="ListParagraph"/>
        <w:numPr>
          <w:ilvl w:val="0"/>
          <w:numId w:val="2"/>
        </w:numPr>
        <w:spacing w:line="480" w:lineRule="auto"/>
        <w:jc w:val="both"/>
        <w:rPr>
          <w:u w:val="none"/>
        </w:rPr>
      </w:pPr>
      <w:r w:rsidRPr="00032096">
        <w:rPr>
          <w:u w:val="none"/>
        </w:rPr>
        <w:t>T</w:t>
      </w:r>
      <w:r w:rsidRPr="00032096">
        <w:rPr>
          <w:u w:val="none"/>
          <w:lang w:val="en-ZA"/>
        </w:rPr>
        <w:t>he SCA</w:t>
      </w:r>
      <w:r w:rsidR="00E32A9B">
        <w:rPr>
          <w:u w:val="none"/>
          <w:lang w:val="en-ZA"/>
        </w:rPr>
        <w:t>,</w:t>
      </w:r>
      <w:r w:rsidRPr="00032096">
        <w:rPr>
          <w:u w:val="none"/>
        </w:rPr>
        <w:t xml:space="preserve"> in </w:t>
      </w:r>
      <w:r w:rsidRPr="003A3869">
        <w:rPr>
          <w:i/>
          <w:u w:val="none"/>
        </w:rPr>
        <w:t>Murray</w:t>
      </w:r>
      <w:r w:rsidR="003548DD">
        <w:rPr>
          <w:i/>
          <w:u w:val="none"/>
        </w:rPr>
        <w:t xml:space="preserve"> NO</w:t>
      </w:r>
      <w:r w:rsidRPr="003A3869">
        <w:rPr>
          <w:i/>
          <w:u w:val="none"/>
          <w:lang w:val="en-ZA"/>
        </w:rPr>
        <w:t xml:space="preserve"> </w:t>
      </w:r>
      <w:r w:rsidR="003548DD">
        <w:rPr>
          <w:i/>
          <w:u w:val="none"/>
          <w:lang w:val="en-ZA"/>
        </w:rPr>
        <w:t>&amp;</w:t>
      </w:r>
      <w:r w:rsidRPr="003A3869">
        <w:rPr>
          <w:i/>
          <w:u w:val="none"/>
          <w:lang w:val="en-ZA"/>
        </w:rPr>
        <w:t xml:space="preserve"> Others v African Global Holdings (Pty) Ltd </w:t>
      </w:r>
      <w:r w:rsidR="003548DD">
        <w:rPr>
          <w:i/>
          <w:u w:val="none"/>
          <w:lang w:val="en-ZA"/>
        </w:rPr>
        <w:t>&amp;</w:t>
      </w:r>
      <w:r w:rsidRPr="003A3869">
        <w:rPr>
          <w:i/>
          <w:u w:val="none"/>
          <w:lang w:val="en-ZA"/>
        </w:rPr>
        <w:t xml:space="preserve"> Others</w:t>
      </w:r>
      <w:r w:rsidR="00E32A9B">
        <w:rPr>
          <w:i/>
          <w:u w:val="none"/>
          <w:lang w:val="en-ZA"/>
        </w:rPr>
        <w:t>,</w:t>
      </w:r>
      <w:r w:rsidRPr="00032096">
        <w:rPr>
          <w:rStyle w:val="FootnoteReference"/>
          <w:u w:val="none"/>
        </w:rPr>
        <w:footnoteReference w:id="4"/>
      </w:r>
      <w:r w:rsidRPr="00032096">
        <w:rPr>
          <w:u w:val="none"/>
          <w:lang w:val="en-ZA"/>
        </w:rPr>
        <w:t xml:space="preserve"> considered and reiterated the test for commercial insolvency. Wallis JA held as follows:</w:t>
      </w:r>
    </w:p>
    <w:p w14:paraId="175604A0" w14:textId="77777777" w:rsidR="00A92197" w:rsidRDefault="00A92197" w:rsidP="003A3869">
      <w:pPr>
        <w:pStyle w:val="ListParagraph"/>
        <w:spacing w:line="480" w:lineRule="auto"/>
        <w:ind w:left="1440"/>
        <w:jc w:val="both"/>
        <w:rPr>
          <w:rFonts w:eastAsiaTheme="minorHAnsi"/>
          <w:sz w:val="22"/>
          <w:szCs w:val="22"/>
          <w:u w:val="none"/>
          <w:lang w:val="en-ZA"/>
        </w:rPr>
      </w:pPr>
      <w:r w:rsidRPr="003A3869">
        <w:rPr>
          <w:sz w:val="22"/>
          <w:szCs w:val="22"/>
          <w:u w:val="none"/>
        </w:rPr>
        <w:t>“</w:t>
      </w:r>
      <w:r w:rsidRPr="003A3869">
        <w:rPr>
          <w:rFonts w:eastAsiaTheme="minorHAnsi"/>
          <w:sz w:val="22"/>
          <w:szCs w:val="22"/>
          <w:u w:val="none"/>
          <w:lang w:val="en-ZA"/>
        </w:rPr>
        <w:t xml:space="preserve">[23] There is no definition of a solvent company in the 2008 Act. Initially this occasioned some difficulty in various high courts, as litigants sought to avoid compulsory winding-up under the 1973 Act on the grounds that they were solvent and hence could only be wound-up in terms of the 2008 Act. The confusion was set to rest by the decision of this court in </w:t>
      </w:r>
      <w:proofErr w:type="spellStart"/>
      <w:r w:rsidRPr="003A3869">
        <w:rPr>
          <w:rFonts w:eastAsiaTheme="minorHAnsi"/>
          <w:sz w:val="22"/>
          <w:szCs w:val="22"/>
          <w:u w:val="none"/>
          <w:lang w:val="en-ZA"/>
        </w:rPr>
        <w:t>Boschpoort</w:t>
      </w:r>
      <w:proofErr w:type="spellEnd"/>
      <w:r w:rsidRPr="003A3869">
        <w:rPr>
          <w:rFonts w:eastAsiaTheme="minorHAnsi"/>
          <w:sz w:val="22"/>
          <w:szCs w:val="22"/>
          <w:u w:val="none"/>
          <w:lang w:val="en-ZA"/>
        </w:rPr>
        <w:t>. It decided</w:t>
      </w:r>
      <w:r w:rsidRPr="003A3869">
        <w:rPr>
          <w:rFonts w:eastAsiaTheme="minorHAnsi"/>
          <w:sz w:val="22"/>
          <w:szCs w:val="22"/>
          <w:lang w:val="en-ZA"/>
        </w:rPr>
        <w:t xml:space="preserve"> </w:t>
      </w:r>
      <w:r w:rsidRPr="003A3869">
        <w:rPr>
          <w:rFonts w:eastAsiaTheme="minorHAnsi"/>
          <w:sz w:val="22"/>
          <w:szCs w:val="22"/>
          <w:u w:val="none"/>
          <w:lang w:val="en-ZA"/>
        </w:rPr>
        <w:t>that a solvent company for the purposes of the 2008 Act is a company that is commercially solvent. It matters not that its assets may exceed its liabilities if it is commercially insolvent. Conversely</w:t>
      </w:r>
      <w:r w:rsidR="00C97BF7" w:rsidRPr="003A3869">
        <w:rPr>
          <w:rFonts w:eastAsiaTheme="minorHAnsi"/>
          <w:sz w:val="22"/>
          <w:szCs w:val="22"/>
          <w:u w:val="none"/>
          <w:lang w:val="en-ZA"/>
        </w:rPr>
        <w:t>,</w:t>
      </w:r>
      <w:r w:rsidRPr="003A3869">
        <w:rPr>
          <w:rFonts w:eastAsiaTheme="minorHAnsi"/>
          <w:sz w:val="22"/>
          <w:szCs w:val="22"/>
          <w:u w:val="none"/>
          <w:lang w:val="en-ZA"/>
        </w:rPr>
        <w:t xml:space="preserve"> it may be commercially solvent despite the fact that its liabilities exceed its assets. If it is commercially </w:t>
      </w:r>
      <w:r w:rsidR="00C97BF7" w:rsidRPr="003A3869">
        <w:rPr>
          <w:rFonts w:eastAsiaTheme="minorHAnsi"/>
          <w:sz w:val="22"/>
          <w:szCs w:val="22"/>
          <w:u w:val="none"/>
          <w:lang w:val="en-ZA"/>
        </w:rPr>
        <w:t>insolvent,</w:t>
      </w:r>
      <w:r w:rsidRPr="003A3869">
        <w:rPr>
          <w:rFonts w:eastAsiaTheme="minorHAnsi"/>
          <w:sz w:val="22"/>
          <w:szCs w:val="22"/>
          <w:u w:val="none"/>
          <w:lang w:val="en-ZA"/>
        </w:rPr>
        <w:t xml:space="preserve"> it is liable to be wound-up in terms of the provisions </w:t>
      </w:r>
      <w:r w:rsidRPr="00137136">
        <w:rPr>
          <w:rFonts w:eastAsiaTheme="minorHAnsi"/>
          <w:sz w:val="22"/>
          <w:szCs w:val="22"/>
          <w:u w:val="none"/>
          <w:lang w:val="en-ZA"/>
        </w:rPr>
        <w:t>of the 1973 Act and it may not be wound-up in terms of the 2008 Act</w:t>
      </w:r>
      <w:r w:rsidRPr="00137136">
        <w:rPr>
          <w:sz w:val="22"/>
          <w:szCs w:val="22"/>
          <w:u w:val="none"/>
          <w:lang w:val="en-ZA"/>
        </w:rPr>
        <w:t>”</w:t>
      </w:r>
      <w:r w:rsidRPr="00137136">
        <w:rPr>
          <w:rFonts w:eastAsiaTheme="minorHAnsi"/>
          <w:sz w:val="22"/>
          <w:szCs w:val="22"/>
          <w:u w:val="none"/>
          <w:lang w:val="en-ZA"/>
        </w:rPr>
        <w:t>.</w:t>
      </w:r>
    </w:p>
    <w:p w14:paraId="59FC31B6" w14:textId="77777777" w:rsidR="00137136" w:rsidRPr="003A3869" w:rsidRDefault="00137136" w:rsidP="003A3869">
      <w:pPr>
        <w:pStyle w:val="ListParagraph"/>
        <w:spacing w:line="480" w:lineRule="auto"/>
        <w:ind w:left="1440"/>
        <w:jc w:val="both"/>
        <w:rPr>
          <w:sz w:val="22"/>
          <w:szCs w:val="22"/>
          <w:u w:val="none"/>
        </w:rPr>
      </w:pPr>
    </w:p>
    <w:p w14:paraId="3B0BE6D0" w14:textId="0D848CC4" w:rsidR="00CA5DEA" w:rsidRPr="003A3869" w:rsidRDefault="00A92197" w:rsidP="00A92197">
      <w:pPr>
        <w:pStyle w:val="ListParagraph"/>
        <w:numPr>
          <w:ilvl w:val="0"/>
          <w:numId w:val="2"/>
        </w:numPr>
        <w:spacing w:line="480" w:lineRule="auto"/>
        <w:jc w:val="both"/>
        <w:rPr>
          <w:iCs/>
          <w:u w:val="none"/>
        </w:rPr>
      </w:pPr>
      <w:r w:rsidRPr="00032096">
        <w:rPr>
          <w:u w:val="none"/>
        </w:rPr>
        <w:t xml:space="preserve">The high-watermark of the respondent’s case is its reliance on </w:t>
      </w:r>
      <w:proofErr w:type="spellStart"/>
      <w:r w:rsidR="00032096" w:rsidRPr="003A3869">
        <w:rPr>
          <w:i/>
          <w:u w:val="none"/>
        </w:rPr>
        <w:t>i</w:t>
      </w:r>
      <w:r w:rsidRPr="003A3869">
        <w:rPr>
          <w:i/>
          <w:u w:val="none"/>
        </w:rPr>
        <w:t>ustus</w:t>
      </w:r>
      <w:proofErr w:type="spellEnd"/>
      <w:r w:rsidRPr="003A3869">
        <w:rPr>
          <w:i/>
          <w:u w:val="none"/>
        </w:rPr>
        <w:t xml:space="preserve"> error</w:t>
      </w:r>
      <w:r w:rsidRPr="00032096">
        <w:rPr>
          <w:u w:val="none"/>
        </w:rPr>
        <w:t xml:space="preserve"> when </w:t>
      </w:r>
      <w:proofErr w:type="spellStart"/>
      <w:r w:rsidRPr="00032096">
        <w:rPr>
          <w:u w:val="none"/>
        </w:rPr>
        <w:t>Rohit</w:t>
      </w:r>
      <w:proofErr w:type="spellEnd"/>
      <w:r w:rsidRPr="00032096">
        <w:rPr>
          <w:u w:val="none"/>
        </w:rPr>
        <w:t xml:space="preserve"> authorised and consent</w:t>
      </w:r>
      <w:r w:rsidR="00137136">
        <w:rPr>
          <w:u w:val="none"/>
        </w:rPr>
        <w:t>ed</w:t>
      </w:r>
      <w:r w:rsidRPr="00032096">
        <w:rPr>
          <w:u w:val="none"/>
        </w:rPr>
        <w:t xml:space="preserve"> to Hugo renewing ATS’s financial facilities with the bank. In our law, however, the general rule is that whoever signs a document is ordinarily taken to have assented to what appears above his or her signature </w:t>
      </w:r>
      <w:r w:rsidRPr="00032096">
        <w:rPr>
          <w:u w:val="none"/>
        </w:rPr>
        <w:lastRenderedPageBreak/>
        <w:t xml:space="preserve">based upon the </w:t>
      </w:r>
      <w:r w:rsidRPr="00032096">
        <w:rPr>
          <w:i/>
          <w:iCs/>
          <w:u w:val="none"/>
        </w:rPr>
        <w:t xml:space="preserve">caveat </w:t>
      </w:r>
      <w:proofErr w:type="spellStart"/>
      <w:r w:rsidRPr="00032096">
        <w:rPr>
          <w:i/>
          <w:iCs/>
          <w:u w:val="none"/>
        </w:rPr>
        <w:t>subscriptor</w:t>
      </w:r>
      <w:proofErr w:type="spellEnd"/>
      <w:r w:rsidRPr="00032096">
        <w:rPr>
          <w:rStyle w:val="FootnoteReference"/>
          <w:i/>
          <w:iCs/>
          <w:u w:val="none"/>
        </w:rPr>
        <w:footnoteReference w:id="5"/>
      </w:r>
      <w:r w:rsidRPr="00032096">
        <w:rPr>
          <w:u w:val="none"/>
        </w:rPr>
        <w:t xml:space="preserve"> principle. The rule can be traced to the oft-cited decision in </w:t>
      </w:r>
      <w:r w:rsidRPr="00032096">
        <w:rPr>
          <w:i/>
          <w:iCs/>
          <w:u w:val="none"/>
        </w:rPr>
        <w:t>Smith v Hughes</w:t>
      </w:r>
      <w:r w:rsidRPr="00032096">
        <w:rPr>
          <w:rStyle w:val="FootnoteReference"/>
          <w:u w:val="none"/>
        </w:rPr>
        <w:footnoteReference w:id="6"/>
      </w:r>
      <w:r w:rsidRPr="00032096">
        <w:rPr>
          <w:u w:val="none"/>
        </w:rPr>
        <w:t xml:space="preserve"> where it was explained that:</w:t>
      </w:r>
      <w:r w:rsidRPr="00032096">
        <w:rPr>
          <w:i/>
          <w:iCs/>
          <w:u w:val="none"/>
        </w:rPr>
        <w:t xml:space="preserve"> </w:t>
      </w:r>
    </w:p>
    <w:p w14:paraId="52A28F48" w14:textId="6FE33949" w:rsidR="00A92197" w:rsidRDefault="00A92197" w:rsidP="003A3869">
      <w:pPr>
        <w:pStyle w:val="ListParagraph"/>
        <w:spacing w:line="480" w:lineRule="auto"/>
        <w:ind w:left="1440"/>
        <w:jc w:val="both"/>
        <w:rPr>
          <w:iCs/>
          <w:sz w:val="22"/>
          <w:szCs w:val="22"/>
          <w:u w:val="none"/>
        </w:rPr>
      </w:pPr>
      <w:r w:rsidRPr="003A3869">
        <w:rPr>
          <w:iCs/>
          <w:sz w:val="22"/>
          <w:szCs w:val="22"/>
          <w:u w:val="none"/>
        </w:rPr>
        <w:t xml:space="preserve">“If, whatever a man’s real intention may be, he so conducts himself that a reasonable man would believe that he was assenting to the terms proposed by the other party, and that other party upon the belief enters into the contract with him, the man thus conducting himself would be equally bound as if he had intended to agree to the other party’s terms.” </w:t>
      </w:r>
    </w:p>
    <w:p w14:paraId="7B199024" w14:textId="77777777" w:rsidR="00E32A9B" w:rsidRPr="003A3869" w:rsidRDefault="00E32A9B" w:rsidP="003A3869">
      <w:pPr>
        <w:spacing w:line="480" w:lineRule="auto"/>
        <w:jc w:val="both"/>
        <w:rPr>
          <w:iCs/>
          <w:sz w:val="22"/>
          <w:szCs w:val="22"/>
          <w:u w:val="none"/>
        </w:rPr>
      </w:pPr>
    </w:p>
    <w:p w14:paraId="415F8F34" w14:textId="535AC8A6" w:rsidR="00CA5DEA" w:rsidRPr="003A3869" w:rsidRDefault="00E32A9B" w:rsidP="003A3869">
      <w:pPr>
        <w:spacing w:line="480" w:lineRule="auto"/>
        <w:jc w:val="both"/>
        <w:rPr>
          <w:b/>
          <w:iCs/>
          <w:u w:val="none"/>
        </w:rPr>
      </w:pPr>
      <w:r>
        <w:rPr>
          <w:iCs/>
          <w:sz w:val="22"/>
          <w:szCs w:val="22"/>
          <w:u w:val="none"/>
        </w:rPr>
        <w:tab/>
      </w:r>
      <w:r w:rsidRPr="003A3869">
        <w:rPr>
          <w:b/>
          <w:iCs/>
          <w:u w:val="none"/>
        </w:rPr>
        <w:t xml:space="preserve">Analysis </w:t>
      </w:r>
    </w:p>
    <w:p w14:paraId="0A0593C3" w14:textId="3118F067" w:rsidR="00134C0D" w:rsidRPr="003A3869" w:rsidRDefault="00A92197">
      <w:pPr>
        <w:pStyle w:val="ListParagraph"/>
        <w:numPr>
          <w:ilvl w:val="0"/>
          <w:numId w:val="2"/>
        </w:numPr>
        <w:spacing w:line="480" w:lineRule="auto"/>
        <w:jc w:val="both"/>
        <w:rPr>
          <w:iCs/>
        </w:rPr>
      </w:pPr>
      <w:r w:rsidRPr="00032096">
        <w:rPr>
          <w:u w:val="none"/>
        </w:rPr>
        <w:t xml:space="preserve">The defence raised by the respondent falls on the first hurdle as </w:t>
      </w:r>
      <w:proofErr w:type="spellStart"/>
      <w:r w:rsidRPr="00032096">
        <w:rPr>
          <w:u w:val="none"/>
        </w:rPr>
        <w:t>Rohit</w:t>
      </w:r>
      <w:proofErr w:type="spellEnd"/>
      <w:r w:rsidRPr="00032096">
        <w:rPr>
          <w:u w:val="none"/>
        </w:rPr>
        <w:t xml:space="preserve"> concedes that the document was signed to renew ATS’s financial facilities, which include</w:t>
      </w:r>
      <w:r w:rsidR="00E32A9B">
        <w:rPr>
          <w:u w:val="none"/>
        </w:rPr>
        <w:t>s</w:t>
      </w:r>
      <w:r w:rsidRPr="00032096">
        <w:rPr>
          <w:u w:val="none"/>
        </w:rPr>
        <w:t xml:space="preserve"> the security demanded in the form of suretyship. I am fortified in my view in this regard because </w:t>
      </w:r>
      <w:proofErr w:type="spellStart"/>
      <w:r w:rsidRPr="00032096">
        <w:rPr>
          <w:u w:val="none"/>
        </w:rPr>
        <w:t>Rohit</w:t>
      </w:r>
      <w:proofErr w:type="spellEnd"/>
      <w:r w:rsidRPr="00032096">
        <w:rPr>
          <w:u w:val="none"/>
        </w:rPr>
        <w:t xml:space="preserve"> did not only sign the suretyship but also the resolution referred to therein, which unequivocally refers to and agrees to the unlimited cross suretyship. Significantly, </w:t>
      </w:r>
      <w:proofErr w:type="spellStart"/>
      <w:r w:rsidRPr="00032096">
        <w:rPr>
          <w:u w:val="none"/>
        </w:rPr>
        <w:t>Rohit</w:t>
      </w:r>
      <w:proofErr w:type="spellEnd"/>
      <w:r w:rsidRPr="00032096">
        <w:rPr>
          <w:u w:val="none"/>
        </w:rPr>
        <w:t xml:space="preserve"> also signed a resolution as director of the principal debtor, ATS, which also authorised </w:t>
      </w:r>
      <w:r w:rsidR="00E32A9B">
        <w:rPr>
          <w:u w:val="none"/>
        </w:rPr>
        <w:t xml:space="preserve">the </w:t>
      </w:r>
      <w:r w:rsidRPr="00032096">
        <w:rPr>
          <w:u w:val="none"/>
        </w:rPr>
        <w:t xml:space="preserve">surety. Accordingly, the </w:t>
      </w:r>
      <w:r w:rsidRPr="008737CF">
        <w:rPr>
          <w:u w:val="none"/>
        </w:rPr>
        <w:t xml:space="preserve">respondent’s version is so far-fetched and untenable that this </w:t>
      </w:r>
      <w:r w:rsidR="00134C0D">
        <w:rPr>
          <w:u w:val="none"/>
        </w:rPr>
        <w:t>c</w:t>
      </w:r>
      <w:r w:rsidRPr="008737CF">
        <w:rPr>
          <w:u w:val="none"/>
        </w:rPr>
        <w:t>ourt is justified in rejecting them on the papers.</w:t>
      </w:r>
      <w:r w:rsidRPr="008737CF">
        <w:rPr>
          <w:rStyle w:val="FootnoteReference"/>
          <w:u w:val="none"/>
        </w:rPr>
        <w:footnoteReference w:id="7"/>
      </w:r>
      <w:r w:rsidRPr="003E5C6F">
        <w:t xml:space="preserve"> </w:t>
      </w:r>
    </w:p>
    <w:p w14:paraId="13025976" w14:textId="77777777" w:rsidR="00134C0D" w:rsidRPr="003A3869" w:rsidRDefault="00134C0D" w:rsidP="003A3869">
      <w:pPr>
        <w:pStyle w:val="ListParagraph"/>
        <w:spacing w:line="480" w:lineRule="auto"/>
        <w:ind w:left="690"/>
        <w:jc w:val="both"/>
        <w:rPr>
          <w:iCs/>
        </w:rPr>
      </w:pPr>
    </w:p>
    <w:p w14:paraId="5C2ED17E" w14:textId="736709A9" w:rsidR="00A92197" w:rsidRPr="008737CF" w:rsidRDefault="00A92197" w:rsidP="00A92197">
      <w:pPr>
        <w:pStyle w:val="ListParagraph"/>
        <w:numPr>
          <w:ilvl w:val="0"/>
          <w:numId w:val="2"/>
        </w:numPr>
        <w:spacing w:line="480" w:lineRule="auto"/>
        <w:jc w:val="both"/>
        <w:rPr>
          <w:iCs/>
          <w:u w:val="none"/>
        </w:rPr>
      </w:pPr>
      <w:r w:rsidRPr="008737CF">
        <w:rPr>
          <w:u w:val="none"/>
        </w:rPr>
        <w:t xml:space="preserve">Importantly, the proffered defence of </w:t>
      </w:r>
      <w:proofErr w:type="spellStart"/>
      <w:r w:rsidR="00FA3C55">
        <w:rPr>
          <w:i/>
          <w:u w:val="none"/>
        </w:rPr>
        <w:t>i</w:t>
      </w:r>
      <w:r w:rsidRPr="008737CF">
        <w:rPr>
          <w:i/>
          <w:iCs/>
          <w:u w:val="none"/>
        </w:rPr>
        <w:t>ustus</w:t>
      </w:r>
      <w:proofErr w:type="spellEnd"/>
      <w:r w:rsidRPr="008737CF">
        <w:rPr>
          <w:i/>
          <w:iCs/>
          <w:u w:val="none"/>
        </w:rPr>
        <w:t xml:space="preserve"> error</w:t>
      </w:r>
      <w:r w:rsidRPr="008737CF">
        <w:rPr>
          <w:u w:val="none"/>
        </w:rPr>
        <w:t xml:space="preserve"> cannot succeed and is not a basis for defence. On the respondent’s own version</w:t>
      </w:r>
      <w:r w:rsidR="00FA3C55">
        <w:rPr>
          <w:u w:val="none"/>
        </w:rPr>
        <w:t>,</w:t>
      </w:r>
      <w:r w:rsidRPr="008737CF">
        <w:rPr>
          <w:u w:val="none"/>
        </w:rPr>
        <w:t xml:space="preserve"> </w:t>
      </w:r>
      <w:proofErr w:type="spellStart"/>
      <w:r w:rsidRPr="008737CF">
        <w:rPr>
          <w:u w:val="none"/>
        </w:rPr>
        <w:t>Rohit</w:t>
      </w:r>
      <w:proofErr w:type="spellEnd"/>
      <w:r w:rsidRPr="008737CF">
        <w:rPr>
          <w:u w:val="none"/>
        </w:rPr>
        <w:t xml:space="preserve"> was allegedly induced to sign the suretyship by her co-shareholder and not by the applicant or the cessionary. Recently, the recent Supreme Court of Appeal in </w:t>
      </w:r>
      <w:r w:rsidRPr="008737CF">
        <w:rPr>
          <w:i/>
          <w:iCs/>
          <w:u w:val="none"/>
        </w:rPr>
        <w:t xml:space="preserve">Airports </w:t>
      </w:r>
      <w:r w:rsidRPr="008737CF">
        <w:rPr>
          <w:i/>
          <w:iCs/>
          <w:u w:val="none"/>
        </w:rPr>
        <w:lastRenderedPageBreak/>
        <w:t xml:space="preserve">Company SA Ltd v </w:t>
      </w:r>
      <w:proofErr w:type="spellStart"/>
      <w:r w:rsidRPr="008737CF">
        <w:rPr>
          <w:i/>
          <w:iCs/>
          <w:u w:val="none"/>
        </w:rPr>
        <w:t>Masiphuze</w:t>
      </w:r>
      <w:proofErr w:type="spellEnd"/>
      <w:r w:rsidRPr="008737CF">
        <w:rPr>
          <w:i/>
          <w:iCs/>
          <w:u w:val="none"/>
        </w:rPr>
        <w:t xml:space="preserve"> Trading (Pty) Ltd and Others</w:t>
      </w:r>
      <w:r w:rsidR="00FA3C55">
        <w:rPr>
          <w:i/>
          <w:iCs/>
          <w:u w:val="none"/>
        </w:rPr>
        <w:t>,</w:t>
      </w:r>
      <w:r w:rsidRPr="008737CF">
        <w:rPr>
          <w:rStyle w:val="FootnoteReference"/>
          <w:u w:val="none"/>
        </w:rPr>
        <w:footnoteReference w:id="8"/>
      </w:r>
      <w:r w:rsidR="00FA3C55">
        <w:rPr>
          <w:u w:val="none"/>
        </w:rPr>
        <w:t xml:space="preserve"> </w:t>
      </w:r>
      <w:r w:rsidRPr="008737CF">
        <w:rPr>
          <w:u w:val="none"/>
        </w:rPr>
        <w:t>a matter where the surety raised a strikingly similar defence</w:t>
      </w:r>
      <w:r w:rsidR="00FA3C55">
        <w:rPr>
          <w:u w:val="none"/>
        </w:rPr>
        <w:t>,</w:t>
      </w:r>
      <w:r w:rsidRPr="008737CF">
        <w:rPr>
          <w:u w:val="none"/>
        </w:rPr>
        <w:t xml:space="preserve"> held:</w:t>
      </w:r>
    </w:p>
    <w:p w14:paraId="0B27AF82" w14:textId="77777777" w:rsidR="00A92197" w:rsidRDefault="00A92197" w:rsidP="003A3869">
      <w:pPr>
        <w:pStyle w:val="ListParagraph"/>
        <w:spacing w:line="480" w:lineRule="auto"/>
        <w:ind w:left="1440"/>
        <w:jc w:val="both"/>
        <w:rPr>
          <w:iCs/>
          <w:sz w:val="22"/>
          <w:szCs w:val="22"/>
          <w:u w:val="none"/>
        </w:rPr>
      </w:pPr>
      <w:r w:rsidRPr="003A3869">
        <w:rPr>
          <w:iCs/>
          <w:sz w:val="22"/>
          <w:szCs w:val="22"/>
          <w:u w:val="none"/>
        </w:rPr>
        <w:t xml:space="preserve">“[25]    In this case Mr </w:t>
      </w:r>
      <w:proofErr w:type="spellStart"/>
      <w:r w:rsidRPr="003A3869">
        <w:rPr>
          <w:iCs/>
          <w:sz w:val="22"/>
          <w:szCs w:val="22"/>
          <w:u w:val="none"/>
        </w:rPr>
        <w:t>Nemukula</w:t>
      </w:r>
      <w:proofErr w:type="spellEnd"/>
      <w:r w:rsidRPr="003A3869">
        <w:rPr>
          <w:iCs/>
          <w:sz w:val="22"/>
          <w:szCs w:val="22"/>
          <w:u w:val="none"/>
        </w:rPr>
        <w:t xml:space="preserve"> claimed that he was misled by the failure of his business associates to inform him that he was signing a deed of suretyship. If the approach of Fagan CJ is adopted and we ask whether he, as the party seeking to </w:t>
      </w:r>
      <w:proofErr w:type="spellStart"/>
      <w:r w:rsidRPr="003A3869">
        <w:rPr>
          <w:iCs/>
          <w:sz w:val="22"/>
          <w:szCs w:val="22"/>
          <w:u w:val="none"/>
        </w:rPr>
        <w:t>resile</w:t>
      </w:r>
      <w:proofErr w:type="spellEnd"/>
      <w:r w:rsidRPr="003A3869">
        <w:rPr>
          <w:iCs/>
          <w:sz w:val="22"/>
          <w:szCs w:val="22"/>
          <w:u w:val="none"/>
        </w:rPr>
        <w:t xml:space="preserve"> from the agreement, is to blame for the situation in which he found himself, the answer is clear. It was his own failure to check the documents that he was signing – a not particularly onerous task for an experienced businessman – that led to the situation in which he found himself. If one asks the question postulated in </w:t>
      </w:r>
      <w:proofErr w:type="spellStart"/>
      <w:r w:rsidRPr="003A3869">
        <w:rPr>
          <w:iCs/>
          <w:sz w:val="22"/>
          <w:szCs w:val="22"/>
          <w:u w:val="none"/>
        </w:rPr>
        <w:t>Sonap</w:t>
      </w:r>
      <w:proofErr w:type="spellEnd"/>
      <w:r w:rsidRPr="003A3869">
        <w:rPr>
          <w:iCs/>
          <w:sz w:val="22"/>
          <w:szCs w:val="22"/>
          <w:u w:val="none"/>
        </w:rPr>
        <w:t xml:space="preserve">, whether Mr </w:t>
      </w:r>
      <w:proofErr w:type="spellStart"/>
      <w:r w:rsidRPr="003A3869">
        <w:rPr>
          <w:iCs/>
          <w:sz w:val="22"/>
          <w:szCs w:val="22"/>
          <w:u w:val="none"/>
        </w:rPr>
        <w:t>Nemukula</w:t>
      </w:r>
      <w:proofErr w:type="spellEnd"/>
      <w:r w:rsidRPr="003A3869">
        <w:rPr>
          <w:iCs/>
          <w:sz w:val="22"/>
          <w:szCs w:val="22"/>
          <w:u w:val="none"/>
        </w:rPr>
        <w:t xml:space="preserve"> led ACSA to believe that his declared intention to be bound by the deed of suretyship represented his actual intention, the answer must be in the affirmative. On either basis it was not open to </w:t>
      </w:r>
      <w:proofErr w:type="spellStart"/>
      <w:r w:rsidRPr="003A3869">
        <w:rPr>
          <w:iCs/>
          <w:sz w:val="22"/>
          <w:szCs w:val="22"/>
          <w:u w:val="none"/>
        </w:rPr>
        <w:t>Nemukula</w:t>
      </w:r>
      <w:proofErr w:type="spellEnd"/>
      <w:r w:rsidRPr="003A3869">
        <w:rPr>
          <w:iCs/>
          <w:sz w:val="22"/>
          <w:szCs w:val="22"/>
          <w:u w:val="none"/>
        </w:rPr>
        <w:t xml:space="preserve"> to rely upon the defence of </w:t>
      </w:r>
      <w:proofErr w:type="spellStart"/>
      <w:r w:rsidRPr="003A3869">
        <w:rPr>
          <w:i/>
          <w:iCs/>
          <w:sz w:val="22"/>
          <w:szCs w:val="22"/>
          <w:u w:val="none"/>
        </w:rPr>
        <w:t>iustus</w:t>
      </w:r>
      <w:proofErr w:type="spellEnd"/>
      <w:r w:rsidRPr="003A3869">
        <w:rPr>
          <w:i/>
          <w:iCs/>
          <w:sz w:val="22"/>
          <w:szCs w:val="22"/>
          <w:u w:val="none"/>
        </w:rPr>
        <w:t xml:space="preserve"> error</w:t>
      </w:r>
      <w:r w:rsidRPr="003A3869">
        <w:rPr>
          <w:iCs/>
          <w:sz w:val="22"/>
          <w:szCs w:val="22"/>
          <w:u w:val="none"/>
        </w:rPr>
        <w:t>.”</w:t>
      </w:r>
    </w:p>
    <w:p w14:paraId="0C84D4D0" w14:textId="77777777" w:rsidR="00FA3C55" w:rsidRPr="003A3869" w:rsidRDefault="00FA3C55" w:rsidP="003A3869">
      <w:pPr>
        <w:pStyle w:val="ListParagraph"/>
        <w:spacing w:line="276" w:lineRule="auto"/>
        <w:ind w:left="1440"/>
        <w:jc w:val="both"/>
        <w:rPr>
          <w:iCs/>
          <w:sz w:val="22"/>
          <w:szCs w:val="22"/>
          <w:u w:val="none"/>
        </w:rPr>
      </w:pPr>
    </w:p>
    <w:p w14:paraId="5EE4E715" w14:textId="77777777" w:rsidR="00A92197" w:rsidRPr="008737CF" w:rsidRDefault="00A92197" w:rsidP="008737CF">
      <w:pPr>
        <w:pStyle w:val="ListParagraph"/>
        <w:spacing w:line="276" w:lineRule="auto"/>
        <w:ind w:left="690"/>
        <w:jc w:val="both"/>
        <w:rPr>
          <w:iCs/>
          <w:u w:val="none"/>
        </w:rPr>
      </w:pPr>
    </w:p>
    <w:p w14:paraId="0E820153" w14:textId="77777777" w:rsidR="00FA3C55" w:rsidRDefault="00A92197">
      <w:pPr>
        <w:pStyle w:val="ListParagraph"/>
        <w:numPr>
          <w:ilvl w:val="0"/>
          <w:numId w:val="2"/>
        </w:numPr>
        <w:spacing w:line="480" w:lineRule="auto"/>
        <w:jc w:val="both"/>
        <w:rPr>
          <w:u w:val="none"/>
        </w:rPr>
      </w:pPr>
      <w:r w:rsidRPr="008737CF">
        <w:rPr>
          <w:u w:val="none"/>
        </w:rPr>
        <w:t xml:space="preserve">In the instant case, </w:t>
      </w:r>
      <w:proofErr w:type="spellStart"/>
      <w:r w:rsidRPr="008737CF">
        <w:rPr>
          <w:u w:val="none"/>
        </w:rPr>
        <w:t>GroCap</w:t>
      </w:r>
      <w:proofErr w:type="spellEnd"/>
      <w:r w:rsidRPr="008737CF">
        <w:rPr>
          <w:u w:val="none"/>
        </w:rPr>
        <w:t xml:space="preserve"> made no misrepresentation to the respondent, and there is no suggestion on the respondent's papers that </w:t>
      </w:r>
      <w:proofErr w:type="spellStart"/>
      <w:r w:rsidRPr="008737CF">
        <w:rPr>
          <w:u w:val="none"/>
        </w:rPr>
        <w:t>GroCap</w:t>
      </w:r>
      <w:proofErr w:type="spellEnd"/>
      <w:r w:rsidRPr="008737CF">
        <w:rPr>
          <w:u w:val="none"/>
        </w:rPr>
        <w:t xml:space="preserve"> knew or ought, as a reasonable person, to have known of the respondent’s mistake. The necessary conclusion is that the respondent is bound by the deed of suretyship as surety for and co-principal debtor’s indebtedness to </w:t>
      </w:r>
      <w:proofErr w:type="spellStart"/>
      <w:r w:rsidRPr="008737CF">
        <w:rPr>
          <w:u w:val="none"/>
        </w:rPr>
        <w:t>Grocap</w:t>
      </w:r>
      <w:proofErr w:type="spellEnd"/>
      <w:r w:rsidRPr="008737CF">
        <w:rPr>
          <w:u w:val="none"/>
        </w:rPr>
        <w:t xml:space="preserve"> under the facility agreement.</w:t>
      </w:r>
    </w:p>
    <w:p w14:paraId="2C7987D3" w14:textId="77777777" w:rsidR="00FA3C55" w:rsidRPr="003A3869" w:rsidRDefault="00FA3C55" w:rsidP="003A3869">
      <w:pPr>
        <w:pStyle w:val="ListParagraph"/>
        <w:spacing w:line="480" w:lineRule="auto"/>
        <w:ind w:left="690"/>
        <w:jc w:val="both"/>
        <w:rPr>
          <w:u w:val="none"/>
        </w:rPr>
      </w:pPr>
    </w:p>
    <w:p w14:paraId="4D5C65BF" w14:textId="52EA863D" w:rsidR="008737CF" w:rsidRDefault="00A92197" w:rsidP="00A92197">
      <w:pPr>
        <w:pStyle w:val="ListParagraph"/>
        <w:numPr>
          <w:ilvl w:val="0"/>
          <w:numId w:val="2"/>
        </w:numPr>
        <w:spacing w:line="480" w:lineRule="auto"/>
        <w:jc w:val="both"/>
        <w:rPr>
          <w:u w:val="none"/>
        </w:rPr>
      </w:pPr>
      <w:r w:rsidRPr="008737CF">
        <w:rPr>
          <w:u w:val="none"/>
        </w:rPr>
        <w:t xml:space="preserve">As to the respondent’s denial of the indebtedness, the fact that the principal debtor, ATM, has admitted under oath that it is indebted to the </w:t>
      </w:r>
      <w:proofErr w:type="spellStart"/>
      <w:r w:rsidRPr="008737CF">
        <w:rPr>
          <w:u w:val="none"/>
        </w:rPr>
        <w:t>cedent</w:t>
      </w:r>
      <w:proofErr w:type="spellEnd"/>
      <w:r w:rsidRPr="008737CF">
        <w:rPr>
          <w:u w:val="none"/>
        </w:rPr>
        <w:t xml:space="preserve"> in the amount of R 96</w:t>
      </w:r>
      <w:r w:rsidR="00A35A0E">
        <w:rPr>
          <w:u w:val="none"/>
        </w:rPr>
        <w:t>,</w:t>
      </w:r>
      <w:r w:rsidRPr="008737CF">
        <w:rPr>
          <w:u w:val="none"/>
        </w:rPr>
        <w:t xml:space="preserve"> 713</w:t>
      </w:r>
      <w:r w:rsidR="00A35A0E">
        <w:rPr>
          <w:u w:val="none"/>
        </w:rPr>
        <w:t>,</w:t>
      </w:r>
      <w:r w:rsidRPr="008737CF">
        <w:rPr>
          <w:u w:val="none"/>
        </w:rPr>
        <w:t xml:space="preserve"> 591.00</w:t>
      </w:r>
      <w:r w:rsidR="00FA3C55">
        <w:rPr>
          <w:u w:val="none"/>
        </w:rPr>
        <w:t>,</w:t>
      </w:r>
      <w:r w:rsidRPr="008737CF">
        <w:rPr>
          <w:u w:val="none"/>
        </w:rPr>
        <w:t xml:space="preserve"> puts this matter to rest. The challenge is therefore</w:t>
      </w:r>
      <w:r w:rsidRPr="00581BE2">
        <w:t xml:space="preserve"> </w:t>
      </w:r>
      <w:r w:rsidRPr="008737CF">
        <w:rPr>
          <w:u w:val="none"/>
        </w:rPr>
        <w:lastRenderedPageBreak/>
        <w:t xml:space="preserve">not on reasonable grounds. It does not lie in the mouth of the respondent to, without adducing any evidence to the contrary, deny that the claim was ceded to the applicant. Cession does not require the consent of the debtor and is strictly an agreement between the </w:t>
      </w:r>
      <w:proofErr w:type="spellStart"/>
      <w:r w:rsidRPr="008737CF">
        <w:rPr>
          <w:u w:val="none"/>
        </w:rPr>
        <w:t>cedent</w:t>
      </w:r>
      <w:proofErr w:type="spellEnd"/>
      <w:r w:rsidRPr="008737CF">
        <w:rPr>
          <w:u w:val="none"/>
        </w:rPr>
        <w:t xml:space="preserve"> and cessionary. In our law, cession is complete when the </w:t>
      </w:r>
      <w:proofErr w:type="spellStart"/>
      <w:r w:rsidRPr="008737CF">
        <w:rPr>
          <w:u w:val="none"/>
        </w:rPr>
        <w:t>cedent</w:t>
      </w:r>
      <w:proofErr w:type="spellEnd"/>
      <w:r w:rsidRPr="008737CF">
        <w:rPr>
          <w:u w:val="none"/>
        </w:rPr>
        <w:t xml:space="preserve"> and cessionary reach finality on the act of cession.</w:t>
      </w:r>
      <w:r w:rsidRPr="008737CF">
        <w:rPr>
          <w:rStyle w:val="FootnoteReference"/>
          <w:u w:val="none"/>
        </w:rPr>
        <w:footnoteReference w:id="9"/>
      </w:r>
      <w:r w:rsidRPr="008737CF">
        <w:rPr>
          <w:u w:val="none"/>
        </w:rPr>
        <w:t xml:space="preserve"> </w:t>
      </w:r>
    </w:p>
    <w:p w14:paraId="6CB81DC9" w14:textId="77777777" w:rsidR="00FA3C55" w:rsidRPr="003A3869" w:rsidRDefault="00FA3C55" w:rsidP="003A3869">
      <w:pPr>
        <w:spacing w:line="480" w:lineRule="auto"/>
        <w:jc w:val="both"/>
        <w:rPr>
          <w:u w:val="none"/>
        </w:rPr>
      </w:pPr>
    </w:p>
    <w:p w14:paraId="6E5B9A35" w14:textId="77777777" w:rsidR="00A92197" w:rsidRDefault="00A92197" w:rsidP="00A92197">
      <w:pPr>
        <w:pStyle w:val="ListParagraph"/>
        <w:numPr>
          <w:ilvl w:val="0"/>
          <w:numId w:val="2"/>
        </w:numPr>
        <w:spacing w:line="480" w:lineRule="auto"/>
        <w:jc w:val="both"/>
        <w:rPr>
          <w:u w:val="none"/>
        </w:rPr>
      </w:pPr>
      <w:r w:rsidRPr="008737CF">
        <w:rPr>
          <w:u w:val="none"/>
        </w:rPr>
        <w:t xml:space="preserve">As cessionary, the applicant is entitled to enforce all rights that previously vested in the </w:t>
      </w:r>
      <w:proofErr w:type="spellStart"/>
      <w:r w:rsidRPr="008737CF">
        <w:rPr>
          <w:u w:val="none"/>
        </w:rPr>
        <w:t>cedent</w:t>
      </w:r>
      <w:proofErr w:type="spellEnd"/>
      <w:r w:rsidRPr="008737CF">
        <w:rPr>
          <w:u w:val="none"/>
        </w:rPr>
        <w:t xml:space="preserve">, including the enforcement of rights related to securities provided to the </w:t>
      </w:r>
      <w:proofErr w:type="spellStart"/>
      <w:r w:rsidRPr="008737CF">
        <w:rPr>
          <w:u w:val="none"/>
        </w:rPr>
        <w:t>cedent</w:t>
      </w:r>
      <w:proofErr w:type="spellEnd"/>
      <w:r w:rsidRPr="008737CF">
        <w:rPr>
          <w:u w:val="none"/>
        </w:rPr>
        <w:t xml:space="preserve"> as per their SLA. </w:t>
      </w:r>
      <w:r w:rsidR="00C97BF7">
        <w:rPr>
          <w:u w:val="none"/>
        </w:rPr>
        <w:t>The r</w:t>
      </w:r>
      <w:r w:rsidRPr="008737CF">
        <w:rPr>
          <w:u w:val="none"/>
        </w:rPr>
        <w:t>espondent has not provided any countervailing evidence to dispute that the claim was in fact ceded. Accordingly, such a bald or bare denial by the respondent</w:t>
      </w:r>
      <w:r w:rsidR="009C7D44">
        <w:rPr>
          <w:u w:val="none"/>
        </w:rPr>
        <w:t>,</w:t>
      </w:r>
      <w:r w:rsidRPr="008737CF">
        <w:rPr>
          <w:u w:val="none"/>
        </w:rPr>
        <w:t xml:space="preserve"> does not constitute a defence as the applicant’s version is</w:t>
      </w:r>
      <w:r w:rsidR="009C7D44">
        <w:rPr>
          <w:u w:val="none"/>
        </w:rPr>
        <w:t>,</w:t>
      </w:r>
      <w:r w:rsidRPr="008737CF">
        <w:rPr>
          <w:u w:val="none"/>
        </w:rPr>
        <w:t xml:space="preserve"> in this instance</w:t>
      </w:r>
      <w:r w:rsidR="009C7D44">
        <w:rPr>
          <w:u w:val="none"/>
        </w:rPr>
        <w:t>,</w:t>
      </w:r>
      <w:r w:rsidRPr="008737CF">
        <w:rPr>
          <w:u w:val="none"/>
        </w:rPr>
        <w:t xml:space="preserve"> not seriously or unambiguously addressed.</w:t>
      </w:r>
      <w:r w:rsidRPr="008737CF">
        <w:rPr>
          <w:rStyle w:val="FootnoteReference"/>
          <w:u w:val="none"/>
        </w:rPr>
        <w:footnoteReference w:id="10"/>
      </w:r>
    </w:p>
    <w:p w14:paraId="4B37DC90" w14:textId="77777777" w:rsidR="009759DA" w:rsidRPr="003A3869" w:rsidRDefault="009759DA" w:rsidP="003A3869">
      <w:pPr>
        <w:spacing w:line="480" w:lineRule="auto"/>
        <w:jc w:val="both"/>
        <w:rPr>
          <w:u w:val="none"/>
        </w:rPr>
      </w:pPr>
    </w:p>
    <w:p w14:paraId="39155D26" w14:textId="5FD62CA0" w:rsidR="00280B4F" w:rsidRDefault="00A92197" w:rsidP="00CC2E39">
      <w:pPr>
        <w:pStyle w:val="ListParagraph"/>
        <w:numPr>
          <w:ilvl w:val="0"/>
          <w:numId w:val="2"/>
        </w:numPr>
        <w:spacing w:line="480" w:lineRule="auto"/>
        <w:jc w:val="both"/>
        <w:rPr>
          <w:u w:val="none"/>
        </w:rPr>
      </w:pPr>
      <w:r w:rsidRPr="008737CF">
        <w:rPr>
          <w:u w:val="none"/>
        </w:rPr>
        <w:t xml:space="preserve">The </w:t>
      </w:r>
      <w:r w:rsidR="00A35A0E">
        <w:rPr>
          <w:u w:val="none"/>
        </w:rPr>
        <w:t>r</w:t>
      </w:r>
      <w:r w:rsidRPr="008737CF">
        <w:rPr>
          <w:u w:val="none"/>
        </w:rPr>
        <w:t>espondent contends that the cession is void as it does not accord with the objects under Section 3 of the Land and Agricultural Development Bank Act 15 of 2002 (</w:t>
      </w:r>
      <w:r w:rsidR="009C7D44">
        <w:rPr>
          <w:u w:val="none"/>
        </w:rPr>
        <w:t>“</w:t>
      </w:r>
      <w:r w:rsidRPr="008737CF">
        <w:rPr>
          <w:u w:val="none"/>
        </w:rPr>
        <w:t>the Land Bank Act</w:t>
      </w:r>
      <w:r w:rsidR="009C7D44">
        <w:rPr>
          <w:u w:val="none"/>
        </w:rPr>
        <w:t>”</w:t>
      </w:r>
      <w:r w:rsidRPr="008737CF">
        <w:rPr>
          <w:u w:val="none"/>
        </w:rPr>
        <w:t xml:space="preserve">). The proposition stands to be rejected because </w:t>
      </w:r>
      <w:r w:rsidR="009A219E">
        <w:rPr>
          <w:u w:val="none"/>
        </w:rPr>
        <w:t xml:space="preserve">on </w:t>
      </w:r>
      <w:r w:rsidRPr="008737CF">
        <w:rPr>
          <w:u w:val="none"/>
        </w:rPr>
        <w:t xml:space="preserve">the respondent’s own version, the business of both </w:t>
      </w:r>
      <w:proofErr w:type="spellStart"/>
      <w:r w:rsidRPr="008737CF">
        <w:rPr>
          <w:u w:val="none"/>
        </w:rPr>
        <w:t>Agri</w:t>
      </w:r>
      <w:proofErr w:type="spellEnd"/>
      <w:r w:rsidRPr="008737CF">
        <w:rPr>
          <w:u w:val="none"/>
        </w:rPr>
        <w:t xml:space="preserve"> Trading Services and </w:t>
      </w:r>
      <w:proofErr w:type="spellStart"/>
      <w:r w:rsidRPr="008737CF">
        <w:rPr>
          <w:u w:val="none"/>
        </w:rPr>
        <w:t>Agri</w:t>
      </w:r>
      <w:proofErr w:type="spellEnd"/>
      <w:r w:rsidRPr="008737CF">
        <w:rPr>
          <w:u w:val="none"/>
        </w:rPr>
        <w:t xml:space="preserve"> Oil</w:t>
      </w:r>
      <w:r w:rsidR="00A35A0E">
        <w:rPr>
          <w:u w:val="none"/>
        </w:rPr>
        <w:t xml:space="preserve"> Mills</w:t>
      </w:r>
      <w:r w:rsidR="009A219E">
        <w:rPr>
          <w:rStyle w:val="FootnoteReference"/>
          <w:u w:val="none"/>
        </w:rPr>
        <w:footnoteReference w:id="11"/>
      </w:r>
      <w:r w:rsidR="00CC2E39">
        <w:rPr>
          <w:u w:val="none"/>
        </w:rPr>
        <w:t>, involves</w:t>
      </w:r>
      <w:r w:rsidR="00CC2E39" w:rsidRPr="00CC2E39">
        <w:rPr>
          <w:u w:val="none"/>
        </w:rPr>
        <w:t xml:space="preserve"> the business of </w:t>
      </w:r>
      <w:r w:rsidR="00CC2E39">
        <w:rPr>
          <w:u w:val="none"/>
        </w:rPr>
        <w:t>“</w:t>
      </w:r>
      <w:r w:rsidR="00CC2E39" w:rsidRPr="00CC2E39">
        <w:rPr>
          <w:u w:val="none"/>
        </w:rPr>
        <w:t>the procurement of soya beans, crushing them to produce soya oil and soya cake and selling the end products into the market</w:t>
      </w:r>
      <w:r w:rsidR="00CC2E39">
        <w:rPr>
          <w:u w:val="none"/>
        </w:rPr>
        <w:t>”. This</w:t>
      </w:r>
      <w:r w:rsidR="009A219E">
        <w:rPr>
          <w:u w:val="none"/>
        </w:rPr>
        <w:t xml:space="preserve"> </w:t>
      </w:r>
      <w:r w:rsidRPr="008737CF">
        <w:rPr>
          <w:u w:val="none"/>
        </w:rPr>
        <w:t>fall</w:t>
      </w:r>
      <w:r w:rsidR="00CC2E39">
        <w:rPr>
          <w:u w:val="none"/>
        </w:rPr>
        <w:t>s</w:t>
      </w:r>
      <w:r w:rsidRPr="008737CF">
        <w:rPr>
          <w:u w:val="none"/>
        </w:rPr>
        <w:t xml:space="preserve"> squarely with</w:t>
      </w:r>
      <w:r w:rsidR="009A219E">
        <w:rPr>
          <w:u w:val="none"/>
        </w:rPr>
        <w:t>in</w:t>
      </w:r>
      <w:r w:rsidRPr="008737CF">
        <w:rPr>
          <w:u w:val="none"/>
        </w:rPr>
        <w:t xml:space="preserve"> the objects contained in Section 3 of the Land Bank Act which provides: </w:t>
      </w:r>
    </w:p>
    <w:p w14:paraId="03A356AC" w14:textId="77777777" w:rsidR="00280B4F" w:rsidRPr="003A3869" w:rsidRDefault="00280B4F" w:rsidP="003A3869">
      <w:pPr>
        <w:pStyle w:val="ListParagraph"/>
        <w:rPr>
          <w:u w:val="none"/>
        </w:rPr>
      </w:pPr>
    </w:p>
    <w:p w14:paraId="2C40AC1F" w14:textId="77777777" w:rsidR="00A92197" w:rsidRPr="003A3869" w:rsidRDefault="00A92197" w:rsidP="003A3869">
      <w:pPr>
        <w:pStyle w:val="ListParagraph"/>
        <w:spacing w:line="480" w:lineRule="auto"/>
        <w:ind w:left="1410" w:firstLine="30"/>
        <w:jc w:val="both"/>
        <w:rPr>
          <w:sz w:val="22"/>
          <w:szCs w:val="22"/>
          <w:u w:val="none"/>
        </w:rPr>
      </w:pPr>
      <w:r w:rsidRPr="003A3869">
        <w:rPr>
          <w:sz w:val="22"/>
          <w:szCs w:val="22"/>
          <w:u w:val="none"/>
        </w:rPr>
        <w:lastRenderedPageBreak/>
        <w:t>“</w:t>
      </w:r>
      <w:r w:rsidRPr="003A3869">
        <w:rPr>
          <w:iCs/>
          <w:sz w:val="22"/>
          <w:szCs w:val="22"/>
          <w:u w:val="none"/>
        </w:rPr>
        <w:t>3(1) The objects of the Bank are the promotion, facilitation and support    of-</w:t>
      </w:r>
    </w:p>
    <w:p w14:paraId="4817FE79" w14:textId="77777777" w:rsidR="00A92197" w:rsidRPr="003A3869" w:rsidRDefault="00A92197" w:rsidP="003A3869">
      <w:pPr>
        <w:pStyle w:val="ListParagraph"/>
        <w:spacing w:line="360" w:lineRule="auto"/>
        <w:ind w:left="2160" w:hanging="750"/>
        <w:jc w:val="both"/>
        <w:rPr>
          <w:iCs/>
          <w:sz w:val="22"/>
          <w:szCs w:val="22"/>
          <w:u w:val="none"/>
        </w:rPr>
      </w:pPr>
      <w:r w:rsidRPr="003A3869">
        <w:rPr>
          <w:iCs/>
          <w:sz w:val="22"/>
          <w:szCs w:val="22"/>
          <w:u w:val="none"/>
        </w:rPr>
        <w:t>(a)</w:t>
      </w:r>
      <w:r w:rsidRPr="003A3869">
        <w:rPr>
          <w:iCs/>
          <w:sz w:val="22"/>
          <w:szCs w:val="22"/>
          <w:u w:val="none"/>
        </w:rPr>
        <w:tab/>
        <w:t>equitable ownership of agricultural land, in particular the increase of ownership of agricultural land by historically disadvantaged persons;</w:t>
      </w:r>
    </w:p>
    <w:p w14:paraId="5B8A404C" w14:textId="77777777" w:rsidR="00A92197" w:rsidRPr="003A3869" w:rsidRDefault="00A92197" w:rsidP="003A3869">
      <w:pPr>
        <w:pStyle w:val="ListParagraph"/>
        <w:spacing w:line="360" w:lineRule="auto"/>
        <w:ind w:left="2160" w:hanging="750"/>
        <w:jc w:val="both"/>
        <w:rPr>
          <w:iCs/>
          <w:sz w:val="22"/>
          <w:szCs w:val="22"/>
          <w:u w:val="none"/>
        </w:rPr>
      </w:pPr>
      <w:r w:rsidRPr="003A3869">
        <w:rPr>
          <w:iCs/>
          <w:sz w:val="22"/>
          <w:szCs w:val="22"/>
          <w:u w:val="none"/>
        </w:rPr>
        <w:t>(b)</w:t>
      </w:r>
      <w:r w:rsidRPr="003A3869">
        <w:rPr>
          <w:iCs/>
          <w:sz w:val="22"/>
          <w:szCs w:val="22"/>
          <w:u w:val="none"/>
        </w:rPr>
        <w:tab/>
        <w:t>agrarian reform, land redistribution or development programmes aimed at historically disadvantaged persons or groups of such persons for the development of farming enterprises and agricultural purposes;</w:t>
      </w:r>
    </w:p>
    <w:p w14:paraId="61D1835E" w14:textId="77777777" w:rsidR="00A92197" w:rsidRPr="003A3869" w:rsidRDefault="00A92197" w:rsidP="003A3869">
      <w:pPr>
        <w:pStyle w:val="ListParagraph"/>
        <w:spacing w:line="360" w:lineRule="auto"/>
        <w:ind w:left="1380" w:firstLine="30"/>
        <w:jc w:val="both"/>
        <w:rPr>
          <w:iCs/>
          <w:sz w:val="22"/>
          <w:szCs w:val="22"/>
          <w:u w:val="none"/>
        </w:rPr>
      </w:pPr>
      <w:r w:rsidRPr="003A3869">
        <w:rPr>
          <w:iCs/>
          <w:sz w:val="22"/>
          <w:szCs w:val="22"/>
          <w:u w:val="none"/>
        </w:rPr>
        <w:t>(c)</w:t>
      </w:r>
      <w:r w:rsidRPr="003A3869">
        <w:rPr>
          <w:iCs/>
          <w:sz w:val="22"/>
          <w:szCs w:val="22"/>
          <w:u w:val="none"/>
        </w:rPr>
        <w:tab/>
        <w:t>land access for agricultural purposes;</w:t>
      </w:r>
    </w:p>
    <w:p w14:paraId="3DA98C3C" w14:textId="77777777" w:rsidR="00A92197" w:rsidRPr="003A3869" w:rsidRDefault="00A92197" w:rsidP="003A3869">
      <w:pPr>
        <w:pStyle w:val="ListParagraph"/>
        <w:spacing w:line="360" w:lineRule="auto"/>
        <w:ind w:left="1350" w:firstLine="30"/>
        <w:jc w:val="both"/>
        <w:rPr>
          <w:iCs/>
          <w:sz w:val="22"/>
          <w:szCs w:val="22"/>
          <w:u w:val="none"/>
        </w:rPr>
      </w:pPr>
      <w:r w:rsidRPr="003A3869">
        <w:rPr>
          <w:iCs/>
          <w:sz w:val="22"/>
          <w:szCs w:val="22"/>
          <w:u w:val="none"/>
        </w:rPr>
        <w:t xml:space="preserve">(d) </w:t>
      </w:r>
      <w:r w:rsidRPr="003A3869">
        <w:rPr>
          <w:iCs/>
          <w:sz w:val="22"/>
          <w:szCs w:val="22"/>
          <w:u w:val="none"/>
        </w:rPr>
        <w:tab/>
        <w:t>agricultural entrepreneurship;</w:t>
      </w:r>
    </w:p>
    <w:p w14:paraId="2C75A088" w14:textId="77777777" w:rsidR="00A92197" w:rsidRPr="003A3869" w:rsidRDefault="00A92197" w:rsidP="003A3869">
      <w:pPr>
        <w:pStyle w:val="ListParagraph"/>
        <w:spacing w:line="360" w:lineRule="auto"/>
        <w:ind w:left="2160" w:hanging="810"/>
        <w:jc w:val="both"/>
        <w:rPr>
          <w:iCs/>
          <w:sz w:val="22"/>
          <w:szCs w:val="22"/>
          <w:u w:val="none"/>
        </w:rPr>
      </w:pPr>
      <w:r w:rsidRPr="003A3869">
        <w:rPr>
          <w:iCs/>
          <w:sz w:val="22"/>
          <w:szCs w:val="22"/>
          <w:u w:val="none"/>
        </w:rPr>
        <w:t xml:space="preserve">(e) </w:t>
      </w:r>
      <w:r w:rsidRPr="003A3869">
        <w:rPr>
          <w:iCs/>
          <w:sz w:val="22"/>
          <w:szCs w:val="22"/>
          <w:u w:val="none"/>
        </w:rPr>
        <w:tab/>
        <w:t>the removal of the legacy of past racial and gender discrimination in the agricultural sector;</w:t>
      </w:r>
    </w:p>
    <w:p w14:paraId="379C46DE" w14:textId="77777777" w:rsidR="00A92197" w:rsidRPr="003A3869" w:rsidRDefault="00A92197" w:rsidP="003A3869">
      <w:pPr>
        <w:pStyle w:val="ListParagraph"/>
        <w:spacing w:line="360" w:lineRule="auto"/>
        <w:ind w:left="2160" w:hanging="810"/>
        <w:jc w:val="both"/>
        <w:rPr>
          <w:iCs/>
          <w:sz w:val="22"/>
          <w:szCs w:val="22"/>
          <w:u w:val="none"/>
        </w:rPr>
      </w:pPr>
      <w:r w:rsidRPr="003A3869">
        <w:rPr>
          <w:iCs/>
          <w:sz w:val="22"/>
          <w:szCs w:val="22"/>
          <w:u w:val="none"/>
        </w:rPr>
        <w:t xml:space="preserve">(f) </w:t>
      </w:r>
      <w:r w:rsidRPr="003A3869">
        <w:rPr>
          <w:iCs/>
          <w:sz w:val="22"/>
          <w:szCs w:val="22"/>
          <w:u w:val="none"/>
        </w:rPr>
        <w:tab/>
        <w:t xml:space="preserve">the enhancement of productivity, profitability, investment and innovation in the agricultural and rural financial systems; </w:t>
      </w:r>
    </w:p>
    <w:p w14:paraId="015774BD" w14:textId="77777777" w:rsidR="00A92197" w:rsidRPr="003A3869" w:rsidRDefault="00A92197" w:rsidP="003A3869">
      <w:pPr>
        <w:pStyle w:val="ListParagraph"/>
        <w:spacing w:line="360" w:lineRule="auto"/>
        <w:ind w:left="2160" w:hanging="810"/>
        <w:jc w:val="both"/>
        <w:rPr>
          <w:iCs/>
          <w:sz w:val="22"/>
          <w:szCs w:val="22"/>
          <w:u w:val="none"/>
        </w:rPr>
      </w:pPr>
      <w:r w:rsidRPr="003A3869">
        <w:rPr>
          <w:iCs/>
          <w:sz w:val="22"/>
          <w:szCs w:val="22"/>
          <w:u w:val="none"/>
        </w:rPr>
        <w:t xml:space="preserve">(g) </w:t>
      </w:r>
      <w:r w:rsidRPr="003A3869">
        <w:rPr>
          <w:iCs/>
          <w:sz w:val="22"/>
          <w:szCs w:val="22"/>
          <w:u w:val="none"/>
        </w:rPr>
        <w:tab/>
        <w:t>programmes designed to stimulate the growth of the agricultural sector and the better use of land;</w:t>
      </w:r>
    </w:p>
    <w:p w14:paraId="13263215" w14:textId="77777777" w:rsidR="00A92197" w:rsidRPr="003A3869" w:rsidRDefault="00A92197" w:rsidP="003A3869">
      <w:pPr>
        <w:pStyle w:val="ListParagraph"/>
        <w:spacing w:line="360" w:lineRule="auto"/>
        <w:ind w:left="2160" w:hanging="810"/>
        <w:jc w:val="both"/>
        <w:rPr>
          <w:iCs/>
          <w:sz w:val="22"/>
          <w:szCs w:val="22"/>
          <w:u w:val="none"/>
        </w:rPr>
      </w:pPr>
      <w:r w:rsidRPr="003A3869">
        <w:rPr>
          <w:iCs/>
          <w:sz w:val="22"/>
          <w:szCs w:val="22"/>
          <w:u w:val="none"/>
        </w:rPr>
        <w:t xml:space="preserve">(h) </w:t>
      </w:r>
      <w:r w:rsidRPr="003A3869">
        <w:rPr>
          <w:iCs/>
          <w:sz w:val="22"/>
          <w:szCs w:val="22"/>
          <w:u w:val="none"/>
        </w:rPr>
        <w:tab/>
        <w:t>programmes designed to promote and develop the environmental sustainability of land and related natural resources;</w:t>
      </w:r>
    </w:p>
    <w:p w14:paraId="3B5C04AE" w14:textId="77777777" w:rsidR="00A92197" w:rsidRPr="003A3869" w:rsidRDefault="00A92197" w:rsidP="003A3869">
      <w:pPr>
        <w:pStyle w:val="ListParagraph"/>
        <w:spacing w:line="360" w:lineRule="auto"/>
        <w:ind w:left="2160" w:hanging="810"/>
        <w:jc w:val="both"/>
        <w:rPr>
          <w:iCs/>
          <w:sz w:val="22"/>
          <w:szCs w:val="22"/>
          <w:u w:val="none"/>
        </w:rPr>
      </w:pPr>
      <w:r w:rsidRPr="003A3869">
        <w:rPr>
          <w:iCs/>
          <w:sz w:val="22"/>
          <w:szCs w:val="22"/>
          <w:u w:val="none"/>
        </w:rPr>
        <w:t>(</w:t>
      </w:r>
      <w:proofErr w:type="spellStart"/>
      <w:r w:rsidRPr="003A3869">
        <w:rPr>
          <w:iCs/>
          <w:sz w:val="22"/>
          <w:szCs w:val="22"/>
          <w:u w:val="none"/>
        </w:rPr>
        <w:t>i</w:t>
      </w:r>
      <w:proofErr w:type="spellEnd"/>
      <w:r w:rsidRPr="003A3869">
        <w:rPr>
          <w:iCs/>
          <w:sz w:val="22"/>
          <w:szCs w:val="22"/>
          <w:u w:val="none"/>
        </w:rPr>
        <w:t xml:space="preserve">) </w:t>
      </w:r>
      <w:r w:rsidRPr="003A3869">
        <w:rPr>
          <w:iCs/>
          <w:sz w:val="22"/>
          <w:szCs w:val="22"/>
          <w:u w:val="none"/>
        </w:rPr>
        <w:tab/>
        <w:t>programmes that contribute to agricultural aspects of rural development and job creation;</w:t>
      </w:r>
    </w:p>
    <w:p w14:paraId="542C5D44" w14:textId="77777777" w:rsidR="00A92197" w:rsidRPr="003A3869" w:rsidRDefault="00A92197" w:rsidP="003A3869">
      <w:pPr>
        <w:pStyle w:val="ListParagraph"/>
        <w:spacing w:line="360" w:lineRule="auto"/>
        <w:ind w:left="1320" w:firstLine="30"/>
        <w:jc w:val="both"/>
        <w:rPr>
          <w:iCs/>
          <w:sz w:val="22"/>
          <w:szCs w:val="22"/>
          <w:u w:val="none"/>
        </w:rPr>
      </w:pPr>
      <w:r w:rsidRPr="003A3869">
        <w:rPr>
          <w:iCs/>
          <w:sz w:val="22"/>
          <w:szCs w:val="22"/>
          <w:u w:val="none"/>
        </w:rPr>
        <w:t xml:space="preserve">(j) </w:t>
      </w:r>
      <w:r w:rsidRPr="003A3869">
        <w:rPr>
          <w:iCs/>
          <w:sz w:val="22"/>
          <w:szCs w:val="22"/>
          <w:u w:val="none"/>
        </w:rPr>
        <w:tab/>
        <w:t>commercial agriculture; and</w:t>
      </w:r>
    </w:p>
    <w:p w14:paraId="4502D7F7" w14:textId="77777777" w:rsidR="00A92197" w:rsidRPr="003A3869" w:rsidRDefault="00A92197" w:rsidP="003A3869">
      <w:pPr>
        <w:pStyle w:val="ListParagraph"/>
        <w:spacing w:line="360" w:lineRule="auto"/>
        <w:ind w:left="1290" w:firstLine="30"/>
        <w:jc w:val="both"/>
        <w:rPr>
          <w:iCs/>
          <w:sz w:val="22"/>
          <w:szCs w:val="22"/>
          <w:u w:val="none"/>
        </w:rPr>
      </w:pPr>
      <w:r w:rsidRPr="003A3869">
        <w:rPr>
          <w:iCs/>
          <w:sz w:val="22"/>
          <w:szCs w:val="22"/>
          <w:u w:val="none"/>
        </w:rPr>
        <w:t>(k)</w:t>
      </w:r>
      <w:r w:rsidRPr="003A3869">
        <w:rPr>
          <w:iCs/>
          <w:sz w:val="22"/>
          <w:szCs w:val="22"/>
          <w:u w:val="none"/>
        </w:rPr>
        <w:tab/>
        <w:t>food security.</w:t>
      </w:r>
    </w:p>
    <w:p w14:paraId="1923E58A" w14:textId="77777777" w:rsidR="00A92197" w:rsidRPr="003A3869" w:rsidRDefault="00A92197" w:rsidP="008737CF">
      <w:pPr>
        <w:pStyle w:val="ListParagraph"/>
        <w:spacing w:line="360" w:lineRule="auto"/>
        <w:ind w:left="690"/>
        <w:jc w:val="both"/>
        <w:rPr>
          <w:iCs/>
          <w:sz w:val="22"/>
          <w:szCs w:val="22"/>
        </w:rPr>
      </w:pPr>
    </w:p>
    <w:p w14:paraId="1129AB90" w14:textId="77777777" w:rsidR="00A92197" w:rsidRPr="003A3869" w:rsidRDefault="00A92197" w:rsidP="003A3869">
      <w:pPr>
        <w:pStyle w:val="ListParagraph"/>
        <w:spacing w:line="360" w:lineRule="auto"/>
        <w:ind w:left="1260" w:firstLine="30"/>
        <w:jc w:val="both"/>
        <w:rPr>
          <w:iCs/>
          <w:sz w:val="22"/>
          <w:szCs w:val="22"/>
          <w:u w:val="none"/>
        </w:rPr>
      </w:pPr>
      <w:r w:rsidRPr="003A3869">
        <w:rPr>
          <w:iCs/>
          <w:sz w:val="22"/>
          <w:szCs w:val="22"/>
          <w:u w:val="none"/>
        </w:rPr>
        <w:t>(2) The Bank must achieve its objects by—</w:t>
      </w:r>
    </w:p>
    <w:p w14:paraId="06A77148" w14:textId="77777777" w:rsidR="00A92197" w:rsidRPr="003A3869" w:rsidRDefault="00A92197" w:rsidP="003A3869">
      <w:pPr>
        <w:pStyle w:val="ListParagraph"/>
        <w:spacing w:line="360" w:lineRule="auto"/>
        <w:ind w:left="2160" w:hanging="900"/>
        <w:jc w:val="both"/>
        <w:rPr>
          <w:iCs/>
          <w:sz w:val="22"/>
          <w:szCs w:val="22"/>
          <w:u w:val="none"/>
        </w:rPr>
      </w:pPr>
      <w:r w:rsidRPr="003A3869">
        <w:rPr>
          <w:iCs/>
          <w:sz w:val="22"/>
          <w:szCs w:val="22"/>
          <w:u w:val="none"/>
        </w:rPr>
        <w:t>(a)</w:t>
      </w:r>
      <w:r w:rsidRPr="003A3869">
        <w:rPr>
          <w:iCs/>
          <w:sz w:val="22"/>
          <w:szCs w:val="22"/>
          <w:u w:val="none"/>
        </w:rPr>
        <w:tab/>
        <w:t>providing financial services to promote and facilitate access to ownership of land for the development of farming enterprises and for agricultural purposes by historically disadvantaged persons;</w:t>
      </w:r>
    </w:p>
    <w:p w14:paraId="60B192F3" w14:textId="77777777" w:rsidR="00A92197" w:rsidRPr="003A3869" w:rsidRDefault="00A92197" w:rsidP="003A3869">
      <w:pPr>
        <w:pStyle w:val="ListParagraph"/>
        <w:spacing w:line="360" w:lineRule="auto"/>
        <w:ind w:left="1230" w:firstLine="30"/>
        <w:jc w:val="both"/>
        <w:rPr>
          <w:iCs/>
          <w:sz w:val="22"/>
          <w:szCs w:val="22"/>
          <w:u w:val="none"/>
        </w:rPr>
      </w:pPr>
      <w:r w:rsidRPr="003A3869">
        <w:rPr>
          <w:iCs/>
          <w:sz w:val="22"/>
          <w:szCs w:val="22"/>
          <w:u w:val="none"/>
        </w:rPr>
        <w:t xml:space="preserve">(b) </w:t>
      </w:r>
      <w:r w:rsidRPr="003A3869">
        <w:rPr>
          <w:iCs/>
          <w:sz w:val="22"/>
          <w:szCs w:val="22"/>
          <w:u w:val="none"/>
        </w:rPr>
        <w:tab/>
        <w:t>providing financial services in support of any of its objects;</w:t>
      </w:r>
    </w:p>
    <w:p w14:paraId="175F4C2C" w14:textId="77777777" w:rsidR="00A92197" w:rsidRPr="003A3869" w:rsidRDefault="00A92197" w:rsidP="003A3869">
      <w:pPr>
        <w:pStyle w:val="ListParagraph"/>
        <w:spacing w:line="360" w:lineRule="auto"/>
        <w:ind w:left="2160" w:hanging="930"/>
        <w:jc w:val="both"/>
        <w:rPr>
          <w:iCs/>
          <w:sz w:val="22"/>
          <w:szCs w:val="22"/>
          <w:u w:val="none"/>
        </w:rPr>
      </w:pPr>
      <w:r w:rsidRPr="003A3869">
        <w:rPr>
          <w:iCs/>
          <w:sz w:val="22"/>
          <w:szCs w:val="22"/>
          <w:u w:val="none"/>
        </w:rPr>
        <w:t xml:space="preserve">(c) </w:t>
      </w:r>
      <w:r w:rsidRPr="003A3869">
        <w:rPr>
          <w:iCs/>
          <w:sz w:val="22"/>
          <w:szCs w:val="22"/>
          <w:u w:val="none"/>
        </w:rPr>
        <w:tab/>
        <w:t>facilitating and mobilising private sector finance to the agricultural sector; and</w:t>
      </w:r>
    </w:p>
    <w:p w14:paraId="3DF9E9EF" w14:textId="4D15591C" w:rsidR="00A92197" w:rsidRDefault="00A92197" w:rsidP="003A3869">
      <w:pPr>
        <w:pStyle w:val="ListParagraph"/>
        <w:spacing w:line="360" w:lineRule="auto"/>
        <w:ind w:left="2160" w:hanging="930"/>
        <w:jc w:val="both"/>
        <w:rPr>
          <w:iCs/>
          <w:sz w:val="22"/>
          <w:szCs w:val="22"/>
          <w:u w:val="none"/>
        </w:rPr>
      </w:pPr>
      <w:r w:rsidRPr="003A3869">
        <w:rPr>
          <w:iCs/>
          <w:sz w:val="22"/>
          <w:szCs w:val="22"/>
          <w:u w:val="none"/>
        </w:rPr>
        <w:t xml:space="preserve">(d) </w:t>
      </w:r>
      <w:r w:rsidRPr="003A3869">
        <w:rPr>
          <w:iCs/>
          <w:sz w:val="22"/>
          <w:szCs w:val="22"/>
          <w:u w:val="none"/>
        </w:rPr>
        <w:tab/>
        <w:t>providing such assistance as is necessary for carrying out the objects of the Bank.”</w:t>
      </w:r>
    </w:p>
    <w:p w14:paraId="47085FE3" w14:textId="77777777" w:rsidR="00E542B5" w:rsidRPr="003A3869" w:rsidRDefault="00E542B5" w:rsidP="003A3869">
      <w:pPr>
        <w:pStyle w:val="ListParagraph"/>
        <w:spacing w:line="360" w:lineRule="auto"/>
        <w:ind w:left="2160" w:hanging="930"/>
        <w:jc w:val="both"/>
        <w:rPr>
          <w:iCs/>
          <w:sz w:val="22"/>
          <w:szCs w:val="22"/>
        </w:rPr>
      </w:pPr>
    </w:p>
    <w:p w14:paraId="37904746" w14:textId="3F884BB4" w:rsidR="00A92197" w:rsidRPr="003A3869" w:rsidRDefault="00E542B5" w:rsidP="003A3869">
      <w:pPr>
        <w:pStyle w:val="ListParagraph"/>
        <w:spacing w:line="480" w:lineRule="auto"/>
        <w:ind w:left="690"/>
        <w:jc w:val="both"/>
        <w:rPr>
          <w:b/>
          <w:iCs/>
          <w:u w:val="none"/>
        </w:rPr>
      </w:pPr>
      <w:r w:rsidRPr="003A3869">
        <w:rPr>
          <w:b/>
          <w:iCs/>
          <w:u w:val="none"/>
        </w:rPr>
        <w:t xml:space="preserve">Conclusion </w:t>
      </w:r>
    </w:p>
    <w:p w14:paraId="50BCD581" w14:textId="46382710" w:rsidR="00E542B5" w:rsidRDefault="00A92197">
      <w:pPr>
        <w:pStyle w:val="ListParagraph"/>
        <w:numPr>
          <w:ilvl w:val="0"/>
          <w:numId w:val="2"/>
        </w:numPr>
        <w:spacing w:line="480" w:lineRule="auto"/>
        <w:jc w:val="both"/>
        <w:rPr>
          <w:u w:val="none"/>
        </w:rPr>
      </w:pPr>
      <w:r w:rsidRPr="008737CF">
        <w:rPr>
          <w:u w:val="none"/>
        </w:rPr>
        <w:t>The applicant</w:t>
      </w:r>
      <w:r w:rsidR="009A219E">
        <w:rPr>
          <w:u w:val="none"/>
        </w:rPr>
        <w:t>,</w:t>
      </w:r>
      <w:r w:rsidRPr="008737CF">
        <w:rPr>
          <w:u w:val="none"/>
        </w:rPr>
        <w:t xml:space="preserve"> as liquidating creditor</w:t>
      </w:r>
      <w:r w:rsidR="009A219E">
        <w:rPr>
          <w:u w:val="none"/>
        </w:rPr>
        <w:t>,</w:t>
      </w:r>
      <w:r w:rsidRPr="008737CF">
        <w:rPr>
          <w:u w:val="none"/>
        </w:rPr>
        <w:t xml:space="preserve"> only needs to prove the respondent’s indebtedness of over R100.00, which it did by virtue of the contractually agreed certificates of balances over and above the princip</w:t>
      </w:r>
      <w:r w:rsidR="00FB186C">
        <w:rPr>
          <w:u w:val="none"/>
        </w:rPr>
        <w:t>al</w:t>
      </w:r>
      <w:r w:rsidRPr="008737CF">
        <w:rPr>
          <w:u w:val="none"/>
        </w:rPr>
        <w:t xml:space="preserve"> debtor’s admission under </w:t>
      </w:r>
      <w:r w:rsidRPr="008737CF">
        <w:rPr>
          <w:u w:val="none"/>
        </w:rPr>
        <w:lastRenderedPageBreak/>
        <w:t>oath. As for the dispute regarding the calculation of indebtedness, the respondent asserts without more, that it is not “</w:t>
      </w:r>
      <w:r w:rsidRPr="003A3869">
        <w:rPr>
          <w:i/>
          <w:u w:val="none"/>
        </w:rPr>
        <w:t>able to scrutinise the applicant’s</w:t>
      </w:r>
      <w:r w:rsidRPr="003A3869">
        <w:rPr>
          <w:i/>
        </w:rPr>
        <w:t xml:space="preserve"> </w:t>
      </w:r>
      <w:r w:rsidRPr="003A3869">
        <w:rPr>
          <w:i/>
          <w:u w:val="none"/>
        </w:rPr>
        <w:t>claim</w:t>
      </w:r>
      <w:r w:rsidR="00FB186C" w:rsidRPr="003A3869">
        <w:rPr>
          <w:i/>
          <w:u w:val="none"/>
        </w:rPr>
        <w:t xml:space="preserve"> </w:t>
      </w:r>
      <w:r w:rsidRPr="003A3869">
        <w:rPr>
          <w:i/>
          <w:u w:val="none"/>
        </w:rPr>
        <w:t>indebtedness any further tha</w:t>
      </w:r>
      <w:r w:rsidR="00E542B5">
        <w:rPr>
          <w:i/>
          <w:u w:val="none"/>
        </w:rPr>
        <w:t>n</w:t>
      </w:r>
      <w:r w:rsidRPr="003A3869">
        <w:rPr>
          <w:i/>
          <w:u w:val="none"/>
        </w:rPr>
        <w:t xml:space="preserve"> to say that it appears inaccurate</w:t>
      </w:r>
      <w:r w:rsidRPr="008737CF">
        <w:rPr>
          <w:u w:val="none"/>
        </w:rPr>
        <w:t xml:space="preserve">”. Consequently, the respondent has failed to raise a real, material or </w:t>
      </w:r>
      <w:r w:rsidRPr="008737CF">
        <w:rPr>
          <w:i/>
          <w:iCs/>
          <w:u w:val="none"/>
        </w:rPr>
        <w:t>bona fide</w:t>
      </w:r>
      <w:r w:rsidRPr="008737CF">
        <w:rPr>
          <w:u w:val="none"/>
        </w:rPr>
        <w:t xml:space="preserve"> dispute of fact. On the principles enunciated in </w:t>
      </w:r>
      <w:proofErr w:type="spellStart"/>
      <w:r w:rsidRPr="008737CF">
        <w:rPr>
          <w:i/>
          <w:iCs/>
          <w:u w:val="none"/>
        </w:rPr>
        <w:t>Kalil</w:t>
      </w:r>
      <w:proofErr w:type="spellEnd"/>
      <w:r w:rsidRPr="008737CF">
        <w:rPr>
          <w:i/>
          <w:iCs/>
          <w:u w:val="none"/>
        </w:rPr>
        <w:t xml:space="preserve"> v </w:t>
      </w:r>
      <w:proofErr w:type="spellStart"/>
      <w:r w:rsidRPr="008737CF">
        <w:rPr>
          <w:i/>
          <w:iCs/>
          <w:u w:val="none"/>
        </w:rPr>
        <w:t>Decotex</w:t>
      </w:r>
      <w:proofErr w:type="spellEnd"/>
      <w:r w:rsidR="00FB186C">
        <w:rPr>
          <w:i/>
          <w:iCs/>
          <w:u w:val="none"/>
        </w:rPr>
        <w:t xml:space="preserve"> (Pty) Ltd &amp; Another,</w:t>
      </w:r>
      <w:r w:rsidRPr="008737CF">
        <w:rPr>
          <w:rStyle w:val="FootnoteReference"/>
          <w:i/>
          <w:iCs/>
          <w:u w:val="none"/>
        </w:rPr>
        <w:footnoteReference w:id="12"/>
      </w:r>
      <w:r w:rsidR="00FB186C">
        <w:rPr>
          <w:u w:val="none"/>
        </w:rPr>
        <w:t xml:space="preserve"> </w:t>
      </w:r>
      <w:r w:rsidRPr="008737CF">
        <w:rPr>
          <w:u w:val="none"/>
        </w:rPr>
        <w:t xml:space="preserve">a provisional order is justified. </w:t>
      </w:r>
    </w:p>
    <w:p w14:paraId="7D2556F6" w14:textId="77777777" w:rsidR="00E542B5" w:rsidRPr="003A3869" w:rsidRDefault="00E542B5" w:rsidP="003A3869">
      <w:pPr>
        <w:spacing w:line="480" w:lineRule="auto"/>
        <w:jc w:val="both"/>
        <w:rPr>
          <w:u w:val="none"/>
        </w:rPr>
      </w:pPr>
    </w:p>
    <w:p w14:paraId="03FB479A" w14:textId="77777777" w:rsidR="00A92197" w:rsidRPr="008737CF" w:rsidRDefault="00A92197" w:rsidP="00A92197">
      <w:pPr>
        <w:pStyle w:val="ListParagraph"/>
        <w:numPr>
          <w:ilvl w:val="0"/>
          <w:numId w:val="2"/>
        </w:numPr>
        <w:spacing w:line="480" w:lineRule="auto"/>
        <w:jc w:val="both"/>
        <w:rPr>
          <w:u w:val="none"/>
        </w:rPr>
      </w:pPr>
      <w:r w:rsidRPr="008737CF">
        <w:rPr>
          <w:u w:val="none"/>
        </w:rPr>
        <w:t>Order</w:t>
      </w:r>
    </w:p>
    <w:p w14:paraId="59F68336" w14:textId="733F628E" w:rsidR="00A92197" w:rsidRPr="008737CF" w:rsidRDefault="00A92197" w:rsidP="008737CF">
      <w:pPr>
        <w:pStyle w:val="ListParagraph"/>
        <w:spacing w:line="480" w:lineRule="auto"/>
        <w:ind w:left="690"/>
        <w:jc w:val="both"/>
        <w:rPr>
          <w:u w:val="none"/>
        </w:rPr>
      </w:pPr>
      <w:r w:rsidRPr="008737CF">
        <w:rPr>
          <w:u w:val="none"/>
        </w:rPr>
        <w:t xml:space="preserve">1. The </w:t>
      </w:r>
      <w:r w:rsidR="00FB186C">
        <w:rPr>
          <w:u w:val="none"/>
        </w:rPr>
        <w:t>r</w:t>
      </w:r>
      <w:r w:rsidRPr="008737CF">
        <w:rPr>
          <w:u w:val="none"/>
        </w:rPr>
        <w:t xml:space="preserve">espondent is placed under provisional liquidation; </w:t>
      </w:r>
    </w:p>
    <w:p w14:paraId="61148528" w14:textId="0B1E274D" w:rsidR="00A92197" w:rsidRPr="008737CF" w:rsidRDefault="00A92197" w:rsidP="003A3869">
      <w:pPr>
        <w:pStyle w:val="ListParagraph"/>
        <w:spacing w:line="480" w:lineRule="auto"/>
        <w:jc w:val="both"/>
        <w:rPr>
          <w:u w:val="none"/>
        </w:rPr>
      </w:pPr>
      <w:r w:rsidRPr="008737CF">
        <w:rPr>
          <w:u w:val="none"/>
        </w:rPr>
        <w:t xml:space="preserve">2. All persons who have a legitimate interest are called upon to put forward their </w:t>
      </w:r>
      <w:r w:rsidR="00FB186C">
        <w:rPr>
          <w:u w:val="none"/>
        </w:rPr>
        <w:br/>
        <w:t xml:space="preserve">    </w:t>
      </w:r>
      <w:r w:rsidRPr="008737CF">
        <w:rPr>
          <w:u w:val="none"/>
        </w:rPr>
        <w:t xml:space="preserve">reasons why this </w:t>
      </w:r>
      <w:r w:rsidR="00FB186C">
        <w:rPr>
          <w:u w:val="none"/>
        </w:rPr>
        <w:t>c</w:t>
      </w:r>
      <w:r w:rsidRPr="008737CF">
        <w:rPr>
          <w:u w:val="none"/>
        </w:rPr>
        <w:t xml:space="preserve">ourt should not order the final winding up of the respondent </w:t>
      </w:r>
      <w:r w:rsidR="00FB186C">
        <w:rPr>
          <w:u w:val="none"/>
        </w:rPr>
        <w:br/>
        <w:t xml:space="preserve">    </w:t>
      </w:r>
      <w:r w:rsidRPr="008737CF">
        <w:rPr>
          <w:u w:val="none"/>
        </w:rPr>
        <w:t xml:space="preserve">on </w:t>
      </w:r>
      <w:r w:rsidR="00F01705">
        <w:rPr>
          <w:u w:val="none"/>
        </w:rPr>
        <w:t>17 October</w:t>
      </w:r>
      <w:r w:rsidRPr="008737CF">
        <w:rPr>
          <w:u w:val="none"/>
        </w:rPr>
        <w:t xml:space="preserve"> 2022 at 10h00 or </w:t>
      </w:r>
      <w:r w:rsidR="00FB186C">
        <w:rPr>
          <w:u w:val="none"/>
        </w:rPr>
        <w:t>so</w:t>
      </w:r>
      <w:r w:rsidRPr="008737CF">
        <w:rPr>
          <w:u w:val="none"/>
        </w:rPr>
        <w:t xml:space="preserve"> soon thereafter as the matter may be </w:t>
      </w:r>
      <w:r w:rsidR="00FB186C">
        <w:rPr>
          <w:u w:val="none"/>
        </w:rPr>
        <w:br/>
        <w:t xml:space="preserve">    </w:t>
      </w:r>
      <w:r w:rsidRPr="008737CF">
        <w:rPr>
          <w:u w:val="none"/>
        </w:rPr>
        <w:t>heard;</w:t>
      </w:r>
    </w:p>
    <w:p w14:paraId="6B4547DD" w14:textId="77777777" w:rsidR="00A92197" w:rsidRPr="008737CF" w:rsidRDefault="00A92197" w:rsidP="008737CF">
      <w:pPr>
        <w:pStyle w:val="ListParagraph"/>
        <w:spacing w:line="480" w:lineRule="auto"/>
        <w:ind w:left="690"/>
        <w:jc w:val="both"/>
        <w:rPr>
          <w:u w:val="none"/>
        </w:rPr>
      </w:pPr>
      <w:r w:rsidRPr="008737CF">
        <w:rPr>
          <w:u w:val="none"/>
        </w:rPr>
        <w:t>3. A copy of this order must be served on the respondent at its registered office;</w:t>
      </w:r>
    </w:p>
    <w:p w14:paraId="5BE2DE8C" w14:textId="77777777" w:rsidR="00A92197" w:rsidRPr="008737CF" w:rsidRDefault="00A92197" w:rsidP="008737CF">
      <w:pPr>
        <w:pStyle w:val="ListParagraph"/>
        <w:spacing w:line="480" w:lineRule="auto"/>
        <w:ind w:left="690"/>
        <w:jc w:val="both"/>
        <w:rPr>
          <w:u w:val="none"/>
        </w:rPr>
      </w:pPr>
      <w:r w:rsidRPr="008737CF">
        <w:rPr>
          <w:u w:val="none"/>
        </w:rPr>
        <w:t xml:space="preserve">4. A copy of this order shall be published forthwith once in the Government </w:t>
      </w:r>
      <w:r w:rsidR="00FB186C">
        <w:rPr>
          <w:u w:val="none"/>
        </w:rPr>
        <w:br/>
        <w:t xml:space="preserve">    </w:t>
      </w:r>
      <w:r w:rsidRPr="008737CF">
        <w:rPr>
          <w:u w:val="none"/>
        </w:rPr>
        <w:t>Gazette and a national newspaper;</w:t>
      </w:r>
    </w:p>
    <w:p w14:paraId="2980850A" w14:textId="77777777" w:rsidR="00A92197" w:rsidRPr="008737CF" w:rsidRDefault="00A92197" w:rsidP="008737CF">
      <w:pPr>
        <w:pStyle w:val="ListParagraph"/>
        <w:spacing w:line="480" w:lineRule="auto"/>
        <w:ind w:left="690"/>
        <w:jc w:val="both"/>
        <w:rPr>
          <w:u w:val="none"/>
        </w:rPr>
      </w:pPr>
      <w:r w:rsidRPr="008737CF">
        <w:rPr>
          <w:u w:val="none"/>
        </w:rPr>
        <w:t xml:space="preserve">5. A copy of this order shall be served on each known trade union; </w:t>
      </w:r>
    </w:p>
    <w:p w14:paraId="427CA4DA" w14:textId="77777777" w:rsidR="00A92197" w:rsidRPr="008737CF" w:rsidRDefault="00A92197" w:rsidP="008737CF">
      <w:pPr>
        <w:pStyle w:val="ListParagraph"/>
        <w:spacing w:line="480" w:lineRule="auto"/>
        <w:ind w:left="690"/>
        <w:jc w:val="both"/>
        <w:rPr>
          <w:u w:val="none"/>
        </w:rPr>
      </w:pPr>
      <w:r w:rsidRPr="008737CF">
        <w:rPr>
          <w:u w:val="none"/>
        </w:rPr>
        <w:t xml:space="preserve">6. A copy of this order shall be served on the employees of the company by </w:t>
      </w:r>
      <w:r w:rsidR="00FB186C">
        <w:rPr>
          <w:u w:val="none"/>
        </w:rPr>
        <w:br/>
        <w:t xml:space="preserve">    </w:t>
      </w:r>
      <w:r w:rsidRPr="008737CF">
        <w:rPr>
          <w:u w:val="none"/>
        </w:rPr>
        <w:t xml:space="preserve">affixing a copy of the application to any notice board to which the employees </w:t>
      </w:r>
      <w:r w:rsidR="00FB186C">
        <w:rPr>
          <w:u w:val="none"/>
        </w:rPr>
        <w:br/>
        <w:t xml:space="preserve">    </w:t>
      </w:r>
      <w:r w:rsidRPr="008737CF">
        <w:rPr>
          <w:u w:val="none"/>
        </w:rPr>
        <w:t xml:space="preserve">have access inside the respondent’s premises, or if there is no access to the </w:t>
      </w:r>
      <w:r w:rsidR="00FB186C">
        <w:rPr>
          <w:u w:val="none"/>
        </w:rPr>
        <w:br/>
        <w:t xml:space="preserve">    </w:t>
      </w:r>
      <w:r w:rsidRPr="008737CF">
        <w:rPr>
          <w:u w:val="none"/>
        </w:rPr>
        <w:t xml:space="preserve">premises by the employees, by affixing a copy to the front gate, where </w:t>
      </w:r>
      <w:r w:rsidR="00FB186C">
        <w:rPr>
          <w:u w:val="none"/>
        </w:rPr>
        <w:br/>
        <w:t xml:space="preserve">    </w:t>
      </w:r>
      <w:r w:rsidRPr="008737CF">
        <w:rPr>
          <w:u w:val="none"/>
        </w:rPr>
        <w:t>applicable, failing which</w:t>
      </w:r>
      <w:r w:rsidR="00FB186C">
        <w:rPr>
          <w:u w:val="none"/>
        </w:rPr>
        <w:t>,</w:t>
      </w:r>
      <w:r w:rsidRPr="008737CF">
        <w:rPr>
          <w:u w:val="none"/>
        </w:rPr>
        <w:t xml:space="preserve"> to the front door of the premises from which the </w:t>
      </w:r>
      <w:r w:rsidR="00FB186C">
        <w:rPr>
          <w:u w:val="none"/>
        </w:rPr>
        <w:br/>
        <w:t xml:space="preserve">    </w:t>
      </w:r>
      <w:r w:rsidRPr="008737CF">
        <w:rPr>
          <w:u w:val="none"/>
        </w:rPr>
        <w:t xml:space="preserve">respondent conducted any business at the time of the presentation of the </w:t>
      </w:r>
      <w:r w:rsidR="00FB186C">
        <w:rPr>
          <w:u w:val="none"/>
        </w:rPr>
        <w:br/>
        <w:t xml:space="preserve">    </w:t>
      </w:r>
      <w:r w:rsidRPr="008737CF">
        <w:rPr>
          <w:u w:val="none"/>
        </w:rPr>
        <w:t>application;</w:t>
      </w:r>
    </w:p>
    <w:p w14:paraId="42CD1F54" w14:textId="77777777" w:rsidR="00A92197" w:rsidRPr="008737CF" w:rsidRDefault="00A92197" w:rsidP="008737CF">
      <w:pPr>
        <w:pStyle w:val="ListParagraph"/>
        <w:spacing w:line="480" w:lineRule="auto"/>
        <w:ind w:left="690"/>
        <w:jc w:val="both"/>
        <w:rPr>
          <w:u w:val="none"/>
        </w:rPr>
      </w:pPr>
      <w:r w:rsidRPr="008737CF">
        <w:rPr>
          <w:u w:val="none"/>
        </w:rPr>
        <w:lastRenderedPageBreak/>
        <w:t xml:space="preserve"> 7. A copy of this order shall be forwarded to each known creditor by prepaid </w:t>
      </w:r>
      <w:r w:rsidR="00FB186C">
        <w:rPr>
          <w:u w:val="none"/>
        </w:rPr>
        <w:br/>
        <w:t xml:space="preserve">     </w:t>
      </w:r>
      <w:r w:rsidRPr="008737CF">
        <w:rPr>
          <w:u w:val="none"/>
        </w:rPr>
        <w:t>post or by electronically receipted telefax transmission;</w:t>
      </w:r>
    </w:p>
    <w:p w14:paraId="5237B514" w14:textId="77777777" w:rsidR="00A92197" w:rsidRPr="008737CF" w:rsidRDefault="00A92197" w:rsidP="008737CF">
      <w:pPr>
        <w:pStyle w:val="ListParagraph"/>
        <w:spacing w:line="480" w:lineRule="auto"/>
        <w:ind w:left="690"/>
        <w:jc w:val="both"/>
        <w:rPr>
          <w:u w:val="none"/>
        </w:rPr>
      </w:pPr>
      <w:r w:rsidRPr="008737CF">
        <w:rPr>
          <w:u w:val="none"/>
        </w:rPr>
        <w:t xml:space="preserve"> 8. A copy of the order shall be served on the South African Revenue Service; </w:t>
      </w:r>
      <w:r w:rsidR="00FB186C">
        <w:rPr>
          <w:u w:val="none"/>
        </w:rPr>
        <w:br/>
        <w:t xml:space="preserve">     </w:t>
      </w:r>
      <w:r w:rsidRPr="008737CF">
        <w:rPr>
          <w:u w:val="none"/>
        </w:rPr>
        <w:t>and</w:t>
      </w:r>
    </w:p>
    <w:p w14:paraId="3E2A98C2" w14:textId="77777777" w:rsidR="00DA7DF5" w:rsidRDefault="00A92197" w:rsidP="008737CF">
      <w:pPr>
        <w:pStyle w:val="ListParagraph"/>
        <w:spacing w:line="480" w:lineRule="auto"/>
        <w:ind w:left="690"/>
        <w:jc w:val="both"/>
        <w:rPr>
          <w:u w:val="none"/>
        </w:rPr>
      </w:pPr>
      <w:r w:rsidRPr="008737CF">
        <w:rPr>
          <w:u w:val="none"/>
        </w:rPr>
        <w:t>9. Costs of the application shall be costs in the liquidation.</w:t>
      </w:r>
    </w:p>
    <w:p w14:paraId="033311D0" w14:textId="77777777" w:rsidR="00FB186C" w:rsidRPr="008737CF" w:rsidRDefault="00FB186C" w:rsidP="008737CF">
      <w:pPr>
        <w:pStyle w:val="ListParagraph"/>
        <w:spacing w:line="480" w:lineRule="auto"/>
        <w:ind w:left="690"/>
        <w:jc w:val="both"/>
        <w:rPr>
          <w:u w:val="none"/>
        </w:rPr>
      </w:pPr>
    </w:p>
    <w:p w14:paraId="593F090A" w14:textId="77777777" w:rsidR="00972885" w:rsidRPr="00984C0B" w:rsidRDefault="00984C0B" w:rsidP="00984C0B">
      <w:pPr>
        <w:spacing w:before="240" w:after="160" w:line="259" w:lineRule="auto"/>
        <w:ind w:left="6480"/>
        <w:jc w:val="both"/>
      </w:pPr>
      <w:r>
        <w:rPr>
          <w:rFonts w:eastAsiaTheme="minorHAnsi"/>
          <w:lang w:eastAsia="en-US"/>
        </w:rPr>
        <w:t xml:space="preserve">      </w:t>
      </w:r>
      <w:r w:rsidR="00972885">
        <w:rPr>
          <w:b/>
          <w:u w:val="none"/>
        </w:rPr>
        <w:t>________________</w:t>
      </w:r>
    </w:p>
    <w:p w14:paraId="624AB27A" w14:textId="77777777" w:rsidR="00972885" w:rsidRDefault="00972885" w:rsidP="00972885">
      <w:pPr>
        <w:spacing w:line="360" w:lineRule="auto"/>
        <w:jc w:val="right"/>
        <w:rPr>
          <w:b/>
          <w:u w:val="none"/>
        </w:rPr>
      </w:pPr>
      <w:r>
        <w:rPr>
          <w:b/>
          <w:u w:val="none"/>
        </w:rPr>
        <w:t xml:space="preserve"> MUDAU J</w:t>
      </w:r>
    </w:p>
    <w:p w14:paraId="66ADEE1A" w14:textId="77777777" w:rsidR="00972885" w:rsidRPr="003C7CF5" w:rsidRDefault="00972885" w:rsidP="00972885">
      <w:pPr>
        <w:spacing w:line="360" w:lineRule="auto"/>
        <w:jc w:val="right"/>
        <w:rPr>
          <w:b/>
          <w:u w:val="none"/>
        </w:rPr>
      </w:pPr>
      <w:r>
        <w:rPr>
          <w:b/>
          <w:u w:val="none"/>
        </w:rPr>
        <w:t>[Judge o</w:t>
      </w:r>
      <w:r w:rsidRPr="003C7CF5">
        <w:rPr>
          <w:b/>
          <w:u w:val="none"/>
        </w:rPr>
        <w:t>f the High Co</w:t>
      </w:r>
      <w:r>
        <w:rPr>
          <w:b/>
          <w:u w:val="none"/>
        </w:rPr>
        <w:t>urt]</w:t>
      </w:r>
    </w:p>
    <w:p w14:paraId="399437FC" w14:textId="77777777" w:rsidR="00972885" w:rsidRDefault="00972885" w:rsidP="00972885">
      <w:pPr>
        <w:spacing w:line="360" w:lineRule="auto"/>
        <w:jc w:val="right"/>
        <w:rPr>
          <w:b/>
          <w:u w:val="none"/>
        </w:rPr>
      </w:pPr>
    </w:p>
    <w:p w14:paraId="06347E8A" w14:textId="77777777" w:rsidR="00972885" w:rsidRDefault="00972885" w:rsidP="00972885">
      <w:pPr>
        <w:spacing w:line="360" w:lineRule="auto"/>
        <w:jc w:val="right"/>
        <w:rPr>
          <w:b/>
          <w:u w:val="none"/>
        </w:rPr>
      </w:pPr>
    </w:p>
    <w:p w14:paraId="26E72C42" w14:textId="77777777" w:rsidR="00972885" w:rsidRDefault="00972885" w:rsidP="00972885">
      <w:pPr>
        <w:spacing w:line="360" w:lineRule="auto"/>
        <w:jc w:val="right"/>
        <w:rPr>
          <w:b/>
          <w:u w:val="none"/>
        </w:rPr>
      </w:pPr>
    </w:p>
    <w:p w14:paraId="0D999554" w14:textId="77777777" w:rsidR="00972885" w:rsidRDefault="00972885" w:rsidP="00972885">
      <w:pPr>
        <w:spacing w:line="480" w:lineRule="auto"/>
        <w:jc w:val="both"/>
        <w:rPr>
          <w:u w:val="none"/>
        </w:rPr>
      </w:pPr>
    </w:p>
    <w:p w14:paraId="58027794" w14:textId="77777777" w:rsidR="00972885" w:rsidRDefault="00972885" w:rsidP="00972885">
      <w:pPr>
        <w:spacing w:line="480" w:lineRule="auto"/>
        <w:jc w:val="both"/>
        <w:rPr>
          <w:u w:val="none"/>
        </w:rPr>
      </w:pPr>
      <w:r>
        <w:rPr>
          <w:u w:val="none"/>
        </w:rPr>
        <w:t>APPEARANCES</w:t>
      </w:r>
    </w:p>
    <w:p w14:paraId="71B24E37" w14:textId="77777777" w:rsidR="00972885" w:rsidRDefault="00E46C4B" w:rsidP="007F2CD8">
      <w:pPr>
        <w:spacing w:line="480" w:lineRule="auto"/>
        <w:jc w:val="both"/>
        <w:rPr>
          <w:u w:val="none"/>
        </w:rPr>
      </w:pPr>
      <w:r>
        <w:rPr>
          <w:u w:val="none"/>
        </w:rPr>
        <w:t>For the Applicant:</w:t>
      </w:r>
      <w:r w:rsidR="00972885" w:rsidRPr="007169FE">
        <w:rPr>
          <w:u w:val="none"/>
        </w:rPr>
        <w:tab/>
      </w:r>
      <w:r w:rsidR="00972885" w:rsidRPr="007169FE">
        <w:rPr>
          <w:u w:val="none"/>
        </w:rPr>
        <w:tab/>
      </w:r>
      <w:r w:rsidR="00972885" w:rsidRPr="007169FE">
        <w:rPr>
          <w:u w:val="none"/>
        </w:rPr>
        <w:tab/>
      </w:r>
      <w:r w:rsidR="008737CF" w:rsidRPr="008737CF">
        <w:rPr>
          <w:u w:val="none"/>
        </w:rPr>
        <w:t>Adv L van Gass</w:t>
      </w:r>
    </w:p>
    <w:p w14:paraId="606F91EF" w14:textId="77777777" w:rsidR="00972885" w:rsidRDefault="00972885" w:rsidP="00972885">
      <w:pPr>
        <w:spacing w:line="480" w:lineRule="auto"/>
        <w:jc w:val="both"/>
        <w:rPr>
          <w:u w:val="none"/>
        </w:rPr>
      </w:pPr>
      <w:r w:rsidRPr="007169FE">
        <w:rPr>
          <w:u w:val="none"/>
        </w:rPr>
        <w:t>Instructed by:</w:t>
      </w:r>
      <w:r w:rsidRPr="007169FE">
        <w:rPr>
          <w:u w:val="none"/>
        </w:rPr>
        <w:tab/>
      </w:r>
      <w:r w:rsidR="00AB5C7A">
        <w:rPr>
          <w:u w:val="none"/>
        </w:rPr>
        <w:tab/>
      </w:r>
      <w:r w:rsidR="00AB5C7A">
        <w:rPr>
          <w:u w:val="none"/>
        </w:rPr>
        <w:tab/>
      </w:r>
      <w:r w:rsidR="008737CF" w:rsidRPr="008737CF">
        <w:rPr>
          <w:u w:val="none"/>
        </w:rPr>
        <w:t>VAN GREUNEN AND ASSOCIATES</w:t>
      </w:r>
    </w:p>
    <w:p w14:paraId="333E64B4" w14:textId="77777777" w:rsidR="00972885" w:rsidRDefault="00972885" w:rsidP="00972885">
      <w:pPr>
        <w:spacing w:line="480" w:lineRule="auto"/>
        <w:jc w:val="both"/>
        <w:rPr>
          <w:u w:val="none"/>
        </w:rPr>
      </w:pPr>
      <w:r>
        <w:rPr>
          <w:u w:val="none"/>
        </w:rPr>
        <w:tab/>
      </w:r>
      <w:r>
        <w:rPr>
          <w:u w:val="none"/>
        </w:rPr>
        <w:tab/>
      </w:r>
      <w:r>
        <w:rPr>
          <w:u w:val="none"/>
        </w:rPr>
        <w:tab/>
      </w:r>
      <w:r>
        <w:rPr>
          <w:u w:val="none"/>
        </w:rPr>
        <w:tab/>
      </w:r>
      <w:r>
        <w:rPr>
          <w:u w:val="none"/>
        </w:rPr>
        <w:tab/>
      </w:r>
      <w:r w:rsidRPr="007169FE">
        <w:rPr>
          <w:u w:val="none"/>
        </w:rPr>
        <w:tab/>
      </w:r>
      <w:r>
        <w:rPr>
          <w:u w:val="none"/>
        </w:rPr>
        <w:tab/>
      </w:r>
    </w:p>
    <w:p w14:paraId="7BAA0FEC" w14:textId="77777777" w:rsidR="008737CF" w:rsidRDefault="00972885" w:rsidP="00972885">
      <w:pPr>
        <w:spacing w:line="480" w:lineRule="auto"/>
        <w:jc w:val="both"/>
        <w:rPr>
          <w:u w:val="none"/>
        </w:rPr>
      </w:pPr>
      <w:r>
        <w:rPr>
          <w:u w:val="none"/>
        </w:rPr>
        <w:t xml:space="preserve">For the </w:t>
      </w:r>
      <w:r w:rsidRPr="007169FE">
        <w:rPr>
          <w:u w:val="none"/>
        </w:rPr>
        <w:t>Respondent</w:t>
      </w:r>
      <w:r w:rsidR="00984C0B">
        <w:rPr>
          <w:u w:val="none"/>
        </w:rPr>
        <w:t>s</w:t>
      </w:r>
      <w:r w:rsidRPr="007169FE">
        <w:rPr>
          <w:u w:val="none"/>
        </w:rPr>
        <w:t>:</w:t>
      </w:r>
      <w:r w:rsidR="008737CF">
        <w:rPr>
          <w:u w:val="none"/>
        </w:rPr>
        <w:t xml:space="preserve">                   Adv.  </w:t>
      </w:r>
      <w:r w:rsidR="008737CF" w:rsidRPr="008737CF">
        <w:rPr>
          <w:u w:val="none"/>
        </w:rPr>
        <w:t xml:space="preserve">W. </w:t>
      </w:r>
      <w:proofErr w:type="spellStart"/>
      <w:r w:rsidR="008737CF" w:rsidRPr="008737CF">
        <w:rPr>
          <w:u w:val="none"/>
        </w:rPr>
        <w:t>Strobl</w:t>
      </w:r>
      <w:proofErr w:type="spellEnd"/>
    </w:p>
    <w:p w14:paraId="4631DC53" w14:textId="1114DBB8" w:rsidR="00AB5C7A" w:rsidRDefault="008737CF" w:rsidP="00972885">
      <w:pPr>
        <w:spacing w:line="480" w:lineRule="auto"/>
        <w:jc w:val="both"/>
        <w:rPr>
          <w:u w:val="none"/>
        </w:rPr>
      </w:pPr>
      <w:r>
        <w:rPr>
          <w:u w:val="none"/>
        </w:rPr>
        <w:t xml:space="preserve">Instructed by: </w:t>
      </w:r>
      <w:r w:rsidR="00972885">
        <w:rPr>
          <w:u w:val="none"/>
        </w:rPr>
        <w:tab/>
      </w:r>
      <w:r w:rsidR="00AB5C7A">
        <w:rPr>
          <w:u w:val="none"/>
        </w:rPr>
        <w:tab/>
      </w:r>
      <w:r w:rsidR="00DF733F">
        <w:rPr>
          <w:u w:val="none"/>
        </w:rPr>
        <w:tab/>
      </w:r>
      <w:r w:rsidRPr="008737CF">
        <w:rPr>
          <w:u w:val="none"/>
        </w:rPr>
        <w:t xml:space="preserve">KRAMER VILLION NORRIS INC </w:t>
      </w:r>
    </w:p>
    <w:p w14:paraId="01DE4548" w14:textId="77777777" w:rsidR="00972885" w:rsidRDefault="00972885" w:rsidP="00972885">
      <w:pPr>
        <w:spacing w:line="480" w:lineRule="auto"/>
        <w:jc w:val="both"/>
        <w:rPr>
          <w:u w:val="none"/>
        </w:rPr>
      </w:pPr>
      <w:r>
        <w:rPr>
          <w:u w:val="none"/>
        </w:rPr>
        <w:tab/>
      </w:r>
    </w:p>
    <w:p w14:paraId="47148890" w14:textId="77777777" w:rsidR="00AB5C7A" w:rsidRPr="007169FE" w:rsidRDefault="00AB5C7A" w:rsidP="00AB5C7A">
      <w:pPr>
        <w:spacing w:line="480" w:lineRule="auto"/>
        <w:jc w:val="both"/>
        <w:rPr>
          <w:u w:val="none"/>
        </w:rPr>
      </w:pPr>
      <w:r>
        <w:rPr>
          <w:u w:val="none"/>
        </w:rPr>
        <w:t>Date</w:t>
      </w:r>
      <w:r w:rsidRPr="007169FE">
        <w:rPr>
          <w:u w:val="none"/>
        </w:rPr>
        <w:t xml:space="preserve"> of Hearing: </w:t>
      </w:r>
      <w:r w:rsidRPr="007169FE">
        <w:rPr>
          <w:u w:val="none"/>
        </w:rPr>
        <w:tab/>
      </w:r>
      <w:r>
        <w:rPr>
          <w:u w:val="none"/>
        </w:rPr>
        <w:tab/>
      </w:r>
      <w:r>
        <w:rPr>
          <w:u w:val="none"/>
        </w:rPr>
        <w:tab/>
      </w:r>
      <w:r w:rsidR="00984C0B">
        <w:rPr>
          <w:u w:val="none"/>
        </w:rPr>
        <w:t xml:space="preserve">27 July </w:t>
      </w:r>
      <w:r>
        <w:rPr>
          <w:u w:val="none"/>
        </w:rPr>
        <w:t>2022</w:t>
      </w:r>
      <w:r>
        <w:rPr>
          <w:u w:val="none"/>
        </w:rPr>
        <w:tab/>
      </w:r>
      <w:r>
        <w:rPr>
          <w:u w:val="none"/>
        </w:rPr>
        <w:tab/>
      </w:r>
    </w:p>
    <w:p w14:paraId="79C7D8FF" w14:textId="7935B2B4" w:rsidR="00AB5C7A" w:rsidRDefault="00AB5C7A" w:rsidP="00AB5C7A">
      <w:pPr>
        <w:spacing w:line="480" w:lineRule="auto"/>
        <w:jc w:val="both"/>
        <w:rPr>
          <w:u w:val="none"/>
        </w:rPr>
      </w:pPr>
      <w:r w:rsidRPr="007169FE">
        <w:rPr>
          <w:u w:val="none"/>
        </w:rPr>
        <w:t>Date of Judgment:</w:t>
      </w:r>
      <w:r w:rsidRPr="007169FE">
        <w:rPr>
          <w:u w:val="none"/>
        </w:rPr>
        <w:tab/>
      </w:r>
      <w:r w:rsidR="008737CF">
        <w:rPr>
          <w:u w:val="none"/>
        </w:rPr>
        <w:tab/>
      </w:r>
      <w:r w:rsidR="00DF733F">
        <w:rPr>
          <w:u w:val="none"/>
        </w:rPr>
        <w:tab/>
      </w:r>
      <w:r w:rsidR="008737CF">
        <w:rPr>
          <w:u w:val="none"/>
        </w:rPr>
        <w:t>15</w:t>
      </w:r>
      <w:r w:rsidR="00C32774">
        <w:rPr>
          <w:u w:val="none"/>
        </w:rPr>
        <w:t xml:space="preserve"> </w:t>
      </w:r>
      <w:r w:rsidR="008737CF">
        <w:rPr>
          <w:u w:val="none"/>
        </w:rPr>
        <w:t xml:space="preserve">September </w:t>
      </w:r>
      <w:r>
        <w:rPr>
          <w:u w:val="none"/>
        </w:rPr>
        <w:t>2022</w:t>
      </w:r>
    </w:p>
    <w:p w14:paraId="02DCB9EF" w14:textId="77777777" w:rsidR="00972885" w:rsidRDefault="00972885" w:rsidP="00972885">
      <w:pPr>
        <w:spacing w:line="480" w:lineRule="auto"/>
        <w:jc w:val="both"/>
        <w:rPr>
          <w:u w:val="none"/>
        </w:rPr>
      </w:pPr>
      <w:r w:rsidRPr="007169FE">
        <w:rPr>
          <w:u w:val="none"/>
        </w:rPr>
        <w:tab/>
      </w:r>
      <w:r w:rsidRPr="007169FE">
        <w:rPr>
          <w:u w:val="none"/>
        </w:rPr>
        <w:tab/>
      </w:r>
      <w:r w:rsidRPr="007169FE">
        <w:rPr>
          <w:u w:val="none"/>
        </w:rPr>
        <w:tab/>
      </w:r>
    </w:p>
    <w:p w14:paraId="68D5ACB6" w14:textId="77777777" w:rsidR="00972885" w:rsidRPr="007169FE" w:rsidRDefault="00972885" w:rsidP="00972885">
      <w:pPr>
        <w:spacing w:line="480" w:lineRule="auto"/>
        <w:jc w:val="both"/>
        <w:rPr>
          <w:u w:val="none"/>
        </w:rPr>
      </w:pPr>
      <w:r>
        <w:rPr>
          <w:u w:val="none"/>
        </w:rPr>
        <w:tab/>
      </w:r>
      <w:r>
        <w:rPr>
          <w:u w:val="none"/>
        </w:rPr>
        <w:tab/>
      </w:r>
      <w:r>
        <w:rPr>
          <w:u w:val="none"/>
        </w:rPr>
        <w:tab/>
      </w:r>
      <w:r>
        <w:rPr>
          <w:u w:val="none"/>
        </w:rPr>
        <w:tab/>
      </w:r>
      <w:r w:rsidRPr="007169FE">
        <w:rPr>
          <w:u w:val="none"/>
        </w:rPr>
        <w:tab/>
      </w:r>
      <w:r w:rsidRPr="007169FE">
        <w:rPr>
          <w:u w:val="none"/>
        </w:rPr>
        <w:tab/>
      </w:r>
    </w:p>
    <w:p w14:paraId="684FA65F" w14:textId="77777777" w:rsidR="00972885" w:rsidRPr="00D143A7" w:rsidRDefault="00972885" w:rsidP="00972885">
      <w:pPr>
        <w:pStyle w:val="ListParagraph"/>
        <w:spacing w:after="120"/>
        <w:ind w:left="0"/>
        <w:contextualSpacing w:val="0"/>
        <w:rPr>
          <w:u w:val="none"/>
        </w:rPr>
      </w:pPr>
      <w:r w:rsidRPr="007169FE">
        <w:rPr>
          <w:u w:val="none"/>
        </w:rPr>
        <w:tab/>
      </w:r>
      <w:r>
        <w:rPr>
          <w:u w:val="none"/>
        </w:rPr>
        <w:tab/>
      </w:r>
      <w:r>
        <w:rPr>
          <w:u w:val="none"/>
        </w:rPr>
        <w:tab/>
      </w:r>
      <w:r>
        <w:rPr>
          <w:u w:val="none"/>
        </w:rPr>
        <w:tab/>
        <w:t xml:space="preserve"> </w:t>
      </w:r>
    </w:p>
    <w:p w14:paraId="52AE7CB4" w14:textId="77777777" w:rsidR="00972885" w:rsidRPr="00D143A7" w:rsidRDefault="00972885" w:rsidP="00972885">
      <w:pPr>
        <w:pStyle w:val="ListParagraph"/>
        <w:spacing w:after="120"/>
        <w:contextualSpacing w:val="0"/>
        <w:rPr>
          <w:u w:val="none"/>
        </w:rPr>
      </w:pPr>
    </w:p>
    <w:p w14:paraId="0AF2D857" w14:textId="77777777" w:rsidR="002F15B7" w:rsidRDefault="002F15B7"/>
    <w:sectPr w:rsidR="002F15B7" w:rsidSect="000B37FD">
      <w:footerReference w:type="default" r:id="rId9"/>
      <w:pgSz w:w="11906" w:h="16838"/>
      <w:pgMar w:top="110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4FFC" w14:textId="77777777" w:rsidR="00975A96" w:rsidRDefault="00975A96" w:rsidP="00972885">
      <w:r>
        <w:separator/>
      </w:r>
    </w:p>
  </w:endnote>
  <w:endnote w:type="continuationSeparator" w:id="0">
    <w:p w14:paraId="7EFD7234" w14:textId="77777777" w:rsidR="00975A96" w:rsidRDefault="00975A96" w:rsidP="0097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4125" w14:textId="2842E605" w:rsidR="00950FD7" w:rsidRPr="009C3009" w:rsidRDefault="00950FD7">
    <w:pPr>
      <w:pStyle w:val="Footer"/>
      <w:jc w:val="right"/>
      <w:rPr>
        <w:u w:val="none"/>
      </w:rPr>
    </w:pPr>
    <w:r w:rsidRPr="009C3009">
      <w:rPr>
        <w:u w:val="none"/>
      </w:rPr>
      <w:fldChar w:fldCharType="begin"/>
    </w:r>
    <w:r w:rsidRPr="009C3009">
      <w:rPr>
        <w:u w:val="none"/>
      </w:rPr>
      <w:instrText xml:space="preserve"> PAGE   \* MERGEFORMAT </w:instrText>
    </w:r>
    <w:r w:rsidRPr="009C3009">
      <w:rPr>
        <w:u w:val="none"/>
      </w:rPr>
      <w:fldChar w:fldCharType="separate"/>
    </w:r>
    <w:r w:rsidR="0082388A">
      <w:rPr>
        <w:noProof/>
        <w:u w:val="none"/>
      </w:rPr>
      <w:t>2</w:t>
    </w:r>
    <w:r w:rsidRPr="009C3009">
      <w:rPr>
        <w:noProof/>
        <w:u w:val="none"/>
      </w:rPr>
      <w:fldChar w:fldCharType="end"/>
    </w:r>
  </w:p>
  <w:p w14:paraId="3A2CEB21" w14:textId="77777777" w:rsidR="00950FD7" w:rsidRDefault="0095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15078" w14:textId="77777777" w:rsidR="00975A96" w:rsidRDefault="00975A96" w:rsidP="00972885">
      <w:r>
        <w:separator/>
      </w:r>
    </w:p>
  </w:footnote>
  <w:footnote w:type="continuationSeparator" w:id="0">
    <w:p w14:paraId="6177E438" w14:textId="77777777" w:rsidR="00975A96" w:rsidRDefault="00975A96" w:rsidP="00972885">
      <w:r>
        <w:continuationSeparator/>
      </w:r>
    </w:p>
  </w:footnote>
  <w:footnote w:id="1">
    <w:p w14:paraId="6911B859" w14:textId="77777777" w:rsidR="00A92197" w:rsidRPr="003A3869" w:rsidRDefault="00A92197" w:rsidP="00A92197">
      <w:pPr>
        <w:pStyle w:val="FootnoteText"/>
        <w:rPr>
          <w:u w:val="none"/>
        </w:rPr>
      </w:pPr>
      <w:r w:rsidRPr="003A3869">
        <w:rPr>
          <w:rStyle w:val="FootnoteReference"/>
          <w:u w:val="none"/>
        </w:rPr>
        <w:footnoteRef/>
      </w:r>
      <w:r w:rsidRPr="003A3869">
        <w:rPr>
          <w:u w:val="none"/>
        </w:rPr>
        <w:t xml:space="preserve"> Clause 2.2.2.2</w:t>
      </w:r>
      <w:r w:rsidR="00FC733D">
        <w:rPr>
          <w:u w:val="none"/>
        </w:rPr>
        <w:t>.</w:t>
      </w:r>
    </w:p>
  </w:footnote>
  <w:footnote w:id="2">
    <w:p w14:paraId="67DA2E75" w14:textId="77777777" w:rsidR="00A92197" w:rsidRPr="003A3869" w:rsidRDefault="00A92197" w:rsidP="00A92197">
      <w:pPr>
        <w:pStyle w:val="FootnoteText"/>
        <w:rPr>
          <w:u w:val="none"/>
        </w:rPr>
      </w:pPr>
      <w:r w:rsidRPr="003A3869">
        <w:rPr>
          <w:rStyle w:val="FootnoteReference"/>
          <w:u w:val="none"/>
        </w:rPr>
        <w:footnoteRef/>
      </w:r>
      <w:r w:rsidRPr="003A3869">
        <w:rPr>
          <w:u w:val="none"/>
        </w:rPr>
        <w:t xml:space="preserve"> Clause 2.2.2.6</w:t>
      </w:r>
      <w:r w:rsidR="00DB5E11">
        <w:rPr>
          <w:u w:val="none"/>
        </w:rPr>
        <w:t>.</w:t>
      </w:r>
    </w:p>
  </w:footnote>
  <w:footnote w:id="3">
    <w:p w14:paraId="38352F92" w14:textId="77777777" w:rsidR="00A92197" w:rsidRPr="00032096" w:rsidRDefault="00A92197" w:rsidP="00A92197">
      <w:pPr>
        <w:pStyle w:val="FootnoteText"/>
        <w:rPr>
          <w:u w:val="none"/>
        </w:rPr>
      </w:pPr>
      <w:r w:rsidRPr="00032096">
        <w:rPr>
          <w:rStyle w:val="FootnoteReference"/>
          <w:u w:val="none"/>
        </w:rPr>
        <w:footnoteRef/>
      </w:r>
      <w:r w:rsidRPr="00032096">
        <w:rPr>
          <w:u w:val="none"/>
        </w:rPr>
        <w:t xml:space="preserve">  1993 (4) SA 436 (C) at 440F.</w:t>
      </w:r>
    </w:p>
  </w:footnote>
  <w:footnote w:id="4">
    <w:p w14:paraId="1569DC13" w14:textId="01607BF1" w:rsidR="00A92197" w:rsidRPr="00032096" w:rsidRDefault="00A92197" w:rsidP="003A3869">
      <w:pPr>
        <w:pStyle w:val="FootnoteText"/>
        <w:jc w:val="both"/>
        <w:rPr>
          <w:u w:val="none"/>
        </w:rPr>
      </w:pPr>
      <w:r w:rsidRPr="00032096">
        <w:rPr>
          <w:rStyle w:val="FootnoteReference"/>
          <w:u w:val="none"/>
        </w:rPr>
        <w:footnoteRef/>
      </w:r>
      <w:r w:rsidRPr="00032096">
        <w:rPr>
          <w:u w:val="none"/>
        </w:rPr>
        <w:t xml:space="preserve"> 2020 (2) SA 93 (SCA) </w:t>
      </w:r>
      <w:r w:rsidR="00137136">
        <w:rPr>
          <w:u w:val="none"/>
        </w:rPr>
        <w:t>para 23</w:t>
      </w:r>
      <w:r w:rsidR="003548DD">
        <w:rPr>
          <w:u w:val="none"/>
        </w:rPr>
        <w:t>.</w:t>
      </w:r>
    </w:p>
  </w:footnote>
  <w:footnote w:id="5">
    <w:p w14:paraId="192C9441" w14:textId="77777777" w:rsidR="00A92197" w:rsidRPr="00032096" w:rsidRDefault="00A92197" w:rsidP="00A92197">
      <w:pPr>
        <w:pStyle w:val="FootnoteText"/>
        <w:jc w:val="both"/>
        <w:rPr>
          <w:u w:val="none"/>
        </w:rPr>
      </w:pPr>
      <w:r w:rsidRPr="003A3869">
        <w:rPr>
          <w:rStyle w:val="FootnoteReference"/>
          <w:u w:val="none"/>
        </w:rPr>
        <w:footnoteRef/>
      </w:r>
      <w:r w:rsidRPr="003A3869">
        <w:rPr>
          <w:u w:val="none"/>
        </w:rPr>
        <w:t xml:space="preserve"> </w:t>
      </w:r>
      <w:r w:rsidRPr="00032096">
        <w:rPr>
          <w:u w:val="none"/>
        </w:rPr>
        <w:t xml:space="preserve">See </w:t>
      </w:r>
      <w:r w:rsidRPr="00032096">
        <w:rPr>
          <w:i/>
          <w:iCs/>
          <w:u w:val="none"/>
        </w:rPr>
        <w:t>Burger v Central South African Railways</w:t>
      </w:r>
      <w:r w:rsidRPr="00032096">
        <w:rPr>
          <w:u w:val="none"/>
        </w:rPr>
        <w:t xml:space="preserve"> 1903 TS 571.</w:t>
      </w:r>
    </w:p>
  </w:footnote>
  <w:footnote w:id="6">
    <w:p w14:paraId="5E4042CD" w14:textId="4D9C1285" w:rsidR="00A92197" w:rsidRPr="00412547" w:rsidRDefault="00A92197" w:rsidP="00A92197">
      <w:pPr>
        <w:pStyle w:val="FootnoteText"/>
        <w:jc w:val="both"/>
      </w:pPr>
      <w:r w:rsidRPr="00032096">
        <w:rPr>
          <w:rStyle w:val="FootnoteReference"/>
          <w:u w:val="none"/>
        </w:rPr>
        <w:footnoteRef/>
      </w:r>
      <w:r w:rsidRPr="00032096">
        <w:rPr>
          <w:u w:val="none"/>
        </w:rPr>
        <w:t xml:space="preserve"> (187</w:t>
      </w:r>
      <w:r w:rsidR="00534CA0">
        <w:rPr>
          <w:u w:val="none"/>
        </w:rPr>
        <w:t>1</w:t>
      </w:r>
      <w:r w:rsidRPr="00032096">
        <w:rPr>
          <w:u w:val="none"/>
        </w:rPr>
        <w:t>)</w:t>
      </w:r>
      <w:r w:rsidR="00534CA0">
        <w:rPr>
          <w:u w:val="none"/>
        </w:rPr>
        <w:t xml:space="preserve"> L R</w:t>
      </w:r>
      <w:r w:rsidRPr="00032096">
        <w:rPr>
          <w:u w:val="none"/>
        </w:rPr>
        <w:t xml:space="preserve"> 6 QB 597 at 607</w:t>
      </w:r>
      <w:r w:rsidRPr="003A3869">
        <w:rPr>
          <w:u w:val="none"/>
        </w:rPr>
        <w:t>.</w:t>
      </w:r>
    </w:p>
  </w:footnote>
  <w:footnote w:id="7">
    <w:p w14:paraId="624F8D5C" w14:textId="777F5826" w:rsidR="00A92197" w:rsidRPr="008737CF" w:rsidRDefault="00A92197" w:rsidP="00A92197">
      <w:pPr>
        <w:pStyle w:val="FootnoteText"/>
        <w:jc w:val="both"/>
        <w:rPr>
          <w:u w:val="none"/>
        </w:rPr>
      </w:pPr>
      <w:r w:rsidRPr="008737CF">
        <w:rPr>
          <w:rStyle w:val="FootnoteReference"/>
          <w:u w:val="none"/>
        </w:rPr>
        <w:footnoteRef/>
      </w:r>
      <w:r w:rsidRPr="008737CF">
        <w:rPr>
          <w:u w:val="none"/>
        </w:rPr>
        <w:t xml:space="preserve"> </w:t>
      </w:r>
      <w:proofErr w:type="spellStart"/>
      <w:r w:rsidRPr="008737CF">
        <w:rPr>
          <w:i/>
          <w:iCs/>
          <w:u w:val="none"/>
        </w:rPr>
        <w:t>Plascon</w:t>
      </w:r>
      <w:proofErr w:type="spellEnd"/>
      <w:r w:rsidRPr="008737CF">
        <w:rPr>
          <w:i/>
          <w:iCs/>
          <w:u w:val="none"/>
        </w:rPr>
        <w:t xml:space="preserve">-Evans Paints Ltd v Van </w:t>
      </w:r>
      <w:proofErr w:type="spellStart"/>
      <w:r w:rsidRPr="008737CF">
        <w:rPr>
          <w:i/>
          <w:iCs/>
          <w:u w:val="none"/>
        </w:rPr>
        <w:t>Riebeeck</w:t>
      </w:r>
      <w:proofErr w:type="spellEnd"/>
      <w:r w:rsidRPr="008737CF">
        <w:rPr>
          <w:i/>
          <w:iCs/>
          <w:u w:val="none"/>
        </w:rPr>
        <w:t xml:space="preserve"> Paints (Pty) Ltd</w:t>
      </w:r>
      <w:r w:rsidRPr="008737CF">
        <w:rPr>
          <w:u w:val="none"/>
        </w:rPr>
        <w:t xml:space="preserve"> 1984 (3) SA 623 (A) 634H – 635C</w:t>
      </w:r>
      <w:r w:rsidR="00134C0D">
        <w:rPr>
          <w:u w:val="none"/>
        </w:rPr>
        <w:t>.</w:t>
      </w:r>
      <w:r w:rsidRPr="008737CF">
        <w:rPr>
          <w:u w:val="none"/>
        </w:rPr>
        <w:t xml:space="preserve"> </w:t>
      </w:r>
    </w:p>
  </w:footnote>
  <w:footnote w:id="8">
    <w:p w14:paraId="20EEE8ED" w14:textId="6B658FDB" w:rsidR="00A92197" w:rsidRPr="008737CF" w:rsidRDefault="00A92197" w:rsidP="00A92197">
      <w:pPr>
        <w:pStyle w:val="FootnoteText"/>
        <w:jc w:val="both"/>
        <w:rPr>
          <w:u w:val="none"/>
        </w:rPr>
      </w:pPr>
      <w:r w:rsidRPr="008737CF">
        <w:rPr>
          <w:rStyle w:val="FootnoteReference"/>
          <w:u w:val="none"/>
        </w:rPr>
        <w:footnoteRef/>
      </w:r>
      <w:r w:rsidRPr="008737CF">
        <w:rPr>
          <w:u w:val="none"/>
        </w:rPr>
        <w:t xml:space="preserve"> Unreported SCA decision with neutral citation (1120/2018) [2019] ZASCA 150 (22 November 2019)</w:t>
      </w:r>
      <w:r w:rsidR="00FA3C55">
        <w:rPr>
          <w:u w:val="none"/>
        </w:rPr>
        <w:t xml:space="preserve"> </w:t>
      </w:r>
      <w:r w:rsidR="00FA3C55">
        <w:rPr>
          <w:u w:val="none"/>
        </w:rPr>
        <w:br/>
        <w:t xml:space="preserve">   para 25.</w:t>
      </w:r>
    </w:p>
  </w:footnote>
  <w:footnote w:id="9">
    <w:p w14:paraId="086A9229" w14:textId="324CADAF" w:rsidR="00A92197" w:rsidRPr="008737CF" w:rsidRDefault="00A92197" w:rsidP="00A92197">
      <w:pPr>
        <w:pStyle w:val="FootnoteText"/>
        <w:jc w:val="both"/>
        <w:rPr>
          <w:u w:val="none"/>
        </w:rPr>
      </w:pPr>
      <w:r w:rsidRPr="008737CF">
        <w:rPr>
          <w:rStyle w:val="FootnoteReference"/>
          <w:u w:val="none"/>
        </w:rPr>
        <w:footnoteRef/>
      </w:r>
      <w:r w:rsidRPr="008737CF">
        <w:rPr>
          <w:u w:val="none"/>
        </w:rPr>
        <w:t xml:space="preserve"> </w:t>
      </w:r>
      <w:r w:rsidR="00280B4F">
        <w:rPr>
          <w:u w:val="none"/>
        </w:rPr>
        <w:t xml:space="preserve"> </w:t>
      </w:r>
      <w:r w:rsidR="005000EF">
        <w:rPr>
          <w:u w:val="none"/>
        </w:rPr>
        <w:t xml:space="preserve"> </w:t>
      </w:r>
      <w:r w:rsidRPr="008737CF">
        <w:rPr>
          <w:i/>
          <w:iCs/>
          <w:u w:val="none"/>
        </w:rPr>
        <w:t xml:space="preserve">National Sorghum Breweries Ltd v </w:t>
      </w:r>
      <w:proofErr w:type="spellStart"/>
      <w:r w:rsidRPr="008737CF">
        <w:rPr>
          <w:i/>
          <w:iCs/>
          <w:u w:val="none"/>
        </w:rPr>
        <w:t>Corpcapital</w:t>
      </w:r>
      <w:proofErr w:type="spellEnd"/>
      <w:r w:rsidRPr="008737CF">
        <w:rPr>
          <w:i/>
          <w:iCs/>
          <w:u w:val="none"/>
        </w:rPr>
        <w:t xml:space="preserve"> Bank Ltd </w:t>
      </w:r>
      <w:r w:rsidRPr="008737CF">
        <w:rPr>
          <w:u w:val="none"/>
        </w:rPr>
        <w:t xml:space="preserve">2006 (6) SA 208 (SCA </w:t>
      </w:r>
      <w:r w:rsidR="009C7D44">
        <w:rPr>
          <w:u w:val="none"/>
        </w:rPr>
        <w:t>para 1</w:t>
      </w:r>
      <w:r w:rsidRPr="008737CF">
        <w:rPr>
          <w:u w:val="none"/>
        </w:rPr>
        <w:t>.</w:t>
      </w:r>
    </w:p>
  </w:footnote>
  <w:footnote w:id="10">
    <w:p w14:paraId="7B75DC00" w14:textId="76F98284" w:rsidR="00A92197" w:rsidRPr="008737CF" w:rsidRDefault="00A92197" w:rsidP="00A92197">
      <w:pPr>
        <w:pStyle w:val="FootnoteText"/>
        <w:jc w:val="both"/>
        <w:rPr>
          <w:u w:val="none"/>
        </w:rPr>
      </w:pPr>
      <w:r w:rsidRPr="008737CF">
        <w:rPr>
          <w:rStyle w:val="FootnoteReference"/>
          <w:u w:val="none"/>
        </w:rPr>
        <w:footnoteRef/>
      </w:r>
      <w:r w:rsidRPr="008737CF">
        <w:rPr>
          <w:u w:val="none"/>
        </w:rPr>
        <w:t xml:space="preserve"> See </w:t>
      </w:r>
      <w:r w:rsidRPr="008737CF">
        <w:rPr>
          <w:i/>
          <w:iCs/>
          <w:u w:val="none"/>
        </w:rPr>
        <w:t xml:space="preserve">Wightman t/a JW Construction v </w:t>
      </w:r>
      <w:proofErr w:type="spellStart"/>
      <w:r w:rsidRPr="008737CF">
        <w:rPr>
          <w:i/>
          <w:iCs/>
          <w:u w:val="none"/>
        </w:rPr>
        <w:t>Headfour</w:t>
      </w:r>
      <w:proofErr w:type="spellEnd"/>
      <w:r w:rsidRPr="008737CF">
        <w:rPr>
          <w:i/>
          <w:iCs/>
          <w:u w:val="none"/>
        </w:rPr>
        <w:t xml:space="preserve"> (Pty) Ltd </w:t>
      </w:r>
      <w:r w:rsidRPr="008737CF">
        <w:rPr>
          <w:u w:val="none"/>
        </w:rPr>
        <w:t xml:space="preserve">2008 (3) SA </w:t>
      </w:r>
      <w:r w:rsidR="009C7D44">
        <w:rPr>
          <w:u w:val="none"/>
        </w:rPr>
        <w:t>3</w:t>
      </w:r>
      <w:r w:rsidRPr="008737CF">
        <w:rPr>
          <w:u w:val="none"/>
        </w:rPr>
        <w:t>71 (SCA) para</w:t>
      </w:r>
      <w:r w:rsidR="009C7D44">
        <w:rPr>
          <w:u w:val="none"/>
        </w:rPr>
        <w:t xml:space="preserve"> </w:t>
      </w:r>
      <w:r w:rsidRPr="008737CF">
        <w:rPr>
          <w:u w:val="none"/>
        </w:rPr>
        <w:t xml:space="preserve">13 and </w:t>
      </w:r>
      <w:r w:rsidR="00280B4F">
        <w:rPr>
          <w:u w:val="none"/>
        </w:rPr>
        <w:br/>
        <w:t xml:space="preserve">   </w:t>
      </w:r>
      <w:r w:rsidR="005000EF">
        <w:rPr>
          <w:u w:val="none"/>
        </w:rPr>
        <w:t xml:space="preserve"> </w:t>
      </w:r>
      <w:r w:rsidRPr="008737CF">
        <w:rPr>
          <w:u w:val="none"/>
        </w:rPr>
        <w:t xml:space="preserve">also </w:t>
      </w:r>
      <w:r w:rsidRPr="008737CF">
        <w:rPr>
          <w:i/>
          <w:iCs/>
          <w:u w:val="none"/>
        </w:rPr>
        <w:t xml:space="preserve">Room Hire Co (Pty) Ltd v </w:t>
      </w:r>
      <w:proofErr w:type="spellStart"/>
      <w:r w:rsidRPr="008737CF">
        <w:rPr>
          <w:i/>
          <w:iCs/>
          <w:u w:val="none"/>
        </w:rPr>
        <w:t>Jeppe</w:t>
      </w:r>
      <w:proofErr w:type="spellEnd"/>
      <w:r w:rsidRPr="008737CF">
        <w:rPr>
          <w:i/>
          <w:iCs/>
          <w:u w:val="none"/>
        </w:rPr>
        <w:t xml:space="preserve"> Street Mansions (Pty) Ltd</w:t>
      </w:r>
      <w:r w:rsidRPr="008737CF">
        <w:rPr>
          <w:u w:val="none"/>
        </w:rPr>
        <w:t xml:space="preserve"> 1949 (3) SA 1155 (T) at 1162-1163.</w:t>
      </w:r>
    </w:p>
  </w:footnote>
  <w:footnote w:id="11">
    <w:p w14:paraId="7385D32C" w14:textId="09E0A378" w:rsidR="009A219E" w:rsidRPr="003A3869" w:rsidRDefault="009A219E">
      <w:pPr>
        <w:pStyle w:val="FootnoteText"/>
        <w:rPr>
          <w:u w:val="none"/>
        </w:rPr>
      </w:pPr>
      <w:r w:rsidRPr="003A3869">
        <w:rPr>
          <w:rStyle w:val="FootnoteReference"/>
          <w:u w:val="none"/>
        </w:rPr>
        <w:footnoteRef/>
      </w:r>
      <w:r w:rsidRPr="003A3869">
        <w:rPr>
          <w:u w:val="none"/>
        </w:rPr>
        <w:t xml:space="preserve"> Paragraph 98 on paginated page 024-21.</w:t>
      </w:r>
    </w:p>
  </w:footnote>
  <w:footnote w:id="12">
    <w:p w14:paraId="484E1E2A" w14:textId="6EA6C035" w:rsidR="00A92197" w:rsidRPr="00762F22" w:rsidRDefault="00A92197" w:rsidP="00A92197">
      <w:pPr>
        <w:pStyle w:val="FootnoteText"/>
        <w:rPr>
          <w:lang w:val="en-US"/>
        </w:rPr>
      </w:pPr>
      <w:r w:rsidRPr="00C97BF7">
        <w:rPr>
          <w:rStyle w:val="FootnoteReference"/>
          <w:u w:val="none"/>
        </w:rPr>
        <w:footnoteRef/>
      </w:r>
      <w:r w:rsidRPr="00C97BF7">
        <w:rPr>
          <w:u w:val="none"/>
        </w:rPr>
        <w:t>1988 (1) SA 943 (A) at 976A-B.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98E1B62"/>
    <w:multiLevelType w:val="multilevel"/>
    <w:tmpl w:val="FA44955E"/>
    <w:lvl w:ilvl="0">
      <w:start w:val="19"/>
      <w:numFmt w:val="decimal"/>
      <w:lvlText w:val="[%1]"/>
      <w:lvlJc w:val="left"/>
      <w:pPr>
        <w:ind w:left="851" w:hanging="851"/>
      </w:pPr>
      <w:rPr>
        <w:rFonts w:ascii="Helvetica" w:hAnsi="Helvetica" w:cs="Helvetica" w:hint="default"/>
        <w:b w:val="0"/>
        <w:bCs/>
        <w:sz w:val="23"/>
        <w:szCs w:val="23"/>
      </w:rPr>
    </w:lvl>
    <w:lvl w:ilvl="1">
      <w:start w:val="1"/>
      <w:numFmt w:val="decimal"/>
      <w:lvlText w:val="%1.%2."/>
      <w:lvlJc w:val="left"/>
      <w:pPr>
        <w:ind w:left="792" w:hanging="432"/>
      </w:pPr>
      <w:rPr>
        <w:rFonts w:ascii="Helvetica" w:hAnsi="Helvetica" w:cs="Helvetica" w:hint="default"/>
        <w:b w:val="0"/>
        <w:bCs/>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96F07BF"/>
    <w:multiLevelType w:val="multilevel"/>
    <w:tmpl w:val="87E0071E"/>
    <w:lvl w:ilvl="0">
      <w:start w:val="1"/>
      <w:numFmt w:val="decimal"/>
      <w:lvlText w:val="[%1]"/>
      <w:lvlJc w:val="left"/>
      <w:pPr>
        <w:tabs>
          <w:tab w:val="num" w:pos="690"/>
        </w:tabs>
        <w:ind w:left="690" w:hanging="690"/>
      </w:pPr>
      <w:rPr>
        <w:rFonts w:hint="default"/>
        <w:sz w:val="24"/>
        <w:szCs w:val="24"/>
      </w:rPr>
    </w:lvl>
    <w:lvl w:ilvl="1">
      <w:start w:val="1"/>
      <w:numFmt w:val="decimal"/>
      <w:isLgl/>
      <w:lvlText w:val="%1.%2"/>
      <w:lvlJc w:val="left"/>
      <w:pPr>
        <w:tabs>
          <w:tab w:val="num" w:pos="1410"/>
        </w:tabs>
        <w:ind w:left="1410" w:hanging="720"/>
      </w:pPr>
      <w:rPr>
        <w:rFonts w:hint="default"/>
      </w:rPr>
    </w:lvl>
    <w:lvl w:ilvl="2">
      <w:start w:val="1"/>
      <w:numFmt w:val="decimal"/>
      <w:isLgl/>
      <w:lvlText w:val="%1.%2.%3"/>
      <w:lvlJc w:val="left"/>
      <w:pPr>
        <w:tabs>
          <w:tab w:val="num" w:pos="2100"/>
        </w:tabs>
        <w:ind w:left="210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890"/>
        </w:tabs>
        <w:ind w:left="4890" w:hanging="1440"/>
      </w:pPr>
      <w:rPr>
        <w:rFonts w:hint="default"/>
      </w:rPr>
    </w:lvl>
    <w:lvl w:ilvl="6">
      <w:start w:val="1"/>
      <w:numFmt w:val="decimal"/>
      <w:isLgl/>
      <w:lvlText w:val="%1.%2.%3.%4.%5.%6.%7"/>
      <w:lvlJc w:val="left"/>
      <w:pPr>
        <w:tabs>
          <w:tab w:val="num" w:pos="5940"/>
        </w:tabs>
        <w:ind w:left="5940" w:hanging="1800"/>
      </w:pPr>
      <w:rPr>
        <w:rFonts w:hint="default"/>
      </w:rPr>
    </w:lvl>
    <w:lvl w:ilvl="7">
      <w:start w:val="1"/>
      <w:numFmt w:val="decimal"/>
      <w:isLgl/>
      <w:lvlText w:val="%1.%2.%3.%4.%5.%6.%7.%8"/>
      <w:lvlJc w:val="left"/>
      <w:pPr>
        <w:tabs>
          <w:tab w:val="num" w:pos="6630"/>
        </w:tabs>
        <w:ind w:left="6630" w:hanging="1800"/>
      </w:pPr>
      <w:rPr>
        <w:rFonts w:hint="default"/>
      </w:rPr>
    </w:lvl>
    <w:lvl w:ilvl="8">
      <w:start w:val="1"/>
      <w:numFmt w:val="decimal"/>
      <w:isLgl/>
      <w:lvlText w:val="%1.%2.%3.%4.%5.%6.%7.%8.%9"/>
      <w:lvlJc w:val="left"/>
      <w:pPr>
        <w:tabs>
          <w:tab w:val="num" w:pos="7680"/>
        </w:tabs>
        <w:ind w:left="76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9547B2-BAC2-4BC5-86D4-EE5CF1C83B51}"/>
    <w:docVar w:name="dgnword-eventsink" w:val="2099573627312"/>
  </w:docVars>
  <w:rsids>
    <w:rsidRoot w:val="00972885"/>
    <w:rsid w:val="00003568"/>
    <w:rsid w:val="00005C13"/>
    <w:rsid w:val="00006473"/>
    <w:rsid w:val="00025103"/>
    <w:rsid w:val="00032096"/>
    <w:rsid w:val="00040252"/>
    <w:rsid w:val="00040BC6"/>
    <w:rsid w:val="000438D4"/>
    <w:rsid w:val="00050245"/>
    <w:rsid w:val="00056EBC"/>
    <w:rsid w:val="0006028C"/>
    <w:rsid w:val="00060E0E"/>
    <w:rsid w:val="00062F1C"/>
    <w:rsid w:val="00065807"/>
    <w:rsid w:val="0007043B"/>
    <w:rsid w:val="00084C83"/>
    <w:rsid w:val="000B17FD"/>
    <w:rsid w:val="000B1B1B"/>
    <w:rsid w:val="000B37FD"/>
    <w:rsid w:val="000B4065"/>
    <w:rsid w:val="000F33AB"/>
    <w:rsid w:val="000F52AC"/>
    <w:rsid w:val="00105735"/>
    <w:rsid w:val="001237FC"/>
    <w:rsid w:val="00132D4C"/>
    <w:rsid w:val="00133C1C"/>
    <w:rsid w:val="00134C0D"/>
    <w:rsid w:val="00137136"/>
    <w:rsid w:val="00151AAE"/>
    <w:rsid w:val="001563C2"/>
    <w:rsid w:val="00165D36"/>
    <w:rsid w:val="00166666"/>
    <w:rsid w:val="00174C94"/>
    <w:rsid w:val="0019115F"/>
    <w:rsid w:val="00191EFB"/>
    <w:rsid w:val="00194AF9"/>
    <w:rsid w:val="001B3808"/>
    <w:rsid w:val="001C0ABC"/>
    <w:rsid w:val="001D7A2E"/>
    <w:rsid w:val="00221778"/>
    <w:rsid w:val="00250361"/>
    <w:rsid w:val="002665E7"/>
    <w:rsid w:val="00271C0D"/>
    <w:rsid w:val="00275743"/>
    <w:rsid w:val="00280B4F"/>
    <w:rsid w:val="00297060"/>
    <w:rsid w:val="002A1772"/>
    <w:rsid w:val="002A296C"/>
    <w:rsid w:val="002B2470"/>
    <w:rsid w:val="002C3876"/>
    <w:rsid w:val="002F15B7"/>
    <w:rsid w:val="002F1C8E"/>
    <w:rsid w:val="002F1F31"/>
    <w:rsid w:val="0031746F"/>
    <w:rsid w:val="003249B7"/>
    <w:rsid w:val="00332284"/>
    <w:rsid w:val="003342E8"/>
    <w:rsid w:val="00336854"/>
    <w:rsid w:val="00337D04"/>
    <w:rsid w:val="00343D2E"/>
    <w:rsid w:val="00345B11"/>
    <w:rsid w:val="003464A2"/>
    <w:rsid w:val="00352B4A"/>
    <w:rsid w:val="003548DD"/>
    <w:rsid w:val="003646D2"/>
    <w:rsid w:val="00377918"/>
    <w:rsid w:val="003A3869"/>
    <w:rsid w:val="003A47E3"/>
    <w:rsid w:val="003C38C6"/>
    <w:rsid w:val="003C3A52"/>
    <w:rsid w:val="003D1B00"/>
    <w:rsid w:val="003E305A"/>
    <w:rsid w:val="003F3209"/>
    <w:rsid w:val="003F5571"/>
    <w:rsid w:val="00412E9F"/>
    <w:rsid w:val="0042116E"/>
    <w:rsid w:val="00452390"/>
    <w:rsid w:val="0045365F"/>
    <w:rsid w:val="00462BF9"/>
    <w:rsid w:val="0046446A"/>
    <w:rsid w:val="00466B83"/>
    <w:rsid w:val="00482A5D"/>
    <w:rsid w:val="00485E21"/>
    <w:rsid w:val="004927E1"/>
    <w:rsid w:val="004A0C86"/>
    <w:rsid w:val="004A2A28"/>
    <w:rsid w:val="004A7673"/>
    <w:rsid w:val="004B2FEC"/>
    <w:rsid w:val="004B477A"/>
    <w:rsid w:val="004B618A"/>
    <w:rsid w:val="004C2A9F"/>
    <w:rsid w:val="004D0633"/>
    <w:rsid w:val="004E24F2"/>
    <w:rsid w:val="004E76E3"/>
    <w:rsid w:val="005000EF"/>
    <w:rsid w:val="00513231"/>
    <w:rsid w:val="00517C6D"/>
    <w:rsid w:val="0052629A"/>
    <w:rsid w:val="00527823"/>
    <w:rsid w:val="00534CA0"/>
    <w:rsid w:val="005355A8"/>
    <w:rsid w:val="00551E22"/>
    <w:rsid w:val="0055700B"/>
    <w:rsid w:val="00564959"/>
    <w:rsid w:val="00587F50"/>
    <w:rsid w:val="005A0379"/>
    <w:rsid w:val="005A26C1"/>
    <w:rsid w:val="005B5071"/>
    <w:rsid w:val="005B5719"/>
    <w:rsid w:val="005B7E52"/>
    <w:rsid w:val="005C5F26"/>
    <w:rsid w:val="005D64FC"/>
    <w:rsid w:val="005F153F"/>
    <w:rsid w:val="005F625B"/>
    <w:rsid w:val="00605CA1"/>
    <w:rsid w:val="006561BA"/>
    <w:rsid w:val="00660D40"/>
    <w:rsid w:val="00680C88"/>
    <w:rsid w:val="00683F75"/>
    <w:rsid w:val="00685C78"/>
    <w:rsid w:val="00686DFE"/>
    <w:rsid w:val="006873E8"/>
    <w:rsid w:val="006A315B"/>
    <w:rsid w:val="006B2B5A"/>
    <w:rsid w:val="006D0272"/>
    <w:rsid w:val="006D4B46"/>
    <w:rsid w:val="006F35B4"/>
    <w:rsid w:val="006F680B"/>
    <w:rsid w:val="0070213C"/>
    <w:rsid w:val="00707E4D"/>
    <w:rsid w:val="007326AF"/>
    <w:rsid w:val="00736FB9"/>
    <w:rsid w:val="007516D8"/>
    <w:rsid w:val="00760637"/>
    <w:rsid w:val="00760952"/>
    <w:rsid w:val="0076143F"/>
    <w:rsid w:val="007629EA"/>
    <w:rsid w:val="007874CA"/>
    <w:rsid w:val="007932EB"/>
    <w:rsid w:val="0079472A"/>
    <w:rsid w:val="007C5106"/>
    <w:rsid w:val="007C5B13"/>
    <w:rsid w:val="007C7128"/>
    <w:rsid w:val="007D42FD"/>
    <w:rsid w:val="007E37BB"/>
    <w:rsid w:val="007F2CD8"/>
    <w:rsid w:val="008008F5"/>
    <w:rsid w:val="00802CB7"/>
    <w:rsid w:val="00803E28"/>
    <w:rsid w:val="0081776B"/>
    <w:rsid w:val="0082388A"/>
    <w:rsid w:val="008245CC"/>
    <w:rsid w:val="008737CF"/>
    <w:rsid w:val="008913D4"/>
    <w:rsid w:val="00895009"/>
    <w:rsid w:val="00896220"/>
    <w:rsid w:val="008A0517"/>
    <w:rsid w:val="008A76BD"/>
    <w:rsid w:val="008B2A7A"/>
    <w:rsid w:val="008B2C05"/>
    <w:rsid w:val="008C5BFD"/>
    <w:rsid w:val="008E2DCA"/>
    <w:rsid w:val="008E34C1"/>
    <w:rsid w:val="008F0AFD"/>
    <w:rsid w:val="009126C3"/>
    <w:rsid w:val="00914270"/>
    <w:rsid w:val="00932DD0"/>
    <w:rsid w:val="009347D4"/>
    <w:rsid w:val="00937E9C"/>
    <w:rsid w:val="00940FB0"/>
    <w:rsid w:val="00950FD7"/>
    <w:rsid w:val="009544D0"/>
    <w:rsid w:val="00967CBF"/>
    <w:rsid w:val="00972885"/>
    <w:rsid w:val="00973A4D"/>
    <w:rsid w:val="009759DA"/>
    <w:rsid w:val="00975A96"/>
    <w:rsid w:val="0098325E"/>
    <w:rsid w:val="00984C0B"/>
    <w:rsid w:val="009923A9"/>
    <w:rsid w:val="00995270"/>
    <w:rsid w:val="009A1942"/>
    <w:rsid w:val="009A219E"/>
    <w:rsid w:val="009B597D"/>
    <w:rsid w:val="009C2214"/>
    <w:rsid w:val="009C5B3E"/>
    <w:rsid w:val="009C7D44"/>
    <w:rsid w:val="009D5B97"/>
    <w:rsid w:val="009E2F8D"/>
    <w:rsid w:val="00A049D1"/>
    <w:rsid w:val="00A151BD"/>
    <w:rsid w:val="00A310C0"/>
    <w:rsid w:val="00A35A0E"/>
    <w:rsid w:val="00A36A32"/>
    <w:rsid w:val="00A50EC3"/>
    <w:rsid w:val="00A56F62"/>
    <w:rsid w:val="00A57F04"/>
    <w:rsid w:val="00A75ADC"/>
    <w:rsid w:val="00A92197"/>
    <w:rsid w:val="00AA1A32"/>
    <w:rsid w:val="00AA1C30"/>
    <w:rsid w:val="00AB013D"/>
    <w:rsid w:val="00AB4B7D"/>
    <w:rsid w:val="00AB5C7A"/>
    <w:rsid w:val="00AC42F7"/>
    <w:rsid w:val="00AD2973"/>
    <w:rsid w:val="00AD461C"/>
    <w:rsid w:val="00AD676B"/>
    <w:rsid w:val="00AE271C"/>
    <w:rsid w:val="00AE49CD"/>
    <w:rsid w:val="00B001FA"/>
    <w:rsid w:val="00B11FF8"/>
    <w:rsid w:val="00B12CCF"/>
    <w:rsid w:val="00B133FF"/>
    <w:rsid w:val="00B1389D"/>
    <w:rsid w:val="00B26670"/>
    <w:rsid w:val="00B359E1"/>
    <w:rsid w:val="00B40DCC"/>
    <w:rsid w:val="00B45D32"/>
    <w:rsid w:val="00B56AE1"/>
    <w:rsid w:val="00B60F27"/>
    <w:rsid w:val="00B65A1F"/>
    <w:rsid w:val="00BA4FB5"/>
    <w:rsid w:val="00BC21AF"/>
    <w:rsid w:val="00BC2380"/>
    <w:rsid w:val="00BD47DD"/>
    <w:rsid w:val="00BE4164"/>
    <w:rsid w:val="00C05303"/>
    <w:rsid w:val="00C10D19"/>
    <w:rsid w:val="00C15A90"/>
    <w:rsid w:val="00C21B81"/>
    <w:rsid w:val="00C32774"/>
    <w:rsid w:val="00C3599D"/>
    <w:rsid w:val="00C563F0"/>
    <w:rsid w:val="00C6513B"/>
    <w:rsid w:val="00C651C6"/>
    <w:rsid w:val="00C77298"/>
    <w:rsid w:val="00C828E5"/>
    <w:rsid w:val="00C83B48"/>
    <w:rsid w:val="00C869A2"/>
    <w:rsid w:val="00C877A3"/>
    <w:rsid w:val="00C911E4"/>
    <w:rsid w:val="00C97BF7"/>
    <w:rsid w:val="00CA02BB"/>
    <w:rsid w:val="00CA3C09"/>
    <w:rsid w:val="00CA47C5"/>
    <w:rsid w:val="00CA5DEA"/>
    <w:rsid w:val="00CA74FD"/>
    <w:rsid w:val="00CB63B3"/>
    <w:rsid w:val="00CC2E39"/>
    <w:rsid w:val="00CC5EC2"/>
    <w:rsid w:val="00CD600D"/>
    <w:rsid w:val="00CF38BD"/>
    <w:rsid w:val="00D00D3B"/>
    <w:rsid w:val="00D215E1"/>
    <w:rsid w:val="00D24081"/>
    <w:rsid w:val="00D255B4"/>
    <w:rsid w:val="00D36F7A"/>
    <w:rsid w:val="00D42C9D"/>
    <w:rsid w:val="00D43D1F"/>
    <w:rsid w:val="00D47DF3"/>
    <w:rsid w:val="00D52887"/>
    <w:rsid w:val="00D72FCC"/>
    <w:rsid w:val="00D76E49"/>
    <w:rsid w:val="00D9296C"/>
    <w:rsid w:val="00DA14BD"/>
    <w:rsid w:val="00DA7DF5"/>
    <w:rsid w:val="00DB413C"/>
    <w:rsid w:val="00DB5720"/>
    <w:rsid w:val="00DB5E11"/>
    <w:rsid w:val="00DC1600"/>
    <w:rsid w:val="00DD3454"/>
    <w:rsid w:val="00DE5E75"/>
    <w:rsid w:val="00DF0295"/>
    <w:rsid w:val="00DF733F"/>
    <w:rsid w:val="00E02F5D"/>
    <w:rsid w:val="00E13935"/>
    <w:rsid w:val="00E140A6"/>
    <w:rsid w:val="00E22474"/>
    <w:rsid w:val="00E32A9B"/>
    <w:rsid w:val="00E4355D"/>
    <w:rsid w:val="00E46C4B"/>
    <w:rsid w:val="00E47285"/>
    <w:rsid w:val="00E474D3"/>
    <w:rsid w:val="00E542B5"/>
    <w:rsid w:val="00E60552"/>
    <w:rsid w:val="00E67160"/>
    <w:rsid w:val="00E67600"/>
    <w:rsid w:val="00E72D68"/>
    <w:rsid w:val="00E900DD"/>
    <w:rsid w:val="00EA3BEB"/>
    <w:rsid w:val="00EB1876"/>
    <w:rsid w:val="00EB3E31"/>
    <w:rsid w:val="00EC75A1"/>
    <w:rsid w:val="00ED21CB"/>
    <w:rsid w:val="00EE3042"/>
    <w:rsid w:val="00EE6932"/>
    <w:rsid w:val="00EF4158"/>
    <w:rsid w:val="00F00262"/>
    <w:rsid w:val="00F01705"/>
    <w:rsid w:val="00F13CE2"/>
    <w:rsid w:val="00F16159"/>
    <w:rsid w:val="00F45739"/>
    <w:rsid w:val="00F457AD"/>
    <w:rsid w:val="00F463FA"/>
    <w:rsid w:val="00F52A7E"/>
    <w:rsid w:val="00F80AEA"/>
    <w:rsid w:val="00F8197D"/>
    <w:rsid w:val="00F92B55"/>
    <w:rsid w:val="00F9357B"/>
    <w:rsid w:val="00F976AA"/>
    <w:rsid w:val="00FA3C55"/>
    <w:rsid w:val="00FA66DC"/>
    <w:rsid w:val="00FA790D"/>
    <w:rsid w:val="00FB186C"/>
    <w:rsid w:val="00FC0A00"/>
    <w:rsid w:val="00FC4D4A"/>
    <w:rsid w:val="00FC6C86"/>
    <w:rsid w:val="00FC733D"/>
    <w:rsid w:val="00FE14AC"/>
    <w:rsid w:val="00FE24A7"/>
    <w:rsid w:val="00FE3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A750"/>
  <w15:chartTrackingRefBased/>
  <w15:docId w15:val="{6550D6BD-2D8B-48CB-982E-78A58E07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85"/>
    <w:pPr>
      <w:spacing w:after="0" w:line="240" w:lineRule="auto"/>
    </w:pPr>
    <w:rPr>
      <w:rFonts w:ascii="Arial" w:eastAsia="Times New Roman" w:hAnsi="Arial" w:cs="Arial"/>
      <w:sz w:val="24"/>
      <w:szCs w:val="24"/>
      <w:u w:val="single"/>
      <w:lang w:val="en-GB" w:eastAsia="en-GB"/>
    </w:rPr>
  </w:style>
  <w:style w:type="paragraph" w:styleId="Heading2">
    <w:name w:val="heading 2"/>
    <w:basedOn w:val="Normal"/>
    <w:link w:val="Heading2Char"/>
    <w:uiPriority w:val="9"/>
    <w:qFormat/>
    <w:rsid w:val="004B2FEC"/>
    <w:pPr>
      <w:spacing w:before="100" w:beforeAutospacing="1" w:after="100" w:afterAutospacing="1"/>
      <w:outlineLvl w:val="1"/>
    </w:pPr>
    <w:rPr>
      <w:rFonts w:ascii="Times New Roman" w:hAnsi="Times New Roman" w:cs="Times New Roman"/>
      <w:b/>
      <w:bCs/>
      <w:sz w:val="36"/>
      <w:szCs w:val="36"/>
      <w:u w:val="none"/>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85"/>
    <w:pPr>
      <w:ind w:left="720"/>
      <w:contextualSpacing/>
    </w:pPr>
  </w:style>
  <w:style w:type="paragraph" w:styleId="Footer">
    <w:name w:val="footer"/>
    <w:basedOn w:val="Normal"/>
    <w:link w:val="FooterChar"/>
    <w:uiPriority w:val="99"/>
    <w:unhideWhenUsed/>
    <w:rsid w:val="00972885"/>
    <w:pPr>
      <w:tabs>
        <w:tab w:val="center" w:pos="4513"/>
        <w:tab w:val="right" w:pos="9026"/>
      </w:tabs>
    </w:pPr>
  </w:style>
  <w:style w:type="character" w:customStyle="1" w:styleId="FooterChar">
    <w:name w:val="Footer Char"/>
    <w:basedOn w:val="DefaultParagraphFont"/>
    <w:link w:val="Footer"/>
    <w:uiPriority w:val="99"/>
    <w:rsid w:val="00972885"/>
    <w:rPr>
      <w:rFonts w:ascii="Arial" w:eastAsia="Times New Roman" w:hAnsi="Arial" w:cs="Arial"/>
      <w:sz w:val="24"/>
      <w:szCs w:val="24"/>
      <w:u w:val="single"/>
      <w:lang w:val="en-GB" w:eastAsia="en-GB"/>
    </w:rPr>
  </w:style>
  <w:style w:type="paragraph" w:styleId="FootnoteText">
    <w:name w:val="footnote text"/>
    <w:aliases w:val="Char"/>
    <w:basedOn w:val="Normal"/>
    <w:link w:val="FootnoteTextChar"/>
    <w:uiPriority w:val="99"/>
    <w:unhideWhenUsed/>
    <w:rsid w:val="00972885"/>
    <w:rPr>
      <w:sz w:val="20"/>
      <w:szCs w:val="20"/>
    </w:rPr>
  </w:style>
  <w:style w:type="character" w:customStyle="1" w:styleId="FootnoteTextChar">
    <w:name w:val="Footnote Text Char"/>
    <w:aliases w:val="Char Char"/>
    <w:basedOn w:val="DefaultParagraphFont"/>
    <w:link w:val="FootnoteText"/>
    <w:uiPriority w:val="99"/>
    <w:rsid w:val="00972885"/>
    <w:rPr>
      <w:rFonts w:ascii="Arial" w:eastAsia="Times New Roman" w:hAnsi="Arial" w:cs="Arial"/>
      <w:sz w:val="20"/>
      <w:szCs w:val="20"/>
      <w:u w:val="single"/>
      <w:lang w:val="en-GB" w:eastAsia="en-GB"/>
    </w:rPr>
  </w:style>
  <w:style w:type="character" w:styleId="FootnoteReference">
    <w:name w:val="footnote reference"/>
    <w:uiPriority w:val="99"/>
    <w:unhideWhenUsed/>
    <w:qFormat/>
    <w:rsid w:val="00972885"/>
    <w:rPr>
      <w:vertAlign w:val="superscript"/>
    </w:rPr>
  </w:style>
  <w:style w:type="paragraph" w:customStyle="1" w:styleId="normaltext">
    <w:name w:val="normaltext"/>
    <w:basedOn w:val="Normal"/>
    <w:rsid w:val="00972885"/>
    <w:pPr>
      <w:spacing w:before="100" w:beforeAutospacing="1" w:after="100" w:afterAutospacing="1"/>
    </w:pPr>
    <w:rPr>
      <w:rFonts w:ascii="Times New Roman" w:hAnsi="Times New Roman" w:cs="Times New Roman"/>
      <w:u w:val="none"/>
      <w:lang w:val="en-ZA" w:eastAsia="en-ZA"/>
    </w:rPr>
  </w:style>
  <w:style w:type="character" w:customStyle="1" w:styleId="mc">
    <w:name w:val="mc"/>
    <w:basedOn w:val="DefaultParagraphFont"/>
    <w:rsid w:val="00D215E1"/>
  </w:style>
  <w:style w:type="character" w:customStyle="1" w:styleId="Heading2Char">
    <w:name w:val="Heading 2 Char"/>
    <w:basedOn w:val="DefaultParagraphFont"/>
    <w:link w:val="Heading2"/>
    <w:uiPriority w:val="9"/>
    <w:rsid w:val="004B2FEC"/>
    <w:rPr>
      <w:rFonts w:ascii="Times New Roman" w:eastAsia="Times New Roman" w:hAnsi="Times New Roman" w:cs="Times New Roman"/>
      <w:b/>
      <w:bCs/>
      <w:sz w:val="36"/>
      <w:szCs w:val="36"/>
      <w:lang w:eastAsia="en-ZA"/>
    </w:rPr>
  </w:style>
  <w:style w:type="character" w:styleId="Hyperlink">
    <w:name w:val="Hyperlink"/>
    <w:basedOn w:val="DefaultParagraphFont"/>
    <w:uiPriority w:val="99"/>
    <w:semiHidden/>
    <w:unhideWhenUsed/>
    <w:rsid w:val="00C77298"/>
    <w:rPr>
      <w:color w:val="0000FF"/>
      <w:u w:val="single"/>
    </w:rPr>
  </w:style>
  <w:style w:type="paragraph" w:styleId="BalloonText">
    <w:name w:val="Balloon Text"/>
    <w:basedOn w:val="Normal"/>
    <w:link w:val="BalloonTextChar"/>
    <w:uiPriority w:val="99"/>
    <w:semiHidden/>
    <w:unhideWhenUsed/>
    <w:rsid w:val="00D42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9D"/>
    <w:rPr>
      <w:rFonts w:ascii="Segoe UI" w:eastAsia="Times New Roman" w:hAnsi="Segoe UI" w:cs="Segoe UI"/>
      <w:sz w:val="18"/>
      <w:szCs w:val="18"/>
      <w:u w:val="single"/>
      <w:lang w:val="en-GB" w:eastAsia="en-GB"/>
    </w:rPr>
  </w:style>
  <w:style w:type="character" w:styleId="CommentReference">
    <w:name w:val="annotation reference"/>
    <w:basedOn w:val="DefaultParagraphFont"/>
    <w:uiPriority w:val="99"/>
    <w:semiHidden/>
    <w:unhideWhenUsed/>
    <w:rsid w:val="00E02F5D"/>
    <w:rPr>
      <w:sz w:val="16"/>
      <w:szCs w:val="16"/>
    </w:rPr>
  </w:style>
  <w:style w:type="paragraph" w:styleId="CommentText">
    <w:name w:val="annotation text"/>
    <w:basedOn w:val="Normal"/>
    <w:link w:val="CommentTextChar"/>
    <w:uiPriority w:val="99"/>
    <w:semiHidden/>
    <w:unhideWhenUsed/>
    <w:rsid w:val="00E02F5D"/>
    <w:rPr>
      <w:sz w:val="20"/>
      <w:szCs w:val="20"/>
    </w:rPr>
  </w:style>
  <w:style w:type="character" w:customStyle="1" w:styleId="CommentTextChar">
    <w:name w:val="Comment Text Char"/>
    <w:basedOn w:val="DefaultParagraphFont"/>
    <w:link w:val="CommentText"/>
    <w:uiPriority w:val="99"/>
    <w:semiHidden/>
    <w:rsid w:val="00E02F5D"/>
    <w:rPr>
      <w:rFonts w:ascii="Arial" w:eastAsia="Times New Roman" w:hAnsi="Arial" w:cs="Arial"/>
      <w:sz w:val="20"/>
      <w:szCs w:val="20"/>
      <w:u w:val="single"/>
      <w:lang w:val="en-GB" w:eastAsia="en-GB"/>
    </w:rPr>
  </w:style>
  <w:style w:type="paragraph" w:styleId="CommentSubject">
    <w:name w:val="annotation subject"/>
    <w:basedOn w:val="CommentText"/>
    <w:next w:val="CommentText"/>
    <w:link w:val="CommentSubjectChar"/>
    <w:uiPriority w:val="99"/>
    <w:semiHidden/>
    <w:unhideWhenUsed/>
    <w:rsid w:val="00E02F5D"/>
    <w:rPr>
      <w:b/>
      <w:bCs/>
    </w:rPr>
  </w:style>
  <w:style w:type="character" w:customStyle="1" w:styleId="CommentSubjectChar">
    <w:name w:val="Comment Subject Char"/>
    <w:basedOn w:val="CommentTextChar"/>
    <w:link w:val="CommentSubject"/>
    <w:uiPriority w:val="99"/>
    <w:semiHidden/>
    <w:rsid w:val="00E02F5D"/>
    <w:rPr>
      <w:rFonts w:ascii="Arial" w:eastAsia="Times New Roman" w:hAnsi="Arial" w:cs="Arial"/>
      <w:b/>
      <w:bCs/>
      <w:sz w:val="20"/>
      <w:szCs w:val="20"/>
      <w:u w:val="single"/>
      <w:lang w:val="en-GB" w:eastAsia="en-GB"/>
    </w:rPr>
  </w:style>
  <w:style w:type="paragraph" w:styleId="Header">
    <w:name w:val="header"/>
    <w:basedOn w:val="Normal"/>
    <w:link w:val="HeaderChar"/>
    <w:uiPriority w:val="99"/>
    <w:unhideWhenUsed/>
    <w:rsid w:val="007874CA"/>
    <w:pPr>
      <w:tabs>
        <w:tab w:val="center" w:pos="4513"/>
        <w:tab w:val="right" w:pos="9026"/>
      </w:tabs>
    </w:pPr>
  </w:style>
  <w:style w:type="character" w:customStyle="1" w:styleId="HeaderChar">
    <w:name w:val="Header Char"/>
    <w:basedOn w:val="DefaultParagraphFont"/>
    <w:link w:val="Header"/>
    <w:uiPriority w:val="99"/>
    <w:rsid w:val="007874CA"/>
    <w:rPr>
      <w:rFonts w:ascii="Arial" w:eastAsia="Times New Roman" w:hAnsi="Arial" w:cs="Arial"/>
      <w:sz w:val="24"/>
      <w:szCs w:val="24"/>
      <w:u w:val="single"/>
      <w:lang w:val="en-GB" w:eastAsia="en-GB"/>
    </w:rPr>
  </w:style>
  <w:style w:type="paragraph" w:styleId="NormalWeb">
    <w:name w:val="Normal (Web)"/>
    <w:basedOn w:val="Normal"/>
    <w:uiPriority w:val="99"/>
    <w:semiHidden/>
    <w:unhideWhenUsed/>
    <w:rsid w:val="00DA7DF5"/>
    <w:pPr>
      <w:spacing w:before="100" w:beforeAutospacing="1" w:after="100" w:afterAutospacing="1"/>
    </w:pPr>
    <w:rPr>
      <w:rFonts w:ascii="Times New Roman" w:hAnsi="Times New Roman" w:cs="Times New Roman"/>
      <w:u w:val="none"/>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9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2F232-EAC0-49AA-934E-7CDE6FB4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Judge-Thifhelimbilu Mudau</dc:creator>
  <cp:keywords/>
  <dc:description/>
  <cp:lastModifiedBy>Lazarus Rakgwale</cp:lastModifiedBy>
  <cp:revision>2</cp:revision>
  <cp:lastPrinted>2022-09-16T10:56:00Z</cp:lastPrinted>
  <dcterms:created xsi:type="dcterms:W3CDTF">2022-09-19T08:12:00Z</dcterms:created>
  <dcterms:modified xsi:type="dcterms:W3CDTF">2022-09-19T08:12:00Z</dcterms:modified>
</cp:coreProperties>
</file>