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17CF3" w14:textId="77777777" w:rsidR="00972885" w:rsidRDefault="00972885" w:rsidP="00972885">
      <w:pPr>
        <w:spacing w:after="120"/>
        <w:jc w:val="center"/>
        <w:rPr>
          <w:b/>
          <w:u w:val="none"/>
          <w:lang w:val="en-ZA"/>
        </w:rPr>
      </w:pPr>
      <w:bookmarkStart w:id="0" w:name="_GoBack"/>
      <w:bookmarkEnd w:id="0"/>
      <w:r>
        <w:rPr>
          <w:b/>
          <w:u w:val="none"/>
          <w:lang w:val="en-ZA"/>
        </w:rPr>
        <w:t>REPUBLIC OF SOUTH AFRICA</w:t>
      </w:r>
    </w:p>
    <w:p w14:paraId="5BB338BD" w14:textId="77777777" w:rsidR="00972885" w:rsidRDefault="00972885" w:rsidP="00972885">
      <w:pPr>
        <w:jc w:val="center"/>
        <w:rPr>
          <w:b/>
          <w:u w:val="none"/>
          <w:lang w:val="en-ZA"/>
        </w:rPr>
      </w:pPr>
      <w:r>
        <w:rPr>
          <w:b/>
          <w:noProof/>
          <w:u w:val="none"/>
          <w:lang w:val="en-ZA" w:eastAsia="en-ZA"/>
        </w:rPr>
        <w:drawing>
          <wp:inline distT="0" distB="0" distL="0" distR="0" wp14:anchorId="038E06D0" wp14:editId="7AA80697">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059488ED" w14:textId="77777777" w:rsidR="00972885" w:rsidRDefault="00972885" w:rsidP="00972885">
      <w:pPr>
        <w:spacing w:before="120"/>
        <w:jc w:val="center"/>
        <w:rPr>
          <w:b/>
          <w:u w:val="none"/>
          <w:lang w:val="en-ZA"/>
        </w:rPr>
      </w:pPr>
      <w:r>
        <w:rPr>
          <w:b/>
          <w:u w:val="none"/>
          <w:lang w:val="en-ZA"/>
        </w:rPr>
        <w:t>IN THE HIGH COURT OF SOUTH AFRICA</w:t>
      </w:r>
    </w:p>
    <w:p w14:paraId="2E558C8B" w14:textId="77777777" w:rsidR="00972885" w:rsidRDefault="00972885" w:rsidP="00972885">
      <w:pPr>
        <w:jc w:val="center"/>
        <w:rPr>
          <w:b/>
          <w:u w:val="none"/>
          <w:lang w:val="en-ZA"/>
        </w:rPr>
      </w:pPr>
      <w:r>
        <w:rPr>
          <w:b/>
          <w:u w:val="none"/>
          <w:lang w:val="en-ZA"/>
        </w:rPr>
        <w:t>GAUTENG DIVISION, JOHANNEBURG</w:t>
      </w:r>
    </w:p>
    <w:p w14:paraId="22FD7CED" w14:textId="77777777" w:rsidR="00972885" w:rsidRDefault="00972885" w:rsidP="00972885">
      <w:pPr>
        <w:jc w:val="center"/>
        <w:rPr>
          <w:b/>
          <w:u w:val="none"/>
          <w:lang w:val="en-ZA"/>
        </w:rPr>
      </w:pPr>
    </w:p>
    <w:p w14:paraId="71AE4E10" w14:textId="1FCB0BFD" w:rsidR="00972885" w:rsidRDefault="00972885" w:rsidP="00972885">
      <w:pPr>
        <w:jc w:val="right"/>
        <w:rPr>
          <w:b/>
          <w:u w:val="none"/>
          <w:lang w:val="en-ZA"/>
        </w:rPr>
      </w:pPr>
      <w:r w:rsidRPr="00C03564">
        <w:rPr>
          <w:b/>
          <w:u w:val="none"/>
          <w:lang w:val="en-ZA"/>
        </w:rPr>
        <w:t>CASE NO</w:t>
      </w:r>
      <w:r w:rsidR="00BC10F5">
        <w:rPr>
          <w:b/>
          <w:u w:val="none"/>
          <w:lang w:val="en-ZA"/>
        </w:rPr>
        <w:t>:</w:t>
      </w:r>
      <w:r w:rsidR="00BC10F5" w:rsidRPr="00BC10F5">
        <w:rPr>
          <w:b/>
          <w:u w:val="none"/>
        </w:rPr>
        <w:t xml:space="preserve"> 41339/2018</w:t>
      </w:r>
      <w:r w:rsidR="00BC10F5">
        <w:rPr>
          <w:b/>
          <w:u w:val="none"/>
          <w:lang w:val="en-ZA"/>
        </w:rPr>
        <w:t xml:space="preserve"> </w:t>
      </w:r>
    </w:p>
    <w:p w14:paraId="46F59DF8" w14:textId="77777777" w:rsidR="00972885" w:rsidRDefault="00972885" w:rsidP="00972885">
      <w:pPr>
        <w:jc w:val="both"/>
      </w:pPr>
    </w:p>
    <w:p w14:paraId="57BA0B22" w14:textId="77777777" w:rsidR="00972885" w:rsidRDefault="00972885" w:rsidP="00972885">
      <w:pPr>
        <w:jc w:val="both"/>
      </w:pPr>
    </w:p>
    <w:p w14:paraId="174A019A" w14:textId="77777777" w:rsidR="00972885" w:rsidRPr="009B39F0" w:rsidRDefault="00972885" w:rsidP="00972885">
      <w:pPr>
        <w:jc w:val="both"/>
      </w:pPr>
      <w:r>
        <w:rPr>
          <w:noProof/>
          <w:lang w:val="en-ZA" w:eastAsia="en-ZA"/>
        </w:rPr>
        <mc:AlternateContent>
          <mc:Choice Requires="wps">
            <w:drawing>
              <wp:anchor distT="0" distB="0" distL="114300" distR="114300" simplePos="0" relativeHeight="251659264" behindDoc="0" locked="0" layoutInCell="1" allowOverlap="1" wp14:anchorId="1B11D56E" wp14:editId="16359922">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282047B8" w14:textId="77777777" w:rsidR="00950FD7" w:rsidRDefault="00950FD7" w:rsidP="00972885">
                            <w:pPr>
                              <w:rPr>
                                <w:sz w:val="20"/>
                                <w:szCs w:val="20"/>
                              </w:rPr>
                            </w:pPr>
                          </w:p>
                          <w:p w14:paraId="796C2985" w14:textId="77777777"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14:paraId="4581BEB0" w14:textId="77777777"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14:paraId="1D7D4B05" w14:textId="77777777"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Pr>
                                <w:sz w:val="20"/>
                                <w:szCs w:val="20"/>
                              </w:rPr>
                              <w:t>: NO</w:t>
                            </w:r>
                          </w:p>
                          <w:p w14:paraId="6AB3B390" w14:textId="77777777" w:rsidR="00950FD7" w:rsidRPr="004B32DC" w:rsidRDefault="00950FD7" w:rsidP="00972885">
                            <w:pPr>
                              <w:rPr>
                                <w:b/>
                                <w:sz w:val="20"/>
                                <w:szCs w:val="20"/>
                              </w:rPr>
                            </w:pPr>
                          </w:p>
                          <w:p w14:paraId="0AFC96B9" w14:textId="77777777" w:rsidR="00950FD7" w:rsidRPr="004B32DC" w:rsidRDefault="00950FD7" w:rsidP="00972885">
                            <w:pPr>
                              <w:rPr>
                                <w:b/>
                                <w:sz w:val="20"/>
                                <w:szCs w:val="20"/>
                              </w:rPr>
                            </w:pPr>
                          </w:p>
                          <w:p w14:paraId="172EF0E8" w14:textId="56226233"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BC10F5">
                              <w:rPr>
                                <w:b/>
                                <w:sz w:val="18"/>
                                <w:szCs w:val="18"/>
                                <w:u w:val="none"/>
                              </w:rPr>
                              <w:t>[19</w:t>
                            </w:r>
                            <w:r>
                              <w:rPr>
                                <w:b/>
                                <w:sz w:val="18"/>
                                <w:szCs w:val="18"/>
                                <w:u w:val="none"/>
                              </w:rPr>
                              <w:t xml:space="preserve"> </w:t>
                            </w:r>
                            <w:r w:rsidR="00BC10F5">
                              <w:rPr>
                                <w:b/>
                                <w:sz w:val="18"/>
                                <w:szCs w:val="18"/>
                                <w:u w:val="none"/>
                              </w:rPr>
                              <w:t>September</w:t>
                            </w:r>
                            <w:r>
                              <w:rPr>
                                <w:b/>
                                <w:sz w:val="18"/>
                                <w:szCs w:val="18"/>
                                <w:u w:val="none"/>
                              </w:rPr>
                              <w:t xml:space="preserve"> 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7EDCA282"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1D56E"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">
                <v:textbox>
                  <w:txbxContent>
                    <w:p w14:paraId="282047B8" w14:textId="77777777" w:rsidR="00950FD7" w:rsidRDefault="00950FD7" w:rsidP="00972885">
                      <w:pPr>
                        <w:rPr>
                          <w:sz w:val="20"/>
                          <w:szCs w:val="20"/>
                        </w:rPr>
                      </w:pPr>
                    </w:p>
                    <w:p w14:paraId="796C2985" w14:textId="77777777"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14:paraId="4581BEB0" w14:textId="77777777"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14:paraId="1D7D4B05" w14:textId="77777777"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Pr>
                          <w:sz w:val="20"/>
                          <w:szCs w:val="20"/>
                        </w:rPr>
                        <w:t>: NO</w:t>
                      </w:r>
                    </w:p>
                    <w:p w14:paraId="6AB3B390" w14:textId="77777777" w:rsidR="00950FD7" w:rsidRPr="004B32DC" w:rsidRDefault="00950FD7" w:rsidP="00972885">
                      <w:pPr>
                        <w:rPr>
                          <w:b/>
                          <w:sz w:val="20"/>
                          <w:szCs w:val="20"/>
                        </w:rPr>
                      </w:pPr>
                    </w:p>
                    <w:p w14:paraId="0AFC96B9" w14:textId="77777777" w:rsidR="00950FD7" w:rsidRPr="004B32DC" w:rsidRDefault="00950FD7" w:rsidP="00972885">
                      <w:pPr>
                        <w:rPr>
                          <w:b/>
                          <w:sz w:val="20"/>
                          <w:szCs w:val="20"/>
                        </w:rPr>
                      </w:pPr>
                    </w:p>
                    <w:p w14:paraId="172EF0E8" w14:textId="56226233"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BC10F5">
                        <w:rPr>
                          <w:b/>
                          <w:sz w:val="18"/>
                          <w:szCs w:val="18"/>
                          <w:u w:val="none"/>
                        </w:rPr>
                        <w:t>[19</w:t>
                      </w:r>
                      <w:r>
                        <w:rPr>
                          <w:b/>
                          <w:sz w:val="18"/>
                          <w:szCs w:val="18"/>
                          <w:u w:val="none"/>
                        </w:rPr>
                        <w:t xml:space="preserve"> </w:t>
                      </w:r>
                      <w:r w:rsidR="00BC10F5">
                        <w:rPr>
                          <w:b/>
                          <w:sz w:val="18"/>
                          <w:szCs w:val="18"/>
                          <w:u w:val="none"/>
                        </w:rPr>
                        <w:t>September</w:t>
                      </w:r>
                      <w:r>
                        <w:rPr>
                          <w:b/>
                          <w:sz w:val="18"/>
                          <w:szCs w:val="18"/>
                          <w:u w:val="none"/>
                        </w:rPr>
                        <w:t xml:space="preserve"> 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7EDCA282"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14:paraId="0D2C3A27" w14:textId="77777777" w:rsidR="00972885" w:rsidRDefault="00972885" w:rsidP="00972885">
      <w:pPr>
        <w:jc w:val="both"/>
      </w:pPr>
    </w:p>
    <w:p w14:paraId="74BFAF66" w14:textId="77777777" w:rsidR="00972885" w:rsidRDefault="00972885" w:rsidP="00972885">
      <w:pPr>
        <w:jc w:val="both"/>
      </w:pPr>
    </w:p>
    <w:p w14:paraId="78B8D5F6" w14:textId="77777777" w:rsidR="00972885" w:rsidRPr="009B39F0" w:rsidRDefault="00972885" w:rsidP="00972885">
      <w:pPr>
        <w:jc w:val="both"/>
      </w:pPr>
    </w:p>
    <w:p w14:paraId="65F52C96" w14:textId="77777777" w:rsidR="00972885" w:rsidRPr="009B39F0" w:rsidRDefault="00972885" w:rsidP="00972885">
      <w:pPr>
        <w:jc w:val="both"/>
      </w:pPr>
    </w:p>
    <w:p w14:paraId="09BC57D4" w14:textId="77777777" w:rsidR="00972885" w:rsidRPr="009B39F0" w:rsidRDefault="00972885" w:rsidP="00972885">
      <w:pPr>
        <w:jc w:val="both"/>
      </w:pPr>
    </w:p>
    <w:p w14:paraId="1982119F" w14:textId="77777777" w:rsidR="00972885" w:rsidRPr="009B39F0" w:rsidRDefault="00972885" w:rsidP="00972885">
      <w:pPr>
        <w:jc w:val="both"/>
      </w:pPr>
    </w:p>
    <w:p w14:paraId="2DEABDAE" w14:textId="77777777" w:rsidR="00972885" w:rsidRPr="009B39F0" w:rsidRDefault="00972885" w:rsidP="00972885">
      <w:pPr>
        <w:jc w:val="both"/>
      </w:pPr>
    </w:p>
    <w:p w14:paraId="217B898A" w14:textId="77777777" w:rsidR="00972885" w:rsidRDefault="00972885" w:rsidP="00972885">
      <w:pPr>
        <w:rPr>
          <w:u w:val="none"/>
        </w:rPr>
      </w:pPr>
    </w:p>
    <w:p w14:paraId="1B5837FF" w14:textId="77777777" w:rsidR="00972885" w:rsidRDefault="00972885" w:rsidP="00972885">
      <w:pPr>
        <w:rPr>
          <w:u w:val="none"/>
        </w:rPr>
      </w:pPr>
      <w:r>
        <w:rPr>
          <w:u w:val="none"/>
        </w:rPr>
        <w:t>In the matter between:</w:t>
      </w:r>
    </w:p>
    <w:p w14:paraId="2268E258" w14:textId="77777777" w:rsidR="00972885" w:rsidRDefault="00972885" w:rsidP="00972885">
      <w:pPr>
        <w:rPr>
          <w:i/>
          <w:u w:val="none"/>
        </w:rPr>
      </w:pPr>
    </w:p>
    <w:p w14:paraId="42C6CFA6" w14:textId="6D002B3C" w:rsidR="00BC10F5" w:rsidRDefault="00BC10F5" w:rsidP="00972885">
      <w:pPr>
        <w:rPr>
          <w:b/>
          <w:u w:val="none"/>
        </w:rPr>
      </w:pPr>
      <w:r w:rsidRPr="00BC10F5">
        <w:rPr>
          <w:b/>
          <w:u w:val="none"/>
        </w:rPr>
        <w:t>MARIOLA, COLLEEN JAYE</w:t>
      </w:r>
      <w:r>
        <w:rPr>
          <w:b/>
          <w:u w:val="none"/>
        </w:rPr>
        <w:tab/>
      </w:r>
      <w:r>
        <w:rPr>
          <w:b/>
          <w:u w:val="none"/>
        </w:rPr>
        <w:tab/>
      </w:r>
      <w:r>
        <w:rPr>
          <w:b/>
          <w:u w:val="none"/>
        </w:rPr>
        <w:tab/>
      </w:r>
      <w:r>
        <w:rPr>
          <w:b/>
          <w:u w:val="none"/>
        </w:rPr>
        <w:tab/>
      </w:r>
      <w:r>
        <w:rPr>
          <w:b/>
          <w:u w:val="none"/>
        </w:rPr>
        <w:tab/>
      </w:r>
      <w:r w:rsidR="00E61438">
        <w:rPr>
          <w:b/>
          <w:u w:val="none"/>
        </w:rPr>
        <w:t xml:space="preserve">      </w:t>
      </w:r>
      <w:r>
        <w:rPr>
          <w:b/>
          <w:u w:val="none"/>
        </w:rPr>
        <w:t xml:space="preserve">FIRST </w:t>
      </w:r>
      <w:r w:rsidR="00E46C4B">
        <w:rPr>
          <w:b/>
          <w:u w:val="none"/>
        </w:rPr>
        <w:t>APPLICANT</w:t>
      </w:r>
      <w:r w:rsidR="00972885">
        <w:rPr>
          <w:b/>
          <w:u w:val="none"/>
        </w:rPr>
        <w:tab/>
      </w:r>
    </w:p>
    <w:p w14:paraId="356DFC87" w14:textId="77777777" w:rsidR="00BC10F5" w:rsidRDefault="00BC10F5" w:rsidP="00972885">
      <w:pPr>
        <w:rPr>
          <w:b/>
          <w:u w:val="none"/>
        </w:rPr>
      </w:pPr>
    </w:p>
    <w:p w14:paraId="2CBFFFFE" w14:textId="49552E06" w:rsidR="00972885" w:rsidRDefault="00BC10F5" w:rsidP="00972885">
      <w:pPr>
        <w:rPr>
          <w:b/>
          <w:u w:val="none"/>
        </w:rPr>
      </w:pPr>
      <w:r w:rsidRPr="00BC10F5">
        <w:rPr>
          <w:b/>
          <w:u w:val="none"/>
        </w:rPr>
        <w:t>DEYZEL, NOEL</w:t>
      </w:r>
      <w:r>
        <w:rPr>
          <w:b/>
          <w:u w:val="none"/>
        </w:rPr>
        <w:tab/>
      </w:r>
      <w:r>
        <w:rPr>
          <w:b/>
          <w:u w:val="none"/>
        </w:rPr>
        <w:tab/>
      </w:r>
      <w:r>
        <w:rPr>
          <w:b/>
          <w:u w:val="none"/>
        </w:rPr>
        <w:tab/>
      </w:r>
      <w:r>
        <w:rPr>
          <w:b/>
          <w:u w:val="none"/>
        </w:rPr>
        <w:tab/>
      </w:r>
      <w:r>
        <w:rPr>
          <w:b/>
          <w:u w:val="none"/>
        </w:rPr>
        <w:tab/>
      </w:r>
      <w:r>
        <w:rPr>
          <w:b/>
          <w:u w:val="none"/>
        </w:rPr>
        <w:tab/>
      </w:r>
      <w:r>
        <w:rPr>
          <w:b/>
          <w:u w:val="none"/>
        </w:rPr>
        <w:tab/>
      </w:r>
      <w:r w:rsidR="00E61438">
        <w:rPr>
          <w:b/>
          <w:u w:val="none"/>
        </w:rPr>
        <w:t xml:space="preserve"> </w:t>
      </w:r>
      <w:r>
        <w:rPr>
          <w:b/>
          <w:u w:val="none"/>
        </w:rPr>
        <w:t>SECOND APPLICANT</w:t>
      </w:r>
      <w:r w:rsidR="00972885">
        <w:rPr>
          <w:b/>
          <w:u w:val="none"/>
        </w:rPr>
        <w:tab/>
      </w:r>
      <w:r w:rsidR="00972885">
        <w:rPr>
          <w:b/>
          <w:u w:val="none"/>
        </w:rPr>
        <w:tab/>
      </w:r>
      <w:r w:rsidR="00972885">
        <w:rPr>
          <w:b/>
          <w:u w:val="none"/>
        </w:rPr>
        <w:tab/>
      </w:r>
      <w:r w:rsidR="00972885">
        <w:rPr>
          <w:b/>
          <w:u w:val="none"/>
        </w:rPr>
        <w:tab/>
      </w:r>
      <w:r w:rsidR="00972885">
        <w:rPr>
          <w:b/>
          <w:u w:val="none"/>
        </w:rPr>
        <w:tab/>
        <w:t xml:space="preserve">     </w:t>
      </w:r>
      <w:r w:rsidR="00972885">
        <w:rPr>
          <w:b/>
          <w:u w:val="none"/>
        </w:rPr>
        <w:tab/>
      </w:r>
      <w:r w:rsidR="00972885">
        <w:rPr>
          <w:b/>
          <w:u w:val="none"/>
        </w:rPr>
        <w:tab/>
      </w:r>
    </w:p>
    <w:p w14:paraId="4BFF720F" w14:textId="77777777" w:rsidR="00BC10F5" w:rsidRDefault="00BC10F5" w:rsidP="00972885">
      <w:pPr>
        <w:rPr>
          <w:u w:val="none"/>
        </w:rPr>
      </w:pPr>
    </w:p>
    <w:p w14:paraId="5CCC8BB0" w14:textId="4BDBD822" w:rsidR="00972885" w:rsidRDefault="00972885" w:rsidP="00972885">
      <w:pPr>
        <w:rPr>
          <w:u w:val="none"/>
        </w:rPr>
      </w:pPr>
      <w:r>
        <w:rPr>
          <w:u w:val="none"/>
        </w:rPr>
        <w:t>And</w:t>
      </w:r>
    </w:p>
    <w:p w14:paraId="2E17C5AA" w14:textId="77777777" w:rsidR="00972885" w:rsidRDefault="00972885" w:rsidP="00972885">
      <w:pPr>
        <w:rPr>
          <w:u w:val="none"/>
        </w:rPr>
      </w:pPr>
    </w:p>
    <w:p w14:paraId="45F04E39" w14:textId="77777777" w:rsidR="00BC10F5" w:rsidRDefault="00BC10F5" w:rsidP="00972885">
      <w:pPr>
        <w:spacing w:line="360" w:lineRule="auto"/>
        <w:rPr>
          <w:b/>
          <w:u w:val="none"/>
        </w:rPr>
      </w:pPr>
    </w:p>
    <w:p w14:paraId="6106E5B8" w14:textId="579DD5FE" w:rsidR="00972885" w:rsidRDefault="00BC10F5" w:rsidP="00972885">
      <w:pPr>
        <w:spacing w:line="360" w:lineRule="auto"/>
        <w:rPr>
          <w:b/>
          <w:u w:val="none"/>
        </w:rPr>
      </w:pPr>
      <w:r w:rsidRPr="00BC10F5">
        <w:rPr>
          <w:b/>
          <w:u w:val="none"/>
        </w:rPr>
        <w:t>DEYZEL, LEON ANDRE</w:t>
      </w:r>
      <w:r w:rsidR="00E46C4B">
        <w:rPr>
          <w:b/>
          <w:u w:val="none"/>
        </w:rPr>
        <w:t xml:space="preserve">                                      </w:t>
      </w:r>
      <w:r>
        <w:rPr>
          <w:b/>
          <w:u w:val="none"/>
        </w:rPr>
        <w:tab/>
      </w:r>
      <w:r>
        <w:rPr>
          <w:b/>
          <w:u w:val="none"/>
        </w:rPr>
        <w:tab/>
      </w:r>
      <w:r w:rsidR="00E61438">
        <w:rPr>
          <w:b/>
          <w:u w:val="none"/>
        </w:rPr>
        <w:t xml:space="preserve">            </w:t>
      </w:r>
      <w:r w:rsidR="00E46C4B">
        <w:rPr>
          <w:b/>
          <w:u w:val="none"/>
        </w:rPr>
        <w:t>RESPONDENT</w:t>
      </w:r>
      <w:r w:rsidR="00972885">
        <w:rPr>
          <w:b/>
          <w:u w:val="none"/>
        </w:rPr>
        <w:tab/>
      </w:r>
      <w:r w:rsidR="00972885">
        <w:rPr>
          <w:b/>
          <w:u w:val="none"/>
        </w:rPr>
        <w:tab/>
      </w:r>
      <w:r w:rsidR="00972885">
        <w:rPr>
          <w:b/>
          <w:u w:val="none"/>
        </w:rPr>
        <w:tab/>
      </w:r>
      <w:r w:rsidR="00972885">
        <w:rPr>
          <w:b/>
          <w:u w:val="none"/>
        </w:rPr>
        <w:tab/>
        <w:t xml:space="preserve">     </w:t>
      </w:r>
      <w:r w:rsidR="00972885">
        <w:rPr>
          <w:b/>
          <w:u w:val="none"/>
        </w:rPr>
        <w:tab/>
      </w:r>
      <w:r w:rsidR="00972885">
        <w:rPr>
          <w:b/>
          <w:u w:val="none"/>
        </w:rPr>
        <w:tab/>
      </w:r>
    </w:p>
    <w:p w14:paraId="60A7B150" w14:textId="77777777" w:rsidR="00972885" w:rsidRPr="002C075C" w:rsidRDefault="00972885" w:rsidP="00972885">
      <w:pPr>
        <w:rPr>
          <w:u w:val="none"/>
        </w:rPr>
      </w:pPr>
      <w:r>
        <w:rPr>
          <w:u w:val="none"/>
          <w:lang w:val="en-ZA"/>
        </w:rPr>
        <w:t xml:space="preserve">___________________________________________________________________ </w:t>
      </w:r>
    </w:p>
    <w:p w14:paraId="1C4A325D" w14:textId="77777777" w:rsidR="00972885" w:rsidRDefault="00972885" w:rsidP="00972885">
      <w:pPr>
        <w:tabs>
          <w:tab w:val="right" w:pos="8280"/>
        </w:tabs>
        <w:jc w:val="both"/>
        <w:rPr>
          <w:u w:val="none"/>
          <w:lang w:val="en-ZA"/>
        </w:rPr>
      </w:pPr>
    </w:p>
    <w:p w14:paraId="657AEDA1" w14:textId="07369AF0" w:rsidR="00972885" w:rsidRPr="00562DB9" w:rsidRDefault="00E46C4B" w:rsidP="00972885">
      <w:pPr>
        <w:tabs>
          <w:tab w:val="right" w:pos="8280"/>
        </w:tabs>
        <w:jc w:val="center"/>
        <w:rPr>
          <w:b/>
          <w:u w:val="none"/>
          <w:lang w:val="en-ZA"/>
        </w:rPr>
      </w:pPr>
      <w:r>
        <w:rPr>
          <w:b/>
          <w:u w:val="none"/>
          <w:lang w:val="en-ZA"/>
        </w:rPr>
        <w:t>J</w:t>
      </w:r>
      <w:r w:rsidR="00972885">
        <w:rPr>
          <w:b/>
          <w:u w:val="none"/>
          <w:lang w:val="en-ZA"/>
        </w:rPr>
        <w:t xml:space="preserve"> U D G M E N T</w:t>
      </w:r>
    </w:p>
    <w:p w14:paraId="37FB1D25" w14:textId="77777777" w:rsidR="00972885" w:rsidRDefault="00972885" w:rsidP="00972885">
      <w:pPr>
        <w:tabs>
          <w:tab w:val="right" w:pos="8280"/>
        </w:tabs>
        <w:rPr>
          <w:u w:val="none"/>
          <w:lang w:val="en-ZA"/>
        </w:rPr>
      </w:pPr>
      <w:r>
        <w:rPr>
          <w:u w:val="none"/>
          <w:lang w:val="en-ZA"/>
        </w:rPr>
        <w:t xml:space="preserve">___________________________________________________________________ </w:t>
      </w:r>
    </w:p>
    <w:p w14:paraId="3799DE3F" w14:textId="77777777" w:rsidR="00972885" w:rsidRDefault="00972885" w:rsidP="00972885"/>
    <w:p w14:paraId="24EFED81" w14:textId="77777777" w:rsidR="00972885" w:rsidRDefault="00972885" w:rsidP="00972885">
      <w:pPr>
        <w:rPr>
          <w:b/>
          <w:u w:val="none"/>
        </w:rPr>
      </w:pPr>
      <w:r>
        <w:rPr>
          <w:b/>
          <w:u w:val="none"/>
        </w:rPr>
        <w:t>MUDAU,</w:t>
      </w:r>
      <w:r w:rsidRPr="00FC415D">
        <w:rPr>
          <w:b/>
          <w:u w:val="none"/>
        </w:rPr>
        <w:t xml:space="preserve"> J</w:t>
      </w:r>
      <w:r>
        <w:rPr>
          <w:b/>
          <w:u w:val="none"/>
        </w:rPr>
        <w:t>:</w:t>
      </w:r>
    </w:p>
    <w:p w14:paraId="237746CE" w14:textId="77777777" w:rsidR="00972885" w:rsidRDefault="00972885" w:rsidP="00972885">
      <w:pPr>
        <w:rPr>
          <w:u w:val="none"/>
        </w:rPr>
      </w:pPr>
    </w:p>
    <w:p w14:paraId="31E4179E" w14:textId="6E1D50BB" w:rsidR="00D42C9D" w:rsidRDefault="00BC10F5" w:rsidP="00BC10F5">
      <w:pPr>
        <w:pStyle w:val="ListParagraph"/>
        <w:numPr>
          <w:ilvl w:val="0"/>
          <w:numId w:val="2"/>
        </w:numPr>
        <w:spacing w:before="120" w:after="120" w:line="360" w:lineRule="auto"/>
        <w:jc w:val="both"/>
        <w:rPr>
          <w:color w:val="000000"/>
          <w:u w:val="none"/>
          <w:shd w:val="clear" w:color="auto" w:fill="FFFFFF"/>
        </w:rPr>
      </w:pPr>
      <w:r w:rsidRPr="00BC10F5">
        <w:rPr>
          <w:color w:val="000000"/>
          <w:u w:val="none"/>
          <w:shd w:val="clear" w:color="auto" w:fill="FFFFFF"/>
        </w:rPr>
        <w:t>The applicant</w:t>
      </w:r>
      <w:r w:rsidR="00A05866">
        <w:rPr>
          <w:color w:val="000000"/>
          <w:u w:val="none"/>
          <w:shd w:val="clear" w:color="auto" w:fill="FFFFFF"/>
        </w:rPr>
        <w:t>s</w:t>
      </w:r>
      <w:r w:rsidRPr="00BC10F5">
        <w:rPr>
          <w:color w:val="000000"/>
          <w:u w:val="none"/>
          <w:shd w:val="clear" w:color="auto" w:fill="FFFFFF"/>
        </w:rPr>
        <w:t xml:space="preserve"> seek an order </w:t>
      </w:r>
      <w:r w:rsidR="00A05866">
        <w:rPr>
          <w:color w:val="000000"/>
          <w:u w:val="none"/>
          <w:shd w:val="clear" w:color="auto" w:fill="FFFFFF"/>
        </w:rPr>
        <w:t>hold</w:t>
      </w:r>
      <w:r w:rsidR="004447AA">
        <w:rPr>
          <w:color w:val="000000"/>
          <w:u w:val="none"/>
          <w:shd w:val="clear" w:color="auto" w:fill="FFFFFF"/>
        </w:rPr>
        <w:t>ing</w:t>
      </w:r>
      <w:r w:rsidRPr="00BC10F5">
        <w:rPr>
          <w:color w:val="000000"/>
          <w:u w:val="none"/>
          <w:shd w:val="clear" w:color="auto" w:fill="FFFFFF"/>
        </w:rPr>
        <w:t xml:space="preserve"> the respondent in contempt</w:t>
      </w:r>
      <w:r w:rsidR="00A05866">
        <w:rPr>
          <w:color w:val="000000"/>
          <w:u w:val="none"/>
          <w:shd w:val="clear" w:color="auto" w:fill="FFFFFF"/>
        </w:rPr>
        <w:t xml:space="preserve"> of court</w:t>
      </w:r>
      <w:r w:rsidRPr="00BC10F5">
        <w:rPr>
          <w:color w:val="000000"/>
          <w:u w:val="none"/>
          <w:shd w:val="clear" w:color="auto" w:fill="FFFFFF"/>
        </w:rPr>
        <w:t xml:space="preserve">, </w:t>
      </w:r>
      <w:r w:rsidR="00A05866">
        <w:rPr>
          <w:color w:val="000000"/>
          <w:u w:val="none"/>
          <w:shd w:val="clear" w:color="auto" w:fill="FFFFFF"/>
        </w:rPr>
        <w:t xml:space="preserve">further that he </w:t>
      </w:r>
      <w:r w:rsidRPr="00BC10F5">
        <w:rPr>
          <w:color w:val="000000"/>
          <w:u w:val="none"/>
          <w:shd w:val="clear" w:color="auto" w:fill="FFFFFF"/>
        </w:rPr>
        <w:t>be ordered to comply with the order of this court (</w:t>
      </w:r>
      <w:r>
        <w:rPr>
          <w:color w:val="000000"/>
          <w:u w:val="none"/>
          <w:shd w:val="clear" w:color="auto" w:fill="FFFFFF"/>
        </w:rPr>
        <w:t>per Labe J) dated 13 June 1997</w:t>
      </w:r>
      <w:r w:rsidR="009D5AF7">
        <w:rPr>
          <w:color w:val="000000"/>
          <w:u w:val="none"/>
          <w:shd w:val="clear" w:color="auto" w:fill="FFFFFF"/>
        </w:rPr>
        <w:t>. They further seek</w:t>
      </w:r>
      <w:r>
        <w:rPr>
          <w:color w:val="000000"/>
          <w:u w:val="none"/>
          <w:shd w:val="clear" w:color="auto" w:fill="FFFFFF"/>
        </w:rPr>
        <w:t xml:space="preserve"> </w:t>
      </w:r>
      <w:r w:rsidRPr="00BC10F5">
        <w:rPr>
          <w:color w:val="000000"/>
          <w:u w:val="none"/>
          <w:shd w:val="clear" w:color="auto" w:fill="FFFFFF"/>
        </w:rPr>
        <w:t xml:space="preserve">an </w:t>
      </w:r>
      <w:r w:rsidR="009D5AF7" w:rsidRPr="00E6057F">
        <w:rPr>
          <w:color w:val="000000"/>
          <w:u w:val="none"/>
          <w:shd w:val="clear" w:color="auto" w:fill="FFFFFF"/>
        </w:rPr>
        <w:t xml:space="preserve">order as to </w:t>
      </w:r>
      <w:r w:rsidRPr="00275675">
        <w:rPr>
          <w:color w:val="000000"/>
          <w:u w:val="none"/>
          <w:shd w:val="clear" w:color="auto" w:fill="FFFFFF"/>
        </w:rPr>
        <w:t>cost</w:t>
      </w:r>
      <w:r w:rsidR="009D5AF7" w:rsidRPr="00E6057F">
        <w:rPr>
          <w:color w:val="000000"/>
          <w:u w:val="none"/>
          <w:shd w:val="clear" w:color="auto" w:fill="FFFFFF"/>
        </w:rPr>
        <w:t>s</w:t>
      </w:r>
      <w:r w:rsidRPr="00275675">
        <w:rPr>
          <w:color w:val="000000"/>
          <w:u w:val="none"/>
          <w:shd w:val="clear" w:color="auto" w:fill="FFFFFF"/>
        </w:rPr>
        <w:t xml:space="preserve"> </w:t>
      </w:r>
      <w:r w:rsidRPr="00E6057F">
        <w:rPr>
          <w:color w:val="000000"/>
          <w:u w:val="none"/>
          <w:shd w:val="clear" w:color="auto" w:fill="FFFFFF"/>
        </w:rPr>
        <w:t>on a punitive scale</w:t>
      </w:r>
      <w:r w:rsidR="00E46C4B" w:rsidRPr="00950FD7">
        <w:rPr>
          <w:color w:val="000000"/>
          <w:u w:val="none"/>
          <w:shd w:val="clear" w:color="auto" w:fill="FFFFFF"/>
        </w:rPr>
        <w:t>.</w:t>
      </w:r>
    </w:p>
    <w:p w14:paraId="166AC684" w14:textId="77777777" w:rsidR="00D42C9D" w:rsidRPr="00D42C9D" w:rsidRDefault="00D42C9D" w:rsidP="00D42C9D">
      <w:pPr>
        <w:pStyle w:val="ListParagraph"/>
        <w:spacing w:before="120" w:after="120" w:line="360" w:lineRule="auto"/>
        <w:ind w:left="692"/>
        <w:jc w:val="both"/>
        <w:rPr>
          <w:color w:val="000000"/>
          <w:u w:val="none"/>
          <w:shd w:val="clear" w:color="auto" w:fill="FFFFFF"/>
        </w:rPr>
      </w:pPr>
    </w:p>
    <w:p w14:paraId="194E7FAF" w14:textId="66F58276" w:rsidR="00E46C4B" w:rsidRPr="000B37FD" w:rsidRDefault="00BC10F5" w:rsidP="000B37FD">
      <w:pPr>
        <w:spacing w:before="120" w:after="120" w:line="360" w:lineRule="auto"/>
        <w:jc w:val="both"/>
        <w:rPr>
          <w:i/>
          <w:color w:val="000000"/>
          <w:u w:val="none"/>
          <w:shd w:val="clear" w:color="auto" w:fill="FFFFFF"/>
        </w:rPr>
      </w:pPr>
      <w:r>
        <w:rPr>
          <w:i/>
          <w:color w:val="000000"/>
          <w:u w:val="none"/>
          <w:shd w:val="clear" w:color="auto" w:fill="FFFFFF"/>
        </w:rPr>
        <w:t>Point</w:t>
      </w:r>
      <w:r w:rsidR="00E46C4B" w:rsidRPr="000B37FD">
        <w:rPr>
          <w:i/>
          <w:color w:val="000000"/>
          <w:u w:val="none"/>
          <w:shd w:val="clear" w:color="auto" w:fill="FFFFFF"/>
        </w:rPr>
        <w:t xml:space="preserve"> in </w:t>
      </w:r>
      <w:r w:rsidR="00E46C4B" w:rsidRPr="00D42C9D">
        <w:rPr>
          <w:i/>
          <w:color w:val="000000"/>
          <w:u w:val="none"/>
          <w:shd w:val="clear" w:color="auto" w:fill="FFFFFF"/>
        </w:rPr>
        <w:t>limine</w:t>
      </w:r>
      <w:r>
        <w:rPr>
          <w:i/>
          <w:color w:val="000000"/>
          <w:u w:val="none"/>
          <w:shd w:val="clear" w:color="auto" w:fill="FFFFFF"/>
        </w:rPr>
        <w:t>: Non-joinder</w:t>
      </w:r>
    </w:p>
    <w:p w14:paraId="73852C38" w14:textId="62A7EC7B" w:rsidR="00E46C4B" w:rsidRDefault="00BC10F5" w:rsidP="000B37FD">
      <w:pPr>
        <w:pStyle w:val="ListParagraph"/>
        <w:numPr>
          <w:ilvl w:val="0"/>
          <w:numId w:val="2"/>
        </w:numPr>
        <w:spacing w:before="120" w:after="120" w:line="360" w:lineRule="auto"/>
        <w:ind w:left="692"/>
        <w:jc w:val="both"/>
        <w:rPr>
          <w:color w:val="000000"/>
          <w:u w:val="none"/>
          <w:shd w:val="clear" w:color="auto" w:fill="FFFFFF"/>
        </w:rPr>
      </w:pPr>
      <w:r w:rsidRPr="00BC10F5">
        <w:rPr>
          <w:color w:val="000000"/>
          <w:u w:val="none"/>
          <w:shd w:val="clear" w:color="auto" w:fill="FFFFFF"/>
        </w:rPr>
        <w:t xml:space="preserve">The </w:t>
      </w:r>
      <w:r w:rsidR="004447AA">
        <w:rPr>
          <w:color w:val="000000"/>
          <w:u w:val="none"/>
          <w:shd w:val="clear" w:color="auto" w:fill="FFFFFF"/>
        </w:rPr>
        <w:t>r</w:t>
      </w:r>
      <w:r w:rsidRPr="00BC10F5">
        <w:rPr>
          <w:color w:val="000000"/>
          <w:u w:val="none"/>
          <w:shd w:val="clear" w:color="auto" w:fill="FFFFFF"/>
        </w:rPr>
        <w:t xml:space="preserve">espondent has raised two points in </w:t>
      </w:r>
      <w:r w:rsidRPr="00BC10F5">
        <w:rPr>
          <w:i/>
          <w:color w:val="000000"/>
          <w:u w:val="none"/>
          <w:shd w:val="clear" w:color="auto" w:fill="FFFFFF"/>
        </w:rPr>
        <w:t>limine</w:t>
      </w:r>
      <w:r w:rsidRPr="00BC10F5">
        <w:rPr>
          <w:color w:val="000000"/>
          <w:u w:val="none"/>
          <w:shd w:val="clear" w:color="auto" w:fill="FFFFFF"/>
        </w:rPr>
        <w:t xml:space="preserve">, the </w:t>
      </w:r>
      <w:r w:rsidR="001C114E" w:rsidRPr="00BC10F5">
        <w:rPr>
          <w:color w:val="000000"/>
          <w:u w:val="none"/>
          <w:shd w:val="clear" w:color="auto" w:fill="FFFFFF"/>
        </w:rPr>
        <w:t>first is</w:t>
      </w:r>
      <w:r w:rsidRPr="00BC10F5">
        <w:rPr>
          <w:color w:val="000000"/>
          <w:u w:val="none"/>
          <w:shd w:val="clear" w:color="auto" w:fill="FFFFFF"/>
        </w:rPr>
        <w:t xml:space="preserve"> </w:t>
      </w:r>
      <w:r w:rsidR="004447AA">
        <w:rPr>
          <w:color w:val="000000"/>
          <w:u w:val="none"/>
          <w:shd w:val="clear" w:color="auto" w:fill="FFFFFF"/>
        </w:rPr>
        <w:t xml:space="preserve">the </w:t>
      </w:r>
      <w:r w:rsidRPr="00BC10F5">
        <w:rPr>
          <w:color w:val="000000"/>
          <w:u w:val="none"/>
          <w:shd w:val="clear" w:color="auto" w:fill="FFFFFF"/>
        </w:rPr>
        <w:t>non-joinder of Chantel, the first applicant and respondent's daughter, since she is an interested party</w:t>
      </w:r>
      <w:r w:rsidR="00005DD3">
        <w:rPr>
          <w:color w:val="000000"/>
          <w:u w:val="none"/>
          <w:shd w:val="clear" w:color="auto" w:fill="FFFFFF"/>
        </w:rPr>
        <w:t xml:space="preserve"> with </w:t>
      </w:r>
      <w:r w:rsidR="00005DD3" w:rsidRPr="00005DD3">
        <w:rPr>
          <w:color w:val="000000"/>
          <w:u w:val="none"/>
          <w:shd w:val="clear" w:color="auto" w:fill="FFFFFF"/>
        </w:rPr>
        <w:t>a</w:t>
      </w:r>
      <w:r w:rsidR="00005DD3">
        <w:rPr>
          <w:color w:val="000000"/>
          <w:u w:val="none"/>
          <w:shd w:val="clear" w:color="auto" w:fill="FFFFFF"/>
        </w:rPr>
        <w:t xml:space="preserve"> </w:t>
      </w:r>
      <w:r w:rsidR="00005DD3" w:rsidRPr="00005DD3">
        <w:rPr>
          <w:color w:val="000000"/>
          <w:u w:val="none"/>
          <w:shd w:val="clear" w:color="auto" w:fill="FFFFFF"/>
        </w:rPr>
        <w:t>direct and substantial </w:t>
      </w:r>
      <w:r w:rsidR="00005DD3" w:rsidRPr="00005DD3">
        <w:rPr>
          <w:u w:val="none"/>
          <w:shd w:val="clear" w:color="auto" w:fill="FFFFFF"/>
        </w:rPr>
        <w:t>interest</w:t>
      </w:r>
      <w:r w:rsidR="00005DD3" w:rsidRPr="00005DD3">
        <w:rPr>
          <w:color w:val="000000"/>
          <w:u w:val="none"/>
          <w:shd w:val="clear" w:color="auto" w:fill="FFFFFF"/>
        </w:rPr>
        <w:t xml:space="preserve"> in the subject matter of the litigation</w:t>
      </w:r>
      <w:r w:rsidRPr="00BC10F5">
        <w:rPr>
          <w:color w:val="000000"/>
          <w:u w:val="none"/>
          <w:shd w:val="clear" w:color="auto" w:fill="FFFFFF"/>
        </w:rPr>
        <w:t>. Chantel has however indicated that she does not want to be joined and has given the applicants leave to litigate on her behalf. Since a party with a vested interest cannot be forced to be joined, and now that Chantel has</w:t>
      </w:r>
      <w:r w:rsidR="007352CB">
        <w:rPr>
          <w:color w:val="000000"/>
          <w:u w:val="none"/>
          <w:shd w:val="clear" w:color="auto" w:fill="FFFFFF"/>
        </w:rPr>
        <w:t xml:space="preserve"> waived her</w:t>
      </w:r>
      <w:r w:rsidR="007352CB" w:rsidRPr="007352CB">
        <w:rPr>
          <w:color w:val="000000"/>
          <w:u w:val="none"/>
          <w:shd w:val="clear" w:color="auto" w:fill="FFFFFF"/>
        </w:rPr>
        <w:t xml:space="preserve"> right to be joined</w:t>
      </w:r>
      <w:r w:rsidRPr="00BC10F5">
        <w:rPr>
          <w:color w:val="000000"/>
          <w:u w:val="none"/>
          <w:shd w:val="clear" w:color="auto" w:fill="FFFFFF"/>
        </w:rPr>
        <w:t>, the point is of no consequence</w:t>
      </w:r>
      <w:r w:rsidR="00C47768">
        <w:rPr>
          <w:color w:val="000000"/>
          <w:u w:val="none"/>
          <w:shd w:val="clear" w:color="auto" w:fill="FFFFFF"/>
        </w:rPr>
        <w:t xml:space="preserve"> and</w:t>
      </w:r>
      <w:r w:rsidRPr="00BC10F5">
        <w:rPr>
          <w:color w:val="000000"/>
          <w:u w:val="none"/>
          <w:shd w:val="clear" w:color="auto" w:fill="FFFFFF"/>
        </w:rPr>
        <w:t xml:space="preserve"> stand</w:t>
      </w:r>
      <w:r w:rsidR="00C47768">
        <w:rPr>
          <w:color w:val="000000"/>
          <w:u w:val="none"/>
          <w:shd w:val="clear" w:color="auto" w:fill="FFFFFF"/>
        </w:rPr>
        <w:t>s</w:t>
      </w:r>
      <w:r w:rsidRPr="00BC10F5">
        <w:rPr>
          <w:color w:val="000000"/>
          <w:u w:val="none"/>
          <w:shd w:val="clear" w:color="auto" w:fill="FFFFFF"/>
        </w:rPr>
        <w:t xml:space="preserve"> to be dismissed</w:t>
      </w:r>
      <w:r w:rsidR="00A57F04">
        <w:rPr>
          <w:color w:val="000000"/>
          <w:u w:val="none"/>
          <w:shd w:val="clear" w:color="auto" w:fill="FFFFFF"/>
        </w:rPr>
        <w:t>.</w:t>
      </w:r>
      <w:r w:rsidR="00E46C4B" w:rsidRPr="00950FD7">
        <w:rPr>
          <w:color w:val="000000"/>
          <w:u w:val="none"/>
          <w:shd w:val="clear" w:color="auto" w:fill="FFFFFF"/>
        </w:rPr>
        <w:t xml:space="preserve"> </w:t>
      </w:r>
    </w:p>
    <w:p w14:paraId="16671339"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56FE63C4" w14:textId="1F274EEB" w:rsidR="00E46C4B" w:rsidRDefault="00BC10F5" w:rsidP="00BC10F5">
      <w:pPr>
        <w:pStyle w:val="ListParagraph"/>
        <w:numPr>
          <w:ilvl w:val="0"/>
          <w:numId w:val="2"/>
        </w:numPr>
        <w:spacing w:before="120" w:after="120" w:line="360" w:lineRule="auto"/>
        <w:jc w:val="both"/>
        <w:rPr>
          <w:u w:val="none"/>
        </w:rPr>
      </w:pPr>
      <w:r w:rsidRPr="00BC10F5">
        <w:rPr>
          <w:u w:val="none"/>
        </w:rPr>
        <w:t>As his second point in limine, the respondent has raised an alleged dispute of fact based on the allegation that the property is now registered in his name. In argument however, the second point was correctly abandoned by counsel on behalf of the respondent, in that it went to the merits or otherwise of the application</w:t>
      </w:r>
      <w:r w:rsidR="00E46C4B" w:rsidRPr="00950FD7">
        <w:rPr>
          <w:u w:val="none"/>
        </w:rPr>
        <w:t>.</w:t>
      </w:r>
    </w:p>
    <w:p w14:paraId="420B493D" w14:textId="77777777" w:rsidR="004068BB" w:rsidRDefault="004068BB" w:rsidP="004068BB">
      <w:pPr>
        <w:pStyle w:val="ListParagraph"/>
        <w:spacing w:before="120" w:after="120" w:line="360" w:lineRule="auto"/>
        <w:ind w:left="690"/>
        <w:jc w:val="both"/>
        <w:rPr>
          <w:u w:val="none"/>
        </w:rPr>
      </w:pPr>
    </w:p>
    <w:p w14:paraId="16EE2FC9" w14:textId="4E496C7F" w:rsidR="00BC10F5" w:rsidRPr="00BC10F5" w:rsidRDefault="00BC10F5" w:rsidP="00BC10F5">
      <w:pPr>
        <w:spacing w:before="120" w:after="120" w:line="360" w:lineRule="auto"/>
        <w:jc w:val="both"/>
        <w:rPr>
          <w:i/>
          <w:u w:val="none"/>
        </w:rPr>
      </w:pPr>
      <w:r w:rsidRPr="00BC10F5">
        <w:rPr>
          <w:i/>
          <w:u w:val="none"/>
        </w:rPr>
        <w:t>Background facts</w:t>
      </w:r>
    </w:p>
    <w:p w14:paraId="7846471E" w14:textId="02DCA356" w:rsidR="003E305A" w:rsidRDefault="00BC10F5" w:rsidP="000B37FD">
      <w:pPr>
        <w:pStyle w:val="ListParagraph"/>
        <w:numPr>
          <w:ilvl w:val="0"/>
          <w:numId w:val="2"/>
        </w:numPr>
        <w:spacing w:before="120" w:after="120" w:line="360" w:lineRule="auto"/>
        <w:ind w:left="692"/>
        <w:jc w:val="both"/>
        <w:rPr>
          <w:u w:val="none"/>
        </w:rPr>
      </w:pPr>
      <w:r w:rsidRPr="00BC10F5">
        <w:rPr>
          <w:u w:val="none"/>
        </w:rPr>
        <w:t xml:space="preserve">The facts are largely common cause. The first applicant and the respondent were previously a married couple. Two children (now adults) were </w:t>
      </w:r>
      <w:r w:rsidR="001C114E" w:rsidRPr="00BC10F5">
        <w:rPr>
          <w:u w:val="none"/>
        </w:rPr>
        <w:t>born from</w:t>
      </w:r>
      <w:r w:rsidRPr="00BC10F5">
        <w:rPr>
          <w:u w:val="none"/>
        </w:rPr>
        <w:t xml:space="preserve"> that marriage, a son, the second applicant as well as a daughter, </w:t>
      </w:r>
      <w:r w:rsidR="00033A7A">
        <w:rPr>
          <w:u w:val="none"/>
        </w:rPr>
        <w:t xml:space="preserve">Chantel </w:t>
      </w:r>
      <w:r w:rsidRPr="00BC10F5">
        <w:rPr>
          <w:u w:val="none"/>
        </w:rPr>
        <w:t>who</w:t>
      </w:r>
      <w:r w:rsidR="00033A7A">
        <w:rPr>
          <w:u w:val="none"/>
        </w:rPr>
        <w:t>, as indicated above</w:t>
      </w:r>
      <w:r w:rsidRPr="00BC10F5">
        <w:rPr>
          <w:u w:val="none"/>
        </w:rPr>
        <w:t xml:space="preserve"> is not </w:t>
      </w:r>
      <w:r w:rsidR="00033A7A">
        <w:rPr>
          <w:u w:val="none"/>
        </w:rPr>
        <w:t xml:space="preserve">a </w:t>
      </w:r>
      <w:r w:rsidRPr="00BC10F5">
        <w:rPr>
          <w:u w:val="none"/>
        </w:rPr>
        <w:t>party to these proceedings</w:t>
      </w:r>
      <w:r w:rsidR="00033A7A">
        <w:rPr>
          <w:u w:val="none"/>
        </w:rPr>
        <w:t>.</w:t>
      </w:r>
      <w:r w:rsidRPr="00BC10F5">
        <w:rPr>
          <w:u w:val="none"/>
        </w:rPr>
        <w:t xml:space="preserve"> After the divorce proceedings were instituted, they settle</w:t>
      </w:r>
      <w:r w:rsidR="00B80634">
        <w:rPr>
          <w:u w:val="none"/>
        </w:rPr>
        <w:t>d</w:t>
      </w:r>
      <w:r w:rsidRPr="00BC10F5">
        <w:rPr>
          <w:u w:val="none"/>
        </w:rPr>
        <w:t xml:space="preserve"> their disputes and signed a settlement agreement on 10 May 1997. </w:t>
      </w:r>
      <w:r w:rsidR="005A6E0E" w:rsidRPr="00BC10F5">
        <w:rPr>
          <w:u w:val="none"/>
        </w:rPr>
        <w:t xml:space="preserve">On 13 June </w:t>
      </w:r>
      <w:r w:rsidR="001C114E" w:rsidRPr="00BC10F5">
        <w:rPr>
          <w:u w:val="none"/>
        </w:rPr>
        <w:t>1997 a</w:t>
      </w:r>
      <w:r w:rsidRPr="00BC10F5">
        <w:rPr>
          <w:u w:val="none"/>
        </w:rPr>
        <w:t xml:space="preserve"> decree of divorce incorporating the settlement agreement was granted. The service of the </w:t>
      </w:r>
      <w:r w:rsidR="00DF0FDB" w:rsidRPr="00BC10F5">
        <w:rPr>
          <w:u w:val="none"/>
        </w:rPr>
        <w:t>c</w:t>
      </w:r>
      <w:r w:rsidRPr="00BC10F5">
        <w:rPr>
          <w:u w:val="none"/>
        </w:rPr>
        <w:t xml:space="preserve">ourt </w:t>
      </w:r>
      <w:r w:rsidR="00DF0FDB" w:rsidRPr="00BC10F5">
        <w:rPr>
          <w:u w:val="none"/>
        </w:rPr>
        <w:t>o</w:t>
      </w:r>
      <w:r w:rsidRPr="00BC10F5">
        <w:rPr>
          <w:u w:val="none"/>
        </w:rPr>
        <w:t xml:space="preserve">rder is not in dispute, with the respondent admitting that the settlement agreement was made an order of </w:t>
      </w:r>
      <w:r w:rsidR="00DF0FDB" w:rsidRPr="00BC10F5">
        <w:rPr>
          <w:u w:val="none"/>
        </w:rPr>
        <w:t>c</w:t>
      </w:r>
      <w:r w:rsidRPr="00BC10F5">
        <w:rPr>
          <w:u w:val="none"/>
        </w:rPr>
        <w:t>ourt by consent</w:t>
      </w:r>
      <w:r w:rsidR="00003568">
        <w:rPr>
          <w:u w:val="none"/>
        </w:rPr>
        <w:t>.</w:t>
      </w:r>
    </w:p>
    <w:p w14:paraId="7F4AC618" w14:textId="77777777" w:rsidR="004068BB" w:rsidRDefault="004068BB" w:rsidP="004068BB">
      <w:pPr>
        <w:pStyle w:val="ListParagraph"/>
        <w:spacing w:before="120" w:after="120" w:line="360" w:lineRule="auto"/>
        <w:ind w:left="692"/>
        <w:jc w:val="both"/>
        <w:rPr>
          <w:u w:val="none"/>
        </w:rPr>
      </w:pPr>
    </w:p>
    <w:p w14:paraId="2DCC2F6A" w14:textId="1862012A" w:rsidR="00BC10F5" w:rsidRPr="00BC10F5" w:rsidRDefault="002973D9" w:rsidP="000B37FD">
      <w:pPr>
        <w:pStyle w:val="ListParagraph"/>
        <w:numPr>
          <w:ilvl w:val="0"/>
          <w:numId w:val="2"/>
        </w:numPr>
        <w:spacing w:before="120" w:after="120" w:line="360" w:lineRule="auto"/>
        <w:ind w:left="692"/>
        <w:jc w:val="both"/>
        <w:rPr>
          <w:u w:val="none"/>
        </w:rPr>
      </w:pPr>
      <w:r w:rsidRPr="00BC10F5">
        <w:rPr>
          <w:color w:val="000000"/>
          <w:u w:val="none"/>
          <w:shd w:val="clear" w:color="auto" w:fill="FFFFFF"/>
        </w:rPr>
        <w:t>T</w:t>
      </w:r>
      <w:r w:rsidR="008B72E4">
        <w:rPr>
          <w:color w:val="000000"/>
          <w:u w:val="none"/>
          <w:shd w:val="clear" w:color="auto" w:fill="FFFFFF"/>
        </w:rPr>
        <w:t xml:space="preserve">ranslated </w:t>
      </w:r>
      <w:r w:rsidRPr="00BC10F5">
        <w:rPr>
          <w:color w:val="000000"/>
          <w:u w:val="none"/>
          <w:shd w:val="clear" w:color="auto" w:fill="FFFFFF"/>
        </w:rPr>
        <w:t xml:space="preserve">to English </w:t>
      </w:r>
      <w:r>
        <w:rPr>
          <w:color w:val="000000"/>
          <w:u w:val="none"/>
          <w:shd w:val="clear" w:color="auto" w:fill="FFFFFF"/>
        </w:rPr>
        <w:t>c</w:t>
      </w:r>
      <w:r w:rsidR="00BC10F5" w:rsidRPr="00BC10F5">
        <w:rPr>
          <w:color w:val="000000"/>
          <w:u w:val="none"/>
          <w:shd w:val="clear" w:color="auto" w:fill="FFFFFF"/>
        </w:rPr>
        <w:t>lause 4.2 of the settlement agreement, which is the basis of this application states</w:t>
      </w:r>
      <w:r w:rsidR="00BC10F5">
        <w:rPr>
          <w:color w:val="000000"/>
          <w:u w:val="none"/>
          <w:shd w:val="clear" w:color="auto" w:fill="FFFFFF"/>
        </w:rPr>
        <w:t>:</w:t>
      </w:r>
    </w:p>
    <w:p w14:paraId="33D85439" w14:textId="3F898160" w:rsidR="004068BB" w:rsidRDefault="00E46C4B" w:rsidP="004068BB">
      <w:pPr>
        <w:pStyle w:val="ListParagraph"/>
        <w:spacing w:before="120" w:after="120" w:line="360" w:lineRule="auto"/>
        <w:ind w:left="1440"/>
        <w:jc w:val="both"/>
        <w:rPr>
          <w:color w:val="000000"/>
          <w:u w:val="none"/>
          <w:shd w:val="clear" w:color="auto" w:fill="FFFFFF"/>
        </w:rPr>
      </w:pPr>
      <w:r w:rsidRPr="00950FD7">
        <w:rPr>
          <w:color w:val="000000"/>
          <w:u w:val="none"/>
          <w:shd w:val="clear" w:color="auto" w:fill="FFFFFF"/>
        </w:rPr>
        <w:t xml:space="preserve"> </w:t>
      </w:r>
      <w:r w:rsidR="002973D9" w:rsidRPr="00556A74">
        <w:rPr>
          <w:i/>
          <w:color w:val="000000"/>
          <w:sz w:val="22"/>
          <w:szCs w:val="22"/>
          <w:u w:val="none"/>
          <w:shd w:val="clear" w:color="auto" w:fill="FFFFFF"/>
        </w:rPr>
        <w:t>‘</w:t>
      </w:r>
      <w:r w:rsidR="00BC10F5" w:rsidRPr="00556A74">
        <w:rPr>
          <w:i/>
          <w:color w:val="000000"/>
          <w:sz w:val="22"/>
          <w:szCs w:val="22"/>
          <w:u w:val="none"/>
          <w:shd w:val="clear" w:color="auto" w:fill="FFFFFF"/>
        </w:rPr>
        <w:t xml:space="preserve">The parties acknowledge that the agreement pertaining to the purchase of the property known as Erf 121 situated in the township of Bronkhorstbaai (Erf/Stand 14) is concluded in the name of the Plaintiff (Applicant) (and) the Defendant (Respondent) would continue to pay the outstanding amount due in </w:t>
      </w:r>
      <w:r w:rsidR="00BC10F5" w:rsidRPr="00556A74">
        <w:rPr>
          <w:i/>
          <w:color w:val="000000"/>
          <w:sz w:val="22"/>
          <w:szCs w:val="22"/>
          <w:u w:val="none"/>
          <w:shd w:val="clear" w:color="auto" w:fill="FFFFFF"/>
        </w:rPr>
        <w:lastRenderedPageBreak/>
        <w:t>terms of the agreement to the seller. After settling of the full purchase price the Defendant will transfer the property into the name of a Trust that would be created by the Defendant, and wherein the minor children will be named beneficiaries. The Defendant will be liable for the costs of the creation of the Trust as well as transfer costs to transfer the property into the name of the Trust</w:t>
      </w:r>
      <w:r w:rsidR="00BC10F5" w:rsidRPr="00556A74">
        <w:rPr>
          <w:color w:val="000000"/>
          <w:sz w:val="22"/>
          <w:szCs w:val="22"/>
          <w:u w:val="none"/>
          <w:shd w:val="clear" w:color="auto" w:fill="FFFFFF"/>
        </w:rPr>
        <w:t>.</w:t>
      </w:r>
      <w:r w:rsidR="002973D9" w:rsidRPr="00556A74">
        <w:rPr>
          <w:color w:val="000000"/>
          <w:sz w:val="22"/>
          <w:szCs w:val="22"/>
          <w:u w:val="none"/>
          <w:shd w:val="clear" w:color="auto" w:fill="FFFFFF"/>
        </w:rPr>
        <w:t>’</w:t>
      </w:r>
    </w:p>
    <w:p w14:paraId="57D08CAE" w14:textId="77777777" w:rsidR="004068BB" w:rsidRPr="004068BB" w:rsidRDefault="004068BB" w:rsidP="004068BB">
      <w:pPr>
        <w:pStyle w:val="ListParagraph"/>
        <w:spacing w:before="120" w:after="120" w:line="360" w:lineRule="auto"/>
        <w:ind w:left="1440"/>
        <w:jc w:val="both"/>
        <w:rPr>
          <w:color w:val="000000"/>
          <w:u w:val="none"/>
          <w:shd w:val="clear" w:color="auto" w:fill="FFFFFF"/>
        </w:rPr>
      </w:pPr>
    </w:p>
    <w:p w14:paraId="73E5E61C" w14:textId="77D65B3E" w:rsidR="00E46C4B" w:rsidRPr="004068BB" w:rsidRDefault="00EA5E18" w:rsidP="000B37FD">
      <w:pPr>
        <w:pStyle w:val="ListParagraph"/>
        <w:numPr>
          <w:ilvl w:val="0"/>
          <w:numId w:val="2"/>
        </w:numPr>
        <w:spacing w:before="120" w:after="120" w:line="360" w:lineRule="auto"/>
        <w:ind w:left="692"/>
        <w:jc w:val="both"/>
        <w:rPr>
          <w:u w:val="none"/>
        </w:rPr>
      </w:pPr>
      <w:r w:rsidRPr="00EA5E18">
        <w:rPr>
          <w:color w:val="000000"/>
          <w:u w:val="none"/>
          <w:shd w:val="clear" w:color="auto" w:fill="FFFFFF"/>
        </w:rPr>
        <w:t>It is common cause that at the time of the divorce, the property was an undeveloped stand consisting of shares held in a Share</w:t>
      </w:r>
      <w:r w:rsidR="007C397F">
        <w:rPr>
          <w:color w:val="000000"/>
          <w:u w:val="none"/>
          <w:shd w:val="clear" w:color="auto" w:fill="FFFFFF"/>
        </w:rPr>
        <w:t xml:space="preserve"> B</w:t>
      </w:r>
      <w:r w:rsidRPr="00EA5E18">
        <w:rPr>
          <w:color w:val="000000"/>
          <w:u w:val="none"/>
          <w:shd w:val="clear" w:color="auto" w:fill="FFFFFF"/>
        </w:rPr>
        <w:t xml:space="preserve">lock Scheme, held </w:t>
      </w:r>
      <w:r w:rsidR="009C1436">
        <w:rPr>
          <w:color w:val="000000"/>
          <w:u w:val="none"/>
          <w:shd w:val="clear" w:color="auto" w:fill="FFFFFF"/>
        </w:rPr>
        <w:t>through a</w:t>
      </w:r>
      <w:r w:rsidRPr="00EA5E18">
        <w:rPr>
          <w:color w:val="000000"/>
          <w:u w:val="none"/>
          <w:shd w:val="clear" w:color="auto" w:fill="FFFFFF"/>
        </w:rPr>
        <w:t xml:space="preserve"> Deed of Transfer </w:t>
      </w:r>
      <w:r w:rsidR="009C1436">
        <w:rPr>
          <w:color w:val="000000"/>
          <w:u w:val="none"/>
          <w:shd w:val="clear" w:color="auto" w:fill="FFFFFF"/>
        </w:rPr>
        <w:t>(</w:t>
      </w:r>
      <w:r w:rsidRPr="00EA5E18">
        <w:rPr>
          <w:color w:val="000000"/>
          <w:u w:val="none"/>
          <w:shd w:val="clear" w:color="auto" w:fill="FFFFFF"/>
        </w:rPr>
        <w:t>No. T44546/85).</w:t>
      </w:r>
      <w:r w:rsidR="00B458A5">
        <w:rPr>
          <w:color w:val="000000"/>
          <w:u w:val="none"/>
          <w:shd w:val="clear" w:color="auto" w:fill="FFFFFF"/>
        </w:rPr>
        <w:t xml:space="preserve"> </w:t>
      </w:r>
      <w:r w:rsidRPr="00EA5E18">
        <w:rPr>
          <w:color w:val="000000"/>
          <w:u w:val="none"/>
          <w:shd w:val="clear" w:color="auto" w:fill="FFFFFF"/>
        </w:rPr>
        <w:t>The applicants contend that it is clear from the settlement agreement that the intention of the parties was always that the property, once fully paid up of the debt that was still outstanding as at date of divorce, would be transferred to a Trust</w:t>
      </w:r>
      <w:r w:rsidR="00B458A5">
        <w:rPr>
          <w:color w:val="000000"/>
          <w:u w:val="none"/>
          <w:shd w:val="clear" w:color="auto" w:fill="FFFFFF"/>
        </w:rPr>
        <w:t xml:space="preserve"> to be created by the respondent</w:t>
      </w:r>
      <w:r w:rsidRPr="00EA5E18">
        <w:rPr>
          <w:color w:val="000000"/>
          <w:u w:val="none"/>
          <w:shd w:val="clear" w:color="auto" w:fill="FFFFFF"/>
        </w:rPr>
        <w:t xml:space="preserve">, with the then minor children </w:t>
      </w:r>
      <w:r w:rsidR="00EC0B18">
        <w:rPr>
          <w:color w:val="000000"/>
          <w:u w:val="none"/>
          <w:shd w:val="clear" w:color="auto" w:fill="FFFFFF"/>
        </w:rPr>
        <w:t>being</w:t>
      </w:r>
      <w:r w:rsidRPr="00EA5E18">
        <w:rPr>
          <w:color w:val="000000"/>
          <w:u w:val="none"/>
          <w:shd w:val="clear" w:color="auto" w:fill="FFFFFF"/>
        </w:rPr>
        <w:t xml:space="preserve"> beneficiaries</w:t>
      </w:r>
      <w:r w:rsidR="00E46C4B" w:rsidRPr="00950FD7">
        <w:rPr>
          <w:color w:val="000000"/>
          <w:u w:val="none"/>
          <w:shd w:val="clear" w:color="auto" w:fill="FFFFFF"/>
        </w:rPr>
        <w:t>.</w:t>
      </w:r>
    </w:p>
    <w:p w14:paraId="5AFCF5FF" w14:textId="77777777" w:rsidR="004068BB" w:rsidRPr="00D42C9D" w:rsidRDefault="004068BB" w:rsidP="004068BB">
      <w:pPr>
        <w:pStyle w:val="ListParagraph"/>
        <w:spacing w:before="120" w:after="120" w:line="360" w:lineRule="auto"/>
        <w:ind w:left="692"/>
        <w:jc w:val="both"/>
        <w:rPr>
          <w:u w:val="none"/>
        </w:rPr>
      </w:pPr>
    </w:p>
    <w:p w14:paraId="08AE1571" w14:textId="756C324A"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 xml:space="preserve">It is common cause that the property is currently registered in the respondent's name contrary to the terms of the settlement agreement and </w:t>
      </w:r>
      <w:r w:rsidR="009E0D9B" w:rsidRPr="00EA5E18">
        <w:rPr>
          <w:color w:val="000000"/>
          <w:u w:val="none"/>
          <w:shd w:val="clear" w:color="auto" w:fill="FFFFFF"/>
        </w:rPr>
        <w:t>c</w:t>
      </w:r>
      <w:r w:rsidRPr="00EA5E18">
        <w:rPr>
          <w:color w:val="000000"/>
          <w:u w:val="none"/>
          <w:shd w:val="clear" w:color="auto" w:fill="FFFFFF"/>
        </w:rPr>
        <w:t>ourt order</w:t>
      </w:r>
      <w:r w:rsidR="00E46C4B" w:rsidRPr="00950FD7">
        <w:rPr>
          <w:color w:val="000000"/>
          <w:u w:val="none"/>
          <w:shd w:val="clear" w:color="auto" w:fill="FFFFFF"/>
        </w:rPr>
        <w:t>.</w:t>
      </w:r>
    </w:p>
    <w:p w14:paraId="33ECD2C9"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19793D63" w14:textId="234B7E71"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Th</w:t>
      </w:r>
      <w:r w:rsidR="00A308D2">
        <w:rPr>
          <w:color w:val="000000"/>
          <w:u w:val="none"/>
          <w:shd w:val="clear" w:color="auto" w:fill="FFFFFF"/>
        </w:rPr>
        <w:t>is</w:t>
      </w:r>
      <w:r w:rsidRPr="00EA5E18">
        <w:rPr>
          <w:color w:val="000000"/>
          <w:u w:val="none"/>
          <w:shd w:val="clear" w:color="auto" w:fill="FFFFFF"/>
        </w:rPr>
        <w:t xml:space="preserve"> application was served on 5 April 2019 with the respondent serving his answering affidavit on 29 July 2019, some four months thereafter. The applicants allege that the answering affidavit contained certain allegations that the</w:t>
      </w:r>
      <w:r w:rsidR="00666851">
        <w:rPr>
          <w:color w:val="000000"/>
          <w:u w:val="none"/>
          <w:shd w:val="clear" w:color="auto" w:fill="FFFFFF"/>
        </w:rPr>
        <w:t>y</w:t>
      </w:r>
      <w:r w:rsidRPr="00EA5E18">
        <w:rPr>
          <w:color w:val="000000"/>
          <w:u w:val="none"/>
          <w:shd w:val="clear" w:color="auto" w:fill="FFFFFF"/>
        </w:rPr>
        <w:t xml:space="preserve"> </w:t>
      </w:r>
      <w:r w:rsidR="00666851">
        <w:rPr>
          <w:color w:val="000000"/>
          <w:u w:val="none"/>
          <w:shd w:val="clear" w:color="auto" w:fill="FFFFFF"/>
        </w:rPr>
        <w:t>were</w:t>
      </w:r>
      <w:r w:rsidRPr="00EA5E18">
        <w:rPr>
          <w:color w:val="000000"/>
          <w:u w:val="none"/>
          <w:shd w:val="clear" w:color="auto" w:fill="FFFFFF"/>
        </w:rPr>
        <w:t xml:space="preserve"> not aware of until that point. After concerted investigations were made regarding the allegations contained in the answering affidavit, and other factors that led to further delays, a replying affidavit</w:t>
      </w:r>
      <w:r w:rsidR="00C53F84">
        <w:rPr>
          <w:color w:val="000000"/>
          <w:u w:val="none"/>
          <w:shd w:val="clear" w:color="auto" w:fill="FFFFFF"/>
        </w:rPr>
        <w:t>,</w:t>
      </w:r>
      <w:r w:rsidRPr="00EA5E18">
        <w:rPr>
          <w:color w:val="000000"/>
          <w:u w:val="none"/>
          <w:shd w:val="clear" w:color="auto" w:fill="FFFFFF"/>
        </w:rPr>
        <w:t xml:space="preserve"> together with a substantive condonation application was only served and filed during September 2021. Given the delays experienced by both parties, the</w:t>
      </w:r>
      <w:r w:rsidR="00CC3C09">
        <w:rPr>
          <w:color w:val="000000"/>
          <w:u w:val="none"/>
          <w:shd w:val="clear" w:color="auto" w:fill="FFFFFF"/>
        </w:rPr>
        <w:t>y</w:t>
      </w:r>
      <w:r w:rsidRPr="00EA5E18">
        <w:rPr>
          <w:color w:val="000000"/>
          <w:u w:val="none"/>
          <w:shd w:val="clear" w:color="auto" w:fill="FFFFFF"/>
        </w:rPr>
        <w:t xml:space="preserve"> agreed, subject to the leave of the </w:t>
      </w:r>
      <w:r w:rsidR="002615AF" w:rsidRPr="00EA5E18">
        <w:rPr>
          <w:color w:val="000000"/>
          <w:u w:val="none"/>
          <w:shd w:val="clear" w:color="auto" w:fill="FFFFFF"/>
        </w:rPr>
        <w:t>c</w:t>
      </w:r>
      <w:r w:rsidRPr="00EA5E18">
        <w:rPr>
          <w:color w:val="000000"/>
          <w:u w:val="none"/>
          <w:shd w:val="clear" w:color="auto" w:fill="FFFFFF"/>
        </w:rPr>
        <w:t>ourt, to abandon any claims to prejudice that either might have suffered as a result thereof. Condonation was accordingly granted</w:t>
      </w:r>
      <w:r w:rsidR="00E46C4B" w:rsidRPr="00950FD7">
        <w:rPr>
          <w:color w:val="000000"/>
          <w:u w:val="none"/>
          <w:shd w:val="clear" w:color="auto" w:fill="FFFFFF"/>
        </w:rPr>
        <w:t xml:space="preserve">. </w:t>
      </w:r>
    </w:p>
    <w:p w14:paraId="571F5EB7" w14:textId="77777777" w:rsidR="001C114E" w:rsidRPr="001C114E" w:rsidRDefault="001C114E" w:rsidP="001C114E">
      <w:pPr>
        <w:pStyle w:val="ListParagraph"/>
        <w:rPr>
          <w:color w:val="000000"/>
          <w:u w:val="none"/>
          <w:shd w:val="clear" w:color="auto" w:fill="FFFFFF"/>
        </w:rPr>
      </w:pPr>
    </w:p>
    <w:p w14:paraId="223E805B" w14:textId="77777777" w:rsidR="001C114E" w:rsidRPr="00950FD7" w:rsidRDefault="001C114E" w:rsidP="001C114E">
      <w:pPr>
        <w:pStyle w:val="ListParagraph"/>
        <w:spacing w:before="120" w:after="120" w:line="360" w:lineRule="auto"/>
        <w:ind w:left="692"/>
        <w:jc w:val="both"/>
        <w:rPr>
          <w:color w:val="000000"/>
          <w:u w:val="none"/>
          <w:shd w:val="clear" w:color="auto" w:fill="FFFFFF"/>
        </w:rPr>
      </w:pPr>
    </w:p>
    <w:p w14:paraId="5B34AE51" w14:textId="4E510CE8" w:rsidR="00E46C4B" w:rsidRDefault="004D29A1" w:rsidP="000B37FD">
      <w:pPr>
        <w:pStyle w:val="ListParagraph"/>
        <w:numPr>
          <w:ilvl w:val="0"/>
          <w:numId w:val="2"/>
        </w:numPr>
        <w:spacing w:before="120" w:after="120" w:line="360" w:lineRule="auto"/>
        <w:ind w:left="692"/>
        <w:jc w:val="both"/>
        <w:rPr>
          <w:color w:val="000000"/>
          <w:u w:val="none"/>
          <w:shd w:val="clear" w:color="auto" w:fill="FFFFFF"/>
        </w:rPr>
      </w:pPr>
      <w:r>
        <w:rPr>
          <w:color w:val="000000"/>
          <w:u w:val="none"/>
          <w:shd w:val="clear" w:color="auto" w:fill="FFFFFF"/>
        </w:rPr>
        <w:t xml:space="preserve">Also </w:t>
      </w:r>
      <w:r w:rsidR="00EA5E18" w:rsidRPr="00EA5E18">
        <w:rPr>
          <w:color w:val="000000"/>
          <w:u w:val="none"/>
          <w:shd w:val="clear" w:color="auto" w:fill="FFFFFF"/>
        </w:rPr>
        <w:t xml:space="preserve">common </w:t>
      </w:r>
      <w:r w:rsidR="001C114E" w:rsidRPr="00EA5E18">
        <w:rPr>
          <w:color w:val="000000"/>
          <w:u w:val="none"/>
          <w:shd w:val="clear" w:color="auto" w:fill="FFFFFF"/>
        </w:rPr>
        <w:t xml:space="preserve">cause </w:t>
      </w:r>
      <w:r w:rsidR="001C114E">
        <w:rPr>
          <w:color w:val="000000"/>
          <w:u w:val="none"/>
          <w:shd w:val="clear" w:color="auto" w:fill="FFFFFF"/>
        </w:rPr>
        <w:t>is</w:t>
      </w:r>
      <w:r w:rsidR="00EA5E18" w:rsidRPr="00EA5E18">
        <w:rPr>
          <w:color w:val="000000"/>
          <w:u w:val="none"/>
          <w:shd w:val="clear" w:color="auto" w:fill="FFFFFF"/>
        </w:rPr>
        <w:t xml:space="preserve"> that the property scheme was changed from </w:t>
      </w:r>
      <w:r>
        <w:rPr>
          <w:color w:val="000000"/>
          <w:u w:val="none"/>
          <w:shd w:val="clear" w:color="auto" w:fill="FFFFFF"/>
        </w:rPr>
        <w:t>a S</w:t>
      </w:r>
      <w:r w:rsidR="00EA5E18" w:rsidRPr="00EA5E18">
        <w:rPr>
          <w:color w:val="000000"/>
          <w:u w:val="none"/>
          <w:shd w:val="clear" w:color="auto" w:fill="FFFFFF"/>
        </w:rPr>
        <w:t xml:space="preserve">hare </w:t>
      </w:r>
      <w:r>
        <w:rPr>
          <w:color w:val="000000"/>
          <w:u w:val="none"/>
          <w:shd w:val="clear" w:color="auto" w:fill="FFFFFF"/>
        </w:rPr>
        <w:t>B</w:t>
      </w:r>
      <w:r w:rsidR="00EA5E18" w:rsidRPr="00EA5E18">
        <w:rPr>
          <w:color w:val="000000"/>
          <w:u w:val="none"/>
          <w:shd w:val="clear" w:color="auto" w:fill="FFFFFF"/>
        </w:rPr>
        <w:t xml:space="preserve">lock </w:t>
      </w:r>
      <w:r>
        <w:rPr>
          <w:color w:val="000000"/>
          <w:u w:val="none"/>
          <w:shd w:val="clear" w:color="auto" w:fill="FFFFFF"/>
        </w:rPr>
        <w:t>S</w:t>
      </w:r>
      <w:r w:rsidR="00EA5E18" w:rsidRPr="00EA5E18">
        <w:rPr>
          <w:color w:val="000000"/>
          <w:u w:val="none"/>
          <w:shd w:val="clear" w:color="auto" w:fill="FFFFFF"/>
        </w:rPr>
        <w:t xml:space="preserve">cheme to a full title during 2002. </w:t>
      </w:r>
      <w:r w:rsidR="00EC5C65">
        <w:rPr>
          <w:color w:val="000000"/>
          <w:u w:val="none"/>
          <w:shd w:val="clear" w:color="auto" w:fill="FFFFFF"/>
        </w:rPr>
        <w:t xml:space="preserve">In </w:t>
      </w:r>
      <w:r w:rsidR="00EA5E18" w:rsidRPr="00EA5E18">
        <w:rPr>
          <w:color w:val="000000"/>
          <w:u w:val="none"/>
          <w:shd w:val="clear" w:color="auto" w:fill="FFFFFF"/>
        </w:rPr>
        <w:t>th</w:t>
      </w:r>
      <w:r w:rsidR="00EC5C65">
        <w:rPr>
          <w:color w:val="000000"/>
          <w:u w:val="none"/>
          <w:shd w:val="clear" w:color="auto" w:fill="FFFFFF"/>
        </w:rPr>
        <w:t>is</w:t>
      </w:r>
      <w:r w:rsidR="00EA5E18" w:rsidRPr="00EA5E18">
        <w:rPr>
          <w:color w:val="000000"/>
          <w:u w:val="none"/>
          <w:shd w:val="clear" w:color="auto" w:fill="FFFFFF"/>
        </w:rPr>
        <w:t xml:space="preserve"> application, the respondent does not dispute that he was obligated to establish a </w:t>
      </w:r>
      <w:r w:rsidR="00EC5C65">
        <w:rPr>
          <w:color w:val="000000"/>
          <w:u w:val="none"/>
          <w:shd w:val="clear" w:color="auto" w:fill="FFFFFF"/>
        </w:rPr>
        <w:t>T</w:t>
      </w:r>
      <w:r w:rsidR="00EA5E18" w:rsidRPr="00EA5E18">
        <w:rPr>
          <w:color w:val="000000"/>
          <w:u w:val="none"/>
          <w:shd w:val="clear" w:color="auto" w:fill="FFFFFF"/>
        </w:rPr>
        <w:t xml:space="preserve">rust with the second applicant and his sibling, Chantel, as beneficiaries. On his version, as at the time of the divorce, the property was an undeveloped stand, consisting of shares held in a </w:t>
      </w:r>
      <w:r w:rsidR="00EA5E18" w:rsidRPr="00EA5E18">
        <w:rPr>
          <w:color w:val="000000"/>
          <w:u w:val="none"/>
          <w:shd w:val="clear" w:color="auto" w:fill="FFFFFF"/>
        </w:rPr>
        <w:lastRenderedPageBreak/>
        <w:t>Share</w:t>
      </w:r>
      <w:r w:rsidR="00AC7D57">
        <w:rPr>
          <w:color w:val="000000"/>
          <w:u w:val="none"/>
          <w:shd w:val="clear" w:color="auto" w:fill="FFFFFF"/>
        </w:rPr>
        <w:t xml:space="preserve"> B</w:t>
      </w:r>
      <w:r w:rsidR="00EA5E18" w:rsidRPr="00EA5E18">
        <w:rPr>
          <w:color w:val="000000"/>
          <w:u w:val="none"/>
          <w:shd w:val="clear" w:color="auto" w:fill="FFFFFF"/>
        </w:rPr>
        <w:t xml:space="preserve">lock Scheme, known as Waltenroodt Oorde Shareblock Limited, on Erf 121 situated in Bronkhorstbaai Township (General Plan LG No. A2953/71 held by virtue of Deed of Transfer No. T44546/85). He contends that </w:t>
      </w:r>
      <w:r w:rsidR="002F325B">
        <w:rPr>
          <w:color w:val="000000"/>
          <w:u w:val="none"/>
          <w:shd w:val="clear" w:color="auto" w:fill="FFFFFF"/>
        </w:rPr>
        <w:t>‘</w:t>
      </w:r>
      <w:r w:rsidR="00EA5E18" w:rsidRPr="00EA5E18">
        <w:rPr>
          <w:color w:val="000000"/>
          <w:u w:val="none"/>
          <w:shd w:val="clear" w:color="auto" w:fill="FFFFFF"/>
        </w:rPr>
        <w:t>it was no longer possible to transfer the Shares of the Shareblock Scheme to a trust as prescribed in the settlement agreement</w:t>
      </w:r>
      <w:r w:rsidR="002F325B">
        <w:rPr>
          <w:color w:val="000000"/>
          <w:u w:val="none"/>
          <w:shd w:val="clear" w:color="auto" w:fill="FFFFFF"/>
        </w:rPr>
        <w:t>’</w:t>
      </w:r>
      <w:r w:rsidR="00EA5E18" w:rsidRPr="00EA5E18">
        <w:rPr>
          <w:color w:val="000000"/>
          <w:u w:val="none"/>
          <w:shd w:val="clear" w:color="auto" w:fill="FFFFFF"/>
        </w:rPr>
        <w:t xml:space="preserve">. </w:t>
      </w:r>
      <w:r w:rsidR="001C114E">
        <w:rPr>
          <w:color w:val="000000"/>
          <w:u w:val="none"/>
          <w:shd w:val="clear" w:color="auto" w:fill="FFFFFF"/>
        </w:rPr>
        <w:t>Th</w:t>
      </w:r>
      <w:r w:rsidR="001C114E" w:rsidRPr="00EA5E18">
        <w:rPr>
          <w:color w:val="000000"/>
          <w:u w:val="none"/>
          <w:shd w:val="clear" w:color="auto" w:fill="FFFFFF"/>
        </w:rPr>
        <w:t>e reason</w:t>
      </w:r>
      <w:r w:rsidR="00EA5E18" w:rsidRPr="00EA5E18">
        <w:rPr>
          <w:color w:val="000000"/>
          <w:u w:val="none"/>
          <w:shd w:val="clear" w:color="auto" w:fill="FFFFFF"/>
        </w:rPr>
        <w:t xml:space="preserve"> </w:t>
      </w:r>
      <w:r w:rsidR="0004104D">
        <w:rPr>
          <w:color w:val="000000"/>
          <w:u w:val="none"/>
          <w:shd w:val="clear" w:color="auto" w:fill="FFFFFF"/>
        </w:rPr>
        <w:t xml:space="preserve">he gives </w:t>
      </w:r>
      <w:r w:rsidR="00EA5E18" w:rsidRPr="00EA5E18">
        <w:rPr>
          <w:color w:val="000000"/>
          <w:u w:val="none"/>
          <w:shd w:val="clear" w:color="auto" w:fill="FFFFFF"/>
        </w:rPr>
        <w:t xml:space="preserve">for not doing so </w:t>
      </w:r>
      <w:r w:rsidR="0004104D">
        <w:rPr>
          <w:color w:val="000000"/>
          <w:u w:val="none"/>
          <w:shd w:val="clear" w:color="auto" w:fill="FFFFFF"/>
        </w:rPr>
        <w:t>despite the property being fully paid up is</w:t>
      </w:r>
      <w:r w:rsidR="00EA5E18" w:rsidRPr="00EA5E18">
        <w:rPr>
          <w:color w:val="000000"/>
          <w:u w:val="none"/>
          <w:shd w:val="clear" w:color="auto" w:fill="FFFFFF"/>
        </w:rPr>
        <w:t xml:space="preserve"> that he did not have the funds to do so at the time</w:t>
      </w:r>
      <w:r w:rsidR="00E46C4B" w:rsidRPr="00950FD7">
        <w:rPr>
          <w:color w:val="000000"/>
          <w:u w:val="none"/>
          <w:shd w:val="clear" w:color="auto" w:fill="FFFFFF"/>
        </w:rPr>
        <w:t>.</w:t>
      </w:r>
    </w:p>
    <w:p w14:paraId="0D76C9A9" w14:textId="772FF4A5" w:rsidR="004068BB" w:rsidRDefault="004068BB" w:rsidP="00071C24">
      <w:pPr>
        <w:spacing w:before="120" w:after="120" w:line="360" w:lineRule="auto"/>
        <w:ind w:left="2"/>
        <w:jc w:val="both"/>
        <w:rPr>
          <w:color w:val="000000"/>
          <w:u w:val="none"/>
          <w:shd w:val="clear" w:color="auto" w:fill="FFFFFF"/>
        </w:rPr>
      </w:pPr>
    </w:p>
    <w:p w14:paraId="05C944E6" w14:textId="7B68C492" w:rsidR="00583661" w:rsidRPr="00556A74" w:rsidRDefault="00583661" w:rsidP="00071C24">
      <w:pPr>
        <w:spacing w:before="120" w:after="120" w:line="360" w:lineRule="auto"/>
        <w:ind w:left="2"/>
        <w:jc w:val="both"/>
        <w:rPr>
          <w:i/>
          <w:color w:val="000000"/>
          <w:u w:val="none"/>
          <w:shd w:val="clear" w:color="auto" w:fill="FFFFFF"/>
        </w:rPr>
      </w:pPr>
      <w:r w:rsidRPr="00071C24">
        <w:rPr>
          <w:i/>
          <w:color w:val="000000"/>
          <w:u w:val="none"/>
          <w:shd w:val="clear" w:color="auto" w:fill="FFFFFF"/>
        </w:rPr>
        <w:t>Merits</w:t>
      </w:r>
    </w:p>
    <w:p w14:paraId="0F1051D7" w14:textId="4BE9DF52"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The respondent alleges that his inability to comply with the settlement agreement was discussed between him and the first applicant and the parties agreed that the respondent would not have to register a Trust but take transfer of the subject property into his name. This is disputed by the first applicant.</w:t>
      </w:r>
      <w:r w:rsidRPr="00EA5E18">
        <w:rPr>
          <w:b/>
          <w:color w:val="000000"/>
          <w:u w:val="none"/>
          <w:shd w:val="clear" w:color="auto" w:fill="FFFFFF"/>
        </w:rPr>
        <w:t xml:space="preserve"> </w:t>
      </w:r>
      <w:r w:rsidRPr="00EA5E18">
        <w:rPr>
          <w:color w:val="000000"/>
          <w:u w:val="none"/>
          <w:shd w:val="clear" w:color="auto" w:fill="FFFFFF"/>
        </w:rPr>
        <w:t>The respondent also contends that the conveyancing attorneys would not have transferred the subject property in the respondent's name without the first applicant signing the necessary documents. But, this</w:t>
      </w:r>
      <w:r w:rsidR="00E61438">
        <w:rPr>
          <w:color w:val="000000"/>
          <w:u w:val="none"/>
          <w:shd w:val="clear" w:color="auto" w:fill="FFFFFF"/>
        </w:rPr>
        <w:t xml:space="preserve"> is</w:t>
      </w:r>
      <w:r w:rsidRPr="00EA5E18">
        <w:rPr>
          <w:color w:val="000000"/>
          <w:u w:val="none"/>
          <w:shd w:val="clear" w:color="auto" w:fill="FFFFFF"/>
        </w:rPr>
        <w:t xml:space="preserve"> not supported by any</w:t>
      </w:r>
      <w:r w:rsidR="001C114E">
        <w:rPr>
          <w:color w:val="000000"/>
          <w:u w:val="none"/>
          <w:shd w:val="clear" w:color="auto" w:fill="FFFFFF"/>
        </w:rPr>
        <w:t xml:space="preserve"> objective</w:t>
      </w:r>
      <w:r w:rsidRPr="00EA5E18">
        <w:rPr>
          <w:color w:val="000000"/>
          <w:u w:val="none"/>
          <w:shd w:val="clear" w:color="auto" w:fill="FFFFFF"/>
        </w:rPr>
        <w:t xml:space="preserve"> evidence. According to the respondent, he made improvements to the property </w:t>
      </w:r>
      <w:r w:rsidR="008C1D3E">
        <w:rPr>
          <w:color w:val="000000"/>
          <w:u w:val="none"/>
          <w:shd w:val="clear" w:color="auto" w:fill="FFFFFF"/>
        </w:rPr>
        <w:t>‘</w:t>
      </w:r>
      <w:r w:rsidRPr="00EA5E18">
        <w:rPr>
          <w:i/>
          <w:color w:val="000000"/>
          <w:u w:val="none"/>
          <w:shd w:val="clear" w:color="auto" w:fill="FFFFFF"/>
        </w:rPr>
        <w:t>by erecting a house and remains to have the children benefit from the subject property as per the true intention of the settlement agreement</w:t>
      </w:r>
      <w:r w:rsidR="008C1D3E">
        <w:rPr>
          <w:i/>
          <w:color w:val="000000"/>
          <w:u w:val="none"/>
          <w:shd w:val="clear" w:color="auto" w:fill="FFFFFF"/>
        </w:rPr>
        <w:t>’</w:t>
      </w:r>
      <w:r w:rsidR="00E46C4B" w:rsidRPr="00950FD7">
        <w:rPr>
          <w:color w:val="000000"/>
          <w:u w:val="none"/>
          <w:shd w:val="clear" w:color="auto" w:fill="FFFFFF"/>
        </w:rPr>
        <w:t>.</w:t>
      </w:r>
    </w:p>
    <w:p w14:paraId="1C64CF7A"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0020549D" w14:textId="141F5CC1"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The respondent also contends that he had no control over the township's subdivision resulting in the Share</w:t>
      </w:r>
      <w:r w:rsidR="00284F26">
        <w:rPr>
          <w:color w:val="000000"/>
          <w:u w:val="none"/>
          <w:shd w:val="clear" w:color="auto" w:fill="FFFFFF"/>
        </w:rPr>
        <w:t xml:space="preserve"> </w:t>
      </w:r>
      <w:r w:rsidR="00284F26" w:rsidRPr="00EA5E18">
        <w:rPr>
          <w:color w:val="000000"/>
          <w:u w:val="none"/>
          <w:shd w:val="clear" w:color="auto" w:fill="FFFFFF"/>
        </w:rPr>
        <w:t>B</w:t>
      </w:r>
      <w:r w:rsidRPr="00EA5E18">
        <w:rPr>
          <w:color w:val="000000"/>
          <w:u w:val="none"/>
          <w:shd w:val="clear" w:color="auto" w:fill="FFFFFF"/>
        </w:rPr>
        <w:t>lock Scheme being converted to full title stands and as a result of the aforementioned</w:t>
      </w:r>
      <w:r w:rsidR="001065D3">
        <w:rPr>
          <w:color w:val="000000"/>
          <w:u w:val="none"/>
          <w:shd w:val="clear" w:color="auto" w:fill="FFFFFF"/>
        </w:rPr>
        <w:t>,</w:t>
      </w:r>
      <w:r w:rsidRPr="00EA5E18">
        <w:rPr>
          <w:color w:val="000000"/>
          <w:u w:val="none"/>
          <w:shd w:val="clear" w:color="auto" w:fill="FFFFFF"/>
        </w:rPr>
        <w:t xml:space="preserve"> the transfer of the shares to a </w:t>
      </w:r>
      <w:r w:rsidR="001065D3">
        <w:rPr>
          <w:color w:val="000000"/>
          <w:u w:val="none"/>
          <w:shd w:val="clear" w:color="auto" w:fill="FFFFFF"/>
        </w:rPr>
        <w:t>T</w:t>
      </w:r>
      <w:r w:rsidRPr="00EA5E18">
        <w:rPr>
          <w:color w:val="000000"/>
          <w:u w:val="none"/>
          <w:shd w:val="clear" w:color="auto" w:fill="FFFFFF"/>
        </w:rPr>
        <w:t xml:space="preserve">rust was no longer possible. Thus, </w:t>
      </w:r>
      <w:r w:rsidR="00E74369" w:rsidRPr="00EA5E18">
        <w:rPr>
          <w:color w:val="000000"/>
          <w:u w:val="none"/>
          <w:shd w:val="clear" w:color="auto" w:fill="FFFFFF"/>
        </w:rPr>
        <w:t>on his version</w:t>
      </w:r>
      <w:r w:rsidR="00E74369">
        <w:rPr>
          <w:color w:val="000000"/>
          <w:u w:val="none"/>
          <w:shd w:val="clear" w:color="auto" w:fill="FFFFFF"/>
        </w:rPr>
        <w:t>,</w:t>
      </w:r>
      <w:r w:rsidR="00E74369" w:rsidRPr="00EA5E18">
        <w:rPr>
          <w:color w:val="000000"/>
          <w:u w:val="none"/>
          <w:shd w:val="clear" w:color="auto" w:fill="FFFFFF"/>
        </w:rPr>
        <w:t xml:space="preserve"> </w:t>
      </w:r>
      <w:r w:rsidRPr="00EA5E18">
        <w:rPr>
          <w:color w:val="000000"/>
          <w:u w:val="none"/>
          <w:shd w:val="clear" w:color="auto" w:fill="FFFFFF"/>
        </w:rPr>
        <w:t xml:space="preserve">any alleged contempt cannot be found to be wilful or </w:t>
      </w:r>
      <w:r w:rsidRPr="00556A74">
        <w:rPr>
          <w:i/>
          <w:color w:val="000000"/>
          <w:u w:val="none"/>
          <w:shd w:val="clear" w:color="auto" w:fill="FFFFFF"/>
        </w:rPr>
        <w:t>mala fide</w:t>
      </w:r>
      <w:r w:rsidR="00E46C4B" w:rsidRPr="00950FD7">
        <w:rPr>
          <w:color w:val="000000"/>
          <w:u w:val="none"/>
          <w:shd w:val="clear" w:color="auto" w:fill="FFFFFF"/>
        </w:rPr>
        <w:t xml:space="preserve">. </w:t>
      </w:r>
    </w:p>
    <w:p w14:paraId="2E00A3DD"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560F18E8" w14:textId="5565C6A7" w:rsidR="004068BB" w:rsidRDefault="00EA5E18" w:rsidP="0063237D">
      <w:pPr>
        <w:pStyle w:val="ListParagraph"/>
        <w:numPr>
          <w:ilvl w:val="0"/>
          <w:numId w:val="2"/>
        </w:numPr>
        <w:spacing w:before="120" w:after="120" w:line="360" w:lineRule="auto"/>
        <w:ind w:left="692"/>
        <w:jc w:val="both"/>
        <w:rPr>
          <w:color w:val="000000"/>
          <w:u w:val="none"/>
          <w:shd w:val="clear" w:color="auto" w:fill="FFFFFF"/>
        </w:rPr>
      </w:pPr>
      <w:r w:rsidRPr="001C114E">
        <w:rPr>
          <w:color w:val="000000"/>
          <w:u w:val="none"/>
          <w:shd w:val="clear" w:color="auto" w:fill="FFFFFF"/>
        </w:rPr>
        <w:t xml:space="preserve">It is trite that </w:t>
      </w:r>
      <w:r w:rsidR="004F317A" w:rsidRPr="001C114E">
        <w:rPr>
          <w:color w:val="000000"/>
          <w:u w:val="none"/>
          <w:shd w:val="clear" w:color="auto" w:fill="FFFFFF"/>
        </w:rPr>
        <w:t>‘</w:t>
      </w:r>
      <w:r w:rsidRPr="001C114E">
        <w:rPr>
          <w:color w:val="000000"/>
          <w:u w:val="none"/>
          <w:shd w:val="clear" w:color="auto" w:fill="FFFFFF"/>
        </w:rPr>
        <w:t xml:space="preserve">once the applicant has proved the order, service or notice, and non-compliance, the respondent bears an evidential burden in relation to wilfulness and </w:t>
      </w:r>
      <w:r w:rsidRPr="001C114E">
        <w:rPr>
          <w:i/>
          <w:color w:val="000000"/>
          <w:u w:val="none"/>
          <w:shd w:val="clear" w:color="auto" w:fill="FFFFFF"/>
        </w:rPr>
        <w:t>mala fides</w:t>
      </w:r>
      <w:r w:rsidRPr="001C114E">
        <w:rPr>
          <w:color w:val="000000"/>
          <w:u w:val="none"/>
          <w:shd w:val="clear" w:color="auto" w:fill="FFFFFF"/>
        </w:rPr>
        <w:t xml:space="preserve">: </w:t>
      </w:r>
      <w:r w:rsidR="0051045B" w:rsidRPr="001C114E">
        <w:rPr>
          <w:color w:val="000000"/>
          <w:u w:val="none"/>
          <w:shd w:val="clear" w:color="auto" w:fill="FFFFFF"/>
        </w:rPr>
        <w:t>S</w:t>
      </w:r>
      <w:r w:rsidRPr="001C114E">
        <w:rPr>
          <w:color w:val="000000"/>
          <w:u w:val="none"/>
          <w:shd w:val="clear" w:color="auto" w:fill="FFFFFF"/>
        </w:rPr>
        <w:t xml:space="preserve">hould the respondent fail to advance evidence that establishes a reasonable doubt as to whether non-compliance was wilful and </w:t>
      </w:r>
      <w:r w:rsidRPr="001C114E">
        <w:rPr>
          <w:i/>
          <w:color w:val="000000"/>
          <w:u w:val="none"/>
          <w:shd w:val="clear" w:color="auto" w:fill="FFFFFF"/>
        </w:rPr>
        <w:t>mala fide</w:t>
      </w:r>
      <w:r w:rsidRPr="001C114E">
        <w:rPr>
          <w:color w:val="000000"/>
          <w:u w:val="none"/>
          <w:shd w:val="clear" w:color="auto" w:fill="FFFFFF"/>
        </w:rPr>
        <w:t>, contempt will have been established beyond reasonable doubt</w:t>
      </w:r>
      <w:r w:rsidR="0051045B" w:rsidRPr="001C114E">
        <w:rPr>
          <w:color w:val="000000"/>
          <w:u w:val="none"/>
          <w:shd w:val="clear" w:color="auto" w:fill="FFFFFF"/>
        </w:rPr>
        <w:t>’</w:t>
      </w:r>
      <w:r w:rsidRPr="001C114E">
        <w:rPr>
          <w:color w:val="000000"/>
          <w:u w:val="none"/>
          <w:shd w:val="clear" w:color="auto" w:fill="FFFFFF"/>
        </w:rPr>
        <w:t>.</w:t>
      </w:r>
      <w:r w:rsidRPr="00EA5E18">
        <w:rPr>
          <w:color w:val="000000"/>
          <w:u w:val="none"/>
          <w:shd w:val="clear" w:color="auto" w:fill="FFFFFF"/>
          <w:vertAlign w:val="superscript"/>
        </w:rPr>
        <w:footnoteReference w:id="1"/>
      </w:r>
      <w:r w:rsidRPr="001C114E">
        <w:rPr>
          <w:color w:val="000000"/>
          <w:u w:val="none"/>
          <w:shd w:val="clear" w:color="auto" w:fill="FFFFFF"/>
        </w:rPr>
        <w:t xml:space="preserve"> On the merits, the applicant</w:t>
      </w:r>
      <w:r w:rsidR="002C0337" w:rsidRPr="001C114E">
        <w:rPr>
          <w:color w:val="000000"/>
          <w:u w:val="none"/>
          <w:shd w:val="clear" w:color="auto" w:fill="FFFFFF"/>
        </w:rPr>
        <w:t>s</w:t>
      </w:r>
      <w:r w:rsidRPr="001C114E">
        <w:rPr>
          <w:color w:val="000000"/>
          <w:u w:val="none"/>
          <w:shd w:val="clear" w:color="auto" w:fill="FFFFFF"/>
        </w:rPr>
        <w:t xml:space="preserve"> submit that the respondent is guilty of the crime of </w:t>
      </w:r>
      <w:r w:rsidRPr="001C114E">
        <w:rPr>
          <w:color w:val="000000"/>
          <w:u w:val="none"/>
          <w:shd w:val="clear" w:color="auto" w:fill="FFFFFF"/>
        </w:rPr>
        <w:lastRenderedPageBreak/>
        <w:t xml:space="preserve">contempt of court.  The applicant draws on the decision in </w:t>
      </w:r>
      <w:r w:rsidR="00CC6599" w:rsidRPr="001C114E">
        <w:rPr>
          <w:i/>
          <w:color w:val="000000"/>
          <w:u w:val="none"/>
          <w:shd w:val="clear" w:color="auto" w:fill="FFFFFF"/>
        </w:rPr>
        <w:t>Fakie</w:t>
      </w:r>
      <w:r w:rsidR="00CC6599" w:rsidRPr="001C114E">
        <w:rPr>
          <w:color w:val="000000"/>
          <w:u w:val="none"/>
          <w:shd w:val="clear" w:color="auto" w:fill="FFFFFF"/>
        </w:rPr>
        <w:t xml:space="preserve"> </w:t>
      </w:r>
      <w:r w:rsidRPr="001C114E">
        <w:rPr>
          <w:color w:val="000000"/>
          <w:u w:val="none"/>
          <w:shd w:val="clear" w:color="auto" w:fill="FFFFFF"/>
        </w:rPr>
        <w:t xml:space="preserve">contending that the respondent has failed to present any evidence whatsoever to avoid the conclusion that his non-compliance was wilful and </w:t>
      </w:r>
      <w:r w:rsidRPr="001C114E">
        <w:rPr>
          <w:i/>
          <w:color w:val="000000"/>
          <w:u w:val="none"/>
          <w:shd w:val="clear" w:color="auto" w:fill="FFFFFF"/>
        </w:rPr>
        <w:t>mala fide</w:t>
      </w:r>
      <w:r w:rsidRPr="001C114E">
        <w:rPr>
          <w:color w:val="000000"/>
          <w:u w:val="none"/>
          <w:shd w:val="clear" w:color="auto" w:fill="FFFFFF"/>
        </w:rPr>
        <w:t>. Based on all of the above, the applicant</w:t>
      </w:r>
      <w:r w:rsidR="002D32D0" w:rsidRPr="001C114E">
        <w:rPr>
          <w:color w:val="000000"/>
          <w:u w:val="none"/>
          <w:shd w:val="clear" w:color="auto" w:fill="FFFFFF"/>
        </w:rPr>
        <w:t>s</w:t>
      </w:r>
      <w:r w:rsidRPr="001C114E">
        <w:rPr>
          <w:color w:val="000000"/>
          <w:u w:val="none"/>
          <w:shd w:val="clear" w:color="auto" w:fill="FFFFFF"/>
        </w:rPr>
        <w:t xml:space="preserve"> seek a punitive</w:t>
      </w:r>
      <w:r w:rsidR="001C114E" w:rsidRPr="001C114E">
        <w:rPr>
          <w:color w:val="000000"/>
          <w:u w:val="none"/>
          <w:shd w:val="clear" w:color="auto" w:fill="FFFFFF"/>
        </w:rPr>
        <w:t xml:space="preserve"> cost</w:t>
      </w:r>
      <w:r w:rsidR="001C114E">
        <w:rPr>
          <w:color w:val="000000"/>
          <w:u w:val="none"/>
          <w:shd w:val="clear" w:color="auto" w:fill="FFFFFF"/>
        </w:rPr>
        <w:t xml:space="preserve"> order.</w:t>
      </w:r>
    </w:p>
    <w:p w14:paraId="3C82DBD8" w14:textId="707CB0C4" w:rsidR="001C114E" w:rsidRPr="001C114E" w:rsidRDefault="001C114E" w:rsidP="001C114E">
      <w:pPr>
        <w:spacing w:before="120" w:after="120" w:line="360" w:lineRule="auto"/>
        <w:jc w:val="both"/>
        <w:rPr>
          <w:color w:val="000000"/>
          <w:u w:val="none"/>
          <w:shd w:val="clear" w:color="auto" w:fill="FFFFFF"/>
        </w:rPr>
      </w:pPr>
    </w:p>
    <w:p w14:paraId="7C372EA8" w14:textId="4CE3B179"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In the</w:t>
      </w:r>
      <w:r w:rsidR="0075747C" w:rsidRPr="00EA5E18">
        <w:rPr>
          <w:color w:val="000000"/>
          <w:u w:val="none"/>
          <w:shd w:val="clear" w:color="auto" w:fill="FFFFFF"/>
        </w:rPr>
        <w:t xml:space="preserve"> respondent</w:t>
      </w:r>
      <w:r w:rsidR="0075747C">
        <w:rPr>
          <w:color w:val="000000"/>
          <w:u w:val="none"/>
          <w:shd w:val="clear" w:color="auto" w:fill="FFFFFF"/>
        </w:rPr>
        <w:t>’s</w:t>
      </w:r>
      <w:r w:rsidR="0075747C" w:rsidRPr="00EA5E18">
        <w:rPr>
          <w:color w:val="000000"/>
          <w:u w:val="none"/>
          <w:shd w:val="clear" w:color="auto" w:fill="FFFFFF"/>
        </w:rPr>
        <w:t xml:space="preserve"> </w:t>
      </w:r>
      <w:r w:rsidRPr="00EA5E18">
        <w:rPr>
          <w:color w:val="000000"/>
          <w:u w:val="none"/>
          <w:shd w:val="clear" w:color="auto" w:fill="FFFFFF"/>
        </w:rPr>
        <w:t xml:space="preserve">supplementary heads of argument filed on 26 July 2022 at the instance of this court </w:t>
      </w:r>
      <w:r w:rsidR="003B5DD6">
        <w:rPr>
          <w:color w:val="000000"/>
          <w:u w:val="none"/>
          <w:shd w:val="clear" w:color="auto" w:fill="FFFFFF"/>
        </w:rPr>
        <w:t>addressing</w:t>
      </w:r>
      <w:r w:rsidRPr="00EA5E18">
        <w:rPr>
          <w:color w:val="000000"/>
          <w:u w:val="none"/>
          <w:shd w:val="clear" w:color="auto" w:fill="FFFFFF"/>
        </w:rPr>
        <w:t xml:space="preserve"> the question as to what prevented the respondent from transferring the full title property into the name of the children for their benefit, counsel conceded that </w:t>
      </w:r>
      <w:r w:rsidR="006128B9">
        <w:rPr>
          <w:color w:val="000000"/>
          <w:u w:val="none"/>
          <w:shd w:val="clear" w:color="auto" w:fill="FFFFFF"/>
        </w:rPr>
        <w:t>‘</w:t>
      </w:r>
      <w:r w:rsidRPr="00EA5E18">
        <w:rPr>
          <w:color w:val="000000"/>
          <w:u w:val="none"/>
          <w:shd w:val="clear" w:color="auto" w:fill="FFFFFF"/>
        </w:rPr>
        <w:t>there is nothing that precludes the transfer of a full title property into a trust</w:t>
      </w:r>
      <w:r w:rsidR="006128B9">
        <w:rPr>
          <w:color w:val="000000"/>
          <w:u w:val="none"/>
          <w:shd w:val="clear" w:color="auto" w:fill="FFFFFF"/>
        </w:rPr>
        <w:t>’</w:t>
      </w:r>
      <w:r w:rsidR="00E46C4B" w:rsidRPr="00950FD7">
        <w:rPr>
          <w:color w:val="000000"/>
          <w:u w:val="none"/>
          <w:shd w:val="clear" w:color="auto" w:fill="FFFFFF"/>
        </w:rPr>
        <w:t>.</w:t>
      </w:r>
    </w:p>
    <w:p w14:paraId="13BA8A5F"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6C05D226" w14:textId="3B9C25DE"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 xml:space="preserve">However, the court order granted by consent did not refer to </w:t>
      </w:r>
      <w:r w:rsidR="00DD7191">
        <w:rPr>
          <w:color w:val="000000"/>
          <w:u w:val="none"/>
          <w:shd w:val="clear" w:color="auto" w:fill="FFFFFF"/>
        </w:rPr>
        <w:t>“</w:t>
      </w:r>
      <w:r w:rsidRPr="00EA5E18">
        <w:rPr>
          <w:color w:val="000000"/>
          <w:u w:val="none"/>
          <w:shd w:val="clear" w:color="auto" w:fill="FFFFFF"/>
        </w:rPr>
        <w:t>shares</w:t>
      </w:r>
      <w:r w:rsidR="00DD7191">
        <w:rPr>
          <w:color w:val="000000"/>
          <w:u w:val="none"/>
          <w:shd w:val="clear" w:color="auto" w:fill="FFFFFF"/>
        </w:rPr>
        <w:t>”</w:t>
      </w:r>
      <w:r w:rsidRPr="00EA5E18">
        <w:rPr>
          <w:color w:val="000000"/>
          <w:u w:val="none"/>
          <w:shd w:val="clear" w:color="auto" w:fill="FFFFFF"/>
        </w:rPr>
        <w:t xml:space="preserve"> in the property but to </w:t>
      </w:r>
      <w:r w:rsidR="00DD7191">
        <w:rPr>
          <w:color w:val="000000"/>
          <w:u w:val="none"/>
          <w:shd w:val="clear" w:color="auto" w:fill="FFFFFF"/>
        </w:rPr>
        <w:t>“</w:t>
      </w:r>
      <w:r w:rsidRPr="00EA5E18">
        <w:rPr>
          <w:color w:val="000000"/>
          <w:u w:val="none"/>
          <w:shd w:val="clear" w:color="auto" w:fill="FFFFFF"/>
        </w:rPr>
        <w:t>the property</w:t>
      </w:r>
      <w:r w:rsidR="00DD7191">
        <w:rPr>
          <w:color w:val="000000"/>
          <w:u w:val="none"/>
          <w:shd w:val="clear" w:color="auto" w:fill="FFFFFF"/>
        </w:rPr>
        <w:t>”</w:t>
      </w:r>
      <w:r w:rsidRPr="00EA5E18">
        <w:rPr>
          <w:color w:val="000000"/>
          <w:u w:val="none"/>
          <w:shd w:val="clear" w:color="auto" w:fill="FFFFFF"/>
        </w:rPr>
        <w:t xml:space="preserve">. The respondent attempted to raise the defence of </w:t>
      </w:r>
      <w:r w:rsidR="00B95C37">
        <w:rPr>
          <w:color w:val="000000"/>
          <w:u w:val="none"/>
          <w:shd w:val="clear" w:color="auto" w:fill="FFFFFF"/>
        </w:rPr>
        <w:t>“</w:t>
      </w:r>
      <w:r w:rsidRPr="00EA5E18">
        <w:rPr>
          <w:color w:val="000000"/>
          <w:u w:val="none"/>
          <w:shd w:val="clear" w:color="auto" w:fill="FFFFFF"/>
        </w:rPr>
        <w:t>supervening impossibility</w:t>
      </w:r>
      <w:r w:rsidR="00B95C37">
        <w:rPr>
          <w:color w:val="000000"/>
          <w:u w:val="none"/>
          <w:shd w:val="clear" w:color="auto" w:fill="FFFFFF"/>
        </w:rPr>
        <w:t>”</w:t>
      </w:r>
      <w:r w:rsidRPr="00EA5E18">
        <w:rPr>
          <w:color w:val="000000"/>
          <w:u w:val="none"/>
          <w:shd w:val="clear" w:color="auto" w:fill="FFFFFF"/>
        </w:rPr>
        <w:t xml:space="preserve"> in alleging that it is not possible to transfer full title into a Trust, however, the respondent contradicts himself as he admitted that such a transfer is possible in the supplementary heads of argument.</w:t>
      </w:r>
      <w:r w:rsidRPr="00EA5E18">
        <w:rPr>
          <w:color w:val="000000"/>
          <w:shd w:val="clear" w:color="auto" w:fill="FFFFFF"/>
        </w:rPr>
        <w:t xml:space="preserve"> </w:t>
      </w:r>
      <w:r w:rsidRPr="00EA5E18">
        <w:rPr>
          <w:color w:val="000000"/>
          <w:u w:val="none"/>
          <w:shd w:val="clear" w:color="auto" w:fill="FFFFFF"/>
        </w:rPr>
        <w:t>Supervening impossibility of performance, that is, impossibility of performance, which is the consequence of, for example superior forces or unforeseen circumstances and which is not the result of fault on the side of a party to the contract, relieves both parties of the</w:t>
      </w:r>
      <w:r w:rsidR="008672FF">
        <w:rPr>
          <w:color w:val="000000"/>
          <w:u w:val="none"/>
          <w:shd w:val="clear" w:color="auto" w:fill="FFFFFF"/>
        </w:rPr>
        <w:t>ir</w:t>
      </w:r>
      <w:r w:rsidRPr="00EA5E18">
        <w:rPr>
          <w:color w:val="000000"/>
          <w:u w:val="none"/>
          <w:shd w:val="clear" w:color="auto" w:fill="FFFFFF"/>
        </w:rPr>
        <w:t xml:space="preserve"> respective obligations</w:t>
      </w:r>
      <w:r w:rsidR="002B2470">
        <w:rPr>
          <w:color w:val="000000"/>
          <w:u w:val="none"/>
          <w:shd w:val="clear" w:color="auto" w:fill="FFFFFF"/>
        </w:rPr>
        <w:t>.</w:t>
      </w:r>
    </w:p>
    <w:p w14:paraId="5DAF97B7"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365BE408" w14:textId="762F37CB"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Evidently, as the applicants also contend, there was no prohibition on the respondent or any impossibility that prevent</w:t>
      </w:r>
      <w:r w:rsidR="001D5F31">
        <w:rPr>
          <w:color w:val="000000"/>
          <w:u w:val="none"/>
          <w:shd w:val="clear" w:color="auto" w:fill="FFFFFF"/>
        </w:rPr>
        <w:t>ed</w:t>
      </w:r>
      <w:r w:rsidRPr="00EA5E18">
        <w:rPr>
          <w:color w:val="000000"/>
          <w:u w:val="none"/>
          <w:shd w:val="clear" w:color="auto" w:fill="FFFFFF"/>
        </w:rPr>
        <w:t xml:space="preserve"> the transfer the property into a </w:t>
      </w:r>
      <w:r w:rsidR="001D5F31" w:rsidRPr="00EA5E18">
        <w:rPr>
          <w:color w:val="000000"/>
          <w:u w:val="none"/>
          <w:shd w:val="clear" w:color="auto" w:fill="FFFFFF"/>
        </w:rPr>
        <w:t>T</w:t>
      </w:r>
      <w:r w:rsidRPr="00EA5E18">
        <w:rPr>
          <w:color w:val="000000"/>
          <w:u w:val="none"/>
          <w:shd w:val="clear" w:color="auto" w:fill="FFFFFF"/>
        </w:rPr>
        <w:t xml:space="preserve">rust. The transfer of the property is not impossible from a </w:t>
      </w:r>
      <w:r w:rsidR="00423C19">
        <w:rPr>
          <w:color w:val="000000"/>
          <w:u w:val="none"/>
          <w:shd w:val="clear" w:color="auto" w:fill="FFFFFF"/>
        </w:rPr>
        <w:t>S</w:t>
      </w:r>
      <w:r w:rsidRPr="00EA5E18">
        <w:rPr>
          <w:color w:val="000000"/>
          <w:u w:val="none"/>
          <w:shd w:val="clear" w:color="auto" w:fill="FFFFFF"/>
        </w:rPr>
        <w:t xml:space="preserve">hare </w:t>
      </w:r>
      <w:r w:rsidR="00423C19">
        <w:rPr>
          <w:color w:val="000000"/>
          <w:u w:val="none"/>
          <w:shd w:val="clear" w:color="auto" w:fill="FFFFFF"/>
        </w:rPr>
        <w:t>B</w:t>
      </w:r>
      <w:r w:rsidRPr="00EA5E18">
        <w:rPr>
          <w:color w:val="000000"/>
          <w:u w:val="none"/>
          <w:shd w:val="clear" w:color="auto" w:fill="FFFFFF"/>
        </w:rPr>
        <w:t xml:space="preserve">lock into a Trust </w:t>
      </w:r>
      <w:r w:rsidR="00D663B5">
        <w:rPr>
          <w:color w:val="000000"/>
          <w:u w:val="none"/>
          <w:shd w:val="clear" w:color="auto" w:fill="FFFFFF"/>
        </w:rPr>
        <w:t>especially since</w:t>
      </w:r>
      <w:r w:rsidRPr="00EA5E18">
        <w:rPr>
          <w:color w:val="000000"/>
          <w:u w:val="none"/>
          <w:shd w:val="clear" w:color="auto" w:fill="FFFFFF"/>
        </w:rPr>
        <w:t xml:space="preserve"> full title was obtained. The settlement agreement clearly stipulated that the property needed to be transferred to a Trust. The parties were well aware that there were shares but described same as the </w:t>
      </w:r>
      <w:r w:rsidR="00CB370B">
        <w:rPr>
          <w:color w:val="000000"/>
          <w:u w:val="none"/>
          <w:shd w:val="clear" w:color="auto" w:fill="FFFFFF"/>
        </w:rPr>
        <w:t>“</w:t>
      </w:r>
      <w:r w:rsidRPr="00EA5E18">
        <w:rPr>
          <w:color w:val="000000"/>
          <w:u w:val="none"/>
          <w:shd w:val="clear" w:color="auto" w:fill="FFFFFF"/>
        </w:rPr>
        <w:t>property</w:t>
      </w:r>
      <w:r w:rsidR="00CB370B">
        <w:rPr>
          <w:color w:val="000000"/>
          <w:u w:val="none"/>
          <w:shd w:val="clear" w:color="auto" w:fill="FFFFFF"/>
        </w:rPr>
        <w:t>”</w:t>
      </w:r>
      <w:r w:rsidRPr="00EA5E18">
        <w:rPr>
          <w:color w:val="000000"/>
          <w:u w:val="none"/>
          <w:shd w:val="clear" w:color="auto" w:fill="FFFFFF"/>
        </w:rPr>
        <w:t xml:space="preserve"> in the settlement agreement. This might have been the opportune time to transfer full title into the name</w:t>
      </w:r>
      <w:r w:rsidR="00703F88">
        <w:rPr>
          <w:color w:val="000000"/>
          <w:u w:val="none"/>
          <w:shd w:val="clear" w:color="auto" w:fill="FFFFFF"/>
        </w:rPr>
        <w:t>s</w:t>
      </w:r>
      <w:r w:rsidRPr="00EA5E18">
        <w:rPr>
          <w:color w:val="000000"/>
          <w:u w:val="none"/>
          <w:shd w:val="clear" w:color="auto" w:fill="FFFFFF"/>
        </w:rPr>
        <w:t xml:space="preserve"> of the children. The respondent instead chose to transfer the property into his own name, and acquired the benefits thereof, instead of transferring same into a Trust</w:t>
      </w:r>
      <w:r w:rsidR="00D24081">
        <w:rPr>
          <w:color w:val="000000"/>
          <w:u w:val="none"/>
          <w:shd w:val="clear" w:color="auto" w:fill="FFFFFF"/>
        </w:rPr>
        <w:t>.</w:t>
      </w:r>
    </w:p>
    <w:p w14:paraId="25F56FE3"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7E47D3DB" w14:textId="5CE5E89F"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 xml:space="preserve">In my judgment, the respondent could and should have complied with the court order, by creating a Trust and transferred the property. The respondent made </w:t>
      </w:r>
      <w:r w:rsidRPr="00EA5E18">
        <w:rPr>
          <w:color w:val="000000"/>
          <w:u w:val="none"/>
          <w:shd w:val="clear" w:color="auto" w:fill="FFFFFF"/>
        </w:rPr>
        <w:lastRenderedPageBreak/>
        <w:t xml:space="preserve">no attempt to approach the court at any point in time to raise the purported defence of </w:t>
      </w:r>
      <w:r w:rsidR="00FB5EAC">
        <w:rPr>
          <w:color w:val="000000"/>
          <w:u w:val="none"/>
          <w:shd w:val="clear" w:color="auto" w:fill="FFFFFF"/>
        </w:rPr>
        <w:t>“</w:t>
      </w:r>
      <w:r w:rsidRPr="00EA5E18">
        <w:rPr>
          <w:color w:val="000000"/>
          <w:u w:val="none"/>
          <w:shd w:val="clear" w:color="auto" w:fill="FFFFFF"/>
        </w:rPr>
        <w:t>impossibility</w:t>
      </w:r>
      <w:r w:rsidR="00FB5EAC">
        <w:rPr>
          <w:color w:val="000000"/>
          <w:u w:val="none"/>
          <w:shd w:val="clear" w:color="auto" w:fill="FFFFFF"/>
        </w:rPr>
        <w:t>”</w:t>
      </w:r>
      <w:r w:rsidRPr="00EA5E18">
        <w:rPr>
          <w:color w:val="000000"/>
          <w:u w:val="none"/>
          <w:shd w:val="clear" w:color="auto" w:fill="FFFFFF"/>
        </w:rPr>
        <w:t xml:space="preserve"> and seek a variation or setting aside of </w:t>
      </w:r>
      <w:r w:rsidR="001C114E" w:rsidRPr="00EA5E18">
        <w:rPr>
          <w:color w:val="000000"/>
          <w:u w:val="none"/>
          <w:shd w:val="clear" w:color="auto" w:fill="FFFFFF"/>
        </w:rPr>
        <w:t>the order</w:t>
      </w:r>
      <w:r w:rsidRPr="00EA5E18">
        <w:rPr>
          <w:color w:val="000000"/>
          <w:u w:val="none"/>
          <w:shd w:val="clear" w:color="auto" w:fill="FFFFFF"/>
        </w:rPr>
        <w:t>. Therefore, the respondent has not proffered any valid excuse why there was non-compliance with the court order. Any suggestion that he could not comply due to impossibility of performance on his own version accordingly, stands to rejected</w:t>
      </w:r>
      <w:r w:rsidR="00E46C4B" w:rsidRPr="00950FD7">
        <w:rPr>
          <w:color w:val="000000"/>
          <w:u w:val="none"/>
          <w:shd w:val="clear" w:color="auto" w:fill="FFFFFF"/>
        </w:rPr>
        <w:t xml:space="preserve">. </w:t>
      </w:r>
    </w:p>
    <w:p w14:paraId="4C10A066"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2497674E" w14:textId="25142735" w:rsidR="00E46C4B" w:rsidRDefault="00EA5E18" w:rsidP="000B37FD">
      <w:pPr>
        <w:pStyle w:val="ListParagraph"/>
        <w:numPr>
          <w:ilvl w:val="0"/>
          <w:numId w:val="2"/>
        </w:numPr>
        <w:spacing w:before="120" w:after="120" w:line="360" w:lineRule="auto"/>
        <w:ind w:left="692"/>
        <w:jc w:val="both"/>
        <w:rPr>
          <w:color w:val="000000"/>
          <w:u w:val="none"/>
          <w:shd w:val="clear" w:color="auto" w:fill="FFFFFF"/>
        </w:rPr>
      </w:pPr>
      <w:r w:rsidRPr="00EA5E18">
        <w:rPr>
          <w:color w:val="000000"/>
          <w:u w:val="none"/>
          <w:shd w:val="clear" w:color="auto" w:fill="FFFFFF"/>
        </w:rPr>
        <w:t>It is trite</w:t>
      </w:r>
      <w:r w:rsidR="00F85A06">
        <w:rPr>
          <w:color w:val="000000"/>
          <w:u w:val="none"/>
          <w:shd w:val="clear" w:color="auto" w:fill="FFFFFF"/>
        </w:rPr>
        <w:t>,</w:t>
      </w:r>
      <w:r w:rsidRPr="00EA5E18">
        <w:rPr>
          <w:color w:val="000000"/>
          <w:u w:val="none"/>
          <w:shd w:val="clear" w:color="auto" w:fill="FFFFFF"/>
        </w:rPr>
        <w:t xml:space="preserve"> as counsel for the applicant</w:t>
      </w:r>
      <w:r w:rsidR="00C6384F">
        <w:rPr>
          <w:color w:val="000000"/>
          <w:u w:val="none"/>
          <w:shd w:val="clear" w:color="auto" w:fill="FFFFFF"/>
        </w:rPr>
        <w:t>s</w:t>
      </w:r>
      <w:r w:rsidRPr="00EA5E18">
        <w:rPr>
          <w:color w:val="000000"/>
          <w:u w:val="none"/>
          <w:shd w:val="clear" w:color="auto" w:fill="FFFFFF"/>
        </w:rPr>
        <w:t xml:space="preserve"> also pointed out that, an owner can use his property, rent it out, use the fruits (usufruct), encumb</w:t>
      </w:r>
      <w:r w:rsidR="00484558">
        <w:rPr>
          <w:color w:val="000000"/>
          <w:u w:val="none"/>
          <w:shd w:val="clear" w:color="auto" w:fill="FFFFFF"/>
        </w:rPr>
        <w:t xml:space="preserve">er, bequeath or disposes of his or </w:t>
      </w:r>
      <w:r w:rsidRPr="00EA5E18">
        <w:rPr>
          <w:color w:val="000000"/>
          <w:u w:val="none"/>
          <w:shd w:val="clear" w:color="auto" w:fill="FFFFFF"/>
        </w:rPr>
        <w:t>her property. The property can further be ceded to a third party for a debt or mortgage bond that can be obtained over a property. This would limit the owner's real rights to the property. This would mean that the owner's ownership is limited until, by way of example, the debt has been settled. The relevant limitation over the property of an owner means that if the debts are extinguished or settled</w:t>
      </w:r>
      <w:r w:rsidR="00013280">
        <w:rPr>
          <w:color w:val="000000"/>
          <w:u w:val="none"/>
          <w:shd w:val="clear" w:color="auto" w:fill="FFFFFF"/>
        </w:rPr>
        <w:t>,</w:t>
      </w:r>
      <w:r w:rsidRPr="00EA5E18">
        <w:rPr>
          <w:color w:val="000000"/>
          <w:u w:val="none"/>
          <w:shd w:val="clear" w:color="auto" w:fill="FFFFFF"/>
        </w:rPr>
        <w:t xml:space="preserve"> then the property will and can revert back to the owner</w:t>
      </w:r>
      <w:r w:rsidR="00E46C4B" w:rsidRPr="00950FD7">
        <w:rPr>
          <w:color w:val="000000"/>
          <w:u w:val="none"/>
          <w:shd w:val="clear" w:color="auto" w:fill="FFFFFF"/>
        </w:rPr>
        <w:t xml:space="preserve">. </w:t>
      </w:r>
    </w:p>
    <w:p w14:paraId="72FFADFF" w14:textId="77777777" w:rsidR="004068BB" w:rsidRPr="00950FD7" w:rsidRDefault="004068BB" w:rsidP="004068BB">
      <w:pPr>
        <w:pStyle w:val="ListParagraph"/>
        <w:spacing w:before="120" w:after="120" w:line="360" w:lineRule="auto"/>
        <w:ind w:left="692"/>
        <w:jc w:val="both"/>
        <w:rPr>
          <w:color w:val="000000"/>
          <w:u w:val="none"/>
          <w:shd w:val="clear" w:color="auto" w:fill="FFFFFF"/>
        </w:rPr>
      </w:pPr>
    </w:p>
    <w:p w14:paraId="5F62E0CB" w14:textId="6BC70C94" w:rsidR="00E46C4B" w:rsidRDefault="00EA5E18" w:rsidP="00736A18">
      <w:pPr>
        <w:pStyle w:val="ListParagraph"/>
        <w:numPr>
          <w:ilvl w:val="0"/>
          <w:numId w:val="2"/>
        </w:numPr>
        <w:spacing w:before="120" w:after="120" w:line="360" w:lineRule="auto"/>
        <w:jc w:val="both"/>
        <w:rPr>
          <w:color w:val="000000"/>
          <w:u w:val="none"/>
          <w:shd w:val="clear" w:color="auto" w:fill="FFFFFF"/>
        </w:rPr>
      </w:pPr>
      <w:r w:rsidRPr="00EA5E18">
        <w:rPr>
          <w:color w:val="000000"/>
          <w:u w:val="none"/>
          <w:shd w:val="clear" w:color="auto" w:fill="FFFFFF"/>
        </w:rPr>
        <w:t xml:space="preserve">The Constitutional Court in </w:t>
      </w:r>
      <w:r w:rsidRPr="00556A74">
        <w:rPr>
          <w:i/>
          <w:color w:val="000000"/>
          <w:u w:val="none"/>
          <w:shd w:val="clear" w:color="auto" w:fill="FFFFFF"/>
        </w:rPr>
        <w:t>Secretary</w:t>
      </w:r>
      <w:r w:rsidR="00F2234A">
        <w:rPr>
          <w:i/>
          <w:color w:val="000000"/>
          <w:u w:val="none"/>
          <w:shd w:val="clear" w:color="auto" w:fill="FFFFFF"/>
        </w:rPr>
        <w:t>,</w:t>
      </w:r>
      <w:r w:rsidRPr="00556A74">
        <w:rPr>
          <w:i/>
          <w:color w:val="000000"/>
          <w:u w:val="none"/>
          <w:shd w:val="clear" w:color="auto" w:fill="FFFFFF"/>
        </w:rPr>
        <w:t xml:space="preserve"> Judicial Commission of Inquiry into Allegations of State Capture v Zuma and Others</w:t>
      </w:r>
      <w:r w:rsidRPr="00EA5E18">
        <w:rPr>
          <w:color w:val="000000"/>
          <w:u w:val="none"/>
          <w:shd w:val="clear" w:color="auto" w:fill="FFFFFF"/>
          <w:vertAlign w:val="superscript"/>
        </w:rPr>
        <w:footnoteReference w:id="2"/>
      </w:r>
      <w:r w:rsidRPr="00EA5E18">
        <w:rPr>
          <w:color w:val="000000"/>
          <w:u w:val="none"/>
          <w:shd w:val="clear" w:color="auto" w:fill="FFFFFF"/>
        </w:rPr>
        <w:t xml:space="preserve"> </w:t>
      </w:r>
      <w:r w:rsidR="00F2234A">
        <w:rPr>
          <w:color w:val="000000"/>
          <w:u w:val="none"/>
          <w:shd w:val="clear" w:color="auto" w:fill="FFFFFF"/>
        </w:rPr>
        <w:t xml:space="preserve">quoted with approval </w:t>
      </w:r>
      <w:r w:rsidR="00736A18">
        <w:rPr>
          <w:color w:val="000000"/>
          <w:u w:val="none"/>
          <w:shd w:val="clear" w:color="auto" w:fill="FFFFFF"/>
        </w:rPr>
        <w:t xml:space="preserve">the case </w:t>
      </w:r>
      <w:r w:rsidR="00736A18" w:rsidRPr="00556A74">
        <w:rPr>
          <w:i/>
          <w:color w:val="000000"/>
          <w:u w:val="none"/>
          <w:shd w:val="clear" w:color="auto" w:fill="FFFFFF"/>
        </w:rPr>
        <w:t>Pheko and Others v Ekurhuleni City</w:t>
      </w:r>
      <w:r w:rsidR="00736A18">
        <w:rPr>
          <w:rStyle w:val="FootnoteReference"/>
          <w:color w:val="000000"/>
          <w:u w:val="none"/>
          <w:shd w:val="clear" w:color="auto" w:fill="FFFFFF"/>
        </w:rPr>
        <w:footnoteReference w:id="3"/>
      </w:r>
      <w:r w:rsidR="00F30224">
        <w:rPr>
          <w:color w:val="000000"/>
          <w:u w:val="none"/>
          <w:shd w:val="clear" w:color="auto" w:fill="FFFFFF"/>
        </w:rPr>
        <w:t xml:space="preserve"> which </w:t>
      </w:r>
      <w:r w:rsidRPr="00EA5E18">
        <w:rPr>
          <w:color w:val="000000"/>
          <w:u w:val="none"/>
          <w:shd w:val="clear" w:color="auto" w:fill="FFFFFF"/>
        </w:rPr>
        <w:t>stated</w:t>
      </w:r>
      <w:r>
        <w:rPr>
          <w:color w:val="000000"/>
          <w:u w:val="none"/>
          <w:shd w:val="clear" w:color="auto" w:fill="FFFFFF"/>
        </w:rPr>
        <w:t>:</w:t>
      </w:r>
    </w:p>
    <w:p w14:paraId="07A237F1" w14:textId="4D97A546" w:rsidR="00E058B8" w:rsidRDefault="00872C7D" w:rsidP="00556A74">
      <w:pPr>
        <w:pStyle w:val="ListParagraph"/>
        <w:spacing w:before="120" w:after="120" w:line="360" w:lineRule="auto"/>
        <w:ind w:left="1440"/>
        <w:jc w:val="both"/>
        <w:rPr>
          <w:color w:val="000000"/>
          <w:sz w:val="22"/>
          <w:szCs w:val="22"/>
          <w:u w:val="none"/>
          <w:shd w:val="clear" w:color="auto" w:fill="FFFFFF"/>
        </w:rPr>
      </w:pPr>
      <w:r>
        <w:rPr>
          <w:i/>
          <w:color w:val="000000"/>
          <w:sz w:val="22"/>
          <w:szCs w:val="22"/>
          <w:u w:val="none"/>
          <w:shd w:val="clear" w:color="auto" w:fill="FFFFFF"/>
        </w:rPr>
        <w:t>‘</w:t>
      </w:r>
      <w:r w:rsidR="00EA5E18" w:rsidRPr="00556A74">
        <w:rPr>
          <w:i/>
          <w:color w:val="000000"/>
          <w:sz w:val="22"/>
          <w:szCs w:val="22"/>
          <w:u w:val="none"/>
          <w:shd w:val="clear" w:color="auto" w:fill="FFFFFF"/>
        </w:rPr>
        <w:t>Courts have the power to ensure that their decisions or orders are complied with by all and sundry, … In doing so, courts are not only giving effect to the rights of the successful litigant but also and more importantly, by acting as guardians of the Constitution, asserting their authority in the public interest.</w:t>
      </w:r>
      <w:r>
        <w:rPr>
          <w:i/>
          <w:color w:val="000000"/>
          <w:sz w:val="22"/>
          <w:szCs w:val="22"/>
          <w:u w:val="none"/>
          <w:shd w:val="clear" w:color="auto" w:fill="FFFFFF"/>
        </w:rPr>
        <w:t>’</w:t>
      </w:r>
      <w:r w:rsidR="008A0CA9" w:rsidRPr="00556A74">
        <w:rPr>
          <w:rStyle w:val="FootnoteReference"/>
          <w:color w:val="000000"/>
          <w:sz w:val="22"/>
          <w:szCs w:val="22"/>
          <w:u w:val="none"/>
          <w:shd w:val="clear" w:color="auto" w:fill="FFFFFF"/>
        </w:rPr>
        <w:footnoteReference w:id="4"/>
      </w:r>
      <w:r w:rsidR="00EA5E18" w:rsidRPr="00556A74">
        <w:rPr>
          <w:color w:val="000000"/>
          <w:sz w:val="22"/>
          <w:szCs w:val="22"/>
          <w:u w:val="none"/>
          <w:shd w:val="clear" w:color="auto" w:fill="FFFFFF"/>
        </w:rPr>
        <w:t xml:space="preserve"> </w:t>
      </w:r>
    </w:p>
    <w:p w14:paraId="20D5CFF5" w14:textId="77777777" w:rsidR="00E058B8" w:rsidRDefault="00EA5E18" w:rsidP="00556A74">
      <w:pPr>
        <w:pStyle w:val="ListParagraph"/>
        <w:spacing w:before="120" w:after="120" w:line="360" w:lineRule="auto"/>
        <w:jc w:val="both"/>
        <w:rPr>
          <w:color w:val="000000"/>
          <w:u w:val="none"/>
          <w:shd w:val="clear" w:color="auto" w:fill="FFFFFF"/>
        </w:rPr>
      </w:pPr>
      <w:r w:rsidRPr="00EA5E18">
        <w:rPr>
          <w:color w:val="000000"/>
          <w:u w:val="none"/>
          <w:shd w:val="clear" w:color="auto" w:fill="FFFFFF"/>
        </w:rPr>
        <w:t xml:space="preserve">And at para 27: </w:t>
      </w:r>
    </w:p>
    <w:p w14:paraId="223B4382" w14:textId="66490622" w:rsidR="00EA5E18" w:rsidRDefault="00155B5B" w:rsidP="00556A74">
      <w:pPr>
        <w:pStyle w:val="ListParagraph"/>
        <w:spacing w:before="120" w:after="120" w:line="360" w:lineRule="auto"/>
        <w:ind w:left="1440"/>
        <w:jc w:val="both"/>
        <w:rPr>
          <w:i/>
          <w:color w:val="000000"/>
          <w:u w:val="none"/>
          <w:shd w:val="clear" w:color="auto" w:fill="FFFFFF"/>
        </w:rPr>
      </w:pPr>
      <w:r>
        <w:rPr>
          <w:color w:val="000000"/>
          <w:sz w:val="22"/>
          <w:szCs w:val="22"/>
          <w:u w:val="none"/>
          <w:shd w:val="clear" w:color="auto" w:fill="FFFFFF"/>
        </w:rPr>
        <w:t>‘</w:t>
      </w:r>
      <w:r w:rsidR="00EA5E18" w:rsidRPr="00556A74">
        <w:rPr>
          <w:i/>
          <w:color w:val="000000"/>
          <w:sz w:val="22"/>
          <w:szCs w:val="22"/>
          <w:u w:val="none"/>
          <w:shd w:val="clear" w:color="auto" w:fill="FFFFFF"/>
        </w:rPr>
        <w:t xml:space="preserve">Contempt of court proceedings exist to protect the rule of law and the authority of the </w:t>
      </w:r>
      <w:r w:rsidRPr="00155B5B">
        <w:rPr>
          <w:i/>
          <w:color w:val="000000"/>
          <w:sz w:val="22"/>
          <w:szCs w:val="22"/>
          <w:u w:val="none"/>
          <w:shd w:val="clear" w:color="auto" w:fill="FFFFFF"/>
        </w:rPr>
        <w:t>j</w:t>
      </w:r>
      <w:r w:rsidR="00EA5E18" w:rsidRPr="00556A74">
        <w:rPr>
          <w:i/>
          <w:color w:val="000000"/>
          <w:sz w:val="22"/>
          <w:szCs w:val="22"/>
          <w:u w:val="none"/>
          <w:shd w:val="clear" w:color="auto" w:fill="FFFFFF"/>
        </w:rPr>
        <w:t xml:space="preserve">udiciary.  As the applicant correctly avers, “the authority of courts and obedience of their orders – the very foundation of a constitutional order founded on the rule of law – depends on public trust and respect for the courts”.  Any disregard for this </w:t>
      </w:r>
      <w:r w:rsidR="00F57EDB" w:rsidRPr="00F57EDB">
        <w:rPr>
          <w:i/>
          <w:color w:val="000000"/>
          <w:sz w:val="22"/>
          <w:szCs w:val="22"/>
          <w:u w:val="none"/>
          <w:shd w:val="clear" w:color="auto" w:fill="FFFFFF"/>
        </w:rPr>
        <w:t>c</w:t>
      </w:r>
      <w:r w:rsidR="00EA5E18" w:rsidRPr="00556A74">
        <w:rPr>
          <w:i/>
          <w:color w:val="000000"/>
          <w:sz w:val="22"/>
          <w:szCs w:val="22"/>
          <w:u w:val="none"/>
          <w:shd w:val="clear" w:color="auto" w:fill="FFFFFF"/>
        </w:rPr>
        <w:t xml:space="preserve">ourt’s order and the judicial process requires this </w:t>
      </w:r>
      <w:r w:rsidR="003F4827" w:rsidRPr="003F4827">
        <w:rPr>
          <w:i/>
          <w:color w:val="000000"/>
          <w:sz w:val="22"/>
          <w:szCs w:val="22"/>
          <w:u w:val="none"/>
          <w:shd w:val="clear" w:color="auto" w:fill="FFFFFF"/>
        </w:rPr>
        <w:t>c</w:t>
      </w:r>
      <w:r w:rsidR="00EA5E18" w:rsidRPr="00556A74">
        <w:rPr>
          <w:i/>
          <w:color w:val="000000"/>
          <w:sz w:val="22"/>
          <w:szCs w:val="22"/>
          <w:u w:val="none"/>
          <w:shd w:val="clear" w:color="auto" w:fill="FFFFFF"/>
        </w:rPr>
        <w:t>ourt to intervene.  As enunciated in Victoria Park Ratepayers’ Association, “contempt jurisdiction, whatever the situation may have been before 27 April 1994, now also involves the vindication of the Constitution</w:t>
      </w:r>
      <w:r>
        <w:rPr>
          <w:i/>
          <w:color w:val="000000"/>
          <w:sz w:val="22"/>
          <w:szCs w:val="22"/>
          <w:u w:val="none"/>
          <w:shd w:val="clear" w:color="auto" w:fill="FFFFFF"/>
        </w:rPr>
        <w:t>’</w:t>
      </w:r>
      <w:r w:rsidR="00EA5E18">
        <w:rPr>
          <w:i/>
          <w:color w:val="000000"/>
          <w:u w:val="none"/>
          <w:shd w:val="clear" w:color="auto" w:fill="FFFFFF"/>
        </w:rPr>
        <w:t>.</w:t>
      </w:r>
    </w:p>
    <w:p w14:paraId="1CA3883C" w14:textId="77777777" w:rsidR="004068BB" w:rsidRPr="004068BB" w:rsidRDefault="004068BB" w:rsidP="004068BB">
      <w:pPr>
        <w:spacing w:before="120" w:after="120" w:line="360" w:lineRule="auto"/>
        <w:jc w:val="both"/>
        <w:rPr>
          <w:color w:val="000000"/>
          <w:u w:val="none"/>
          <w:shd w:val="clear" w:color="auto" w:fill="FFFFFF"/>
        </w:rPr>
      </w:pPr>
    </w:p>
    <w:p w14:paraId="6F56B432" w14:textId="6D1D0B3D" w:rsidR="00E46C4B" w:rsidRDefault="004068BB" w:rsidP="000B37FD">
      <w:pPr>
        <w:pStyle w:val="ListParagraph"/>
        <w:numPr>
          <w:ilvl w:val="0"/>
          <w:numId w:val="2"/>
        </w:numPr>
        <w:spacing w:before="120" w:after="120" w:line="360" w:lineRule="auto"/>
        <w:ind w:left="692"/>
        <w:jc w:val="both"/>
        <w:rPr>
          <w:color w:val="000000"/>
          <w:u w:val="none"/>
          <w:shd w:val="clear" w:color="auto" w:fill="FFFFFF"/>
        </w:rPr>
      </w:pPr>
      <w:r w:rsidRPr="004068BB">
        <w:rPr>
          <w:color w:val="000000"/>
          <w:u w:val="none"/>
          <w:shd w:val="clear" w:color="auto" w:fill="FFFFFF"/>
        </w:rPr>
        <w:t xml:space="preserve">In the instant case, the only reason why the transfer did not occur into the name of the Trust is due to the respondent allegedly not having the money to create a </w:t>
      </w:r>
      <w:r w:rsidR="008A41B5" w:rsidRPr="004068BB">
        <w:rPr>
          <w:color w:val="000000"/>
          <w:u w:val="none"/>
          <w:shd w:val="clear" w:color="auto" w:fill="FFFFFF"/>
        </w:rPr>
        <w:t>T</w:t>
      </w:r>
      <w:r w:rsidRPr="004068BB">
        <w:rPr>
          <w:color w:val="000000"/>
          <w:u w:val="none"/>
          <w:shd w:val="clear" w:color="auto" w:fill="FFFFFF"/>
        </w:rPr>
        <w:t xml:space="preserve">rust, which is no excuse as the costs are minimal compared to construction costs. There were no legal impediments precluding him from acting in accordance with the court order. The argument proffered by the respondent </w:t>
      </w:r>
      <w:r w:rsidR="000D3E53">
        <w:rPr>
          <w:color w:val="000000"/>
          <w:u w:val="none"/>
          <w:shd w:val="clear" w:color="auto" w:fill="FFFFFF"/>
        </w:rPr>
        <w:t>is</w:t>
      </w:r>
      <w:r w:rsidRPr="004068BB">
        <w:rPr>
          <w:color w:val="000000"/>
          <w:u w:val="none"/>
          <w:shd w:val="clear" w:color="auto" w:fill="FFFFFF"/>
        </w:rPr>
        <w:t xml:space="preserve"> therefore without merit, but serve</w:t>
      </w:r>
      <w:r w:rsidR="00E7082C">
        <w:rPr>
          <w:color w:val="000000"/>
          <w:u w:val="none"/>
          <w:shd w:val="clear" w:color="auto" w:fill="FFFFFF"/>
        </w:rPr>
        <w:t>s</w:t>
      </w:r>
      <w:r w:rsidRPr="004068BB">
        <w:rPr>
          <w:color w:val="000000"/>
          <w:u w:val="none"/>
          <w:shd w:val="clear" w:color="auto" w:fill="FFFFFF"/>
        </w:rPr>
        <w:t xml:space="preserve"> to indicate that he was wilful in not complying with the court order and also acted </w:t>
      </w:r>
      <w:r w:rsidRPr="004068BB">
        <w:rPr>
          <w:i/>
          <w:color w:val="000000"/>
          <w:u w:val="none"/>
          <w:shd w:val="clear" w:color="auto" w:fill="FFFFFF"/>
        </w:rPr>
        <w:t>mala fide</w:t>
      </w:r>
      <w:r w:rsidRPr="004068BB">
        <w:rPr>
          <w:color w:val="000000"/>
          <w:u w:val="none"/>
          <w:shd w:val="clear" w:color="auto" w:fill="FFFFFF"/>
        </w:rPr>
        <w:t>.</w:t>
      </w:r>
    </w:p>
    <w:p w14:paraId="43A93325" w14:textId="78969644" w:rsidR="004068BB" w:rsidRPr="00556A74" w:rsidRDefault="00F475E3" w:rsidP="00556A74">
      <w:pPr>
        <w:spacing w:before="120" w:after="120" w:line="360" w:lineRule="auto"/>
        <w:ind w:left="2"/>
        <w:jc w:val="both"/>
        <w:rPr>
          <w:i/>
          <w:color w:val="000000"/>
          <w:u w:val="none"/>
          <w:shd w:val="clear" w:color="auto" w:fill="FFFFFF"/>
        </w:rPr>
      </w:pPr>
      <w:r w:rsidRPr="00556A74">
        <w:rPr>
          <w:i/>
          <w:color w:val="000000"/>
          <w:u w:val="none"/>
          <w:shd w:val="clear" w:color="auto" w:fill="FFFFFF"/>
        </w:rPr>
        <w:t>Order</w:t>
      </w:r>
    </w:p>
    <w:p w14:paraId="6C4BC3F1" w14:textId="0E45155B" w:rsidR="00E46C4B" w:rsidRPr="008B2A7A" w:rsidRDefault="00A05866" w:rsidP="000B37FD">
      <w:pPr>
        <w:pStyle w:val="ListParagraph"/>
        <w:numPr>
          <w:ilvl w:val="0"/>
          <w:numId w:val="2"/>
        </w:numPr>
        <w:spacing w:before="120" w:after="120" w:line="360" w:lineRule="auto"/>
        <w:ind w:left="692"/>
        <w:jc w:val="both"/>
        <w:rPr>
          <w:color w:val="000000"/>
          <w:u w:val="none"/>
          <w:shd w:val="clear" w:color="auto" w:fill="FFFFFF"/>
        </w:rPr>
      </w:pPr>
      <w:r w:rsidRPr="004068BB">
        <w:rPr>
          <w:color w:val="000000"/>
          <w:u w:val="none"/>
          <w:shd w:val="clear" w:color="auto" w:fill="FFFFFF"/>
        </w:rPr>
        <w:t>Consequently, I make the following order</w:t>
      </w:r>
      <w:r>
        <w:rPr>
          <w:color w:val="000000"/>
          <w:u w:val="none"/>
          <w:shd w:val="clear" w:color="auto" w:fill="FFFFFF"/>
        </w:rPr>
        <w:t>:</w:t>
      </w:r>
    </w:p>
    <w:p w14:paraId="061FBEDE" w14:textId="2DB6C056" w:rsidR="00E46C4B" w:rsidRDefault="005D331D" w:rsidP="005D331D">
      <w:pPr>
        <w:pStyle w:val="normaltext"/>
        <w:numPr>
          <w:ilvl w:val="0"/>
          <w:numId w:val="3"/>
        </w:numPr>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T</w:t>
      </w:r>
      <w:r w:rsidRPr="005D331D">
        <w:rPr>
          <w:rFonts w:ascii="Arial" w:hAnsi="Arial" w:cs="Arial"/>
          <w:color w:val="000000"/>
        </w:rPr>
        <w:t>he respondent</w:t>
      </w:r>
      <w:r>
        <w:rPr>
          <w:rFonts w:ascii="Arial" w:hAnsi="Arial" w:cs="Arial"/>
          <w:color w:val="000000"/>
        </w:rPr>
        <w:t xml:space="preserve"> is declared to be</w:t>
      </w:r>
      <w:r w:rsidRPr="005D331D">
        <w:rPr>
          <w:rFonts w:ascii="Arial" w:hAnsi="Arial" w:cs="Arial"/>
          <w:color w:val="000000"/>
        </w:rPr>
        <w:t xml:space="preserve"> in contempt of the order granted by this court on 13 June 1997, particularly clause 4.2. of the agreement of settlement therein (</w:t>
      </w:r>
      <w:r>
        <w:rPr>
          <w:rFonts w:ascii="Arial" w:hAnsi="Arial" w:cs="Arial"/>
          <w:color w:val="000000"/>
        </w:rPr>
        <w:t>“</w:t>
      </w:r>
      <w:r w:rsidRPr="005D331D">
        <w:rPr>
          <w:rFonts w:ascii="Arial" w:hAnsi="Arial" w:cs="Arial"/>
          <w:color w:val="000000"/>
        </w:rPr>
        <w:t>the agreement</w:t>
      </w:r>
      <w:r>
        <w:rPr>
          <w:rFonts w:ascii="Arial" w:hAnsi="Arial" w:cs="Arial"/>
          <w:color w:val="000000"/>
        </w:rPr>
        <w:t>”</w:t>
      </w:r>
      <w:r w:rsidRPr="005D331D">
        <w:rPr>
          <w:rFonts w:ascii="Arial" w:hAnsi="Arial" w:cs="Arial"/>
          <w:color w:val="000000"/>
        </w:rPr>
        <w:t>) insofar as the respondent has failed to create a Trust (</w:t>
      </w:r>
      <w:r>
        <w:rPr>
          <w:rFonts w:ascii="Arial" w:hAnsi="Arial" w:cs="Arial"/>
          <w:color w:val="000000"/>
        </w:rPr>
        <w:t>“</w:t>
      </w:r>
      <w:r w:rsidRPr="005D331D">
        <w:rPr>
          <w:rFonts w:ascii="Arial" w:hAnsi="Arial" w:cs="Arial"/>
          <w:color w:val="000000"/>
        </w:rPr>
        <w:t>The Trust</w:t>
      </w:r>
      <w:r>
        <w:rPr>
          <w:rFonts w:ascii="Arial" w:hAnsi="Arial" w:cs="Arial"/>
          <w:color w:val="000000"/>
        </w:rPr>
        <w:t>”</w:t>
      </w:r>
      <w:r w:rsidRPr="005D331D">
        <w:rPr>
          <w:rFonts w:ascii="Arial" w:hAnsi="Arial" w:cs="Arial"/>
          <w:color w:val="000000"/>
        </w:rPr>
        <w:t xml:space="preserve">) for the benefit of Chantel Deyzel and the </w:t>
      </w:r>
      <w:r>
        <w:rPr>
          <w:rFonts w:ascii="Arial" w:hAnsi="Arial" w:cs="Arial"/>
          <w:color w:val="000000"/>
        </w:rPr>
        <w:t>seco</w:t>
      </w:r>
      <w:r w:rsidRPr="005D331D">
        <w:rPr>
          <w:rFonts w:ascii="Arial" w:hAnsi="Arial" w:cs="Arial"/>
          <w:color w:val="000000"/>
        </w:rPr>
        <w:t>nd applicant (</w:t>
      </w:r>
      <w:r>
        <w:rPr>
          <w:rFonts w:ascii="Arial" w:hAnsi="Arial" w:cs="Arial"/>
          <w:color w:val="000000"/>
        </w:rPr>
        <w:t>“</w:t>
      </w:r>
      <w:r w:rsidRPr="005D331D">
        <w:rPr>
          <w:rFonts w:ascii="Arial" w:hAnsi="Arial" w:cs="Arial"/>
          <w:color w:val="000000"/>
        </w:rPr>
        <w:t>the intended beneficiaries</w:t>
      </w:r>
      <w:r>
        <w:rPr>
          <w:rFonts w:ascii="Arial" w:hAnsi="Arial" w:cs="Arial"/>
          <w:color w:val="000000"/>
        </w:rPr>
        <w:t>”</w:t>
      </w:r>
      <w:r w:rsidRPr="005D331D">
        <w:rPr>
          <w:rFonts w:ascii="Arial" w:hAnsi="Arial" w:cs="Arial"/>
          <w:color w:val="000000"/>
        </w:rPr>
        <w:t>) and more specifically</w:t>
      </w:r>
      <w:r w:rsidR="008B14B9">
        <w:rPr>
          <w:rFonts w:ascii="Arial" w:hAnsi="Arial" w:cs="Arial"/>
          <w:color w:val="000000"/>
        </w:rPr>
        <w:t>,</w:t>
      </w:r>
      <w:r w:rsidRPr="005D331D">
        <w:rPr>
          <w:rFonts w:ascii="Arial" w:hAnsi="Arial" w:cs="Arial"/>
          <w:color w:val="000000"/>
        </w:rPr>
        <w:t xml:space="preserve"> has failed to see to the transfer of the property known as Erf 121 Bronkhorstbaai (</w:t>
      </w:r>
      <w:r w:rsidR="008B14B9">
        <w:rPr>
          <w:rFonts w:ascii="Arial" w:hAnsi="Arial" w:cs="Arial"/>
          <w:color w:val="000000"/>
        </w:rPr>
        <w:t>“</w:t>
      </w:r>
      <w:r w:rsidRPr="005D331D">
        <w:rPr>
          <w:rFonts w:ascii="Arial" w:hAnsi="Arial" w:cs="Arial"/>
          <w:color w:val="000000"/>
        </w:rPr>
        <w:t>the Property</w:t>
      </w:r>
      <w:r w:rsidR="008B14B9">
        <w:rPr>
          <w:rFonts w:ascii="Arial" w:hAnsi="Arial" w:cs="Arial"/>
          <w:color w:val="000000"/>
        </w:rPr>
        <w:t>”</w:t>
      </w:r>
      <w:r w:rsidRPr="005D331D">
        <w:rPr>
          <w:rFonts w:ascii="Arial" w:hAnsi="Arial" w:cs="Arial"/>
          <w:color w:val="000000"/>
        </w:rPr>
        <w:t>)</w:t>
      </w:r>
      <w:r>
        <w:rPr>
          <w:rFonts w:ascii="Arial" w:hAnsi="Arial" w:cs="Arial"/>
          <w:color w:val="000000"/>
        </w:rPr>
        <w:t>;</w:t>
      </w:r>
    </w:p>
    <w:p w14:paraId="5D0B76A6" w14:textId="7A9B0941" w:rsidR="005D331D" w:rsidRDefault="002939FC" w:rsidP="005D331D">
      <w:pPr>
        <w:pStyle w:val="normaltext"/>
        <w:numPr>
          <w:ilvl w:val="0"/>
          <w:numId w:val="3"/>
        </w:numPr>
        <w:shd w:val="clear" w:color="auto" w:fill="FFFFFF"/>
        <w:spacing w:before="180" w:beforeAutospacing="0" w:after="0" w:afterAutospacing="0" w:line="360" w:lineRule="auto"/>
        <w:jc w:val="both"/>
        <w:rPr>
          <w:rFonts w:ascii="Arial" w:hAnsi="Arial" w:cs="Arial"/>
          <w:color w:val="000000"/>
        </w:rPr>
      </w:pPr>
      <w:r w:rsidRPr="005D331D">
        <w:rPr>
          <w:rFonts w:ascii="Arial" w:hAnsi="Arial" w:cs="Arial"/>
          <w:color w:val="000000"/>
        </w:rPr>
        <w:t>t</w:t>
      </w:r>
      <w:r w:rsidR="005D331D" w:rsidRPr="005D331D">
        <w:rPr>
          <w:rFonts w:ascii="Arial" w:hAnsi="Arial" w:cs="Arial"/>
          <w:color w:val="000000"/>
        </w:rPr>
        <w:t xml:space="preserve">he respondent </w:t>
      </w:r>
      <w:r w:rsidR="00790222">
        <w:rPr>
          <w:rFonts w:ascii="Arial" w:hAnsi="Arial" w:cs="Arial"/>
          <w:color w:val="000000"/>
        </w:rPr>
        <w:t>must,</w:t>
      </w:r>
      <w:r w:rsidR="005D331D" w:rsidRPr="005D331D">
        <w:rPr>
          <w:rFonts w:ascii="Arial" w:hAnsi="Arial" w:cs="Arial"/>
          <w:color w:val="000000"/>
        </w:rPr>
        <w:t xml:space="preserve"> within 30 (thirty) days following the granting of </w:t>
      </w:r>
      <w:r w:rsidR="00790222">
        <w:rPr>
          <w:rFonts w:ascii="Arial" w:hAnsi="Arial" w:cs="Arial"/>
          <w:color w:val="000000"/>
        </w:rPr>
        <w:t>the</w:t>
      </w:r>
      <w:r w:rsidR="005D331D" w:rsidRPr="005D331D">
        <w:rPr>
          <w:rFonts w:ascii="Arial" w:hAnsi="Arial" w:cs="Arial"/>
          <w:color w:val="000000"/>
        </w:rPr>
        <w:t xml:space="preserve"> </w:t>
      </w:r>
      <w:r w:rsidR="00790222" w:rsidRPr="005D331D">
        <w:rPr>
          <w:rFonts w:ascii="Arial" w:hAnsi="Arial" w:cs="Arial"/>
          <w:color w:val="000000"/>
        </w:rPr>
        <w:t>o</w:t>
      </w:r>
      <w:r w:rsidR="005D331D" w:rsidRPr="005D331D">
        <w:rPr>
          <w:rFonts w:ascii="Arial" w:hAnsi="Arial" w:cs="Arial"/>
          <w:color w:val="000000"/>
        </w:rPr>
        <w:t>rder herein, given effect to clause 4.2 of the agreement</w:t>
      </w:r>
      <w:r w:rsidR="005D331D">
        <w:rPr>
          <w:rFonts w:ascii="Arial" w:hAnsi="Arial" w:cs="Arial"/>
          <w:color w:val="000000"/>
        </w:rPr>
        <w:t>;</w:t>
      </w:r>
    </w:p>
    <w:p w14:paraId="31CA3725" w14:textId="7D90629A" w:rsidR="005D331D" w:rsidRDefault="00453644" w:rsidP="005D331D">
      <w:pPr>
        <w:pStyle w:val="normaltext"/>
        <w:numPr>
          <w:ilvl w:val="0"/>
          <w:numId w:val="3"/>
        </w:numPr>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 xml:space="preserve">Should </w:t>
      </w:r>
      <w:r w:rsidRPr="005D331D">
        <w:rPr>
          <w:rFonts w:ascii="Arial" w:hAnsi="Arial" w:cs="Arial"/>
          <w:color w:val="000000"/>
        </w:rPr>
        <w:t>the respondent fail to comply with the aforesaid order</w:t>
      </w:r>
      <w:r w:rsidR="001752C4">
        <w:rPr>
          <w:rFonts w:ascii="Arial" w:hAnsi="Arial" w:cs="Arial"/>
          <w:color w:val="000000"/>
        </w:rPr>
        <w:t xml:space="preserve"> after the lapse of the</w:t>
      </w:r>
      <w:r w:rsidRPr="005D331D">
        <w:rPr>
          <w:rFonts w:ascii="Arial" w:hAnsi="Arial" w:cs="Arial"/>
          <w:color w:val="000000"/>
        </w:rPr>
        <w:t xml:space="preserve"> 30-day period</w:t>
      </w:r>
      <w:r>
        <w:rPr>
          <w:rFonts w:ascii="Arial" w:hAnsi="Arial" w:cs="Arial"/>
          <w:color w:val="000000"/>
        </w:rPr>
        <w:t xml:space="preserve">, </w:t>
      </w:r>
      <w:r w:rsidR="005D331D" w:rsidRPr="005D331D">
        <w:rPr>
          <w:rFonts w:ascii="Arial" w:hAnsi="Arial" w:cs="Arial"/>
          <w:color w:val="000000"/>
        </w:rPr>
        <w:t xml:space="preserve">the Sheriff of the Court </w:t>
      </w:r>
      <w:r>
        <w:rPr>
          <w:rFonts w:ascii="Arial" w:hAnsi="Arial" w:cs="Arial"/>
          <w:color w:val="000000"/>
        </w:rPr>
        <w:t xml:space="preserve">is directed </w:t>
      </w:r>
      <w:r w:rsidR="005D331D" w:rsidRPr="005D331D">
        <w:rPr>
          <w:rFonts w:ascii="Arial" w:hAnsi="Arial" w:cs="Arial"/>
          <w:color w:val="000000"/>
        </w:rPr>
        <w:t>to comply with the aforesaid</w:t>
      </w:r>
      <w:r w:rsidR="002D41AA">
        <w:rPr>
          <w:rFonts w:ascii="Arial" w:hAnsi="Arial" w:cs="Arial"/>
          <w:color w:val="000000"/>
        </w:rPr>
        <w:t xml:space="preserve"> order</w:t>
      </w:r>
      <w:r w:rsidR="005D331D" w:rsidRPr="005D331D">
        <w:rPr>
          <w:rFonts w:ascii="Arial" w:hAnsi="Arial" w:cs="Arial"/>
          <w:color w:val="000000"/>
        </w:rPr>
        <w:t xml:space="preserve">, by creating a </w:t>
      </w:r>
      <w:r w:rsidRPr="005D331D">
        <w:rPr>
          <w:rFonts w:ascii="Arial" w:hAnsi="Arial" w:cs="Arial"/>
          <w:color w:val="000000"/>
        </w:rPr>
        <w:t>T</w:t>
      </w:r>
      <w:r w:rsidR="005D331D" w:rsidRPr="005D331D">
        <w:rPr>
          <w:rFonts w:ascii="Arial" w:hAnsi="Arial" w:cs="Arial"/>
          <w:color w:val="000000"/>
        </w:rPr>
        <w:t xml:space="preserve">rust as well as transferring the property into the </w:t>
      </w:r>
      <w:r w:rsidRPr="005D331D">
        <w:rPr>
          <w:rFonts w:ascii="Arial" w:hAnsi="Arial" w:cs="Arial"/>
          <w:color w:val="000000"/>
        </w:rPr>
        <w:t>T</w:t>
      </w:r>
      <w:r w:rsidR="005D331D" w:rsidRPr="005D331D">
        <w:rPr>
          <w:rFonts w:ascii="Arial" w:hAnsi="Arial" w:cs="Arial"/>
          <w:color w:val="000000"/>
        </w:rPr>
        <w:t>rust, and to hold the respondent liable for the costs incurred</w:t>
      </w:r>
      <w:r w:rsidR="005D331D">
        <w:rPr>
          <w:rFonts w:ascii="Arial" w:hAnsi="Arial" w:cs="Arial"/>
          <w:color w:val="000000"/>
        </w:rPr>
        <w:t>; and</w:t>
      </w:r>
    </w:p>
    <w:p w14:paraId="05FD5C11" w14:textId="6076F102" w:rsidR="005D331D" w:rsidRDefault="007C49F2" w:rsidP="005D331D">
      <w:pPr>
        <w:pStyle w:val="normaltext"/>
        <w:numPr>
          <w:ilvl w:val="0"/>
          <w:numId w:val="3"/>
        </w:numPr>
        <w:shd w:val="clear" w:color="auto" w:fill="FFFFFF"/>
        <w:spacing w:before="180" w:beforeAutospacing="0" w:after="0" w:afterAutospacing="0" w:line="360" w:lineRule="auto"/>
        <w:jc w:val="both"/>
        <w:rPr>
          <w:rFonts w:ascii="Arial" w:hAnsi="Arial" w:cs="Arial"/>
          <w:color w:val="000000"/>
        </w:rPr>
      </w:pPr>
      <w:r w:rsidRPr="005D331D">
        <w:rPr>
          <w:rFonts w:ascii="Arial" w:hAnsi="Arial" w:cs="Arial"/>
          <w:color w:val="000000"/>
        </w:rPr>
        <w:t>T</w:t>
      </w:r>
      <w:r w:rsidR="005D331D" w:rsidRPr="005D331D">
        <w:rPr>
          <w:rFonts w:ascii="Arial" w:hAnsi="Arial" w:cs="Arial"/>
          <w:color w:val="000000"/>
        </w:rPr>
        <w:t>he respondent is liable for the costs of this application on the attorney and client scale</w:t>
      </w:r>
      <w:r w:rsidR="005D331D">
        <w:rPr>
          <w:rFonts w:ascii="Arial" w:hAnsi="Arial" w:cs="Arial"/>
          <w:color w:val="000000"/>
        </w:rPr>
        <w:t>.</w:t>
      </w:r>
    </w:p>
    <w:p w14:paraId="74E4C1D3" w14:textId="77777777" w:rsidR="005D331D" w:rsidRDefault="005D331D" w:rsidP="005D331D">
      <w:pPr>
        <w:pStyle w:val="normaltext"/>
        <w:shd w:val="clear" w:color="auto" w:fill="FFFFFF"/>
        <w:spacing w:before="180" w:beforeAutospacing="0" w:after="0" w:afterAutospacing="0" w:line="360" w:lineRule="auto"/>
        <w:ind w:left="692"/>
        <w:jc w:val="both"/>
        <w:rPr>
          <w:rFonts w:ascii="Arial" w:hAnsi="Arial" w:cs="Arial"/>
          <w:color w:val="000000"/>
        </w:rPr>
      </w:pPr>
    </w:p>
    <w:p w14:paraId="0AE9EF4B" w14:textId="77777777" w:rsidR="00972885" w:rsidRPr="00560B76" w:rsidRDefault="00972885" w:rsidP="00972885">
      <w:pPr>
        <w:spacing w:after="120" w:line="360" w:lineRule="auto"/>
        <w:jc w:val="both"/>
        <w:rPr>
          <w:u w:val="none"/>
        </w:rPr>
      </w:pPr>
    </w:p>
    <w:p w14:paraId="4B8DBCE7" w14:textId="77777777" w:rsidR="00972885" w:rsidRDefault="00972885" w:rsidP="00972885">
      <w:pPr>
        <w:spacing w:line="360" w:lineRule="auto"/>
        <w:jc w:val="right"/>
        <w:rPr>
          <w:b/>
          <w:u w:val="none"/>
        </w:rPr>
      </w:pPr>
      <w:r>
        <w:rPr>
          <w:b/>
          <w:u w:val="none"/>
        </w:rPr>
        <w:t>________________</w:t>
      </w:r>
    </w:p>
    <w:p w14:paraId="1794CDA6" w14:textId="77777777" w:rsidR="00972885" w:rsidRDefault="00972885" w:rsidP="00972885">
      <w:pPr>
        <w:spacing w:line="360" w:lineRule="auto"/>
        <w:jc w:val="right"/>
        <w:rPr>
          <w:b/>
          <w:u w:val="none"/>
        </w:rPr>
      </w:pPr>
      <w:r>
        <w:rPr>
          <w:b/>
          <w:u w:val="none"/>
        </w:rPr>
        <w:t xml:space="preserve"> MUDAU J</w:t>
      </w:r>
    </w:p>
    <w:p w14:paraId="42A22A14" w14:textId="77777777"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14:paraId="623513C3" w14:textId="77777777" w:rsidR="00972885" w:rsidRDefault="00972885" w:rsidP="00972885">
      <w:pPr>
        <w:spacing w:line="360" w:lineRule="auto"/>
        <w:jc w:val="right"/>
        <w:rPr>
          <w:b/>
          <w:u w:val="none"/>
        </w:rPr>
      </w:pPr>
    </w:p>
    <w:p w14:paraId="2943F928" w14:textId="77777777" w:rsidR="00972885" w:rsidRDefault="00972885" w:rsidP="00972885">
      <w:pPr>
        <w:spacing w:line="360" w:lineRule="auto"/>
        <w:jc w:val="right"/>
        <w:rPr>
          <w:b/>
          <w:u w:val="none"/>
        </w:rPr>
      </w:pPr>
    </w:p>
    <w:p w14:paraId="2FBA3ACA" w14:textId="77777777" w:rsidR="00972885" w:rsidRDefault="00972885" w:rsidP="00972885">
      <w:pPr>
        <w:spacing w:line="360" w:lineRule="auto"/>
        <w:jc w:val="right"/>
        <w:rPr>
          <w:b/>
          <w:u w:val="none"/>
        </w:rPr>
      </w:pPr>
    </w:p>
    <w:p w14:paraId="641E0EBE" w14:textId="77777777" w:rsidR="00972885" w:rsidRDefault="00972885" w:rsidP="00972885">
      <w:pPr>
        <w:spacing w:line="480" w:lineRule="auto"/>
        <w:jc w:val="both"/>
        <w:rPr>
          <w:u w:val="none"/>
        </w:rPr>
      </w:pPr>
    </w:p>
    <w:p w14:paraId="71695257" w14:textId="77777777" w:rsidR="00972885" w:rsidRDefault="00972885" w:rsidP="00972885">
      <w:pPr>
        <w:spacing w:line="480" w:lineRule="auto"/>
        <w:jc w:val="both"/>
        <w:rPr>
          <w:u w:val="none"/>
        </w:rPr>
      </w:pPr>
      <w:r>
        <w:rPr>
          <w:u w:val="none"/>
        </w:rPr>
        <w:t>APPEARANCES</w:t>
      </w:r>
    </w:p>
    <w:p w14:paraId="7088D72D" w14:textId="4E08B104" w:rsidR="00972885" w:rsidRDefault="00E46C4B" w:rsidP="007F2CD8">
      <w:pPr>
        <w:spacing w:line="480" w:lineRule="auto"/>
        <w:jc w:val="both"/>
        <w:rPr>
          <w:u w:val="none"/>
        </w:rPr>
      </w:pPr>
      <w:r>
        <w:rPr>
          <w:u w:val="none"/>
        </w:rPr>
        <w:t>For the App</w:t>
      </w:r>
      <w:r w:rsidR="004068BB">
        <w:rPr>
          <w:u w:val="none"/>
        </w:rPr>
        <w:t>el</w:t>
      </w:r>
      <w:r>
        <w:rPr>
          <w:u w:val="none"/>
        </w:rPr>
        <w:t>l</w:t>
      </w:r>
      <w:r w:rsidR="004068BB">
        <w:rPr>
          <w:u w:val="none"/>
        </w:rPr>
        <w:t>ants</w:t>
      </w:r>
      <w:r>
        <w:rPr>
          <w:u w:val="none"/>
        </w:rPr>
        <w:t>:</w:t>
      </w:r>
      <w:r w:rsidR="00972885" w:rsidRPr="007169FE">
        <w:rPr>
          <w:u w:val="none"/>
        </w:rPr>
        <w:tab/>
      </w:r>
      <w:r w:rsidR="00972885" w:rsidRPr="007169FE">
        <w:rPr>
          <w:u w:val="none"/>
        </w:rPr>
        <w:tab/>
      </w:r>
      <w:r w:rsidR="00972885" w:rsidRPr="007169FE">
        <w:rPr>
          <w:u w:val="none"/>
        </w:rPr>
        <w:tab/>
      </w:r>
      <w:r w:rsidR="007F2CD8" w:rsidRPr="007F2CD8">
        <w:rPr>
          <w:u w:val="none"/>
        </w:rPr>
        <w:t>Adv</w:t>
      </w:r>
      <w:r w:rsidR="00AB5C7A">
        <w:rPr>
          <w:u w:val="none"/>
        </w:rPr>
        <w:t>.</w:t>
      </w:r>
      <w:r w:rsidR="007F2CD8" w:rsidRPr="007F2CD8">
        <w:rPr>
          <w:u w:val="none"/>
        </w:rPr>
        <w:t xml:space="preserve"> </w:t>
      </w:r>
      <w:r w:rsidR="004068BB" w:rsidRPr="004068BB">
        <w:rPr>
          <w:u w:val="none"/>
        </w:rPr>
        <w:t>D Strydom</w:t>
      </w:r>
    </w:p>
    <w:p w14:paraId="4CB3D80D" w14:textId="313C24F8"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r w:rsidR="004068BB" w:rsidRPr="004068BB">
        <w:rPr>
          <w:u w:val="none"/>
        </w:rPr>
        <w:t>Ramsden Small Fernandes Attorneys</w:t>
      </w:r>
      <w:r w:rsidRPr="007169FE">
        <w:rPr>
          <w:u w:val="none"/>
        </w:rPr>
        <w:tab/>
      </w:r>
      <w:r w:rsidRPr="007169FE">
        <w:rPr>
          <w:u w:val="none"/>
        </w:rPr>
        <w:tab/>
      </w:r>
    </w:p>
    <w:p w14:paraId="2A744A8F" w14:textId="77777777" w:rsidR="00972885" w:rsidRDefault="00972885" w:rsidP="00972885">
      <w:pPr>
        <w:spacing w:line="480" w:lineRule="auto"/>
        <w:jc w:val="both"/>
        <w:rPr>
          <w:u w:val="none"/>
        </w:rPr>
      </w:pPr>
      <w:r>
        <w:rPr>
          <w:u w:val="none"/>
        </w:rPr>
        <w:tab/>
      </w:r>
      <w:r>
        <w:rPr>
          <w:u w:val="none"/>
        </w:rPr>
        <w:tab/>
      </w:r>
      <w:r>
        <w:rPr>
          <w:u w:val="none"/>
        </w:rPr>
        <w:tab/>
      </w:r>
      <w:r>
        <w:rPr>
          <w:u w:val="none"/>
        </w:rPr>
        <w:tab/>
      </w:r>
      <w:r>
        <w:rPr>
          <w:u w:val="none"/>
        </w:rPr>
        <w:tab/>
      </w:r>
      <w:r w:rsidRPr="007169FE">
        <w:rPr>
          <w:u w:val="none"/>
        </w:rPr>
        <w:tab/>
      </w:r>
      <w:r>
        <w:rPr>
          <w:u w:val="none"/>
        </w:rPr>
        <w:tab/>
      </w:r>
    </w:p>
    <w:p w14:paraId="42333C42" w14:textId="282FB35D" w:rsidR="00AB5C7A" w:rsidRDefault="00972885" w:rsidP="00972885">
      <w:pPr>
        <w:spacing w:line="480" w:lineRule="auto"/>
        <w:jc w:val="both"/>
        <w:rPr>
          <w:u w:val="none"/>
        </w:rPr>
      </w:pPr>
      <w:r>
        <w:rPr>
          <w:u w:val="none"/>
        </w:rPr>
        <w:t xml:space="preserve">For the </w:t>
      </w:r>
      <w:r w:rsidRPr="007169FE">
        <w:rPr>
          <w:u w:val="none"/>
        </w:rPr>
        <w:t>Respondent:</w:t>
      </w:r>
      <w:r>
        <w:rPr>
          <w:u w:val="none"/>
        </w:rPr>
        <w:tab/>
      </w:r>
      <w:r w:rsidR="00AB5C7A">
        <w:rPr>
          <w:u w:val="none"/>
        </w:rPr>
        <w:tab/>
      </w:r>
      <w:r w:rsidR="004068BB" w:rsidRPr="004068BB">
        <w:rPr>
          <w:u w:val="none"/>
        </w:rPr>
        <w:t>Adv GL Kasselman</w:t>
      </w:r>
    </w:p>
    <w:p w14:paraId="4900B3ED" w14:textId="7799AA4B" w:rsidR="004068BB" w:rsidRDefault="004068BB" w:rsidP="00972885">
      <w:pPr>
        <w:spacing w:line="480" w:lineRule="auto"/>
        <w:jc w:val="both"/>
        <w:rPr>
          <w:u w:val="none"/>
        </w:rPr>
      </w:pPr>
      <w:r>
        <w:rPr>
          <w:u w:val="none"/>
        </w:rPr>
        <w:t>Instructed by:</w:t>
      </w:r>
      <w:r>
        <w:rPr>
          <w:u w:val="none"/>
        </w:rPr>
        <w:tab/>
      </w:r>
      <w:r>
        <w:rPr>
          <w:u w:val="none"/>
        </w:rPr>
        <w:tab/>
      </w:r>
      <w:r>
        <w:rPr>
          <w:u w:val="none"/>
        </w:rPr>
        <w:tab/>
      </w:r>
      <w:r w:rsidRPr="004068BB">
        <w:rPr>
          <w:u w:val="none"/>
        </w:rPr>
        <w:t>Couzyn Hertzog &amp; Horak Attorneys</w:t>
      </w:r>
    </w:p>
    <w:p w14:paraId="4A5D0FA3" w14:textId="4D0133F6" w:rsidR="00972885" w:rsidRDefault="00972885" w:rsidP="00972885">
      <w:pPr>
        <w:spacing w:line="480" w:lineRule="auto"/>
        <w:jc w:val="both"/>
        <w:rPr>
          <w:u w:val="none"/>
        </w:rPr>
      </w:pPr>
      <w:r>
        <w:rPr>
          <w:u w:val="none"/>
        </w:rPr>
        <w:tab/>
      </w:r>
    </w:p>
    <w:p w14:paraId="4FA5790C" w14:textId="0BA1E79A"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Pr>
          <w:u w:val="none"/>
        </w:rPr>
        <w:tab/>
      </w:r>
      <w:r>
        <w:rPr>
          <w:u w:val="none"/>
        </w:rPr>
        <w:tab/>
      </w:r>
      <w:r w:rsidR="004068BB">
        <w:rPr>
          <w:u w:val="none"/>
        </w:rPr>
        <w:t>25 July</w:t>
      </w:r>
      <w:r>
        <w:rPr>
          <w:u w:val="none"/>
        </w:rPr>
        <w:t xml:space="preserve"> 2022</w:t>
      </w:r>
      <w:r>
        <w:rPr>
          <w:u w:val="none"/>
        </w:rPr>
        <w:tab/>
      </w:r>
      <w:r>
        <w:rPr>
          <w:u w:val="none"/>
        </w:rPr>
        <w:tab/>
      </w:r>
    </w:p>
    <w:p w14:paraId="1A2192BC" w14:textId="40BF76A5" w:rsidR="00AB5C7A" w:rsidRDefault="00AB5C7A" w:rsidP="00AB5C7A">
      <w:pPr>
        <w:spacing w:line="480" w:lineRule="auto"/>
        <w:jc w:val="both"/>
        <w:rPr>
          <w:u w:val="none"/>
        </w:rPr>
      </w:pPr>
      <w:r w:rsidRPr="007169FE">
        <w:rPr>
          <w:u w:val="none"/>
        </w:rPr>
        <w:t>Date of Judgment:</w:t>
      </w:r>
      <w:r w:rsidRPr="007169FE">
        <w:rPr>
          <w:u w:val="none"/>
        </w:rPr>
        <w:tab/>
      </w:r>
      <w:r>
        <w:rPr>
          <w:u w:val="none"/>
        </w:rPr>
        <w:tab/>
      </w:r>
      <w:r>
        <w:rPr>
          <w:u w:val="none"/>
        </w:rPr>
        <w:tab/>
      </w:r>
      <w:r w:rsidR="004068BB">
        <w:rPr>
          <w:u w:val="none"/>
        </w:rPr>
        <w:t>19 September</w:t>
      </w:r>
      <w:r>
        <w:rPr>
          <w:u w:val="none"/>
        </w:rPr>
        <w:t xml:space="preserve"> 2022</w:t>
      </w:r>
    </w:p>
    <w:p w14:paraId="6F2DC930" w14:textId="77777777" w:rsidR="00972885" w:rsidRDefault="00972885" w:rsidP="00972885">
      <w:pPr>
        <w:spacing w:line="480" w:lineRule="auto"/>
        <w:jc w:val="both"/>
        <w:rPr>
          <w:u w:val="none"/>
        </w:rPr>
      </w:pPr>
      <w:r w:rsidRPr="007169FE">
        <w:rPr>
          <w:u w:val="none"/>
        </w:rPr>
        <w:tab/>
      </w:r>
      <w:r w:rsidRPr="007169FE">
        <w:rPr>
          <w:u w:val="none"/>
        </w:rPr>
        <w:tab/>
      </w:r>
      <w:r w:rsidRPr="007169FE">
        <w:rPr>
          <w:u w:val="none"/>
        </w:rPr>
        <w:tab/>
      </w:r>
    </w:p>
    <w:p w14:paraId="4A8C22A2" w14:textId="77777777" w:rsidR="00972885" w:rsidRPr="007169FE" w:rsidRDefault="00972885" w:rsidP="00972885">
      <w:pPr>
        <w:spacing w:line="480" w:lineRule="auto"/>
        <w:jc w:val="both"/>
        <w:rPr>
          <w:u w:val="none"/>
        </w:rPr>
      </w:pPr>
      <w:r>
        <w:rPr>
          <w:u w:val="none"/>
        </w:rPr>
        <w:tab/>
      </w:r>
      <w:r>
        <w:rPr>
          <w:u w:val="none"/>
        </w:rPr>
        <w:tab/>
      </w:r>
      <w:r>
        <w:rPr>
          <w:u w:val="none"/>
        </w:rPr>
        <w:tab/>
      </w:r>
      <w:r>
        <w:rPr>
          <w:u w:val="none"/>
        </w:rPr>
        <w:tab/>
      </w:r>
      <w:r w:rsidRPr="007169FE">
        <w:rPr>
          <w:u w:val="none"/>
        </w:rPr>
        <w:tab/>
      </w:r>
      <w:r w:rsidRPr="007169FE">
        <w:rPr>
          <w:u w:val="none"/>
        </w:rPr>
        <w:tab/>
      </w:r>
    </w:p>
    <w:p w14:paraId="7D1985C7" w14:textId="77777777" w:rsidR="00972885" w:rsidRPr="00D143A7" w:rsidRDefault="00972885" w:rsidP="00972885">
      <w:pPr>
        <w:pStyle w:val="ListParagraph"/>
        <w:spacing w:after="120"/>
        <w:ind w:left="0"/>
        <w:contextualSpacing w:val="0"/>
        <w:rPr>
          <w:u w:val="none"/>
        </w:rPr>
      </w:pPr>
      <w:r w:rsidRPr="007169FE">
        <w:rPr>
          <w:u w:val="none"/>
        </w:rPr>
        <w:tab/>
      </w:r>
      <w:r>
        <w:rPr>
          <w:u w:val="none"/>
        </w:rPr>
        <w:tab/>
      </w:r>
      <w:r>
        <w:rPr>
          <w:u w:val="none"/>
        </w:rPr>
        <w:tab/>
      </w:r>
      <w:r>
        <w:rPr>
          <w:u w:val="none"/>
        </w:rPr>
        <w:tab/>
        <w:t xml:space="preserve"> </w:t>
      </w:r>
    </w:p>
    <w:p w14:paraId="572E16D5" w14:textId="77777777" w:rsidR="00972885" w:rsidRPr="00D143A7" w:rsidRDefault="00972885" w:rsidP="00972885">
      <w:pPr>
        <w:pStyle w:val="ListParagraph"/>
        <w:spacing w:after="120"/>
        <w:contextualSpacing w:val="0"/>
        <w:rPr>
          <w:u w:val="none"/>
        </w:rPr>
      </w:pPr>
    </w:p>
    <w:p w14:paraId="1E2EC6D1" w14:textId="77777777" w:rsidR="002F15B7" w:rsidRDefault="002F15B7"/>
    <w:sectPr w:rsidR="002F15B7" w:rsidSect="000B37FD">
      <w:footerReference w:type="default" r:id="rId9"/>
      <w:pgSz w:w="11906" w:h="16838"/>
      <w:pgMar w:top="110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92A0" w14:textId="77777777" w:rsidR="00AF0CE6" w:rsidRDefault="00AF0CE6" w:rsidP="00972885">
      <w:r>
        <w:separator/>
      </w:r>
    </w:p>
  </w:endnote>
  <w:endnote w:type="continuationSeparator" w:id="0">
    <w:p w14:paraId="26E510F4" w14:textId="77777777" w:rsidR="00AF0CE6" w:rsidRDefault="00AF0CE6"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95BB" w14:textId="6E5BACF8"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99684A">
      <w:rPr>
        <w:noProof/>
        <w:u w:val="none"/>
      </w:rPr>
      <w:t>2</w:t>
    </w:r>
    <w:r w:rsidRPr="009C3009">
      <w:rPr>
        <w:noProof/>
        <w:u w:val="none"/>
      </w:rPr>
      <w:fldChar w:fldCharType="end"/>
    </w:r>
  </w:p>
  <w:p w14:paraId="6F41FD53" w14:textId="77777777" w:rsidR="00950FD7" w:rsidRDefault="0095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5CB2" w14:textId="77777777" w:rsidR="00AF0CE6" w:rsidRDefault="00AF0CE6" w:rsidP="00972885">
      <w:r>
        <w:separator/>
      </w:r>
    </w:p>
  </w:footnote>
  <w:footnote w:type="continuationSeparator" w:id="0">
    <w:p w14:paraId="289CD65F" w14:textId="77777777" w:rsidR="00AF0CE6" w:rsidRDefault="00AF0CE6" w:rsidP="00972885">
      <w:r>
        <w:continuationSeparator/>
      </w:r>
    </w:p>
  </w:footnote>
  <w:footnote w:id="1">
    <w:p w14:paraId="169A1F97" w14:textId="46F1A488" w:rsidR="00EA5E18" w:rsidRDefault="00EA5E18" w:rsidP="00556A74">
      <w:pPr>
        <w:pStyle w:val="FootnoteText"/>
        <w:jc w:val="both"/>
      </w:pPr>
      <w:r w:rsidRPr="00556A74">
        <w:rPr>
          <w:rStyle w:val="FootnoteReference"/>
          <w:u w:val="none"/>
        </w:rPr>
        <w:footnoteRef/>
      </w:r>
      <w:r w:rsidRPr="00556A74">
        <w:rPr>
          <w:u w:val="none"/>
        </w:rPr>
        <w:t xml:space="preserve"> </w:t>
      </w:r>
      <w:r w:rsidRPr="00556A74">
        <w:rPr>
          <w:i/>
          <w:color w:val="242121"/>
          <w:u w:val="none"/>
          <w:shd w:val="clear" w:color="auto" w:fill="FFFFFF"/>
        </w:rPr>
        <w:t>Fakie NO v CCII Systems (Pty) Ltd</w:t>
      </w:r>
      <w:r w:rsidRPr="00C46D55">
        <w:rPr>
          <w:color w:val="242121"/>
          <w:u w:val="none"/>
          <w:shd w:val="clear" w:color="auto" w:fill="FFFFFF"/>
        </w:rPr>
        <w:t xml:space="preserve"> 2006 (4) SA 326 (SCA) (31 March 2006) para </w:t>
      </w:r>
      <w:r w:rsidR="0051045B">
        <w:rPr>
          <w:color w:val="242121"/>
          <w:u w:val="none"/>
          <w:shd w:val="clear" w:color="auto" w:fill="FFFFFF"/>
        </w:rPr>
        <w:t>[</w:t>
      </w:r>
      <w:r w:rsidRPr="00C46D55">
        <w:rPr>
          <w:color w:val="242121"/>
          <w:u w:val="none"/>
          <w:shd w:val="clear" w:color="auto" w:fill="FFFFFF"/>
        </w:rPr>
        <w:t>42</w:t>
      </w:r>
      <w:r w:rsidR="0051045B">
        <w:rPr>
          <w:color w:val="242121"/>
          <w:u w:val="none"/>
          <w:shd w:val="clear" w:color="auto" w:fill="FFFFFF"/>
        </w:rPr>
        <w:t>] (d)</w:t>
      </w:r>
      <w:r w:rsidRPr="00C46D55">
        <w:rPr>
          <w:color w:val="242121"/>
          <w:u w:val="none"/>
          <w:shd w:val="clear" w:color="auto" w:fill="FFFFFF"/>
        </w:rPr>
        <w:t>.</w:t>
      </w:r>
    </w:p>
  </w:footnote>
  <w:footnote w:id="2">
    <w:p w14:paraId="4C42DB11" w14:textId="5A25DC27" w:rsidR="00EA5E18" w:rsidRPr="00231E3D" w:rsidRDefault="00EA5E18" w:rsidP="00556A74">
      <w:pPr>
        <w:pStyle w:val="FootnoteText"/>
        <w:jc w:val="both"/>
        <w:rPr>
          <w:u w:val="none"/>
        </w:rPr>
      </w:pPr>
      <w:r w:rsidRPr="00231E3D">
        <w:rPr>
          <w:rStyle w:val="FootnoteReference"/>
          <w:u w:val="none"/>
        </w:rPr>
        <w:footnoteRef/>
      </w:r>
      <w:r w:rsidRPr="00231E3D">
        <w:rPr>
          <w:u w:val="none"/>
        </w:rPr>
        <w:t xml:space="preserve"> </w:t>
      </w:r>
      <w:r w:rsidRPr="00231E3D">
        <w:rPr>
          <w:rFonts w:eastAsiaTheme="minorHAnsi"/>
          <w:color w:val="242121"/>
          <w:u w:val="none"/>
          <w:shd w:val="clear" w:color="auto" w:fill="FFFFFF"/>
          <w:lang w:eastAsia="en-US"/>
        </w:rPr>
        <w:t>2021 (5) SA 327 (CC)</w:t>
      </w:r>
      <w:r w:rsidRPr="00231E3D">
        <w:rPr>
          <w:color w:val="242121"/>
          <w:u w:val="none"/>
          <w:shd w:val="clear" w:color="auto" w:fill="FFFFFF"/>
        </w:rPr>
        <w:t xml:space="preserve"> para 26</w:t>
      </w:r>
      <w:r w:rsidR="005458AC">
        <w:rPr>
          <w:color w:val="242121"/>
          <w:u w:val="none"/>
          <w:shd w:val="clear" w:color="auto" w:fill="FFFFFF"/>
        </w:rPr>
        <w:t>.</w:t>
      </w:r>
    </w:p>
  </w:footnote>
  <w:footnote w:id="3">
    <w:p w14:paraId="2E22887C" w14:textId="0771EB8C" w:rsidR="00736A18" w:rsidRPr="00556A74" w:rsidRDefault="00736A18" w:rsidP="00556A74">
      <w:pPr>
        <w:pStyle w:val="FootnoteText"/>
        <w:jc w:val="both"/>
        <w:rPr>
          <w:u w:val="none"/>
        </w:rPr>
      </w:pPr>
      <w:r w:rsidRPr="00556A74">
        <w:rPr>
          <w:rStyle w:val="FootnoteReference"/>
          <w:u w:val="none"/>
        </w:rPr>
        <w:footnoteRef/>
      </w:r>
      <w:r w:rsidRPr="00556A74">
        <w:rPr>
          <w:u w:val="none"/>
        </w:rPr>
        <w:t xml:space="preserve"> 2015 (5) SA 600 (CC).</w:t>
      </w:r>
    </w:p>
  </w:footnote>
  <w:footnote w:id="4">
    <w:p w14:paraId="1603602F" w14:textId="720FA69C" w:rsidR="008A0CA9" w:rsidRPr="00556A74" w:rsidRDefault="008A0CA9">
      <w:pPr>
        <w:pStyle w:val="FootnoteText"/>
        <w:rPr>
          <w:u w:val="none"/>
        </w:rPr>
      </w:pPr>
      <w:r w:rsidRPr="00556A74">
        <w:rPr>
          <w:rStyle w:val="FootnoteReference"/>
          <w:u w:val="none"/>
        </w:rPr>
        <w:footnoteRef/>
      </w:r>
      <w:r w:rsidRPr="00556A74">
        <w:rPr>
          <w:u w:val="none"/>
        </w:rPr>
        <w:t xml:space="preserve"> </w:t>
      </w:r>
      <w:r w:rsidRPr="00556A74">
        <w:rPr>
          <w:i/>
          <w:u w:val="none"/>
        </w:rPr>
        <w:t>The Judicial Commission of Inquiry into Allegations of State Capture</w:t>
      </w:r>
      <w:r w:rsidRPr="00556A74">
        <w:rPr>
          <w:u w:val="none"/>
        </w:rPr>
        <w:t xml:space="preserve"> para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9547B2-BAC2-4BC5-86D4-EE5CF1C83B51}"/>
    <w:docVar w:name="dgnword-eventsink" w:val="2099573627312"/>
  </w:docVars>
  <w:rsids>
    <w:rsidRoot w:val="00972885"/>
    <w:rsid w:val="00003568"/>
    <w:rsid w:val="00005C13"/>
    <w:rsid w:val="00005DD3"/>
    <w:rsid w:val="00006473"/>
    <w:rsid w:val="00013280"/>
    <w:rsid w:val="000139E0"/>
    <w:rsid w:val="00015A1D"/>
    <w:rsid w:val="00025103"/>
    <w:rsid w:val="00033A7A"/>
    <w:rsid w:val="00040252"/>
    <w:rsid w:val="00040BC6"/>
    <w:rsid w:val="0004104D"/>
    <w:rsid w:val="000438D4"/>
    <w:rsid w:val="00050245"/>
    <w:rsid w:val="00056EBC"/>
    <w:rsid w:val="0006028C"/>
    <w:rsid w:val="00060E0E"/>
    <w:rsid w:val="00062F1C"/>
    <w:rsid w:val="00064EA8"/>
    <w:rsid w:val="00065807"/>
    <w:rsid w:val="0007043B"/>
    <w:rsid w:val="00071C24"/>
    <w:rsid w:val="00075BC1"/>
    <w:rsid w:val="00084C83"/>
    <w:rsid w:val="000B17FD"/>
    <w:rsid w:val="000B1B1B"/>
    <w:rsid w:val="000B37FD"/>
    <w:rsid w:val="000B4065"/>
    <w:rsid w:val="000D3E53"/>
    <w:rsid w:val="000F33AB"/>
    <w:rsid w:val="000F52AC"/>
    <w:rsid w:val="00105735"/>
    <w:rsid w:val="001065D3"/>
    <w:rsid w:val="001237FC"/>
    <w:rsid w:val="00125B0B"/>
    <w:rsid w:val="00133C1C"/>
    <w:rsid w:val="0013726E"/>
    <w:rsid w:val="00151AAE"/>
    <w:rsid w:val="00155B5B"/>
    <w:rsid w:val="001563C2"/>
    <w:rsid w:val="00166666"/>
    <w:rsid w:val="00174C94"/>
    <w:rsid w:val="001752C4"/>
    <w:rsid w:val="00177254"/>
    <w:rsid w:val="001876E6"/>
    <w:rsid w:val="0019115F"/>
    <w:rsid w:val="00191E46"/>
    <w:rsid w:val="0019427C"/>
    <w:rsid w:val="00194AF9"/>
    <w:rsid w:val="001B3808"/>
    <w:rsid w:val="001C114E"/>
    <w:rsid w:val="001D5F31"/>
    <w:rsid w:val="001D7A2E"/>
    <w:rsid w:val="001E78FB"/>
    <w:rsid w:val="001F1729"/>
    <w:rsid w:val="00221778"/>
    <w:rsid w:val="00226AA9"/>
    <w:rsid w:val="00250361"/>
    <w:rsid w:val="002615AF"/>
    <w:rsid w:val="002665E7"/>
    <w:rsid w:val="00271C0D"/>
    <w:rsid w:val="00275675"/>
    <w:rsid w:val="00280E3C"/>
    <w:rsid w:val="00284F26"/>
    <w:rsid w:val="002939FC"/>
    <w:rsid w:val="00297060"/>
    <w:rsid w:val="002973D9"/>
    <w:rsid w:val="00297869"/>
    <w:rsid w:val="002A1772"/>
    <w:rsid w:val="002A296C"/>
    <w:rsid w:val="002B2470"/>
    <w:rsid w:val="002C0337"/>
    <w:rsid w:val="002C3876"/>
    <w:rsid w:val="002C5B2E"/>
    <w:rsid w:val="002D32D0"/>
    <w:rsid w:val="002D41AA"/>
    <w:rsid w:val="002F15B7"/>
    <w:rsid w:val="002F1F31"/>
    <w:rsid w:val="002F325B"/>
    <w:rsid w:val="0031746F"/>
    <w:rsid w:val="003249B7"/>
    <w:rsid w:val="00332284"/>
    <w:rsid w:val="003342E8"/>
    <w:rsid w:val="00336854"/>
    <w:rsid w:val="00337D04"/>
    <w:rsid w:val="00343D2E"/>
    <w:rsid w:val="00345B11"/>
    <w:rsid w:val="00352B4A"/>
    <w:rsid w:val="003646D2"/>
    <w:rsid w:val="00371F11"/>
    <w:rsid w:val="00377918"/>
    <w:rsid w:val="003A47E3"/>
    <w:rsid w:val="003B5DD6"/>
    <w:rsid w:val="003C3A52"/>
    <w:rsid w:val="003D1B00"/>
    <w:rsid w:val="003E305A"/>
    <w:rsid w:val="003F3209"/>
    <w:rsid w:val="003F4827"/>
    <w:rsid w:val="003F5571"/>
    <w:rsid w:val="004068BB"/>
    <w:rsid w:val="00412E9F"/>
    <w:rsid w:val="004132A9"/>
    <w:rsid w:val="00416461"/>
    <w:rsid w:val="0042116E"/>
    <w:rsid w:val="00423C19"/>
    <w:rsid w:val="004447AA"/>
    <w:rsid w:val="00452390"/>
    <w:rsid w:val="00453644"/>
    <w:rsid w:val="0045365F"/>
    <w:rsid w:val="004554E7"/>
    <w:rsid w:val="0046446A"/>
    <w:rsid w:val="00466B83"/>
    <w:rsid w:val="00475EB4"/>
    <w:rsid w:val="00482A5D"/>
    <w:rsid w:val="00484558"/>
    <w:rsid w:val="00485E21"/>
    <w:rsid w:val="00491579"/>
    <w:rsid w:val="004A0C86"/>
    <w:rsid w:val="004A7673"/>
    <w:rsid w:val="004B1C82"/>
    <w:rsid w:val="004B2FEC"/>
    <w:rsid w:val="004B477A"/>
    <w:rsid w:val="004B618A"/>
    <w:rsid w:val="004C2A9F"/>
    <w:rsid w:val="004D0633"/>
    <w:rsid w:val="004D29A1"/>
    <w:rsid w:val="004E24F2"/>
    <w:rsid w:val="004E76E3"/>
    <w:rsid w:val="004F317A"/>
    <w:rsid w:val="0051045B"/>
    <w:rsid w:val="00513231"/>
    <w:rsid w:val="0052629A"/>
    <w:rsid w:val="00527823"/>
    <w:rsid w:val="005317BA"/>
    <w:rsid w:val="005355A8"/>
    <w:rsid w:val="005458AC"/>
    <w:rsid w:val="00551E22"/>
    <w:rsid w:val="00556A74"/>
    <w:rsid w:val="0055700B"/>
    <w:rsid w:val="005629E3"/>
    <w:rsid w:val="00564959"/>
    <w:rsid w:val="00583661"/>
    <w:rsid w:val="00587F50"/>
    <w:rsid w:val="005A0379"/>
    <w:rsid w:val="005A26C1"/>
    <w:rsid w:val="005A6E0E"/>
    <w:rsid w:val="005B5071"/>
    <w:rsid w:val="005B7E52"/>
    <w:rsid w:val="005C5F26"/>
    <w:rsid w:val="005D331D"/>
    <w:rsid w:val="005D64FC"/>
    <w:rsid w:val="005E417A"/>
    <w:rsid w:val="005F625B"/>
    <w:rsid w:val="00604F5F"/>
    <w:rsid w:val="00605CA1"/>
    <w:rsid w:val="006128B9"/>
    <w:rsid w:val="00612E07"/>
    <w:rsid w:val="00655931"/>
    <w:rsid w:val="006561BA"/>
    <w:rsid w:val="00660D40"/>
    <w:rsid w:val="00666851"/>
    <w:rsid w:val="006769BD"/>
    <w:rsid w:val="00680C88"/>
    <w:rsid w:val="00683F75"/>
    <w:rsid w:val="00685C78"/>
    <w:rsid w:val="00686DFE"/>
    <w:rsid w:val="006873E8"/>
    <w:rsid w:val="006A315B"/>
    <w:rsid w:val="006D0272"/>
    <w:rsid w:val="006D4B46"/>
    <w:rsid w:val="006E3B2B"/>
    <w:rsid w:val="006F680B"/>
    <w:rsid w:val="0070213C"/>
    <w:rsid w:val="00703F88"/>
    <w:rsid w:val="00707E4D"/>
    <w:rsid w:val="007326AF"/>
    <w:rsid w:val="007352CB"/>
    <w:rsid w:val="00736A18"/>
    <w:rsid w:val="00736FB9"/>
    <w:rsid w:val="007516D8"/>
    <w:rsid w:val="0075747C"/>
    <w:rsid w:val="00760637"/>
    <w:rsid w:val="00760952"/>
    <w:rsid w:val="0076143F"/>
    <w:rsid w:val="007629EA"/>
    <w:rsid w:val="007874CA"/>
    <w:rsid w:val="00790222"/>
    <w:rsid w:val="0079472A"/>
    <w:rsid w:val="007A6F9E"/>
    <w:rsid w:val="007C397F"/>
    <w:rsid w:val="007C49F2"/>
    <w:rsid w:val="007C5106"/>
    <w:rsid w:val="007C5B13"/>
    <w:rsid w:val="007C7128"/>
    <w:rsid w:val="007D3DB3"/>
    <w:rsid w:val="007D42FD"/>
    <w:rsid w:val="007E1887"/>
    <w:rsid w:val="007E37BB"/>
    <w:rsid w:val="007F2473"/>
    <w:rsid w:val="007F2CD8"/>
    <w:rsid w:val="00802CB7"/>
    <w:rsid w:val="00803E28"/>
    <w:rsid w:val="0081776B"/>
    <w:rsid w:val="008245CC"/>
    <w:rsid w:val="008672FF"/>
    <w:rsid w:val="00872C7D"/>
    <w:rsid w:val="008913D4"/>
    <w:rsid w:val="00895009"/>
    <w:rsid w:val="00896220"/>
    <w:rsid w:val="008A0517"/>
    <w:rsid w:val="008A0CA9"/>
    <w:rsid w:val="008A41B5"/>
    <w:rsid w:val="008A76BD"/>
    <w:rsid w:val="008B14B9"/>
    <w:rsid w:val="008B2A7A"/>
    <w:rsid w:val="008B2C05"/>
    <w:rsid w:val="008B72E4"/>
    <w:rsid w:val="008C1D3E"/>
    <w:rsid w:val="008C5BFD"/>
    <w:rsid w:val="008D2B7C"/>
    <w:rsid w:val="008E2DCA"/>
    <w:rsid w:val="008E34C1"/>
    <w:rsid w:val="009126C3"/>
    <w:rsid w:val="00914270"/>
    <w:rsid w:val="009233CE"/>
    <w:rsid w:val="00932DD0"/>
    <w:rsid w:val="009347D4"/>
    <w:rsid w:val="00935BA9"/>
    <w:rsid w:val="00940FB0"/>
    <w:rsid w:val="00950A40"/>
    <w:rsid w:val="00950FD7"/>
    <w:rsid w:val="009544D0"/>
    <w:rsid w:val="00967CBF"/>
    <w:rsid w:val="00972885"/>
    <w:rsid w:val="00973A4D"/>
    <w:rsid w:val="0098325E"/>
    <w:rsid w:val="009923A9"/>
    <w:rsid w:val="00995270"/>
    <w:rsid w:val="0099684A"/>
    <w:rsid w:val="009A1942"/>
    <w:rsid w:val="009C1436"/>
    <w:rsid w:val="009C2214"/>
    <w:rsid w:val="009C5B3E"/>
    <w:rsid w:val="009D5AF7"/>
    <w:rsid w:val="009D5B97"/>
    <w:rsid w:val="009E0D9B"/>
    <w:rsid w:val="009E2F8D"/>
    <w:rsid w:val="00A049D1"/>
    <w:rsid w:val="00A05866"/>
    <w:rsid w:val="00A151BD"/>
    <w:rsid w:val="00A308D2"/>
    <w:rsid w:val="00A310C0"/>
    <w:rsid w:val="00A36A32"/>
    <w:rsid w:val="00A50EC3"/>
    <w:rsid w:val="00A57F04"/>
    <w:rsid w:val="00A75ADC"/>
    <w:rsid w:val="00AA1C30"/>
    <w:rsid w:val="00AB5C7A"/>
    <w:rsid w:val="00AC42F7"/>
    <w:rsid w:val="00AC7D57"/>
    <w:rsid w:val="00AD2973"/>
    <w:rsid w:val="00AD461C"/>
    <w:rsid w:val="00AD676B"/>
    <w:rsid w:val="00AE7CAB"/>
    <w:rsid w:val="00AF0CE6"/>
    <w:rsid w:val="00B001FA"/>
    <w:rsid w:val="00B11FF8"/>
    <w:rsid w:val="00B12CCF"/>
    <w:rsid w:val="00B133FF"/>
    <w:rsid w:val="00B1389D"/>
    <w:rsid w:val="00B15C24"/>
    <w:rsid w:val="00B26670"/>
    <w:rsid w:val="00B359E1"/>
    <w:rsid w:val="00B40DCC"/>
    <w:rsid w:val="00B458A5"/>
    <w:rsid w:val="00B45D32"/>
    <w:rsid w:val="00B56AE1"/>
    <w:rsid w:val="00B60F27"/>
    <w:rsid w:val="00B65A1F"/>
    <w:rsid w:val="00B72702"/>
    <w:rsid w:val="00B75053"/>
    <w:rsid w:val="00B80634"/>
    <w:rsid w:val="00B95C37"/>
    <w:rsid w:val="00BA4FB5"/>
    <w:rsid w:val="00BA7F30"/>
    <w:rsid w:val="00BC10F5"/>
    <w:rsid w:val="00BC21AF"/>
    <w:rsid w:val="00BC2380"/>
    <w:rsid w:val="00BD47DD"/>
    <w:rsid w:val="00BD680D"/>
    <w:rsid w:val="00BE12E7"/>
    <w:rsid w:val="00BE4164"/>
    <w:rsid w:val="00C05303"/>
    <w:rsid w:val="00C10D19"/>
    <w:rsid w:val="00C21B81"/>
    <w:rsid w:val="00C3599D"/>
    <w:rsid w:val="00C47768"/>
    <w:rsid w:val="00C53F84"/>
    <w:rsid w:val="00C563F0"/>
    <w:rsid w:val="00C6384F"/>
    <w:rsid w:val="00C651C6"/>
    <w:rsid w:val="00C66D51"/>
    <w:rsid w:val="00C77298"/>
    <w:rsid w:val="00C828E5"/>
    <w:rsid w:val="00C83B48"/>
    <w:rsid w:val="00C869A2"/>
    <w:rsid w:val="00C877A3"/>
    <w:rsid w:val="00C911E4"/>
    <w:rsid w:val="00CA3C09"/>
    <w:rsid w:val="00CA74FD"/>
    <w:rsid w:val="00CB370B"/>
    <w:rsid w:val="00CB63B3"/>
    <w:rsid w:val="00CC3C09"/>
    <w:rsid w:val="00CC5EC2"/>
    <w:rsid w:val="00CC6599"/>
    <w:rsid w:val="00CD600D"/>
    <w:rsid w:val="00CE521F"/>
    <w:rsid w:val="00CF38BD"/>
    <w:rsid w:val="00D00D3B"/>
    <w:rsid w:val="00D144C3"/>
    <w:rsid w:val="00D157F4"/>
    <w:rsid w:val="00D215E1"/>
    <w:rsid w:val="00D24081"/>
    <w:rsid w:val="00D255B4"/>
    <w:rsid w:val="00D42C9D"/>
    <w:rsid w:val="00D43D1F"/>
    <w:rsid w:val="00D47DF3"/>
    <w:rsid w:val="00D663B5"/>
    <w:rsid w:val="00D72FCC"/>
    <w:rsid w:val="00D76E49"/>
    <w:rsid w:val="00D80F52"/>
    <w:rsid w:val="00D9296C"/>
    <w:rsid w:val="00DA7B00"/>
    <w:rsid w:val="00DB413C"/>
    <w:rsid w:val="00DB5720"/>
    <w:rsid w:val="00DC1600"/>
    <w:rsid w:val="00DD3454"/>
    <w:rsid w:val="00DD5CAF"/>
    <w:rsid w:val="00DD7191"/>
    <w:rsid w:val="00DE5E75"/>
    <w:rsid w:val="00DF0295"/>
    <w:rsid w:val="00DF0FDB"/>
    <w:rsid w:val="00E02F5D"/>
    <w:rsid w:val="00E058B8"/>
    <w:rsid w:val="00E07D93"/>
    <w:rsid w:val="00E13935"/>
    <w:rsid w:val="00E140A6"/>
    <w:rsid w:val="00E372C1"/>
    <w:rsid w:val="00E46C4B"/>
    <w:rsid w:val="00E47285"/>
    <w:rsid w:val="00E474D3"/>
    <w:rsid w:val="00E6057F"/>
    <w:rsid w:val="00E61438"/>
    <w:rsid w:val="00E67600"/>
    <w:rsid w:val="00E7082C"/>
    <w:rsid w:val="00E71563"/>
    <w:rsid w:val="00E74369"/>
    <w:rsid w:val="00E81C16"/>
    <w:rsid w:val="00E900DD"/>
    <w:rsid w:val="00EA3BEB"/>
    <w:rsid w:val="00EA5E18"/>
    <w:rsid w:val="00EB3E31"/>
    <w:rsid w:val="00EC0B18"/>
    <w:rsid w:val="00EC5C65"/>
    <w:rsid w:val="00EC75A1"/>
    <w:rsid w:val="00ED21CB"/>
    <w:rsid w:val="00EE3042"/>
    <w:rsid w:val="00EE543F"/>
    <w:rsid w:val="00EE6932"/>
    <w:rsid w:val="00EF4158"/>
    <w:rsid w:val="00F00262"/>
    <w:rsid w:val="00F13CE2"/>
    <w:rsid w:val="00F16159"/>
    <w:rsid w:val="00F2234A"/>
    <w:rsid w:val="00F30224"/>
    <w:rsid w:val="00F36E31"/>
    <w:rsid w:val="00F45739"/>
    <w:rsid w:val="00F457AD"/>
    <w:rsid w:val="00F463FA"/>
    <w:rsid w:val="00F475E3"/>
    <w:rsid w:val="00F57EDB"/>
    <w:rsid w:val="00F65FA3"/>
    <w:rsid w:val="00F72368"/>
    <w:rsid w:val="00F8197D"/>
    <w:rsid w:val="00F85A06"/>
    <w:rsid w:val="00F906A9"/>
    <w:rsid w:val="00F92B55"/>
    <w:rsid w:val="00F9357B"/>
    <w:rsid w:val="00F976AA"/>
    <w:rsid w:val="00FA5FF3"/>
    <w:rsid w:val="00FA66DC"/>
    <w:rsid w:val="00FA6C2D"/>
    <w:rsid w:val="00FA790D"/>
    <w:rsid w:val="00FB5EAC"/>
    <w:rsid w:val="00FC0A00"/>
    <w:rsid w:val="00FC4D4A"/>
    <w:rsid w:val="00FC6C86"/>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71E7"/>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0986-90AA-4567-9B67-51A2DAE5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Lazarus Rakgwale</cp:lastModifiedBy>
  <cp:revision>2</cp:revision>
  <dcterms:created xsi:type="dcterms:W3CDTF">2022-09-20T08:47:00Z</dcterms:created>
  <dcterms:modified xsi:type="dcterms:W3CDTF">2022-09-20T08:47:00Z</dcterms:modified>
</cp:coreProperties>
</file>