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83761" w14:textId="77777777" w:rsidR="00997AB9" w:rsidRPr="006B28B0" w:rsidRDefault="00997AB9" w:rsidP="00997AB9">
      <w:pPr>
        <w:autoSpaceDN w:val="0"/>
        <w:spacing w:after="0" w:line="240" w:lineRule="auto"/>
        <w:ind w:left="720" w:firstLine="720"/>
        <w:jc w:val="center"/>
        <w:rPr>
          <w:rFonts w:ascii="Arial" w:eastAsiaTheme="minorEastAsia" w:hAnsi="Arial" w:cs="Arial"/>
          <w:sz w:val="24"/>
          <w:szCs w:val="24"/>
          <w:lang w:val="af-ZA"/>
        </w:rPr>
      </w:pPr>
      <w:bookmarkStart w:id="0" w:name="_GoBack"/>
      <w:bookmarkEnd w:id="0"/>
      <w:r w:rsidRPr="006B28B0">
        <w:rPr>
          <w:rFonts w:ascii="Arial" w:eastAsiaTheme="minorEastAsia" w:hAnsi="Arial" w:cs="Arial"/>
          <w:sz w:val="24"/>
          <w:szCs w:val="24"/>
          <w:lang w:val="af-ZA"/>
        </w:rPr>
        <w:t>REPUBLIC OF SOUTH AFRICA</w:t>
      </w:r>
    </w:p>
    <w:p w14:paraId="32E1529D" w14:textId="77777777" w:rsidR="00997AB9" w:rsidRPr="006B28B0" w:rsidRDefault="00997AB9" w:rsidP="00997AB9">
      <w:pPr>
        <w:autoSpaceDN w:val="0"/>
        <w:spacing w:after="0" w:line="240" w:lineRule="auto"/>
        <w:ind w:left="1440"/>
        <w:jc w:val="center"/>
        <w:rPr>
          <w:rFonts w:ascii="Arial" w:hAnsi="Arial" w:cs="Arial"/>
          <w:noProof/>
          <w:sz w:val="24"/>
          <w:szCs w:val="24"/>
          <w:lang w:eastAsia="en-ZA"/>
        </w:rPr>
      </w:pPr>
    </w:p>
    <w:p w14:paraId="092B2ABA" w14:textId="77777777" w:rsidR="00997AB9" w:rsidRPr="006B28B0" w:rsidRDefault="00997AB9" w:rsidP="00997AB9">
      <w:pPr>
        <w:autoSpaceDN w:val="0"/>
        <w:spacing w:after="0" w:line="240" w:lineRule="auto"/>
        <w:ind w:left="1440"/>
        <w:jc w:val="center"/>
        <w:rPr>
          <w:rFonts w:ascii="Arial" w:hAnsi="Arial" w:cs="Arial"/>
          <w:sz w:val="24"/>
          <w:szCs w:val="24"/>
          <w:lang w:val="en-US"/>
        </w:rPr>
      </w:pPr>
      <w:r w:rsidRPr="006B28B0">
        <w:rPr>
          <w:rFonts w:ascii="Arial" w:hAnsi="Arial" w:cs="Arial"/>
          <w:noProof/>
          <w:sz w:val="24"/>
          <w:szCs w:val="24"/>
          <w:lang w:eastAsia="en-ZA"/>
        </w:rPr>
        <w:drawing>
          <wp:inline distT="0" distB="0" distL="0" distR="0" wp14:anchorId="46DB43A4" wp14:editId="64BEB581">
            <wp:extent cx="1212850" cy="1060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060450"/>
                    </a:xfrm>
                    <a:prstGeom prst="rect">
                      <a:avLst/>
                    </a:prstGeom>
                    <a:noFill/>
                    <a:ln>
                      <a:noFill/>
                    </a:ln>
                  </pic:spPr>
                </pic:pic>
              </a:graphicData>
            </a:graphic>
          </wp:inline>
        </w:drawing>
      </w:r>
    </w:p>
    <w:p w14:paraId="5812E54E" w14:textId="77777777" w:rsidR="00997AB9" w:rsidRPr="006B28B0" w:rsidRDefault="00997AB9" w:rsidP="00997AB9">
      <w:pPr>
        <w:autoSpaceDN w:val="0"/>
        <w:spacing w:after="0" w:line="240" w:lineRule="auto"/>
        <w:ind w:left="1440"/>
        <w:jc w:val="center"/>
        <w:rPr>
          <w:rFonts w:ascii="Arial" w:hAnsi="Arial" w:cs="Arial"/>
          <w:sz w:val="24"/>
          <w:szCs w:val="24"/>
          <w:lang w:val="en-US"/>
        </w:rPr>
      </w:pPr>
      <w:r w:rsidRPr="006B28B0">
        <w:rPr>
          <w:rFonts w:ascii="Arial" w:hAnsi="Arial" w:cs="Arial"/>
          <w:sz w:val="24"/>
          <w:szCs w:val="24"/>
          <w:lang w:val="en-US"/>
        </w:rPr>
        <w:t>IN THE HIGH COURT OF SOUTH AFRICA</w:t>
      </w:r>
    </w:p>
    <w:p w14:paraId="67F3C2F7" w14:textId="77777777" w:rsidR="00997AB9" w:rsidRPr="006B28B0" w:rsidRDefault="00997AB9" w:rsidP="00997AB9">
      <w:pPr>
        <w:tabs>
          <w:tab w:val="left" w:pos="6526"/>
        </w:tabs>
        <w:spacing w:line="240" w:lineRule="auto"/>
        <w:ind w:left="1134"/>
        <w:jc w:val="center"/>
        <w:rPr>
          <w:rFonts w:ascii="Arial" w:eastAsia="Calibri" w:hAnsi="Arial" w:cs="Arial"/>
          <w:sz w:val="24"/>
          <w:szCs w:val="24"/>
          <w:lang w:val="en-US"/>
        </w:rPr>
      </w:pPr>
      <w:r w:rsidRPr="006B28B0">
        <w:rPr>
          <w:rFonts w:ascii="Arial" w:hAnsi="Arial" w:cs="Arial"/>
          <w:sz w:val="24"/>
          <w:szCs w:val="24"/>
          <w:lang w:val="en-US"/>
        </w:rPr>
        <w:t xml:space="preserve">   (</w:t>
      </w:r>
      <w:r>
        <w:rPr>
          <w:rFonts w:ascii="Arial" w:hAnsi="Arial" w:cs="Arial"/>
          <w:sz w:val="24"/>
          <w:szCs w:val="24"/>
          <w:lang w:val="en-US"/>
        </w:rPr>
        <w:t>GAUTENG DIVISION</w:t>
      </w:r>
      <w:r w:rsidRPr="006B28B0">
        <w:rPr>
          <w:rFonts w:ascii="Arial" w:hAnsi="Arial" w:cs="Arial"/>
          <w:sz w:val="24"/>
          <w:szCs w:val="24"/>
          <w:lang w:val="en-US"/>
        </w:rPr>
        <w:t xml:space="preserve">, </w:t>
      </w:r>
      <w:r>
        <w:rPr>
          <w:rFonts w:ascii="Arial" w:hAnsi="Arial" w:cs="Arial"/>
          <w:sz w:val="24"/>
          <w:szCs w:val="24"/>
          <w:lang w:val="en-US"/>
        </w:rPr>
        <w:t>JOHANNESBURG</w:t>
      </w:r>
      <w:r w:rsidRPr="006B28B0">
        <w:rPr>
          <w:rFonts w:ascii="Arial" w:hAnsi="Arial" w:cs="Arial"/>
          <w:sz w:val="24"/>
          <w:szCs w:val="24"/>
          <w:lang w:val="en-US"/>
        </w:rPr>
        <w:t>)</w:t>
      </w:r>
      <w:r w:rsidRPr="006B28B0">
        <w:rPr>
          <w:rFonts w:ascii="Arial" w:eastAsia="Calibri" w:hAnsi="Arial" w:cs="Arial"/>
          <w:sz w:val="24"/>
          <w:szCs w:val="24"/>
          <w:lang w:val="en-US"/>
        </w:rPr>
        <w:t xml:space="preserve">                                                                                 </w:t>
      </w:r>
      <w:r w:rsidRPr="006B28B0">
        <w:rPr>
          <w:rFonts w:ascii="Arial" w:eastAsia="Calibri" w:hAnsi="Arial" w:cs="Arial"/>
          <w:sz w:val="24"/>
          <w:szCs w:val="24"/>
          <w:lang w:val="en-US"/>
        </w:rPr>
        <w:br/>
        <w:t xml:space="preserve">                                                          </w:t>
      </w:r>
    </w:p>
    <w:p w14:paraId="0D8B7193" w14:textId="4841739E" w:rsidR="00997AB9" w:rsidRPr="006B28B0" w:rsidRDefault="00997AB9" w:rsidP="00997AB9">
      <w:pPr>
        <w:tabs>
          <w:tab w:val="left" w:pos="6526"/>
        </w:tabs>
        <w:ind w:left="1134"/>
        <w:jc w:val="right"/>
        <w:rPr>
          <w:rFonts w:ascii="Arial" w:hAnsi="Arial" w:cs="Arial"/>
          <w:b/>
          <w:spacing w:val="3"/>
          <w:w w:val="104"/>
          <w:kern w:val="2"/>
          <w:sz w:val="24"/>
          <w:szCs w:val="24"/>
        </w:rPr>
      </w:pPr>
      <w:r w:rsidRPr="006B28B0">
        <w:rPr>
          <w:rFonts w:ascii="Arial" w:eastAsia="Calibri" w:hAnsi="Arial" w:cs="Arial"/>
          <w:b/>
          <w:sz w:val="24"/>
          <w:szCs w:val="24"/>
          <w:lang w:val="en-US"/>
        </w:rPr>
        <w:t xml:space="preserve">Case No: </w:t>
      </w:r>
      <w:r w:rsidR="0075354B">
        <w:rPr>
          <w:rFonts w:ascii="Arial" w:hAnsi="Arial" w:cs="Arial"/>
          <w:b/>
          <w:bCs/>
          <w:sz w:val="24"/>
          <w:szCs w:val="24"/>
          <w:lang w:val="en-US"/>
        </w:rPr>
        <w:t>30236</w:t>
      </w:r>
      <w:r w:rsidR="00122DFC">
        <w:rPr>
          <w:rFonts w:ascii="Arial" w:hAnsi="Arial" w:cs="Arial"/>
          <w:b/>
          <w:bCs/>
          <w:sz w:val="24"/>
          <w:szCs w:val="24"/>
          <w:lang w:val="en-US"/>
        </w:rPr>
        <w:t>/2021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tblGrid>
      <w:tr w:rsidR="00997AB9" w:rsidRPr="006B28B0" w14:paraId="425050D9" w14:textId="77777777" w:rsidTr="00734543">
        <w:trPr>
          <w:trHeight w:val="1675"/>
        </w:trPr>
        <w:tc>
          <w:tcPr>
            <w:tcW w:w="4451" w:type="dxa"/>
            <w:tcBorders>
              <w:top w:val="single" w:sz="4" w:space="0" w:color="auto"/>
              <w:left w:val="single" w:sz="4" w:space="0" w:color="auto"/>
              <w:bottom w:val="single" w:sz="4" w:space="0" w:color="auto"/>
              <w:right w:val="single" w:sz="4" w:space="0" w:color="auto"/>
            </w:tcBorders>
            <w:hideMark/>
          </w:tcPr>
          <w:p w14:paraId="3990C0D6" w14:textId="77777777" w:rsidR="00997AB9" w:rsidRPr="006B28B0" w:rsidRDefault="00997AB9" w:rsidP="00734543">
            <w:pPr>
              <w:spacing w:after="0" w:line="240" w:lineRule="auto"/>
              <w:jc w:val="center"/>
              <w:rPr>
                <w:rFonts w:ascii="Arial" w:eastAsia="Calibri" w:hAnsi="Arial" w:cs="Arial"/>
                <w:b/>
                <w:noProof/>
                <w:sz w:val="16"/>
                <w:szCs w:val="16"/>
                <w:lang w:val="en-GB"/>
              </w:rPr>
            </w:pPr>
          </w:p>
          <w:p w14:paraId="0142A092"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DELETE WHICHEVER IS NOT APPLICABLE</w:t>
            </w:r>
          </w:p>
          <w:p w14:paraId="7416B7CF"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(1) REPORTABLE:  YES / NO.</w:t>
            </w:r>
          </w:p>
          <w:p w14:paraId="269677F0"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(2) OF INTEREST TO OTHER JUDGES:  YES / NO.</w:t>
            </w:r>
          </w:p>
          <w:p w14:paraId="7583FB3D"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(3) REVISED.</w:t>
            </w:r>
          </w:p>
          <w:p w14:paraId="634A572F" w14:textId="77777777" w:rsidR="00997AB9" w:rsidRPr="006B28B0" w:rsidRDefault="00997AB9" w:rsidP="00734543">
            <w:pPr>
              <w:spacing w:after="0" w:line="240" w:lineRule="auto"/>
              <w:jc w:val="center"/>
              <w:rPr>
                <w:rFonts w:ascii="Arial" w:eastAsia="Calibri" w:hAnsi="Arial" w:cs="Arial"/>
                <w:b/>
                <w:noProof/>
                <w:sz w:val="16"/>
                <w:szCs w:val="16"/>
                <w:u w:val="single"/>
                <w:lang w:val="en-GB"/>
              </w:rPr>
            </w:pPr>
          </w:p>
          <w:p w14:paraId="35FF8203"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u w:val="single"/>
                <w:lang w:val="en-GB"/>
              </w:rPr>
              <w:t>DATE:</w:t>
            </w:r>
          </w:p>
          <w:p w14:paraId="262B820F" w14:textId="77777777" w:rsidR="00997AB9" w:rsidRPr="006B28B0" w:rsidRDefault="00997AB9" w:rsidP="00734543">
            <w:pPr>
              <w:spacing w:after="0" w:line="240" w:lineRule="auto"/>
              <w:jc w:val="center"/>
              <w:rPr>
                <w:rFonts w:ascii="Arial" w:eastAsia="Calibri" w:hAnsi="Arial" w:cs="Arial"/>
                <w:b/>
                <w:noProof/>
                <w:sz w:val="16"/>
                <w:szCs w:val="16"/>
                <w:u w:val="single"/>
                <w:lang w:val="en-GB"/>
              </w:rPr>
            </w:pPr>
          </w:p>
          <w:p w14:paraId="6E295289" w14:textId="77777777" w:rsidR="00997AB9" w:rsidRPr="006B28B0" w:rsidRDefault="00997AB9" w:rsidP="00734543">
            <w:pPr>
              <w:spacing w:after="0" w:line="240" w:lineRule="auto"/>
              <w:rPr>
                <w:rFonts w:ascii="Arial" w:eastAsia="Calibri" w:hAnsi="Arial" w:cs="Arial"/>
                <w:b/>
                <w:noProof/>
                <w:sz w:val="24"/>
                <w:szCs w:val="24"/>
                <w:u w:val="single"/>
                <w:lang w:val="en-GB"/>
              </w:rPr>
            </w:pPr>
            <w:r w:rsidRPr="006B28B0">
              <w:rPr>
                <w:rFonts w:ascii="Arial" w:eastAsia="Calibri" w:hAnsi="Arial" w:cs="Arial"/>
                <w:b/>
                <w:noProof/>
                <w:sz w:val="16"/>
                <w:szCs w:val="16"/>
                <w:u w:val="single"/>
                <w:lang w:val="en-GB"/>
              </w:rPr>
              <w:t>SIGNATURE:</w:t>
            </w:r>
            <w:r w:rsidRPr="006B28B0">
              <w:rPr>
                <w:rFonts w:ascii="Arial" w:eastAsia="Calibri" w:hAnsi="Arial" w:cs="Arial"/>
                <w:b/>
                <w:noProof/>
                <w:sz w:val="16"/>
                <w:szCs w:val="16"/>
                <w:u w:val="single"/>
                <w:lang w:val="en-GB"/>
              </w:rPr>
              <w:br/>
            </w:r>
          </w:p>
        </w:tc>
      </w:tr>
    </w:tbl>
    <w:p w14:paraId="1E3A7112" w14:textId="77777777" w:rsidR="00997AB9" w:rsidRPr="00B71F31" w:rsidRDefault="00997AB9" w:rsidP="00997AB9">
      <w:pPr>
        <w:rPr>
          <w:rFonts w:ascii="Arial" w:hAnsi="Arial" w:cs="Arial"/>
          <w:sz w:val="24"/>
          <w:szCs w:val="24"/>
          <w:lang w:val="en-US"/>
        </w:rPr>
      </w:pPr>
      <w:r w:rsidRPr="00B71F31">
        <w:rPr>
          <w:rFonts w:ascii="Arial" w:hAnsi="Arial" w:cs="Arial"/>
          <w:sz w:val="24"/>
          <w:szCs w:val="24"/>
          <w:lang w:val="en-US"/>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7"/>
      </w:tblGrid>
      <w:tr w:rsidR="00997AB9" w:rsidRPr="00B71F31" w14:paraId="4515CB73" w14:textId="77777777" w:rsidTr="00734543">
        <w:tc>
          <w:tcPr>
            <w:tcW w:w="5382" w:type="dxa"/>
          </w:tcPr>
          <w:p w14:paraId="43108A05" w14:textId="093C848A" w:rsidR="00997AB9" w:rsidRPr="00B71F31" w:rsidRDefault="00C62EEC" w:rsidP="00734543">
            <w:pPr>
              <w:rPr>
                <w:rFonts w:ascii="Arial" w:hAnsi="Arial" w:cs="Arial"/>
                <w:b/>
                <w:bCs/>
                <w:sz w:val="24"/>
                <w:szCs w:val="24"/>
                <w:lang w:val="en-US"/>
              </w:rPr>
            </w:pPr>
            <w:r>
              <w:rPr>
                <w:rFonts w:ascii="Arial" w:hAnsi="Arial" w:cs="Arial"/>
                <w:b/>
                <w:bCs/>
                <w:sz w:val="24"/>
                <w:szCs w:val="24"/>
                <w:lang w:val="en-US"/>
              </w:rPr>
              <w:t>SOUTH AFRICAN MUNICIPAL WORKERS UNION</w:t>
            </w:r>
            <w:r w:rsidR="00122DFC">
              <w:rPr>
                <w:rFonts w:ascii="Arial" w:hAnsi="Arial" w:cs="Arial"/>
                <w:b/>
                <w:bCs/>
                <w:sz w:val="24"/>
                <w:szCs w:val="24"/>
                <w:lang w:val="en-US"/>
              </w:rPr>
              <w:t xml:space="preserve"> </w:t>
            </w:r>
          </w:p>
        </w:tc>
        <w:tc>
          <w:tcPr>
            <w:tcW w:w="4247" w:type="dxa"/>
          </w:tcPr>
          <w:p w14:paraId="6C8BAA6B" w14:textId="77777777" w:rsidR="00997AB9" w:rsidRPr="00B71F31" w:rsidRDefault="00997AB9" w:rsidP="00734543">
            <w:pPr>
              <w:jc w:val="right"/>
              <w:rPr>
                <w:rFonts w:ascii="Arial" w:hAnsi="Arial" w:cs="Arial"/>
                <w:sz w:val="24"/>
                <w:szCs w:val="24"/>
                <w:lang w:val="en-US"/>
              </w:rPr>
            </w:pPr>
            <w:r>
              <w:rPr>
                <w:rFonts w:ascii="Arial" w:hAnsi="Arial" w:cs="Arial"/>
                <w:sz w:val="24"/>
                <w:szCs w:val="24"/>
                <w:lang w:val="en-US"/>
              </w:rPr>
              <w:t>Applicant</w:t>
            </w:r>
          </w:p>
        </w:tc>
      </w:tr>
      <w:tr w:rsidR="00997AB9" w:rsidRPr="00B71F31" w14:paraId="346B173F" w14:textId="77777777" w:rsidTr="00734543">
        <w:tc>
          <w:tcPr>
            <w:tcW w:w="9629" w:type="dxa"/>
            <w:gridSpan w:val="2"/>
          </w:tcPr>
          <w:p w14:paraId="702AC8ED" w14:textId="77777777" w:rsidR="00997AB9" w:rsidRPr="00B71F31" w:rsidRDefault="00997AB9" w:rsidP="00734543">
            <w:pPr>
              <w:jc w:val="left"/>
              <w:rPr>
                <w:rFonts w:ascii="Arial" w:hAnsi="Arial" w:cs="Arial"/>
                <w:sz w:val="24"/>
                <w:szCs w:val="24"/>
                <w:lang w:val="en-US"/>
              </w:rPr>
            </w:pPr>
            <w:r>
              <w:rPr>
                <w:rFonts w:ascii="Arial" w:hAnsi="Arial" w:cs="Arial"/>
                <w:sz w:val="24"/>
                <w:szCs w:val="24"/>
                <w:lang w:val="en-US"/>
              </w:rPr>
              <w:t>a</w:t>
            </w:r>
            <w:r w:rsidRPr="00B71F31">
              <w:rPr>
                <w:rFonts w:ascii="Arial" w:hAnsi="Arial" w:cs="Arial"/>
                <w:sz w:val="24"/>
                <w:szCs w:val="24"/>
                <w:lang w:val="en-US"/>
              </w:rPr>
              <w:t>nd</w:t>
            </w:r>
          </w:p>
        </w:tc>
      </w:tr>
      <w:tr w:rsidR="00997AB9" w:rsidRPr="00B71F31" w14:paraId="74210BE8" w14:textId="77777777" w:rsidTr="00734543">
        <w:tc>
          <w:tcPr>
            <w:tcW w:w="5382" w:type="dxa"/>
          </w:tcPr>
          <w:p w14:paraId="0B679C23" w14:textId="18965CA7" w:rsidR="00997AB9" w:rsidRPr="00B71F31" w:rsidRDefault="00DA40BB" w:rsidP="00734543">
            <w:pPr>
              <w:rPr>
                <w:rFonts w:ascii="Arial" w:hAnsi="Arial" w:cs="Arial"/>
                <w:b/>
                <w:bCs/>
                <w:sz w:val="24"/>
                <w:szCs w:val="24"/>
                <w:lang w:val="en-US"/>
              </w:rPr>
            </w:pPr>
            <w:r>
              <w:rPr>
                <w:rFonts w:ascii="Arial" w:hAnsi="Arial" w:cs="Arial"/>
                <w:b/>
                <w:bCs/>
                <w:sz w:val="24"/>
                <w:szCs w:val="24"/>
                <w:lang w:val="en-US"/>
              </w:rPr>
              <w:t>IMBEU DEVELOPMENT AND PROJECT MANAGEMENT (PTY) LTD</w:t>
            </w:r>
          </w:p>
        </w:tc>
        <w:tc>
          <w:tcPr>
            <w:tcW w:w="4247" w:type="dxa"/>
          </w:tcPr>
          <w:p w14:paraId="20DDB2CC" w14:textId="77777777" w:rsidR="00997AB9" w:rsidRPr="00B71F31" w:rsidRDefault="00997AB9" w:rsidP="00734543">
            <w:pPr>
              <w:jc w:val="right"/>
              <w:rPr>
                <w:rFonts w:ascii="Arial" w:hAnsi="Arial" w:cs="Arial"/>
                <w:sz w:val="24"/>
                <w:szCs w:val="24"/>
                <w:lang w:val="en-US"/>
              </w:rPr>
            </w:pPr>
            <w:r>
              <w:rPr>
                <w:rFonts w:ascii="Arial" w:hAnsi="Arial" w:cs="Arial"/>
                <w:sz w:val="24"/>
                <w:szCs w:val="24"/>
                <w:lang w:val="en-US"/>
              </w:rPr>
              <w:t>First Respondent</w:t>
            </w:r>
          </w:p>
        </w:tc>
      </w:tr>
      <w:tr w:rsidR="00997AB9" w:rsidRPr="00B71F31" w14:paraId="354F862D" w14:textId="77777777" w:rsidTr="00734543">
        <w:tc>
          <w:tcPr>
            <w:tcW w:w="5382" w:type="dxa"/>
          </w:tcPr>
          <w:p w14:paraId="32D2AE48" w14:textId="6C15509C" w:rsidR="00997AB9" w:rsidRDefault="00DA40BB" w:rsidP="00734543">
            <w:pPr>
              <w:rPr>
                <w:rFonts w:ascii="Arial" w:hAnsi="Arial" w:cs="Arial"/>
                <w:b/>
                <w:bCs/>
                <w:sz w:val="24"/>
                <w:szCs w:val="24"/>
                <w:lang w:val="en-US"/>
              </w:rPr>
            </w:pPr>
            <w:r>
              <w:rPr>
                <w:rFonts w:ascii="Arial" w:hAnsi="Arial" w:cs="Arial"/>
                <w:b/>
                <w:bCs/>
                <w:sz w:val="24"/>
                <w:szCs w:val="24"/>
                <w:lang w:val="en-US"/>
              </w:rPr>
              <w:t>ADV NASREEN RAJAB-BUDLENDER SC</w:t>
            </w:r>
          </w:p>
        </w:tc>
        <w:tc>
          <w:tcPr>
            <w:tcW w:w="4247" w:type="dxa"/>
          </w:tcPr>
          <w:p w14:paraId="5774C251" w14:textId="77777777" w:rsidR="00997AB9" w:rsidRDefault="00997AB9" w:rsidP="00734543">
            <w:pPr>
              <w:jc w:val="right"/>
              <w:rPr>
                <w:rFonts w:ascii="Arial" w:hAnsi="Arial" w:cs="Arial"/>
                <w:sz w:val="24"/>
                <w:szCs w:val="24"/>
                <w:lang w:val="en-US"/>
              </w:rPr>
            </w:pPr>
            <w:r>
              <w:rPr>
                <w:rFonts w:ascii="Arial" w:hAnsi="Arial" w:cs="Arial"/>
                <w:sz w:val="24"/>
                <w:szCs w:val="24"/>
                <w:lang w:val="en-US"/>
              </w:rPr>
              <w:t xml:space="preserve">Second Respondent </w:t>
            </w:r>
          </w:p>
        </w:tc>
      </w:tr>
    </w:tbl>
    <w:p w14:paraId="0FACA978" w14:textId="77777777" w:rsidR="007B387F" w:rsidRDefault="007B387F" w:rsidP="007B387F">
      <w:pPr>
        <w:pBdr>
          <w:top w:val="single" w:sz="12" w:space="1" w:color="auto"/>
          <w:bottom w:val="single" w:sz="12" w:space="1" w:color="auto"/>
        </w:pBdr>
        <w:spacing w:line="240" w:lineRule="auto"/>
        <w:rPr>
          <w:rFonts w:ascii="Arial" w:hAnsi="Arial" w:cs="Arial"/>
          <w:sz w:val="24"/>
          <w:szCs w:val="24"/>
          <w:lang w:val="en-US"/>
        </w:rPr>
      </w:pPr>
    </w:p>
    <w:p w14:paraId="6DEE2706" w14:textId="77777777" w:rsidR="007B387F" w:rsidRPr="00B71F31" w:rsidRDefault="007B387F" w:rsidP="007B387F">
      <w:pPr>
        <w:pBdr>
          <w:top w:val="single" w:sz="12" w:space="1" w:color="auto"/>
          <w:bottom w:val="single" w:sz="12" w:space="1" w:color="auto"/>
        </w:pBdr>
        <w:spacing w:line="240" w:lineRule="auto"/>
        <w:jc w:val="center"/>
        <w:rPr>
          <w:rFonts w:ascii="Arial" w:hAnsi="Arial" w:cs="Arial"/>
          <w:b/>
          <w:bCs/>
          <w:sz w:val="24"/>
          <w:szCs w:val="24"/>
          <w:lang w:val="en-US"/>
        </w:rPr>
      </w:pPr>
      <w:r w:rsidRPr="00B71F31">
        <w:rPr>
          <w:rFonts w:ascii="Arial" w:hAnsi="Arial" w:cs="Arial"/>
          <w:b/>
          <w:bCs/>
          <w:sz w:val="24"/>
          <w:szCs w:val="24"/>
          <w:lang w:val="en-US"/>
        </w:rPr>
        <w:t>JUDGMENT</w:t>
      </w:r>
    </w:p>
    <w:p w14:paraId="645C077D" w14:textId="77777777" w:rsidR="007B387F" w:rsidRDefault="007B387F" w:rsidP="007B387F">
      <w:pPr>
        <w:pBdr>
          <w:top w:val="single" w:sz="12" w:space="1" w:color="auto"/>
          <w:bottom w:val="single" w:sz="12" w:space="1" w:color="auto"/>
        </w:pBdr>
        <w:spacing w:line="240" w:lineRule="auto"/>
        <w:rPr>
          <w:rFonts w:ascii="Arial" w:hAnsi="Arial" w:cs="Arial"/>
          <w:sz w:val="24"/>
          <w:szCs w:val="24"/>
          <w:lang w:val="en-US"/>
        </w:rPr>
      </w:pPr>
    </w:p>
    <w:p w14:paraId="6E9AA595" w14:textId="77777777" w:rsidR="00876EBC" w:rsidRPr="001963C7" w:rsidRDefault="00876EBC" w:rsidP="00876EBC">
      <w:pPr>
        <w:rPr>
          <w:rFonts w:ascii="Arial" w:hAnsi="Arial" w:cs="Arial"/>
          <w:sz w:val="24"/>
          <w:szCs w:val="24"/>
          <w:lang w:val="en-US"/>
        </w:rPr>
      </w:pPr>
      <w:r w:rsidRPr="001963C7">
        <w:rPr>
          <w:rFonts w:ascii="Arial" w:hAnsi="Arial" w:cs="Arial"/>
          <w:sz w:val="24"/>
          <w:szCs w:val="24"/>
          <w:lang w:val="en-US"/>
        </w:rPr>
        <w:t>Todd AJ</w:t>
      </w:r>
    </w:p>
    <w:p w14:paraId="3DCF36F2" w14:textId="77777777" w:rsidR="00876EBC" w:rsidRPr="001963C7" w:rsidRDefault="00876EBC" w:rsidP="00876EBC">
      <w:pPr>
        <w:rPr>
          <w:rFonts w:ascii="Arial" w:hAnsi="Arial" w:cs="Arial"/>
          <w:b/>
          <w:bCs/>
          <w:sz w:val="24"/>
          <w:szCs w:val="24"/>
          <w:lang w:val="en-US"/>
        </w:rPr>
      </w:pPr>
      <w:r w:rsidRPr="001963C7">
        <w:rPr>
          <w:rFonts w:ascii="Arial" w:hAnsi="Arial" w:cs="Arial"/>
          <w:b/>
          <w:bCs/>
          <w:sz w:val="24"/>
          <w:szCs w:val="24"/>
          <w:lang w:val="en-US"/>
        </w:rPr>
        <w:t>Introduction</w:t>
      </w:r>
    </w:p>
    <w:p w14:paraId="517BB875" w14:textId="77777777"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t xml:space="preserve">This is an application to review and set aside an arbitration award issued by the second respondent dated 21 May 2021.  </w:t>
      </w:r>
    </w:p>
    <w:p w14:paraId="1260327B" w14:textId="77777777"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lastRenderedPageBreak/>
        <w:t>The applicant seeks to set aside the award in part, specifically that part of the award made in relation to claim A brought in the arbitration proceedings, and that part made in relation to the counter claim that had been brought by the applicant (as defendant in the arbitration proceedings).</w:t>
      </w:r>
    </w:p>
    <w:p w14:paraId="0F7D4139" w14:textId="77777777"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t>The application is brought under the provisions of section 33(1)(a) and (b) of the Arbitration Act 42 of 1965 (</w:t>
      </w:r>
      <w:r w:rsidRPr="001963C7">
        <w:rPr>
          <w:rFonts w:ascii="Arial" w:hAnsi="Arial" w:cs="Arial"/>
          <w:b/>
          <w:bCs/>
          <w:sz w:val="24"/>
          <w:szCs w:val="24"/>
          <w:lang w:val="en-US"/>
        </w:rPr>
        <w:t>the Act</w:t>
      </w:r>
      <w:r w:rsidRPr="001963C7">
        <w:rPr>
          <w:rFonts w:ascii="Arial" w:hAnsi="Arial" w:cs="Arial"/>
          <w:sz w:val="24"/>
          <w:szCs w:val="24"/>
          <w:lang w:val="en-US"/>
        </w:rPr>
        <w:t xml:space="preserve">).  </w:t>
      </w:r>
    </w:p>
    <w:p w14:paraId="533BE572" w14:textId="77777777"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t>The applicant also seeks ancillary relief, including the stay of an application brought by the first respondent separately to make the arbitration award an order of court, or to stay the enforcement of that award pending the determination of this application.</w:t>
      </w:r>
    </w:p>
    <w:p w14:paraId="3BDE3A07" w14:textId="77777777"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t xml:space="preserve">The first respondent opposes the application.  In essence it submits that none of the grounds of complaint brought by the applicant bring the matter within the ambit of section 33(1)(a) or (b) of the Act.  </w:t>
      </w:r>
    </w:p>
    <w:p w14:paraId="576502CC" w14:textId="77777777"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t>The main issue for determination, then, is whether the award stands to be reviewed applying the provisions of either section 33 (1)(a) or (b) of the Arbitration Act.</w:t>
      </w:r>
    </w:p>
    <w:p w14:paraId="5929274C" w14:textId="7A434138" w:rsidR="00876EBC" w:rsidRPr="001963C7" w:rsidRDefault="00876EBC" w:rsidP="00876EBC">
      <w:pPr>
        <w:pStyle w:val="BowLevel1ListAlt"/>
        <w:numPr>
          <w:ilvl w:val="0"/>
          <w:numId w:val="0"/>
        </w:numPr>
        <w:rPr>
          <w:rFonts w:ascii="Arial" w:hAnsi="Arial" w:cs="Arial"/>
          <w:b/>
          <w:bCs/>
          <w:sz w:val="24"/>
          <w:szCs w:val="24"/>
          <w:lang w:val="en-US"/>
        </w:rPr>
      </w:pPr>
      <w:r w:rsidRPr="001963C7">
        <w:rPr>
          <w:rFonts w:ascii="Arial" w:hAnsi="Arial" w:cs="Arial"/>
          <w:b/>
          <w:bCs/>
          <w:sz w:val="24"/>
          <w:szCs w:val="24"/>
          <w:lang w:val="en-US"/>
        </w:rPr>
        <w:t xml:space="preserve">Summary of </w:t>
      </w:r>
      <w:r w:rsidR="009716CD">
        <w:rPr>
          <w:rFonts w:ascii="Arial" w:hAnsi="Arial" w:cs="Arial"/>
          <w:b/>
          <w:bCs/>
          <w:sz w:val="24"/>
          <w:szCs w:val="24"/>
          <w:lang w:val="en-US"/>
        </w:rPr>
        <w:t>b</w:t>
      </w:r>
      <w:r w:rsidR="002750B8">
        <w:rPr>
          <w:rFonts w:ascii="Arial" w:hAnsi="Arial" w:cs="Arial"/>
          <w:b/>
          <w:bCs/>
          <w:sz w:val="24"/>
          <w:szCs w:val="24"/>
          <w:lang w:val="en-US"/>
        </w:rPr>
        <w:t>ackground</w:t>
      </w:r>
      <w:r w:rsidRPr="001963C7">
        <w:rPr>
          <w:rFonts w:ascii="Arial" w:hAnsi="Arial" w:cs="Arial"/>
          <w:b/>
          <w:bCs/>
          <w:sz w:val="24"/>
          <w:szCs w:val="24"/>
          <w:lang w:val="en-US"/>
        </w:rPr>
        <w:t xml:space="preserve"> facts</w:t>
      </w:r>
    </w:p>
    <w:p w14:paraId="3C99E4D3" w14:textId="0122D818" w:rsidR="00AD5DFE" w:rsidRPr="00C64ACD" w:rsidRDefault="00AD5DFE" w:rsidP="00AD5DFE">
      <w:pPr>
        <w:pStyle w:val="BowLevel1ListAlt"/>
        <w:rPr>
          <w:rFonts w:ascii="Arial" w:hAnsi="Arial" w:cs="Arial"/>
          <w:sz w:val="24"/>
          <w:szCs w:val="24"/>
          <w:lang w:val="en-US"/>
        </w:rPr>
      </w:pPr>
      <w:r w:rsidRPr="00C64ACD">
        <w:rPr>
          <w:rFonts w:ascii="Arial" w:hAnsi="Arial" w:cs="Arial"/>
          <w:sz w:val="24"/>
          <w:szCs w:val="24"/>
          <w:lang w:val="en-US"/>
        </w:rPr>
        <w:t xml:space="preserve">The underlying dispute has its origins in a </w:t>
      </w:r>
      <w:r w:rsidR="00215E83" w:rsidRPr="00C64ACD">
        <w:rPr>
          <w:rFonts w:ascii="Arial" w:hAnsi="Arial" w:cs="Arial"/>
          <w:sz w:val="24"/>
          <w:szCs w:val="24"/>
          <w:lang w:val="en-US"/>
        </w:rPr>
        <w:t>s</w:t>
      </w:r>
      <w:r w:rsidRPr="00C64ACD">
        <w:rPr>
          <w:rFonts w:ascii="Arial" w:hAnsi="Arial" w:cs="Arial"/>
          <w:sz w:val="24"/>
          <w:szCs w:val="24"/>
          <w:lang w:val="en-US"/>
        </w:rPr>
        <w:t xml:space="preserve">ervice </w:t>
      </w:r>
      <w:r w:rsidR="00215E83" w:rsidRPr="00C64ACD">
        <w:rPr>
          <w:rFonts w:ascii="Arial" w:hAnsi="Arial" w:cs="Arial"/>
          <w:sz w:val="24"/>
          <w:szCs w:val="24"/>
          <w:lang w:val="en-US"/>
        </w:rPr>
        <w:t>l</w:t>
      </w:r>
      <w:r w:rsidRPr="00C64ACD">
        <w:rPr>
          <w:rFonts w:ascii="Arial" w:hAnsi="Arial" w:cs="Arial"/>
          <w:sz w:val="24"/>
          <w:szCs w:val="24"/>
          <w:lang w:val="en-US"/>
        </w:rPr>
        <w:t xml:space="preserve">evel </w:t>
      </w:r>
      <w:r w:rsidR="00215E83" w:rsidRPr="00C64ACD">
        <w:rPr>
          <w:rFonts w:ascii="Arial" w:hAnsi="Arial" w:cs="Arial"/>
          <w:sz w:val="24"/>
          <w:szCs w:val="24"/>
          <w:lang w:val="en-US"/>
        </w:rPr>
        <w:t>a</w:t>
      </w:r>
      <w:r w:rsidRPr="00C64ACD">
        <w:rPr>
          <w:rFonts w:ascii="Arial" w:hAnsi="Arial" w:cs="Arial"/>
          <w:sz w:val="24"/>
          <w:szCs w:val="24"/>
          <w:lang w:val="en-US"/>
        </w:rPr>
        <w:t>greement</w:t>
      </w:r>
      <w:r w:rsidR="00C64ACD">
        <w:rPr>
          <w:rFonts w:ascii="Arial" w:hAnsi="Arial" w:cs="Arial"/>
          <w:sz w:val="24"/>
          <w:szCs w:val="24"/>
          <w:lang w:val="en-US"/>
        </w:rPr>
        <w:t xml:space="preserve"> </w:t>
      </w:r>
      <w:r w:rsidRPr="00C64ACD">
        <w:rPr>
          <w:rFonts w:ascii="Arial" w:hAnsi="Arial" w:cs="Arial"/>
          <w:sz w:val="24"/>
          <w:szCs w:val="24"/>
          <w:lang w:val="en-US"/>
        </w:rPr>
        <w:t xml:space="preserve">entered into between the </w:t>
      </w:r>
      <w:r w:rsidR="00E553D5" w:rsidRPr="00C64ACD">
        <w:rPr>
          <w:rFonts w:ascii="Arial" w:hAnsi="Arial" w:cs="Arial"/>
          <w:sz w:val="24"/>
          <w:szCs w:val="24"/>
          <w:lang w:val="en-US"/>
        </w:rPr>
        <w:t>f</w:t>
      </w:r>
      <w:r w:rsidRPr="00C64ACD">
        <w:rPr>
          <w:rFonts w:ascii="Arial" w:hAnsi="Arial" w:cs="Arial"/>
          <w:sz w:val="24"/>
          <w:szCs w:val="24"/>
          <w:lang w:val="en-US"/>
        </w:rPr>
        <w:t xml:space="preserve">irst </w:t>
      </w:r>
      <w:r w:rsidR="00E553D5" w:rsidRPr="00C64ACD">
        <w:rPr>
          <w:rFonts w:ascii="Arial" w:hAnsi="Arial" w:cs="Arial"/>
          <w:sz w:val="24"/>
          <w:szCs w:val="24"/>
          <w:lang w:val="en-US"/>
        </w:rPr>
        <w:t>r</w:t>
      </w:r>
      <w:r w:rsidRPr="00C64ACD">
        <w:rPr>
          <w:rFonts w:ascii="Arial" w:hAnsi="Arial" w:cs="Arial"/>
          <w:sz w:val="24"/>
          <w:szCs w:val="24"/>
          <w:lang w:val="en-US"/>
        </w:rPr>
        <w:t xml:space="preserve">espondent and the </w:t>
      </w:r>
      <w:r w:rsidR="00E553D5" w:rsidRPr="00C64ACD">
        <w:rPr>
          <w:rFonts w:ascii="Arial" w:hAnsi="Arial" w:cs="Arial"/>
          <w:sz w:val="24"/>
          <w:szCs w:val="24"/>
          <w:lang w:val="en-US"/>
        </w:rPr>
        <w:t>a</w:t>
      </w:r>
      <w:r w:rsidRPr="00C64ACD">
        <w:rPr>
          <w:rFonts w:ascii="Arial" w:hAnsi="Arial" w:cs="Arial"/>
          <w:sz w:val="24"/>
          <w:szCs w:val="24"/>
          <w:lang w:val="en-US"/>
        </w:rPr>
        <w:t>pplicant on 5 September 2018</w:t>
      </w:r>
      <w:r w:rsidR="00C64ACD">
        <w:rPr>
          <w:rFonts w:ascii="Arial" w:hAnsi="Arial" w:cs="Arial"/>
          <w:sz w:val="24"/>
          <w:szCs w:val="24"/>
          <w:lang w:val="en-US"/>
        </w:rPr>
        <w:t>.  The agreement was</w:t>
      </w:r>
      <w:r w:rsidRPr="00C64ACD">
        <w:rPr>
          <w:rFonts w:ascii="Arial" w:hAnsi="Arial" w:cs="Arial"/>
          <w:sz w:val="24"/>
          <w:szCs w:val="24"/>
          <w:lang w:val="en-US"/>
        </w:rPr>
        <w:t xml:space="preserve"> for the provision of project management services specifically for the purpose of formulating a “</w:t>
      </w:r>
      <w:r w:rsidR="00E553D5" w:rsidRPr="00C64ACD">
        <w:rPr>
          <w:rFonts w:ascii="Arial" w:hAnsi="Arial" w:cs="Arial"/>
          <w:sz w:val="24"/>
          <w:szCs w:val="24"/>
          <w:lang w:val="en-US"/>
        </w:rPr>
        <w:t>t</w:t>
      </w:r>
      <w:r w:rsidRPr="00C64ACD">
        <w:rPr>
          <w:rFonts w:ascii="Arial" w:hAnsi="Arial" w:cs="Arial"/>
          <w:sz w:val="24"/>
          <w:szCs w:val="24"/>
          <w:lang w:val="en-US"/>
        </w:rPr>
        <w:t xml:space="preserve">urnaround strategy” for the </w:t>
      </w:r>
      <w:r w:rsidR="00E553D5" w:rsidRPr="00C64ACD">
        <w:rPr>
          <w:rFonts w:ascii="Arial" w:hAnsi="Arial" w:cs="Arial"/>
          <w:sz w:val="24"/>
          <w:szCs w:val="24"/>
          <w:lang w:val="en-US"/>
        </w:rPr>
        <w:t>a</w:t>
      </w:r>
      <w:r w:rsidRPr="00C64ACD">
        <w:rPr>
          <w:rFonts w:ascii="Arial" w:hAnsi="Arial" w:cs="Arial"/>
          <w:sz w:val="24"/>
          <w:szCs w:val="24"/>
          <w:lang w:val="en-US"/>
        </w:rPr>
        <w:t xml:space="preserve">pplicant.  The </w:t>
      </w:r>
      <w:r w:rsidR="00E553D5" w:rsidRPr="00C64ACD">
        <w:rPr>
          <w:rFonts w:ascii="Arial" w:hAnsi="Arial" w:cs="Arial"/>
          <w:sz w:val="24"/>
          <w:szCs w:val="24"/>
          <w:lang w:val="en-US"/>
        </w:rPr>
        <w:t>t</w:t>
      </w:r>
      <w:r w:rsidRPr="00C64ACD">
        <w:rPr>
          <w:rFonts w:ascii="Arial" w:hAnsi="Arial" w:cs="Arial"/>
          <w:sz w:val="24"/>
          <w:szCs w:val="24"/>
          <w:lang w:val="en-US"/>
        </w:rPr>
        <w:t xml:space="preserve">urnaround project was initially envisaged </w:t>
      </w:r>
      <w:r w:rsidR="00D7012C" w:rsidRPr="00C64ACD">
        <w:rPr>
          <w:rFonts w:ascii="Arial" w:hAnsi="Arial" w:cs="Arial"/>
          <w:sz w:val="24"/>
          <w:szCs w:val="24"/>
          <w:lang w:val="en-US"/>
        </w:rPr>
        <w:t xml:space="preserve">to encompass six distinct </w:t>
      </w:r>
      <w:r w:rsidRPr="00C64ACD">
        <w:rPr>
          <w:rFonts w:ascii="Arial" w:hAnsi="Arial" w:cs="Arial"/>
          <w:sz w:val="24"/>
          <w:szCs w:val="24"/>
          <w:lang w:val="en-US"/>
        </w:rPr>
        <w:t xml:space="preserve">stages at a total projected cost of </w:t>
      </w:r>
      <w:r w:rsidR="00D7012C" w:rsidRPr="00C64ACD">
        <w:rPr>
          <w:rFonts w:ascii="Arial" w:hAnsi="Arial" w:cs="Arial"/>
          <w:sz w:val="24"/>
          <w:szCs w:val="24"/>
          <w:lang w:val="en-US"/>
        </w:rPr>
        <w:t xml:space="preserve">a little </w:t>
      </w:r>
      <w:r w:rsidRPr="00C64ACD">
        <w:rPr>
          <w:rFonts w:ascii="Arial" w:hAnsi="Arial" w:cs="Arial"/>
          <w:sz w:val="24"/>
          <w:szCs w:val="24"/>
          <w:lang w:val="en-US"/>
        </w:rPr>
        <w:t>over R9</w:t>
      </w:r>
      <w:r w:rsidR="00D7012C" w:rsidRPr="00C64ACD">
        <w:rPr>
          <w:rFonts w:ascii="Arial" w:hAnsi="Arial" w:cs="Arial"/>
          <w:sz w:val="24"/>
          <w:szCs w:val="24"/>
          <w:lang w:val="en-US"/>
        </w:rPr>
        <w:t xml:space="preserve"> million,</w:t>
      </w:r>
      <w:r w:rsidRPr="00C64ACD">
        <w:rPr>
          <w:rFonts w:ascii="Arial" w:hAnsi="Arial" w:cs="Arial"/>
          <w:sz w:val="24"/>
          <w:szCs w:val="24"/>
          <w:lang w:val="en-US"/>
        </w:rPr>
        <w:t xml:space="preserve"> excluding V</w:t>
      </w:r>
      <w:r w:rsidR="00D7012C" w:rsidRPr="00C64ACD">
        <w:rPr>
          <w:rFonts w:ascii="Arial" w:hAnsi="Arial" w:cs="Arial"/>
          <w:sz w:val="24"/>
          <w:szCs w:val="24"/>
          <w:lang w:val="en-US"/>
        </w:rPr>
        <w:t>AT</w:t>
      </w:r>
      <w:r w:rsidRPr="00C64ACD">
        <w:rPr>
          <w:rFonts w:ascii="Arial" w:hAnsi="Arial" w:cs="Arial"/>
          <w:sz w:val="24"/>
          <w:szCs w:val="24"/>
          <w:lang w:val="en-US"/>
        </w:rPr>
        <w:t xml:space="preserve">.  </w:t>
      </w:r>
    </w:p>
    <w:p w14:paraId="22FDFCBB" w14:textId="77777777" w:rsidR="0053406F" w:rsidRDefault="004A1190" w:rsidP="00AD5DFE">
      <w:pPr>
        <w:pStyle w:val="BowLevel1ListAlt"/>
        <w:rPr>
          <w:rFonts w:ascii="Arial" w:hAnsi="Arial" w:cs="Arial"/>
          <w:sz w:val="24"/>
          <w:szCs w:val="24"/>
          <w:lang w:val="en-US"/>
        </w:rPr>
      </w:pPr>
      <w:r w:rsidRPr="0053406F">
        <w:rPr>
          <w:rFonts w:ascii="Arial" w:hAnsi="Arial" w:cs="Arial"/>
          <w:sz w:val="24"/>
          <w:szCs w:val="24"/>
          <w:lang w:val="en-US"/>
        </w:rPr>
        <w:t xml:space="preserve">Shortly thereafter, on </w:t>
      </w:r>
      <w:r w:rsidR="00623C2D" w:rsidRPr="0053406F">
        <w:rPr>
          <w:rFonts w:ascii="Arial" w:hAnsi="Arial" w:cs="Arial"/>
          <w:sz w:val="24"/>
          <w:szCs w:val="24"/>
          <w:lang w:val="en-US"/>
        </w:rPr>
        <w:t xml:space="preserve">10 September 2018, </w:t>
      </w:r>
      <w:r w:rsidR="00A7257C" w:rsidRPr="0053406F">
        <w:rPr>
          <w:rFonts w:ascii="Arial" w:hAnsi="Arial" w:cs="Arial"/>
          <w:sz w:val="24"/>
          <w:szCs w:val="24"/>
          <w:lang w:val="en-US"/>
        </w:rPr>
        <w:t>t</w:t>
      </w:r>
      <w:r w:rsidR="00AD5DFE" w:rsidRPr="0053406F">
        <w:rPr>
          <w:rFonts w:ascii="Arial" w:hAnsi="Arial" w:cs="Arial"/>
          <w:sz w:val="24"/>
          <w:szCs w:val="24"/>
          <w:lang w:val="en-US"/>
        </w:rPr>
        <w:t xml:space="preserve">he </w:t>
      </w:r>
      <w:r w:rsidR="00D7012C" w:rsidRPr="0053406F">
        <w:rPr>
          <w:rFonts w:ascii="Arial" w:hAnsi="Arial" w:cs="Arial"/>
          <w:sz w:val="24"/>
          <w:szCs w:val="24"/>
          <w:lang w:val="en-US"/>
        </w:rPr>
        <w:t>f</w:t>
      </w:r>
      <w:r w:rsidR="00AD5DFE" w:rsidRPr="0053406F">
        <w:rPr>
          <w:rFonts w:ascii="Arial" w:hAnsi="Arial" w:cs="Arial"/>
          <w:sz w:val="24"/>
          <w:szCs w:val="24"/>
          <w:lang w:val="en-US"/>
        </w:rPr>
        <w:t xml:space="preserve">irst </w:t>
      </w:r>
      <w:r w:rsidR="00D7012C" w:rsidRPr="0053406F">
        <w:rPr>
          <w:rFonts w:ascii="Arial" w:hAnsi="Arial" w:cs="Arial"/>
          <w:sz w:val="24"/>
          <w:szCs w:val="24"/>
          <w:lang w:val="en-US"/>
        </w:rPr>
        <w:t>r</w:t>
      </w:r>
      <w:r w:rsidR="00AD5DFE" w:rsidRPr="0053406F">
        <w:rPr>
          <w:rFonts w:ascii="Arial" w:hAnsi="Arial" w:cs="Arial"/>
          <w:sz w:val="24"/>
          <w:szCs w:val="24"/>
          <w:lang w:val="en-US"/>
        </w:rPr>
        <w:t xml:space="preserve">espondent submitted an </w:t>
      </w:r>
      <w:r w:rsidR="00D7012C" w:rsidRPr="0053406F">
        <w:rPr>
          <w:rFonts w:ascii="Arial" w:hAnsi="Arial" w:cs="Arial"/>
          <w:sz w:val="24"/>
          <w:szCs w:val="24"/>
          <w:lang w:val="en-US"/>
        </w:rPr>
        <w:t xml:space="preserve">initial </w:t>
      </w:r>
      <w:r w:rsidR="00AD5DFE" w:rsidRPr="0053406F">
        <w:rPr>
          <w:rFonts w:ascii="Arial" w:hAnsi="Arial" w:cs="Arial"/>
          <w:sz w:val="24"/>
          <w:szCs w:val="24"/>
          <w:lang w:val="en-US"/>
        </w:rPr>
        <w:t xml:space="preserve">invoice </w:t>
      </w:r>
      <w:r w:rsidR="00A7257C" w:rsidRPr="0053406F">
        <w:rPr>
          <w:rFonts w:ascii="Arial" w:hAnsi="Arial" w:cs="Arial"/>
          <w:sz w:val="24"/>
          <w:szCs w:val="24"/>
          <w:lang w:val="en-US"/>
        </w:rPr>
        <w:t xml:space="preserve">in the amount of </w:t>
      </w:r>
      <w:r w:rsidR="00AD5DFE" w:rsidRPr="0053406F">
        <w:rPr>
          <w:rFonts w:ascii="Arial" w:hAnsi="Arial" w:cs="Arial"/>
          <w:sz w:val="24"/>
          <w:szCs w:val="24"/>
          <w:lang w:val="en-US"/>
        </w:rPr>
        <w:t>R1</w:t>
      </w:r>
      <w:r w:rsidR="00D7012C" w:rsidRPr="0053406F">
        <w:rPr>
          <w:rFonts w:ascii="Arial" w:hAnsi="Arial" w:cs="Arial"/>
          <w:sz w:val="24"/>
          <w:szCs w:val="24"/>
          <w:lang w:val="en-US"/>
        </w:rPr>
        <w:t>,</w:t>
      </w:r>
      <w:r w:rsidR="00AD5DFE" w:rsidRPr="0053406F">
        <w:rPr>
          <w:rFonts w:ascii="Arial" w:hAnsi="Arial" w:cs="Arial"/>
          <w:sz w:val="24"/>
          <w:szCs w:val="24"/>
          <w:lang w:val="en-US"/>
        </w:rPr>
        <w:t>050</w:t>
      </w:r>
      <w:r w:rsidR="00D7012C" w:rsidRPr="0053406F">
        <w:rPr>
          <w:rFonts w:ascii="Arial" w:hAnsi="Arial" w:cs="Arial"/>
          <w:sz w:val="24"/>
          <w:szCs w:val="24"/>
          <w:lang w:val="en-US"/>
        </w:rPr>
        <w:t>,</w:t>
      </w:r>
      <w:r w:rsidR="00AD5DFE" w:rsidRPr="0053406F">
        <w:rPr>
          <w:rFonts w:ascii="Arial" w:hAnsi="Arial" w:cs="Arial"/>
          <w:sz w:val="24"/>
          <w:szCs w:val="24"/>
          <w:lang w:val="en-US"/>
        </w:rPr>
        <w:t>410 in respect of stage one of the project</w:t>
      </w:r>
      <w:r w:rsidR="00D71C97" w:rsidRPr="0053406F">
        <w:rPr>
          <w:rFonts w:ascii="Arial" w:hAnsi="Arial" w:cs="Arial"/>
          <w:sz w:val="24"/>
          <w:szCs w:val="24"/>
          <w:lang w:val="en-US"/>
        </w:rPr>
        <w:t>.</w:t>
      </w:r>
      <w:r w:rsidR="0053406F">
        <w:rPr>
          <w:rFonts w:ascii="Arial" w:hAnsi="Arial" w:cs="Arial"/>
          <w:sz w:val="24"/>
          <w:szCs w:val="24"/>
          <w:lang w:val="en-US"/>
        </w:rPr>
        <w:t xml:space="preserve">  The </w:t>
      </w:r>
      <w:r w:rsidR="00D71C97" w:rsidRPr="0053406F">
        <w:rPr>
          <w:rFonts w:ascii="Arial" w:hAnsi="Arial" w:cs="Arial"/>
          <w:sz w:val="24"/>
          <w:szCs w:val="24"/>
          <w:lang w:val="en-US"/>
        </w:rPr>
        <w:t>a</w:t>
      </w:r>
      <w:r w:rsidR="00AD5DFE" w:rsidRPr="0053406F">
        <w:rPr>
          <w:rFonts w:ascii="Arial" w:hAnsi="Arial" w:cs="Arial"/>
          <w:sz w:val="24"/>
          <w:szCs w:val="24"/>
          <w:lang w:val="en-US"/>
        </w:rPr>
        <w:t xml:space="preserve">pplicant made </w:t>
      </w:r>
      <w:r w:rsidR="00933555" w:rsidRPr="0053406F">
        <w:rPr>
          <w:rFonts w:ascii="Arial" w:hAnsi="Arial" w:cs="Arial"/>
          <w:sz w:val="24"/>
          <w:szCs w:val="24"/>
          <w:lang w:val="en-US"/>
        </w:rPr>
        <w:t xml:space="preserve">an initial payment </w:t>
      </w:r>
      <w:r w:rsidR="00C64ACD" w:rsidRPr="0053406F">
        <w:rPr>
          <w:rFonts w:ascii="Arial" w:hAnsi="Arial" w:cs="Arial"/>
          <w:sz w:val="24"/>
          <w:szCs w:val="24"/>
          <w:lang w:val="en-US"/>
        </w:rPr>
        <w:t>against this invoice</w:t>
      </w:r>
      <w:r w:rsidR="0053406F">
        <w:rPr>
          <w:rFonts w:ascii="Arial" w:hAnsi="Arial" w:cs="Arial"/>
          <w:sz w:val="24"/>
          <w:szCs w:val="24"/>
          <w:lang w:val="en-US"/>
        </w:rPr>
        <w:t xml:space="preserve"> on 8 October 2018 </w:t>
      </w:r>
      <w:r w:rsidR="00933555" w:rsidRPr="0053406F">
        <w:rPr>
          <w:rFonts w:ascii="Arial" w:hAnsi="Arial" w:cs="Arial"/>
          <w:sz w:val="24"/>
          <w:szCs w:val="24"/>
          <w:lang w:val="en-US"/>
        </w:rPr>
        <w:t>in an amount of R250,000</w:t>
      </w:r>
      <w:r w:rsidR="001A1738" w:rsidRPr="0053406F">
        <w:rPr>
          <w:rFonts w:ascii="Arial" w:hAnsi="Arial" w:cs="Arial"/>
          <w:sz w:val="24"/>
          <w:szCs w:val="24"/>
          <w:lang w:val="en-US"/>
        </w:rPr>
        <w:t xml:space="preserve">.  </w:t>
      </w:r>
    </w:p>
    <w:p w14:paraId="1C73E01C" w14:textId="77777777" w:rsidR="00C11A3E" w:rsidRDefault="00E63F7A" w:rsidP="00AD5DFE">
      <w:pPr>
        <w:pStyle w:val="BowLevel1ListAlt"/>
        <w:rPr>
          <w:rFonts w:ascii="Arial" w:hAnsi="Arial" w:cs="Arial"/>
          <w:sz w:val="24"/>
          <w:szCs w:val="24"/>
          <w:lang w:val="en-US"/>
        </w:rPr>
      </w:pPr>
      <w:r>
        <w:rPr>
          <w:rFonts w:ascii="Arial" w:hAnsi="Arial" w:cs="Arial"/>
          <w:sz w:val="24"/>
          <w:szCs w:val="24"/>
          <w:lang w:val="en-US"/>
        </w:rPr>
        <w:t>On 9 January 2019 the applicant made a further payment in an amount of R250,000</w:t>
      </w:r>
      <w:r w:rsidR="00AA6A45">
        <w:rPr>
          <w:rFonts w:ascii="Arial" w:hAnsi="Arial" w:cs="Arial"/>
          <w:sz w:val="24"/>
          <w:szCs w:val="24"/>
          <w:lang w:val="en-US"/>
        </w:rPr>
        <w:t xml:space="preserve">.  This time the payment was made, for reasons and in circumstances that are unclear, into the bank account not of the first respondent but of </w:t>
      </w:r>
      <w:r w:rsidR="007050E7">
        <w:rPr>
          <w:rFonts w:ascii="Arial" w:hAnsi="Arial" w:cs="Arial"/>
          <w:sz w:val="24"/>
          <w:szCs w:val="24"/>
          <w:lang w:val="en-US"/>
        </w:rPr>
        <w:t xml:space="preserve">its project manager, one Fred van Rhyneveld.  </w:t>
      </w:r>
    </w:p>
    <w:p w14:paraId="26A31A44" w14:textId="71DD908F" w:rsidR="006319BE" w:rsidRDefault="00C11A3E" w:rsidP="00AD5DFE">
      <w:pPr>
        <w:pStyle w:val="BowLevel1ListAlt"/>
        <w:rPr>
          <w:rFonts w:ascii="Arial" w:hAnsi="Arial" w:cs="Arial"/>
          <w:sz w:val="24"/>
          <w:szCs w:val="24"/>
          <w:lang w:val="en-US"/>
        </w:rPr>
      </w:pPr>
      <w:r>
        <w:rPr>
          <w:rFonts w:ascii="Arial" w:hAnsi="Arial" w:cs="Arial"/>
          <w:sz w:val="24"/>
          <w:szCs w:val="24"/>
          <w:lang w:val="en-US"/>
        </w:rPr>
        <w:lastRenderedPageBreak/>
        <w:t>On 10 January 20</w:t>
      </w:r>
      <w:r w:rsidR="00A34F47">
        <w:rPr>
          <w:rFonts w:ascii="Arial" w:hAnsi="Arial" w:cs="Arial"/>
          <w:sz w:val="24"/>
          <w:szCs w:val="24"/>
          <w:lang w:val="en-US"/>
        </w:rPr>
        <w:t>19 the first respondent cancelled the agreement on grounds</w:t>
      </w:r>
      <w:r w:rsidR="00B46660">
        <w:rPr>
          <w:rFonts w:ascii="Arial" w:hAnsi="Arial" w:cs="Arial"/>
          <w:sz w:val="24"/>
          <w:szCs w:val="24"/>
          <w:lang w:val="en-US"/>
        </w:rPr>
        <w:t xml:space="preserve"> </w:t>
      </w:r>
      <w:r w:rsidR="00A34F47">
        <w:rPr>
          <w:rFonts w:ascii="Arial" w:hAnsi="Arial" w:cs="Arial"/>
          <w:sz w:val="24"/>
          <w:szCs w:val="24"/>
          <w:lang w:val="en-US"/>
        </w:rPr>
        <w:t>o</w:t>
      </w:r>
      <w:r w:rsidR="00B46660">
        <w:rPr>
          <w:rFonts w:ascii="Arial" w:hAnsi="Arial" w:cs="Arial"/>
          <w:sz w:val="24"/>
          <w:szCs w:val="24"/>
          <w:lang w:val="en-US"/>
        </w:rPr>
        <w:t>f</w:t>
      </w:r>
      <w:r w:rsidR="00A34F47">
        <w:rPr>
          <w:rFonts w:ascii="Arial" w:hAnsi="Arial" w:cs="Arial"/>
          <w:sz w:val="24"/>
          <w:szCs w:val="24"/>
          <w:lang w:val="en-US"/>
        </w:rPr>
        <w:t xml:space="preserve"> its alleged repudiation by the applicant.  The first respondent sought payment of </w:t>
      </w:r>
      <w:r w:rsidR="00D440EA">
        <w:rPr>
          <w:rFonts w:ascii="Arial" w:hAnsi="Arial" w:cs="Arial"/>
          <w:sz w:val="24"/>
          <w:szCs w:val="24"/>
          <w:lang w:val="en-US"/>
        </w:rPr>
        <w:t>the balance due under its invoice in respect of stage one of the project</w:t>
      </w:r>
      <w:r w:rsidR="00F1477F">
        <w:rPr>
          <w:rFonts w:ascii="Arial" w:hAnsi="Arial" w:cs="Arial"/>
          <w:sz w:val="24"/>
          <w:szCs w:val="24"/>
          <w:lang w:val="en-US"/>
        </w:rPr>
        <w:t xml:space="preserve">.  It also sought payment for costs incurred </w:t>
      </w:r>
      <w:r w:rsidR="00D32742">
        <w:rPr>
          <w:rFonts w:ascii="Arial" w:hAnsi="Arial" w:cs="Arial"/>
          <w:sz w:val="24"/>
          <w:szCs w:val="24"/>
          <w:lang w:val="en-US"/>
        </w:rPr>
        <w:t xml:space="preserve">or resources committed </w:t>
      </w:r>
      <w:r w:rsidR="004E5F68">
        <w:rPr>
          <w:rFonts w:ascii="Arial" w:hAnsi="Arial" w:cs="Arial"/>
          <w:sz w:val="24"/>
          <w:szCs w:val="24"/>
          <w:lang w:val="en-US"/>
        </w:rPr>
        <w:t xml:space="preserve">in respect of </w:t>
      </w:r>
      <w:r w:rsidR="00D32742">
        <w:rPr>
          <w:rFonts w:ascii="Arial" w:hAnsi="Arial" w:cs="Arial"/>
          <w:sz w:val="24"/>
          <w:szCs w:val="24"/>
          <w:lang w:val="en-US"/>
        </w:rPr>
        <w:t xml:space="preserve">the second and third </w:t>
      </w:r>
      <w:r w:rsidR="004E5F68">
        <w:rPr>
          <w:rFonts w:ascii="Arial" w:hAnsi="Arial" w:cs="Arial"/>
          <w:sz w:val="24"/>
          <w:szCs w:val="24"/>
          <w:lang w:val="en-US"/>
        </w:rPr>
        <w:t xml:space="preserve">stages of the project.  </w:t>
      </w:r>
    </w:p>
    <w:p w14:paraId="441C4B6C" w14:textId="23024C54" w:rsidR="000B113B" w:rsidRDefault="000B113B" w:rsidP="00AD5DFE">
      <w:pPr>
        <w:pStyle w:val="BowLevel1ListAlt"/>
        <w:rPr>
          <w:rFonts w:ascii="Arial" w:hAnsi="Arial" w:cs="Arial"/>
          <w:sz w:val="24"/>
          <w:szCs w:val="24"/>
          <w:lang w:val="en-US"/>
        </w:rPr>
      </w:pPr>
      <w:r>
        <w:rPr>
          <w:rFonts w:ascii="Arial" w:hAnsi="Arial" w:cs="Arial"/>
          <w:sz w:val="24"/>
          <w:szCs w:val="24"/>
          <w:lang w:val="en-US"/>
        </w:rPr>
        <w:t xml:space="preserve">The applicant </w:t>
      </w:r>
      <w:r w:rsidRPr="00AD5DFE">
        <w:rPr>
          <w:rFonts w:ascii="Arial" w:hAnsi="Arial" w:cs="Arial"/>
          <w:sz w:val="24"/>
          <w:szCs w:val="24"/>
          <w:lang w:val="en-US"/>
        </w:rPr>
        <w:t xml:space="preserve">resisted the </w:t>
      </w:r>
      <w:r>
        <w:rPr>
          <w:rFonts w:ascii="Arial" w:hAnsi="Arial" w:cs="Arial"/>
          <w:sz w:val="24"/>
          <w:szCs w:val="24"/>
          <w:lang w:val="en-US"/>
        </w:rPr>
        <w:t>f</w:t>
      </w:r>
      <w:r w:rsidRPr="00AD5DFE">
        <w:rPr>
          <w:rFonts w:ascii="Arial" w:hAnsi="Arial" w:cs="Arial"/>
          <w:sz w:val="24"/>
          <w:szCs w:val="24"/>
          <w:lang w:val="en-US"/>
        </w:rPr>
        <w:t xml:space="preserve">irst </w:t>
      </w:r>
      <w:r>
        <w:rPr>
          <w:rFonts w:ascii="Arial" w:hAnsi="Arial" w:cs="Arial"/>
          <w:sz w:val="24"/>
          <w:szCs w:val="24"/>
          <w:lang w:val="en-US"/>
        </w:rPr>
        <w:t>r</w:t>
      </w:r>
      <w:r w:rsidRPr="00AD5DFE">
        <w:rPr>
          <w:rFonts w:ascii="Arial" w:hAnsi="Arial" w:cs="Arial"/>
          <w:sz w:val="24"/>
          <w:szCs w:val="24"/>
          <w:lang w:val="en-US"/>
        </w:rPr>
        <w:t xml:space="preserve">espondent’s claims for payment </w:t>
      </w:r>
      <w:r>
        <w:rPr>
          <w:rFonts w:ascii="Arial" w:hAnsi="Arial" w:cs="Arial"/>
          <w:sz w:val="24"/>
          <w:szCs w:val="24"/>
          <w:lang w:val="en-US"/>
        </w:rPr>
        <w:t xml:space="preserve">of any further amounts, </w:t>
      </w:r>
      <w:r w:rsidRPr="00AD5DFE">
        <w:rPr>
          <w:rFonts w:ascii="Arial" w:hAnsi="Arial" w:cs="Arial"/>
          <w:sz w:val="24"/>
          <w:szCs w:val="24"/>
          <w:lang w:val="en-US"/>
        </w:rPr>
        <w:t xml:space="preserve">on grounds essentially that it disputed the validity of the </w:t>
      </w:r>
      <w:r>
        <w:rPr>
          <w:rFonts w:ascii="Arial" w:hAnsi="Arial" w:cs="Arial"/>
          <w:sz w:val="24"/>
          <w:szCs w:val="24"/>
          <w:lang w:val="en-US"/>
        </w:rPr>
        <w:t>a</w:t>
      </w:r>
      <w:r w:rsidRPr="00AD5DFE">
        <w:rPr>
          <w:rFonts w:ascii="Arial" w:hAnsi="Arial" w:cs="Arial"/>
          <w:sz w:val="24"/>
          <w:szCs w:val="24"/>
          <w:lang w:val="en-US"/>
        </w:rPr>
        <w:t xml:space="preserve">greement, contending that it was a “simulated agreement” whose purpose was to defraud the </w:t>
      </w:r>
      <w:r>
        <w:rPr>
          <w:rFonts w:ascii="Arial" w:hAnsi="Arial" w:cs="Arial"/>
          <w:sz w:val="24"/>
          <w:szCs w:val="24"/>
          <w:lang w:val="en-US"/>
        </w:rPr>
        <w:t>a</w:t>
      </w:r>
      <w:r w:rsidRPr="00AD5DFE">
        <w:rPr>
          <w:rFonts w:ascii="Arial" w:hAnsi="Arial" w:cs="Arial"/>
          <w:sz w:val="24"/>
          <w:szCs w:val="24"/>
          <w:lang w:val="en-US"/>
        </w:rPr>
        <w:t>pplicant or “to syphon money</w:t>
      </w:r>
      <w:r>
        <w:rPr>
          <w:rFonts w:ascii="Arial" w:hAnsi="Arial" w:cs="Arial"/>
          <w:sz w:val="24"/>
          <w:szCs w:val="24"/>
          <w:lang w:val="en-US"/>
        </w:rPr>
        <w:t>”</w:t>
      </w:r>
      <w:r w:rsidRPr="00AD5DFE">
        <w:rPr>
          <w:rFonts w:ascii="Arial" w:hAnsi="Arial" w:cs="Arial"/>
          <w:sz w:val="24"/>
          <w:szCs w:val="24"/>
          <w:lang w:val="en-US"/>
        </w:rPr>
        <w:t xml:space="preserve"> from the </w:t>
      </w:r>
      <w:r>
        <w:rPr>
          <w:rFonts w:ascii="Arial" w:hAnsi="Arial" w:cs="Arial"/>
          <w:sz w:val="24"/>
          <w:szCs w:val="24"/>
          <w:lang w:val="en-US"/>
        </w:rPr>
        <w:t>a</w:t>
      </w:r>
      <w:r w:rsidRPr="00AD5DFE">
        <w:rPr>
          <w:rFonts w:ascii="Arial" w:hAnsi="Arial" w:cs="Arial"/>
          <w:sz w:val="24"/>
          <w:szCs w:val="24"/>
          <w:lang w:val="en-US"/>
        </w:rPr>
        <w:t xml:space="preserve">pplicant for the benefit of signatories of the </w:t>
      </w:r>
      <w:r>
        <w:rPr>
          <w:rFonts w:ascii="Arial" w:hAnsi="Arial" w:cs="Arial"/>
          <w:sz w:val="24"/>
          <w:szCs w:val="24"/>
          <w:lang w:val="en-US"/>
        </w:rPr>
        <w:t>a</w:t>
      </w:r>
      <w:r w:rsidRPr="00AD5DFE">
        <w:rPr>
          <w:rFonts w:ascii="Arial" w:hAnsi="Arial" w:cs="Arial"/>
          <w:sz w:val="24"/>
          <w:szCs w:val="24"/>
          <w:lang w:val="en-US"/>
        </w:rPr>
        <w:t>greement</w:t>
      </w:r>
    </w:p>
    <w:p w14:paraId="624DAECC" w14:textId="5BFFB562" w:rsidR="00AD5DFE" w:rsidRPr="00AD5DFE" w:rsidRDefault="006319BE" w:rsidP="00006901">
      <w:pPr>
        <w:pStyle w:val="BowLevel1ListAlt"/>
        <w:rPr>
          <w:rFonts w:ascii="Arial" w:hAnsi="Arial" w:cs="Arial"/>
          <w:sz w:val="24"/>
          <w:szCs w:val="24"/>
          <w:lang w:val="en-US"/>
        </w:rPr>
      </w:pPr>
      <w:r>
        <w:rPr>
          <w:rFonts w:ascii="Arial" w:hAnsi="Arial" w:cs="Arial"/>
          <w:sz w:val="24"/>
          <w:szCs w:val="24"/>
          <w:lang w:val="en-US"/>
        </w:rPr>
        <w:t xml:space="preserve">On 18 and 19 July 2019 the parties held a meeting with their respective representatives </w:t>
      </w:r>
      <w:r w:rsidR="00EA7AEE">
        <w:rPr>
          <w:rFonts w:ascii="Arial" w:hAnsi="Arial" w:cs="Arial"/>
          <w:sz w:val="24"/>
          <w:szCs w:val="24"/>
          <w:lang w:val="en-US"/>
        </w:rPr>
        <w:t xml:space="preserve">in an effort to resolve the dispute.  </w:t>
      </w:r>
      <w:r w:rsidR="00006901">
        <w:rPr>
          <w:rFonts w:ascii="Arial" w:hAnsi="Arial" w:cs="Arial"/>
          <w:sz w:val="24"/>
          <w:szCs w:val="24"/>
          <w:lang w:val="en-US"/>
        </w:rPr>
        <w:t xml:space="preserve">The parties agreed on </w:t>
      </w:r>
      <w:r w:rsidR="000B113B" w:rsidRPr="00AD5DFE">
        <w:rPr>
          <w:rFonts w:ascii="Arial" w:hAnsi="Arial" w:cs="Arial"/>
          <w:sz w:val="24"/>
          <w:szCs w:val="24"/>
          <w:lang w:val="en-US"/>
        </w:rPr>
        <w:t xml:space="preserve">a payment plan under which the </w:t>
      </w:r>
      <w:r w:rsidR="008D0023">
        <w:rPr>
          <w:rFonts w:ascii="Arial" w:hAnsi="Arial" w:cs="Arial"/>
          <w:sz w:val="24"/>
          <w:szCs w:val="24"/>
          <w:lang w:val="en-US"/>
        </w:rPr>
        <w:t>a</w:t>
      </w:r>
      <w:r w:rsidR="000B113B" w:rsidRPr="00AD5DFE">
        <w:rPr>
          <w:rFonts w:ascii="Arial" w:hAnsi="Arial" w:cs="Arial"/>
          <w:sz w:val="24"/>
          <w:szCs w:val="24"/>
          <w:lang w:val="en-US"/>
        </w:rPr>
        <w:t xml:space="preserve">pplicant would pay </w:t>
      </w:r>
      <w:r w:rsidR="00101AC1">
        <w:rPr>
          <w:rFonts w:ascii="Arial" w:hAnsi="Arial" w:cs="Arial"/>
          <w:sz w:val="24"/>
          <w:szCs w:val="24"/>
          <w:lang w:val="en-US"/>
        </w:rPr>
        <w:t xml:space="preserve">an agreed number of monthly instalments of R67,000 </w:t>
      </w:r>
      <w:r w:rsidR="00415698">
        <w:rPr>
          <w:rFonts w:ascii="Arial" w:hAnsi="Arial" w:cs="Arial"/>
          <w:sz w:val="24"/>
          <w:szCs w:val="24"/>
          <w:lang w:val="en-US"/>
        </w:rPr>
        <w:t xml:space="preserve">to settle </w:t>
      </w:r>
      <w:r w:rsidR="000B113B" w:rsidRPr="00AD5DFE">
        <w:rPr>
          <w:rFonts w:ascii="Arial" w:hAnsi="Arial" w:cs="Arial"/>
          <w:sz w:val="24"/>
          <w:szCs w:val="24"/>
          <w:lang w:val="en-US"/>
        </w:rPr>
        <w:t xml:space="preserve">the </w:t>
      </w:r>
      <w:r w:rsidR="00415698">
        <w:rPr>
          <w:rFonts w:ascii="Arial" w:hAnsi="Arial" w:cs="Arial"/>
          <w:sz w:val="24"/>
          <w:szCs w:val="24"/>
          <w:lang w:val="en-US"/>
        </w:rPr>
        <w:t xml:space="preserve">amount due </w:t>
      </w:r>
      <w:r w:rsidR="000B113B" w:rsidRPr="00AD5DFE">
        <w:rPr>
          <w:rFonts w:ascii="Arial" w:hAnsi="Arial" w:cs="Arial"/>
          <w:sz w:val="24"/>
          <w:szCs w:val="24"/>
          <w:lang w:val="en-US"/>
        </w:rPr>
        <w:t xml:space="preserve">in respect of stage one </w:t>
      </w:r>
      <w:r w:rsidR="008D0023">
        <w:rPr>
          <w:rFonts w:ascii="Arial" w:hAnsi="Arial" w:cs="Arial"/>
          <w:sz w:val="24"/>
          <w:szCs w:val="24"/>
          <w:lang w:val="en-US"/>
        </w:rPr>
        <w:t>of the project</w:t>
      </w:r>
      <w:r w:rsidR="000B113B" w:rsidRPr="00AD5DFE">
        <w:rPr>
          <w:rFonts w:ascii="Arial" w:hAnsi="Arial" w:cs="Arial"/>
          <w:sz w:val="24"/>
          <w:szCs w:val="24"/>
          <w:lang w:val="en-US"/>
        </w:rPr>
        <w:t xml:space="preserve">.  </w:t>
      </w:r>
    </w:p>
    <w:p w14:paraId="291FA98A" w14:textId="717F111E" w:rsidR="00097706" w:rsidRDefault="00DD336D" w:rsidP="00AD5DFE">
      <w:pPr>
        <w:pStyle w:val="BowLevel1ListAlt"/>
        <w:rPr>
          <w:rFonts w:ascii="Arial" w:hAnsi="Arial" w:cs="Arial"/>
          <w:sz w:val="24"/>
          <w:szCs w:val="24"/>
          <w:lang w:val="en-US"/>
        </w:rPr>
      </w:pPr>
      <w:r>
        <w:rPr>
          <w:rFonts w:ascii="Arial" w:hAnsi="Arial" w:cs="Arial"/>
          <w:sz w:val="24"/>
          <w:szCs w:val="24"/>
          <w:lang w:val="en-US"/>
        </w:rPr>
        <w:t>On 9 September 2019 the applicant made an initial payment to the first respondent under that agreement</w:t>
      </w:r>
      <w:r w:rsidRPr="007A30FD">
        <w:rPr>
          <w:rFonts w:ascii="Arial" w:hAnsi="Arial" w:cs="Arial"/>
          <w:sz w:val="24"/>
          <w:szCs w:val="24"/>
          <w:lang w:val="en-US"/>
        </w:rPr>
        <w:t>.</w:t>
      </w:r>
      <w:r>
        <w:rPr>
          <w:rFonts w:ascii="Arial" w:hAnsi="Arial" w:cs="Arial"/>
          <w:sz w:val="24"/>
          <w:szCs w:val="24"/>
          <w:lang w:val="en-US"/>
        </w:rPr>
        <w:t xml:space="preserve">  </w:t>
      </w:r>
    </w:p>
    <w:p w14:paraId="7FFD22A1" w14:textId="77777777" w:rsidR="00F55A46" w:rsidRDefault="00AD5DFE" w:rsidP="00AD5DFE">
      <w:pPr>
        <w:pStyle w:val="BowLevel1ListAlt"/>
        <w:rPr>
          <w:rFonts w:ascii="Arial" w:hAnsi="Arial" w:cs="Arial"/>
          <w:sz w:val="24"/>
          <w:szCs w:val="24"/>
          <w:lang w:val="en-US"/>
        </w:rPr>
      </w:pPr>
      <w:r w:rsidRPr="00AD5DFE">
        <w:rPr>
          <w:rFonts w:ascii="Arial" w:hAnsi="Arial" w:cs="Arial"/>
          <w:sz w:val="24"/>
          <w:szCs w:val="24"/>
          <w:lang w:val="en-US"/>
        </w:rPr>
        <w:t>The</w:t>
      </w:r>
      <w:r w:rsidR="00097706">
        <w:rPr>
          <w:rFonts w:ascii="Arial" w:hAnsi="Arial" w:cs="Arial"/>
          <w:sz w:val="24"/>
          <w:szCs w:val="24"/>
          <w:lang w:val="en-US"/>
        </w:rPr>
        <w:t xml:space="preserve"> applicant made no further payments </w:t>
      </w:r>
      <w:r w:rsidR="007A4139">
        <w:rPr>
          <w:rFonts w:ascii="Arial" w:hAnsi="Arial" w:cs="Arial"/>
          <w:sz w:val="24"/>
          <w:szCs w:val="24"/>
          <w:lang w:val="en-US"/>
        </w:rPr>
        <w:t>under the payment plan, and again contested the legality of the service level agreement</w:t>
      </w:r>
      <w:r w:rsidR="00EE6E0F">
        <w:rPr>
          <w:rFonts w:ascii="Arial" w:hAnsi="Arial" w:cs="Arial"/>
          <w:sz w:val="24"/>
          <w:szCs w:val="24"/>
          <w:lang w:val="en-US"/>
        </w:rPr>
        <w:t xml:space="preserve"> and disputed that services had been performed to justify the invoice that had been rendered.</w:t>
      </w:r>
    </w:p>
    <w:p w14:paraId="5937B355" w14:textId="5562FA6E" w:rsidR="00AD5DFE" w:rsidRDefault="00F55A46" w:rsidP="00AD5DFE">
      <w:pPr>
        <w:pStyle w:val="BowLevel1ListAlt"/>
        <w:rPr>
          <w:rFonts w:ascii="Arial" w:hAnsi="Arial" w:cs="Arial"/>
          <w:sz w:val="24"/>
          <w:szCs w:val="24"/>
          <w:lang w:val="en-US"/>
        </w:rPr>
      </w:pPr>
      <w:r>
        <w:rPr>
          <w:rFonts w:ascii="Arial" w:hAnsi="Arial" w:cs="Arial"/>
          <w:sz w:val="24"/>
          <w:szCs w:val="24"/>
          <w:lang w:val="en-US"/>
        </w:rPr>
        <w:t xml:space="preserve">In approximately May 2020 the </w:t>
      </w:r>
      <w:r w:rsidR="00AD5DFE" w:rsidRPr="00AD5DFE">
        <w:rPr>
          <w:rFonts w:ascii="Arial" w:hAnsi="Arial" w:cs="Arial"/>
          <w:sz w:val="24"/>
          <w:szCs w:val="24"/>
          <w:lang w:val="en-US"/>
        </w:rPr>
        <w:t>parties agreed to submit the dispute that had arisen to arbitration</w:t>
      </w:r>
      <w:r w:rsidR="007D435B">
        <w:rPr>
          <w:rFonts w:ascii="Arial" w:hAnsi="Arial" w:cs="Arial"/>
          <w:sz w:val="24"/>
          <w:szCs w:val="24"/>
          <w:lang w:val="en-US"/>
        </w:rPr>
        <w:t xml:space="preserve"> under the AFSA rules</w:t>
      </w:r>
      <w:r w:rsidR="00AD5DFE" w:rsidRPr="00AD5DFE">
        <w:rPr>
          <w:rFonts w:ascii="Arial" w:hAnsi="Arial" w:cs="Arial"/>
          <w:sz w:val="24"/>
          <w:szCs w:val="24"/>
          <w:lang w:val="en-US"/>
        </w:rPr>
        <w:t xml:space="preserve">.  </w:t>
      </w:r>
      <w:r>
        <w:rPr>
          <w:rFonts w:ascii="Arial" w:hAnsi="Arial" w:cs="Arial"/>
          <w:sz w:val="24"/>
          <w:szCs w:val="24"/>
          <w:lang w:val="en-US"/>
        </w:rPr>
        <w:t>On 13 May 2020 t</w:t>
      </w:r>
      <w:r w:rsidR="00AD5DFE" w:rsidRPr="00AD5DFE">
        <w:rPr>
          <w:rFonts w:ascii="Arial" w:hAnsi="Arial" w:cs="Arial"/>
          <w:sz w:val="24"/>
          <w:szCs w:val="24"/>
          <w:lang w:val="en-US"/>
        </w:rPr>
        <w:t xml:space="preserve">he </w:t>
      </w:r>
      <w:r>
        <w:rPr>
          <w:rFonts w:ascii="Arial" w:hAnsi="Arial" w:cs="Arial"/>
          <w:sz w:val="24"/>
          <w:szCs w:val="24"/>
          <w:lang w:val="en-US"/>
        </w:rPr>
        <w:t>s</w:t>
      </w:r>
      <w:r w:rsidR="00AD5DFE" w:rsidRPr="00AD5DFE">
        <w:rPr>
          <w:rFonts w:ascii="Arial" w:hAnsi="Arial" w:cs="Arial"/>
          <w:sz w:val="24"/>
          <w:szCs w:val="24"/>
          <w:lang w:val="en-US"/>
        </w:rPr>
        <w:t xml:space="preserve">econd </w:t>
      </w:r>
      <w:r>
        <w:rPr>
          <w:rFonts w:ascii="Arial" w:hAnsi="Arial" w:cs="Arial"/>
          <w:sz w:val="24"/>
          <w:szCs w:val="24"/>
          <w:lang w:val="en-US"/>
        </w:rPr>
        <w:t>r</w:t>
      </w:r>
      <w:r w:rsidR="00AD5DFE" w:rsidRPr="00AD5DFE">
        <w:rPr>
          <w:rFonts w:ascii="Arial" w:hAnsi="Arial" w:cs="Arial"/>
          <w:sz w:val="24"/>
          <w:szCs w:val="24"/>
          <w:lang w:val="en-US"/>
        </w:rPr>
        <w:t xml:space="preserve">espondent was appointed as </w:t>
      </w:r>
      <w:r>
        <w:rPr>
          <w:rFonts w:ascii="Arial" w:hAnsi="Arial" w:cs="Arial"/>
          <w:sz w:val="24"/>
          <w:szCs w:val="24"/>
          <w:lang w:val="en-US"/>
        </w:rPr>
        <w:t>a</w:t>
      </w:r>
      <w:r w:rsidR="00AD5DFE" w:rsidRPr="00AD5DFE">
        <w:rPr>
          <w:rFonts w:ascii="Arial" w:hAnsi="Arial" w:cs="Arial"/>
          <w:sz w:val="24"/>
          <w:szCs w:val="24"/>
          <w:lang w:val="en-US"/>
        </w:rPr>
        <w:t>rbitrator.</w:t>
      </w:r>
      <w:r>
        <w:rPr>
          <w:rFonts w:ascii="Arial" w:hAnsi="Arial" w:cs="Arial"/>
          <w:sz w:val="24"/>
          <w:szCs w:val="24"/>
          <w:lang w:val="en-US"/>
        </w:rPr>
        <w:t xml:space="preserve">  </w:t>
      </w:r>
      <w:r w:rsidR="00A27D05">
        <w:rPr>
          <w:rFonts w:ascii="Arial" w:hAnsi="Arial" w:cs="Arial"/>
          <w:sz w:val="24"/>
          <w:szCs w:val="24"/>
          <w:lang w:val="en-US"/>
        </w:rPr>
        <w:t xml:space="preserve">In pre-arbitration meetings held on </w:t>
      </w:r>
      <w:r w:rsidR="00B93451">
        <w:rPr>
          <w:rFonts w:ascii="Arial" w:hAnsi="Arial" w:cs="Arial"/>
          <w:sz w:val="24"/>
          <w:szCs w:val="24"/>
          <w:lang w:val="en-US"/>
        </w:rPr>
        <w:t xml:space="preserve">21 May 2020 </w:t>
      </w:r>
      <w:r w:rsidR="008F3E8F">
        <w:rPr>
          <w:rFonts w:ascii="Arial" w:hAnsi="Arial" w:cs="Arial"/>
          <w:sz w:val="24"/>
          <w:szCs w:val="24"/>
          <w:lang w:val="en-US"/>
        </w:rPr>
        <w:t xml:space="preserve">and 4 June 2020 </w:t>
      </w:r>
      <w:r>
        <w:rPr>
          <w:rFonts w:ascii="Arial" w:hAnsi="Arial" w:cs="Arial"/>
          <w:sz w:val="24"/>
          <w:szCs w:val="24"/>
          <w:lang w:val="en-US"/>
        </w:rPr>
        <w:t xml:space="preserve">the </w:t>
      </w:r>
      <w:r w:rsidR="00A15ACA">
        <w:rPr>
          <w:rFonts w:ascii="Arial" w:hAnsi="Arial" w:cs="Arial"/>
          <w:sz w:val="24"/>
          <w:szCs w:val="24"/>
          <w:lang w:val="en-US"/>
        </w:rPr>
        <w:t xml:space="preserve">parties agreed to a timetable for the delivery of pleadings.  This resulted in the first respondent delivering a statement of claim </w:t>
      </w:r>
      <w:r w:rsidR="00B93451">
        <w:rPr>
          <w:rFonts w:ascii="Arial" w:hAnsi="Arial" w:cs="Arial"/>
          <w:sz w:val="24"/>
          <w:szCs w:val="24"/>
          <w:lang w:val="en-US"/>
        </w:rPr>
        <w:t xml:space="preserve">on 12 June 2020, and the applicant delivering a statement of defence and counterclaim on 22 June 2020.  </w:t>
      </w:r>
    </w:p>
    <w:p w14:paraId="5878B248" w14:textId="7BDE5F1E" w:rsidR="00B42C41" w:rsidRPr="00AD5DFE" w:rsidRDefault="00B42C41" w:rsidP="00B42C41">
      <w:pPr>
        <w:pStyle w:val="BowLevel1ListAlt"/>
        <w:rPr>
          <w:rFonts w:ascii="Arial" w:hAnsi="Arial" w:cs="Arial"/>
          <w:sz w:val="24"/>
          <w:szCs w:val="24"/>
          <w:lang w:val="en-US"/>
        </w:rPr>
      </w:pPr>
      <w:r w:rsidRPr="007A30FD">
        <w:rPr>
          <w:rFonts w:ascii="Arial" w:hAnsi="Arial" w:cs="Arial"/>
          <w:sz w:val="24"/>
          <w:szCs w:val="24"/>
          <w:lang w:val="en-US"/>
        </w:rPr>
        <w:t>In its statement of claim the first respondent brought two separate claims.  Claim A was</w:t>
      </w:r>
      <w:r>
        <w:rPr>
          <w:rFonts w:ascii="Arial" w:hAnsi="Arial" w:cs="Arial"/>
          <w:sz w:val="24"/>
          <w:szCs w:val="24"/>
          <w:lang w:val="en-US"/>
        </w:rPr>
        <w:t xml:space="preserve"> </w:t>
      </w:r>
      <w:r w:rsidRPr="00AD5DFE">
        <w:rPr>
          <w:rFonts w:ascii="Arial" w:hAnsi="Arial" w:cs="Arial"/>
          <w:sz w:val="24"/>
          <w:szCs w:val="24"/>
          <w:lang w:val="en-US"/>
        </w:rPr>
        <w:t xml:space="preserve">for an amount of R738 840.00 inclusive of </w:t>
      </w:r>
      <w:r>
        <w:rPr>
          <w:rFonts w:ascii="Arial" w:hAnsi="Arial" w:cs="Arial"/>
          <w:sz w:val="24"/>
          <w:szCs w:val="24"/>
          <w:lang w:val="en-US"/>
        </w:rPr>
        <w:t xml:space="preserve">VAT in respect of </w:t>
      </w:r>
      <w:r w:rsidRPr="00AD5DFE">
        <w:rPr>
          <w:rFonts w:ascii="Arial" w:hAnsi="Arial" w:cs="Arial"/>
          <w:sz w:val="24"/>
          <w:szCs w:val="24"/>
          <w:lang w:val="en-US"/>
        </w:rPr>
        <w:t>work performed and invoiced</w:t>
      </w:r>
      <w:r>
        <w:rPr>
          <w:rFonts w:ascii="Arial" w:hAnsi="Arial" w:cs="Arial"/>
          <w:sz w:val="24"/>
          <w:szCs w:val="24"/>
          <w:lang w:val="en-US"/>
        </w:rPr>
        <w:t xml:space="preserve"> for stage one of the project.  C</w:t>
      </w:r>
      <w:r w:rsidRPr="00AD5DFE">
        <w:rPr>
          <w:rFonts w:ascii="Arial" w:hAnsi="Arial" w:cs="Arial"/>
          <w:sz w:val="24"/>
          <w:szCs w:val="24"/>
          <w:lang w:val="en-US"/>
        </w:rPr>
        <w:t xml:space="preserve">laim B </w:t>
      </w:r>
      <w:r>
        <w:rPr>
          <w:rFonts w:ascii="Arial" w:hAnsi="Arial" w:cs="Arial"/>
          <w:sz w:val="24"/>
          <w:szCs w:val="24"/>
          <w:lang w:val="en-US"/>
        </w:rPr>
        <w:t xml:space="preserve">was for an </w:t>
      </w:r>
      <w:r w:rsidRPr="00AD5DFE">
        <w:rPr>
          <w:rFonts w:ascii="Arial" w:hAnsi="Arial" w:cs="Arial"/>
          <w:sz w:val="24"/>
          <w:szCs w:val="24"/>
          <w:lang w:val="en-US"/>
        </w:rPr>
        <w:t>amount of R2</w:t>
      </w:r>
      <w:r>
        <w:rPr>
          <w:rFonts w:ascii="Arial" w:hAnsi="Arial" w:cs="Arial"/>
          <w:sz w:val="24"/>
          <w:szCs w:val="24"/>
          <w:lang w:val="en-US"/>
        </w:rPr>
        <w:t>,</w:t>
      </w:r>
      <w:r w:rsidRPr="00AD5DFE">
        <w:rPr>
          <w:rFonts w:ascii="Arial" w:hAnsi="Arial" w:cs="Arial"/>
          <w:sz w:val="24"/>
          <w:szCs w:val="24"/>
          <w:lang w:val="en-US"/>
        </w:rPr>
        <w:t>557</w:t>
      </w:r>
      <w:r>
        <w:rPr>
          <w:rFonts w:ascii="Arial" w:hAnsi="Arial" w:cs="Arial"/>
          <w:sz w:val="24"/>
          <w:szCs w:val="24"/>
          <w:lang w:val="en-US"/>
        </w:rPr>
        <w:t>,</w:t>
      </w:r>
      <w:r w:rsidRPr="00AD5DFE">
        <w:rPr>
          <w:rFonts w:ascii="Arial" w:hAnsi="Arial" w:cs="Arial"/>
          <w:sz w:val="24"/>
          <w:szCs w:val="24"/>
          <w:lang w:val="en-US"/>
        </w:rPr>
        <w:t xml:space="preserve">520 excluding </w:t>
      </w:r>
      <w:r>
        <w:rPr>
          <w:rFonts w:ascii="Arial" w:hAnsi="Arial" w:cs="Arial"/>
          <w:sz w:val="24"/>
          <w:szCs w:val="24"/>
          <w:lang w:val="en-US"/>
        </w:rPr>
        <w:t xml:space="preserve">VAT </w:t>
      </w:r>
      <w:r w:rsidRPr="00AD5DFE">
        <w:rPr>
          <w:rFonts w:ascii="Arial" w:hAnsi="Arial" w:cs="Arial"/>
          <w:sz w:val="24"/>
          <w:szCs w:val="24"/>
          <w:lang w:val="en-US"/>
        </w:rPr>
        <w:t xml:space="preserve">in respect of damages </w:t>
      </w:r>
      <w:r w:rsidR="001D731B">
        <w:rPr>
          <w:rFonts w:ascii="Arial" w:hAnsi="Arial" w:cs="Arial"/>
          <w:sz w:val="24"/>
          <w:szCs w:val="24"/>
          <w:lang w:val="en-US"/>
        </w:rPr>
        <w:t xml:space="preserve">arising </w:t>
      </w:r>
      <w:r w:rsidRPr="00AD5DFE">
        <w:rPr>
          <w:rFonts w:ascii="Arial" w:hAnsi="Arial" w:cs="Arial"/>
          <w:sz w:val="24"/>
          <w:szCs w:val="24"/>
          <w:lang w:val="en-US"/>
        </w:rPr>
        <w:t xml:space="preserve">from the alleged repudiation of the </w:t>
      </w:r>
      <w:r w:rsidR="001D731B">
        <w:rPr>
          <w:rFonts w:ascii="Arial" w:hAnsi="Arial" w:cs="Arial"/>
          <w:sz w:val="24"/>
          <w:szCs w:val="24"/>
          <w:lang w:val="en-US"/>
        </w:rPr>
        <w:t xml:space="preserve">agreement, encompassing work </w:t>
      </w:r>
      <w:r w:rsidRPr="00AD5DFE">
        <w:rPr>
          <w:rFonts w:ascii="Arial" w:hAnsi="Arial" w:cs="Arial"/>
          <w:sz w:val="24"/>
          <w:szCs w:val="24"/>
          <w:lang w:val="en-US"/>
        </w:rPr>
        <w:t xml:space="preserve">done and resources committed for the second and third stages of the project.  </w:t>
      </w:r>
    </w:p>
    <w:p w14:paraId="295C4828" w14:textId="33B2DC9E" w:rsidR="00B42C41" w:rsidRPr="00AD5DFE" w:rsidRDefault="001D731B" w:rsidP="00B42C41">
      <w:pPr>
        <w:pStyle w:val="BowLevel1ListAlt"/>
        <w:rPr>
          <w:rFonts w:ascii="Arial" w:hAnsi="Arial" w:cs="Arial"/>
          <w:sz w:val="24"/>
          <w:szCs w:val="24"/>
          <w:lang w:val="en-US"/>
        </w:rPr>
      </w:pPr>
      <w:r>
        <w:rPr>
          <w:rFonts w:ascii="Arial" w:hAnsi="Arial" w:cs="Arial"/>
          <w:sz w:val="24"/>
          <w:szCs w:val="24"/>
          <w:lang w:val="en-US"/>
        </w:rPr>
        <w:lastRenderedPageBreak/>
        <w:t xml:space="preserve">In response </w:t>
      </w:r>
      <w:r w:rsidR="00C40349">
        <w:rPr>
          <w:rFonts w:ascii="Arial" w:hAnsi="Arial" w:cs="Arial"/>
          <w:sz w:val="24"/>
          <w:szCs w:val="24"/>
          <w:lang w:val="en-US"/>
        </w:rPr>
        <w:t xml:space="preserve">the </w:t>
      </w:r>
      <w:r>
        <w:rPr>
          <w:rFonts w:ascii="Arial" w:hAnsi="Arial" w:cs="Arial"/>
          <w:sz w:val="24"/>
          <w:szCs w:val="24"/>
          <w:lang w:val="en-US"/>
        </w:rPr>
        <w:t xml:space="preserve">applicant </w:t>
      </w:r>
      <w:r w:rsidR="00C40349">
        <w:rPr>
          <w:rFonts w:ascii="Arial" w:hAnsi="Arial" w:cs="Arial"/>
          <w:sz w:val="24"/>
          <w:szCs w:val="24"/>
          <w:lang w:val="en-US"/>
        </w:rPr>
        <w:t xml:space="preserve">contended </w:t>
      </w:r>
      <w:r w:rsidR="00B42C41" w:rsidRPr="00AD5DFE">
        <w:rPr>
          <w:rFonts w:ascii="Arial" w:hAnsi="Arial" w:cs="Arial"/>
          <w:sz w:val="24"/>
          <w:szCs w:val="24"/>
          <w:lang w:val="en-US"/>
        </w:rPr>
        <w:t xml:space="preserve">that the conclusion of the </w:t>
      </w:r>
      <w:r w:rsidR="00C40349">
        <w:rPr>
          <w:rFonts w:ascii="Arial" w:hAnsi="Arial" w:cs="Arial"/>
          <w:sz w:val="24"/>
          <w:szCs w:val="24"/>
          <w:lang w:val="en-US"/>
        </w:rPr>
        <w:t>a</w:t>
      </w:r>
      <w:r w:rsidR="00B42C41" w:rsidRPr="00AD5DFE">
        <w:rPr>
          <w:rFonts w:ascii="Arial" w:hAnsi="Arial" w:cs="Arial"/>
          <w:sz w:val="24"/>
          <w:szCs w:val="24"/>
          <w:lang w:val="en-US"/>
        </w:rPr>
        <w:t xml:space="preserve">greement had not been </w:t>
      </w:r>
      <w:r w:rsidR="00C40349">
        <w:rPr>
          <w:rFonts w:ascii="Arial" w:hAnsi="Arial" w:cs="Arial"/>
          <w:sz w:val="24"/>
          <w:szCs w:val="24"/>
          <w:lang w:val="en-US"/>
        </w:rPr>
        <w:t xml:space="preserve">properly </w:t>
      </w:r>
      <w:r w:rsidR="00B42C41" w:rsidRPr="00AD5DFE">
        <w:rPr>
          <w:rFonts w:ascii="Arial" w:hAnsi="Arial" w:cs="Arial"/>
          <w:sz w:val="24"/>
          <w:szCs w:val="24"/>
          <w:lang w:val="en-US"/>
        </w:rPr>
        <w:t xml:space="preserve">authorised by the </w:t>
      </w:r>
      <w:r w:rsidR="00C40349">
        <w:rPr>
          <w:rFonts w:ascii="Arial" w:hAnsi="Arial" w:cs="Arial"/>
          <w:sz w:val="24"/>
          <w:szCs w:val="24"/>
          <w:lang w:val="en-US"/>
        </w:rPr>
        <w:t>a</w:t>
      </w:r>
      <w:r w:rsidR="00B42C41" w:rsidRPr="00AD5DFE">
        <w:rPr>
          <w:rFonts w:ascii="Arial" w:hAnsi="Arial" w:cs="Arial"/>
          <w:sz w:val="24"/>
          <w:szCs w:val="24"/>
          <w:lang w:val="en-US"/>
        </w:rPr>
        <w:t xml:space="preserve">pplicant and that </w:t>
      </w:r>
      <w:r w:rsidR="00C40349">
        <w:rPr>
          <w:rFonts w:ascii="Arial" w:hAnsi="Arial" w:cs="Arial"/>
          <w:sz w:val="24"/>
          <w:szCs w:val="24"/>
          <w:lang w:val="en-US"/>
        </w:rPr>
        <w:t xml:space="preserve">the agreement </w:t>
      </w:r>
      <w:r w:rsidR="00B42C41" w:rsidRPr="00AD5DFE">
        <w:rPr>
          <w:rFonts w:ascii="Arial" w:hAnsi="Arial" w:cs="Arial"/>
          <w:sz w:val="24"/>
          <w:szCs w:val="24"/>
          <w:lang w:val="en-US"/>
        </w:rPr>
        <w:t xml:space="preserve">represented a simulated transaction fraudulently </w:t>
      </w:r>
      <w:r w:rsidR="00326D25">
        <w:rPr>
          <w:rFonts w:ascii="Arial" w:hAnsi="Arial" w:cs="Arial"/>
          <w:sz w:val="24"/>
          <w:szCs w:val="24"/>
          <w:lang w:val="en-US"/>
        </w:rPr>
        <w:t xml:space="preserve">entered into by representatives of the first respondent with </w:t>
      </w:r>
      <w:r w:rsidR="00B42C41" w:rsidRPr="00AD5DFE">
        <w:rPr>
          <w:rFonts w:ascii="Arial" w:hAnsi="Arial" w:cs="Arial"/>
          <w:sz w:val="24"/>
          <w:szCs w:val="24"/>
          <w:lang w:val="en-US"/>
        </w:rPr>
        <w:t xml:space="preserve">unauthorised representatives of the </w:t>
      </w:r>
      <w:r w:rsidR="00C40349">
        <w:rPr>
          <w:rFonts w:ascii="Arial" w:hAnsi="Arial" w:cs="Arial"/>
          <w:sz w:val="24"/>
          <w:szCs w:val="24"/>
          <w:lang w:val="en-US"/>
        </w:rPr>
        <w:t>a</w:t>
      </w:r>
      <w:r w:rsidR="00B42C41" w:rsidRPr="00AD5DFE">
        <w:rPr>
          <w:rFonts w:ascii="Arial" w:hAnsi="Arial" w:cs="Arial"/>
          <w:sz w:val="24"/>
          <w:szCs w:val="24"/>
          <w:lang w:val="en-US"/>
        </w:rPr>
        <w:t xml:space="preserve">pplicant.  </w:t>
      </w:r>
      <w:r w:rsidR="00326D25">
        <w:rPr>
          <w:rFonts w:ascii="Arial" w:hAnsi="Arial" w:cs="Arial"/>
          <w:sz w:val="24"/>
          <w:szCs w:val="24"/>
          <w:lang w:val="en-US"/>
        </w:rPr>
        <w:t>The a</w:t>
      </w:r>
      <w:r w:rsidR="00B42C41" w:rsidRPr="00AD5DFE">
        <w:rPr>
          <w:rFonts w:ascii="Arial" w:hAnsi="Arial" w:cs="Arial"/>
          <w:sz w:val="24"/>
          <w:szCs w:val="24"/>
          <w:lang w:val="en-US"/>
        </w:rPr>
        <w:t xml:space="preserve">pplicant </w:t>
      </w:r>
      <w:r w:rsidR="007D435B">
        <w:rPr>
          <w:rFonts w:ascii="Arial" w:hAnsi="Arial" w:cs="Arial"/>
          <w:sz w:val="24"/>
          <w:szCs w:val="24"/>
          <w:lang w:val="en-US"/>
        </w:rPr>
        <w:t xml:space="preserve">brought </w:t>
      </w:r>
      <w:r w:rsidR="00B42C41" w:rsidRPr="00AD5DFE">
        <w:rPr>
          <w:rFonts w:ascii="Arial" w:hAnsi="Arial" w:cs="Arial"/>
          <w:sz w:val="24"/>
          <w:szCs w:val="24"/>
          <w:lang w:val="en-US"/>
        </w:rPr>
        <w:t>a counter claim for repayment of the amount of R561</w:t>
      </w:r>
      <w:r w:rsidR="007D435B">
        <w:rPr>
          <w:rFonts w:ascii="Arial" w:hAnsi="Arial" w:cs="Arial"/>
          <w:sz w:val="24"/>
          <w:szCs w:val="24"/>
          <w:lang w:val="en-US"/>
        </w:rPr>
        <w:t>,</w:t>
      </w:r>
      <w:r w:rsidR="00B42C41" w:rsidRPr="00AD5DFE">
        <w:rPr>
          <w:rFonts w:ascii="Arial" w:hAnsi="Arial" w:cs="Arial"/>
          <w:sz w:val="24"/>
          <w:szCs w:val="24"/>
          <w:lang w:val="en-US"/>
        </w:rPr>
        <w:t>570</w:t>
      </w:r>
      <w:r w:rsidR="007D435B">
        <w:rPr>
          <w:rFonts w:ascii="Arial" w:hAnsi="Arial" w:cs="Arial"/>
          <w:sz w:val="24"/>
          <w:szCs w:val="24"/>
          <w:lang w:val="en-US"/>
        </w:rPr>
        <w:t xml:space="preserve"> that had been paid by it </w:t>
      </w:r>
      <w:r w:rsidR="00B42C41" w:rsidRPr="00AD5DFE">
        <w:rPr>
          <w:rFonts w:ascii="Arial" w:hAnsi="Arial" w:cs="Arial"/>
          <w:sz w:val="24"/>
          <w:szCs w:val="24"/>
          <w:lang w:val="en-US"/>
        </w:rPr>
        <w:t>in respect of the first stage of the project</w:t>
      </w:r>
      <w:r w:rsidR="007D435B">
        <w:rPr>
          <w:rFonts w:ascii="Arial" w:hAnsi="Arial" w:cs="Arial"/>
          <w:sz w:val="24"/>
          <w:szCs w:val="24"/>
          <w:lang w:val="en-US"/>
        </w:rPr>
        <w:t xml:space="preserve">, on </w:t>
      </w:r>
      <w:r w:rsidR="00B42C41" w:rsidRPr="00AD5DFE">
        <w:rPr>
          <w:rFonts w:ascii="Arial" w:hAnsi="Arial" w:cs="Arial"/>
          <w:sz w:val="24"/>
          <w:szCs w:val="24"/>
          <w:lang w:val="en-US"/>
        </w:rPr>
        <w:t xml:space="preserve">the grounds of unjustified enrichment. </w:t>
      </w:r>
    </w:p>
    <w:p w14:paraId="76C9025F" w14:textId="33D70484" w:rsidR="00B93451" w:rsidRDefault="00152C0C" w:rsidP="00AD5DFE">
      <w:pPr>
        <w:pStyle w:val="BowLevel1ListAlt"/>
        <w:rPr>
          <w:rFonts w:ascii="Arial" w:hAnsi="Arial" w:cs="Arial"/>
          <w:sz w:val="24"/>
          <w:szCs w:val="24"/>
          <w:lang w:val="en-US"/>
        </w:rPr>
      </w:pPr>
      <w:r>
        <w:rPr>
          <w:rFonts w:ascii="Arial" w:hAnsi="Arial" w:cs="Arial"/>
          <w:sz w:val="24"/>
          <w:szCs w:val="24"/>
          <w:lang w:val="en-US"/>
        </w:rPr>
        <w:t>Various further pleadings were filed in consequence of this, and at a further pre-arbitration meeting</w:t>
      </w:r>
      <w:r w:rsidR="007D435B">
        <w:rPr>
          <w:rFonts w:ascii="Arial" w:hAnsi="Arial" w:cs="Arial"/>
          <w:sz w:val="24"/>
          <w:szCs w:val="24"/>
          <w:lang w:val="en-US"/>
        </w:rPr>
        <w:t xml:space="preserve"> held</w:t>
      </w:r>
      <w:r>
        <w:rPr>
          <w:rFonts w:ascii="Arial" w:hAnsi="Arial" w:cs="Arial"/>
          <w:sz w:val="24"/>
          <w:szCs w:val="24"/>
          <w:lang w:val="en-US"/>
        </w:rPr>
        <w:t xml:space="preserve"> on 2 October 2020 the parties agreed to deliver expert reports.  </w:t>
      </w:r>
    </w:p>
    <w:p w14:paraId="67D1E92E" w14:textId="1CF3FF08" w:rsidR="008D7BD0" w:rsidRDefault="008D7BD0" w:rsidP="00AD5DFE">
      <w:pPr>
        <w:pStyle w:val="BowLevel1ListAlt"/>
        <w:rPr>
          <w:rFonts w:ascii="Arial" w:hAnsi="Arial" w:cs="Arial"/>
          <w:sz w:val="24"/>
          <w:szCs w:val="24"/>
          <w:lang w:val="en-US"/>
        </w:rPr>
      </w:pPr>
      <w:r>
        <w:rPr>
          <w:rFonts w:ascii="Arial" w:hAnsi="Arial" w:cs="Arial"/>
          <w:sz w:val="24"/>
          <w:szCs w:val="24"/>
          <w:lang w:val="en-US"/>
        </w:rPr>
        <w:t>The arbitration proceedings took place on 16 and 17 February 2021, with oral submission</w:t>
      </w:r>
      <w:r w:rsidR="00B46660">
        <w:rPr>
          <w:rFonts w:ascii="Arial" w:hAnsi="Arial" w:cs="Arial"/>
          <w:sz w:val="24"/>
          <w:szCs w:val="24"/>
          <w:lang w:val="en-US"/>
        </w:rPr>
        <w:t>s</w:t>
      </w:r>
      <w:r>
        <w:rPr>
          <w:rFonts w:ascii="Arial" w:hAnsi="Arial" w:cs="Arial"/>
          <w:sz w:val="24"/>
          <w:szCs w:val="24"/>
          <w:lang w:val="en-US"/>
        </w:rPr>
        <w:t xml:space="preserve"> made on 15 March 2021.  The second respondent delivered </w:t>
      </w:r>
      <w:r w:rsidR="00B42C41">
        <w:rPr>
          <w:rFonts w:ascii="Arial" w:hAnsi="Arial" w:cs="Arial"/>
          <w:sz w:val="24"/>
          <w:szCs w:val="24"/>
          <w:lang w:val="en-US"/>
        </w:rPr>
        <w:t>her award on 21 May 2021.</w:t>
      </w:r>
    </w:p>
    <w:p w14:paraId="310FC1DD" w14:textId="589AE858" w:rsidR="009716CD" w:rsidRPr="009716CD" w:rsidRDefault="002750B8" w:rsidP="009716CD">
      <w:pPr>
        <w:pStyle w:val="BowLevel1ListAlt"/>
        <w:numPr>
          <w:ilvl w:val="0"/>
          <w:numId w:val="0"/>
        </w:numPr>
        <w:rPr>
          <w:rFonts w:ascii="Arial" w:hAnsi="Arial" w:cs="Arial"/>
          <w:b/>
          <w:bCs/>
          <w:sz w:val="24"/>
          <w:szCs w:val="24"/>
          <w:lang w:val="en-US"/>
        </w:rPr>
      </w:pPr>
      <w:r>
        <w:rPr>
          <w:rFonts w:ascii="Arial" w:hAnsi="Arial" w:cs="Arial"/>
          <w:b/>
          <w:bCs/>
          <w:sz w:val="24"/>
          <w:szCs w:val="24"/>
          <w:lang w:val="en-US"/>
        </w:rPr>
        <w:t>The s</w:t>
      </w:r>
      <w:r w:rsidR="009716CD" w:rsidRPr="009716CD">
        <w:rPr>
          <w:rFonts w:ascii="Arial" w:hAnsi="Arial" w:cs="Arial"/>
          <w:b/>
          <w:bCs/>
          <w:sz w:val="24"/>
          <w:szCs w:val="24"/>
          <w:lang w:val="en-US"/>
        </w:rPr>
        <w:t>econd respondent’s award</w:t>
      </w:r>
    </w:p>
    <w:p w14:paraId="03B46286" w14:textId="77777777" w:rsidR="004C6B93" w:rsidRDefault="007D435B" w:rsidP="00AD5DFE">
      <w:pPr>
        <w:pStyle w:val="BowLevel1ListAlt"/>
        <w:rPr>
          <w:rFonts w:ascii="Arial" w:hAnsi="Arial" w:cs="Arial"/>
          <w:sz w:val="24"/>
          <w:szCs w:val="24"/>
          <w:lang w:val="en-US"/>
        </w:rPr>
      </w:pPr>
      <w:r w:rsidRPr="007D435B">
        <w:rPr>
          <w:rFonts w:ascii="Arial" w:hAnsi="Arial" w:cs="Arial"/>
          <w:sz w:val="24"/>
          <w:szCs w:val="24"/>
          <w:lang w:val="en-US"/>
        </w:rPr>
        <w:t>In her award, the s</w:t>
      </w:r>
      <w:r w:rsidR="00AD5DFE" w:rsidRPr="007D435B">
        <w:rPr>
          <w:rFonts w:ascii="Arial" w:hAnsi="Arial" w:cs="Arial"/>
          <w:sz w:val="24"/>
          <w:szCs w:val="24"/>
          <w:lang w:val="en-US"/>
        </w:rPr>
        <w:t xml:space="preserve">econd </w:t>
      </w:r>
      <w:r w:rsidRPr="007D435B">
        <w:rPr>
          <w:rFonts w:ascii="Arial" w:hAnsi="Arial" w:cs="Arial"/>
          <w:sz w:val="24"/>
          <w:szCs w:val="24"/>
          <w:lang w:val="en-US"/>
        </w:rPr>
        <w:t>r</w:t>
      </w:r>
      <w:r w:rsidR="00AD5DFE" w:rsidRPr="007D435B">
        <w:rPr>
          <w:rFonts w:ascii="Arial" w:hAnsi="Arial" w:cs="Arial"/>
          <w:sz w:val="24"/>
          <w:szCs w:val="24"/>
          <w:lang w:val="en-US"/>
        </w:rPr>
        <w:t>espondent identified the issues that she was required to decide as being the following:</w:t>
      </w:r>
      <w:r w:rsidRPr="007D435B">
        <w:rPr>
          <w:rFonts w:ascii="Arial" w:hAnsi="Arial" w:cs="Arial"/>
          <w:sz w:val="24"/>
          <w:szCs w:val="24"/>
          <w:lang w:val="en-US"/>
        </w:rPr>
        <w:t xml:space="preserve"> </w:t>
      </w:r>
    </w:p>
    <w:p w14:paraId="542805C2" w14:textId="1E71D6A5" w:rsidR="004C6B93" w:rsidRDefault="004C6B93" w:rsidP="004C6B93">
      <w:pPr>
        <w:pStyle w:val="BowLevel1ListAlt"/>
        <w:numPr>
          <w:ilvl w:val="0"/>
          <w:numId w:val="53"/>
        </w:numPr>
        <w:rPr>
          <w:rFonts w:ascii="Arial" w:hAnsi="Arial" w:cs="Arial"/>
          <w:sz w:val="24"/>
          <w:szCs w:val="24"/>
          <w:lang w:val="en-US"/>
        </w:rPr>
      </w:pPr>
      <w:r>
        <w:rPr>
          <w:rFonts w:ascii="Arial" w:hAnsi="Arial" w:cs="Arial"/>
          <w:sz w:val="24"/>
          <w:szCs w:val="24"/>
          <w:lang w:val="en-US"/>
        </w:rPr>
        <w:t>W</w:t>
      </w:r>
      <w:r w:rsidR="007D435B" w:rsidRPr="007D435B">
        <w:rPr>
          <w:rFonts w:ascii="Arial" w:hAnsi="Arial" w:cs="Arial"/>
          <w:sz w:val="24"/>
          <w:szCs w:val="24"/>
          <w:lang w:val="en-US"/>
        </w:rPr>
        <w:t xml:space="preserve">hether </w:t>
      </w:r>
      <w:r w:rsidR="00AD5DFE" w:rsidRPr="007D435B">
        <w:rPr>
          <w:rFonts w:ascii="Arial" w:hAnsi="Arial" w:cs="Arial"/>
          <w:sz w:val="24"/>
          <w:szCs w:val="24"/>
          <w:lang w:val="en-US"/>
        </w:rPr>
        <w:t xml:space="preserve">the </w:t>
      </w:r>
      <w:r w:rsidR="007D435B">
        <w:rPr>
          <w:rFonts w:ascii="Arial" w:hAnsi="Arial" w:cs="Arial"/>
          <w:sz w:val="24"/>
          <w:szCs w:val="24"/>
          <w:lang w:val="en-US"/>
        </w:rPr>
        <w:t>s</w:t>
      </w:r>
      <w:r w:rsidR="00AD5DFE" w:rsidRPr="007D435B">
        <w:rPr>
          <w:rFonts w:ascii="Arial" w:hAnsi="Arial" w:cs="Arial"/>
          <w:sz w:val="24"/>
          <w:szCs w:val="24"/>
          <w:lang w:val="en-US"/>
        </w:rPr>
        <w:t xml:space="preserve">ervice </w:t>
      </w:r>
      <w:r w:rsidR="007D435B">
        <w:rPr>
          <w:rFonts w:ascii="Arial" w:hAnsi="Arial" w:cs="Arial"/>
          <w:sz w:val="24"/>
          <w:szCs w:val="24"/>
          <w:lang w:val="en-US"/>
        </w:rPr>
        <w:t>l</w:t>
      </w:r>
      <w:r w:rsidR="00AD5DFE" w:rsidRPr="007D435B">
        <w:rPr>
          <w:rFonts w:ascii="Arial" w:hAnsi="Arial" w:cs="Arial"/>
          <w:sz w:val="24"/>
          <w:szCs w:val="24"/>
          <w:lang w:val="en-US"/>
        </w:rPr>
        <w:t xml:space="preserve">evel </w:t>
      </w:r>
      <w:r w:rsidR="007D435B">
        <w:rPr>
          <w:rFonts w:ascii="Arial" w:hAnsi="Arial" w:cs="Arial"/>
          <w:sz w:val="24"/>
          <w:szCs w:val="24"/>
          <w:lang w:val="en-US"/>
        </w:rPr>
        <w:t>a</w:t>
      </w:r>
      <w:r w:rsidR="00AD5DFE" w:rsidRPr="007D435B">
        <w:rPr>
          <w:rFonts w:ascii="Arial" w:hAnsi="Arial" w:cs="Arial"/>
          <w:sz w:val="24"/>
          <w:szCs w:val="24"/>
          <w:lang w:val="en-US"/>
        </w:rPr>
        <w:t xml:space="preserve">greement </w:t>
      </w:r>
      <w:r>
        <w:rPr>
          <w:rFonts w:ascii="Arial" w:hAnsi="Arial" w:cs="Arial"/>
          <w:sz w:val="24"/>
          <w:szCs w:val="24"/>
          <w:lang w:val="en-US"/>
        </w:rPr>
        <w:t xml:space="preserve">was </w:t>
      </w:r>
      <w:r w:rsidR="00AD5DFE" w:rsidRPr="007D435B">
        <w:rPr>
          <w:rFonts w:ascii="Arial" w:hAnsi="Arial" w:cs="Arial"/>
          <w:sz w:val="24"/>
          <w:szCs w:val="24"/>
          <w:lang w:val="en-US"/>
        </w:rPr>
        <w:t>validly concluded</w:t>
      </w:r>
      <w:r>
        <w:rPr>
          <w:rFonts w:ascii="Arial" w:hAnsi="Arial" w:cs="Arial"/>
          <w:sz w:val="24"/>
          <w:szCs w:val="24"/>
          <w:lang w:val="en-US"/>
        </w:rPr>
        <w:t>.</w:t>
      </w:r>
    </w:p>
    <w:p w14:paraId="33A1F944" w14:textId="0067617B" w:rsidR="00AD5DFE" w:rsidRDefault="00F54612" w:rsidP="004C6B93">
      <w:pPr>
        <w:pStyle w:val="BowLevel1ListAlt"/>
        <w:numPr>
          <w:ilvl w:val="0"/>
          <w:numId w:val="53"/>
        </w:numPr>
        <w:rPr>
          <w:rFonts w:ascii="Arial" w:hAnsi="Arial" w:cs="Arial"/>
          <w:sz w:val="24"/>
          <w:szCs w:val="24"/>
          <w:lang w:val="en-US"/>
        </w:rPr>
      </w:pPr>
      <w:r>
        <w:rPr>
          <w:rFonts w:ascii="Arial" w:hAnsi="Arial" w:cs="Arial"/>
          <w:sz w:val="24"/>
          <w:szCs w:val="24"/>
          <w:lang w:val="en-US"/>
        </w:rPr>
        <w:t>If valid, whether [the first respondent] is entitled</w:t>
      </w:r>
      <w:r w:rsidR="004C6B93">
        <w:rPr>
          <w:rFonts w:ascii="Arial" w:hAnsi="Arial" w:cs="Arial"/>
          <w:sz w:val="24"/>
          <w:szCs w:val="24"/>
          <w:lang w:val="en-US"/>
        </w:rPr>
        <w:t xml:space="preserve"> to the amounts claimed under </w:t>
      </w:r>
      <w:r>
        <w:rPr>
          <w:rFonts w:ascii="Arial" w:hAnsi="Arial" w:cs="Arial"/>
          <w:sz w:val="24"/>
          <w:szCs w:val="24"/>
          <w:lang w:val="en-US"/>
        </w:rPr>
        <w:t>C</w:t>
      </w:r>
      <w:r w:rsidR="004C6B93">
        <w:rPr>
          <w:rFonts w:ascii="Arial" w:hAnsi="Arial" w:cs="Arial"/>
          <w:sz w:val="24"/>
          <w:szCs w:val="24"/>
          <w:lang w:val="en-US"/>
        </w:rPr>
        <w:t xml:space="preserve">laims </w:t>
      </w:r>
      <w:r>
        <w:rPr>
          <w:rFonts w:ascii="Arial" w:hAnsi="Arial" w:cs="Arial"/>
          <w:sz w:val="24"/>
          <w:szCs w:val="24"/>
          <w:lang w:val="en-US"/>
        </w:rPr>
        <w:t>A and B; and</w:t>
      </w:r>
    </w:p>
    <w:p w14:paraId="19135DE3" w14:textId="75A61DCB" w:rsidR="00F54612" w:rsidRPr="007D435B" w:rsidRDefault="00F54612" w:rsidP="004C6B93">
      <w:pPr>
        <w:pStyle w:val="BowLevel1ListAlt"/>
        <w:numPr>
          <w:ilvl w:val="0"/>
          <w:numId w:val="53"/>
        </w:numPr>
        <w:rPr>
          <w:rFonts w:ascii="Arial" w:hAnsi="Arial" w:cs="Arial"/>
          <w:sz w:val="24"/>
          <w:szCs w:val="24"/>
          <w:lang w:val="en-US"/>
        </w:rPr>
      </w:pPr>
      <w:r w:rsidRPr="00AD5DFE">
        <w:rPr>
          <w:rFonts w:ascii="Arial" w:hAnsi="Arial" w:cs="Arial"/>
          <w:sz w:val="24"/>
          <w:szCs w:val="24"/>
          <w:lang w:val="en-US"/>
        </w:rPr>
        <w:t xml:space="preserve">Whether </w:t>
      </w:r>
      <w:r>
        <w:rPr>
          <w:rFonts w:ascii="Arial" w:hAnsi="Arial" w:cs="Arial"/>
          <w:sz w:val="24"/>
          <w:szCs w:val="24"/>
          <w:lang w:val="en-US"/>
        </w:rPr>
        <w:t>[</w:t>
      </w:r>
      <w:r w:rsidRPr="00AD5DFE">
        <w:rPr>
          <w:rFonts w:ascii="Arial" w:hAnsi="Arial" w:cs="Arial"/>
          <w:sz w:val="24"/>
          <w:szCs w:val="24"/>
          <w:lang w:val="en-US"/>
        </w:rPr>
        <w:t xml:space="preserve">the </w:t>
      </w:r>
      <w:r>
        <w:rPr>
          <w:rFonts w:ascii="Arial" w:hAnsi="Arial" w:cs="Arial"/>
          <w:sz w:val="24"/>
          <w:szCs w:val="24"/>
          <w:lang w:val="en-US"/>
        </w:rPr>
        <w:t>a</w:t>
      </w:r>
      <w:r w:rsidRPr="00AD5DFE">
        <w:rPr>
          <w:rFonts w:ascii="Arial" w:hAnsi="Arial" w:cs="Arial"/>
          <w:sz w:val="24"/>
          <w:szCs w:val="24"/>
          <w:lang w:val="en-US"/>
        </w:rPr>
        <w:t>pplicant</w:t>
      </w:r>
      <w:r>
        <w:rPr>
          <w:rFonts w:ascii="Arial" w:hAnsi="Arial" w:cs="Arial"/>
          <w:sz w:val="24"/>
          <w:szCs w:val="24"/>
          <w:lang w:val="en-US"/>
        </w:rPr>
        <w:t xml:space="preserve">] is </w:t>
      </w:r>
      <w:r w:rsidRPr="00AD5DFE">
        <w:rPr>
          <w:rFonts w:ascii="Arial" w:hAnsi="Arial" w:cs="Arial"/>
          <w:sz w:val="24"/>
          <w:szCs w:val="24"/>
          <w:lang w:val="en-US"/>
        </w:rPr>
        <w:t>entitled to the amount claimed in its counter claim for unjustified enrichment.</w:t>
      </w:r>
    </w:p>
    <w:p w14:paraId="1AD965FA" w14:textId="77777777" w:rsidR="00480C8C" w:rsidRDefault="00480C8C" w:rsidP="00AD5DFE">
      <w:pPr>
        <w:pStyle w:val="BowLevel1ListAlt"/>
        <w:rPr>
          <w:rFonts w:ascii="Arial" w:hAnsi="Arial" w:cs="Arial"/>
          <w:sz w:val="24"/>
          <w:szCs w:val="24"/>
          <w:lang w:val="en-US"/>
        </w:rPr>
      </w:pPr>
      <w:r>
        <w:rPr>
          <w:rFonts w:ascii="Arial" w:hAnsi="Arial" w:cs="Arial"/>
          <w:sz w:val="24"/>
          <w:szCs w:val="24"/>
          <w:lang w:val="en-US"/>
        </w:rPr>
        <w:t>In the proceedings in this court the parties were in agreement that this correctly identified the issues that the second respondent was required to decide in the arbitration.</w:t>
      </w:r>
    </w:p>
    <w:p w14:paraId="4957E758" w14:textId="326DEE56" w:rsidR="00AD5DFE" w:rsidRPr="00AD5DFE" w:rsidRDefault="00AD5DFE" w:rsidP="00AD5DFE">
      <w:pPr>
        <w:pStyle w:val="BowLevel1ListAlt"/>
        <w:rPr>
          <w:rFonts w:ascii="Arial" w:hAnsi="Arial" w:cs="Arial"/>
          <w:sz w:val="24"/>
          <w:szCs w:val="24"/>
          <w:lang w:val="en-US"/>
        </w:rPr>
      </w:pPr>
      <w:r w:rsidRPr="00AD5DFE">
        <w:rPr>
          <w:rFonts w:ascii="Arial" w:hAnsi="Arial" w:cs="Arial"/>
          <w:sz w:val="24"/>
          <w:szCs w:val="24"/>
          <w:lang w:val="en-US"/>
        </w:rPr>
        <w:t>In her award</w:t>
      </w:r>
      <w:r w:rsidR="00FF36E8">
        <w:rPr>
          <w:rFonts w:ascii="Arial" w:hAnsi="Arial" w:cs="Arial"/>
          <w:sz w:val="24"/>
          <w:szCs w:val="24"/>
          <w:lang w:val="en-US"/>
        </w:rPr>
        <w:t xml:space="preserve"> the second respondent </w:t>
      </w:r>
      <w:r w:rsidRPr="00AD5DFE">
        <w:rPr>
          <w:rFonts w:ascii="Arial" w:hAnsi="Arial" w:cs="Arial"/>
          <w:sz w:val="24"/>
          <w:szCs w:val="24"/>
          <w:lang w:val="en-US"/>
        </w:rPr>
        <w:t xml:space="preserve">summarised the terms of the </w:t>
      </w:r>
      <w:r w:rsidR="00FF36E8">
        <w:rPr>
          <w:rFonts w:ascii="Arial" w:hAnsi="Arial" w:cs="Arial"/>
          <w:sz w:val="24"/>
          <w:szCs w:val="24"/>
          <w:lang w:val="en-US"/>
        </w:rPr>
        <w:t>s</w:t>
      </w:r>
      <w:r w:rsidRPr="00AD5DFE">
        <w:rPr>
          <w:rFonts w:ascii="Arial" w:hAnsi="Arial" w:cs="Arial"/>
          <w:sz w:val="24"/>
          <w:szCs w:val="24"/>
          <w:lang w:val="en-US"/>
        </w:rPr>
        <w:t xml:space="preserve">ervice </w:t>
      </w:r>
      <w:r w:rsidR="00FF36E8">
        <w:rPr>
          <w:rFonts w:ascii="Arial" w:hAnsi="Arial" w:cs="Arial"/>
          <w:sz w:val="24"/>
          <w:szCs w:val="24"/>
          <w:lang w:val="en-US"/>
        </w:rPr>
        <w:t>l</w:t>
      </w:r>
      <w:r w:rsidRPr="00AD5DFE">
        <w:rPr>
          <w:rFonts w:ascii="Arial" w:hAnsi="Arial" w:cs="Arial"/>
          <w:sz w:val="24"/>
          <w:szCs w:val="24"/>
          <w:lang w:val="en-US"/>
        </w:rPr>
        <w:t xml:space="preserve">evel </w:t>
      </w:r>
      <w:r w:rsidR="00FF36E8">
        <w:rPr>
          <w:rFonts w:ascii="Arial" w:hAnsi="Arial" w:cs="Arial"/>
          <w:sz w:val="24"/>
          <w:szCs w:val="24"/>
          <w:lang w:val="en-US"/>
        </w:rPr>
        <w:t>a</w:t>
      </w:r>
      <w:r w:rsidRPr="00AD5DFE">
        <w:rPr>
          <w:rFonts w:ascii="Arial" w:hAnsi="Arial" w:cs="Arial"/>
          <w:sz w:val="24"/>
          <w:szCs w:val="24"/>
          <w:lang w:val="en-US"/>
        </w:rPr>
        <w:t>greement and the essential contentions of the parties regarding its validity, including the evidence of the witness led by each party</w:t>
      </w:r>
      <w:r w:rsidR="00FF36E8">
        <w:rPr>
          <w:rFonts w:ascii="Arial" w:hAnsi="Arial" w:cs="Arial"/>
          <w:sz w:val="24"/>
          <w:szCs w:val="24"/>
          <w:lang w:val="en-US"/>
        </w:rPr>
        <w:t xml:space="preserve"> in relation to that issue</w:t>
      </w:r>
      <w:r w:rsidRPr="00AD5DFE">
        <w:rPr>
          <w:rFonts w:ascii="Arial" w:hAnsi="Arial" w:cs="Arial"/>
          <w:sz w:val="24"/>
          <w:szCs w:val="24"/>
          <w:lang w:val="en-US"/>
        </w:rPr>
        <w:t xml:space="preserve">.  </w:t>
      </w:r>
    </w:p>
    <w:p w14:paraId="4C52FE9F" w14:textId="0D556B5F" w:rsidR="00AD5DFE" w:rsidRPr="00AD5DFE" w:rsidRDefault="00AD5DFE" w:rsidP="00AD5DFE">
      <w:pPr>
        <w:pStyle w:val="BowLevel1ListAlt"/>
        <w:rPr>
          <w:rFonts w:ascii="Arial" w:hAnsi="Arial" w:cs="Arial"/>
          <w:sz w:val="24"/>
          <w:szCs w:val="24"/>
          <w:lang w:val="en-US"/>
        </w:rPr>
      </w:pPr>
      <w:r w:rsidRPr="00AD5DFE">
        <w:rPr>
          <w:rFonts w:ascii="Arial" w:hAnsi="Arial" w:cs="Arial"/>
          <w:sz w:val="24"/>
          <w:szCs w:val="24"/>
          <w:lang w:val="en-US"/>
        </w:rPr>
        <w:t xml:space="preserve">That evidence traversed the content and minute of </w:t>
      </w:r>
      <w:r w:rsidR="00817F8A">
        <w:rPr>
          <w:rFonts w:ascii="Arial" w:hAnsi="Arial" w:cs="Arial"/>
          <w:sz w:val="24"/>
          <w:szCs w:val="24"/>
          <w:lang w:val="en-US"/>
        </w:rPr>
        <w:t xml:space="preserve">the </w:t>
      </w:r>
      <w:r w:rsidRPr="00AD5DFE">
        <w:rPr>
          <w:rFonts w:ascii="Arial" w:hAnsi="Arial" w:cs="Arial"/>
          <w:sz w:val="24"/>
          <w:szCs w:val="24"/>
          <w:lang w:val="en-US"/>
        </w:rPr>
        <w:t>meeting held between the parties and their representatives on 18 and 19 July 2021 “when the amounts outstanding were discussed and a payment plan was negotiated”.</w:t>
      </w:r>
    </w:p>
    <w:p w14:paraId="26FF09EE" w14:textId="1F89F2E4" w:rsidR="00AD5DFE" w:rsidRPr="00AD5DFE" w:rsidRDefault="00817F8A" w:rsidP="00AD5DFE">
      <w:pPr>
        <w:pStyle w:val="BowLevel1ListAlt"/>
        <w:rPr>
          <w:rFonts w:ascii="Arial" w:hAnsi="Arial" w:cs="Arial"/>
          <w:sz w:val="24"/>
          <w:szCs w:val="24"/>
          <w:lang w:val="en-US"/>
        </w:rPr>
      </w:pPr>
      <w:r>
        <w:rPr>
          <w:rFonts w:ascii="Arial" w:hAnsi="Arial" w:cs="Arial"/>
          <w:sz w:val="24"/>
          <w:szCs w:val="24"/>
          <w:lang w:val="en-US"/>
        </w:rPr>
        <w:lastRenderedPageBreak/>
        <w:t xml:space="preserve">The second respondent found the </w:t>
      </w:r>
      <w:r w:rsidR="00AD5DFE" w:rsidRPr="00AD5DFE">
        <w:rPr>
          <w:rFonts w:ascii="Arial" w:hAnsi="Arial" w:cs="Arial"/>
          <w:sz w:val="24"/>
          <w:szCs w:val="24"/>
          <w:lang w:val="en-US"/>
        </w:rPr>
        <w:t xml:space="preserve">minutes of that meeting </w:t>
      </w:r>
      <w:r>
        <w:rPr>
          <w:rFonts w:ascii="Arial" w:hAnsi="Arial" w:cs="Arial"/>
          <w:sz w:val="24"/>
          <w:szCs w:val="24"/>
          <w:lang w:val="en-US"/>
        </w:rPr>
        <w:t xml:space="preserve">to </w:t>
      </w:r>
      <w:r w:rsidR="001F760A">
        <w:rPr>
          <w:rFonts w:ascii="Arial" w:hAnsi="Arial" w:cs="Arial"/>
          <w:sz w:val="24"/>
          <w:szCs w:val="24"/>
          <w:lang w:val="en-US"/>
        </w:rPr>
        <w:t xml:space="preserve">show </w:t>
      </w:r>
      <w:r w:rsidR="00AD5DFE" w:rsidRPr="00AD5DFE">
        <w:rPr>
          <w:rFonts w:ascii="Arial" w:hAnsi="Arial" w:cs="Arial"/>
          <w:sz w:val="24"/>
          <w:szCs w:val="24"/>
          <w:lang w:val="en-US"/>
        </w:rPr>
        <w:t xml:space="preserve">that the </w:t>
      </w:r>
      <w:r w:rsidR="001F760A">
        <w:rPr>
          <w:rFonts w:ascii="Arial" w:hAnsi="Arial" w:cs="Arial"/>
          <w:sz w:val="24"/>
          <w:szCs w:val="24"/>
          <w:lang w:val="en-US"/>
        </w:rPr>
        <w:t>a</w:t>
      </w:r>
      <w:r w:rsidR="00AD5DFE" w:rsidRPr="00AD5DFE">
        <w:rPr>
          <w:rFonts w:ascii="Arial" w:hAnsi="Arial" w:cs="Arial"/>
          <w:sz w:val="24"/>
          <w:szCs w:val="24"/>
          <w:lang w:val="en-US"/>
        </w:rPr>
        <w:t xml:space="preserve">pplicant had, at that stage, despite the existing contention that the terms of the contract were irregular, negotiated </w:t>
      </w:r>
      <w:r w:rsidR="001F760A">
        <w:rPr>
          <w:rFonts w:ascii="Arial" w:hAnsi="Arial" w:cs="Arial"/>
          <w:sz w:val="24"/>
          <w:szCs w:val="24"/>
          <w:lang w:val="en-US"/>
        </w:rPr>
        <w:t xml:space="preserve">the </w:t>
      </w:r>
      <w:r w:rsidR="00AD5DFE" w:rsidRPr="00AD5DFE">
        <w:rPr>
          <w:rFonts w:ascii="Arial" w:hAnsi="Arial" w:cs="Arial"/>
          <w:sz w:val="24"/>
          <w:szCs w:val="24"/>
          <w:lang w:val="en-US"/>
        </w:rPr>
        <w:t xml:space="preserve">terms of </w:t>
      </w:r>
      <w:r w:rsidR="001F760A">
        <w:rPr>
          <w:rFonts w:ascii="Arial" w:hAnsi="Arial" w:cs="Arial"/>
          <w:sz w:val="24"/>
          <w:szCs w:val="24"/>
          <w:lang w:val="en-US"/>
        </w:rPr>
        <w:t xml:space="preserve">the </w:t>
      </w:r>
      <w:r w:rsidR="00AD5DFE" w:rsidRPr="00AD5DFE">
        <w:rPr>
          <w:rFonts w:ascii="Arial" w:hAnsi="Arial" w:cs="Arial"/>
          <w:sz w:val="24"/>
          <w:szCs w:val="24"/>
          <w:lang w:val="en-US"/>
        </w:rPr>
        <w:t xml:space="preserve">payment plan under which the </w:t>
      </w:r>
      <w:r w:rsidR="001F760A">
        <w:rPr>
          <w:rFonts w:ascii="Arial" w:hAnsi="Arial" w:cs="Arial"/>
          <w:sz w:val="24"/>
          <w:szCs w:val="24"/>
          <w:lang w:val="en-US"/>
        </w:rPr>
        <w:t>a</w:t>
      </w:r>
      <w:r w:rsidR="00AD5DFE" w:rsidRPr="00AD5DFE">
        <w:rPr>
          <w:rFonts w:ascii="Arial" w:hAnsi="Arial" w:cs="Arial"/>
          <w:sz w:val="24"/>
          <w:szCs w:val="24"/>
          <w:lang w:val="en-US"/>
        </w:rPr>
        <w:t>pplicant would pay R67</w:t>
      </w:r>
      <w:r w:rsidR="001F760A">
        <w:rPr>
          <w:rFonts w:ascii="Arial" w:hAnsi="Arial" w:cs="Arial"/>
          <w:sz w:val="24"/>
          <w:szCs w:val="24"/>
          <w:lang w:val="en-US"/>
        </w:rPr>
        <w:t>,</w:t>
      </w:r>
      <w:r w:rsidR="00AD5DFE" w:rsidRPr="00AD5DFE">
        <w:rPr>
          <w:rFonts w:ascii="Arial" w:hAnsi="Arial" w:cs="Arial"/>
          <w:sz w:val="24"/>
          <w:szCs w:val="24"/>
          <w:lang w:val="en-US"/>
        </w:rPr>
        <w:t xml:space="preserve">000 per month until the </w:t>
      </w:r>
      <w:r w:rsidR="00B46660">
        <w:rPr>
          <w:rFonts w:ascii="Arial" w:hAnsi="Arial" w:cs="Arial"/>
          <w:sz w:val="24"/>
          <w:szCs w:val="24"/>
          <w:lang w:val="en-US"/>
        </w:rPr>
        <w:t>amount due</w:t>
      </w:r>
      <w:r w:rsidR="00AD5DFE" w:rsidRPr="00AD5DFE">
        <w:rPr>
          <w:rFonts w:ascii="Arial" w:hAnsi="Arial" w:cs="Arial"/>
          <w:sz w:val="24"/>
          <w:szCs w:val="24"/>
          <w:lang w:val="en-US"/>
        </w:rPr>
        <w:t xml:space="preserve"> in respect of stage one </w:t>
      </w:r>
      <w:r w:rsidR="001F760A">
        <w:rPr>
          <w:rFonts w:ascii="Arial" w:hAnsi="Arial" w:cs="Arial"/>
          <w:sz w:val="24"/>
          <w:szCs w:val="24"/>
          <w:lang w:val="en-US"/>
        </w:rPr>
        <w:t xml:space="preserve">had been </w:t>
      </w:r>
      <w:r w:rsidR="00AD5DFE" w:rsidRPr="00AD5DFE">
        <w:rPr>
          <w:rFonts w:ascii="Arial" w:hAnsi="Arial" w:cs="Arial"/>
          <w:sz w:val="24"/>
          <w:szCs w:val="24"/>
          <w:lang w:val="en-US"/>
        </w:rPr>
        <w:t xml:space="preserve">paid.  The </w:t>
      </w:r>
      <w:r w:rsidR="00FF3B09">
        <w:rPr>
          <w:rFonts w:ascii="Arial" w:hAnsi="Arial" w:cs="Arial"/>
          <w:sz w:val="24"/>
          <w:szCs w:val="24"/>
          <w:lang w:val="en-US"/>
        </w:rPr>
        <w:t>a</w:t>
      </w:r>
      <w:r w:rsidR="00AD5DFE" w:rsidRPr="00AD5DFE">
        <w:rPr>
          <w:rFonts w:ascii="Arial" w:hAnsi="Arial" w:cs="Arial"/>
          <w:sz w:val="24"/>
          <w:szCs w:val="24"/>
          <w:lang w:val="en-US"/>
        </w:rPr>
        <w:t xml:space="preserve">pplicant </w:t>
      </w:r>
      <w:r w:rsidR="00D5311E">
        <w:rPr>
          <w:rFonts w:ascii="Arial" w:hAnsi="Arial" w:cs="Arial"/>
          <w:sz w:val="24"/>
          <w:szCs w:val="24"/>
          <w:lang w:val="en-US"/>
        </w:rPr>
        <w:t xml:space="preserve">refused, </w:t>
      </w:r>
      <w:r w:rsidR="00AD5DFE" w:rsidRPr="00AD5DFE">
        <w:rPr>
          <w:rFonts w:ascii="Arial" w:hAnsi="Arial" w:cs="Arial"/>
          <w:sz w:val="24"/>
          <w:szCs w:val="24"/>
          <w:lang w:val="en-US"/>
        </w:rPr>
        <w:t>however</w:t>
      </w:r>
      <w:r w:rsidR="00D5311E">
        <w:rPr>
          <w:rFonts w:ascii="Arial" w:hAnsi="Arial" w:cs="Arial"/>
          <w:sz w:val="24"/>
          <w:szCs w:val="24"/>
          <w:lang w:val="en-US"/>
        </w:rPr>
        <w:t>,</w:t>
      </w:r>
      <w:r w:rsidR="00AD5DFE" w:rsidRPr="00AD5DFE">
        <w:rPr>
          <w:rFonts w:ascii="Arial" w:hAnsi="Arial" w:cs="Arial"/>
          <w:sz w:val="24"/>
          <w:szCs w:val="24"/>
          <w:lang w:val="en-US"/>
        </w:rPr>
        <w:t xml:space="preserve"> to pay for any part of the work ostensibly performed in respect of stages two and three</w:t>
      </w:r>
      <w:r w:rsidR="00B46660">
        <w:rPr>
          <w:rFonts w:ascii="Arial" w:hAnsi="Arial" w:cs="Arial"/>
          <w:sz w:val="24"/>
          <w:szCs w:val="24"/>
          <w:lang w:val="en-US"/>
        </w:rPr>
        <w:t xml:space="preserve">, </w:t>
      </w:r>
      <w:r w:rsidR="00D5311E">
        <w:rPr>
          <w:rFonts w:ascii="Arial" w:hAnsi="Arial" w:cs="Arial"/>
          <w:sz w:val="24"/>
          <w:szCs w:val="24"/>
          <w:lang w:val="en-US"/>
        </w:rPr>
        <w:t xml:space="preserve">which formed the </w:t>
      </w:r>
      <w:r w:rsidR="00AD5DFE" w:rsidRPr="00AD5DFE">
        <w:rPr>
          <w:rFonts w:ascii="Arial" w:hAnsi="Arial" w:cs="Arial"/>
          <w:sz w:val="24"/>
          <w:szCs w:val="24"/>
          <w:lang w:val="en-US"/>
        </w:rPr>
        <w:t xml:space="preserve">subject matter of </w:t>
      </w:r>
      <w:r w:rsidR="00B46660">
        <w:rPr>
          <w:rFonts w:ascii="Arial" w:hAnsi="Arial" w:cs="Arial"/>
          <w:sz w:val="24"/>
          <w:szCs w:val="24"/>
          <w:lang w:val="en-US"/>
        </w:rPr>
        <w:t>C</w:t>
      </w:r>
      <w:r w:rsidR="00AD5DFE" w:rsidRPr="00AD5DFE">
        <w:rPr>
          <w:rFonts w:ascii="Arial" w:hAnsi="Arial" w:cs="Arial"/>
          <w:sz w:val="24"/>
          <w:szCs w:val="24"/>
          <w:lang w:val="en-US"/>
        </w:rPr>
        <w:t>laim B</w:t>
      </w:r>
      <w:r w:rsidR="00B46660">
        <w:rPr>
          <w:rFonts w:ascii="Arial" w:hAnsi="Arial" w:cs="Arial"/>
          <w:sz w:val="24"/>
          <w:szCs w:val="24"/>
          <w:lang w:val="en-US"/>
        </w:rPr>
        <w:t xml:space="preserve"> in the arbitration</w:t>
      </w:r>
      <w:r w:rsidR="00AD5DFE" w:rsidRPr="00AD5DFE">
        <w:rPr>
          <w:rFonts w:ascii="Arial" w:hAnsi="Arial" w:cs="Arial"/>
          <w:sz w:val="24"/>
          <w:szCs w:val="24"/>
          <w:lang w:val="en-US"/>
        </w:rPr>
        <w:t xml:space="preserve">.  </w:t>
      </w:r>
    </w:p>
    <w:p w14:paraId="212CC615" w14:textId="2EDCE054" w:rsidR="00AD5DFE" w:rsidRPr="00AD5DFE" w:rsidRDefault="00A90BBB" w:rsidP="00AD5DFE">
      <w:pPr>
        <w:pStyle w:val="BowLevel1ListAlt"/>
        <w:rPr>
          <w:rFonts w:ascii="Arial" w:hAnsi="Arial" w:cs="Arial"/>
          <w:sz w:val="24"/>
          <w:szCs w:val="24"/>
          <w:lang w:val="en-US"/>
        </w:rPr>
      </w:pPr>
      <w:r>
        <w:rPr>
          <w:rFonts w:ascii="Arial" w:hAnsi="Arial" w:cs="Arial"/>
          <w:sz w:val="24"/>
          <w:szCs w:val="24"/>
          <w:lang w:val="en-US"/>
        </w:rPr>
        <w:t>The s</w:t>
      </w:r>
      <w:r w:rsidR="00AD5DFE" w:rsidRPr="00AD5DFE">
        <w:rPr>
          <w:rFonts w:ascii="Arial" w:hAnsi="Arial" w:cs="Arial"/>
          <w:sz w:val="24"/>
          <w:szCs w:val="24"/>
          <w:lang w:val="en-US"/>
        </w:rPr>
        <w:t xml:space="preserve">econd </w:t>
      </w:r>
      <w:r>
        <w:rPr>
          <w:rFonts w:ascii="Arial" w:hAnsi="Arial" w:cs="Arial"/>
          <w:sz w:val="24"/>
          <w:szCs w:val="24"/>
          <w:lang w:val="en-US"/>
        </w:rPr>
        <w:t>r</w:t>
      </w:r>
      <w:r w:rsidR="00AD5DFE" w:rsidRPr="00AD5DFE">
        <w:rPr>
          <w:rFonts w:ascii="Arial" w:hAnsi="Arial" w:cs="Arial"/>
          <w:sz w:val="24"/>
          <w:szCs w:val="24"/>
          <w:lang w:val="en-US"/>
        </w:rPr>
        <w:t xml:space="preserve">espondent </w:t>
      </w:r>
      <w:r w:rsidR="007E0DF9">
        <w:rPr>
          <w:rFonts w:ascii="Arial" w:hAnsi="Arial" w:cs="Arial"/>
          <w:sz w:val="24"/>
          <w:szCs w:val="24"/>
          <w:lang w:val="en-US"/>
        </w:rPr>
        <w:t xml:space="preserve">also </w:t>
      </w:r>
      <w:r>
        <w:rPr>
          <w:rFonts w:ascii="Arial" w:hAnsi="Arial" w:cs="Arial"/>
          <w:sz w:val="24"/>
          <w:szCs w:val="24"/>
          <w:lang w:val="en-US"/>
        </w:rPr>
        <w:t xml:space="preserve">referred to </w:t>
      </w:r>
      <w:r w:rsidR="007E0DF9">
        <w:rPr>
          <w:rFonts w:ascii="Arial" w:hAnsi="Arial" w:cs="Arial"/>
          <w:sz w:val="24"/>
          <w:szCs w:val="24"/>
          <w:lang w:val="en-US"/>
        </w:rPr>
        <w:t xml:space="preserve">confirmation of </w:t>
      </w:r>
      <w:r w:rsidR="00B46660">
        <w:rPr>
          <w:rFonts w:ascii="Arial" w:hAnsi="Arial" w:cs="Arial"/>
          <w:sz w:val="24"/>
          <w:szCs w:val="24"/>
          <w:lang w:val="en-US"/>
        </w:rPr>
        <w:t xml:space="preserve">that </w:t>
      </w:r>
      <w:r w:rsidR="007E0DF9">
        <w:rPr>
          <w:rFonts w:ascii="Arial" w:hAnsi="Arial" w:cs="Arial"/>
          <w:sz w:val="24"/>
          <w:szCs w:val="24"/>
          <w:lang w:val="en-US"/>
        </w:rPr>
        <w:t xml:space="preserve">payment plan </w:t>
      </w:r>
      <w:r w:rsidR="00D53F24">
        <w:rPr>
          <w:rFonts w:ascii="Arial" w:hAnsi="Arial" w:cs="Arial"/>
          <w:sz w:val="24"/>
          <w:szCs w:val="24"/>
          <w:lang w:val="en-US"/>
        </w:rPr>
        <w:t xml:space="preserve">reflected in an email </w:t>
      </w:r>
      <w:r w:rsidR="007E0DF9">
        <w:rPr>
          <w:rFonts w:ascii="Arial" w:hAnsi="Arial" w:cs="Arial"/>
          <w:sz w:val="24"/>
          <w:szCs w:val="24"/>
          <w:lang w:val="en-US"/>
        </w:rPr>
        <w:t xml:space="preserve">sent on behalf of the applicant </w:t>
      </w:r>
      <w:r w:rsidR="00D53F24">
        <w:rPr>
          <w:rFonts w:ascii="Arial" w:hAnsi="Arial" w:cs="Arial"/>
          <w:sz w:val="24"/>
          <w:szCs w:val="24"/>
          <w:lang w:val="en-US"/>
        </w:rPr>
        <w:t>to the first respondent’s attorneys on 6 December 2019</w:t>
      </w:r>
      <w:r w:rsidR="00B46660">
        <w:rPr>
          <w:rFonts w:ascii="Arial" w:hAnsi="Arial" w:cs="Arial"/>
          <w:sz w:val="24"/>
          <w:szCs w:val="24"/>
          <w:lang w:val="en-US"/>
        </w:rPr>
        <w:t>.  She dealt with this in the following passages in her award</w:t>
      </w:r>
      <w:r w:rsidR="00AD5DFE" w:rsidRPr="00AD5DFE">
        <w:rPr>
          <w:rFonts w:ascii="Arial" w:hAnsi="Arial" w:cs="Arial"/>
          <w:sz w:val="24"/>
          <w:szCs w:val="24"/>
          <w:lang w:val="en-US"/>
        </w:rPr>
        <w:t>:</w:t>
      </w:r>
    </w:p>
    <w:p w14:paraId="4DB7C634" w14:textId="76373AD4" w:rsidR="00AD5DFE" w:rsidRPr="00AD5DFE" w:rsidRDefault="00AD5DFE" w:rsidP="00AD5DFE">
      <w:pPr>
        <w:pStyle w:val="BowLevel1ListAlt"/>
        <w:numPr>
          <w:ilvl w:val="0"/>
          <w:numId w:val="0"/>
        </w:numPr>
        <w:ind w:left="2160" w:hanging="720"/>
        <w:rPr>
          <w:rFonts w:ascii="Arial" w:hAnsi="Arial" w:cs="Arial"/>
          <w:sz w:val="24"/>
          <w:szCs w:val="24"/>
          <w:lang w:val="en-US"/>
        </w:rPr>
      </w:pPr>
      <w:r w:rsidRPr="00AD5DFE">
        <w:rPr>
          <w:rFonts w:ascii="Arial" w:hAnsi="Arial" w:cs="Arial"/>
          <w:sz w:val="24"/>
          <w:szCs w:val="24"/>
          <w:lang w:val="en-US"/>
        </w:rPr>
        <w:t>“</w:t>
      </w:r>
      <w:r w:rsidRPr="00AD5DFE">
        <w:rPr>
          <w:rFonts w:ascii="Arial" w:hAnsi="Arial" w:cs="Arial"/>
          <w:i/>
          <w:iCs/>
          <w:sz w:val="24"/>
          <w:szCs w:val="24"/>
          <w:lang w:val="en-US"/>
        </w:rPr>
        <w:t>30.</w:t>
      </w:r>
      <w:r w:rsidRPr="00AD5DFE">
        <w:rPr>
          <w:rFonts w:ascii="Arial" w:hAnsi="Arial" w:cs="Arial"/>
          <w:i/>
          <w:iCs/>
          <w:sz w:val="24"/>
          <w:szCs w:val="24"/>
          <w:lang w:val="en-US"/>
        </w:rPr>
        <w:tab/>
        <w:t xml:space="preserve">The fact that </w:t>
      </w:r>
      <w:r w:rsidR="00723FC5">
        <w:rPr>
          <w:rFonts w:ascii="Arial" w:hAnsi="Arial" w:cs="Arial"/>
          <w:i/>
          <w:iCs/>
          <w:sz w:val="24"/>
          <w:szCs w:val="24"/>
          <w:lang w:val="en-US"/>
        </w:rPr>
        <w:t>[the applicant]</w:t>
      </w:r>
      <w:r w:rsidRPr="00AD5DFE">
        <w:rPr>
          <w:rFonts w:ascii="Arial" w:hAnsi="Arial" w:cs="Arial"/>
          <w:i/>
          <w:iCs/>
          <w:sz w:val="24"/>
          <w:szCs w:val="24"/>
          <w:lang w:val="en-US"/>
        </w:rPr>
        <w:t xml:space="preserve"> continued to accept that it owed </w:t>
      </w:r>
      <w:r w:rsidR="00723FC5">
        <w:rPr>
          <w:rFonts w:ascii="Arial" w:hAnsi="Arial" w:cs="Arial"/>
          <w:i/>
          <w:iCs/>
          <w:sz w:val="24"/>
          <w:szCs w:val="24"/>
          <w:lang w:val="en-US"/>
        </w:rPr>
        <w:t>[the first respondent]</w:t>
      </w:r>
      <w:r w:rsidRPr="00AD5DFE">
        <w:rPr>
          <w:rFonts w:ascii="Arial" w:hAnsi="Arial" w:cs="Arial"/>
          <w:i/>
          <w:iCs/>
          <w:sz w:val="24"/>
          <w:szCs w:val="24"/>
          <w:lang w:val="en-US"/>
        </w:rPr>
        <w:t xml:space="preserve"> payment for invoices rendered long after it was concerned that the contract was irregular, is further clear from the email from Ms Kekane to </w:t>
      </w:r>
      <w:r w:rsidR="00AC47B5">
        <w:rPr>
          <w:rFonts w:ascii="Arial" w:hAnsi="Arial" w:cs="Arial"/>
          <w:i/>
          <w:iCs/>
          <w:sz w:val="24"/>
          <w:szCs w:val="24"/>
          <w:lang w:val="en-US"/>
        </w:rPr>
        <w:t>[first respondent’s]</w:t>
      </w:r>
      <w:r w:rsidRPr="00AD5DFE">
        <w:rPr>
          <w:rFonts w:ascii="Arial" w:hAnsi="Arial" w:cs="Arial"/>
          <w:i/>
          <w:iCs/>
          <w:sz w:val="24"/>
          <w:szCs w:val="24"/>
          <w:lang w:val="en-US"/>
        </w:rPr>
        <w:t xml:space="preserve"> attorney as late as 6 December 2019 – in which she accepted that </w:t>
      </w:r>
      <w:r w:rsidR="00AC47B5">
        <w:rPr>
          <w:rFonts w:ascii="Arial" w:hAnsi="Arial" w:cs="Arial"/>
          <w:i/>
          <w:iCs/>
          <w:sz w:val="24"/>
          <w:szCs w:val="24"/>
          <w:lang w:val="en-US"/>
        </w:rPr>
        <w:t>[applicant]</w:t>
      </w:r>
      <w:r w:rsidRPr="00AD5DFE">
        <w:rPr>
          <w:rFonts w:ascii="Arial" w:hAnsi="Arial" w:cs="Arial"/>
          <w:i/>
          <w:iCs/>
          <w:sz w:val="24"/>
          <w:szCs w:val="24"/>
          <w:lang w:val="en-US"/>
        </w:rPr>
        <w:t xml:space="preserve"> owed </w:t>
      </w:r>
      <w:r w:rsidR="00AC47B5">
        <w:rPr>
          <w:rFonts w:ascii="Arial" w:hAnsi="Arial" w:cs="Arial"/>
          <w:i/>
          <w:iCs/>
          <w:sz w:val="24"/>
          <w:szCs w:val="24"/>
          <w:lang w:val="en-US"/>
        </w:rPr>
        <w:t>[first respondent]</w:t>
      </w:r>
      <w:r w:rsidRPr="00AD5DFE">
        <w:rPr>
          <w:rFonts w:ascii="Arial" w:hAnsi="Arial" w:cs="Arial"/>
          <w:i/>
          <w:iCs/>
          <w:sz w:val="24"/>
          <w:szCs w:val="24"/>
          <w:lang w:val="en-US"/>
        </w:rPr>
        <w:t xml:space="preserve"> R431</w:t>
      </w:r>
      <w:r w:rsidR="00D56435">
        <w:rPr>
          <w:rFonts w:ascii="Arial" w:hAnsi="Arial" w:cs="Arial"/>
          <w:i/>
          <w:iCs/>
          <w:sz w:val="24"/>
          <w:szCs w:val="24"/>
          <w:lang w:val="en-US"/>
        </w:rPr>
        <w:t>,</w:t>
      </w:r>
      <w:r w:rsidRPr="00AD5DFE">
        <w:rPr>
          <w:rFonts w:ascii="Arial" w:hAnsi="Arial" w:cs="Arial"/>
          <w:i/>
          <w:iCs/>
          <w:sz w:val="24"/>
          <w:szCs w:val="24"/>
          <w:lang w:val="en-US"/>
        </w:rPr>
        <w:t xml:space="preserve">000 which </w:t>
      </w:r>
      <w:r w:rsidR="00D56435">
        <w:rPr>
          <w:rFonts w:ascii="Arial" w:hAnsi="Arial" w:cs="Arial"/>
          <w:i/>
          <w:iCs/>
          <w:sz w:val="24"/>
          <w:szCs w:val="24"/>
          <w:lang w:val="en-US"/>
        </w:rPr>
        <w:t>s</w:t>
      </w:r>
      <w:r w:rsidRPr="00AD5DFE">
        <w:rPr>
          <w:rFonts w:ascii="Arial" w:hAnsi="Arial" w:cs="Arial"/>
          <w:i/>
          <w:iCs/>
          <w:sz w:val="24"/>
          <w:szCs w:val="24"/>
          <w:lang w:val="en-US"/>
        </w:rPr>
        <w:t xml:space="preserve">he stated that it would pay in instalments </w:t>
      </w:r>
      <w:r w:rsidR="00D56435">
        <w:rPr>
          <w:rFonts w:ascii="Arial" w:hAnsi="Arial" w:cs="Arial"/>
          <w:i/>
          <w:iCs/>
          <w:sz w:val="24"/>
          <w:szCs w:val="24"/>
          <w:lang w:val="en-US"/>
        </w:rPr>
        <w:t>over 7</w:t>
      </w:r>
      <w:r w:rsidRPr="00AD5DFE">
        <w:rPr>
          <w:rFonts w:ascii="Arial" w:hAnsi="Arial" w:cs="Arial"/>
          <w:i/>
          <w:iCs/>
          <w:sz w:val="24"/>
          <w:szCs w:val="24"/>
          <w:lang w:val="en-US"/>
        </w:rPr>
        <w:t xml:space="preserve"> months – and that it had already paid </w:t>
      </w:r>
      <w:r w:rsidR="00D56435">
        <w:rPr>
          <w:rFonts w:ascii="Arial" w:hAnsi="Arial" w:cs="Arial"/>
          <w:i/>
          <w:iCs/>
          <w:sz w:val="24"/>
          <w:szCs w:val="24"/>
          <w:lang w:val="en-US"/>
        </w:rPr>
        <w:t>[first respondent]</w:t>
      </w:r>
      <w:r w:rsidRPr="00AD5DFE">
        <w:rPr>
          <w:rFonts w:ascii="Arial" w:hAnsi="Arial" w:cs="Arial"/>
          <w:i/>
          <w:iCs/>
          <w:sz w:val="24"/>
          <w:szCs w:val="24"/>
          <w:lang w:val="en-US"/>
        </w:rPr>
        <w:t xml:space="preserve"> R569</w:t>
      </w:r>
      <w:r w:rsidR="00D56435">
        <w:rPr>
          <w:rFonts w:ascii="Arial" w:hAnsi="Arial" w:cs="Arial"/>
          <w:i/>
          <w:iCs/>
          <w:sz w:val="24"/>
          <w:szCs w:val="24"/>
          <w:lang w:val="en-US"/>
        </w:rPr>
        <w:t>,</w:t>
      </w:r>
      <w:r w:rsidRPr="00AD5DFE">
        <w:rPr>
          <w:rFonts w:ascii="Arial" w:hAnsi="Arial" w:cs="Arial"/>
          <w:i/>
          <w:iCs/>
          <w:sz w:val="24"/>
          <w:szCs w:val="24"/>
          <w:lang w:val="en-US"/>
        </w:rPr>
        <w:t>000.  The dispute at this point according to Ms Ke</w:t>
      </w:r>
      <w:r w:rsidR="00BE318A">
        <w:rPr>
          <w:rFonts w:ascii="Arial" w:hAnsi="Arial" w:cs="Arial"/>
          <w:i/>
          <w:iCs/>
          <w:sz w:val="24"/>
          <w:szCs w:val="24"/>
          <w:lang w:val="en-US"/>
        </w:rPr>
        <w:t>k</w:t>
      </w:r>
      <w:r w:rsidRPr="00AD5DFE">
        <w:rPr>
          <w:rFonts w:ascii="Arial" w:hAnsi="Arial" w:cs="Arial"/>
          <w:i/>
          <w:iCs/>
          <w:sz w:val="24"/>
          <w:szCs w:val="24"/>
          <w:lang w:val="en-US"/>
        </w:rPr>
        <w:t xml:space="preserve">ane’s email, appeared to concern only whether </w:t>
      </w:r>
      <w:r w:rsidR="0013242A">
        <w:rPr>
          <w:rFonts w:ascii="Arial" w:hAnsi="Arial" w:cs="Arial"/>
          <w:i/>
          <w:iCs/>
          <w:sz w:val="24"/>
          <w:szCs w:val="24"/>
          <w:lang w:val="en-US"/>
        </w:rPr>
        <w:t>[applicant]</w:t>
      </w:r>
      <w:r w:rsidRPr="00AD5DFE">
        <w:rPr>
          <w:rFonts w:ascii="Arial" w:hAnsi="Arial" w:cs="Arial"/>
          <w:i/>
          <w:iCs/>
          <w:sz w:val="24"/>
          <w:szCs w:val="24"/>
          <w:lang w:val="en-US"/>
        </w:rPr>
        <w:t xml:space="preserve"> owed </w:t>
      </w:r>
      <w:r w:rsidR="0013242A">
        <w:rPr>
          <w:rFonts w:ascii="Arial" w:hAnsi="Arial" w:cs="Arial"/>
          <w:i/>
          <w:iCs/>
          <w:sz w:val="24"/>
          <w:szCs w:val="24"/>
          <w:lang w:val="en-US"/>
        </w:rPr>
        <w:t>[first respondent]</w:t>
      </w:r>
      <w:r w:rsidRPr="00AD5DFE">
        <w:rPr>
          <w:rFonts w:ascii="Arial" w:hAnsi="Arial" w:cs="Arial"/>
          <w:i/>
          <w:iCs/>
          <w:sz w:val="24"/>
          <w:szCs w:val="24"/>
          <w:lang w:val="en-US"/>
        </w:rPr>
        <w:t xml:space="preserve"> for payment of the second and third stages </w:t>
      </w:r>
      <w:r w:rsidRPr="00AD5DFE">
        <w:rPr>
          <w:rFonts w:ascii="Arial" w:hAnsi="Arial" w:cs="Arial"/>
          <w:sz w:val="24"/>
          <w:szCs w:val="24"/>
          <w:lang w:val="en-US"/>
        </w:rPr>
        <w:t>– where no work was done.”</w:t>
      </w:r>
    </w:p>
    <w:p w14:paraId="1E3BAA09" w14:textId="233384C7" w:rsidR="00AD5DFE" w:rsidRPr="00AD5DFE" w:rsidRDefault="00AD5DFE" w:rsidP="00AD5DFE">
      <w:pPr>
        <w:pStyle w:val="BowLevel1ListAlt"/>
        <w:numPr>
          <w:ilvl w:val="0"/>
          <w:numId w:val="0"/>
        </w:numPr>
        <w:ind w:left="2160" w:hanging="720"/>
        <w:rPr>
          <w:rFonts w:ascii="Arial" w:hAnsi="Arial" w:cs="Arial"/>
          <w:i/>
          <w:iCs/>
          <w:sz w:val="24"/>
          <w:szCs w:val="24"/>
          <w:lang w:val="en-US"/>
        </w:rPr>
      </w:pPr>
      <w:r w:rsidRPr="00AD5DFE">
        <w:rPr>
          <w:rFonts w:ascii="Arial" w:hAnsi="Arial" w:cs="Arial"/>
          <w:sz w:val="24"/>
          <w:szCs w:val="24"/>
          <w:lang w:val="en-US"/>
        </w:rPr>
        <w:t>31.</w:t>
      </w:r>
      <w:r w:rsidRPr="00AD5DFE">
        <w:rPr>
          <w:rFonts w:ascii="Arial" w:hAnsi="Arial" w:cs="Arial"/>
          <w:sz w:val="24"/>
          <w:szCs w:val="24"/>
          <w:lang w:val="en-US"/>
        </w:rPr>
        <w:tab/>
      </w:r>
      <w:r w:rsidRPr="00AD5DFE">
        <w:rPr>
          <w:rFonts w:ascii="Arial" w:hAnsi="Arial" w:cs="Arial"/>
          <w:i/>
          <w:iCs/>
          <w:sz w:val="24"/>
          <w:szCs w:val="24"/>
          <w:lang w:val="en-US"/>
        </w:rPr>
        <w:t xml:space="preserve">It is only later that </w:t>
      </w:r>
      <w:r w:rsidR="0013242A">
        <w:rPr>
          <w:rFonts w:ascii="Arial" w:hAnsi="Arial" w:cs="Arial"/>
          <w:i/>
          <w:iCs/>
          <w:sz w:val="24"/>
          <w:szCs w:val="24"/>
          <w:lang w:val="en-US"/>
        </w:rPr>
        <w:t>[applicant]</w:t>
      </w:r>
      <w:r w:rsidRPr="00AD5DFE">
        <w:rPr>
          <w:rFonts w:ascii="Arial" w:hAnsi="Arial" w:cs="Arial"/>
          <w:i/>
          <w:iCs/>
          <w:sz w:val="24"/>
          <w:szCs w:val="24"/>
          <w:lang w:val="en-US"/>
        </w:rPr>
        <w:t xml:space="preserve"> adopted the approach that the invalidity of the </w:t>
      </w:r>
      <w:r w:rsidR="0013242A">
        <w:rPr>
          <w:rFonts w:ascii="Arial" w:hAnsi="Arial" w:cs="Arial"/>
          <w:i/>
          <w:iCs/>
          <w:sz w:val="24"/>
          <w:szCs w:val="24"/>
          <w:lang w:val="en-US"/>
        </w:rPr>
        <w:t>SLA</w:t>
      </w:r>
      <w:r w:rsidRPr="00AD5DFE">
        <w:rPr>
          <w:rFonts w:ascii="Arial" w:hAnsi="Arial" w:cs="Arial"/>
          <w:i/>
          <w:iCs/>
          <w:sz w:val="24"/>
          <w:szCs w:val="24"/>
          <w:lang w:val="en-US"/>
        </w:rPr>
        <w:t xml:space="preserve"> precluded </w:t>
      </w:r>
      <w:r w:rsidR="004367AC">
        <w:rPr>
          <w:rFonts w:ascii="Arial" w:hAnsi="Arial" w:cs="Arial"/>
          <w:i/>
          <w:iCs/>
          <w:sz w:val="24"/>
          <w:szCs w:val="24"/>
          <w:lang w:val="en-US"/>
        </w:rPr>
        <w:t>[first respondent]</w:t>
      </w:r>
      <w:r w:rsidRPr="00AD5DFE">
        <w:rPr>
          <w:rFonts w:ascii="Arial" w:hAnsi="Arial" w:cs="Arial"/>
          <w:i/>
          <w:iCs/>
          <w:sz w:val="24"/>
          <w:szCs w:val="24"/>
          <w:lang w:val="en-US"/>
        </w:rPr>
        <w:t xml:space="preserve"> from being compensated for work done under the </w:t>
      </w:r>
      <w:r w:rsidR="004367AC">
        <w:rPr>
          <w:rFonts w:ascii="Arial" w:hAnsi="Arial" w:cs="Arial"/>
          <w:i/>
          <w:iCs/>
          <w:sz w:val="24"/>
          <w:szCs w:val="24"/>
          <w:lang w:val="en-US"/>
        </w:rPr>
        <w:t>SLA</w:t>
      </w:r>
      <w:r w:rsidRPr="00AD5DFE">
        <w:rPr>
          <w:rFonts w:ascii="Arial" w:hAnsi="Arial" w:cs="Arial"/>
          <w:i/>
          <w:iCs/>
          <w:sz w:val="24"/>
          <w:szCs w:val="24"/>
          <w:lang w:val="en-US"/>
        </w:rPr>
        <w:t>.</w:t>
      </w:r>
    </w:p>
    <w:p w14:paraId="71F6D962" w14:textId="63836514" w:rsidR="00AD5DFE" w:rsidRPr="00AD5DFE" w:rsidRDefault="00AD5DFE" w:rsidP="00AD5DFE">
      <w:pPr>
        <w:pStyle w:val="BowLevel1ListAlt"/>
        <w:numPr>
          <w:ilvl w:val="0"/>
          <w:numId w:val="0"/>
        </w:numPr>
        <w:ind w:left="2160" w:hanging="720"/>
        <w:rPr>
          <w:rFonts w:ascii="Arial" w:hAnsi="Arial" w:cs="Arial"/>
          <w:i/>
          <w:iCs/>
          <w:sz w:val="24"/>
          <w:szCs w:val="24"/>
          <w:lang w:val="en-US"/>
        </w:rPr>
      </w:pPr>
      <w:r w:rsidRPr="00AD5DFE">
        <w:rPr>
          <w:rFonts w:ascii="Arial" w:hAnsi="Arial" w:cs="Arial"/>
          <w:i/>
          <w:iCs/>
          <w:sz w:val="24"/>
          <w:szCs w:val="24"/>
          <w:lang w:val="en-US"/>
        </w:rPr>
        <w:t>32.</w:t>
      </w:r>
      <w:r w:rsidRPr="00AD5DFE">
        <w:rPr>
          <w:rFonts w:ascii="Arial" w:hAnsi="Arial" w:cs="Arial"/>
          <w:i/>
          <w:iCs/>
          <w:sz w:val="24"/>
          <w:szCs w:val="24"/>
          <w:lang w:val="en-US"/>
        </w:rPr>
        <w:tab/>
        <w:t xml:space="preserve">Ms Kekane also testified that there was no proof that any work was done in respect of any of the stages.  She requested this documentation several times and was not provided with any of the necessary reports of work done.  Despite this, she negotiated a payment plan as described above with </w:t>
      </w:r>
      <w:r w:rsidR="004367AC">
        <w:rPr>
          <w:rFonts w:ascii="Arial" w:hAnsi="Arial" w:cs="Arial"/>
          <w:i/>
          <w:iCs/>
          <w:sz w:val="24"/>
          <w:szCs w:val="24"/>
          <w:lang w:val="en-US"/>
        </w:rPr>
        <w:t>[first respondent]</w:t>
      </w:r>
      <w:r w:rsidRPr="00AD5DFE">
        <w:rPr>
          <w:rFonts w:ascii="Arial" w:hAnsi="Arial" w:cs="Arial"/>
          <w:i/>
          <w:iCs/>
          <w:sz w:val="24"/>
          <w:szCs w:val="24"/>
          <w:lang w:val="en-US"/>
        </w:rPr>
        <w:t xml:space="preserve">, and </w:t>
      </w:r>
      <w:r w:rsidR="004367AC">
        <w:rPr>
          <w:rFonts w:ascii="Arial" w:hAnsi="Arial" w:cs="Arial"/>
          <w:i/>
          <w:iCs/>
          <w:sz w:val="24"/>
          <w:szCs w:val="24"/>
          <w:lang w:val="en-US"/>
        </w:rPr>
        <w:t>[applicant]</w:t>
      </w:r>
      <w:r w:rsidRPr="00AD5DFE">
        <w:rPr>
          <w:rFonts w:ascii="Arial" w:hAnsi="Arial" w:cs="Arial"/>
          <w:i/>
          <w:iCs/>
          <w:sz w:val="24"/>
          <w:szCs w:val="24"/>
          <w:lang w:val="en-US"/>
        </w:rPr>
        <w:t xml:space="preserve"> made a payment of R61</w:t>
      </w:r>
      <w:r w:rsidR="004367AC">
        <w:rPr>
          <w:rFonts w:ascii="Arial" w:hAnsi="Arial" w:cs="Arial"/>
          <w:i/>
          <w:iCs/>
          <w:sz w:val="24"/>
          <w:szCs w:val="24"/>
          <w:lang w:val="en-US"/>
        </w:rPr>
        <w:t>,</w:t>
      </w:r>
      <w:r w:rsidRPr="00AD5DFE">
        <w:rPr>
          <w:rFonts w:ascii="Arial" w:hAnsi="Arial" w:cs="Arial"/>
          <w:i/>
          <w:iCs/>
          <w:sz w:val="24"/>
          <w:szCs w:val="24"/>
          <w:lang w:val="en-US"/>
        </w:rPr>
        <w:t xml:space="preserve"> 570.”</w:t>
      </w:r>
    </w:p>
    <w:p w14:paraId="3FAF23ED" w14:textId="77777777" w:rsidR="00B035CB" w:rsidRDefault="00AD5DFE" w:rsidP="00AD5DFE">
      <w:pPr>
        <w:pStyle w:val="BowLevel1ListAlt"/>
        <w:rPr>
          <w:rFonts w:ascii="Arial" w:hAnsi="Arial" w:cs="Arial"/>
          <w:sz w:val="24"/>
          <w:szCs w:val="24"/>
          <w:lang w:val="en-US"/>
        </w:rPr>
      </w:pPr>
      <w:r w:rsidRPr="00AD5DFE">
        <w:rPr>
          <w:rFonts w:ascii="Arial" w:hAnsi="Arial" w:cs="Arial"/>
          <w:sz w:val="24"/>
          <w:szCs w:val="24"/>
          <w:lang w:val="en-US"/>
        </w:rPr>
        <w:t xml:space="preserve">The </w:t>
      </w:r>
      <w:r w:rsidR="00F90330">
        <w:rPr>
          <w:rFonts w:ascii="Arial" w:hAnsi="Arial" w:cs="Arial"/>
          <w:sz w:val="24"/>
          <w:szCs w:val="24"/>
          <w:lang w:val="en-US"/>
        </w:rPr>
        <w:t>second respondent</w:t>
      </w:r>
      <w:r w:rsidRPr="00AD5DFE">
        <w:rPr>
          <w:rFonts w:ascii="Arial" w:hAnsi="Arial" w:cs="Arial"/>
          <w:sz w:val="24"/>
          <w:szCs w:val="24"/>
          <w:lang w:val="en-US"/>
        </w:rPr>
        <w:t xml:space="preserve"> went on to consider the implications of the Turquand Rule and the doctrine of ostensible authority, </w:t>
      </w:r>
      <w:r w:rsidR="00F90330">
        <w:rPr>
          <w:rFonts w:ascii="Arial" w:hAnsi="Arial" w:cs="Arial"/>
          <w:sz w:val="24"/>
          <w:szCs w:val="24"/>
          <w:lang w:val="en-US"/>
        </w:rPr>
        <w:t xml:space="preserve">and ultimately </w:t>
      </w:r>
      <w:r w:rsidRPr="00AD5DFE">
        <w:rPr>
          <w:rFonts w:ascii="Arial" w:hAnsi="Arial" w:cs="Arial"/>
          <w:sz w:val="24"/>
          <w:szCs w:val="24"/>
          <w:lang w:val="en-US"/>
        </w:rPr>
        <w:t xml:space="preserve">concluded that the </w:t>
      </w:r>
      <w:r w:rsidR="00F90330">
        <w:rPr>
          <w:rFonts w:ascii="Arial" w:hAnsi="Arial" w:cs="Arial"/>
          <w:sz w:val="24"/>
          <w:szCs w:val="24"/>
          <w:lang w:val="en-US"/>
        </w:rPr>
        <w:t>s</w:t>
      </w:r>
      <w:r w:rsidRPr="00AD5DFE">
        <w:rPr>
          <w:rFonts w:ascii="Arial" w:hAnsi="Arial" w:cs="Arial"/>
          <w:sz w:val="24"/>
          <w:szCs w:val="24"/>
          <w:lang w:val="en-US"/>
        </w:rPr>
        <w:t xml:space="preserve">ervice </w:t>
      </w:r>
      <w:r w:rsidR="00F90330">
        <w:rPr>
          <w:rFonts w:ascii="Arial" w:hAnsi="Arial" w:cs="Arial"/>
          <w:sz w:val="24"/>
          <w:szCs w:val="24"/>
          <w:lang w:val="en-US"/>
        </w:rPr>
        <w:t>l</w:t>
      </w:r>
      <w:r w:rsidRPr="00AD5DFE">
        <w:rPr>
          <w:rFonts w:ascii="Arial" w:hAnsi="Arial" w:cs="Arial"/>
          <w:sz w:val="24"/>
          <w:szCs w:val="24"/>
          <w:lang w:val="en-US"/>
        </w:rPr>
        <w:t xml:space="preserve">evel </w:t>
      </w:r>
      <w:r w:rsidR="00F90330">
        <w:rPr>
          <w:rFonts w:ascii="Arial" w:hAnsi="Arial" w:cs="Arial"/>
          <w:sz w:val="24"/>
          <w:szCs w:val="24"/>
          <w:lang w:val="en-US"/>
        </w:rPr>
        <w:t>a</w:t>
      </w:r>
      <w:r w:rsidRPr="00AD5DFE">
        <w:rPr>
          <w:rFonts w:ascii="Arial" w:hAnsi="Arial" w:cs="Arial"/>
          <w:sz w:val="24"/>
          <w:szCs w:val="24"/>
          <w:lang w:val="en-US"/>
        </w:rPr>
        <w:t xml:space="preserve">greement </w:t>
      </w:r>
      <w:r w:rsidR="00F90330">
        <w:rPr>
          <w:rFonts w:ascii="Arial" w:hAnsi="Arial" w:cs="Arial"/>
          <w:sz w:val="24"/>
          <w:szCs w:val="24"/>
          <w:lang w:val="en-US"/>
        </w:rPr>
        <w:t xml:space="preserve">had been </w:t>
      </w:r>
      <w:r w:rsidRPr="00AD5DFE">
        <w:rPr>
          <w:rFonts w:ascii="Arial" w:hAnsi="Arial" w:cs="Arial"/>
          <w:sz w:val="24"/>
          <w:szCs w:val="24"/>
          <w:lang w:val="en-US"/>
        </w:rPr>
        <w:t>validly concluded.</w:t>
      </w:r>
      <w:r w:rsidR="00B035CB">
        <w:rPr>
          <w:rFonts w:ascii="Arial" w:hAnsi="Arial" w:cs="Arial"/>
          <w:sz w:val="24"/>
          <w:szCs w:val="24"/>
          <w:lang w:val="en-US"/>
        </w:rPr>
        <w:t xml:space="preserve">  </w:t>
      </w:r>
    </w:p>
    <w:p w14:paraId="228E02B0" w14:textId="3D09E551" w:rsidR="00B035CB" w:rsidRDefault="00B035CB" w:rsidP="00AD5DFE">
      <w:pPr>
        <w:pStyle w:val="BowLevel1ListAlt"/>
        <w:rPr>
          <w:rFonts w:ascii="Arial" w:hAnsi="Arial" w:cs="Arial"/>
          <w:sz w:val="24"/>
          <w:szCs w:val="24"/>
          <w:lang w:val="en-US"/>
        </w:rPr>
      </w:pPr>
      <w:r>
        <w:rPr>
          <w:rFonts w:ascii="Arial" w:hAnsi="Arial" w:cs="Arial"/>
          <w:sz w:val="24"/>
          <w:szCs w:val="24"/>
          <w:lang w:val="en-US"/>
        </w:rPr>
        <w:lastRenderedPageBreak/>
        <w:t>This disposed of the first issue that she was required to decide.</w:t>
      </w:r>
    </w:p>
    <w:p w14:paraId="2DCFA050" w14:textId="6A96B3F4" w:rsidR="00AD5DFE" w:rsidRPr="00AD5DFE" w:rsidRDefault="008400EF" w:rsidP="00AD5DFE">
      <w:pPr>
        <w:pStyle w:val="BowLevel1ListAlt"/>
        <w:rPr>
          <w:rFonts w:ascii="Arial" w:hAnsi="Arial" w:cs="Arial"/>
          <w:sz w:val="24"/>
          <w:szCs w:val="24"/>
          <w:lang w:val="en-US"/>
        </w:rPr>
      </w:pPr>
      <w:r>
        <w:rPr>
          <w:rFonts w:ascii="Arial" w:hAnsi="Arial" w:cs="Arial"/>
          <w:sz w:val="24"/>
          <w:szCs w:val="24"/>
          <w:lang w:val="en-US"/>
        </w:rPr>
        <w:t xml:space="preserve">The second respondent then continued by concluding that </w:t>
      </w:r>
      <w:r w:rsidR="00AD5DFE" w:rsidRPr="00AD5DFE">
        <w:rPr>
          <w:rFonts w:ascii="Arial" w:hAnsi="Arial" w:cs="Arial"/>
          <w:sz w:val="24"/>
          <w:szCs w:val="24"/>
          <w:lang w:val="en-US"/>
        </w:rPr>
        <w:t xml:space="preserve">the </w:t>
      </w:r>
      <w:r>
        <w:rPr>
          <w:rFonts w:ascii="Arial" w:hAnsi="Arial" w:cs="Arial"/>
          <w:sz w:val="24"/>
          <w:szCs w:val="24"/>
          <w:lang w:val="en-US"/>
        </w:rPr>
        <w:t>a</w:t>
      </w:r>
      <w:r w:rsidR="00AD5DFE" w:rsidRPr="00AD5DFE">
        <w:rPr>
          <w:rFonts w:ascii="Arial" w:hAnsi="Arial" w:cs="Arial"/>
          <w:sz w:val="24"/>
          <w:szCs w:val="24"/>
          <w:lang w:val="en-US"/>
        </w:rPr>
        <w:t xml:space="preserve">greement </w:t>
      </w:r>
      <w:r>
        <w:rPr>
          <w:rFonts w:ascii="Arial" w:hAnsi="Arial" w:cs="Arial"/>
          <w:sz w:val="24"/>
          <w:szCs w:val="24"/>
          <w:lang w:val="en-US"/>
        </w:rPr>
        <w:t xml:space="preserve">or payment plan </w:t>
      </w:r>
      <w:r w:rsidR="00AD5DFE" w:rsidRPr="00AD5DFE">
        <w:rPr>
          <w:rFonts w:ascii="Arial" w:hAnsi="Arial" w:cs="Arial"/>
          <w:sz w:val="24"/>
          <w:szCs w:val="24"/>
          <w:lang w:val="en-US"/>
        </w:rPr>
        <w:t xml:space="preserve">reflected in the July 2019 minutes, referred to above, and </w:t>
      </w:r>
      <w:r w:rsidR="00B20E3B">
        <w:rPr>
          <w:rFonts w:ascii="Arial" w:hAnsi="Arial" w:cs="Arial"/>
          <w:sz w:val="24"/>
          <w:szCs w:val="24"/>
          <w:lang w:val="en-US"/>
        </w:rPr>
        <w:t xml:space="preserve">recorded </w:t>
      </w:r>
      <w:r w:rsidR="00AD5DFE" w:rsidRPr="00AD5DFE">
        <w:rPr>
          <w:rFonts w:ascii="Arial" w:hAnsi="Arial" w:cs="Arial"/>
          <w:sz w:val="24"/>
          <w:szCs w:val="24"/>
          <w:lang w:val="en-US"/>
        </w:rPr>
        <w:t>in subsequent emails between the parties</w:t>
      </w:r>
      <w:r w:rsidR="00B46660">
        <w:rPr>
          <w:rFonts w:ascii="Arial" w:hAnsi="Arial" w:cs="Arial"/>
          <w:sz w:val="24"/>
          <w:szCs w:val="24"/>
          <w:lang w:val="en-US"/>
        </w:rPr>
        <w:t>,</w:t>
      </w:r>
      <w:r w:rsidR="00AD5DFE" w:rsidRPr="00AD5DFE">
        <w:rPr>
          <w:rFonts w:ascii="Arial" w:hAnsi="Arial" w:cs="Arial"/>
          <w:sz w:val="24"/>
          <w:szCs w:val="24"/>
          <w:lang w:val="en-US"/>
        </w:rPr>
        <w:t xml:space="preserve"> was binding on the parties.  She therefore resolved the </w:t>
      </w:r>
      <w:r w:rsidR="00B20E3B">
        <w:rPr>
          <w:rFonts w:ascii="Arial" w:hAnsi="Arial" w:cs="Arial"/>
          <w:sz w:val="24"/>
          <w:szCs w:val="24"/>
          <w:lang w:val="en-US"/>
        </w:rPr>
        <w:t xml:space="preserve">second issue that she was required to decide, insofar as it concerned </w:t>
      </w:r>
      <w:r w:rsidR="00AD5DFE" w:rsidRPr="00AD5DFE">
        <w:rPr>
          <w:rFonts w:ascii="Arial" w:hAnsi="Arial" w:cs="Arial"/>
          <w:sz w:val="24"/>
          <w:szCs w:val="24"/>
          <w:lang w:val="en-US"/>
        </w:rPr>
        <w:t>Claim A</w:t>
      </w:r>
      <w:r w:rsidR="00D53DB9">
        <w:rPr>
          <w:rFonts w:ascii="Arial" w:hAnsi="Arial" w:cs="Arial"/>
          <w:sz w:val="24"/>
          <w:szCs w:val="24"/>
          <w:lang w:val="en-US"/>
        </w:rPr>
        <w:t xml:space="preserve">, on the basis that the first respondent was entitled to an order for payment of </w:t>
      </w:r>
      <w:r w:rsidR="00AD5DFE" w:rsidRPr="00AD5DFE">
        <w:rPr>
          <w:rFonts w:ascii="Arial" w:hAnsi="Arial" w:cs="Arial"/>
          <w:sz w:val="24"/>
          <w:szCs w:val="24"/>
          <w:lang w:val="en-US"/>
        </w:rPr>
        <w:t xml:space="preserve">the amount agreed by </w:t>
      </w:r>
      <w:r w:rsidR="00D53DB9">
        <w:rPr>
          <w:rFonts w:ascii="Arial" w:hAnsi="Arial" w:cs="Arial"/>
          <w:sz w:val="24"/>
          <w:szCs w:val="24"/>
          <w:lang w:val="en-US"/>
        </w:rPr>
        <w:t xml:space="preserve">the applicant </w:t>
      </w:r>
      <w:r w:rsidR="00AD5DFE" w:rsidRPr="00AD5DFE">
        <w:rPr>
          <w:rFonts w:ascii="Arial" w:hAnsi="Arial" w:cs="Arial"/>
          <w:sz w:val="24"/>
          <w:szCs w:val="24"/>
          <w:lang w:val="en-US"/>
        </w:rPr>
        <w:t>in July 2019</w:t>
      </w:r>
      <w:r w:rsidR="00D53DB9">
        <w:rPr>
          <w:rFonts w:ascii="Arial" w:hAnsi="Arial" w:cs="Arial"/>
          <w:sz w:val="24"/>
          <w:szCs w:val="24"/>
          <w:lang w:val="en-US"/>
        </w:rPr>
        <w:t>,</w:t>
      </w:r>
      <w:r w:rsidR="00AD5DFE" w:rsidRPr="00AD5DFE">
        <w:rPr>
          <w:rFonts w:ascii="Arial" w:hAnsi="Arial" w:cs="Arial"/>
          <w:sz w:val="24"/>
          <w:szCs w:val="24"/>
          <w:lang w:val="en-US"/>
        </w:rPr>
        <w:t xml:space="preserve"> as reflected in the minutes of those meetings. </w:t>
      </w:r>
    </w:p>
    <w:p w14:paraId="1145FA20" w14:textId="5183E539" w:rsidR="00AD5DFE" w:rsidRPr="00AD5DFE" w:rsidRDefault="00D53DB9" w:rsidP="00AD5DFE">
      <w:pPr>
        <w:pStyle w:val="BowLevel1ListAlt"/>
        <w:rPr>
          <w:rFonts w:ascii="Arial" w:hAnsi="Arial" w:cs="Arial"/>
          <w:sz w:val="24"/>
          <w:szCs w:val="24"/>
          <w:lang w:val="en-US"/>
        </w:rPr>
      </w:pPr>
      <w:r>
        <w:rPr>
          <w:rFonts w:ascii="Arial" w:hAnsi="Arial" w:cs="Arial"/>
          <w:sz w:val="24"/>
          <w:szCs w:val="24"/>
          <w:lang w:val="en-US"/>
        </w:rPr>
        <w:t>Her reasoning in this regard was</w:t>
      </w:r>
      <w:r w:rsidR="00AD5DFE" w:rsidRPr="00AD5DFE">
        <w:rPr>
          <w:rFonts w:ascii="Arial" w:hAnsi="Arial" w:cs="Arial"/>
          <w:sz w:val="24"/>
          <w:szCs w:val="24"/>
          <w:lang w:val="en-US"/>
        </w:rPr>
        <w:t xml:space="preserve"> essentially as follows:</w:t>
      </w:r>
    </w:p>
    <w:p w14:paraId="44996807" w14:textId="18251115" w:rsidR="00AD5DFE" w:rsidRPr="003E1A1A" w:rsidRDefault="00AD5DFE" w:rsidP="00AD5DFE">
      <w:pPr>
        <w:pStyle w:val="BowLevel1ListAlt"/>
        <w:numPr>
          <w:ilvl w:val="0"/>
          <w:numId w:val="0"/>
        </w:numPr>
        <w:ind w:left="2160" w:hanging="720"/>
        <w:rPr>
          <w:rFonts w:ascii="Arial" w:hAnsi="Arial" w:cs="Arial"/>
          <w:sz w:val="24"/>
          <w:szCs w:val="24"/>
          <w:lang w:val="en-US"/>
        </w:rPr>
      </w:pPr>
      <w:r w:rsidRPr="00AD5DFE">
        <w:rPr>
          <w:rFonts w:ascii="Arial" w:hAnsi="Arial" w:cs="Arial"/>
          <w:sz w:val="24"/>
          <w:szCs w:val="24"/>
          <w:lang w:val="en-US"/>
        </w:rPr>
        <w:t>“</w:t>
      </w:r>
      <w:r w:rsidRPr="00AD5DFE">
        <w:rPr>
          <w:rFonts w:ascii="Arial" w:hAnsi="Arial" w:cs="Arial"/>
          <w:i/>
          <w:iCs/>
          <w:sz w:val="24"/>
          <w:szCs w:val="24"/>
          <w:lang w:val="en-US"/>
        </w:rPr>
        <w:t>48.</w:t>
      </w:r>
      <w:r w:rsidRPr="00AD5DFE">
        <w:rPr>
          <w:rFonts w:ascii="Arial" w:hAnsi="Arial" w:cs="Arial"/>
          <w:i/>
          <w:iCs/>
          <w:sz w:val="24"/>
          <w:szCs w:val="24"/>
          <w:lang w:val="en-US"/>
        </w:rPr>
        <w:tab/>
        <w:t xml:space="preserve">In the present matter, absent </w:t>
      </w:r>
      <w:r w:rsidR="00D53DB9">
        <w:rPr>
          <w:rFonts w:ascii="Arial" w:hAnsi="Arial" w:cs="Arial"/>
          <w:i/>
          <w:iCs/>
          <w:sz w:val="24"/>
          <w:szCs w:val="24"/>
          <w:lang w:val="en-US"/>
        </w:rPr>
        <w:t>[applicant’s]</w:t>
      </w:r>
      <w:r w:rsidRPr="00AD5DFE">
        <w:rPr>
          <w:rFonts w:ascii="Arial" w:hAnsi="Arial" w:cs="Arial"/>
          <w:i/>
          <w:iCs/>
          <w:sz w:val="24"/>
          <w:szCs w:val="24"/>
          <w:lang w:val="en-US"/>
        </w:rPr>
        <w:t xml:space="preserve"> agreement of July 2019 that it was obliged to pay </w:t>
      </w:r>
      <w:r w:rsidR="00D53DB9">
        <w:rPr>
          <w:rFonts w:ascii="Arial" w:hAnsi="Arial" w:cs="Arial"/>
          <w:i/>
          <w:iCs/>
          <w:sz w:val="24"/>
          <w:szCs w:val="24"/>
          <w:lang w:val="en-US"/>
        </w:rPr>
        <w:t>[first respondent]</w:t>
      </w:r>
      <w:r w:rsidRPr="00AD5DFE">
        <w:rPr>
          <w:rFonts w:ascii="Arial" w:hAnsi="Arial" w:cs="Arial"/>
          <w:i/>
          <w:iCs/>
          <w:sz w:val="24"/>
          <w:szCs w:val="24"/>
          <w:lang w:val="en-US"/>
        </w:rPr>
        <w:t xml:space="preserve"> for the amounts outstanding under the contract, an argument may validly have been made that [</w:t>
      </w:r>
      <w:r w:rsidR="00F860F2">
        <w:rPr>
          <w:rFonts w:ascii="Arial" w:hAnsi="Arial" w:cs="Arial"/>
          <w:i/>
          <w:iCs/>
          <w:sz w:val="24"/>
          <w:szCs w:val="24"/>
          <w:lang w:val="en-US"/>
        </w:rPr>
        <w:t>first respondent</w:t>
      </w:r>
      <w:r w:rsidR="00B46660" w:rsidRPr="00B46660">
        <w:rPr>
          <w:rStyle w:val="FootnoteReference"/>
          <w:rFonts w:ascii="Arial" w:hAnsi="Arial" w:cs="Arial"/>
          <w:i/>
          <w:iCs/>
          <w:sz w:val="24"/>
          <w:szCs w:val="24"/>
          <w:lang w:val="en-US"/>
        </w:rPr>
        <w:footnoteReference w:id="1"/>
      </w:r>
      <w:r w:rsidRPr="00B46660">
        <w:rPr>
          <w:rFonts w:ascii="Arial" w:hAnsi="Arial" w:cs="Arial"/>
          <w:i/>
          <w:iCs/>
          <w:sz w:val="24"/>
          <w:szCs w:val="24"/>
          <w:lang w:val="en-US"/>
        </w:rPr>
        <w:t>]</w:t>
      </w:r>
      <w:r w:rsidR="00F860F2">
        <w:rPr>
          <w:rFonts w:ascii="Arial" w:hAnsi="Arial" w:cs="Arial"/>
          <w:i/>
          <w:iCs/>
          <w:sz w:val="24"/>
          <w:szCs w:val="24"/>
          <w:lang w:val="en-US"/>
        </w:rPr>
        <w:t xml:space="preserve"> </w:t>
      </w:r>
      <w:r w:rsidRPr="00AD5DFE">
        <w:rPr>
          <w:rFonts w:ascii="Arial" w:hAnsi="Arial" w:cs="Arial"/>
          <w:i/>
          <w:iCs/>
          <w:sz w:val="24"/>
          <w:szCs w:val="24"/>
          <w:lang w:val="en-US"/>
        </w:rPr>
        <w:t xml:space="preserve">failed to provide sufficient services to justify payment under the contract.  </w:t>
      </w:r>
      <w:r w:rsidR="00D41236">
        <w:rPr>
          <w:rFonts w:ascii="Arial" w:hAnsi="Arial" w:cs="Arial"/>
          <w:i/>
          <w:iCs/>
          <w:sz w:val="24"/>
          <w:szCs w:val="24"/>
          <w:lang w:val="en-US"/>
        </w:rPr>
        <w:t>[Applicant’s</w:t>
      </w:r>
      <w:r w:rsidR="00B46660">
        <w:rPr>
          <w:rFonts w:ascii="Arial" w:hAnsi="Arial" w:cs="Arial"/>
          <w:i/>
          <w:iCs/>
          <w:sz w:val="24"/>
          <w:szCs w:val="24"/>
          <w:lang w:val="en-US"/>
        </w:rPr>
        <w:t>]</w:t>
      </w:r>
      <w:r w:rsidR="00D41236">
        <w:rPr>
          <w:rFonts w:ascii="Arial" w:hAnsi="Arial" w:cs="Arial"/>
          <w:i/>
          <w:iCs/>
          <w:sz w:val="24"/>
          <w:szCs w:val="24"/>
          <w:lang w:val="en-US"/>
        </w:rPr>
        <w:t xml:space="preserve"> </w:t>
      </w:r>
      <w:r w:rsidRPr="00AD5DFE">
        <w:rPr>
          <w:rFonts w:ascii="Arial" w:hAnsi="Arial" w:cs="Arial"/>
          <w:i/>
          <w:iCs/>
          <w:sz w:val="24"/>
          <w:szCs w:val="24"/>
          <w:lang w:val="en-US"/>
        </w:rPr>
        <w:t xml:space="preserve">conduct in negotiating </w:t>
      </w:r>
      <w:r w:rsidR="00D41236">
        <w:rPr>
          <w:rFonts w:ascii="Arial" w:hAnsi="Arial" w:cs="Arial"/>
          <w:i/>
          <w:iCs/>
          <w:sz w:val="24"/>
          <w:szCs w:val="24"/>
          <w:lang w:val="en-US"/>
        </w:rPr>
        <w:t xml:space="preserve">a </w:t>
      </w:r>
      <w:r w:rsidRPr="00AD5DFE">
        <w:rPr>
          <w:rFonts w:ascii="Arial" w:hAnsi="Arial" w:cs="Arial"/>
          <w:i/>
          <w:iCs/>
          <w:sz w:val="24"/>
          <w:szCs w:val="24"/>
          <w:lang w:val="en-US"/>
        </w:rPr>
        <w:t xml:space="preserve">payment </w:t>
      </w:r>
      <w:r w:rsidR="005922FC">
        <w:rPr>
          <w:rFonts w:ascii="Arial" w:hAnsi="Arial" w:cs="Arial"/>
          <w:i/>
          <w:iCs/>
          <w:sz w:val="24"/>
          <w:szCs w:val="24"/>
          <w:lang w:val="en-US"/>
        </w:rPr>
        <w:t xml:space="preserve">agreement </w:t>
      </w:r>
      <w:r w:rsidRPr="00AD5DFE">
        <w:rPr>
          <w:rFonts w:ascii="Arial" w:hAnsi="Arial" w:cs="Arial"/>
          <w:i/>
          <w:iCs/>
          <w:sz w:val="24"/>
          <w:szCs w:val="24"/>
          <w:lang w:val="en-US"/>
        </w:rPr>
        <w:t xml:space="preserve">with </w:t>
      </w:r>
      <w:r w:rsidR="005922FC">
        <w:rPr>
          <w:rFonts w:ascii="Arial" w:hAnsi="Arial" w:cs="Arial"/>
          <w:i/>
          <w:iCs/>
          <w:sz w:val="24"/>
          <w:szCs w:val="24"/>
          <w:lang w:val="en-US"/>
        </w:rPr>
        <w:t>[first respondent]</w:t>
      </w:r>
      <w:r w:rsidRPr="00AD5DFE">
        <w:rPr>
          <w:rFonts w:ascii="Arial" w:hAnsi="Arial" w:cs="Arial"/>
          <w:i/>
          <w:iCs/>
          <w:sz w:val="24"/>
          <w:szCs w:val="24"/>
          <w:lang w:val="en-US"/>
        </w:rPr>
        <w:t xml:space="preserve"> notwithstanding its knowledge of other irregular conduct on the part of its office bearers and the possibility that the present contract was concluded in the absence of CEC approval, precludes it from now </w:t>
      </w:r>
      <w:r w:rsidRPr="003E1A1A">
        <w:rPr>
          <w:rFonts w:ascii="Arial" w:hAnsi="Arial" w:cs="Arial"/>
          <w:i/>
          <w:iCs/>
          <w:sz w:val="24"/>
          <w:szCs w:val="24"/>
          <w:lang w:val="en-US"/>
        </w:rPr>
        <w:t>claiming that the SLA was fraudulent.”</w:t>
      </w:r>
    </w:p>
    <w:p w14:paraId="7139E2FC" w14:textId="62C00D1D" w:rsidR="0066122B" w:rsidRPr="003E1A1A" w:rsidRDefault="00AD5DFE" w:rsidP="00AD5DFE">
      <w:pPr>
        <w:pStyle w:val="BowLevel1ListAlt"/>
        <w:rPr>
          <w:rFonts w:ascii="Arial" w:hAnsi="Arial" w:cs="Arial"/>
          <w:sz w:val="24"/>
          <w:szCs w:val="24"/>
          <w:lang w:val="en-US"/>
        </w:rPr>
      </w:pPr>
      <w:r w:rsidRPr="003E1A1A">
        <w:rPr>
          <w:rFonts w:ascii="Arial" w:hAnsi="Arial" w:cs="Arial"/>
          <w:sz w:val="24"/>
          <w:szCs w:val="24"/>
          <w:lang w:val="en-US"/>
        </w:rPr>
        <w:t xml:space="preserve">The </w:t>
      </w:r>
      <w:r w:rsidR="0066122B" w:rsidRPr="003E1A1A">
        <w:rPr>
          <w:rFonts w:ascii="Arial" w:hAnsi="Arial" w:cs="Arial"/>
          <w:sz w:val="24"/>
          <w:szCs w:val="24"/>
          <w:lang w:val="en-US"/>
        </w:rPr>
        <w:t xml:space="preserve">second respondent </w:t>
      </w:r>
      <w:r w:rsidRPr="003E1A1A">
        <w:rPr>
          <w:rFonts w:ascii="Arial" w:hAnsi="Arial" w:cs="Arial"/>
          <w:sz w:val="24"/>
          <w:szCs w:val="24"/>
          <w:lang w:val="en-US"/>
        </w:rPr>
        <w:t xml:space="preserve">went on to make an award </w:t>
      </w:r>
      <w:r w:rsidR="00B7556D" w:rsidRPr="003E1A1A">
        <w:rPr>
          <w:rFonts w:ascii="Arial" w:hAnsi="Arial" w:cs="Arial"/>
          <w:sz w:val="24"/>
          <w:szCs w:val="24"/>
          <w:lang w:val="en-US"/>
        </w:rPr>
        <w:t xml:space="preserve">in respect of Claim A in </w:t>
      </w:r>
      <w:r w:rsidR="003A5BF7" w:rsidRPr="003E1A1A">
        <w:rPr>
          <w:rFonts w:ascii="Arial" w:hAnsi="Arial" w:cs="Arial"/>
          <w:sz w:val="24"/>
          <w:szCs w:val="24"/>
          <w:lang w:val="en-US"/>
        </w:rPr>
        <w:t xml:space="preserve">the outstanding amount due under the payment plan agreed in July 2019, being an amount of R677,270.  </w:t>
      </w:r>
      <w:r w:rsidR="0066122B" w:rsidRPr="003E1A1A">
        <w:rPr>
          <w:rFonts w:ascii="Arial" w:hAnsi="Arial" w:cs="Arial"/>
          <w:sz w:val="24"/>
          <w:szCs w:val="24"/>
          <w:lang w:val="en-US"/>
        </w:rPr>
        <w:t xml:space="preserve">She </w:t>
      </w:r>
      <w:r w:rsidRPr="003E1A1A">
        <w:rPr>
          <w:rFonts w:ascii="Arial" w:hAnsi="Arial" w:cs="Arial"/>
          <w:sz w:val="24"/>
          <w:szCs w:val="24"/>
          <w:lang w:val="en-US"/>
        </w:rPr>
        <w:t xml:space="preserve">dismissed </w:t>
      </w:r>
      <w:r w:rsidR="0066122B" w:rsidRPr="003E1A1A">
        <w:rPr>
          <w:rFonts w:ascii="Arial" w:hAnsi="Arial" w:cs="Arial"/>
          <w:sz w:val="24"/>
          <w:szCs w:val="24"/>
          <w:lang w:val="en-US"/>
        </w:rPr>
        <w:t>C</w:t>
      </w:r>
      <w:r w:rsidRPr="003E1A1A">
        <w:rPr>
          <w:rFonts w:ascii="Arial" w:hAnsi="Arial" w:cs="Arial"/>
          <w:sz w:val="24"/>
          <w:szCs w:val="24"/>
          <w:lang w:val="en-US"/>
        </w:rPr>
        <w:t>laim B in its entirety.</w:t>
      </w:r>
      <w:r w:rsidR="0066122B" w:rsidRPr="003E1A1A">
        <w:rPr>
          <w:rFonts w:ascii="Arial" w:hAnsi="Arial" w:cs="Arial"/>
          <w:sz w:val="24"/>
          <w:szCs w:val="24"/>
          <w:lang w:val="en-US"/>
        </w:rPr>
        <w:t xml:space="preserve">  This was how she disposed of the </w:t>
      </w:r>
      <w:r w:rsidR="00042C36" w:rsidRPr="003E1A1A">
        <w:rPr>
          <w:rFonts w:ascii="Arial" w:hAnsi="Arial" w:cs="Arial"/>
          <w:sz w:val="24"/>
          <w:szCs w:val="24"/>
          <w:lang w:val="en-US"/>
        </w:rPr>
        <w:t>second issue that she was required to decide.</w:t>
      </w:r>
      <w:r w:rsidRPr="003E1A1A">
        <w:rPr>
          <w:rFonts w:ascii="Arial" w:hAnsi="Arial" w:cs="Arial"/>
          <w:sz w:val="24"/>
          <w:szCs w:val="24"/>
          <w:lang w:val="en-US"/>
        </w:rPr>
        <w:t xml:space="preserve">  </w:t>
      </w:r>
    </w:p>
    <w:p w14:paraId="4C38BC8B" w14:textId="610D0128" w:rsidR="00AD5DFE" w:rsidRPr="003E1A1A" w:rsidRDefault="00AD5DFE" w:rsidP="00AD5DFE">
      <w:pPr>
        <w:pStyle w:val="BowLevel1ListAlt"/>
        <w:rPr>
          <w:rFonts w:ascii="Arial" w:hAnsi="Arial" w:cs="Arial"/>
          <w:sz w:val="24"/>
          <w:szCs w:val="24"/>
          <w:lang w:val="en-US"/>
        </w:rPr>
      </w:pPr>
      <w:r w:rsidRPr="003E1A1A">
        <w:rPr>
          <w:rFonts w:ascii="Arial" w:hAnsi="Arial" w:cs="Arial"/>
          <w:sz w:val="24"/>
          <w:szCs w:val="24"/>
          <w:lang w:val="en-US"/>
        </w:rPr>
        <w:t xml:space="preserve">As regards the counterclaim, for repayment of the amounts </w:t>
      </w:r>
      <w:r w:rsidR="00042C36" w:rsidRPr="003E1A1A">
        <w:rPr>
          <w:rFonts w:ascii="Arial" w:hAnsi="Arial" w:cs="Arial"/>
          <w:sz w:val="24"/>
          <w:szCs w:val="24"/>
          <w:lang w:val="en-US"/>
        </w:rPr>
        <w:t>already</w:t>
      </w:r>
      <w:r w:rsidRPr="003E1A1A">
        <w:rPr>
          <w:rFonts w:ascii="Arial" w:hAnsi="Arial" w:cs="Arial"/>
          <w:sz w:val="24"/>
          <w:szCs w:val="24"/>
          <w:lang w:val="en-US"/>
        </w:rPr>
        <w:t xml:space="preserve"> paid by the </w:t>
      </w:r>
      <w:r w:rsidR="00A73FBA" w:rsidRPr="003E1A1A">
        <w:rPr>
          <w:rFonts w:ascii="Arial" w:hAnsi="Arial" w:cs="Arial"/>
          <w:sz w:val="24"/>
          <w:szCs w:val="24"/>
          <w:lang w:val="en-US"/>
        </w:rPr>
        <w:t>a</w:t>
      </w:r>
      <w:r w:rsidRPr="003E1A1A">
        <w:rPr>
          <w:rFonts w:ascii="Arial" w:hAnsi="Arial" w:cs="Arial"/>
          <w:sz w:val="24"/>
          <w:szCs w:val="24"/>
          <w:lang w:val="en-US"/>
        </w:rPr>
        <w:t xml:space="preserve">pplicant, the </w:t>
      </w:r>
      <w:r w:rsidR="00A73FBA" w:rsidRPr="003E1A1A">
        <w:rPr>
          <w:rFonts w:ascii="Arial" w:hAnsi="Arial" w:cs="Arial"/>
          <w:sz w:val="24"/>
          <w:szCs w:val="24"/>
          <w:lang w:val="en-US"/>
        </w:rPr>
        <w:t xml:space="preserve">second respondent </w:t>
      </w:r>
      <w:r w:rsidRPr="003E1A1A">
        <w:rPr>
          <w:rFonts w:ascii="Arial" w:hAnsi="Arial" w:cs="Arial"/>
          <w:sz w:val="24"/>
          <w:szCs w:val="24"/>
          <w:lang w:val="en-US"/>
        </w:rPr>
        <w:t xml:space="preserve">concluded that in light of her finding that the </w:t>
      </w:r>
      <w:r w:rsidR="00A73FBA" w:rsidRPr="003E1A1A">
        <w:rPr>
          <w:rFonts w:ascii="Arial" w:hAnsi="Arial" w:cs="Arial"/>
          <w:sz w:val="24"/>
          <w:szCs w:val="24"/>
          <w:lang w:val="en-US"/>
        </w:rPr>
        <w:t>a</w:t>
      </w:r>
      <w:r w:rsidRPr="003E1A1A">
        <w:rPr>
          <w:rFonts w:ascii="Arial" w:hAnsi="Arial" w:cs="Arial"/>
          <w:sz w:val="24"/>
          <w:szCs w:val="24"/>
          <w:lang w:val="en-US"/>
        </w:rPr>
        <w:t xml:space="preserve">pplicant had accepted an obligation to pay the </w:t>
      </w:r>
      <w:r w:rsidR="00A73FBA" w:rsidRPr="003E1A1A">
        <w:rPr>
          <w:rFonts w:ascii="Arial" w:hAnsi="Arial" w:cs="Arial"/>
          <w:sz w:val="24"/>
          <w:szCs w:val="24"/>
          <w:lang w:val="en-US"/>
        </w:rPr>
        <w:t>f</w:t>
      </w:r>
      <w:r w:rsidRPr="003E1A1A">
        <w:rPr>
          <w:rFonts w:ascii="Arial" w:hAnsi="Arial" w:cs="Arial"/>
          <w:sz w:val="24"/>
          <w:szCs w:val="24"/>
          <w:lang w:val="en-US"/>
        </w:rPr>
        <w:t xml:space="preserve">irst </w:t>
      </w:r>
      <w:r w:rsidR="00A73FBA" w:rsidRPr="003E1A1A">
        <w:rPr>
          <w:rFonts w:ascii="Arial" w:hAnsi="Arial" w:cs="Arial"/>
          <w:sz w:val="24"/>
          <w:szCs w:val="24"/>
          <w:lang w:val="en-US"/>
        </w:rPr>
        <w:t>r</w:t>
      </w:r>
      <w:r w:rsidRPr="003E1A1A">
        <w:rPr>
          <w:rFonts w:ascii="Arial" w:hAnsi="Arial" w:cs="Arial"/>
          <w:sz w:val="24"/>
          <w:szCs w:val="24"/>
          <w:lang w:val="en-US"/>
        </w:rPr>
        <w:t>espondent</w:t>
      </w:r>
      <w:r w:rsidR="00A73FBA" w:rsidRPr="003E1A1A">
        <w:rPr>
          <w:rFonts w:ascii="Arial" w:hAnsi="Arial" w:cs="Arial"/>
          <w:sz w:val="24"/>
          <w:szCs w:val="24"/>
          <w:lang w:val="en-US"/>
        </w:rPr>
        <w:t xml:space="preserve"> the amount found to be due under Claim A,</w:t>
      </w:r>
      <w:r w:rsidRPr="003E1A1A">
        <w:rPr>
          <w:rFonts w:ascii="Arial" w:hAnsi="Arial" w:cs="Arial"/>
          <w:sz w:val="24"/>
          <w:szCs w:val="24"/>
          <w:lang w:val="en-US"/>
        </w:rPr>
        <w:t xml:space="preserve"> it follow</w:t>
      </w:r>
      <w:r w:rsidR="00E4467D" w:rsidRPr="003E1A1A">
        <w:rPr>
          <w:rFonts w:ascii="Arial" w:hAnsi="Arial" w:cs="Arial"/>
          <w:sz w:val="24"/>
          <w:szCs w:val="24"/>
          <w:lang w:val="en-US"/>
        </w:rPr>
        <w:t>ed</w:t>
      </w:r>
      <w:r w:rsidRPr="003E1A1A">
        <w:rPr>
          <w:rFonts w:ascii="Arial" w:hAnsi="Arial" w:cs="Arial"/>
          <w:sz w:val="24"/>
          <w:szCs w:val="24"/>
          <w:lang w:val="en-US"/>
        </w:rPr>
        <w:t xml:space="preserve"> that no </w:t>
      </w:r>
      <w:r w:rsidR="00E4467D" w:rsidRPr="003E1A1A">
        <w:rPr>
          <w:rFonts w:ascii="Arial" w:hAnsi="Arial" w:cs="Arial"/>
          <w:sz w:val="24"/>
          <w:szCs w:val="24"/>
          <w:lang w:val="en-US"/>
        </w:rPr>
        <w:t>counter</w:t>
      </w:r>
      <w:r w:rsidRPr="003E1A1A">
        <w:rPr>
          <w:rFonts w:ascii="Arial" w:hAnsi="Arial" w:cs="Arial"/>
          <w:sz w:val="24"/>
          <w:szCs w:val="24"/>
          <w:lang w:val="en-US"/>
        </w:rPr>
        <w:t xml:space="preserve">claim could lie </w:t>
      </w:r>
      <w:r w:rsidR="00E4467D" w:rsidRPr="003E1A1A">
        <w:rPr>
          <w:rFonts w:ascii="Arial" w:hAnsi="Arial" w:cs="Arial"/>
          <w:sz w:val="24"/>
          <w:szCs w:val="24"/>
          <w:lang w:val="en-US"/>
        </w:rPr>
        <w:t xml:space="preserve">for unjustified enrichment </w:t>
      </w:r>
      <w:r w:rsidRPr="003E1A1A">
        <w:rPr>
          <w:rFonts w:ascii="Arial" w:hAnsi="Arial" w:cs="Arial"/>
          <w:sz w:val="24"/>
          <w:szCs w:val="24"/>
          <w:lang w:val="en-US"/>
        </w:rPr>
        <w:t xml:space="preserve">in respect of </w:t>
      </w:r>
      <w:r w:rsidR="00387B70" w:rsidRPr="003E1A1A">
        <w:rPr>
          <w:rFonts w:ascii="Arial" w:hAnsi="Arial" w:cs="Arial"/>
          <w:sz w:val="24"/>
          <w:szCs w:val="24"/>
          <w:lang w:val="en-US"/>
        </w:rPr>
        <w:t xml:space="preserve">the amounts claimed.  She dismissed </w:t>
      </w:r>
      <w:r w:rsidRPr="003E1A1A">
        <w:rPr>
          <w:rFonts w:ascii="Arial" w:hAnsi="Arial" w:cs="Arial"/>
          <w:sz w:val="24"/>
          <w:szCs w:val="24"/>
          <w:lang w:val="en-US"/>
        </w:rPr>
        <w:t>the counterclaim</w:t>
      </w:r>
      <w:r w:rsidR="00387B70" w:rsidRPr="003E1A1A">
        <w:rPr>
          <w:rFonts w:ascii="Arial" w:hAnsi="Arial" w:cs="Arial"/>
          <w:sz w:val="24"/>
          <w:szCs w:val="24"/>
          <w:lang w:val="en-US"/>
        </w:rPr>
        <w:t>, so deciding the third issue in the proceedings</w:t>
      </w:r>
      <w:r w:rsidRPr="003E1A1A">
        <w:rPr>
          <w:rFonts w:ascii="Arial" w:hAnsi="Arial" w:cs="Arial"/>
          <w:sz w:val="24"/>
          <w:szCs w:val="24"/>
          <w:lang w:val="en-US"/>
        </w:rPr>
        <w:t>.</w:t>
      </w:r>
    </w:p>
    <w:p w14:paraId="08A06FF6" w14:textId="37A5FED5" w:rsidR="00876EBC" w:rsidRPr="001963C7" w:rsidRDefault="00876EBC" w:rsidP="00387B70">
      <w:pPr>
        <w:pStyle w:val="BowLevel1ListAlt"/>
        <w:numPr>
          <w:ilvl w:val="0"/>
          <w:numId w:val="0"/>
        </w:numPr>
        <w:rPr>
          <w:rFonts w:ascii="Arial" w:hAnsi="Arial" w:cs="Arial"/>
          <w:b/>
          <w:bCs/>
          <w:sz w:val="24"/>
          <w:szCs w:val="24"/>
          <w:lang w:val="en-US"/>
        </w:rPr>
      </w:pPr>
      <w:r w:rsidRPr="001963C7">
        <w:rPr>
          <w:rFonts w:ascii="Arial" w:hAnsi="Arial" w:cs="Arial"/>
          <w:b/>
          <w:bCs/>
          <w:sz w:val="24"/>
          <w:szCs w:val="24"/>
          <w:lang w:val="en-US"/>
        </w:rPr>
        <w:t>Summary of applicable legal principles</w:t>
      </w:r>
    </w:p>
    <w:p w14:paraId="0DF3D29D" w14:textId="77777777"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lastRenderedPageBreak/>
        <w:t xml:space="preserve">Section 33(1)(a) of the Act provides for the review and setting aside of an award where the arbitrator has misconducted herself in relation to her duties as arbitrator.  </w:t>
      </w:r>
    </w:p>
    <w:p w14:paraId="5DE384E2" w14:textId="77777777"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t>Section 33(1)(b) of the Act provides for an award to be reviewed and set aside where an arbitrator has committed any gross irregularity in the conduct of the arbitration proceedings or has exceeded her powers.</w:t>
      </w:r>
    </w:p>
    <w:p w14:paraId="5A31E52A" w14:textId="77777777" w:rsidR="008509D0" w:rsidRDefault="008509D0" w:rsidP="008509D0">
      <w:pPr>
        <w:pStyle w:val="BowLevel1ListAlt"/>
        <w:rPr>
          <w:rFonts w:ascii="Arial" w:hAnsi="Arial" w:cs="Arial"/>
          <w:sz w:val="24"/>
          <w:szCs w:val="24"/>
          <w:lang w:val="en-US"/>
        </w:rPr>
      </w:pPr>
      <w:r>
        <w:rPr>
          <w:rFonts w:ascii="Arial" w:hAnsi="Arial" w:cs="Arial"/>
          <w:sz w:val="24"/>
          <w:szCs w:val="24"/>
          <w:lang w:val="en-US"/>
        </w:rPr>
        <w:t xml:space="preserve">In </w:t>
      </w:r>
      <w:r w:rsidRPr="001963C7">
        <w:rPr>
          <w:rFonts w:ascii="Arial" w:hAnsi="Arial" w:cs="Arial"/>
          <w:i/>
          <w:iCs/>
          <w:sz w:val="24"/>
          <w:szCs w:val="24"/>
          <w:lang w:val="en-US"/>
        </w:rPr>
        <w:t>Lufuno Mphaphuli and Associates (Pty) Ltd v Andrews and another</w:t>
      </w:r>
      <w:r w:rsidRPr="00D42B29">
        <w:rPr>
          <w:rStyle w:val="FootnoteReference"/>
          <w:rFonts w:ascii="Arial" w:hAnsi="Arial" w:cs="Arial"/>
          <w:i/>
          <w:iCs/>
          <w:sz w:val="24"/>
          <w:szCs w:val="24"/>
          <w:lang w:val="en-US"/>
        </w:rPr>
        <w:footnoteReference w:id="2"/>
      </w:r>
      <w:r>
        <w:rPr>
          <w:rFonts w:ascii="Arial" w:hAnsi="Arial" w:cs="Arial"/>
          <w:i/>
          <w:iCs/>
          <w:sz w:val="24"/>
          <w:szCs w:val="24"/>
          <w:lang w:val="en-US"/>
        </w:rPr>
        <w:t xml:space="preserve"> </w:t>
      </w:r>
      <w:r>
        <w:rPr>
          <w:rFonts w:ascii="Arial" w:hAnsi="Arial" w:cs="Arial"/>
          <w:sz w:val="24"/>
          <w:szCs w:val="24"/>
          <w:lang w:val="en-US"/>
        </w:rPr>
        <w:t>the Constitutional Court considered whether the relatively narrow grounds of review provided for in section 33(1) of the Arbitration Act were consistent with the constitution.  It concluded that they were:</w:t>
      </w:r>
    </w:p>
    <w:p w14:paraId="47317232" w14:textId="77777777" w:rsidR="008509D0" w:rsidRPr="00FA4DD3" w:rsidRDefault="008509D0" w:rsidP="008509D0">
      <w:pPr>
        <w:pStyle w:val="BowLevel1ListAlt"/>
        <w:numPr>
          <w:ilvl w:val="0"/>
          <w:numId w:val="0"/>
        </w:numPr>
        <w:ind w:left="1440"/>
        <w:rPr>
          <w:rFonts w:ascii="Arial" w:hAnsi="Arial" w:cs="Arial"/>
          <w:i/>
          <w:iCs/>
          <w:sz w:val="24"/>
          <w:szCs w:val="24"/>
        </w:rPr>
      </w:pPr>
      <w:r w:rsidRPr="00FA4DD3">
        <w:rPr>
          <w:rFonts w:ascii="Arial" w:hAnsi="Arial" w:cs="Arial"/>
          <w:i/>
          <w:iCs/>
          <w:sz w:val="24"/>
          <w:szCs w:val="24"/>
        </w:rPr>
        <w:t>“[235] To return then to the question of the proper interpretation of section 33(1) of the Arbitration Act in the light of the Constitution.  Given the approach not only in the United Kingdom (an open and democratic society within the contemplation of section 39(2) of our Constitution), but also the international law approach as evinced in the New York Convention (to which South Africa is a party) and the UNCITRAL Model Law, it seems to me that the values of our Constitution will not necessarily best be served by interpreting section 33(1) in a manner that enhances the power of courts to set aside private arbitration awards.  Indeed, the contrary seems to be the case.  The international and comparative law considered in this judgment suggests that courts should be careful not to undermine the achievement of the goals of private arbitration by enlarging their powers of scrutiny imprudently.  Section 33(1) provides three grounds for setting aside an arbitration award: misconduct by an arbitrator; gross irregularity in the conduct of the proceedings; and the fact that an award has been improperly obtained.  In my view, and in the light of the reasoning in the previous paragraphs, the Constitution would require a court to construe these grounds reasonably strictly in relation to private arbitration.”</w:t>
      </w:r>
    </w:p>
    <w:p w14:paraId="036D944D" w14:textId="109EB213" w:rsidR="00643C8D" w:rsidRDefault="00634276" w:rsidP="00634276">
      <w:pPr>
        <w:pStyle w:val="BowLevel1ListAlt"/>
        <w:rPr>
          <w:rFonts w:ascii="Arial" w:hAnsi="Arial" w:cs="Arial"/>
          <w:sz w:val="24"/>
          <w:szCs w:val="24"/>
          <w:lang w:val="en-US"/>
        </w:rPr>
      </w:pPr>
      <w:r w:rsidRPr="00634276">
        <w:rPr>
          <w:rFonts w:ascii="Arial" w:hAnsi="Arial" w:cs="Arial"/>
          <w:sz w:val="24"/>
          <w:szCs w:val="24"/>
          <w:lang w:val="en-US"/>
        </w:rPr>
        <w:lastRenderedPageBreak/>
        <w:t xml:space="preserve">In </w:t>
      </w:r>
      <w:r w:rsidRPr="00634276">
        <w:rPr>
          <w:rFonts w:ascii="Arial" w:hAnsi="Arial" w:cs="Arial"/>
          <w:i/>
          <w:iCs/>
          <w:sz w:val="24"/>
          <w:szCs w:val="24"/>
          <w:lang w:val="en-US"/>
        </w:rPr>
        <w:t>Telcordia Technologies Inc. v Telkom SA Ltd</w:t>
      </w:r>
      <w:r w:rsidRPr="00634276">
        <w:rPr>
          <w:rStyle w:val="FootnoteReference"/>
          <w:rFonts w:ascii="Arial" w:hAnsi="Arial" w:cs="Arial"/>
          <w:i/>
          <w:iCs/>
          <w:sz w:val="24"/>
          <w:szCs w:val="24"/>
          <w:lang w:val="en-US"/>
        </w:rPr>
        <w:footnoteReference w:id="3"/>
      </w:r>
      <w:r>
        <w:rPr>
          <w:rFonts w:ascii="Arial" w:hAnsi="Arial" w:cs="Arial"/>
          <w:sz w:val="24"/>
          <w:szCs w:val="24"/>
          <w:lang w:val="en-US"/>
        </w:rPr>
        <w:t xml:space="preserve"> the SCA </w:t>
      </w:r>
      <w:r w:rsidR="00EC038B">
        <w:rPr>
          <w:rFonts w:ascii="Arial" w:hAnsi="Arial" w:cs="Arial"/>
          <w:sz w:val="24"/>
          <w:szCs w:val="24"/>
          <w:lang w:val="en-US"/>
        </w:rPr>
        <w:t>emphasized that errors of law, like errors of fact, do not render an arbitrator’s award liable to be set aside on review:</w:t>
      </w:r>
    </w:p>
    <w:p w14:paraId="37F303D4" w14:textId="2EC43AE8" w:rsidR="00472B3B" w:rsidRPr="00472B3B" w:rsidRDefault="00472B3B" w:rsidP="00472B3B">
      <w:pPr>
        <w:pStyle w:val="BowLevel1ListAlt"/>
        <w:numPr>
          <w:ilvl w:val="0"/>
          <w:numId w:val="0"/>
        </w:numPr>
        <w:ind w:left="1440"/>
        <w:rPr>
          <w:rFonts w:ascii="Arial" w:hAnsi="Arial" w:cs="Arial"/>
          <w:i/>
          <w:iCs/>
          <w:sz w:val="24"/>
          <w:szCs w:val="24"/>
        </w:rPr>
      </w:pPr>
      <w:r w:rsidRPr="00472B3B">
        <w:rPr>
          <w:rFonts w:ascii="Arial" w:hAnsi="Arial" w:cs="Arial"/>
          <w:i/>
          <w:iCs/>
          <w:sz w:val="24"/>
          <w:szCs w:val="24"/>
        </w:rPr>
        <w:t>“[85]</w:t>
      </w:r>
      <w:r w:rsidRPr="00472B3B">
        <w:rPr>
          <w:rFonts w:ascii="Arial" w:hAnsi="Arial" w:cs="Arial"/>
          <w:i/>
          <w:iCs/>
          <w:sz w:val="24"/>
          <w:szCs w:val="24"/>
        </w:rPr>
        <w:tab/>
        <w:t>The fact that the arbitrator may have either misinterpreted the agreement, failed to apply South African law correctly, or had regard to inadmissible evidence does not mean that he misconceived the nature of the inquiry or his duties in connection therewith. It only means that he erred in the performance of his duties. An arbitrator ‘has the right to be wrong’ on the merits of the case, and it is a perversion of language and logic to label mistakes of this kind as a misconception of the nature of the inquiry – they may be misconceptions about meaning, law or the admissibility of evidence but that is a far cry from saying that they constitute a misconception of the nature of the inquiry. To adapt the quoted words of Hoexter JA: It cannot be said that the wrong interpretation of the Integrated Agreement prevented the arbitrator from fulfilling his agreed function or from considering the matter left to him for decision. On the contrary, in interpreting the Integrated Agreement the arbitrator was actually fulfilling the function assigned to him by the parties, and it follows that the wrong interpretation of the Integrated Agreement could not afford any ground for review by a court.</w:t>
      </w:r>
    </w:p>
    <w:p w14:paraId="2DE403D8" w14:textId="5C8EC627" w:rsidR="00472B3B" w:rsidRPr="00D42B29" w:rsidRDefault="00472B3B" w:rsidP="00472B3B">
      <w:pPr>
        <w:pStyle w:val="BowLevel1ListAlt"/>
        <w:numPr>
          <w:ilvl w:val="0"/>
          <w:numId w:val="0"/>
        </w:numPr>
        <w:ind w:left="1440"/>
        <w:rPr>
          <w:rFonts w:ascii="Arial" w:eastAsiaTheme="minorEastAsia" w:hAnsi="Arial" w:cs="Arial"/>
          <w:sz w:val="24"/>
          <w:szCs w:val="24"/>
        </w:rPr>
      </w:pPr>
      <w:r w:rsidRPr="00472B3B">
        <w:rPr>
          <w:rFonts w:ascii="Arial" w:hAnsi="Arial" w:cs="Arial"/>
          <w:i/>
          <w:iCs/>
          <w:sz w:val="24"/>
          <w:szCs w:val="24"/>
        </w:rPr>
        <w:t>[86]</w:t>
      </w:r>
      <w:r w:rsidRPr="00472B3B">
        <w:rPr>
          <w:rFonts w:ascii="Arial" w:hAnsi="Arial" w:cs="Arial"/>
          <w:i/>
          <w:iCs/>
          <w:sz w:val="24"/>
          <w:szCs w:val="24"/>
        </w:rPr>
        <w:tab/>
        <w:t xml:space="preserve">Likewise, it is a fallacy to label a wrong interpretation of a contract, a wrong perception or application of South African law, or an incorrect reliance on inadmissible evidence by the arbitrator as a transgression of the limits of his power. The power given to the arbitrator was to interpret the agreement, rightly or wrongly; to determine the applicable law, rightly or wrongly; and to determine what evidence was admissible, rightly or wrongly. Errors of the kind mentioned have nothing to do with him exceeding his powers; they are errors committed within the scope of his mandate. To illustrate, an arbitrator in a ‘normal’ local arbitration has to apply South African law but if he errs in his understanding or application of local law the parties have to live with it. If such </w:t>
      </w:r>
      <w:r w:rsidRPr="00472B3B">
        <w:rPr>
          <w:rFonts w:ascii="Arial" w:hAnsi="Arial" w:cs="Arial"/>
          <w:i/>
          <w:iCs/>
          <w:sz w:val="24"/>
          <w:szCs w:val="24"/>
        </w:rPr>
        <w:lastRenderedPageBreak/>
        <w:t>an error amounted to a transgression of his powers it would mean that all errors of law are reviewable, which is absurd.”</w:t>
      </w:r>
      <w:r w:rsidRPr="00472B3B">
        <w:rPr>
          <w:rFonts w:ascii="Arial" w:eastAsiaTheme="minorEastAsia" w:hAnsi="Arial" w:cs="Arial"/>
          <w:i/>
          <w:iCs/>
          <w:sz w:val="24"/>
          <w:szCs w:val="24"/>
        </w:rPr>
        <w:t xml:space="preserve"> </w:t>
      </w:r>
      <w:r w:rsidR="00D42B29">
        <w:rPr>
          <w:rFonts w:ascii="Arial" w:eastAsiaTheme="minorEastAsia" w:hAnsi="Arial" w:cs="Arial"/>
          <w:i/>
          <w:iCs/>
          <w:sz w:val="24"/>
          <w:szCs w:val="24"/>
        </w:rPr>
        <w:t xml:space="preserve"> </w:t>
      </w:r>
      <w:r w:rsidR="00D42B29">
        <w:rPr>
          <w:rFonts w:ascii="Arial" w:eastAsiaTheme="minorEastAsia" w:hAnsi="Arial" w:cs="Arial"/>
          <w:sz w:val="24"/>
          <w:szCs w:val="24"/>
        </w:rPr>
        <w:t>(footnotes excluded)</w:t>
      </w:r>
    </w:p>
    <w:p w14:paraId="70E6328B" w14:textId="6C34FBD1" w:rsidR="00A741CF" w:rsidRDefault="00986D1C" w:rsidP="00A741CF">
      <w:pPr>
        <w:pStyle w:val="BowLevel1ListAlt"/>
        <w:rPr>
          <w:rFonts w:ascii="Arial" w:hAnsi="Arial" w:cs="Arial"/>
          <w:sz w:val="24"/>
          <w:szCs w:val="24"/>
          <w:lang w:val="en-US"/>
        </w:rPr>
      </w:pPr>
      <w:r>
        <w:rPr>
          <w:rFonts w:ascii="Arial" w:hAnsi="Arial" w:cs="Arial"/>
          <w:sz w:val="24"/>
          <w:szCs w:val="24"/>
          <w:lang w:val="en-US"/>
        </w:rPr>
        <w:t>T</w:t>
      </w:r>
      <w:r w:rsidR="00A8764D">
        <w:rPr>
          <w:rFonts w:ascii="Arial" w:hAnsi="Arial" w:cs="Arial"/>
          <w:sz w:val="24"/>
          <w:szCs w:val="24"/>
          <w:lang w:val="en-US"/>
        </w:rPr>
        <w:t xml:space="preserve">he scope of an arbitrator’s powers are determined by </w:t>
      </w:r>
      <w:r w:rsidR="005B6DA9">
        <w:rPr>
          <w:rFonts w:ascii="Arial" w:hAnsi="Arial" w:cs="Arial"/>
          <w:sz w:val="24"/>
          <w:szCs w:val="24"/>
          <w:lang w:val="en-US"/>
        </w:rPr>
        <w:t xml:space="preserve">the issues that </w:t>
      </w:r>
      <w:r w:rsidR="00A8764D">
        <w:rPr>
          <w:rFonts w:ascii="Arial" w:hAnsi="Arial" w:cs="Arial"/>
          <w:sz w:val="24"/>
          <w:szCs w:val="24"/>
          <w:lang w:val="en-US"/>
        </w:rPr>
        <w:t xml:space="preserve">the parties have agreed </w:t>
      </w:r>
      <w:r w:rsidR="00A741CF">
        <w:rPr>
          <w:rFonts w:ascii="Arial" w:hAnsi="Arial" w:cs="Arial"/>
          <w:sz w:val="24"/>
          <w:szCs w:val="24"/>
          <w:lang w:val="en-US"/>
        </w:rPr>
        <w:t xml:space="preserve">to </w:t>
      </w:r>
      <w:r w:rsidR="005B6DA9">
        <w:rPr>
          <w:rFonts w:ascii="Arial" w:hAnsi="Arial" w:cs="Arial"/>
          <w:sz w:val="24"/>
          <w:szCs w:val="24"/>
          <w:lang w:val="en-US"/>
        </w:rPr>
        <w:t xml:space="preserve">submit </w:t>
      </w:r>
      <w:r w:rsidR="00A741CF">
        <w:rPr>
          <w:rFonts w:ascii="Arial" w:hAnsi="Arial" w:cs="Arial"/>
          <w:sz w:val="24"/>
          <w:szCs w:val="24"/>
          <w:lang w:val="en-US"/>
        </w:rPr>
        <w:t xml:space="preserve">to her, in what are usually described as the arbitrator’s terms of reference.  An arbitrator who exceeds the scope of what has been </w:t>
      </w:r>
      <w:r w:rsidR="005B6DA9">
        <w:rPr>
          <w:rFonts w:ascii="Arial" w:hAnsi="Arial" w:cs="Arial"/>
          <w:sz w:val="24"/>
          <w:szCs w:val="24"/>
          <w:lang w:val="en-US"/>
        </w:rPr>
        <w:t xml:space="preserve">submitted to </w:t>
      </w:r>
      <w:r w:rsidR="00A741CF">
        <w:rPr>
          <w:rFonts w:ascii="Arial" w:hAnsi="Arial" w:cs="Arial"/>
          <w:sz w:val="24"/>
          <w:szCs w:val="24"/>
          <w:lang w:val="en-US"/>
        </w:rPr>
        <w:t xml:space="preserve">her exceeds her powers and </w:t>
      </w:r>
      <w:r w:rsidR="008A0946">
        <w:rPr>
          <w:rFonts w:ascii="Arial" w:hAnsi="Arial" w:cs="Arial"/>
          <w:sz w:val="24"/>
          <w:szCs w:val="24"/>
          <w:lang w:val="en-US"/>
        </w:rPr>
        <w:t>her award is susceptible to review under the provisions of section 33(1)(b) of the Arbitration Act</w:t>
      </w:r>
      <w:r w:rsidR="004F75EE">
        <w:rPr>
          <w:rFonts w:ascii="Arial" w:hAnsi="Arial" w:cs="Arial"/>
          <w:sz w:val="24"/>
          <w:szCs w:val="24"/>
          <w:lang w:val="en-US"/>
        </w:rPr>
        <w:t xml:space="preserve">.  </w:t>
      </w:r>
      <w:r w:rsidR="007A4674">
        <w:rPr>
          <w:rFonts w:ascii="Arial" w:hAnsi="Arial" w:cs="Arial"/>
          <w:sz w:val="24"/>
          <w:szCs w:val="24"/>
          <w:lang w:val="en-US"/>
        </w:rPr>
        <w:t xml:space="preserve">In </w:t>
      </w:r>
      <w:r w:rsidR="007A4674" w:rsidRPr="007A4674">
        <w:rPr>
          <w:rFonts w:ascii="Arial" w:hAnsi="Arial" w:cs="Arial"/>
          <w:i/>
          <w:iCs/>
          <w:sz w:val="24"/>
          <w:szCs w:val="24"/>
          <w:lang w:val="en-US"/>
        </w:rPr>
        <w:t>Telcordia</w:t>
      </w:r>
      <w:r w:rsidR="007A4674">
        <w:rPr>
          <w:rFonts w:ascii="Arial" w:hAnsi="Arial" w:cs="Arial"/>
          <w:sz w:val="24"/>
          <w:szCs w:val="24"/>
          <w:lang w:val="en-US"/>
        </w:rPr>
        <w:t xml:space="preserve"> </w:t>
      </w:r>
      <w:r w:rsidR="00F649FD">
        <w:rPr>
          <w:rFonts w:ascii="Arial" w:hAnsi="Arial" w:cs="Arial"/>
          <w:sz w:val="24"/>
          <w:szCs w:val="24"/>
          <w:lang w:val="en-US"/>
        </w:rPr>
        <w:t xml:space="preserve">(supra) </w:t>
      </w:r>
      <w:r w:rsidR="007A4674">
        <w:rPr>
          <w:rFonts w:ascii="Arial" w:hAnsi="Arial" w:cs="Arial"/>
          <w:sz w:val="24"/>
          <w:szCs w:val="24"/>
          <w:lang w:val="en-US"/>
        </w:rPr>
        <w:t>the SCA referred with approval to the decision of the UK House of Lords in</w:t>
      </w:r>
      <w:r w:rsidR="00F649FD">
        <w:rPr>
          <w:rFonts w:ascii="Arial" w:hAnsi="Arial" w:cs="Arial"/>
          <w:sz w:val="24"/>
          <w:szCs w:val="24"/>
          <w:lang w:val="en-US"/>
        </w:rPr>
        <w:t xml:space="preserve"> </w:t>
      </w:r>
      <w:r w:rsidR="00F649FD" w:rsidRPr="00F649FD">
        <w:rPr>
          <w:rFonts w:ascii="Arial" w:eastAsiaTheme="minorEastAsia" w:hAnsi="Arial" w:cs="Arial"/>
          <w:i/>
          <w:iCs/>
          <w:sz w:val="24"/>
          <w:szCs w:val="24"/>
          <w:lang w:val="en-US"/>
        </w:rPr>
        <w:t>Lesotho Highlands Development Authority v Impregilo SpA</w:t>
      </w:r>
      <w:r w:rsidR="00F649FD" w:rsidRPr="00F649FD">
        <w:rPr>
          <w:rStyle w:val="FootnoteReference"/>
          <w:rFonts w:ascii="Arial" w:eastAsiaTheme="minorEastAsia" w:hAnsi="Arial" w:cs="Arial"/>
          <w:i/>
          <w:iCs/>
          <w:sz w:val="24"/>
          <w:szCs w:val="24"/>
          <w:lang w:val="en-US"/>
        </w:rPr>
        <w:footnoteReference w:id="4"/>
      </w:r>
      <w:r w:rsidR="009F2CA2" w:rsidRPr="00F649FD">
        <w:rPr>
          <w:rFonts w:ascii="Arial" w:hAnsi="Arial" w:cs="Arial"/>
          <w:sz w:val="24"/>
          <w:szCs w:val="24"/>
          <w:lang w:val="en-US"/>
        </w:rPr>
        <w:t>:</w:t>
      </w:r>
    </w:p>
    <w:p w14:paraId="2E93785F" w14:textId="5000B91B" w:rsidR="004F75EE" w:rsidRPr="005B6DA9" w:rsidRDefault="0020774E" w:rsidP="004F75EE">
      <w:pPr>
        <w:ind w:left="1440"/>
        <w:rPr>
          <w:rFonts w:ascii="Arial" w:hAnsi="Arial" w:cs="Arial"/>
          <w:sz w:val="24"/>
          <w:szCs w:val="24"/>
        </w:rPr>
      </w:pPr>
      <w:r w:rsidRPr="005B6DA9">
        <w:rPr>
          <w:rFonts w:ascii="Arial" w:hAnsi="Arial" w:cs="Arial"/>
          <w:i/>
          <w:iCs/>
          <w:sz w:val="24"/>
          <w:szCs w:val="24"/>
          <w:lang w:val="en-US"/>
        </w:rPr>
        <w:t>“</w:t>
      </w:r>
      <w:r w:rsidR="004F75EE" w:rsidRPr="005B6DA9">
        <w:rPr>
          <w:rFonts w:ascii="Arial" w:hAnsi="Arial" w:cs="Arial"/>
          <w:i/>
          <w:iCs/>
          <w:sz w:val="24"/>
          <w:szCs w:val="24"/>
        </w:rPr>
        <w:t>[52]</w:t>
      </w:r>
      <w:r w:rsidR="004F75EE" w:rsidRPr="005B6DA9">
        <w:rPr>
          <w:rFonts w:ascii="Arial" w:hAnsi="Arial" w:cs="Arial"/>
          <w:i/>
          <w:iCs/>
          <w:sz w:val="24"/>
          <w:szCs w:val="24"/>
        </w:rPr>
        <w:tab/>
        <w:t>The term ‘exceeding its powers’ requires little by way of elucidation and this statement by Lord Steyn says it all:</w:t>
      </w:r>
      <w:r w:rsidR="004F75EE" w:rsidRPr="005B6DA9">
        <w:rPr>
          <w:rStyle w:val="FootnoteReference"/>
          <w:rFonts w:ascii="Arial" w:hAnsi="Arial" w:cs="Arial"/>
          <w:sz w:val="24"/>
          <w:szCs w:val="24"/>
        </w:rPr>
        <w:footnoteReference w:id="5"/>
      </w:r>
    </w:p>
    <w:p w14:paraId="6A7DAA3A" w14:textId="6A7F06B9" w:rsidR="004F75EE" w:rsidRPr="005B6DA9" w:rsidRDefault="004F75EE" w:rsidP="004F75EE">
      <w:pPr>
        <w:spacing w:before="280" w:after="280"/>
        <w:ind w:left="2160"/>
        <w:rPr>
          <w:rFonts w:ascii="Arial" w:hAnsi="Arial" w:cs="Arial"/>
          <w:sz w:val="24"/>
          <w:szCs w:val="24"/>
        </w:rPr>
      </w:pPr>
      <w:r w:rsidRPr="005B6DA9">
        <w:rPr>
          <w:rFonts w:ascii="Arial" w:hAnsi="Arial" w:cs="Arial"/>
          <w:sz w:val="20"/>
          <w:szCs w:val="20"/>
        </w:rPr>
        <w:t>‘</w:t>
      </w:r>
      <w:r w:rsidRPr="005B6DA9">
        <w:rPr>
          <w:rFonts w:ascii="Arial" w:hAnsi="Arial" w:cs="Arial"/>
          <w:sz w:val="20"/>
          <w:szCs w:val="20"/>
          <w:lang w:val="en-US"/>
        </w:rPr>
        <w:t>But the issue was whether the tribunal “exceeded its powers” within the meaning of section 68(2)(b) [of the English Act]. This required the courts below to address the question whether the tribunal purported to exercise a power which it did not have or whether it erroneously exercised a power that it did have</w:t>
      </w:r>
      <w:r w:rsidRPr="00486DC7">
        <w:rPr>
          <w:rFonts w:ascii="Arial" w:hAnsi="Arial" w:cs="Arial"/>
          <w:i/>
          <w:iCs/>
          <w:sz w:val="20"/>
          <w:szCs w:val="20"/>
          <w:lang w:val="en-US"/>
        </w:rPr>
        <w:t>. If it is merely a case of erroneous exercise of power vesting in the tribunal no excess of power under section 68(2)(b) is involved.</w:t>
      </w:r>
      <w:r w:rsidRPr="005B6DA9">
        <w:rPr>
          <w:rFonts w:ascii="Arial" w:hAnsi="Arial" w:cs="Arial"/>
          <w:sz w:val="20"/>
          <w:szCs w:val="20"/>
          <w:lang w:val="en-US"/>
        </w:rPr>
        <w:t xml:space="preserve"> Once the matter is approached correctly, it is clear that at the highest in the present case, on the currency point, there was no more than an erroneous exercise of the power available under section 48(4). The jurisdictional challenge must therefore fail</w:t>
      </w:r>
      <w:r w:rsidRPr="005B6DA9">
        <w:rPr>
          <w:rFonts w:ascii="Arial" w:hAnsi="Arial" w:cs="Arial"/>
          <w:sz w:val="24"/>
          <w:szCs w:val="24"/>
          <w:lang w:val="en-US"/>
        </w:rPr>
        <w:t>.’”</w:t>
      </w:r>
    </w:p>
    <w:p w14:paraId="31D5F399" w14:textId="6F0C49E4" w:rsidR="00086445" w:rsidRPr="006A39C0" w:rsidRDefault="00086445" w:rsidP="00876EBC">
      <w:pPr>
        <w:pStyle w:val="BowLevel1ListAlt"/>
        <w:rPr>
          <w:rFonts w:ascii="Arial" w:hAnsi="Arial" w:cs="Arial"/>
          <w:sz w:val="24"/>
          <w:szCs w:val="24"/>
          <w:lang w:val="en-US"/>
        </w:rPr>
      </w:pPr>
      <w:r>
        <w:rPr>
          <w:rFonts w:ascii="Arial" w:hAnsi="Arial" w:cs="Arial"/>
          <w:sz w:val="24"/>
          <w:szCs w:val="24"/>
          <w:lang w:val="en-US"/>
        </w:rPr>
        <w:t xml:space="preserve">And in </w:t>
      </w:r>
      <w:r w:rsidR="00E579A5">
        <w:rPr>
          <w:rFonts w:ascii="Arial" w:hAnsi="Arial" w:cs="Arial"/>
          <w:i/>
          <w:iCs/>
          <w:sz w:val="24"/>
          <w:szCs w:val="24"/>
          <w:lang w:val="en-US"/>
        </w:rPr>
        <w:t xml:space="preserve">Palabora Copper (Pty) Ltd v </w:t>
      </w:r>
      <w:r w:rsidR="00533F42">
        <w:rPr>
          <w:rFonts w:ascii="Arial" w:hAnsi="Arial" w:cs="Arial"/>
          <w:i/>
          <w:iCs/>
          <w:sz w:val="24"/>
          <w:szCs w:val="24"/>
          <w:lang w:val="en-US"/>
        </w:rPr>
        <w:t>Motlokwa Transport and Construction (Pty) Lt</w:t>
      </w:r>
      <w:r w:rsidR="00533F42" w:rsidRPr="00D13D8E">
        <w:rPr>
          <w:rFonts w:ascii="Arial" w:hAnsi="Arial" w:cs="Arial"/>
          <w:i/>
          <w:iCs/>
          <w:sz w:val="24"/>
          <w:szCs w:val="24"/>
          <w:lang w:val="en-US"/>
        </w:rPr>
        <w:t>d</w:t>
      </w:r>
      <w:r w:rsidR="00A75401" w:rsidRPr="00D13D8E">
        <w:rPr>
          <w:rStyle w:val="FootnoteReference"/>
          <w:rFonts w:ascii="Arial" w:hAnsi="Arial" w:cs="Arial"/>
          <w:i/>
          <w:iCs/>
          <w:sz w:val="24"/>
          <w:szCs w:val="24"/>
          <w:lang w:val="en-US"/>
        </w:rPr>
        <w:footnoteReference w:id="6"/>
      </w:r>
      <w:r w:rsidR="006138D7" w:rsidRPr="00D13D8E">
        <w:rPr>
          <w:rFonts w:ascii="Arial" w:hAnsi="Arial" w:cs="Arial"/>
          <w:sz w:val="24"/>
          <w:szCs w:val="24"/>
          <w:lang w:val="en-US"/>
        </w:rPr>
        <w:t xml:space="preserve"> the SCA summarized the ambit of section 33(1)(b) as follows:</w:t>
      </w:r>
    </w:p>
    <w:p w14:paraId="71D36342" w14:textId="0459F6D6" w:rsidR="006A39C0" w:rsidRPr="006A39C0" w:rsidRDefault="00B2359C" w:rsidP="00B2359C">
      <w:pPr>
        <w:pStyle w:val="BowLevel1ListAlt"/>
        <w:numPr>
          <w:ilvl w:val="0"/>
          <w:numId w:val="0"/>
        </w:numPr>
        <w:ind w:left="1440"/>
        <w:rPr>
          <w:rFonts w:ascii="Arial" w:hAnsi="Arial" w:cs="Arial"/>
          <w:sz w:val="24"/>
          <w:szCs w:val="24"/>
          <w:lang w:val="en-US"/>
        </w:rPr>
      </w:pPr>
      <w:r w:rsidRPr="00B2359C">
        <w:rPr>
          <w:rFonts w:ascii="Arial" w:hAnsi="Arial" w:cs="Arial"/>
          <w:i/>
          <w:iCs/>
          <w:color w:val="242121"/>
          <w:sz w:val="24"/>
          <w:szCs w:val="24"/>
          <w:shd w:val="clear" w:color="auto" w:fill="FFFFFF"/>
          <w:lang w:val="en-GB"/>
        </w:rPr>
        <w:t>“</w:t>
      </w:r>
      <w:r w:rsidR="006A39C0" w:rsidRPr="00B2359C">
        <w:rPr>
          <w:rFonts w:ascii="Arial" w:hAnsi="Arial" w:cs="Arial"/>
          <w:i/>
          <w:iCs/>
          <w:color w:val="242121"/>
          <w:sz w:val="24"/>
          <w:szCs w:val="24"/>
          <w:shd w:val="clear" w:color="auto" w:fill="FFFFFF"/>
          <w:lang w:val="en-GB"/>
        </w:rPr>
        <w:t>[8] This provision was the subject of detailed consideration by this Court in </w:t>
      </w:r>
      <w:r w:rsidR="006A39C0" w:rsidRPr="00B46660">
        <w:rPr>
          <w:rFonts w:ascii="Arial" w:hAnsi="Arial" w:cs="Arial"/>
          <w:i/>
          <w:iCs/>
          <w:color w:val="242121"/>
          <w:sz w:val="24"/>
          <w:szCs w:val="24"/>
          <w:u w:val="single"/>
          <w:shd w:val="clear" w:color="auto" w:fill="FFFFFF"/>
          <w:lang w:val="en-GB"/>
        </w:rPr>
        <w:t>Telcordia</w:t>
      </w:r>
      <w:r w:rsidR="006A39C0" w:rsidRPr="00B2359C">
        <w:rPr>
          <w:rFonts w:ascii="Arial" w:hAnsi="Arial" w:cs="Arial"/>
          <w:i/>
          <w:iCs/>
          <w:color w:val="242121"/>
          <w:sz w:val="24"/>
          <w:szCs w:val="24"/>
          <w:shd w:val="clear" w:color="auto" w:fill="FFFFFF"/>
          <w:lang w:val="en-GB"/>
        </w:rPr>
        <w:t>.</w:t>
      </w:r>
      <w:r w:rsidR="00533F42">
        <w:rPr>
          <w:rFonts w:ascii="Arial" w:hAnsi="Arial" w:cs="Arial"/>
          <w:i/>
          <w:iCs/>
          <w:color w:val="242121"/>
          <w:sz w:val="24"/>
          <w:szCs w:val="24"/>
          <w:shd w:val="clear" w:color="auto" w:fill="FFFFFF"/>
          <w:lang w:val="en-GB"/>
        </w:rPr>
        <w:t xml:space="preserve"> </w:t>
      </w:r>
      <w:r w:rsidR="006A39C0" w:rsidRPr="00B2359C">
        <w:rPr>
          <w:rFonts w:ascii="Arial" w:hAnsi="Arial" w:cs="Arial"/>
          <w:i/>
          <w:iCs/>
          <w:color w:val="242121"/>
          <w:sz w:val="24"/>
          <w:szCs w:val="24"/>
          <w:shd w:val="clear" w:color="auto" w:fill="FFFFFF"/>
          <w:lang w:val="en-GB"/>
        </w:rPr>
        <w:t xml:space="preserve">It suffices to say that where an arbitrator for some reason misconceives the nature of the enquiry in the arbitration proceedings with the result that a party is denied a fair hearing or a fair trial of the issues that </w:t>
      </w:r>
      <w:r w:rsidR="006A39C0" w:rsidRPr="00B2359C">
        <w:rPr>
          <w:rFonts w:ascii="Arial" w:hAnsi="Arial" w:cs="Arial"/>
          <w:i/>
          <w:iCs/>
          <w:color w:val="242121"/>
          <w:sz w:val="24"/>
          <w:szCs w:val="24"/>
          <w:shd w:val="clear" w:color="auto" w:fill="FFFFFF"/>
          <w:lang w:val="en-GB"/>
        </w:rPr>
        <w:lastRenderedPageBreak/>
        <w:t>constitutes a gross irregularity. The party alleging the gross irregularity must establish it. Where an arbitrator engages in the correct enquiry, but errs either on the facts or the law, that is not an irregularity and is not a basis for setting aside an award. If parties choose arbitration, courts endeavour to uphold their choice and do not lightly disturb it. The attack on the award must be measured against these standards</w:t>
      </w:r>
      <w:r w:rsidR="006A39C0" w:rsidRPr="006A39C0">
        <w:rPr>
          <w:rFonts w:ascii="Arial" w:hAnsi="Arial" w:cs="Arial"/>
          <w:color w:val="242121"/>
          <w:sz w:val="24"/>
          <w:szCs w:val="24"/>
          <w:shd w:val="clear" w:color="auto" w:fill="FFFFFF"/>
          <w:lang w:val="en-GB"/>
        </w:rPr>
        <w:t>.</w:t>
      </w:r>
      <w:r>
        <w:rPr>
          <w:rFonts w:ascii="Arial" w:hAnsi="Arial" w:cs="Arial"/>
          <w:color w:val="242121"/>
          <w:sz w:val="24"/>
          <w:szCs w:val="24"/>
          <w:shd w:val="clear" w:color="auto" w:fill="FFFFFF"/>
          <w:lang w:val="en-GB"/>
        </w:rPr>
        <w:t>”  (</w:t>
      </w:r>
      <w:r w:rsidR="00533F42">
        <w:rPr>
          <w:rFonts w:ascii="Arial" w:hAnsi="Arial" w:cs="Arial"/>
          <w:color w:val="242121"/>
          <w:sz w:val="24"/>
          <w:szCs w:val="24"/>
          <w:shd w:val="clear" w:color="auto" w:fill="FFFFFF"/>
          <w:lang w:val="en-GB"/>
        </w:rPr>
        <w:t>footnotes omitted)</w:t>
      </w:r>
    </w:p>
    <w:p w14:paraId="48809D8F" w14:textId="2430AB24" w:rsidR="00C4525A" w:rsidRDefault="00C4525A" w:rsidP="00876EBC">
      <w:pPr>
        <w:pStyle w:val="BowLevel1ListAlt"/>
        <w:rPr>
          <w:rFonts w:ascii="Arial" w:hAnsi="Arial" w:cs="Arial"/>
          <w:sz w:val="24"/>
          <w:szCs w:val="24"/>
          <w:lang w:val="en-US"/>
        </w:rPr>
      </w:pPr>
      <w:r>
        <w:rPr>
          <w:rFonts w:ascii="Arial" w:hAnsi="Arial" w:cs="Arial"/>
          <w:sz w:val="24"/>
          <w:szCs w:val="24"/>
          <w:lang w:val="en-US"/>
        </w:rPr>
        <w:t xml:space="preserve">Restating these legal principles is, </w:t>
      </w:r>
      <w:r w:rsidR="00B46660">
        <w:rPr>
          <w:rFonts w:ascii="Arial" w:hAnsi="Arial" w:cs="Arial"/>
          <w:sz w:val="24"/>
          <w:szCs w:val="24"/>
          <w:lang w:val="en-US"/>
        </w:rPr>
        <w:t>of course</w:t>
      </w:r>
      <w:r>
        <w:rPr>
          <w:rFonts w:ascii="Arial" w:hAnsi="Arial" w:cs="Arial"/>
          <w:sz w:val="24"/>
          <w:szCs w:val="24"/>
          <w:lang w:val="en-US"/>
        </w:rPr>
        <w:t xml:space="preserve">, more straightforward than applying </w:t>
      </w:r>
      <w:r w:rsidR="00DE20FE">
        <w:rPr>
          <w:rFonts w:ascii="Arial" w:hAnsi="Arial" w:cs="Arial"/>
          <w:sz w:val="24"/>
          <w:szCs w:val="24"/>
          <w:lang w:val="en-US"/>
        </w:rPr>
        <w:t xml:space="preserve">them to the </w:t>
      </w:r>
      <w:r>
        <w:rPr>
          <w:rFonts w:ascii="Arial" w:hAnsi="Arial" w:cs="Arial"/>
          <w:sz w:val="24"/>
          <w:szCs w:val="24"/>
          <w:lang w:val="en-US"/>
        </w:rPr>
        <w:t>facts in any particular case.</w:t>
      </w:r>
      <w:r w:rsidR="00B46660">
        <w:rPr>
          <w:rFonts w:ascii="Arial" w:hAnsi="Arial" w:cs="Arial"/>
          <w:sz w:val="24"/>
          <w:szCs w:val="24"/>
          <w:lang w:val="en-US"/>
        </w:rPr>
        <w:t xml:space="preserve">  I turn now to consider the parties’ respective submission in the present matter.</w:t>
      </w:r>
    </w:p>
    <w:p w14:paraId="579BBB52" w14:textId="77777777" w:rsidR="00876EBC" w:rsidRPr="001963C7" w:rsidRDefault="00876EBC" w:rsidP="00876EBC">
      <w:pPr>
        <w:pStyle w:val="BowLevel1ListAlt"/>
        <w:numPr>
          <w:ilvl w:val="0"/>
          <w:numId w:val="0"/>
        </w:numPr>
        <w:rPr>
          <w:rFonts w:ascii="Arial" w:hAnsi="Arial" w:cs="Arial"/>
          <w:sz w:val="24"/>
          <w:szCs w:val="24"/>
          <w:lang w:val="en-US"/>
        </w:rPr>
      </w:pPr>
      <w:r w:rsidRPr="001963C7">
        <w:rPr>
          <w:rFonts w:ascii="Arial" w:hAnsi="Arial" w:cs="Arial"/>
          <w:b/>
          <w:bCs/>
          <w:sz w:val="24"/>
          <w:szCs w:val="24"/>
          <w:lang w:val="en-US"/>
        </w:rPr>
        <w:t>The parties’ submissions</w:t>
      </w:r>
      <w:r w:rsidRPr="001963C7">
        <w:rPr>
          <w:rFonts w:ascii="Arial" w:hAnsi="Arial" w:cs="Arial"/>
          <w:sz w:val="24"/>
          <w:szCs w:val="24"/>
          <w:lang w:val="en-US"/>
        </w:rPr>
        <w:t xml:space="preserve"> </w:t>
      </w:r>
    </w:p>
    <w:p w14:paraId="0C6E273D" w14:textId="28939F14" w:rsidR="00876EBC" w:rsidRPr="001963C7" w:rsidRDefault="00B46660" w:rsidP="00876EBC">
      <w:pPr>
        <w:pStyle w:val="BowLevel1ListAlt"/>
        <w:rPr>
          <w:rFonts w:ascii="Arial" w:hAnsi="Arial" w:cs="Arial"/>
          <w:sz w:val="24"/>
          <w:szCs w:val="24"/>
          <w:lang w:val="en-US"/>
        </w:rPr>
      </w:pPr>
      <w:r w:rsidRPr="001963C7">
        <w:rPr>
          <w:rFonts w:ascii="Arial" w:hAnsi="Arial" w:cs="Arial"/>
          <w:sz w:val="24"/>
          <w:szCs w:val="24"/>
          <w:lang w:val="en-US"/>
        </w:rPr>
        <w:t>Mr Ndou, who appeared for the applicant,</w:t>
      </w:r>
      <w:r>
        <w:rPr>
          <w:rFonts w:ascii="Arial" w:hAnsi="Arial" w:cs="Arial"/>
          <w:sz w:val="24"/>
          <w:szCs w:val="24"/>
          <w:lang w:val="en-US"/>
        </w:rPr>
        <w:t xml:space="preserve"> submitted in the first instance that </w:t>
      </w:r>
      <w:r w:rsidR="00876EBC" w:rsidRPr="001963C7">
        <w:rPr>
          <w:rFonts w:ascii="Arial" w:hAnsi="Arial" w:cs="Arial"/>
          <w:sz w:val="24"/>
          <w:szCs w:val="24"/>
          <w:lang w:val="en-US"/>
        </w:rPr>
        <w:t>the second respondent’s treatment of the matter amounted to a gross irregularity of the kind contemplated by s33(1)(a) of the Act</w:t>
      </w:r>
      <w:r>
        <w:rPr>
          <w:rFonts w:ascii="Arial" w:hAnsi="Arial" w:cs="Arial"/>
          <w:sz w:val="24"/>
          <w:szCs w:val="24"/>
          <w:lang w:val="en-US"/>
        </w:rPr>
        <w:t xml:space="preserve">.  He </w:t>
      </w:r>
      <w:r w:rsidR="00876EBC" w:rsidRPr="001963C7">
        <w:rPr>
          <w:rFonts w:ascii="Arial" w:hAnsi="Arial" w:cs="Arial"/>
          <w:sz w:val="24"/>
          <w:szCs w:val="24"/>
          <w:lang w:val="en-US"/>
        </w:rPr>
        <w:t>submitted that a mistake that prevented the aggrieved party from having its case fully and fairly determined constituted a gross irregularity</w:t>
      </w:r>
      <w:r>
        <w:rPr>
          <w:rFonts w:ascii="Arial" w:hAnsi="Arial" w:cs="Arial"/>
          <w:sz w:val="24"/>
          <w:szCs w:val="24"/>
          <w:lang w:val="en-US"/>
        </w:rPr>
        <w:t xml:space="preserve">, and that </w:t>
      </w:r>
      <w:r w:rsidR="00876EBC" w:rsidRPr="001963C7">
        <w:rPr>
          <w:rFonts w:ascii="Arial" w:hAnsi="Arial" w:cs="Arial"/>
          <w:sz w:val="24"/>
          <w:szCs w:val="24"/>
          <w:lang w:val="en-US"/>
        </w:rPr>
        <w:t>ultimately the crucial question is whether a mistake perpetrated by the arbitrator prevented a fair trial of the issues</w:t>
      </w:r>
      <w:r w:rsidRPr="00B46660">
        <w:rPr>
          <w:rStyle w:val="FootnoteReference"/>
          <w:rFonts w:ascii="Arial" w:hAnsi="Arial" w:cs="Arial"/>
          <w:sz w:val="24"/>
          <w:szCs w:val="24"/>
          <w:lang w:val="en-US"/>
        </w:rPr>
        <w:footnoteReference w:id="7"/>
      </w:r>
      <w:r w:rsidR="00876EBC" w:rsidRPr="00B46660">
        <w:rPr>
          <w:rFonts w:ascii="Arial" w:hAnsi="Arial" w:cs="Arial"/>
          <w:sz w:val="24"/>
          <w:szCs w:val="24"/>
          <w:lang w:val="en-US"/>
        </w:rPr>
        <w:t>.</w:t>
      </w:r>
      <w:r w:rsidR="00876EBC" w:rsidRPr="001963C7">
        <w:rPr>
          <w:rFonts w:ascii="Arial" w:hAnsi="Arial" w:cs="Arial"/>
          <w:sz w:val="24"/>
          <w:szCs w:val="24"/>
          <w:lang w:val="en-US"/>
        </w:rPr>
        <w:t xml:space="preserve">  </w:t>
      </w:r>
    </w:p>
    <w:p w14:paraId="78E3F898" w14:textId="52758C70"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t xml:space="preserve">Mr Ndou accepted that where an arbitrator engages in the correct inquiry but errs either on the facts or the law, that is not an irregularity and is not a basis for setting aside an award. </w:t>
      </w:r>
    </w:p>
    <w:p w14:paraId="5CC4CA37" w14:textId="083B4779" w:rsidR="00876EBC" w:rsidRPr="001963C7" w:rsidRDefault="00DF3656" w:rsidP="00876EBC">
      <w:pPr>
        <w:pStyle w:val="BowLevel1ListAlt"/>
        <w:rPr>
          <w:rFonts w:ascii="Arial" w:hAnsi="Arial" w:cs="Arial"/>
          <w:sz w:val="24"/>
          <w:szCs w:val="24"/>
          <w:lang w:val="en-US"/>
        </w:rPr>
      </w:pPr>
      <w:r>
        <w:rPr>
          <w:rFonts w:ascii="Arial" w:hAnsi="Arial" w:cs="Arial"/>
          <w:sz w:val="24"/>
          <w:szCs w:val="24"/>
          <w:lang w:val="en-US"/>
        </w:rPr>
        <w:t xml:space="preserve">He </w:t>
      </w:r>
      <w:r w:rsidR="00876EBC" w:rsidRPr="001963C7">
        <w:rPr>
          <w:rFonts w:ascii="Arial" w:hAnsi="Arial" w:cs="Arial"/>
          <w:sz w:val="24"/>
          <w:szCs w:val="24"/>
          <w:lang w:val="en-US"/>
        </w:rPr>
        <w:t>submitted</w:t>
      </w:r>
      <w:r>
        <w:rPr>
          <w:rFonts w:ascii="Arial" w:hAnsi="Arial" w:cs="Arial"/>
          <w:sz w:val="24"/>
          <w:szCs w:val="24"/>
          <w:lang w:val="en-US"/>
        </w:rPr>
        <w:t>, however,</w:t>
      </w:r>
      <w:r w:rsidR="00876EBC" w:rsidRPr="001963C7">
        <w:rPr>
          <w:rFonts w:ascii="Arial" w:hAnsi="Arial" w:cs="Arial"/>
          <w:sz w:val="24"/>
          <w:szCs w:val="24"/>
          <w:lang w:val="en-US"/>
        </w:rPr>
        <w:t xml:space="preserve"> that an arbitration award may be set aside if the arbitrator has determined matters that have not been pleaded or agreed upon.  In this regard he referred to </w:t>
      </w:r>
      <w:r w:rsidR="00876EBC" w:rsidRPr="001963C7">
        <w:rPr>
          <w:rFonts w:ascii="Arial" w:hAnsi="Arial" w:cs="Arial"/>
          <w:i/>
          <w:iCs/>
          <w:sz w:val="24"/>
          <w:szCs w:val="24"/>
          <w:lang w:val="en-US"/>
        </w:rPr>
        <w:t>Hos</w:t>
      </w:r>
      <w:r w:rsidR="00CC10EA">
        <w:rPr>
          <w:rFonts w:ascii="Arial" w:hAnsi="Arial" w:cs="Arial"/>
          <w:i/>
          <w:iCs/>
          <w:sz w:val="24"/>
          <w:szCs w:val="24"/>
          <w:lang w:val="en-US"/>
        </w:rPr>
        <w:t>+M</w:t>
      </w:r>
      <w:r w:rsidR="00876EBC" w:rsidRPr="001963C7">
        <w:rPr>
          <w:rFonts w:ascii="Arial" w:hAnsi="Arial" w:cs="Arial"/>
          <w:i/>
          <w:iCs/>
          <w:sz w:val="24"/>
          <w:szCs w:val="24"/>
          <w:lang w:val="en-US"/>
        </w:rPr>
        <w:t xml:space="preserve">ed Medical Aid Scheme v Thebe </w:t>
      </w:r>
      <w:r w:rsidR="00CC10EA">
        <w:rPr>
          <w:rFonts w:ascii="Arial" w:hAnsi="Arial" w:cs="Arial"/>
          <w:i/>
          <w:iCs/>
          <w:sz w:val="24"/>
          <w:szCs w:val="24"/>
          <w:lang w:val="en-US"/>
        </w:rPr>
        <w:t>y</w:t>
      </w:r>
      <w:r w:rsidR="00876EBC" w:rsidRPr="001963C7">
        <w:rPr>
          <w:rFonts w:ascii="Arial" w:hAnsi="Arial" w:cs="Arial"/>
          <w:i/>
          <w:iCs/>
          <w:sz w:val="24"/>
          <w:szCs w:val="24"/>
          <w:lang w:val="en-US"/>
        </w:rPr>
        <w:t xml:space="preserve">a </w:t>
      </w:r>
      <w:r w:rsidR="00CC10EA">
        <w:rPr>
          <w:rFonts w:ascii="Arial" w:hAnsi="Arial" w:cs="Arial"/>
          <w:i/>
          <w:iCs/>
          <w:sz w:val="24"/>
          <w:szCs w:val="24"/>
          <w:lang w:val="en-US"/>
        </w:rPr>
        <w:t>Pelo</w:t>
      </w:r>
      <w:r w:rsidR="00876EBC" w:rsidRPr="001963C7">
        <w:rPr>
          <w:rFonts w:ascii="Arial" w:hAnsi="Arial" w:cs="Arial"/>
          <w:i/>
          <w:iCs/>
          <w:sz w:val="24"/>
          <w:szCs w:val="24"/>
          <w:lang w:val="en-US"/>
        </w:rPr>
        <w:t xml:space="preserve"> Healthcare</w:t>
      </w:r>
      <w:r w:rsidR="00294307" w:rsidRPr="00B46660">
        <w:rPr>
          <w:rStyle w:val="FootnoteReference"/>
          <w:rFonts w:ascii="Arial" w:hAnsi="Arial" w:cs="Arial"/>
          <w:i/>
          <w:iCs/>
          <w:sz w:val="24"/>
          <w:szCs w:val="24"/>
          <w:lang w:val="en-US"/>
        </w:rPr>
        <w:footnoteReference w:id="8"/>
      </w:r>
      <w:r w:rsidR="00876EBC" w:rsidRPr="001963C7">
        <w:rPr>
          <w:rFonts w:ascii="Arial" w:hAnsi="Arial" w:cs="Arial"/>
          <w:sz w:val="24"/>
          <w:szCs w:val="24"/>
          <w:lang w:val="en-US"/>
        </w:rPr>
        <w:t>, where the SCA stated the following</w:t>
      </w:r>
      <w:r w:rsidR="00E91434">
        <w:rPr>
          <w:rFonts w:ascii="Arial" w:hAnsi="Arial" w:cs="Arial"/>
          <w:sz w:val="24"/>
          <w:szCs w:val="24"/>
          <w:lang w:val="en-US"/>
        </w:rPr>
        <w:t>:</w:t>
      </w:r>
      <w:r w:rsidR="00876EBC" w:rsidRPr="001963C7">
        <w:rPr>
          <w:rFonts w:ascii="Arial" w:hAnsi="Arial" w:cs="Arial"/>
          <w:sz w:val="24"/>
          <w:szCs w:val="24"/>
          <w:lang w:val="en-US"/>
        </w:rPr>
        <w:t xml:space="preserve"> </w:t>
      </w:r>
    </w:p>
    <w:p w14:paraId="048E8882" w14:textId="088AFB97" w:rsidR="00876EBC" w:rsidRPr="001963C7" w:rsidRDefault="00876EBC" w:rsidP="00876EBC">
      <w:pPr>
        <w:pStyle w:val="BowLevel2ListAlt"/>
        <w:numPr>
          <w:ilvl w:val="0"/>
          <w:numId w:val="0"/>
        </w:numPr>
        <w:ind w:left="851"/>
        <w:rPr>
          <w:rFonts w:ascii="Arial" w:hAnsi="Arial" w:cs="Arial"/>
          <w:i/>
          <w:iCs/>
          <w:sz w:val="24"/>
          <w:szCs w:val="24"/>
          <w:lang w:val="en-US"/>
        </w:rPr>
      </w:pPr>
      <w:r w:rsidRPr="001963C7">
        <w:rPr>
          <w:rFonts w:ascii="Arial" w:hAnsi="Arial" w:cs="Arial"/>
          <w:i/>
          <w:iCs/>
          <w:sz w:val="24"/>
          <w:szCs w:val="24"/>
          <w:lang w:val="en-US"/>
        </w:rPr>
        <w:t>“</w:t>
      </w:r>
      <w:r w:rsidR="000F5EC2">
        <w:rPr>
          <w:rFonts w:ascii="Arial" w:hAnsi="Arial" w:cs="Arial"/>
          <w:i/>
          <w:iCs/>
          <w:sz w:val="24"/>
          <w:szCs w:val="24"/>
          <w:lang w:val="en-US"/>
        </w:rPr>
        <w:t xml:space="preserve">[30] In my view </w:t>
      </w:r>
      <w:r w:rsidRPr="001963C7">
        <w:rPr>
          <w:rFonts w:ascii="Arial" w:hAnsi="Arial" w:cs="Arial"/>
          <w:i/>
          <w:iCs/>
          <w:sz w:val="24"/>
          <w:szCs w:val="24"/>
          <w:lang w:val="en-US"/>
        </w:rPr>
        <w:t xml:space="preserve">it is clear that the only source of an arbitrator’s power is the arbitration agreement between the parties and an arbitrator cannot stray beyond their submission where the parties have expressly defined and limited the issues, as the parties have done in this case, to the matters pleaded.  Thus, the arbitrator, </w:t>
      </w:r>
      <w:r w:rsidRPr="001963C7">
        <w:rPr>
          <w:rFonts w:ascii="Arial" w:hAnsi="Arial" w:cs="Arial"/>
          <w:i/>
          <w:iCs/>
          <w:sz w:val="24"/>
          <w:szCs w:val="24"/>
          <w:lang w:val="en-US"/>
        </w:rPr>
        <w:lastRenderedPageBreak/>
        <w:t>therefore also the appeal tribunal, had no jurisdiction to decide a matter not pleaded.”</w:t>
      </w:r>
    </w:p>
    <w:p w14:paraId="6B17A59C" w14:textId="3772ABA2" w:rsidR="00876EBC" w:rsidRPr="001963C7" w:rsidRDefault="00570521" w:rsidP="00876EBC">
      <w:pPr>
        <w:pStyle w:val="BowLevel1ListAlt"/>
        <w:rPr>
          <w:rFonts w:ascii="Arial" w:hAnsi="Arial" w:cs="Arial"/>
          <w:sz w:val="24"/>
          <w:szCs w:val="24"/>
          <w:lang w:val="en-US"/>
        </w:rPr>
      </w:pPr>
      <w:r>
        <w:rPr>
          <w:rFonts w:ascii="Arial" w:hAnsi="Arial" w:cs="Arial"/>
          <w:sz w:val="24"/>
          <w:szCs w:val="24"/>
          <w:lang w:val="en-US"/>
        </w:rPr>
        <w:t>R</w:t>
      </w:r>
      <w:r w:rsidRPr="001963C7">
        <w:rPr>
          <w:rFonts w:ascii="Arial" w:hAnsi="Arial" w:cs="Arial"/>
          <w:sz w:val="24"/>
          <w:szCs w:val="24"/>
          <w:lang w:val="en-US"/>
        </w:rPr>
        <w:t xml:space="preserve">eferring to </w:t>
      </w:r>
      <w:r w:rsidRPr="00D13D8E">
        <w:rPr>
          <w:rFonts w:ascii="Arial" w:hAnsi="Arial" w:cs="Arial"/>
          <w:i/>
          <w:iCs/>
          <w:sz w:val="24"/>
          <w:szCs w:val="24"/>
          <w:lang w:val="en-US"/>
        </w:rPr>
        <w:t xml:space="preserve">Total Support Management </w:t>
      </w:r>
      <w:r w:rsidR="000D6BCC" w:rsidRPr="00D13D8E">
        <w:rPr>
          <w:rFonts w:ascii="Arial" w:hAnsi="Arial" w:cs="Arial"/>
          <w:i/>
          <w:iCs/>
          <w:sz w:val="24"/>
          <w:szCs w:val="24"/>
          <w:lang w:val="en-US"/>
        </w:rPr>
        <w:t xml:space="preserve">(Pty) Ltd </w:t>
      </w:r>
      <w:r w:rsidRPr="00D13D8E">
        <w:rPr>
          <w:rFonts w:ascii="Arial" w:hAnsi="Arial" w:cs="Arial"/>
          <w:i/>
          <w:iCs/>
          <w:sz w:val="24"/>
          <w:szCs w:val="24"/>
          <w:lang w:val="en-US"/>
        </w:rPr>
        <w:t>v Diversified Health Systems (S</w:t>
      </w:r>
      <w:r w:rsidR="000D6BCC" w:rsidRPr="00D13D8E">
        <w:rPr>
          <w:rFonts w:ascii="Arial" w:hAnsi="Arial" w:cs="Arial"/>
          <w:i/>
          <w:iCs/>
          <w:sz w:val="24"/>
          <w:szCs w:val="24"/>
          <w:lang w:val="en-US"/>
        </w:rPr>
        <w:t xml:space="preserve">outh Africa) </w:t>
      </w:r>
      <w:r w:rsidR="00D13D8E" w:rsidRPr="00D13D8E">
        <w:rPr>
          <w:rFonts w:ascii="Arial" w:hAnsi="Arial" w:cs="Arial"/>
          <w:i/>
          <w:iCs/>
          <w:sz w:val="24"/>
          <w:szCs w:val="24"/>
          <w:lang w:val="en-US"/>
        </w:rPr>
        <w:t>(Pty) Ltd</w:t>
      </w:r>
      <w:r w:rsidR="00A84390" w:rsidRPr="006C3E0E">
        <w:rPr>
          <w:rStyle w:val="FootnoteReference"/>
          <w:rFonts w:ascii="Arial" w:hAnsi="Arial" w:cs="Arial"/>
          <w:i/>
          <w:iCs/>
          <w:sz w:val="24"/>
          <w:szCs w:val="24"/>
          <w:lang w:val="en-US"/>
        </w:rPr>
        <w:footnoteReference w:id="9"/>
      </w:r>
      <w:r w:rsidRPr="006C3E0E">
        <w:rPr>
          <w:rFonts w:ascii="Arial" w:hAnsi="Arial" w:cs="Arial"/>
          <w:sz w:val="24"/>
          <w:szCs w:val="24"/>
          <w:lang w:val="en-US"/>
        </w:rPr>
        <w:t xml:space="preserve"> </w:t>
      </w:r>
      <w:r w:rsidRPr="001963C7">
        <w:rPr>
          <w:rFonts w:ascii="Arial" w:hAnsi="Arial" w:cs="Arial"/>
          <w:sz w:val="24"/>
          <w:szCs w:val="24"/>
          <w:lang w:val="en-US"/>
        </w:rPr>
        <w:t xml:space="preserve">  </w:t>
      </w:r>
      <w:r>
        <w:rPr>
          <w:rFonts w:ascii="Arial" w:hAnsi="Arial" w:cs="Arial"/>
          <w:sz w:val="24"/>
          <w:szCs w:val="24"/>
          <w:lang w:val="en-US"/>
        </w:rPr>
        <w:t>Mr Ndou</w:t>
      </w:r>
      <w:r w:rsidR="00876EBC" w:rsidRPr="001963C7">
        <w:rPr>
          <w:rFonts w:ascii="Arial" w:hAnsi="Arial" w:cs="Arial"/>
          <w:sz w:val="24"/>
          <w:szCs w:val="24"/>
          <w:lang w:val="en-US"/>
        </w:rPr>
        <w:t xml:space="preserve"> submitted that while even a “gross or manifest mistake” does not constitute misconduct, it may constitute evidence of misconduct</w:t>
      </w:r>
      <w:r w:rsidR="00D540C3">
        <w:rPr>
          <w:rFonts w:ascii="Arial" w:hAnsi="Arial" w:cs="Arial"/>
          <w:sz w:val="24"/>
          <w:szCs w:val="24"/>
          <w:lang w:val="en-US"/>
        </w:rPr>
        <w:t xml:space="preserve"> which may in turn justify an inference of </w:t>
      </w:r>
      <w:r w:rsidR="00876EBC" w:rsidRPr="001963C7">
        <w:rPr>
          <w:rFonts w:ascii="Arial" w:hAnsi="Arial" w:cs="Arial"/>
          <w:sz w:val="24"/>
          <w:szCs w:val="24"/>
          <w:lang w:val="en-US"/>
        </w:rPr>
        <w:t>“wrongful and improper</w:t>
      </w:r>
      <w:r w:rsidR="00EE5052">
        <w:rPr>
          <w:rFonts w:ascii="Arial" w:hAnsi="Arial" w:cs="Arial"/>
          <w:sz w:val="24"/>
          <w:szCs w:val="24"/>
          <w:lang w:val="en-US"/>
        </w:rPr>
        <w:t xml:space="preserve"> conduct</w:t>
      </w:r>
      <w:r w:rsidR="00876EBC" w:rsidRPr="001963C7">
        <w:rPr>
          <w:rFonts w:ascii="Arial" w:hAnsi="Arial" w:cs="Arial"/>
          <w:sz w:val="24"/>
          <w:szCs w:val="24"/>
          <w:lang w:val="en-US"/>
        </w:rPr>
        <w:t xml:space="preserve">”.  </w:t>
      </w:r>
    </w:p>
    <w:p w14:paraId="05394F55" w14:textId="77777777"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t xml:space="preserve">Applying these authorities, Nr Ndou focused his submissions on the contention that the second respondent had, in the first instance, failed to determine the quantum of Claim A by reference to the case as pleaded by the parties, and had failed to resolve the dispute over the quantum of that claim by reference to the expert evidence introduced by the parties.  Instead, the second respondent had relied on an acknowledgement of indebtedness by representatives of the applicant in a meeting held during July 2019, in respect of which a minute had been introduced and oral evidence led.  </w:t>
      </w:r>
    </w:p>
    <w:p w14:paraId="02A51486" w14:textId="77777777"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t xml:space="preserve">By deciding the quantum of Claim A in this way, Mr Ndou submitted, the second respondent failed to determine the real issue that had been submitted to her, which was the quantification of the claim as determined by the evidence of experts introduced by each side and narrowed in an agreed joint minute.  </w:t>
      </w:r>
    </w:p>
    <w:p w14:paraId="12110557" w14:textId="039318DC" w:rsidR="00876EBC" w:rsidRPr="006330ED" w:rsidRDefault="00876EBC" w:rsidP="00B27BFD">
      <w:pPr>
        <w:pStyle w:val="BowLevel1ListAlt"/>
        <w:rPr>
          <w:rFonts w:ascii="Arial" w:hAnsi="Arial" w:cs="Arial"/>
          <w:sz w:val="24"/>
          <w:szCs w:val="24"/>
          <w:lang w:val="en-US"/>
        </w:rPr>
      </w:pPr>
      <w:r w:rsidRPr="006330ED">
        <w:rPr>
          <w:rFonts w:ascii="Arial" w:hAnsi="Arial" w:cs="Arial"/>
          <w:sz w:val="24"/>
          <w:szCs w:val="24"/>
          <w:lang w:val="en-US"/>
        </w:rPr>
        <w:t>In further support of this submission Mr Ndou relied on the decision</w:t>
      </w:r>
      <w:r w:rsidR="00B906A3">
        <w:rPr>
          <w:rFonts w:ascii="Arial" w:hAnsi="Arial" w:cs="Arial"/>
          <w:sz w:val="24"/>
          <w:szCs w:val="24"/>
          <w:lang w:val="en-US"/>
        </w:rPr>
        <w:t>s</w:t>
      </w:r>
      <w:r w:rsidRPr="006330ED">
        <w:rPr>
          <w:rFonts w:ascii="Arial" w:hAnsi="Arial" w:cs="Arial"/>
          <w:sz w:val="24"/>
          <w:szCs w:val="24"/>
          <w:lang w:val="en-US"/>
        </w:rPr>
        <w:t xml:space="preserve"> </w:t>
      </w:r>
      <w:r w:rsidRPr="00E47841">
        <w:rPr>
          <w:rFonts w:ascii="Arial" w:hAnsi="Arial" w:cs="Arial"/>
          <w:sz w:val="24"/>
          <w:szCs w:val="24"/>
          <w:lang w:val="en-US"/>
        </w:rPr>
        <w:t xml:space="preserve">in </w:t>
      </w:r>
      <w:r w:rsidRPr="00E47841">
        <w:rPr>
          <w:rFonts w:ascii="Arial" w:hAnsi="Arial" w:cs="Arial"/>
          <w:i/>
          <w:iCs/>
          <w:sz w:val="24"/>
          <w:szCs w:val="24"/>
          <w:lang w:val="en-US"/>
        </w:rPr>
        <w:t>Future Rustic Construction</w:t>
      </w:r>
      <w:r w:rsidR="00D833EF" w:rsidRPr="00E47841">
        <w:rPr>
          <w:rFonts w:ascii="Arial" w:hAnsi="Arial" w:cs="Arial"/>
          <w:i/>
          <w:iCs/>
          <w:sz w:val="24"/>
          <w:szCs w:val="24"/>
          <w:lang w:val="en-US"/>
        </w:rPr>
        <w:t xml:space="preserve"> (Pty) Ltd v Spillers Waterfront (Pty) Ltd</w:t>
      </w:r>
      <w:r w:rsidR="00077DBB" w:rsidRPr="00E47841">
        <w:rPr>
          <w:rFonts w:ascii="Arial" w:hAnsi="Arial" w:cs="Arial"/>
          <w:i/>
          <w:iCs/>
          <w:sz w:val="24"/>
          <w:szCs w:val="24"/>
          <w:lang w:val="en-US"/>
        </w:rPr>
        <w:t>,</w:t>
      </w:r>
      <w:r w:rsidR="00077DBB" w:rsidRPr="00E47841">
        <w:rPr>
          <w:rStyle w:val="FootnoteReference"/>
          <w:rFonts w:ascii="Arial" w:hAnsi="Arial" w:cs="Arial"/>
          <w:sz w:val="24"/>
          <w:szCs w:val="24"/>
          <w:lang w:val="en-US"/>
        </w:rPr>
        <w:footnoteReference w:id="10"/>
      </w:r>
      <w:r w:rsidRPr="00E47841">
        <w:rPr>
          <w:rFonts w:ascii="Arial" w:hAnsi="Arial" w:cs="Arial"/>
          <w:sz w:val="24"/>
          <w:szCs w:val="24"/>
          <w:lang w:val="en-US"/>
        </w:rPr>
        <w:t xml:space="preserve"> in which the court set aside an award </w:t>
      </w:r>
      <w:r w:rsidR="00752052" w:rsidRPr="00E47841">
        <w:rPr>
          <w:rFonts w:ascii="Arial" w:hAnsi="Arial" w:cs="Arial"/>
          <w:sz w:val="24"/>
          <w:szCs w:val="24"/>
          <w:lang w:val="en-US"/>
        </w:rPr>
        <w:t>and remitted the matter to the arbitrator</w:t>
      </w:r>
      <w:r w:rsidR="00B906A3">
        <w:rPr>
          <w:rFonts w:ascii="Arial" w:hAnsi="Arial" w:cs="Arial"/>
          <w:sz w:val="24"/>
          <w:szCs w:val="24"/>
          <w:lang w:val="en-US"/>
        </w:rPr>
        <w:t xml:space="preserve"> after he </w:t>
      </w:r>
      <w:r w:rsidR="00196A4B" w:rsidRPr="00E47841">
        <w:rPr>
          <w:rFonts w:ascii="Arial" w:hAnsi="Arial" w:cs="Arial"/>
          <w:sz w:val="24"/>
          <w:szCs w:val="24"/>
          <w:lang w:val="en-US"/>
        </w:rPr>
        <w:t xml:space="preserve">had </w:t>
      </w:r>
      <w:r w:rsidRPr="00E47841">
        <w:rPr>
          <w:rFonts w:ascii="Arial" w:hAnsi="Arial" w:cs="Arial"/>
          <w:sz w:val="24"/>
          <w:szCs w:val="24"/>
          <w:lang w:val="en-US"/>
        </w:rPr>
        <w:t xml:space="preserve">failed to </w:t>
      </w:r>
      <w:r w:rsidR="00196A4B" w:rsidRPr="00E47841">
        <w:rPr>
          <w:rFonts w:ascii="Arial" w:hAnsi="Arial" w:cs="Arial"/>
          <w:sz w:val="24"/>
          <w:szCs w:val="24"/>
          <w:lang w:val="en-US"/>
        </w:rPr>
        <w:t xml:space="preserve">determine </w:t>
      </w:r>
      <w:r w:rsidR="006330ED" w:rsidRPr="00E47841">
        <w:rPr>
          <w:rFonts w:ascii="Arial" w:hAnsi="Arial" w:cs="Arial"/>
          <w:sz w:val="24"/>
          <w:szCs w:val="24"/>
          <w:lang w:val="en-US"/>
        </w:rPr>
        <w:t xml:space="preserve">separate amounts awarded in respect of each of a number of separate claims; </w:t>
      </w:r>
      <w:r w:rsidR="00B906A3">
        <w:rPr>
          <w:rFonts w:ascii="Arial" w:hAnsi="Arial" w:cs="Arial"/>
          <w:sz w:val="24"/>
          <w:szCs w:val="24"/>
          <w:lang w:val="en-US"/>
        </w:rPr>
        <w:t xml:space="preserve">in </w:t>
      </w:r>
      <w:r w:rsidRPr="00E47841">
        <w:rPr>
          <w:rFonts w:ascii="Arial" w:hAnsi="Arial" w:cs="Arial"/>
          <w:i/>
          <w:iCs/>
          <w:sz w:val="24"/>
          <w:szCs w:val="24"/>
          <w:lang w:val="en-US"/>
        </w:rPr>
        <w:t>Hos</w:t>
      </w:r>
      <w:r w:rsidR="00D833EF" w:rsidRPr="00E47841">
        <w:rPr>
          <w:rFonts w:ascii="Arial" w:hAnsi="Arial" w:cs="Arial"/>
          <w:i/>
          <w:iCs/>
          <w:sz w:val="24"/>
          <w:szCs w:val="24"/>
          <w:lang w:val="en-US"/>
        </w:rPr>
        <w:t>+Med</w:t>
      </w:r>
      <w:r w:rsidR="00B906A3" w:rsidRPr="00B906A3">
        <w:rPr>
          <w:rStyle w:val="FootnoteReference"/>
          <w:rFonts w:ascii="Arial" w:hAnsi="Arial" w:cs="Arial"/>
          <w:i/>
          <w:iCs/>
          <w:sz w:val="24"/>
          <w:szCs w:val="24"/>
          <w:lang w:val="en-US"/>
        </w:rPr>
        <w:footnoteReference w:id="11"/>
      </w:r>
      <w:r w:rsidRPr="006330ED">
        <w:rPr>
          <w:rFonts w:ascii="Arial" w:hAnsi="Arial" w:cs="Arial"/>
          <w:sz w:val="24"/>
          <w:szCs w:val="24"/>
          <w:lang w:val="en-US"/>
        </w:rPr>
        <w:t xml:space="preserve">, </w:t>
      </w:r>
      <w:r w:rsidR="00715C92">
        <w:rPr>
          <w:rFonts w:ascii="Arial" w:hAnsi="Arial" w:cs="Arial"/>
          <w:sz w:val="24"/>
          <w:szCs w:val="24"/>
          <w:lang w:val="en-US"/>
        </w:rPr>
        <w:t>in which</w:t>
      </w:r>
      <w:r w:rsidRPr="006330ED">
        <w:rPr>
          <w:rFonts w:ascii="Arial" w:hAnsi="Arial" w:cs="Arial"/>
          <w:sz w:val="24"/>
          <w:szCs w:val="24"/>
          <w:lang w:val="en-US"/>
        </w:rPr>
        <w:t xml:space="preserve"> the court set aside </w:t>
      </w:r>
      <w:r w:rsidR="00715C92">
        <w:rPr>
          <w:rFonts w:ascii="Arial" w:hAnsi="Arial" w:cs="Arial"/>
          <w:sz w:val="24"/>
          <w:szCs w:val="24"/>
          <w:lang w:val="en-US"/>
        </w:rPr>
        <w:t xml:space="preserve">the </w:t>
      </w:r>
      <w:r w:rsidRPr="006330ED">
        <w:rPr>
          <w:rFonts w:ascii="Arial" w:hAnsi="Arial" w:cs="Arial"/>
          <w:sz w:val="24"/>
          <w:szCs w:val="24"/>
          <w:lang w:val="en-US"/>
        </w:rPr>
        <w:t xml:space="preserve">decision </w:t>
      </w:r>
      <w:r w:rsidR="00715C92">
        <w:rPr>
          <w:rFonts w:ascii="Arial" w:hAnsi="Arial" w:cs="Arial"/>
          <w:sz w:val="24"/>
          <w:szCs w:val="24"/>
          <w:lang w:val="en-US"/>
        </w:rPr>
        <w:t xml:space="preserve">of an arbitration appeal panel on grounds that they had determined </w:t>
      </w:r>
      <w:r w:rsidR="00D47BC5">
        <w:rPr>
          <w:rFonts w:ascii="Arial" w:hAnsi="Arial" w:cs="Arial"/>
          <w:sz w:val="24"/>
          <w:szCs w:val="24"/>
          <w:lang w:val="en-US"/>
        </w:rPr>
        <w:t>the matter on the basis of an issue not submitted to them</w:t>
      </w:r>
      <w:r w:rsidR="000B105E">
        <w:rPr>
          <w:rFonts w:ascii="Arial" w:hAnsi="Arial" w:cs="Arial"/>
          <w:sz w:val="24"/>
          <w:szCs w:val="24"/>
          <w:lang w:val="en-US"/>
        </w:rPr>
        <w:t xml:space="preserve">; and </w:t>
      </w:r>
      <w:r w:rsidR="00B906A3">
        <w:rPr>
          <w:rFonts w:ascii="Arial" w:hAnsi="Arial" w:cs="Arial"/>
          <w:sz w:val="24"/>
          <w:szCs w:val="24"/>
          <w:lang w:val="en-US"/>
        </w:rPr>
        <w:t xml:space="preserve">in </w:t>
      </w:r>
      <w:r w:rsidR="006D34BF">
        <w:rPr>
          <w:rFonts w:ascii="Arial" w:hAnsi="Arial" w:cs="Arial"/>
          <w:i/>
          <w:iCs/>
          <w:sz w:val="24"/>
          <w:szCs w:val="24"/>
          <w:lang w:val="en-US"/>
        </w:rPr>
        <w:t>Rand Water v Zuike</w:t>
      </w:r>
      <w:r w:rsidR="00BB7B54">
        <w:rPr>
          <w:rFonts w:ascii="Arial" w:hAnsi="Arial" w:cs="Arial"/>
          <w:i/>
          <w:iCs/>
          <w:sz w:val="24"/>
          <w:szCs w:val="24"/>
          <w:lang w:val="en-US"/>
        </w:rPr>
        <w:t>r</w:t>
      </w:r>
      <w:r w:rsidR="006D34BF">
        <w:rPr>
          <w:rFonts w:ascii="Arial" w:hAnsi="Arial" w:cs="Arial"/>
          <w:i/>
          <w:iCs/>
          <w:sz w:val="24"/>
          <w:szCs w:val="24"/>
          <w:lang w:val="en-US"/>
        </w:rPr>
        <w:t xml:space="preserve">bosch Biocal Products CC and Taroline (Pty) </w:t>
      </w:r>
      <w:r w:rsidR="00BB7B54">
        <w:rPr>
          <w:rFonts w:ascii="Arial" w:hAnsi="Arial" w:cs="Arial"/>
          <w:i/>
          <w:iCs/>
          <w:sz w:val="24"/>
          <w:szCs w:val="24"/>
          <w:lang w:val="en-US"/>
        </w:rPr>
        <w:t>Ltd</w:t>
      </w:r>
      <w:r w:rsidR="006D34BF">
        <w:rPr>
          <w:rFonts w:ascii="Arial" w:hAnsi="Arial" w:cs="Arial"/>
          <w:i/>
          <w:iCs/>
          <w:sz w:val="24"/>
          <w:szCs w:val="24"/>
          <w:lang w:val="en-US"/>
        </w:rPr>
        <w:t xml:space="preserve"> Joint Ven</w:t>
      </w:r>
      <w:r w:rsidR="00BB7B54">
        <w:rPr>
          <w:rFonts w:ascii="Arial" w:hAnsi="Arial" w:cs="Arial"/>
          <w:i/>
          <w:iCs/>
          <w:sz w:val="24"/>
          <w:szCs w:val="24"/>
          <w:lang w:val="en-US"/>
        </w:rPr>
        <w:t>ture</w:t>
      </w:r>
      <w:r w:rsidR="006F2BB8" w:rsidRPr="00CB3446">
        <w:rPr>
          <w:rStyle w:val="FootnoteReference"/>
          <w:rFonts w:ascii="Arial" w:hAnsi="Arial" w:cs="Arial"/>
          <w:i/>
          <w:iCs/>
          <w:sz w:val="24"/>
          <w:szCs w:val="24"/>
          <w:lang w:val="en-US"/>
        </w:rPr>
        <w:footnoteReference w:id="12"/>
      </w:r>
      <w:r w:rsidR="00C63445">
        <w:rPr>
          <w:rFonts w:ascii="Arial" w:hAnsi="Arial" w:cs="Arial"/>
          <w:i/>
          <w:iCs/>
          <w:sz w:val="24"/>
          <w:szCs w:val="24"/>
          <w:lang w:val="en-US"/>
        </w:rPr>
        <w:t xml:space="preserve">, </w:t>
      </w:r>
      <w:r w:rsidR="00C63445">
        <w:rPr>
          <w:rFonts w:ascii="Arial" w:hAnsi="Arial" w:cs="Arial"/>
          <w:sz w:val="24"/>
          <w:szCs w:val="24"/>
          <w:lang w:val="en-US"/>
        </w:rPr>
        <w:t xml:space="preserve">in which the </w:t>
      </w:r>
      <w:r w:rsidR="006F2414">
        <w:rPr>
          <w:rFonts w:ascii="Arial" w:hAnsi="Arial" w:cs="Arial"/>
          <w:sz w:val="24"/>
          <w:szCs w:val="24"/>
          <w:lang w:val="en-US"/>
        </w:rPr>
        <w:t xml:space="preserve">court similarly held that </w:t>
      </w:r>
      <w:r w:rsidR="00B94801">
        <w:rPr>
          <w:rFonts w:ascii="Arial" w:hAnsi="Arial" w:cs="Arial"/>
          <w:sz w:val="24"/>
          <w:szCs w:val="24"/>
          <w:lang w:val="en-US"/>
        </w:rPr>
        <w:t>the arbitrator had no jurisdiction to decide an aspect of the matter before him that had not been pleaded</w:t>
      </w:r>
      <w:r w:rsidR="00D47BC5">
        <w:rPr>
          <w:rFonts w:ascii="Arial" w:hAnsi="Arial" w:cs="Arial"/>
          <w:sz w:val="24"/>
          <w:szCs w:val="24"/>
          <w:lang w:val="en-US"/>
        </w:rPr>
        <w:t xml:space="preserve">.  </w:t>
      </w:r>
    </w:p>
    <w:p w14:paraId="320697FA" w14:textId="0C505E5E"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lastRenderedPageBreak/>
        <w:t xml:space="preserve">The second main focus of Mr Ndou’s attack on the award concerned the manner in which the second respondent dealt with the applicant’s counterclaim.  </w:t>
      </w:r>
      <w:r w:rsidR="00E2768F">
        <w:rPr>
          <w:rFonts w:ascii="Arial" w:hAnsi="Arial" w:cs="Arial"/>
          <w:sz w:val="24"/>
          <w:szCs w:val="24"/>
          <w:lang w:val="en-US"/>
        </w:rPr>
        <w:t>He submitted that by resolving the counterclaim in the manner which she did the s</w:t>
      </w:r>
      <w:r w:rsidRPr="001963C7">
        <w:rPr>
          <w:rFonts w:ascii="Arial" w:hAnsi="Arial" w:cs="Arial"/>
          <w:sz w:val="24"/>
          <w:szCs w:val="24"/>
          <w:lang w:val="en-US"/>
        </w:rPr>
        <w:t xml:space="preserve">econd </w:t>
      </w:r>
      <w:r w:rsidR="00E2768F">
        <w:rPr>
          <w:rFonts w:ascii="Arial" w:hAnsi="Arial" w:cs="Arial"/>
          <w:sz w:val="24"/>
          <w:szCs w:val="24"/>
          <w:lang w:val="en-US"/>
        </w:rPr>
        <w:t>r</w:t>
      </w:r>
      <w:r w:rsidRPr="001963C7">
        <w:rPr>
          <w:rFonts w:ascii="Arial" w:hAnsi="Arial" w:cs="Arial"/>
          <w:sz w:val="24"/>
          <w:szCs w:val="24"/>
          <w:lang w:val="en-US"/>
        </w:rPr>
        <w:t xml:space="preserve">espondent </w:t>
      </w:r>
      <w:r w:rsidR="00E2768F">
        <w:rPr>
          <w:rFonts w:ascii="Arial" w:hAnsi="Arial" w:cs="Arial"/>
          <w:sz w:val="24"/>
          <w:szCs w:val="24"/>
          <w:lang w:val="en-US"/>
        </w:rPr>
        <w:t xml:space="preserve">simply failed to </w:t>
      </w:r>
      <w:r w:rsidR="007E1F14">
        <w:rPr>
          <w:rFonts w:ascii="Arial" w:hAnsi="Arial" w:cs="Arial"/>
          <w:sz w:val="24"/>
          <w:szCs w:val="24"/>
          <w:lang w:val="en-US"/>
        </w:rPr>
        <w:t>deal properly or at all with an issue that fell squarely within her terms of reference.</w:t>
      </w:r>
    </w:p>
    <w:p w14:paraId="3E4BAE3A" w14:textId="29106C16" w:rsidR="00876EBC" w:rsidRPr="001963C7" w:rsidRDefault="00876EBC" w:rsidP="00D33184">
      <w:pPr>
        <w:pStyle w:val="BowLevel1ListAlt"/>
        <w:rPr>
          <w:rFonts w:ascii="Arial" w:hAnsi="Arial" w:cs="Arial"/>
          <w:sz w:val="24"/>
          <w:szCs w:val="24"/>
          <w:lang w:val="en-US"/>
        </w:rPr>
      </w:pPr>
      <w:r w:rsidRPr="001963C7">
        <w:rPr>
          <w:rFonts w:ascii="Arial" w:hAnsi="Arial" w:cs="Arial"/>
          <w:sz w:val="24"/>
          <w:szCs w:val="24"/>
          <w:lang w:val="en-US"/>
        </w:rPr>
        <w:t xml:space="preserve">Mr Sibuyi, who appeared for the first respondent, referred to the cautionary admonition in </w:t>
      </w:r>
      <w:r w:rsidRPr="001963C7">
        <w:rPr>
          <w:rFonts w:ascii="Arial" w:hAnsi="Arial" w:cs="Arial"/>
          <w:i/>
          <w:iCs/>
          <w:sz w:val="24"/>
          <w:szCs w:val="24"/>
          <w:lang w:val="en-US"/>
        </w:rPr>
        <w:t xml:space="preserve">Lufuno Mphaphuli </w:t>
      </w:r>
      <w:r w:rsidR="00D33184">
        <w:rPr>
          <w:rFonts w:ascii="Arial" w:hAnsi="Arial" w:cs="Arial"/>
          <w:sz w:val="24"/>
          <w:szCs w:val="24"/>
          <w:lang w:val="en-US"/>
        </w:rPr>
        <w:t>in the extract referred to above, at</w:t>
      </w:r>
      <w:r w:rsidRPr="001963C7">
        <w:rPr>
          <w:rFonts w:ascii="Arial" w:hAnsi="Arial" w:cs="Arial"/>
          <w:sz w:val="24"/>
          <w:szCs w:val="24"/>
          <w:lang w:val="en-US"/>
        </w:rPr>
        <w:t xml:space="preserve"> paragraph </w:t>
      </w:r>
      <w:r w:rsidR="00B906A3">
        <w:rPr>
          <w:rFonts w:ascii="Arial" w:hAnsi="Arial" w:cs="Arial"/>
          <w:sz w:val="24"/>
          <w:szCs w:val="24"/>
          <w:lang w:val="en-US"/>
        </w:rPr>
        <w:t>[</w:t>
      </w:r>
      <w:r w:rsidRPr="001963C7">
        <w:rPr>
          <w:rFonts w:ascii="Arial" w:hAnsi="Arial" w:cs="Arial"/>
          <w:sz w:val="24"/>
          <w:szCs w:val="24"/>
          <w:lang w:val="en-US"/>
        </w:rPr>
        <w:t>235</w:t>
      </w:r>
      <w:r w:rsidR="00B906A3">
        <w:rPr>
          <w:rFonts w:ascii="Arial" w:hAnsi="Arial" w:cs="Arial"/>
          <w:sz w:val="24"/>
          <w:szCs w:val="24"/>
          <w:lang w:val="en-US"/>
        </w:rPr>
        <w:t>] of that judgment</w:t>
      </w:r>
      <w:r w:rsidR="00D33184">
        <w:rPr>
          <w:rFonts w:ascii="Arial" w:hAnsi="Arial" w:cs="Arial"/>
          <w:sz w:val="24"/>
          <w:szCs w:val="24"/>
          <w:lang w:val="en-US"/>
        </w:rPr>
        <w:t>.</w:t>
      </w:r>
    </w:p>
    <w:p w14:paraId="7867C135" w14:textId="3C44B90C"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t xml:space="preserve">He submitted that compelling reasons were required to interfere with an arbitration award in terms of section 33 of the </w:t>
      </w:r>
      <w:r w:rsidR="00D33184">
        <w:rPr>
          <w:rFonts w:ascii="Arial" w:hAnsi="Arial" w:cs="Arial"/>
          <w:sz w:val="24"/>
          <w:szCs w:val="24"/>
          <w:lang w:val="en-US"/>
        </w:rPr>
        <w:t xml:space="preserve">Arbitration </w:t>
      </w:r>
      <w:r w:rsidRPr="001963C7">
        <w:rPr>
          <w:rFonts w:ascii="Arial" w:hAnsi="Arial" w:cs="Arial"/>
          <w:sz w:val="24"/>
          <w:szCs w:val="24"/>
          <w:lang w:val="en-US"/>
        </w:rPr>
        <w:t xml:space="preserve">Act, and he referred to the recent trend of decided cases on this topic which supported his argument that deference should be shown to an arbitration award properly made. </w:t>
      </w:r>
    </w:p>
    <w:p w14:paraId="3F6BFBCD" w14:textId="77777777"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t xml:space="preserve">Mr Sibuyi submitted that the applicant had adopted a broad scattergun approach in seeking to challenge the award for a wide range of reasons that ultimately simply expressed dissatisfaction or disagreement with the reasoning and outcome of the award.  None of these contentions, he submitted, fell within the ambit of an attack under section 33 of the Act. </w:t>
      </w:r>
    </w:p>
    <w:p w14:paraId="2CA7B087" w14:textId="77777777"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t xml:space="preserve">Mr Sibuyi pointed out that the larger of the first respondent’s claims in the arbitration, Claim B, had been dismissed by the second respondent, and submitted that there were no grounds to contend that the arbitrator had not independently assessed each parties’ arguments and applied her mind to the appropriate determination of the issues that had been referred to her.  </w:t>
      </w:r>
    </w:p>
    <w:p w14:paraId="382C08B4" w14:textId="77777777" w:rsidR="00876EBC" w:rsidRPr="001963C7" w:rsidRDefault="00876EBC" w:rsidP="00876EBC">
      <w:pPr>
        <w:pStyle w:val="BowLevel1ListAlt"/>
        <w:rPr>
          <w:rFonts w:ascii="Arial" w:hAnsi="Arial" w:cs="Arial"/>
          <w:sz w:val="24"/>
          <w:szCs w:val="24"/>
          <w:lang w:val="en-US"/>
        </w:rPr>
      </w:pPr>
      <w:r w:rsidRPr="001963C7">
        <w:rPr>
          <w:rFonts w:ascii="Arial" w:hAnsi="Arial" w:cs="Arial"/>
          <w:i/>
          <w:iCs/>
          <w:sz w:val="24"/>
          <w:szCs w:val="24"/>
          <w:lang w:val="en-US"/>
        </w:rPr>
        <w:t>Telcordia,</w:t>
      </w:r>
      <w:r w:rsidRPr="001963C7">
        <w:rPr>
          <w:rFonts w:ascii="Arial" w:hAnsi="Arial" w:cs="Arial"/>
          <w:sz w:val="24"/>
          <w:szCs w:val="24"/>
          <w:lang w:val="en-US"/>
        </w:rPr>
        <w:t xml:space="preserve"> Mr Sibuyi submitted, establishes that a litigant cannot complain about the outcome or results of the arbitration.  He submitted that in the present matter the Applicant had no genuine grievance about the arbitration process or method, but was clearly simply aggrieved by the outcome.  </w:t>
      </w:r>
    </w:p>
    <w:p w14:paraId="0C56BD2E" w14:textId="5E0530C1"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t xml:space="preserve">Mr Sibuyi submitted that the decisions in </w:t>
      </w:r>
      <w:r w:rsidRPr="00C01357">
        <w:rPr>
          <w:rFonts w:ascii="Arial" w:hAnsi="Arial" w:cs="Arial"/>
          <w:i/>
          <w:iCs/>
          <w:sz w:val="24"/>
          <w:szCs w:val="24"/>
          <w:lang w:val="en-US"/>
        </w:rPr>
        <w:t>Palabora</w:t>
      </w:r>
      <w:r w:rsidRPr="001963C7">
        <w:rPr>
          <w:rFonts w:ascii="Arial" w:hAnsi="Arial" w:cs="Arial"/>
          <w:sz w:val="24"/>
          <w:szCs w:val="24"/>
          <w:lang w:val="en-US"/>
        </w:rPr>
        <w:t xml:space="preserve">, </w:t>
      </w:r>
      <w:r w:rsidRPr="00C01357">
        <w:rPr>
          <w:rFonts w:ascii="Arial" w:hAnsi="Arial" w:cs="Arial"/>
          <w:i/>
          <w:iCs/>
          <w:sz w:val="24"/>
          <w:szCs w:val="24"/>
          <w:lang w:val="en-US"/>
        </w:rPr>
        <w:t>Hos</w:t>
      </w:r>
      <w:r w:rsidR="00C01357">
        <w:rPr>
          <w:rFonts w:ascii="Arial" w:hAnsi="Arial" w:cs="Arial"/>
          <w:i/>
          <w:iCs/>
          <w:sz w:val="24"/>
          <w:szCs w:val="24"/>
          <w:lang w:val="en-US"/>
        </w:rPr>
        <w:t>+</w:t>
      </w:r>
      <w:r w:rsidRPr="00C01357">
        <w:rPr>
          <w:rFonts w:ascii="Arial" w:hAnsi="Arial" w:cs="Arial"/>
          <w:i/>
          <w:iCs/>
          <w:sz w:val="24"/>
          <w:szCs w:val="24"/>
          <w:lang w:val="en-US"/>
        </w:rPr>
        <w:t>med</w:t>
      </w:r>
      <w:r w:rsidRPr="001963C7">
        <w:rPr>
          <w:rFonts w:ascii="Arial" w:hAnsi="Arial" w:cs="Arial"/>
          <w:sz w:val="24"/>
          <w:szCs w:val="24"/>
          <w:lang w:val="en-US"/>
        </w:rPr>
        <w:t xml:space="preserve">, </w:t>
      </w:r>
      <w:r w:rsidRPr="00C01357">
        <w:rPr>
          <w:rFonts w:ascii="Arial" w:hAnsi="Arial" w:cs="Arial"/>
          <w:i/>
          <w:iCs/>
          <w:sz w:val="24"/>
          <w:szCs w:val="24"/>
          <w:lang w:val="en-US"/>
        </w:rPr>
        <w:t>Rand Water</w:t>
      </w:r>
      <w:r w:rsidRPr="001963C7">
        <w:rPr>
          <w:rFonts w:ascii="Arial" w:hAnsi="Arial" w:cs="Arial"/>
          <w:sz w:val="24"/>
          <w:szCs w:val="24"/>
          <w:lang w:val="en-US"/>
        </w:rPr>
        <w:t xml:space="preserve"> and </w:t>
      </w:r>
      <w:r w:rsidRPr="00C01357">
        <w:rPr>
          <w:rFonts w:ascii="Arial" w:hAnsi="Arial" w:cs="Arial"/>
          <w:i/>
          <w:iCs/>
          <w:sz w:val="24"/>
          <w:szCs w:val="24"/>
          <w:lang w:val="en-US"/>
        </w:rPr>
        <w:t>Future Rustic Construction</w:t>
      </w:r>
      <w:r w:rsidRPr="001963C7">
        <w:rPr>
          <w:rFonts w:ascii="Arial" w:hAnsi="Arial" w:cs="Arial"/>
          <w:sz w:val="24"/>
          <w:szCs w:val="24"/>
          <w:lang w:val="en-US"/>
        </w:rPr>
        <w:t xml:space="preserve"> could all be distinguished on their facts - different issues had arisen in those cases.</w:t>
      </w:r>
    </w:p>
    <w:p w14:paraId="76A454BD" w14:textId="77777777" w:rsidR="00876EBC" w:rsidRPr="001963C7" w:rsidRDefault="00876EBC" w:rsidP="00876EBC">
      <w:pPr>
        <w:pStyle w:val="BowLevel1ListAlt"/>
        <w:numPr>
          <w:ilvl w:val="0"/>
          <w:numId w:val="0"/>
        </w:numPr>
        <w:rPr>
          <w:rFonts w:ascii="Arial" w:hAnsi="Arial" w:cs="Arial"/>
          <w:b/>
          <w:bCs/>
          <w:sz w:val="24"/>
          <w:szCs w:val="24"/>
          <w:lang w:val="en-US"/>
        </w:rPr>
      </w:pPr>
      <w:r w:rsidRPr="001963C7">
        <w:rPr>
          <w:rFonts w:ascii="Arial" w:hAnsi="Arial" w:cs="Arial"/>
          <w:b/>
          <w:bCs/>
          <w:sz w:val="24"/>
          <w:szCs w:val="24"/>
          <w:lang w:val="en-US"/>
        </w:rPr>
        <w:t>Evaluation</w:t>
      </w:r>
    </w:p>
    <w:p w14:paraId="5037D033" w14:textId="77777777" w:rsidR="009C2D56" w:rsidRDefault="00876EBC" w:rsidP="00876EBC">
      <w:pPr>
        <w:pStyle w:val="BowLevel1ListAlt"/>
        <w:rPr>
          <w:rFonts w:ascii="Arial" w:hAnsi="Arial" w:cs="Arial"/>
          <w:sz w:val="24"/>
          <w:szCs w:val="24"/>
          <w:lang w:val="en-US"/>
        </w:rPr>
      </w:pPr>
      <w:r w:rsidRPr="001963C7">
        <w:rPr>
          <w:rFonts w:ascii="Arial" w:hAnsi="Arial" w:cs="Arial"/>
          <w:sz w:val="24"/>
          <w:szCs w:val="24"/>
          <w:lang w:val="en-US"/>
        </w:rPr>
        <w:lastRenderedPageBreak/>
        <w:t xml:space="preserve">I have carefully considered the grounds on which the </w:t>
      </w:r>
      <w:r w:rsidR="00961CB1">
        <w:rPr>
          <w:rFonts w:ascii="Arial" w:hAnsi="Arial" w:cs="Arial"/>
          <w:sz w:val="24"/>
          <w:szCs w:val="24"/>
          <w:lang w:val="en-US"/>
        </w:rPr>
        <w:t>a</w:t>
      </w:r>
      <w:r w:rsidRPr="001963C7">
        <w:rPr>
          <w:rFonts w:ascii="Arial" w:hAnsi="Arial" w:cs="Arial"/>
          <w:sz w:val="24"/>
          <w:szCs w:val="24"/>
          <w:lang w:val="en-US"/>
        </w:rPr>
        <w:t>pplicant seeks to attack the award</w:t>
      </w:r>
      <w:r w:rsidR="00961CB1">
        <w:rPr>
          <w:rFonts w:ascii="Arial" w:hAnsi="Arial" w:cs="Arial"/>
          <w:sz w:val="24"/>
          <w:szCs w:val="24"/>
          <w:lang w:val="en-US"/>
        </w:rPr>
        <w:t xml:space="preserve">, and the authorities referred to by Mr Ndou.  </w:t>
      </w:r>
    </w:p>
    <w:p w14:paraId="3B154D4D" w14:textId="058E34DC" w:rsidR="002F72AD" w:rsidRPr="00045314" w:rsidRDefault="00961CB1" w:rsidP="00632116">
      <w:pPr>
        <w:pStyle w:val="BowLevel1ListAlt"/>
        <w:rPr>
          <w:rFonts w:ascii="Arial" w:hAnsi="Arial" w:cs="Arial"/>
          <w:sz w:val="24"/>
          <w:szCs w:val="24"/>
          <w:lang w:val="en-US"/>
        </w:rPr>
      </w:pPr>
      <w:r w:rsidRPr="00045314">
        <w:rPr>
          <w:rFonts w:ascii="Arial" w:hAnsi="Arial" w:cs="Arial"/>
          <w:sz w:val="24"/>
          <w:szCs w:val="24"/>
          <w:lang w:val="en-US"/>
        </w:rPr>
        <w:t xml:space="preserve">It is </w:t>
      </w:r>
      <w:r w:rsidR="009C2D56" w:rsidRPr="00045314">
        <w:rPr>
          <w:rFonts w:ascii="Arial" w:hAnsi="Arial" w:cs="Arial"/>
          <w:sz w:val="24"/>
          <w:szCs w:val="24"/>
          <w:lang w:val="en-US"/>
        </w:rPr>
        <w:t xml:space="preserve">indeed </w:t>
      </w:r>
      <w:r w:rsidRPr="00045314">
        <w:rPr>
          <w:rFonts w:ascii="Arial" w:hAnsi="Arial" w:cs="Arial"/>
          <w:sz w:val="24"/>
          <w:szCs w:val="24"/>
          <w:lang w:val="en-US"/>
        </w:rPr>
        <w:t xml:space="preserve">so that the second respondent </w:t>
      </w:r>
      <w:r w:rsidR="00534DC0" w:rsidRPr="00045314">
        <w:rPr>
          <w:rFonts w:ascii="Arial" w:hAnsi="Arial" w:cs="Arial"/>
          <w:sz w:val="24"/>
          <w:szCs w:val="24"/>
          <w:lang w:val="en-US"/>
        </w:rPr>
        <w:t xml:space="preserve">determined the matter on a basis that was not contended for or dealt with by the parties in their pleadings. </w:t>
      </w:r>
      <w:r w:rsidR="00B66BA3" w:rsidRPr="00045314">
        <w:rPr>
          <w:rFonts w:ascii="Arial" w:hAnsi="Arial" w:cs="Arial"/>
          <w:sz w:val="24"/>
          <w:szCs w:val="24"/>
          <w:lang w:val="en-US"/>
        </w:rPr>
        <w:t xml:space="preserve">The </w:t>
      </w:r>
      <w:r w:rsidR="00D63A68" w:rsidRPr="00045314">
        <w:rPr>
          <w:rFonts w:ascii="Arial" w:hAnsi="Arial" w:cs="Arial"/>
          <w:sz w:val="24"/>
          <w:szCs w:val="24"/>
          <w:lang w:val="en-US"/>
        </w:rPr>
        <w:t xml:space="preserve">award might reasonably be criticized on grounds that it resolved </w:t>
      </w:r>
      <w:r w:rsidR="00C4384D" w:rsidRPr="00045314">
        <w:rPr>
          <w:rFonts w:ascii="Arial" w:hAnsi="Arial" w:cs="Arial"/>
          <w:sz w:val="24"/>
          <w:szCs w:val="24"/>
          <w:lang w:val="en-US"/>
        </w:rPr>
        <w:t>C</w:t>
      </w:r>
      <w:r w:rsidR="00D63A68" w:rsidRPr="00045314">
        <w:rPr>
          <w:rFonts w:ascii="Arial" w:hAnsi="Arial" w:cs="Arial"/>
          <w:sz w:val="24"/>
          <w:szCs w:val="24"/>
          <w:lang w:val="en-US"/>
        </w:rPr>
        <w:t>laim A, and consequently the counterclaim, by</w:t>
      </w:r>
      <w:r w:rsidR="00C4384D" w:rsidRPr="00045314">
        <w:rPr>
          <w:rFonts w:ascii="Arial" w:hAnsi="Arial" w:cs="Arial"/>
          <w:sz w:val="24"/>
          <w:szCs w:val="24"/>
          <w:lang w:val="en-US"/>
        </w:rPr>
        <w:t xml:space="preserve"> way of a short cut.  The arbitrator concluded in effect that the applicant had </w:t>
      </w:r>
      <w:r w:rsidR="00B906A3">
        <w:rPr>
          <w:rFonts w:ascii="Arial" w:hAnsi="Arial" w:cs="Arial"/>
          <w:sz w:val="24"/>
          <w:szCs w:val="24"/>
          <w:lang w:val="en-US"/>
        </w:rPr>
        <w:t xml:space="preserve">previously </w:t>
      </w:r>
      <w:r w:rsidR="00C4384D" w:rsidRPr="00045314">
        <w:rPr>
          <w:rFonts w:ascii="Arial" w:hAnsi="Arial" w:cs="Arial"/>
          <w:sz w:val="24"/>
          <w:szCs w:val="24"/>
          <w:lang w:val="en-US"/>
        </w:rPr>
        <w:t xml:space="preserve">acknowledged and </w:t>
      </w:r>
      <w:r w:rsidR="007160AE" w:rsidRPr="00045314">
        <w:rPr>
          <w:rFonts w:ascii="Arial" w:hAnsi="Arial" w:cs="Arial"/>
          <w:sz w:val="24"/>
          <w:szCs w:val="24"/>
          <w:lang w:val="en-US"/>
        </w:rPr>
        <w:t>accepted</w:t>
      </w:r>
      <w:r w:rsidR="00C4384D" w:rsidRPr="00045314">
        <w:rPr>
          <w:rFonts w:ascii="Arial" w:hAnsi="Arial" w:cs="Arial"/>
          <w:sz w:val="24"/>
          <w:szCs w:val="24"/>
          <w:lang w:val="en-US"/>
        </w:rPr>
        <w:t xml:space="preserve"> liability in a certain amount in respect of Claim A</w:t>
      </w:r>
      <w:r w:rsidR="00B8359A" w:rsidRPr="00045314">
        <w:rPr>
          <w:rFonts w:ascii="Arial" w:hAnsi="Arial" w:cs="Arial"/>
          <w:sz w:val="24"/>
          <w:szCs w:val="24"/>
          <w:lang w:val="en-US"/>
        </w:rPr>
        <w:t xml:space="preserve">, </w:t>
      </w:r>
      <w:r w:rsidR="009C2D56" w:rsidRPr="00045314">
        <w:rPr>
          <w:rFonts w:ascii="Arial" w:hAnsi="Arial" w:cs="Arial"/>
          <w:sz w:val="24"/>
          <w:szCs w:val="24"/>
          <w:lang w:val="en-US"/>
        </w:rPr>
        <w:t xml:space="preserve">and </w:t>
      </w:r>
      <w:r w:rsidR="00B8359A" w:rsidRPr="00045314">
        <w:rPr>
          <w:rFonts w:ascii="Arial" w:hAnsi="Arial" w:cs="Arial"/>
          <w:sz w:val="24"/>
          <w:szCs w:val="24"/>
          <w:lang w:val="en-US"/>
        </w:rPr>
        <w:t>made an award in that amount</w:t>
      </w:r>
      <w:r w:rsidR="009C2D56" w:rsidRPr="00045314">
        <w:rPr>
          <w:rFonts w:ascii="Arial" w:hAnsi="Arial" w:cs="Arial"/>
          <w:sz w:val="24"/>
          <w:szCs w:val="24"/>
          <w:lang w:val="en-US"/>
        </w:rPr>
        <w:t xml:space="preserve">.  Having </w:t>
      </w:r>
      <w:r w:rsidR="00B8359A" w:rsidRPr="00045314">
        <w:rPr>
          <w:rFonts w:ascii="Arial" w:hAnsi="Arial" w:cs="Arial"/>
          <w:sz w:val="24"/>
          <w:szCs w:val="24"/>
          <w:lang w:val="en-US"/>
        </w:rPr>
        <w:t xml:space="preserve">done so </w:t>
      </w:r>
      <w:r w:rsidR="007830A6" w:rsidRPr="00045314">
        <w:rPr>
          <w:rFonts w:ascii="Arial" w:hAnsi="Arial" w:cs="Arial"/>
          <w:sz w:val="24"/>
          <w:szCs w:val="24"/>
          <w:lang w:val="en-US"/>
        </w:rPr>
        <w:t xml:space="preserve">it followed, </w:t>
      </w:r>
      <w:r w:rsidR="00045314" w:rsidRPr="00045314">
        <w:rPr>
          <w:rFonts w:ascii="Arial" w:hAnsi="Arial" w:cs="Arial"/>
          <w:sz w:val="24"/>
          <w:szCs w:val="24"/>
          <w:lang w:val="en-US"/>
        </w:rPr>
        <w:t>in her view</w:t>
      </w:r>
      <w:r w:rsidR="007830A6" w:rsidRPr="00045314">
        <w:rPr>
          <w:rFonts w:ascii="Arial" w:hAnsi="Arial" w:cs="Arial"/>
          <w:sz w:val="24"/>
          <w:szCs w:val="24"/>
          <w:lang w:val="en-US"/>
        </w:rPr>
        <w:t xml:space="preserve">, </w:t>
      </w:r>
      <w:r w:rsidR="00B8359A" w:rsidRPr="00045314">
        <w:rPr>
          <w:rFonts w:ascii="Arial" w:hAnsi="Arial" w:cs="Arial"/>
          <w:sz w:val="24"/>
          <w:szCs w:val="24"/>
          <w:lang w:val="en-US"/>
        </w:rPr>
        <w:t xml:space="preserve">that the applicant could not succeed with </w:t>
      </w:r>
      <w:r w:rsidR="00B906A3">
        <w:rPr>
          <w:rFonts w:ascii="Arial" w:hAnsi="Arial" w:cs="Arial"/>
          <w:sz w:val="24"/>
          <w:szCs w:val="24"/>
          <w:lang w:val="en-US"/>
        </w:rPr>
        <w:t>its counter</w:t>
      </w:r>
      <w:r w:rsidR="00B8359A" w:rsidRPr="00045314">
        <w:rPr>
          <w:rFonts w:ascii="Arial" w:hAnsi="Arial" w:cs="Arial"/>
          <w:sz w:val="24"/>
          <w:szCs w:val="24"/>
          <w:lang w:val="en-US"/>
        </w:rPr>
        <w:t xml:space="preserve">claim for unjustified enrichment </w:t>
      </w:r>
      <w:r w:rsidR="007160AE" w:rsidRPr="00045314">
        <w:rPr>
          <w:rFonts w:ascii="Arial" w:hAnsi="Arial" w:cs="Arial"/>
          <w:sz w:val="24"/>
          <w:szCs w:val="24"/>
          <w:lang w:val="en-US"/>
        </w:rPr>
        <w:t xml:space="preserve">in respect of amounts for which it had accepted liability.  </w:t>
      </w:r>
    </w:p>
    <w:p w14:paraId="41AA3C38" w14:textId="685D989C" w:rsidR="00172277" w:rsidRDefault="00045314" w:rsidP="00876EBC">
      <w:pPr>
        <w:pStyle w:val="BowLevel1ListAlt"/>
        <w:rPr>
          <w:rFonts w:ascii="Arial" w:hAnsi="Arial" w:cs="Arial"/>
          <w:sz w:val="24"/>
          <w:szCs w:val="24"/>
          <w:lang w:val="en-US"/>
        </w:rPr>
      </w:pPr>
      <w:r>
        <w:rPr>
          <w:rFonts w:ascii="Arial" w:hAnsi="Arial" w:cs="Arial"/>
          <w:sz w:val="24"/>
          <w:szCs w:val="24"/>
          <w:lang w:val="en-US"/>
        </w:rPr>
        <w:t xml:space="preserve">The </w:t>
      </w:r>
      <w:r w:rsidR="002F72AD">
        <w:rPr>
          <w:rFonts w:ascii="Arial" w:hAnsi="Arial" w:cs="Arial"/>
          <w:sz w:val="24"/>
          <w:szCs w:val="24"/>
          <w:lang w:val="en-US"/>
        </w:rPr>
        <w:t xml:space="preserve">fact that the arbitrator’s reasoning </w:t>
      </w:r>
      <w:r w:rsidR="00723372">
        <w:rPr>
          <w:rFonts w:ascii="Arial" w:hAnsi="Arial" w:cs="Arial"/>
          <w:sz w:val="24"/>
          <w:szCs w:val="24"/>
          <w:lang w:val="en-US"/>
        </w:rPr>
        <w:t xml:space="preserve">was different to </w:t>
      </w:r>
      <w:r>
        <w:rPr>
          <w:rFonts w:ascii="Arial" w:hAnsi="Arial" w:cs="Arial"/>
          <w:sz w:val="24"/>
          <w:szCs w:val="24"/>
          <w:lang w:val="en-US"/>
        </w:rPr>
        <w:t xml:space="preserve">the </w:t>
      </w:r>
      <w:r w:rsidR="00723372">
        <w:rPr>
          <w:rFonts w:ascii="Arial" w:hAnsi="Arial" w:cs="Arial"/>
          <w:sz w:val="24"/>
          <w:szCs w:val="24"/>
          <w:lang w:val="en-US"/>
        </w:rPr>
        <w:t>case pleaded by the first respondent in the arbitration does not</w:t>
      </w:r>
      <w:r>
        <w:rPr>
          <w:rFonts w:ascii="Arial" w:hAnsi="Arial" w:cs="Arial"/>
          <w:sz w:val="24"/>
          <w:szCs w:val="24"/>
          <w:lang w:val="en-US"/>
        </w:rPr>
        <w:t>, however,</w:t>
      </w:r>
      <w:r w:rsidR="00723372">
        <w:rPr>
          <w:rFonts w:ascii="Arial" w:hAnsi="Arial" w:cs="Arial"/>
          <w:sz w:val="24"/>
          <w:szCs w:val="24"/>
          <w:lang w:val="en-US"/>
        </w:rPr>
        <w:t xml:space="preserve"> by itself take the matter outside the ambit of the arbitrator’s terms of reference.  </w:t>
      </w:r>
    </w:p>
    <w:p w14:paraId="1BFBD3D7" w14:textId="77777777" w:rsidR="000960C8" w:rsidRDefault="00172277" w:rsidP="00876EBC">
      <w:pPr>
        <w:pStyle w:val="BowLevel1ListAlt"/>
        <w:rPr>
          <w:rFonts w:ascii="Arial" w:hAnsi="Arial" w:cs="Arial"/>
          <w:sz w:val="24"/>
          <w:szCs w:val="24"/>
          <w:lang w:val="en-US"/>
        </w:rPr>
      </w:pPr>
      <w:r>
        <w:rPr>
          <w:rFonts w:ascii="Arial" w:hAnsi="Arial" w:cs="Arial"/>
          <w:sz w:val="24"/>
          <w:szCs w:val="24"/>
          <w:lang w:val="en-US"/>
        </w:rPr>
        <w:t xml:space="preserve">In </w:t>
      </w:r>
      <w:r>
        <w:rPr>
          <w:rFonts w:ascii="Arial" w:hAnsi="Arial" w:cs="Arial"/>
          <w:i/>
          <w:iCs/>
          <w:sz w:val="24"/>
          <w:szCs w:val="24"/>
          <w:lang w:val="en-US"/>
        </w:rPr>
        <w:t xml:space="preserve">Hos+Med </w:t>
      </w:r>
      <w:r>
        <w:rPr>
          <w:rFonts w:ascii="Arial" w:hAnsi="Arial" w:cs="Arial"/>
          <w:sz w:val="24"/>
          <w:szCs w:val="24"/>
          <w:lang w:val="en-US"/>
        </w:rPr>
        <w:t xml:space="preserve">the arbitration agreement had expressly restricted the arbitrator’s terms of reference to </w:t>
      </w:r>
      <w:r w:rsidR="00045314">
        <w:rPr>
          <w:rFonts w:ascii="Arial" w:hAnsi="Arial" w:cs="Arial"/>
          <w:sz w:val="24"/>
          <w:szCs w:val="24"/>
          <w:lang w:val="en-US"/>
        </w:rPr>
        <w:t xml:space="preserve">what was contained in </w:t>
      </w:r>
      <w:r>
        <w:rPr>
          <w:rFonts w:ascii="Arial" w:hAnsi="Arial" w:cs="Arial"/>
          <w:sz w:val="24"/>
          <w:szCs w:val="24"/>
          <w:lang w:val="en-US"/>
        </w:rPr>
        <w:t xml:space="preserve">the pleadings.  </w:t>
      </w:r>
      <w:r w:rsidR="00C7396D">
        <w:rPr>
          <w:rFonts w:ascii="Arial" w:hAnsi="Arial" w:cs="Arial"/>
          <w:sz w:val="24"/>
          <w:szCs w:val="24"/>
          <w:lang w:val="en-US"/>
        </w:rPr>
        <w:t>Th</w:t>
      </w:r>
      <w:r w:rsidR="00045314">
        <w:rPr>
          <w:rFonts w:ascii="Arial" w:hAnsi="Arial" w:cs="Arial"/>
          <w:sz w:val="24"/>
          <w:szCs w:val="24"/>
          <w:lang w:val="en-US"/>
        </w:rPr>
        <w:t xml:space="preserve">is fact </w:t>
      </w:r>
      <w:r w:rsidR="00C7396D">
        <w:rPr>
          <w:rFonts w:ascii="Arial" w:hAnsi="Arial" w:cs="Arial"/>
          <w:sz w:val="24"/>
          <w:szCs w:val="24"/>
          <w:lang w:val="en-US"/>
        </w:rPr>
        <w:t xml:space="preserve">was </w:t>
      </w:r>
      <w:r w:rsidR="00045314">
        <w:rPr>
          <w:rFonts w:ascii="Arial" w:hAnsi="Arial" w:cs="Arial"/>
          <w:sz w:val="24"/>
          <w:szCs w:val="24"/>
          <w:lang w:val="en-US"/>
        </w:rPr>
        <w:t xml:space="preserve">at the heart of </w:t>
      </w:r>
      <w:r w:rsidR="00C7396D">
        <w:rPr>
          <w:rFonts w:ascii="Arial" w:hAnsi="Arial" w:cs="Arial"/>
          <w:sz w:val="24"/>
          <w:szCs w:val="24"/>
          <w:lang w:val="en-US"/>
        </w:rPr>
        <w:t xml:space="preserve">the decision in that matter.  </w:t>
      </w:r>
      <w:r w:rsidR="000960C8">
        <w:rPr>
          <w:rFonts w:ascii="Arial" w:hAnsi="Arial" w:cs="Arial"/>
          <w:sz w:val="24"/>
          <w:szCs w:val="24"/>
          <w:lang w:val="en-US"/>
        </w:rPr>
        <w:t>The same was not the case here.</w:t>
      </w:r>
    </w:p>
    <w:p w14:paraId="6080AF23" w14:textId="4261F9DF" w:rsidR="00022554" w:rsidRDefault="00F60226" w:rsidP="00876EBC">
      <w:pPr>
        <w:pStyle w:val="BowLevel1ListAlt"/>
        <w:rPr>
          <w:rFonts w:ascii="Arial" w:hAnsi="Arial" w:cs="Arial"/>
          <w:sz w:val="24"/>
          <w:szCs w:val="24"/>
          <w:lang w:val="en-US"/>
        </w:rPr>
      </w:pPr>
      <w:r>
        <w:rPr>
          <w:rFonts w:ascii="Arial" w:hAnsi="Arial" w:cs="Arial"/>
          <w:sz w:val="24"/>
          <w:szCs w:val="24"/>
          <w:lang w:val="en-US"/>
        </w:rPr>
        <w:t xml:space="preserve">Although the </w:t>
      </w:r>
      <w:r w:rsidR="00C7396D">
        <w:rPr>
          <w:rFonts w:ascii="Arial" w:hAnsi="Arial" w:cs="Arial"/>
          <w:sz w:val="24"/>
          <w:szCs w:val="24"/>
          <w:lang w:val="en-US"/>
        </w:rPr>
        <w:t xml:space="preserve">court in </w:t>
      </w:r>
      <w:r w:rsidR="00C7396D">
        <w:rPr>
          <w:rFonts w:ascii="Arial" w:hAnsi="Arial" w:cs="Arial"/>
          <w:i/>
          <w:iCs/>
          <w:sz w:val="24"/>
          <w:szCs w:val="24"/>
          <w:lang w:val="en-US"/>
        </w:rPr>
        <w:t xml:space="preserve">Rand </w:t>
      </w:r>
      <w:r w:rsidR="00C7396D" w:rsidRPr="00C7396D">
        <w:rPr>
          <w:rFonts w:ascii="Arial" w:hAnsi="Arial" w:cs="Arial"/>
          <w:i/>
          <w:iCs/>
          <w:sz w:val="24"/>
          <w:szCs w:val="24"/>
          <w:lang w:val="en-US"/>
        </w:rPr>
        <w:t>Water</w:t>
      </w:r>
      <w:r w:rsidR="00C7396D">
        <w:rPr>
          <w:rFonts w:ascii="Arial" w:hAnsi="Arial" w:cs="Arial"/>
          <w:sz w:val="24"/>
          <w:szCs w:val="24"/>
          <w:lang w:val="en-US"/>
        </w:rPr>
        <w:t xml:space="preserve"> </w:t>
      </w:r>
      <w:r w:rsidR="00841FC6">
        <w:rPr>
          <w:rFonts w:ascii="Arial" w:hAnsi="Arial" w:cs="Arial"/>
          <w:sz w:val="24"/>
          <w:szCs w:val="24"/>
          <w:lang w:val="en-US"/>
        </w:rPr>
        <w:t xml:space="preserve">referred to </w:t>
      </w:r>
      <w:r w:rsidR="00841FC6" w:rsidRPr="00022554">
        <w:rPr>
          <w:rFonts w:ascii="Arial" w:hAnsi="Arial" w:cs="Arial"/>
          <w:i/>
          <w:iCs/>
          <w:sz w:val="24"/>
          <w:szCs w:val="24"/>
          <w:lang w:val="en-US"/>
        </w:rPr>
        <w:t>Hos+Med</w:t>
      </w:r>
      <w:r w:rsidR="00841FC6">
        <w:rPr>
          <w:rFonts w:ascii="Arial" w:hAnsi="Arial" w:cs="Arial"/>
          <w:sz w:val="24"/>
          <w:szCs w:val="24"/>
          <w:lang w:val="en-US"/>
        </w:rPr>
        <w:t xml:space="preserve"> </w:t>
      </w:r>
      <w:r w:rsidR="008A670C">
        <w:rPr>
          <w:rFonts w:ascii="Arial" w:hAnsi="Arial" w:cs="Arial"/>
          <w:sz w:val="24"/>
          <w:szCs w:val="24"/>
          <w:lang w:val="en-US"/>
        </w:rPr>
        <w:t xml:space="preserve">before concluding that the arbitrator </w:t>
      </w:r>
      <w:r w:rsidR="00036A75">
        <w:rPr>
          <w:rFonts w:ascii="Arial" w:hAnsi="Arial" w:cs="Arial"/>
          <w:sz w:val="24"/>
          <w:szCs w:val="24"/>
          <w:lang w:val="en-US"/>
        </w:rPr>
        <w:t xml:space="preserve">in that matter </w:t>
      </w:r>
      <w:r w:rsidR="008A670C">
        <w:rPr>
          <w:rFonts w:ascii="Arial" w:hAnsi="Arial" w:cs="Arial"/>
          <w:sz w:val="24"/>
          <w:szCs w:val="24"/>
          <w:lang w:val="en-US"/>
        </w:rPr>
        <w:t xml:space="preserve">had no jurisdiction to decide </w:t>
      </w:r>
      <w:r w:rsidR="00036A75">
        <w:rPr>
          <w:rFonts w:ascii="Arial" w:hAnsi="Arial" w:cs="Arial"/>
          <w:sz w:val="24"/>
          <w:szCs w:val="24"/>
          <w:lang w:val="en-US"/>
        </w:rPr>
        <w:t xml:space="preserve">something </w:t>
      </w:r>
      <w:r w:rsidR="008A670C">
        <w:rPr>
          <w:rFonts w:ascii="Arial" w:hAnsi="Arial" w:cs="Arial"/>
          <w:sz w:val="24"/>
          <w:szCs w:val="24"/>
          <w:lang w:val="en-US"/>
        </w:rPr>
        <w:t>not pleaded</w:t>
      </w:r>
      <w:r>
        <w:rPr>
          <w:rFonts w:ascii="Arial" w:hAnsi="Arial" w:cs="Arial"/>
          <w:sz w:val="24"/>
          <w:szCs w:val="24"/>
          <w:lang w:val="en-US"/>
        </w:rPr>
        <w:t xml:space="preserve">, and as a result set aside </w:t>
      </w:r>
      <w:r w:rsidR="00C34CE3">
        <w:rPr>
          <w:rFonts w:ascii="Arial" w:hAnsi="Arial" w:cs="Arial"/>
          <w:sz w:val="24"/>
          <w:szCs w:val="24"/>
          <w:lang w:val="en-US"/>
        </w:rPr>
        <w:t>part of the award</w:t>
      </w:r>
      <w:r>
        <w:rPr>
          <w:rFonts w:ascii="Arial" w:hAnsi="Arial" w:cs="Arial"/>
          <w:sz w:val="24"/>
          <w:szCs w:val="24"/>
          <w:lang w:val="en-US"/>
        </w:rPr>
        <w:t xml:space="preserve"> in that matter</w:t>
      </w:r>
      <w:r w:rsidR="008A670C">
        <w:rPr>
          <w:rFonts w:ascii="Arial" w:hAnsi="Arial" w:cs="Arial"/>
          <w:sz w:val="24"/>
          <w:szCs w:val="24"/>
          <w:lang w:val="en-US"/>
        </w:rPr>
        <w:t xml:space="preserve">, the reason for this in </w:t>
      </w:r>
      <w:r w:rsidR="008A670C" w:rsidRPr="00C34CE3">
        <w:rPr>
          <w:rFonts w:ascii="Arial" w:hAnsi="Arial" w:cs="Arial"/>
          <w:i/>
          <w:iCs/>
          <w:sz w:val="24"/>
          <w:szCs w:val="24"/>
          <w:lang w:val="en-US"/>
        </w:rPr>
        <w:t>Rand Water</w:t>
      </w:r>
      <w:r w:rsidR="008A670C">
        <w:rPr>
          <w:rFonts w:ascii="Arial" w:hAnsi="Arial" w:cs="Arial"/>
          <w:sz w:val="24"/>
          <w:szCs w:val="24"/>
          <w:lang w:val="en-US"/>
        </w:rPr>
        <w:t xml:space="preserve"> </w:t>
      </w:r>
      <w:r w:rsidR="00C34CE3">
        <w:rPr>
          <w:rFonts w:ascii="Arial" w:hAnsi="Arial" w:cs="Arial"/>
          <w:sz w:val="24"/>
          <w:szCs w:val="24"/>
          <w:lang w:val="en-US"/>
        </w:rPr>
        <w:t xml:space="preserve">was that the arbitrator had made an award </w:t>
      </w:r>
      <w:r w:rsidR="00C015E2">
        <w:rPr>
          <w:rFonts w:ascii="Arial" w:hAnsi="Arial" w:cs="Arial"/>
          <w:sz w:val="24"/>
          <w:szCs w:val="24"/>
          <w:lang w:val="en-US"/>
        </w:rPr>
        <w:t xml:space="preserve">for payment of </w:t>
      </w:r>
      <w:r w:rsidR="00022554">
        <w:rPr>
          <w:rFonts w:ascii="Arial" w:hAnsi="Arial" w:cs="Arial"/>
          <w:sz w:val="24"/>
          <w:szCs w:val="24"/>
          <w:lang w:val="en-US"/>
        </w:rPr>
        <w:t xml:space="preserve">certain </w:t>
      </w:r>
      <w:r w:rsidR="00951D10">
        <w:rPr>
          <w:rFonts w:ascii="Arial" w:hAnsi="Arial" w:cs="Arial"/>
          <w:sz w:val="24"/>
          <w:szCs w:val="24"/>
          <w:lang w:val="en-US"/>
        </w:rPr>
        <w:t xml:space="preserve">costs incurred for the removal of sludge in respect of a period for which no claim had been made </w:t>
      </w:r>
      <w:r w:rsidR="00022554">
        <w:rPr>
          <w:rFonts w:ascii="Arial" w:hAnsi="Arial" w:cs="Arial"/>
          <w:sz w:val="24"/>
          <w:szCs w:val="24"/>
          <w:lang w:val="en-US"/>
        </w:rPr>
        <w:t xml:space="preserve">in the proceedings </w:t>
      </w:r>
      <w:r w:rsidR="00951D10">
        <w:rPr>
          <w:rFonts w:ascii="Arial" w:hAnsi="Arial" w:cs="Arial"/>
          <w:sz w:val="24"/>
          <w:szCs w:val="24"/>
          <w:lang w:val="en-US"/>
        </w:rPr>
        <w:t xml:space="preserve">at all.  </w:t>
      </w:r>
    </w:p>
    <w:p w14:paraId="1953DE5C" w14:textId="1517D31C" w:rsidR="00876EBC" w:rsidRPr="001963C7" w:rsidRDefault="00A84BDB" w:rsidP="00876EBC">
      <w:pPr>
        <w:pStyle w:val="BowLevel1ListAlt"/>
        <w:rPr>
          <w:rFonts w:ascii="Arial" w:hAnsi="Arial" w:cs="Arial"/>
          <w:sz w:val="24"/>
          <w:szCs w:val="24"/>
          <w:lang w:val="en-US"/>
        </w:rPr>
      </w:pPr>
      <w:r>
        <w:rPr>
          <w:rFonts w:ascii="Arial" w:hAnsi="Arial" w:cs="Arial"/>
          <w:sz w:val="24"/>
          <w:szCs w:val="24"/>
          <w:lang w:val="en-US"/>
        </w:rPr>
        <w:t xml:space="preserve">In </w:t>
      </w:r>
      <w:r w:rsidRPr="00A84BDB">
        <w:rPr>
          <w:rFonts w:ascii="Arial" w:hAnsi="Arial" w:cs="Arial"/>
          <w:i/>
          <w:iCs/>
          <w:sz w:val="24"/>
          <w:szCs w:val="24"/>
          <w:lang w:val="en-US"/>
        </w:rPr>
        <w:t>Future Rustic Construction</w:t>
      </w:r>
      <w:r>
        <w:rPr>
          <w:rFonts w:ascii="Arial" w:hAnsi="Arial" w:cs="Arial"/>
          <w:sz w:val="24"/>
          <w:szCs w:val="24"/>
          <w:lang w:val="en-US"/>
        </w:rPr>
        <w:t xml:space="preserve"> the arbitrator had made a composite award in respect of multiple separate claims without </w:t>
      </w:r>
      <w:r w:rsidR="00E01B8F">
        <w:rPr>
          <w:rFonts w:ascii="Arial" w:hAnsi="Arial" w:cs="Arial"/>
          <w:sz w:val="24"/>
          <w:szCs w:val="24"/>
          <w:lang w:val="en-US"/>
        </w:rPr>
        <w:t xml:space="preserve">determining amounts payable in respect of the different claims, and the matter was remitted to the arbitrator for reconsideration </w:t>
      </w:r>
      <w:r w:rsidR="004D3867">
        <w:rPr>
          <w:rFonts w:ascii="Arial" w:hAnsi="Arial" w:cs="Arial"/>
          <w:sz w:val="24"/>
          <w:szCs w:val="24"/>
          <w:lang w:val="en-US"/>
        </w:rPr>
        <w:t>and a requirement that the arbitrator furnish the separate amounts awarded in respect of each claim</w:t>
      </w:r>
      <w:r w:rsidR="00BB3145">
        <w:rPr>
          <w:rFonts w:ascii="Arial" w:hAnsi="Arial" w:cs="Arial"/>
          <w:sz w:val="24"/>
          <w:szCs w:val="24"/>
          <w:lang w:val="en-US"/>
        </w:rPr>
        <w:t xml:space="preserve">.  </w:t>
      </w:r>
    </w:p>
    <w:p w14:paraId="1C474048" w14:textId="48D8285E" w:rsidR="0005786C" w:rsidRPr="0055694E" w:rsidRDefault="00CC360A" w:rsidP="00876EBC">
      <w:pPr>
        <w:pStyle w:val="BowLevel1ListAlt"/>
        <w:rPr>
          <w:rFonts w:ascii="Arial" w:hAnsi="Arial" w:cs="Arial"/>
          <w:sz w:val="24"/>
          <w:szCs w:val="24"/>
          <w:lang w:val="en-US"/>
        </w:rPr>
      </w:pPr>
      <w:r>
        <w:rPr>
          <w:rFonts w:ascii="Arial" w:hAnsi="Arial" w:cs="Arial"/>
          <w:sz w:val="24"/>
          <w:szCs w:val="24"/>
          <w:lang w:val="en-US"/>
        </w:rPr>
        <w:t xml:space="preserve">In my view </w:t>
      </w:r>
      <w:r w:rsidR="00174D97">
        <w:rPr>
          <w:rFonts w:ascii="Arial" w:hAnsi="Arial" w:cs="Arial"/>
          <w:sz w:val="24"/>
          <w:szCs w:val="24"/>
          <w:lang w:val="en-US"/>
        </w:rPr>
        <w:t xml:space="preserve">each of these </w:t>
      </w:r>
      <w:r>
        <w:rPr>
          <w:rFonts w:ascii="Arial" w:hAnsi="Arial" w:cs="Arial"/>
          <w:sz w:val="24"/>
          <w:szCs w:val="24"/>
          <w:lang w:val="en-US"/>
        </w:rPr>
        <w:t xml:space="preserve">situations </w:t>
      </w:r>
      <w:r w:rsidR="00174D97">
        <w:rPr>
          <w:rFonts w:ascii="Arial" w:hAnsi="Arial" w:cs="Arial"/>
          <w:sz w:val="24"/>
          <w:szCs w:val="24"/>
          <w:lang w:val="en-US"/>
        </w:rPr>
        <w:t xml:space="preserve">is </w:t>
      </w:r>
      <w:r>
        <w:rPr>
          <w:rFonts w:ascii="Arial" w:hAnsi="Arial" w:cs="Arial"/>
          <w:sz w:val="24"/>
          <w:szCs w:val="24"/>
          <w:lang w:val="en-US"/>
        </w:rPr>
        <w:t>distinguishable</w:t>
      </w:r>
      <w:r w:rsidR="00174D97">
        <w:rPr>
          <w:rFonts w:ascii="Arial" w:hAnsi="Arial" w:cs="Arial"/>
          <w:sz w:val="24"/>
          <w:szCs w:val="24"/>
          <w:lang w:val="en-US"/>
        </w:rPr>
        <w:t xml:space="preserve"> from the facts in the present matter</w:t>
      </w:r>
      <w:r>
        <w:rPr>
          <w:rFonts w:ascii="Arial" w:hAnsi="Arial" w:cs="Arial"/>
          <w:sz w:val="24"/>
          <w:szCs w:val="24"/>
          <w:lang w:val="en-US"/>
        </w:rPr>
        <w:t xml:space="preserve">.  </w:t>
      </w:r>
      <w:r w:rsidR="00744BFB">
        <w:rPr>
          <w:rFonts w:ascii="Arial" w:hAnsi="Arial" w:cs="Arial"/>
          <w:sz w:val="24"/>
          <w:szCs w:val="24"/>
          <w:lang w:val="en-US"/>
        </w:rPr>
        <w:t xml:space="preserve">None of these matters establishes a </w:t>
      </w:r>
      <w:r w:rsidR="00174D97">
        <w:rPr>
          <w:rFonts w:ascii="Arial" w:hAnsi="Arial" w:cs="Arial"/>
          <w:sz w:val="24"/>
          <w:szCs w:val="24"/>
          <w:lang w:val="en-US"/>
        </w:rPr>
        <w:t xml:space="preserve">general </w:t>
      </w:r>
      <w:r w:rsidR="00744BFB">
        <w:rPr>
          <w:rFonts w:ascii="Arial" w:hAnsi="Arial" w:cs="Arial"/>
          <w:sz w:val="24"/>
          <w:szCs w:val="24"/>
          <w:lang w:val="en-US"/>
        </w:rPr>
        <w:t xml:space="preserve">principle that an </w:t>
      </w:r>
      <w:r w:rsidR="00876EBC" w:rsidRPr="001963C7">
        <w:rPr>
          <w:rFonts w:ascii="Arial" w:hAnsi="Arial" w:cs="Arial"/>
          <w:sz w:val="24"/>
          <w:szCs w:val="24"/>
          <w:lang w:val="en-US"/>
        </w:rPr>
        <w:t>arbitrator exceed</w:t>
      </w:r>
      <w:r w:rsidR="00744BFB">
        <w:rPr>
          <w:rFonts w:ascii="Arial" w:hAnsi="Arial" w:cs="Arial"/>
          <w:sz w:val="24"/>
          <w:szCs w:val="24"/>
          <w:lang w:val="en-US"/>
        </w:rPr>
        <w:t>s</w:t>
      </w:r>
      <w:r w:rsidR="00876EBC" w:rsidRPr="001963C7">
        <w:rPr>
          <w:rFonts w:ascii="Arial" w:hAnsi="Arial" w:cs="Arial"/>
          <w:sz w:val="24"/>
          <w:szCs w:val="24"/>
          <w:lang w:val="en-US"/>
        </w:rPr>
        <w:t xml:space="preserve"> her powers </w:t>
      </w:r>
      <w:r w:rsidR="00D91671">
        <w:rPr>
          <w:rFonts w:ascii="Arial" w:hAnsi="Arial" w:cs="Arial"/>
          <w:sz w:val="24"/>
          <w:szCs w:val="24"/>
          <w:lang w:val="en-US"/>
        </w:rPr>
        <w:t>if</w:t>
      </w:r>
      <w:r w:rsidR="00876EBC" w:rsidRPr="001963C7">
        <w:rPr>
          <w:rFonts w:ascii="Arial" w:hAnsi="Arial" w:cs="Arial"/>
          <w:sz w:val="24"/>
          <w:szCs w:val="24"/>
          <w:lang w:val="en-US"/>
        </w:rPr>
        <w:t xml:space="preserve"> she determines </w:t>
      </w:r>
      <w:r w:rsidR="00D91671">
        <w:rPr>
          <w:rFonts w:ascii="Arial" w:hAnsi="Arial" w:cs="Arial"/>
          <w:sz w:val="24"/>
          <w:szCs w:val="24"/>
          <w:lang w:val="en-US"/>
        </w:rPr>
        <w:t xml:space="preserve">an </w:t>
      </w:r>
      <w:r w:rsidR="00876EBC" w:rsidRPr="001963C7">
        <w:rPr>
          <w:rFonts w:ascii="Arial" w:hAnsi="Arial" w:cs="Arial"/>
          <w:sz w:val="24"/>
          <w:szCs w:val="24"/>
          <w:lang w:val="en-US"/>
        </w:rPr>
        <w:t xml:space="preserve">issue </w:t>
      </w:r>
      <w:r w:rsidR="00D91671">
        <w:rPr>
          <w:rFonts w:ascii="Arial" w:hAnsi="Arial" w:cs="Arial"/>
          <w:sz w:val="24"/>
          <w:szCs w:val="24"/>
          <w:lang w:val="en-US"/>
        </w:rPr>
        <w:t xml:space="preserve">that has been placed </w:t>
      </w:r>
      <w:r w:rsidR="00876EBC" w:rsidRPr="001963C7">
        <w:rPr>
          <w:rFonts w:ascii="Arial" w:hAnsi="Arial" w:cs="Arial"/>
          <w:sz w:val="24"/>
          <w:szCs w:val="24"/>
          <w:lang w:val="en-US"/>
        </w:rPr>
        <w:t xml:space="preserve">before her on a basis different from that contended for by the parties.  </w:t>
      </w:r>
      <w:r w:rsidR="00D91671">
        <w:rPr>
          <w:rFonts w:ascii="Arial" w:hAnsi="Arial" w:cs="Arial"/>
          <w:sz w:val="24"/>
          <w:szCs w:val="24"/>
          <w:lang w:val="en-US"/>
        </w:rPr>
        <w:t xml:space="preserve">There is no evidence </w:t>
      </w:r>
      <w:r w:rsidR="00B906A3">
        <w:rPr>
          <w:rFonts w:ascii="Arial" w:hAnsi="Arial" w:cs="Arial"/>
          <w:sz w:val="24"/>
          <w:szCs w:val="24"/>
          <w:lang w:val="en-US"/>
        </w:rPr>
        <w:t xml:space="preserve">before me </w:t>
      </w:r>
      <w:r w:rsidR="00D91671">
        <w:rPr>
          <w:rFonts w:ascii="Arial" w:hAnsi="Arial" w:cs="Arial"/>
          <w:sz w:val="24"/>
          <w:szCs w:val="24"/>
          <w:lang w:val="en-US"/>
        </w:rPr>
        <w:lastRenderedPageBreak/>
        <w:t xml:space="preserve">that the terms of reference </w:t>
      </w:r>
      <w:r w:rsidR="004E3E39">
        <w:rPr>
          <w:rFonts w:ascii="Arial" w:hAnsi="Arial" w:cs="Arial"/>
          <w:sz w:val="24"/>
          <w:szCs w:val="24"/>
          <w:lang w:val="en-US"/>
        </w:rPr>
        <w:t xml:space="preserve">or any agreement by the parties </w:t>
      </w:r>
      <w:r w:rsidR="00D91671">
        <w:rPr>
          <w:rFonts w:ascii="Arial" w:hAnsi="Arial" w:cs="Arial"/>
          <w:sz w:val="24"/>
          <w:szCs w:val="24"/>
          <w:lang w:val="en-US"/>
        </w:rPr>
        <w:t xml:space="preserve">expressly curtailed the </w:t>
      </w:r>
      <w:r w:rsidR="009C41D3">
        <w:rPr>
          <w:rFonts w:ascii="Arial" w:hAnsi="Arial" w:cs="Arial"/>
          <w:sz w:val="24"/>
          <w:szCs w:val="24"/>
          <w:lang w:val="en-US"/>
        </w:rPr>
        <w:t xml:space="preserve">second respondent’s </w:t>
      </w:r>
      <w:r w:rsidR="00D91671">
        <w:rPr>
          <w:rFonts w:ascii="Arial" w:hAnsi="Arial" w:cs="Arial"/>
          <w:sz w:val="24"/>
          <w:szCs w:val="24"/>
          <w:lang w:val="en-US"/>
        </w:rPr>
        <w:t xml:space="preserve">powers by </w:t>
      </w:r>
      <w:r w:rsidR="00AC6CB2">
        <w:rPr>
          <w:rFonts w:ascii="Arial" w:hAnsi="Arial" w:cs="Arial"/>
          <w:sz w:val="24"/>
          <w:szCs w:val="24"/>
          <w:lang w:val="en-US"/>
        </w:rPr>
        <w:t>reference to the contentions raised in the pleadings</w:t>
      </w:r>
      <w:r w:rsidR="009C41D3">
        <w:rPr>
          <w:rFonts w:ascii="Arial" w:hAnsi="Arial" w:cs="Arial"/>
          <w:sz w:val="24"/>
          <w:szCs w:val="24"/>
          <w:lang w:val="en-US"/>
        </w:rPr>
        <w:t xml:space="preserve">.  Although the second respondent decided </w:t>
      </w:r>
      <w:r w:rsidR="00AC6CB2">
        <w:rPr>
          <w:rFonts w:ascii="Arial" w:hAnsi="Arial" w:cs="Arial"/>
          <w:sz w:val="24"/>
          <w:szCs w:val="24"/>
          <w:lang w:val="en-US"/>
        </w:rPr>
        <w:t>the matter on a different basis from that contended</w:t>
      </w:r>
      <w:r w:rsidR="00150EDF">
        <w:rPr>
          <w:rFonts w:ascii="Arial" w:hAnsi="Arial" w:cs="Arial"/>
          <w:sz w:val="24"/>
          <w:szCs w:val="24"/>
          <w:lang w:val="en-US"/>
        </w:rPr>
        <w:t xml:space="preserve"> for by the first respondent</w:t>
      </w:r>
      <w:r w:rsidR="00AC6CB2">
        <w:rPr>
          <w:rFonts w:ascii="Arial" w:hAnsi="Arial" w:cs="Arial"/>
          <w:sz w:val="24"/>
          <w:szCs w:val="24"/>
          <w:lang w:val="en-US"/>
        </w:rPr>
        <w:t xml:space="preserve">, she </w:t>
      </w:r>
      <w:r w:rsidR="00150EDF">
        <w:rPr>
          <w:rFonts w:ascii="Arial" w:hAnsi="Arial" w:cs="Arial"/>
          <w:sz w:val="24"/>
          <w:szCs w:val="24"/>
          <w:lang w:val="en-US"/>
        </w:rPr>
        <w:t xml:space="preserve">determined </w:t>
      </w:r>
      <w:r w:rsidR="0005786C">
        <w:rPr>
          <w:rFonts w:ascii="Arial" w:hAnsi="Arial" w:cs="Arial"/>
          <w:sz w:val="24"/>
          <w:szCs w:val="24"/>
          <w:lang w:val="en-US"/>
        </w:rPr>
        <w:t xml:space="preserve">and made an award in </w:t>
      </w:r>
      <w:r w:rsidR="0005786C" w:rsidRPr="0055694E">
        <w:rPr>
          <w:rFonts w:ascii="Arial" w:hAnsi="Arial" w:cs="Arial"/>
          <w:sz w:val="24"/>
          <w:szCs w:val="24"/>
          <w:lang w:val="en-US"/>
        </w:rPr>
        <w:t>respect of each of the two Claims that had been submitted to her</w:t>
      </w:r>
      <w:r w:rsidR="00E54BEA">
        <w:rPr>
          <w:rFonts w:ascii="Arial" w:hAnsi="Arial" w:cs="Arial"/>
          <w:sz w:val="24"/>
          <w:szCs w:val="24"/>
          <w:lang w:val="en-US"/>
        </w:rPr>
        <w:t>, and also decided the counterclaim</w:t>
      </w:r>
      <w:r w:rsidR="0005786C" w:rsidRPr="0055694E">
        <w:rPr>
          <w:rFonts w:ascii="Arial" w:hAnsi="Arial" w:cs="Arial"/>
          <w:sz w:val="24"/>
          <w:szCs w:val="24"/>
          <w:lang w:val="en-US"/>
        </w:rPr>
        <w:t>.</w:t>
      </w:r>
    </w:p>
    <w:p w14:paraId="5569C6E8" w14:textId="0F9D1C56" w:rsidR="00582D5D" w:rsidRPr="00B906A3" w:rsidRDefault="00B906A3" w:rsidP="00582D5D">
      <w:pPr>
        <w:pStyle w:val="BowLevel1ListAlt"/>
        <w:rPr>
          <w:rFonts w:ascii="Arial" w:hAnsi="Arial" w:cs="Arial"/>
          <w:color w:val="242121"/>
          <w:sz w:val="24"/>
          <w:szCs w:val="24"/>
          <w:lang w:val="en-GB" w:eastAsia="en-ZA"/>
        </w:rPr>
      </w:pPr>
      <w:r>
        <w:rPr>
          <w:rFonts w:ascii="Arial" w:hAnsi="Arial" w:cs="Arial"/>
          <w:sz w:val="24"/>
          <w:szCs w:val="24"/>
          <w:lang w:val="en-US"/>
        </w:rPr>
        <w:t>As indicated,</w:t>
      </w:r>
      <w:r w:rsidR="00E26F6B">
        <w:rPr>
          <w:rFonts w:ascii="Arial" w:hAnsi="Arial" w:cs="Arial"/>
          <w:sz w:val="24"/>
          <w:szCs w:val="24"/>
          <w:lang w:val="en-US"/>
        </w:rPr>
        <w:t xml:space="preserve"> there was </w:t>
      </w:r>
      <w:r w:rsidR="0005786C" w:rsidRPr="0055694E">
        <w:rPr>
          <w:rFonts w:ascii="Arial" w:hAnsi="Arial" w:cs="Arial"/>
          <w:sz w:val="24"/>
          <w:szCs w:val="24"/>
          <w:lang w:val="en-US"/>
        </w:rPr>
        <w:t xml:space="preserve">no express limitation </w:t>
      </w:r>
      <w:r w:rsidR="00486AF8" w:rsidRPr="0055694E">
        <w:rPr>
          <w:rFonts w:ascii="Arial" w:hAnsi="Arial" w:cs="Arial"/>
          <w:sz w:val="24"/>
          <w:szCs w:val="24"/>
          <w:lang w:val="en-US"/>
        </w:rPr>
        <w:t>on</w:t>
      </w:r>
      <w:r w:rsidR="0005786C" w:rsidRPr="0055694E">
        <w:rPr>
          <w:rFonts w:ascii="Arial" w:hAnsi="Arial" w:cs="Arial"/>
          <w:sz w:val="24"/>
          <w:szCs w:val="24"/>
          <w:lang w:val="en-US"/>
        </w:rPr>
        <w:t xml:space="preserve"> </w:t>
      </w:r>
      <w:r w:rsidR="00B10226">
        <w:rPr>
          <w:rFonts w:ascii="Arial" w:hAnsi="Arial" w:cs="Arial"/>
          <w:sz w:val="24"/>
          <w:szCs w:val="24"/>
          <w:lang w:val="en-US"/>
        </w:rPr>
        <w:t>the second respondent’s powers</w:t>
      </w:r>
      <w:r w:rsidR="0005786C" w:rsidRPr="0055694E">
        <w:rPr>
          <w:rFonts w:ascii="Arial" w:hAnsi="Arial" w:cs="Arial"/>
          <w:sz w:val="24"/>
          <w:szCs w:val="24"/>
          <w:lang w:val="en-US"/>
        </w:rPr>
        <w:t xml:space="preserve"> </w:t>
      </w:r>
      <w:r w:rsidR="00486AF8" w:rsidRPr="0055694E">
        <w:rPr>
          <w:rFonts w:ascii="Arial" w:hAnsi="Arial" w:cs="Arial"/>
          <w:sz w:val="24"/>
          <w:szCs w:val="24"/>
          <w:lang w:val="en-US"/>
        </w:rPr>
        <w:t>that restricted her to determin</w:t>
      </w:r>
      <w:r w:rsidR="00E54BEA">
        <w:rPr>
          <w:rFonts w:ascii="Arial" w:hAnsi="Arial" w:cs="Arial"/>
          <w:sz w:val="24"/>
          <w:szCs w:val="24"/>
          <w:lang w:val="en-US"/>
        </w:rPr>
        <w:t>ing</w:t>
      </w:r>
      <w:r w:rsidR="00486AF8" w:rsidRPr="0055694E">
        <w:rPr>
          <w:rFonts w:ascii="Arial" w:hAnsi="Arial" w:cs="Arial"/>
          <w:sz w:val="24"/>
          <w:szCs w:val="24"/>
          <w:lang w:val="en-US"/>
        </w:rPr>
        <w:t xml:space="preserve"> the </w:t>
      </w:r>
      <w:r w:rsidR="009F5EF2" w:rsidRPr="0055694E">
        <w:rPr>
          <w:rFonts w:ascii="Arial" w:hAnsi="Arial" w:cs="Arial"/>
          <w:sz w:val="24"/>
          <w:szCs w:val="24"/>
          <w:lang w:val="en-US"/>
        </w:rPr>
        <w:t>c</w:t>
      </w:r>
      <w:r w:rsidR="00486AF8" w:rsidRPr="0055694E">
        <w:rPr>
          <w:rFonts w:ascii="Arial" w:hAnsi="Arial" w:cs="Arial"/>
          <w:sz w:val="24"/>
          <w:szCs w:val="24"/>
          <w:lang w:val="en-US"/>
        </w:rPr>
        <w:t xml:space="preserve">laims on the basis contended for </w:t>
      </w:r>
      <w:r w:rsidR="00E54BEA">
        <w:rPr>
          <w:rFonts w:ascii="Arial" w:hAnsi="Arial" w:cs="Arial"/>
          <w:sz w:val="24"/>
          <w:szCs w:val="24"/>
          <w:lang w:val="en-US"/>
        </w:rPr>
        <w:t xml:space="preserve">by the </w:t>
      </w:r>
      <w:r w:rsidR="00486AF8" w:rsidRPr="0055694E">
        <w:rPr>
          <w:rFonts w:ascii="Arial" w:hAnsi="Arial" w:cs="Arial"/>
          <w:sz w:val="24"/>
          <w:szCs w:val="24"/>
          <w:lang w:val="en-US"/>
        </w:rPr>
        <w:t>parties</w:t>
      </w:r>
      <w:r w:rsidR="00E54BEA">
        <w:rPr>
          <w:rFonts w:ascii="Arial" w:hAnsi="Arial" w:cs="Arial"/>
          <w:sz w:val="24"/>
          <w:szCs w:val="24"/>
          <w:lang w:val="en-US"/>
        </w:rPr>
        <w:t xml:space="preserve"> in their </w:t>
      </w:r>
      <w:r w:rsidR="00486AF8" w:rsidRPr="0055694E">
        <w:rPr>
          <w:rFonts w:ascii="Arial" w:hAnsi="Arial" w:cs="Arial"/>
          <w:sz w:val="24"/>
          <w:szCs w:val="24"/>
          <w:lang w:val="en-US"/>
        </w:rPr>
        <w:t>respective pleadings</w:t>
      </w:r>
      <w:r>
        <w:rPr>
          <w:rFonts w:ascii="Arial" w:hAnsi="Arial" w:cs="Arial"/>
          <w:sz w:val="24"/>
          <w:szCs w:val="24"/>
          <w:lang w:val="en-US"/>
        </w:rPr>
        <w:t>.  Having</w:t>
      </w:r>
      <w:r w:rsidR="009F5EF2" w:rsidRPr="0055694E">
        <w:rPr>
          <w:rFonts w:ascii="Arial" w:hAnsi="Arial" w:cs="Arial"/>
          <w:sz w:val="24"/>
          <w:szCs w:val="24"/>
          <w:lang w:val="en-US"/>
        </w:rPr>
        <w:t xml:space="preserve"> regard to </w:t>
      </w:r>
      <w:r w:rsidR="00D53299">
        <w:rPr>
          <w:rFonts w:ascii="Arial" w:hAnsi="Arial" w:cs="Arial"/>
          <w:sz w:val="24"/>
          <w:szCs w:val="24"/>
          <w:lang w:val="en-US"/>
        </w:rPr>
        <w:t>the terms of the arbitration clause in the agreement between the parties</w:t>
      </w:r>
      <w:r w:rsidR="00AC304A">
        <w:rPr>
          <w:rFonts w:ascii="Arial" w:hAnsi="Arial" w:cs="Arial"/>
          <w:sz w:val="24"/>
          <w:szCs w:val="24"/>
          <w:lang w:val="en-US"/>
        </w:rPr>
        <w:t xml:space="preserve">, and the </w:t>
      </w:r>
      <w:r w:rsidR="00486AF8" w:rsidRPr="0055694E">
        <w:rPr>
          <w:rFonts w:ascii="Arial" w:hAnsi="Arial" w:cs="Arial"/>
          <w:sz w:val="24"/>
          <w:szCs w:val="24"/>
          <w:lang w:val="en-US"/>
        </w:rPr>
        <w:t xml:space="preserve">timing and </w:t>
      </w:r>
      <w:r w:rsidR="009F5EF2" w:rsidRPr="0055694E">
        <w:rPr>
          <w:rFonts w:ascii="Arial" w:hAnsi="Arial" w:cs="Arial"/>
          <w:sz w:val="24"/>
          <w:szCs w:val="24"/>
          <w:lang w:val="en-US"/>
        </w:rPr>
        <w:t xml:space="preserve">content of the pleadings, </w:t>
      </w:r>
      <w:r w:rsidR="00AC304A">
        <w:rPr>
          <w:rFonts w:ascii="Arial" w:hAnsi="Arial" w:cs="Arial"/>
          <w:sz w:val="24"/>
          <w:szCs w:val="24"/>
          <w:lang w:val="en-US"/>
        </w:rPr>
        <w:t xml:space="preserve">which were fairly rudimentary and were delivered after an initial pre-arbitration meeting had been held regarding the conduct of the proceedings, </w:t>
      </w:r>
      <w:r>
        <w:rPr>
          <w:rFonts w:ascii="Arial" w:hAnsi="Arial" w:cs="Arial"/>
          <w:sz w:val="24"/>
          <w:szCs w:val="24"/>
          <w:lang w:val="en-US"/>
        </w:rPr>
        <w:t xml:space="preserve">it seems to me </w:t>
      </w:r>
      <w:r w:rsidR="009F5EF2" w:rsidRPr="0055694E">
        <w:rPr>
          <w:rFonts w:ascii="Arial" w:hAnsi="Arial" w:cs="Arial"/>
          <w:sz w:val="24"/>
          <w:szCs w:val="24"/>
          <w:lang w:val="en-US"/>
        </w:rPr>
        <w:t>that these were pleadings</w:t>
      </w:r>
      <w:r w:rsidR="00486AF8" w:rsidRPr="0055694E">
        <w:rPr>
          <w:rFonts w:ascii="Arial" w:hAnsi="Arial" w:cs="Arial"/>
          <w:sz w:val="24"/>
          <w:szCs w:val="24"/>
          <w:lang w:val="en-US"/>
        </w:rPr>
        <w:t xml:space="preserve"> intended to </w:t>
      </w:r>
      <w:r w:rsidR="009F5EF2" w:rsidRPr="0055694E">
        <w:rPr>
          <w:rFonts w:ascii="Arial" w:hAnsi="Arial" w:cs="Arial"/>
          <w:sz w:val="24"/>
          <w:szCs w:val="24"/>
          <w:lang w:val="en-US"/>
        </w:rPr>
        <w:t xml:space="preserve">assist the arbitrator rather than </w:t>
      </w:r>
      <w:r w:rsidR="0005786C" w:rsidRPr="0055694E">
        <w:rPr>
          <w:rFonts w:ascii="Arial" w:hAnsi="Arial" w:cs="Arial"/>
          <w:sz w:val="24"/>
          <w:szCs w:val="24"/>
          <w:lang w:val="en-US"/>
        </w:rPr>
        <w:t xml:space="preserve">to </w:t>
      </w:r>
      <w:r w:rsidR="004B3192" w:rsidRPr="0055694E">
        <w:rPr>
          <w:rFonts w:ascii="Arial" w:hAnsi="Arial" w:cs="Arial"/>
          <w:sz w:val="24"/>
          <w:szCs w:val="24"/>
          <w:lang w:val="en-US"/>
        </w:rPr>
        <w:t>define her powers</w:t>
      </w:r>
      <w:r w:rsidR="00582D5D">
        <w:rPr>
          <w:rFonts w:ascii="Arial" w:hAnsi="Arial" w:cs="Arial"/>
          <w:sz w:val="24"/>
          <w:szCs w:val="24"/>
          <w:lang w:val="en-US"/>
        </w:rPr>
        <w:t>.</w:t>
      </w:r>
      <w:r w:rsidR="00346C6D">
        <w:rPr>
          <w:rFonts w:ascii="Arial" w:hAnsi="Arial" w:cs="Arial"/>
          <w:sz w:val="24"/>
          <w:szCs w:val="24"/>
          <w:lang w:val="en-US"/>
        </w:rPr>
        <w:t xml:space="preserve">  That means that even if the second respondent erred, by misunderstanding the pleadings or by </w:t>
      </w:r>
      <w:r w:rsidR="006431F0">
        <w:rPr>
          <w:rFonts w:ascii="Arial" w:hAnsi="Arial" w:cs="Arial"/>
          <w:sz w:val="24"/>
          <w:szCs w:val="24"/>
          <w:lang w:val="en-US"/>
        </w:rPr>
        <w:t xml:space="preserve">deciding the matter on a basis that neither party had thought of, this did not take her outside </w:t>
      </w:r>
      <w:r>
        <w:rPr>
          <w:rFonts w:ascii="Arial" w:hAnsi="Arial" w:cs="Arial"/>
          <w:sz w:val="24"/>
          <w:szCs w:val="24"/>
          <w:lang w:val="en-US"/>
        </w:rPr>
        <w:t xml:space="preserve">the </w:t>
      </w:r>
      <w:r w:rsidR="006431F0">
        <w:rPr>
          <w:rFonts w:ascii="Arial" w:hAnsi="Arial" w:cs="Arial"/>
          <w:sz w:val="24"/>
          <w:szCs w:val="24"/>
          <w:lang w:val="en-US"/>
        </w:rPr>
        <w:t>ambit of the powers entrusted to her</w:t>
      </w:r>
      <w:r w:rsidR="006431F0" w:rsidRPr="00B906A3">
        <w:rPr>
          <w:rFonts w:ascii="Arial" w:hAnsi="Arial" w:cs="Arial"/>
          <w:sz w:val="24"/>
          <w:szCs w:val="24"/>
          <w:lang w:val="en-US"/>
        </w:rPr>
        <w:t>.</w:t>
      </w:r>
      <w:r w:rsidR="00582D5D" w:rsidRPr="00B906A3">
        <w:rPr>
          <w:rFonts w:ascii="Arial" w:hAnsi="Arial" w:cs="Arial"/>
          <w:sz w:val="24"/>
          <w:szCs w:val="24"/>
          <w:lang w:val="en-US"/>
        </w:rPr>
        <w:t xml:space="preserve">  </w:t>
      </w:r>
    </w:p>
    <w:p w14:paraId="41862119" w14:textId="08C5D9D3" w:rsidR="00876EBC" w:rsidRPr="001963C7" w:rsidRDefault="008809FC" w:rsidP="00876EBC">
      <w:pPr>
        <w:pStyle w:val="BowLevel1ListAlt"/>
        <w:rPr>
          <w:rFonts w:ascii="Arial" w:hAnsi="Arial" w:cs="Arial"/>
          <w:sz w:val="24"/>
          <w:szCs w:val="24"/>
          <w:lang w:val="en-US"/>
        </w:rPr>
      </w:pPr>
      <w:r w:rsidRPr="00B906A3">
        <w:rPr>
          <w:rFonts w:ascii="Arial" w:hAnsi="Arial" w:cs="Arial"/>
          <w:sz w:val="24"/>
          <w:szCs w:val="24"/>
          <w:lang w:val="en-US"/>
        </w:rPr>
        <w:t xml:space="preserve">In summary, in my view, </w:t>
      </w:r>
      <w:r w:rsidR="009F4E84" w:rsidRPr="00B906A3">
        <w:rPr>
          <w:rFonts w:ascii="Arial" w:hAnsi="Arial" w:cs="Arial"/>
          <w:sz w:val="24"/>
          <w:szCs w:val="24"/>
          <w:lang w:val="en-US"/>
        </w:rPr>
        <w:t>the arbitrator’s powers were not</w:t>
      </w:r>
      <w:r w:rsidR="009F4E84">
        <w:rPr>
          <w:rFonts w:ascii="Arial" w:hAnsi="Arial" w:cs="Arial"/>
          <w:sz w:val="24"/>
          <w:szCs w:val="24"/>
          <w:lang w:val="en-US"/>
        </w:rPr>
        <w:t xml:space="preserve"> constrained in a manner that </w:t>
      </w:r>
      <w:r w:rsidR="005814CF">
        <w:rPr>
          <w:rFonts w:ascii="Arial" w:hAnsi="Arial" w:cs="Arial"/>
          <w:sz w:val="24"/>
          <w:szCs w:val="24"/>
          <w:lang w:val="en-US"/>
        </w:rPr>
        <w:t>restricted</w:t>
      </w:r>
      <w:r w:rsidR="009F4E84">
        <w:rPr>
          <w:rFonts w:ascii="Arial" w:hAnsi="Arial" w:cs="Arial"/>
          <w:sz w:val="24"/>
          <w:szCs w:val="24"/>
          <w:lang w:val="en-US"/>
        </w:rPr>
        <w:t xml:space="preserve"> her to deciding the matters referred to her on a basis pleaded by either party.  </w:t>
      </w:r>
      <w:r w:rsidR="00190161">
        <w:rPr>
          <w:rFonts w:ascii="Arial" w:hAnsi="Arial" w:cs="Arial"/>
          <w:sz w:val="24"/>
          <w:szCs w:val="24"/>
          <w:lang w:val="en-US"/>
        </w:rPr>
        <w:t xml:space="preserve"> The second respondent </w:t>
      </w:r>
      <w:r w:rsidR="00876EBC" w:rsidRPr="001963C7">
        <w:rPr>
          <w:rFonts w:ascii="Arial" w:hAnsi="Arial" w:cs="Arial"/>
          <w:sz w:val="24"/>
          <w:szCs w:val="24"/>
          <w:lang w:val="en-US"/>
        </w:rPr>
        <w:t xml:space="preserve">was called upon to determine whether </w:t>
      </w:r>
      <w:r w:rsidR="006431F0">
        <w:rPr>
          <w:rFonts w:ascii="Arial" w:hAnsi="Arial" w:cs="Arial"/>
          <w:sz w:val="24"/>
          <w:szCs w:val="24"/>
          <w:lang w:val="en-US"/>
        </w:rPr>
        <w:t>the agreement was valid</w:t>
      </w:r>
      <w:r w:rsidR="00C7770B">
        <w:rPr>
          <w:rFonts w:ascii="Arial" w:hAnsi="Arial" w:cs="Arial"/>
          <w:sz w:val="24"/>
          <w:szCs w:val="24"/>
          <w:lang w:val="en-US"/>
        </w:rPr>
        <w:t xml:space="preserve">ly concluded, whether </w:t>
      </w:r>
      <w:r w:rsidR="00876EBC" w:rsidRPr="001963C7">
        <w:rPr>
          <w:rFonts w:ascii="Arial" w:hAnsi="Arial" w:cs="Arial"/>
          <w:sz w:val="24"/>
          <w:szCs w:val="24"/>
          <w:lang w:val="en-US"/>
        </w:rPr>
        <w:t>amount</w:t>
      </w:r>
      <w:r w:rsidR="006431F0">
        <w:rPr>
          <w:rFonts w:ascii="Arial" w:hAnsi="Arial" w:cs="Arial"/>
          <w:sz w:val="24"/>
          <w:szCs w:val="24"/>
          <w:lang w:val="en-US"/>
        </w:rPr>
        <w:t>s</w:t>
      </w:r>
      <w:r w:rsidR="00876EBC" w:rsidRPr="001963C7">
        <w:rPr>
          <w:rFonts w:ascii="Arial" w:hAnsi="Arial" w:cs="Arial"/>
          <w:sz w:val="24"/>
          <w:szCs w:val="24"/>
          <w:lang w:val="en-US"/>
        </w:rPr>
        <w:t xml:space="preserve"> claimed under </w:t>
      </w:r>
      <w:r w:rsidR="00190161">
        <w:rPr>
          <w:rFonts w:ascii="Arial" w:hAnsi="Arial" w:cs="Arial"/>
          <w:sz w:val="24"/>
          <w:szCs w:val="24"/>
          <w:lang w:val="en-US"/>
        </w:rPr>
        <w:t>C</w:t>
      </w:r>
      <w:r w:rsidR="00876EBC" w:rsidRPr="001963C7">
        <w:rPr>
          <w:rFonts w:ascii="Arial" w:hAnsi="Arial" w:cs="Arial"/>
          <w:sz w:val="24"/>
          <w:szCs w:val="24"/>
          <w:lang w:val="en-US"/>
        </w:rPr>
        <w:t xml:space="preserve">laim A </w:t>
      </w:r>
      <w:r w:rsidR="006431F0">
        <w:rPr>
          <w:rFonts w:ascii="Arial" w:hAnsi="Arial" w:cs="Arial"/>
          <w:sz w:val="24"/>
          <w:szCs w:val="24"/>
          <w:lang w:val="en-US"/>
        </w:rPr>
        <w:t>a</w:t>
      </w:r>
      <w:r w:rsidR="00EF1CD7">
        <w:rPr>
          <w:rFonts w:ascii="Arial" w:hAnsi="Arial" w:cs="Arial"/>
          <w:sz w:val="24"/>
          <w:szCs w:val="24"/>
          <w:lang w:val="en-US"/>
        </w:rPr>
        <w:t>n</w:t>
      </w:r>
      <w:r w:rsidR="006431F0">
        <w:rPr>
          <w:rFonts w:ascii="Arial" w:hAnsi="Arial" w:cs="Arial"/>
          <w:sz w:val="24"/>
          <w:szCs w:val="24"/>
          <w:lang w:val="en-US"/>
        </w:rPr>
        <w:t>d Claim B were</w:t>
      </w:r>
      <w:r w:rsidR="00876EBC" w:rsidRPr="001963C7">
        <w:rPr>
          <w:rFonts w:ascii="Arial" w:hAnsi="Arial" w:cs="Arial"/>
          <w:sz w:val="24"/>
          <w:szCs w:val="24"/>
          <w:lang w:val="en-US"/>
        </w:rPr>
        <w:t xml:space="preserve"> due and payable</w:t>
      </w:r>
      <w:r w:rsidR="00C7770B">
        <w:rPr>
          <w:rFonts w:ascii="Arial" w:hAnsi="Arial" w:cs="Arial"/>
          <w:sz w:val="24"/>
          <w:szCs w:val="24"/>
          <w:lang w:val="en-US"/>
        </w:rPr>
        <w:t>, and whether the amount claimed in the counterclaim was payable</w:t>
      </w:r>
      <w:r w:rsidR="00876EBC" w:rsidRPr="001963C7">
        <w:rPr>
          <w:rFonts w:ascii="Arial" w:hAnsi="Arial" w:cs="Arial"/>
          <w:sz w:val="24"/>
          <w:szCs w:val="24"/>
          <w:lang w:val="en-US"/>
        </w:rPr>
        <w:t xml:space="preserve">.  She did </w:t>
      </w:r>
      <w:r w:rsidR="00EF1CD7">
        <w:rPr>
          <w:rFonts w:ascii="Arial" w:hAnsi="Arial" w:cs="Arial"/>
          <w:sz w:val="24"/>
          <w:szCs w:val="24"/>
          <w:lang w:val="en-US"/>
        </w:rPr>
        <w:t>those things</w:t>
      </w:r>
      <w:r w:rsidR="00876EBC" w:rsidRPr="001963C7">
        <w:rPr>
          <w:rFonts w:ascii="Arial" w:hAnsi="Arial" w:cs="Arial"/>
          <w:sz w:val="24"/>
          <w:szCs w:val="24"/>
          <w:lang w:val="en-US"/>
        </w:rPr>
        <w:t xml:space="preserve">.  She did so on the basis of evidence introduced at the arbitration.  If her decision was incorrect, or wrongly explained, </w:t>
      </w:r>
      <w:r w:rsidR="007E06BA">
        <w:rPr>
          <w:rFonts w:ascii="Arial" w:hAnsi="Arial" w:cs="Arial"/>
          <w:sz w:val="24"/>
          <w:szCs w:val="24"/>
          <w:lang w:val="en-US"/>
        </w:rPr>
        <w:t xml:space="preserve">or a result of an error of law, </w:t>
      </w:r>
      <w:r w:rsidR="00876EBC" w:rsidRPr="001963C7">
        <w:rPr>
          <w:rFonts w:ascii="Arial" w:hAnsi="Arial" w:cs="Arial"/>
          <w:sz w:val="24"/>
          <w:szCs w:val="24"/>
          <w:lang w:val="en-US"/>
        </w:rPr>
        <w:t xml:space="preserve">or </w:t>
      </w:r>
      <w:r w:rsidR="007E06BA">
        <w:rPr>
          <w:rFonts w:ascii="Arial" w:hAnsi="Arial" w:cs="Arial"/>
          <w:sz w:val="24"/>
          <w:szCs w:val="24"/>
          <w:lang w:val="en-US"/>
        </w:rPr>
        <w:t xml:space="preserve">based on reasoning </w:t>
      </w:r>
      <w:r w:rsidR="00876EBC" w:rsidRPr="001963C7">
        <w:rPr>
          <w:rFonts w:ascii="Arial" w:hAnsi="Arial" w:cs="Arial"/>
          <w:sz w:val="24"/>
          <w:szCs w:val="24"/>
          <w:lang w:val="en-US"/>
        </w:rPr>
        <w:t>different from what was contended by either party in their pleadings, that did not take her outside the ambit of what she was appointed to do.</w:t>
      </w:r>
    </w:p>
    <w:p w14:paraId="45674998" w14:textId="633AA476" w:rsidR="00FE12D9" w:rsidRDefault="006B0653" w:rsidP="00876EBC">
      <w:pPr>
        <w:pStyle w:val="BowLevel1ListAlt"/>
        <w:rPr>
          <w:rFonts w:ascii="Arial" w:hAnsi="Arial" w:cs="Arial"/>
          <w:sz w:val="24"/>
          <w:szCs w:val="24"/>
          <w:lang w:val="en-US"/>
        </w:rPr>
      </w:pPr>
      <w:r>
        <w:rPr>
          <w:rFonts w:ascii="Arial" w:hAnsi="Arial" w:cs="Arial"/>
          <w:sz w:val="24"/>
          <w:szCs w:val="24"/>
          <w:lang w:val="en-US"/>
        </w:rPr>
        <w:t>As regards the counterclaim, the</w:t>
      </w:r>
      <w:r w:rsidR="00876EBC" w:rsidRPr="001963C7">
        <w:rPr>
          <w:rFonts w:ascii="Arial" w:hAnsi="Arial" w:cs="Arial"/>
          <w:sz w:val="24"/>
          <w:szCs w:val="24"/>
          <w:lang w:val="en-US"/>
        </w:rPr>
        <w:t xml:space="preserve"> approach of the arbitrator was that having concluded that the relevant agreement had been validly concluded</w:t>
      </w:r>
      <w:r w:rsidR="00B6196B">
        <w:rPr>
          <w:rFonts w:ascii="Arial" w:hAnsi="Arial" w:cs="Arial"/>
          <w:sz w:val="24"/>
          <w:szCs w:val="24"/>
          <w:lang w:val="en-US"/>
        </w:rPr>
        <w:t xml:space="preserve"> (a conclusion not challenged in these review proceedings)</w:t>
      </w:r>
      <w:r w:rsidR="00876EBC" w:rsidRPr="001963C7">
        <w:rPr>
          <w:rFonts w:ascii="Arial" w:hAnsi="Arial" w:cs="Arial"/>
          <w:sz w:val="24"/>
          <w:szCs w:val="24"/>
          <w:lang w:val="en-US"/>
        </w:rPr>
        <w:t xml:space="preserve">, and that an amount was </w:t>
      </w:r>
      <w:r w:rsidR="00FE12D9">
        <w:rPr>
          <w:rFonts w:ascii="Arial" w:hAnsi="Arial" w:cs="Arial"/>
          <w:sz w:val="24"/>
          <w:szCs w:val="24"/>
          <w:lang w:val="en-US"/>
        </w:rPr>
        <w:t xml:space="preserve">indeed </w:t>
      </w:r>
      <w:r w:rsidR="00876EBC" w:rsidRPr="001963C7">
        <w:rPr>
          <w:rFonts w:ascii="Arial" w:hAnsi="Arial" w:cs="Arial"/>
          <w:sz w:val="24"/>
          <w:szCs w:val="24"/>
          <w:lang w:val="en-US"/>
        </w:rPr>
        <w:t>due and payable under it</w:t>
      </w:r>
      <w:r w:rsidR="00154296">
        <w:rPr>
          <w:rFonts w:ascii="Arial" w:hAnsi="Arial" w:cs="Arial"/>
          <w:sz w:val="24"/>
          <w:szCs w:val="24"/>
          <w:lang w:val="en-US"/>
        </w:rPr>
        <w:t xml:space="preserve"> in respect of Claim A</w:t>
      </w:r>
      <w:r w:rsidR="00FE12D9">
        <w:rPr>
          <w:rFonts w:ascii="Arial" w:hAnsi="Arial" w:cs="Arial"/>
          <w:sz w:val="24"/>
          <w:szCs w:val="24"/>
          <w:lang w:val="en-US"/>
        </w:rPr>
        <w:t xml:space="preserve">, over and above the amount that had already been paid </w:t>
      </w:r>
      <w:r w:rsidR="009D60D7">
        <w:rPr>
          <w:rFonts w:ascii="Arial" w:hAnsi="Arial" w:cs="Arial"/>
          <w:sz w:val="24"/>
          <w:szCs w:val="24"/>
          <w:lang w:val="en-US"/>
        </w:rPr>
        <w:t>(</w:t>
      </w:r>
      <w:r w:rsidR="00FE12D9">
        <w:rPr>
          <w:rFonts w:ascii="Arial" w:hAnsi="Arial" w:cs="Arial"/>
          <w:sz w:val="24"/>
          <w:szCs w:val="24"/>
          <w:lang w:val="en-US"/>
        </w:rPr>
        <w:t>which was the subject of the counterclaim</w:t>
      </w:r>
      <w:r w:rsidR="009D60D7">
        <w:rPr>
          <w:rFonts w:ascii="Arial" w:hAnsi="Arial" w:cs="Arial"/>
          <w:sz w:val="24"/>
          <w:szCs w:val="24"/>
          <w:lang w:val="en-US"/>
        </w:rPr>
        <w:t>)</w:t>
      </w:r>
      <w:r w:rsidR="00876EBC" w:rsidRPr="001963C7">
        <w:rPr>
          <w:rFonts w:ascii="Arial" w:hAnsi="Arial" w:cs="Arial"/>
          <w:sz w:val="24"/>
          <w:szCs w:val="24"/>
          <w:lang w:val="en-US"/>
        </w:rPr>
        <w:t xml:space="preserve"> </w:t>
      </w:r>
      <w:r w:rsidR="001375FB">
        <w:rPr>
          <w:rFonts w:ascii="Arial" w:hAnsi="Arial" w:cs="Arial"/>
          <w:sz w:val="24"/>
          <w:szCs w:val="24"/>
          <w:lang w:val="en-US"/>
        </w:rPr>
        <w:t xml:space="preserve">it necessarily followed that </w:t>
      </w:r>
      <w:r w:rsidR="00876EBC" w:rsidRPr="001963C7">
        <w:rPr>
          <w:rFonts w:ascii="Arial" w:hAnsi="Arial" w:cs="Arial"/>
          <w:sz w:val="24"/>
          <w:szCs w:val="24"/>
          <w:lang w:val="en-US"/>
        </w:rPr>
        <w:t xml:space="preserve">the counterclaim should fail.  </w:t>
      </w:r>
    </w:p>
    <w:p w14:paraId="51B0A654" w14:textId="4D7C27A8"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lastRenderedPageBreak/>
        <w:t>Even if that decision was not correct it was a decision reached, rightly or wrongly, on a matter that had been referred to her.</w:t>
      </w:r>
      <w:r w:rsidR="001375FB">
        <w:rPr>
          <w:rFonts w:ascii="Arial" w:hAnsi="Arial" w:cs="Arial"/>
          <w:sz w:val="24"/>
          <w:szCs w:val="24"/>
          <w:lang w:val="en-US"/>
        </w:rPr>
        <w:t xml:space="preserve">  This is </w:t>
      </w:r>
      <w:r w:rsidR="002942C7">
        <w:rPr>
          <w:rFonts w:ascii="Arial" w:hAnsi="Arial" w:cs="Arial"/>
          <w:sz w:val="24"/>
          <w:szCs w:val="24"/>
          <w:lang w:val="en-US"/>
        </w:rPr>
        <w:t xml:space="preserve">quite </w:t>
      </w:r>
      <w:r w:rsidR="001375FB">
        <w:rPr>
          <w:rFonts w:ascii="Arial" w:hAnsi="Arial" w:cs="Arial"/>
          <w:sz w:val="24"/>
          <w:szCs w:val="24"/>
          <w:lang w:val="en-US"/>
        </w:rPr>
        <w:t xml:space="preserve">different, it seems to me, from the position in </w:t>
      </w:r>
      <w:r w:rsidR="001375FB" w:rsidRPr="001375FB">
        <w:rPr>
          <w:rFonts w:ascii="Arial" w:hAnsi="Arial" w:cs="Arial"/>
          <w:i/>
          <w:iCs/>
          <w:sz w:val="24"/>
          <w:szCs w:val="24"/>
          <w:lang w:val="en-US"/>
        </w:rPr>
        <w:t>Palabora</w:t>
      </w:r>
      <w:r w:rsidR="001375FB">
        <w:rPr>
          <w:rFonts w:ascii="Arial" w:hAnsi="Arial" w:cs="Arial"/>
          <w:i/>
          <w:iCs/>
          <w:sz w:val="24"/>
          <w:szCs w:val="24"/>
          <w:lang w:val="en-US"/>
        </w:rPr>
        <w:t xml:space="preserve"> </w:t>
      </w:r>
      <w:r w:rsidR="001375FB">
        <w:rPr>
          <w:rFonts w:ascii="Arial" w:hAnsi="Arial" w:cs="Arial"/>
          <w:sz w:val="24"/>
          <w:szCs w:val="24"/>
          <w:lang w:val="en-US"/>
        </w:rPr>
        <w:t>where</w:t>
      </w:r>
      <w:r w:rsidR="00303F7B">
        <w:rPr>
          <w:rFonts w:ascii="Arial" w:hAnsi="Arial" w:cs="Arial"/>
          <w:sz w:val="24"/>
          <w:szCs w:val="24"/>
          <w:lang w:val="en-US"/>
        </w:rPr>
        <w:t>,</w:t>
      </w:r>
      <w:r w:rsidR="001375FB">
        <w:rPr>
          <w:rFonts w:ascii="Arial" w:hAnsi="Arial" w:cs="Arial"/>
          <w:sz w:val="24"/>
          <w:szCs w:val="24"/>
          <w:lang w:val="en-US"/>
        </w:rPr>
        <w:t xml:space="preserve"> in respect of the counterclaim in that matter</w:t>
      </w:r>
      <w:r w:rsidR="00303F7B">
        <w:rPr>
          <w:rFonts w:ascii="Arial" w:hAnsi="Arial" w:cs="Arial"/>
          <w:sz w:val="24"/>
          <w:szCs w:val="24"/>
          <w:lang w:val="en-US"/>
        </w:rPr>
        <w:t>,</w:t>
      </w:r>
      <w:r w:rsidR="001375FB">
        <w:rPr>
          <w:rFonts w:ascii="Arial" w:hAnsi="Arial" w:cs="Arial"/>
          <w:sz w:val="24"/>
          <w:szCs w:val="24"/>
          <w:lang w:val="en-US"/>
        </w:rPr>
        <w:t xml:space="preserve"> the </w:t>
      </w:r>
      <w:r w:rsidR="00B74815">
        <w:rPr>
          <w:rFonts w:ascii="Arial" w:hAnsi="Arial" w:cs="Arial"/>
          <w:sz w:val="24"/>
          <w:szCs w:val="24"/>
          <w:lang w:val="en-US"/>
        </w:rPr>
        <w:t>court concluded that the effect of certain rulings of the arbitrat</w:t>
      </w:r>
      <w:r w:rsidR="00B140C8">
        <w:rPr>
          <w:rFonts w:ascii="Arial" w:hAnsi="Arial" w:cs="Arial"/>
          <w:sz w:val="24"/>
          <w:szCs w:val="24"/>
          <w:lang w:val="en-US"/>
        </w:rPr>
        <w:t xml:space="preserve">or effectively prevented the party raising the counterclaim from pursing </w:t>
      </w:r>
      <w:r w:rsidR="00FE12D9">
        <w:rPr>
          <w:rFonts w:ascii="Arial" w:hAnsi="Arial" w:cs="Arial"/>
          <w:sz w:val="24"/>
          <w:szCs w:val="24"/>
          <w:lang w:val="en-US"/>
        </w:rPr>
        <w:t xml:space="preserve">its </w:t>
      </w:r>
      <w:r w:rsidR="00B140C8">
        <w:rPr>
          <w:rFonts w:ascii="Arial" w:hAnsi="Arial" w:cs="Arial"/>
          <w:sz w:val="24"/>
          <w:szCs w:val="24"/>
          <w:lang w:val="en-US"/>
        </w:rPr>
        <w:t xml:space="preserve">claim and so prevented a fair trial of that issue.  </w:t>
      </w:r>
    </w:p>
    <w:p w14:paraId="00E9D417" w14:textId="1A416F12"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t xml:space="preserve">I am satisfied, in short, that the complaints advanced by Mr Ndou are complaints about how the arbitrator reasoned her conclusion and reached her decision within the ambit of powers </w:t>
      </w:r>
      <w:r w:rsidR="006877CE">
        <w:rPr>
          <w:rFonts w:ascii="Arial" w:hAnsi="Arial" w:cs="Arial"/>
          <w:sz w:val="24"/>
          <w:szCs w:val="24"/>
          <w:lang w:val="en-US"/>
        </w:rPr>
        <w:t xml:space="preserve">that were indeed </w:t>
      </w:r>
      <w:r w:rsidRPr="001963C7">
        <w:rPr>
          <w:rFonts w:ascii="Arial" w:hAnsi="Arial" w:cs="Arial"/>
          <w:sz w:val="24"/>
          <w:szCs w:val="24"/>
          <w:lang w:val="en-US"/>
        </w:rPr>
        <w:t xml:space="preserve">entrusted to her, and </w:t>
      </w:r>
      <w:r w:rsidR="006877CE">
        <w:rPr>
          <w:rFonts w:ascii="Arial" w:hAnsi="Arial" w:cs="Arial"/>
          <w:sz w:val="24"/>
          <w:szCs w:val="24"/>
          <w:lang w:val="en-US"/>
        </w:rPr>
        <w:t xml:space="preserve">that they </w:t>
      </w:r>
      <w:r w:rsidRPr="001963C7">
        <w:rPr>
          <w:rFonts w:ascii="Arial" w:hAnsi="Arial" w:cs="Arial"/>
          <w:sz w:val="24"/>
          <w:szCs w:val="24"/>
          <w:lang w:val="en-US"/>
        </w:rPr>
        <w:t>do not establish that she strayed outside the powers entrusted to her.  Put differently, the complaints raised concern the process of reasoning adopted by the arbitrator</w:t>
      </w:r>
      <w:r w:rsidR="00B906A3">
        <w:rPr>
          <w:rFonts w:ascii="Arial" w:hAnsi="Arial" w:cs="Arial"/>
          <w:sz w:val="24"/>
          <w:szCs w:val="24"/>
          <w:lang w:val="en-US"/>
        </w:rPr>
        <w:t xml:space="preserve"> in determining matters that were within her powers to decide</w:t>
      </w:r>
      <w:r w:rsidRPr="001963C7">
        <w:rPr>
          <w:rFonts w:ascii="Arial" w:hAnsi="Arial" w:cs="Arial"/>
          <w:sz w:val="24"/>
          <w:szCs w:val="24"/>
          <w:lang w:val="en-US"/>
        </w:rPr>
        <w:t xml:space="preserve">.   </w:t>
      </w:r>
    </w:p>
    <w:p w14:paraId="5CE8F1AE" w14:textId="53CADA04" w:rsidR="00876EBC" w:rsidRPr="00B906A3" w:rsidRDefault="006261EA" w:rsidP="005D310D">
      <w:pPr>
        <w:pStyle w:val="BowLevel1ListAlt"/>
        <w:rPr>
          <w:rFonts w:ascii="Arial" w:hAnsi="Arial" w:cs="Arial"/>
          <w:color w:val="242121"/>
          <w:sz w:val="24"/>
          <w:szCs w:val="24"/>
          <w:lang w:val="en-GB"/>
        </w:rPr>
      </w:pPr>
      <w:r w:rsidRPr="00B906A3">
        <w:rPr>
          <w:rFonts w:ascii="Arial" w:hAnsi="Arial" w:cs="Arial"/>
          <w:sz w:val="24"/>
          <w:szCs w:val="24"/>
          <w:lang w:val="en-US"/>
        </w:rPr>
        <w:t xml:space="preserve">To the extent that the </w:t>
      </w:r>
      <w:r w:rsidR="00876EBC" w:rsidRPr="00B906A3">
        <w:rPr>
          <w:rFonts w:ascii="Arial" w:hAnsi="Arial" w:cs="Arial"/>
          <w:sz w:val="24"/>
          <w:szCs w:val="24"/>
          <w:lang w:val="en-US"/>
        </w:rPr>
        <w:t xml:space="preserve">second respondent </w:t>
      </w:r>
      <w:r w:rsidRPr="00B906A3">
        <w:rPr>
          <w:rFonts w:ascii="Arial" w:hAnsi="Arial" w:cs="Arial"/>
          <w:sz w:val="24"/>
          <w:szCs w:val="24"/>
          <w:lang w:val="en-US"/>
        </w:rPr>
        <w:t xml:space="preserve">erred, this constituted the </w:t>
      </w:r>
      <w:r w:rsidR="00876EBC" w:rsidRPr="00B906A3">
        <w:rPr>
          <w:rFonts w:ascii="Arial" w:hAnsi="Arial" w:cs="Arial"/>
          <w:sz w:val="24"/>
          <w:szCs w:val="24"/>
          <w:lang w:val="en-US"/>
        </w:rPr>
        <w:t xml:space="preserve">mistaken exercise </w:t>
      </w:r>
      <w:r w:rsidR="00B906A3" w:rsidRPr="00B906A3">
        <w:rPr>
          <w:rFonts w:ascii="Arial" w:hAnsi="Arial" w:cs="Arial"/>
          <w:sz w:val="24"/>
          <w:szCs w:val="24"/>
          <w:lang w:val="en-US"/>
        </w:rPr>
        <w:t xml:space="preserve">of </w:t>
      </w:r>
      <w:r w:rsidR="00876EBC" w:rsidRPr="00B906A3">
        <w:rPr>
          <w:rFonts w:ascii="Arial" w:hAnsi="Arial" w:cs="Arial"/>
          <w:sz w:val="24"/>
          <w:szCs w:val="24"/>
          <w:lang w:val="en-US"/>
        </w:rPr>
        <w:t>a power conferred on her (adopt</w:t>
      </w:r>
      <w:r w:rsidR="00B906A3" w:rsidRPr="00B906A3">
        <w:rPr>
          <w:rFonts w:ascii="Arial" w:hAnsi="Arial" w:cs="Arial"/>
          <w:sz w:val="24"/>
          <w:szCs w:val="24"/>
          <w:lang w:val="en-US"/>
        </w:rPr>
        <w:t>ing</w:t>
      </w:r>
      <w:r w:rsidR="00876EBC" w:rsidRPr="00B906A3">
        <w:rPr>
          <w:rFonts w:ascii="Arial" w:hAnsi="Arial" w:cs="Arial"/>
          <w:sz w:val="24"/>
          <w:szCs w:val="24"/>
          <w:lang w:val="en-US"/>
        </w:rPr>
        <w:t xml:space="preserve"> the </w:t>
      </w:r>
      <w:r w:rsidR="00B906A3" w:rsidRPr="00B906A3">
        <w:rPr>
          <w:rFonts w:ascii="Arial" w:hAnsi="Arial" w:cs="Arial"/>
          <w:sz w:val="24"/>
          <w:szCs w:val="24"/>
          <w:lang w:val="en-US"/>
        </w:rPr>
        <w:t xml:space="preserve">words </w:t>
      </w:r>
      <w:r w:rsidR="00876EBC" w:rsidRPr="00B906A3">
        <w:rPr>
          <w:rFonts w:ascii="Arial" w:hAnsi="Arial" w:cs="Arial"/>
          <w:sz w:val="24"/>
          <w:szCs w:val="24"/>
          <w:lang w:val="en-US"/>
        </w:rPr>
        <w:t xml:space="preserve">of the House of Lords in </w:t>
      </w:r>
      <w:r w:rsidR="00876EBC" w:rsidRPr="00B906A3">
        <w:rPr>
          <w:rFonts w:ascii="Arial" w:hAnsi="Arial" w:cs="Arial"/>
          <w:i/>
          <w:iCs/>
          <w:sz w:val="24"/>
          <w:szCs w:val="24"/>
          <w:lang w:val="en-US"/>
        </w:rPr>
        <w:t>Lesotho Highlands Development Authority</w:t>
      </w:r>
      <w:r w:rsidR="00876EBC" w:rsidRPr="00B906A3">
        <w:rPr>
          <w:rFonts w:ascii="Arial" w:hAnsi="Arial" w:cs="Arial"/>
          <w:sz w:val="24"/>
          <w:szCs w:val="24"/>
          <w:lang w:val="en-US"/>
        </w:rPr>
        <w:t xml:space="preserve"> </w:t>
      </w:r>
      <w:r w:rsidRPr="00B906A3">
        <w:rPr>
          <w:rFonts w:ascii="Arial" w:hAnsi="Arial" w:cs="Arial"/>
          <w:sz w:val="24"/>
          <w:szCs w:val="24"/>
          <w:lang w:val="en-US"/>
        </w:rPr>
        <w:t>supra)</w:t>
      </w:r>
      <w:r w:rsidR="00876EBC" w:rsidRPr="00B906A3">
        <w:rPr>
          <w:rFonts w:ascii="Arial" w:hAnsi="Arial" w:cs="Arial"/>
          <w:sz w:val="24"/>
          <w:szCs w:val="24"/>
          <w:lang w:val="en-US"/>
        </w:rPr>
        <w:t>.</w:t>
      </w:r>
      <w:r w:rsidR="00B906A3">
        <w:rPr>
          <w:rFonts w:ascii="Arial" w:hAnsi="Arial" w:cs="Arial"/>
          <w:sz w:val="24"/>
          <w:szCs w:val="24"/>
          <w:lang w:val="en-US"/>
        </w:rPr>
        <w:t xml:space="preserve">  </w:t>
      </w:r>
      <w:r w:rsidR="00F947EF" w:rsidRPr="00B906A3">
        <w:rPr>
          <w:rFonts w:ascii="Arial" w:hAnsi="Arial" w:cs="Arial"/>
          <w:color w:val="242121"/>
          <w:sz w:val="24"/>
          <w:szCs w:val="24"/>
          <w:lang w:val="en-GB"/>
        </w:rPr>
        <w:t xml:space="preserve">The conclusions that </w:t>
      </w:r>
      <w:r w:rsidR="00876EBC" w:rsidRPr="00B906A3">
        <w:rPr>
          <w:rFonts w:ascii="Arial" w:hAnsi="Arial" w:cs="Arial"/>
          <w:color w:val="242121"/>
          <w:sz w:val="24"/>
          <w:szCs w:val="24"/>
          <w:lang w:val="en-GB"/>
        </w:rPr>
        <w:t xml:space="preserve">the </w:t>
      </w:r>
      <w:r w:rsidR="00F947EF" w:rsidRPr="00B906A3">
        <w:rPr>
          <w:rFonts w:ascii="Arial" w:hAnsi="Arial" w:cs="Arial"/>
          <w:color w:val="242121"/>
          <w:sz w:val="24"/>
          <w:szCs w:val="24"/>
          <w:lang w:val="en-GB"/>
        </w:rPr>
        <w:t>a</w:t>
      </w:r>
      <w:r w:rsidR="00876EBC" w:rsidRPr="00B906A3">
        <w:rPr>
          <w:rFonts w:ascii="Arial" w:hAnsi="Arial" w:cs="Arial"/>
          <w:color w:val="242121"/>
          <w:sz w:val="24"/>
          <w:szCs w:val="24"/>
          <w:lang w:val="en-GB"/>
        </w:rPr>
        <w:t>pplicant attacks</w:t>
      </w:r>
      <w:r w:rsidR="00F947EF" w:rsidRPr="00B906A3">
        <w:rPr>
          <w:rFonts w:ascii="Arial" w:hAnsi="Arial" w:cs="Arial"/>
          <w:color w:val="242121"/>
          <w:sz w:val="24"/>
          <w:szCs w:val="24"/>
          <w:lang w:val="en-GB"/>
        </w:rPr>
        <w:t>, whether rightly or wrongly reached</w:t>
      </w:r>
      <w:r w:rsidR="00B906A3">
        <w:rPr>
          <w:rFonts w:ascii="Arial" w:hAnsi="Arial" w:cs="Arial"/>
          <w:color w:val="242121"/>
          <w:sz w:val="24"/>
          <w:szCs w:val="24"/>
          <w:lang w:val="en-GB"/>
        </w:rPr>
        <w:t xml:space="preserve"> by the second respondent</w:t>
      </w:r>
      <w:r w:rsidR="00F947EF" w:rsidRPr="00B906A3">
        <w:rPr>
          <w:rFonts w:ascii="Arial" w:hAnsi="Arial" w:cs="Arial"/>
          <w:color w:val="242121"/>
          <w:sz w:val="24"/>
          <w:szCs w:val="24"/>
          <w:lang w:val="en-GB"/>
        </w:rPr>
        <w:t xml:space="preserve">, were conclusions </w:t>
      </w:r>
      <w:r w:rsidR="00521EC3" w:rsidRPr="00B906A3">
        <w:rPr>
          <w:rFonts w:ascii="Arial" w:hAnsi="Arial" w:cs="Arial"/>
          <w:color w:val="242121"/>
          <w:sz w:val="24"/>
          <w:szCs w:val="24"/>
          <w:lang w:val="en-GB"/>
        </w:rPr>
        <w:t xml:space="preserve">reached within the exercise of the </w:t>
      </w:r>
      <w:r w:rsidR="00876EBC" w:rsidRPr="00B906A3">
        <w:rPr>
          <w:rFonts w:ascii="Arial" w:hAnsi="Arial" w:cs="Arial"/>
          <w:color w:val="242121"/>
          <w:sz w:val="24"/>
          <w:szCs w:val="24"/>
          <w:lang w:val="en-GB"/>
        </w:rPr>
        <w:t xml:space="preserve">powers and functions entrusted to </w:t>
      </w:r>
      <w:r w:rsidR="00B906A3">
        <w:rPr>
          <w:rFonts w:ascii="Arial" w:hAnsi="Arial" w:cs="Arial"/>
          <w:color w:val="242121"/>
          <w:sz w:val="24"/>
          <w:szCs w:val="24"/>
          <w:lang w:val="en-GB"/>
        </w:rPr>
        <w:t>her</w:t>
      </w:r>
      <w:r w:rsidR="00876EBC" w:rsidRPr="00B906A3">
        <w:rPr>
          <w:rFonts w:ascii="Arial" w:hAnsi="Arial" w:cs="Arial"/>
          <w:color w:val="242121"/>
          <w:sz w:val="24"/>
          <w:szCs w:val="24"/>
          <w:lang w:val="en-GB"/>
        </w:rPr>
        <w:t xml:space="preserve">.  </w:t>
      </w:r>
    </w:p>
    <w:p w14:paraId="6F8C891C" w14:textId="77777777"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t>In those circumstances, the application stands to be dismissed.</w:t>
      </w:r>
    </w:p>
    <w:p w14:paraId="7D74DC66" w14:textId="248D2CDF" w:rsidR="00876EBC" w:rsidRPr="001963C7" w:rsidRDefault="00876EBC" w:rsidP="00876EBC">
      <w:pPr>
        <w:pStyle w:val="BowLevel1ListAlt"/>
        <w:rPr>
          <w:rFonts w:ascii="Arial" w:hAnsi="Arial" w:cs="Arial"/>
          <w:sz w:val="24"/>
          <w:szCs w:val="24"/>
          <w:lang w:val="en-US"/>
        </w:rPr>
      </w:pPr>
      <w:r w:rsidRPr="001963C7">
        <w:rPr>
          <w:rFonts w:ascii="Arial" w:hAnsi="Arial" w:cs="Arial"/>
          <w:sz w:val="24"/>
          <w:szCs w:val="24"/>
          <w:lang w:val="en-US"/>
        </w:rPr>
        <w:t xml:space="preserve">Although the </w:t>
      </w:r>
      <w:r w:rsidR="00B906A3">
        <w:rPr>
          <w:rFonts w:ascii="Arial" w:hAnsi="Arial" w:cs="Arial"/>
          <w:sz w:val="24"/>
          <w:szCs w:val="24"/>
          <w:lang w:val="en-US"/>
        </w:rPr>
        <w:t xml:space="preserve">both </w:t>
      </w:r>
      <w:r w:rsidRPr="001963C7">
        <w:rPr>
          <w:rFonts w:ascii="Arial" w:hAnsi="Arial" w:cs="Arial"/>
          <w:sz w:val="24"/>
          <w:szCs w:val="24"/>
          <w:lang w:val="en-US"/>
        </w:rPr>
        <w:t xml:space="preserve">parties had initially sought punitive costs, both agreed that there were no grounds for persisting with an order to that effect.  Both submitted, however, that costs should follow the result.  I agree. </w:t>
      </w:r>
    </w:p>
    <w:p w14:paraId="2B0A6FDF" w14:textId="0C36E30A" w:rsidR="00922876" w:rsidRPr="00922876" w:rsidRDefault="00922876" w:rsidP="007273B3">
      <w:pPr>
        <w:pStyle w:val="BowLevel1ListAlt"/>
        <w:numPr>
          <w:ilvl w:val="0"/>
          <w:numId w:val="0"/>
        </w:numPr>
        <w:rPr>
          <w:rFonts w:ascii="Arial" w:hAnsi="Arial" w:cs="Arial"/>
          <w:b/>
          <w:bCs/>
          <w:sz w:val="24"/>
          <w:szCs w:val="24"/>
          <w:lang w:val="en-US"/>
        </w:rPr>
      </w:pPr>
      <w:r w:rsidRPr="00922876">
        <w:rPr>
          <w:rFonts w:ascii="Arial" w:hAnsi="Arial" w:cs="Arial"/>
          <w:b/>
          <w:bCs/>
          <w:sz w:val="24"/>
          <w:szCs w:val="24"/>
          <w:lang w:val="en-US"/>
        </w:rPr>
        <w:t>Order</w:t>
      </w:r>
    </w:p>
    <w:p w14:paraId="1253A45B" w14:textId="317D3296" w:rsidR="007273B3" w:rsidRDefault="007273B3" w:rsidP="00922876">
      <w:pPr>
        <w:pStyle w:val="BowLevel1ListAlt"/>
        <w:rPr>
          <w:rFonts w:ascii="Arial" w:hAnsi="Arial" w:cs="Arial"/>
          <w:sz w:val="24"/>
          <w:szCs w:val="24"/>
          <w:lang w:val="en-US"/>
        </w:rPr>
      </w:pPr>
      <w:r>
        <w:rPr>
          <w:rFonts w:ascii="Arial" w:hAnsi="Arial" w:cs="Arial"/>
          <w:sz w:val="24"/>
          <w:szCs w:val="24"/>
          <w:lang w:val="en-US"/>
        </w:rPr>
        <w:t>In the circumstances I make the following order:</w:t>
      </w:r>
    </w:p>
    <w:p w14:paraId="5F150D00" w14:textId="65F4B4F7" w:rsidR="00352A04" w:rsidRDefault="007273B3" w:rsidP="00922876">
      <w:pPr>
        <w:pStyle w:val="BowLevel1ListAlt"/>
        <w:numPr>
          <w:ilvl w:val="0"/>
          <w:numId w:val="0"/>
        </w:numPr>
        <w:ind w:left="567" w:firstLine="153"/>
        <w:rPr>
          <w:rFonts w:ascii="Arial" w:hAnsi="Arial" w:cs="Arial"/>
          <w:sz w:val="24"/>
          <w:szCs w:val="24"/>
          <w:lang w:val="en-US"/>
        </w:rPr>
      </w:pPr>
      <w:r>
        <w:rPr>
          <w:rFonts w:ascii="Arial" w:hAnsi="Arial" w:cs="Arial"/>
          <w:sz w:val="24"/>
          <w:szCs w:val="24"/>
          <w:lang w:val="en-US"/>
        </w:rPr>
        <w:t>The application is dismissed, with costs.</w:t>
      </w:r>
      <w:r w:rsidRPr="007273B3">
        <w:rPr>
          <w:rFonts w:ascii="Arial" w:hAnsi="Arial" w:cs="Arial"/>
          <w:sz w:val="24"/>
          <w:szCs w:val="24"/>
          <w:lang w:val="en-US"/>
        </w:rPr>
        <w:t xml:space="preserve"> </w:t>
      </w:r>
    </w:p>
    <w:p w14:paraId="4E16D8C9" w14:textId="77777777" w:rsidR="00AE6B1E" w:rsidRPr="00B906A3" w:rsidRDefault="00AE6B1E" w:rsidP="00BB6B5B">
      <w:pPr>
        <w:spacing w:line="240" w:lineRule="auto"/>
        <w:ind w:left="567" w:hanging="567"/>
        <w:rPr>
          <w:rFonts w:ascii="Arial" w:eastAsia="Calibri" w:hAnsi="Arial" w:cs="Arial"/>
          <w:sz w:val="22"/>
          <w:szCs w:val="22"/>
          <w:lang w:val="en-GB"/>
        </w:rPr>
      </w:pPr>
    </w:p>
    <w:p w14:paraId="33675D9C" w14:textId="366B5133" w:rsidR="00E71522" w:rsidRPr="00B906A3" w:rsidRDefault="00E71522" w:rsidP="00BB6B5B">
      <w:pPr>
        <w:spacing w:line="240" w:lineRule="auto"/>
        <w:ind w:left="567" w:hanging="567"/>
        <w:rPr>
          <w:rFonts w:ascii="Arial" w:eastAsia="Calibri" w:hAnsi="Arial" w:cs="Arial"/>
          <w:sz w:val="22"/>
          <w:szCs w:val="22"/>
          <w:lang w:val="en-GB"/>
        </w:rPr>
      </w:pPr>
      <w:r w:rsidRPr="00B906A3">
        <w:rPr>
          <w:rFonts w:ascii="Arial" w:eastAsia="Calibri" w:hAnsi="Arial" w:cs="Arial"/>
          <w:sz w:val="22"/>
          <w:szCs w:val="22"/>
          <w:lang w:val="en-GB"/>
        </w:rPr>
        <w:t>_______________</w:t>
      </w:r>
    </w:p>
    <w:p w14:paraId="1F7EFD38" w14:textId="77777777" w:rsidR="00E71522" w:rsidRPr="00B906A3" w:rsidRDefault="00E71522" w:rsidP="00BB6B5B">
      <w:pPr>
        <w:spacing w:line="240" w:lineRule="auto"/>
        <w:ind w:left="567" w:hanging="567"/>
        <w:rPr>
          <w:rFonts w:ascii="Arial" w:eastAsia="Calibri" w:hAnsi="Arial" w:cs="Arial"/>
          <w:b/>
          <w:bCs/>
          <w:sz w:val="22"/>
          <w:szCs w:val="22"/>
          <w:lang w:val="en-GB"/>
        </w:rPr>
      </w:pPr>
      <w:r w:rsidRPr="00B906A3">
        <w:rPr>
          <w:rFonts w:ascii="Arial" w:eastAsia="Calibri" w:hAnsi="Arial" w:cs="Arial"/>
          <w:b/>
          <w:bCs/>
          <w:sz w:val="22"/>
          <w:szCs w:val="22"/>
          <w:lang w:val="en-GB"/>
        </w:rPr>
        <w:t>C Todd</w:t>
      </w:r>
    </w:p>
    <w:p w14:paraId="65C51520" w14:textId="794879BD" w:rsidR="00E71522" w:rsidRPr="00B906A3" w:rsidRDefault="00E71522" w:rsidP="00BB6B5B">
      <w:pPr>
        <w:spacing w:line="240" w:lineRule="auto"/>
        <w:ind w:left="567" w:hanging="567"/>
        <w:rPr>
          <w:rFonts w:ascii="Arial" w:hAnsi="Arial" w:cs="Arial"/>
          <w:sz w:val="22"/>
          <w:szCs w:val="22"/>
        </w:rPr>
      </w:pPr>
      <w:r w:rsidRPr="00B906A3">
        <w:rPr>
          <w:rFonts w:ascii="Arial" w:eastAsia="Calibri" w:hAnsi="Arial" w:cs="Arial"/>
          <w:b/>
          <w:bCs/>
          <w:sz w:val="22"/>
          <w:szCs w:val="22"/>
          <w:lang w:val="en-GB"/>
        </w:rPr>
        <w:t>Acting Judge of the High Court of South Africa</w:t>
      </w:r>
    </w:p>
    <w:p w14:paraId="0CB7F7CD" w14:textId="08AA22AE" w:rsidR="00D17D18" w:rsidRPr="00B906A3" w:rsidRDefault="00D17D18" w:rsidP="00BB6B5B">
      <w:pPr>
        <w:pStyle w:val="BowLevel1ListAlt"/>
        <w:numPr>
          <w:ilvl w:val="0"/>
          <w:numId w:val="0"/>
        </w:numPr>
        <w:spacing w:line="240" w:lineRule="auto"/>
        <w:ind w:left="567" w:firstLine="153"/>
        <w:rPr>
          <w:rFonts w:ascii="Arial" w:hAnsi="Arial" w:cs="Arial"/>
          <w:sz w:val="22"/>
          <w:szCs w:val="22"/>
          <w:lang w:val="en-US"/>
        </w:rPr>
      </w:pPr>
    </w:p>
    <w:p w14:paraId="74428902" w14:textId="77777777" w:rsidR="00D17D18" w:rsidRPr="00B906A3" w:rsidRDefault="00D17D18" w:rsidP="00AE6B1E">
      <w:pPr>
        <w:spacing w:line="240" w:lineRule="auto"/>
        <w:ind w:left="567" w:hanging="567"/>
        <w:rPr>
          <w:rFonts w:ascii="Arial" w:hAnsi="Arial" w:cs="Arial"/>
          <w:b/>
          <w:sz w:val="22"/>
          <w:szCs w:val="22"/>
          <w:lang w:val="en-US"/>
        </w:rPr>
      </w:pPr>
      <w:r w:rsidRPr="00B906A3">
        <w:rPr>
          <w:rFonts w:ascii="Arial" w:hAnsi="Arial" w:cs="Arial"/>
          <w:b/>
          <w:sz w:val="22"/>
          <w:szCs w:val="22"/>
          <w:lang w:val="en-US"/>
        </w:rPr>
        <w:t>REFERENCES</w:t>
      </w:r>
    </w:p>
    <w:p w14:paraId="378F111B" w14:textId="409AC5F1" w:rsidR="00D17D18" w:rsidRPr="00B906A3" w:rsidRDefault="00D17D18" w:rsidP="00AE6B1E">
      <w:pPr>
        <w:spacing w:line="240" w:lineRule="auto"/>
        <w:ind w:left="567" w:hanging="567"/>
        <w:rPr>
          <w:rFonts w:ascii="Arial" w:hAnsi="Arial" w:cs="Arial"/>
          <w:sz w:val="22"/>
          <w:szCs w:val="22"/>
        </w:rPr>
      </w:pPr>
      <w:r w:rsidRPr="00B906A3">
        <w:rPr>
          <w:rFonts w:ascii="Arial" w:hAnsi="Arial" w:cs="Arial"/>
          <w:sz w:val="22"/>
          <w:szCs w:val="22"/>
        </w:rPr>
        <w:lastRenderedPageBreak/>
        <w:t>For the Applicant:</w:t>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r>
      <w:r w:rsidR="006F1A79" w:rsidRPr="00B906A3">
        <w:rPr>
          <w:rFonts w:ascii="Arial" w:hAnsi="Arial" w:cs="Arial"/>
          <w:sz w:val="22"/>
          <w:szCs w:val="22"/>
        </w:rPr>
        <w:t>Mr P Ndou</w:t>
      </w:r>
      <w:r w:rsidR="006927B0" w:rsidRPr="00B906A3">
        <w:rPr>
          <w:rFonts w:ascii="Arial" w:hAnsi="Arial" w:cs="Arial"/>
          <w:sz w:val="22"/>
          <w:szCs w:val="22"/>
        </w:rPr>
        <w:t xml:space="preserve">. </w:t>
      </w:r>
    </w:p>
    <w:p w14:paraId="06900A8F" w14:textId="00C49C96" w:rsidR="00D17D18" w:rsidRPr="00B906A3" w:rsidRDefault="00D17D18" w:rsidP="00AE6B1E">
      <w:pPr>
        <w:spacing w:line="240" w:lineRule="auto"/>
        <w:ind w:left="567" w:hanging="567"/>
        <w:rPr>
          <w:rFonts w:ascii="Arial" w:hAnsi="Arial" w:cs="Arial"/>
          <w:sz w:val="22"/>
          <w:szCs w:val="22"/>
        </w:rPr>
      </w:pPr>
      <w:r w:rsidRPr="00B906A3">
        <w:rPr>
          <w:rFonts w:ascii="Arial" w:hAnsi="Arial" w:cs="Arial"/>
          <w:sz w:val="22"/>
          <w:szCs w:val="22"/>
        </w:rPr>
        <w:t>Instructed by:</w:t>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r>
      <w:r w:rsidR="006F1A79" w:rsidRPr="00B906A3">
        <w:rPr>
          <w:rFonts w:ascii="Arial" w:hAnsi="Arial" w:cs="Arial"/>
          <w:sz w:val="22"/>
          <w:szCs w:val="22"/>
        </w:rPr>
        <w:t xml:space="preserve">Ndou </w:t>
      </w:r>
      <w:r w:rsidRPr="00B906A3">
        <w:rPr>
          <w:rFonts w:ascii="Arial" w:hAnsi="Arial" w:cs="Arial"/>
          <w:sz w:val="22"/>
          <w:szCs w:val="22"/>
        </w:rPr>
        <w:t>Attorneys</w:t>
      </w:r>
    </w:p>
    <w:p w14:paraId="7CDD1304" w14:textId="1638A8FF" w:rsidR="00D17D18" w:rsidRPr="00B906A3" w:rsidRDefault="00D17D18" w:rsidP="00AE6B1E">
      <w:pPr>
        <w:spacing w:line="240" w:lineRule="auto"/>
        <w:ind w:left="567" w:hanging="567"/>
        <w:rPr>
          <w:rFonts w:ascii="Arial" w:hAnsi="Arial" w:cs="Arial"/>
          <w:sz w:val="22"/>
          <w:szCs w:val="22"/>
        </w:rPr>
      </w:pPr>
      <w:r w:rsidRPr="00B906A3">
        <w:rPr>
          <w:rFonts w:ascii="Arial" w:hAnsi="Arial" w:cs="Arial"/>
          <w:sz w:val="22"/>
          <w:szCs w:val="22"/>
        </w:rPr>
        <w:t>For</w:t>
      </w:r>
      <w:r w:rsidR="00634CB5" w:rsidRPr="00B906A3">
        <w:rPr>
          <w:rFonts w:ascii="Arial" w:hAnsi="Arial" w:cs="Arial"/>
          <w:sz w:val="22"/>
          <w:szCs w:val="22"/>
        </w:rPr>
        <w:t xml:space="preserve"> the</w:t>
      </w:r>
      <w:r w:rsidRPr="00B906A3">
        <w:rPr>
          <w:rFonts w:ascii="Arial" w:hAnsi="Arial" w:cs="Arial"/>
          <w:sz w:val="22"/>
          <w:szCs w:val="22"/>
        </w:rPr>
        <w:t xml:space="preserve"> </w:t>
      </w:r>
      <w:r w:rsidR="007B7108" w:rsidRPr="00B906A3">
        <w:rPr>
          <w:rFonts w:ascii="Arial" w:hAnsi="Arial" w:cs="Arial"/>
          <w:sz w:val="22"/>
          <w:szCs w:val="22"/>
        </w:rPr>
        <w:t>First Respondent</w:t>
      </w:r>
      <w:r w:rsidRPr="00B906A3">
        <w:rPr>
          <w:rFonts w:ascii="Arial" w:hAnsi="Arial" w:cs="Arial"/>
          <w:sz w:val="22"/>
          <w:szCs w:val="22"/>
        </w:rPr>
        <w:t>:</w:t>
      </w:r>
      <w:r w:rsidRPr="00B906A3">
        <w:rPr>
          <w:rFonts w:ascii="Arial" w:hAnsi="Arial" w:cs="Arial"/>
          <w:sz w:val="22"/>
          <w:szCs w:val="22"/>
        </w:rPr>
        <w:tab/>
      </w:r>
      <w:r w:rsidRPr="00B906A3">
        <w:rPr>
          <w:rFonts w:ascii="Arial" w:hAnsi="Arial" w:cs="Arial"/>
          <w:sz w:val="22"/>
          <w:szCs w:val="22"/>
        </w:rPr>
        <w:tab/>
      </w:r>
      <w:r w:rsidR="008E4D2A" w:rsidRPr="00B906A3">
        <w:rPr>
          <w:rFonts w:ascii="Arial" w:hAnsi="Arial" w:cs="Arial"/>
          <w:sz w:val="22"/>
          <w:szCs w:val="22"/>
        </w:rPr>
        <w:t>Mr D Sibuyi</w:t>
      </w:r>
    </w:p>
    <w:p w14:paraId="482F72F2" w14:textId="7F6A32B8" w:rsidR="00D17D18" w:rsidRPr="00B906A3" w:rsidRDefault="00D17D18" w:rsidP="00AE6B1E">
      <w:pPr>
        <w:spacing w:line="240" w:lineRule="auto"/>
        <w:ind w:left="567" w:hanging="567"/>
        <w:rPr>
          <w:rFonts w:ascii="Arial" w:hAnsi="Arial" w:cs="Arial"/>
          <w:sz w:val="22"/>
          <w:szCs w:val="22"/>
        </w:rPr>
      </w:pPr>
      <w:r w:rsidRPr="00B906A3">
        <w:rPr>
          <w:rFonts w:ascii="Arial" w:hAnsi="Arial" w:cs="Arial"/>
          <w:sz w:val="22"/>
          <w:szCs w:val="22"/>
        </w:rPr>
        <w:t xml:space="preserve">Instructed by: </w:t>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r>
      <w:r w:rsidR="007B7108" w:rsidRPr="00B906A3">
        <w:rPr>
          <w:rFonts w:ascii="Arial" w:hAnsi="Arial" w:cs="Arial"/>
          <w:sz w:val="22"/>
          <w:szCs w:val="22"/>
        </w:rPr>
        <w:t>DMS Attorneys</w:t>
      </w:r>
    </w:p>
    <w:p w14:paraId="4E28FEA6" w14:textId="08964E81" w:rsidR="00634CB5" w:rsidRPr="00B906A3" w:rsidRDefault="00634CB5" w:rsidP="00AE6B1E">
      <w:pPr>
        <w:spacing w:line="240" w:lineRule="auto"/>
        <w:ind w:left="567" w:hanging="567"/>
        <w:rPr>
          <w:rFonts w:ascii="Arial" w:hAnsi="Arial" w:cs="Arial"/>
          <w:sz w:val="22"/>
          <w:szCs w:val="22"/>
        </w:rPr>
      </w:pPr>
      <w:r w:rsidRPr="00B906A3">
        <w:rPr>
          <w:rFonts w:ascii="Arial" w:hAnsi="Arial" w:cs="Arial"/>
          <w:sz w:val="22"/>
          <w:szCs w:val="22"/>
        </w:rPr>
        <w:t>For the Second Respondent:</w:t>
      </w:r>
      <w:r w:rsidRPr="00B906A3">
        <w:rPr>
          <w:rFonts w:ascii="Arial" w:hAnsi="Arial" w:cs="Arial"/>
          <w:sz w:val="22"/>
          <w:szCs w:val="22"/>
        </w:rPr>
        <w:tab/>
      </w:r>
      <w:r w:rsidRPr="00B906A3">
        <w:rPr>
          <w:rFonts w:ascii="Arial" w:hAnsi="Arial" w:cs="Arial"/>
          <w:sz w:val="22"/>
          <w:szCs w:val="22"/>
        </w:rPr>
        <w:tab/>
      </w:r>
      <w:r w:rsidR="00703B0F" w:rsidRPr="00B906A3">
        <w:rPr>
          <w:rFonts w:ascii="Arial" w:hAnsi="Arial" w:cs="Arial"/>
          <w:sz w:val="22"/>
          <w:szCs w:val="22"/>
        </w:rPr>
        <w:t>Adv. T Mhlanga</w:t>
      </w:r>
      <w:r w:rsidRPr="00B906A3">
        <w:rPr>
          <w:rFonts w:ascii="Arial" w:hAnsi="Arial" w:cs="Arial"/>
          <w:sz w:val="22"/>
          <w:szCs w:val="22"/>
        </w:rPr>
        <w:tab/>
        <w:t xml:space="preserve"> </w:t>
      </w:r>
    </w:p>
    <w:p w14:paraId="4EF01754" w14:textId="52D349DF" w:rsidR="00634CB5" w:rsidRPr="00B906A3" w:rsidRDefault="00634CB5" w:rsidP="00AE6B1E">
      <w:pPr>
        <w:spacing w:line="240" w:lineRule="auto"/>
        <w:ind w:left="567" w:hanging="567"/>
        <w:rPr>
          <w:rFonts w:ascii="Arial" w:hAnsi="Arial" w:cs="Arial"/>
          <w:sz w:val="22"/>
          <w:szCs w:val="22"/>
        </w:rPr>
      </w:pPr>
      <w:r w:rsidRPr="00B906A3">
        <w:rPr>
          <w:rFonts w:ascii="Arial" w:hAnsi="Arial" w:cs="Arial"/>
          <w:sz w:val="22"/>
          <w:szCs w:val="22"/>
        </w:rPr>
        <w:t>Instructed by:</w:t>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t xml:space="preserve">Harris Nupen </w:t>
      </w:r>
      <w:r w:rsidR="001722AA" w:rsidRPr="00B906A3">
        <w:rPr>
          <w:rFonts w:ascii="Arial" w:hAnsi="Arial" w:cs="Arial"/>
          <w:sz w:val="22"/>
          <w:szCs w:val="22"/>
        </w:rPr>
        <w:t>Mole</w:t>
      </w:r>
      <w:r w:rsidRPr="00B906A3">
        <w:rPr>
          <w:rFonts w:ascii="Arial" w:hAnsi="Arial" w:cs="Arial"/>
          <w:sz w:val="22"/>
          <w:szCs w:val="22"/>
        </w:rPr>
        <w:t>batsi</w:t>
      </w:r>
    </w:p>
    <w:p w14:paraId="5F59765E" w14:textId="77777777" w:rsidR="00D17D18" w:rsidRPr="00B906A3" w:rsidRDefault="00D17D18" w:rsidP="00AE6B1E">
      <w:pPr>
        <w:spacing w:line="240" w:lineRule="auto"/>
        <w:ind w:left="567" w:hanging="567"/>
        <w:rPr>
          <w:rFonts w:ascii="Arial" w:hAnsi="Arial" w:cs="Arial"/>
          <w:sz w:val="22"/>
          <w:szCs w:val="22"/>
        </w:rPr>
      </w:pPr>
    </w:p>
    <w:p w14:paraId="061EE6CB" w14:textId="3CAF0C70" w:rsidR="00D17D18" w:rsidRPr="00B906A3" w:rsidRDefault="00D17D18" w:rsidP="00AE6B1E">
      <w:pPr>
        <w:spacing w:line="240" w:lineRule="auto"/>
        <w:ind w:left="567" w:hanging="567"/>
        <w:rPr>
          <w:rFonts w:ascii="Arial" w:hAnsi="Arial" w:cs="Arial"/>
          <w:sz w:val="22"/>
          <w:szCs w:val="22"/>
        </w:rPr>
      </w:pPr>
      <w:r w:rsidRPr="00B906A3">
        <w:rPr>
          <w:rFonts w:ascii="Arial" w:hAnsi="Arial" w:cs="Arial"/>
          <w:sz w:val="22"/>
          <w:szCs w:val="22"/>
        </w:rPr>
        <w:t>Hearing date:</w:t>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t>0</w:t>
      </w:r>
      <w:r w:rsidR="00634CB5" w:rsidRPr="00B906A3">
        <w:rPr>
          <w:rFonts w:ascii="Arial" w:hAnsi="Arial" w:cs="Arial"/>
          <w:sz w:val="22"/>
          <w:szCs w:val="22"/>
        </w:rPr>
        <w:t>6</w:t>
      </w:r>
      <w:r w:rsidRPr="00B906A3">
        <w:rPr>
          <w:rFonts w:ascii="Arial" w:hAnsi="Arial" w:cs="Arial"/>
          <w:sz w:val="22"/>
          <w:szCs w:val="22"/>
        </w:rPr>
        <w:t xml:space="preserve"> September 2022</w:t>
      </w:r>
    </w:p>
    <w:p w14:paraId="6853DC97" w14:textId="78C0B9C5" w:rsidR="00D17D18" w:rsidRPr="00B906A3" w:rsidRDefault="00D17D18" w:rsidP="00AE6B1E">
      <w:pPr>
        <w:pStyle w:val="BowLevel1ListAlt"/>
        <w:numPr>
          <w:ilvl w:val="0"/>
          <w:numId w:val="0"/>
        </w:numPr>
        <w:spacing w:line="240" w:lineRule="auto"/>
        <w:ind w:left="567" w:hanging="567"/>
        <w:rPr>
          <w:rFonts w:ascii="Arial" w:hAnsi="Arial" w:cs="Arial"/>
          <w:sz w:val="22"/>
          <w:szCs w:val="22"/>
          <w:lang w:val="en-US"/>
        </w:rPr>
      </w:pPr>
      <w:r w:rsidRPr="00B906A3">
        <w:rPr>
          <w:rFonts w:ascii="Arial" w:hAnsi="Arial" w:cs="Arial"/>
          <w:sz w:val="22"/>
          <w:szCs w:val="22"/>
        </w:rPr>
        <w:t>Judgment delivered:</w:t>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r>
      <w:r w:rsidR="00805F1B" w:rsidRPr="00B906A3">
        <w:rPr>
          <w:rFonts w:ascii="Arial" w:hAnsi="Arial" w:cs="Arial"/>
          <w:sz w:val="22"/>
          <w:szCs w:val="22"/>
        </w:rPr>
        <w:t>2</w:t>
      </w:r>
      <w:r w:rsidR="008952F6" w:rsidRPr="00B906A3">
        <w:rPr>
          <w:rFonts w:ascii="Arial" w:hAnsi="Arial" w:cs="Arial"/>
          <w:sz w:val="22"/>
          <w:szCs w:val="22"/>
        </w:rPr>
        <w:t>2</w:t>
      </w:r>
      <w:r w:rsidRPr="00B906A3">
        <w:rPr>
          <w:rFonts w:ascii="Arial" w:hAnsi="Arial" w:cs="Arial"/>
          <w:sz w:val="22"/>
          <w:szCs w:val="22"/>
        </w:rPr>
        <w:t xml:space="preserve"> September 2022</w:t>
      </w:r>
    </w:p>
    <w:sectPr w:rsidR="00D17D18" w:rsidRPr="00B906A3" w:rsidSect="00D9014F">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680" w:footer="680"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047A7" w14:textId="77777777" w:rsidR="00341DF5" w:rsidRDefault="00341DF5">
      <w:pPr>
        <w:spacing w:after="0" w:line="240" w:lineRule="auto"/>
      </w:pPr>
      <w:r>
        <w:separator/>
      </w:r>
    </w:p>
  </w:endnote>
  <w:endnote w:type="continuationSeparator" w:id="0">
    <w:p w14:paraId="07695F7D" w14:textId="77777777" w:rsidR="00341DF5" w:rsidRDefault="0034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B5177" w14:textId="77777777" w:rsidR="00A85D6B" w:rsidRDefault="00A85D6B">
    <w:pPr>
      <w:pStyle w:val="Footer"/>
    </w:pPr>
  </w:p>
  <w:p w14:paraId="4DE101C5" w14:textId="77777777" w:rsidR="000B7F03" w:rsidRDefault="000B7F03"/>
  <w:p w14:paraId="4C0DBD9B" w14:textId="77777777" w:rsidR="00F40686" w:rsidRDefault="00F406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E0C8" w14:textId="4FA4B304" w:rsidR="00B8718D" w:rsidRPr="00B8718D" w:rsidRDefault="00341DF5" w:rsidP="00B8718D">
    <w:pPr>
      <w:pStyle w:val="Footer"/>
      <w:tabs>
        <w:tab w:val="clear" w:pos="4513"/>
        <w:tab w:val="clear" w:pos="9026"/>
      </w:tabs>
      <w:jc w:val="center"/>
    </w:pPr>
    <w:sdt>
      <w:sdtPr>
        <w:id w:val="-363593569"/>
        <w:docPartObj>
          <w:docPartGallery w:val="Page Numbers (Bottom of Page)"/>
          <w:docPartUnique/>
        </w:docPartObj>
      </w:sdtPr>
      <w:sdtEndPr/>
      <w:sdtContent>
        <w:r w:rsidR="00B8718D" w:rsidRPr="00B8718D">
          <w:fldChar w:fldCharType="begin"/>
        </w:r>
        <w:r w:rsidR="00B8718D" w:rsidRPr="00B8718D">
          <w:instrText xml:space="preserve"> PAGE  \* ArabicDash  \* MERGEFORMAT </w:instrText>
        </w:r>
        <w:r w:rsidR="00B8718D" w:rsidRPr="00B8718D">
          <w:fldChar w:fldCharType="separate"/>
        </w:r>
        <w:r w:rsidR="007B6714">
          <w:rPr>
            <w:noProof/>
          </w:rPr>
          <w:t>- 15 -</w:t>
        </w:r>
        <w:r w:rsidR="00B8718D" w:rsidRPr="00B8718D">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AECC" w14:textId="77777777" w:rsidR="00EF1EDF" w:rsidRDefault="00EF1EDF" w:rsidP="006561BA">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9AB1C" w14:textId="77777777" w:rsidR="00341DF5" w:rsidRDefault="00341DF5">
      <w:pPr>
        <w:spacing w:after="0" w:line="240" w:lineRule="auto"/>
      </w:pPr>
      <w:r>
        <w:separator/>
      </w:r>
    </w:p>
  </w:footnote>
  <w:footnote w:type="continuationSeparator" w:id="0">
    <w:p w14:paraId="55D8E186" w14:textId="77777777" w:rsidR="00341DF5" w:rsidRDefault="00341DF5">
      <w:pPr>
        <w:spacing w:after="0" w:line="240" w:lineRule="auto"/>
      </w:pPr>
      <w:r>
        <w:continuationSeparator/>
      </w:r>
    </w:p>
  </w:footnote>
  <w:footnote w:id="1">
    <w:p w14:paraId="2965D698" w14:textId="2EC5700A" w:rsidR="00B46660" w:rsidRPr="00B46660" w:rsidRDefault="00B46660">
      <w:pPr>
        <w:pStyle w:val="FootnoteText"/>
        <w:rPr>
          <w:rFonts w:ascii="Arial" w:hAnsi="Arial" w:cs="Arial"/>
          <w:sz w:val="20"/>
          <w:lang w:val="en-US"/>
        </w:rPr>
      </w:pPr>
      <w:r w:rsidRPr="00B46660">
        <w:rPr>
          <w:rStyle w:val="FootnoteReference"/>
          <w:rFonts w:ascii="Arial" w:hAnsi="Arial" w:cs="Arial"/>
          <w:sz w:val="20"/>
        </w:rPr>
        <w:footnoteRef/>
      </w:r>
      <w:r w:rsidRPr="00B46660">
        <w:rPr>
          <w:rFonts w:ascii="Arial" w:hAnsi="Arial" w:cs="Arial"/>
          <w:sz w:val="20"/>
        </w:rPr>
        <w:t xml:space="preserve"> </w:t>
      </w:r>
      <w:r>
        <w:rPr>
          <w:rFonts w:ascii="Arial" w:hAnsi="Arial" w:cs="Arial"/>
          <w:sz w:val="20"/>
        </w:rPr>
        <w:t xml:space="preserve">erroneously </w:t>
      </w:r>
      <w:r w:rsidRPr="00B46660">
        <w:rPr>
          <w:rFonts w:ascii="Arial" w:hAnsi="Arial" w:cs="Arial"/>
          <w:sz w:val="20"/>
          <w:lang w:val="en-US"/>
        </w:rPr>
        <w:t xml:space="preserve">referred to </w:t>
      </w:r>
      <w:r>
        <w:rPr>
          <w:rFonts w:ascii="Arial" w:hAnsi="Arial" w:cs="Arial"/>
          <w:sz w:val="20"/>
          <w:lang w:val="en-US"/>
        </w:rPr>
        <w:t xml:space="preserve">in the award </w:t>
      </w:r>
      <w:r w:rsidRPr="00B46660">
        <w:rPr>
          <w:rFonts w:ascii="Arial" w:hAnsi="Arial" w:cs="Arial"/>
          <w:sz w:val="20"/>
          <w:lang w:val="en-US"/>
        </w:rPr>
        <w:t xml:space="preserve">as applicant </w:t>
      </w:r>
    </w:p>
  </w:footnote>
  <w:footnote w:id="2">
    <w:p w14:paraId="4EF6BE42" w14:textId="77777777" w:rsidR="008509D0" w:rsidRPr="005942AD" w:rsidRDefault="008509D0" w:rsidP="008509D0">
      <w:pPr>
        <w:pStyle w:val="FootnoteText"/>
        <w:rPr>
          <w:rFonts w:ascii="Arial" w:hAnsi="Arial" w:cs="Arial"/>
          <w:sz w:val="20"/>
          <w:lang w:val="en-US"/>
        </w:rPr>
      </w:pPr>
      <w:r w:rsidRPr="005942AD">
        <w:rPr>
          <w:rStyle w:val="FootnoteReference"/>
          <w:rFonts w:ascii="Arial" w:hAnsi="Arial" w:cs="Arial"/>
          <w:sz w:val="20"/>
        </w:rPr>
        <w:footnoteRef/>
      </w:r>
      <w:r w:rsidRPr="005942AD">
        <w:rPr>
          <w:rFonts w:ascii="Arial" w:hAnsi="Arial" w:cs="Arial"/>
          <w:sz w:val="20"/>
        </w:rPr>
        <w:t xml:space="preserve"> 2</w:t>
      </w:r>
      <w:r w:rsidRPr="005942AD">
        <w:rPr>
          <w:rFonts w:ascii="Arial" w:hAnsi="Arial" w:cs="Arial"/>
          <w:sz w:val="20"/>
          <w:lang w:val="en-US"/>
        </w:rPr>
        <w:t>009 (6) BCLR 527 (CC)</w:t>
      </w:r>
    </w:p>
  </w:footnote>
  <w:footnote w:id="3">
    <w:p w14:paraId="06471D21" w14:textId="77777777" w:rsidR="00634276" w:rsidRPr="00634276" w:rsidRDefault="00634276" w:rsidP="00634276">
      <w:pPr>
        <w:pStyle w:val="BowLevel1ListAlt"/>
        <w:numPr>
          <w:ilvl w:val="0"/>
          <w:numId w:val="0"/>
        </w:numPr>
        <w:ind w:left="567" w:hanging="567"/>
        <w:rPr>
          <w:rFonts w:ascii="Arial" w:hAnsi="Arial" w:cs="Arial"/>
          <w:sz w:val="20"/>
          <w:szCs w:val="20"/>
          <w:lang w:val="en-US"/>
        </w:rPr>
      </w:pPr>
      <w:r w:rsidRPr="00634276">
        <w:rPr>
          <w:rStyle w:val="FootnoteReference"/>
          <w:rFonts w:ascii="Arial" w:hAnsi="Arial" w:cs="Arial"/>
          <w:sz w:val="20"/>
        </w:rPr>
        <w:footnoteRef/>
      </w:r>
      <w:r w:rsidRPr="00634276">
        <w:rPr>
          <w:rFonts w:ascii="Arial" w:hAnsi="Arial" w:cs="Arial"/>
          <w:sz w:val="20"/>
          <w:szCs w:val="20"/>
        </w:rPr>
        <w:t xml:space="preserve"> </w:t>
      </w:r>
      <w:r w:rsidRPr="00634276">
        <w:rPr>
          <w:rFonts w:ascii="Arial" w:hAnsi="Arial" w:cs="Arial"/>
          <w:sz w:val="20"/>
          <w:szCs w:val="20"/>
          <w:lang w:val="en-US"/>
        </w:rPr>
        <w:t>2007 (3) SA 266 (SCA)</w:t>
      </w:r>
    </w:p>
    <w:p w14:paraId="717BE22A" w14:textId="713532E2" w:rsidR="00634276" w:rsidRPr="00634276" w:rsidRDefault="00634276">
      <w:pPr>
        <w:pStyle w:val="FootnoteText"/>
        <w:rPr>
          <w:lang w:val="en-US"/>
        </w:rPr>
      </w:pPr>
    </w:p>
  </w:footnote>
  <w:footnote w:id="4">
    <w:p w14:paraId="646BC7D6" w14:textId="5F77E5F4" w:rsidR="00F649FD" w:rsidRPr="00F649FD" w:rsidRDefault="00F649FD">
      <w:pPr>
        <w:pStyle w:val="FootnoteText"/>
        <w:rPr>
          <w:rFonts w:ascii="Arial" w:hAnsi="Arial" w:cs="Arial"/>
          <w:sz w:val="20"/>
          <w:lang w:val="en-US"/>
        </w:rPr>
      </w:pPr>
      <w:r w:rsidRPr="00F649FD">
        <w:rPr>
          <w:rStyle w:val="FootnoteReference"/>
          <w:rFonts w:ascii="Arial" w:hAnsi="Arial" w:cs="Arial"/>
          <w:sz w:val="20"/>
        </w:rPr>
        <w:footnoteRef/>
      </w:r>
      <w:r w:rsidRPr="00F649FD">
        <w:rPr>
          <w:rFonts w:ascii="Arial" w:hAnsi="Arial" w:cs="Arial"/>
          <w:sz w:val="20"/>
        </w:rPr>
        <w:t xml:space="preserve"> [</w:t>
      </w:r>
      <w:r w:rsidRPr="00F649FD">
        <w:rPr>
          <w:rFonts w:ascii="Arial" w:eastAsiaTheme="minorEastAsia" w:hAnsi="Arial" w:cs="Arial"/>
          <w:iCs/>
          <w:sz w:val="20"/>
          <w:lang w:val="en-US"/>
        </w:rPr>
        <w:t>2005] UKHL 43 para</w:t>
      </w:r>
      <w:r>
        <w:rPr>
          <w:rFonts w:ascii="Arial" w:eastAsiaTheme="minorEastAsia" w:hAnsi="Arial" w:cs="Arial"/>
          <w:iCs/>
          <w:sz w:val="20"/>
          <w:lang w:val="en-US"/>
        </w:rPr>
        <w:t>graph</w:t>
      </w:r>
      <w:r w:rsidRPr="00F649FD">
        <w:rPr>
          <w:rFonts w:ascii="Arial" w:eastAsiaTheme="minorEastAsia" w:hAnsi="Arial" w:cs="Arial"/>
          <w:iCs/>
          <w:sz w:val="20"/>
          <w:lang w:val="en-US"/>
        </w:rPr>
        <w:t xml:space="preserve"> 24</w:t>
      </w:r>
    </w:p>
  </w:footnote>
  <w:footnote w:id="5">
    <w:p w14:paraId="6240238D" w14:textId="3010E923" w:rsidR="004F75EE" w:rsidRPr="00486DC7" w:rsidRDefault="004F75EE" w:rsidP="004F75EE">
      <w:pPr>
        <w:pStyle w:val="FootnoteText"/>
        <w:rPr>
          <w:rFonts w:ascii="Arial" w:eastAsiaTheme="minorEastAsia" w:hAnsi="Arial" w:cs="Arial"/>
          <w:sz w:val="20"/>
        </w:rPr>
      </w:pPr>
      <w:r w:rsidRPr="00486DC7">
        <w:rPr>
          <w:rStyle w:val="FootnoteReference"/>
          <w:rFonts w:ascii="Arial" w:eastAsiaTheme="minorEastAsia" w:hAnsi="Arial" w:cs="Arial"/>
          <w:sz w:val="20"/>
        </w:rPr>
        <w:footnoteRef/>
      </w:r>
      <w:r w:rsidRPr="00486DC7">
        <w:rPr>
          <w:rFonts w:ascii="Arial" w:eastAsiaTheme="minorEastAsia" w:hAnsi="Arial" w:cs="Arial"/>
          <w:iCs/>
          <w:sz w:val="20"/>
        </w:rPr>
        <w:t xml:space="preserve"> </w:t>
      </w:r>
      <w:r w:rsidR="00E47841">
        <w:rPr>
          <w:rFonts w:ascii="Arial" w:eastAsiaTheme="minorEastAsia" w:hAnsi="Arial" w:cs="Arial"/>
          <w:iCs/>
          <w:sz w:val="20"/>
        </w:rPr>
        <w:t>[footnote included as in the extract cited] “</w:t>
      </w:r>
      <w:r w:rsidRPr="00486DC7">
        <w:rPr>
          <w:rFonts w:ascii="Arial" w:eastAsiaTheme="minorEastAsia" w:hAnsi="Arial" w:cs="Arial"/>
          <w:i/>
          <w:iCs/>
          <w:sz w:val="20"/>
          <w:lang w:val="en-US"/>
        </w:rPr>
        <w:t xml:space="preserve">Lesotho Highlands Development Authority v Impregilo SpA </w:t>
      </w:r>
      <w:r w:rsidRPr="00486DC7">
        <w:rPr>
          <w:rFonts w:ascii="Arial" w:eastAsiaTheme="minorEastAsia" w:hAnsi="Arial" w:cs="Arial"/>
          <w:iCs/>
          <w:sz w:val="20"/>
          <w:lang w:val="en-US"/>
        </w:rPr>
        <w:t>[2005] UKHL 43 para 24</w:t>
      </w:r>
      <w:r w:rsidRPr="00E47841">
        <w:rPr>
          <w:rFonts w:ascii="Arial" w:eastAsiaTheme="minorEastAsia" w:hAnsi="Arial" w:cs="Arial"/>
          <w:iCs/>
          <w:sz w:val="20"/>
          <w:lang w:val="en-US"/>
        </w:rPr>
        <w:t xml:space="preserve">. Emphasis added. Cf </w:t>
      </w:r>
      <w:r w:rsidRPr="00E47841">
        <w:rPr>
          <w:rFonts w:ascii="Arial" w:eastAsiaTheme="minorEastAsia" w:hAnsi="Arial" w:cs="Arial"/>
          <w:i/>
          <w:iCs/>
          <w:sz w:val="20"/>
        </w:rPr>
        <w:t>Bull HN Information Systems Inc v Hutson</w:t>
      </w:r>
      <w:r w:rsidRPr="00E47841">
        <w:rPr>
          <w:rFonts w:ascii="Arial" w:eastAsiaTheme="minorEastAsia" w:hAnsi="Arial" w:cs="Arial"/>
          <w:iCs/>
          <w:sz w:val="20"/>
        </w:rPr>
        <w:t xml:space="preserve"> 229 F 3d (1</w:t>
      </w:r>
      <w:r w:rsidRPr="00E47841">
        <w:rPr>
          <w:rFonts w:ascii="Arial" w:eastAsiaTheme="minorEastAsia" w:hAnsi="Arial" w:cs="Arial"/>
          <w:iCs/>
          <w:position w:val="8"/>
          <w:sz w:val="20"/>
        </w:rPr>
        <w:t>st</w:t>
      </w:r>
      <w:r w:rsidRPr="00E47841">
        <w:rPr>
          <w:rFonts w:ascii="Arial" w:eastAsiaTheme="minorEastAsia" w:hAnsi="Arial" w:cs="Arial"/>
          <w:iCs/>
          <w:sz w:val="20"/>
        </w:rPr>
        <w:t xml:space="preserve"> Cir 2000) 321 at 330: ‘To determine whether an arbitrator has exceeded his authority . . . courts “do not sit to hear claims of factual or legal error . . .”  . . . and “[e]ven where such error is painfully clear, courts are not authorized to reconsider the merits of arbitration awards” . . .’</w:t>
      </w:r>
      <w:r w:rsidR="00E47841">
        <w:rPr>
          <w:rFonts w:ascii="Arial" w:eastAsiaTheme="minorEastAsia" w:hAnsi="Arial" w:cs="Arial"/>
          <w:iCs/>
          <w:sz w:val="20"/>
        </w:rPr>
        <w:t>”</w:t>
      </w:r>
    </w:p>
  </w:footnote>
  <w:footnote w:id="6">
    <w:p w14:paraId="76D25E67" w14:textId="77777777" w:rsidR="00A75401" w:rsidRPr="00E47841" w:rsidRDefault="00A75401" w:rsidP="00A75401">
      <w:pPr>
        <w:pStyle w:val="Heading2"/>
        <w:shd w:val="clear" w:color="auto" w:fill="FFFFFF"/>
        <w:spacing w:before="240" w:after="180" w:line="288" w:lineRule="atLeast"/>
        <w:rPr>
          <w:rFonts w:ascii="Arial" w:eastAsia="Times New Roman" w:hAnsi="Arial" w:cs="Arial"/>
          <w:b w:val="0"/>
          <w:bCs w:val="0"/>
          <w:color w:val="auto"/>
          <w:sz w:val="20"/>
          <w:szCs w:val="20"/>
          <w:lang w:eastAsia="en-ZA"/>
        </w:rPr>
      </w:pPr>
      <w:r w:rsidRPr="00E47841">
        <w:rPr>
          <w:rStyle w:val="FootnoteReference"/>
          <w:rFonts w:ascii="Arial" w:hAnsi="Arial" w:cs="Arial"/>
          <w:color w:val="auto"/>
          <w:sz w:val="20"/>
        </w:rPr>
        <w:footnoteRef/>
      </w:r>
      <w:r w:rsidRPr="00E47841">
        <w:rPr>
          <w:rFonts w:ascii="Arial" w:hAnsi="Arial" w:cs="Arial"/>
          <w:color w:val="auto"/>
          <w:sz w:val="20"/>
          <w:szCs w:val="20"/>
        </w:rPr>
        <w:t xml:space="preserve"> </w:t>
      </w:r>
      <w:r w:rsidRPr="00E47841">
        <w:rPr>
          <w:rFonts w:ascii="Arial" w:eastAsia="Times New Roman" w:hAnsi="Arial" w:cs="Arial"/>
          <w:b w:val="0"/>
          <w:bCs w:val="0"/>
          <w:color w:val="auto"/>
          <w:sz w:val="20"/>
          <w:szCs w:val="20"/>
          <w:lang w:eastAsia="en-ZA"/>
        </w:rPr>
        <w:t>2018 (5) SA 462 (SCA)</w:t>
      </w:r>
    </w:p>
    <w:p w14:paraId="457BB4E7" w14:textId="7F7C9C10" w:rsidR="00A75401" w:rsidRPr="00A75401" w:rsidRDefault="00A75401">
      <w:pPr>
        <w:pStyle w:val="FootnoteText"/>
        <w:rPr>
          <w:lang w:val="en-US"/>
        </w:rPr>
      </w:pPr>
    </w:p>
  </w:footnote>
  <w:footnote w:id="7">
    <w:p w14:paraId="424A7C56" w14:textId="5A7A1B25" w:rsidR="00B46660" w:rsidRPr="00B46660" w:rsidRDefault="00B46660">
      <w:pPr>
        <w:pStyle w:val="FootnoteText"/>
        <w:rPr>
          <w:rFonts w:ascii="Arial" w:hAnsi="Arial" w:cs="Arial"/>
          <w:sz w:val="20"/>
          <w:lang w:val="en-US"/>
        </w:rPr>
      </w:pPr>
      <w:r w:rsidRPr="00B46660">
        <w:rPr>
          <w:rStyle w:val="FootnoteReference"/>
          <w:rFonts w:ascii="Arial" w:hAnsi="Arial" w:cs="Arial"/>
          <w:sz w:val="20"/>
        </w:rPr>
        <w:footnoteRef/>
      </w:r>
      <w:r w:rsidRPr="00B46660">
        <w:rPr>
          <w:rFonts w:ascii="Arial" w:hAnsi="Arial" w:cs="Arial"/>
          <w:sz w:val="20"/>
        </w:rPr>
        <w:t xml:space="preserve"> </w:t>
      </w:r>
      <w:r w:rsidRPr="00B46660">
        <w:rPr>
          <w:rFonts w:ascii="Arial" w:hAnsi="Arial" w:cs="Arial"/>
          <w:sz w:val="20"/>
          <w:lang w:val="en-US"/>
        </w:rPr>
        <w:t xml:space="preserve">as contemplated in </w:t>
      </w:r>
      <w:r w:rsidRPr="00B46660">
        <w:rPr>
          <w:rFonts w:ascii="Arial" w:hAnsi="Arial" w:cs="Arial"/>
          <w:i/>
          <w:iCs/>
          <w:sz w:val="20"/>
          <w:lang w:val="en-US"/>
        </w:rPr>
        <w:t>Goldfields Investments Limited v City Council of Johannesburg</w:t>
      </w:r>
      <w:r w:rsidRPr="00B46660">
        <w:rPr>
          <w:rFonts w:ascii="Arial" w:hAnsi="Arial" w:cs="Arial"/>
          <w:sz w:val="20"/>
          <w:lang w:val="en-US"/>
        </w:rPr>
        <w:t xml:space="preserve"> 1938 TPD 551, referred to in </w:t>
      </w:r>
      <w:r w:rsidRPr="00B46660">
        <w:rPr>
          <w:rFonts w:ascii="Arial" w:hAnsi="Arial" w:cs="Arial"/>
          <w:i/>
          <w:iCs/>
          <w:sz w:val="20"/>
          <w:lang w:val="en-US"/>
        </w:rPr>
        <w:t>Telcordia</w:t>
      </w:r>
      <w:r w:rsidRPr="00B46660">
        <w:rPr>
          <w:rFonts w:ascii="Arial" w:hAnsi="Arial" w:cs="Arial"/>
          <w:sz w:val="20"/>
          <w:lang w:val="en-US"/>
        </w:rPr>
        <w:t xml:space="preserve"> at paragraph [73]</w:t>
      </w:r>
    </w:p>
  </w:footnote>
  <w:footnote w:id="8">
    <w:p w14:paraId="425FBBE3" w14:textId="2C557D6A" w:rsidR="00294307" w:rsidRPr="00E91434" w:rsidRDefault="00294307">
      <w:pPr>
        <w:pStyle w:val="FootnoteText"/>
        <w:rPr>
          <w:rFonts w:ascii="Arial" w:hAnsi="Arial" w:cs="Arial"/>
          <w:sz w:val="20"/>
          <w:lang w:val="en-US"/>
        </w:rPr>
      </w:pPr>
      <w:r w:rsidRPr="00E91434">
        <w:rPr>
          <w:rStyle w:val="FootnoteReference"/>
          <w:rFonts w:ascii="Arial" w:hAnsi="Arial" w:cs="Arial"/>
          <w:sz w:val="20"/>
        </w:rPr>
        <w:footnoteRef/>
      </w:r>
      <w:r w:rsidRPr="00E91434">
        <w:rPr>
          <w:rFonts w:ascii="Arial" w:hAnsi="Arial" w:cs="Arial"/>
          <w:sz w:val="20"/>
        </w:rPr>
        <w:t xml:space="preserve"> </w:t>
      </w:r>
      <w:r w:rsidRPr="00E91434">
        <w:rPr>
          <w:rFonts w:ascii="Arial" w:hAnsi="Arial" w:cs="Arial"/>
          <w:sz w:val="20"/>
          <w:lang w:val="en-US"/>
        </w:rPr>
        <w:t xml:space="preserve">2008 (2) SA </w:t>
      </w:r>
      <w:r w:rsidR="00E91434" w:rsidRPr="00E91434">
        <w:rPr>
          <w:rFonts w:ascii="Arial" w:hAnsi="Arial" w:cs="Arial"/>
          <w:sz w:val="20"/>
          <w:lang w:val="en-US"/>
        </w:rPr>
        <w:t>608 (SCA)</w:t>
      </w:r>
    </w:p>
  </w:footnote>
  <w:footnote w:id="9">
    <w:p w14:paraId="1C284C99" w14:textId="0AEE39B8" w:rsidR="00A84390" w:rsidRPr="00552C64" w:rsidRDefault="00A84390">
      <w:pPr>
        <w:pStyle w:val="FootnoteText"/>
        <w:rPr>
          <w:rFonts w:ascii="Arial" w:hAnsi="Arial" w:cs="Arial"/>
          <w:sz w:val="20"/>
          <w:lang w:val="en-US"/>
        </w:rPr>
      </w:pPr>
      <w:r w:rsidRPr="00552C64">
        <w:rPr>
          <w:rStyle w:val="FootnoteReference"/>
          <w:rFonts w:ascii="Arial" w:hAnsi="Arial" w:cs="Arial"/>
          <w:sz w:val="20"/>
        </w:rPr>
        <w:footnoteRef/>
      </w:r>
      <w:r w:rsidRPr="00552C64">
        <w:rPr>
          <w:rFonts w:ascii="Arial" w:hAnsi="Arial" w:cs="Arial"/>
          <w:sz w:val="20"/>
        </w:rPr>
        <w:t xml:space="preserve"> </w:t>
      </w:r>
      <w:r w:rsidR="00C93986" w:rsidRPr="00552C64">
        <w:rPr>
          <w:rFonts w:ascii="Arial" w:hAnsi="Arial" w:cs="Arial"/>
          <w:sz w:val="20"/>
        </w:rPr>
        <w:t>2002 (4) SA 661 (SCA)</w:t>
      </w:r>
      <w:r w:rsidR="006C3E0E">
        <w:rPr>
          <w:rFonts w:ascii="Arial" w:hAnsi="Arial" w:cs="Arial"/>
          <w:sz w:val="20"/>
        </w:rPr>
        <w:t xml:space="preserve"> at paragraph [21]</w:t>
      </w:r>
    </w:p>
  </w:footnote>
  <w:footnote w:id="10">
    <w:p w14:paraId="2819412D" w14:textId="6E770650" w:rsidR="00077DBB" w:rsidRPr="00077DBB" w:rsidRDefault="00077DBB">
      <w:pPr>
        <w:pStyle w:val="FootnoteText"/>
        <w:rPr>
          <w:rFonts w:ascii="Arial" w:hAnsi="Arial" w:cs="Arial"/>
          <w:sz w:val="20"/>
          <w:lang w:val="en-US"/>
        </w:rPr>
      </w:pPr>
      <w:r w:rsidRPr="00077DBB">
        <w:rPr>
          <w:rStyle w:val="FootnoteReference"/>
          <w:rFonts w:ascii="Arial" w:hAnsi="Arial" w:cs="Arial"/>
          <w:sz w:val="20"/>
        </w:rPr>
        <w:footnoteRef/>
      </w:r>
      <w:r w:rsidRPr="00077DBB">
        <w:rPr>
          <w:rFonts w:ascii="Arial" w:hAnsi="Arial" w:cs="Arial"/>
          <w:sz w:val="20"/>
        </w:rPr>
        <w:t xml:space="preserve"> </w:t>
      </w:r>
      <w:r w:rsidRPr="00077DBB">
        <w:rPr>
          <w:rFonts w:ascii="Arial" w:hAnsi="Arial" w:cs="Arial"/>
          <w:sz w:val="20"/>
          <w:lang w:val="en-US"/>
        </w:rPr>
        <w:t>2011 (5) SA 506 (KZD)</w:t>
      </w:r>
    </w:p>
  </w:footnote>
  <w:footnote w:id="11">
    <w:p w14:paraId="3D2D632C" w14:textId="18E988AF" w:rsidR="00B906A3" w:rsidRPr="00B906A3" w:rsidRDefault="00B906A3">
      <w:pPr>
        <w:pStyle w:val="FootnoteText"/>
        <w:rPr>
          <w:rFonts w:ascii="Arial" w:hAnsi="Arial" w:cs="Arial"/>
          <w:sz w:val="20"/>
          <w:lang w:val="en-US"/>
        </w:rPr>
      </w:pPr>
      <w:r w:rsidRPr="00B906A3">
        <w:rPr>
          <w:rStyle w:val="FootnoteReference"/>
          <w:rFonts w:ascii="Arial" w:hAnsi="Arial" w:cs="Arial"/>
          <w:sz w:val="20"/>
        </w:rPr>
        <w:footnoteRef/>
      </w:r>
      <w:r w:rsidRPr="00B906A3">
        <w:rPr>
          <w:rFonts w:ascii="Arial" w:hAnsi="Arial" w:cs="Arial"/>
          <w:sz w:val="20"/>
        </w:rPr>
        <w:t xml:space="preserve"> </w:t>
      </w:r>
      <w:r w:rsidRPr="00B906A3">
        <w:rPr>
          <w:rFonts w:ascii="Arial" w:hAnsi="Arial" w:cs="Arial"/>
          <w:i/>
          <w:iCs/>
          <w:sz w:val="20"/>
          <w:lang w:val="en-US"/>
        </w:rPr>
        <w:t>supra</w:t>
      </w:r>
    </w:p>
  </w:footnote>
  <w:footnote w:id="12">
    <w:p w14:paraId="221D3263" w14:textId="55489408" w:rsidR="006F2BB8" w:rsidRPr="00CB3446" w:rsidRDefault="006F2BB8">
      <w:pPr>
        <w:pStyle w:val="FootnoteText"/>
        <w:rPr>
          <w:rFonts w:ascii="Arial" w:hAnsi="Arial" w:cs="Arial"/>
          <w:sz w:val="20"/>
          <w:lang w:val="en-US"/>
        </w:rPr>
      </w:pPr>
      <w:r w:rsidRPr="00CB3446">
        <w:rPr>
          <w:rStyle w:val="FootnoteReference"/>
          <w:rFonts w:ascii="Arial" w:hAnsi="Arial" w:cs="Arial"/>
          <w:sz w:val="20"/>
        </w:rPr>
        <w:footnoteRef/>
      </w:r>
      <w:r w:rsidRPr="00CB3446">
        <w:rPr>
          <w:rFonts w:ascii="Arial" w:hAnsi="Arial" w:cs="Arial"/>
          <w:sz w:val="20"/>
        </w:rPr>
        <w:t xml:space="preserve"> </w:t>
      </w:r>
      <w:r w:rsidR="00CB3446" w:rsidRPr="00CB3446">
        <w:rPr>
          <w:rFonts w:ascii="Arial" w:hAnsi="Arial" w:cs="Arial"/>
          <w:sz w:val="20"/>
          <w:lang w:val="en-US"/>
        </w:rPr>
        <w:t>[2018] ZA GPPHC 679</w:t>
      </w:r>
      <w:r w:rsidR="00C310F1">
        <w:rPr>
          <w:rFonts w:ascii="Arial" w:hAnsi="Arial" w:cs="Arial"/>
          <w:sz w:val="20"/>
          <w:lang w:val="en-US"/>
        </w:rPr>
        <w:t>, see paragraphs [19] and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9BD5" w14:textId="77777777" w:rsidR="00A85D6B" w:rsidRDefault="00A85D6B"/>
  <w:p w14:paraId="6CB339AE" w14:textId="77777777" w:rsidR="000B7F03" w:rsidRDefault="000B7F03"/>
  <w:p w14:paraId="32B8B95B" w14:textId="77777777" w:rsidR="00F40686" w:rsidRDefault="00F406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C5D2" w14:textId="77777777" w:rsidR="007373FB" w:rsidRDefault="007373FB">
    <w:pPr>
      <w:pStyle w:val="Header"/>
    </w:pPr>
  </w:p>
  <w:p w14:paraId="1D5BD0D9" w14:textId="77777777" w:rsidR="00F40686" w:rsidRDefault="00F406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EFDD" w14:textId="77777777" w:rsidR="00384E22" w:rsidRDefault="00384E22" w:rsidP="00384E22">
    <w:pPr>
      <w:pStyle w:val="Header"/>
      <w:jc w:val="left"/>
    </w:pPr>
  </w:p>
  <w:p w14:paraId="3595D0BF" w14:textId="77777777" w:rsidR="00F40686" w:rsidRDefault="00F406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44234D"/>
    <w:multiLevelType w:val="hybridMultilevel"/>
    <w:tmpl w:val="3A52B2D6"/>
    <w:lvl w:ilvl="0" w:tplc="D182EE7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10C1C9A"/>
    <w:multiLevelType w:val="hybridMultilevel"/>
    <w:tmpl w:val="5C6619C4"/>
    <w:lvl w:ilvl="0" w:tplc="F022F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1" w15:restartNumberingAfterBreak="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322344F"/>
    <w:multiLevelType w:val="multilevel"/>
    <w:tmpl w:val="69F2DFA0"/>
    <w:lvl w:ilvl="0">
      <w:start w:val="1"/>
      <w:numFmt w:val="decimal"/>
      <w:pStyle w:val="BowLevel1ListAlt"/>
      <w:lvlText w:val="%1."/>
      <w:lvlJc w:val="left"/>
      <w:pPr>
        <w:tabs>
          <w:tab w:val="num" w:pos="7938"/>
        </w:tabs>
        <w:ind w:left="7938"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1D13BD"/>
    <w:multiLevelType w:val="multilevel"/>
    <w:tmpl w:val="92E84EDC"/>
    <w:lvl w:ilvl="0">
      <w:start w:val="1"/>
      <w:numFmt w:val="decimal"/>
      <w:pStyle w:val="JUGMENTNUMBERED"/>
      <w:lvlText w:val="[%1]"/>
      <w:lvlJc w:val="left"/>
      <w:pPr>
        <w:tabs>
          <w:tab w:val="num" w:pos="680"/>
        </w:tabs>
        <w:ind w:left="0" w:firstLine="0"/>
      </w:pPr>
      <w:rPr>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2" w15:restartNumberingAfterBreak="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3" w15:restartNumberingAfterBreak="0">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9" w15:restartNumberingAfterBreak="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50" w15:restartNumberingAfterBreak="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8"/>
  </w:num>
  <w:num w:numId="2">
    <w:abstractNumId w:val="12"/>
  </w:num>
  <w:num w:numId="3">
    <w:abstractNumId w:val="5"/>
  </w:num>
  <w:num w:numId="4">
    <w:abstractNumId w:val="23"/>
  </w:num>
  <w:num w:numId="5">
    <w:abstractNumId w:val="2"/>
  </w:num>
  <w:num w:numId="6">
    <w:abstractNumId w:val="1"/>
  </w:num>
  <w:num w:numId="7">
    <w:abstractNumId w:val="20"/>
  </w:num>
  <w:num w:numId="8">
    <w:abstractNumId w:val="14"/>
  </w:num>
  <w:num w:numId="9">
    <w:abstractNumId w:val="34"/>
  </w:num>
  <w:num w:numId="10">
    <w:abstractNumId w:val="33"/>
  </w:num>
  <w:num w:numId="11">
    <w:abstractNumId w:val="45"/>
  </w:num>
  <w:num w:numId="12">
    <w:abstractNumId w:val="47"/>
  </w:num>
  <w:num w:numId="13">
    <w:abstractNumId w:val="3"/>
  </w:num>
  <w:num w:numId="14">
    <w:abstractNumId w:val="24"/>
  </w:num>
  <w:num w:numId="15">
    <w:abstractNumId w:val="16"/>
  </w:num>
  <w:num w:numId="16">
    <w:abstractNumId w:val="6"/>
  </w:num>
  <w:num w:numId="17">
    <w:abstractNumId w:val="4"/>
  </w:num>
  <w:num w:numId="18">
    <w:abstractNumId w:val="25"/>
  </w:num>
  <w:num w:numId="19">
    <w:abstractNumId w:val="43"/>
  </w:num>
  <w:num w:numId="20">
    <w:abstractNumId w:val="26"/>
  </w:num>
  <w:num w:numId="21">
    <w:abstractNumId w:val="31"/>
  </w:num>
  <w:num w:numId="22">
    <w:abstractNumId w:val="35"/>
  </w:num>
  <w:num w:numId="23">
    <w:abstractNumId w:val="22"/>
  </w:num>
  <w:num w:numId="24">
    <w:abstractNumId w:val="10"/>
  </w:num>
  <w:num w:numId="25">
    <w:abstractNumId w:val="36"/>
  </w:num>
  <w:num w:numId="26">
    <w:abstractNumId w:val="44"/>
  </w:num>
  <w:num w:numId="27">
    <w:abstractNumId w:val="51"/>
  </w:num>
  <w:num w:numId="28">
    <w:abstractNumId w:val="7"/>
  </w:num>
  <w:num w:numId="29">
    <w:abstractNumId w:val="21"/>
  </w:num>
  <w:num w:numId="30">
    <w:abstractNumId w:val="27"/>
  </w:num>
  <w:num w:numId="31">
    <w:abstractNumId w:val="37"/>
  </w:num>
  <w:num w:numId="32">
    <w:abstractNumId w:val="11"/>
  </w:num>
  <w:num w:numId="33">
    <w:abstractNumId w:val="38"/>
  </w:num>
  <w:num w:numId="34">
    <w:abstractNumId w:val="46"/>
  </w:num>
  <w:num w:numId="35">
    <w:abstractNumId w:val="32"/>
  </w:num>
  <w:num w:numId="36">
    <w:abstractNumId w:val="19"/>
  </w:num>
  <w:num w:numId="37">
    <w:abstractNumId w:val="40"/>
  </w:num>
  <w:num w:numId="38">
    <w:abstractNumId w:val="50"/>
  </w:num>
  <w:num w:numId="39">
    <w:abstractNumId w:val="39"/>
  </w:num>
  <w:num w:numId="40">
    <w:abstractNumId w:val="28"/>
  </w:num>
  <w:num w:numId="41">
    <w:abstractNumId w:val="42"/>
  </w:num>
  <w:num w:numId="42">
    <w:abstractNumId w:val="13"/>
  </w:num>
  <w:num w:numId="43">
    <w:abstractNumId w:val="17"/>
  </w:num>
  <w:num w:numId="44">
    <w:abstractNumId w:val="15"/>
  </w:num>
  <w:num w:numId="45">
    <w:abstractNumId w:val="49"/>
  </w:num>
  <w:num w:numId="46">
    <w:abstractNumId w:val="0"/>
  </w:num>
  <w:num w:numId="47">
    <w:abstractNumId w:val="29"/>
  </w:num>
  <w:num w:numId="48">
    <w:abstractNumId w:val="41"/>
  </w:num>
  <w:num w:numId="49">
    <w:abstractNumId w:val="18"/>
  </w:num>
  <w:num w:numId="50">
    <w:abstractNumId w:val="9"/>
  </w:num>
  <w:num w:numId="51">
    <w:abstractNumId w:val="29"/>
    <w:lvlOverride w:ilvl="0">
      <w:startOverride w:val="1"/>
    </w:lvlOverride>
  </w:num>
  <w:num w:numId="52">
    <w:abstractNumId w:val="29"/>
  </w:num>
  <w:num w:numId="53">
    <w:abstractNumId w:val="8"/>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B71F31"/>
    <w:rsid w:val="00006901"/>
    <w:rsid w:val="00014825"/>
    <w:rsid w:val="000164AB"/>
    <w:rsid w:val="0002034F"/>
    <w:rsid w:val="00022554"/>
    <w:rsid w:val="000260A7"/>
    <w:rsid w:val="00027E64"/>
    <w:rsid w:val="00031614"/>
    <w:rsid w:val="00034762"/>
    <w:rsid w:val="00036A75"/>
    <w:rsid w:val="00042C36"/>
    <w:rsid w:val="00045314"/>
    <w:rsid w:val="00045D47"/>
    <w:rsid w:val="00053A87"/>
    <w:rsid w:val="0005786C"/>
    <w:rsid w:val="00063199"/>
    <w:rsid w:val="0007023D"/>
    <w:rsid w:val="000732EF"/>
    <w:rsid w:val="000733C8"/>
    <w:rsid w:val="00077DBB"/>
    <w:rsid w:val="00082266"/>
    <w:rsid w:val="00086445"/>
    <w:rsid w:val="0009296D"/>
    <w:rsid w:val="00093535"/>
    <w:rsid w:val="00093E12"/>
    <w:rsid w:val="00093F2D"/>
    <w:rsid w:val="000960C8"/>
    <w:rsid w:val="00097706"/>
    <w:rsid w:val="000A149E"/>
    <w:rsid w:val="000A1E0C"/>
    <w:rsid w:val="000A2E93"/>
    <w:rsid w:val="000B105E"/>
    <w:rsid w:val="000B113B"/>
    <w:rsid w:val="000B672A"/>
    <w:rsid w:val="000B7F03"/>
    <w:rsid w:val="000C6B96"/>
    <w:rsid w:val="000C7D51"/>
    <w:rsid w:val="000D2B8C"/>
    <w:rsid w:val="000D4460"/>
    <w:rsid w:val="000D4A87"/>
    <w:rsid w:val="000D6BCC"/>
    <w:rsid w:val="000E6988"/>
    <w:rsid w:val="000F1ED4"/>
    <w:rsid w:val="000F2251"/>
    <w:rsid w:val="000F2FD9"/>
    <w:rsid w:val="000F4535"/>
    <w:rsid w:val="000F4812"/>
    <w:rsid w:val="000F5634"/>
    <w:rsid w:val="000F5EC2"/>
    <w:rsid w:val="00101AC1"/>
    <w:rsid w:val="00106EF4"/>
    <w:rsid w:val="0011130F"/>
    <w:rsid w:val="001113A5"/>
    <w:rsid w:val="001136D8"/>
    <w:rsid w:val="00115024"/>
    <w:rsid w:val="00115C15"/>
    <w:rsid w:val="0011777D"/>
    <w:rsid w:val="001177E5"/>
    <w:rsid w:val="001201E5"/>
    <w:rsid w:val="00122DFC"/>
    <w:rsid w:val="00126263"/>
    <w:rsid w:val="0013242A"/>
    <w:rsid w:val="001350D7"/>
    <w:rsid w:val="0013627B"/>
    <w:rsid w:val="001375FB"/>
    <w:rsid w:val="001432BC"/>
    <w:rsid w:val="001472E5"/>
    <w:rsid w:val="00150EDF"/>
    <w:rsid w:val="00152C0C"/>
    <w:rsid w:val="00153CA5"/>
    <w:rsid w:val="00154296"/>
    <w:rsid w:val="00156532"/>
    <w:rsid w:val="00161A8F"/>
    <w:rsid w:val="00172277"/>
    <w:rsid w:val="001722AA"/>
    <w:rsid w:val="0017403A"/>
    <w:rsid w:val="00174D97"/>
    <w:rsid w:val="00176D2E"/>
    <w:rsid w:val="00186BF5"/>
    <w:rsid w:val="00190161"/>
    <w:rsid w:val="00193979"/>
    <w:rsid w:val="00193B2F"/>
    <w:rsid w:val="00196A4B"/>
    <w:rsid w:val="00197E89"/>
    <w:rsid w:val="001A0AF9"/>
    <w:rsid w:val="001A1738"/>
    <w:rsid w:val="001A23C2"/>
    <w:rsid w:val="001A2D31"/>
    <w:rsid w:val="001A3F4B"/>
    <w:rsid w:val="001A4A0F"/>
    <w:rsid w:val="001C062C"/>
    <w:rsid w:val="001C19F9"/>
    <w:rsid w:val="001C247B"/>
    <w:rsid w:val="001D01DF"/>
    <w:rsid w:val="001D04B2"/>
    <w:rsid w:val="001D44F2"/>
    <w:rsid w:val="001D731B"/>
    <w:rsid w:val="001E44FC"/>
    <w:rsid w:val="001E5E83"/>
    <w:rsid w:val="001E6BBF"/>
    <w:rsid w:val="001E79AB"/>
    <w:rsid w:val="001F393B"/>
    <w:rsid w:val="001F760A"/>
    <w:rsid w:val="00200563"/>
    <w:rsid w:val="0020591D"/>
    <w:rsid w:val="002066D6"/>
    <w:rsid w:val="0020774E"/>
    <w:rsid w:val="00215121"/>
    <w:rsid w:val="00215E83"/>
    <w:rsid w:val="00224882"/>
    <w:rsid w:val="00225D00"/>
    <w:rsid w:val="002444C0"/>
    <w:rsid w:val="002540B5"/>
    <w:rsid w:val="0026187E"/>
    <w:rsid w:val="00262A0E"/>
    <w:rsid w:val="002655C2"/>
    <w:rsid w:val="00265D3B"/>
    <w:rsid w:val="00265D95"/>
    <w:rsid w:val="002750B8"/>
    <w:rsid w:val="00277601"/>
    <w:rsid w:val="00280860"/>
    <w:rsid w:val="0028140E"/>
    <w:rsid w:val="002908B8"/>
    <w:rsid w:val="002942C7"/>
    <w:rsid w:val="00294307"/>
    <w:rsid w:val="00296E5E"/>
    <w:rsid w:val="002A0518"/>
    <w:rsid w:val="002A0711"/>
    <w:rsid w:val="002A0A2D"/>
    <w:rsid w:val="002A16C2"/>
    <w:rsid w:val="002A3A35"/>
    <w:rsid w:val="002A480B"/>
    <w:rsid w:val="002B1873"/>
    <w:rsid w:val="002B2553"/>
    <w:rsid w:val="002B27CC"/>
    <w:rsid w:val="002C3D19"/>
    <w:rsid w:val="002C5551"/>
    <w:rsid w:val="002C59D0"/>
    <w:rsid w:val="002C5A38"/>
    <w:rsid w:val="002C6F84"/>
    <w:rsid w:val="002C7005"/>
    <w:rsid w:val="002D018E"/>
    <w:rsid w:val="002D27BE"/>
    <w:rsid w:val="002D2E74"/>
    <w:rsid w:val="002D4510"/>
    <w:rsid w:val="002D6473"/>
    <w:rsid w:val="002D69A2"/>
    <w:rsid w:val="002D7BAD"/>
    <w:rsid w:val="002E63B7"/>
    <w:rsid w:val="002F0B3A"/>
    <w:rsid w:val="002F2705"/>
    <w:rsid w:val="002F72AD"/>
    <w:rsid w:val="00300A2C"/>
    <w:rsid w:val="00303283"/>
    <w:rsid w:val="00303F7B"/>
    <w:rsid w:val="00314EC1"/>
    <w:rsid w:val="00315EE5"/>
    <w:rsid w:val="00320A12"/>
    <w:rsid w:val="00326D25"/>
    <w:rsid w:val="00334C5E"/>
    <w:rsid w:val="00336661"/>
    <w:rsid w:val="00341DF5"/>
    <w:rsid w:val="00344F24"/>
    <w:rsid w:val="00346C6D"/>
    <w:rsid w:val="00352A04"/>
    <w:rsid w:val="003563CC"/>
    <w:rsid w:val="00360A53"/>
    <w:rsid w:val="00361FF0"/>
    <w:rsid w:val="003651A0"/>
    <w:rsid w:val="00370CF7"/>
    <w:rsid w:val="00374C2F"/>
    <w:rsid w:val="00377914"/>
    <w:rsid w:val="00384557"/>
    <w:rsid w:val="00384E22"/>
    <w:rsid w:val="00386219"/>
    <w:rsid w:val="00387B70"/>
    <w:rsid w:val="00391D43"/>
    <w:rsid w:val="003A024F"/>
    <w:rsid w:val="003A356F"/>
    <w:rsid w:val="003A5BF7"/>
    <w:rsid w:val="003B7A41"/>
    <w:rsid w:val="003C33B6"/>
    <w:rsid w:val="003C3503"/>
    <w:rsid w:val="003D0003"/>
    <w:rsid w:val="003D726C"/>
    <w:rsid w:val="003D7779"/>
    <w:rsid w:val="003E1A1A"/>
    <w:rsid w:val="003F57D5"/>
    <w:rsid w:val="00403619"/>
    <w:rsid w:val="00405888"/>
    <w:rsid w:val="004061B0"/>
    <w:rsid w:val="00407115"/>
    <w:rsid w:val="00411531"/>
    <w:rsid w:val="00411709"/>
    <w:rsid w:val="00415698"/>
    <w:rsid w:val="00421AAF"/>
    <w:rsid w:val="00427BFE"/>
    <w:rsid w:val="004336D5"/>
    <w:rsid w:val="004367AC"/>
    <w:rsid w:val="0044084D"/>
    <w:rsid w:val="00441CAB"/>
    <w:rsid w:val="00460C85"/>
    <w:rsid w:val="00467685"/>
    <w:rsid w:val="00467F4C"/>
    <w:rsid w:val="004718D5"/>
    <w:rsid w:val="0047298A"/>
    <w:rsid w:val="00472B3B"/>
    <w:rsid w:val="0047630A"/>
    <w:rsid w:val="00480B8C"/>
    <w:rsid w:val="00480C8C"/>
    <w:rsid w:val="00483901"/>
    <w:rsid w:val="0048515F"/>
    <w:rsid w:val="00486AF8"/>
    <w:rsid w:val="00486DC7"/>
    <w:rsid w:val="00490EBB"/>
    <w:rsid w:val="00494405"/>
    <w:rsid w:val="00497523"/>
    <w:rsid w:val="004A0D0F"/>
    <w:rsid w:val="004A1190"/>
    <w:rsid w:val="004B13CA"/>
    <w:rsid w:val="004B3192"/>
    <w:rsid w:val="004C6B93"/>
    <w:rsid w:val="004D047F"/>
    <w:rsid w:val="004D3867"/>
    <w:rsid w:val="004E3E39"/>
    <w:rsid w:val="004E3FF1"/>
    <w:rsid w:val="004E5F68"/>
    <w:rsid w:val="004F2DC4"/>
    <w:rsid w:val="004F4F69"/>
    <w:rsid w:val="004F75EE"/>
    <w:rsid w:val="005002E7"/>
    <w:rsid w:val="005005F9"/>
    <w:rsid w:val="00504FB0"/>
    <w:rsid w:val="00511C72"/>
    <w:rsid w:val="00515275"/>
    <w:rsid w:val="0051668C"/>
    <w:rsid w:val="00520D28"/>
    <w:rsid w:val="00520DB7"/>
    <w:rsid w:val="00520E4B"/>
    <w:rsid w:val="00521283"/>
    <w:rsid w:val="00521EC3"/>
    <w:rsid w:val="00522A33"/>
    <w:rsid w:val="00522EB2"/>
    <w:rsid w:val="00533F42"/>
    <w:rsid w:val="0053406F"/>
    <w:rsid w:val="00534DC0"/>
    <w:rsid w:val="00536A07"/>
    <w:rsid w:val="005371DC"/>
    <w:rsid w:val="0054192E"/>
    <w:rsid w:val="00542C41"/>
    <w:rsid w:val="0054350D"/>
    <w:rsid w:val="00544BA6"/>
    <w:rsid w:val="00546157"/>
    <w:rsid w:val="00552C64"/>
    <w:rsid w:val="00553250"/>
    <w:rsid w:val="00553AAD"/>
    <w:rsid w:val="0055694E"/>
    <w:rsid w:val="00565BEB"/>
    <w:rsid w:val="00567328"/>
    <w:rsid w:val="00567424"/>
    <w:rsid w:val="00570521"/>
    <w:rsid w:val="00570967"/>
    <w:rsid w:val="00577216"/>
    <w:rsid w:val="00580F35"/>
    <w:rsid w:val="005814CF"/>
    <w:rsid w:val="00582D5D"/>
    <w:rsid w:val="005922FC"/>
    <w:rsid w:val="005942AD"/>
    <w:rsid w:val="005A10E0"/>
    <w:rsid w:val="005A4188"/>
    <w:rsid w:val="005A64DB"/>
    <w:rsid w:val="005B3E39"/>
    <w:rsid w:val="005B6659"/>
    <w:rsid w:val="005B6DA9"/>
    <w:rsid w:val="005C1BDB"/>
    <w:rsid w:val="005C1D1D"/>
    <w:rsid w:val="005C2E18"/>
    <w:rsid w:val="005E0B5E"/>
    <w:rsid w:val="005E1DE4"/>
    <w:rsid w:val="005F392A"/>
    <w:rsid w:val="005F4CDD"/>
    <w:rsid w:val="00600109"/>
    <w:rsid w:val="006107E2"/>
    <w:rsid w:val="006138D7"/>
    <w:rsid w:val="006200A3"/>
    <w:rsid w:val="00623505"/>
    <w:rsid w:val="00623C2D"/>
    <w:rsid w:val="006261EA"/>
    <w:rsid w:val="006319BE"/>
    <w:rsid w:val="006330ED"/>
    <w:rsid w:val="00634276"/>
    <w:rsid w:val="00634CB5"/>
    <w:rsid w:val="006431F0"/>
    <w:rsid w:val="00643C8D"/>
    <w:rsid w:val="00646230"/>
    <w:rsid w:val="00652544"/>
    <w:rsid w:val="006560CB"/>
    <w:rsid w:val="006561BA"/>
    <w:rsid w:val="0066122B"/>
    <w:rsid w:val="00665B0F"/>
    <w:rsid w:val="00666169"/>
    <w:rsid w:val="00667C51"/>
    <w:rsid w:val="006838DA"/>
    <w:rsid w:val="006877CE"/>
    <w:rsid w:val="006927B0"/>
    <w:rsid w:val="006A37D8"/>
    <w:rsid w:val="006A39C0"/>
    <w:rsid w:val="006B0653"/>
    <w:rsid w:val="006B098C"/>
    <w:rsid w:val="006B0DC8"/>
    <w:rsid w:val="006B12A8"/>
    <w:rsid w:val="006B1A23"/>
    <w:rsid w:val="006C15AD"/>
    <w:rsid w:val="006C1F17"/>
    <w:rsid w:val="006C373B"/>
    <w:rsid w:val="006C3E0E"/>
    <w:rsid w:val="006C7406"/>
    <w:rsid w:val="006D34BF"/>
    <w:rsid w:val="006E1D0D"/>
    <w:rsid w:val="006E36B9"/>
    <w:rsid w:val="006E3E56"/>
    <w:rsid w:val="006F1A79"/>
    <w:rsid w:val="006F2414"/>
    <w:rsid w:val="006F2BB8"/>
    <w:rsid w:val="006F5A2F"/>
    <w:rsid w:val="006F6782"/>
    <w:rsid w:val="00701302"/>
    <w:rsid w:val="00701A7C"/>
    <w:rsid w:val="00703B0F"/>
    <w:rsid w:val="00703D20"/>
    <w:rsid w:val="007050E7"/>
    <w:rsid w:val="0071029B"/>
    <w:rsid w:val="007109DD"/>
    <w:rsid w:val="00715C92"/>
    <w:rsid w:val="007160AE"/>
    <w:rsid w:val="00716C67"/>
    <w:rsid w:val="00723372"/>
    <w:rsid w:val="00723FC5"/>
    <w:rsid w:val="007273B3"/>
    <w:rsid w:val="007371C8"/>
    <w:rsid w:val="007373FB"/>
    <w:rsid w:val="0073768D"/>
    <w:rsid w:val="00744766"/>
    <w:rsid w:val="00744A1B"/>
    <w:rsid w:val="00744BFB"/>
    <w:rsid w:val="00745F15"/>
    <w:rsid w:val="00752052"/>
    <w:rsid w:val="0075354B"/>
    <w:rsid w:val="00763FC5"/>
    <w:rsid w:val="007830A6"/>
    <w:rsid w:val="007902E3"/>
    <w:rsid w:val="00792F34"/>
    <w:rsid w:val="007947A5"/>
    <w:rsid w:val="00796F55"/>
    <w:rsid w:val="0079716C"/>
    <w:rsid w:val="007A30FD"/>
    <w:rsid w:val="007A4139"/>
    <w:rsid w:val="007A4674"/>
    <w:rsid w:val="007B0C6A"/>
    <w:rsid w:val="007B1849"/>
    <w:rsid w:val="007B23E4"/>
    <w:rsid w:val="007B387F"/>
    <w:rsid w:val="007B6714"/>
    <w:rsid w:val="007B7108"/>
    <w:rsid w:val="007B7A38"/>
    <w:rsid w:val="007C09AB"/>
    <w:rsid w:val="007C3E0B"/>
    <w:rsid w:val="007C4D93"/>
    <w:rsid w:val="007C5CF9"/>
    <w:rsid w:val="007C6EF5"/>
    <w:rsid w:val="007C7BA5"/>
    <w:rsid w:val="007D3484"/>
    <w:rsid w:val="007D435B"/>
    <w:rsid w:val="007E06BA"/>
    <w:rsid w:val="007E0AFD"/>
    <w:rsid w:val="007E0DF9"/>
    <w:rsid w:val="007E1F14"/>
    <w:rsid w:val="007E2208"/>
    <w:rsid w:val="007E70F3"/>
    <w:rsid w:val="007F10C7"/>
    <w:rsid w:val="007F11D5"/>
    <w:rsid w:val="007F5AFE"/>
    <w:rsid w:val="007F6374"/>
    <w:rsid w:val="00801881"/>
    <w:rsid w:val="00805F1B"/>
    <w:rsid w:val="00807F70"/>
    <w:rsid w:val="00814AF4"/>
    <w:rsid w:val="00817F8A"/>
    <w:rsid w:val="008223B6"/>
    <w:rsid w:val="008245AA"/>
    <w:rsid w:val="00824983"/>
    <w:rsid w:val="00827FFD"/>
    <w:rsid w:val="00831CEE"/>
    <w:rsid w:val="0083205C"/>
    <w:rsid w:val="008325C2"/>
    <w:rsid w:val="008329B2"/>
    <w:rsid w:val="00835F34"/>
    <w:rsid w:val="008400EF"/>
    <w:rsid w:val="00841FC6"/>
    <w:rsid w:val="00842948"/>
    <w:rsid w:val="008509D0"/>
    <w:rsid w:val="0085308A"/>
    <w:rsid w:val="008558BF"/>
    <w:rsid w:val="00855932"/>
    <w:rsid w:val="00856D8C"/>
    <w:rsid w:val="00857E7D"/>
    <w:rsid w:val="008603E3"/>
    <w:rsid w:val="008672AA"/>
    <w:rsid w:val="00876EBC"/>
    <w:rsid w:val="008809FC"/>
    <w:rsid w:val="0088231B"/>
    <w:rsid w:val="0088746B"/>
    <w:rsid w:val="00891A3D"/>
    <w:rsid w:val="00894707"/>
    <w:rsid w:val="008952F6"/>
    <w:rsid w:val="00897911"/>
    <w:rsid w:val="008A0946"/>
    <w:rsid w:val="008A3D4F"/>
    <w:rsid w:val="008A5AE3"/>
    <w:rsid w:val="008A670C"/>
    <w:rsid w:val="008B1A86"/>
    <w:rsid w:val="008B4E78"/>
    <w:rsid w:val="008B75F1"/>
    <w:rsid w:val="008C0ADE"/>
    <w:rsid w:val="008C2C9A"/>
    <w:rsid w:val="008C3DBB"/>
    <w:rsid w:val="008D0023"/>
    <w:rsid w:val="008D34ED"/>
    <w:rsid w:val="008D359F"/>
    <w:rsid w:val="008D3CCA"/>
    <w:rsid w:val="008D519D"/>
    <w:rsid w:val="008D6B01"/>
    <w:rsid w:val="008D7BD0"/>
    <w:rsid w:val="008E0A4F"/>
    <w:rsid w:val="008E0FEF"/>
    <w:rsid w:val="008E2781"/>
    <w:rsid w:val="008E4D2A"/>
    <w:rsid w:val="008E7B9E"/>
    <w:rsid w:val="008F3E8F"/>
    <w:rsid w:val="00906ADB"/>
    <w:rsid w:val="0090717C"/>
    <w:rsid w:val="00910069"/>
    <w:rsid w:val="00910BF1"/>
    <w:rsid w:val="00916108"/>
    <w:rsid w:val="0092197D"/>
    <w:rsid w:val="00922876"/>
    <w:rsid w:val="009262BD"/>
    <w:rsid w:val="00927D8A"/>
    <w:rsid w:val="009302C8"/>
    <w:rsid w:val="0093058E"/>
    <w:rsid w:val="009307BF"/>
    <w:rsid w:val="00933555"/>
    <w:rsid w:val="00941D9D"/>
    <w:rsid w:val="00943BEF"/>
    <w:rsid w:val="00944DAE"/>
    <w:rsid w:val="00947AD1"/>
    <w:rsid w:val="00951D10"/>
    <w:rsid w:val="009520FF"/>
    <w:rsid w:val="00961CB1"/>
    <w:rsid w:val="00966F37"/>
    <w:rsid w:val="009716CD"/>
    <w:rsid w:val="00972559"/>
    <w:rsid w:val="00981AD5"/>
    <w:rsid w:val="00984118"/>
    <w:rsid w:val="00986D1C"/>
    <w:rsid w:val="00987891"/>
    <w:rsid w:val="00987B3A"/>
    <w:rsid w:val="00990533"/>
    <w:rsid w:val="00991B25"/>
    <w:rsid w:val="00997AB9"/>
    <w:rsid w:val="009B4238"/>
    <w:rsid w:val="009B5D6F"/>
    <w:rsid w:val="009C02FA"/>
    <w:rsid w:val="009C2D56"/>
    <w:rsid w:val="009C41D3"/>
    <w:rsid w:val="009C7EBC"/>
    <w:rsid w:val="009D60D7"/>
    <w:rsid w:val="009D7358"/>
    <w:rsid w:val="009D78AA"/>
    <w:rsid w:val="009E6C5E"/>
    <w:rsid w:val="009F011F"/>
    <w:rsid w:val="009F08E1"/>
    <w:rsid w:val="009F2CA2"/>
    <w:rsid w:val="009F4E84"/>
    <w:rsid w:val="009F5EF2"/>
    <w:rsid w:val="009F6BD9"/>
    <w:rsid w:val="009F7BB8"/>
    <w:rsid w:val="00A04BA5"/>
    <w:rsid w:val="00A10D54"/>
    <w:rsid w:val="00A12477"/>
    <w:rsid w:val="00A15ACA"/>
    <w:rsid w:val="00A21931"/>
    <w:rsid w:val="00A24E52"/>
    <w:rsid w:val="00A27D05"/>
    <w:rsid w:val="00A34F47"/>
    <w:rsid w:val="00A41181"/>
    <w:rsid w:val="00A4400D"/>
    <w:rsid w:val="00A500E0"/>
    <w:rsid w:val="00A50491"/>
    <w:rsid w:val="00A52A9E"/>
    <w:rsid w:val="00A63D25"/>
    <w:rsid w:val="00A640F7"/>
    <w:rsid w:val="00A64536"/>
    <w:rsid w:val="00A7257C"/>
    <w:rsid w:val="00A73FBA"/>
    <w:rsid w:val="00A741CF"/>
    <w:rsid w:val="00A75401"/>
    <w:rsid w:val="00A776A4"/>
    <w:rsid w:val="00A83E1F"/>
    <w:rsid w:val="00A84390"/>
    <w:rsid w:val="00A84BDB"/>
    <w:rsid w:val="00A85049"/>
    <w:rsid w:val="00A85D6B"/>
    <w:rsid w:val="00A8764D"/>
    <w:rsid w:val="00A90BBB"/>
    <w:rsid w:val="00AA6A45"/>
    <w:rsid w:val="00AA7FC4"/>
    <w:rsid w:val="00AB3C6F"/>
    <w:rsid w:val="00AC003A"/>
    <w:rsid w:val="00AC1F76"/>
    <w:rsid w:val="00AC304A"/>
    <w:rsid w:val="00AC3A5F"/>
    <w:rsid w:val="00AC47B5"/>
    <w:rsid w:val="00AC6CB2"/>
    <w:rsid w:val="00AD1B2B"/>
    <w:rsid w:val="00AD1DFD"/>
    <w:rsid w:val="00AD5DFE"/>
    <w:rsid w:val="00AD7105"/>
    <w:rsid w:val="00AD79F8"/>
    <w:rsid w:val="00AE6B1E"/>
    <w:rsid w:val="00AF3A62"/>
    <w:rsid w:val="00AF5CA8"/>
    <w:rsid w:val="00B035CB"/>
    <w:rsid w:val="00B10226"/>
    <w:rsid w:val="00B140C8"/>
    <w:rsid w:val="00B17906"/>
    <w:rsid w:val="00B20742"/>
    <w:rsid w:val="00B20E3B"/>
    <w:rsid w:val="00B21294"/>
    <w:rsid w:val="00B2359C"/>
    <w:rsid w:val="00B24C0E"/>
    <w:rsid w:val="00B27924"/>
    <w:rsid w:val="00B36835"/>
    <w:rsid w:val="00B40636"/>
    <w:rsid w:val="00B42C41"/>
    <w:rsid w:val="00B45C6F"/>
    <w:rsid w:val="00B46660"/>
    <w:rsid w:val="00B505D9"/>
    <w:rsid w:val="00B5184B"/>
    <w:rsid w:val="00B52E30"/>
    <w:rsid w:val="00B57FE6"/>
    <w:rsid w:val="00B6196B"/>
    <w:rsid w:val="00B66BA3"/>
    <w:rsid w:val="00B71086"/>
    <w:rsid w:val="00B71F31"/>
    <w:rsid w:val="00B74815"/>
    <w:rsid w:val="00B7556D"/>
    <w:rsid w:val="00B8359A"/>
    <w:rsid w:val="00B85415"/>
    <w:rsid w:val="00B86D33"/>
    <w:rsid w:val="00B8718D"/>
    <w:rsid w:val="00B906A3"/>
    <w:rsid w:val="00B923AF"/>
    <w:rsid w:val="00B93451"/>
    <w:rsid w:val="00B942D9"/>
    <w:rsid w:val="00B94801"/>
    <w:rsid w:val="00B94EE8"/>
    <w:rsid w:val="00B97A9A"/>
    <w:rsid w:val="00BB25E6"/>
    <w:rsid w:val="00BB3145"/>
    <w:rsid w:val="00BB44C1"/>
    <w:rsid w:val="00BB6B5B"/>
    <w:rsid w:val="00BB7B54"/>
    <w:rsid w:val="00BB7C94"/>
    <w:rsid w:val="00BC3698"/>
    <w:rsid w:val="00BC5FE7"/>
    <w:rsid w:val="00BC6A0E"/>
    <w:rsid w:val="00BE318A"/>
    <w:rsid w:val="00BE4F6D"/>
    <w:rsid w:val="00BE5701"/>
    <w:rsid w:val="00BE6FF1"/>
    <w:rsid w:val="00BF2031"/>
    <w:rsid w:val="00BF242D"/>
    <w:rsid w:val="00BF7C21"/>
    <w:rsid w:val="00C01357"/>
    <w:rsid w:val="00C015E2"/>
    <w:rsid w:val="00C03D0E"/>
    <w:rsid w:val="00C11405"/>
    <w:rsid w:val="00C11A3E"/>
    <w:rsid w:val="00C15393"/>
    <w:rsid w:val="00C1768E"/>
    <w:rsid w:val="00C254B8"/>
    <w:rsid w:val="00C2723C"/>
    <w:rsid w:val="00C30512"/>
    <w:rsid w:val="00C310F1"/>
    <w:rsid w:val="00C34CE3"/>
    <w:rsid w:val="00C371BF"/>
    <w:rsid w:val="00C37A55"/>
    <w:rsid w:val="00C40349"/>
    <w:rsid w:val="00C417C7"/>
    <w:rsid w:val="00C426F1"/>
    <w:rsid w:val="00C4384D"/>
    <w:rsid w:val="00C4525A"/>
    <w:rsid w:val="00C52D6A"/>
    <w:rsid w:val="00C62EEC"/>
    <w:rsid w:val="00C63445"/>
    <w:rsid w:val="00C63F2A"/>
    <w:rsid w:val="00C64ACD"/>
    <w:rsid w:val="00C7065C"/>
    <w:rsid w:val="00C7396D"/>
    <w:rsid w:val="00C74F74"/>
    <w:rsid w:val="00C7770B"/>
    <w:rsid w:val="00C81C41"/>
    <w:rsid w:val="00C832AF"/>
    <w:rsid w:val="00C93986"/>
    <w:rsid w:val="00C953B0"/>
    <w:rsid w:val="00C9605F"/>
    <w:rsid w:val="00CA0AD1"/>
    <w:rsid w:val="00CA2941"/>
    <w:rsid w:val="00CA6CAF"/>
    <w:rsid w:val="00CB3446"/>
    <w:rsid w:val="00CC10EA"/>
    <w:rsid w:val="00CC360A"/>
    <w:rsid w:val="00CC7079"/>
    <w:rsid w:val="00CC76C5"/>
    <w:rsid w:val="00CD6F43"/>
    <w:rsid w:val="00CE1C4B"/>
    <w:rsid w:val="00CE693A"/>
    <w:rsid w:val="00CE6CEE"/>
    <w:rsid w:val="00CE7E3E"/>
    <w:rsid w:val="00CF0CEF"/>
    <w:rsid w:val="00CF2339"/>
    <w:rsid w:val="00CF3001"/>
    <w:rsid w:val="00CF4C80"/>
    <w:rsid w:val="00D0268D"/>
    <w:rsid w:val="00D07741"/>
    <w:rsid w:val="00D1009A"/>
    <w:rsid w:val="00D13D8E"/>
    <w:rsid w:val="00D144B0"/>
    <w:rsid w:val="00D14D64"/>
    <w:rsid w:val="00D158AD"/>
    <w:rsid w:val="00D168B8"/>
    <w:rsid w:val="00D17D18"/>
    <w:rsid w:val="00D20A4E"/>
    <w:rsid w:val="00D32742"/>
    <w:rsid w:val="00D33184"/>
    <w:rsid w:val="00D342D0"/>
    <w:rsid w:val="00D40620"/>
    <w:rsid w:val="00D41236"/>
    <w:rsid w:val="00D41425"/>
    <w:rsid w:val="00D42B29"/>
    <w:rsid w:val="00D43278"/>
    <w:rsid w:val="00D440EA"/>
    <w:rsid w:val="00D47B52"/>
    <w:rsid w:val="00D47BC5"/>
    <w:rsid w:val="00D523AE"/>
    <w:rsid w:val="00D52B9F"/>
    <w:rsid w:val="00D5311E"/>
    <w:rsid w:val="00D53299"/>
    <w:rsid w:val="00D53DB9"/>
    <w:rsid w:val="00D53F24"/>
    <w:rsid w:val="00D540C3"/>
    <w:rsid w:val="00D56435"/>
    <w:rsid w:val="00D604CF"/>
    <w:rsid w:val="00D6090B"/>
    <w:rsid w:val="00D61472"/>
    <w:rsid w:val="00D61B0A"/>
    <w:rsid w:val="00D61EBD"/>
    <w:rsid w:val="00D63A68"/>
    <w:rsid w:val="00D66FB1"/>
    <w:rsid w:val="00D7012C"/>
    <w:rsid w:val="00D71C97"/>
    <w:rsid w:val="00D72737"/>
    <w:rsid w:val="00D7353C"/>
    <w:rsid w:val="00D7569D"/>
    <w:rsid w:val="00D810ED"/>
    <w:rsid w:val="00D828CD"/>
    <w:rsid w:val="00D833EF"/>
    <w:rsid w:val="00D84A15"/>
    <w:rsid w:val="00D87DF2"/>
    <w:rsid w:val="00D9014F"/>
    <w:rsid w:val="00D91671"/>
    <w:rsid w:val="00DA40BB"/>
    <w:rsid w:val="00DA52C6"/>
    <w:rsid w:val="00DA7D73"/>
    <w:rsid w:val="00DB4177"/>
    <w:rsid w:val="00DC12F3"/>
    <w:rsid w:val="00DC3BD8"/>
    <w:rsid w:val="00DC6219"/>
    <w:rsid w:val="00DC6467"/>
    <w:rsid w:val="00DD336D"/>
    <w:rsid w:val="00DD4AED"/>
    <w:rsid w:val="00DD56FA"/>
    <w:rsid w:val="00DD7847"/>
    <w:rsid w:val="00DE20FE"/>
    <w:rsid w:val="00DE2370"/>
    <w:rsid w:val="00DE70F1"/>
    <w:rsid w:val="00DF0EDF"/>
    <w:rsid w:val="00DF2CEC"/>
    <w:rsid w:val="00DF3656"/>
    <w:rsid w:val="00DF545E"/>
    <w:rsid w:val="00DF5532"/>
    <w:rsid w:val="00E00BD6"/>
    <w:rsid w:val="00E01B8F"/>
    <w:rsid w:val="00E05567"/>
    <w:rsid w:val="00E07A4C"/>
    <w:rsid w:val="00E11554"/>
    <w:rsid w:val="00E13B7D"/>
    <w:rsid w:val="00E20A1E"/>
    <w:rsid w:val="00E26F6B"/>
    <w:rsid w:val="00E2768F"/>
    <w:rsid w:val="00E4467D"/>
    <w:rsid w:val="00E47841"/>
    <w:rsid w:val="00E54BEA"/>
    <w:rsid w:val="00E553D5"/>
    <w:rsid w:val="00E562D1"/>
    <w:rsid w:val="00E579A5"/>
    <w:rsid w:val="00E63519"/>
    <w:rsid w:val="00E63C79"/>
    <w:rsid w:val="00E63F7A"/>
    <w:rsid w:val="00E66F1F"/>
    <w:rsid w:val="00E71522"/>
    <w:rsid w:val="00E727CC"/>
    <w:rsid w:val="00E72FDA"/>
    <w:rsid w:val="00E73613"/>
    <w:rsid w:val="00E76D05"/>
    <w:rsid w:val="00E76ED2"/>
    <w:rsid w:val="00E77A66"/>
    <w:rsid w:val="00E77BD3"/>
    <w:rsid w:val="00E81004"/>
    <w:rsid w:val="00E82F6E"/>
    <w:rsid w:val="00E835ED"/>
    <w:rsid w:val="00E854F1"/>
    <w:rsid w:val="00E91434"/>
    <w:rsid w:val="00E9416D"/>
    <w:rsid w:val="00E95F62"/>
    <w:rsid w:val="00EA7AEE"/>
    <w:rsid w:val="00EB6EB5"/>
    <w:rsid w:val="00EC038B"/>
    <w:rsid w:val="00ED2C3C"/>
    <w:rsid w:val="00EE5052"/>
    <w:rsid w:val="00EE692D"/>
    <w:rsid w:val="00EE6E0F"/>
    <w:rsid w:val="00EE7440"/>
    <w:rsid w:val="00EF127F"/>
    <w:rsid w:val="00EF1CD7"/>
    <w:rsid w:val="00EF1EDF"/>
    <w:rsid w:val="00EF49A4"/>
    <w:rsid w:val="00F000E0"/>
    <w:rsid w:val="00F00166"/>
    <w:rsid w:val="00F016B7"/>
    <w:rsid w:val="00F02D92"/>
    <w:rsid w:val="00F07A4B"/>
    <w:rsid w:val="00F1477F"/>
    <w:rsid w:val="00F15561"/>
    <w:rsid w:val="00F22917"/>
    <w:rsid w:val="00F23EE7"/>
    <w:rsid w:val="00F353E0"/>
    <w:rsid w:val="00F377F7"/>
    <w:rsid w:val="00F40686"/>
    <w:rsid w:val="00F454C4"/>
    <w:rsid w:val="00F46213"/>
    <w:rsid w:val="00F51E8C"/>
    <w:rsid w:val="00F52608"/>
    <w:rsid w:val="00F54612"/>
    <w:rsid w:val="00F54E2E"/>
    <w:rsid w:val="00F55A46"/>
    <w:rsid w:val="00F60226"/>
    <w:rsid w:val="00F6134B"/>
    <w:rsid w:val="00F63788"/>
    <w:rsid w:val="00F649FD"/>
    <w:rsid w:val="00F71D98"/>
    <w:rsid w:val="00F73BB8"/>
    <w:rsid w:val="00F83ABE"/>
    <w:rsid w:val="00F860F2"/>
    <w:rsid w:val="00F90330"/>
    <w:rsid w:val="00F90A96"/>
    <w:rsid w:val="00F911BB"/>
    <w:rsid w:val="00F947EF"/>
    <w:rsid w:val="00F95457"/>
    <w:rsid w:val="00F97E0D"/>
    <w:rsid w:val="00FA4DD3"/>
    <w:rsid w:val="00FB0DED"/>
    <w:rsid w:val="00FC23BF"/>
    <w:rsid w:val="00FD53C3"/>
    <w:rsid w:val="00FE12D9"/>
    <w:rsid w:val="00FF00DF"/>
    <w:rsid w:val="00FF0B38"/>
    <w:rsid w:val="00FF36E8"/>
    <w:rsid w:val="00FF3A1E"/>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893D9"/>
  <w15:chartTrackingRefBased/>
  <w15:docId w15:val="{5E748549-E483-4D0E-BA52-1FA860E4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uiPriority w:val="99"/>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uiPriority w:val="99"/>
    <w:rsid w:val="00391D43"/>
    <w:rPr>
      <w:sz w:val="14"/>
      <w:szCs w:val="20"/>
    </w:rPr>
  </w:style>
  <w:style w:type="character" w:styleId="FootnoteReference">
    <w:name w:val="footnote reference"/>
    <w:aliases w:val="Bow_Footnote Reference,BL_Footnote Reference"/>
    <w:basedOn w:val="DefaultParagraphFont"/>
    <w:uiPriority w:val="99"/>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Pr>
    <w:tcPr>
      <w:shd w:val="clear" w:color="auto" w:fill="auto"/>
    </w:tcPr>
    <w:tblStylePr w:type="firstRow">
      <w:rPr>
        <w:b/>
      </w:rPr>
    </w:tblStylePr>
  </w:style>
  <w:style w:type="character" w:customStyle="1" w:styleId="Heading2Char">
    <w:name w:val="Heading 2 Char"/>
    <w:basedOn w:val="DefaultParagraphFont"/>
    <w:link w:val="Heading2"/>
    <w:uiPriority w:val="9"/>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rsid w:val="005F392A"/>
    <w:pPr>
      <w:tabs>
        <w:tab w:val="center" w:pos="4513"/>
        <w:tab w:val="right" w:pos="9026"/>
      </w:tabs>
      <w:spacing w:after="0" w:line="240" w:lineRule="auto"/>
    </w:pPr>
  </w:style>
  <w:style w:type="character" w:customStyle="1" w:styleId="HeaderChar">
    <w:name w:val="Header Char"/>
    <w:basedOn w:val="DefaultParagraphFont"/>
    <w:link w:val="Header"/>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tabs>
        <w:tab w:val="clear" w:pos="7938"/>
        <w:tab w:val="num" w:pos="567"/>
      </w:tabs>
      <w:ind w:left="567"/>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customStyle="1" w:styleId="JUGMENTNUMBERED">
    <w:name w:val="JUGMENT NUMBERED"/>
    <w:basedOn w:val="Normal"/>
    <w:uiPriority w:val="99"/>
    <w:rsid w:val="009F6BD9"/>
    <w:pPr>
      <w:numPr>
        <w:numId w:val="54"/>
      </w:numPr>
      <w:spacing w:after="0" w:line="480" w:lineRule="auto"/>
    </w:pPr>
    <w:rPr>
      <w:rFonts w:ascii="Times New Roman" w:hAnsi="Times New Roman"/>
      <w:sz w:val="26"/>
      <w:szCs w:val="26"/>
      <w:lang w:eastAsia="en-ZA"/>
    </w:rPr>
  </w:style>
  <w:style w:type="paragraph" w:customStyle="1" w:styleId="western">
    <w:name w:val="western"/>
    <w:basedOn w:val="Normal"/>
    <w:rsid w:val="00E727CC"/>
    <w:pPr>
      <w:spacing w:before="100" w:beforeAutospacing="1" w:after="100" w:afterAutospacing="1" w:line="240" w:lineRule="auto"/>
      <w:jc w:val="left"/>
    </w:pPr>
    <w:rPr>
      <w:rFonts w:ascii="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258">
      <w:bodyDiv w:val="1"/>
      <w:marLeft w:val="0"/>
      <w:marRight w:val="0"/>
      <w:marTop w:val="0"/>
      <w:marBottom w:val="0"/>
      <w:divBdr>
        <w:top w:val="none" w:sz="0" w:space="0" w:color="auto"/>
        <w:left w:val="none" w:sz="0" w:space="0" w:color="auto"/>
        <w:bottom w:val="none" w:sz="0" w:space="0" w:color="auto"/>
        <w:right w:val="none" w:sz="0" w:space="0" w:color="auto"/>
      </w:divBdr>
    </w:div>
    <w:div w:id="649867391">
      <w:bodyDiv w:val="1"/>
      <w:marLeft w:val="0"/>
      <w:marRight w:val="0"/>
      <w:marTop w:val="0"/>
      <w:marBottom w:val="0"/>
      <w:divBdr>
        <w:top w:val="none" w:sz="0" w:space="0" w:color="auto"/>
        <w:left w:val="none" w:sz="0" w:space="0" w:color="auto"/>
        <w:bottom w:val="none" w:sz="0" w:space="0" w:color="auto"/>
        <w:right w:val="none" w:sz="0" w:space="0" w:color="auto"/>
      </w:divBdr>
    </w:div>
    <w:div w:id="749234567">
      <w:bodyDiv w:val="1"/>
      <w:marLeft w:val="0"/>
      <w:marRight w:val="0"/>
      <w:marTop w:val="0"/>
      <w:marBottom w:val="0"/>
      <w:divBdr>
        <w:top w:val="none" w:sz="0" w:space="0" w:color="auto"/>
        <w:left w:val="none" w:sz="0" w:space="0" w:color="auto"/>
        <w:bottom w:val="none" w:sz="0" w:space="0" w:color="auto"/>
        <w:right w:val="none" w:sz="0" w:space="0" w:color="auto"/>
      </w:divBdr>
    </w:div>
    <w:div w:id="826358288">
      <w:bodyDiv w:val="1"/>
      <w:marLeft w:val="0"/>
      <w:marRight w:val="0"/>
      <w:marTop w:val="0"/>
      <w:marBottom w:val="0"/>
      <w:divBdr>
        <w:top w:val="none" w:sz="0" w:space="0" w:color="auto"/>
        <w:left w:val="none" w:sz="0" w:space="0" w:color="auto"/>
        <w:bottom w:val="none" w:sz="0" w:space="0" w:color="auto"/>
        <w:right w:val="none" w:sz="0" w:space="0" w:color="auto"/>
      </w:divBdr>
    </w:div>
    <w:div w:id="1072318379">
      <w:bodyDiv w:val="1"/>
      <w:marLeft w:val="0"/>
      <w:marRight w:val="0"/>
      <w:marTop w:val="0"/>
      <w:marBottom w:val="0"/>
      <w:divBdr>
        <w:top w:val="none" w:sz="0" w:space="0" w:color="auto"/>
        <w:left w:val="none" w:sz="0" w:space="0" w:color="auto"/>
        <w:bottom w:val="none" w:sz="0" w:space="0" w:color="auto"/>
        <w:right w:val="none" w:sz="0" w:space="0" w:color="auto"/>
      </w:divBdr>
    </w:div>
    <w:div w:id="11472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53C8-66BD-482E-8B20-914A175E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4525</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Bowmans</dc:creator>
  <cp:keywords/>
  <dc:description/>
  <cp:lastModifiedBy>Lazarus Rakgwale</cp:lastModifiedBy>
  <cp:revision>2</cp:revision>
  <cp:lastPrinted>2022-09-22T06:52:00Z</cp:lastPrinted>
  <dcterms:created xsi:type="dcterms:W3CDTF">2022-09-23T07:47:00Z</dcterms:created>
  <dcterms:modified xsi:type="dcterms:W3CDTF">2022-09-23T07:47:00Z</dcterms:modified>
</cp:coreProperties>
</file>